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E3A" w:rsidRPr="00584A70" w:rsidRDefault="006F5E3A" w:rsidP="00584A70">
      <w:pPr>
        <w:spacing w:before="240" w:after="240" w:line="360" w:lineRule="auto"/>
        <w:jc w:val="both"/>
        <w:rPr>
          <w:rFonts w:ascii="Palatino Linotype" w:eastAsia="Palatino Linotype" w:hAnsi="Palatino Linotype" w:cs="Palatino Linotype"/>
          <w:color w:val="000000" w:themeColor="text1"/>
        </w:rPr>
      </w:pPr>
      <w:bookmarkStart w:id="0" w:name="_heading=h.f843359a9b8o" w:colFirst="0" w:colLast="0"/>
      <w:bookmarkStart w:id="1" w:name="_GoBack"/>
      <w:bookmarkEnd w:id="0"/>
      <w:bookmarkEnd w:id="1"/>
      <w:r w:rsidRPr="00584A7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584A70">
        <w:rPr>
          <w:rFonts w:ascii="Palatino Linotype" w:eastAsia="Palatino Linotype" w:hAnsi="Palatino Linotype" w:cs="Palatino Linotype"/>
          <w:b/>
          <w:color w:val="000000" w:themeColor="text1"/>
        </w:rPr>
        <w:t xml:space="preserve">de fecha doce (12) </w:t>
      </w:r>
      <w:r w:rsidR="00584A70" w:rsidRPr="00157555">
        <w:rPr>
          <w:rFonts w:ascii="Palatino Linotype" w:eastAsia="Palatino Linotype" w:hAnsi="Palatino Linotype" w:cs="Palatino Linotype"/>
          <w:b/>
          <w:color w:val="000000" w:themeColor="text1"/>
        </w:rPr>
        <w:t xml:space="preserve">de </w:t>
      </w:r>
      <w:r w:rsidR="00584A70">
        <w:rPr>
          <w:rFonts w:ascii="Palatino Linotype" w:eastAsia="Palatino Linotype" w:hAnsi="Palatino Linotype" w:cs="Palatino Linotype"/>
          <w:b/>
          <w:color w:val="000000" w:themeColor="text1"/>
        </w:rPr>
        <w:t xml:space="preserve">noviembre </w:t>
      </w:r>
      <w:r w:rsidR="00584A70" w:rsidRPr="00157555">
        <w:rPr>
          <w:rFonts w:ascii="Palatino Linotype" w:eastAsia="Palatino Linotype" w:hAnsi="Palatino Linotype" w:cs="Palatino Linotype"/>
          <w:b/>
          <w:color w:val="000000" w:themeColor="text1"/>
        </w:rPr>
        <w:t>de dos mil veinticinco</w:t>
      </w:r>
      <w:r w:rsidRPr="00584A70">
        <w:rPr>
          <w:rFonts w:ascii="Palatino Linotype" w:eastAsia="Palatino Linotype" w:hAnsi="Palatino Linotype" w:cs="Palatino Linotype"/>
          <w:color w:val="000000" w:themeColor="text1"/>
        </w:rPr>
        <w:t>.</w:t>
      </w:r>
    </w:p>
    <w:p w:rsidR="006F5E3A" w:rsidRPr="00584A70" w:rsidRDefault="006F5E3A" w:rsidP="00584A70">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 xml:space="preserve">VISTOS </w:t>
      </w:r>
      <w:r w:rsidRPr="00584A70">
        <w:rPr>
          <w:rFonts w:ascii="Palatino Linotype" w:eastAsia="Palatino Linotype" w:hAnsi="Palatino Linotype" w:cs="Palatino Linotype"/>
          <w:color w:val="000000" w:themeColor="text1"/>
        </w:rPr>
        <w:t xml:space="preserve">los expedientes electrónicos formados con motivo de los recursos de revisión </w:t>
      </w:r>
      <w:r w:rsidRPr="00584A70">
        <w:rPr>
          <w:rFonts w:ascii="Palatino Linotype" w:eastAsia="Palatino Linotype" w:hAnsi="Palatino Linotype" w:cs="Palatino Linotype"/>
          <w:b/>
          <w:color w:val="000000" w:themeColor="text1"/>
        </w:rPr>
        <w:t xml:space="preserve">11433/INFOEM/IP/RR/2025, 11451/INFOEM/IP/RR/2025, 11452/INFOEM/IP/RR/2025, 11454/INFOEM/IP/RR/2025, 11455/INFOEM/IP/RR/2025, 11456/INFOEM/IP/RR/2025, 11457/INFOEM/IP/RR/2025, 11458/INFOEM/IP/RR/2025, 11459/INFOEM/IP/RR/2025, 11460/INFOEM/IP/RR/2025, 11461/INFOEM/IP/RR/2025 y 11462/INFOEM/IP/RR/2025, </w:t>
      </w:r>
      <w:r w:rsidRPr="00584A70">
        <w:rPr>
          <w:rFonts w:ascii="Palatino Linotype" w:eastAsia="Palatino Linotype" w:hAnsi="Palatino Linotype" w:cs="Palatino Linotype"/>
          <w:color w:val="000000" w:themeColor="text1"/>
        </w:rPr>
        <w:t xml:space="preserve">promovidos por </w:t>
      </w:r>
      <w:r w:rsidRPr="00584A70">
        <w:rPr>
          <w:rFonts w:ascii="Palatino Linotype" w:eastAsia="Palatino Linotype" w:hAnsi="Palatino Linotype" w:cs="Palatino Linotype"/>
          <w:b/>
          <w:color w:val="000000" w:themeColor="text1"/>
        </w:rPr>
        <w:t>un usuario que no proporcionó nombre</w:t>
      </w:r>
      <w:r w:rsidRPr="00584A70">
        <w:rPr>
          <w:rFonts w:ascii="Palatino Linotype" w:eastAsia="Palatino Linotype" w:hAnsi="Palatino Linotype" w:cs="Palatino Linotype"/>
          <w:color w:val="000000" w:themeColor="text1"/>
        </w:rPr>
        <w:t xml:space="preserve">, </w:t>
      </w:r>
      <w:r w:rsidR="00054675">
        <w:rPr>
          <w:rFonts w:ascii="Palatino Linotype" w:eastAsia="Palatino Linotype" w:hAnsi="Palatino Linotype" w:cs="Palatino Linotype"/>
          <w:color w:val="000000" w:themeColor="text1"/>
        </w:rPr>
        <w:t xml:space="preserve">a </w:t>
      </w:r>
      <w:r w:rsidRPr="00584A70">
        <w:rPr>
          <w:rFonts w:ascii="Palatino Linotype" w:eastAsia="Palatino Linotype" w:hAnsi="Palatino Linotype" w:cs="Palatino Linotype"/>
          <w:color w:val="000000" w:themeColor="text1"/>
        </w:rPr>
        <w:t xml:space="preserve">quien en lo sucesivo se identificará como </w:t>
      </w:r>
      <w:r w:rsidR="00605B5C">
        <w:rPr>
          <w:rFonts w:ascii="Palatino Linotype" w:eastAsia="Palatino Linotype" w:hAnsi="Palatino Linotype" w:cs="Palatino Linotype"/>
          <w:color w:val="000000" w:themeColor="text1"/>
        </w:rPr>
        <w:t xml:space="preserve">EL </w:t>
      </w:r>
      <w:r w:rsidRPr="00584A70">
        <w:rPr>
          <w:rFonts w:ascii="Palatino Linotype" w:eastAsia="Palatino Linotype" w:hAnsi="Palatino Linotype" w:cs="Palatino Linotype"/>
          <w:b/>
          <w:color w:val="000000" w:themeColor="text1"/>
        </w:rPr>
        <w:t>RECURRENTE</w:t>
      </w:r>
      <w:r w:rsidRPr="00584A70">
        <w:rPr>
          <w:rFonts w:ascii="Palatino Linotype" w:eastAsia="Palatino Linotype" w:hAnsi="Palatino Linotype" w:cs="Palatino Linotype"/>
          <w:color w:val="000000" w:themeColor="text1"/>
        </w:rPr>
        <w:t xml:space="preserve">, en contra de la respuesta del </w:t>
      </w:r>
      <w:r w:rsidR="00D47DD7" w:rsidRPr="00584A70">
        <w:rPr>
          <w:rFonts w:ascii="Palatino Linotype" w:eastAsia="Palatino Linotype" w:hAnsi="Palatino Linotype" w:cs="Palatino Linotype"/>
          <w:b/>
          <w:color w:val="000000" w:themeColor="text1"/>
        </w:rPr>
        <w:t xml:space="preserve">Ayuntamiento </w:t>
      </w:r>
      <w:r w:rsidR="00D47DD7" w:rsidRPr="00632ADC">
        <w:rPr>
          <w:rFonts w:ascii="Palatino Linotype" w:eastAsia="Palatino Linotype" w:hAnsi="Palatino Linotype" w:cs="Palatino Linotype"/>
          <w:b/>
          <w:color w:val="000000" w:themeColor="text1"/>
        </w:rPr>
        <w:t>de Tepotzotlán</w:t>
      </w:r>
      <w:r w:rsidRPr="00632ADC">
        <w:rPr>
          <w:rFonts w:ascii="Palatino Linotype" w:eastAsia="Palatino Linotype" w:hAnsi="Palatino Linotype" w:cs="Palatino Linotype"/>
          <w:color w:val="000000" w:themeColor="text1"/>
        </w:rPr>
        <w:t>,</w:t>
      </w:r>
      <w:r w:rsidRPr="00632ADC">
        <w:rPr>
          <w:rFonts w:ascii="Palatino Linotype" w:eastAsia="Palatino Linotype" w:hAnsi="Palatino Linotype" w:cs="Palatino Linotype"/>
          <w:b/>
          <w:color w:val="000000" w:themeColor="text1"/>
        </w:rPr>
        <w:t xml:space="preserve"> </w:t>
      </w:r>
      <w:r w:rsidRPr="00632ADC">
        <w:rPr>
          <w:rFonts w:ascii="Palatino Linotype" w:eastAsia="Palatino Linotype" w:hAnsi="Palatino Linotype" w:cs="Palatino Linotype"/>
          <w:color w:val="000000" w:themeColor="text1"/>
        </w:rPr>
        <w:t>en</w:t>
      </w:r>
      <w:r w:rsidRPr="00584A70">
        <w:rPr>
          <w:rFonts w:ascii="Palatino Linotype" w:eastAsia="Palatino Linotype" w:hAnsi="Palatino Linotype" w:cs="Palatino Linotype"/>
          <w:color w:val="000000" w:themeColor="text1"/>
        </w:rPr>
        <w:t xml:space="preserve"> </w:t>
      </w:r>
      <w:r w:rsidR="00054675">
        <w:rPr>
          <w:rFonts w:ascii="Palatino Linotype" w:eastAsia="Palatino Linotype" w:hAnsi="Palatino Linotype" w:cs="Palatino Linotype"/>
          <w:color w:val="000000" w:themeColor="text1"/>
        </w:rPr>
        <w:t xml:space="preserve">adelante </w:t>
      </w:r>
      <w:r w:rsidRPr="00584A70">
        <w:rPr>
          <w:rFonts w:ascii="Palatino Linotype" w:eastAsia="Palatino Linotype" w:hAnsi="Palatino Linotype" w:cs="Palatino Linotype"/>
          <w:color w:val="000000" w:themeColor="text1"/>
        </w:rPr>
        <w:t>el</w:t>
      </w:r>
      <w:r w:rsidRPr="00584A70">
        <w:rPr>
          <w:rFonts w:ascii="Palatino Linotype" w:eastAsia="Palatino Linotype" w:hAnsi="Palatino Linotype" w:cs="Palatino Linotype"/>
          <w:b/>
          <w:color w:val="000000" w:themeColor="text1"/>
        </w:rPr>
        <w:t xml:space="preserve"> SUJETO OBLIGADO, </w:t>
      </w:r>
      <w:r w:rsidRPr="00584A70">
        <w:rPr>
          <w:rFonts w:ascii="Palatino Linotype" w:eastAsia="Palatino Linotype" w:hAnsi="Palatino Linotype" w:cs="Palatino Linotype"/>
          <w:color w:val="000000" w:themeColor="text1"/>
        </w:rPr>
        <w:t>se procede a dictar la presente resolución, con base en los siguientes:</w:t>
      </w:r>
    </w:p>
    <w:p w:rsidR="006F5E3A" w:rsidRDefault="006F5E3A" w:rsidP="00584A70">
      <w:pPr>
        <w:pStyle w:val="Ttulo1"/>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584A70">
        <w:rPr>
          <w:rFonts w:ascii="Palatino Linotype" w:eastAsia="Palatino Linotype" w:hAnsi="Palatino Linotype" w:cs="Palatino Linotype"/>
          <w:b/>
          <w:color w:val="000000" w:themeColor="text1"/>
          <w:sz w:val="24"/>
          <w:szCs w:val="24"/>
        </w:rPr>
        <w:t>A N T E C E D E N T ES</w:t>
      </w:r>
    </w:p>
    <w:p w:rsidR="00054675" w:rsidRPr="00054675" w:rsidRDefault="00054675" w:rsidP="00054675">
      <w:pPr>
        <w:rPr>
          <w:rFonts w:eastAsia="Palatino Linotype"/>
        </w:rPr>
      </w:pPr>
    </w:p>
    <w:p w:rsidR="006F5E3A" w:rsidRPr="00584A70" w:rsidRDefault="006F5E3A" w:rsidP="00584A70">
      <w:pPr>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El </w:t>
      </w:r>
      <w:r w:rsidRPr="00584A70">
        <w:rPr>
          <w:rFonts w:ascii="Palatino Linotype" w:eastAsia="Palatino Linotype" w:hAnsi="Palatino Linotype" w:cs="Palatino Linotype"/>
          <w:b/>
          <w:color w:val="000000" w:themeColor="text1"/>
        </w:rPr>
        <w:t>primero de septiembre de dos mil veinticinco</w:t>
      </w:r>
      <w:r w:rsidRPr="00584A70">
        <w:rPr>
          <w:rFonts w:ascii="Palatino Linotype" w:eastAsia="Palatino Linotype" w:hAnsi="Palatino Linotype" w:cs="Palatino Linotype"/>
          <w:color w:val="000000" w:themeColor="text1"/>
        </w:rPr>
        <w:t xml:space="preserve">, </w:t>
      </w:r>
      <w:r w:rsidRPr="00584A70">
        <w:rPr>
          <w:rFonts w:ascii="Palatino Linotype" w:eastAsia="Palatino Linotype" w:hAnsi="Palatino Linotype" w:cs="Palatino Linotype"/>
          <w:b/>
          <w:color w:val="000000" w:themeColor="text1"/>
        </w:rPr>
        <w:t xml:space="preserve">EL RECURRENTE </w:t>
      </w:r>
      <w:r w:rsidRPr="00584A70">
        <w:rPr>
          <w:rFonts w:ascii="Palatino Linotype" w:eastAsia="Palatino Linotype" w:hAnsi="Palatino Linotype" w:cs="Palatino Linotype"/>
          <w:color w:val="000000" w:themeColor="text1"/>
        </w:rPr>
        <w:t>presentó</w:t>
      </w:r>
      <w:r w:rsidRPr="00584A70">
        <w:rPr>
          <w:rFonts w:ascii="Palatino Linotype" w:eastAsia="Palatino Linotype" w:hAnsi="Palatino Linotype" w:cs="Palatino Linotype"/>
          <w:b/>
          <w:color w:val="000000" w:themeColor="text1"/>
        </w:rPr>
        <w:t>,</w:t>
      </w:r>
      <w:r w:rsidRPr="00584A70">
        <w:rPr>
          <w:rFonts w:ascii="Palatino Linotype" w:eastAsia="Palatino Linotype" w:hAnsi="Palatino Linotype" w:cs="Palatino Linotype"/>
          <w:color w:val="000000" w:themeColor="text1"/>
        </w:rPr>
        <w:t xml:space="preserve"> ante el </w:t>
      </w:r>
      <w:r w:rsidRPr="00584A70">
        <w:rPr>
          <w:rFonts w:ascii="Palatino Linotype" w:eastAsia="Palatino Linotype" w:hAnsi="Palatino Linotype" w:cs="Palatino Linotype"/>
          <w:b/>
          <w:color w:val="000000" w:themeColor="text1"/>
        </w:rPr>
        <w:t>SUJETO OBLIGADO</w:t>
      </w:r>
      <w:r w:rsidRPr="00584A70">
        <w:rPr>
          <w:rFonts w:ascii="Palatino Linotype" w:eastAsia="Palatino Linotype" w:hAnsi="Palatino Linotype" w:cs="Palatino Linotype"/>
          <w:color w:val="000000" w:themeColor="text1"/>
        </w:rPr>
        <w:t xml:space="preserve"> vía Sistema de Acceso a la Información Mexiquense (</w:t>
      </w:r>
      <w:r w:rsidRPr="00584A70">
        <w:rPr>
          <w:rFonts w:ascii="Palatino Linotype" w:eastAsia="Palatino Linotype" w:hAnsi="Palatino Linotype" w:cs="Palatino Linotype"/>
          <w:b/>
          <w:color w:val="000000" w:themeColor="text1"/>
        </w:rPr>
        <w:t>SAIMEX)</w:t>
      </w:r>
      <w:r w:rsidRPr="00584A70">
        <w:rPr>
          <w:rFonts w:ascii="Palatino Linotype" w:eastAsia="Palatino Linotype" w:hAnsi="Palatino Linotype" w:cs="Palatino Linotype"/>
          <w:color w:val="000000" w:themeColor="text1"/>
        </w:rPr>
        <w:t>, las solicitudes de información pública registradas como se observa enseguida</w:t>
      </w:r>
      <w:r w:rsidR="000D11A8" w:rsidRPr="00584A70">
        <w:rPr>
          <w:rFonts w:ascii="Palatino Linotype" w:eastAsia="Palatino Linotype" w:hAnsi="Palatino Linotype" w:cs="Palatino Linotype"/>
          <w:color w:val="000000" w:themeColor="text1"/>
        </w:rPr>
        <w:t xml:space="preserve">: </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237"/>
      </w:tblGrid>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Número de Solicitud y recurso de revisión</w:t>
            </w:r>
          </w:p>
        </w:tc>
        <w:tc>
          <w:tcPr>
            <w:tcW w:w="6237" w:type="dxa"/>
          </w:tcPr>
          <w:p w:rsidR="006F5E3A" w:rsidRPr="00054675" w:rsidRDefault="006F5E3A" w:rsidP="00054675">
            <w:pPr>
              <w:jc w:val="center"/>
              <w:rPr>
                <w:rFonts w:ascii="Palatino Linotype" w:eastAsia="Palatino Linotype" w:hAnsi="Palatino Linotype" w:cs="Palatino Linotype"/>
                <w:b/>
                <w:color w:val="000000" w:themeColor="text1"/>
              </w:rPr>
            </w:pPr>
            <w:r w:rsidRPr="00054675">
              <w:rPr>
                <w:rFonts w:ascii="Palatino Linotype" w:eastAsia="Palatino Linotype" w:hAnsi="Palatino Linotype" w:cs="Palatino Linotype"/>
                <w:b/>
                <w:color w:val="000000" w:themeColor="text1"/>
              </w:rPr>
              <w:t>Solicitud</w:t>
            </w:r>
          </w:p>
        </w:tc>
      </w:tr>
      <w:tr w:rsidR="00584A70" w:rsidRPr="00584A70" w:rsidTr="00054675">
        <w:tc>
          <w:tcPr>
            <w:tcW w:w="3539" w:type="dxa"/>
          </w:tcPr>
          <w:p w:rsidR="006F5E3A" w:rsidRPr="00584A70" w:rsidRDefault="00B32ED9" w:rsidP="00054675">
            <w:pPr>
              <w:jc w:val="center"/>
              <w:rPr>
                <w:rFonts w:ascii="Palatino Linotype" w:eastAsia="Palatino Linotype" w:hAnsi="Palatino Linotype" w:cs="Palatino Linotype"/>
                <w:b/>
                <w:color w:val="000000" w:themeColor="text1"/>
              </w:rPr>
            </w:pPr>
            <w:hyperlink r:id="rId7" w:history="1">
              <w:r w:rsidR="006F5E3A" w:rsidRPr="00584A70">
                <w:rPr>
                  <w:rStyle w:val="Hipervnculo"/>
                  <w:rFonts w:ascii="Palatino Linotype" w:eastAsia="Palatino Linotype" w:hAnsi="Palatino Linotype" w:cs="Palatino Linotype"/>
                  <w:b/>
                  <w:bCs/>
                  <w:color w:val="000000" w:themeColor="text1"/>
                  <w:u w:val="none"/>
                </w:rPr>
                <w:t>00484/TEPOTZOT/IP/2025</w:t>
              </w:r>
            </w:hyperlink>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11433/INFOEM/IP/RR/2025</w:t>
            </w: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 xml:space="preserve">“Los recibos de pago de todo el año 2025, y los documentos que autorizan la actividad comercial de todos los comercios que </w:t>
            </w:r>
            <w:r w:rsidRPr="00584A70">
              <w:rPr>
                <w:rFonts w:ascii="Palatino Linotype" w:eastAsia="Palatino Linotype" w:hAnsi="Palatino Linotype" w:cs="Palatino Linotype"/>
                <w:i/>
                <w:color w:val="000000" w:themeColor="text1"/>
              </w:rPr>
              <w:lastRenderedPageBreak/>
              <w:t>ocupan la vía pública, y además, de todos los puestos fijos y semifijos que se encuentran en Capula.</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00483/TEPOTZOT/IP/2025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11451/INFOEM/IP/RR/2025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Col. Ricardo Flores Magón”</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00482/TEPOTZOT/IP/2025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11452/INFOEM/IP/RR/2025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Tlacateco</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0D11A8" w:rsidRPr="00584A70" w:rsidRDefault="000D11A8" w:rsidP="00054675">
            <w:pPr>
              <w:jc w:val="center"/>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00480/TEPOTZOT/IP/2025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11454/INFOEM/IP/RR/2025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Las Ánimas.</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6F5E3A" w:rsidRPr="00584A70" w:rsidRDefault="000D11A8"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bCs/>
                <w:color w:val="000000" w:themeColor="text1"/>
              </w:rPr>
              <w:t>00479/TEPOTZOT/IP/2025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11455/INFOEM/IP/RR/2025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El Trébol.</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0D11A8" w:rsidRPr="00584A70" w:rsidRDefault="000D11A8" w:rsidP="00054675">
            <w:pPr>
              <w:jc w:val="center"/>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00485/TEPOTZOT/IP/2025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11456/INFOEM/IP/RR/2025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San Mateo Xoloc</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0D11A8" w:rsidRPr="00584A70" w:rsidRDefault="000D11A8" w:rsidP="00054675">
            <w:pPr>
              <w:jc w:val="center"/>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00486/TEPOTZOT/IP/2025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11457/INFOEM/IP/RR/2025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Santa Cruz</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6F5E3A" w:rsidRPr="00584A70" w:rsidRDefault="000D11A8"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bCs/>
                <w:color w:val="000000" w:themeColor="text1"/>
              </w:rPr>
              <w:t>00487/TEPOTZOT/IP/2025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11458/INFOEM/IP/RR/2025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Santiago Cuautlalpan</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0D11A8" w:rsidRPr="00584A70" w:rsidRDefault="000D11A8" w:rsidP="00054675">
            <w:pPr>
              <w:jc w:val="center"/>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00488/TEPOTZOT/IP/2025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11459/INFOEM/IP/RR/2025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Cañada de Cisneros</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0D11A8" w:rsidRPr="00584A70" w:rsidRDefault="000D11A8" w:rsidP="00054675">
            <w:pPr>
              <w:jc w:val="center"/>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00489/TEPOTZOT/IP/2025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11460/INFOEM/IP/RR/2025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Los Dolores</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color w:val="000000" w:themeColor="text1"/>
              </w:rPr>
            </w:pPr>
          </w:p>
        </w:tc>
      </w:tr>
      <w:tr w:rsidR="00584A70"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0D11A8" w:rsidRPr="00584A70" w:rsidRDefault="000D11A8" w:rsidP="00054675">
            <w:pPr>
              <w:jc w:val="center"/>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00490/TEPOTZOT/IP/2025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11461/INFOEM/IP/RR/2025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Texcacoa</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color w:val="000000" w:themeColor="text1"/>
              </w:rPr>
            </w:pPr>
          </w:p>
        </w:tc>
      </w:tr>
      <w:tr w:rsidR="006F5E3A" w:rsidRPr="00584A70" w:rsidTr="00054675">
        <w:tc>
          <w:tcPr>
            <w:tcW w:w="3539" w:type="dxa"/>
          </w:tcPr>
          <w:p w:rsidR="006F5E3A" w:rsidRPr="00584A70" w:rsidRDefault="006F5E3A" w:rsidP="00054675">
            <w:pPr>
              <w:jc w:val="center"/>
              <w:rPr>
                <w:rFonts w:ascii="Palatino Linotype" w:eastAsia="Palatino Linotype" w:hAnsi="Palatino Linotype" w:cs="Palatino Linotype"/>
                <w:b/>
                <w:color w:val="000000" w:themeColor="text1"/>
              </w:rPr>
            </w:pPr>
          </w:p>
          <w:p w:rsidR="000D11A8" w:rsidRPr="00584A70" w:rsidRDefault="000D11A8" w:rsidP="00054675">
            <w:pPr>
              <w:jc w:val="center"/>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00491/TEPOTZOT/IP/2025</w:t>
            </w:r>
          </w:p>
          <w:p w:rsidR="006F5E3A" w:rsidRPr="00584A70" w:rsidRDefault="006F5E3A" w:rsidP="00054675">
            <w:pPr>
              <w:jc w:val="center"/>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11462/INFOEM/IP/RR/2025</w:t>
            </w:r>
          </w:p>
          <w:p w:rsidR="006F5E3A" w:rsidRPr="00584A70" w:rsidRDefault="006F5E3A" w:rsidP="00054675">
            <w:pPr>
              <w:jc w:val="center"/>
              <w:rPr>
                <w:rFonts w:ascii="Palatino Linotype" w:eastAsia="Palatino Linotype" w:hAnsi="Palatino Linotype" w:cs="Palatino Linotype"/>
                <w:b/>
                <w:color w:val="000000" w:themeColor="text1"/>
              </w:rPr>
            </w:pPr>
          </w:p>
        </w:tc>
        <w:tc>
          <w:tcPr>
            <w:tcW w:w="6237" w:type="dxa"/>
          </w:tcPr>
          <w:p w:rsidR="006F5E3A" w:rsidRPr="00584A70" w:rsidRDefault="006F5E3A" w:rsidP="00054675">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i/>
                <w:color w:val="000000" w:themeColor="text1"/>
              </w:rPr>
              <w:t>“</w:t>
            </w:r>
            <w:r w:rsidR="000D11A8" w:rsidRPr="00584A70">
              <w:rPr>
                <w:rFonts w:ascii="Palatino Linotype" w:eastAsia="Palatino Linotype" w:hAnsi="Palatino Linotype" w:cs="Palatino Linotype"/>
                <w:i/>
                <w:color w:val="000000" w:themeColor="text1"/>
              </w:rPr>
              <w:t>Los recibos de pago de todo el año 2025, y los documentos que autorizan la actividad comercial de todos los comercios que ocupan la vía pública, y además, de todos los puestos fijos y semifijos que se encuentran en la avenida de la industria, avenida el convento y avenida Hostería en el Trébol</w:t>
            </w:r>
            <w:r w:rsidRPr="00584A70">
              <w:rPr>
                <w:rFonts w:ascii="Palatino Linotype" w:eastAsia="Palatino Linotype" w:hAnsi="Palatino Linotype" w:cs="Palatino Linotype"/>
                <w:i/>
                <w:color w:val="000000" w:themeColor="text1"/>
              </w:rPr>
              <w:t>”</w:t>
            </w:r>
          </w:p>
          <w:p w:rsidR="006F5E3A" w:rsidRPr="00584A70" w:rsidRDefault="006F5E3A" w:rsidP="00054675">
            <w:pPr>
              <w:jc w:val="both"/>
              <w:rPr>
                <w:rFonts w:ascii="Palatino Linotype" w:eastAsia="Palatino Linotype" w:hAnsi="Palatino Linotype" w:cs="Palatino Linotype"/>
                <w:i/>
                <w:color w:val="000000" w:themeColor="text1"/>
              </w:rPr>
            </w:pPr>
          </w:p>
        </w:tc>
      </w:tr>
    </w:tbl>
    <w:p w:rsidR="006F5E3A" w:rsidRDefault="00054675"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br w:type="textWrapping" w:clear="all"/>
      </w:r>
    </w:p>
    <w:p w:rsidR="00054675" w:rsidRPr="00584A70" w:rsidRDefault="00054675"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0D11A8"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Señaló como modalidad de entrega de la información a través del </w:t>
      </w:r>
      <w:r w:rsidRPr="00584A70">
        <w:rPr>
          <w:rFonts w:ascii="Palatino Linotype" w:eastAsia="Palatino Linotype" w:hAnsi="Palatino Linotype" w:cs="Palatino Linotype"/>
          <w:b/>
          <w:color w:val="000000" w:themeColor="text1"/>
        </w:rPr>
        <w:t>SAIMEX.</w:t>
      </w:r>
    </w:p>
    <w:p w:rsidR="000D11A8" w:rsidRPr="00584A70" w:rsidRDefault="000D11A8"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D11A8" w:rsidRPr="00584A70" w:rsidRDefault="000D11A8"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 xml:space="preserve">De las solicitudes número </w:t>
      </w:r>
      <w:r w:rsidRPr="00584A70">
        <w:rPr>
          <w:rFonts w:ascii="Palatino Linotype" w:eastAsia="Palatino Linotype" w:hAnsi="Palatino Linotype" w:cs="Palatino Linotype"/>
          <w:b/>
          <w:color w:val="000000" w:themeColor="text1"/>
        </w:rPr>
        <w:t xml:space="preserve">00483/TEPOTZOT/IP/2025, 00482/TEPOTZOT/IP/2025, </w:t>
      </w:r>
      <w:r w:rsidRPr="00584A70">
        <w:rPr>
          <w:rFonts w:ascii="Palatino Linotype" w:eastAsia="Palatino Linotype" w:hAnsi="Palatino Linotype" w:cs="Palatino Linotype"/>
          <w:b/>
          <w:bCs/>
          <w:color w:val="000000" w:themeColor="text1"/>
        </w:rPr>
        <w:t xml:space="preserve">00480/TEPOTZOT/IP/2025 y 00479/TEPOTZOT/IP/2025, </w:t>
      </w:r>
      <w:r w:rsidRPr="00584A70">
        <w:rPr>
          <w:rFonts w:ascii="Palatino Linotype" w:eastAsia="Palatino Linotype" w:hAnsi="Palatino Linotype" w:cs="Palatino Linotype"/>
          <w:bCs/>
          <w:color w:val="000000" w:themeColor="text1"/>
        </w:rPr>
        <w:t>el Sujeto Obligado no dio respuesta a la solicitud de información.</w:t>
      </w:r>
      <w:r w:rsidRPr="00584A70">
        <w:rPr>
          <w:rFonts w:ascii="Palatino Linotype" w:eastAsia="Palatino Linotype" w:hAnsi="Palatino Linotype" w:cs="Palatino Linotype"/>
          <w:b/>
          <w:bCs/>
          <w:color w:val="000000" w:themeColor="text1"/>
        </w:rPr>
        <w:t xml:space="preserve"> </w:t>
      </w:r>
    </w:p>
    <w:p w:rsidR="00AA0D2B" w:rsidRPr="00584A70" w:rsidRDefault="00AA0D2B"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232C"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El </w:t>
      </w:r>
      <w:r w:rsidR="0042232C" w:rsidRPr="00584A70">
        <w:rPr>
          <w:rFonts w:ascii="Palatino Linotype" w:eastAsia="Palatino Linotype" w:hAnsi="Palatino Linotype" w:cs="Palatino Linotype"/>
          <w:b/>
          <w:color w:val="000000" w:themeColor="text1"/>
        </w:rPr>
        <w:t>treinta de septiembre</w:t>
      </w:r>
      <w:r w:rsidRPr="00584A70">
        <w:rPr>
          <w:rFonts w:ascii="Palatino Linotype" w:eastAsia="Palatino Linotype" w:hAnsi="Palatino Linotype" w:cs="Palatino Linotype"/>
          <w:b/>
          <w:color w:val="000000" w:themeColor="text1"/>
        </w:rPr>
        <w:t xml:space="preserve"> de dos mil veinticinco,</w:t>
      </w:r>
      <w:r w:rsidRPr="00584A70">
        <w:rPr>
          <w:rFonts w:ascii="Palatino Linotype" w:eastAsia="Palatino Linotype" w:hAnsi="Palatino Linotype" w:cs="Palatino Linotype"/>
          <w:color w:val="000000" w:themeColor="text1"/>
        </w:rPr>
        <w:t xml:space="preserve"> el </w:t>
      </w:r>
      <w:r w:rsidRPr="00584A70">
        <w:rPr>
          <w:rFonts w:ascii="Palatino Linotype" w:eastAsia="Palatino Linotype" w:hAnsi="Palatino Linotype" w:cs="Palatino Linotype"/>
          <w:b/>
          <w:color w:val="000000" w:themeColor="text1"/>
        </w:rPr>
        <w:t>SUJETO OBLIGADO</w:t>
      </w:r>
      <w:r w:rsidRPr="00584A70">
        <w:rPr>
          <w:rFonts w:ascii="Palatino Linotype" w:eastAsia="Palatino Linotype" w:hAnsi="Palatino Linotype" w:cs="Palatino Linotype"/>
          <w:color w:val="000000" w:themeColor="text1"/>
        </w:rPr>
        <w:t xml:space="preserve"> dio respuesta a</w:t>
      </w:r>
      <w:r w:rsidR="0042232C" w:rsidRPr="00584A70">
        <w:rPr>
          <w:rFonts w:ascii="Palatino Linotype" w:eastAsia="Palatino Linotype" w:hAnsi="Palatino Linotype" w:cs="Palatino Linotype"/>
          <w:color w:val="000000" w:themeColor="text1"/>
        </w:rPr>
        <w:t xml:space="preserve"> las siguientes solicitudes de información y en el siguiente sentido:</w:t>
      </w:r>
    </w:p>
    <w:p w:rsidR="0042232C" w:rsidRPr="00584A70" w:rsidRDefault="0042232C"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662"/>
      </w:tblGrid>
      <w:tr w:rsidR="00584A70" w:rsidRPr="00584A70" w:rsidTr="00054675">
        <w:tc>
          <w:tcPr>
            <w:tcW w:w="3256" w:type="dxa"/>
          </w:tcPr>
          <w:p w:rsidR="0042232C" w:rsidRPr="00054675" w:rsidRDefault="0042232C" w:rsidP="00054675">
            <w:pPr>
              <w:jc w:val="center"/>
              <w:rPr>
                <w:rFonts w:ascii="Palatino Linotype" w:eastAsia="Palatino Linotype" w:hAnsi="Palatino Linotype" w:cs="Palatino Linotype"/>
                <w:b/>
                <w:color w:val="000000" w:themeColor="text1"/>
              </w:rPr>
            </w:pPr>
            <w:r w:rsidRPr="00054675">
              <w:rPr>
                <w:rFonts w:ascii="Palatino Linotype" w:eastAsia="Palatino Linotype" w:hAnsi="Palatino Linotype" w:cs="Palatino Linotype"/>
                <w:b/>
                <w:color w:val="000000" w:themeColor="text1"/>
              </w:rPr>
              <w:t>Número de Solicitud y recurso de revisión</w:t>
            </w:r>
          </w:p>
        </w:tc>
        <w:tc>
          <w:tcPr>
            <w:tcW w:w="6662" w:type="dxa"/>
          </w:tcPr>
          <w:p w:rsidR="0042232C" w:rsidRPr="00054675" w:rsidRDefault="0042232C" w:rsidP="00054675">
            <w:pPr>
              <w:jc w:val="center"/>
              <w:rPr>
                <w:rFonts w:ascii="Palatino Linotype" w:eastAsia="Palatino Linotype" w:hAnsi="Palatino Linotype" w:cs="Palatino Linotype"/>
                <w:b/>
                <w:color w:val="000000" w:themeColor="text1"/>
              </w:rPr>
            </w:pPr>
            <w:r w:rsidRPr="00054675">
              <w:rPr>
                <w:rFonts w:ascii="Palatino Linotype" w:eastAsia="Palatino Linotype" w:hAnsi="Palatino Linotype" w:cs="Palatino Linotype"/>
                <w:b/>
                <w:color w:val="000000" w:themeColor="text1"/>
              </w:rPr>
              <w:t>Respuesta</w:t>
            </w:r>
          </w:p>
        </w:tc>
      </w:tr>
      <w:tr w:rsidR="00584A70" w:rsidRPr="00584A70" w:rsidTr="00054675">
        <w:tc>
          <w:tcPr>
            <w:tcW w:w="3256" w:type="dxa"/>
          </w:tcPr>
          <w:p w:rsidR="0042232C" w:rsidRPr="00584A70" w:rsidRDefault="0042232C" w:rsidP="00584A70">
            <w:pPr>
              <w:jc w:val="both"/>
              <w:rPr>
                <w:rFonts w:ascii="Palatino Linotype" w:eastAsia="Palatino Linotype" w:hAnsi="Palatino Linotype" w:cs="Palatino Linotype"/>
                <w:b/>
                <w:color w:val="000000" w:themeColor="text1"/>
              </w:rPr>
            </w:pPr>
          </w:p>
          <w:p w:rsidR="0042232C" w:rsidRPr="00584A70" w:rsidRDefault="00B32ED9" w:rsidP="00584A70">
            <w:pPr>
              <w:jc w:val="both"/>
              <w:rPr>
                <w:rFonts w:ascii="Palatino Linotype" w:eastAsia="Palatino Linotype" w:hAnsi="Palatino Linotype" w:cs="Palatino Linotype"/>
                <w:b/>
                <w:color w:val="000000" w:themeColor="text1"/>
              </w:rPr>
            </w:pPr>
            <w:hyperlink r:id="rId8" w:history="1">
              <w:r w:rsidR="0042232C" w:rsidRPr="00584A70">
                <w:rPr>
                  <w:rStyle w:val="Hipervnculo"/>
                  <w:rFonts w:ascii="Palatino Linotype" w:eastAsia="Palatino Linotype" w:hAnsi="Palatino Linotype" w:cs="Palatino Linotype"/>
                  <w:b/>
                  <w:bCs/>
                  <w:color w:val="000000" w:themeColor="text1"/>
                  <w:u w:val="none"/>
                </w:rPr>
                <w:t>00484/TEPOTZOT/IP/2025</w:t>
              </w:r>
            </w:hyperlink>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11433/INFOEM/IP/RR/2025</w:t>
            </w:r>
          </w:p>
        </w:tc>
        <w:tc>
          <w:tcPr>
            <w:tcW w:w="6662" w:type="dxa"/>
          </w:tcPr>
          <w:p w:rsidR="00314701" w:rsidRPr="00584A70" w:rsidRDefault="0042232C" w:rsidP="00584A70">
            <w:pPr>
              <w:jc w:val="both"/>
              <w:rPr>
                <w:rFonts w:ascii="Palatino Linotype" w:hAnsi="Palatino Linotype"/>
                <w:color w:val="000000" w:themeColor="text1"/>
              </w:rPr>
            </w:pPr>
            <w:r w:rsidRPr="00584A70">
              <w:rPr>
                <w:rFonts w:ascii="Palatino Linotype" w:eastAsia="Palatino Linotype" w:hAnsi="Palatino Linotype" w:cs="Palatino Linotype"/>
                <w:color w:val="000000" w:themeColor="text1"/>
              </w:rPr>
              <w:t xml:space="preserve">Archivo </w:t>
            </w:r>
            <w:hyperlink r:id="rId9" w:tgtFrame="_blank" w:history="1">
              <w:r w:rsidRPr="00584A70">
                <w:rPr>
                  <w:rStyle w:val="Hipervnculo"/>
                  <w:rFonts w:ascii="Palatino Linotype" w:eastAsia="Calibri" w:hAnsi="Palatino Linotype" w:cs="Arial"/>
                  <w:b/>
                  <w:bCs/>
                  <w:color w:val="000000" w:themeColor="text1"/>
                </w:rPr>
                <w:t>DDYFE-806-2025.pdf</w:t>
              </w:r>
            </w:hyperlink>
            <w:r w:rsidRPr="00584A70">
              <w:rPr>
                <w:rFonts w:ascii="Palatino Linotype" w:hAnsi="Palatino Linotype"/>
                <w:color w:val="000000" w:themeColor="text1"/>
              </w:rPr>
              <w:t xml:space="preserve">, oficio número DDYFE/806/2025, suscrito por la Directora de Desarrollo Social y Fomento Económico quien señaló que derivado de la búsqueda exhaustiva en los archivos físicos </w:t>
            </w:r>
            <w:r w:rsidR="00314701" w:rsidRPr="00584A70">
              <w:rPr>
                <w:rFonts w:ascii="Palatino Linotype" w:hAnsi="Palatino Linotype"/>
                <w:color w:val="000000" w:themeColor="text1"/>
              </w:rPr>
              <w:t xml:space="preserve">y electrónicos se determinó que la información no obra en sus archivos, asimismo, señaló que en caso de ser necesario se invita a precisar y aclarar la información requerida. </w:t>
            </w:r>
          </w:p>
          <w:p w:rsidR="00314701" w:rsidRPr="00584A70" w:rsidRDefault="00314701" w:rsidP="00584A70">
            <w:pPr>
              <w:jc w:val="both"/>
              <w:rPr>
                <w:rFonts w:ascii="Palatino Linotype" w:hAnsi="Palatino Linotype"/>
                <w:color w:val="000000" w:themeColor="text1"/>
              </w:rPr>
            </w:pPr>
          </w:p>
        </w:tc>
      </w:tr>
      <w:tr w:rsidR="00584A70" w:rsidRPr="00584A70" w:rsidTr="00054675">
        <w:tc>
          <w:tcPr>
            <w:tcW w:w="3256" w:type="dxa"/>
          </w:tcPr>
          <w:p w:rsidR="0042232C" w:rsidRPr="00584A70" w:rsidRDefault="0042232C" w:rsidP="00584A70">
            <w:pPr>
              <w:jc w:val="both"/>
              <w:rPr>
                <w:rFonts w:ascii="Palatino Linotype" w:eastAsia="Palatino Linotype" w:hAnsi="Palatino Linotype" w:cs="Palatino Linotype"/>
                <w:b/>
                <w:color w:val="000000" w:themeColor="text1"/>
              </w:rPr>
            </w:pPr>
          </w:p>
          <w:p w:rsidR="0042232C" w:rsidRPr="00584A70" w:rsidRDefault="0042232C" w:rsidP="00584A70">
            <w:pPr>
              <w:jc w:val="both"/>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00485/TEPOTZOT/IP/2025</w:t>
            </w:r>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11456/INFOEM/IP/RR/2025</w:t>
            </w:r>
          </w:p>
          <w:p w:rsidR="0042232C" w:rsidRPr="00584A70" w:rsidRDefault="0042232C" w:rsidP="00584A70">
            <w:pPr>
              <w:jc w:val="both"/>
              <w:rPr>
                <w:rFonts w:ascii="Palatino Linotype" w:eastAsia="Palatino Linotype" w:hAnsi="Palatino Linotype" w:cs="Palatino Linotype"/>
                <w:b/>
                <w:color w:val="000000" w:themeColor="text1"/>
              </w:rPr>
            </w:pPr>
          </w:p>
        </w:tc>
        <w:tc>
          <w:tcPr>
            <w:tcW w:w="6662" w:type="dxa"/>
          </w:tcPr>
          <w:p w:rsidR="00314701" w:rsidRPr="00584A70" w:rsidRDefault="00314701" w:rsidP="00584A70">
            <w:pPr>
              <w:jc w:val="both"/>
              <w:rPr>
                <w:rFonts w:ascii="Palatino Linotype" w:hAnsi="Palatino Linotype"/>
                <w:color w:val="000000" w:themeColor="text1"/>
              </w:rPr>
            </w:pPr>
            <w:r w:rsidRPr="00584A70">
              <w:rPr>
                <w:rFonts w:ascii="Palatino Linotype" w:eastAsia="Palatino Linotype" w:hAnsi="Palatino Linotype" w:cs="Palatino Linotype"/>
                <w:color w:val="000000" w:themeColor="text1"/>
              </w:rPr>
              <w:t xml:space="preserve">Archivo </w:t>
            </w:r>
            <w:hyperlink r:id="rId10" w:tgtFrame="_blank" w:history="1">
              <w:r w:rsidRPr="00584A70">
                <w:rPr>
                  <w:rStyle w:val="Hipervnculo"/>
                  <w:rFonts w:ascii="Palatino Linotype" w:eastAsia="Calibri" w:hAnsi="Palatino Linotype" w:cs="Arial"/>
                  <w:b/>
                  <w:bCs/>
                  <w:color w:val="000000" w:themeColor="text1"/>
                </w:rPr>
                <w:t>DDYFE-805-2025.pdf</w:t>
              </w:r>
            </w:hyperlink>
            <w:r w:rsidRPr="00584A70">
              <w:rPr>
                <w:rFonts w:ascii="Palatino Linotype" w:hAnsi="Palatino Linotype"/>
                <w:color w:val="000000" w:themeColor="text1"/>
              </w:rPr>
              <w:t>, oficio número DDYFE/805/2025, suscrito por la Directora de Desarrollo Social y Fomento Económico quien señaló que derivado de la búsqueda exhaustiva en los archivos físicos y electrónicos se determinó que la información no obra en sus archivos, asimismo, señaló que en caso de ser necesario se invita a precisar y aclarar la información requerida.</w:t>
            </w:r>
          </w:p>
        </w:tc>
      </w:tr>
      <w:tr w:rsidR="00584A70" w:rsidRPr="00584A70" w:rsidTr="00054675">
        <w:tc>
          <w:tcPr>
            <w:tcW w:w="3256" w:type="dxa"/>
          </w:tcPr>
          <w:p w:rsidR="0042232C" w:rsidRPr="00584A70" w:rsidRDefault="0042232C" w:rsidP="00584A70">
            <w:pPr>
              <w:jc w:val="both"/>
              <w:rPr>
                <w:rFonts w:ascii="Palatino Linotype" w:eastAsia="Palatino Linotype" w:hAnsi="Palatino Linotype" w:cs="Palatino Linotype"/>
                <w:b/>
                <w:color w:val="000000" w:themeColor="text1"/>
              </w:rPr>
            </w:pPr>
          </w:p>
          <w:p w:rsidR="0042232C" w:rsidRPr="00584A70" w:rsidRDefault="0042232C" w:rsidP="00584A70">
            <w:pPr>
              <w:jc w:val="both"/>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00486/TEPOTZOT/IP/2025</w:t>
            </w:r>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11457/INFOEM/IP/RR/2025</w:t>
            </w:r>
          </w:p>
          <w:p w:rsidR="0042232C" w:rsidRPr="00584A70" w:rsidRDefault="0042232C" w:rsidP="00584A70">
            <w:pPr>
              <w:jc w:val="both"/>
              <w:rPr>
                <w:rFonts w:ascii="Palatino Linotype" w:eastAsia="Palatino Linotype" w:hAnsi="Palatino Linotype" w:cs="Palatino Linotype"/>
                <w:b/>
                <w:color w:val="000000" w:themeColor="text1"/>
              </w:rPr>
            </w:pPr>
          </w:p>
        </w:tc>
        <w:tc>
          <w:tcPr>
            <w:tcW w:w="6662" w:type="dxa"/>
          </w:tcPr>
          <w:p w:rsidR="0042232C" w:rsidRPr="00584A70" w:rsidRDefault="00314701" w:rsidP="00584A70">
            <w:pPr>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Archivo </w:t>
            </w:r>
            <w:hyperlink r:id="rId11" w:tgtFrame="_blank" w:history="1">
              <w:r w:rsidRPr="00584A70">
                <w:rPr>
                  <w:rStyle w:val="Hipervnculo"/>
                  <w:rFonts w:ascii="Palatino Linotype" w:eastAsia="Calibri" w:hAnsi="Palatino Linotype" w:cs="Arial"/>
                  <w:b/>
                  <w:bCs/>
                  <w:color w:val="000000" w:themeColor="text1"/>
                </w:rPr>
                <w:t>DDYFE-804-2025.pdf</w:t>
              </w:r>
            </w:hyperlink>
            <w:r w:rsidRPr="00584A70">
              <w:rPr>
                <w:rFonts w:ascii="Palatino Linotype" w:hAnsi="Palatino Linotype"/>
                <w:color w:val="000000" w:themeColor="text1"/>
              </w:rPr>
              <w:t xml:space="preserve">, oficio número DDYFE/804/2025, suscrito por la Directora de Desarrollo Social y Fomento Económico quien señaló que derivado de la búsqueda exhaustiva en los archivos físicos y electrónicos se determinó que la información no obra en sus archivos, </w:t>
            </w:r>
            <w:r w:rsidRPr="00584A70">
              <w:rPr>
                <w:rFonts w:ascii="Palatino Linotype" w:hAnsi="Palatino Linotype"/>
                <w:color w:val="000000" w:themeColor="text1"/>
              </w:rPr>
              <w:lastRenderedPageBreak/>
              <w:t>asimismo, señaló que en caso de ser necesario se invita a precisar y aclarar la información requerida.</w:t>
            </w:r>
          </w:p>
        </w:tc>
      </w:tr>
      <w:tr w:rsidR="00584A70" w:rsidRPr="00584A70" w:rsidTr="00054675">
        <w:tc>
          <w:tcPr>
            <w:tcW w:w="3256" w:type="dxa"/>
          </w:tcPr>
          <w:p w:rsidR="0042232C" w:rsidRPr="00584A70" w:rsidRDefault="0042232C" w:rsidP="00584A70">
            <w:pPr>
              <w:jc w:val="both"/>
              <w:rPr>
                <w:rFonts w:ascii="Palatino Linotype" w:eastAsia="Palatino Linotype" w:hAnsi="Palatino Linotype" w:cs="Palatino Linotype"/>
                <w:b/>
                <w:color w:val="000000" w:themeColor="text1"/>
              </w:rPr>
            </w:pPr>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bCs/>
                <w:color w:val="000000" w:themeColor="text1"/>
              </w:rPr>
              <w:t>00487/TEPOTZOT/IP/2025</w:t>
            </w:r>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11458/INFOEM/IP/RR/2025</w:t>
            </w:r>
          </w:p>
          <w:p w:rsidR="0042232C" w:rsidRPr="00584A70" w:rsidRDefault="0042232C" w:rsidP="00584A70">
            <w:pPr>
              <w:jc w:val="both"/>
              <w:rPr>
                <w:rFonts w:ascii="Palatino Linotype" w:eastAsia="Palatino Linotype" w:hAnsi="Palatino Linotype" w:cs="Palatino Linotype"/>
                <w:b/>
                <w:color w:val="000000" w:themeColor="text1"/>
              </w:rPr>
            </w:pPr>
          </w:p>
        </w:tc>
        <w:tc>
          <w:tcPr>
            <w:tcW w:w="6662" w:type="dxa"/>
          </w:tcPr>
          <w:p w:rsidR="0042232C" w:rsidRPr="00584A70" w:rsidRDefault="00314701" w:rsidP="00584A70">
            <w:pPr>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Archivo </w:t>
            </w:r>
            <w:hyperlink r:id="rId12" w:tgtFrame="_blank" w:history="1">
              <w:r w:rsidRPr="00584A70">
                <w:rPr>
                  <w:rStyle w:val="Hipervnculo"/>
                  <w:rFonts w:ascii="Palatino Linotype" w:eastAsia="Calibri" w:hAnsi="Palatino Linotype" w:cs="Arial"/>
                  <w:b/>
                  <w:bCs/>
                  <w:color w:val="000000" w:themeColor="text1"/>
                </w:rPr>
                <w:t>DDYFE-803-2025.pdf</w:t>
              </w:r>
            </w:hyperlink>
            <w:r w:rsidRPr="00584A70">
              <w:rPr>
                <w:rFonts w:ascii="Palatino Linotype" w:hAnsi="Palatino Linotype"/>
                <w:color w:val="000000" w:themeColor="text1"/>
              </w:rPr>
              <w:t>, oficio número DDYFE/803/2025, suscrito por la Directora de Desarrollo Social y Fomento Económico quien señaló que derivado de la búsqueda exhaustiva en los archivos físicos y electrónicos se determinó que la información no obra en sus archivos, asimismo, señaló que en caso de ser necesario se invita a precisar y aclarar la información requerida.</w:t>
            </w:r>
          </w:p>
        </w:tc>
      </w:tr>
      <w:tr w:rsidR="00584A70" w:rsidRPr="00584A70" w:rsidTr="00054675">
        <w:tc>
          <w:tcPr>
            <w:tcW w:w="3256" w:type="dxa"/>
          </w:tcPr>
          <w:p w:rsidR="0042232C" w:rsidRPr="00584A70" w:rsidRDefault="0042232C" w:rsidP="00584A70">
            <w:pPr>
              <w:jc w:val="both"/>
              <w:rPr>
                <w:rFonts w:ascii="Palatino Linotype" w:eastAsia="Palatino Linotype" w:hAnsi="Palatino Linotype" w:cs="Palatino Linotype"/>
                <w:b/>
                <w:color w:val="000000" w:themeColor="text1"/>
              </w:rPr>
            </w:pPr>
          </w:p>
          <w:p w:rsidR="0042232C" w:rsidRPr="00584A70" w:rsidRDefault="0042232C" w:rsidP="00584A70">
            <w:pPr>
              <w:jc w:val="both"/>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00488/TEPOTZOT/IP/2025</w:t>
            </w:r>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11459/INFOEM/IP/RR/2025</w:t>
            </w:r>
          </w:p>
          <w:p w:rsidR="0042232C" w:rsidRPr="00584A70" w:rsidRDefault="0042232C" w:rsidP="00584A70">
            <w:pPr>
              <w:jc w:val="both"/>
              <w:rPr>
                <w:rFonts w:ascii="Palatino Linotype" w:eastAsia="Palatino Linotype" w:hAnsi="Palatino Linotype" w:cs="Palatino Linotype"/>
                <w:b/>
                <w:color w:val="000000" w:themeColor="text1"/>
              </w:rPr>
            </w:pPr>
          </w:p>
        </w:tc>
        <w:tc>
          <w:tcPr>
            <w:tcW w:w="6662" w:type="dxa"/>
          </w:tcPr>
          <w:p w:rsidR="0042232C" w:rsidRPr="00584A70" w:rsidRDefault="00314701" w:rsidP="00584A70">
            <w:pPr>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Archivo </w:t>
            </w:r>
            <w:hyperlink r:id="rId13" w:tgtFrame="_blank" w:history="1">
              <w:r w:rsidRPr="00584A70">
                <w:rPr>
                  <w:rStyle w:val="Hipervnculo"/>
                  <w:rFonts w:ascii="Palatino Linotype" w:eastAsia="Calibri" w:hAnsi="Palatino Linotype" w:cs="Arial"/>
                  <w:b/>
                  <w:bCs/>
                  <w:color w:val="000000" w:themeColor="text1"/>
                </w:rPr>
                <w:t>DDYFE-802-2025.pdf</w:t>
              </w:r>
            </w:hyperlink>
            <w:r w:rsidRPr="00584A70">
              <w:rPr>
                <w:rFonts w:ascii="Palatino Linotype" w:hAnsi="Palatino Linotype"/>
                <w:color w:val="000000" w:themeColor="text1"/>
              </w:rPr>
              <w:t>, oficio número DDYFE/802/2025, suscrito por la Directora de Desarrollo Social y Fomento Económico quien señaló que derivado de la búsqueda exhaustiva en los archivos físicos y electrónicos se determinó que la información no obra en sus archivos, asimismo, señaló que en caso de ser necesario se invita a precisar y aclarar la información requerida.</w:t>
            </w:r>
          </w:p>
        </w:tc>
      </w:tr>
      <w:tr w:rsidR="00584A70" w:rsidRPr="00584A70" w:rsidTr="00054675">
        <w:tc>
          <w:tcPr>
            <w:tcW w:w="3256" w:type="dxa"/>
          </w:tcPr>
          <w:p w:rsidR="0042232C" w:rsidRPr="00584A70" w:rsidRDefault="0042232C" w:rsidP="00584A70">
            <w:pPr>
              <w:jc w:val="both"/>
              <w:rPr>
                <w:rFonts w:ascii="Palatino Linotype" w:eastAsia="Palatino Linotype" w:hAnsi="Palatino Linotype" w:cs="Palatino Linotype"/>
                <w:b/>
                <w:color w:val="000000" w:themeColor="text1"/>
              </w:rPr>
            </w:pPr>
          </w:p>
          <w:p w:rsidR="0042232C" w:rsidRPr="00584A70" w:rsidRDefault="0042232C" w:rsidP="00584A70">
            <w:pPr>
              <w:jc w:val="both"/>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00489/TEPOTZOT/IP/2025</w:t>
            </w:r>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11460/INFOEM/IP/RR/2025</w:t>
            </w:r>
          </w:p>
          <w:p w:rsidR="0042232C" w:rsidRPr="00584A70" w:rsidRDefault="0042232C" w:rsidP="00584A70">
            <w:pPr>
              <w:jc w:val="both"/>
              <w:rPr>
                <w:rFonts w:ascii="Palatino Linotype" w:eastAsia="Palatino Linotype" w:hAnsi="Palatino Linotype" w:cs="Palatino Linotype"/>
                <w:b/>
                <w:color w:val="000000" w:themeColor="text1"/>
              </w:rPr>
            </w:pPr>
          </w:p>
        </w:tc>
        <w:tc>
          <w:tcPr>
            <w:tcW w:w="6662" w:type="dxa"/>
          </w:tcPr>
          <w:p w:rsidR="0042232C" w:rsidRPr="00584A70" w:rsidRDefault="00314701" w:rsidP="00584A70">
            <w:pPr>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Archivo </w:t>
            </w:r>
            <w:hyperlink r:id="rId14" w:tgtFrame="_blank" w:history="1">
              <w:r w:rsidRPr="00584A70">
                <w:rPr>
                  <w:rStyle w:val="Hipervnculo"/>
                  <w:rFonts w:ascii="Palatino Linotype" w:eastAsia="Calibri" w:hAnsi="Palatino Linotype" w:cs="Arial"/>
                  <w:b/>
                  <w:bCs/>
                  <w:color w:val="000000" w:themeColor="text1"/>
                </w:rPr>
                <w:t>DDYFE-801-2025.pdf</w:t>
              </w:r>
            </w:hyperlink>
            <w:r w:rsidRPr="00584A70">
              <w:rPr>
                <w:rFonts w:ascii="Palatino Linotype" w:hAnsi="Palatino Linotype"/>
                <w:color w:val="000000" w:themeColor="text1"/>
              </w:rPr>
              <w:t>, oficio número DDYFE/801/2025, suscrito por la Directora de Desarrollo Social y Fomento Económico quien señaló que derivado de la búsqueda exhaustiva en los archivos físicos y electrónicos se determinó que la información no obra en sus archivos, asimismo, señaló que en caso de ser necesario se invita a precisar y aclarar la información requerida.</w:t>
            </w:r>
          </w:p>
        </w:tc>
      </w:tr>
      <w:tr w:rsidR="00584A70" w:rsidRPr="00584A70" w:rsidTr="00054675">
        <w:tc>
          <w:tcPr>
            <w:tcW w:w="3256" w:type="dxa"/>
          </w:tcPr>
          <w:p w:rsidR="0042232C" w:rsidRPr="00584A70" w:rsidRDefault="0042232C" w:rsidP="00584A70">
            <w:pPr>
              <w:jc w:val="both"/>
              <w:rPr>
                <w:rFonts w:ascii="Palatino Linotype" w:eastAsia="Palatino Linotype" w:hAnsi="Palatino Linotype" w:cs="Palatino Linotype"/>
                <w:b/>
                <w:color w:val="000000" w:themeColor="text1"/>
              </w:rPr>
            </w:pPr>
          </w:p>
          <w:p w:rsidR="0042232C" w:rsidRPr="00584A70" w:rsidRDefault="0042232C" w:rsidP="00584A70">
            <w:pPr>
              <w:jc w:val="both"/>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00490/TEPOTZOT/IP/2025</w:t>
            </w:r>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11461/INFOEM/IP/RR/2025</w:t>
            </w:r>
          </w:p>
          <w:p w:rsidR="0042232C" w:rsidRPr="00584A70" w:rsidRDefault="0042232C" w:rsidP="00584A70">
            <w:pPr>
              <w:jc w:val="both"/>
              <w:rPr>
                <w:rFonts w:ascii="Palatino Linotype" w:eastAsia="Palatino Linotype" w:hAnsi="Palatino Linotype" w:cs="Palatino Linotype"/>
                <w:b/>
                <w:color w:val="000000" w:themeColor="text1"/>
              </w:rPr>
            </w:pPr>
          </w:p>
        </w:tc>
        <w:tc>
          <w:tcPr>
            <w:tcW w:w="6662" w:type="dxa"/>
          </w:tcPr>
          <w:p w:rsidR="0042232C" w:rsidRPr="00584A70" w:rsidRDefault="00314701" w:rsidP="00584A70">
            <w:pPr>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Archivo </w:t>
            </w:r>
            <w:hyperlink r:id="rId15" w:tgtFrame="_blank" w:history="1">
              <w:r w:rsidRPr="00584A70">
                <w:rPr>
                  <w:rStyle w:val="Hipervnculo"/>
                  <w:rFonts w:ascii="Palatino Linotype" w:eastAsia="Calibri" w:hAnsi="Palatino Linotype" w:cs="Arial"/>
                  <w:b/>
                  <w:bCs/>
                  <w:color w:val="000000" w:themeColor="text1"/>
                </w:rPr>
                <w:t>DDYFE-800-2025.pdf</w:t>
              </w:r>
            </w:hyperlink>
            <w:r w:rsidRPr="00584A70">
              <w:rPr>
                <w:rFonts w:ascii="Palatino Linotype" w:hAnsi="Palatino Linotype"/>
                <w:color w:val="000000" w:themeColor="text1"/>
              </w:rPr>
              <w:t>, oficio número DDYFE/800/2025, suscrito por la Directora de Desarrollo Social y Fomento Económico quien señaló que derivado de la búsqueda exhaustiva en los archivos físicos y electrónicos se determinó que la información no obra en sus archivos, asimismo, señaló que en caso de ser necesario se invita a precisar y aclarar la información requerida.</w:t>
            </w:r>
          </w:p>
        </w:tc>
      </w:tr>
      <w:tr w:rsidR="0042232C" w:rsidRPr="00584A70" w:rsidTr="00054675">
        <w:tc>
          <w:tcPr>
            <w:tcW w:w="3256" w:type="dxa"/>
          </w:tcPr>
          <w:p w:rsidR="0042232C" w:rsidRPr="00584A70" w:rsidRDefault="0042232C" w:rsidP="00584A70">
            <w:pPr>
              <w:jc w:val="both"/>
              <w:rPr>
                <w:rFonts w:ascii="Palatino Linotype" w:eastAsia="Palatino Linotype" w:hAnsi="Palatino Linotype" w:cs="Palatino Linotype"/>
                <w:b/>
                <w:color w:val="000000" w:themeColor="text1"/>
              </w:rPr>
            </w:pPr>
          </w:p>
          <w:p w:rsidR="0042232C" w:rsidRPr="00584A70" w:rsidRDefault="0042232C" w:rsidP="00584A70">
            <w:pPr>
              <w:jc w:val="both"/>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b/>
                <w:bCs/>
                <w:color w:val="000000" w:themeColor="text1"/>
              </w:rPr>
              <w:t>00491/TEPOTZOT/IP/2025</w:t>
            </w:r>
          </w:p>
          <w:p w:rsidR="0042232C" w:rsidRPr="00584A70" w:rsidRDefault="0042232C" w:rsidP="00584A70">
            <w:pPr>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11462/INFOEM/IP/RR/2025</w:t>
            </w:r>
          </w:p>
          <w:p w:rsidR="0042232C" w:rsidRPr="00584A70" w:rsidRDefault="0042232C" w:rsidP="00584A70">
            <w:pPr>
              <w:jc w:val="both"/>
              <w:rPr>
                <w:rFonts w:ascii="Palatino Linotype" w:eastAsia="Palatino Linotype" w:hAnsi="Palatino Linotype" w:cs="Palatino Linotype"/>
                <w:b/>
                <w:color w:val="000000" w:themeColor="text1"/>
              </w:rPr>
            </w:pPr>
          </w:p>
        </w:tc>
        <w:tc>
          <w:tcPr>
            <w:tcW w:w="6662" w:type="dxa"/>
          </w:tcPr>
          <w:p w:rsidR="0042232C" w:rsidRPr="00584A70" w:rsidRDefault="00314701" w:rsidP="00584A70">
            <w:pPr>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color w:val="000000" w:themeColor="text1"/>
              </w:rPr>
              <w:t xml:space="preserve">Archivo </w:t>
            </w:r>
            <w:hyperlink r:id="rId16" w:tgtFrame="_blank" w:history="1">
              <w:r w:rsidRPr="00584A70">
                <w:rPr>
                  <w:rStyle w:val="Hipervnculo"/>
                  <w:rFonts w:ascii="Palatino Linotype" w:eastAsia="Calibri" w:hAnsi="Palatino Linotype" w:cs="Arial"/>
                  <w:b/>
                  <w:bCs/>
                  <w:color w:val="000000" w:themeColor="text1"/>
                </w:rPr>
                <w:t>DDYFE-799-2025.pdf</w:t>
              </w:r>
            </w:hyperlink>
            <w:r w:rsidRPr="00584A70">
              <w:rPr>
                <w:rFonts w:ascii="Palatino Linotype" w:hAnsi="Palatino Linotype"/>
                <w:color w:val="000000" w:themeColor="text1"/>
              </w:rPr>
              <w:t xml:space="preserve">, oficio número DDYFE/799/2025, suscrito por la Directora de Desarrollo Social y Fomento Económico quien señaló que derivado de la búsqueda exhaustiva en los archivos físicos y electrónicos se </w:t>
            </w:r>
            <w:r w:rsidRPr="00584A70">
              <w:rPr>
                <w:rFonts w:ascii="Palatino Linotype" w:hAnsi="Palatino Linotype"/>
                <w:color w:val="000000" w:themeColor="text1"/>
              </w:rPr>
              <w:lastRenderedPageBreak/>
              <w:t>determinó que la información no obra en sus archivos, asimismo, señaló que en caso de ser necesario se invita a precisar y aclarar la información requerida.</w:t>
            </w:r>
          </w:p>
        </w:tc>
      </w:tr>
    </w:tbl>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3" w:name="_heading=h.30j0zll" w:colFirst="0" w:colLast="0"/>
      <w:bookmarkEnd w:id="3"/>
      <w:r w:rsidRPr="00584A70">
        <w:rPr>
          <w:rFonts w:ascii="Palatino Linotype" w:eastAsia="Palatino Linotype" w:hAnsi="Palatino Linotype" w:cs="Palatino Linotype"/>
          <w:color w:val="000000" w:themeColor="text1"/>
        </w:rPr>
        <w:t xml:space="preserve">El </w:t>
      </w:r>
      <w:r w:rsidR="00314701" w:rsidRPr="00584A70">
        <w:rPr>
          <w:rFonts w:ascii="Palatino Linotype" w:eastAsia="Palatino Linotype" w:hAnsi="Palatino Linotype" w:cs="Palatino Linotype"/>
          <w:b/>
          <w:color w:val="000000" w:themeColor="text1"/>
        </w:rPr>
        <w:t xml:space="preserve">cuatro </w:t>
      </w:r>
      <w:r w:rsidR="0075247C" w:rsidRPr="00584A70">
        <w:rPr>
          <w:rFonts w:ascii="Palatino Linotype" w:eastAsia="Palatino Linotype" w:hAnsi="Palatino Linotype" w:cs="Palatino Linotype"/>
          <w:b/>
          <w:color w:val="000000" w:themeColor="text1"/>
        </w:rPr>
        <w:t xml:space="preserve">y seis </w:t>
      </w:r>
      <w:r w:rsidR="00314701" w:rsidRPr="00584A70">
        <w:rPr>
          <w:rFonts w:ascii="Palatino Linotype" w:eastAsia="Palatino Linotype" w:hAnsi="Palatino Linotype" w:cs="Palatino Linotype"/>
          <w:b/>
          <w:color w:val="000000" w:themeColor="text1"/>
        </w:rPr>
        <w:t>de octubre</w:t>
      </w:r>
      <w:r w:rsidRPr="00584A70">
        <w:rPr>
          <w:rFonts w:ascii="Palatino Linotype" w:eastAsia="Palatino Linotype" w:hAnsi="Palatino Linotype" w:cs="Palatino Linotype"/>
          <w:b/>
          <w:color w:val="000000" w:themeColor="text1"/>
        </w:rPr>
        <w:t xml:space="preserve"> de dos mil veinticinco</w:t>
      </w:r>
      <w:r w:rsidRPr="00584A70">
        <w:rPr>
          <w:rFonts w:ascii="Palatino Linotype" w:eastAsia="Palatino Linotype" w:hAnsi="Palatino Linotype" w:cs="Palatino Linotype"/>
          <w:color w:val="000000" w:themeColor="text1"/>
        </w:rPr>
        <w:t xml:space="preserve">, </w:t>
      </w:r>
      <w:r w:rsidRPr="00584A70">
        <w:rPr>
          <w:rFonts w:ascii="Palatino Linotype" w:eastAsia="Palatino Linotype" w:hAnsi="Palatino Linotype" w:cs="Palatino Linotype"/>
          <w:b/>
          <w:color w:val="000000" w:themeColor="text1"/>
        </w:rPr>
        <w:t>EL RECURRENTE</w:t>
      </w:r>
      <w:r w:rsidRPr="00584A70">
        <w:rPr>
          <w:rFonts w:ascii="Palatino Linotype" w:eastAsia="Palatino Linotype" w:hAnsi="Palatino Linotype" w:cs="Palatino Linotype"/>
          <w:color w:val="000000" w:themeColor="text1"/>
        </w:rPr>
        <w:t xml:space="preserve"> interpuso el recurso de revisión, en contra de la respuesta y señaló como para todos los recursos de revisión:</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11433/INFOEM/IP/RR/2025</w:t>
      </w:r>
    </w:p>
    <w:p w:rsidR="006F5E3A"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6F5E3A" w:rsidRPr="00584A70">
        <w:rPr>
          <w:rFonts w:ascii="Palatino Linotype" w:eastAsia="Palatino Linotype" w:hAnsi="Palatino Linotype" w:cs="Palatino Linotype"/>
          <w:b/>
          <w:color w:val="000000" w:themeColor="text1"/>
        </w:rPr>
        <w:t xml:space="preserve">: </w:t>
      </w:r>
      <w:r w:rsidR="006F5E3A" w:rsidRPr="00584A70">
        <w:rPr>
          <w:rFonts w:ascii="Palatino Linotype" w:eastAsia="Palatino Linotype" w:hAnsi="Palatino Linotype" w:cs="Palatino Linotype"/>
          <w:i/>
          <w:color w:val="000000" w:themeColor="text1"/>
        </w:rPr>
        <w:t>“</w:t>
      </w:r>
      <w:r w:rsidR="00314701" w:rsidRPr="00584A70">
        <w:rPr>
          <w:rFonts w:ascii="Palatino Linotype" w:eastAsia="Palatino Linotype" w:hAnsi="Palatino Linotype" w:cs="Palatino Linotype"/>
          <w:i/>
          <w:color w:val="000000" w:themeColor="text1"/>
        </w:rPr>
        <w:t>La respuesta en la que niegan la información</w:t>
      </w:r>
      <w:r w:rsidR="006F5E3A" w:rsidRPr="00584A70">
        <w:rPr>
          <w:rFonts w:ascii="Palatino Linotype" w:eastAsia="Palatino Linotype" w:hAnsi="Palatino Linotype" w:cs="Palatino Linotype"/>
          <w:i/>
          <w:color w:val="000000" w:themeColor="text1"/>
        </w:rPr>
        <w:t>” (sic)</w:t>
      </w:r>
    </w:p>
    <w:p w:rsidR="006F5E3A"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 xml:space="preserve">MOTIVOS O RAZONES DE INCONFORMIDAD: </w:t>
      </w:r>
      <w:r w:rsidR="006F5E3A" w:rsidRPr="00584A70">
        <w:rPr>
          <w:rFonts w:ascii="Palatino Linotype" w:eastAsia="Palatino Linotype" w:hAnsi="Palatino Linotype" w:cs="Palatino Linotype"/>
          <w:b/>
          <w:color w:val="000000" w:themeColor="text1"/>
        </w:rPr>
        <w:t>“</w:t>
      </w:r>
      <w:r w:rsidR="00314701" w:rsidRPr="00584A70">
        <w:rPr>
          <w:rFonts w:ascii="Palatino Linotype" w:eastAsia="Palatino Linotype" w:hAnsi="Palatino Linotype" w:cs="Palatino Linotype"/>
          <w:i/>
          <w:color w:val="000000" w:themeColor="text1"/>
        </w:rPr>
        <w:t>Es increíble que a una persona a la que el pueblo de Tepotzotlán le pago las colegiaturas para que cursara la maestría vergonzosamente no tenga capacidad lectora suficiente para comprender el contenido de la solicitud de información, pues además de que niega la información, dice que no la tiene, y posteriormente solicita que si es necesario aclare la solicitud de información, cuando la solicitud es bastante clara y solo pone en evidencia que Andrea Cervantes Omaña no tiene la capacidad para desempeñar el cargo que el regalaron por andar regalando volantes durante de la campaña de la actual presidenta. Es lógico que quien utiliza la vía publica para ejercer el comercio deben realizar un pago y para ello debe existir un permiso y un recibo de pago oficial de por medio, de no ser así, sería evidente la corrupción con la que están actuando.</w:t>
      </w:r>
      <w:r w:rsidR="006F5E3A" w:rsidRPr="00584A70">
        <w:rPr>
          <w:rFonts w:ascii="Palatino Linotype" w:eastAsia="Palatino Linotype" w:hAnsi="Palatino Linotype" w:cs="Palatino Linotype"/>
          <w:b/>
          <w:color w:val="000000" w:themeColor="text1"/>
        </w:rPr>
        <w:t>”</w:t>
      </w:r>
      <w:r w:rsidR="006F5E3A" w:rsidRPr="00584A70">
        <w:rPr>
          <w:rFonts w:ascii="Palatino Linotype" w:eastAsia="Palatino Linotype" w:hAnsi="Palatino Linotype" w:cs="Palatino Linotype"/>
          <w:i/>
          <w:color w:val="000000" w:themeColor="text1"/>
        </w:rPr>
        <w:t xml:space="preserve"> (sic)</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11451/INFOEM/IP/RR/2025, 11452/INFOEM/IP/RR/2025, 11454/INFOEM/IP/RR/2025 Y 11455/INFOEM/IP/RR/2025:</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“La falta de respuesta a una solicitud de acceso a la información” (sic)</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lastRenderedPageBreak/>
        <w:t>MOTIVOS O RAZONES DE INCONFORMIDAD</w:t>
      </w:r>
      <w:r w:rsidR="0075247C" w:rsidRPr="00584A70">
        <w:rPr>
          <w:rFonts w:ascii="Palatino Linotype" w:eastAsia="Palatino Linotype" w:hAnsi="Palatino Linotype" w:cs="Palatino Linotype"/>
          <w:b/>
          <w:color w:val="000000" w:themeColor="text1"/>
        </w:rPr>
        <w:t>: “</w:t>
      </w:r>
      <w:r w:rsidR="0075247C" w:rsidRPr="00584A70">
        <w:rPr>
          <w:rFonts w:ascii="Palatino Linotype" w:eastAsia="Palatino Linotype" w:hAnsi="Palatino Linotype" w:cs="Palatino Linotype"/>
          <w:i/>
          <w:color w:val="000000" w:themeColor="text1"/>
        </w:rPr>
        <w:t>La falta de respuesta a una solicitud de acceso a la información</w:t>
      </w:r>
      <w:r w:rsidR="0075247C" w:rsidRPr="00584A70">
        <w:rPr>
          <w:rFonts w:ascii="Palatino Linotype" w:eastAsia="Palatino Linotype" w:hAnsi="Palatino Linotype" w:cs="Palatino Linotype"/>
          <w:b/>
          <w:color w:val="000000" w:themeColor="text1"/>
        </w:rPr>
        <w:t>”</w:t>
      </w:r>
      <w:r w:rsidR="0075247C" w:rsidRPr="00584A70">
        <w:rPr>
          <w:rFonts w:ascii="Palatino Linotype" w:eastAsia="Palatino Linotype" w:hAnsi="Palatino Linotype" w:cs="Palatino Linotype"/>
          <w:i/>
          <w:color w:val="000000" w:themeColor="text1"/>
        </w:rPr>
        <w:t xml:space="preserve"> (sic)</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11456/INFOEM/IP/RR/2025:</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“La negativa de dar la información” (sic)</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MOTIVOS O RAZONES DE INCONFORMIDAD</w:t>
      </w:r>
      <w:r w:rsidR="0075247C" w:rsidRPr="00584A70">
        <w:rPr>
          <w:rFonts w:ascii="Palatino Linotype" w:eastAsia="Palatino Linotype" w:hAnsi="Palatino Linotype" w:cs="Palatino Linotype"/>
          <w:b/>
          <w:color w:val="000000" w:themeColor="text1"/>
        </w:rPr>
        <w:t>: “</w:t>
      </w:r>
      <w:r w:rsidR="0075247C" w:rsidRPr="00584A70">
        <w:rPr>
          <w:rFonts w:ascii="Palatino Linotype" w:eastAsia="Palatino Linotype" w:hAnsi="Palatino Linotype" w:cs="Palatino Linotype"/>
          <w:i/>
          <w:color w:val="000000" w:themeColor="text1"/>
        </w:rPr>
        <w:t>No es posible que no tenga la información el área encargada de regular las actividades comerciales en el municipio, y además, que diga que no existe la información que es su obligación recaudar esos pagos, entonces, si no entrar al erario municipal, y los comerciantes están en la vía pública, significa que lo que los comerciantes pagan no entra a la caja del municipio y sería un acto de corrupción, además, es ilógico que diga Andrea Cervantes Omaña que no existe la información y luego incongruentemente solicite que si es necesario aclare la solicitud de información, dando a notar que ni siquiera tiene la capacidad para comprender lo que se le solicita en cambio en automático niega la información.</w:t>
      </w:r>
      <w:r w:rsidR="0075247C" w:rsidRPr="00584A70">
        <w:rPr>
          <w:rFonts w:ascii="Palatino Linotype" w:eastAsia="Palatino Linotype" w:hAnsi="Palatino Linotype" w:cs="Palatino Linotype"/>
          <w:b/>
          <w:color w:val="000000" w:themeColor="text1"/>
        </w:rPr>
        <w:t>”</w:t>
      </w:r>
      <w:r w:rsidR="0075247C" w:rsidRPr="00584A70">
        <w:rPr>
          <w:rFonts w:ascii="Palatino Linotype" w:eastAsia="Palatino Linotype" w:hAnsi="Palatino Linotype" w:cs="Palatino Linotype"/>
          <w:i/>
          <w:color w:val="000000" w:themeColor="text1"/>
        </w:rPr>
        <w:t xml:space="preserve"> (sic)</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11457/INFOEM/IP/RR/2025:</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“Niegan la información bajo dos pretextos: 1, que no tienen la información solicitada aun y cuando está dentro de las funciones de la dirección de desarrollo económico regular la actividad comercial y cobrar por el uso de vías públicas para ejercer el comercio, y 2, diciendo que es necesario aclarar la solicitud de información dado que Andrea Cervantes Omaña no comprende cual es la información que se le solicitó.” (sic)</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MOTIVOS O RAZONES DE INCONFORMIDAD</w:t>
      </w:r>
      <w:r w:rsidR="0075247C" w:rsidRPr="00584A70">
        <w:rPr>
          <w:rFonts w:ascii="Palatino Linotype" w:eastAsia="Palatino Linotype" w:hAnsi="Palatino Linotype" w:cs="Palatino Linotype"/>
          <w:b/>
          <w:color w:val="000000" w:themeColor="text1"/>
        </w:rPr>
        <w:t>: “</w:t>
      </w:r>
      <w:r w:rsidR="0075247C" w:rsidRPr="00584A70">
        <w:rPr>
          <w:rFonts w:ascii="Palatino Linotype" w:eastAsia="Palatino Linotype" w:hAnsi="Palatino Linotype" w:cs="Palatino Linotype"/>
          <w:i/>
          <w:color w:val="000000" w:themeColor="text1"/>
        </w:rPr>
        <w:t>Niegan la información diciendo que no existe pero están dentro de sus funciones el emitir los permisos y cobrar para que se ejerza el comercio en la vía pública.</w:t>
      </w:r>
      <w:r w:rsidR="0075247C" w:rsidRPr="00584A70">
        <w:rPr>
          <w:rFonts w:ascii="Palatino Linotype" w:eastAsia="Palatino Linotype" w:hAnsi="Palatino Linotype" w:cs="Palatino Linotype"/>
          <w:b/>
          <w:color w:val="000000" w:themeColor="text1"/>
        </w:rPr>
        <w:t>”</w:t>
      </w:r>
      <w:r w:rsidR="0075247C" w:rsidRPr="00584A70">
        <w:rPr>
          <w:rFonts w:ascii="Palatino Linotype" w:eastAsia="Palatino Linotype" w:hAnsi="Palatino Linotype" w:cs="Palatino Linotype"/>
          <w:i/>
          <w:color w:val="000000" w:themeColor="text1"/>
        </w:rPr>
        <w:t xml:space="preserve"> (sic)</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lastRenderedPageBreak/>
        <w:t>11458/INFOEM/IP/RR/2025:</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“Niegan la información bajo dos pretextos: 1, que no tienen la información solicitada aun y cuando está dentro de las funciones de la dirección de desarrollo económico regular la actividad comercial y cobrar por el uso de vías públicas para ejercer el comercio, y 2, diciendo que es necesario aclarar la solicitud de información dado que Andrea Cervantes Omaña no comprende cual es la información que se le solicitó.” (sic)</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MOTIVOS O RAZONES DE INCONFORMIDAD</w:t>
      </w:r>
      <w:r w:rsidR="0075247C" w:rsidRPr="00584A70">
        <w:rPr>
          <w:rFonts w:ascii="Palatino Linotype" w:eastAsia="Palatino Linotype" w:hAnsi="Palatino Linotype" w:cs="Palatino Linotype"/>
          <w:b/>
          <w:color w:val="000000" w:themeColor="text1"/>
        </w:rPr>
        <w:t>: “</w:t>
      </w:r>
      <w:r w:rsidR="0075247C" w:rsidRPr="00584A70">
        <w:rPr>
          <w:rFonts w:ascii="Palatino Linotype" w:eastAsia="Palatino Linotype" w:hAnsi="Palatino Linotype" w:cs="Palatino Linotype"/>
          <w:i/>
          <w:color w:val="000000" w:themeColor="text1"/>
        </w:rPr>
        <w:t>Niegan la información bajo argumentos absurdos</w:t>
      </w:r>
      <w:r w:rsidR="0075247C" w:rsidRPr="00584A70">
        <w:rPr>
          <w:rFonts w:ascii="Palatino Linotype" w:eastAsia="Palatino Linotype" w:hAnsi="Palatino Linotype" w:cs="Palatino Linotype"/>
          <w:b/>
          <w:color w:val="000000" w:themeColor="text1"/>
        </w:rPr>
        <w:t>”</w:t>
      </w:r>
      <w:r w:rsidR="0075247C" w:rsidRPr="00584A70">
        <w:rPr>
          <w:rFonts w:ascii="Palatino Linotype" w:eastAsia="Palatino Linotype" w:hAnsi="Palatino Linotype" w:cs="Palatino Linotype"/>
          <w:i/>
          <w:color w:val="000000" w:themeColor="text1"/>
        </w:rPr>
        <w:t xml:space="preserve"> (sic)</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11459/INFOEM/IP/RR/2025:</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“Niegan la información bajo dos pretextos: primero dice, que no tienen la información solicitada aun y cuando está dentro de las funciones de la dirección de desarrollo económico regular la actividad comercial y cobrar por el uso de vías públicas para ejercer el comercio, y después refiere, que es necesario aclarar la solicitud de información dado que Andrea Cervantes Omaña no comprende cual es la información que se le solicitó.” (sic)</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MOTIVOS O RAZONES DE INCONFORMIDAD:</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La respuesta con la que niegan la información es visiblemente incongruente y contradictoria.</w:t>
      </w:r>
      <w:r w:rsidR="0075247C" w:rsidRPr="00584A70">
        <w:rPr>
          <w:rFonts w:ascii="Palatino Linotype" w:eastAsia="Palatino Linotype" w:hAnsi="Palatino Linotype" w:cs="Palatino Linotype"/>
          <w:b/>
          <w:color w:val="000000" w:themeColor="text1"/>
        </w:rPr>
        <w:t>”</w:t>
      </w:r>
      <w:r w:rsidR="0075247C" w:rsidRPr="00584A70">
        <w:rPr>
          <w:rFonts w:ascii="Palatino Linotype" w:eastAsia="Palatino Linotype" w:hAnsi="Palatino Linotype" w:cs="Palatino Linotype"/>
          <w:i/>
          <w:color w:val="000000" w:themeColor="text1"/>
        </w:rPr>
        <w:t xml:space="preserve"> (sic)</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11460/INFOEM/IP/RR/2025:</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 xml:space="preserve">“Niegan la información bajo dos pretextos: uno, que no tienen la información solicitada aun y cuando está dentro de las funciones de la dirección de desarrollo económico regular la actividad comercial y cobrar por el uso de vías públicas para ejercer el comercio, y dos, diciendo </w:t>
      </w:r>
      <w:r w:rsidR="0075247C" w:rsidRPr="00584A70">
        <w:rPr>
          <w:rFonts w:ascii="Palatino Linotype" w:eastAsia="Palatino Linotype" w:hAnsi="Palatino Linotype" w:cs="Palatino Linotype"/>
          <w:i/>
          <w:color w:val="000000" w:themeColor="text1"/>
        </w:rPr>
        <w:lastRenderedPageBreak/>
        <w:t>que es necesario aclarar la solicitud de información dado que Andrea Cervantes Omaña no comprende cual es la información que se le solicitó.” (sic)</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MOTIVOS O RAZONES DE INCONFORMIDAD</w:t>
      </w:r>
      <w:r w:rsidR="0075247C" w:rsidRPr="00584A70">
        <w:rPr>
          <w:rFonts w:ascii="Palatino Linotype" w:eastAsia="Palatino Linotype" w:hAnsi="Palatino Linotype" w:cs="Palatino Linotype"/>
          <w:b/>
          <w:color w:val="000000" w:themeColor="text1"/>
        </w:rPr>
        <w:t>: “</w:t>
      </w:r>
      <w:r w:rsidR="0075247C" w:rsidRPr="00584A70">
        <w:rPr>
          <w:rFonts w:ascii="Palatino Linotype" w:eastAsia="Palatino Linotype" w:hAnsi="Palatino Linotype" w:cs="Palatino Linotype"/>
          <w:i/>
          <w:color w:val="000000" w:themeColor="text1"/>
        </w:rPr>
        <w:t>Niegan la información con argumentos ilógicos.</w:t>
      </w:r>
      <w:r w:rsidR="0075247C" w:rsidRPr="00584A70">
        <w:rPr>
          <w:rFonts w:ascii="Palatino Linotype" w:eastAsia="Palatino Linotype" w:hAnsi="Palatino Linotype" w:cs="Palatino Linotype"/>
          <w:b/>
          <w:color w:val="000000" w:themeColor="text1"/>
        </w:rPr>
        <w:t>”</w:t>
      </w:r>
      <w:r w:rsidR="0075247C" w:rsidRPr="00584A70">
        <w:rPr>
          <w:rFonts w:ascii="Palatino Linotype" w:eastAsia="Palatino Linotype" w:hAnsi="Palatino Linotype" w:cs="Palatino Linotype"/>
          <w:i/>
          <w:color w:val="000000" w:themeColor="text1"/>
        </w:rPr>
        <w:t xml:space="preserve"> (sic)</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11461/INFOEM/IP/RR/2025:</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“Niegan la información bajo dos pretextos: uno, que no tienen la información solicitada aun y cuando está dentro de las funciones de la dirección de desarrollo económico regular la actividad comercial y cobrar por el uso de vías públicas para ejercer el comercio, y dos, diciendo que es necesario aclarar la solicitud de información dado que Andrea Cervantes Omaña no comprende cual es la información que se le solicitó.” (sic)</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MOTIVOS O RAZONES DE INCONFORMIDAD</w:t>
      </w:r>
      <w:r w:rsidR="0075247C" w:rsidRPr="00584A70">
        <w:rPr>
          <w:rFonts w:ascii="Palatino Linotype" w:eastAsia="Palatino Linotype" w:hAnsi="Palatino Linotype" w:cs="Palatino Linotype"/>
          <w:b/>
          <w:color w:val="000000" w:themeColor="text1"/>
        </w:rPr>
        <w:t>: “</w:t>
      </w:r>
      <w:r w:rsidR="0075247C" w:rsidRPr="00584A70">
        <w:rPr>
          <w:rFonts w:ascii="Palatino Linotype" w:eastAsia="Palatino Linotype" w:hAnsi="Palatino Linotype" w:cs="Palatino Linotype"/>
          <w:i/>
          <w:color w:val="000000" w:themeColor="text1"/>
        </w:rPr>
        <w:t>Niegan la información que conforme a las funciones de dicha área deberían tener, pues dicha área se encarga de regular las actividades comerciales y de cobrar por el uso de la vía pública para realizar actividades de comercio.</w:t>
      </w:r>
      <w:r w:rsidR="0075247C" w:rsidRPr="00584A70">
        <w:rPr>
          <w:rFonts w:ascii="Palatino Linotype" w:eastAsia="Palatino Linotype" w:hAnsi="Palatino Linotype" w:cs="Palatino Linotype"/>
          <w:b/>
          <w:color w:val="000000" w:themeColor="text1"/>
        </w:rPr>
        <w:t>”</w:t>
      </w:r>
      <w:r w:rsidR="0075247C" w:rsidRPr="00584A70">
        <w:rPr>
          <w:rFonts w:ascii="Palatino Linotype" w:eastAsia="Palatino Linotype" w:hAnsi="Palatino Linotype" w:cs="Palatino Linotype"/>
          <w:i/>
          <w:color w:val="000000" w:themeColor="text1"/>
        </w:rPr>
        <w:t xml:space="preserve"> (sic)</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11462/INFOEM/IP/RR/2025:</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ACTO IMPUGNADO</w:t>
      </w:r>
      <w:r w:rsidR="0075247C" w:rsidRPr="00584A70">
        <w:rPr>
          <w:rFonts w:ascii="Palatino Linotype" w:eastAsia="Palatino Linotype" w:hAnsi="Palatino Linotype" w:cs="Palatino Linotype"/>
          <w:b/>
          <w:color w:val="000000" w:themeColor="text1"/>
        </w:rPr>
        <w:t xml:space="preserve">: </w:t>
      </w:r>
      <w:r w:rsidR="0075247C" w:rsidRPr="00584A70">
        <w:rPr>
          <w:rFonts w:ascii="Palatino Linotype" w:eastAsia="Palatino Linotype" w:hAnsi="Palatino Linotype" w:cs="Palatino Linotype"/>
          <w:i/>
          <w:color w:val="000000" w:themeColor="text1"/>
        </w:rPr>
        <w:t>“Niegan la información bajo dos pretextos: uno, que no tienen la información solicitada aun y cuando está dentro de las funciones de la dirección de desarrollo económico regular la actividad comercial y cobrar por el uso de vías públicas para ejercer el comercio, y dos, diciendo que es necesario aclarar la solicitud de información dado que Andrea Cervantes Omaña no comprende cual es la información que se le solicitó.” (sic)</w:t>
      </w:r>
    </w:p>
    <w:p w:rsidR="0075247C" w:rsidRPr="00584A70" w:rsidRDefault="00054675" w:rsidP="0005467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MOTIVOS O RAZONES DE INCONFORMIDAD</w:t>
      </w:r>
      <w:r w:rsidR="0075247C" w:rsidRPr="00584A70">
        <w:rPr>
          <w:rFonts w:ascii="Palatino Linotype" w:eastAsia="Palatino Linotype" w:hAnsi="Palatino Linotype" w:cs="Palatino Linotype"/>
          <w:b/>
          <w:color w:val="000000" w:themeColor="text1"/>
        </w:rPr>
        <w:t>: “</w:t>
      </w:r>
      <w:r w:rsidR="0075247C" w:rsidRPr="00584A70">
        <w:rPr>
          <w:rFonts w:ascii="Palatino Linotype" w:eastAsia="Palatino Linotype" w:hAnsi="Palatino Linotype" w:cs="Palatino Linotype"/>
          <w:i/>
          <w:color w:val="000000" w:themeColor="text1"/>
        </w:rPr>
        <w:t xml:space="preserve">Niegan la información bajo dos pretextos: uno, que no tienen la información solicitada aun y cuando está dentro de las funciones de la </w:t>
      </w:r>
      <w:r w:rsidR="0075247C" w:rsidRPr="00584A70">
        <w:rPr>
          <w:rFonts w:ascii="Palatino Linotype" w:eastAsia="Palatino Linotype" w:hAnsi="Palatino Linotype" w:cs="Palatino Linotype"/>
          <w:i/>
          <w:color w:val="000000" w:themeColor="text1"/>
        </w:rPr>
        <w:lastRenderedPageBreak/>
        <w:t>dirección de desarrollo económico regular la actividad comercial y cobrar por el uso de vías públicas para ejercer el comercio, y dos, diciendo que es necesario aclarar la solicitud de información dado que Andrea Cervantes Omaña no comprende cual es la información que se le solicitó.</w:t>
      </w:r>
      <w:r w:rsidR="0075247C" w:rsidRPr="00584A70">
        <w:rPr>
          <w:rFonts w:ascii="Palatino Linotype" w:eastAsia="Palatino Linotype" w:hAnsi="Palatino Linotype" w:cs="Palatino Linotype"/>
          <w:b/>
          <w:color w:val="000000" w:themeColor="text1"/>
        </w:rPr>
        <w:t>”</w:t>
      </w:r>
      <w:r w:rsidR="0075247C" w:rsidRPr="00584A70">
        <w:rPr>
          <w:rFonts w:ascii="Palatino Linotype" w:eastAsia="Palatino Linotype" w:hAnsi="Palatino Linotype" w:cs="Palatino Linotype"/>
          <w:i/>
          <w:color w:val="000000" w:themeColor="text1"/>
        </w:rPr>
        <w:t xml:space="preserve"> (sic)</w:t>
      </w:r>
    </w:p>
    <w:p w:rsidR="0075247C" w:rsidRPr="00584A70" w:rsidRDefault="0075247C" w:rsidP="00584A7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Se registró el recurso revisión bajo el número de expediente al rubro indicado, asimismo con fundamento en lo dispuesto por el artículo 185 fracción I de la </w:t>
      </w:r>
      <w:r w:rsidRPr="00584A7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84A70">
        <w:rPr>
          <w:rFonts w:ascii="Palatino Linotype" w:eastAsia="Palatino Linotype" w:hAnsi="Palatino Linotype" w:cs="Palatino Linotype"/>
          <w:color w:val="000000" w:themeColor="text1"/>
        </w:rPr>
        <w:t xml:space="preserve">se turna a la </w:t>
      </w:r>
      <w:r w:rsidRPr="00584A70">
        <w:rPr>
          <w:rFonts w:ascii="Palatino Linotype" w:eastAsia="Palatino Linotype" w:hAnsi="Palatino Linotype" w:cs="Palatino Linotype"/>
          <w:b/>
          <w:color w:val="000000" w:themeColor="text1"/>
        </w:rPr>
        <w:t xml:space="preserve">Comisionada María del Rosario Mejía Ayala, </w:t>
      </w:r>
      <w:r w:rsidRPr="00584A70">
        <w:rPr>
          <w:rFonts w:ascii="Palatino Linotype" w:eastAsia="Palatino Linotype" w:hAnsi="Palatino Linotype" w:cs="Palatino Linotype"/>
          <w:color w:val="000000" w:themeColor="text1"/>
        </w:rPr>
        <w:t>para su análisis.</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E87E10" w:rsidRPr="00584A70">
        <w:rPr>
          <w:rFonts w:ascii="Palatino Linotype" w:eastAsia="Palatino Linotype" w:hAnsi="Palatino Linotype" w:cs="Palatino Linotype"/>
          <w:b/>
          <w:color w:val="000000" w:themeColor="text1"/>
        </w:rPr>
        <w:t>seis,</w:t>
      </w:r>
      <w:r w:rsidR="00E87E10" w:rsidRPr="00584A70">
        <w:rPr>
          <w:rFonts w:ascii="Palatino Linotype" w:eastAsia="Palatino Linotype" w:hAnsi="Palatino Linotype" w:cs="Palatino Linotype"/>
          <w:color w:val="000000" w:themeColor="text1"/>
        </w:rPr>
        <w:t xml:space="preserve"> </w:t>
      </w:r>
      <w:r w:rsidR="00E87E10" w:rsidRPr="00584A70">
        <w:rPr>
          <w:rFonts w:ascii="Palatino Linotype" w:eastAsia="Palatino Linotype" w:hAnsi="Palatino Linotype" w:cs="Palatino Linotype"/>
          <w:b/>
          <w:color w:val="000000" w:themeColor="text1"/>
        </w:rPr>
        <w:t>siete,</w:t>
      </w:r>
      <w:r w:rsidR="00E87E10" w:rsidRPr="00584A70">
        <w:rPr>
          <w:rFonts w:ascii="Palatino Linotype" w:eastAsia="Palatino Linotype" w:hAnsi="Palatino Linotype" w:cs="Palatino Linotype"/>
          <w:color w:val="000000" w:themeColor="text1"/>
        </w:rPr>
        <w:t xml:space="preserve"> </w:t>
      </w:r>
      <w:r w:rsidR="0075247C" w:rsidRPr="00584A70">
        <w:rPr>
          <w:rFonts w:ascii="Palatino Linotype" w:eastAsia="Palatino Linotype" w:hAnsi="Palatino Linotype" w:cs="Palatino Linotype"/>
          <w:b/>
          <w:color w:val="000000" w:themeColor="text1"/>
        </w:rPr>
        <w:t>nueve</w:t>
      </w:r>
      <w:r w:rsidR="00E87E10" w:rsidRPr="00584A70">
        <w:rPr>
          <w:rFonts w:ascii="Palatino Linotype" w:eastAsia="Palatino Linotype" w:hAnsi="Palatino Linotype" w:cs="Palatino Linotype"/>
          <w:b/>
          <w:color w:val="000000" w:themeColor="text1"/>
        </w:rPr>
        <w:t xml:space="preserve"> y trece</w:t>
      </w:r>
      <w:r w:rsidR="0075247C" w:rsidRPr="00584A70">
        <w:rPr>
          <w:rFonts w:ascii="Palatino Linotype" w:eastAsia="Palatino Linotype" w:hAnsi="Palatino Linotype" w:cs="Palatino Linotype"/>
          <w:b/>
          <w:color w:val="000000" w:themeColor="text1"/>
        </w:rPr>
        <w:t xml:space="preserve"> de octubre</w:t>
      </w:r>
      <w:r w:rsidRPr="00584A70">
        <w:rPr>
          <w:rFonts w:ascii="Palatino Linotype" w:eastAsia="Palatino Linotype" w:hAnsi="Palatino Linotype" w:cs="Palatino Linotype"/>
          <w:b/>
          <w:color w:val="000000" w:themeColor="text1"/>
        </w:rPr>
        <w:t xml:space="preserve"> de dos mil veinticinco</w:t>
      </w:r>
      <w:r w:rsidRPr="00584A70">
        <w:rPr>
          <w:rFonts w:ascii="Palatino Linotype" w:eastAsia="Palatino Linotype" w:hAnsi="Palatino Linotype" w:cs="Palatino Linotype"/>
          <w:color w:val="000000" w:themeColor="text1"/>
        </w:rPr>
        <w:t xml:space="preserve">, puso a disposición de las partes el expediente electrónico vía </w:t>
      </w:r>
      <w:r w:rsidRPr="00584A70">
        <w:rPr>
          <w:rFonts w:ascii="Palatino Linotype" w:eastAsia="Palatino Linotype" w:hAnsi="Palatino Linotype" w:cs="Palatino Linotype"/>
          <w:b/>
          <w:color w:val="000000" w:themeColor="text1"/>
        </w:rPr>
        <w:t xml:space="preserve">SAIMEX </w:t>
      </w:r>
      <w:r w:rsidRPr="00584A70">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584A70">
        <w:rPr>
          <w:rFonts w:ascii="Palatino Linotype" w:eastAsia="Palatino Linotype" w:hAnsi="Palatino Linotype" w:cs="Palatino Linotype"/>
          <w:b/>
          <w:color w:val="000000" w:themeColor="text1"/>
        </w:rPr>
        <w:t>SUJETO OBLIGADO</w:t>
      </w:r>
      <w:r w:rsidRPr="00584A70">
        <w:rPr>
          <w:rFonts w:ascii="Palatino Linotype" w:eastAsia="Palatino Linotype" w:hAnsi="Palatino Linotype" w:cs="Palatino Linotype"/>
          <w:color w:val="000000" w:themeColor="text1"/>
        </w:rPr>
        <w:t xml:space="preserve"> presentara el informe justificado procedente.</w:t>
      </w:r>
    </w:p>
    <w:p w:rsidR="006F5E3A" w:rsidRPr="00584A70" w:rsidRDefault="006F5E3A" w:rsidP="00584A70">
      <w:pPr>
        <w:pBdr>
          <w:top w:val="nil"/>
          <w:left w:val="nil"/>
          <w:bottom w:val="nil"/>
          <w:right w:val="nil"/>
          <w:between w:val="nil"/>
        </w:pBdr>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Asimismo, con fundamento en lo dispuesto por el artículo 185 fracción I de la </w:t>
      </w:r>
      <w:r w:rsidRPr="00584A70">
        <w:rPr>
          <w:rFonts w:ascii="Palatino Linotype" w:eastAsia="Palatino Linotype" w:hAnsi="Palatino Linotype" w:cs="Palatino Linotype"/>
          <w:b/>
          <w:color w:val="000000" w:themeColor="text1"/>
        </w:rPr>
        <w:t>Ley de Transparencia y Acceso a la Información Pública del Estado de México y Municipios,</w:t>
      </w:r>
      <w:r w:rsidRPr="00584A70">
        <w:rPr>
          <w:rFonts w:ascii="Palatino Linotype" w:eastAsia="Palatino Linotype" w:hAnsi="Palatino Linotype" w:cs="Palatino Linotype"/>
          <w:color w:val="000000" w:themeColor="text1"/>
        </w:rPr>
        <w:t xml:space="preserve"> le</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 xml:space="preserve">fueron turnados los recursos de revisión </w:t>
      </w:r>
      <w:r w:rsidR="00E87E10" w:rsidRPr="00584A70">
        <w:rPr>
          <w:rFonts w:ascii="Palatino Linotype" w:eastAsia="Palatino Linotype" w:hAnsi="Palatino Linotype" w:cs="Palatino Linotype"/>
          <w:b/>
          <w:color w:val="000000" w:themeColor="text1"/>
        </w:rPr>
        <w:t xml:space="preserve">11451/INFOEM/IP/RR/2025, 11452/INFOEM/IP/RR/2025, 11454/INFOEM/IP/RR/2025, 11455/INFOEM/IP/RR/2025, 11456/INFOEM/IP/RR/2025, 11457/INFOEM/IP/RR/2025, 11458/INFOEM/IP/RR/2025, 11459/INFOEM/IP/RR/2025, 11460/INFOEM/IP/RR/2025, 11461/INFOEM/IP/RR/2025 y </w:t>
      </w:r>
      <w:r w:rsidR="00E87E10" w:rsidRPr="00584A70">
        <w:rPr>
          <w:rFonts w:ascii="Palatino Linotype" w:eastAsia="Palatino Linotype" w:hAnsi="Palatino Linotype" w:cs="Palatino Linotype"/>
          <w:b/>
          <w:color w:val="000000" w:themeColor="text1"/>
        </w:rPr>
        <w:lastRenderedPageBreak/>
        <w:t>11462/INFOEM/IP/RR/2025 y 11433</w:t>
      </w:r>
      <w:r w:rsidRPr="00584A70">
        <w:rPr>
          <w:rFonts w:ascii="Palatino Linotype" w:eastAsia="Palatino Linotype" w:hAnsi="Palatino Linotype" w:cs="Palatino Linotype"/>
          <w:b/>
          <w:color w:val="000000" w:themeColor="text1"/>
        </w:rPr>
        <w:t xml:space="preserve">/INFOEM/IP/RR/2025 </w:t>
      </w:r>
      <w:r w:rsidRPr="00584A70">
        <w:rPr>
          <w:rFonts w:ascii="Palatino Linotype" w:eastAsia="Palatino Linotype" w:hAnsi="Palatino Linotype" w:cs="Palatino Linotype"/>
          <w:color w:val="000000" w:themeColor="text1"/>
        </w:rPr>
        <w:t xml:space="preserve">a la </w:t>
      </w:r>
      <w:r w:rsidRPr="00584A70">
        <w:rPr>
          <w:rFonts w:ascii="Palatino Linotype" w:eastAsia="Palatino Linotype" w:hAnsi="Palatino Linotype" w:cs="Palatino Linotype"/>
          <w:b/>
          <w:color w:val="000000" w:themeColor="text1"/>
        </w:rPr>
        <w:t>Comisionada</w:t>
      </w:r>
      <w:r w:rsidRPr="00584A70">
        <w:rPr>
          <w:rFonts w:ascii="Palatino Linotype" w:eastAsia="Palatino Linotype" w:hAnsi="Palatino Linotype" w:cs="Palatino Linotype"/>
          <w:color w:val="000000" w:themeColor="text1"/>
        </w:rPr>
        <w:t xml:space="preserve"> </w:t>
      </w:r>
      <w:r w:rsidRPr="00584A70">
        <w:rPr>
          <w:rFonts w:ascii="Palatino Linotype" w:eastAsia="Palatino Linotype" w:hAnsi="Palatino Linotype" w:cs="Palatino Linotype"/>
          <w:b/>
          <w:color w:val="000000" w:themeColor="text1"/>
        </w:rPr>
        <w:t>María del Rosario Mejía Ayala</w:t>
      </w:r>
      <w:r w:rsidR="00054675">
        <w:rPr>
          <w:rFonts w:ascii="Palatino Linotype" w:eastAsia="Palatino Linotype" w:hAnsi="Palatino Linotype" w:cs="Palatino Linotype"/>
          <w:b/>
          <w:color w:val="000000" w:themeColor="text1"/>
        </w:rPr>
        <w:t>,</w:t>
      </w:r>
      <w:r w:rsidRPr="00584A70">
        <w:rPr>
          <w:rFonts w:ascii="Palatino Linotype" w:eastAsia="Palatino Linotype" w:hAnsi="Palatino Linotype" w:cs="Palatino Linotype"/>
          <w:b/>
          <w:color w:val="000000" w:themeColor="text1"/>
        </w:rPr>
        <w:t xml:space="preserve"> </w:t>
      </w:r>
      <w:r w:rsidR="00054675">
        <w:rPr>
          <w:rFonts w:ascii="Palatino Linotype" w:eastAsia="Palatino Linotype" w:hAnsi="Palatino Linotype" w:cs="Palatino Linotype"/>
          <w:color w:val="000000" w:themeColor="text1"/>
        </w:rPr>
        <w:t>para</w:t>
      </w:r>
      <w:r w:rsidRPr="00584A70">
        <w:rPr>
          <w:rFonts w:ascii="Palatino Linotype" w:eastAsia="Palatino Linotype" w:hAnsi="Palatino Linotype" w:cs="Palatino Linotype"/>
          <w:color w:val="000000" w:themeColor="text1"/>
        </w:rPr>
        <w:t xml:space="preserve"> su análisis, se ordenó la acumulación de los recursos de revisión</w:t>
      </w:r>
      <w:r w:rsidRPr="00584A70">
        <w:rPr>
          <w:rFonts w:ascii="Palatino Linotype" w:eastAsia="Palatino Linotype" w:hAnsi="Palatino Linotype" w:cs="Palatino Linotype"/>
          <w:b/>
          <w:color w:val="000000" w:themeColor="text1"/>
        </w:rPr>
        <w:t>.</w:t>
      </w:r>
    </w:p>
    <w:p w:rsidR="006F5E3A" w:rsidRPr="00584A70" w:rsidRDefault="006F5E3A" w:rsidP="00584A70">
      <w:pPr>
        <w:pBdr>
          <w:top w:val="nil"/>
          <w:left w:val="nil"/>
          <w:bottom w:val="nil"/>
          <w:right w:val="nil"/>
          <w:between w:val="nil"/>
        </w:pBdr>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Así,  el </w:t>
      </w:r>
      <w:r w:rsidR="00E87E10" w:rsidRPr="00584A70">
        <w:rPr>
          <w:rFonts w:ascii="Palatino Linotype" w:eastAsia="Palatino Linotype" w:hAnsi="Palatino Linotype" w:cs="Palatino Linotype"/>
          <w:b/>
          <w:color w:val="000000" w:themeColor="text1"/>
        </w:rPr>
        <w:t>seis de noviembre</w:t>
      </w:r>
      <w:r w:rsidRPr="00584A70">
        <w:rPr>
          <w:rFonts w:ascii="Palatino Linotype" w:eastAsia="Palatino Linotype" w:hAnsi="Palatino Linotype" w:cs="Palatino Linotype"/>
          <w:b/>
          <w:color w:val="000000" w:themeColor="text1"/>
        </w:rPr>
        <w:t xml:space="preserve"> de dos mil veinticinco</w:t>
      </w:r>
      <w:r w:rsidRPr="00584A70">
        <w:rPr>
          <w:rFonts w:ascii="Palatino Linotype" w:eastAsia="Palatino Linotype" w:hAnsi="Palatino Linotype" w:cs="Palatino Linotype"/>
          <w:color w:val="000000" w:themeColor="text1"/>
        </w:rPr>
        <w:t>, se notificó el acuerdo mediante el cual se decretó la acumulación de los recursos de revisión.</w:t>
      </w:r>
    </w:p>
    <w:p w:rsidR="006F5E3A" w:rsidRPr="00584A70" w:rsidRDefault="006F5E3A" w:rsidP="00584A70">
      <w:pPr>
        <w:pBdr>
          <w:top w:val="nil"/>
          <w:left w:val="nil"/>
          <w:bottom w:val="nil"/>
          <w:right w:val="nil"/>
          <w:between w:val="nil"/>
        </w:pBdr>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F5E3A" w:rsidRPr="00584A70" w:rsidRDefault="006F5E3A" w:rsidP="00584A70">
      <w:pPr>
        <w:spacing w:line="360" w:lineRule="auto"/>
        <w:jc w:val="center"/>
        <w:rPr>
          <w:rFonts w:ascii="Palatino Linotype" w:eastAsia="Palatino Linotype" w:hAnsi="Palatino Linotype" w:cs="Palatino Linotype"/>
          <w:b/>
          <w:i/>
          <w:color w:val="000000" w:themeColor="text1"/>
        </w:rPr>
      </w:pPr>
      <w:r w:rsidRPr="00584A70">
        <w:rPr>
          <w:rFonts w:ascii="Palatino Linotype" w:eastAsia="Palatino Linotype" w:hAnsi="Palatino Linotype" w:cs="Palatino Linotype"/>
          <w:b/>
          <w:i/>
          <w:color w:val="000000" w:themeColor="text1"/>
        </w:rPr>
        <w:t>Código de Procedimientos Administrativos del Estado de México.</w:t>
      </w:r>
    </w:p>
    <w:p w:rsidR="006F5E3A" w:rsidRPr="00584A70" w:rsidRDefault="006F5E3A" w:rsidP="00584A70">
      <w:pPr>
        <w:spacing w:line="360" w:lineRule="auto"/>
        <w:jc w:val="center"/>
        <w:rPr>
          <w:rFonts w:ascii="Palatino Linotype" w:eastAsia="Palatino Linotype" w:hAnsi="Palatino Linotype" w:cs="Palatino Linotype"/>
          <w:b/>
          <w:i/>
          <w:color w:val="000000" w:themeColor="text1"/>
        </w:rPr>
      </w:pPr>
    </w:p>
    <w:p w:rsidR="006F5E3A" w:rsidRPr="00584A70" w:rsidRDefault="006F5E3A" w:rsidP="00584A70">
      <w:pPr>
        <w:spacing w:line="360" w:lineRule="auto"/>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b/>
          <w:i/>
          <w:color w:val="000000" w:themeColor="text1"/>
        </w:rPr>
        <w:t>“Artículo 18.-</w:t>
      </w:r>
      <w:r w:rsidRPr="00584A70">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F5E3A" w:rsidRPr="00584A70" w:rsidRDefault="006F5E3A" w:rsidP="00584A70">
      <w:pPr>
        <w:spacing w:line="360" w:lineRule="auto"/>
        <w:jc w:val="both"/>
        <w:rPr>
          <w:rFonts w:ascii="Palatino Linotype" w:eastAsia="Palatino Linotype" w:hAnsi="Palatino Linotype" w:cs="Palatino Linotype"/>
          <w:i/>
          <w:color w:val="000000" w:themeColor="text1"/>
        </w:rPr>
      </w:pPr>
    </w:p>
    <w:p w:rsidR="006F5E3A" w:rsidRPr="00584A70" w:rsidRDefault="006F5E3A" w:rsidP="00584A70">
      <w:pPr>
        <w:spacing w:line="360" w:lineRule="auto"/>
        <w:jc w:val="center"/>
        <w:rPr>
          <w:rFonts w:ascii="Palatino Linotype" w:eastAsia="Palatino Linotype" w:hAnsi="Palatino Linotype" w:cs="Palatino Linotype"/>
          <w:b/>
          <w:i/>
          <w:color w:val="000000" w:themeColor="text1"/>
        </w:rPr>
      </w:pPr>
      <w:r w:rsidRPr="00584A70">
        <w:rPr>
          <w:rFonts w:ascii="Palatino Linotype" w:eastAsia="Palatino Linotype" w:hAnsi="Palatino Linotype" w:cs="Palatino Linotype"/>
          <w:b/>
          <w:i/>
          <w:color w:val="000000" w:themeColor="text1"/>
        </w:rPr>
        <w:t>Ley de Transparencia y Acceso a la Información Pública del Estado de México y Municipios</w:t>
      </w:r>
    </w:p>
    <w:p w:rsidR="006F5E3A" w:rsidRPr="00584A70" w:rsidRDefault="006F5E3A" w:rsidP="00584A70">
      <w:pPr>
        <w:spacing w:line="360" w:lineRule="auto"/>
        <w:jc w:val="center"/>
        <w:rPr>
          <w:rFonts w:ascii="Palatino Linotype" w:eastAsia="Palatino Linotype" w:hAnsi="Palatino Linotype" w:cs="Palatino Linotype"/>
          <w:b/>
          <w:i/>
          <w:color w:val="000000" w:themeColor="text1"/>
        </w:rPr>
      </w:pPr>
    </w:p>
    <w:p w:rsidR="006F5E3A" w:rsidRPr="00584A70" w:rsidRDefault="006F5E3A" w:rsidP="00584A70">
      <w:pPr>
        <w:spacing w:line="360" w:lineRule="auto"/>
        <w:jc w:val="both"/>
        <w:rPr>
          <w:rFonts w:ascii="Palatino Linotype" w:eastAsia="Palatino Linotype" w:hAnsi="Palatino Linotype" w:cs="Palatino Linotype"/>
          <w:i/>
          <w:color w:val="000000" w:themeColor="text1"/>
        </w:rPr>
      </w:pPr>
      <w:r w:rsidRPr="00584A70">
        <w:rPr>
          <w:rFonts w:ascii="Palatino Linotype" w:eastAsia="Palatino Linotype" w:hAnsi="Palatino Linotype" w:cs="Palatino Linotype"/>
          <w:b/>
          <w:i/>
          <w:color w:val="000000" w:themeColor="text1"/>
        </w:rPr>
        <w:lastRenderedPageBreak/>
        <w:t>“Artículo 195.</w:t>
      </w:r>
      <w:r w:rsidRPr="00584A70">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6F5E3A" w:rsidRPr="00584A70" w:rsidRDefault="006F5E3A" w:rsidP="00584A70">
      <w:pPr>
        <w:numPr>
          <w:ilvl w:val="0"/>
          <w:numId w:val="5"/>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De las constancias en el sistema </w:t>
      </w:r>
      <w:r w:rsidRPr="00584A70">
        <w:rPr>
          <w:rFonts w:ascii="Palatino Linotype" w:eastAsia="Palatino Linotype" w:hAnsi="Palatino Linotype" w:cs="Palatino Linotype"/>
          <w:b/>
          <w:color w:val="000000" w:themeColor="text1"/>
        </w:rPr>
        <w:t>SAIMEX</w:t>
      </w:r>
      <w:r w:rsidRPr="00584A70">
        <w:rPr>
          <w:rFonts w:ascii="Palatino Linotype" w:eastAsia="Palatino Linotype" w:hAnsi="Palatino Linotype" w:cs="Palatino Linotype"/>
          <w:color w:val="000000" w:themeColor="text1"/>
        </w:rPr>
        <w:t>, se advierte que el Recurrente no realizó manifestaciones que a su derecho convinieran, por su parte, el Sujeto Oblig</w:t>
      </w:r>
      <w:r w:rsidR="00E87E10" w:rsidRPr="00584A70">
        <w:rPr>
          <w:rFonts w:ascii="Palatino Linotype" w:eastAsia="Palatino Linotype" w:hAnsi="Palatino Linotype" w:cs="Palatino Linotype"/>
          <w:color w:val="000000" w:themeColor="text1"/>
        </w:rPr>
        <w:t>ado no entregó informe justificado.</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E87E10"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El</w:t>
      </w:r>
      <w:r w:rsidRPr="00584A70">
        <w:rPr>
          <w:rFonts w:ascii="Palatino Linotype" w:eastAsia="Palatino Linotype" w:hAnsi="Palatino Linotype" w:cs="Palatino Linotype"/>
          <w:b/>
          <w:color w:val="000000" w:themeColor="text1"/>
        </w:rPr>
        <w:t xml:space="preserve"> cinco</w:t>
      </w:r>
      <w:r w:rsidR="006F5E3A" w:rsidRPr="00584A70">
        <w:rPr>
          <w:rFonts w:ascii="Palatino Linotype" w:eastAsia="Palatino Linotype" w:hAnsi="Palatino Linotype" w:cs="Palatino Linotype"/>
          <w:b/>
          <w:color w:val="000000" w:themeColor="text1"/>
        </w:rPr>
        <w:t xml:space="preserve"> de dos mil veinticinco</w:t>
      </w:r>
      <w:r w:rsidR="006F5E3A" w:rsidRPr="00584A70">
        <w:rPr>
          <w:rFonts w:ascii="Palatino Linotype" w:eastAsia="Palatino Linotype" w:hAnsi="Palatino Linotype" w:cs="Palatino Linotype"/>
          <w:color w:val="000000" w:themeColor="text1"/>
        </w:rPr>
        <w:t>, se notificó el acuerdo mediante el cual se decretó el cierre de instrucción.</w:t>
      </w:r>
    </w:p>
    <w:p w:rsidR="006F5E3A" w:rsidRPr="00584A70" w:rsidRDefault="006F5E3A" w:rsidP="00584A70">
      <w:pPr>
        <w:pStyle w:val="Ttulo1"/>
        <w:jc w:val="center"/>
        <w:rPr>
          <w:rFonts w:ascii="Palatino Linotype" w:eastAsia="Palatino Linotype" w:hAnsi="Palatino Linotype" w:cs="Palatino Linotype"/>
          <w:b/>
          <w:color w:val="000000" w:themeColor="text1"/>
          <w:sz w:val="24"/>
          <w:szCs w:val="24"/>
        </w:rPr>
      </w:pPr>
      <w:bookmarkStart w:id="4" w:name="_heading=h.1fob9te" w:colFirst="0" w:colLast="0"/>
      <w:bookmarkEnd w:id="4"/>
      <w:r w:rsidRPr="00584A70">
        <w:rPr>
          <w:rFonts w:ascii="Palatino Linotype" w:eastAsia="Palatino Linotype" w:hAnsi="Palatino Linotype" w:cs="Palatino Linotype"/>
          <w:b/>
          <w:color w:val="000000" w:themeColor="text1"/>
          <w:sz w:val="24"/>
          <w:szCs w:val="24"/>
        </w:rPr>
        <w:t xml:space="preserve">C O N S I D E R A N D O </w:t>
      </w:r>
    </w:p>
    <w:p w:rsidR="006F5E3A" w:rsidRDefault="006F5E3A" w:rsidP="00584A70">
      <w:pPr>
        <w:rPr>
          <w:rFonts w:ascii="Palatino Linotype" w:eastAsia="Palatino Linotype" w:hAnsi="Palatino Linotype" w:cs="Palatino Linotype"/>
          <w:color w:val="000000" w:themeColor="text1"/>
        </w:rPr>
      </w:pPr>
    </w:p>
    <w:p w:rsidR="00054675" w:rsidRPr="00584A70" w:rsidRDefault="00054675" w:rsidP="00584A70">
      <w:pPr>
        <w:rPr>
          <w:rFonts w:ascii="Palatino Linotype" w:eastAsia="Palatino Linotype" w:hAnsi="Palatino Linotype" w:cs="Palatino Linotype"/>
          <w:color w:val="000000" w:themeColor="text1"/>
        </w:rPr>
      </w:pPr>
    </w:p>
    <w:p w:rsidR="006F5E3A" w:rsidRPr="00584A70" w:rsidRDefault="006F5E3A" w:rsidP="00584A70">
      <w:pPr>
        <w:pStyle w:val="Ttulo2"/>
        <w:rPr>
          <w:rFonts w:ascii="Palatino Linotype" w:eastAsia="Palatino Linotype" w:hAnsi="Palatino Linotype" w:cs="Palatino Linotype"/>
          <w:b/>
          <w:color w:val="000000" w:themeColor="text1"/>
          <w:sz w:val="24"/>
          <w:szCs w:val="24"/>
        </w:rPr>
      </w:pPr>
      <w:bookmarkStart w:id="5" w:name="_heading=h.3znysh7" w:colFirst="0" w:colLast="0"/>
      <w:bookmarkEnd w:id="5"/>
      <w:r w:rsidRPr="00584A70">
        <w:rPr>
          <w:rFonts w:ascii="Palatino Linotype" w:eastAsia="Palatino Linotype" w:hAnsi="Palatino Linotype" w:cs="Palatino Linotype"/>
          <w:b/>
          <w:color w:val="000000" w:themeColor="text1"/>
          <w:sz w:val="24"/>
          <w:szCs w:val="24"/>
        </w:rPr>
        <w:t>PRIMERO. De la competencia</w:t>
      </w:r>
    </w:p>
    <w:p w:rsidR="006F5E3A" w:rsidRPr="00584A70" w:rsidRDefault="006F5E3A" w:rsidP="00584A70">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84A70">
        <w:rPr>
          <w:rFonts w:ascii="Palatino Linotype" w:eastAsia="Palatino Linotype" w:hAnsi="Palatino Linotype" w:cs="Palatino Linotype"/>
          <w:b/>
          <w:color w:val="000000" w:themeColor="text1"/>
        </w:rPr>
        <w:t>Constitución Política de los Estados Unidos Mexicanos</w:t>
      </w:r>
      <w:r w:rsidRPr="00584A70">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584A70">
        <w:rPr>
          <w:rFonts w:ascii="Palatino Linotype" w:eastAsia="Palatino Linotype" w:hAnsi="Palatino Linotype" w:cs="Palatino Linotype"/>
          <w:b/>
          <w:color w:val="000000" w:themeColor="text1"/>
        </w:rPr>
        <w:t>Constitución Política del Estado Libre y Soberano de México</w:t>
      </w:r>
      <w:r w:rsidRPr="00584A70">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584A70">
        <w:rPr>
          <w:rFonts w:ascii="Palatino Linotype" w:eastAsia="Palatino Linotype" w:hAnsi="Palatino Linotype" w:cs="Palatino Linotype"/>
          <w:b/>
          <w:color w:val="000000" w:themeColor="text1"/>
        </w:rPr>
        <w:t>Ley de Transparencia y Acceso a la Información Pública del Estado de México y Municipios</w:t>
      </w:r>
      <w:r w:rsidRPr="00584A70">
        <w:rPr>
          <w:rFonts w:ascii="Palatino Linotype" w:eastAsia="Palatino Linotype" w:hAnsi="Palatino Linotype" w:cs="Palatino Linotype"/>
          <w:color w:val="000000" w:themeColor="text1"/>
        </w:rPr>
        <w:t xml:space="preserve">; y 7, 9 fracciones I y XXIII, y 11 del </w:t>
      </w:r>
      <w:r w:rsidRPr="00584A70">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6F5E3A" w:rsidRPr="00584A70" w:rsidRDefault="006F5E3A" w:rsidP="00584A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6F5E3A" w:rsidRPr="00584A70" w:rsidRDefault="006F5E3A" w:rsidP="00584A70">
      <w:pPr>
        <w:pStyle w:val="Ttulo2"/>
        <w:rPr>
          <w:rFonts w:ascii="Palatino Linotype" w:eastAsia="Palatino Linotype" w:hAnsi="Palatino Linotype" w:cs="Palatino Linotype"/>
          <w:b/>
          <w:color w:val="000000" w:themeColor="text1"/>
          <w:sz w:val="24"/>
          <w:szCs w:val="24"/>
        </w:rPr>
      </w:pPr>
      <w:bookmarkStart w:id="6" w:name="_heading=h.2et92p0" w:colFirst="0" w:colLast="0"/>
      <w:bookmarkEnd w:id="6"/>
      <w:r w:rsidRPr="00584A70">
        <w:rPr>
          <w:rFonts w:ascii="Palatino Linotype" w:eastAsia="Palatino Linotype" w:hAnsi="Palatino Linotype" w:cs="Palatino Linotype"/>
          <w:b/>
          <w:color w:val="000000" w:themeColor="text1"/>
          <w:sz w:val="24"/>
          <w:szCs w:val="24"/>
        </w:rPr>
        <w:lastRenderedPageBreak/>
        <w:t>SEGUNDO. De la oportunidad y procedencia.</w:t>
      </w:r>
    </w:p>
    <w:p w:rsidR="006F5E3A" w:rsidRPr="00584A70" w:rsidRDefault="006F5E3A" w:rsidP="00584A70">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7" w:name="_heading=h.tyjcwt" w:colFirst="0" w:colLast="0"/>
      <w:bookmarkEnd w:id="7"/>
      <w:r w:rsidRPr="00584A70">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584A70">
        <w:rPr>
          <w:rFonts w:ascii="Palatino Linotype" w:eastAsia="Palatino Linotype" w:hAnsi="Palatino Linotype" w:cs="Palatino Linotype"/>
          <w:b/>
          <w:color w:val="000000" w:themeColor="text1"/>
        </w:rPr>
        <w:t>SUJETO OBLIGADO</w:t>
      </w:r>
      <w:r w:rsidRPr="00584A70">
        <w:rPr>
          <w:rFonts w:ascii="Palatino Linotype" w:eastAsia="Palatino Linotype" w:hAnsi="Palatino Linotype" w:cs="Palatino Linotype"/>
          <w:color w:val="000000" w:themeColor="text1"/>
        </w:rPr>
        <w:t xml:space="preserve"> entregó respuesta a los recursos de revisión el </w:t>
      </w:r>
      <w:r w:rsidR="00E87E10" w:rsidRPr="00584A70">
        <w:rPr>
          <w:rFonts w:ascii="Palatino Linotype" w:eastAsia="Palatino Linotype" w:hAnsi="Palatino Linotype" w:cs="Palatino Linotype"/>
          <w:b/>
          <w:color w:val="000000" w:themeColor="text1"/>
        </w:rPr>
        <w:t>treinta de septiembre</w:t>
      </w:r>
      <w:r w:rsidRPr="00584A70">
        <w:rPr>
          <w:rFonts w:ascii="Palatino Linotype" w:eastAsia="Palatino Linotype" w:hAnsi="Palatino Linotype" w:cs="Palatino Linotype"/>
          <w:b/>
          <w:color w:val="000000" w:themeColor="text1"/>
        </w:rPr>
        <w:t xml:space="preserve"> de dos mil veinticinco</w:t>
      </w:r>
      <w:r w:rsidRPr="00584A70">
        <w:rPr>
          <w:rFonts w:ascii="Palatino Linotype" w:eastAsia="Palatino Linotype" w:hAnsi="Palatino Linotype" w:cs="Palatino Linotype"/>
          <w:color w:val="000000" w:themeColor="text1"/>
        </w:rPr>
        <w:t xml:space="preserve">, de tal forma que el plazo para interponer el recurso de revisión transcurrió del </w:t>
      </w:r>
      <w:r w:rsidR="00E87E10" w:rsidRPr="00584A70">
        <w:rPr>
          <w:rFonts w:ascii="Palatino Linotype" w:eastAsia="Palatino Linotype" w:hAnsi="Palatino Linotype" w:cs="Palatino Linotype"/>
          <w:b/>
          <w:color w:val="000000" w:themeColor="text1"/>
        </w:rPr>
        <w:t>primero al veintiuno de octubre</w:t>
      </w:r>
      <w:r w:rsidRPr="00584A70">
        <w:rPr>
          <w:rFonts w:ascii="Palatino Linotype" w:eastAsia="Palatino Linotype" w:hAnsi="Palatino Linotype" w:cs="Palatino Linotype"/>
          <w:b/>
          <w:color w:val="000000" w:themeColor="text1"/>
        </w:rPr>
        <w:t xml:space="preserve"> de dos mil veinticinco</w:t>
      </w:r>
      <w:r w:rsidRPr="00584A70">
        <w:rPr>
          <w:rFonts w:ascii="Palatino Linotype" w:eastAsia="Palatino Linotype" w:hAnsi="Palatino Linotype" w:cs="Palatino Linotype"/>
          <w:color w:val="000000" w:themeColor="text1"/>
        </w:rPr>
        <w:t xml:space="preserve">, el recurso de revisión fue interpuesto el </w:t>
      </w:r>
      <w:r w:rsidR="00E87E10" w:rsidRPr="00584A70">
        <w:rPr>
          <w:rFonts w:ascii="Palatino Linotype" w:eastAsia="Palatino Linotype" w:hAnsi="Palatino Linotype" w:cs="Palatino Linotype"/>
          <w:b/>
          <w:color w:val="000000" w:themeColor="text1"/>
        </w:rPr>
        <w:t>cuatro y seis de octubre</w:t>
      </w:r>
      <w:r w:rsidRPr="00584A70">
        <w:rPr>
          <w:rFonts w:ascii="Palatino Linotype" w:eastAsia="Palatino Linotype" w:hAnsi="Palatino Linotype" w:cs="Palatino Linotype"/>
          <w:b/>
          <w:color w:val="000000" w:themeColor="text1"/>
        </w:rPr>
        <w:t xml:space="preserve"> de dos mil veinticinco</w:t>
      </w:r>
      <w:r w:rsidRPr="00584A70">
        <w:rPr>
          <w:rFonts w:ascii="Palatino Linotype" w:eastAsia="Palatino Linotype" w:hAnsi="Palatino Linotype" w:cs="Palatino Linotype"/>
          <w:color w:val="000000" w:themeColor="text1"/>
        </w:rPr>
        <w:t>, por lo tanto, estos se encuentran dentro de los márgenes temporales previstos en el artículo 178 de la Ley de Transparencia y Acceso a la Información Pública del Estado de México y Municipios</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 xml:space="preserve">vigente. </w:t>
      </w:r>
    </w:p>
    <w:p w:rsidR="00E87E10" w:rsidRPr="00584A70" w:rsidRDefault="00E87E10" w:rsidP="00584A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87E10" w:rsidRPr="00584A70" w:rsidRDefault="00E87E10" w:rsidP="00584A70">
      <w:pPr>
        <w:numPr>
          <w:ilvl w:val="0"/>
          <w:numId w:val="5"/>
        </w:numPr>
        <w:spacing w:line="360" w:lineRule="auto"/>
        <w:ind w:left="0" w:firstLine="0"/>
        <w:contextualSpacing/>
        <w:jc w:val="both"/>
        <w:rPr>
          <w:rFonts w:ascii="Palatino Linotype" w:eastAsia="Calibri" w:hAnsi="Palatino Linotype" w:cs="Arial"/>
          <w:color w:val="000000" w:themeColor="text1"/>
          <w:lang w:val="es-ES_tradnl" w:eastAsia="es-ES"/>
        </w:rPr>
      </w:pPr>
      <w:r w:rsidRPr="00584A70">
        <w:rPr>
          <w:rFonts w:ascii="Palatino Linotype" w:eastAsia="Calibri" w:hAnsi="Palatino Linotype" w:cs="Arial"/>
          <w:color w:val="000000" w:themeColor="text1"/>
          <w:lang w:val="es-ES_tradnl" w:eastAsia="es-ES"/>
        </w:rPr>
        <w:t xml:space="preserve">Por otra parte, de la revisión al expediente electrónico del </w:t>
      </w:r>
      <w:r w:rsidRPr="00584A70">
        <w:rPr>
          <w:rFonts w:ascii="Palatino Linotype" w:eastAsia="Calibri" w:hAnsi="Palatino Linotype" w:cs="Arial"/>
          <w:b/>
          <w:color w:val="000000" w:themeColor="text1"/>
          <w:lang w:val="es-ES_tradnl" w:eastAsia="es-ES"/>
        </w:rPr>
        <w:t>SAIMEX</w:t>
      </w:r>
      <w:r w:rsidRPr="00584A70">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87E10" w:rsidRPr="00584A70" w:rsidRDefault="00E87E10" w:rsidP="00584A70">
      <w:pPr>
        <w:pStyle w:val="Prrafodelista"/>
        <w:ind w:left="0"/>
        <w:rPr>
          <w:rFonts w:ascii="Palatino Linotype" w:eastAsia="Calibri" w:hAnsi="Palatino Linotype" w:cs="Arial"/>
          <w:color w:val="000000" w:themeColor="text1"/>
          <w:lang w:val="es-ES_tradnl" w:eastAsia="es-ES"/>
        </w:rPr>
      </w:pPr>
    </w:p>
    <w:p w:rsidR="00E87E10" w:rsidRPr="00584A70" w:rsidRDefault="00E87E10" w:rsidP="00584A70">
      <w:pPr>
        <w:numPr>
          <w:ilvl w:val="0"/>
          <w:numId w:val="5"/>
        </w:numPr>
        <w:spacing w:line="360" w:lineRule="auto"/>
        <w:ind w:left="0" w:firstLine="0"/>
        <w:contextualSpacing/>
        <w:jc w:val="both"/>
        <w:rPr>
          <w:rFonts w:ascii="Palatino Linotype" w:eastAsia="Calibri" w:hAnsi="Palatino Linotype" w:cs="Arial"/>
          <w:color w:val="000000" w:themeColor="text1"/>
          <w:lang w:val="es-ES_tradnl" w:eastAsia="es-ES"/>
        </w:rPr>
      </w:pPr>
      <w:r w:rsidRPr="00584A70">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584A70">
        <w:rPr>
          <w:rFonts w:ascii="Palatino Linotype" w:eastAsia="Calibri" w:hAnsi="Palatino Linotype" w:cs="Arial"/>
          <w:bCs/>
          <w:color w:val="000000" w:themeColor="text1"/>
          <w:lang w:val="es-ES" w:eastAsia="es-ES"/>
        </w:rPr>
        <w:t>5, párrafos vigésimo, vigésimo primero y vigésimo segundo fracciones IV y V </w:t>
      </w:r>
      <w:r w:rsidRPr="00584A70">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w:t>
      </w:r>
      <w:r w:rsidRPr="00584A70">
        <w:rPr>
          <w:rFonts w:ascii="Palatino Linotype" w:eastAsia="Calibri" w:hAnsi="Palatino Linotype" w:cs="Arial"/>
          <w:color w:val="000000" w:themeColor="text1"/>
          <w:lang w:val="es-ES_tradnl" w:eastAsia="es-ES"/>
        </w:rPr>
        <w:lastRenderedPageBreak/>
        <w:t>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87E10" w:rsidRPr="00584A70" w:rsidRDefault="00E87E10" w:rsidP="00584A70">
      <w:pPr>
        <w:pStyle w:val="Prrafodelista"/>
        <w:ind w:left="0"/>
        <w:rPr>
          <w:rFonts w:ascii="Palatino Linotype" w:eastAsia="Calibri" w:hAnsi="Palatino Linotype" w:cs="Arial"/>
          <w:color w:val="000000" w:themeColor="text1"/>
          <w:lang w:val="es-ES_tradnl" w:eastAsia="es-ES"/>
        </w:rPr>
      </w:pPr>
    </w:p>
    <w:p w:rsidR="00E87E10" w:rsidRPr="00584A70" w:rsidRDefault="00E87E10" w:rsidP="00584A70">
      <w:pPr>
        <w:numPr>
          <w:ilvl w:val="0"/>
          <w:numId w:val="5"/>
        </w:numPr>
        <w:spacing w:line="360" w:lineRule="auto"/>
        <w:ind w:left="0" w:firstLine="0"/>
        <w:contextualSpacing/>
        <w:jc w:val="both"/>
        <w:rPr>
          <w:rFonts w:ascii="Palatino Linotype" w:eastAsia="Calibri" w:hAnsi="Palatino Linotype" w:cs="Arial"/>
          <w:color w:val="000000" w:themeColor="text1"/>
          <w:lang w:val="es-ES_tradnl" w:eastAsia="es-ES"/>
        </w:rPr>
      </w:pPr>
      <w:r w:rsidRPr="00584A70">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87E10" w:rsidRPr="00584A70" w:rsidRDefault="00E87E10" w:rsidP="00584A70">
      <w:pPr>
        <w:pStyle w:val="Prrafodelista"/>
        <w:ind w:left="0"/>
        <w:rPr>
          <w:rFonts w:ascii="Palatino Linotype" w:eastAsia="Calibri" w:hAnsi="Palatino Linotype" w:cs="Arial"/>
          <w:color w:val="000000" w:themeColor="text1"/>
          <w:lang w:val="es-ES_tradnl" w:eastAsia="es-ES"/>
        </w:rPr>
      </w:pPr>
    </w:p>
    <w:p w:rsidR="00E87E10" w:rsidRPr="00584A70" w:rsidRDefault="00E87E10" w:rsidP="00584A70">
      <w:pPr>
        <w:numPr>
          <w:ilvl w:val="0"/>
          <w:numId w:val="5"/>
        </w:numPr>
        <w:spacing w:line="360" w:lineRule="auto"/>
        <w:ind w:left="0" w:firstLine="0"/>
        <w:contextualSpacing/>
        <w:jc w:val="both"/>
        <w:rPr>
          <w:rFonts w:ascii="Palatino Linotype" w:eastAsia="Calibri" w:hAnsi="Palatino Linotype" w:cs="Arial"/>
          <w:color w:val="000000" w:themeColor="text1"/>
          <w:lang w:val="es-ES_tradnl" w:eastAsia="es-ES"/>
        </w:rPr>
      </w:pPr>
      <w:r w:rsidRPr="00584A70">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87E10" w:rsidRPr="00584A70" w:rsidRDefault="00E87E10" w:rsidP="00584A70">
      <w:pPr>
        <w:pStyle w:val="Prrafodelista"/>
        <w:ind w:left="0"/>
        <w:rPr>
          <w:rFonts w:ascii="Palatino Linotype" w:eastAsia="Calibri" w:hAnsi="Palatino Linotype" w:cs="Arial"/>
          <w:color w:val="000000" w:themeColor="text1"/>
          <w:lang w:val="es-ES_tradnl" w:eastAsia="es-ES"/>
        </w:rPr>
      </w:pPr>
    </w:p>
    <w:p w:rsidR="00E87E10" w:rsidRPr="00584A70" w:rsidRDefault="00E87E10" w:rsidP="00584A70">
      <w:pPr>
        <w:numPr>
          <w:ilvl w:val="0"/>
          <w:numId w:val="5"/>
        </w:numPr>
        <w:spacing w:line="360" w:lineRule="auto"/>
        <w:ind w:left="0" w:firstLine="0"/>
        <w:contextualSpacing/>
        <w:jc w:val="both"/>
        <w:rPr>
          <w:rFonts w:ascii="Palatino Linotype" w:eastAsia="Calibri" w:hAnsi="Palatino Linotype" w:cs="Arial"/>
          <w:color w:val="000000" w:themeColor="text1"/>
          <w:lang w:val="es-ES_tradnl" w:eastAsia="es-ES"/>
        </w:rPr>
      </w:pPr>
      <w:r w:rsidRPr="00584A70">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87E10" w:rsidRPr="00584A70" w:rsidRDefault="00E87E10" w:rsidP="00584A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tabs>
          <w:tab w:val="left" w:pos="426"/>
        </w:tabs>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6F5E3A" w:rsidRPr="00584A70" w:rsidRDefault="006F5E3A" w:rsidP="00584A70">
      <w:pPr>
        <w:pStyle w:val="Ttulo1"/>
        <w:rPr>
          <w:rFonts w:ascii="Palatino Linotype" w:eastAsia="Palatino Linotype" w:hAnsi="Palatino Linotype" w:cs="Palatino Linotype"/>
          <w:b/>
          <w:color w:val="000000" w:themeColor="text1"/>
          <w:sz w:val="24"/>
          <w:szCs w:val="24"/>
        </w:rPr>
      </w:pPr>
      <w:r w:rsidRPr="00584A70">
        <w:rPr>
          <w:rFonts w:ascii="Palatino Linotype" w:eastAsia="Palatino Linotype" w:hAnsi="Palatino Linotype" w:cs="Palatino Linotype"/>
          <w:b/>
          <w:color w:val="000000" w:themeColor="text1"/>
          <w:sz w:val="24"/>
          <w:szCs w:val="24"/>
        </w:rPr>
        <w:t xml:space="preserve">TERCERO. Planteamiento de la Litis </w:t>
      </w:r>
    </w:p>
    <w:p w:rsidR="00296317" w:rsidRPr="00584A70" w:rsidRDefault="006F5E3A" w:rsidP="00584A70">
      <w:pPr>
        <w:numPr>
          <w:ilvl w:val="0"/>
          <w:numId w:val="5"/>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El recu</w:t>
      </w:r>
      <w:r w:rsidR="00296317" w:rsidRPr="00584A70">
        <w:rPr>
          <w:rFonts w:ascii="Palatino Linotype" w:eastAsia="Palatino Linotype" w:hAnsi="Palatino Linotype" w:cs="Palatino Linotype"/>
          <w:color w:val="000000" w:themeColor="text1"/>
        </w:rPr>
        <w:t xml:space="preserve">rrente solicitó los recibos de pago de todo el año 2025, y los documentos que autorizan la actividad comercial de todos los comercios que ocupan la vía pública, y además, de todos los puestos fijos y semifijos que se encuentran en Capula, Col. Ricardo Flores Magón, Tlacateco, Las Ánimas, El Trébol, San Mateo Xoloc, Santa Cruz, Santiago Cuautlalpan, Cañada de Cisneros, Los Dolores, Texcacoa y en la Avenida de la Industria, Avenida el Convento y Avenida Hostería en el Trébol. </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296317" w:rsidP="00584A70">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b/>
          <w:bCs/>
          <w:color w:val="000000" w:themeColor="text1"/>
        </w:rPr>
      </w:pPr>
      <w:r w:rsidRPr="00584A70">
        <w:rPr>
          <w:rFonts w:ascii="Palatino Linotype" w:eastAsia="Palatino Linotype" w:hAnsi="Palatino Linotype" w:cs="Palatino Linotype"/>
          <w:color w:val="000000" w:themeColor="text1"/>
        </w:rPr>
        <w:t xml:space="preserve">De las solicitudes de información </w:t>
      </w:r>
      <w:r w:rsidRPr="00584A70">
        <w:rPr>
          <w:rFonts w:ascii="Palatino Linotype" w:eastAsia="Palatino Linotype" w:hAnsi="Palatino Linotype" w:cs="Palatino Linotype"/>
          <w:b/>
          <w:color w:val="000000" w:themeColor="text1"/>
        </w:rPr>
        <w:t xml:space="preserve">00483/TEPOTZOT/IP/2025, 00482/TEPOTZOT/IP/2025, </w:t>
      </w:r>
      <w:r w:rsidRPr="00584A70">
        <w:rPr>
          <w:rFonts w:ascii="Palatino Linotype" w:eastAsia="Palatino Linotype" w:hAnsi="Palatino Linotype" w:cs="Palatino Linotype"/>
          <w:b/>
          <w:bCs/>
          <w:color w:val="000000" w:themeColor="text1"/>
        </w:rPr>
        <w:t xml:space="preserve">00480/TEPOTZOT/IP/2025 y 00479/TEPOTZOT/IP/2025, </w:t>
      </w:r>
      <w:r w:rsidRPr="00584A70">
        <w:rPr>
          <w:rFonts w:ascii="Palatino Linotype" w:eastAsia="Palatino Linotype" w:hAnsi="Palatino Linotype" w:cs="Palatino Linotype"/>
          <w:bCs/>
          <w:color w:val="000000" w:themeColor="text1"/>
        </w:rPr>
        <w:t xml:space="preserve">el Sujeto Obligado no dio respuesta a la solicitud de información, </w:t>
      </w:r>
      <w:r w:rsidR="00A11ADC" w:rsidRPr="00584A70">
        <w:rPr>
          <w:rFonts w:ascii="Palatino Linotype" w:eastAsia="Palatino Linotype" w:hAnsi="Palatino Linotype" w:cs="Palatino Linotype"/>
          <w:bCs/>
          <w:color w:val="000000" w:themeColor="text1"/>
        </w:rPr>
        <w:t xml:space="preserve">por lo que el particular se inconformó por la negativa de la información; de las solicitudes de información </w:t>
      </w:r>
      <w:hyperlink r:id="rId17" w:history="1">
        <w:r w:rsidR="00A11ADC" w:rsidRPr="00584A70">
          <w:rPr>
            <w:rStyle w:val="Hipervnculo"/>
            <w:rFonts w:ascii="Palatino Linotype" w:eastAsia="Palatino Linotype" w:hAnsi="Palatino Linotype" w:cs="Palatino Linotype"/>
            <w:b/>
            <w:bCs/>
            <w:color w:val="000000" w:themeColor="text1"/>
            <w:u w:val="none"/>
          </w:rPr>
          <w:t>00484/TEPOTZOT/IP/2025</w:t>
        </w:r>
      </w:hyperlink>
      <w:r w:rsidR="00A11ADC" w:rsidRPr="00584A70">
        <w:rPr>
          <w:rFonts w:ascii="Palatino Linotype" w:eastAsia="Palatino Linotype" w:hAnsi="Palatino Linotype" w:cs="Palatino Linotype"/>
          <w:bCs/>
          <w:color w:val="000000" w:themeColor="text1"/>
        </w:rPr>
        <w:t xml:space="preserve">, </w:t>
      </w:r>
      <w:r w:rsidR="00A11ADC" w:rsidRPr="00584A70">
        <w:rPr>
          <w:rFonts w:ascii="Palatino Linotype" w:eastAsia="Palatino Linotype" w:hAnsi="Palatino Linotype" w:cs="Palatino Linotype"/>
          <w:b/>
          <w:bCs/>
          <w:color w:val="000000" w:themeColor="text1"/>
        </w:rPr>
        <w:t>00485/TEPOTZOT/IP/2025, 00486/TEPOTZOT/IP/2025, 00487/TEPOTZOT/IP/2025, 00488/TEPOTZOT/IP/2025, 00489/TEPOTZOT/IP/2025, 00490/TEPOTZOT/IP/2025 y 00491/TEPOTZOT/IP/2025,</w:t>
      </w:r>
      <w:r w:rsidR="00A11ADC" w:rsidRPr="00584A70">
        <w:rPr>
          <w:rFonts w:ascii="Palatino Linotype" w:eastAsia="Palatino Linotype" w:hAnsi="Palatino Linotype" w:cs="Palatino Linotype"/>
          <w:bCs/>
          <w:color w:val="000000" w:themeColor="text1"/>
        </w:rPr>
        <w:t xml:space="preserve"> el Sujeto Obligado señaló </w:t>
      </w:r>
      <w:r w:rsidR="00395FD1" w:rsidRPr="00584A70">
        <w:rPr>
          <w:rFonts w:ascii="Palatino Linotype" w:eastAsia="Palatino Linotype" w:hAnsi="Palatino Linotype" w:cs="Palatino Linotype"/>
          <w:bCs/>
          <w:color w:val="000000" w:themeColor="text1"/>
        </w:rPr>
        <w:t xml:space="preserve">a través de la Directora de Desarrollo Social y Fomento Económico que derivado de la búsqueda exhaustiva en los archivos físicos y electrónicos la información requerida no obra en sus </w:t>
      </w:r>
      <w:r w:rsidR="00395FD1" w:rsidRPr="00584A70">
        <w:rPr>
          <w:rFonts w:ascii="Palatino Linotype" w:eastAsia="Palatino Linotype" w:hAnsi="Palatino Linotype" w:cs="Palatino Linotype"/>
          <w:bCs/>
          <w:color w:val="000000" w:themeColor="text1"/>
        </w:rPr>
        <w:lastRenderedPageBreak/>
        <w:t>archivos, asimismo, señaló que en caso de ser necesario se invita a precisar y aclarar la información requerida, posteriormente, el Recurrente se inconformó de forma medular, por la negativa de la información.</w:t>
      </w:r>
    </w:p>
    <w:p w:rsidR="006F5E3A" w:rsidRPr="00584A70" w:rsidRDefault="006F5E3A" w:rsidP="00584A70">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Por lo tanto, </w:t>
      </w:r>
      <w:r w:rsidR="00395FD1" w:rsidRPr="00584A70">
        <w:rPr>
          <w:rFonts w:ascii="Palatino Linotype" w:eastAsia="Palatino Linotype" w:hAnsi="Palatino Linotype" w:cs="Palatino Linotype"/>
          <w:color w:val="000000" w:themeColor="text1"/>
        </w:rPr>
        <w:t>los recursos</w:t>
      </w:r>
      <w:r w:rsidRPr="00584A70">
        <w:rPr>
          <w:rFonts w:ascii="Palatino Linotype" w:eastAsia="Palatino Linotype" w:hAnsi="Palatino Linotype" w:cs="Palatino Linotype"/>
          <w:color w:val="000000" w:themeColor="text1"/>
        </w:rPr>
        <w:t xml:space="preserve"> de revisión se circunscribe en determinar si se actualiza la causal de procedencia</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 xml:space="preserve">contenida en el artículo 179 </w:t>
      </w:r>
      <w:r w:rsidR="00395FD1" w:rsidRPr="00584A70">
        <w:rPr>
          <w:rFonts w:ascii="Palatino Linotype" w:eastAsia="Palatino Linotype" w:hAnsi="Palatino Linotype" w:cs="Palatino Linotype"/>
          <w:color w:val="000000" w:themeColor="text1"/>
        </w:rPr>
        <w:t>fracciones</w:t>
      </w:r>
      <w:r w:rsidRPr="00584A70">
        <w:rPr>
          <w:rFonts w:ascii="Palatino Linotype" w:eastAsia="Palatino Linotype" w:hAnsi="Palatino Linotype" w:cs="Palatino Linotype"/>
          <w:color w:val="000000" w:themeColor="text1"/>
        </w:rPr>
        <w:t xml:space="preserve"> I </w:t>
      </w:r>
      <w:r w:rsidR="00900EA3" w:rsidRPr="00584A70">
        <w:rPr>
          <w:rFonts w:ascii="Palatino Linotype" w:eastAsia="Palatino Linotype" w:hAnsi="Palatino Linotype" w:cs="Palatino Linotype"/>
          <w:color w:val="000000" w:themeColor="text1"/>
        </w:rPr>
        <w:t xml:space="preserve">y VII </w:t>
      </w:r>
      <w:r w:rsidRPr="00584A70">
        <w:rPr>
          <w:rFonts w:ascii="Palatino Linotype" w:eastAsia="Palatino Linotype" w:hAnsi="Palatino Linotype" w:cs="Palatino Linotype"/>
          <w:color w:val="000000" w:themeColor="text1"/>
        </w:rPr>
        <w:t xml:space="preserve">relativo a la </w:t>
      </w:r>
      <w:r w:rsidR="00395FD1" w:rsidRPr="00584A70">
        <w:rPr>
          <w:rFonts w:ascii="Palatino Linotype" w:eastAsia="Palatino Linotype" w:hAnsi="Palatino Linotype" w:cs="Palatino Linotype"/>
          <w:color w:val="000000" w:themeColor="text1"/>
        </w:rPr>
        <w:t>negativa de la información</w:t>
      </w:r>
      <w:r w:rsidR="00900EA3" w:rsidRPr="00584A70">
        <w:rPr>
          <w:rFonts w:ascii="Palatino Linotype" w:eastAsia="Palatino Linotype" w:hAnsi="Palatino Linotype" w:cs="Palatino Linotype"/>
          <w:color w:val="000000" w:themeColor="text1"/>
        </w:rPr>
        <w:t xml:space="preserve"> y la falta de respuesta a la solicitud de acceso a la información</w:t>
      </w:r>
      <w:r w:rsidRPr="00584A70">
        <w:rPr>
          <w:rFonts w:ascii="Palatino Linotype" w:eastAsia="Palatino Linotype" w:hAnsi="Palatino Linotype" w:cs="Palatino Linotype"/>
          <w:color w:val="000000" w:themeColor="text1"/>
        </w:rPr>
        <w:t xml:space="preserve">, de la </w:t>
      </w:r>
      <w:r w:rsidRPr="00584A70">
        <w:rPr>
          <w:rFonts w:ascii="Palatino Linotype" w:eastAsia="Palatino Linotype" w:hAnsi="Palatino Linotype" w:cs="Palatino Linotype"/>
          <w:b/>
          <w:color w:val="000000" w:themeColor="text1"/>
        </w:rPr>
        <w:t>Ley de Transparencia y Acceso a la Información Pública del Estado de México y Municipios</w:t>
      </w:r>
      <w:r w:rsidRPr="00584A70">
        <w:rPr>
          <w:rFonts w:ascii="Palatino Linotype" w:eastAsia="Palatino Linotype" w:hAnsi="Palatino Linotype" w:cs="Palatino Linotype"/>
          <w:color w:val="000000" w:themeColor="text1"/>
        </w:rPr>
        <w:t>.</w:t>
      </w:r>
    </w:p>
    <w:p w:rsidR="00466579" w:rsidRPr="00584A70" w:rsidRDefault="00466579" w:rsidP="00584A70">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p>
    <w:p w:rsidR="006F5E3A" w:rsidRPr="00584A70" w:rsidRDefault="006F5E3A" w:rsidP="00584A70">
      <w:pPr>
        <w:pStyle w:val="Ttulo2"/>
        <w:tabs>
          <w:tab w:val="left" w:pos="426"/>
        </w:tabs>
        <w:rPr>
          <w:rFonts w:ascii="Palatino Linotype" w:eastAsia="Palatino Linotype" w:hAnsi="Palatino Linotype" w:cs="Palatino Linotype"/>
          <w:b/>
          <w:color w:val="000000" w:themeColor="text1"/>
          <w:sz w:val="24"/>
          <w:szCs w:val="24"/>
        </w:rPr>
      </w:pPr>
      <w:bookmarkStart w:id="8" w:name="_heading=h.3dy6vkm" w:colFirst="0" w:colLast="0"/>
      <w:bookmarkEnd w:id="8"/>
      <w:r w:rsidRPr="00584A70">
        <w:rPr>
          <w:rFonts w:ascii="Palatino Linotype" w:eastAsia="Palatino Linotype" w:hAnsi="Palatino Linotype" w:cs="Palatino Linotype"/>
          <w:b/>
          <w:color w:val="000000" w:themeColor="text1"/>
          <w:sz w:val="24"/>
          <w:szCs w:val="24"/>
        </w:rPr>
        <w:t>CUARTO. Estudio y Resolución del asunto.</w:t>
      </w: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1t3h5sf" w:colFirst="0" w:colLast="0"/>
      <w:bookmarkEnd w:id="9"/>
      <w:r w:rsidRPr="00584A70">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95FD1" w:rsidRPr="00584A70" w:rsidRDefault="00395FD1" w:rsidP="00054675">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 xml:space="preserve">De los recurso de revisión 11451/INFOEM/IP/RR/2025, 11452/INFOEM/IP/RR2025, 11454/INFOEM/IP/RR/2025 y 11455/INFOEM/IP/RR/2025. </w:t>
      </w:r>
    </w:p>
    <w:p w:rsidR="00900EA3" w:rsidRPr="00584A70" w:rsidRDefault="00900EA3" w:rsidP="00584A70">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 xml:space="preserve">Por lo que en cumplimiento a las obligaciones que establece nuestra Carta Magna, la Constitución Estatal y la Ley de la materia le imponen, </w:t>
      </w:r>
      <w:r w:rsidRPr="00584A70">
        <w:rPr>
          <w:rFonts w:ascii="Palatino Linotype" w:eastAsia="Palatino Linotype" w:hAnsi="Palatino Linotype" w:cs="Palatino Linotype"/>
          <w:b/>
          <w:color w:val="000000" w:themeColor="text1"/>
        </w:rPr>
        <w:t>EL SUJETO OBLIGADO</w:t>
      </w:r>
      <w:r w:rsidRPr="00584A70">
        <w:rPr>
          <w:rFonts w:ascii="Palatino Linotype" w:eastAsia="Palatino Linotype" w:hAnsi="Palatino Linotype" w:cs="Palatino Linotype"/>
          <w:color w:val="000000" w:themeColor="text1"/>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584A70">
        <w:rPr>
          <w:rFonts w:ascii="Palatino Linotype" w:eastAsia="Palatino Linotype" w:hAnsi="Palatino Linotype" w:cs="Palatino Linotype"/>
          <w:b/>
          <w:color w:val="000000" w:themeColor="text1"/>
        </w:rPr>
        <w:t>EL SUJETO OBLIGADO</w:t>
      </w:r>
      <w:r w:rsidRPr="00584A70">
        <w:rPr>
          <w:rFonts w:ascii="Palatino Linotype" w:eastAsia="Palatino Linotype" w:hAnsi="Palatino Linotype" w:cs="Palatino Linotype"/>
          <w:color w:val="000000" w:themeColor="text1"/>
        </w:rPr>
        <w:t xml:space="preserve"> fue omiso en dar respuesta a la solicitud de información dentro de los plazos establecidos en la Ley de Transparencia Local.</w:t>
      </w:r>
    </w:p>
    <w:p w:rsidR="00900EA3" w:rsidRPr="00584A70" w:rsidRDefault="00900EA3" w:rsidP="00584A70">
      <w:pPr>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y</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por tanto, procedente la interposición del recurso de revisión.</w:t>
      </w:r>
    </w:p>
    <w:p w:rsidR="00900EA3" w:rsidRPr="00584A70" w:rsidRDefault="00900EA3" w:rsidP="00584A70">
      <w:pPr>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En consecuencia, las razones o motivos de inconformidad hechos valer, resultan </w:t>
      </w:r>
      <w:r w:rsidRPr="00584A70">
        <w:rPr>
          <w:rFonts w:ascii="Palatino Linotype" w:eastAsia="Palatino Linotype" w:hAnsi="Palatino Linotype" w:cs="Palatino Linotype"/>
          <w:b/>
          <w:color w:val="000000" w:themeColor="text1"/>
        </w:rPr>
        <w:t>fundadas y procedentes</w:t>
      </w:r>
      <w:r w:rsidRPr="00584A70">
        <w:rPr>
          <w:rFonts w:ascii="Palatino Linotype" w:eastAsia="Palatino Linotype" w:hAnsi="Palatino Linotype" w:cs="Palatino Linotype"/>
          <w:color w:val="000000" w:themeColor="text1"/>
        </w:rPr>
        <w:t xml:space="preserve">, en virtud de las constancias que obran en el expediente electrónico SAIMEX, se acredita que </w:t>
      </w:r>
      <w:r w:rsidRPr="00584A70">
        <w:rPr>
          <w:rFonts w:ascii="Palatino Linotype" w:eastAsia="Palatino Linotype" w:hAnsi="Palatino Linotype" w:cs="Palatino Linotype"/>
          <w:b/>
          <w:color w:val="000000" w:themeColor="text1"/>
        </w:rPr>
        <w:t>EL SUJETO OBLIGADO</w:t>
      </w:r>
      <w:r w:rsidRPr="00584A70">
        <w:rPr>
          <w:rFonts w:ascii="Palatino Linotype" w:eastAsia="Palatino Linotype" w:hAnsi="Palatino Linotype" w:cs="Palatino Linotype"/>
          <w:color w:val="000000" w:themeColor="text1"/>
        </w:rPr>
        <w:t xml:space="preserve"> fue omiso en responder la solicitud de información hecha por </w:t>
      </w:r>
      <w:r w:rsidRPr="00584A70">
        <w:rPr>
          <w:rFonts w:ascii="Palatino Linotype" w:eastAsia="Palatino Linotype" w:hAnsi="Palatino Linotype" w:cs="Palatino Linotype"/>
          <w:b/>
          <w:color w:val="000000" w:themeColor="text1"/>
        </w:rPr>
        <w:t>EL RECURRENTE</w:t>
      </w:r>
      <w:r w:rsidRPr="00584A70">
        <w:rPr>
          <w:rFonts w:ascii="Palatino Linotype" w:eastAsia="Palatino Linotype" w:hAnsi="Palatino Linotype" w:cs="Palatino Linotype"/>
          <w:color w:val="000000" w:themeColor="text1"/>
        </w:rPr>
        <w:t xml:space="preserve">, es decir, incumplió las obligaciones que se le imponen como </w:t>
      </w:r>
      <w:r w:rsidRPr="00584A70">
        <w:rPr>
          <w:rFonts w:ascii="Palatino Linotype" w:eastAsia="Palatino Linotype" w:hAnsi="Palatino Linotype" w:cs="Palatino Linotype"/>
          <w:b/>
          <w:color w:val="000000" w:themeColor="text1"/>
        </w:rPr>
        <w:t>Sujeto Obligado</w:t>
      </w:r>
      <w:r w:rsidRPr="00584A70">
        <w:rPr>
          <w:rFonts w:ascii="Palatino Linotype" w:eastAsia="Palatino Linotype" w:hAnsi="Palatino Linotype" w:cs="Palatino Linotype"/>
          <w:color w:val="000000" w:themeColor="text1"/>
        </w:rPr>
        <w:t>, de conformidad con lo establecido en los artículos 4, 12, 23 fracción IV, 24 último párrafo y 160 de la Ley de Transparencia y Acceso a la Información Pública del Estado de México y Municipios.</w:t>
      </w:r>
    </w:p>
    <w:p w:rsidR="00900EA3" w:rsidRPr="00584A70" w:rsidRDefault="00900EA3" w:rsidP="00584A70">
      <w:pPr>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widowControl w:val="0"/>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900EA3" w:rsidRPr="00584A70" w:rsidRDefault="00900EA3" w:rsidP="00584A70">
      <w:pPr>
        <w:widowControl w:val="0"/>
        <w:tabs>
          <w:tab w:val="left" w:pos="1276"/>
        </w:tabs>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widowControl w:val="0"/>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00EA3" w:rsidRPr="00584A70" w:rsidRDefault="00900EA3" w:rsidP="00584A70">
      <w:pPr>
        <w:widowControl w:val="0"/>
        <w:tabs>
          <w:tab w:val="left" w:pos="1276"/>
        </w:tabs>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584A70">
        <w:rPr>
          <w:rFonts w:ascii="Palatino Linotype" w:eastAsia="Palatino Linotype" w:hAnsi="Palatino Linotype" w:cs="Palatino Linotype"/>
          <w:color w:val="000000" w:themeColor="text1"/>
        </w:rPr>
        <w:lastRenderedPageBreak/>
        <w:t>una conducta que ha vulnerado el derecho de acceso a la información consignado a favor del particular.</w:t>
      </w:r>
    </w:p>
    <w:p w:rsidR="00900EA3" w:rsidRPr="00584A70" w:rsidRDefault="00900EA3" w:rsidP="00584A70">
      <w:pPr>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En consecuencia, según lo dispuesto por el artículo 150 de la Ley de Transparencia y Acceso a la Información Pública del Estado de México y Municipios, el </w:t>
      </w:r>
      <w:r w:rsidRPr="00584A70">
        <w:rPr>
          <w:rFonts w:ascii="Palatino Linotype" w:eastAsia="Palatino Linotype" w:hAnsi="Palatino Linotype" w:cs="Palatino Linotype"/>
          <w:i/>
          <w:color w:val="000000" w:themeColor="text1"/>
        </w:rPr>
        <w:t xml:space="preserve">procedimiento de acceso a la información es la garantía primaria del derecho en cuestión, </w:t>
      </w:r>
      <w:r w:rsidRPr="00584A70">
        <w:rPr>
          <w:rFonts w:ascii="Palatino Linotype" w:eastAsia="Palatino Linotype" w:hAnsi="Palatino Linotype" w:cs="Palatino Linotype"/>
          <w:color w:val="000000" w:themeColor="text1"/>
        </w:rPr>
        <w:t>por lo tanto, la falta de respuesta a una solicitud de acceso a la información constituye un incumplimiento del sujeto obligado a su deber de garantizar el derecho, lo que constituye una vulneración al mismo.</w:t>
      </w:r>
    </w:p>
    <w:p w:rsidR="00900EA3" w:rsidRPr="00584A70" w:rsidRDefault="00900EA3" w:rsidP="00584A70">
      <w:pPr>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Por lo que, en cumplimiento a esta resolución, </w:t>
      </w:r>
      <w:r w:rsidRPr="00584A70">
        <w:rPr>
          <w:rFonts w:ascii="Palatino Linotype" w:eastAsia="Palatino Linotype" w:hAnsi="Palatino Linotype" w:cs="Palatino Linotype"/>
          <w:b/>
          <w:color w:val="000000" w:themeColor="text1"/>
        </w:rPr>
        <w:t xml:space="preserve">EL SUJETO OBLIGADO </w:t>
      </w:r>
      <w:r w:rsidRPr="00584A70">
        <w:rPr>
          <w:rFonts w:ascii="Palatino Linotype" w:eastAsia="Palatino Linotype" w:hAnsi="Palatino Linotype" w:cs="Palatino Linotype"/>
          <w:color w:val="000000" w:themeColor="text1"/>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00EA3" w:rsidRPr="00584A70" w:rsidRDefault="00900EA3" w:rsidP="00584A70">
      <w:pPr>
        <w:spacing w:line="360" w:lineRule="auto"/>
        <w:jc w:val="both"/>
        <w:rPr>
          <w:rFonts w:ascii="Palatino Linotype" w:eastAsia="Palatino Linotype" w:hAnsi="Palatino Linotype" w:cs="Palatino Linotype"/>
          <w:color w:val="000000" w:themeColor="text1"/>
        </w:rPr>
      </w:pPr>
    </w:p>
    <w:p w:rsidR="00900EA3" w:rsidRPr="00584A70" w:rsidRDefault="00900EA3" w:rsidP="00054675">
      <w:pPr>
        <w:pStyle w:val="Prrafodelista"/>
        <w:numPr>
          <w:ilvl w:val="0"/>
          <w:numId w:val="20"/>
        </w:numPr>
        <w:spacing w:line="360" w:lineRule="auto"/>
        <w:ind w:left="0" w:firstLine="0"/>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De la clasificación de la información</w:t>
      </w: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584A70">
        <w:rPr>
          <w:rFonts w:ascii="Palatino Linotype" w:eastAsia="Palatino Linotype" w:hAnsi="Palatino Linotype" w:cs="Palatino Linotype"/>
          <w:color w:val="000000" w:themeColor="text1"/>
        </w:rPr>
        <w:lastRenderedPageBreak/>
        <w:t xml:space="preserve">privada contenida en documentos públicos o privados que refiera a la vida privada y/o los datos personales, que no son de acceso público. </w:t>
      </w:r>
    </w:p>
    <w:p w:rsidR="00900EA3" w:rsidRPr="00584A70" w:rsidRDefault="00900EA3"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La Ley de Transparencia y Acceso a la Información Pública del Estado de México y Municipios, en sus artículos 140 y 143 prevé los siguientes supuestos para clasificar la información como reservada o confidencial.</w:t>
      </w:r>
    </w:p>
    <w:p w:rsidR="00900EA3" w:rsidRPr="00584A70" w:rsidRDefault="00900EA3" w:rsidP="00584A70">
      <w:pPr>
        <w:pBdr>
          <w:top w:val="nil"/>
          <w:left w:val="nil"/>
          <w:bottom w:val="nil"/>
          <w:right w:val="nil"/>
          <w:between w:val="nil"/>
        </w:pBdr>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Por lo que para dar atención a la solicitud de información, si </w:t>
      </w:r>
      <w:r w:rsidRPr="00584A70">
        <w:rPr>
          <w:rFonts w:ascii="Palatino Linotype" w:eastAsia="Palatino Linotype" w:hAnsi="Palatino Linotype" w:cs="Palatino Linotype"/>
          <w:b/>
          <w:color w:val="000000" w:themeColor="text1"/>
        </w:rPr>
        <w:t>EL SUJETO OBLIGADO</w:t>
      </w:r>
      <w:r w:rsidRPr="00584A70">
        <w:rPr>
          <w:rFonts w:ascii="Palatino Linotype" w:eastAsia="Palatino Linotype" w:hAnsi="Palatino Linotype" w:cs="Palatino Linotype"/>
          <w:color w:val="000000" w:themeColor="text1"/>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00EA3" w:rsidRPr="00584A70" w:rsidRDefault="00900EA3" w:rsidP="00584A70">
      <w:pPr>
        <w:pBdr>
          <w:top w:val="nil"/>
          <w:left w:val="nil"/>
          <w:bottom w:val="nil"/>
          <w:right w:val="nil"/>
          <w:between w:val="nil"/>
        </w:pBdr>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00EA3" w:rsidRPr="00584A70" w:rsidRDefault="00900EA3" w:rsidP="00584A70">
      <w:pPr>
        <w:pBdr>
          <w:top w:val="nil"/>
          <w:left w:val="nil"/>
          <w:bottom w:val="nil"/>
          <w:right w:val="nil"/>
          <w:between w:val="nil"/>
        </w:pBdr>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584A70">
        <w:rPr>
          <w:rFonts w:ascii="Palatino Linotype" w:eastAsia="Palatino Linotype" w:hAnsi="Palatino Linotype" w:cs="Palatino Linotype"/>
          <w:color w:val="000000" w:themeColor="text1"/>
        </w:rPr>
        <w:lastRenderedPageBreak/>
        <w:t>desclasificación de la información, garantizan la confidencialidad, el uso adecuado de la información, entre otros.</w:t>
      </w:r>
    </w:p>
    <w:p w:rsidR="00900EA3" w:rsidRPr="00584A70" w:rsidRDefault="00900EA3" w:rsidP="00584A70">
      <w:pPr>
        <w:pBdr>
          <w:top w:val="nil"/>
          <w:left w:val="nil"/>
          <w:bottom w:val="nil"/>
          <w:right w:val="nil"/>
          <w:between w:val="nil"/>
        </w:pBdr>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84A70">
        <w:rPr>
          <w:rFonts w:ascii="Palatino Linotype" w:eastAsia="Palatino Linotype" w:hAnsi="Palatino Linotype" w:cs="Palatino Linotype"/>
          <w:b/>
          <w:color w:val="000000" w:themeColor="text1"/>
        </w:rPr>
        <w:t>Sujeto Obligado</w:t>
      </w:r>
      <w:r w:rsidRPr="00584A70">
        <w:rPr>
          <w:rFonts w:ascii="Palatino Linotype" w:eastAsia="Palatino Linotype" w:hAnsi="Palatino Linotype" w:cs="Palatino Linotype"/>
          <w:color w:val="000000" w:themeColor="text1"/>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00EA3" w:rsidRPr="00584A70" w:rsidRDefault="00900EA3" w:rsidP="00584A70">
      <w:pPr>
        <w:pBdr>
          <w:top w:val="nil"/>
          <w:left w:val="nil"/>
          <w:bottom w:val="nil"/>
          <w:right w:val="nil"/>
          <w:between w:val="nil"/>
        </w:pBdr>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00EA3" w:rsidRPr="00584A70" w:rsidRDefault="00900EA3" w:rsidP="00584A70">
      <w:pPr>
        <w:pBdr>
          <w:top w:val="nil"/>
          <w:left w:val="nil"/>
          <w:bottom w:val="nil"/>
          <w:right w:val="nil"/>
          <w:between w:val="nil"/>
        </w:pBdr>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00EA3" w:rsidRPr="00584A70" w:rsidRDefault="00900EA3"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en el que se </w:t>
      </w:r>
      <w:r w:rsidRPr="00584A70">
        <w:rPr>
          <w:rFonts w:ascii="Palatino Linotype" w:eastAsia="Palatino Linotype" w:hAnsi="Palatino Linotype" w:cs="Palatino Linotype"/>
          <w:color w:val="000000" w:themeColor="text1"/>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00EA3" w:rsidRPr="00584A70" w:rsidRDefault="00900EA3" w:rsidP="00584A70">
      <w:pPr>
        <w:pBdr>
          <w:top w:val="nil"/>
          <w:left w:val="nil"/>
          <w:bottom w:val="nil"/>
          <w:right w:val="nil"/>
          <w:between w:val="nil"/>
        </w:pBdr>
        <w:rPr>
          <w:rFonts w:ascii="Palatino Linotype" w:eastAsia="Palatino Linotype" w:hAnsi="Palatino Linotype" w:cs="Palatino Linotype"/>
          <w:color w:val="000000" w:themeColor="text1"/>
        </w:rPr>
      </w:pP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84A70">
        <w:rPr>
          <w:rFonts w:ascii="Palatino Linotype" w:eastAsia="Palatino Linotype" w:hAnsi="Palatino Linotype" w:cs="Palatino Linotype"/>
          <w:i/>
          <w:color w:val="000000" w:themeColor="text1"/>
        </w:rPr>
        <w:t>.</w:t>
      </w:r>
    </w:p>
    <w:p w:rsidR="00900EA3" w:rsidRPr="00584A70" w:rsidRDefault="00900EA3" w:rsidP="00584A70">
      <w:pPr>
        <w:spacing w:line="360" w:lineRule="auto"/>
        <w:jc w:val="both"/>
        <w:rPr>
          <w:rFonts w:ascii="Palatino Linotype" w:eastAsia="Palatino Linotype" w:hAnsi="Palatino Linotype" w:cs="Palatino Linotype"/>
          <w:color w:val="000000" w:themeColor="text1"/>
        </w:rPr>
      </w:pPr>
    </w:p>
    <w:p w:rsidR="00900EA3" w:rsidRPr="00584A70" w:rsidRDefault="00900EA3" w:rsidP="00054675">
      <w:pPr>
        <w:pStyle w:val="Prrafodelista"/>
        <w:numPr>
          <w:ilvl w:val="0"/>
          <w:numId w:val="20"/>
        </w:numPr>
        <w:spacing w:line="360" w:lineRule="auto"/>
        <w:ind w:left="0" w:firstLine="0"/>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 xml:space="preserve">De la vista a los órganos de control interno competentes </w:t>
      </w:r>
    </w:p>
    <w:p w:rsidR="00900EA3"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Como ya se mencionó </w:t>
      </w:r>
      <w:r w:rsidRPr="00584A70">
        <w:rPr>
          <w:rFonts w:ascii="Palatino Linotype" w:eastAsia="Palatino Linotype" w:hAnsi="Palatino Linotype" w:cs="Palatino Linotype"/>
          <w:b/>
          <w:color w:val="000000" w:themeColor="text1"/>
        </w:rPr>
        <w:t>EL SUJETO OBLIGADO</w:t>
      </w:r>
      <w:r w:rsidRPr="00584A70">
        <w:rPr>
          <w:rFonts w:ascii="Palatino Linotype" w:eastAsia="Palatino Linotype" w:hAnsi="Palatino Linotype" w:cs="Palatino Linotype"/>
          <w:color w:val="000000" w:themeColor="text1"/>
        </w:rPr>
        <w:t>, no proporcionó respuesta a la solicitud de acceso a la información pública, en el término previsto en el artículo 163 de la Ley de Transparencia y Acceso a la Información Pública por lo que ordena dar vista</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00EA3" w:rsidRPr="00584A70" w:rsidRDefault="00900EA3"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95FD1" w:rsidRPr="00584A70" w:rsidRDefault="00900EA3"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Por lo tanto, de lo expuesto y con fundamento en la fracción IV del artículo 186, de la Ley de Transparencia y Acceso a la Información Pública del Estado de México y Municipios, </w:t>
      </w:r>
      <w:r w:rsidRPr="00584A70">
        <w:rPr>
          <w:rFonts w:ascii="Palatino Linotype" w:eastAsia="Palatino Linotype" w:hAnsi="Palatino Linotype" w:cs="Palatino Linotype"/>
          <w:color w:val="000000" w:themeColor="text1"/>
        </w:rPr>
        <w:lastRenderedPageBreak/>
        <w:t xml:space="preserve">se </w:t>
      </w:r>
      <w:r w:rsidRPr="00584A70">
        <w:rPr>
          <w:rFonts w:ascii="Palatino Linotype" w:eastAsia="Palatino Linotype" w:hAnsi="Palatino Linotype" w:cs="Palatino Linotype"/>
          <w:b/>
          <w:color w:val="000000" w:themeColor="text1"/>
        </w:rPr>
        <w:t>ORDENA</w:t>
      </w:r>
      <w:r w:rsidRPr="00584A70">
        <w:rPr>
          <w:rFonts w:ascii="Palatino Linotype" w:eastAsia="Palatino Linotype" w:hAnsi="Palatino Linotype" w:cs="Palatino Linotype"/>
          <w:color w:val="000000" w:themeColor="text1"/>
        </w:rPr>
        <w:t xml:space="preserve"> al </w:t>
      </w:r>
      <w:r w:rsidRPr="00584A70">
        <w:rPr>
          <w:rFonts w:ascii="Palatino Linotype" w:eastAsia="Palatino Linotype" w:hAnsi="Palatino Linotype" w:cs="Palatino Linotype"/>
          <w:b/>
          <w:color w:val="000000" w:themeColor="text1"/>
        </w:rPr>
        <w:t>Sujeto Obligado</w:t>
      </w:r>
      <w:r w:rsidRPr="00584A70">
        <w:rPr>
          <w:rFonts w:ascii="Palatino Linotype" w:eastAsia="Palatino Linotype" w:hAnsi="Palatino Linotype" w:cs="Palatino Linotype"/>
          <w:color w:val="000000" w:themeColor="text1"/>
        </w:rPr>
        <w:t xml:space="preserve">, atienda la solicitud de información </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 xml:space="preserve">folio </w:t>
      </w:r>
      <w:r w:rsidRPr="00584A70">
        <w:rPr>
          <w:rFonts w:ascii="Palatino Linotype" w:eastAsia="Palatino Linotype" w:hAnsi="Palatino Linotype" w:cs="Palatino Linotype"/>
          <w:b/>
          <w:color w:val="000000" w:themeColor="text1"/>
        </w:rPr>
        <w:t xml:space="preserve"> 00483/TEPOTZOT/IP/2025, 00482/TEPOTZOT/IP/2025, </w:t>
      </w:r>
      <w:r w:rsidRPr="00584A70">
        <w:rPr>
          <w:rFonts w:ascii="Palatino Linotype" w:eastAsia="Palatino Linotype" w:hAnsi="Palatino Linotype" w:cs="Palatino Linotype"/>
          <w:b/>
          <w:bCs/>
          <w:color w:val="000000" w:themeColor="text1"/>
        </w:rPr>
        <w:t>00480/TEPOTZOT/IP/2025 y 00479/TEPOTZOT/IP/2025</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que dieron origen a los recursos de revisión</w:t>
      </w:r>
      <w:r w:rsidRPr="00584A70">
        <w:rPr>
          <w:rFonts w:ascii="Palatino Linotype" w:eastAsia="Palatino Linotype" w:hAnsi="Palatino Linotype" w:cs="Palatino Linotype"/>
          <w:b/>
          <w:color w:val="000000" w:themeColor="text1"/>
        </w:rPr>
        <w:t xml:space="preserve"> 11451/INFOEM/IP/RR/2025, 11452/INFOEM/IP/RR/2025, 11454/INFOEM/IP/RR/2025, 11455/INFOEM/IP/RR/2025, </w:t>
      </w:r>
      <w:r w:rsidRPr="00584A70">
        <w:rPr>
          <w:rFonts w:ascii="Palatino Linotype" w:eastAsia="Palatino Linotype" w:hAnsi="Palatino Linotype" w:cs="Palatino Linotype"/>
          <w:color w:val="000000" w:themeColor="text1"/>
        </w:rPr>
        <w:t xml:space="preserve">que ha sido materia del presente fallo. </w:t>
      </w:r>
    </w:p>
    <w:p w:rsidR="00395FD1" w:rsidRPr="00584A70" w:rsidRDefault="00395FD1" w:rsidP="00584A70">
      <w:pPr>
        <w:pStyle w:val="Prrafodelista"/>
        <w:pBdr>
          <w:top w:val="nil"/>
          <w:left w:val="nil"/>
          <w:bottom w:val="nil"/>
          <w:right w:val="nil"/>
          <w:between w:val="nil"/>
        </w:pBdr>
        <w:spacing w:line="360" w:lineRule="auto"/>
        <w:ind w:left="0"/>
        <w:jc w:val="both"/>
        <w:rPr>
          <w:rFonts w:ascii="Palatino Linotype" w:hAnsi="Palatino Linotype"/>
          <w:color w:val="000000" w:themeColor="text1"/>
        </w:rPr>
      </w:pPr>
    </w:p>
    <w:p w:rsidR="00395FD1" w:rsidRPr="00584A70" w:rsidRDefault="00395FD1" w:rsidP="00054675">
      <w:pPr>
        <w:pStyle w:val="Prrafodelista"/>
        <w:numPr>
          <w:ilvl w:val="0"/>
          <w:numId w:val="1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84A70">
        <w:rPr>
          <w:rFonts w:ascii="Palatino Linotype" w:hAnsi="Palatino Linotype"/>
          <w:b/>
          <w:color w:val="000000" w:themeColor="text1"/>
        </w:rPr>
        <w:t xml:space="preserve">De los recursos de revisión 11433/INFOEM/IP/RR/2025, 11456/INFOEM/IP/RR/2025, </w:t>
      </w:r>
      <w:r w:rsidR="003155F8" w:rsidRPr="00584A70">
        <w:rPr>
          <w:rFonts w:ascii="Palatino Linotype" w:hAnsi="Palatino Linotype"/>
          <w:b/>
          <w:color w:val="000000" w:themeColor="text1"/>
        </w:rPr>
        <w:t>11457/INFOEM/IP/RR/2025, 11458/INFOEM/IP/RR/2025, 11459/INFOEM/IP/RR/2025, 11460/INFOEM/IP/RR/2025, 11461/INFOEM/IP/RR/2025 y 11462/INFOEM/IP/RR/2025</w:t>
      </w:r>
      <w:r w:rsidR="003155F8" w:rsidRPr="00584A70">
        <w:rPr>
          <w:rFonts w:ascii="Palatino Linotype" w:hAnsi="Palatino Linotype"/>
          <w:color w:val="000000" w:themeColor="text1"/>
        </w:rPr>
        <w:t xml:space="preserve">. </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Ahora bien,  d</w:t>
      </w:r>
      <w:r w:rsidRPr="00584A70">
        <w:rPr>
          <w:rFonts w:ascii="Palatino Linotype" w:eastAsia="MS Mincho" w:hAnsi="Palatino Linotype"/>
          <w:color w:val="000000" w:themeColor="text1"/>
        </w:rPr>
        <w:t xml:space="preserve">ebemos mencionar que el acceso a la información es un derecho humano constitucional y convencionalmente reconocido y para tal efecto </w:t>
      </w:r>
      <w:r w:rsidRPr="00584A70">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584A70">
        <w:rPr>
          <w:rFonts w:ascii="Palatino Linotype" w:eastAsia="Calibri" w:hAnsi="Palatino Linotype"/>
          <w:i/>
          <w:color w:val="000000" w:themeColor="text1"/>
          <w:lang w:val="es-ES"/>
        </w:rPr>
        <w:t xml:space="preserve">en el ámbito de sus atribuciones, de promover, respetar, proteger y </w:t>
      </w:r>
      <w:r w:rsidRPr="00584A70">
        <w:rPr>
          <w:rFonts w:ascii="Palatino Linotype" w:eastAsia="Calibri" w:hAnsi="Palatino Linotype"/>
          <w:b/>
          <w:i/>
          <w:color w:val="000000" w:themeColor="text1"/>
          <w:lang w:val="es-ES"/>
        </w:rPr>
        <w:t>garantizar</w:t>
      </w:r>
      <w:r w:rsidRPr="00584A70">
        <w:rPr>
          <w:rFonts w:ascii="Palatino Linotype" w:eastAsia="Calibri" w:hAnsi="Palatino Linotype"/>
          <w:i/>
          <w:color w:val="000000" w:themeColor="text1"/>
          <w:lang w:val="es-ES"/>
        </w:rPr>
        <w:t xml:space="preserve"> los derechos humanos. </w:t>
      </w:r>
      <w:r w:rsidRPr="00584A70">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584A70">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584A70">
        <w:rPr>
          <w:rStyle w:val="Refdenotaalpie"/>
          <w:rFonts w:ascii="Palatino Linotype" w:hAnsi="Palatino Linotype"/>
          <w:i/>
          <w:color w:val="000000" w:themeColor="text1"/>
        </w:rPr>
        <w:footnoteReference w:id="1"/>
      </w:r>
      <w:r w:rsidRPr="00584A70">
        <w:rPr>
          <w:rFonts w:ascii="Palatino Linotype" w:hAnsi="Palatino Linotype"/>
          <w:i/>
          <w:color w:val="000000" w:themeColor="text1"/>
        </w:rPr>
        <w:t xml:space="preserve">, </w:t>
      </w:r>
      <w:r w:rsidRPr="00584A70">
        <w:rPr>
          <w:rFonts w:ascii="Palatino Linotype" w:hAnsi="Palatino Linotype"/>
          <w:color w:val="000000" w:themeColor="text1"/>
        </w:rPr>
        <w:t>asimismo establece</w:t>
      </w:r>
      <w:r w:rsidRPr="00584A70">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w:t>
      </w:r>
      <w:r w:rsidRPr="00584A70">
        <w:rPr>
          <w:rFonts w:ascii="Palatino Linotype" w:hAnsi="Palatino Linotype"/>
          <w:i/>
          <w:color w:val="000000" w:themeColor="text1"/>
        </w:rPr>
        <w:lastRenderedPageBreak/>
        <w:t>acceso a la información, mediante solicitudes de información y deberá apoyar al solicitante en la elaboración de las mismas.</w:t>
      </w:r>
    </w:p>
    <w:p w:rsidR="006F5E3A" w:rsidRPr="00584A70" w:rsidRDefault="006F5E3A" w:rsidP="00584A70">
      <w:pPr>
        <w:pStyle w:val="Prrafodelista"/>
        <w:ind w:left="0"/>
        <w:rPr>
          <w:rFonts w:ascii="Palatino Linotype" w:eastAsia="Calibri" w:hAnsi="Palatino Linotype" w:cs="Arial"/>
          <w:color w:val="000000" w:themeColor="text1"/>
        </w:rPr>
      </w:pPr>
    </w:p>
    <w:p w:rsidR="006F5E3A" w:rsidRPr="00584A70" w:rsidRDefault="006F5E3A" w:rsidP="00584A70">
      <w:pPr>
        <w:pStyle w:val="Prrafodelista"/>
        <w:numPr>
          <w:ilvl w:val="0"/>
          <w:numId w:val="5"/>
        </w:numPr>
        <w:spacing w:line="360" w:lineRule="auto"/>
        <w:ind w:left="0" w:firstLine="0"/>
        <w:jc w:val="both"/>
        <w:rPr>
          <w:rFonts w:ascii="Palatino Linotype" w:eastAsia="Calibri" w:hAnsi="Palatino Linotype" w:cs="Arial"/>
          <w:color w:val="000000" w:themeColor="text1"/>
        </w:rPr>
      </w:pPr>
      <w:r w:rsidRPr="00584A70">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6F5E3A" w:rsidRPr="00584A70" w:rsidRDefault="006F5E3A" w:rsidP="00584A70">
      <w:pPr>
        <w:pStyle w:val="Prrafodelista"/>
        <w:ind w:left="0"/>
        <w:rPr>
          <w:rFonts w:ascii="Palatino Linotype" w:hAnsi="Palatino Linotype"/>
          <w:color w:val="000000" w:themeColor="text1"/>
        </w:rPr>
      </w:pPr>
    </w:p>
    <w:p w:rsidR="006F5E3A" w:rsidRPr="00584A70" w:rsidRDefault="006F5E3A" w:rsidP="00584A70">
      <w:pPr>
        <w:pStyle w:val="Prrafodelista"/>
        <w:numPr>
          <w:ilvl w:val="0"/>
          <w:numId w:val="5"/>
        </w:numPr>
        <w:spacing w:line="360" w:lineRule="auto"/>
        <w:ind w:left="0" w:firstLine="0"/>
        <w:jc w:val="both"/>
        <w:rPr>
          <w:rFonts w:ascii="Palatino Linotype" w:eastAsia="Calibri" w:hAnsi="Palatino Linotype" w:cs="Arial"/>
          <w:color w:val="000000" w:themeColor="text1"/>
        </w:rPr>
      </w:pPr>
      <w:r w:rsidRPr="00584A70">
        <w:rPr>
          <w:rFonts w:ascii="Palatino Linotype" w:hAnsi="Palatino Linotype"/>
          <w:color w:val="000000" w:themeColor="text1"/>
        </w:rPr>
        <w:t xml:space="preserve">Es así que, su obligación es </w:t>
      </w:r>
      <w:r w:rsidRPr="00584A70">
        <w:rPr>
          <w:rFonts w:ascii="Palatino Linotype" w:hAnsi="Palatino Linotype"/>
          <w:i/>
          <w:color w:val="000000" w:themeColor="text1"/>
        </w:rPr>
        <w:t>realizar, con efectividad, los trámites internos necesarios para la atención de las solicitudes de información</w:t>
      </w:r>
      <w:r w:rsidRPr="00584A70">
        <w:rPr>
          <w:rStyle w:val="Refdenotaalpie"/>
          <w:rFonts w:ascii="Palatino Linotype" w:hAnsi="Palatino Linotype"/>
          <w:color w:val="000000" w:themeColor="text1"/>
        </w:rPr>
        <w:footnoteReference w:id="2"/>
      </w:r>
      <w:r w:rsidRPr="00584A70">
        <w:rPr>
          <w:rFonts w:ascii="Palatino Linotype" w:hAnsi="Palatino Linotype"/>
          <w:color w:val="000000" w:themeColor="text1"/>
        </w:rPr>
        <w:t>, es decir, deben otorgar respuestas concisas, contundentes y sobre todo que den la certeza de los actos que realizan.</w:t>
      </w:r>
    </w:p>
    <w:p w:rsidR="006F5E3A" w:rsidRPr="00584A70" w:rsidRDefault="006F5E3A" w:rsidP="00584A70">
      <w:pPr>
        <w:pStyle w:val="Prrafodelista"/>
        <w:ind w:left="0"/>
        <w:rPr>
          <w:rFonts w:ascii="Palatino Linotype" w:eastAsia="Calibri" w:hAnsi="Palatino Linotype" w:cs="Arial"/>
          <w:color w:val="000000" w:themeColor="text1"/>
        </w:rPr>
      </w:pPr>
    </w:p>
    <w:p w:rsidR="006F5E3A" w:rsidRPr="00584A70" w:rsidRDefault="006F5E3A" w:rsidP="00584A70">
      <w:pPr>
        <w:pStyle w:val="Prrafodelista"/>
        <w:numPr>
          <w:ilvl w:val="0"/>
          <w:numId w:val="5"/>
        </w:numPr>
        <w:spacing w:line="360" w:lineRule="auto"/>
        <w:ind w:left="0" w:firstLine="0"/>
        <w:jc w:val="both"/>
        <w:rPr>
          <w:rFonts w:ascii="Palatino Linotype" w:eastAsia="MS Mincho" w:hAnsi="Palatino Linotype"/>
          <w:color w:val="000000" w:themeColor="text1"/>
        </w:rPr>
      </w:pPr>
      <w:r w:rsidRPr="00584A70">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584A70">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i/>
          <w:iCs/>
          <w:color w:val="000000" w:themeColor="text1"/>
        </w:rPr>
        <w:t xml:space="preserve">Artículo 50. </w:t>
      </w:r>
      <w:r w:rsidRPr="00584A70">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6F5E3A" w:rsidRPr="00584A70" w:rsidRDefault="006F5E3A" w:rsidP="00584A70">
      <w:pPr>
        <w:jc w:val="both"/>
        <w:rPr>
          <w:rFonts w:ascii="Palatino Linotype" w:eastAsia="Palatino Linotype" w:hAnsi="Palatino Linotype" w:cs="Palatino Linotype"/>
          <w:i/>
          <w:iCs/>
          <w:color w:val="000000" w:themeColor="text1"/>
        </w:rPr>
      </w:pP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i/>
          <w:iCs/>
          <w:color w:val="000000" w:themeColor="text1"/>
        </w:rPr>
        <w:t xml:space="preserve">Artículo 53. </w:t>
      </w:r>
      <w:r w:rsidRPr="00584A70">
        <w:rPr>
          <w:rFonts w:ascii="Palatino Linotype" w:eastAsia="Palatino Linotype" w:hAnsi="Palatino Linotype" w:cs="Palatino Linotype"/>
          <w:i/>
          <w:iCs/>
          <w:color w:val="000000" w:themeColor="text1"/>
        </w:rPr>
        <w:t>Las Unidades de Transparencia tendrán las siguientes funciones:</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i/>
          <w:iCs/>
          <w:color w:val="000000" w:themeColor="text1"/>
        </w:rPr>
        <w:t>(…)</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bCs/>
          <w:i/>
          <w:iCs/>
          <w:color w:val="000000" w:themeColor="text1"/>
        </w:rPr>
        <w:lastRenderedPageBreak/>
        <w:t>II.</w:t>
      </w:r>
      <w:r w:rsidRPr="00584A70">
        <w:rPr>
          <w:rFonts w:ascii="Palatino Linotype" w:eastAsia="Palatino Linotype" w:hAnsi="Palatino Linotype" w:cs="Palatino Linotype"/>
          <w:i/>
          <w:iCs/>
          <w:color w:val="000000" w:themeColor="text1"/>
        </w:rPr>
        <w:t xml:space="preserve"> Recibir, tramitar y dar respuesta a las solicitudes de acceso a la información;</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i/>
          <w:iCs/>
          <w:color w:val="000000" w:themeColor="text1"/>
        </w:rPr>
        <w:t>(…)</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bCs/>
          <w:i/>
          <w:iCs/>
          <w:color w:val="000000" w:themeColor="text1"/>
        </w:rPr>
        <w:t>IV.</w:t>
      </w:r>
      <w:r w:rsidRPr="00584A70">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bCs/>
          <w:i/>
          <w:iCs/>
          <w:color w:val="000000" w:themeColor="text1"/>
        </w:rPr>
        <w:t>V.</w:t>
      </w:r>
      <w:r w:rsidRPr="00584A70">
        <w:rPr>
          <w:rFonts w:ascii="Palatino Linotype" w:eastAsia="Palatino Linotype" w:hAnsi="Palatino Linotype" w:cs="Palatino Linotype"/>
          <w:i/>
          <w:iCs/>
          <w:color w:val="000000" w:themeColor="text1"/>
        </w:rPr>
        <w:t xml:space="preserve"> Entregar, en su caso, a los particulares la información solicitada;</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i/>
          <w:iCs/>
          <w:color w:val="000000" w:themeColor="text1"/>
        </w:rPr>
        <w:t>(…)</w:t>
      </w:r>
    </w:p>
    <w:p w:rsidR="006F5E3A" w:rsidRPr="00584A70" w:rsidRDefault="006F5E3A" w:rsidP="00584A70">
      <w:pPr>
        <w:jc w:val="both"/>
        <w:rPr>
          <w:rFonts w:ascii="Palatino Linotype" w:eastAsia="Palatino Linotype" w:hAnsi="Palatino Linotype" w:cs="Palatino Linotype"/>
          <w:i/>
          <w:iCs/>
          <w:color w:val="000000" w:themeColor="text1"/>
        </w:rPr>
      </w:pP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i/>
          <w:iCs/>
          <w:color w:val="000000" w:themeColor="text1"/>
        </w:rPr>
        <w:t xml:space="preserve">Artículo 58. </w:t>
      </w:r>
      <w:r w:rsidRPr="00584A70">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6F5E3A" w:rsidRPr="00584A70" w:rsidRDefault="006F5E3A" w:rsidP="00584A70">
      <w:pPr>
        <w:jc w:val="both"/>
        <w:rPr>
          <w:rFonts w:ascii="Palatino Linotype" w:eastAsia="Palatino Linotype" w:hAnsi="Palatino Linotype" w:cs="Palatino Linotype"/>
          <w:i/>
          <w:iCs/>
          <w:color w:val="000000" w:themeColor="text1"/>
        </w:rPr>
      </w:pP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i/>
          <w:iCs/>
          <w:color w:val="000000" w:themeColor="text1"/>
        </w:rPr>
        <w:t xml:space="preserve">Artículo 59. </w:t>
      </w:r>
      <w:r w:rsidRPr="00584A70">
        <w:rPr>
          <w:rFonts w:ascii="Palatino Linotype" w:eastAsia="Palatino Linotype" w:hAnsi="Palatino Linotype" w:cs="Palatino Linotype"/>
          <w:i/>
          <w:iCs/>
          <w:color w:val="000000" w:themeColor="text1"/>
        </w:rPr>
        <w:t>Los servidores públicos habilitados tendrán las funciones siguientes:</w:t>
      </w:r>
    </w:p>
    <w:p w:rsidR="006F5E3A" w:rsidRPr="00584A70" w:rsidRDefault="006F5E3A" w:rsidP="00584A70">
      <w:pPr>
        <w:jc w:val="both"/>
        <w:rPr>
          <w:rFonts w:ascii="Palatino Linotype" w:eastAsia="Palatino Linotype" w:hAnsi="Palatino Linotype" w:cs="Palatino Linotype"/>
          <w:i/>
          <w:iCs/>
          <w:color w:val="000000" w:themeColor="text1"/>
        </w:rPr>
      </w:pP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bCs/>
          <w:i/>
          <w:iCs/>
          <w:color w:val="000000" w:themeColor="text1"/>
        </w:rPr>
        <w:t>I.</w:t>
      </w:r>
      <w:r w:rsidRPr="00584A70">
        <w:rPr>
          <w:rFonts w:ascii="Palatino Linotype" w:eastAsia="Palatino Linotype" w:hAnsi="Palatino Linotype" w:cs="Palatino Linotype"/>
          <w:i/>
          <w:iCs/>
          <w:color w:val="000000" w:themeColor="text1"/>
        </w:rPr>
        <w:t xml:space="preserve"> Localizar la información que le solicite la Unidad de Transparencia;</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bCs/>
          <w:i/>
          <w:iCs/>
          <w:color w:val="000000" w:themeColor="text1"/>
        </w:rPr>
        <w:t>II.</w:t>
      </w:r>
      <w:r w:rsidRPr="00584A70">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i/>
          <w:iCs/>
          <w:color w:val="000000" w:themeColor="text1"/>
        </w:rPr>
        <w:t>(...)</w:t>
      </w:r>
    </w:p>
    <w:p w:rsidR="006F5E3A" w:rsidRPr="00584A70" w:rsidRDefault="006F5E3A" w:rsidP="00584A70">
      <w:pPr>
        <w:jc w:val="both"/>
        <w:rPr>
          <w:rFonts w:ascii="Palatino Linotype" w:eastAsia="Palatino Linotype" w:hAnsi="Palatino Linotype" w:cs="Palatino Linotype"/>
          <w:i/>
          <w:iCs/>
          <w:color w:val="000000" w:themeColor="text1"/>
        </w:rPr>
      </w:pPr>
    </w:p>
    <w:p w:rsidR="006F5E3A" w:rsidRPr="00584A70" w:rsidRDefault="006F5E3A" w:rsidP="00584A70">
      <w:pPr>
        <w:jc w:val="both"/>
        <w:rPr>
          <w:rFonts w:ascii="Palatino Linotype" w:eastAsia="Palatino Linotype" w:hAnsi="Palatino Linotype" w:cs="Palatino Linotype"/>
          <w:i/>
          <w:iCs/>
          <w:color w:val="000000" w:themeColor="text1"/>
        </w:rPr>
      </w:pPr>
      <w:r w:rsidRPr="00584A70">
        <w:rPr>
          <w:rFonts w:ascii="Palatino Linotype" w:eastAsia="Palatino Linotype" w:hAnsi="Palatino Linotype" w:cs="Palatino Linotype"/>
          <w:b/>
          <w:i/>
          <w:iCs/>
          <w:color w:val="000000" w:themeColor="text1"/>
        </w:rPr>
        <w:t xml:space="preserve">Artículo 162. </w:t>
      </w:r>
      <w:r w:rsidRPr="00584A70">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16010" w:rsidRPr="00584A70" w:rsidRDefault="00C16010" w:rsidP="00584A70">
      <w:pPr>
        <w:jc w:val="both"/>
        <w:rPr>
          <w:rFonts w:ascii="Palatino Linotype" w:eastAsia="Palatino Linotype" w:hAnsi="Palatino Linotype" w:cs="Palatino Linotype"/>
          <w:i/>
          <w:iCs/>
          <w:color w:val="000000" w:themeColor="text1"/>
        </w:rPr>
      </w:pPr>
    </w:p>
    <w:p w:rsidR="006F5E3A" w:rsidRPr="00584A70" w:rsidRDefault="006F5E3A" w:rsidP="00584A70">
      <w:pPr>
        <w:pStyle w:val="Prrafodelista"/>
        <w:numPr>
          <w:ilvl w:val="0"/>
          <w:numId w:val="5"/>
        </w:numPr>
        <w:spacing w:line="360" w:lineRule="auto"/>
        <w:ind w:left="0" w:firstLine="0"/>
        <w:jc w:val="both"/>
        <w:rPr>
          <w:rFonts w:ascii="Palatino Linotype" w:eastAsia="Arial Unicode MS" w:hAnsi="Palatino Linotype" w:cs="Arial"/>
          <w:color w:val="000000" w:themeColor="text1"/>
          <w:lang w:eastAsia="en-US"/>
        </w:rPr>
      </w:pPr>
      <w:r w:rsidRPr="00584A70">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584A70">
        <w:rPr>
          <w:rFonts w:ascii="Palatino Linotype" w:eastAsia="Arial Unicode MS" w:hAnsi="Palatino Linotype" w:cs="Arial"/>
          <w:color w:val="000000" w:themeColor="text1"/>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w:t>
      </w:r>
      <w:r w:rsidRPr="00584A70">
        <w:rPr>
          <w:rFonts w:ascii="Palatino Linotype" w:eastAsia="Arial Unicode MS" w:hAnsi="Palatino Linotype" w:cs="Arial"/>
          <w:color w:val="000000" w:themeColor="text1"/>
          <w:lang w:eastAsia="en-US"/>
        </w:rPr>
        <w:lastRenderedPageBreak/>
        <w:t>turnar a todas las áreas que se consideren competentes para que realicen una búsqueda exhaustiva y razonable de la información solicitada a fin de que ésta sea entregada a los solicitantes.</w:t>
      </w:r>
    </w:p>
    <w:p w:rsidR="006F5E3A" w:rsidRPr="00584A70" w:rsidRDefault="006F5E3A" w:rsidP="00584A70">
      <w:pPr>
        <w:pStyle w:val="Prrafodelista"/>
        <w:spacing w:line="360" w:lineRule="auto"/>
        <w:ind w:left="0"/>
        <w:jc w:val="both"/>
        <w:rPr>
          <w:rFonts w:ascii="Palatino Linotype" w:eastAsia="Arial Unicode MS" w:hAnsi="Palatino Linotype" w:cs="Arial"/>
          <w:color w:val="000000" w:themeColor="text1"/>
          <w:lang w:eastAsia="en-US"/>
        </w:rPr>
      </w:pPr>
    </w:p>
    <w:p w:rsidR="006F5E3A" w:rsidRPr="00584A70" w:rsidRDefault="006F5E3A" w:rsidP="00584A70">
      <w:pPr>
        <w:pStyle w:val="Prrafodelista"/>
        <w:numPr>
          <w:ilvl w:val="0"/>
          <w:numId w:val="5"/>
        </w:numPr>
        <w:spacing w:line="360" w:lineRule="auto"/>
        <w:ind w:left="0" w:firstLine="0"/>
        <w:jc w:val="both"/>
        <w:rPr>
          <w:rFonts w:ascii="Palatino Linotype" w:eastAsia="Arial Unicode MS" w:hAnsi="Palatino Linotype" w:cs="Arial"/>
          <w:color w:val="000000" w:themeColor="text1"/>
          <w:lang w:eastAsia="en-US"/>
        </w:rPr>
      </w:pPr>
      <w:r w:rsidRPr="00584A70">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6F5E3A" w:rsidRPr="00584A70" w:rsidRDefault="006F5E3A" w:rsidP="00584A70">
      <w:pPr>
        <w:pStyle w:val="Prrafodelista"/>
        <w:ind w:left="0"/>
        <w:rPr>
          <w:rFonts w:ascii="Palatino Linotype" w:eastAsia="Arial Unicode MS" w:hAnsi="Palatino Linotype" w:cs="Arial"/>
          <w:color w:val="000000" w:themeColor="text1"/>
          <w:lang w:eastAsia="en-US"/>
        </w:rPr>
      </w:pPr>
    </w:p>
    <w:p w:rsidR="006F5E3A" w:rsidRPr="00584A70" w:rsidRDefault="006F5E3A" w:rsidP="00584A70">
      <w:pPr>
        <w:pStyle w:val="Prrafodelista"/>
        <w:numPr>
          <w:ilvl w:val="0"/>
          <w:numId w:val="5"/>
        </w:numPr>
        <w:spacing w:line="360" w:lineRule="auto"/>
        <w:ind w:left="0" w:firstLine="0"/>
        <w:jc w:val="both"/>
        <w:rPr>
          <w:rFonts w:ascii="Palatino Linotype" w:eastAsia="Arial Unicode MS" w:hAnsi="Palatino Linotype" w:cs="Arial"/>
          <w:color w:val="000000" w:themeColor="text1"/>
          <w:lang w:eastAsia="en-US"/>
        </w:rPr>
      </w:pPr>
      <w:r w:rsidRPr="00584A70">
        <w:rPr>
          <w:rFonts w:ascii="Palatino Linotype" w:eastAsia="Arial Unicode MS" w:hAnsi="Palatino Linotype" w:cs="Arial"/>
          <w:color w:val="000000" w:themeColor="text1"/>
          <w:lang w:eastAsia="en-US"/>
        </w:rPr>
        <w:t>En el caso que se r</w:t>
      </w:r>
      <w:r w:rsidR="00C16010" w:rsidRPr="00584A70">
        <w:rPr>
          <w:rFonts w:ascii="Palatino Linotype" w:eastAsia="Arial Unicode MS" w:hAnsi="Palatino Linotype" w:cs="Arial"/>
          <w:color w:val="000000" w:themeColor="text1"/>
          <w:lang w:eastAsia="en-US"/>
        </w:rPr>
        <w:t xml:space="preserve">esuelve, las respuestas a las solicitudes, fueron atendidas por la Dirección de Desarrollo y Fomento Económico, </w:t>
      </w:r>
      <w:r w:rsidR="00CD7D63" w:rsidRPr="00584A70">
        <w:rPr>
          <w:rFonts w:ascii="Palatino Linotype" w:eastAsia="Arial Unicode MS" w:hAnsi="Palatino Linotype" w:cs="Arial"/>
          <w:color w:val="000000" w:themeColor="text1"/>
          <w:lang w:eastAsia="en-US"/>
        </w:rPr>
        <w:t>área que tiene las siguientes atribuciones</w:t>
      </w:r>
      <w:r w:rsidR="00D45321" w:rsidRPr="00584A70">
        <w:rPr>
          <w:rFonts w:ascii="Palatino Linotype" w:eastAsia="Arial Unicode MS" w:hAnsi="Palatino Linotype" w:cs="Arial"/>
          <w:color w:val="000000" w:themeColor="text1"/>
          <w:lang w:eastAsia="en-US"/>
        </w:rPr>
        <w:t xml:space="preserve"> de acuerdo al artículo 76 y 77 del Bando Municipal de Tepotzotlán</w:t>
      </w:r>
      <w:r w:rsidR="00CD7D63" w:rsidRPr="00584A70">
        <w:rPr>
          <w:rFonts w:ascii="Palatino Linotype" w:eastAsia="Arial Unicode MS" w:hAnsi="Palatino Linotype" w:cs="Arial"/>
          <w:color w:val="000000" w:themeColor="text1"/>
          <w:lang w:eastAsia="en-US"/>
        </w:rPr>
        <w:t xml:space="preserve">: </w:t>
      </w:r>
    </w:p>
    <w:p w:rsidR="00D45321" w:rsidRPr="00584A70" w:rsidRDefault="00D45321" w:rsidP="00584A70">
      <w:pPr>
        <w:pStyle w:val="Prrafodelista"/>
        <w:ind w:left="0"/>
        <w:jc w:val="center"/>
        <w:rPr>
          <w:rFonts w:ascii="Palatino Linotype" w:eastAsia="Arial Unicode MS" w:hAnsi="Palatino Linotype" w:cs="Arial"/>
          <w:b/>
          <w:i/>
          <w:color w:val="000000" w:themeColor="text1"/>
          <w:lang w:eastAsia="en-US"/>
        </w:rPr>
      </w:pPr>
      <w:r w:rsidRPr="00584A70">
        <w:rPr>
          <w:rFonts w:ascii="Palatino Linotype" w:eastAsia="Arial Unicode MS" w:hAnsi="Palatino Linotype" w:cs="Arial"/>
          <w:b/>
          <w:i/>
          <w:color w:val="000000" w:themeColor="text1"/>
          <w:lang w:eastAsia="en-US"/>
        </w:rPr>
        <w:t>Bando Municipal de Tepotzotlán</w:t>
      </w:r>
    </w:p>
    <w:p w:rsidR="00D45321" w:rsidRPr="00584A70" w:rsidRDefault="00D45321" w:rsidP="00584A70">
      <w:pPr>
        <w:pStyle w:val="Prrafodelista"/>
        <w:ind w:left="0"/>
        <w:rPr>
          <w:rFonts w:ascii="Palatino Linotype" w:eastAsia="Arial Unicode MS" w:hAnsi="Palatino Linotype" w:cs="Arial"/>
          <w:color w:val="000000" w:themeColor="text1"/>
          <w:lang w:eastAsia="en-US"/>
        </w:rPr>
      </w:pPr>
    </w:p>
    <w:p w:rsidR="00CD7D63" w:rsidRPr="00584A70" w:rsidRDefault="00CD7D63" w:rsidP="00584A70">
      <w:pPr>
        <w:pStyle w:val="Prrafodelista"/>
        <w:spacing w:line="276" w:lineRule="auto"/>
        <w:ind w:left="0"/>
        <w:jc w:val="both"/>
        <w:rPr>
          <w:rFonts w:ascii="Palatino Linotype" w:hAnsi="Palatino Linotype"/>
          <w:i/>
          <w:color w:val="000000" w:themeColor="text1"/>
        </w:rPr>
      </w:pPr>
      <w:r w:rsidRPr="00584A70">
        <w:rPr>
          <w:rFonts w:ascii="Palatino Linotype" w:hAnsi="Palatino Linotype"/>
          <w:i/>
          <w:color w:val="000000" w:themeColor="text1"/>
        </w:rPr>
        <w:t xml:space="preserve">ARTÍCULO 76.- Dentro del territorio del Municipio de Tepotzotlán, </w:t>
      </w:r>
      <w:r w:rsidRPr="00584A70">
        <w:rPr>
          <w:rFonts w:ascii="Palatino Linotype" w:hAnsi="Palatino Linotype"/>
          <w:b/>
          <w:i/>
          <w:color w:val="000000" w:themeColor="text1"/>
          <w:u w:val="single"/>
        </w:rPr>
        <w:t>las personas físicas y las personas jurídico colectivas, podrán desempeñar actividades comerciales</w:t>
      </w:r>
      <w:r w:rsidRPr="00584A70">
        <w:rPr>
          <w:rFonts w:ascii="Palatino Linotype" w:hAnsi="Palatino Linotype"/>
          <w:i/>
          <w:color w:val="000000" w:themeColor="text1"/>
          <w:u w:val="single"/>
        </w:rPr>
        <w:t xml:space="preserve">, </w:t>
      </w:r>
      <w:r w:rsidRPr="00584A70">
        <w:rPr>
          <w:rFonts w:ascii="Palatino Linotype" w:hAnsi="Palatino Linotype"/>
          <w:i/>
          <w:color w:val="000000" w:themeColor="text1"/>
        </w:rPr>
        <w:t xml:space="preserve">industriales, prestación de servicios, exhibición de elementos publicitarios, de entretenimiento, espectáculos públicos, en mercados públicos y en la vía pública; </w:t>
      </w:r>
      <w:r w:rsidRPr="00584A70">
        <w:rPr>
          <w:rFonts w:ascii="Palatino Linotype" w:hAnsi="Palatino Linotype"/>
          <w:b/>
          <w:i/>
          <w:color w:val="000000" w:themeColor="text1"/>
          <w:u w:val="single"/>
        </w:rPr>
        <w:t>para ello deberán contar como requisito con licencia de funcionamiento, concesión, permiso y autorización, según sea el caso, expedida por la Dirección de Desarrollo y Fomento Económico</w:t>
      </w:r>
      <w:r w:rsidRPr="00584A70">
        <w:rPr>
          <w:rFonts w:ascii="Palatino Linotype" w:hAnsi="Palatino Linotype"/>
          <w:i/>
          <w:color w:val="000000" w:themeColor="text1"/>
        </w:rPr>
        <w:t xml:space="preserve">, una vez que el interesado haya cumplido con todos y cada uno de los requisitos contenidos en el Reglamento Municipal del Comercio, la Industria, Prestación de Servicios, Espectáculos, Anuncios Publicitarios y Vía Pública de Tepotzotlán, Estado de México, así como los establecidos en el presente Bando Municipal y las disposiciones aplicables. </w:t>
      </w:r>
    </w:p>
    <w:p w:rsidR="00CD7D63" w:rsidRPr="00584A70" w:rsidRDefault="00CD7D63" w:rsidP="00584A70">
      <w:pPr>
        <w:pStyle w:val="Prrafodelista"/>
        <w:spacing w:line="276" w:lineRule="auto"/>
        <w:ind w:left="0"/>
        <w:jc w:val="both"/>
        <w:rPr>
          <w:rFonts w:ascii="Palatino Linotype" w:hAnsi="Palatino Linotype"/>
          <w:i/>
          <w:color w:val="000000" w:themeColor="text1"/>
        </w:rPr>
      </w:pPr>
    </w:p>
    <w:p w:rsidR="00CD7D63" w:rsidRPr="00584A70" w:rsidRDefault="00CD7D63" w:rsidP="00584A70">
      <w:pPr>
        <w:pStyle w:val="Prrafodelista"/>
        <w:spacing w:line="276" w:lineRule="auto"/>
        <w:ind w:left="0"/>
        <w:jc w:val="both"/>
        <w:rPr>
          <w:rFonts w:ascii="Palatino Linotype" w:eastAsia="Arial Unicode MS" w:hAnsi="Palatino Linotype" w:cs="Arial"/>
          <w:i/>
          <w:color w:val="000000" w:themeColor="text1"/>
          <w:lang w:eastAsia="en-US"/>
        </w:rPr>
      </w:pPr>
      <w:r w:rsidRPr="00584A70">
        <w:rPr>
          <w:rFonts w:ascii="Palatino Linotype" w:hAnsi="Palatino Linotype"/>
          <w:i/>
          <w:color w:val="000000" w:themeColor="text1"/>
        </w:rPr>
        <w:t xml:space="preserve">Para el otorgamiento de </w:t>
      </w:r>
      <w:r w:rsidRPr="00584A70">
        <w:rPr>
          <w:rFonts w:ascii="Palatino Linotype" w:hAnsi="Palatino Linotype"/>
          <w:b/>
          <w:i/>
          <w:color w:val="000000" w:themeColor="text1"/>
        </w:rPr>
        <w:t xml:space="preserve">la </w:t>
      </w:r>
      <w:r w:rsidRPr="00584A70">
        <w:rPr>
          <w:rFonts w:ascii="Palatino Linotype" w:hAnsi="Palatino Linotype"/>
          <w:b/>
          <w:i/>
          <w:color w:val="000000" w:themeColor="text1"/>
          <w:u w:val="single"/>
        </w:rPr>
        <w:t>autorización, licencia o permiso</w:t>
      </w:r>
      <w:r w:rsidRPr="00584A70">
        <w:rPr>
          <w:rFonts w:ascii="Palatino Linotype" w:hAnsi="Palatino Linotype"/>
          <w:i/>
          <w:color w:val="000000" w:themeColor="text1"/>
        </w:rPr>
        <w:t xml:space="preserve"> las personas interesadas deberán cumplir los requisitos que señale la normatividad aplicable Municipal, Estatal y Federal. Las licencias para el ejercicio de actividades comerciales, industriales o de servicio</w:t>
      </w:r>
      <w:r w:rsidRPr="00584A70">
        <w:rPr>
          <w:rFonts w:ascii="Palatino Linotype" w:hAnsi="Palatino Linotype"/>
          <w:b/>
          <w:i/>
          <w:color w:val="000000" w:themeColor="text1"/>
        </w:rPr>
        <w:t xml:space="preserve"> </w:t>
      </w:r>
      <w:r w:rsidRPr="00584A70">
        <w:rPr>
          <w:rFonts w:ascii="Palatino Linotype" w:hAnsi="Palatino Linotype"/>
          <w:b/>
          <w:i/>
          <w:color w:val="000000" w:themeColor="text1"/>
          <w:u w:val="single"/>
        </w:rPr>
        <w:t xml:space="preserve">deberán renovarse dentro de los </w:t>
      </w:r>
      <w:r w:rsidRPr="00584A70">
        <w:rPr>
          <w:rFonts w:ascii="Palatino Linotype" w:hAnsi="Palatino Linotype"/>
          <w:b/>
          <w:i/>
          <w:color w:val="000000" w:themeColor="text1"/>
          <w:u w:val="single"/>
        </w:rPr>
        <w:lastRenderedPageBreak/>
        <w:t>primeros noventa días de cada año</w:t>
      </w:r>
      <w:r w:rsidRPr="00584A70">
        <w:rPr>
          <w:rFonts w:ascii="Palatino Linotype" w:hAnsi="Palatino Linotype"/>
          <w:i/>
          <w:color w:val="000000" w:themeColor="text1"/>
        </w:rPr>
        <w:t>, los permisos y autorizaciones solo se renovarán si cuentan con lo establecido en la licencia de uso de suelo y si existen las condiciones necesarias que motivaron su expedición, permitiendo las visitas que sean necesarias para verificar las condiciones en que fue emitida, siempre y cuando cumpla la legislación vigente.</w:t>
      </w:r>
    </w:p>
    <w:p w:rsidR="006F5E3A" w:rsidRPr="00584A70" w:rsidRDefault="006F5E3A" w:rsidP="00584A70">
      <w:pPr>
        <w:spacing w:line="276" w:lineRule="auto"/>
        <w:jc w:val="both"/>
        <w:rPr>
          <w:rFonts w:ascii="Palatino Linotype" w:eastAsia="Arial Unicode MS" w:hAnsi="Palatino Linotype" w:cs="Arial"/>
          <w:i/>
          <w:color w:val="000000" w:themeColor="text1"/>
          <w:lang w:eastAsia="en-US"/>
        </w:rPr>
      </w:pPr>
    </w:p>
    <w:p w:rsidR="00CD7D63" w:rsidRPr="00584A70" w:rsidRDefault="00CD7D63"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 xml:space="preserve">ARTÍCULO 77.- El Ayuntamiento, a través de la Dirección de Desarrollo y Fomento Económico, regulará toda actividad comercial, industrial y de servicio realizada en </w:t>
      </w:r>
      <w:r w:rsidRPr="00584A70">
        <w:rPr>
          <w:rFonts w:ascii="Palatino Linotype" w:hAnsi="Palatino Linotype"/>
          <w:b/>
          <w:i/>
          <w:color w:val="000000" w:themeColor="text1"/>
          <w:u w:val="single"/>
        </w:rPr>
        <w:t>establecimientos fijos, espectáculos y diversiones, el comercio en mercados públicos municipales, vías públicas y áreas de uso común</w:t>
      </w:r>
      <w:r w:rsidRPr="00584A70">
        <w:rPr>
          <w:rFonts w:ascii="Palatino Linotype" w:hAnsi="Palatino Linotype"/>
          <w:i/>
          <w:color w:val="000000" w:themeColor="text1"/>
          <w:u w:val="single"/>
        </w:rPr>
        <w:t>;</w:t>
      </w:r>
      <w:r w:rsidRPr="00584A70">
        <w:rPr>
          <w:rFonts w:ascii="Palatino Linotype" w:hAnsi="Palatino Linotype"/>
          <w:i/>
          <w:color w:val="000000" w:themeColor="text1"/>
        </w:rPr>
        <w:t xml:space="preserve"> de la misma manera regulará el comercio que se realiza en puestos fijos y semifijos, así como los tianguis, vendedoras o vendedores ambulantes, expendedores de periódicos y revistas y el que se realice a través de vehículos automotores, que para su funcionamiento requieran licencia, permiso o autorización correspondiente. </w:t>
      </w:r>
    </w:p>
    <w:p w:rsidR="00D45321" w:rsidRPr="00584A70" w:rsidRDefault="00D45321" w:rsidP="00584A70">
      <w:pPr>
        <w:spacing w:line="276" w:lineRule="auto"/>
        <w:jc w:val="both"/>
        <w:rPr>
          <w:rFonts w:ascii="Palatino Linotype" w:hAnsi="Palatino Linotype"/>
          <w:i/>
          <w:color w:val="000000" w:themeColor="text1"/>
        </w:rPr>
      </w:pPr>
    </w:p>
    <w:p w:rsidR="00D45321" w:rsidRPr="00584A70" w:rsidRDefault="00D45321"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 xml:space="preserve">ARTÍCULO 78.- El Ayuntamiento, a través de la Dirección de Desarrollo y Fomento Económico, tendrá la facultad para reubicar, retirar y sancionar a los vendedores ambulantes, vendedores con </w:t>
      </w:r>
      <w:r w:rsidRPr="00584A70">
        <w:rPr>
          <w:rFonts w:ascii="Palatino Linotype" w:hAnsi="Palatino Linotype"/>
          <w:b/>
          <w:i/>
          <w:color w:val="000000" w:themeColor="text1"/>
          <w:u w:val="single"/>
        </w:rPr>
        <w:t>puestos fijos, semifijos y tianguistas; así como los locatarios de los mercados municipales</w:t>
      </w:r>
      <w:r w:rsidRPr="00584A70">
        <w:rPr>
          <w:rFonts w:ascii="Palatino Linotype" w:hAnsi="Palatino Linotype"/>
          <w:i/>
          <w:color w:val="000000" w:themeColor="text1"/>
        </w:rPr>
        <w:t>, por razones de interés público, vialidad, higiene, por falta de permiso, licencia o autorización vigente, o por cualquier otra causa justificada cumpliendo con las formalidades jurídicas aplicables, incluyendo de manera enunciativa y no limitativa, las disposiciones de las leyes aplicables, del presente Bando Municipal, de los Reglamentos o Circulares de la materia, así como de resguardar las mercancías que por estas violaciones les sean retiradas. Para el cumplimiento al párrafo anterior, la Dirección de Desarrollo y Fomento Económico, en caso de ser necesario podrá auxiliarse de la fuerza pública para garantizar el cumplimiento de la normatividad aplicable.</w:t>
      </w:r>
    </w:p>
    <w:p w:rsidR="00CD7D63" w:rsidRPr="00584A70" w:rsidRDefault="00CD7D63" w:rsidP="00584A70">
      <w:pPr>
        <w:spacing w:line="276" w:lineRule="auto"/>
        <w:jc w:val="both"/>
        <w:rPr>
          <w:rFonts w:ascii="Palatino Linotype" w:hAnsi="Palatino Linotype"/>
          <w:i/>
          <w:color w:val="000000" w:themeColor="text1"/>
        </w:rPr>
      </w:pPr>
    </w:p>
    <w:p w:rsidR="00D45321" w:rsidRPr="00584A70" w:rsidRDefault="00D45321" w:rsidP="00584A70">
      <w:pPr>
        <w:spacing w:line="276" w:lineRule="auto"/>
        <w:jc w:val="both"/>
        <w:rPr>
          <w:rFonts w:ascii="Palatino Linotype" w:hAnsi="Palatino Linotype"/>
          <w:i/>
          <w:color w:val="000000" w:themeColor="text1"/>
        </w:rPr>
      </w:pPr>
    </w:p>
    <w:p w:rsidR="00D45321" w:rsidRPr="00584A70" w:rsidRDefault="0064666A" w:rsidP="00584A70">
      <w:pPr>
        <w:spacing w:line="276" w:lineRule="auto"/>
        <w:jc w:val="both"/>
        <w:rPr>
          <w:rFonts w:ascii="Palatino Linotype" w:hAnsi="Palatino Linotype"/>
          <w:b/>
          <w:i/>
          <w:color w:val="000000" w:themeColor="text1"/>
        </w:rPr>
      </w:pPr>
      <w:r w:rsidRPr="00584A70">
        <w:rPr>
          <w:rFonts w:ascii="Palatino Linotype" w:hAnsi="Palatino Linotype"/>
          <w:b/>
          <w:i/>
          <w:color w:val="000000" w:themeColor="text1"/>
        </w:rPr>
        <w:t>REGLAMENTO MUNICIPAL DE COMERCIO, LA INDUSTRIA, PRESTACIÓN DE SERVICIOS, ESPECTÁCULOS, ANUNCIOS PUBLICITARIOS Y VÍA PÚBLICA DE TEPOTZOTLÁN, ESTADO DE MÉXICO</w:t>
      </w:r>
    </w:p>
    <w:p w:rsidR="00D45321" w:rsidRPr="00584A70" w:rsidRDefault="00D45321" w:rsidP="00584A70">
      <w:pPr>
        <w:spacing w:line="276" w:lineRule="auto"/>
        <w:jc w:val="both"/>
        <w:rPr>
          <w:rFonts w:ascii="Palatino Linotype" w:hAnsi="Palatino Linotype"/>
          <w:i/>
          <w:color w:val="000000" w:themeColor="text1"/>
        </w:rPr>
      </w:pP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“Artículo 3.- Para efectos del cumplimiento de este Reglamento se entiende por:</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lastRenderedPageBreak/>
        <w:t>…</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XVII. AUTORIZACIÓN: Es el acto de naturaleza administrativa que emite la Dirección de Desarrollo y fomento Económico, en virtud de la cual una persona física o jurídico colectiva queda facultada para ejercer determinado acto de carácter comercial o social;</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XXXVIII. LICENCIA DE FUNCIONAMIENTO: Documento oficial expedido por la Dirección de Desarrollo y Fomento Económico, mediante el cual, se autoriza a las personas físicas y/o jurídico colectivas el desempeño de actividades comerciales, servicios o industriales;</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XLV. PERMISO: Acto administrativo provisional expedido por la Dirección de Desarrollo y Fomento Económico de forma escrita para realizar actos de comercio por un tiempo definido y determinado;</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XLVII. PERMISO PROVISIONAL: Es el documento oficial que, conforme a las normas de este reglamento, expide la/el Director(a) de Desarrollo y Fomento Económico para el funcionamiento en áreas públicas o privadas de giros comerciales y de prestación de servicios; su vigencia será por un periodo no mayor a 90 días; XLVIII. PERMISO TEMPORAL: Es el documento oficial que, conforme a las normas de este reglamento, expide la/el Director(a) de Desarrollo y 9 Fomento Económico para el funcionamiento en áreas públicas o privadas de giros comerciales y de prestación de servicios; su vigencia será condicionada a la temporalidad del evento, fiesta patronal o actividad comercial de la que se trate;</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LI. PUESTO FIJO: Estructura metálica anclada al piso en el que se ejerce una actividad de comercio al menudeo en la vía pública o áreas comunes; LII. PUESTO SEMIFIJO: Estructura metálica armable y/o desmontable que es colocado en la vía pública utilizado para ejercer actos de comercio y se retira al término del horario autorizado y concedido por la Dirección de Desarrollo y Fomento Económico para realizar una actividad comercial determinada;</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w:t>
      </w:r>
    </w:p>
    <w:p w:rsidR="00D45321" w:rsidRPr="00584A70" w:rsidRDefault="00D45321" w:rsidP="00584A70">
      <w:pPr>
        <w:spacing w:line="276" w:lineRule="auto"/>
        <w:jc w:val="both"/>
        <w:rPr>
          <w:rFonts w:ascii="Palatino Linotype" w:hAnsi="Palatino Linotype"/>
          <w:i/>
          <w:color w:val="000000" w:themeColor="text1"/>
        </w:rPr>
      </w:pPr>
    </w:p>
    <w:p w:rsidR="00D45321"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“Artículo 9.- Son atribuciones de la Dirección de Desarrollo y Fomento Económico, en materia de puestos fijos, puestos semifijos, tianguis y comercio ambulante, las siguientes:</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 xml:space="preserve">I. Regular, vigilar, verificar e inspeccionar el funcionamiento adecuado de los tianguis; </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lastRenderedPageBreak/>
        <w:t xml:space="preserve">II. Tramitar y en su caso otorgar autorización o permiso para ejercer actos de comercio o prestación de servicios en tianguis, puestos fijos, semifijos, o cualquier otro análogo en vía pública y áreas de uso común; </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 xml:space="preserve">III. Expedir, revalidar, revocar, cancelar o nulificar las autorizaciones de puestos fijos, puestos semifijos y comercio ambulante o cualquier otro análogo en vía pública y áreas de uso común; </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IV. Verificar que las unidades económicas cuenten con Licencia de Funcionamiento o permiso de funcionamiento vigentes;</w:t>
      </w:r>
    </w:p>
    <w:p w:rsidR="0064666A" w:rsidRPr="00584A70" w:rsidRDefault="0064666A" w:rsidP="00584A70">
      <w:pPr>
        <w:spacing w:line="276" w:lineRule="auto"/>
        <w:jc w:val="both"/>
        <w:rPr>
          <w:rFonts w:ascii="Palatino Linotype" w:hAnsi="Palatino Linotype"/>
          <w:i/>
          <w:color w:val="000000" w:themeColor="text1"/>
        </w:rPr>
      </w:pPr>
      <w:r w:rsidRPr="00584A70">
        <w:rPr>
          <w:rFonts w:ascii="Palatino Linotype" w:hAnsi="Palatino Linotype"/>
          <w:i/>
          <w:color w:val="000000" w:themeColor="text1"/>
        </w:rPr>
        <w:t>...”</w:t>
      </w:r>
    </w:p>
    <w:p w:rsidR="0064666A" w:rsidRPr="00584A70" w:rsidRDefault="0064666A" w:rsidP="00584A70">
      <w:pPr>
        <w:spacing w:line="276" w:lineRule="auto"/>
        <w:jc w:val="both"/>
        <w:rPr>
          <w:rFonts w:ascii="Palatino Linotype" w:hAnsi="Palatino Linotype"/>
          <w:i/>
          <w:color w:val="000000" w:themeColor="text1"/>
        </w:rPr>
      </w:pPr>
    </w:p>
    <w:p w:rsidR="00CD7D63" w:rsidRPr="00584A70" w:rsidRDefault="00D45321" w:rsidP="00584A70">
      <w:pPr>
        <w:pStyle w:val="Prrafodelista"/>
        <w:numPr>
          <w:ilvl w:val="0"/>
          <w:numId w:val="5"/>
        </w:numPr>
        <w:spacing w:line="360" w:lineRule="auto"/>
        <w:ind w:left="0" w:firstLine="0"/>
        <w:jc w:val="both"/>
        <w:rPr>
          <w:rFonts w:ascii="Palatino Linotype" w:eastAsia="Arial Unicode MS" w:hAnsi="Palatino Linotype" w:cs="Arial"/>
          <w:color w:val="000000" w:themeColor="text1"/>
          <w:lang w:eastAsia="en-US"/>
        </w:rPr>
      </w:pPr>
      <w:r w:rsidRPr="00584A70">
        <w:rPr>
          <w:rFonts w:ascii="Palatino Linotype" w:eastAsia="Arial Unicode MS" w:hAnsi="Palatino Linotype" w:cs="Arial"/>
          <w:color w:val="000000" w:themeColor="text1"/>
          <w:lang w:eastAsia="en-US"/>
        </w:rPr>
        <w:t>Como se advierte de los preceptos legales señalados, la Dirección de Desarrollo y Fomento Económico, tiene la atribución de regular toda actividad comercial de los establecimientos fijos, semifijos, tianguis y comercio ambulante a través de la expedición de licencias, permisos o autorización para ejercerlo, es decir, que la solicitud se turnó al área que de acuerdo a sus facultades genera, posee o administra la información solicitada</w:t>
      </w:r>
      <w:r w:rsidR="00EE038D" w:rsidRPr="00584A70">
        <w:rPr>
          <w:rFonts w:ascii="Palatino Linotype" w:eastAsia="Arial Unicode MS" w:hAnsi="Palatino Linotype" w:cs="Arial"/>
          <w:color w:val="000000" w:themeColor="text1"/>
          <w:lang w:eastAsia="en-US"/>
        </w:rPr>
        <w:t xml:space="preserve">. En ese sentido, recordemos que la Dirección de Desarrollo y Fomento Económico señaló se realizó una búsqueda en sus archivos y se determinó que la información en los términos requeridos no obra en sus archivos, sin embargo, también señaló que se le invita al Recurrente a precisar y aclarar la información requerida, por lo que la respuesta resulta incongruente, ya que no se tiene la certeza de la búsqueda que se realizó. </w:t>
      </w:r>
    </w:p>
    <w:p w:rsidR="00CD7D63" w:rsidRPr="00584A70" w:rsidRDefault="00CD7D63" w:rsidP="00584A70">
      <w:pPr>
        <w:pStyle w:val="Prrafodelista"/>
        <w:spacing w:line="360" w:lineRule="auto"/>
        <w:ind w:left="0"/>
        <w:jc w:val="both"/>
        <w:rPr>
          <w:rFonts w:ascii="Palatino Linotype" w:eastAsia="Arial Unicode MS" w:hAnsi="Palatino Linotype" w:cs="Arial"/>
          <w:color w:val="000000" w:themeColor="text1"/>
          <w:lang w:eastAsia="en-US"/>
        </w:rPr>
      </w:pPr>
    </w:p>
    <w:p w:rsidR="00CD7D63" w:rsidRPr="00584A70" w:rsidRDefault="00EE038D" w:rsidP="00584A70">
      <w:pPr>
        <w:pStyle w:val="Prrafodelista"/>
        <w:numPr>
          <w:ilvl w:val="0"/>
          <w:numId w:val="5"/>
        </w:numPr>
        <w:spacing w:line="360" w:lineRule="auto"/>
        <w:ind w:left="0" w:firstLine="0"/>
        <w:jc w:val="both"/>
        <w:rPr>
          <w:rFonts w:ascii="Palatino Linotype" w:eastAsia="Arial Unicode MS" w:hAnsi="Palatino Linotype" w:cs="Arial"/>
          <w:color w:val="000000" w:themeColor="text1"/>
          <w:lang w:eastAsia="en-US"/>
        </w:rPr>
      </w:pPr>
      <w:r w:rsidRPr="00584A70">
        <w:rPr>
          <w:rFonts w:ascii="Palatino Linotype" w:eastAsia="Arial Unicode MS" w:hAnsi="Palatino Linotype" w:cs="Arial"/>
          <w:color w:val="000000" w:themeColor="text1"/>
          <w:lang w:eastAsia="en-US"/>
        </w:rPr>
        <w:t xml:space="preserve">Por otro lado, la solicitud se turnó al Dirección de Desarrollo Y fomento Económico, quien expide las autorizaciones para la actividad comercial, </w:t>
      </w:r>
      <w:r w:rsidR="00A6250B" w:rsidRPr="00584A70">
        <w:rPr>
          <w:rFonts w:ascii="Palatino Linotype" w:eastAsia="Arial Unicode MS" w:hAnsi="Palatino Linotype" w:cs="Arial"/>
          <w:color w:val="000000" w:themeColor="text1"/>
          <w:lang w:eastAsia="en-US"/>
        </w:rPr>
        <w:t xml:space="preserve">sin embargo, recordemos que el Recurrente también solicitó los recibos de pago de las autorizaciones del año 2025, por lo que en ese sentido, se advierte que la solicitud también se debió turnar a la Dirección de Administración y Finanzas con Funciones de Tesorería, quien se acuerdo al artículo 48 del </w:t>
      </w:r>
      <w:r w:rsidR="00A6250B" w:rsidRPr="00584A70">
        <w:rPr>
          <w:rFonts w:ascii="Palatino Linotype" w:eastAsia="Arial Unicode MS" w:hAnsi="Palatino Linotype" w:cs="Arial"/>
          <w:color w:val="000000" w:themeColor="text1"/>
          <w:lang w:eastAsia="en-US"/>
        </w:rPr>
        <w:lastRenderedPageBreak/>
        <w:t xml:space="preserve">Bando Municipal de Tepotzotlán, es el órgano encargado de la recaudación de los ingresos municipales y responsable de realizar las erogaciones. </w:t>
      </w:r>
    </w:p>
    <w:p w:rsidR="00CD7D63" w:rsidRPr="00584A70" w:rsidRDefault="00CD7D63" w:rsidP="00584A70">
      <w:pPr>
        <w:pStyle w:val="Prrafodelista"/>
        <w:spacing w:line="360" w:lineRule="auto"/>
        <w:ind w:left="0"/>
        <w:jc w:val="both"/>
        <w:rPr>
          <w:rFonts w:ascii="Palatino Linotype" w:eastAsia="Arial Unicode MS" w:hAnsi="Palatino Linotype" w:cs="Arial"/>
          <w:color w:val="000000" w:themeColor="text1"/>
          <w:lang w:eastAsia="en-US"/>
        </w:rPr>
      </w:pPr>
    </w:p>
    <w:p w:rsidR="00466579" w:rsidRPr="00584A70" w:rsidRDefault="00A6250B" w:rsidP="00584A70">
      <w:pPr>
        <w:pStyle w:val="Prrafodelista"/>
        <w:numPr>
          <w:ilvl w:val="0"/>
          <w:numId w:val="5"/>
        </w:numP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Arial Unicode MS" w:hAnsi="Palatino Linotype" w:cs="Arial"/>
          <w:color w:val="000000" w:themeColor="text1"/>
          <w:lang w:eastAsia="en-US"/>
        </w:rPr>
        <w:t>Asimismo, es necesario señalar que el Recurrente solicitó la información referente a todo el año 2025, sin embargo, la solicitud se realizó el primero de septiembre, por lo que la información pos</w:t>
      </w:r>
      <w:r w:rsidR="00466579" w:rsidRPr="00584A70">
        <w:rPr>
          <w:rFonts w:ascii="Palatino Linotype" w:eastAsia="Arial Unicode MS" w:hAnsi="Palatino Linotype" w:cs="Arial"/>
          <w:color w:val="000000" w:themeColor="text1"/>
          <w:lang w:eastAsia="en-US"/>
        </w:rPr>
        <w:t>terior a esta fecha se trata de</w:t>
      </w:r>
      <w:r w:rsidR="00466579" w:rsidRPr="00584A70">
        <w:rPr>
          <w:rFonts w:ascii="Palatino Linotype" w:eastAsia="Palatino Linotype" w:hAnsi="Palatino Linotype" w:cs="Palatino Linotype"/>
          <w:color w:val="000000" w:themeColor="text1"/>
        </w:rPr>
        <w:t xml:space="preserve"> hechos futuros, </w:t>
      </w:r>
      <w:r w:rsidR="00466579" w:rsidRPr="00584A70">
        <w:rPr>
          <w:rFonts w:ascii="Palatino Linotype" w:eastAsia="MS Gothic" w:hAnsi="Palatino Linotype" w:cstheme="majorBidi"/>
          <w:iCs/>
          <w:color w:val="000000" w:themeColor="text1"/>
          <w:lang w:val="es-ES" w:eastAsia="es-ES"/>
        </w:rPr>
        <w:t xml:space="preserve">pues son documentos que a la fecha de la solicitud no se han generado, </w:t>
      </w:r>
      <w:r w:rsidR="00466579" w:rsidRPr="00584A70">
        <w:rPr>
          <w:rFonts w:ascii="Palatino Linotype" w:hAnsi="Palatino Linotype"/>
          <w:color w:val="000000" w:themeColor="text1"/>
        </w:rPr>
        <w:t>sirve como referencia la Jurisprudencia emitida por la Suprema Corte de Justicia de la Nación, que es del texto y rubro siguiente:</w:t>
      </w:r>
    </w:p>
    <w:p w:rsidR="00466579" w:rsidRPr="00584A70" w:rsidRDefault="00466579" w:rsidP="00584A70">
      <w:pPr>
        <w:pStyle w:val="Prrafodelista"/>
        <w:autoSpaceDE w:val="0"/>
        <w:autoSpaceDN w:val="0"/>
        <w:adjustRightInd w:val="0"/>
        <w:spacing w:after="120" w:line="360" w:lineRule="auto"/>
        <w:ind w:left="0"/>
        <w:jc w:val="both"/>
        <w:rPr>
          <w:rFonts w:ascii="Palatino Linotype" w:hAnsi="Palatino Linotype"/>
          <w:i/>
          <w:color w:val="000000" w:themeColor="text1"/>
        </w:rPr>
      </w:pPr>
      <w:r w:rsidRPr="00584A70">
        <w:rPr>
          <w:rFonts w:ascii="Palatino Linotype" w:hAnsi="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584A70">
        <w:rPr>
          <w:rFonts w:ascii="Palatino Linotype" w:hAnsi="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w:t>
      </w:r>
      <w:r w:rsidRPr="00584A70">
        <w:rPr>
          <w:rFonts w:ascii="Palatino Linotype" w:hAnsi="Palatino Linotype"/>
          <w:i/>
          <w:color w:val="000000" w:themeColor="text1"/>
        </w:rPr>
        <w:lastRenderedPageBreak/>
        <w:t>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584A70">
        <w:rPr>
          <w:rFonts w:ascii="Palatino Linotype" w:hAnsi="Palatino Linotype" w:cs="Arial"/>
          <w:i/>
          <w:color w:val="000000" w:themeColor="text1"/>
        </w:rPr>
        <w:t xml:space="preserve">No obstante, en términos del </w:t>
      </w:r>
      <w:r w:rsidRPr="00584A70">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584A70">
        <w:rPr>
          <w:rFonts w:ascii="Palatino Linotype" w:hAnsi="Palatino Linotype"/>
          <w:b/>
          <w:i/>
          <w:color w:val="000000" w:themeColor="text1"/>
        </w:rPr>
        <w:t>en posesión</w:t>
      </w:r>
      <w:r w:rsidRPr="00584A70">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466579" w:rsidRPr="00584A70" w:rsidRDefault="00466579" w:rsidP="00584A70">
      <w:pPr>
        <w:pStyle w:val="Prrafodelista"/>
        <w:spacing w:line="360" w:lineRule="auto"/>
        <w:ind w:left="0"/>
        <w:jc w:val="both"/>
        <w:rPr>
          <w:rFonts w:ascii="Palatino Linotype" w:hAnsi="Palatino Linotype"/>
          <w:i/>
          <w:color w:val="000000" w:themeColor="text1"/>
        </w:rPr>
      </w:pPr>
    </w:p>
    <w:p w:rsidR="00466579" w:rsidRPr="00584A70" w:rsidRDefault="00466579" w:rsidP="00584A70">
      <w:pPr>
        <w:pStyle w:val="Prrafodelista"/>
        <w:numPr>
          <w:ilvl w:val="0"/>
          <w:numId w:val="5"/>
        </w:numPr>
        <w:spacing w:line="360" w:lineRule="auto"/>
        <w:ind w:left="0" w:firstLine="0"/>
        <w:jc w:val="both"/>
        <w:rPr>
          <w:rFonts w:ascii="Palatino Linotype" w:hAnsi="Palatino Linotype" w:cs="Arial"/>
          <w:color w:val="000000" w:themeColor="text1"/>
        </w:rPr>
      </w:pPr>
      <w:r w:rsidRPr="00584A70">
        <w:rPr>
          <w:rFonts w:ascii="Palatino Linotype" w:hAnsi="Palatino Linotype" w:cs="Arial"/>
          <w:color w:val="000000" w:themeColor="text1"/>
        </w:rPr>
        <w:t xml:space="preserve">Robustecen lo anterior </w:t>
      </w:r>
      <w:r w:rsidRPr="00584A70">
        <w:rPr>
          <w:rFonts w:ascii="Palatino Linotype" w:eastAsia="Palatino Linotype" w:hAnsi="Palatino Linotype" w:cs="Palatino Linotype"/>
          <w:color w:val="000000" w:themeColor="text1"/>
        </w:rPr>
        <w:t>los Criterios 1/2010 y 2/2010,  emitidos por el “Comité de Acceso a la Información y Protección de Datos personales” de la Suprema Corte de Justicia de la Nación, que disponen: </w:t>
      </w:r>
    </w:p>
    <w:p w:rsidR="00466579" w:rsidRPr="00584A70" w:rsidRDefault="00466579" w:rsidP="00584A70">
      <w:pPr>
        <w:pBdr>
          <w:top w:val="nil"/>
          <w:left w:val="nil"/>
          <w:bottom w:val="nil"/>
          <w:right w:val="nil"/>
          <w:between w:val="nil"/>
        </w:pBdr>
        <w:spacing w:line="360" w:lineRule="auto"/>
        <w:rPr>
          <w:rFonts w:ascii="Palatino Linotype" w:hAnsi="Palatino Linotype"/>
          <w:color w:val="000000" w:themeColor="text1"/>
        </w:rPr>
      </w:pPr>
      <w:r w:rsidRPr="00584A70">
        <w:rPr>
          <w:rFonts w:ascii="Palatino Linotype" w:eastAsia="Palatino Linotype" w:hAnsi="Palatino Linotype" w:cs="Palatino Linotype"/>
          <w:i/>
          <w:color w:val="000000" w:themeColor="text1"/>
        </w:rPr>
        <w:t> “</w:t>
      </w:r>
      <w:r w:rsidRPr="00584A70">
        <w:rPr>
          <w:rFonts w:ascii="Palatino Linotype" w:eastAsia="Palatino Linotype" w:hAnsi="Palatino Linotype" w:cs="Palatino Linotype"/>
          <w:b/>
          <w:i/>
          <w:color w:val="000000" w:themeColor="text1"/>
        </w:rPr>
        <w:t>Criterio 1/2010</w:t>
      </w:r>
    </w:p>
    <w:p w:rsidR="00466579" w:rsidRPr="00584A70" w:rsidRDefault="00466579" w:rsidP="00584A70">
      <w:pPr>
        <w:pBdr>
          <w:top w:val="nil"/>
          <w:left w:val="nil"/>
          <w:bottom w:val="nil"/>
          <w:right w:val="nil"/>
          <w:between w:val="nil"/>
        </w:pBdr>
        <w:spacing w:line="360" w:lineRule="auto"/>
        <w:jc w:val="both"/>
        <w:rPr>
          <w:rFonts w:ascii="Palatino Linotype" w:hAnsi="Palatino Linotype"/>
          <w:color w:val="000000" w:themeColor="text1"/>
        </w:rPr>
      </w:pPr>
      <w:r w:rsidRPr="00584A70">
        <w:rPr>
          <w:rFonts w:ascii="Palatino Linotype" w:eastAsia="Palatino Linotype" w:hAnsi="Palatino Linotype" w:cs="Palatino Linotype"/>
          <w:b/>
          <w:i/>
          <w:color w:val="000000" w:themeColor="text1"/>
        </w:rPr>
        <w:t>SOLICITUD DE ACCESO A LA INFORMACIÓN. SU OTORGAMIENTO ES RESPECTO DE AQUELLA QUE EXISTA Y SE HUBIESE GENERADO AL MOMENTO DE LA PETICIÓN.</w:t>
      </w:r>
    </w:p>
    <w:p w:rsidR="00466579" w:rsidRPr="00584A70" w:rsidRDefault="00466579" w:rsidP="00584A70">
      <w:pPr>
        <w:pBdr>
          <w:top w:val="nil"/>
          <w:left w:val="nil"/>
          <w:bottom w:val="nil"/>
          <w:right w:val="nil"/>
          <w:between w:val="nil"/>
        </w:pBdr>
        <w:spacing w:line="360" w:lineRule="auto"/>
        <w:jc w:val="both"/>
        <w:rPr>
          <w:rFonts w:ascii="Palatino Linotype" w:hAnsi="Palatino Linotype"/>
          <w:color w:val="000000" w:themeColor="text1"/>
        </w:rPr>
      </w:pPr>
      <w:r w:rsidRPr="00584A70">
        <w:rPr>
          <w:rFonts w:ascii="Palatino Linotype" w:eastAsia="Palatino Linotype" w:hAnsi="Palatino Linotype" w:cs="Palatino Linotype"/>
          <w:b/>
          <w:i/>
          <w:color w:val="000000" w:themeColor="text1"/>
        </w:rPr>
        <w:t>El otorgamiento de la información procede respecto de aquella que sea existente y se encuentre en posesión del órgano de Estado, al momento de la solicitud</w:t>
      </w:r>
      <w:r w:rsidRPr="00584A70">
        <w:rPr>
          <w:rFonts w:ascii="Palatino Linotype" w:eastAsia="Palatino Linotype" w:hAnsi="Palatino Linotype" w:cs="Palatino Linotype"/>
          <w:i/>
          <w:color w:val="000000" w:themeColor="text1"/>
        </w:rPr>
        <w:t xml:space="preserve">; por lo que </w:t>
      </w:r>
      <w:r w:rsidRPr="00584A70">
        <w:rPr>
          <w:rFonts w:ascii="Palatino Linotype" w:eastAsia="Palatino Linotype" w:hAnsi="Palatino Linotype" w:cs="Palatino Linotype"/>
          <w:b/>
          <w:i/>
          <w:color w:val="000000" w:themeColor="text1"/>
        </w:rPr>
        <w:t>resulta inconducente otorgar la que se genere en fecha futura</w:t>
      </w:r>
      <w:r w:rsidRPr="00584A70">
        <w:rPr>
          <w:rFonts w:ascii="Palatino Linotype" w:eastAsia="Palatino Linotype" w:hAnsi="Palatino Linotype" w:cs="Palatino Linotype"/>
          <w:i/>
          <w:color w:val="000000" w:themeColor="text1"/>
        </w:rPr>
        <w:t xml:space="preserve">, en tanto ningún órgano de Estado puede verse vinculado en el otorgamiento de información de tal naturaleza, al tenor del artículo 6° constitucional, que dispone </w:t>
      </w:r>
      <w:r w:rsidRPr="00584A70">
        <w:rPr>
          <w:rFonts w:ascii="Palatino Linotype" w:eastAsia="Palatino Linotype" w:hAnsi="Palatino Linotype" w:cs="Palatino Linotype"/>
          <w:i/>
          <w:color w:val="000000" w:themeColor="text1"/>
        </w:rPr>
        <w:lastRenderedPageBreak/>
        <w:t>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466579" w:rsidRPr="00584A70" w:rsidRDefault="00466579" w:rsidP="00584A70">
      <w:pPr>
        <w:pBdr>
          <w:top w:val="nil"/>
          <w:left w:val="nil"/>
          <w:bottom w:val="nil"/>
          <w:right w:val="nil"/>
          <w:between w:val="nil"/>
        </w:pBdr>
        <w:spacing w:line="360" w:lineRule="auto"/>
        <w:jc w:val="both"/>
        <w:rPr>
          <w:rFonts w:ascii="Palatino Linotype" w:hAnsi="Palatino Linotype"/>
          <w:color w:val="000000" w:themeColor="text1"/>
        </w:rPr>
      </w:pPr>
      <w:r w:rsidRPr="00584A70">
        <w:rPr>
          <w:rFonts w:ascii="Palatino Linotype" w:eastAsia="Palatino Linotype" w:hAnsi="Palatino Linotype" w:cs="Palatino Linotype"/>
          <w:i/>
          <w:color w:val="000000" w:themeColor="text1"/>
        </w:rPr>
        <w:t>Clasificación de Información 69/2009-A. 30 de septiembre de 2009. Unanimidad de votos.”</w:t>
      </w:r>
    </w:p>
    <w:p w:rsidR="00466579" w:rsidRPr="00584A70" w:rsidRDefault="00466579" w:rsidP="00584A70">
      <w:pPr>
        <w:pBdr>
          <w:top w:val="nil"/>
          <w:left w:val="nil"/>
          <w:bottom w:val="nil"/>
          <w:right w:val="nil"/>
          <w:between w:val="nil"/>
        </w:pBdr>
        <w:spacing w:line="360" w:lineRule="auto"/>
        <w:rPr>
          <w:rFonts w:ascii="Palatino Linotype" w:hAnsi="Palatino Linotype"/>
          <w:color w:val="000000" w:themeColor="text1"/>
        </w:rPr>
      </w:pPr>
      <w:r w:rsidRPr="00584A70">
        <w:rPr>
          <w:rFonts w:ascii="Palatino Linotype" w:eastAsia="Palatino Linotype" w:hAnsi="Palatino Linotype" w:cs="Palatino Linotype"/>
          <w:i/>
          <w:color w:val="000000" w:themeColor="text1"/>
        </w:rPr>
        <w:t>“</w:t>
      </w:r>
      <w:r w:rsidRPr="00584A70">
        <w:rPr>
          <w:rFonts w:ascii="Palatino Linotype" w:eastAsia="Palatino Linotype" w:hAnsi="Palatino Linotype" w:cs="Palatino Linotype"/>
          <w:b/>
          <w:i/>
          <w:color w:val="000000" w:themeColor="text1"/>
        </w:rPr>
        <w:t>Criterio 2/2010.</w:t>
      </w:r>
    </w:p>
    <w:p w:rsidR="00466579" w:rsidRPr="00584A70" w:rsidRDefault="00466579" w:rsidP="00584A70">
      <w:pPr>
        <w:pBdr>
          <w:top w:val="nil"/>
          <w:left w:val="nil"/>
          <w:bottom w:val="nil"/>
          <w:right w:val="nil"/>
          <w:between w:val="nil"/>
        </w:pBdr>
        <w:spacing w:line="360" w:lineRule="auto"/>
        <w:jc w:val="both"/>
        <w:rPr>
          <w:rFonts w:ascii="Palatino Linotype" w:hAnsi="Palatino Linotype"/>
          <w:color w:val="000000" w:themeColor="text1"/>
        </w:rPr>
      </w:pPr>
      <w:r w:rsidRPr="00584A70">
        <w:rPr>
          <w:rFonts w:ascii="Palatino Linotype" w:eastAsia="Palatino Linotype" w:hAnsi="Palatino Linotype" w:cs="Palatino Linotype"/>
          <w:b/>
          <w:i/>
          <w:color w:val="000000" w:themeColor="text1"/>
        </w:rPr>
        <w:t>SOLICITUD DE ACCESO A LA INFORMACIÓN. ES MATERIA DE ANÁLISIS Y OTORGAMIENTO LA GENERADA HASTA LA FECHA DE LA SOLICITUD EN CASO DE IMPRECISIÓN TEMPORAL. </w:t>
      </w:r>
    </w:p>
    <w:p w:rsidR="00466579" w:rsidRPr="00584A70" w:rsidRDefault="00466579" w:rsidP="00584A70">
      <w:pPr>
        <w:pBdr>
          <w:top w:val="nil"/>
          <w:left w:val="nil"/>
          <w:bottom w:val="nil"/>
          <w:right w:val="nil"/>
          <w:between w:val="nil"/>
        </w:pBdr>
        <w:spacing w:line="360" w:lineRule="auto"/>
        <w:jc w:val="both"/>
        <w:rPr>
          <w:rFonts w:ascii="Palatino Linotype" w:hAnsi="Palatino Linotype"/>
          <w:color w:val="000000" w:themeColor="text1"/>
        </w:rPr>
      </w:pPr>
      <w:r w:rsidRPr="00584A70">
        <w:rPr>
          <w:rFonts w:ascii="Palatino Linotype" w:eastAsia="Palatino Linotype" w:hAnsi="Palatino Linotype" w:cs="Palatino Linotype"/>
          <w:i/>
          <w:color w:val="000000" w:themeColor="text1"/>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466579" w:rsidRPr="00584A70" w:rsidRDefault="00466579" w:rsidP="00584A70">
      <w:pPr>
        <w:pBdr>
          <w:top w:val="nil"/>
          <w:left w:val="nil"/>
          <w:bottom w:val="nil"/>
          <w:right w:val="nil"/>
          <w:between w:val="nil"/>
        </w:pBdr>
        <w:spacing w:line="360" w:lineRule="auto"/>
        <w:jc w:val="both"/>
        <w:rPr>
          <w:rFonts w:ascii="Palatino Linotype" w:hAnsi="Palatino Linotype"/>
          <w:color w:val="000000" w:themeColor="text1"/>
        </w:rPr>
      </w:pPr>
      <w:r w:rsidRPr="00584A70">
        <w:rPr>
          <w:rFonts w:ascii="Palatino Linotype" w:eastAsia="Palatino Linotype" w:hAnsi="Palatino Linotype" w:cs="Palatino Linotype"/>
          <w:i/>
          <w:color w:val="000000" w:themeColor="text1"/>
        </w:rPr>
        <w:t>Clasificación de Información 69/2009-A. 30 de septiembre de 2009. Unanimidad de votos.”(Sic)</w:t>
      </w:r>
    </w:p>
    <w:p w:rsidR="00466579" w:rsidRPr="00584A70" w:rsidRDefault="00466579" w:rsidP="00584A70">
      <w:pPr>
        <w:pStyle w:val="Prrafodelista"/>
        <w:tabs>
          <w:tab w:val="left" w:pos="0"/>
        </w:tabs>
        <w:spacing w:line="360" w:lineRule="auto"/>
        <w:ind w:left="0"/>
        <w:jc w:val="both"/>
        <w:rPr>
          <w:rFonts w:ascii="Palatino Linotype" w:eastAsia="Calibri" w:hAnsi="Palatino Linotype"/>
          <w:color w:val="000000" w:themeColor="text1"/>
        </w:rPr>
      </w:pPr>
    </w:p>
    <w:p w:rsidR="00CD7D63" w:rsidRPr="00584A70" w:rsidRDefault="00466579" w:rsidP="00584A70">
      <w:pPr>
        <w:pStyle w:val="Prrafodelista"/>
        <w:numPr>
          <w:ilvl w:val="0"/>
          <w:numId w:val="5"/>
        </w:numPr>
        <w:spacing w:line="360" w:lineRule="auto"/>
        <w:ind w:left="0" w:firstLine="0"/>
        <w:jc w:val="both"/>
        <w:rPr>
          <w:rFonts w:ascii="Palatino Linotype" w:eastAsia="Calibri" w:hAnsi="Palatino Linotype"/>
          <w:color w:val="000000" w:themeColor="text1"/>
        </w:rPr>
      </w:pPr>
      <w:r w:rsidRPr="00584A70">
        <w:rPr>
          <w:rFonts w:ascii="Palatino Linotype" w:eastAsia="Calibri" w:hAnsi="Palatino Linotype"/>
          <w:color w:val="000000" w:themeColor="text1"/>
        </w:rPr>
        <w:t xml:space="preserve">Por lo tanto, no es procedente ordenar la información generada únicamente a la fecha en que se presentaron las solicitudes, es decir, al  primero de septiembre de dos mil veinticinco. </w:t>
      </w:r>
    </w:p>
    <w:p w:rsidR="006F5E3A" w:rsidRPr="00584A70" w:rsidRDefault="006F5E3A" w:rsidP="00584A70">
      <w:pPr>
        <w:pStyle w:val="Prrafodelista"/>
        <w:ind w:left="0"/>
        <w:rPr>
          <w:rFonts w:ascii="Palatino Linotype" w:eastAsia="Arial Unicode MS" w:hAnsi="Palatino Linotype" w:cs="Arial"/>
          <w:color w:val="000000" w:themeColor="text1"/>
          <w:lang w:eastAsia="en-US"/>
        </w:rPr>
      </w:pP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Por lo tanto, en consecuencia y en mérito de lo expuesto en líneas anteriores, resultan</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 xml:space="preserve">fundadas las razones o motivos de inconformidad hechos valer por el RECURRENTE dentro </w:t>
      </w:r>
      <w:r w:rsidRPr="00584A70">
        <w:rPr>
          <w:rFonts w:ascii="Palatino Linotype" w:eastAsia="Palatino Linotype" w:hAnsi="Palatino Linotype" w:cs="Palatino Linotype"/>
          <w:color w:val="000000" w:themeColor="text1"/>
        </w:rPr>
        <w:lastRenderedPageBreak/>
        <w:t xml:space="preserve">de los recursos de revisión </w:t>
      </w:r>
      <w:r w:rsidR="00466579" w:rsidRPr="00584A70">
        <w:rPr>
          <w:rFonts w:ascii="Palatino Linotype" w:eastAsia="Palatino Linotype" w:hAnsi="Palatino Linotype" w:cs="Palatino Linotype"/>
          <w:b/>
          <w:color w:val="000000" w:themeColor="text1"/>
        </w:rPr>
        <w:t>11433/INFOEM/IP/RR/2025, 11456/INFOEM/IP/RR/2025, 11457/INFOEM/IP/RR/2025, 11458/INFOEM/IP/RR/2025, 11459/INFOEM/IP/RR/2025, 11460/INFOEM/IP/RR/2025, 11461/INFOEM/IP/RR/2025 y 11462/INFOEM/IP/RR/2025</w:t>
      </w:r>
      <w:r w:rsidRPr="00584A70">
        <w:rPr>
          <w:rFonts w:ascii="Palatino Linotype" w:eastAsia="Palatino Linotype" w:hAnsi="Palatino Linotype" w:cs="Palatino Linotype"/>
          <w:b/>
          <w:color w:val="000000" w:themeColor="text1"/>
        </w:rPr>
        <w:t>,</w:t>
      </w:r>
      <w:r w:rsidRPr="00584A70">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w:t>
      </w:r>
      <w:r w:rsidRPr="00584A70">
        <w:rPr>
          <w:rFonts w:ascii="Palatino Linotype" w:eastAsia="Palatino Linotype" w:hAnsi="Palatino Linotype" w:cs="Palatino Linotype"/>
          <w:b/>
          <w:color w:val="000000" w:themeColor="text1"/>
        </w:rPr>
        <w:t xml:space="preserve"> MODIFICAN</w:t>
      </w:r>
      <w:r w:rsidRPr="00584A70">
        <w:rPr>
          <w:rFonts w:ascii="Palatino Linotype" w:eastAsia="Palatino Linotype" w:hAnsi="Palatino Linotype" w:cs="Palatino Linotype"/>
          <w:color w:val="000000" w:themeColor="text1"/>
        </w:rPr>
        <w:t xml:space="preserve"> las respuestas a las solicitudes de información </w:t>
      </w:r>
      <w:hyperlink r:id="rId18" w:history="1">
        <w:r w:rsidR="00466579" w:rsidRPr="00584A70">
          <w:rPr>
            <w:rStyle w:val="Hipervnculo"/>
            <w:rFonts w:ascii="Palatino Linotype" w:eastAsia="Palatino Linotype" w:hAnsi="Palatino Linotype" w:cs="Palatino Linotype"/>
            <w:b/>
            <w:bCs/>
            <w:color w:val="000000" w:themeColor="text1"/>
            <w:u w:val="none"/>
          </w:rPr>
          <w:t>00484/TEPOTZOT/IP/2025</w:t>
        </w:r>
      </w:hyperlink>
      <w:r w:rsidR="00466579" w:rsidRPr="00584A70">
        <w:rPr>
          <w:rFonts w:ascii="Palatino Linotype" w:eastAsia="Palatino Linotype" w:hAnsi="Palatino Linotype" w:cs="Palatino Linotype"/>
          <w:b/>
          <w:bCs/>
          <w:color w:val="000000" w:themeColor="text1"/>
        </w:rPr>
        <w:t>, 00485/TEPOTZOT/IP/2025, 00486/TEPOTZOT/IP/2025, 00487/TEPOTZOT/IP/2025, 00488/TEPOTZOT/IP/2025, 00489/TEPOTZOT/IP/2025, 00490/TEPOTZOT/IP/2025 y 00491/TEPOTZOT/IP/2025</w:t>
      </w:r>
      <w:r w:rsidRPr="00584A70">
        <w:rPr>
          <w:rFonts w:ascii="Palatino Linotype" w:eastAsia="Palatino Linotype" w:hAnsi="Palatino Linotype" w:cs="Palatino Linotype"/>
          <w:b/>
          <w:color w:val="000000" w:themeColor="text1"/>
        </w:rPr>
        <w:t xml:space="preserve">. </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QUINTO. De la versión pública.</w:t>
      </w:r>
    </w:p>
    <w:p w:rsidR="006F5E3A" w:rsidRPr="00584A70" w:rsidRDefault="006F5E3A" w:rsidP="00584A70">
      <w:pPr>
        <w:numPr>
          <w:ilvl w:val="0"/>
          <w:numId w:val="5"/>
        </w:numPr>
        <w:pBdr>
          <w:top w:val="nil"/>
          <w:left w:val="nil"/>
          <w:bottom w:val="nil"/>
          <w:right w:val="nil"/>
          <w:between w:val="nil"/>
        </w:pBdr>
        <w:tabs>
          <w:tab w:val="left" w:pos="0"/>
        </w:tabs>
        <w:spacing w:line="360" w:lineRule="auto"/>
        <w:ind w:left="0" w:firstLine="0"/>
        <w:jc w:val="both"/>
        <w:rPr>
          <w:rFonts w:ascii="Palatino Linotype" w:eastAsia="Century Gothic" w:hAnsi="Palatino Linotype" w:cs="Century Gothic"/>
          <w:color w:val="000000" w:themeColor="text1"/>
        </w:rPr>
      </w:pPr>
      <w:r w:rsidRPr="00584A70">
        <w:rPr>
          <w:rFonts w:ascii="Palatino Linotype" w:eastAsia="Palatino Linotype" w:hAnsi="Palatino Linotype" w:cs="Palatino Linotype"/>
          <w:color w:val="000000" w:themeColor="text1"/>
        </w:rPr>
        <w:t>Debe destacarse que, debido a la naturaleza de la información solicitada</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6F5E3A" w:rsidRPr="00584A70" w:rsidRDefault="006F5E3A" w:rsidP="00584A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numPr>
          <w:ilvl w:val="0"/>
          <w:numId w:val="5"/>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84A70">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6F5E3A" w:rsidRPr="00584A70" w:rsidRDefault="006F5E3A" w:rsidP="00584A7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7069"/>
      </w:tblGrid>
      <w:tr w:rsidR="00584A70" w:rsidRPr="00584A70" w:rsidTr="00054675">
        <w:tc>
          <w:tcPr>
            <w:tcW w:w="2565" w:type="dxa"/>
          </w:tcPr>
          <w:p w:rsidR="006F5E3A" w:rsidRPr="00584A70" w:rsidRDefault="006F5E3A" w:rsidP="00584A70">
            <w:pPr>
              <w:spacing w:line="360" w:lineRule="auto"/>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a) Requisitos previos.</w:t>
            </w:r>
          </w:p>
        </w:tc>
        <w:tc>
          <w:tcPr>
            <w:tcW w:w="7069" w:type="dxa"/>
          </w:tcPr>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84A70">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584A70">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584A70" w:rsidRPr="00584A70" w:rsidTr="00054675">
        <w:tc>
          <w:tcPr>
            <w:tcW w:w="2565" w:type="dxa"/>
          </w:tcPr>
          <w:p w:rsidR="006F5E3A" w:rsidRPr="00584A70" w:rsidRDefault="006F5E3A" w:rsidP="00584A70">
            <w:pPr>
              <w:spacing w:line="360" w:lineRule="auto"/>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b) Supuestos de clasificación.</w:t>
            </w:r>
          </w:p>
        </w:tc>
        <w:tc>
          <w:tcPr>
            <w:tcW w:w="7069" w:type="dxa"/>
          </w:tcPr>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84A70" w:rsidRPr="00584A70" w:rsidTr="00054675">
        <w:tc>
          <w:tcPr>
            <w:tcW w:w="2565" w:type="dxa"/>
          </w:tcPr>
          <w:p w:rsidR="006F5E3A" w:rsidRPr="00584A70" w:rsidRDefault="006F5E3A" w:rsidP="00584A70">
            <w:pPr>
              <w:spacing w:line="360" w:lineRule="auto"/>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c) Formalidades para emitir el acuerdo de clasificación.</w:t>
            </w:r>
          </w:p>
        </w:tc>
        <w:tc>
          <w:tcPr>
            <w:tcW w:w="7069" w:type="dxa"/>
          </w:tcPr>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Es necesario que </w:t>
            </w:r>
            <w:r w:rsidRPr="00584A70">
              <w:rPr>
                <w:rFonts w:ascii="Palatino Linotype" w:eastAsia="Palatino Linotype" w:hAnsi="Palatino Linotype" w:cs="Palatino Linotype"/>
                <w:color w:val="000000" w:themeColor="text1"/>
                <w:u w:val="single"/>
              </w:rPr>
              <w:t>el acto reúna con los requisitos elementales</w:t>
            </w:r>
            <w:r w:rsidRPr="00584A70">
              <w:rPr>
                <w:rFonts w:ascii="Palatino Linotype" w:eastAsia="Palatino Linotype" w:hAnsi="Palatino Linotype" w:cs="Palatino Linotype"/>
                <w:color w:val="000000" w:themeColor="text1"/>
              </w:rPr>
              <w:t>, entre ellos, que la autoridad que va a emitir el acto de autoridad sea la legalmente facultada para ello.</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84A70" w:rsidRPr="00584A70" w:rsidTr="00054675">
        <w:tc>
          <w:tcPr>
            <w:tcW w:w="2565" w:type="dxa"/>
          </w:tcPr>
          <w:p w:rsidR="006F5E3A" w:rsidRPr="00584A70" w:rsidRDefault="006F5E3A" w:rsidP="00584A70">
            <w:pPr>
              <w:spacing w:line="360" w:lineRule="auto"/>
              <w:rPr>
                <w:rFonts w:ascii="Palatino Linotype" w:eastAsia="Palatino Linotype" w:hAnsi="Palatino Linotype" w:cs="Palatino Linotype"/>
                <w:color w:val="000000" w:themeColor="text1"/>
              </w:rPr>
            </w:pP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d) Requisitos de fondo del acuerdo de clasificación. </w:t>
            </w:r>
          </w:p>
        </w:tc>
        <w:tc>
          <w:tcPr>
            <w:tcW w:w="7069" w:type="dxa"/>
          </w:tcPr>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584A70">
              <w:rPr>
                <w:rFonts w:ascii="Palatino Linotype" w:eastAsia="Palatino Linotype" w:hAnsi="Palatino Linotype" w:cs="Palatino Linotype"/>
                <w:color w:val="000000" w:themeColor="text1"/>
              </w:rPr>
              <w:lastRenderedPageBreak/>
              <w:t>expresar los fundamentos legales que le dieron origen y las razones por las que se deben aplicar al caso concreto.</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Ahora bien, </w:t>
            </w:r>
            <w:r w:rsidRPr="00584A70">
              <w:rPr>
                <w:rFonts w:ascii="Palatino Linotype" w:eastAsia="Palatino Linotype" w:hAnsi="Palatino Linotype" w:cs="Palatino Linotype"/>
                <w:color w:val="000000" w:themeColor="text1"/>
                <w:u w:val="single"/>
              </w:rPr>
              <w:t>para cada caso además de fundar y motivar</w:t>
            </w:r>
            <w:r w:rsidRPr="00584A70">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F5E3A" w:rsidRPr="00584A70" w:rsidTr="00054675">
        <w:tc>
          <w:tcPr>
            <w:tcW w:w="2565" w:type="dxa"/>
          </w:tcPr>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6F5E3A" w:rsidRPr="00584A70" w:rsidRDefault="006F5E3A" w:rsidP="00584A70">
            <w:pPr>
              <w:spacing w:line="360" w:lineRule="auto"/>
              <w:rPr>
                <w:rFonts w:ascii="Palatino Linotype" w:eastAsia="Palatino Linotype" w:hAnsi="Palatino Linotype" w:cs="Palatino Linotype"/>
                <w:color w:val="000000" w:themeColor="text1"/>
              </w:rPr>
            </w:pPr>
          </w:p>
        </w:tc>
        <w:tc>
          <w:tcPr>
            <w:tcW w:w="7069" w:type="dxa"/>
          </w:tcPr>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F5E3A" w:rsidRPr="00584A70" w:rsidRDefault="006F5E3A" w:rsidP="00584A70">
            <w:pPr>
              <w:spacing w:line="360" w:lineRule="auto"/>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F5E3A" w:rsidRDefault="006F5E3A" w:rsidP="00584A70">
      <w:pPr>
        <w:spacing w:line="360" w:lineRule="auto"/>
        <w:jc w:val="both"/>
        <w:rPr>
          <w:rFonts w:ascii="Palatino Linotype" w:eastAsia="Palatino Linotype" w:hAnsi="Palatino Linotype" w:cs="Palatino Linotype"/>
          <w:color w:val="000000" w:themeColor="text1"/>
        </w:rPr>
      </w:pPr>
    </w:p>
    <w:p w:rsidR="00A4182E" w:rsidRPr="00584A70" w:rsidRDefault="00A4182E" w:rsidP="00584A70">
      <w:pPr>
        <w:spacing w:line="360" w:lineRule="auto"/>
        <w:jc w:val="both"/>
        <w:rPr>
          <w:rFonts w:ascii="Palatino Linotype" w:eastAsia="Palatino Linotype" w:hAnsi="Palatino Linotype" w:cs="Palatino Linotype"/>
          <w:color w:val="000000" w:themeColor="text1"/>
        </w:rPr>
      </w:pPr>
    </w:p>
    <w:p w:rsidR="006F5E3A" w:rsidRDefault="006F5E3A" w:rsidP="00584A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color w:val="000000" w:themeColor="text1"/>
        </w:rPr>
        <w:t xml:space="preserve">Por lo anteriormente expuesto y fundado, este </w:t>
      </w:r>
      <w:r w:rsidRPr="00584A70">
        <w:rPr>
          <w:rFonts w:ascii="Palatino Linotype" w:eastAsia="Palatino Linotype" w:hAnsi="Palatino Linotype" w:cs="Palatino Linotype"/>
          <w:b/>
          <w:color w:val="000000" w:themeColor="text1"/>
        </w:rPr>
        <w:t>ÓRGANO GARANTE</w:t>
      </w:r>
      <w:r w:rsidRPr="00584A70">
        <w:rPr>
          <w:rFonts w:ascii="Palatino Linotype" w:eastAsia="Palatino Linotype" w:hAnsi="Palatino Linotype" w:cs="Palatino Linotype"/>
          <w:color w:val="000000" w:themeColor="text1"/>
        </w:rPr>
        <w:t xml:space="preserve"> emite los siguientes: </w:t>
      </w:r>
      <w:r w:rsidR="00A4182E">
        <w:rPr>
          <w:rFonts w:ascii="Palatino Linotype" w:eastAsia="Palatino Linotype" w:hAnsi="Palatino Linotype" w:cs="Palatino Linotype"/>
          <w:color w:val="000000" w:themeColor="text1"/>
        </w:rPr>
        <w:t>-------------------------------------------------------------------------------------------------------------</w:t>
      </w:r>
    </w:p>
    <w:p w:rsidR="00A4182E" w:rsidRDefault="00A4182E" w:rsidP="00A418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182E" w:rsidRDefault="00A4182E" w:rsidP="00A418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182E" w:rsidRDefault="00A4182E" w:rsidP="00A418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182E" w:rsidRPr="00584A70" w:rsidRDefault="00A4182E" w:rsidP="00A418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pStyle w:val="Ttulo1"/>
        <w:jc w:val="center"/>
        <w:rPr>
          <w:rFonts w:ascii="Palatino Linotype" w:eastAsia="Palatino Linotype" w:hAnsi="Palatino Linotype" w:cs="Palatino Linotype"/>
          <w:b/>
          <w:color w:val="000000" w:themeColor="text1"/>
          <w:sz w:val="24"/>
          <w:szCs w:val="24"/>
        </w:rPr>
      </w:pPr>
      <w:bookmarkStart w:id="10" w:name="_heading=h.17dp8vu" w:colFirst="0" w:colLast="0"/>
      <w:bookmarkEnd w:id="10"/>
      <w:r w:rsidRPr="00584A70">
        <w:rPr>
          <w:rFonts w:ascii="Palatino Linotype" w:eastAsia="Palatino Linotype" w:hAnsi="Palatino Linotype" w:cs="Palatino Linotype"/>
          <w:b/>
          <w:color w:val="000000" w:themeColor="text1"/>
          <w:sz w:val="24"/>
          <w:szCs w:val="24"/>
        </w:rPr>
        <w:lastRenderedPageBreak/>
        <w:t>R E S O L U T I V O S</w:t>
      </w:r>
    </w:p>
    <w:p w:rsidR="006F5E3A" w:rsidRPr="00584A70" w:rsidRDefault="006F5E3A" w:rsidP="00584A70">
      <w:pPr>
        <w:spacing w:line="360" w:lineRule="auto"/>
        <w:jc w:val="both"/>
        <w:rPr>
          <w:rFonts w:ascii="Palatino Linotype" w:eastAsia="Palatino Linotype" w:hAnsi="Palatino Linotype" w:cs="Palatino Linotype"/>
          <w:b/>
          <w:color w:val="000000" w:themeColor="text1"/>
        </w:rPr>
      </w:pPr>
    </w:p>
    <w:p w:rsidR="00466579" w:rsidRPr="00584A70" w:rsidRDefault="00466579" w:rsidP="00584A70">
      <w:pPr>
        <w:tabs>
          <w:tab w:val="left" w:pos="8647"/>
        </w:tabs>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PRIMERO.</w:t>
      </w:r>
      <w:r w:rsidRPr="00584A70">
        <w:rPr>
          <w:rFonts w:ascii="Palatino Linotype" w:eastAsia="Palatino Linotype" w:hAnsi="Palatino Linotype" w:cs="Palatino Linotype"/>
          <w:color w:val="000000" w:themeColor="text1"/>
        </w:rPr>
        <w:t xml:space="preserve"> Resultan fundadas las razones o motivos de inconformidad hechos valer por </w:t>
      </w:r>
      <w:r w:rsidR="00605B5C">
        <w:rPr>
          <w:rFonts w:ascii="Palatino Linotype" w:eastAsia="Palatino Linotype" w:hAnsi="Palatino Linotype" w:cs="Palatino Linotype"/>
          <w:b/>
          <w:color w:val="000000" w:themeColor="text1"/>
        </w:rPr>
        <w:t>EL</w:t>
      </w:r>
      <w:r w:rsidRPr="00584A70">
        <w:rPr>
          <w:rFonts w:ascii="Palatino Linotype" w:eastAsia="Palatino Linotype" w:hAnsi="Palatino Linotype" w:cs="Palatino Linotype"/>
          <w:b/>
          <w:color w:val="000000" w:themeColor="text1"/>
        </w:rPr>
        <w:t xml:space="preserve"> RECURRENTE,</w:t>
      </w:r>
      <w:r w:rsidRPr="00584A70">
        <w:rPr>
          <w:rFonts w:ascii="Palatino Linotype" w:eastAsia="Palatino Linotype" w:hAnsi="Palatino Linotype" w:cs="Palatino Linotype"/>
          <w:color w:val="000000" w:themeColor="text1"/>
        </w:rPr>
        <w:t xml:space="preserve"> en términos del considerando </w:t>
      </w:r>
      <w:r w:rsidRPr="00584A70">
        <w:rPr>
          <w:rFonts w:ascii="Palatino Linotype" w:eastAsia="Palatino Linotype" w:hAnsi="Palatino Linotype" w:cs="Palatino Linotype"/>
          <w:b/>
          <w:color w:val="000000" w:themeColor="text1"/>
        </w:rPr>
        <w:t>CUARTO</w:t>
      </w:r>
      <w:r w:rsidR="002D4539" w:rsidRPr="00584A70">
        <w:rPr>
          <w:rFonts w:ascii="Palatino Linotype" w:eastAsia="Palatino Linotype" w:hAnsi="Palatino Linotype" w:cs="Palatino Linotype"/>
          <w:b/>
          <w:color w:val="000000" w:themeColor="text1"/>
        </w:rPr>
        <w:t xml:space="preserve"> </w:t>
      </w:r>
      <w:r w:rsidR="002D4539" w:rsidRPr="00584A70">
        <w:rPr>
          <w:rFonts w:ascii="Palatino Linotype" w:eastAsia="Palatino Linotype" w:hAnsi="Palatino Linotype" w:cs="Palatino Linotype"/>
          <w:color w:val="000000" w:themeColor="text1"/>
        </w:rPr>
        <w:t>y</w:t>
      </w:r>
      <w:r w:rsidR="002D4539" w:rsidRPr="00584A70">
        <w:rPr>
          <w:rFonts w:ascii="Palatino Linotype" w:eastAsia="Palatino Linotype" w:hAnsi="Palatino Linotype" w:cs="Palatino Linotype"/>
          <w:b/>
          <w:color w:val="000000" w:themeColor="text1"/>
        </w:rPr>
        <w:t xml:space="preserve"> QUINTO</w:t>
      </w:r>
      <w:r w:rsidRPr="00584A70">
        <w:rPr>
          <w:rFonts w:ascii="Palatino Linotype" w:eastAsia="Palatino Linotype" w:hAnsi="Palatino Linotype" w:cs="Palatino Linotype"/>
          <w:color w:val="000000" w:themeColor="text1"/>
        </w:rPr>
        <w:t xml:space="preserve">, de la presente resolución y se </w:t>
      </w:r>
      <w:r w:rsidRPr="00584A70">
        <w:rPr>
          <w:rFonts w:ascii="Palatino Linotype" w:eastAsia="Palatino Linotype" w:hAnsi="Palatino Linotype" w:cs="Palatino Linotype"/>
          <w:b/>
          <w:color w:val="000000" w:themeColor="text1"/>
        </w:rPr>
        <w:t>ORDENA</w:t>
      </w:r>
      <w:r w:rsidRPr="00584A70">
        <w:rPr>
          <w:rFonts w:ascii="Palatino Linotype" w:eastAsia="Palatino Linotype" w:hAnsi="Palatino Linotype" w:cs="Palatino Linotype"/>
          <w:color w:val="000000" w:themeColor="text1"/>
        </w:rPr>
        <w:t xml:space="preserve"> al </w:t>
      </w:r>
      <w:r w:rsidRPr="00584A70">
        <w:rPr>
          <w:rFonts w:ascii="Palatino Linotype" w:eastAsia="Palatino Linotype" w:hAnsi="Palatino Linotype" w:cs="Palatino Linotype"/>
          <w:b/>
          <w:color w:val="000000" w:themeColor="text1"/>
        </w:rPr>
        <w:t>Sujeto Obligado</w:t>
      </w:r>
      <w:r w:rsidRPr="00584A70">
        <w:rPr>
          <w:rFonts w:ascii="Palatino Linotype" w:eastAsia="Palatino Linotype" w:hAnsi="Palatino Linotype" w:cs="Palatino Linotype"/>
          <w:color w:val="000000" w:themeColor="text1"/>
        </w:rPr>
        <w:t xml:space="preserve"> atienda las solicitudes de información </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número</w:t>
      </w:r>
      <w:r w:rsidR="00605B5C">
        <w:rPr>
          <w:rFonts w:ascii="Palatino Linotype" w:eastAsia="Palatino Linotype" w:hAnsi="Palatino Linotype" w:cs="Palatino Linotype"/>
          <w:color w:val="000000" w:themeColor="text1"/>
        </w:rPr>
        <w:t>s</w:t>
      </w:r>
      <w:r w:rsidRPr="00584A70">
        <w:rPr>
          <w:rFonts w:ascii="Palatino Linotype" w:eastAsia="Palatino Linotype" w:hAnsi="Palatino Linotype" w:cs="Palatino Linotype"/>
          <w:color w:val="000000" w:themeColor="text1"/>
        </w:rPr>
        <w:t xml:space="preserve"> </w:t>
      </w:r>
      <w:r w:rsidRPr="00584A70">
        <w:rPr>
          <w:rFonts w:ascii="Palatino Linotype" w:eastAsia="Palatino Linotype" w:hAnsi="Palatino Linotype" w:cs="Palatino Linotype"/>
          <w:b/>
          <w:color w:val="000000" w:themeColor="text1"/>
        </w:rPr>
        <w:t xml:space="preserve"> 00483/TEPOTZOT/IP/2025, 00482/TEPOTZOT/IP/2025, </w:t>
      </w:r>
      <w:r w:rsidRPr="00584A70">
        <w:rPr>
          <w:rFonts w:ascii="Palatino Linotype" w:eastAsia="Palatino Linotype" w:hAnsi="Palatino Linotype" w:cs="Palatino Linotype"/>
          <w:b/>
          <w:bCs/>
          <w:color w:val="000000" w:themeColor="text1"/>
        </w:rPr>
        <w:t>00480/TEPOTZOT/IP/2025 y 00479/TEPOTZOT/IP/2025</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 xml:space="preserve">vía Sistema de Acceso a la Información Mexiquense </w:t>
      </w:r>
      <w:r w:rsidRPr="00584A70">
        <w:rPr>
          <w:rFonts w:ascii="Palatino Linotype" w:eastAsia="Palatino Linotype" w:hAnsi="Palatino Linotype" w:cs="Palatino Linotype"/>
          <w:b/>
          <w:color w:val="000000" w:themeColor="text1"/>
        </w:rPr>
        <w:t>(SAIMEX)</w:t>
      </w:r>
      <w:r w:rsidRPr="00584A70">
        <w:rPr>
          <w:rFonts w:ascii="Palatino Linotype" w:eastAsia="Palatino Linotype" w:hAnsi="Palatino Linotype" w:cs="Palatino Linotype"/>
          <w:color w:val="000000" w:themeColor="text1"/>
        </w:rPr>
        <w:t xml:space="preserve">, en términos del Considerando </w:t>
      </w:r>
      <w:r w:rsidRPr="00584A70">
        <w:rPr>
          <w:rFonts w:ascii="Palatino Linotype" w:eastAsia="Palatino Linotype" w:hAnsi="Palatino Linotype" w:cs="Palatino Linotype"/>
          <w:b/>
          <w:color w:val="000000" w:themeColor="text1"/>
        </w:rPr>
        <w:t xml:space="preserve">TERCERO </w:t>
      </w:r>
      <w:r w:rsidRPr="00584A70">
        <w:rPr>
          <w:rFonts w:ascii="Palatino Linotype" w:eastAsia="Palatino Linotype" w:hAnsi="Palatino Linotype" w:cs="Palatino Linotype"/>
          <w:color w:val="000000" w:themeColor="text1"/>
        </w:rPr>
        <w:t>de esta resolución</w:t>
      </w:r>
      <w:r w:rsidRPr="00584A70">
        <w:rPr>
          <w:rFonts w:ascii="Palatino Linotype" w:eastAsia="Palatino Linotype" w:hAnsi="Palatino Linotype" w:cs="Palatino Linotype"/>
          <w:b/>
          <w:color w:val="000000" w:themeColor="text1"/>
        </w:rPr>
        <w:t>.</w:t>
      </w:r>
    </w:p>
    <w:p w:rsidR="00466579" w:rsidRPr="00584A70" w:rsidRDefault="00466579" w:rsidP="00584A70">
      <w:pPr>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SEGUNDO.</w:t>
      </w:r>
      <w:r w:rsidRPr="00584A70">
        <w:rPr>
          <w:rFonts w:ascii="Palatino Linotype" w:eastAsia="Palatino Linotype" w:hAnsi="Palatino Linotype" w:cs="Palatino Linotype"/>
          <w:color w:val="000000" w:themeColor="text1"/>
        </w:rPr>
        <w:t xml:space="preserve"> Resultan fundadas las razones o motivos de</w:t>
      </w:r>
      <w:r w:rsidR="00605B5C">
        <w:rPr>
          <w:rFonts w:ascii="Palatino Linotype" w:eastAsia="Palatino Linotype" w:hAnsi="Palatino Linotype" w:cs="Palatino Linotype"/>
          <w:color w:val="000000" w:themeColor="text1"/>
        </w:rPr>
        <w:t xml:space="preserve"> inconformidad hechos valer en </w:t>
      </w:r>
      <w:r w:rsidRPr="00584A70">
        <w:rPr>
          <w:rFonts w:ascii="Palatino Linotype" w:eastAsia="Palatino Linotype" w:hAnsi="Palatino Linotype" w:cs="Palatino Linotype"/>
          <w:color w:val="000000" w:themeColor="text1"/>
        </w:rPr>
        <w:t>l</w:t>
      </w:r>
      <w:r w:rsidR="00605B5C">
        <w:rPr>
          <w:rFonts w:ascii="Palatino Linotype" w:eastAsia="Palatino Linotype" w:hAnsi="Palatino Linotype" w:cs="Palatino Linotype"/>
          <w:color w:val="000000" w:themeColor="text1"/>
        </w:rPr>
        <w:t>os</w:t>
      </w:r>
      <w:r w:rsidRPr="00584A70">
        <w:rPr>
          <w:rFonts w:ascii="Palatino Linotype" w:eastAsia="Palatino Linotype" w:hAnsi="Palatino Linotype" w:cs="Palatino Linotype"/>
          <w:color w:val="000000" w:themeColor="text1"/>
        </w:rPr>
        <w:t xml:space="preserve"> Recurso</w:t>
      </w:r>
      <w:r w:rsidR="00605B5C">
        <w:rPr>
          <w:rFonts w:ascii="Palatino Linotype" w:eastAsia="Palatino Linotype" w:hAnsi="Palatino Linotype" w:cs="Palatino Linotype"/>
          <w:color w:val="000000" w:themeColor="text1"/>
        </w:rPr>
        <w:t>s</w:t>
      </w:r>
      <w:r w:rsidRPr="00584A70">
        <w:rPr>
          <w:rFonts w:ascii="Palatino Linotype" w:eastAsia="Palatino Linotype" w:hAnsi="Palatino Linotype" w:cs="Palatino Linotype"/>
          <w:color w:val="000000" w:themeColor="text1"/>
        </w:rPr>
        <w:t xml:space="preserve"> de Revisión </w:t>
      </w:r>
      <w:r w:rsidR="002D4539" w:rsidRPr="00584A70">
        <w:rPr>
          <w:rFonts w:ascii="Palatino Linotype" w:eastAsia="Palatino Linotype" w:hAnsi="Palatino Linotype" w:cs="Palatino Linotype"/>
          <w:b/>
          <w:color w:val="000000" w:themeColor="text1"/>
        </w:rPr>
        <w:t>11433/INFOEM/IP/RR/2025, 11456/INFOEM/IP/RR/2025, 11457/INFOEM/IP/RR/2025, 11458/INFOEM/IP/RR/2025, 11459/INFOEM/IP/RR/2025, 11460/INFOEM/IP/RR/2025, 11461/INFOEM/IP/RR/2025 y 11462/INFOEM/IP/RR/2025</w:t>
      </w:r>
      <w:r w:rsidRPr="00584A70">
        <w:rPr>
          <w:rFonts w:ascii="Palatino Linotype" w:eastAsia="Palatino Linotype" w:hAnsi="Palatino Linotype" w:cs="Palatino Linotype"/>
          <w:color w:val="000000" w:themeColor="text1"/>
        </w:rPr>
        <w:t>,</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en términos de los Considerandos</w:t>
      </w:r>
      <w:r w:rsidRPr="00584A70">
        <w:rPr>
          <w:rFonts w:ascii="Palatino Linotype" w:eastAsia="Palatino Linotype" w:hAnsi="Palatino Linotype" w:cs="Palatino Linotype"/>
          <w:b/>
          <w:color w:val="000000" w:themeColor="text1"/>
        </w:rPr>
        <w:t xml:space="preserve"> Cuarto y Quinto </w:t>
      </w:r>
      <w:r w:rsidRPr="00584A70">
        <w:rPr>
          <w:rFonts w:ascii="Palatino Linotype" w:eastAsia="Palatino Linotype" w:hAnsi="Palatino Linotype" w:cs="Palatino Linotype"/>
          <w:color w:val="000000" w:themeColor="text1"/>
        </w:rPr>
        <w:t xml:space="preserve">de la presente resolución y </w:t>
      </w:r>
      <w:bookmarkStart w:id="11" w:name="_heading=h.2s8eyo1" w:colFirst="0" w:colLast="0"/>
      <w:bookmarkEnd w:id="11"/>
      <w:r w:rsidRPr="00584A70">
        <w:rPr>
          <w:rFonts w:ascii="Palatino Linotype" w:eastAsia="Palatino Linotype" w:hAnsi="Palatino Linotype" w:cs="Palatino Linotype"/>
          <w:color w:val="000000" w:themeColor="text1"/>
        </w:rPr>
        <w:t xml:space="preserve">se </w:t>
      </w:r>
      <w:r w:rsidR="002D4539" w:rsidRPr="00584A70">
        <w:rPr>
          <w:rFonts w:ascii="Palatino Linotype" w:eastAsia="Palatino Linotype" w:hAnsi="Palatino Linotype" w:cs="Palatino Linotype"/>
          <w:b/>
          <w:color w:val="000000" w:themeColor="text1"/>
        </w:rPr>
        <w:t>REVOCAN</w:t>
      </w:r>
      <w:r w:rsidRPr="00584A70">
        <w:rPr>
          <w:rFonts w:ascii="Palatino Linotype" w:eastAsia="Palatino Linotype" w:hAnsi="Palatino Linotype" w:cs="Palatino Linotype"/>
          <w:b/>
          <w:color w:val="000000" w:themeColor="text1"/>
        </w:rPr>
        <w:t xml:space="preserve"> </w:t>
      </w:r>
      <w:r w:rsidRPr="00584A70">
        <w:rPr>
          <w:rFonts w:ascii="Palatino Linotype" w:eastAsia="Palatino Linotype" w:hAnsi="Palatino Linotype" w:cs="Palatino Linotype"/>
          <w:color w:val="000000" w:themeColor="text1"/>
        </w:rPr>
        <w:t xml:space="preserve">las respuestas emitidas a las solicitudes de información </w:t>
      </w:r>
      <w:hyperlink r:id="rId19" w:history="1">
        <w:r w:rsidR="002D4539" w:rsidRPr="00584A70">
          <w:rPr>
            <w:rStyle w:val="Hipervnculo"/>
            <w:rFonts w:ascii="Palatino Linotype" w:eastAsia="Palatino Linotype" w:hAnsi="Palatino Linotype" w:cs="Palatino Linotype"/>
            <w:b/>
            <w:bCs/>
            <w:color w:val="000000" w:themeColor="text1"/>
            <w:u w:val="none"/>
          </w:rPr>
          <w:t>00484/TEPOTZOT/IP/2025</w:t>
        </w:r>
      </w:hyperlink>
      <w:r w:rsidR="002D4539" w:rsidRPr="00584A70">
        <w:rPr>
          <w:rFonts w:ascii="Palatino Linotype" w:eastAsia="Palatino Linotype" w:hAnsi="Palatino Linotype" w:cs="Palatino Linotype"/>
          <w:b/>
          <w:bCs/>
          <w:color w:val="000000" w:themeColor="text1"/>
        </w:rPr>
        <w:t>, 00485/TEPOTZOT/IP/2025, 00486/TEPOTZOT/IP/2025, 00487/TEPOTZOT/IP/2025, 00488/TEPOTZOT/IP/2025, 00489/TEPOTZOT/IP/2025, 00490/TEPOTZOT/IP/2025 y 00491/TEPOTZOT/IP/2025</w:t>
      </w:r>
      <w:r w:rsidRPr="00584A70">
        <w:rPr>
          <w:rFonts w:ascii="Palatino Linotype" w:eastAsia="Palatino Linotype" w:hAnsi="Palatino Linotype" w:cs="Palatino Linotype"/>
          <w:b/>
          <w:bCs/>
          <w:color w:val="000000" w:themeColor="text1"/>
        </w:rPr>
        <w:t xml:space="preserve">, </w:t>
      </w:r>
      <w:r w:rsidRPr="00584A70">
        <w:rPr>
          <w:rFonts w:ascii="Palatino Linotype" w:eastAsia="Palatino Linotype" w:hAnsi="Palatino Linotype" w:cs="Palatino Linotype"/>
          <w:color w:val="000000" w:themeColor="text1"/>
        </w:rPr>
        <w:t xml:space="preserve">y se </w:t>
      </w:r>
      <w:r w:rsidRPr="00584A70">
        <w:rPr>
          <w:rFonts w:ascii="Palatino Linotype" w:eastAsia="Palatino Linotype" w:hAnsi="Palatino Linotype" w:cs="Palatino Linotype"/>
          <w:b/>
          <w:color w:val="000000" w:themeColor="text1"/>
        </w:rPr>
        <w:t>ORDENA</w:t>
      </w:r>
      <w:r w:rsidRPr="00584A70">
        <w:rPr>
          <w:rFonts w:ascii="Palatino Linotype" w:eastAsia="Palatino Linotype" w:hAnsi="Palatino Linotype" w:cs="Palatino Linotype"/>
          <w:color w:val="000000" w:themeColor="text1"/>
        </w:rPr>
        <w:t xml:space="preserve"> entregar vía Sistema de Acceso a la Información Mexiquense (SAIMEX), </w:t>
      </w:r>
      <w:r w:rsidR="002D4539" w:rsidRPr="00584A70">
        <w:rPr>
          <w:rFonts w:ascii="Palatino Linotype" w:eastAsia="Palatino Linotype" w:hAnsi="Palatino Linotype" w:cs="Palatino Linotype"/>
          <w:color w:val="000000" w:themeColor="text1"/>
        </w:rPr>
        <w:t xml:space="preserve">de ser procedente en versión pública, </w:t>
      </w:r>
      <w:r w:rsidRPr="00584A70">
        <w:rPr>
          <w:rFonts w:ascii="Palatino Linotype" w:eastAsia="Palatino Linotype" w:hAnsi="Palatino Linotype" w:cs="Palatino Linotype"/>
          <w:color w:val="000000" w:themeColor="text1"/>
        </w:rPr>
        <w:t>la siguiente información:</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F5E3A" w:rsidRPr="00584A70" w:rsidRDefault="00934ACF" w:rsidP="00584A7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4A70">
        <w:rPr>
          <w:rFonts w:ascii="Palatino Linotype" w:eastAsia="Palatino Linotype" w:hAnsi="Palatino Linotype" w:cs="Palatino Linotype"/>
          <w:b/>
          <w:color w:val="000000" w:themeColor="text1"/>
        </w:rPr>
        <w:t>Soporte documental donde consten las a</w:t>
      </w:r>
      <w:r w:rsidR="002D4539" w:rsidRPr="00584A70">
        <w:rPr>
          <w:rFonts w:ascii="Palatino Linotype" w:eastAsia="Palatino Linotype" w:hAnsi="Palatino Linotype" w:cs="Palatino Linotype"/>
          <w:b/>
          <w:color w:val="000000" w:themeColor="text1"/>
        </w:rPr>
        <w:t xml:space="preserve">utorizaciones para la actividad comercial de los puestos fijos, semifijos y aquellos que ocupan la vía pública, así como los recibos de pago generados por el mismo concepto de los lugares referidos como </w:t>
      </w:r>
      <w:r w:rsidR="00D47DD7" w:rsidRPr="00584A70">
        <w:rPr>
          <w:rFonts w:ascii="Palatino Linotype" w:eastAsia="Palatino Linotype" w:hAnsi="Palatino Linotype" w:cs="Palatino Linotype"/>
          <w:b/>
          <w:color w:val="000000" w:themeColor="text1"/>
        </w:rPr>
        <w:t>Capula,</w:t>
      </w:r>
      <w:r w:rsidR="002D4539" w:rsidRPr="00584A70">
        <w:rPr>
          <w:rFonts w:ascii="Palatino Linotype" w:eastAsia="Palatino Linotype" w:hAnsi="Palatino Linotype" w:cs="Palatino Linotype"/>
          <w:b/>
          <w:color w:val="000000" w:themeColor="text1"/>
        </w:rPr>
        <w:t xml:space="preserve"> San Mateo </w:t>
      </w:r>
      <w:r w:rsidR="002D4539" w:rsidRPr="00584A70">
        <w:rPr>
          <w:rFonts w:ascii="Palatino Linotype" w:eastAsia="Palatino Linotype" w:hAnsi="Palatino Linotype" w:cs="Palatino Linotype"/>
          <w:b/>
          <w:color w:val="000000" w:themeColor="text1"/>
        </w:rPr>
        <w:lastRenderedPageBreak/>
        <w:t xml:space="preserve">Xoloc, Santa Cruz, Santiago Cuautlalpan, Cañada de Cisneros, Los Dolores, Texcacoa y en la Avenida de la Industria, Avenida el Convento y Avenida Hostería en el Trébol, del periodo comprendido del primero de enero al primero de septiembre de dos mil veinticinco. </w:t>
      </w:r>
    </w:p>
    <w:p w:rsidR="002D4539" w:rsidRPr="00584A70" w:rsidRDefault="002D4539" w:rsidP="00584A7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bookmarkStart w:id="12" w:name="_heading=h.w0ycrbvxzrwb" w:colFirst="0" w:colLast="0"/>
      <w:bookmarkEnd w:id="12"/>
      <w:r w:rsidRPr="00584A70">
        <w:rPr>
          <w:rFonts w:ascii="Palatino Linotype" w:eastAsia="Palatino Linotype" w:hAnsi="Palatino Linotype" w:cs="Palatino Linotype"/>
          <w:color w:val="000000" w:themeColor="text1"/>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6F5E3A" w:rsidRPr="00584A70" w:rsidRDefault="006F5E3A" w:rsidP="00584A7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F5E3A" w:rsidRPr="00584A70" w:rsidRDefault="006F5E3A" w:rsidP="00584A70">
      <w:pPr>
        <w:tabs>
          <w:tab w:val="left" w:pos="284"/>
          <w:tab w:val="left" w:pos="8080"/>
        </w:tabs>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TERCERO. NOTIFÍQUESE</w:t>
      </w:r>
      <w:r w:rsidRPr="00584A70">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84A70">
        <w:rPr>
          <w:rFonts w:ascii="Palatino Linotype" w:eastAsia="Palatino Linotype" w:hAnsi="Palatino Linotype" w:cs="Palatino Linotype"/>
          <w:b/>
          <w:color w:val="000000" w:themeColor="text1"/>
        </w:rPr>
        <w:t>dé cumplimiento a lo ordenado dentro del plazo de diez días hábiles</w:t>
      </w:r>
      <w:r w:rsidRPr="00584A70">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F5E3A" w:rsidRPr="00584A70" w:rsidRDefault="006F5E3A" w:rsidP="00584A70">
      <w:pPr>
        <w:tabs>
          <w:tab w:val="left" w:pos="284"/>
          <w:tab w:val="left" w:pos="8080"/>
        </w:tabs>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 xml:space="preserve">CUARTO. Notifíquese </w:t>
      </w:r>
      <w:r w:rsidRPr="00584A70">
        <w:rPr>
          <w:rFonts w:ascii="Palatino Linotype" w:eastAsia="Palatino Linotype" w:hAnsi="Palatino Linotype" w:cs="Palatino Linotype"/>
          <w:color w:val="000000" w:themeColor="text1"/>
        </w:rPr>
        <w:t xml:space="preserve">al </w:t>
      </w:r>
      <w:r w:rsidRPr="00584A70">
        <w:rPr>
          <w:rFonts w:ascii="Palatino Linotype" w:eastAsia="Palatino Linotype" w:hAnsi="Palatino Linotype" w:cs="Palatino Linotype"/>
          <w:b/>
          <w:color w:val="000000" w:themeColor="text1"/>
        </w:rPr>
        <w:t xml:space="preserve">RECURRENTE </w:t>
      </w:r>
      <w:r w:rsidRPr="00584A70">
        <w:rPr>
          <w:rFonts w:ascii="Palatino Linotype" w:eastAsia="Palatino Linotype" w:hAnsi="Palatino Linotype" w:cs="Palatino Linotype"/>
          <w:color w:val="000000" w:themeColor="text1"/>
        </w:rPr>
        <w:t xml:space="preserve">la presente resolución a través del Sistema de Acceso a la Información Mexiquense (SAIMEX). </w:t>
      </w:r>
    </w:p>
    <w:p w:rsidR="006F5E3A" w:rsidRPr="00584A70" w:rsidRDefault="006F5E3A" w:rsidP="00584A70">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lastRenderedPageBreak/>
        <w:t xml:space="preserve">QUINTO. </w:t>
      </w:r>
      <w:r w:rsidRPr="00584A70">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F5E3A" w:rsidRPr="00584A70" w:rsidRDefault="006F5E3A" w:rsidP="00584A70">
      <w:pPr>
        <w:shd w:val="clear" w:color="auto" w:fill="FFFFFF"/>
        <w:spacing w:before="240" w:after="360"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SEXTO.</w:t>
      </w:r>
      <w:r w:rsidRPr="00584A70">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A0D2B" w:rsidRPr="00584A70" w:rsidRDefault="00AA0D2B" w:rsidP="00584A70">
      <w:pPr>
        <w:spacing w:line="360" w:lineRule="auto"/>
        <w:jc w:val="both"/>
        <w:rPr>
          <w:rFonts w:ascii="Palatino Linotype" w:eastAsia="Palatino Linotype" w:hAnsi="Palatino Linotype" w:cs="Palatino Linotype"/>
          <w:color w:val="000000" w:themeColor="text1"/>
        </w:rPr>
      </w:pPr>
      <w:r w:rsidRPr="00584A70">
        <w:rPr>
          <w:rFonts w:ascii="Palatino Linotype" w:eastAsia="Palatino Linotype" w:hAnsi="Palatino Linotype" w:cs="Palatino Linotype"/>
          <w:b/>
          <w:color w:val="000000" w:themeColor="text1"/>
        </w:rPr>
        <w:t>SEXTO</w:t>
      </w:r>
      <w:r w:rsidRPr="00584A70">
        <w:rPr>
          <w:rFonts w:ascii="Palatino Linotype" w:eastAsia="Palatino Linotype" w:hAnsi="Palatino Linotype" w:cs="Palatino Linotype"/>
          <w:color w:val="000000" w:themeColor="text1"/>
        </w:rPr>
        <w:t xml:space="preserve">. </w:t>
      </w:r>
      <w:r w:rsidRPr="00584A70">
        <w:rPr>
          <w:rFonts w:ascii="Palatino Linotype" w:eastAsia="Palatino Linotype" w:hAnsi="Palatino Linotype" w:cs="Palatino Linotype"/>
          <w:b/>
          <w:color w:val="000000" w:themeColor="text1"/>
        </w:rPr>
        <w:t>Gírese</w:t>
      </w:r>
      <w:r w:rsidRPr="00584A70">
        <w:rPr>
          <w:rFonts w:ascii="Palatino Linotype" w:eastAsia="Palatino Linotype" w:hAnsi="Palatino Linotype" w:cs="Palatino Linotype"/>
          <w:color w:val="000000" w:themeColor="text1"/>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84A70">
        <w:rPr>
          <w:rFonts w:ascii="Palatino Linotype" w:eastAsia="Palatino Linotype" w:hAnsi="Palatino Linotype" w:cs="Palatino Linotype"/>
          <w:b/>
          <w:color w:val="000000" w:themeColor="text1"/>
        </w:rPr>
        <w:t>Considerando TERCERO</w:t>
      </w:r>
      <w:r w:rsidRPr="00584A70">
        <w:rPr>
          <w:rFonts w:ascii="Palatino Linotype" w:eastAsia="Palatino Linotype" w:hAnsi="Palatino Linotype" w:cs="Palatino Linotype"/>
          <w:color w:val="000000" w:themeColor="text1"/>
        </w:rPr>
        <w:t xml:space="preserve"> de la presente resolución.</w:t>
      </w:r>
    </w:p>
    <w:p w:rsidR="00605B5C" w:rsidRPr="00584A70" w:rsidRDefault="00605B5C" w:rsidP="00584A70">
      <w:pPr>
        <w:spacing w:line="360" w:lineRule="auto"/>
        <w:jc w:val="both"/>
        <w:rPr>
          <w:rFonts w:ascii="Palatino Linotype" w:eastAsia="Palatino Linotype" w:hAnsi="Palatino Linotype" w:cs="Palatino Linotype"/>
          <w:color w:val="000000" w:themeColor="text1"/>
        </w:rPr>
      </w:pPr>
    </w:p>
    <w:p w:rsidR="00605B5C" w:rsidRPr="00444783" w:rsidRDefault="00605B5C" w:rsidP="00605B5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6F5E3A" w:rsidRPr="00584A70" w:rsidRDefault="006F5E3A" w:rsidP="00584A70">
      <w:pPr>
        <w:spacing w:before="240" w:after="24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spacing w:before="240" w:after="360" w:line="360" w:lineRule="auto"/>
        <w:jc w:val="both"/>
        <w:rPr>
          <w:rFonts w:ascii="Palatino Linotype" w:eastAsia="Palatino Linotype" w:hAnsi="Palatino Linotype" w:cs="Palatino Linotype"/>
          <w:color w:val="000000" w:themeColor="text1"/>
        </w:rPr>
      </w:pPr>
    </w:p>
    <w:p w:rsidR="006F5E3A" w:rsidRPr="00584A70" w:rsidRDefault="006F5E3A" w:rsidP="00584A70">
      <w:pPr>
        <w:rPr>
          <w:rFonts w:ascii="Palatino Linotype" w:eastAsia="Palatino Linotype" w:hAnsi="Palatino Linotype" w:cs="Palatino Linotype"/>
          <w:color w:val="000000" w:themeColor="text1"/>
        </w:rPr>
      </w:pPr>
    </w:p>
    <w:p w:rsidR="006F5E3A" w:rsidRPr="00584A70" w:rsidRDefault="006F5E3A" w:rsidP="00584A70">
      <w:pPr>
        <w:rPr>
          <w:rFonts w:ascii="Palatino Linotype" w:hAnsi="Palatino Linotype"/>
          <w:color w:val="000000" w:themeColor="text1"/>
        </w:rPr>
      </w:pPr>
    </w:p>
    <w:p w:rsidR="006F5E3A" w:rsidRPr="00584A70" w:rsidRDefault="006F5E3A" w:rsidP="00584A70">
      <w:pPr>
        <w:rPr>
          <w:rFonts w:ascii="Palatino Linotype" w:hAnsi="Palatino Linotype"/>
          <w:color w:val="000000" w:themeColor="text1"/>
        </w:rPr>
      </w:pPr>
    </w:p>
    <w:p w:rsidR="006F5E3A" w:rsidRPr="00584A70" w:rsidRDefault="006F5E3A" w:rsidP="00584A70">
      <w:pPr>
        <w:rPr>
          <w:rFonts w:ascii="Palatino Linotype" w:hAnsi="Palatino Linotype"/>
          <w:color w:val="000000" w:themeColor="text1"/>
        </w:rPr>
      </w:pPr>
    </w:p>
    <w:p w:rsidR="00316944" w:rsidRPr="00584A70" w:rsidRDefault="00316944" w:rsidP="00584A70">
      <w:pPr>
        <w:rPr>
          <w:rFonts w:ascii="Palatino Linotype" w:hAnsi="Palatino Linotype"/>
          <w:color w:val="000000" w:themeColor="text1"/>
        </w:rPr>
      </w:pPr>
    </w:p>
    <w:sectPr w:rsidR="00316944" w:rsidRPr="00584A70" w:rsidSect="00054675">
      <w:headerReference w:type="even" r:id="rId20"/>
      <w:headerReference w:type="default" r:id="rId21"/>
      <w:footerReference w:type="default" r:id="rId22"/>
      <w:headerReference w:type="first" r:id="rId23"/>
      <w:footerReference w:type="first" r:id="rId24"/>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ED9" w:rsidRDefault="00B32ED9" w:rsidP="006F5E3A">
      <w:r>
        <w:separator/>
      </w:r>
    </w:p>
  </w:endnote>
  <w:endnote w:type="continuationSeparator" w:id="0">
    <w:p w:rsidR="00B32ED9" w:rsidRDefault="00B32ED9" w:rsidP="006F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50B" w:rsidRDefault="00A6250B">
    <w:pPr>
      <w:pBdr>
        <w:top w:val="nil"/>
        <w:left w:val="nil"/>
        <w:bottom w:val="nil"/>
        <w:right w:val="nil"/>
        <w:between w:val="nil"/>
      </w:pBdr>
      <w:tabs>
        <w:tab w:val="center" w:pos="4419"/>
        <w:tab w:val="right" w:pos="8838"/>
      </w:tabs>
      <w:jc w:val="right"/>
      <w:rPr>
        <w:color w:val="000000"/>
      </w:rPr>
    </w:pPr>
  </w:p>
  <w:p w:rsidR="00A6250B" w:rsidRDefault="00A6250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4182E">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4182E">
      <w:rPr>
        <w:b/>
        <w:noProof/>
        <w:color w:val="000000"/>
      </w:rPr>
      <w:t>42</w:t>
    </w:r>
    <w:r>
      <w:rPr>
        <w:b/>
        <w:color w:val="000000"/>
      </w:rPr>
      <w:fldChar w:fldCharType="end"/>
    </w:r>
  </w:p>
  <w:p w:rsidR="00A6250B" w:rsidRDefault="00A6250B">
    <w:pPr>
      <w:pBdr>
        <w:top w:val="nil"/>
        <w:left w:val="nil"/>
        <w:bottom w:val="nil"/>
        <w:right w:val="nil"/>
        <w:between w:val="nil"/>
      </w:pBdr>
      <w:tabs>
        <w:tab w:val="center" w:pos="4419"/>
        <w:tab w:val="right" w:pos="8838"/>
      </w:tabs>
      <w:rPr>
        <w:color w:val="000000"/>
      </w:rPr>
    </w:pPr>
  </w:p>
  <w:p w:rsidR="00A6250B" w:rsidRDefault="00A6250B"/>
  <w:p w:rsidR="00A6250B" w:rsidRDefault="00A6250B"/>
  <w:p w:rsidR="00A6250B" w:rsidRDefault="00A625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50B" w:rsidRDefault="00A6250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4182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4182E">
      <w:rPr>
        <w:b/>
        <w:noProof/>
        <w:color w:val="000000"/>
      </w:rPr>
      <w:t>42</w:t>
    </w:r>
    <w:r>
      <w:rPr>
        <w:b/>
        <w:color w:val="000000"/>
      </w:rPr>
      <w:fldChar w:fldCharType="end"/>
    </w:r>
  </w:p>
  <w:p w:rsidR="00A6250B" w:rsidRDefault="00A6250B">
    <w:pPr>
      <w:pBdr>
        <w:top w:val="nil"/>
        <w:left w:val="nil"/>
        <w:bottom w:val="nil"/>
        <w:right w:val="nil"/>
        <w:between w:val="nil"/>
      </w:pBdr>
      <w:tabs>
        <w:tab w:val="center" w:pos="4419"/>
        <w:tab w:val="right" w:pos="8838"/>
      </w:tabs>
      <w:rPr>
        <w:color w:val="000000"/>
      </w:rPr>
    </w:pPr>
  </w:p>
  <w:p w:rsidR="00A6250B" w:rsidRDefault="00A6250B"/>
  <w:p w:rsidR="00A6250B" w:rsidRDefault="00A6250B"/>
  <w:p w:rsidR="00A6250B" w:rsidRDefault="00A625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ED9" w:rsidRDefault="00B32ED9" w:rsidP="006F5E3A">
      <w:r>
        <w:separator/>
      </w:r>
    </w:p>
  </w:footnote>
  <w:footnote w:type="continuationSeparator" w:id="0">
    <w:p w:rsidR="00B32ED9" w:rsidRDefault="00B32ED9" w:rsidP="006F5E3A">
      <w:r>
        <w:continuationSeparator/>
      </w:r>
    </w:p>
  </w:footnote>
  <w:footnote w:id="1">
    <w:p w:rsidR="00A6250B" w:rsidRDefault="00A6250B" w:rsidP="006F5E3A">
      <w:pPr>
        <w:pStyle w:val="Textonotapie"/>
      </w:pPr>
      <w:r>
        <w:rPr>
          <w:rStyle w:val="Refdenotaalpie"/>
        </w:rPr>
        <w:footnoteRef/>
      </w:r>
      <w:r>
        <w:t xml:space="preserve"> Artículo 150. Ley de Transparencia y Acceso a la Información Pública del Estado de México y Municipios.</w:t>
      </w:r>
    </w:p>
    <w:p w:rsidR="00A6250B" w:rsidRDefault="00A6250B" w:rsidP="006F5E3A">
      <w:pPr>
        <w:pStyle w:val="Textonotapie"/>
      </w:pPr>
      <w:r>
        <w:t>Artículo 151. Ibídem.</w:t>
      </w:r>
    </w:p>
  </w:footnote>
  <w:footnote w:id="2">
    <w:p w:rsidR="00A6250B" w:rsidRDefault="00A6250B" w:rsidP="006F5E3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50B" w:rsidRDefault="00B32ED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63.5pt;height:12in;z-index:-251659776;mso-position-horizontal:center;mso-position-horizontal-relative:margin;mso-position-vertical:center;mso-position-vertical-relative:margin">
          <v:imagedata r:id="rId1" o:title="image1"/>
          <w10:wrap anchorx="margin" anchory="margin"/>
        </v:shape>
      </w:pict>
    </w:r>
  </w:p>
  <w:p w:rsidR="00A6250B" w:rsidRDefault="00A6250B"/>
  <w:p w:rsidR="00A6250B" w:rsidRDefault="00A6250B"/>
  <w:p w:rsidR="00A6250B" w:rsidRDefault="00A625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1843"/>
      <w:gridCol w:w="8647"/>
    </w:tblGrid>
    <w:tr w:rsidR="00A6250B" w:rsidTr="00584A70">
      <w:trPr>
        <w:trHeight w:val="1435"/>
      </w:trPr>
      <w:tc>
        <w:tcPr>
          <w:tcW w:w="1843" w:type="dxa"/>
          <w:shd w:val="clear" w:color="auto" w:fill="auto"/>
        </w:tcPr>
        <w:p w:rsidR="00A6250B" w:rsidRDefault="00A6250B">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647" w:type="dxa"/>
          <w:shd w:val="clear" w:color="auto" w:fill="auto"/>
        </w:tcPr>
        <w:tbl>
          <w:tblPr>
            <w:tblW w:w="9898" w:type="dxa"/>
            <w:tblInd w:w="743" w:type="dxa"/>
            <w:tblBorders>
              <w:top w:val="nil"/>
              <w:left w:val="nil"/>
              <w:bottom w:val="nil"/>
              <w:right w:val="nil"/>
              <w:insideH w:val="nil"/>
              <w:insideV w:val="nil"/>
            </w:tblBorders>
            <w:tblLayout w:type="fixed"/>
            <w:tblLook w:val="0400" w:firstRow="0" w:lastRow="0" w:firstColumn="0" w:lastColumn="0" w:noHBand="0" w:noVBand="1"/>
          </w:tblPr>
          <w:tblGrid>
            <w:gridCol w:w="2551"/>
            <w:gridCol w:w="4962"/>
            <w:gridCol w:w="2385"/>
          </w:tblGrid>
          <w:tr w:rsidR="00A6250B" w:rsidRPr="00584A70" w:rsidTr="00054675">
            <w:trPr>
              <w:trHeight w:val="144"/>
            </w:trPr>
            <w:tc>
              <w:tcPr>
                <w:tcW w:w="2551" w:type="dxa"/>
              </w:tcPr>
              <w:p w:rsidR="00A6250B" w:rsidRPr="00584A70" w:rsidRDefault="00A6250B" w:rsidP="00584A70">
                <w:pPr>
                  <w:tabs>
                    <w:tab w:val="right" w:pos="8838"/>
                  </w:tabs>
                  <w:ind w:left="-74" w:right="-105"/>
                  <w:rPr>
                    <w:rFonts w:ascii="Palatino Linotype" w:eastAsia="Palatino Linotype" w:hAnsi="Palatino Linotype" w:cs="Palatino Linotype"/>
                    <w:b/>
                  </w:rPr>
                </w:pPr>
                <w:r w:rsidRPr="00584A70">
                  <w:rPr>
                    <w:rFonts w:ascii="Palatino Linotype" w:eastAsia="Palatino Linotype" w:hAnsi="Palatino Linotype" w:cs="Palatino Linotype"/>
                    <w:b/>
                  </w:rPr>
                  <w:t>Recurso de Revisión:</w:t>
                </w:r>
              </w:p>
            </w:tc>
            <w:tc>
              <w:tcPr>
                <w:tcW w:w="4962" w:type="dxa"/>
              </w:tcPr>
              <w:p w:rsidR="00A6250B" w:rsidRPr="00584A70" w:rsidRDefault="00A6250B" w:rsidP="00584A70">
                <w:pPr>
                  <w:tabs>
                    <w:tab w:val="right" w:pos="8838"/>
                  </w:tabs>
                  <w:ind w:left="-3" w:right="-109"/>
                  <w:rPr>
                    <w:rFonts w:ascii="Palatino Linotype" w:eastAsia="Palatino Linotype" w:hAnsi="Palatino Linotype" w:cs="Palatino Linotype"/>
                  </w:rPr>
                </w:pPr>
                <w:r w:rsidRPr="00584A70">
                  <w:rPr>
                    <w:rFonts w:ascii="Palatino Linotype" w:eastAsia="Palatino Linotype" w:hAnsi="Palatino Linotype" w:cs="Palatino Linotype"/>
                  </w:rPr>
                  <w:t>11433/INFOEM/IP/RR/2025 y Acumulados</w:t>
                </w:r>
              </w:p>
            </w:tc>
            <w:tc>
              <w:tcPr>
                <w:tcW w:w="2385" w:type="dxa"/>
              </w:tcPr>
              <w:p w:rsidR="00A6250B" w:rsidRPr="00584A70" w:rsidRDefault="00A6250B" w:rsidP="00584A70">
                <w:pPr>
                  <w:tabs>
                    <w:tab w:val="right" w:pos="8838"/>
                  </w:tabs>
                  <w:ind w:left="-74" w:right="-105"/>
                  <w:jc w:val="both"/>
                  <w:rPr>
                    <w:rFonts w:ascii="Palatino Linotype" w:eastAsia="Palatino Linotype" w:hAnsi="Palatino Linotype" w:cs="Palatino Linotype"/>
                  </w:rPr>
                </w:pPr>
              </w:p>
            </w:tc>
          </w:tr>
          <w:tr w:rsidR="00A6250B" w:rsidRPr="00584A70" w:rsidTr="00054675">
            <w:trPr>
              <w:trHeight w:val="144"/>
            </w:trPr>
            <w:tc>
              <w:tcPr>
                <w:tcW w:w="2551" w:type="dxa"/>
              </w:tcPr>
              <w:p w:rsidR="00A6250B" w:rsidRPr="00584A70" w:rsidRDefault="00A6250B" w:rsidP="00584A70">
                <w:pPr>
                  <w:tabs>
                    <w:tab w:val="right" w:pos="8838"/>
                  </w:tabs>
                  <w:ind w:right="-105"/>
                  <w:rPr>
                    <w:rFonts w:ascii="Palatino Linotype" w:eastAsia="Palatino Linotype" w:hAnsi="Palatino Linotype" w:cs="Palatino Linotype"/>
                    <w:b/>
                  </w:rPr>
                </w:pPr>
              </w:p>
            </w:tc>
            <w:tc>
              <w:tcPr>
                <w:tcW w:w="4962" w:type="dxa"/>
              </w:tcPr>
              <w:p w:rsidR="00A6250B" w:rsidRPr="00584A70" w:rsidRDefault="00A6250B" w:rsidP="00584A70">
                <w:pPr>
                  <w:tabs>
                    <w:tab w:val="left" w:pos="3122"/>
                    <w:tab w:val="right" w:pos="8838"/>
                  </w:tabs>
                  <w:ind w:right="-109"/>
                  <w:rPr>
                    <w:rFonts w:ascii="Palatino Linotype" w:eastAsia="Palatino Linotype" w:hAnsi="Palatino Linotype" w:cs="Palatino Linotype"/>
                  </w:rPr>
                </w:pPr>
              </w:p>
            </w:tc>
            <w:tc>
              <w:tcPr>
                <w:tcW w:w="2385" w:type="dxa"/>
              </w:tcPr>
              <w:p w:rsidR="00A6250B" w:rsidRPr="00584A70" w:rsidRDefault="00A6250B" w:rsidP="00584A70">
                <w:pPr>
                  <w:tabs>
                    <w:tab w:val="left" w:pos="3122"/>
                    <w:tab w:val="right" w:pos="8838"/>
                  </w:tabs>
                  <w:ind w:right="-105"/>
                  <w:jc w:val="both"/>
                  <w:rPr>
                    <w:rFonts w:ascii="Palatino Linotype" w:eastAsia="Palatino Linotype" w:hAnsi="Palatino Linotype" w:cs="Palatino Linotype"/>
                  </w:rPr>
                </w:pPr>
              </w:p>
            </w:tc>
          </w:tr>
          <w:tr w:rsidR="00A6250B" w:rsidRPr="00584A70" w:rsidTr="00054675">
            <w:trPr>
              <w:trHeight w:val="283"/>
            </w:trPr>
            <w:tc>
              <w:tcPr>
                <w:tcW w:w="2551" w:type="dxa"/>
              </w:tcPr>
              <w:p w:rsidR="00A6250B" w:rsidRPr="00584A70" w:rsidRDefault="00A6250B" w:rsidP="00584A70">
                <w:pPr>
                  <w:tabs>
                    <w:tab w:val="right" w:pos="8838"/>
                  </w:tabs>
                  <w:ind w:left="-74" w:right="-105"/>
                  <w:rPr>
                    <w:rFonts w:ascii="Palatino Linotype" w:eastAsia="Palatino Linotype" w:hAnsi="Palatino Linotype" w:cs="Palatino Linotype"/>
                    <w:b/>
                  </w:rPr>
                </w:pPr>
                <w:r w:rsidRPr="00584A70">
                  <w:rPr>
                    <w:rFonts w:ascii="Palatino Linotype" w:eastAsia="Palatino Linotype" w:hAnsi="Palatino Linotype" w:cs="Palatino Linotype"/>
                    <w:b/>
                  </w:rPr>
                  <w:t>Sujeto Obligado:</w:t>
                </w:r>
              </w:p>
            </w:tc>
            <w:tc>
              <w:tcPr>
                <w:tcW w:w="4962" w:type="dxa"/>
              </w:tcPr>
              <w:p w:rsidR="00A6250B" w:rsidRPr="00584A70" w:rsidRDefault="00A6250B" w:rsidP="00584A70">
                <w:pPr>
                  <w:tabs>
                    <w:tab w:val="left" w:pos="2834"/>
                    <w:tab w:val="right" w:pos="8838"/>
                  </w:tabs>
                  <w:ind w:left="-3" w:right="-109"/>
                  <w:rPr>
                    <w:rFonts w:ascii="Palatino Linotype" w:eastAsia="Palatino Linotype" w:hAnsi="Palatino Linotype" w:cs="Palatino Linotype"/>
                  </w:rPr>
                </w:pPr>
                <w:r w:rsidRPr="00584A70">
                  <w:rPr>
                    <w:rFonts w:ascii="Palatino Linotype" w:eastAsia="Palatino Linotype" w:hAnsi="Palatino Linotype" w:cs="Palatino Linotype"/>
                  </w:rPr>
                  <w:t>Ayuntamiento de Tepotzotlán</w:t>
                </w:r>
              </w:p>
            </w:tc>
            <w:tc>
              <w:tcPr>
                <w:tcW w:w="2385" w:type="dxa"/>
              </w:tcPr>
              <w:p w:rsidR="00A6250B" w:rsidRPr="00584A70" w:rsidRDefault="00A6250B" w:rsidP="00584A70">
                <w:pPr>
                  <w:tabs>
                    <w:tab w:val="left" w:pos="2834"/>
                    <w:tab w:val="right" w:pos="8838"/>
                  </w:tabs>
                  <w:ind w:left="-74" w:right="-105"/>
                  <w:jc w:val="both"/>
                  <w:rPr>
                    <w:rFonts w:ascii="Palatino Linotype" w:eastAsia="Palatino Linotype" w:hAnsi="Palatino Linotype" w:cs="Palatino Linotype"/>
                  </w:rPr>
                </w:pPr>
              </w:p>
            </w:tc>
          </w:tr>
          <w:tr w:rsidR="00A6250B" w:rsidRPr="00584A70" w:rsidTr="00054675">
            <w:trPr>
              <w:trHeight w:val="283"/>
            </w:trPr>
            <w:tc>
              <w:tcPr>
                <w:tcW w:w="2551" w:type="dxa"/>
              </w:tcPr>
              <w:p w:rsidR="00A6250B" w:rsidRPr="00584A70" w:rsidRDefault="00A6250B" w:rsidP="00584A70">
                <w:pPr>
                  <w:tabs>
                    <w:tab w:val="right" w:pos="8838"/>
                  </w:tabs>
                  <w:ind w:left="-74" w:right="-105"/>
                  <w:rPr>
                    <w:rFonts w:ascii="Palatino Linotype" w:eastAsia="Palatino Linotype" w:hAnsi="Palatino Linotype" w:cs="Palatino Linotype"/>
                    <w:b/>
                  </w:rPr>
                </w:pPr>
                <w:r w:rsidRPr="00584A70">
                  <w:rPr>
                    <w:rFonts w:ascii="Palatino Linotype" w:eastAsia="Palatino Linotype" w:hAnsi="Palatino Linotype" w:cs="Palatino Linotype"/>
                    <w:b/>
                  </w:rPr>
                  <w:t>Comisionada Ponente:</w:t>
                </w:r>
              </w:p>
            </w:tc>
            <w:tc>
              <w:tcPr>
                <w:tcW w:w="4962" w:type="dxa"/>
              </w:tcPr>
              <w:p w:rsidR="00A6250B" w:rsidRPr="00584A70" w:rsidRDefault="00A6250B" w:rsidP="00584A70">
                <w:pPr>
                  <w:tabs>
                    <w:tab w:val="right" w:pos="8838"/>
                  </w:tabs>
                  <w:ind w:left="-3" w:right="-109"/>
                  <w:rPr>
                    <w:rFonts w:ascii="Palatino Linotype" w:eastAsia="Palatino Linotype" w:hAnsi="Palatino Linotype" w:cs="Palatino Linotype"/>
                  </w:rPr>
                </w:pPr>
                <w:r w:rsidRPr="00584A70">
                  <w:rPr>
                    <w:rFonts w:ascii="Palatino Linotype" w:eastAsia="Palatino Linotype" w:hAnsi="Palatino Linotype" w:cs="Palatino Linotype"/>
                  </w:rPr>
                  <w:t>María del Rosario Mejía Ayala</w:t>
                </w:r>
              </w:p>
            </w:tc>
            <w:tc>
              <w:tcPr>
                <w:tcW w:w="2385" w:type="dxa"/>
              </w:tcPr>
              <w:p w:rsidR="00A6250B" w:rsidRPr="00584A70" w:rsidRDefault="00A6250B" w:rsidP="00584A70">
                <w:pPr>
                  <w:tabs>
                    <w:tab w:val="right" w:pos="8838"/>
                  </w:tabs>
                  <w:ind w:left="-74" w:right="-105"/>
                  <w:jc w:val="both"/>
                  <w:rPr>
                    <w:rFonts w:ascii="Palatino Linotype" w:eastAsia="Palatino Linotype" w:hAnsi="Palatino Linotype" w:cs="Palatino Linotype"/>
                  </w:rPr>
                </w:pPr>
              </w:p>
            </w:tc>
          </w:tr>
        </w:tbl>
        <w:p w:rsidR="00A6250B" w:rsidRDefault="00A6250B">
          <w:pPr>
            <w:tabs>
              <w:tab w:val="right" w:pos="8838"/>
            </w:tabs>
            <w:ind w:left="-28"/>
            <w:jc w:val="both"/>
            <w:rPr>
              <w:rFonts w:ascii="Arial" w:eastAsia="Arial" w:hAnsi="Arial" w:cs="Arial"/>
              <w:b/>
              <w:sz w:val="22"/>
              <w:szCs w:val="22"/>
            </w:rPr>
          </w:pPr>
        </w:p>
      </w:tc>
    </w:tr>
  </w:tbl>
  <w:p w:rsidR="00A6250B" w:rsidRPr="00054675" w:rsidRDefault="00054675" w:rsidP="0005467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7.45pt;margin-top:-134.4pt;width:663.5pt;height:12in;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5" w:type="dxa"/>
      <w:tblLayout w:type="fixed"/>
      <w:tblLook w:val="0400" w:firstRow="0" w:lastRow="0" w:firstColumn="0" w:lastColumn="0" w:noHBand="0" w:noVBand="1"/>
    </w:tblPr>
    <w:tblGrid>
      <w:gridCol w:w="1560"/>
      <w:gridCol w:w="8655"/>
    </w:tblGrid>
    <w:tr w:rsidR="00A6250B">
      <w:trPr>
        <w:trHeight w:val="1435"/>
      </w:trPr>
      <w:tc>
        <w:tcPr>
          <w:tcW w:w="1560" w:type="dxa"/>
          <w:shd w:val="clear" w:color="auto" w:fill="auto"/>
        </w:tcPr>
        <w:p w:rsidR="00A6250B" w:rsidRDefault="00A6250B">
          <w:pPr>
            <w:tabs>
              <w:tab w:val="right" w:pos="4273"/>
            </w:tabs>
            <w:rPr>
              <w:rFonts w:ascii="Garamond" w:eastAsia="Garamond" w:hAnsi="Garamond" w:cs="Garamond"/>
              <w:sz w:val="22"/>
              <w:szCs w:val="22"/>
            </w:rPr>
          </w:pPr>
        </w:p>
      </w:tc>
      <w:tc>
        <w:tcPr>
          <w:tcW w:w="8655" w:type="dxa"/>
          <w:shd w:val="clear" w:color="auto" w:fill="auto"/>
        </w:tcPr>
        <w:tbl>
          <w:tblPr>
            <w:tblW w:w="10040"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549"/>
            <w:gridCol w:w="5106"/>
            <w:gridCol w:w="2385"/>
          </w:tblGrid>
          <w:tr w:rsidR="00A6250B" w:rsidRPr="00584A70" w:rsidTr="00584A70">
            <w:trPr>
              <w:trHeight w:val="144"/>
            </w:trPr>
            <w:tc>
              <w:tcPr>
                <w:tcW w:w="2549" w:type="dxa"/>
              </w:tcPr>
              <w:p w:rsidR="00A6250B" w:rsidRPr="00584A70" w:rsidRDefault="00A6250B" w:rsidP="00584A70">
                <w:pPr>
                  <w:tabs>
                    <w:tab w:val="right" w:pos="8838"/>
                  </w:tabs>
                  <w:ind w:left="-74" w:right="-105"/>
                  <w:rPr>
                    <w:rFonts w:ascii="Palatino Linotype" w:eastAsia="Palatino Linotype" w:hAnsi="Palatino Linotype" w:cs="Palatino Linotype"/>
                    <w:b/>
                  </w:rPr>
                </w:pPr>
                <w:bookmarkStart w:id="13" w:name="_heading=h.lnxbz9" w:colFirst="0" w:colLast="0"/>
                <w:bookmarkEnd w:id="13"/>
                <w:r w:rsidRPr="00584A70">
                  <w:rPr>
                    <w:rFonts w:ascii="Palatino Linotype" w:eastAsia="Palatino Linotype" w:hAnsi="Palatino Linotype" w:cs="Palatino Linotype"/>
                    <w:b/>
                  </w:rPr>
                  <w:t>Recurso de Revisión:</w:t>
                </w:r>
              </w:p>
            </w:tc>
            <w:tc>
              <w:tcPr>
                <w:tcW w:w="5106" w:type="dxa"/>
              </w:tcPr>
              <w:p w:rsidR="00A6250B" w:rsidRPr="00584A70" w:rsidRDefault="00A6250B" w:rsidP="00584A70">
                <w:pPr>
                  <w:tabs>
                    <w:tab w:val="right" w:pos="8838"/>
                  </w:tabs>
                  <w:ind w:left="-3" w:right="-108"/>
                  <w:rPr>
                    <w:rFonts w:ascii="Palatino Linotype" w:eastAsia="Palatino Linotype" w:hAnsi="Palatino Linotype" w:cs="Palatino Linotype"/>
                  </w:rPr>
                </w:pPr>
                <w:r w:rsidRPr="00584A70">
                  <w:rPr>
                    <w:rFonts w:ascii="Palatino Linotype" w:eastAsia="Palatino Linotype" w:hAnsi="Palatino Linotype" w:cs="Palatino Linotype"/>
                  </w:rPr>
                  <w:t>11433/INFOEM/IP/RR/2025 y Acumulados</w:t>
                </w:r>
              </w:p>
            </w:tc>
            <w:tc>
              <w:tcPr>
                <w:tcW w:w="2385" w:type="dxa"/>
              </w:tcPr>
              <w:p w:rsidR="00A6250B" w:rsidRPr="00584A70" w:rsidRDefault="00A6250B" w:rsidP="00584A70">
                <w:pPr>
                  <w:tabs>
                    <w:tab w:val="right" w:pos="8838"/>
                  </w:tabs>
                  <w:ind w:left="-74" w:right="-105"/>
                  <w:jc w:val="both"/>
                  <w:rPr>
                    <w:rFonts w:ascii="Palatino Linotype" w:eastAsia="Palatino Linotype" w:hAnsi="Palatino Linotype" w:cs="Palatino Linotype"/>
                  </w:rPr>
                </w:pPr>
              </w:p>
            </w:tc>
          </w:tr>
          <w:tr w:rsidR="00A6250B" w:rsidRPr="00584A70" w:rsidTr="00584A70">
            <w:trPr>
              <w:trHeight w:val="144"/>
            </w:trPr>
            <w:tc>
              <w:tcPr>
                <w:tcW w:w="2549" w:type="dxa"/>
              </w:tcPr>
              <w:p w:rsidR="00A6250B" w:rsidRPr="00584A70" w:rsidRDefault="00A6250B" w:rsidP="00584A70">
                <w:pPr>
                  <w:tabs>
                    <w:tab w:val="right" w:pos="8838"/>
                  </w:tabs>
                  <w:ind w:left="-74" w:right="-105"/>
                  <w:rPr>
                    <w:rFonts w:ascii="Palatino Linotype" w:eastAsia="Palatino Linotype" w:hAnsi="Palatino Linotype" w:cs="Palatino Linotype"/>
                    <w:b/>
                  </w:rPr>
                </w:pPr>
                <w:bookmarkStart w:id="14" w:name="_heading=h.35nkun2" w:colFirst="0" w:colLast="0"/>
                <w:bookmarkEnd w:id="14"/>
                <w:r w:rsidRPr="00584A70">
                  <w:rPr>
                    <w:rFonts w:ascii="Palatino Linotype" w:eastAsia="Palatino Linotype" w:hAnsi="Palatino Linotype" w:cs="Palatino Linotype"/>
                    <w:b/>
                  </w:rPr>
                  <w:t>Recurrente:</w:t>
                </w:r>
              </w:p>
            </w:tc>
            <w:tc>
              <w:tcPr>
                <w:tcW w:w="5106" w:type="dxa"/>
              </w:tcPr>
              <w:p w:rsidR="00A6250B" w:rsidRPr="00584A70" w:rsidRDefault="00A6250B" w:rsidP="00584A70">
                <w:pPr>
                  <w:tabs>
                    <w:tab w:val="left" w:pos="3122"/>
                    <w:tab w:val="right" w:pos="8838"/>
                  </w:tabs>
                  <w:ind w:left="-3" w:right="-108"/>
                  <w:rPr>
                    <w:rFonts w:ascii="Palatino Linotype" w:eastAsia="Palatino Linotype" w:hAnsi="Palatino Linotype" w:cs="Palatino Linotype"/>
                  </w:rPr>
                </w:pPr>
              </w:p>
            </w:tc>
            <w:tc>
              <w:tcPr>
                <w:tcW w:w="2385" w:type="dxa"/>
              </w:tcPr>
              <w:p w:rsidR="00A6250B" w:rsidRPr="00584A70" w:rsidRDefault="00A6250B" w:rsidP="00584A70">
                <w:pPr>
                  <w:tabs>
                    <w:tab w:val="left" w:pos="3122"/>
                    <w:tab w:val="right" w:pos="8838"/>
                  </w:tabs>
                  <w:ind w:right="-105"/>
                  <w:jc w:val="both"/>
                  <w:rPr>
                    <w:rFonts w:ascii="Palatino Linotype" w:eastAsia="Palatino Linotype" w:hAnsi="Palatino Linotype" w:cs="Palatino Linotype"/>
                  </w:rPr>
                </w:pPr>
              </w:p>
            </w:tc>
          </w:tr>
          <w:tr w:rsidR="00A6250B" w:rsidRPr="00584A70" w:rsidTr="00584A70">
            <w:trPr>
              <w:trHeight w:val="283"/>
            </w:trPr>
            <w:tc>
              <w:tcPr>
                <w:tcW w:w="2549" w:type="dxa"/>
              </w:tcPr>
              <w:p w:rsidR="00A6250B" w:rsidRPr="00584A70" w:rsidRDefault="00A6250B" w:rsidP="00584A70">
                <w:pPr>
                  <w:tabs>
                    <w:tab w:val="right" w:pos="8838"/>
                  </w:tabs>
                  <w:ind w:left="-74" w:right="-105"/>
                  <w:rPr>
                    <w:rFonts w:ascii="Palatino Linotype" w:eastAsia="Palatino Linotype" w:hAnsi="Palatino Linotype" w:cs="Palatino Linotype"/>
                    <w:b/>
                  </w:rPr>
                </w:pPr>
                <w:r w:rsidRPr="00584A70">
                  <w:rPr>
                    <w:rFonts w:ascii="Palatino Linotype" w:eastAsia="Palatino Linotype" w:hAnsi="Palatino Linotype" w:cs="Palatino Linotype"/>
                    <w:b/>
                  </w:rPr>
                  <w:t>Sujeto Obligado:</w:t>
                </w:r>
              </w:p>
            </w:tc>
            <w:tc>
              <w:tcPr>
                <w:tcW w:w="5106" w:type="dxa"/>
              </w:tcPr>
              <w:p w:rsidR="00A6250B" w:rsidRPr="00584A70" w:rsidRDefault="00A6250B" w:rsidP="00584A70">
                <w:pPr>
                  <w:tabs>
                    <w:tab w:val="left" w:pos="2834"/>
                    <w:tab w:val="right" w:pos="8838"/>
                  </w:tabs>
                  <w:ind w:left="-3" w:right="-108"/>
                  <w:rPr>
                    <w:rFonts w:ascii="Palatino Linotype" w:eastAsia="Palatino Linotype" w:hAnsi="Palatino Linotype" w:cs="Palatino Linotype"/>
                  </w:rPr>
                </w:pPr>
                <w:r w:rsidRPr="00584A70">
                  <w:rPr>
                    <w:rFonts w:ascii="Palatino Linotype" w:eastAsia="Palatino Linotype" w:hAnsi="Palatino Linotype" w:cs="Palatino Linotype"/>
                  </w:rPr>
                  <w:t>Ayuntamiento de Tepotzotlán</w:t>
                </w:r>
              </w:p>
            </w:tc>
            <w:tc>
              <w:tcPr>
                <w:tcW w:w="2385" w:type="dxa"/>
              </w:tcPr>
              <w:p w:rsidR="00A6250B" w:rsidRPr="00584A70" w:rsidRDefault="00A6250B" w:rsidP="00584A70">
                <w:pPr>
                  <w:tabs>
                    <w:tab w:val="left" w:pos="2834"/>
                    <w:tab w:val="right" w:pos="8838"/>
                  </w:tabs>
                  <w:ind w:left="-74" w:right="-105"/>
                  <w:jc w:val="both"/>
                  <w:rPr>
                    <w:rFonts w:ascii="Palatino Linotype" w:eastAsia="Palatino Linotype" w:hAnsi="Palatino Linotype" w:cs="Palatino Linotype"/>
                  </w:rPr>
                </w:pPr>
              </w:p>
            </w:tc>
          </w:tr>
          <w:tr w:rsidR="00A6250B" w:rsidRPr="00584A70" w:rsidTr="00584A70">
            <w:trPr>
              <w:trHeight w:val="283"/>
            </w:trPr>
            <w:tc>
              <w:tcPr>
                <w:tcW w:w="2549" w:type="dxa"/>
              </w:tcPr>
              <w:p w:rsidR="00A6250B" w:rsidRPr="00584A70" w:rsidRDefault="00A6250B" w:rsidP="00584A70">
                <w:pPr>
                  <w:tabs>
                    <w:tab w:val="right" w:pos="8838"/>
                  </w:tabs>
                  <w:ind w:left="-74" w:right="-105"/>
                  <w:rPr>
                    <w:rFonts w:ascii="Palatino Linotype" w:eastAsia="Palatino Linotype" w:hAnsi="Palatino Linotype" w:cs="Palatino Linotype"/>
                    <w:b/>
                  </w:rPr>
                </w:pPr>
                <w:r w:rsidRPr="00584A70">
                  <w:rPr>
                    <w:rFonts w:ascii="Palatino Linotype" w:eastAsia="Palatino Linotype" w:hAnsi="Palatino Linotype" w:cs="Palatino Linotype"/>
                    <w:b/>
                  </w:rPr>
                  <w:t>Comisionada Ponente:</w:t>
                </w:r>
              </w:p>
            </w:tc>
            <w:tc>
              <w:tcPr>
                <w:tcW w:w="5106" w:type="dxa"/>
              </w:tcPr>
              <w:p w:rsidR="00A6250B" w:rsidRPr="00584A70" w:rsidRDefault="00A6250B" w:rsidP="00584A70">
                <w:pPr>
                  <w:tabs>
                    <w:tab w:val="right" w:pos="8838"/>
                  </w:tabs>
                  <w:ind w:left="-3" w:right="-108"/>
                  <w:rPr>
                    <w:rFonts w:ascii="Palatino Linotype" w:eastAsia="Palatino Linotype" w:hAnsi="Palatino Linotype" w:cs="Palatino Linotype"/>
                  </w:rPr>
                </w:pPr>
                <w:r w:rsidRPr="00584A70">
                  <w:rPr>
                    <w:rFonts w:ascii="Palatino Linotype" w:eastAsia="Palatino Linotype" w:hAnsi="Palatino Linotype" w:cs="Palatino Linotype"/>
                  </w:rPr>
                  <w:t>María del Rosario Mejía Ayala</w:t>
                </w:r>
              </w:p>
            </w:tc>
            <w:tc>
              <w:tcPr>
                <w:tcW w:w="2385" w:type="dxa"/>
              </w:tcPr>
              <w:p w:rsidR="00A6250B" w:rsidRPr="00584A70" w:rsidRDefault="00A6250B" w:rsidP="00584A70">
                <w:pPr>
                  <w:tabs>
                    <w:tab w:val="right" w:pos="8838"/>
                  </w:tabs>
                  <w:ind w:left="-74" w:right="-105"/>
                  <w:jc w:val="both"/>
                  <w:rPr>
                    <w:rFonts w:ascii="Palatino Linotype" w:eastAsia="Palatino Linotype" w:hAnsi="Palatino Linotype" w:cs="Palatino Linotype"/>
                  </w:rPr>
                </w:pPr>
              </w:p>
            </w:tc>
          </w:tr>
        </w:tbl>
        <w:p w:rsidR="00A6250B" w:rsidRDefault="00A6250B">
          <w:pPr>
            <w:tabs>
              <w:tab w:val="right" w:pos="8838"/>
            </w:tabs>
            <w:ind w:left="-28"/>
            <w:jc w:val="both"/>
            <w:rPr>
              <w:rFonts w:ascii="Arial" w:eastAsia="Arial" w:hAnsi="Arial" w:cs="Arial"/>
              <w:b/>
              <w:sz w:val="22"/>
              <w:szCs w:val="22"/>
            </w:rPr>
          </w:pPr>
        </w:p>
      </w:tc>
    </w:tr>
  </w:tbl>
  <w:p w:rsidR="00A6250B" w:rsidRPr="00054675" w:rsidRDefault="00B32ED9">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55pt;margin-top:-137.65pt;width:663.5pt;height:12in;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4CE8"/>
    <w:multiLevelType w:val="hybridMultilevel"/>
    <w:tmpl w:val="99EA4DF0"/>
    <w:lvl w:ilvl="0" w:tplc="EBACBF32">
      <w:start w:val="25"/>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A6E548F"/>
    <w:multiLevelType w:val="hybridMultilevel"/>
    <w:tmpl w:val="808C0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BE300C"/>
    <w:multiLevelType w:val="multilevel"/>
    <w:tmpl w:val="08CAB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A34129"/>
    <w:multiLevelType w:val="hybridMultilevel"/>
    <w:tmpl w:val="617EB306"/>
    <w:lvl w:ilvl="0" w:tplc="7334079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7984CC8"/>
    <w:multiLevelType w:val="hybridMultilevel"/>
    <w:tmpl w:val="CE006F8E"/>
    <w:lvl w:ilvl="0" w:tplc="194000BE">
      <w:numFmt w:val="bullet"/>
      <w:lvlText w:val=""/>
      <w:lvlJc w:val="left"/>
      <w:pPr>
        <w:ind w:left="1440" w:hanging="360"/>
      </w:pPr>
      <w:rPr>
        <w:rFonts w:ascii="Symbol" w:eastAsia="Palatino Linotype" w:hAnsi="Symbol"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89365D8"/>
    <w:multiLevelType w:val="multilevel"/>
    <w:tmpl w:val="D902CC2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767B2"/>
    <w:multiLevelType w:val="multilevel"/>
    <w:tmpl w:val="D1E6EA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C614B4"/>
    <w:multiLevelType w:val="multilevel"/>
    <w:tmpl w:val="D040A7CC"/>
    <w:lvl w:ilvl="0">
      <w:start w:val="32"/>
      <w:numFmt w:val="bullet"/>
      <w:lvlText w:val="-"/>
      <w:lvlJc w:val="left"/>
      <w:pPr>
        <w:ind w:left="1080" w:hanging="360"/>
      </w:pPr>
      <w:rPr>
        <w:rFonts w:ascii="Palatino Linotype" w:eastAsia="Palatino Linotype" w:hAnsi="Palatino Linotype" w:cs="Palatino Linotype"/>
        <w:b w:val="0"/>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508F4174"/>
    <w:multiLevelType w:val="multilevel"/>
    <w:tmpl w:val="8CA4FD1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2556F6"/>
    <w:multiLevelType w:val="multilevel"/>
    <w:tmpl w:val="E5A6C7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4452D09"/>
    <w:multiLevelType w:val="multilevel"/>
    <w:tmpl w:val="0088C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AA5EA5"/>
    <w:multiLevelType w:val="hybridMultilevel"/>
    <w:tmpl w:val="48845C9A"/>
    <w:lvl w:ilvl="0" w:tplc="E63C1DB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812153"/>
    <w:multiLevelType w:val="multilevel"/>
    <w:tmpl w:val="3E84C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C9D6E14"/>
    <w:multiLevelType w:val="hybridMultilevel"/>
    <w:tmpl w:val="0C14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3"/>
  </w:num>
  <w:num w:numId="5">
    <w:abstractNumId w:val="6"/>
  </w:num>
  <w:num w:numId="6">
    <w:abstractNumId w:val="14"/>
  </w:num>
  <w:num w:numId="7">
    <w:abstractNumId w:val="19"/>
  </w:num>
  <w:num w:numId="8">
    <w:abstractNumId w:val="4"/>
  </w:num>
  <w:num w:numId="9">
    <w:abstractNumId w:val="5"/>
  </w:num>
  <w:num w:numId="10">
    <w:abstractNumId w:val="20"/>
  </w:num>
  <w:num w:numId="11">
    <w:abstractNumId w:val="12"/>
  </w:num>
  <w:num w:numId="12">
    <w:abstractNumId w:val="18"/>
  </w:num>
  <w:num w:numId="13">
    <w:abstractNumId w:val="8"/>
  </w:num>
  <w:num w:numId="14">
    <w:abstractNumId w:val="16"/>
  </w:num>
  <w:num w:numId="15">
    <w:abstractNumId w:val="10"/>
  </w:num>
  <w:num w:numId="16">
    <w:abstractNumId w:val="1"/>
  </w:num>
  <w:num w:numId="17">
    <w:abstractNumId w:val="17"/>
  </w:num>
  <w:num w:numId="18">
    <w:abstractNumId w:val="11"/>
  </w:num>
  <w:num w:numId="19">
    <w:abstractNumId w:val="2"/>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A"/>
    <w:rsid w:val="00054675"/>
    <w:rsid w:val="000A0CBF"/>
    <w:rsid w:val="000D11A8"/>
    <w:rsid w:val="001E185B"/>
    <w:rsid w:val="0021209C"/>
    <w:rsid w:val="00260DE8"/>
    <w:rsid w:val="00296317"/>
    <w:rsid w:val="002D4539"/>
    <w:rsid w:val="00314701"/>
    <w:rsid w:val="003155F8"/>
    <w:rsid w:val="00316944"/>
    <w:rsid w:val="0034792D"/>
    <w:rsid w:val="00360F55"/>
    <w:rsid w:val="00395FD1"/>
    <w:rsid w:val="0042232C"/>
    <w:rsid w:val="00466579"/>
    <w:rsid w:val="004734D9"/>
    <w:rsid w:val="00584A70"/>
    <w:rsid w:val="00605B5C"/>
    <w:rsid w:val="00632ADC"/>
    <w:rsid w:val="0064666A"/>
    <w:rsid w:val="006F5E3A"/>
    <w:rsid w:val="0075247C"/>
    <w:rsid w:val="00900EA3"/>
    <w:rsid w:val="00934ACF"/>
    <w:rsid w:val="009D4949"/>
    <w:rsid w:val="00A11ADC"/>
    <w:rsid w:val="00A4182E"/>
    <w:rsid w:val="00A6250B"/>
    <w:rsid w:val="00A82DAE"/>
    <w:rsid w:val="00AA0D2B"/>
    <w:rsid w:val="00B32ED9"/>
    <w:rsid w:val="00C16010"/>
    <w:rsid w:val="00C5574E"/>
    <w:rsid w:val="00CD7D63"/>
    <w:rsid w:val="00D45321"/>
    <w:rsid w:val="00D47DD7"/>
    <w:rsid w:val="00DF7360"/>
    <w:rsid w:val="00E01561"/>
    <w:rsid w:val="00E87E10"/>
    <w:rsid w:val="00EE0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130AAE-8BDF-460D-91CA-73189597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11A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6F5E3A"/>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6F5E3A"/>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5E3A"/>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6F5E3A"/>
    <w:rPr>
      <w:rFonts w:ascii="Calibri" w:eastAsia="Calibri" w:hAnsi="Calibri" w:cs="Calibri"/>
      <w:color w:val="2E75B5"/>
      <w:sz w:val="26"/>
      <w:szCs w:val="26"/>
      <w:lang w:eastAsia="es-MX"/>
    </w:rPr>
  </w:style>
  <w:style w:type="paragraph" w:styleId="Piedepgina">
    <w:name w:val="footer"/>
    <w:basedOn w:val="Normal"/>
    <w:link w:val="PiedepginaCar"/>
    <w:uiPriority w:val="99"/>
    <w:unhideWhenUsed/>
    <w:rsid w:val="006F5E3A"/>
    <w:pPr>
      <w:tabs>
        <w:tab w:val="center" w:pos="4419"/>
        <w:tab w:val="right" w:pos="8838"/>
      </w:tabs>
    </w:pPr>
  </w:style>
  <w:style w:type="character" w:customStyle="1" w:styleId="PiedepginaCar">
    <w:name w:val="Pie de página Car"/>
    <w:basedOn w:val="Fuentedeprrafopredeter"/>
    <w:link w:val="Piedepgina"/>
    <w:uiPriority w:val="99"/>
    <w:rsid w:val="006F5E3A"/>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5E3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F5E3A"/>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6F5E3A"/>
    <w:rPr>
      <w:color w:val="0563C1" w:themeColor="hyperlink"/>
      <w:u w:val="single"/>
    </w:rPr>
  </w:style>
  <w:style w:type="table" w:styleId="Tabladecuadrcula4-nfasis3">
    <w:name w:val="Grid Table 4 Accent 3"/>
    <w:basedOn w:val="Tablanormal"/>
    <w:uiPriority w:val="49"/>
    <w:rsid w:val="006F5E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5E3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5E3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F5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708805);" TargetMode="External"/><Relationship Id="rId13" Type="http://schemas.openxmlformats.org/officeDocument/2006/relationships/hyperlink" Target="https://saimex.org.mx/saimex/solicitud/downloadAttach/2578862.page" TargetMode="External"/><Relationship Id="rId18" Type="http://schemas.openxmlformats.org/officeDocument/2006/relationships/hyperlink" Target="javascript:abrirAcuse(7088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javascript:abrirAcuse(708805);" TargetMode="External"/><Relationship Id="rId12" Type="http://schemas.openxmlformats.org/officeDocument/2006/relationships/hyperlink" Target="https://saimex.org.mx/saimex/solicitud/downloadAttach/2578862.page" TargetMode="External"/><Relationship Id="rId17" Type="http://schemas.openxmlformats.org/officeDocument/2006/relationships/hyperlink" Target="javascript:abrirAcuse(7088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imex.org.mx/saimex/solicitud/downloadAttach/2578862.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578862.pag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2578862.page" TargetMode="External"/><Relationship Id="rId23" Type="http://schemas.openxmlformats.org/officeDocument/2006/relationships/header" Target="header3.xml"/><Relationship Id="rId10" Type="http://schemas.openxmlformats.org/officeDocument/2006/relationships/hyperlink" Target="https://saimex.org.mx/saimex/solicitud/downloadAttach/2578862.page" TargetMode="External"/><Relationship Id="rId19" Type="http://schemas.openxmlformats.org/officeDocument/2006/relationships/hyperlink" Target="javascript:abrirAcuse(708805);" TargetMode="External"/><Relationship Id="rId4" Type="http://schemas.openxmlformats.org/officeDocument/2006/relationships/webSettings" Target="webSettings.xml"/><Relationship Id="rId9" Type="http://schemas.openxmlformats.org/officeDocument/2006/relationships/hyperlink" Target="https://saimex.org.mx/saimex/solicitud/downloadAttach/2578862.page" TargetMode="External"/><Relationship Id="rId14" Type="http://schemas.openxmlformats.org/officeDocument/2006/relationships/hyperlink" Target="https://saimex.org.mx/saimex/solicitud/downloadAttach/2578862.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42</Pages>
  <Words>10407</Words>
  <Characters>57239</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2025-11-14T17:04:00Z</cp:lastPrinted>
  <dcterms:created xsi:type="dcterms:W3CDTF">2025-11-10T20:34:00Z</dcterms:created>
  <dcterms:modified xsi:type="dcterms:W3CDTF">2026-01-12T19:05:00Z</dcterms:modified>
</cp:coreProperties>
</file>