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0CC65B" w14:textId="014C2654" w:rsidR="00B433C9" w:rsidRDefault="00B433C9" w:rsidP="00B433C9">
      <w:pPr>
        <w:shd w:val="clear" w:color="auto" w:fill="FFFFFF"/>
        <w:spacing w:before="240" w:line="360" w:lineRule="auto"/>
        <w:jc w:val="both"/>
        <w:rPr>
          <w:rFonts w:ascii="Palatino Linotype" w:eastAsia="Times New Roman" w:hAnsi="Palatino Linotype" w:cs="Arial"/>
          <w:color w:val="000000"/>
          <w:sz w:val="24"/>
          <w:szCs w:val="24"/>
          <w:lang w:eastAsia="es-MX"/>
        </w:rPr>
      </w:pPr>
      <w:r w:rsidRPr="00880FBC">
        <w:rPr>
          <w:rFonts w:ascii="Palatino Linotype" w:eastAsia="Times New Roman" w:hAnsi="Palatino Linotype" w:cs="Arial"/>
          <w:color w:val="000000"/>
          <w:sz w:val="24"/>
          <w:szCs w:val="24"/>
          <w:lang w:eastAsia="es-MX"/>
        </w:rPr>
        <w:t xml:space="preserve">Resolución del Pleno del Instituto de Transparencia, Acceso a la Información Pública y Protección de Datos Personales del Estado de México y Municipios, con domicilio en Metepec, Estado de México, a </w:t>
      </w:r>
      <w:r w:rsidR="00161AE5">
        <w:rPr>
          <w:rFonts w:ascii="Palatino Linotype" w:eastAsia="Times New Roman" w:hAnsi="Palatino Linotype" w:cs="Arial"/>
          <w:color w:val="000000"/>
          <w:sz w:val="24"/>
          <w:szCs w:val="24"/>
          <w:lang w:eastAsia="es-MX"/>
        </w:rPr>
        <w:t>treinta</w:t>
      </w:r>
      <w:r w:rsidR="00D43677">
        <w:rPr>
          <w:rFonts w:ascii="Palatino Linotype" w:eastAsia="Times New Roman" w:hAnsi="Palatino Linotype" w:cs="Arial"/>
          <w:color w:val="000000"/>
          <w:sz w:val="24"/>
          <w:szCs w:val="24"/>
          <w:lang w:eastAsia="es-MX"/>
        </w:rPr>
        <w:t xml:space="preserve"> de abril de dos mil veinticinco. </w:t>
      </w:r>
      <w:r w:rsidR="00131D9B">
        <w:rPr>
          <w:rFonts w:ascii="Palatino Linotype" w:eastAsia="Times New Roman" w:hAnsi="Palatino Linotype" w:cs="Arial"/>
          <w:color w:val="000000"/>
          <w:sz w:val="24"/>
          <w:szCs w:val="24"/>
          <w:lang w:eastAsia="es-MX"/>
        </w:rPr>
        <w:t xml:space="preserve"> </w:t>
      </w:r>
      <w:r w:rsidR="00EC1D0D">
        <w:rPr>
          <w:rFonts w:ascii="Palatino Linotype" w:eastAsia="Times New Roman" w:hAnsi="Palatino Linotype" w:cs="Arial"/>
          <w:color w:val="000000"/>
          <w:sz w:val="24"/>
          <w:szCs w:val="24"/>
          <w:lang w:eastAsia="es-MX"/>
        </w:rPr>
        <w:t xml:space="preserve"> </w:t>
      </w:r>
      <w:r w:rsidR="00A354C4">
        <w:rPr>
          <w:rFonts w:ascii="Palatino Linotype" w:eastAsia="Times New Roman" w:hAnsi="Palatino Linotype" w:cs="Arial"/>
          <w:color w:val="000000"/>
          <w:sz w:val="24"/>
          <w:szCs w:val="24"/>
          <w:lang w:eastAsia="es-MX"/>
        </w:rPr>
        <w:t xml:space="preserve"> </w:t>
      </w:r>
      <w:r w:rsidR="00DE6917">
        <w:rPr>
          <w:rFonts w:ascii="Palatino Linotype" w:eastAsia="Times New Roman" w:hAnsi="Palatino Linotype" w:cs="Arial"/>
          <w:color w:val="000000"/>
          <w:sz w:val="24"/>
          <w:szCs w:val="24"/>
          <w:lang w:eastAsia="es-MX"/>
        </w:rPr>
        <w:t xml:space="preserve"> </w:t>
      </w:r>
      <w:r w:rsidR="00675390">
        <w:rPr>
          <w:rFonts w:ascii="Palatino Linotype" w:eastAsia="Times New Roman" w:hAnsi="Palatino Linotype" w:cs="Arial"/>
          <w:color w:val="000000"/>
          <w:sz w:val="24"/>
          <w:szCs w:val="24"/>
          <w:lang w:eastAsia="es-MX"/>
        </w:rPr>
        <w:t xml:space="preserve"> </w:t>
      </w:r>
      <w:r w:rsidR="008B1AD9">
        <w:rPr>
          <w:rFonts w:ascii="Palatino Linotype" w:eastAsia="Times New Roman" w:hAnsi="Palatino Linotype" w:cs="Arial"/>
          <w:color w:val="000000"/>
          <w:sz w:val="24"/>
          <w:szCs w:val="24"/>
          <w:lang w:eastAsia="es-MX"/>
        </w:rPr>
        <w:t xml:space="preserve"> </w:t>
      </w:r>
      <w:r w:rsidR="003E78B7">
        <w:rPr>
          <w:rFonts w:ascii="Palatino Linotype" w:eastAsia="Times New Roman" w:hAnsi="Palatino Linotype" w:cs="Arial"/>
          <w:color w:val="000000"/>
          <w:sz w:val="24"/>
          <w:szCs w:val="24"/>
          <w:lang w:eastAsia="es-MX"/>
        </w:rPr>
        <w:t xml:space="preserve"> </w:t>
      </w:r>
      <w:r>
        <w:rPr>
          <w:rFonts w:ascii="Palatino Linotype" w:eastAsia="Times New Roman" w:hAnsi="Palatino Linotype" w:cs="Arial"/>
          <w:color w:val="000000"/>
          <w:sz w:val="24"/>
          <w:szCs w:val="24"/>
          <w:lang w:eastAsia="es-MX"/>
        </w:rPr>
        <w:t xml:space="preserve">       </w:t>
      </w:r>
    </w:p>
    <w:p w14:paraId="4BF3C50E" w14:textId="155D37D2" w:rsidR="00D43677" w:rsidRPr="00D43677" w:rsidRDefault="00B433C9" w:rsidP="00B433C9">
      <w:pPr>
        <w:tabs>
          <w:tab w:val="left" w:pos="1701"/>
        </w:tabs>
        <w:spacing w:before="240" w:line="360" w:lineRule="auto"/>
        <w:jc w:val="both"/>
        <w:rPr>
          <w:rFonts w:ascii="Palatino Linotype" w:hAnsi="Palatino Linotype" w:cs="Arial"/>
          <w:sz w:val="24"/>
        </w:rPr>
      </w:pPr>
      <w:r w:rsidRPr="00F403EA">
        <w:rPr>
          <w:rFonts w:ascii="Palatino Linotype" w:hAnsi="Palatino Linotype" w:cs="Arial"/>
          <w:b/>
          <w:sz w:val="24"/>
        </w:rPr>
        <w:t>VISTO</w:t>
      </w:r>
      <w:r w:rsidRPr="00F403EA">
        <w:rPr>
          <w:rFonts w:ascii="Palatino Linotype" w:hAnsi="Palatino Linotype" w:cs="Arial"/>
          <w:sz w:val="24"/>
        </w:rPr>
        <w:t xml:space="preserve"> el expediente electrónico formado con motivo del recurso de revisión número </w:t>
      </w:r>
      <w:bookmarkStart w:id="0" w:name="_GoBack"/>
      <w:r w:rsidR="00131D9B">
        <w:rPr>
          <w:rFonts w:ascii="Palatino Linotype" w:hAnsi="Palatino Linotype" w:cs="Arial"/>
          <w:b/>
          <w:bCs/>
          <w:sz w:val="24"/>
        </w:rPr>
        <w:t>0</w:t>
      </w:r>
      <w:r w:rsidR="00D43677">
        <w:rPr>
          <w:rFonts w:ascii="Palatino Linotype" w:hAnsi="Palatino Linotype" w:cs="Arial"/>
          <w:b/>
          <w:bCs/>
          <w:sz w:val="24"/>
        </w:rPr>
        <w:t>3040/INFOEM/IP/RR/2025</w:t>
      </w:r>
      <w:bookmarkEnd w:id="0"/>
      <w:r w:rsidR="00D43677">
        <w:rPr>
          <w:rFonts w:ascii="Palatino Linotype" w:hAnsi="Palatino Linotype" w:cs="Arial"/>
          <w:b/>
          <w:bCs/>
          <w:sz w:val="24"/>
        </w:rPr>
        <w:t xml:space="preserve">, </w:t>
      </w:r>
      <w:r w:rsidR="00D43677">
        <w:rPr>
          <w:rFonts w:ascii="Palatino Linotype" w:hAnsi="Palatino Linotype" w:cs="Arial"/>
          <w:sz w:val="24"/>
        </w:rPr>
        <w:t xml:space="preserve">interpuesto por el particular, en lo sucesivo </w:t>
      </w:r>
      <w:r w:rsidR="00D43677">
        <w:rPr>
          <w:rFonts w:ascii="Palatino Linotype" w:hAnsi="Palatino Linotype" w:cs="Arial"/>
          <w:b/>
          <w:bCs/>
          <w:sz w:val="24"/>
        </w:rPr>
        <w:t xml:space="preserve">El Recurrente, </w:t>
      </w:r>
      <w:r w:rsidR="00D43677">
        <w:rPr>
          <w:rFonts w:ascii="Palatino Linotype" w:hAnsi="Palatino Linotype" w:cs="Arial"/>
          <w:sz w:val="24"/>
        </w:rPr>
        <w:t xml:space="preserve">en contra de la respuesta del </w:t>
      </w:r>
      <w:r w:rsidR="00D43677">
        <w:rPr>
          <w:rFonts w:ascii="Palatino Linotype" w:hAnsi="Palatino Linotype" w:cs="Arial"/>
          <w:b/>
          <w:bCs/>
          <w:sz w:val="24"/>
        </w:rPr>
        <w:t xml:space="preserve">Ayuntamiento de Toluca, </w:t>
      </w:r>
      <w:r w:rsidR="00D43677">
        <w:rPr>
          <w:rFonts w:ascii="Palatino Linotype" w:hAnsi="Palatino Linotype" w:cs="Arial"/>
          <w:sz w:val="24"/>
        </w:rPr>
        <w:t xml:space="preserve">en lo subsecuente </w:t>
      </w:r>
      <w:r w:rsidR="00D43677">
        <w:rPr>
          <w:rFonts w:ascii="Palatino Linotype" w:hAnsi="Palatino Linotype" w:cs="Arial"/>
          <w:b/>
          <w:bCs/>
          <w:sz w:val="24"/>
        </w:rPr>
        <w:t xml:space="preserve">El Sujeto Obligado, </w:t>
      </w:r>
      <w:r w:rsidR="00D43677">
        <w:rPr>
          <w:rFonts w:ascii="Palatino Linotype" w:hAnsi="Palatino Linotype" w:cs="Arial"/>
          <w:sz w:val="24"/>
        </w:rPr>
        <w:t xml:space="preserve">se procede a dictar la presente resolución. </w:t>
      </w:r>
    </w:p>
    <w:p w14:paraId="3E4F8209" w14:textId="77777777" w:rsidR="00D43677" w:rsidRDefault="00D43677" w:rsidP="00B433C9">
      <w:pPr>
        <w:tabs>
          <w:tab w:val="left" w:pos="1701"/>
        </w:tabs>
        <w:spacing w:before="240" w:line="360" w:lineRule="auto"/>
        <w:jc w:val="both"/>
        <w:rPr>
          <w:rFonts w:ascii="Palatino Linotype" w:hAnsi="Palatino Linotype" w:cs="Arial"/>
          <w:b/>
          <w:bCs/>
          <w:sz w:val="24"/>
        </w:rPr>
      </w:pPr>
    </w:p>
    <w:p w14:paraId="11244050" w14:textId="10A532C6" w:rsidR="00B433C9" w:rsidRPr="00F205B9" w:rsidRDefault="00B433C9" w:rsidP="00B433C9">
      <w:pPr>
        <w:spacing w:before="240" w:after="240" w:line="360" w:lineRule="auto"/>
        <w:jc w:val="center"/>
        <w:rPr>
          <w:rFonts w:ascii="Palatino Linotype" w:hAnsi="Palatino Linotype"/>
          <w:b/>
          <w:sz w:val="28"/>
        </w:rPr>
      </w:pPr>
      <w:r>
        <w:rPr>
          <w:rFonts w:ascii="Palatino Linotype" w:hAnsi="Palatino Linotype"/>
          <w:b/>
          <w:sz w:val="28"/>
        </w:rPr>
        <w:t>A N T E C E D E N T E S   D E L   A S U N T O</w:t>
      </w:r>
    </w:p>
    <w:p w14:paraId="36C3FEB3" w14:textId="77777777" w:rsidR="00B433C9" w:rsidRDefault="00B433C9" w:rsidP="00B433C9">
      <w:pPr>
        <w:spacing w:before="240" w:after="240" w:line="360" w:lineRule="auto"/>
        <w:jc w:val="both"/>
        <w:rPr>
          <w:rFonts w:ascii="Palatino Linotype" w:hAnsi="Palatino Linotype"/>
        </w:rPr>
      </w:pPr>
      <w:r>
        <w:rPr>
          <w:rFonts w:ascii="Palatino Linotype" w:hAnsi="Palatino Linotype" w:cs="Arial"/>
          <w:b/>
          <w:sz w:val="28"/>
        </w:rPr>
        <w:t>PRIMERO.</w:t>
      </w:r>
      <w:r>
        <w:rPr>
          <w:rFonts w:ascii="Palatino Linotype" w:hAnsi="Palatino Linotype" w:cs="Arial"/>
        </w:rPr>
        <w:t xml:space="preserve"> </w:t>
      </w:r>
      <w:r w:rsidRPr="0087163A">
        <w:rPr>
          <w:rFonts w:ascii="Palatino Linotype" w:hAnsi="Palatino Linotype"/>
          <w:b/>
          <w:sz w:val="28"/>
          <w:szCs w:val="28"/>
        </w:rPr>
        <w:t>De la Solicitud de Información.</w:t>
      </w:r>
    </w:p>
    <w:p w14:paraId="347AA21C" w14:textId="6D9E0EC1" w:rsidR="00D43677" w:rsidRDefault="00B433C9" w:rsidP="00B433C9">
      <w:pPr>
        <w:spacing w:before="240" w:line="360" w:lineRule="auto"/>
        <w:jc w:val="both"/>
        <w:rPr>
          <w:rFonts w:ascii="Palatino Linotype" w:hAnsi="Palatino Linotype" w:cs="Arial"/>
          <w:sz w:val="24"/>
        </w:rPr>
      </w:pPr>
      <w:r>
        <w:rPr>
          <w:rFonts w:ascii="Palatino Linotype" w:hAnsi="Palatino Linotype" w:cs="Arial"/>
          <w:sz w:val="24"/>
        </w:rPr>
        <w:t xml:space="preserve">Con fecha </w:t>
      </w:r>
      <w:r w:rsidR="00D43677">
        <w:rPr>
          <w:rFonts w:ascii="Palatino Linotype" w:hAnsi="Palatino Linotype" w:cs="Arial"/>
          <w:b/>
          <w:bCs/>
          <w:sz w:val="24"/>
        </w:rPr>
        <w:t xml:space="preserve">veintidós de enero de dos mil veinticinco, El Recurrente, </w:t>
      </w:r>
      <w:r w:rsidR="00EC1D0D">
        <w:rPr>
          <w:rFonts w:ascii="Palatino Linotype" w:hAnsi="Palatino Linotype" w:cs="Arial"/>
          <w:sz w:val="24"/>
        </w:rPr>
        <w:t>presentó a través del Sistema de Acceso a la Información Mexiquense (</w:t>
      </w:r>
      <w:r w:rsidR="00EC1D0D">
        <w:rPr>
          <w:rFonts w:ascii="Palatino Linotype" w:hAnsi="Palatino Linotype" w:cs="Arial"/>
          <w:b/>
          <w:sz w:val="24"/>
        </w:rPr>
        <w:t>SAIMEX)</w:t>
      </w:r>
      <w:r w:rsidR="00EC1D0D">
        <w:rPr>
          <w:rFonts w:ascii="Palatino Linotype" w:hAnsi="Palatino Linotype" w:cs="Arial"/>
          <w:sz w:val="24"/>
        </w:rPr>
        <w:t xml:space="preserve"> ante </w:t>
      </w:r>
      <w:r w:rsidR="00EC1D0D">
        <w:rPr>
          <w:rFonts w:ascii="Palatino Linotype" w:hAnsi="Palatino Linotype" w:cs="Arial"/>
          <w:b/>
          <w:sz w:val="24"/>
        </w:rPr>
        <w:t>El Sujeto Obligado</w:t>
      </w:r>
      <w:r w:rsidR="00EC1D0D">
        <w:rPr>
          <w:rFonts w:ascii="Palatino Linotype" w:hAnsi="Palatino Linotype" w:cs="Arial"/>
          <w:sz w:val="24"/>
        </w:rPr>
        <w:t>, solicitud de acceso a la información pública, registrada bajo el número de expediente</w:t>
      </w:r>
      <w:r w:rsidR="00D43677">
        <w:rPr>
          <w:rFonts w:ascii="Palatino Linotype" w:hAnsi="Palatino Linotype" w:cs="Arial"/>
          <w:sz w:val="24"/>
        </w:rPr>
        <w:t xml:space="preserve"> </w:t>
      </w:r>
      <w:r w:rsidR="00D43677">
        <w:rPr>
          <w:rFonts w:ascii="Palatino Linotype" w:hAnsi="Palatino Linotype" w:cs="Arial"/>
          <w:b/>
          <w:bCs/>
          <w:sz w:val="24"/>
        </w:rPr>
        <w:t xml:space="preserve">00436/TOLUCA/IP/2025, </w:t>
      </w:r>
      <w:r w:rsidR="00D43677">
        <w:rPr>
          <w:rFonts w:ascii="Palatino Linotype" w:hAnsi="Palatino Linotype" w:cs="Arial"/>
          <w:sz w:val="24"/>
        </w:rPr>
        <w:t>mediante la cual solicitó información en el tenor siguiente:</w:t>
      </w:r>
    </w:p>
    <w:p w14:paraId="64635F69" w14:textId="7667B061" w:rsidR="00D43677" w:rsidRPr="00D43677" w:rsidRDefault="00D43677" w:rsidP="00D43677">
      <w:pPr>
        <w:pStyle w:val="Citas"/>
        <w:rPr>
          <w:b/>
          <w:bCs/>
        </w:rPr>
      </w:pPr>
      <w:r>
        <w:t>“E</w:t>
      </w:r>
      <w:r w:rsidRPr="00D43677">
        <w:t xml:space="preserve">l programa anual y los resultados para erradicar la Violencia de género en su municipio en 2023 el presupuesto asignado y presupuesto ejercido en que se ejerció el presupuesto Estatal recibido y como se </w:t>
      </w:r>
      <w:proofErr w:type="spellStart"/>
      <w:r w:rsidRPr="00D43677">
        <w:t>gasto</w:t>
      </w:r>
      <w:proofErr w:type="spellEnd"/>
      <w:r>
        <w:t xml:space="preserve">” </w:t>
      </w:r>
      <w:r>
        <w:rPr>
          <w:b/>
          <w:bCs/>
        </w:rPr>
        <w:t>(Sic)</w:t>
      </w:r>
    </w:p>
    <w:p w14:paraId="2501F49F" w14:textId="77777777" w:rsidR="008B1AD9" w:rsidRDefault="008B1AD9" w:rsidP="00B433C9">
      <w:pPr>
        <w:spacing w:before="240" w:line="360" w:lineRule="auto"/>
        <w:jc w:val="both"/>
        <w:rPr>
          <w:rFonts w:ascii="Palatino Linotype" w:hAnsi="Palatino Linotype" w:cs="Arial"/>
          <w:sz w:val="24"/>
        </w:rPr>
      </w:pPr>
      <w:r>
        <w:rPr>
          <w:rFonts w:ascii="Palatino Linotype" w:hAnsi="Palatino Linotype" w:cs="Arial"/>
          <w:b/>
          <w:sz w:val="24"/>
        </w:rPr>
        <w:t xml:space="preserve">Modalidad de entrega: </w:t>
      </w:r>
      <w:r>
        <w:rPr>
          <w:rFonts w:ascii="Palatino Linotype" w:hAnsi="Palatino Linotype" w:cs="Arial"/>
          <w:sz w:val="24"/>
        </w:rPr>
        <w:t xml:space="preserve">A través del SAIMEX. </w:t>
      </w:r>
    </w:p>
    <w:p w14:paraId="1F989531" w14:textId="77777777" w:rsidR="00D43677" w:rsidRDefault="00D43677" w:rsidP="00D43677">
      <w:pPr>
        <w:spacing w:before="240" w:line="360" w:lineRule="auto"/>
        <w:ind w:right="850"/>
        <w:jc w:val="both"/>
        <w:rPr>
          <w:rFonts w:ascii="Palatino Linotype" w:hAnsi="Palatino Linotype" w:cs="Arial"/>
          <w:b/>
          <w:sz w:val="28"/>
        </w:rPr>
      </w:pPr>
      <w:r w:rsidRPr="0094651B">
        <w:rPr>
          <w:rFonts w:ascii="Palatino Linotype" w:hAnsi="Palatino Linotype" w:cs="Arial"/>
          <w:b/>
          <w:sz w:val="28"/>
        </w:rPr>
        <w:lastRenderedPageBreak/>
        <w:t xml:space="preserve">SEGUNDO. </w:t>
      </w:r>
      <w:r>
        <w:rPr>
          <w:rFonts w:ascii="Palatino Linotype" w:hAnsi="Palatino Linotype" w:cs="Arial"/>
          <w:b/>
          <w:sz w:val="28"/>
        </w:rPr>
        <w:t xml:space="preserve">De la prórroga del Sujeto Obligado. </w:t>
      </w:r>
    </w:p>
    <w:p w14:paraId="3BA0460D" w14:textId="689935B4" w:rsidR="00D43677" w:rsidRPr="001D3E11" w:rsidRDefault="00D43677" w:rsidP="00D43677">
      <w:pPr>
        <w:spacing w:before="240" w:line="360" w:lineRule="auto"/>
        <w:jc w:val="both"/>
        <w:rPr>
          <w:rFonts w:ascii="Palatino Linotype" w:hAnsi="Palatino Linotype" w:cs="Arial"/>
          <w:b/>
          <w:bCs/>
          <w:sz w:val="24"/>
          <w:szCs w:val="24"/>
        </w:rPr>
      </w:pPr>
      <w:r w:rsidRPr="00441692">
        <w:rPr>
          <w:rFonts w:ascii="Palatino Linotype" w:hAnsi="Palatino Linotype" w:cs="Arial"/>
          <w:sz w:val="24"/>
          <w:szCs w:val="24"/>
        </w:rPr>
        <w:t>De las constancias que obra</w:t>
      </w:r>
      <w:r>
        <w:rPr>
          <w:rFonts w:ascii="Palatino Linotype" w:hAnsi="Palatino Linotype" w:cs="Arial"/>
          <w:sz w:val="24"/>
          <w:szCs w:val="24"/>
        </w:rPr>
        <w:t>n</w:t>
      </w:r>
      <w:r w:rsidRPr="00441692">
        <w:rPr>
          <w:rFonts w:ascii="Palatino Linotype" w:hAnsi="Palatino Linotype" w:cs="Arial"/>
          <w:sz w:val="24"/>
          <w:szCs w:val="24"/>
        </w:rPr>
        <w:t xml:space="preserve"> en </w:t>
      </w:r>
      <w:r>
        <w:rPr>
          <w:rFonts w:ascii="Palatino Linotype" w:hAnsi="Palatino Linotype" w:cs="Arial"/>
          <w:sz w:val="24"/>
          <w:szCs w:val="24"/>
        </w:rPr>
        <w:t xml:space="preserve">el expediente electrónico del </w:t>
      </w:r>
      <w:r>
        <w:rPr>
          <w:rFonts w:ascii="Palatino Linotype" w:hAnsi="Palatino Linotype" w:cs="Arial"/>
          <w:b/>
          <w:sz w:val="24"/>
          <w:szCs w:val="24"/>
        </w:rPr>
        <w:t xml:space="preserve">SAIMEX, </w:t>
      </w:r>
      <w:r>
        <w:rPr>
          <w:rFonts w:ascii="Palatino Linotype" w:hAnsi="Palatino Linotype" w:cs="Arial"/>
          <w:sz w:val="24"/>
          <w:szCs w:val="24"/>
        </w:rPr>
        <w:t xml:space="preserve">se advierte que en fecha </w:t>
      </w:r>
      <w:r>
        <w:rPr>
          <w:rFonts w:ascii="Palatino Linotype" w:hAnsi="Palatino Linotype" w:cs="Arial"/>
          <w:b/>
          <w:bCs/>
          <w:sz w:val="24"/>
          <w:szCs w:val="24"/>
        </w:rPr>
        <w:t xml:space="preserve">trece de febrero de dos mil veinticinco, El Sujeto Obligado </w:t>
      </w:r>
      <w:r>
        <w:rPr>
          <w:rFonts w:ascii="Palatino Linotype" w:hAnsi="Palatino Linotype" w:cs="Arial"/>
          <w:sz w:val="24"/>
          <w:szCs w:val="24"/>
        </w:rPr>
        <w:t xml:space="preserve">solicitó prórroga de siete días para recabar la información solicitada y dar cumplimiento a lo requerido por </w:t>
      </w:r>
      <w:r>
        <w:rPr>
          <w:rFonts w:ascii="Palatino Linotype" w:hAnsi="Palatino Linotype" w:cs="Arial"/>
          <w:b/>
          <w:bCs/>
          <w:sz w:val="24"/>
          <w:szCs w:val="24"/>
        </w:rPr>
        <w:t xml:space="preserve">El Recurrente, </w:t>
      </w:r>
      <w:r>
        <w:rPr>
          <w:rFonts w:ascii="Palatino Linotype" w:hAnsi="Palatino Linotype" w:cs="Arial"/>
          <w:sz w:val="24"/>
          <w:szCs w:val="24"/>
        </w:rPr>
        <w:t xml:space="preserve">advirtiendo que dicha prórroga </w:t>
      </w:r>
      <w:r>
        <w:rPr>
          <w:rFonts w:ascii="Palatino Linotype" w:hAnsi="Palatino Linotype" w:cs="Arial"/>
          <w:b/>
          <w:bCs/>
          <w:sz w:val="24"/>
          <w:szCs w:val="24"/>
        </w:rPr>
        <w:t xml:space="preserve">NO </w:t>
      </w:r>
      <w:r>
        <w:rPr>
          <w:rFonts w:ascii="Palatino Linotype" w:hAnsi="Palatino Linotype" w:cs="Arial"/>
          <w:sz w:val="24"/>
          <w:szCs w:val="24"/>
        </w:rPr>
        <w:t xml:space="preserve">cumple con lo </w:t>
      </w:r>
      <w:r>
        <w:rPr>
          <w:rFonts w:ascii="Palatino Linotype" w:hAnsi="Palatino Linotype"/>
          <w:sz w:val="24"/>
          <w:szCs w:val="24"/>
        </w:rPr>
        <w:t xml:space="preserve">establecido </w:t>
      </w:r>
      <w:r w:rsidRPr="00441692">
        <w:rPr>
          <w:rFonts w:ascii="Palatino Linotype" w:hAnsi="Palatino Linotype"/>
          <w:sz w:val="24"/>
          <w:szCs w:val="24"/>
        </w:rPr>
        <w:t xml:space="preserve">en el artículo 49, fracción II, así como en el artículo 163 segundo párrafo, de la </w:t>
      </w:r>
      <w:r w:rsidRPr="00441692">
        <w:rPr>
          <w:rFonts w:ascii="Palatino Linotype" w:hAnsi="Palatino Linotype" w:cs="Arial"/>
          <w:sz w:val="24"/>
          <w:szCs w:val="24"/>
        </w:rPr>
        <w:t>Ley de Transparencia y Acceso a la Información Pública del Estado de México y Municipios.</w:t>
      </w:r>
    </w:p>
    <w:p w14:paraId="10BAFBE6" w14:textId="77777777" w:rsidR="00D43677" w:rsidRDefault="00D43677" w:rsidP="00B433C9">
      <w:pPr>
        <w:spacing w:before="240" w:line="360" w:lineRule="auto"/>
        <w:jc w:val="both"/>
        <w:rPr>
          <w:rFonts w:ascii="Palatino Linotype" w:hAnsi="Palatino Linotype" w:cs="Arial"/>
          <w:sz w:val="24"/>
        </w:rPr>
      </w:pPr>
    </w:p>
    <w:p w14:paraId="743FE4C4" w14:textId="0EFD16BE" w:rsidR="00B433C9" w:rsidRDefault="00D43677" w:rsidP="00B433C9">
      <w:pPr>
        <w:spacing w:before="240" w:line="360" w:lineRule="auto"/>
        <w:jc w:val="both"/>
        <w:rPr>
          <w:rFonts w:ascii="Palatino Linotype" w:hAnsi="Palatino Linotype" w:cs="Arial"/>
          <w:b/>
          <w:sz w:val="28"/>
        </w:rPr>
      </w:pPr>
      <w:r>
        <w:rPr>
          <w:rFonts w:ascii="Palatino Linotype" w:hAnsi="Palatino Linotype" w:cs="Arial"/>
          <w:b/>
          <w:sz w:val="28"/>
        </w:rPr>
        <w:t>TERCERO</w:t>
      </w:r>
      <w:r w:rsidR="00B433C9">
        <w:rPr>
          <w:rFonts w:ascii="Palatino Linotype" w:hAnsi="Palatino Linotype" w:cs="Arial"/>
          <w:b/>
          <w:sz w:val="28"/>
        </w:rPr>
        <w:t xml:space="preserve">. </w:t>
      </w:r>
      <w:r w:rsidR="00B433C9" w:rsidRPr="00165D6E">
        <w:rPr>
          <w:rFonts w:ascii="Palatino Linotype" w:hAnsi="Palatino Linotype" w:cs="Arial"/>
          <w:b/>
          <w:sz w:val="28"/>
          <w:szCs w:val="20"/>
        </w:rPr>
        <w:t xml:space="preserve">De la respuesta </w:t>
      </w:r>
      <w:r w:rsidR="00B433C9">
        <w:rPr>
          <w:rFonts w:ascii="Palatino Linotype" w:hAnsi="Palatino Linotype" w:cs="Arial"/>
          <w:b/>
          <w:sz w:val="28"/>
          <w:szCs w:val="20"/>
        </w:rPr>
        <w:t>del Sujeto Obligado</w:t>
      </w:r>
      <w:r w:rsidR="00B433C9" w:rsidRPr="00165D6E">
        <w:rPr>
          <w:rFonts w:ascii="Palatino Linotype" w:hAnsi="Palatino Linotype" w:cs="Arial"/>
          <w:b/>
          <w:sz w:val="28"/>
          <w:szCs w:val="20"/>
        </w:rPr>
        <w:t>.</w:t>
      </w:r>
    </w:p>
    <w:p w14:paraId="1C3851B2" w14:textId="6627F262" w:rsidR="00D43677" w:rsidRDefault="00B433C9" w:rsidP="00B433C9">
      <w:pPr>
        <w:spacing w:before="240" w:line="360" w:lineRule="auto"/>
        <w:jc w:val="both"/>
        <w:rPr>
          <w:rFonts w:ascii="Palatino Linotype" w:hAnsi="Palatino Linotype" w:cs="Arial"/>
          <w:sz w:val="24"/>
          <w:szCs w:val="24"/>
        </w:rPr>
      </w:pPr>
      <w:r>
        <w:rPr>
          <w:rFonts w:ascii="Palatino Linotype" w:hAnsi="Palatino Linotype" w:cs="Arial"/>
          <w:sz w:val="24"/>
          <w:szCs w:val="24"/>
        </w:rPr>
        <w:t xml:space="preserve">En el expediente electrónico </w:t>
      </w:r>
      <w:r>
        <w:rPr>
          <w:rFonts w:ascii="Palatino Linotype" w:hAnsi="Palatino Linotype" w:cs="Arial"/>
          <w:b/>
          <w:sz w:val="24"/>
          <w:szCs w:val="24"/>
        </w:rPr>
        <w:t xml:space="preserve">SAIMEX, </w:t>
      </w:r>
      <w:r>
        <w:rPr>
          <w:rFonts w:ascii="Palatino Linotype" w:hAnsi="Palatino Linotype" w:cs="Arial"/>
          <w:sz w:val="24"/>
          <w:szCs w:val="24"/>
        </w:rPr>
        <w:t xml:space="preserve">se aprecia que </w:t>
      </w:r>
      <w:r w:rsidR="008B1AD9">
        <w:rPr>
          <w:rFonts w:ascii="Palatino Linotype" w:hAnsi="Palatino Linotype" w:cs="Arial"/>
          <w:sz w:val="24"/>
          <w:szCs w:val="24"/>
        </w:rPr>
        <w:t>el día</w:t>
      </w:r>
      <w:r w:rsidR="00131D9B">
        <w:rPr>
          <w:rFonts w:ascii="Palatino Linotype" w:hAnsi="Palatino Linotype" w:cs="Arial"/>
          <w:sz w:val="24"/>
          <w:szCs w:val="24"/>
        </w:rPr>
        <w:t xml:space="preserve"> </w:t>
      </w:r>
      <w:r w:rsidR="00D43677">
        <w:rPr>
          <w:rFonts w:ascii="Palatino Linotype" w:hAnsi="Palatino Linotype" w:cs="Arial"/>
          <w:b/>
          <w:bCs/>
          <w:sz w:val="24"/>
          <w:szCs w:val="24"/>
        </w:rPr>
        <w:t xml:space="preserve">veinticuatro de febrero de dos mil veinticinco, El Sujeto Obligado </w:t>
      </w:r>
      <w:r w:rsidR="00D43677">
        <w:rPr>
          <w:rFonts w:ascii="Palatino Linotype" w:hAnsi="Palatino Linotype" w:cs="Arial"/>
          <w:sz w:val="24"/>
          <w:szCs w:val="24"/>
        </w:rPr>
        <w:t>dio respuesta a la solicitud de información en los siguientes términos:</w:t>
      </w:r>
    </w:p>
    <w:p w14:paraId="4C86DBB2" w14:textId="632AFEB2" w:rsidR="00D43677" w:rsidRDefault="00D43677" w:rsidP="00D43677">
      <w:pPr>
        <w:pStyle w:val="Citas"/>
      </w:pPr>
      <w:r>
        <w:t>“</w:t>
      </w:r>
      <w:r w:rsidRPr="00D43677">
        <w:t>En respuesta a la solicitud recibida, nos permitimos hacer de su conocimiento que con fundamento en el artículo 53, Fracciones: II, V y VI de la Ley de Transparencia y Acceso a la Información Pública del Estado de México y Municipios, le contestamos que</w:t>
      </w:r>
      <w:r>
        <w:t>:</w:t>
      </w:r>
    </w:p>
    <w:p w14:paraId="3815DF65" w14:textId="6609D1C1" w:rsidR="00D43677" w:rsidRPr="00D43677" w:rsidRDefault="00D43677" w:rsidP="00D43677">
      <w:pPr>
        <w:pStyle w:val="Citas"/>
        <w:rPr>
          <w:b/>
          <w:bCs/>
        </w:rPr>
      </w:pPr>
      <w:r>
        <w:t>E</w:t>
      </w:r>
      <w:r w:rsidRPr="00D43677">
        <w:t>n atención a la solicitud con folio 0436/TOLUCA/IP/2025, me permito adjuntar al presente la respuesta correspondiente. Sin más por el momento, reciba un saludo</w:t>
      </w:r>
      <w:r>
        <w:t xml:space="preserve">” </w:t>
      </w:r>
      <w:r>
        <w:rPr>
          <w:b/>
          <w:bCs/>
        </w:rPr>
        <w:t>(Sic)</w:t>
      </w:r>
    </w:p>
    <w:p w14:paraId="7AF277C4" w14:textId="77777777" w:rsidR="00D43677" w:rsidRDefault="00D43677" w:rsidP="00B433C9">
      <w:pPr>
        <w:spacing w:before="240" w:line="360" w:lineRule="auto"/>
        <w:jc w:val="both"/>
        <w:rPr>
          <w:rFonts w:ascii="Palatino Linotype" w:hAnsi="Palatino Linotype" w:cs="Arial"/>
          <w:sz w:val="24"/>
          <w:szCs w:val="24"/>
        </w:rPr>
      </w:pPr>
    </w:p>
    <w:p w14:paraId="7AE2B22F" w14:textId="15BD5DE6" w:rsidR="00D43677" w:rsidRPr="00D43677" w:rsidRDefault="00A354C4" w:rsidP="00A354C4">
      <w:pPr>
        <w:pStyle w:val="Citas"/>
        <w:ind w:left="0" w:right="72"/>
        <w:rPr>
          <w:i w:val="0"/>
          <w:iCs/>
          <w:sz w:val="24"/>
          <w:szCs w:val="24"/>
        </w:rPr>
      </w:pPr>
      <w:r>
        <w:rPr>
          <w:i w:val="0"/>
          <w:iCs/>
          <w:sz w:val="24"/>
          <w:szCs w:val="24"/>
        </w:rPr>
        <w:lastRenderedPageBreak/>
        <w:t xml:space="preserve">A mayor abundamiento, se advierte que </w:t>
      </w:r>
      <w:r>
        <w:rPr>
          <w:b/>
          <w:bCs/>
          <w:i w:val="0"/>
          <w:iCs/>
          <w:sz w:val="24"/>
          <w:szCs w:val="24"/>
        </w:rPr>
        <w:t xml:space="preserve">El Sujeto Obligado </w:t>
      </w:r>
      <w:r>
        <w:rPr>
          <w:i w:val="0"/>
          <w:iCs/>
          <w:sz w:val="24"/>
          <w:szCs w:val="24"/>
        </w:rPr>
        <w:t xml:space="preserve">adjuntó </w:t>
      </w:r>
      <w:r w:rsidR="00D43677">
        <w:rPr>
          <w:i w:val="0"/>
          <w:iCs/>
          <w:sz w:val="24"/>
          <w:szCs w:val="24"/>
        </w:rPr>
        <w:t xml:space="preserve">los documentos electrónicos </w:t>
      </w:r>
      <w:r w:rsidR="00D43677">
        <w:rPr>
          <w:b/>
          <w:bCs/>
          <w:i w:val="0"/>
          <w:iCs/>
          <w:sz w:val="24"/>
          <w:szCs w:val="24"/>
        </w:rPr>
        <w:t xml:space="preserve">“RESPUESTA 436. 2025.pdf” </w:t>
      </w:r>
      <w:r w:rsidR="00D43677">
        <w:rPr>
          <w:i w:val="0"/>
          <w:iCs/>
          <w:sz w:val="24"/>
          <w:szCs w:val="24"/>
        </w:rPr>
        <w:t xml:space="preserve">y </w:t>
      </w:r>
      <w:r w:rsidR="00D43677">
        <w:rPr>
          <w:b/>
          <w:bCs/>
          <w:i w:val="0"/>
          <w:iCs/>
          <w:sz w:val="24"/>
          <w:szCs w:val="24"/>
        </w:rPr>
        <w:t xml:space="preserve">“00436-TOLUCA-IP-20250002.pdf”, </w:t>
      </w:r>
      <w:r w:rsidR="00D43677">
        <w:rPr>
          <w:i w:val="0"/>
          <w:iCs/>
          <w:sz w:val="24"/>
          <w:szCs w:val="24"/>
        </w:rPr>
        <w:t xml:space="preserve">cuyo contenido será materia de análisis en el considerando respectivo. </w:t>
      </w:r>
    </w:p>
    <w:p w14:paraId="2EDF32DD" w14:textId="77777777" w:rsidR="00131D9B" w:rsidRDefault="00131D9B" w:rsidP="00A354C4">
      <w:pPr>
        <w:pStyle w:val="Citas"/>
        <w:ind w:left="0" w:right="72"/>
        <w:rPr>
          <w:i w:val="0"/>
          <w:iCs/>
          <w:sz w:val="24"/>
          <w:szCs w:val="24"/>
        </w:rPr>
      </w:pPr>
    </w:p>
    <w:p w14:paraId="087D134D" w14:textId="3E9D2D89" w:rsidR="00B433C9" w:rsidRDefault="0071487C" w:rsidP="00B433C9">
      <w:pPr>
        <w:spacing w:before="240" w:line="360" w:lineRule="auto"/>
        <w:jc w:val="both"/>
        <w:rPr>
          <w:rFonts w:ascii="Palatino Linotype" w:hAnsi="Palatino Linotype" w:cs="Arial"/>
          <w:b/>
          <w:sz w:val="28"/>
        </w:rPr>
      </w:pPr>
      <w:r>
        <w:rPr>
          <w:rFonts w:ascii="Palatino Linotype" w:hAnsi="Palatino Linotype" w:cs="Arial"/>
          <w:b/>
          <w:sz w:val="28"/>
        </w:rPr>
        <w:t>TERCERO</w:t>
      </w:r>
      <w:r w:rsidR="00B433C9">
        <w:rPr>
          <w:rFonts w:ascii="Palatino Linotype" w:hAnsi="Palatino Linotype" w:cs="Arial"/>
          <w:b/>
          <w:sz w:val="28"/>
        </w:rPr>
        <w:t xml:space="preserve">. </w:t>
      </w:r>
      <w:r w:rsidR="00B433C9">
        <w:rPr>
          <w:rFonts w:ascii="Palatino Linotype" w:hAnsi="Palatino Linotype"/>
          <w:b/>
          <w:sz w:val="28"/>
        </w:rPr>
        <w:t>Del recurso de revisión.</w:t>
      </w:r>
    </w:p>
    <w:p w14:paraId="3CFDF32F" w14:textId="69DA33CE" w:rsidR="00D43677" w:rsidRPr="00D43677" w:rsidRDefault="00B433C9" w:rsidP="00131D9B">
      <w:pPr>
        <w:spacing w:before="240" w:line="360" w:lineRule="auto"/>
        <w:jc w:val="both"/>
        <w:rPr>
          <w:rFonts w:ascii="Palatino Linotype" w:hAnsi="Palatino Linotype" w:cs="Arial"/>
          <w:sz w:val="24"/>
          <w:szCs w:val="24"/>
        </w:rPr>
      </w:pPr>
      <w:r w:rsidRPr="0096643B">
        <w:rPr>
          <w:rFonts w:ascii="Palatino Linotype" w:hAnsi="Palatino Linotype" w:cs="Arial"/>
          <w:sz w:val="24"/>
          <w:szCs w:val="24"/>
        </w:rPr>
        <w:t>Inconforme c</w:t>
      </w:r>
      <w:r>
        <w:rPr>
          <w:rFonts w:ascii="Palatino Linotype" w:hAnsi="Palatino Linotype" w:cs="Arial"/>
          <w:sz w:val="24"/>
          <w:szCs w:val="24"/>
        </w:rPr>
        <w:t xml:space="preserve">on la respuesta por </w:t>
      </w:r>
      <w:r w:rsidR="00712E3A">
        <w:rPr>
          <w:rFonts w:ascii="Palatino Linotype" w:hAnsi="Palatino Linotype" w:cs="Arial"/>
          <w:b/>
          <w:sz w:val="24"/>
          <w:szCs w:val="24"/>
        </w:rPr>
        <w:t xml:space="preserve">El Sujeto Obligado, </w:t>
      </w:r>
      <w:r w:rsidR="0071487C">
        <w:rPr>
          <w:rFonts w:ascii="Palatino Linotype" w:hAnsi="Palatino Linotype" w:cs="Arial"/>
          <w:b/>
          <w:sz w:val="24"/>
          <w:szCs w:val="24"/>
        </w:rPr>
        <w:t>El</w:t>
      </w:r>
      <w:r>
        <w:rPr>
          <w:rFonts w:ascii="Palatino Linotype" w:hAnsi="Palatino Linotype" w:cs="Arial"/>
          <w:b/>
          <w:sz w:val="24"/>
          <w:szCs w:val="24"/>
        </w:rPr>
        <w:t xml:space="preserve"> Recurrente </w:t>
      </w:r>
      <w:r>
        <w:rPr>
          <w:rFonts w:ascii="Palatino Linotype" w:hAnsi="Palatino Linotype" w:cs="Arial"/>
          <w:sz w:val="24"/>
          <w:szCs w:val="24"/>
        </w:rPr>
        <w:t>interpuso recurso de revisión, en fecha</w:t>
      </w:r>
      <w:r w:rsidR="00EC1D0D">
        <w:rPr>
          <w:rFonts w:ascii="Palatino Linotype" w:hAnsi="Palatino Linotype" w:cs="Arial"/>
          <w:sz w:val="24"/>
          <w:szCs w:val="24"/>
        </w:rPr>
        <w:t xml:space="preserve"> </w:t>
      </w:r>
      <w:r w:rsidR="00D43677">
        <w:rPr>
          <w:rFonts w:ascii="Palatino Linotype" w:hAnsi="Palatino Linotype" w:cs="Arial"/>
          <w:b/>
          <w:bCs/>
          <w:sz w:val="24"/>
          <w:szCs w:val="24"/>
        </w:rPr>
        <w:t xml:space="preserve">quince de marzo de dos mil veinticinco, </w:t>
      </w:r>
      <w:r w:rsidR="00D43677">
        <w:rPr>
          <w:rFonts w:ascii="Palatino Linotype" w:hAnsi="Palatino Linotype" w:cs="Arial"/>
          <w:sz w:val="24"/>
          <w:szCs w:val="24"/>
        </w:rPr>
        <w:t xml:space="preserve">el cual fue registrado en el sistema electrónico con el expediente número </w:t>
      </w:r>
      <w:r w:rsidR="00D43677">
        <w:rPr>
          <w:rFonts w:ascii="Palatino Linotype" w:hAnsi="Palatino Linotype" w:cs="Arial"/>
          <w:b/>
          <w:bCs/>
          <w:sz w:val="24"/>
          <w:szCs w:val="24"/>
        </w:rPr>
        <w:t xml:space="preserve">03040/INFOEM/IP/RR/2025, </w:t>
      </w:r>
      <w:r w:rsidR="00D43677">
        <w:rPr>
          <w:rFonts w:ascii="Palatino Linotype" w:hAnsi="Palatino Linotype" w:cs="Arial"/>
          <w:sz w:val="24"/>
          <w:szCs w:val="24"/>
        </w:rPr>
        <w:t xml:space="preserve">en el cual arguye las siguientes manifestaciones: </w:t>
      </w:r>
    </w:p>
    <w:p w14:paraId="3CF50515" w14:textId="77777777" w:rsidR="00B433C9" w:rsidRDefault="00B433C9" w:rsidP="00B433C9">
      <w:pPr>
        <w:spacing w:before="240" w:line="360" w:lineRule="auto"/>
        <w:jc w:val="both"/>
        <w:rPr>
          <w:rFonts w:ascii="Palatino Linotype" w:hAnsi="Palatino Linotype" w:cs="Arial"/>
          <w:b/>
          <w:sz w:val="24"/>
        </w:rPr>
      </w:pPr>
      <w:r>
        <w:rPr>
          <w:rFonts w:ascii="Palatino Linotype" w:hAnsi="Palatino Linotype" w:cs="Arial"/>
          <w:b/>
          <w:sz w:val="24"/>
        </w:rPr>
        <w:t>Acto Impugnado:</w:t>
      </w:r>
    </w:p>
    <w:p w14:paraId="1ED0C8FA" w14:textId="2945DBCB" w:rsidR="00B433C9" w:rsidRPr="00712E3A" w:rsidRDefault="00B433C9" w:rsidP="00B76471">
      <w:pPr>
        <w:pStyle w:val="Citas"/>
        <w:rPr>
          <w:b/>
        </w:rPr>
      </w:pPr>
      <w:r w:rsidRPr="00B32223">
        <w:t>“</w:t>
      </w:r>
      <w:r w:rsidR="00D43677" w:rsidRPr="00D43677">
        <w:t>Una prorroga fuera de tiempo y falta el programa</w:t>
      </w:r>
      <w:r w:rsidR="00B76471" w:rsidRPr="00B32223">
        <w:t>"</w:t>
      </w:r>
      <w:r w:rsidR="00B76471">
        <w:rPr>
          <w:b/>
          <w:bCs/>
        </w:rPr>
        <w:t xml:space="preserve"> (Sic)</w:t>
      </w:r>
    </w:p>
    <w:p w14:paraId="7FB77606" w14:textId="77777777" w:rsidR="00B433C9" w:rsidRDefault="00B433C9" w:rsidP="00B433C9">
      <w:pPr>
        <w:spacing w:before="240" w:line="360" w:lineRule="auto"/>
        <w:jc w:val="both"/>
        <w:rPr>
          <w:rFonts w:ascii="Palatino Linotype" w:hAnsi="Palatino Linotype" w:cs="Arial"/>
          <w:sz w:val="24"/>
        </w:rPr>
      </w:pPr>
      <w:r>
        <w:rPr>
          <w:rFonts w:ascii="Palatino Linotype" w:hAnsi="Palatino Linotype" w:cs="Arial"/>
          <w:b/>
          <w:sz w:val="24"/>
        </w:rPr>
        <w:t>Razones o Motivos de Inconformidad</w:t>
      </w:r>
      <w:r>
        <w:rPr>
          <w:rFonts w:ascii="Palatino Linotype" w:hAnsi="Palatino Linotype" w:cs="Arial"/>
          <w:sz w:val="24"/>
        </w:rPr>
        <w:t xml:space="preserve">: </w:t>
      </w:r>
    </w:p>
    <w:p w14:paraId="3C37B9AB" w14:textId="59E2D315" w:rsidR="00B433C9" w:rsidRPr="00712E3A" w:rsidRDefault="00B433C9" w:rsidP="00B76471">
      <w:pPr>
        <w:pStyle w:val="Citas"/>
      </w:pPr>
      <w:r w:rsidRPr="00B32223">
        <w:t>“</w:t>
      </w:r>
      <w:r w:rsidR="00D43677" w:rsidRPr="00D43677">
        <w:t xml:space="preserve">Falta el programa que se </w:t>
      </w:r>
      <w:proofErr w:type="spellStart"/>
      <w:r w:rsidR="00D43677" w:rsidRPr="00D43677">
        <w:t>solicito</w:t>
      </w:r>
      <w:proofErr w:type="spellEnd"/>
      <w:r w:rsidR="00B76471" w:rsidRPr="00B32223">
        <w:t>"</w:t>
      </w:r>
      <w:r w:rsidRPr="00A354C4">
        <w:t xml:space="preserve"> </w:t>
      </w:r>
      <w:r w:rsidR="00B76471">
        <w:rPr>
          <w:b/>
        </w:rPr>
        <w:t>(Sic)</w:t>
      </w:r>
    </w:p>
    <w:p w14:paraId="4DD8E175" w14:textId="77777777" w:rsidR="00C36ED4" w:rsidRDefault="00C36ED4" w:rsidP="00C36ED4">
      <w:pPr>
        <w:spacing w:line="360" w:lineRule="auto"/>
        <w:ind w:right="851"/>
        <w:jc w:val="both"/>
        <w:rPr>
          <w:rFonts w:ascii="Palatino Linotype" w:hAnsi="Palatino Linotype" w:cs="Arial"/>
          <w:i/>
        </w:rPr>
      </w:pPr>
    </w:p>
    <w:p w14:paraId="1F62F175" w14:textId="6304A05E" w:rsidR="00B433C9" w:rsidRDefault="0071487C" w:rsidP="00B433C9">
      <w:pPr>
        <w:spacing w:before="240" w:line="360" w:lineRule="auto"/>
        <w:jc w:val="both"/>
        <w:rPr>
          <w:rFonts w:ascii="Palatino Linotype" w:hAnsi="Palatino Linotype" w:cs="Arial"/>
          <w:b/>
          <w:sz w:val="24"/>
          <w:szCs w:val="24"/>
        </w:rPr>
      </w:pPr>
      <w:r>
        <w:rPr>
          <w:rFonts w:ascii="Palatino Linotype" w:hAnsi="Palatino Linotype" w:cs="Arial"/>
          <w:b/>
          <w:sz w:val="28"/>
        </w:rPr>
        <w:t>CUARTO</w:t>
      </w:r>
      <w:r w:rsidR="00B433C9" w:rsidRPr="008551ED">
        <w:rPr>
          <w:rFonts w:ascii="Palatino Linotype" w:hAnsi="Palatino Linotype" w:cs="Arial"/>
          <w:b/>
          <w:sz w:val="24"/>
          <w:szCs w:val="24"/>
        </w:rPr>
        <w:t xml:space="preserve">. </w:t>
      </w:r>
      <w:r w:rsidR="00B433C9" w:rsidRPr="0087163A">
        <w:rPr>
          <w:rFonts w:ascii="Palatino Linotype" w:hAnsi="Palatino Linotype" w:cs="Arial"/>
          <w:b/>
          <w:sz w:val="28"/>
          <w:szCs w:val="28"/>
        </w:rPr>
        <w:t>Del turno del recurso de revisión.</w:t>
      </w:r>
    </w:p>
    <w:p w14:paraId="637E5A72" w14:textId="14199DAE" w:rsidR="00B76471" w:rsidRDefault="00B76471" w:rsidP="00B76471">
      <w:pPr>
        <w:spacing w:before="240" w:line="360" w:lineRule="auto"/>
        <w:jc w:val="both"/>
        <w:rPr>
          <w:rFonts w:ascii="Palatino Linotype" w:hAnsi="Palatino Linotype" w:cs="Arial"/>
          <w:sz w:val="24"/>
          <w:szCs w:val="24"/>
        </w:rPr>
      </w:pPr>
      <w:r>
        <w:rPr>
          <w:rFonts w:ascii="Palatino Linotype" w:hAnsi="Palatino Linotype" w:cs="Arial"/>
          <w:sz w:val="24"/>
          <w:szCs w:val="24"/>
        </w:rPr>
        <w:t xml:space="preserve">Medio de impugnación que le fue turnado al Comisionado </w:t>
      </w:r>
      <w:r w:rsidR="007A2404">
        <w:rPr>
          <w:rFonts w:ascii="Palatino Linotype" w:hAnsi="Palatino Linotype" w:cs="Arial"/>
          <w:sz w:val="24"/>
          <w:szCs w:val="24"/>
        </w:rPr>
        <w:t>presidente</w:t>
      </w:r>
      <w:r>
        <w:rPr>
          <w:rFonts w:ascii="Palatino Linotype" w:hAnsi="Palatino Linotype" w:cs="Arial"/>
          <w:sz w:val="24"/>
          <w:szCs w:val="24"/>
        </w:rPr>
        <w:t xml:space="preserve"> </w:t>
      </w:r>
      <w:r>
        <w:rPr>
          <w:rFonts w:ascii="Palatino Linotype" w:hAnsi="Palatino Linotype" w:cs="Arial"/>
          <w:b/>
          <w:sz w:val="24"/>
          <w:szCs w:val="24"/>
        </w:rPr>
        <w:t xml:space="preserve">José Martínez Vilchis, </w:t>
      </w:r>
      <w:r>
        <w:rPr>
          <w:rFonts w:ascii="Palatino Linotype" w:hAnsi="Palatino Linotype" w:cs="Arial"/>
          <w:sz w:val="24"/>
          <w:szCs w:val="24"/>
        </w:rPr>
        <w:t xml:space="preserve">por medio del sistema electrónico en términos del arábigo 185 fracción I de la Ley de Transparencia y Acceso a la información Pública del Estado de México y Municipios, del cual recayó acuerdo de admisión en fecha </w:t>
      </w:r>
      <w:r w:rsidR="00D43677">
        <w:rPr>
          <w:rFonts w:ascii="Palatino Linotype" w:hAnsi="Palatino Linotype" w:cs="Arial"/>
          <w:b/>
          <w:bCs/>
          <w:sz w:val="24"/>
          <w:szCs w:val="24"/>
        </w:rPr>
        <w:t>diecinueve de marzo</w:t>
      </w:r>
      <w:r w:rsidR="00131D9B">
        <w:rPr>
          <w:rFonts w:ascii="Palatino Linotype" w:hAnsi="Palatino Linotype" w:cs="Arial"/>
          <w:b/>
          <w:bCs/>
          <w:sz w:val="24"/>
          <w:szCs w:val="24"/>
        </w:rPr>
        <w:t xml:space="preserve"> de </w:t>
      </w:r>
      <w:r w:rsidR="00131D9B">
        <w:rPr>
          <w:rFonts w:ascii="Palatino Linotype" w:hAnsi="Palatino Linotype" w:cs="Arial"/>
          <w:b/>
          <w:bCs/>
          <w:sz w:val="24"/>
          <w:szCs w:val="24"/>
        </w:rPr>
        <w:lastRenderedPageBreak/>
        <w:t>dos mil veinticinco</w:t>
      </w:r>
      <w:r w:rsidR="00B32223">
        <w:rPr>
          <w:rFonts w:ascii="Palatino Linotype" w:hAnsi="Palatino Linotype" w:cs="Arial"/>
          <w:sz w:val="24"/>
          <w:szCs w:val="24"/>
        </w:rPr>
        <w:t xml:space="preserve"> </w:t>
      </w:r>
      <w:r>
        <w:rPr>
          <w:rFonts w:ascii="Palatino Linotype" w:hAnsi="Palatino Linotype" w:cs="Arial"/>
          <w:sz w:val="24"/>
          <w:szCs w:val="24"/>
        </w:rPr>
        <w:t>determinándose en él, un plazo de siete días para que las partes manifestaran lo que a su derecho corresponda en términos del numeral ya citado.</w:t>
      </w:r>
    </w:p>
    <w:p w14:paraId="7346C2F0" w14:textId="77777777" w:rsidR="00712E3A" w:rsidRDefault="00712E3A" w:rsidP="00B433C9">
      <w:pPr>
        <w:spacing w:before="240" w:line="360" w:lineRule="auto"/>
        <w:jc w:val="both"/>
        <w:rPr>
          <w:rFonts w:ascii="Palatino Linotype" w:hAnsi="Palatino Linotype" w:cs="Arial"/>
          <w:sz w:val="24"/>
          <w:szCs w:val="24"/>
        </w:rPr>
      </w:pPr>
    </w:p>
    <w:p w14:paraId="7CB15C1B" w14:textId="33C3FEEC" w:rsidR="00B433C9" w:rsidRDefault="0071487C" w:rsidP="00B433C9">
      <w:pPr>
        <w:pStyle w:val="Prrafodelista"/>
        <w:spacing w:line="360" w:lineRule="auto"/>
        <w:ind w:left="0"/>
        <w:jc w:val="both"/>
        <w:rPr>
          <w:rFonts w:ascii="Palatino Linotype" w:hAnsi="Palatino Linotype" w:cs="Arial"/>
          <w:b/>
        </w:rPr>
      </w:pPr>
      <w:r>
        <w:rPr>
          <w:rFonts w:ascii="Palatino Linotype" w:hAnsi="Palatino Linotype" w:cs="Arial"/>
          <w:b/>
          <w:sz w:val="28"/>
        </w:rPr>
        <w:t>QUINTO</w:t>
      </w:r>
      <w:r w:rsidR="00B433C9" w:rsidRPr="00AC0CCC">
        <w:rPr>
          <w:rFonts w:ascii="Palatino Linotype" w:hAnsi="Palatino Linotype" w:cs="Arial"/>
          <w:b/>
          <w:sz w:val="28"/>
          <w:szCs w:val="28"/>
        </w:rPr>
        <w:t xml:space="preserve">. </w:t>
      </w:r>
      <w:r w:rsidR="00B433C9" w:rsidRPr="0087163A">
        <w:rPr>
          <w:rFonts w:ascii="Palatino Linotype" w:hAnsi="Palatino Linotype" w:cs="Arial"/>
          <w:b/>
          <w:sz w:val="28"/>
          <w:szCs w:val="28"/>
        </w:rPr>
        <w:t>De la etapa de instrucción.</w:t>
      </w:r>
    </w:p>
    <w:p w14:paraId="0E0B0016" w14:textId="7BF7331C" w:rsidR="00D43677" w:rsidRPr="00D43677" w:rsidRDefault="00712E3A" w:rsidP="00712E3A">
      <w:pPr>
        <w:spacing w:before="240" w:line="360" w:lineRule="auto"/>
        <w:jc w:val="both"/>
        <w:rPr>
          <w:rFonts w:ascii="Palatino Linotype" w:hAnsi="Palatino Linotype" w:cs="Arial"/>
          <w:b/>
          <w:bCs/>
          <w:sz w:val="24"/>
          <w:szCs w:val="24"/>
        </w:rPr>
      </w:pPr>
      <w:r w:rsidRPr="00523CF0">
        <w:rPr>
          <w:rFonts w:ascii="Palatino Linotype" w:hAnsi="Palatino Linotype" w:cs="Arial"/>
          <w:sz w:val="24"/>
          <w:szCs w:val="24"/>
        </w:rPr>
        <w:t xml:space="preserve">Así, en la etapa de instrucción, </w:t>
      </w:r>
      <w:r>
        <w:rPr>
          <w:rFonts w:ascii="Palatino Linotype" w:hAnsi="Palatino Linotype" w:cs="Arial"/>
          <w:sz w:val="24"/>
          <w:szCs w:val="24"/>
        </w:rPr>
        <w:t xml:space="preserve">de las constancias que obran en el expediente electrónico se advierte que </w:t>
      </w:r>
      <w:r>
        <w:rPr>
          <w:rFonts w:ascii="Palatino Linotype" w:hAnsi="Palatino Linotype" w:cs="Arial"/>
          <w:b/>
          <w:sz w:val="24"/>
          <w:szCs w:val="24"/>
        </w:rPr>
        <w:t xml:space="preserve">El Sujeto Obligado </w:t>
      </w:r>
      <w:r>
        <w:rPr>
          <w:rFonts w:ascii="Palatino Linotype" w:hAnsi="Palatino Linotype" w:cs="Arial"/>
          <w:sz w:val="24"/>
          <w:szCs w:val="24"/>
        </w:rPr>
        <w:t xml:space="preserve">rindió su informe justificado en fecha </w:t>
      </w:r>
      <w:r w:rsidR="00D43677">
        <w:rPr>
          <w:rFonts w:ascii="Palatino Linotype" w:hAnsi="Palatino Linotype" w:cs="Arial"/>
          <w:b/>
          <w:bCs/>
          <w:sz w:val="24"/>
          <w:szCs w:val="24"/>
        </w:rPr>
        <w:t xml:space="preserve">veintiocho de marzo de dos mil veinticinco, </w:t>
      </w:r>
      <w:r w:rsidR="00D43677">
        <w:rPr>
          <w:rFonts w:ascii="Palatino Linotype" w:hAnsi="Palatino Linotype" w:cs="Arial"/>
          <w:sz w:val="24"/>
          <w:szCs w:val="24"/>
        </w:rPr>
        <w:t xml:space="preserve">mismo que fue puesto a la vista el </w:t>
      </w:r>
      <w:r w:rsidR="00D43677">
        <w:rPr>
          <w:rFonts w:ascii="Palatino Linotype" w:hAnsi="Palatino Linotype" w:cs="Arial"/>
          <w:b/>
          <w:bCs/>
          <w:sz w:val="24"/>
          <w:szCs w:val="24"/>
        </w:rPr>
        <w:t xml:space="preserve">treinta y uno de marzo de los corrientes. </w:t>
      </w:r>
    </w:p>
    <w:p w14:paraId="755ECF62" w14:textId="257AEABD" w:rsidR="00FC16E9" w:rsidRDefault="002929E8" w:rsidP="00FC16E9">
      <w:pPr>
        <w:spacing w:before="240" w:line="360" w:lineRule="auto"/>
        <w:jc w:val="both"/>
        <w:rPr>
          <w:rFonts w:ascii="Palatino Linotype" w:hAnsi="Palatino Linotype" w:cs="Arial"/>
          <w:sz w:val="24"/>
          <w:szCs w:val="24"/>
        </w:rPr>
      </w:pPr>
      <w:r>
        <w:rPr>
          <w:rFonts w:ascii="Palatino Linotype" w:hAnsi="Palatino Linotype" w:cs="Arial"/>
          <w:sz w:val="24"/>
          <w:szCs w:val="24"/>
        </w:rPr>
        <w:t xml:space="preserve">Por lo cual se decretó el cierre de instrucción con fecha </w:t>
      </w:r>
      <w:r w:rsidR="00D43677">
        <w:rPr>
          <w:rFonts w:ascii="Palatino Linotype" w:hAnsi="Palatino Linotype" w:cs="Arial"/>
          <w:b/>
          <w:bCs/>
          <w:sz w:val="24"/>
          <w:szCs w:val="24"/>
        </w:rPr>
        <w:t xml:space="preserve">cuatro de abril del año en curso, </w:t>
      </w:r>
      <w:r w:rsidR="0071487C">
        <w:rPr>
          <w:rFonts w:ascii="Palatino Linotype" w:hAnsi="Palatino Linotype" w:cs="Arial"/>
          <w:sz w:val="24"/>
          <w:szCs w:val="24"/>
        </w:rPr>
        <w:t xml:space="preserve">en términos del </w:t>
      </w:r>
      <w:r w:rsidR="00FC16E9" w:rsidRPr="00D05C83">
        <w:rPr>
          <w:rFonts w:ascii="Palatino Linotype" w:hAnsi="Palatino Linotype" w:cs="Arial"/>
          <w:sz w:val="24"/>
          <w:szCs w:val="24"/>
        </w:rPr>
        <w:t>artículo 185 Fracción VI de la Ley de Transparencia y Acceso a la Información Pública del Estado de México y Municipios, iniciando el término legal para dictar resolución definitiva del asunto.</w:t>
      </w:r>
      <w:r w:rsidR="00FC16E9">
        <w:rPr>
          <w:rFonts w:ascii="Palatino Linotype" w:hAnsi="Palatino Linotype" w:cs="Arial"/>
          <w:sz w:val="24"/>
          <w:szCs w:val="24"/>
        </w:rPr>
        <w:t xml:space="preserve"> </w:t>
      </w:r>
    </w:p>
    <w:p w14:paraId="5146E2BA" w14:textId="77777777" w:rsidR="00FC16E9" w:rsidRDefault="00FC16E9" w:rsidP="00FC16E9">
      <w:pPr>
        <w:spacing w:before="240" w:line="360" w:lineRule="auto"/>
        <w:jc w:val="both"/>
        <w:rPr>
          <w:rFonts w:ascii="Palatino Linotype" w:hAnsi="Palatino Linotype" w:cs="Arial"/>
          <w:sz w:val="24"/>
          <w:szCs w:val="24"/>
        </w:rPr>
      </w:pPr>
      <w:r>
        <w:rPr>
          <w:rFonts w:ascii="Palatino Linotype" w:hAnsi="Palatino Linotype" w:cs="Arial"/>
          <w:sz w:val="24"/>
          <w:szCs w:val="24"/>
        </w:rPr>
        <w:t>.</w:t>
      </w:r>
    </w:p>
    <w:p w14:paraId="154CA85F" w14:textId="77777777" w:rsidR="007345EA" w:rsidRPr="005D0901" w:rsidRDefault="007345EA" w:rsidP="007345EA">
      <w:pPr>
        <w:spacing w:before="240" w:line="360" w:lineRule="auto"/>
        <w:jc w:val="center"/>
        <w:rPr>
          <w:rFonts w:ascii="Palatino Linotype" w:hAnsi="Palatino Linotype" w:cs="Arial"/>
          <w:b/>
          <w:sz w:val="24"/>
        </w:rPr>
      </w:pPr>
      <w:r w:rsidRPr="005D0901">
        <w:rPr>
          <w:rFonts w:ascii="Palatino Linotype" w:hAnsi="Palatino Linotype" w:cs="Arial"/>
          <w:b/>
          <w:sz w:val="24"/>
        </w:rPr>
        <w:t xml:space="preserve">C O N S I D E R A N D O </w:t>
      </w:r>
    </w:p>
    <w:p w14:paraId="38E40E64" w14:textId="77777777" w:rsidR="007345EA" w:rsidRDefault="007345EA" w:rsidP="007345EA">
      <w:pPr>
        <w:spacing w:before="240" w:line="360" w:lineRule="auto"/>
        <w:jc w:val="both"/>
        <w:rPr>
          <w:rFonts w:ascii="Palatino Linotype" w:hAnsi="Palatino Linotype" w:cs="Arial"/>
          <w:sz w:val="28"/>
          <w:szCs w:val="28"/>
        </w:rPr>
      </w:pPr>
      <w:r w:rsidRPr="005D0901">
        <w:rPr>
          <w:rFonts w:ascii="Palatino Linotype" w:hAnsi="Palatino Linotype" w:cs="Arial"/>
          <w:b/>
          <w:sz w:val="28"/>
        </w:rPr>
        <w:t>PRIMERO.</w:t>
      </w:r>
      <w:r w:rsidRPr="005D0901">
        <w:rPr>
          <w:rFonts w:ascii="Palatino Linotype" w:hAnsi="Palatino Linotype" w:cs="Arial"/>
          <w:b/>
        </w:rPr>
        <w:t xml:space="preserve"> </w:t>
      </w:r>
      <w:r w:rsidRPr="005D0901">
        <w:rPr>
          <w:rFonts w:ascii="Palatino Linotype" w:hAnsi="Palatino Linotype" w:cs="Arial"/>
          <w:b/>
          <w:sz w:val="28"/>
          <w:szCs w:val="28"/>
        </w:rPr>
        <w:t>De la competencia</w:t>
      </w:r>
      <w:r w:rsidRPr="005D0901">
        <w:rPr>
          <w:rFonts w:ascii="Palatino Linotype" w:hAnsi="Palatino Linotype" w:cs="Arial"/>
          <w:sz w:val="28"/>
          <w:szCs w:val="28"/>
        </w:rPr>
        <w:t>.</w:t>
      </w:r>
    </w:p>
    <w:p w14:paraId="7A7F88D9" w14:textId="77777777" w:rsidR="000D14E9" w:rsidRPr="008A2022" w:rsidRDefault="000D14E9" w:rsidP="000D14E9">
      <w:pPr>
        <w:spacing w:line="360" w:lineRule="auto"/>
        <w:jc w:val="both"/>
        <w:rPr>
          <w:rFonts w:ascii="Palatino Linotype" w:hAnsi="Palatino Linotype"/>
          <w:sz w:val="24"/>
          <w:szCs w:val="24"/>
        </w:rPr>
      </w:pPr>
      <w:r w:rsidRPr="008A2022">
        <w:rPr>
          <w:rFonts w:ascii="Palatino Linotype" w:hAnsi="Palatino Linotype"/>
          <w:sz w:val="24"/>
          <w:szCs w:val="24"/>
        </w:rPr>
        <w:t xml:space="preserve">Este Instituto de Transparencia, Acceso a la Información Pública y Protección de Datos Personales del Estado de México y Municipios es competente para conocer y resolver el presente Recurso de Revisión, conforme a lo </w:t>
      </w:r>
      <w:r w:rsidRPr="005E4999">
        <w:rPr>
          <w:rFonts w:ascii="Palatino Linotype" w:hAnsi="Palatino Linotype"/>
          <w:sz w:val="24"/>
          <w:szCs w:val="24"/>
        </w:rPr>
        <w:t>dispuesto en el artículo 5, párrafos trigésimo séptimo, trigésimo octavo y trigésimo noveno fracciones IV y V de la Constitución Política del Estado Libre y Soberano de México</w:t>
      </w:r>
      <w:r w:rsidRPr="008A2022">
        <w:rPr>
          <w:rFonts w:ascii="Palatino Linotype" w:hAnsi="Palatino Linotype"/>
          <w:sz w:val="24"/>
          <w:szCs w:val="24"/>
        </w:rPr>
        <w:t xml:space="preserve">; ordinal 2, fracción II, 13, </w:t>
      </w:r>
      <w:r w:rsidRPr="008A2022">
        <w:rPr>
          <w:rFonts w:ascii="Palatino Linotype" w:hAnsi="Palatino Linotype"/>
          <w:sz w:val="24"/>
          <w:szCs w:val="24"/>
        </w:rPr>
        <w:lastRenderedPageBreak/>
        <w:t>29, 36, fracciones I y II, 176, 178, 179, 181 párrafo tercero y 185 de la Ley de Transparencia y Acceso a la Información Pública del Estado de México y Municipios; y 9, fracciones I y XXIII y 11 del Reglamento Interior del Instituto de Transparencia, Acceso a la Información Pública y Protección de Datos Personales del Estado de México y Municipios</w:t>
      </w:r>
      <w:r>
        <w:rPr>
          <w:rFonts w:ascii="Palatino Linotype" w:hAnsi="Palatino Linotype"/>
          <w:sz w:val="24"/>
          <w:szCs w:val="24"/>
        </w:rPr>
        <w:t xml:space="preserve">. </w:t>
      </w:r>
    </w:p>
    <w:p w14:paraId="714EEBD9" w14:textId="77777777" w:rsidR="000D14E9" w:rsidRPr="000D14E9" w:rsidRDefault="000D14E9" w:rsidP="00CD0993">
      <w:pPr>
        <w:pStyle w:val="Prrafodelista"/>
        <w:autoSpaceDE w:val="0"/>
        <w:autoSpaceDN w:val="0"/>
        <w:adjustRightInd w:val="0"/>
        <w:spacing w:before="240" w:after="160" w:line="360" w:lineRule="auto"/>
        <w:ind w:left="0"/>
        <w:jc w:val="both"/>
        <w:rPr>
          <w:rFonts w:ascii="Palatino Linotype" w:hAnsi="Palatino Linotype" w:cs="Arial"/>
          <w:bCs/>
          <w:lang w:val="es-MX"/>
        </w:rPr>
      </w:pPr>
    </w:p>
    <w:p w14:paraId="4BFBC208" w14:textId="77777777" w:rsidR="00CD0993" w:rsidRDefault="00CD0993" w:rsidP="00CD0993">
      <w:pPr>
        <w:pStyle w:val="Prrafodelista"/>
        <w:autoSpaceDE w:val="0"/>
        <w:autoSpaceDN w:val="0"/>
        <w:adjustRightInd w:val="0"/>
        <w:spacing w:before="240" w:after="160" w:line="360" w:lineRule="auto"/>
        <w:ind w:left="0"/>
        <w:jc w:val="both"/>
        <w:rPr>
          <w:rFonts w:ascii="Palatino Linotype" w:hAnsi="Palatino Linotype" w:cs="Arial"/>
          <w:b/>
        </w:rPr>
      </w:pPr>
      <w:r w:rsidRPr="00C43323">
        <w:rPr>
          <w:rFonts w:ascii="Palatino Linotype" w:hAnsi="Palatino Linotype" w:cs="Arial"/>
          <w:b/>
          <w:sz w:val="28"/>
        </w:rPr>
        <w:t>SEGUNDO</w:t>
      </w:r>
      <w:r w:rsidRPr="00D24A52">
        <w:rPr>
          <w:rFonts w:ascii="Palatino Linotype" w:hAnsi="Palatino Linotype" w:cs="Arial"/>
          <w:b/>
        </w:rPr>
        <w:t xml:space="preserve">. </w:t>
      </w:r>
      <w:r w:rsidRPr="0087163A">
        <w:rPr>
          <w:rFonts w:ascii="Palatino Linotype" w:hAnsi="Palatino Linotype" w:cs="Arial"/>
          <w:b/>
          <w:sz w:val="28"/>
          <w:szCs w:val="28"/>
        </w:rPr>
        <w:t>Sobre los alcances del recurso de revisión.</w:t>
      </w:r>
      <w:r>
        <w:rPr>
          <w:rFonts w:ascii="Palatino Linotype" w:hAnsi="Palatino Linotype" w:cs="Arial"/>
          <w:b/>
        </w:rPr>
        <w:t xml:space="preserve"> </w:t>
      </w:r>
    </w:p>
    <w:p w14:paraId="144F7FEF" w14:textId="77777777" w:rsidR="00CD0993" w:rsidRDefault="00CD0993" w:rsidP="00CD0993">
      <w:pPr>
        <w:pStyle w:val="Prrafodelista"/>
        <w:autoSpaceDE w:val="0"/>
        <w:autoSpaceDN w:val="0"/>
        <w:adjustRightInd w:val="0"/>
        <w:spacing w:before="240" w:after="160" w:line="360" w:lineRule="auto"/>
        <w:ind w:left="0"/>
        <w:jc w:val="both"/>
        <w:rPr>
          <w:rFonts w:ascii="Palatino Linotype" w:hAnsi="Palatino Linotype" w:cs="Arial"/>
        </w:rPr>
      </w:pPr>
      <w:r>
        <w:rPr>
          <w:rFonts w:ascii="Palatino Linotype" w:hAnsi="Palatino Linotype" w:cs="Arial"/>
        </w:rPr>
        <w:t xml:space="preserve">Derivado de la impugnación realizada, es preciso e importante señalar que el recurso de revisión inmerso en la Ley de Transparencia vigente en la entidad, </w:t>
      </w:r>
      <w:r w:rsidRPr="00B10F60">
        <w:rPr>
          <w:rFonts w:ascii="Palatino Linotype" w:hAnsi="Palatino Linotype" w:cs="Arial"/>
        </w:rPr>
        <w:t>tiene el fin y alcance que señalan los numerales 176, 179, 181 párrafo cuarto, 194 y 195 y demás aplicables de la Ley de Transparencia y Acceso a la Información Pública del Estado</w:t>
      </w:r>
      <w:r>
        <w:rPr>
          <w:rFonts w:ascii="Palatino Linotype" w:hAnsi="Palatino Linotype" w:cs="Arial"/>
        </w:rPr>
        <w:t xml:space="preserve"> de México y Municipios vigente, el cual </w:t>
      </w:r>
      <w:r w:rsidRPr="00B10F60">
        <w:rPr>
          <w:rFonts w:ascii="Palatino Linotype" w:hAnsi="Palatino Linotype" w:cs="Arial"/>
        </w:rPr>
        <w:t xml:space="preserve">será analizado conforme a </w:t>
      </w:r>
      <w:r>
        <w:rPr>
          <w:rFonts w:ascii="Palatino Linotype" w:hAnsi="Palatino Linotype" w:cs="Arial"/>
        </w:rPr>
        <w:t xml:space="preserve">las actuaciones que obren en el expediente electrónico, con la finalidad de </w:t>
      </w:r>
      <w:r w:rsidRPr="00B10F60">
        <w:rPr>
          <w:rFonts w:ascii="Palatino Linotype" w:hAnsi="Palatino Linotype" w:cs="Arial"/>
        </w:rPr>
        <w:t>repara</w:t>
      </w:r>
      <w:r>
        <w:rPr>
          <w:rFonts w:ascii="Palatino Linotype" w:hAnsi="Palatino Linotype" w:cs="Arial"/>
        </w:rPr>
        <w:t>r</w:t>
      </w:r>
      <w:r w:rsidRPr="00B10F60">
        <w:rPr>
          <w:rFonts w:ascii="Palatino Linotype" w:hAnsi="Palatino Linotype" w:cs="Arial"/>
        </w:rPr>
        <w:t xml:space="preserve"> cualquier posible afectación al derecho de acceso a la información pública</w:t>
      </w:r>
      <w:r>
        <w:rPr>
          <w:rFonts w:ascii="Palatino Linotype" w:hAnsi="Palatino Linotype" w:cs="Arial"/>
        </w:rPr>
        <w:t xml:space="preserve"> y</w:t>
      </w:r>
      <w:r w:rsidRPr="00B10F60">
        <w:rPr>
          <w:rFonts w:ascii="Palatino Linotype" w:hAnsi="Palatino Linotype" w:cs="Arial"/>
        </w:rPr>
        <w:t xml:space="preserve"> garantizando el principio rector de máxima publicidad.</w:t>
      </w:r>
    </w:p>
    <w:p w14:paraId="48EBA1D4" w14:textId="77777777" w:rsidR="00CD0993" w:rsidRDefault="00CD0993" w:rsidP="00CD0993">
      <w:pPr>
        <w:pStyle w:val="Prrafodelista"/>
        <w:autoSpaceDE w:val="0"/>
        <w:autoSpaceDN w:val="0"/>
        <w:adjustRightInd w:val="0"/>
        <w:spacing w:before="240" w:after="160" w:line="360" w:lineRule="auto"/>
        <w:ind w:left="0"/>
        <w:jc w:val="both"/>
        <w:rPr>
          <w:rFonts w:ascii="Palatino Linotype" w:hAnsi="Palatino Linotype" w:cs="Arial"/>
        </w:rPr>
      </w:pPr>
    </w:p>
    <w:p w14:paraId="11CCBF33" w14:textId="77777777" w:rsidR="005627C1" w:rsidRPr="00161CEB" w:rsidRDefault="00CD0993" w:rsidP="005627C1">
      <w:pPr>
        <w:autoSpaceDE w:val="0"/>
        <w:autoSpaceDN w:val="0"/>
        <w:adjustRightInd w:val="0"/>
        <w:spacing w:after="0" w:line="360" w:lineRule="auto"/>
        <w:jc w:val="both"/>
        <w:rPr>
          <w:rFonts w:ascii="Palatino Linotype" w:hAnsi="Palatino Linotype" w:cs="Arial"/>
          <w:b/>
        </w:rPr>
      </w:pPr>
      <w:r w:rsidRPr="007822E6">
        <w:rPr>
          <w:rFonts w:ascii="Palatino Linotype" w:hAnsi="Palatino Linotype" w:cs="Arial"/>
          <w:b/>
          <w:sz w:val="28"/>
        </w:rPr>
        <w:t>TERCERO</w:t>
      </w:r>
      <w:r w:rsidRPr="007822E6">
        <w:rPr>
          <w:rFonts w:ascii="Palatino Linotype" w:hAnsi="Palatino Linotype" w:cs="Arial"/>
          <w:b/>
        </w:rPr>
        <w:t xml:space="preserve">. </w:t>
      </w:r>
      <w:r w:rsidR="005627C1" w:rsidRPr="00161CEB">
        <w:rPr>
          <w:rFonts w:ascii="Palatino Linotype" w:hAnsi="Palatino Linotype" w:cs="Arial"/>
          <w:b/>
          <w:sz w:val="28"/>
        </w:rPr>
        <w:t>Cuestiones de previo y especial pronunciamiento</w:t>
      </w:r>
      <w:r w:rsidR="005627C1" w:rsidRPr="00161CEB">
        <w:rPr>
          <w:rFonts w:ascii="Palatino Linotype" w:hAnsi="Palatino Linotype" w:cs="Arial"/>
          <w:b/>
        </w:rPr>
        <w:t>.</w:t>
      </w:r>
    </w:p>
    <w:p w14:paraId="72BD8F4F" w14:textId="76CFCE55" w:rsidR="00CD0993" w:rsidRPr="00AF17B1" w:rsidRDefault="00CD0993" w:rsidP="005627C1">
      <w:pPr>
        <w:pStyle w:val="Prrafodelista"/>
        <w:autoSpaceDE w:val="0"/>
        <w:autoSpaceDN w:val="0"/>
        <w:adjustRightInd w:val="0"/>
        <w:spacing w:before="240" w:after="160" w:line="360" w:lineRule="auto"/>
        <w:ind w:left="0"/>
        <w:jc w:val="both"/>
        <w:rPr>
          <w:rFonts w:ascii="Palatino Linotype" w:hAnsi="Palatino Linotype"/>
        </w:rPr>
      </w:pPr>
      <w:r w:rsidRPr="00AF17B1">
        <w:rPr>
          <w:rFonts w:ascii="Palatino Linotype" w:hAnsi="Palatino Linotype"/>
        </w:rPr>
        <w:t>El Recurso de Revisión en estudio contiene los elementos normativos de validez exigidos en la Ley de Transparencia y Acceso a la Información Pública del Estado de México y Municipios, establecidos en el artículo 180 que enuncia:</w:t>
      </w:r>
    </w:p>
    <w:p w14:paraId="6D2FC94D"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b/>
          <w:i/>
          <w:lang w:eastAsia="es-ES"/>
        </w:rPr>
        <w:t xml:space="preserve">“Artículo 180. </w:t>
      </w:r>
      <w:r w:rsidRPr="00AF17B1">
        <w:rPr>
          <w:rFonts w:ascii="Palatino Linotype" w:eastAsia="Times New Roman" w:hAnsi="Palatino Linotype" w:cs="Arial"/>
          <w:i/>
          <w:lang w:eastAsia="es-ES"/>
        </w:rPr>
        <w:t>El recurso de revisión contendrá:</w:t>
      </w:r>
    </w:p>
    <w:p w14:paraId="5D4A75B3"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lastRenderedPageBreak/>
        <w:t>I. El sujeto obligado ante la cual se presentó la solicitud;</w:t>
      </w:r>
    </w:p>
    <w:p w14:paraId="0C922F12"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b/>
          <w:i/>
          <w:u w:val="single"/>
          <w:lang w:eastAsia="es-ES"/>
        </w:rPr>
        <w:t>II. El nombre del solicitante que recurre</w:t>
      </w:r>
      <w:r w:rsidRPr="00AF17B1">
        <w:rPr>
          <w:rFonts w:ascii="Palatino Linotype" w:eastAsia="Times New Roman" w:hAnsi="Palatino Linotype" w:cs="Arial"/>
          <w:i/>
          <w:lang w:eastAsia="es-ES"/>
        </w:rPr>
        <w:t xml:space="preserve"> o de su representante y, en su caso, del tercero interesado, así como la dirección o medio que señale para recibir notificaciones;</w:t>
      </w:r>
    </w:p>
    <w:p w14:paraId="5F246D40"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t>III. El número de folio de respuesta de la solicitud de acceso;</w:t>
      </w:r>
    </w:p>
    <w:p w14:paraId="1380146F"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t>IV. La fecha en que fue notificada la respuesta al solicitante o tuvo conocimiento del acto reclamado, o de presentación de la solicitud, en caso de falta de respuesta;</w:t>
      </w:r>
    </w:p>
    <w:p w14:paraId="339C942E"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t>V. El acto que se recurre;</w:t>
      </w:r>
    </w:p>
    <w:p w14:paraId="18ED88D9"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t>VI. Las razones o motivos de inconformidad;</w:t>
      </w:r>
    </w:p>
    <w:p w14:paraId="6BA7A207"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t>VII. La copia de la respuesta que se impugna y, en su caso, de la notificación correspondiente, en el caso de respuesta de la solicitud; y</w:t>
      </w:r>
    </w:p>
    <w:p w14:paraId="18FFE566"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t>VIII. Firma del recurrente, en su caso, cuando se presente por escrito, requisito sin el cual se dará trámite al recurso.</w:t>
      </w:r>
    </w:p>
    <w:p w14:paraId="2C104177"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t>Adicionalmente, se podrán anexar las pruebas y demás elementos que considere procedentes someter a juicio del Instituto.</w:t>
      </w:r>
    </w:p>
    <w:p w14:paraId="06AC29AE" w14:textId="77777777" w:rsidR="00CD0993" w:rsidRPr="00AF17B1" w:rsidRDefault="00CD0993" w:rsidP="00CD0993">
      <w:pPr>
        <w:spacing w:before="240" w:line="360" w:lineRule="auto"/>
        <w:ind w:left="851" w:right="851"/>
        <w:jc w:val="both"/>
        <w:rPr>
          <w:rFonts w:ascii="Palatino Linotype" w:eastAsia="Times New Roman" w:hAnsi="Palatino Linotype" w:cs="Arial"/>
          <w:i/>
          <w:lang w:eastAsia="es-ES"/>
        </w:rPr>
      </w:pPr>
      <w:r w:rsidRPr="00AF17B1">
        <w:rPr>
          <w:rFonts w:ascii="Palatino Linotype" w:eastAsia="Times New Roman" w:hAnsi="Palatino Linotype" w:cs="Arial"/>
          <w:i/>
          <w:lang w:eastAsia="es-ES"/>
        </w:rPr>
        <w:t>En ningún caso será necesario que el particular ratifique el recurso de revisión interpuesto.</w:t>
      </w:r>
    </w:p>
    <w:p w14:paraId="15C7BB93" w14:textId="77777777" w:rsidR="00CD0993" w:rsidRPr="00AF17B1" w:rsidRDefault="00CD0993" w:rsidP="00CD0993">
      <w:pPr>
        <w:spacing w:before="240" w:line="360" w:lineRule="auto"/>
        <w:ind w:left="851" w:right="851"/>
        <w:jc w:val="both"/>
        <w:rPr>
          <w:rFonts w:ascii="Palatino Linotype" w:eastAsia="Times New Roman" w:hAnsi="Palatino Linotype" w:cs="Arial"/>
          <w:i/>
          <w:sz w:val="24"/>
          <w:szCs w:val="24"/>
          <w:lang w:eastAsia="es-ES"/>
        </w:rPr>
      </w:pPr>
      <w:r w:rsidRPr="00AF17B1">
        <w:rPr>
          <w:rFonts w:ascii="Palatino Linotype" w:eastAsia="Times New Roman" w:hAnsi="Palatino Linotype" w:cs="Arial"/>
          <w:b/>
          <w:i/>
          <w:u w:val="single"/>
          <w:lang w:eastAsia="es-ES"/>
        </w:rPr>
        <w:t>En caso de que el recurso se interponga de manera electrónica no será indispensable que contengan los requisitos establecidos en las fracciones II, IV, VII y VIII.”</w:t>
      </w:r>
      <w:r w:rsidRPr="00AF17B1">
        <w:rPr>
          <w:rFonts w:ascii="Palatino Linotype" w:eastAsia="Times New Roman" w:hAnsi="Palatino Linotype" w:cs="Arial"/>
          <w:b/>
          <w:i/>
          <w:lang w:eastAsia="es-ES"/>
        </w:rPr>
        <w:t xml:space="preserve"> [Sic] </w:t>
      </w:r>
    </w:p>
    <w:p w14:paraId="2A73B532" w14:textId="77777777" w:rsidR="00CD0993" w:rsidRPr="00AF17B1" w:rsidRDefault="00CD0993" w:rsidP="00CD0993">
      <w:pPr>
        <w:spacing w:after="0" w:line="360" w:lineRule="auto"/>
        <w:jc w:val="both"/>
        <w:rPr>
          <w:rFonts w:ascii="Palatino Linotype" w:eastAsia="Times New Roman" w:hAnsi="Palatino Linotype" w:cs="Arial"/>
          <w:b/>
          <w:i/>
          <w:sz w:val="24"/>
          <w:szCs w:val="24"/>
          <w:lang w:eastAsia="es-ES"/>
        </w:rPr>
      </w:pPr>
    </w:p>
    <w:p w14:paraId="33FAFAE2" w14:textId="77777777" w:rsidR="00CD0993" w:rsidRPr="00AF17B1" w:rsidRDefault="00CD0993" w:rsidP="00CD0993">
      <w:pPr>
        <w:spacing w:after="0" w:line="360" w:lineRule="auto"/>
        <w:jc w:val="both"/>
        <w:rPr>
          <w:rFonts w:ascii="Palatino Linotype" w:hAnsi="Palatino Linotype" w:cs="Arial"/>
          <w:sz w:val="24"/>
          <w:szCs w:val="24"/>
          <w:lang w:eastAsia="es-ES"/>
        </w:rPr>
      </w:pPr>
      <w:r w:rsidRPr="00AF17B1">
        <w:rPr>
          <w:rFonts w:ascii="Palatino Linotype" w:hAnsi="Palatino Linotype" w:cs="Segoe UI"/>
          <w:sz w:val="24"/>
          <w:szCs w:val="24"/>
          <w:lang w:eastAsia="es-ES"/>
        </w:rPr>
        <w:lastRenderedPageBreak/>
        <w:t xml:space="preserve">Cabe señalar que </w:t>
      </w:r>
      <w:r w:rsidRPr="00AF17B1">
        <w:rPr>
          <w:rFonts w:ascii="Palatino Linotype" w:hAnsi="Palatino Linotype" w:cs="Segoe UI"/>
          <w:b/>
          <w:sz w:val="24"/>
          <w:szCs w:val="24"/>
          <w:lang w:eastAsia="es-ES"/>
        </w:rPr>
        <w:t>El Recurrente</w:t>
      </w:r>
      <w:r w:rsidRPr="00AF17B1">
        <w:rPr>
          <w:rFonts w:ascii="Palatino Linotype" w:hAnsi="Palatino Linotype" w:cs="Segoe UI"/>
          <w:sz w:val="24"/>
          <w:szCs w:val="24"/>
          <w:lang w:eastAsia="es-ES"/>
        </w:rPr>
        <w:t xml:space="preserve"> ejerció de manera anónima su derecho de acceso a la información pública</w:t>
      </w:r>
      <w:r w:rsidRPr="00AF17B1">
        <w:rPr>
          <w:rFonts w:ascii="Palatino Linotype" w:hAnsi="Palatino Linotype" w:cs="Times New Roman"/>
          <w:sz w:val="24"/>
          <w:szCs w:val="24"/>
          <w:lang w:eastAsia="es-ES"/>
        </w:rPr>
        <w:t xml:space="preserve">, sin embargo, no es motivo para desechar las </w:t>
      </w:r>
      <w:r w:rsidRPr="00AF17B1">
        <w:rPr>
          <w:rFonts w:ascii="Palatino Linotype" w:hAnsi="Palatino Linotype" w:cs="Arial"/>
          <w:sz w:val="24"/>
          <w:szCs w:val="24"/>
          <w:lang w:eastAsia="es-ES"/>
        </w:rPr>
        <w:t>solicitudes de acceso a la información pública conforme a lo previsto en el artículo 155, penúltimo párrafo de la Ley de Transparencia y Acceso a la Información Pública del Estado de México y Municipios que señala lo siguiente:</w:t>
      </w:r>
    </w:p>
    <w:p w14:paraId="3E778106" w14:textId="77777777" w:rsidR="00CD0993" w:rsidRPr="00AF17B1" w:rsidRDefault="00CD0993" w:rsidP="00CD0993">
      <w:pPr>
        <w:spacing w:before="240" w:line="360" w:lineRule="auto"/>
        <w:ind w:left="851" w:right="851"/>
        <w:jc w:val="both"/>
        <w:rPr>
          <w:rFonts w:ascii="Palatino Linotype" w:hAnsi="Palatino Linotype" w:cs="Arial"/>
          <w:b/>
          <w:i/>
          <w:lang w:eastAsia="es-ES"/>
        </w:rPr>
      </w:pPr>
      <w:r w:rsidRPr="00AF17B1">
        <w:rPr>
          <w:rFonts w:ascii="Palatino Linotype" w:hAnsi="Palatino Linotype" w:cs="Arial"/>
          <w:i/>
          <w:lang w:eastAsia="es-ES"/>
        </w:rPr>
        <w:t xml:space="preserve">“Las solicitudes anónimas, con nombre incompleto o seudónimo serán procedentes para su trámite por parte del sujeto obligado ante quien se presente. No podrá requerirse información adicional con motivo del nombre proporcionado por el solicitante.” </w:t>
      </w:r>
      <w:r w:rsidRPr="00AF17B1">
        <w:rPr>
          <w:rFonts w:ascii="Palatino Linotype" w:hAnsi="Palatino Linotype" w:cs="Arial"/>
          <w:b/>
          <w:i/>
          <w:lang w:eastAsia="es-ES"/>
        </w:rPr>
        <w:t>[Sic]</w:t>
      </w:r>
    </w:p>
    <w:p w14:paraId="099DA39E" w14:textId="77777777" w:rsidR="00CD0993" w:rsidRPr="00AF17B1" w:rsidRDefault="00CD0993" w:rsidP="00CD0993">
      <w:pPr>
        <w:spacing w:before="240" w:line="360" w:lineRule="auto"/>
        <w:ind w:left="851" w:right="851"/>
        <w:jc w:val="both"/>
        <w:rPr>
          <w:rFonts w:ascii="Palatino Linotype" w:hAnsi="Palatino Linotype" w:cs="Arial"/>
          <w:b/>
          <w:i/>
          <w:lang w:eastAsia="es-ES"/>
        </w:rPr>
      </w:pPr>
    </w:p>
    <w:p w14:paraId="7F9A8F1B" w14:textId="77777777" w:rsidR="00CD0993" w:rsidRPr="00AF17B1" w:rsidRDefault="00CD0993" w:rsidP="00CD0993">
      <w:pPr>
        <w:spacing w:after="0" w:line="360" w:lineRule="auto"/>
        <w:jc w:val="both"/>
        <w:rPr>
          <w:rFonts w:ascii="Palatino Linotype" w:hAnsi="Palatino Linotype" w:cs="Times New Roman"/>
          <w:sz w:val="24"/>
          <w:szCs w:val="24"/>
          <w:lang w:eastAsia="es-ES"/>
        </w:rPr>
      </w:pPr>
      <w:r w:rsidRPr="00AF17B1">
        <w:rPr>
          <w:rFonts w:ascii="Palatino Linotype" w:hAnsi="Palatino Linotype" w:cs="Times New Roman"/>
          <w:sz w:val="24"/>
          <w:szCs w:val="24"/>
          <w:lang w:eastAsia="es-ES"/>
        </w:rPr>
        <w:t xml:space="preserve">Robusteciendo lo anterior se encuentra lo dispuesto en los artículos 6, Apartado A, fracciones III y IV de la Constitución Política de los Estados Unidos Mexicanos y 5 párrafos </w:t>
      </w:r>
      <w:r w:rsidRPr="00AF17B1">
        <w:rPr>
          <w:rFonts w:ascii="Palatino Linotype" w:hAnsi="Palatino Linotype" w:cs="Arial"/>
          <w:sz w:val="24"/>
          <w:szCs w:val="24"/>
          <w:lang w:eastAsia="es-ES"/>
        </w:rPr>
        <w:t>vigésimo, vigésimo primero</w:t>
      </w:r>
      <w:r w:rsidRPr="00AF17B1">
        <w:rPr>
          <w:rFonts w:ascii="Palatino Linotype" w:eastAsia="Times New Roman" w:hAnsi="Palatino Linotype" w:cs="Arial"/>
          <w:sz w:val="24"/>
          <w:szCs w:val="24"/>
          <w:lang w:eastAsia="es-ES"/>
        </w:rPr>
        <w:t xml:space="preserve"> y vigésimo segundo</w:t>
      </w:r>
      <w:r w:rsidRPr="00AF17B1">
        <w:rPr>
          <w:rFonts w:ascii="Palatino Linotype" w:hAnsi="Palatino Linotype" w:cs="Times New Roman"/>
          <w:sz w:val="24"/>
          <w:szCs w:val="24"/>
          <w:lang w:eastAsia="es-ES"/>
        </w:rPr>
        <w:t>, de la Constitución Política del Estado Libre y Soberano de México, se establece lo siguiente:</w:t>
      </w:r>
    </w:p>
    <w:p w14:paraId="6770ED2D" w14:textId="77777777" w:rsidR="00CD0993" w:rsidRPr="00AF17B1" w:rsidRDefault="00CD0993" w:rsidP="00CD0993">
      <w:pPr>
        <w:spacing w:before="240" w:line="360" w:lineRule="auto"/>
        <w:ind w:left="851" w:right="851"/>
        <w:jc w:val="center"/>
        <w:rPr>
          <w:rFonts w:ascii="Palatino Linotype" w:eastAsia="Times New Roman" w:hAnsi="Palatino Linotype" w:cs="Times New Roman"/>
          <w:b/>
          <w:i/>
          <w:u w:val="single"/>
          <w:lang w:eastAsia="es-ES"/>
        </w:rPr>
      </w:pPr>
      <w:r w:rsidRPr="00AF17B1">
        <w:rPr>
          <w:rFonts w:ascii="Palatino Linotype" w:eastAsia="Times New Roman" w:hAnsi="Palatino Linotype" w:cs="Times New Roman"/>
          <w:b/>
          <w:i/>
          <w:u w:val="single"/>
          <w:lang w:eastAsia="es-ES"/>
        </w:rPr>
        <w:t>Constitución Política de los Estados Unidos Mexicanos</w:t>
      </w:r>
    </w:p>
    <w:p w14:paraId="7247C69D"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b/>
          <w:i/>
          <w:lang w:eastAsia="es-ES"/>
        </w:rPr>
        <w:t>“Artículo 6</w:t>
      </w:r>
      <w:r w:rsidRPr="00AF17B1">
        <w:rPr>
          <w:rFonts w:ascii="Palatino Linotype" w:eastAsia="Times New Roman" w:hAnsi="Palatino Linotype" w:cs="Times New Roman"/>
          <w:i/>
          <w:lang w:eastAsia="es-ES"/>
        </w:rPr>
        <w:t>°.- La manifestación de las ideas no será objeto de ninguna inquisición judicial o administrativa, sino en el caso de que ataque a la moral, la vida privada o los derechos de terceros, provoque algún delito, o perturbe el orden público; el derecho de réplica será ejercido en los términos dispuestos por la ley. El derecho a la información será garantizado por el Estado.</w:t>
      </w:r>
    </w:p>
    <w:p w14:paraId="469B6B1F"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w:t>
      </w:r>
    </w:p>
    <w:p w14:paraId="5369684A"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 xml:space="preserve">Para efectos de lo dispuesto en el presente artículo se observará lo siguiente: </w:t>
      </w:r>
    </w:p>
    <w:p w14:paraId="0DD2CB88"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lastRenderedPageBreak/>
        <w:t>A. Para el ejercicio del derecho de acceso a la información, la Federación, los Estados y el Distrito Federal, en el ámbito de sus respectivas competencias, se regirán por los siguientes principios y bases:</w:t>
      </w:r>
    </w:p>
    <w:p w14:paraId="6AD6E26A"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w:t>
      </w:r>
    </w:p>
    <w:p w14:paraId="50B8FDAF"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 xml:space="preserve">III. Toda persona, sin necesidad de acreditar interés alguno o justificar su utilización, tendrá acceso gratuito a la información pública, a sus datos personales o a la rectificación de éstos. </w:t>
      </w:r>
    </w:p>
    <w:p w14:paraId="63E9021B" w14:textId="77777777" w:rsidR="00CD0993" w:rsidRPr="00AF17B1" w:rsidRDefault="00CD0993" w:rsidP="00CD0993">
      <w:pPr>
        <w:spacing w:before="240" w:line="360" w:lineRule="auto"/>
        <w:ind w:left="851" w:right="851"/>
        <w:jc w:val="both"/>
        <w:rPr>
          <w:rFonts w:ascii="Palatino Linotype" w:eastAsia="Times New Roman" w:hAnsi="Palatino Linotype" w:cs="Times New Roman"/>
          <w:b/>
          <w:i/>
          <w:lang w:eastAsia="es-ES"/>
        </w:rPr>
      </w:pPr>
      <w:r w:rsidRPr="00AF17B1">
        <w:rPr>
          <w:rFonts w:ascii="Palatino Linotype" w:eastAsia="Times New Roman" w:hAnsi="Palatino Linotype" w:cs="Times New Roman"/>
          <w:i/>
          <w:lang w:eastAsia="es-ES"/>
        </w:rPr>
        <w:t xml:space="preserve">IV. Se establecerán mecanismos de acceso a la información y procedimientos de revisión expeditos que se sustanciarán ante los organismos autónomos especializados e imparciales que establece esta Constitución.” </w:t>
      </w:r>
      <w:r w:rsidRPr="00AF17B1">
        <w:rPr>
          <w:rFonts w:ascii="Palatino Linotype" w:eastAsia="Times New Roman" w:hAnsi="Palatino Linotype" w:cs="Times New Roman"/>
          <w:b/>
          <w:i/>
          <w:lang w:eastAsia="es-ES"/>
        </w:rPr>
        <w:t>[Sic]</w:t>
      </w:r>
    </w:p>
    <w:p w14:paraId="7D02B659" w14:textId="77777777" w:rsidR="00CD0993" w:rsidRPr="00AF17B1" w:rsidRDefault="00CD0993" w:rsidP="00CD0993">
      <w:pPr>
        <w:spacing w:before="240" w:line="360" w:lineRule="auto"/>
        <w:ind w:left="851" w:right="851"/>
        <w:jc w:val="both"/>
        <w:rPr>
          <w:rFonts w:ascii="Palatino Linotype" w:eastAsia="Times New Roman" w:hAnsi="Palatino Linotype" w:cs="Times New Roman"/>
          <w:b/>
          <w:i/>
          <w:lang w:eastAsia="es-ES"/>
        </w:rPr>
      </w:pPr>
    </w:p>
    <w:p w14:paraId="6C1A6DCA" w14:textId="77777777" w:rsidR="00CD0993" w:rsidRPr="00AF17B1" w:rsidRDefault="00CD0993" w:rsidP="00CD0993">
      <w:pPr>
        <w:spacing w:before="240" w:line="360" w:lineRule="auto"/>
        <w:ind w:left="851" w:right="851"/>
        <w:jc w:val="center"/>
        <w:rPr>
          <w:rFonts w:ascii="Palatino Linotype" w:eastAsia="Times New Roman" w:hAnsi="Palatino Linotype" w:cs="Times New Roman"/>
          <w:b/>
          <w:i/>
          <w:u w:val="single"/>
          <w:lang w:eastAsia="es-ES"/>
        </w:rPr>
      </w:pPr>
      <w:r w:rsidRPr="00AF17B1">
        <w:rPr>
          <w:rFonts w:ascii="Palatino Linotype" w:eastAsia="Times New Roman" w:hAnsi="Palatino Linotype" w:cs="Times New Roman"/>
          <w:b/>
          <w:i/>
          <w:u w:val="single"/>
          <w:lang w:eastAsia="es-ES"/>
        </w:rPr>
        <w:t>Constitución Política del Estado Libre y Soberano de México</w:t>
      </w:r>
    </w:p>
    <w:p w14:paraId="4CF2C928"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w:t>
      </w:r>
      <w:r w:rsidRPr="00AF17B1">
        <w:rPr>
          <w:rFonts w:ascii="Palatino Linotype" w:eastAsia="Times New Roman" w:hAnsi="Palatino Linotype" w:cs="Times New Roman"/>
          <w:b/>
          <w:i/>
          <w:lang w:eastAsia="es-ES"/>
        </w:rPr>
        <w:t>Artículo 5</w:t>
      </w:r>
      <w:r w:rsidRPr="00AF17B1">
        <w:rPr>
          <w:rFonts w:ascii="Palatino Linotype" w:eastAsia="Times New Roman" w:hAnsi="Palatino Linotype" w:cs="Times New Roman"/>
          <w:i/>
          <w:lang w:eastAsia="es-ES"/>
        </w:rPr>
        <w:t>.- En el Estado de México todas las personas gozarán de los derechos humanos reconocidos en la Constitución Política de los Estados Unidos Mexicanos, en los tratados internacionales en los que el Estado mexicano sea parte, en esta Constitución y en las leyes que de ésta emanen, por lo que gozarán de las garantías para su protección, las cuales no podrán restringirse ni suspenderse salvo en los casos y bajo las condiciones que la Constitución Política de los Estados Unidos Mexicanos establece.</w:t>
      </w:r>
    </w:p>
    <w:p w14:paraId="191BD73B"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w:t>
      </w:r>
    </w:p>
    <w:p w14:paraId="5C1CA1C9"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lastRenderedPageBreak/>
        <w:t>Toda persona en el Estado de México, tiene derecho al libre acceso a la información plural y oportuna, así como a buscar recibir y difundir información e ideas de toda índole por cualquier medio de expresión.</w:t>
      </w:r>
    </w:p>
    <w:p w14:paraId="5177946E"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 xml:space="preserve"> (…)</w:t>
      </w:r>
    </w:p>
    <w:p w14:paraId="738615D3"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 xml:space="preserve">El derecho a la información será garantizado por el Estado. La ley establecerá las previsiones que permitan asegurar la protección, el respeto y la difusión de este derecho. </w:t>
      </w:r>
    </w:p>
    <w:p w14:paraId="7A0045FF"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 Este derecho se regirá por los principios y bases siguientes:</w:t>
      </w:r>
    </w:p>
    <w:p w14:paraId="778A3BB3"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w:t>
      </w:r>
    </w:p>
    <w:p w14:paraId="0D2129CE"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III. Toda persona, sin necesidad de acreditar interés alguno o justificar su utilización, tendrá acceso gratuito a la información pública, a sus datos personales o a la rectificación de éstos;</w:t>
      </w:r>
    </w:p>
    <w:p w14:paraId="4C4D8D57"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IV. Se establecerán mecanismos de acceso a la información y procedimientos de revisión expeditos que se sustanciarán ante el organismo autónomo especializado e imparcial que establece esta Constitución.</w:t>
      </w:r>
    </w:p>
    <w:p w14:paraId="563423B6" w14:textId="77777777" w:rsidR="00CD0993" w:rsidRPr="00AF17B1" w:rsidRDefault="00CD0993" w:rsidP="00CD0993">
      <w:pPr>
        <w:spacing w:before="240" w:line="360" w:lineRule="auto"/>
        <w:ind w:left="851" w:right="851"/>
        <w:jc w:val="both"/>
        <w:rPr>
          <w:rFonts w:ascii="Palatino Linotype" w:eastAsia="Times New Roman" w:hAnsi="Palatino Linotype" w:cs="Times New Roman"/>
          <w:i/>
          <w:lang w:eastAsia="es-ES"/>
        </w:rPr>
      </w:pPr>
      <w:r w:rsidRPr="00AF17B1">
        <w:rPr>
          <w:rFonts w:ascii="Palatino Linotype" w:eastAsia="Times New Roman" w:hAnsi="Palatino Linotype" w:cs="Times New Roman"/>
          <w:i/>
          <w:lang w:eastAsia="es-ES"/>
        </w:rPr>
        <w:t>(…)</w:t>
      </w:r>
    </w:p>
    <w:p w14:paraId="294AE68B" w14:textId="77777777" w:rsidR="00CD0993" w:rsidRPr="00AF17B1" w:rsidRDefault="00CD0993" w:rsidP="00CD0993">
      <w:pPr>
        <w:spacing w:before="240" w:line="360" w:lineRule="auto"/>
        <w:ind w:left="851" w:right="851"/>
        <w:jc w:val="both"/>
        <w:rPr>
          <w:rFonts w:ascii="Palatino Linotype" w:eastAsia="Times New Roman" w:hAnsi="Palatino Linotype" w:cs="Times New Roman"/>
          <w:b/>
          <w:i/>
          <w:lang w:eastAsia="es-ES"/>
        </w:rPr>
      </w:pPr>
      <w:r w:rsidRPr="00AF17B1">
        <w:rPr>
          <w:rFonts w:ascii="Palatino Linotype" w:eastAsia="Times New Roman" w:hAnsi="Palatino Linotype" w:cs="Times New Roman"/>
          <w:i/>
          <w:lang w:eastAsia="es-ES"/>
        </w:rPr>
        <w:t xml:space="preserve">VIII. El Estado contará con un organismo autónomo, especializado, imparcial, colegiado, con personalidad jurídica y patrimonio propio, con plena autonomía </w:t>
      </w:r>
      <w:r w:rsidRPr="00AF17B1">
        <w:rPr>
          <w:rFonts w:ascii="Palatino Linotype" w:eastAsia="Times New Roman" w:hAnsi="Palatino Linotype" w:cs="Times New Roman"/>
          <w:i/>
          <w:lang w:eastAsia="es-ES"/>
        </w:rPr>
        <w:lastRenderedPageBreak/>
        <w:t xml:space="preserve">técnica y de gestión, con capacidad para decidir sobre el ejercicio de su presupuesto y determinar su organización interna, responsable de garantizar el cumplimiento del derecho de transparencia, acceso a la información pública y a la protección de datos personales en posesión de los sujetos obligados en los términos que establezca la ley. (…)” </w:t>
      </w:r>
      <w:r w:rsidRPr="00AF17B1">
        <w:rPr>
          <w:rFonts w:ascii="Palatino Linotype" w:eastAsia="Times New Roman" w:hAnsi="Palatino Linotype" w:cs="Times New Roman"/>
          <w:b/>
          <w:i/>
          <w:lang w:eastAsia="es-ES"/>
        </w:rPr>
        <w:t>[Sic]</w:t>
      </w:r>
    </w:p>
    <w:p w14:paraId="52C7B0E3" w14:textId="77777777" w:rsidR="00D43677" w:rsidRDefault="00D43677" w:rsidP="00CD0993">
      <w:pPr>
        <w:spacing w:after="0" w:line="360" w:lineRule="auto"/>
        <w:jc w:val="both"/>
        <w:rPr>
          <w:rFonts w:ascii="Palatino Linotype" w:eastAsia="Times New Roman" w:hAnsi="Palatino Linotype" w:cs="Times New Roman"/>
          <w:sz w:val="24"/>
          <w:szCs w:val="24"/>
          <w:lang w:eastAsia="es-ES"/>
        </w:rPr>
      </w:pPr>
    </w:p>
    <w:p w14:paraId="454B3D7F" w14:textId="778C0C7B" w:rsidR="00CD0993" w:rsidRPr="00AF17B1" w:rsidRDefault="00CD0993" w:rsidP="00CD0993">
      <w:pPr>
        <w:spacing w:after="0" w:line="360" w:lineRule="auto"/>
        <w:jc w:val="both"/>
        <w:rPr>
          <w:rFonts w:ascii="Palatino Linotype" w:eastAsia="Times New Roman" w:hAnsi="Palatino Linotype" w:cs="Times New Roman"/>
          <w:sz w:val="24"/>
          <w:szCs w:val="24"/>
          <w:lang w:eastAsia="es-ES"/>
        </w:rPr>
      </w:pPr>
      <w:r w:rsidRPr="00AF17B1">
        <w:rPr>
          <w:rFonts w:ascii="Palatino Linotype" w:eastAsia="Times New Roman" w:hAnsi="Palatino Linotype" w:cs="Times New Roman"/>
          <w:sz w:val="24"/>
          <w:szCs w:val="24"/>
          <w:lang w:eastAsia="es-ES"/>
        </w:rPr>
        <w:t>Por otra parte, del contenido del artículo 1 de la Constitución Política de los Estados Unidos Mexicanos, se destaca lo siguiente:</w:t>
      </w:r>
    </w:p>
    <w:p w14:paraId="7283008F" w14:textId="77777777" w:rsidR="00CD0993" w:rsidRPr="00AF17B1" w:rsidRDefault="00CD0993" w:rsidP="00CD0993">
      <w:pPr>
        <w:spacing w:before="240" w:line="360" w:lineRule="auto"/>
        <w:ind w:left="851" w:right="851"/>
        <w:jc w:val="both"/>
        <w:rPr>
          <w:rFonts w:ascii="Palatino Linotype" w:hAnsi="Palatino Linotype" w:cs="Times New Roman"/>
          <w:i/>
          <w:lang w:eastAsia="es-ES"/>
        </w:rPr>
      </w:pPr>
      <w:r w:rsidRPr="00AF17B1">
        <w:rPr>
          <w:rFonts w:ascii="Palatino Linotype" w:hAnsi="Palatino Linotype" w:cs="Times New Roman"/>
          <w:i/>
          <w:lang w:eastAsia="es-ES"/>
        </w:rPr>
        <w:t>“</w:t>
      </w:r>
      <w:r w:rsidRPr="00AF17B1">
        <w:rPr>
          <w:rFonts w:ascii="Palatino Linotype" w:hAnsi="Palatino Linotype" w:cs="Times New Roman"/>
          <w:b/>
          <w:i/>
          <w:lang w:eastAsia="es-ES"/>
        </w:rPr>
        <w:t>Artículo 1o</w:t>
      </w:r>
      <w:r w:rsidRPr="00AF17B1">
        <w:rPr>
          <w:rFonts w:ascii="Palatino Linotype" w:hAnsi="Palatino Linotype" w:cs="Times New Roman"/>
          <w:i/>
          <w:lang w:eastAsia="es-ES"/>
        </w:rPr>
        <w:t>. En los Estados Unidos Mexicanos todas las personas gozarán de los derechos humanos reconocidos en esta Constitución y en los tratados internacionales de los que el Estado Mexicano sea parte, así como de las garantías para su protección, cuyo ejercicio no podrá restringirse ni suspenderse, salvo en los casos y bajo las condiciones que esta Constitución establece.</w:t>
      </w:r>
    </w:p>
    <w:p w14:paraId="26B95C78" w14:textId="77777777" w:rsidR="00CD0993" w:rsidRPr="00AF17B1" w:rsidRDefault="00CD0993" w:rsidP="00CD0993">
      <w:pPr>
        <w:spacing w:before="240" w:line="360" w:lineRule="auto"/>
        <w:ind w:left="851" w:right="851"/>
        <w:jc w:val="both"/>
        <w:rPr>
          <w:rFonts w:ascii="Palatino Linotype" w:hAnsi="Palatino Linotype" w:cs="Times New Roman"/>
          <w:i/>
          <w:lang w:eastAsia="es-ES"/>
        </w:rPr>
      </w:pPr>
      <w:r w:rsidRPr="00AF17B1">
        <w:rPr>
          <w:rFonts w:ascii="Palatino Linotype" w:hAnsi="Palatino Linotype" w:cs="Times New Roman"/>
          <w:i/>
          <w:lang w:eastAsia="es-ES"/>
        </w:rPr>
        <w:t>Las normas relativas a los derechos humanos se interpretarán de conformidad con esta Constitución y con los tratados internacionales de la materia favoreciendo en todo tiempo a las personas la protección más amplia.</w:t>
      </w:r>
    </w:p>
    <w:p w14:paraId="301D3E70" w14:textId="77777777" w:rsidR="00CD0993" w:rsidRPr="00AF17B1" w:rsidRDefault="00CD0993" w:rsidP="00CD0993">
      <w:pPr>
        <w:spacing w:before="240" w:line="360" w:lineRule="auto"/>
        <w:ind w:left="851" w:right="851"/>
        <w:jc w:val="both"/>
        <w:rPr>
          <w:rFonts w:ascii="Palatino Linotype" w:hAnsi="Palatino Linotype" w:cs="Times New Roman"/>
          <w:b/>
          <w:i/>
          <w:lang w:eastAsia="es-ES"/>
        </w:rPr>
      </w:pPr>
      <w:r w:rsidRPr="00AF17B1">
        <w:rPr>
          <w:rFonts w:ascii="Palatino Linotype" w:hAnsi="Palatino Linotype" w:cs="Times New Roman"/>
          <w:i/>
          <w:lang w:eastAsia="es-ES"/>
        </w:rPr>
        <w:t xml:space="preserve">Todas las 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 </w:t>
      </w:r>
      <w:r w:rsidRPr="00AF17B1">
        <w:rPr>
          <w:rFonts w:ascii="Palatino Linotype" w:hAnsi="Palatino Linotype" w:cs="Times New Roman"/>
          <w:b/>
          <w:i/>
          <w:lang w:eastAsia="es-ES"/>
        </w:rPr>
        <w:t>[Sic]</w:t>
      </w:r>
    </w:p>
    <w:p w14:paraId="6CF1162B" w14:textId="2C6D1EB1" w:rsidR="00CD0993" w:rsidRDefault="00CD0993" w:rsidP="00CD0993">
      <w:pPr>
        <w:tabs>
          <w:tab w:val="left" w:pos="709"/>
        </w:tabs>
        <w:spacing w:before="240" w:line="360" w:lineRule="auto"/>
        <w:ind w:right="51"/>
        <w:jc w:val="both"/>
        <w:rPr>
          <w:rFonts w:ascii="Palatino Linotype" w:hAnsi="Palatino Linotype"/>
          <w:b/>
          <w:sz w:val="28"/>
          <w:szCs w:val="28"/>
        </w:rPr>
      </w:pPr>
      <w:r w:rsidRPr="00AF17B1">
        <w:rPr>
          <w:rFonts w:ascii="Palatino Linotype" w:eastAsia="Times New Roman" w:hAnsi="Palatino Linotype" w:cs="Times New Roman"/>
          <w:sz w:val="24"/>
          <w:szCs w:val="24"/>
          <w:lang w:eastAsia="es-ES"/>
        </w:rPr>
        <w:t xml:space="preserve">Por lo cual, de una interpretación sistemática, conforme y progresiva del derecho humano de acceso a la información pública se aprecia que toda persona, sin necesidad </w:t>
      </w:r>
      <w:r w:rsidRPr="00AF17B1">
        <w:rPr>
          <w:rFonts w:ascii="Palatino Linotype" w:eastAsia="Times New Roman" w:hAnsi="Palatino Linotype" w:cs="Times New Roman"/>
          <w:sz w:val="24"/>
          <w:szCs w:val="24"/>
          <w:lang w:eastAsia="es-ES"/>
        </w:rPr>
        <w:lastRenderedPageBreak/>
        <w:t xml:space="preserve">de acreditar interés alguno o justificar su utilización, deberá tener acceso a la información pública, es decir, dicho derecho fundamental exime a quien lo ejerce, de acreditar su legitimación en la causa o su interés en el asunto, lo que permite la posibilidad de que, </w:t>
      </w:r>
      <w:r w:rsidRPr="00AF17B1">
        <w:rPr>
          <w:rFonts w:ascii="Palatino Linotype" w:eastAsia="Times New Roman" w:hAnsi="Palatino Linotype" w:cs="Times New Roman"/>
          <w:b/>
          <w:sz w:val="24"/>
          <w:szCs w:val="24"/>
          <w:u w:val="single"/>
          <w:lang w:eastAsia="es-ES"/>
        </w:rPr>
        <w:t>incluso, la solicitud de acceso a la información pueda ser anónima</w:t>
      </w:r>
      <w:r w:rsidRPr="00AF17B1">
        <w:rPr>
          <w:rFonts w:ascii="Palatino Linotype" w:eastAsia="Times New Roman" w:hAnsi="Palatino Linotype" w:cs="Times New Roman"/>
          <w:sz w:val="24"/>
          <w:szCs w:val="24"/>
          <w:lang w:eastAsia="es-ES"/>
        </w:rPr>
        <w:t xml:space="preserve"> o no contener un nombre que identifique al solicitante o que permita tener certeza sobre su identidad. </w:t>
      </w:r>
      <w:r w:rsidRPr="00AF17B1">
        <w:rPr>
          <w:rFonts w:ascii="Palatino Linotype" w:hAnsi="Palatino Linotype" w:cs="Arial"/>
          <w:sz w:val="24"/>
          <w:szCs w:val="24"/>
        </w:rPr>
        <w:t>En conclusión, se cubrieron los requisitos de procedencia y procedibilidad y conforme a las constancias que obran en el expediente.</w:t>
      </w:r>
    </w:p>
    <w:p w14:paraId="77EC5466" w14:textId="77777777" w:rsidR="00CD0993" w:rsidRDefault="00CD0993" w:rsidP="00CD0993">
      <w:pPr>
        <w:tabs>
          <w:tab w:val="left" w:pos="709"/>
        </w:tabs>
        <w:spacing w:before="240" w:line="360" w:lineRule="auto"/>
        <w:ind w:right="51"/>
        <w:jc w:val="both"/>
        <w:rPr>
          <w:rFonts w:ascii="Palatino Linotype" w:hAnsi="Palatino Linotype"/>
          <w:b/>
          <w:sz w:val="28"/>
          <w:szCs w:val="28"/>
        </w:rPr>
      </w:pPr>
    </w:p>
    <w:p w14:paraId="406EB2BC" w14:textId="77777777" w:rsidR="00CD0993" w:rsidRPr="009A0D0A" w:rsidRDefault="00CD0993" w:rsidP="00CD0993">
      <w:pPr>
        <w:tabs>
          <w:tab w:val="left" w:pos="709"/>
        </w:tabs>
        <w:spacing w:before="240" w:line="360" w:lineRule="auto"/>
        <w:ind w:right="51"/>
        <w:jc w:val="both"/>
        <w:rPr>
          <w:rFonts w:ascii="Palatino Linotype" w:hAnsi="Palatino Linotype"/>
          <w:b/>
          <w:sz w:val="28"/>
          <w:szCs w:val="28"/>
        </w:rPr>
      </w:pPr>
      <w:r w:rsidRPr="007D15EF">
        <w:rPr>
          <w:rFonts w:ascii="Palatino Linotype" w:hAnsi="Palatino Linotype"/>
          <w:b/>
          <w:sz w:val="28"/>
          <w:szCs w:val="28"/>
        </w:rPr>
        <w:t>CUARTO. Estudio y resolución del asunto</w:t>
      </w:r>
      <w:r w:rsidRPr="009A0D0A">
        <w:rPr>
          <w:rFonts w:ascii="Palatino Linotype" w:hAnsi="Palatino Linotype"/>
          <w:b/>
          <w:sz w:val="28"/>
          <w:szCs w:val="28"/>
        </w:rPr>
        <w:t xml:space="preserve"> </w:t>
      </w:r>
      <w:r>
        <w:rPr>
          <w:rFonts w:ascii="Palatino Linotype" w:hAnsi="Palatino Linotype"/>
          <w:b/>
          <w:sz w:val="28"/>
          <w:szCs w:val="28"/>
        </w:rPr>
        <w:tab/>
      </w:r>
    </w:p>
    <w:p w14:paraId="71CB9C81" w14:textId="77777777" w:rsidR="00CD0993" w:rsidRDefault="00CD0993" w:rsidP="00CD0993">
      <w:pPr>
        <w:pStyle w:val="Prrafodelista"/>
        <w:autoSpaceDE w:val="0"/>
        <w:autoSpaceDN w:val="0"/>
        <w:adjustRightInd w:val="0"/>
        <w:spacing w:before="240" w:after="160" w:line="360" w:lineRule="auto"/>
        <w:ind w:left="0"/>
        <w:jc w:val="both"/>
        <w:rPr>
          <w:rFonts w:ascii="Palatino Linotype" w:hAnsi="Palatino Linotype" w:cs="Arial"/>
        </w:rPr>
      </w:pPr>
      <w:r>
        <w:rPr>
          <w:rFonts w:ascii="Palatino Linotype" w:hAnsi="Palatino Linotype" w:cs="Arial"/>
        </w:rPr>
        <w:t>El</w:t>
      </w:r>
      <w:r w:rsidRPr="00E42C3F">
        <w:rPr>
          <w:rFonts w:ascii="Palatino Linotype" w:hAnsi="Palatino Linotype" w:cs="Arial"/>
        </w:rPr>
        <w:t xml:space="preserve"> </w:t>
      </w:r>
      <w:r>
        <w:rPr>
          <w:rFonts w:ascii="Palatino Linotype" w:hAnsi="Palatino Linotype" w:cs="Arial"/>
        </w:rPr>
        <w:t xml:space="preserve">análisis del </w:t>
      </w:r>
      <w:r w:rsidRPr="00E42C3F">
        <w:rPr>
          <w:rFonts w:ascii="Palatino Linotype" w:hAnsi="Palatino Linotype" w:cs="Arial"/>
        </w:rPr>
        <w:t xml:space="preserve"> presente recurso, </w:t>
      </w:r>
      <w:r>
        <w:rPr>
          <w:rFonts w:ascii="Palatino Linotype" w:hAnsi="Palatino Linotype" w:cs="Arial"/>
        </w:rPr>
        <w:t>se basará en e</w:t>
      </w:r>
      <w:r w:rsidRPr="00E42C3F">
        <w:rPr>
          <w:rFonts w:ascii="Palatino Linotype" w:hAnsi="Palatino Linotype" w:cs="Arial"/>
        </w:rPr>
        <w:t xml:space="preserve">l contenido íntegro </w:t>
      </w:r>
      <w:r>
        <w:rPr>
          <w:rFonts w:ascii="Palatino Linotype" w:hAnsi="Palatino Linotype" w:cs="Arial"/>
        </w:rPr>
        <w:t>de las actuaciones que obran en el expediente electrónico,</w:t>
      </w:r>
      <w:r w:rsidRPr="00E42C3F">
        <w:rPr>
          <w:rFonts w:ascii="Palatino Linotype" w:hAnsi="Palatino Linotype" w:cs="Arial"/>
        </w:rPr>
        <w:t xml:space="preserve"> para así estar en posibilidad este Órgano Colegiado de dictar el fallo cor</w:t>
      </w:r>
      <w:r>
        <w:rPr>
          <w:rFonts w:ascii="Palatino Linotype" w:hAnsi="Palatino Linotype" w:cs="Arial"/>
        </w:rPr>
        <w:t xml:space="preserve">respondiente conforme a derecho, tomando en consideración los elementos aportados por las partes </w:t>
      </w:r>
      <w:r w:rsidRPr="00E42C3F">
        <w:rPr>
          <w:rFonts w:ascii="Palatino Linotype" w:hAnsi="Palatino Linotype" w:cs="Arial"/>
        </w:rPr>
        <w:t xml:space="preserve">y </w:t>
      </w:r>
      <w:r>
        <w:rPr>
          <w:rFonts w:ascii="Palatino Linotype" w:hAnsi="Palatino Linotype" w:cs="Arial"/>
        </w:rPr>
        <w:t>respetando</w:t>
      </w:r>
      <w:r w:rsidRPr="00E42C3F">
        <w:rPr>
          <w:rFonts w:ascii="Palatino Linotype" w:hAnsi="Palatino Linotype" w:cs="Arial"/>
        </w:rPr>
        <w:t xml:space="preserve"> en todo momento </w:t>
      </w:r>
      <w:r w:rsidRPr="008C0974">
        <w:rPr>
          <w:rFonts w:ascii="Palatino Linotype" w:hAnsi="Palatino Linotype" w:cs="Arial"/>
        </w:rPr>
        <w:t xml:space="preserve">al principio de máxima publicidad consagrado en nuestra Constitución Federal, Local </w:t>
      </w:r>
      <w:r w:rsidRPr="00AE4E9C">
        <w:rPr>
          <w:rFonts w:ascii="Palatino Linotype" w:hAnsi="Palatino Linotype" w:cs="Arial"/>
        </w:rPr>
        <w:t xml:space="preserve">y demás leyes aplicables en la materia, así como en los tratados internacionales en los </w:t>
      </w:r>
      <w:r>
        <w:rPr>
          <w:rFonts w:ascii="Palatino Linotype" w:hAnsi="Palatino Linotype" w:cs="Arial"/>
        </w:rPr>
        <w:t>q</w:t>
      </w:r>
      <w:r w:rsidRPr="00AE4E9C">
        <w:rPr>
          <w:rFonts w:ascii="Palatino Linotype" w:hAnsi="Palatino Linotype" w:cs="Arial"/>
        </w:rPr>
        <w:t>ue el Estado Mexicano sea parte, en concordancia con el párrafo tercero del artículo 1 de la Constitución Federal y el diverso 8 de la Ley de Transparencia local.</w:t>
      </w:r>
      <w:r>
        <w:rPr>
          <w:rFonts w:ascii="Palatino Linotype" w:hAnsi="Palatino Linotype" w:cs="Arial"/>
        </w:rPr>
        <w:t xml:space="preserve"> </w:t>
      </w:r>
    </w:p>
    <w:p w14:paraId="2B3FE246" w14:textId="77777777" w:rsidR="00CD0993" w:rsidRPr="002869E1" w:rsidRDefault="00CD0993" w:rsidP="00CD0993">
      <w:pPr>
        <w:spacing w:after="0" w:line="360" w:lineRule="auto"/>
        <w:jc w:val="both"/>
        <w:rPr>
          <w:rFonts w:ascii="Palatino Linotype" w:eastAsia="Times New Roman" w:hAnsi="Palatino Linotype" w:cs="Times New Roman"/>
          <w:sz w:val="24"/>
          <w:szCs w:val="24"/>
          <w:lang w:eastAsia="es-ES"/>
        </w:rPr>
      </w:pPr>
      <w:r w:rsidRPr="002869E1">
        <w:rPr>
          <w:rFonts w:ascii="Palatino Linotype" w:hAnsi="Palatino Linotype" w:cs="Arial"/>
          <w:sz w:val="24"/>
          <w:szCs w:val="24"/>
        </w:rPr>
        <w:t xml:space="preserve">En este tenor, es necesario subrayar que </w:t>
      </w:r>
      <w:r w:rsidRPr="002869E1">
        <w:rPr>
          <w:rFonts w:ascii="Palatino Linotype" w:eastAsia="Times New Roman" w:hAnsi="Palatino Linotype" w:cs="Times New Roman"/>
          <w:sz w:val="24"/>
          <w:szCs w:val="24"/>
          <w:lang w:eastAsia="es-ES"/>
        </w:rPr>
        <w:t>el derecho de acceso a la información pública implica que cualquier persona conozca la información contenida en los documentos que se encuentren en los archivos de los sujetos obligados, conforme a los artículos 4, 12, 24 último párrafo y 160 de la Ley local en la materia, que a la letra citan:</w:t>
      </w:r>
    </w:p>
    <w:p w14:paraId="4CD85000"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Pr>
          <w:rFonts w:ascii="Palatino Linotype" w:eastAsia="Times New Roman" w:hAnsi="Palatino Linotype" w:cs="Times New Roman"/>
          <w:b/>
          <w:i/>
          <w:lang w:eastAsia="es-ES"/>
        </w:rPr>
        <w:lastRenderedPageBreak/>
        <w:t>“</w:t>
      </w:r>
      <w:r w:rsidRPr="006010FE">
        <w:rPr>
          <w:rFonts w:ascii="Palatino Linotype" w:eastAsia="Times New Roman" w:hAnsi="Palatino Linotype" w:cs="Times New Roman"/>
          <w:b/>
          <w:i/>
          <w:lang w:eastAsia="es-ES"/>
        </w:rPr>
        <w:t>Artículo 4.</w:t>
      </w:r>
      <w:r w:rsidRPr="006010FE">
        <w:rPr>
          <w:rFonts w:ascii="Palatino Linotype" w:eastAsia="Times New Roman" w:hAnsi="Palatino Linotype" w:cs="Times New Roman"/>
          <w:i/>
          <w:lang w:eastAsia="es-ES"/>
        </w:rPr>
        <w:t xml:space="preserve"> El derecho humano de acceso a la información pública es la prerrogativa de las personas para buscar, difundir, investigar, recabar, recibir y solicitar información pública, sin necesidad de acreditar personalidad ni interés jurídico.</w:t>
      </w:r>
    </w:p>
    <w:p w14:paraId="2181EF29"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i/>
          <w:lang w:eastAsia="es-ES"/>
        </w:rPr>
        <w:t>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10C0C599"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i/>
          <w:lang w:eastAsia="es-ES"/>
        </w:rPr>
        <w:t>Los sujetos obligados deben poner en práctica, políticas y programas de acceso a la información que se apeguen a criterios de publicidad, veracidad, oportunidad, precisión y suficiencia en beneficio de los solicitantes.</w:t>
      </w:r>
    </w:p>
    <w:p w14:paraId="4E693FEB"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b/>
          <w:i/>
          <w:lang w:eastAsia="es-ES"/>
        </w:rPr>
        <w:t>Artículo 12.</w:t>
      </w:r>
      <w:r w:rsidRPr="006010FE">
        <w:rPr>
          <w:rFonts w:ascii="Palatino Linotype" w:eastAsia="Times New Roman" w:hAnsi="Palatino Linotype" w:cs="Times New Roman"/>
          <w:i/>
          <w:lang w:eastAsia="es-ES"/>
        </w:rPr>
        <w:t xml:space="preserve"> Quienes generen, recopilen, administren, manejen, procesen, archiven o conserven información pública serán responsables de la misma en los términos de las disposiciones jurídicas aplicables.</w:t>
      </w:r>
    </w:p>
    <w:p w14:paraId="36C60332"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i/>
          <w:lang w:eastAsia="es-ES"/>
        </w:rPr>
        <w:t xml:space="preserve">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 </w:t>
      </w:r>
    </w:p>
    <w:p w14:paraId="6575736C"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i/>
          <w:lang w:eastAsia="es-ES"/>
        </w:rPr>
        <w:t>(…)</w:t>
      </w:r>
    </w:p>
    <w:p w14:paraId="65D9E367" w14:textId="77777777" w:rsidR="00CD0993" w:rsidRPr="006010FE" w:rsidRDefault="00CD0993" w:rsidP="00CD0993">
      <w:pPr>
        <w:spacing w:before="240" w:line="360" w:lineRule="auto"/>
        <w:ind w:left="851" w:right="851"/>
        <w:jc w:val="both"/>
        <w:rPr>
          <w:rFonts w:ascii="Palatino Linotype" w:eastAsia="Times New Roman" w:hAnsi="Palatino Linotype" w:cs="Times New Roman"/>
          <w:b/>
          <w:i/>
          <w:lang w:eastAsia="es-ES"/>
        </w:rPr>
      </w:pPr>
      <w:r w:rsidRPr="006010FE">
        <w:rPr>
          <w:rFonts w:ascii="Palatino Linotype" w:eastAsia="Times New Roman" w:hAnsi="Palatino Linotype" w:cs="Times New Roman"/>
          <w:b/>
          <w:i/>
          <w:lang w:eastAsia="es-ES"/>
        </w:rPr>
        <w:lastRenderedPageBreak/>
        <w:t xml:space="preserve">Artículo 24. </w:t>
      </w:r>
    </w:p>
    <w:p w14:paraId="72F5D935"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i/>
          <w:lang w:eastAsia="es-ES"/>
        </w:rPr>
        <w:t>(…)</w:t>
      </w:r>
    </w:p>
    <w:p w14:paraId="5C9AAA95"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i/>
          <w:lang w:eastAsia="es-ES"/>
        </w:rPr>
        <w:t>Los sujetos obligados solo proporcionarán la información pública que generen, administren o posean en el ejercicio de sus atribuciones.”</w:t>
      </w:r>
    </w:p>
    <w:p w14:paraId="348EF85C"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i/>
          <w:lang w:eastAsia="es-ES"/>
        </w:rPr>
        <w:t>(…)</w:t>
      </w:r>
    </w:p>
    <w:p w14:paraId="6BDAC047" w14:textId="77777777" w:rsidR="00CD0993" w:rsidRPr="006010FE" w:rsidRDefault="00CD0993" w:rsidP="00CD0993">
      <w:pPr>
        <w:spacing w:before="240" w:line="360" w:lineRule="auto"/>
        <w:ind w:left="851" w:right="851"/>
        <w:jc w:val="both"/>
        <w:rPr>
          <w:rFonts w:ascii="Palatino Linotype" w:eastAsia="Times New Roman" w:hAnsi="Palatino Linotype" w:cs="Times New Roman"/>
          <w:i/>
          <w:lang w:eastAsia="es-ES"/>
        </w:rPr>
      </w:pPr>
      <w:r w:rsidRPr="006010FE">
        <w:rPr>
          <w:rFonts w:ascii="Palatino Linotype" w:eastAsia="Times New Roman" w:hAnsi="Palatino Linotype" w:cs="Times New Roman"/>
          <w:b/>
          <w:i/>
          <w:lang w:eastAsia="es-ES"/>
        </w:rPr>
        <w:t>Artículo 160.</w:t>
      </w:r>
      <w:r w:rsidRPr="006010FE">
        <w:rPr>
          <w:rFonts w:ascii="Palatino Linotype" w:eastAsia="Times New Roman" w:hAnsi="Palatino Linotype" w:cs="Times New Roman"/>
          <w:i/>
          <w:lang w:eastAsia="es-ES"/>
        </w:rPr>
        <w:t xml:space="preserve"> Los sujetos obligados deberán otorgar acceso a los documentos que se </w:t>
      </w:r>
      <w:r>
        <w:rPr>
          <w:rFonts w:ascii="Palatino Linotype" w:eastAsia="Times New Roman" w:hAnsi="Palatino Linotype" w:cs="Times New Roman"/>
          <w:b/>
          <w:i/>
          <w:lang w:eastAsia="es-ES"/>
        </w:rPr>
        <w:t xml:space="preserve"> </w:t>
      </w:r>
      <w:r w:rsidRPr="006010FE">
        <w:rPr>
          <w:rFonts w:ascii="Palatino Linotype" w:eastAsia="Times New Roman" w:hAnsi="Palatino Linotype" w:cs="Times New Roman"/>
          <w:i/>
          <w:lang w:eastAsia="es-ES"/>
        </w:rPr>
        <w:t>encuentren en sus archivos o que estén obligados a documentar de acuerdo con sus facultades, competencias o funciones en el formato que el solicitante manifieste, de entre aquellos formatos existentes, conforme a las características físicas de la información o del lugar donde se encuentre así lo permita.</w:t>
      </w:r>
    </w:p>
    <w:p w14:paraId="420F6259" w14:textId="77777777" w:rsidR="00CD0993" w:rsidRDefault="00CD0993" w:rsidP="00CD0993">
      <w:pPr>
        <w:spacing w:before="240" w:line="360" w:lineRule="auto"/>
        <w:ind w:left="851" w:right="851"/>
        <w:jc w:val="both"/>
        <w:rPr>
          <w:rFonts w:ascii="Palatino Linotype" w:eastAsia="Times New Roman" w:hAnsi="Palatino Linotype" w:cs="Times New Roman"/>
          <w:b/>
          <w:i/>
          <w:lang w:eastAsia="es-ES"/>
        </w:rPr>
      </w:pPr>
      <w:r w:rsidRPr="006010FE">
        <w:rPr>
          <w:rFonts w:ascii="Palatino Linotype" w:eastAsia="Times New Roman" w:hAnsi="Palatino Linotype" w:cs="Times New Roman"/>
          <w:i/>
          <w:lang w:eastAsia="es-ES"/>
        </w:rPr>
        <w:t>En caso que la información solicitada consista en bases de datos se deberá privilegiar la entrega de la misma en formatos abiertos.</w:t>
      </w:r>
      <w:r>
        <w:rPr>
          <w:rFonts w:ascii="Palatino Linotype" w:eastAsia="Times New Roman" w:hAnsi="Palatino Linotype" w:cs="Times New Roman"/>
          <w:i/>
          <w:lang w:eastAsia="es-ES"/>
        </w:rPr>
        <w:t>”</w:t>
      </w:r>
      <w:r>
        <w:rPr>
          <w:rFonts w:ascii="Palatino Linotype" w:eastAsia="Times New Roman" w:hAnsi="Palatino Linotype" w:cs="Times New Roman"/>
          <w:b/>
          <w:i/>
          <w:lang w:eastAsia="es-ES"/>
        </w:rPr>
        <w:t>[Sic]</w:t>
      </w:r>
    </w:p>
    <w:p w14:paraId="633CC23A" w14:textId="77777777" w:rsidR="00CD0993" w:rsidRDefault="00CD0993" w:rsidP="00CD0993">
      <w:pPr>
        <w:spacing w:after="0" w:line="360" w:lineRule="auto"/>
        <w:jc w:val="both"/>
        <w:rPr>
          <w:rFonts w:ascii="Palatino Linotype" w:eastAsia="Times New Roman" w:hAnsi="Palatino Linotype" w:cs="Times New Roman"/>
          <w:sz w:val="24"/>
          <w:szCs w:val="24"/>
          <w:lang w:eastAsia="es-ES"/>
        </w:rPr>
      </w:pPr>
    </w:p>
    <w:p w14:paraId="2CF4195E" w14:textId="77777777" w:rsidR="00CD0993" w:rsidRPr="006010FE" w:rsidRDefault="00CD0993" w:rsidP="00CD0993">
      <w:pPr>
        <w:spacing w:after="0" w:line="360" w:lineRule="auto"/>
        <w:jc w:val="both"/>
        <w:rPr>
          <w:rFonts w:ascii="Palatino Linotype" w:eastAsia="Times New Roman" w:hAnsi="Palatino Linotype" w:cs="Times New Roman"/>
          <w:sz w:val="24"/>
          <w:szCs w:val="24"/>
          <w:lang w:eastAsia="es-ES"/>
        </w:rPr>
      </w:pPr>
      <w:r w:rsidRPr="006010FE">
        <w:rPr>
          <w:rFonts w:ascii="Palatino Linotype" w:eastAsia="Times New Roman" w:hAnsi="Palatino Linotype" w:cs="Times New Roman"/>
          <w:sz w:val="24"/>
          <w:szCs w:val="24"/>
          <w:lang w:eastAsia="es-ES"/>
        </w:rPr>
        <w:t>As</w:t>
      </w:r>
      <w:r>
        <w:rPr>
          <w:rFonts w:ascii="Palatino Linotype" w:eastAsia="Times New Roman" w:hAnsi="Palatino Linotype" w:cs="Times New Roman"/>
          <w:sz w:val="24"/>
          <w:szCs w:val="24"/>
          <w:lang w:eastAsia="es-ES"/>
        </w:rPr>
        <w:t xml:space="preserve">í que la obligación de los </w:t>
      </w:r>
      <w:r w:rsidRPr="006E4CCA">
        <w:rPr>
          <w:rFonts w:ascii="Palatino Linotype" w:eastAsia="Times New Roman" w:hAnsi="Palatino Linotype" w:cs="Times New Roman"/>
          <w:b/>
          <w:sz w:val="24"/>
          <w:szCs w:val="24"/>
          <w:lang w:eastAsia="es-ES"/>
        </w:rPr>
        <w:t>Sujetos Obligados</w:t>
      </w:r>
      <w:r w:rsidRPr="006010FE">
        <w:rPr>
          <w:rFonts w:ascii="Palatino Linotype" w:eastAsia="Times New Roman" w:hAnsi="Palatino Linotype" w:cs="Times New Roman"/>
          <w:sz w:val="24"/>
          <w:szCs w:val="24"/>
          <w:lang w:eastAsia="es-ES"/>
        </w:rPr>
        <w:t xml:space="preserve"> de dar acceso a la información pública que generen, administren o posean, se tendrá por cumplida cuando el solicitante tenga a su disposición la información requerida, o cuando realice la consulta de la misma en el lugar que ésta se localice, de acuerdo a lo señalado por el artículo 166 </w:t>
      </w:r>
      <w:r w:rsidRPr="006010FE">
        <w:rPr>
          <w:rFonts w:ascii="Palatino Linotype" w:eastAsia="Times New Roman" w:hAnsi="Palatino Linotype" w:cs="Times New Roman"/>
          <w:bCs/>
          <w:sz w:val="24"/>
          <w:szCs w:val="24"/>
          <w:lang w:eastAsia="es-ES"/>
        </w:rPr>
        <w:t>de la Ley local en la materia, que se reproduce de la siguiente forma</w:t>
      </w:r>
      <w:r w:rsidRPr="006010FE">
        <w:rPr>
          <w:rFonts w:ascii="Palatino Linotype" w:eastAsia="Times New Roman" w:hAnsi="Palatino Linotype" w:cs="Times New Roman"/>
          <w:sz w:val="24"/>
          <w:szCs w:val="24"/>
          <w:lang w:eastAsia="es-ES"/>
        </w:rPr>
        <w:t>:</w:t>
      </w:r>
    </w:p>
    <w:p w14:paraId="2B7DED03" w14:textId="77777777" w:rsidR="00CD0993" w:rsidRDefault="00CD0993" w:rsidP="00CD0993">
      <w:pPr>
        <w:spacing w:before="240" w:line="360" w:lineRule="auto"/>
        <w:ind w:left="851" w:right="851"/>
        <w:jc w:val="both"/>
        <w:rPr>
          <w:rFonts w:ascii="Palatino Linotype" w:eastAsia="Times New Roman" w:hAnsi="Palatino Linotype" w:cs="Arial"/>
          <w:b/>
          <w:i/>
          <w:lang w:eastAsia="es-ES"/>
        </w:rPr>
      </w:pPr>
      <w:r w:rsidRPr="006E4CCA">
        <w:rPr>
          <w:rFonts w:ascii="Palatino Linotype" w:eastAsia="Times New Roman" w:hAnsi="Palatino Linotype" w:cs="Arial"/>
          <w:i/>
          <w:lang w:eastAsia="es-ES"/>
        </w:rPr>
        <w:t xml:space="preserve">“Artículo 166. La obligación de acceso a la información pública se tendrá por cumplida cuando el solicitante tenga a su disposición la información requerida, o cuando realice la consulta de la misma en el lugar en el que ésta se localice.” </w:t>
      </w:r>
      <w:r w:rsidRPr="006E4CCA">
        <w:rPr>
          <w:rFonts w:ascii="Palatino Linotype" w:eastAsia="Times New Roman" w:hAnsi="Palatino Linotype" w:cs="Arial"/>
          <w:b/>
          <w:i/>
          <w:lang w:eastAsia="es-ES"/>
        </w:rPr>
        <w:t>[Sic]</w:t>
      </w:r>
    </w:p>
    <w:p w14:paraId="11E8B8D4" w14:textId="4D1BB457" w:rsidR="007345EA" w:rsidRDefault="00CD0993" w:rsidP="00CD0993">
      <w:pPr>
        <w:spacing w:before="240" w:line="360" w:lineRule="auto"/>
        <w:jc w:val="both"/>
        <w:rPr>
          <w:rFonts w:ascii="Palatino Linotype" w:eastAsia="Calibri" w:hAnsi="Palatino Linotype"/>
          <w:b/>
          <w:color w:val="000000" w:themeColor="text1"/>
          <w:sz w:val="24"/>
          <w:szCs w:val="24"/>
        </w:rPr>
      </w:pPr>
      <w:r w:rsidRPr="008028E9">
        <w:rPr>
          <w:rFonts w:ascii="Palatino Linotype" w:hAnsi="Palatino Linotype" w:cs="Arial"/>
          <w:sz w:val="24"/>
          <w:szCs w:val="24"/>
        </w:rPr>
        <w:lastRenderedPageBreak/>
        <w:t>En una aproximación inicial</w:t>
      </w:r>
      <w:r>
        <w:rPr>
          <w:rFonts w:ascii="Palatino Linotype" w:hAnsi="Palatino Linotype" w:cs="Arial"/>
          <w:sz w:val="24"/>
          <w:szCs w:val="24"/>
        </w:rPr>
        <w:t xml:space="preserve">, con relación a la solicitud de información </w:t>
      </w:r>
      <w:r w:rsidR="00D43677">
        <w:rPr>
          <w:rFonts w:ascii="Palatino Linotype" w:hAnsi="Palatino Linotype" w:cs="Arial"/>
          <w:b/>
          <w:bCs/>
          <w:sz w:val="24"/>
          <w:szCs w:val="24"/>
        </w:rPr>
        <w:t>00436/TOLUCA/IP/2025</w:t>
      </w:r>
      <w:r w:rsidRPr="007C18FC">
        <w:rPr>
          <w:rFonts w:ascii="Palatino Linotype" w:hAnsi="Palatino Linotype" w:cs="Arial"/>
          <w:b/>
          <w:bCs/>
          <w:sz w:val="24"/>
          <w:szCs w:val="24"/>
        </w:rPr>
        <w:t xml:space="preserve"> </w:t>
      </w:r>
      <w:r w:rsidRPr="007C18FC">
        <w:rPr>
          <w:rFonts w:ascii="Palatino Linotype" w:hAnsi="Palatino Linotype" w:cs="Arial"/>
          <w:sz w:val="24"/>
          <w:szCs w:val="24"/>
        </w:rPr>
        <w:t>se desprenden</w:t>
      </w:r>
      <w:r>
        <w:rPr>
          <w:rFonts w:ascii="Palatino Linotype" w:hAnsi="Palatino Linotype" w:cs="Arial"/>
          <w:sz w:val="24"/>
          <w:szCs w:val="24"/>
        </w:rPr>
        <w:t xml:space="preserve"> las siguientes consideraciones:</w:t>
      </w:r>
    </w:p>
    <w:p w14:paraId="46D8CBD8" w14:textId="77777777" w:rsidR="00CD0993" w:rsidRPr="00B7280E" w:rsidRDefault="00CD0993" w:rsidP="007145FB">
      <w:pPr>
        <w:pStyle w:val="Prrafodelista"/>
        <w:numPr>
          <w:ilvl w:val="0"/>
          <w:numId w:val="3"/>
        </w:numPr>
        <w:autoSpaceDE w:val="0"/>
        <w:autoSpaceDN w:val="0"/>
        <w:adjustRightInd w:val="0"/>
        <w:spacing w:before="240" w:line="360" w:lineRule="auto"/>
        <w:jc w:val="both"/>
        <w:rPr>
          <w:rFonts w:ascii="Palatino Linotype" w:hAnsi="Palatino Linotype" w:cs="Arial"/>
        </w:rPr>
      </w:pPr>
      <w:r>
        <w:rPr>
          <w:rFonts w:ascii="Palatino Linotype" w:hAnsi="Palatino Linotype" w:cs="Arial"/>
        </w:rPr>
        <w:t xml:space="preserve">Que el derecho de acceso a la información pública estriba en la prerrogativa de </w:t>
      </w:r>
      <w:r w:rsidRPr="00511C91">
        <w:rPr>
          <w:rFonts w:ascii="Palatino Linotype" w:hAnsi="Palatino Linotype" w:cs="Arial"/>
        </w:rPr>
        <w:t xml:space="preserve">carácter constitucional que reconoce la potestad de los ciudadanos para solicitar soportes documentales generados, poseídos o administrados por los </w:t>
      </w:r>
      <w:r w:rsidRPr="00511C91">
        <w:rPr>
          <w:rFonts w:ascii="Palatino Linotype" w:hAnsi="Palatino Linotype" w:cs="Arial"/>
          <w:b/>
          <w:bCs/>
        </w:rPr>
        <w:t>Sujetos Obligados.</w:t>
      </w:r>
      <w:r>
        <w:rPr>
          <w:rFonts w:ascii="Palatino Linotype" w:hAnsi="Palatino Linotype" w:cs="Arial"/>
          <w:b/>
          <w:bCs/>
        </w:rPr>
        <w:t xml:space="preserve"> </w:t>
      </w:r>
    </w:p>
    <w:p w14:paraId="16FE0507" w14:textId="251F022A" w:rsidR="00D43677" w:rsidRPr="00D43677" w:rsidRDefault="00CD0993" w:rsidP="007145FB">
      <w:pPr>
        <w:pStyle w:val="Prrafodelista"/>
        <w:numPr>
          <w:ilvl w:val="0"/>
          <w:numId w:val="2"/>
        </w:numPr>
        <w:autoSpaceDE w:val="0"/>
        <w:autoSpaceDN w:val="0"/>
        <w:adjustRightInd w:val="0"/>
        <w:spacing w:before="240" w:line="360" w:lineRule="auto"/>
        <w:jc w:val="both"/>
        <w:rPr>
          <w:rFonts w:ascii="Palatino Linotype" w:hAnsi="Palatino Linotype"/>
        </w:rPr>
      </w:pPr>
      <w:r w:rsidRPr="00A238F0">
        <w:rPr>
          <w:rFonts w:ascii="Palatino Linotype" w:hAnsi="Palatino Linotype" w:cs="Arial"/>
        </w:rPr>
        <w:t>Que mediante la solicitud de información</w:t>
      </w:r>
      <w:r w:rsidR="00D43677">
        <w:rPr>
          <w:rFonts w:ascii="Palatino Linotype" w:hAnsi="Palatino Linotype" w:cs="Arial"/>
        </w:rPr>
        <w:t xml:space="preserve"> </w:t>
      </w:r>
      <w:r w:rsidR="00D43677">
        <w:rPr>
          <w:rFonts w:ascii="Palatino Linotype" w:hAnsi="Palatino Linotype" w:cs="Arial"/>
          <w:b/>
          <w:bCs/>
        </w:rPr>
        <w:t xml:space="preserve">00436/TOLUCA/IP/2025 </w:t>
      </w:r>
      <w:r w:rsidR="00D43677">
        <w:rPr>
          <w:rFonts w:ascii="Palatino Linotype" w:hAnsi="Palatino Linotype" w:cs="Arial"/>
        </w:rPr>
        <w:t xml:space="preserve">fueron formulados diversos requerimientos que giran entorno al programa anual para erradicar la violencia de género en el año 2023. </w:t>
      </w:r>
    </w:p>
    <w:p w14:paraId="03A73FF6" w14:textId="61B5BDCE" w:rsidR="00D43677" w:rsidRPr="003A665D" w:rsidRDefault="00D43677" w:rsidP="007145FB">
      <w:pPr>
        <w:pStyle w:val="Prrafodelista"/>
        <w:numPr>
          <w:ilvl w:val="0"/>
          <w:numId w:val="2"/>
        </w:numPr>
        <w:autoSpaceDE w:val="0"/>
        <w:autoSpaceDN w:val="0"/>
        <w:adjustRightInd w:val="0"/>
        <w:spacing w:before="240" w:line="360" w:lineRule="auto"/>
        <w:jc w:val="both"/>
        <w:rPr>
          <w:rFonts w:ascii="Palatino Linotype" w:hAnsi="Palatino Linotype"/>
        </w:rPr>
      </w:pPr>
      <w:r>
        <w:rPr>
          <w:rFonts w:ascii="Palatino Linotype" w:hAnsi="Palatino Linotype" w:cs="Arial"/>
        </w:rPr>
        <w:t xml:space="preserve">Que </w:t>
      </w:r>
      <w:r w:rsidR="005627C1">
        <w:rPr>
          <w:rFonts w:ascii="Palatino Linotype" w:hAnsi="Palatino Linotype" w:cs="Arial"/>
        </w:rPr>
        <w:t xml:space="preserve">con relación a los requerimientos </w:t>
      </w:r>
      <w:r w:rsidR="005627C1">
        <w:rPr>
          <w:rFonts w:ascii="Palatino Linotype" w:hAnsi="Palatino Linotype" w:cs="Arial"/>
          <w:b/>
          <w:bCs/>
        </w:rPr>
        <w:t xml:space="preserve">2, 3 y 4 </w:t>
      </w:r>
      <w:r w:rsidR="005627C1">
        <w:rPr>
          <w:rFonts w:ascii="Palatino Linotype" w:hAnsi="Palatino Linotype" w:cs="Arial"/>
        </w:rPr>
        <w:t xml:space="preserve">se destaca que </w:t>
      </w:r>
      <w:r>
        <w:rPr>
          <w:rFonts w:ascii="Palatino Linotype" w:hAnsi="Palatino Linotype" w:cs="Arial"/>
        </w:rPr>
        <w:t xml:space="preserve">cuando los particulares no identifican </w:t>
      </w:r>
      <w:r w:rsidRPr="003A665D">
        <w:rPr>
          <w:rFonts w:ascii="Palatino Linotype" w:hAnsi="Palatino Linotype" w:cs="Arial"/>
        </w:rPr>
        <w:t xml:space="preserve">de forma precisa el documento requerido, bastará con que </w:t>
      </w:r>
      <w:r w:rsidRPr="003A665D">
        <w:rPr>
          <w:rFonts w:ascii="Palatino Linotype" w:hAnsi="Palatino Linotype"/>
        </w:rPr>
        <w:t xml:space="preserve">se remita cualquiera que refleje la información requerida. Al respecto, cobra relevancia el criterio emitido por el Órgano Garante Nacional con número </w:t>
      </w:r>
      <w:r w:rsidRPr="003A665D">
        <w:rPr>
          <w:rFonts w:ascii="Palatino Linotype" w:hAnsi="Palatino Linotype"/>
          <w:b/>
          <w:bCs/>
        </w:rPr>
        <w:t xml:space="preserve">16/17 </w:t>
      </w:r>
      <w:r w:rsidRPr="003A665D">
        <w:rPr>
          <w:rFonts w:ascii="Palatino Linotype" w:hAnsi="Palatino Linotype"/>
        </w:rPr>
        <w:t>cuyo rubro y texto disponen a la literalidad lo siguiente:</w:t>
      </w:r>
    </w:p>
    <w:p w14:paraId="424D7258" w14:textId="77777777" w:rsidR="00D43677" w:rsidRPr="00AB5B4A" w:rsidRDefault="00D43677" w:rsidP="00D43677">
      <w:pPr>
        <w:pStyle w:val="Citas"/>
        <w:jc w:val="center"/>
        <w:rPr>
          <w:b/>
          <w:bCs/>
          <w:sz w:val="24"/>
          <w:szCs w:val="24"/>
        </w:rPr>
      </w:pPr>
      <w:r w:rsidRPr="00AB5B4A">
        <w:rPr>
          <w:b/>
          <w:bCs/>
          <w:sz w:val="24"/>
          <w:szCs w:val="24"/>
        </w:rPr>
        <w:t>“EXPRESIÓN DOCUMENTAL.</w:t>
      </w:r>
    </w:p>
    <w:p w14:paraId="302879BA" w14:textId="77777777" w:rsidR="00D43677" w:rsidRPr="00AB5B4A" w:rsidRDefault="00D43677" w:rsidP="00D43677">
      <w:pPr>
        <w:pStyle w:val="Citas"/>
        <w:rPr>
          <w:szCs w:val="24"/>
        </w:rPr>
      </w:pPr>
      <w:r w:rsidRPr="00AB5B4A">
        <w:rPr>
          <w:bCs/>
          <w:szCs w:val="24"/>
        </w:rPr>
        <w:t>Cuando</w:t>
      </w:r>
      <w:r w:rsidRPr="00AB5B4A">
        <w:rPr>
          <w:lang w:val="es-ES"/>
        </w:rPr>
        <w:t xml:space="preserve"> los particulares presenten solicitudes de acceso a la información sin identificar de forma precisa la documentación que pudiera contener la información de su interés, </w:t>
      </w:r>
      <w:r w:rsidRPr="00AB5B4A">
        <w:rPr>
          <w:szCs w:val="24"/>
        </w:rPr>
        <w:t>o bien, la solicitud constituya una consulta,</w:t>
      </w:r>
      <w:r w:rsidRPr="00AB5B4A">
        <w:rPr>
          <w:lang w:val="es-ES"/>
        </w:rPr>
        <w:t xml:space="preserve"> pero la respuesta pudiera obrar en algún documento en poder de los sujetos obligados, éstos deben dar a dichas solicitudes una interpretación que les otorgue una expresión documental. </w:t>
      </w:r>
    </w:p>
    <w:p w14:paraId="1BD2B3A8" w14:textId="77777777" w:rsidR="00D43677" w:rsidRPr="00AB5B4A" w:rsidRDefault="00D43677" w:rsidP="00D43677">
      <w:pPr>
        <w:pStyle w:val="Citas"/>
        <w:rPr>
          <w:b/>
        </w:rPr>
      </w:pPr>
      <w:r w:rsidRPr="00AB5B4A">
        <w:rPr>
          <w:b/>
        </w:rPr>
        <w:t>Precedentes:</w:t>
      </w:r>
    </w:p>
    <w:p w14:paraId="7D42FAC3" w14:textId="77777777" w:rsidR="00D43677" w:rsidRPr="00AB5B4A" w:rsidRDefault="00D43677" w:rsidP="007145FB">
      <w:pPr>
        <w:pStyle w:val="Citas"/>
        <w:numPr>
          <w:ilvl w:val="0"/>
          <w:numId w:val="5"/>
        </w:numPr>
        <w:rPr>
          <w:color w:val="000000"/>
        </w:rPr>
      </w:pPr>
      <w:r w:rsidRPr="00AB5B4A">
        <w:lastRenderedPageBreak/>
        <w:t xml:space="preserve">Acceso a la información pública. RRA 0774/16. Sesión del 31 de agosto de 2016. Votación por unanimidad. </w:t>
      </w:r>
      <w:r w:rsidRPr="00AB5B4A">
        <w:rPr>
          <w:rFonts w:eastAsia="Arial"/>
        </w:rPr>
        <w:t>Sin votos disidentes o particulares.</w:t>
      </w:r>
      <w:r w:rsidRPr="00AB5B4A">
        <w:t xml:space="preserve"> Secretaría de Salud. Comisionada Ponente María Patricia </w:t>
      </w:r>
      <w:proofErr w:type="spellStart"/>
      <w:r w:rsidRPr="00AB5B4A">
        <w:t>Kurczyn</w:t>
      </w:r>
      <w:proofErr w:type="spellEnd"/>
      <w:r w:rsidRPr="00AB5B4A">
        <w:t xml:space="preserve"> Villalobos.</w:t>
      </w:r>
    </w:p>
    <w:p w14:paraId="0D9AF6AA" w14:textId="77777777" w:rsidR="00D43677" w:rsidRPr="00AB5B4A" w:rsidRDefault="00D43677" w:rsidP="007145FB">
      <w:pPr>
        <w:pStyle w:val="Citas"/>
        <w:numPr>
          <w:ilvl w:val="0"/>
          <w:numId w:val="5"/>
        </w:numPr>
        <w:rPr>
          <w:color w:val="000000"/>
        </w:rPr>
      </w:pPr>
      <w:r w:rsidRPr="00AB5B4A">
        <w:t xml:space="preserve">Acceso a la información pública. RRA 0143/17. Sesión del 22 de febrero de 2017. Votación por unanimidad. </w:t>
      </w:r>
      <w:r w:rsidRPr="00AB5B4A">
        <w:rPr>
          <w:rFonts w:eastAsia="Arial"/>
        </w:rPr>
        <w:t>Sin votos disidentes o particulares.</w:t>
      </w:r>
      <w:r w:rsidRPr="00AB5B4A">
        <w:t xml:space="preserve"> Universidad Autónoma Agraria Antonio Narro. Comisionado Ponente Oscar Mauricio Guerra Ford. </w:t>
      </w:r>
    </w:p>
    <w:p w14:paraId="0CF599EC" w14:textId="77777777" w:rsidR="00D43677" w:rsidRPr="00AB5B4A" w:rsidRDefault="00D43677" w:rsidP="007145FB">
      <w:pPr>
        <w:pStyle w:val="Citas"/>
        <w:numPr>
          <w:ilvl w:val="0"/>
          <w:numId w:val="5"/>
        </w:numPr>
        <w:rPr>
          <w:color w:val="000000"/>
        </w:rPr>
      </w:pPr>
      <w:r w:rsidRPr="00AB5B4A">
        <w:t xml:space="preserve">Acceso a la información pública. RRA 0540/17. Sesión del 08 de marzo del 2017. Votación por unanimidad. </w:t>
      </w:r>
      <w:r w:rsidRPr="00AB5B4A">
        <w:rPr>
          <w:rFonts w:eastAsia="Arial"/>
        </w:rPr>
        <w:t>Sin votos disidentes o particulares.</w:t>
      </w:r>
      <w:r w:rsidRPr="00AB5B4A">
        <w:t xml:space="preserve"> Secretaría de Economía. Comisionado Ponente Francisco Javier Acuña Llamas. “ </w:t>
      </w:r>
      <w:r w:rsidRPr="00AB5B4A">
        <w:rPr>
          <w:b/>
          <w:bCs/>
        </w:rPr>
        <w:t>(Sic)</w:t>
      </w:r>
    </w:p>
    <w:p w14:paraId="752981A6" w14:textId="451EB51F" w:rsidR="00D43677" w:rsidRDefault="00D43677" w:rsidP="00D43677">
      <w:pPr>
        <w:autoSpaceDE w:val="0"/>
        <w:autoSpaceDN w:val="0"/>
        <w:adjustRightInd w:val="0"/>
        <w:spacing w:before="240" w:line="360" w:lineRule="auto"/>
        <w:jc w:val="both"/>
        <w:rPr>
          <w:rFonts w:ascii="Palatino Linotype" w:hAnsi="Palatino Linotype"/>
        </w:rPr>
      </w:pPr>
    </w:p>
    <w:p w14:paraId="164CAD3F" w14:textId="77777777" w:rsidR="00D43677" w:rsidRPr="0051062B" w:rsidRDefault="00D43677" w:rsidP="00D43677">
      <w:pPr>
        <w:spacing w:before="240" w:line="360" w:lineRule="auto"/>
        <w:jc w:val="both"/>
        <w:rPr>
          <w:rFonts w:ascii="Palatino Linotype" w:hAnsi="Palatino Linotype"/>
          <w:sz w:val="24"/>
          <w:szCs w:val="24"/>
        </w:rPr>
      </w:pPr>
      <w:r w:rsidRPr="00A44FBE">
        <w:rPr>
          <w:rFonts w:ascii="Palatino Linotype" w:hAnsi="Palatino Linotype"/>
          <w:sz w:val="24"/>
          <w:szCs w:val="24"/>
        </w:rPr>
        <w:t xml:space="preserve">Dichas precisiones, con fundamento </w:t>
      </w:r>
      <w:r w:rsidRPr="0051062B">
        <w:rPr>
          <w:rFonts w:ascii="Palatino Linotype" w:hAnsi="Palatino Linotype"/>
          <w:sz w:val="24"/>
          <w:szCs w:val="24"/>
        </w:rPr>
        <w:t xml:space="preserve">en los artículos 13 y 181 cuarto párrafo de la Ley en materia, los cuales a la letra rezan: </w:t>
      </w:r>
    </w:p>
    <w:p w14:paraId="169F1019" w14:textId="77777777" w:rsidR="00D43677" w:rsidRPr="0051062B" w:rsidRDefault="00D43677" w:rsidP="00D43677">
      <w:pPr>
        <w:pStyle w:val="Citas"/>
      </w:pPr>
      <w:r w:rsidRPr="0051062B">
        <w:rPr>
          <w:b/>
          <w:bCs/>
        </w:rPr>
        <w:t xml:space="preserve">“Artículo 13. </w:t>
      </w:r>
      <w:r w:rsidRPr="0051062B">
        <w:t>El Instituto, en el ámbito de sus atribuciones, deberá suplir cualquier deficiencia para garantizar el ejercicio del derecho de acceso a la información.</w:t>
      </w:r>
    </w:p>
    <w:p w14:paraId="6F394A1F" w14:textId="77777777" w:rsidR="00D43677" w:rsidRPr="0051062B" w:rsidRDefault="00D43677" w:rsidP="00D43677">
      <w:pPr>
        <w:pStyle w:val="Citas"/>
        <w:rPr>
          <w:b/>
        </w:rPr>
      </w:pPr>
      <w:r w:rsidRPr="0051062B">
        <w:rPr>
          <w:b/>
        </w:rPr>
        <w:t xml:space="preserve">Artículo 181. … </w:t>
      </w:r>
    </w:p>
    <w:p w14:paraId="03DD8C90" w14:textId="77777777" w:rsidR="00D43677" w:rsidRDefault="00D43677" w:rsidP="00D43677">
      <w:pPr>
        <w:pStyle w:val="Citas"/>
        <w:rPr>
          <w:b/>
        </w:rPr>
      </w:pPr>
      <w:r w:rsidRPr="0051062B">
        <w:t xml:space="preserve">Durante el procedimiento deberá aplicarse la suplencia de la queja a favor del recurrente, sin cambiar los hechos expuestos, asegurándose de que las partes puedan presentar, de manera oral o escrita, los argumentos que funden y motiven sus pretensiones.” </w:t>
      </w:r>
      <w:r w:rsidRPr="0051062B">
        <w:rPr>
          <w:b/>
        </w:rPr>
        <w:t>[Sic]</w:t>
      </w:r>
    </w:p>
    <w:p w14:paraId="1B46C4BF" w14:textId="77777777" w:rsidR="00D43677" w:rsidRDefault="00D43677" w:rsidP="00D43677">
      <w:pPr>
        <w:spacing w:before="240" w:line="360" w:lineRule="auto"/>
        <w:jc w:val="both"/>
        <w:rPr>
          <w:rFonts w:ascii="Palatino Linotype" w:hAnsi="Palatino Linotype"/>
          <w:sz w:val="24"/>
          <w:szCs w:val="24"/>
        </w:rPr>
      </w:pPr>
      <w:r>
        <w:rPr>
          <w:rFonts w:ascii="Palatino Linotype" w:hAnsi="Palatino Linotype"/>
          <w:sz w:val="24"/>
          <w:szCs w:val="24"/>
        </w:rPr>
        <w:lastRenderedPageBreak/>
        <w:t xml:space="preserve">Bajo estas líneas argumentativas, al retomar y delimitar los requerimientos formulados por el ahora </w:t>
      </w:r>
      <w:r>
        <w:rPr>
          <w:rFonts w:ascii="Palatino Linotype" w:hAnsi="Palatino Linotype"/>
          <w:b/>
          <w:bCs/>
          <w:sz w:val="24"/>
          <w:szCs w:val="24"/>
        </w:rPr>
        <w:t xml:space="preserve">Recurrente, </w:t>
      </w:r>
      <w:r>
        <w:rPr>
          <w:rFonts w:ascii="Palatino Linotype" w:hAnsi="Palatino Linotype"/>
          <w:sz w:val="24"/>
          <w:szCs w:val="24"/>
        </w:rPr>
        <w:t xml:space="preserve">de manera objetiva se precisa que versa en conocer, a través del </w:t>
      </w:r>
      <w:r>
        <w:rPr>
          <w:rFonts w:ascii="Palatino Linotype" w:hAnsi="Palatino Linotype"/>
          <w:b/>
          <w:bCs/>
          <w:sz w:val="24"/>
          <w:szCs w:val="24"/>
        </w:rPr>
        <w:t xml:space="preserve">SAIMEX, </w:t>
      </w:r>
      <w:r>
        <w:rPr>
          <w:rFonts w:ascii="Palatino Linotype" w:hAnsi="Palatino Linotype"/>
          <w:sz w:val="24"/>
          <w:szCs w:val="24"/>
        </w:rPr>
        <w:t>la siguiente información:</w:t>
      </w:r>
    </w:p>
    <w:p w14:paraId="2D6EE954" w14:textId="0D99E632" w:rsidR="00D43677" w:rsidRDefault="00664459" w:rsidP="007145FB">
      <w:pPr>
        <w:pStyle w:val="Prrafodelista"/>
        <w:numPr>
          <w:ilvl w:val="0"/>
          <w:numId w:val="6"/>
        </w:numPr>
        <w:autoSpaceDE w:val="0"/>
        <w:autoSpaceDN w:val="0"/>
        <w:adjustRightInd w:val="0"/>
        <w:spacing w:before="240" w:line="360" w:lineRule="auto"/>
        <w:jc w:val="both"/>
        <w:rPr>
          <w:rFonts w:ascii="Palatino Linotype" w:hAnsi="Palatino Linotype"/>
        </w:rPr>
      </w:pPr>
      <w:r>
        <w:rPr>
          <w:rFonts w:ascii="Palatino Linotype" w:hAnsi="Palatino Linotype"/>
        </w:rPr>
        <w:t xml:space="preserve">Programa para erradicar la violencia de género correspondiente al año 2023. </w:t>
      </w:r>
    </w:p>
    <w:p w14:paraId="5AF9BEFE" w14:textId="7A3ACADF" w:rsidR="00664459" w:rsidRDefault="00664459" w:rsidP="007145FB">
      <w:pPr>
        <w:pStyle w:val="Prrafodelista"/>
        <w:numPr>
          <w:ilvl w:val="0"/>
          <w:numId w:val="6"/>
        </w:numPr>
        <w:autoSpaceDE w:val="0"/>
        <w:autoSpaceDN w:val="0"/>
        <w:adjustRightInd w:val="0"/>
        <w:spacing w:before="240" w:line="360" w:lineRule="auto"/>
        <w:jc w:val="both"/>
        <w:rPr>
          <w:rFonts w:ascii="Palatino Linotype" w:hAnsi="Palatino Linotype"/>
        </w:rPr>
      </w:pPr>
      <w:r>
        <w:rPr>
          <w:rFonts w:ascii="Palatino Linotype" w:hAnsi="Palatino Linotype"/>
        </w:rPr>
        <w:t xml:space="preserve">El o los documentos donde consten los resultados obtenidos derivados del programa para erradicar la violencia de género correspondiente al año 2023. </w:t>
      </w:r>
    </w:p>
    <w:p w14:paraId="74CB00F7" w14:textId="7A20204B" w:rsidR="00664459" w:rsidRDefault="00664459" w:rsidP="007145FB">
      <w:pPr>
        <w:pStyle w:val="Prrafodelista"/>
        <w:numPr>
          <w:ilvl w:val="0"/>
          <w:numId w:val="6"/>
        </w:numPr>
        <w:autoSpaceDE w:val="0"/>
        <w:autoSpaceDN w:val="0"/>
        <w:adjustRightInd w:val="0"/>
        <w:spacing w:before="240" w:line="360" w:lineRule="auto"/>
        <w:jc w:val="both"/>
        <w:rPr>
          <w:rFonts w:ascii="Palatino Linotype" w:hAnsi="Palatino Linotype"/>
        </w:rPr>
      </w:pPr>
      <w:r>
        <w:rPr>
          <w:rFonts w:ascii="Palatino Linotype" w:hAnsi="Palatino Linotype"/>
        </w:rPr>
        <w:t xml:space="preserve">El o los documentos donde conste el presupuesto municipal asignado y ejercido para erradicar la violencia de género, correspondiente al año 2023. </w:t>
      </w:r>
    </w:p>
    <w:p w14:paraId="780C7F3D" w14:textId="6D20E503" w:rsidR="00664459" w:rsidRDefault="00664459" w:rsidP="007145FB">
      <w:pPr>
        <w:pStyle w:val="Prrafodelista"/>
        <w:numPr>
          <w:ilvl w:val="0"/>
          <w:numId w:val="6"/>
        </w:numPr>
        <w:autoSpaceDE w:val="0"/>
        <w:autoSpaceDN w:val="0"/>
        <w:adjustRightInd w:val="0"/>
        <w:spacing w:before="240" w:line="360" w:lineRule="auto"/>
        <w:jc w:val="both"/>
        <w:rPr>
          <w:rFonts w:ascii="Palatino Linotype" w:hAnsi="Palatino Linotype"/>
        </w:rPr>
      </w:pPr>
      <w:r>
        <w:rPr>
          <w:rFonts w:ascii="Palatino Linotype" w:hAnsi="Palatino Linotype"/>
        </w:rPr>
        <w:t xml:space="preserve">El o los documentos donde conste el presupuesto estatal recibido para erradicar la violencia de género, y como se gastó, correspondiente al año 2023. </w:t>
      </w:r>
    </w:p>
    <w:p w14:paraId="40B545C9" w14:textId="77777777" w:rsidR="00664459" w:rsidRDefault="00664459" w:rsidP="00CD0993">
      <w:pPr>
        <w:spacing w:before="240" w:line="360" w:lineRule="auto"/>
        <w:jc w:val="both"/>
        <w:rPr>
          <w:rFonts w:ascii="Palatino Linotype" w:hAnsi="Palatino Linotype"/>
          <w:sz w:val="24"/>
          <w:szCs w:val="24"/>
        </w:rPr>
      </w:pPr>
    </w:p>
    <w:p w14:paraId="3EDD1645" w14:textId="21FEA2B9" w:rsidR="00CD0993" w:rsidRPr="0051062B" w:rsidRDefault="00CD0993" w:rsidP="00CD0993">
      <w:pPr>
        <w:spacing w:before="240" w:line="360" w:lineRule="auto"/>
        <w:jc w:val="both"/>
        <w:rPr>
          <w:rFonts w:ascii="Palatino Linotype" w:hAnsi="Palatino Linotype"/>
          <w:sz w:val="24"/>
          <w:szCs w:val="24"/>
        </w:rPr>
      </w:pPr>
      <w:r>
        <w:rPr>
          <w:rFonts w:ascii="Palatino Linotype" w:hAnsi="Palatino Linotype"/>
          <w:sz w:val="24"/>
          <w:szCs w:val="24"/>
        </w:rPr>
        <w:t>D</w:t>
      </w:r>
      <w:r w:rsidRPr="00A44FBE">
        <w:rPr>
          <w:rFonts w:ascii="Palatino Linotype" w:hAnsi="Palatino Linotype"/>
          <w:sz w:val="24"/>
          <w:szCs w:val="24"/>
        </w:rPr>
        <w:t xml:space="preserve">ichas precisiones, con fundamento </w:t>
      </w:r>
      <w:r w:rsidRPr="0051062B">
        <w:rPr>
          <w:rFonts w:ascii="Palatino Linotype" w:hAnsi="Palatino Linotype"/>
          <w:sz w:val="24"/>
          <w:szCs w:val="24"/>
        </w:rPr>
        <w:t xml:space="preserve">en los artículos 13 y 181 cuarto párrafo de la Ley en materia, los cuales a la letra rezan: </w:t>
      </w:r>
    </w:p>
    <w:p w14:paraId="42AC191A" w14:textId="77777777" w:rsidR="00CD0993" w:rsidRPr="0051062B" w:rsidRDefault="00CD0993" w:rsidP="00CD0993">
      <w:pPr>
        <w:pStyle w:val="Citas"/>
      </w:pPr>
      <w:r w:rsidRPr="0051062B">
        <w:rPr>
          <w:b/>
          <w:bCs/>
        </w:rPr>
        <w:t xml:space="preserve">“Artículo 13. </w:t>
      </w:r>
      <w:r w:rsidRPr="0051062B">
        <w:t>El Instituto, en el ámbito de sus atribuciones, deberá suplir cualquier deficiencia para garantizar el ejercicio del derecho de acceso a la información.</w:t>
      </w:r>
    </w:p>
    <w:p w14:paraId="5F4BD196" w14:textId="77777777" w:rsidR="00CD0993" w:rsidRPr="0051062B" w:rsidRDefault="00CD0993" w:rsidP="00CD0993">
      <w:pPr>
        <w:pStyle w:val="Citas"/>
        <w:rPr>
          <w:b/>
        </w:rPr>
      </w:pPr>
      <w:r w:rsidRPr="0051062B">
        <w:rPr>
          <w:b/>
        </w:rPr>
        <w:t xml:space="preserve">Artículo 181. … </w:t>
      </w:r>
    </w:p>
    <w:p w14:paraId="7AB44AD8" w14:textId="77777777" w:rsidR="00CD0993" w:rsidRDefault="00CD0993" w:rsidP="00CD0993">
      <w:pPr>
        <w:pStyle w:val="Citas"/>
        <w:rPr>
          <w:b/>
        </w:rPr>
      </w:pPr>
      <w:r w:rsidRPr="0051062B">
        <w:t xml:space="preserve">Durante el procedimiento deberá aplicarse la suplencia de la queja a favor del recurrente, sin cambiar los hechos expuestos, asegurándose de que las partes puedan presentar, de manera oral o escrita, los argumentos que funden y motiven sus pretensiones.” </w:t>
      </w:r>
      <w:r w:rsidRPr="0051062B">
        <w:rPr>
          <w:b/>
        </w:rPr>
        <w:t>[Sic]</w:t>
      </w:r>
    </w:p>
    <w:p w14:paraId="17002E2D" w14:textId="1AFC325B" w:rsidR="00B32223" w:rsidRPr="001B6D1F" w:rsidRDefault="00B32223" w:rsidP="002929E8">
      <w:pPr>
        <w:pStyle w:val="Sinespaciado"/>
        <w:spacing w:line="360" w:lineRule="auto"/>
        <w:jc w:val="both"/>
        <w:rPr>
          <w:rFonts w:ascii="Palatino Linotype" w:hAnsi="Palatino Linotype"/>
          <w:b/>
          <w:bCs/>
        </w:rPr>
      </w:pPr>
      <w:r>
        <w:rPr>
          <w:rFonts w:ascii="Palatino Linotype" w:hAnsi="Palatino Linotype"/>
        </w:rPr>
        <w:lastRenderedPageBreak/>
        <w:t xml:space="preserve">En virtud de lo anterior, a efecto de identificar a las </w:t>
      </w:r>
      <w:r w:rsidR="001B6D1F">
        <w:rPr>
          <w:rFonts w:ascii="Palatino Linotype" w:hAnsi="Palatino Linotype"/>
        </w:rPr>
        <w:t xml:space="preserve">unidades administrativas competentes para atender la solicitud de información, resulta oportuno traer a colación las siguientes imágenes ilustrativas correspondientes al organigrama del </w:t>
      </w:r>
      <w:r w:rsidR="001B6D1F">
        <w:rPr>
          <w:rFonts w:ascii="Palatino Linotype" w:hAnsi="Palatino Linotype"/>
          <w:b/>
          <w:bCs/>
        </w:rPr>
        <w:t>Sujeto Obligado:</w:t>
      </w:r>
    </w:p>
    <w:p w14:paraId="4B8A4BCB" w14:textId="023E649D" w:rsidR="00B32223" w:rsidRDefault="0017095B" w:rsidP="002929E8">
      <w:pPr>
        <w:pStyle w:val="Sinespaciado"/>
        <w:spacing w:line="360" w:lineRule="auto"/>
        <w:jc w:val="both"/>
        <w:rPr>
          <w:rFonts w:ascii="Palatino Linotype" w:hAnsi="Palatino Linotype"/>
        </w:rPr>
      </w:pPr>
      <w:r w:rsidRPr="0017095B">
        <w:rPr>
          <w:rFonts w:ascii="Palatino Linotype" w:hAnsi="Palatino Linotype"/>
          <w:i/>
          <w:iCs/>
          <w:noProof/>
          <w:lang w:eastAsia="es-MX"/>
        </w:rPr>
        <w:drawing>
          <wp:anchor distT="0" distB="0" distL="114300" distR="114300" simplePos="0" relativeHeight="251779067" behindDoc="0" locked="0" layoutInCell="1" allowOverlap="1" wp14:anchorId="1CF659D9" wp14:editId="5C2D06E7">
            <wp:simplePos x="0" y="0"/>
            <wp:positionH relativeFrom="page">
              <wp:align>center</wp:align>
            </wp:positionH>
            <wp:positionV relativeFrom="paragraph">
              <wp:posOffset>320040</wp:posOffset>
            </wp:positionV>
            <wp:extent cx="5725160" cy="3561715"/>
            <wp:effectExtent l="19050" t="19050" r="27940" b="19685"/>
            <wp:wrapThrough wrapText="bothSides">
              <wp:wrapPolygon edited="0">
                <wp:start x="-72" y="-116"/>
                <wp:lineTo x="-72" y="21604"/>
                <wp:lineTo x="21634" y="21604"/>
                <wp:lineTo x="21634" y="-116"/>
                <wp:lineTo x="-72" y="-116"/>
              </wp:wrapPolygon>
            </wp:wrapThrough>
            <wp:docPr id="191504965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5049655"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25160" cy="356171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45C7EC3F" w14:textId="05CAFC52" w:rsidR="00B32223" w:rsidRDefault="0017095B" w:rsidP="002929E8">
      <w:pPr>
        <w:pStyle w:val="Sinespaciado"/>
        <w:spacing w:line="360" w:lineRule="auto"/>
        <w:jc w:val="both"/>
        <w:rPr>
          <w:rFonts w:ascii="Palatino Linotype" w:hAnsi="Palatino Linotype"/>
        </w:rPr>
      </w:pPr>
      <w:r>
        <w:rPr>
          <w:rFonts w:ascii="Palatino Linotype" w:hAnsi="Palatino Linotype"/>
          <w:i/>
          <w:iCs/>
          <w:noProof/>
          <w:lang w:eastAsia="es-MX"/>
        </w:rPr>
        <w:drawing>
          <wp:anchor distT="0" distB="0" distL="114300" distR="114300" simplePos="0" relativeHeight="251793408" behindDoc="0" locked="0" layoutInCell="1" allowOverlap="1" wp14:anchorId="09842092" wp14:editId="15BD2086">
            <wp:simplePos x="0" y="0"/>
            <wp:positionH relativeFrom="page">
              <wp:align>center</wp:align>
            </wp:positionH>
            <wp:positionV relativeFrom="paragraph">
              <wp:posOffset>19594</wp:posOffset>
            </wp:positionV>
            <wp:extent cx="5749925" cy="3550285"/>
            <wp:effectExtent l="19050" t="19050" r="22225" b="12065"/>
            <wp:wrapThrough wrapText="bothSides">
              <wp:wrapPolygon edited="0">
                <wp:start x="-72" y="-116"/>
                <wp:lineTo x="-72" y="21558"/>
                <wp:lineTo x="21612" y="21558"/>
                <wp:lineTo x="21612" y="-116"/>
                <wp:lineTo x="-72" y="-116"/>
              </wp:wrapPolygon>
            </wp:wrapThrough>
            <wp:docPr id="101729104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9925" cy="35502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B0141C2" w14:textId="33F05230" w:rsidR="00B32223" w:rsidRDefault="00B32223" w:rsidP="002929E8">
      <w:pPr>
        <w:pStyle w:val="Sinespaciado"/>
        <w:spacing w:line="360" w:lineRule="auto"/>
        <w:jc w:val="both"/>
        <w:rPr>
          <w:rFonts w:ascii="Palatino Linotype" w:hAnsi="Palatino Linotype"/>
        </w:rPr>
      </w:pPr>
    </w:p>
    <w:p w14:paraId="5190A810" w14:textId="0E99715A" w:rsidR="002368B2" w:rsidRDefault="002368B2" w:rsidP="002368B2">
      <w:pPr>
        <w:pStyle w:val="Sinespaciado"/>
        <w:spacing w:line="360" w:lineRule="auto"/>
        <w:jc w:val="both"/>
        <w:rPr>
          <w:rFonts w:ascii="Palatino Linotype" w:hAnsi="Palatino Linotype" w:cs="Arial"/>
        </w:rPr>
      </w:pPr>
      <w:r>
        <w:rPr>
          <w:rFonts w:ascii="Palatino Linotype" w:hAnsi="Palatino Linotype" w:cs="Arial"/>
        </w:rPr>
        <w:t xml:space="preserve">De lo expuesto con anterioridad, se desprende que </w:t>
      </w:r>
      <w:r>
        <w:rPr>
          <w:rFonts w:ascii="Palatino Linotype" w:hAnsi="Palatino Linotype" w:cs="Arial"/>
          <w:b/>
        </w:rPr>
        <w:t xml:space="preserve">El Sujeto Obligado </w:t>
      </w:r>
      <w:r>
        <w:rPr>
          <w:rFonts w:ascii="Palatino Linotype" w:hAnsi="Palatino Linotype" w:cs="Arial"/>
        </w:rPr>
        <w:t xml:space="preserve">se auxilia de diversas Direcciones, Subdirecciones, Departamentos y Unidades Administrativas para cumplir con sus fines y objetivos, resultando de nuestro más amplio interés la Consejería </w:t>
      </w:r>
      <w:r w:rsidR="00B42ECE">
        <w:rPr>
          <w:rFonts w:ascii="Palatino Linotype" w:hAnsi="Palatino Linotype" w:cs="Arial"/>
        </w:rPr>
        <w:t>de asuntos jurídicos</w:t>
      </w:r>
      <w:r w:rsidR="00F45CB9">
        <w:rPr>
          <w:rFonts w:ascii="Palatino Linotype" w:hAnsi="Palatino Linotype" w:cs="Arial"/>
        </w:rPr>
        <w:t xml:space="preserve">, así como la Coordinación de Estudios y Reglamentación Municipal. </w:t>
      </w:r>
    </w:p>
    <w:p w14:paraId="32CB8985" w14:textId="246F13BE" w:rsidR="005E243A" w:rsidRDefault="002368B2" w:rsidP="00B32223">
      <w:pPr>
        <w:pStyle w:val="Sinespaciado"/>
        <w:spacing w:line="360" w:lineRule="auto"/>
        <w:jc w:val="both"/>
        <w:rPr>
          <w:rFonts w:ascii="Palatino Linotype" w:hAnsi="Palatino Linotype"/>
        </w:rPr>
      </w:pPr>
      <w:r>
        <w:rPr>
          <w:rFonts w:ascii="Palatino Linotype" w:hAnsi="Palatino Linotype"/>
        </w:rPr>
        <w:lastRenderedPageBreak/>
        <w:t xml:space="preserve">En este sentido, a efecto de ilustrar la esfera competencial de la unidad administrativa en cita, resulta oportuno traer a colación </w:t>
      </w:r>
      <w:r w:rsidR="00A018FF">
        <w:rPr>
          <w:rFonts w:ascii="Palatino Linotype" w:hAnsi="Palatino Linotype"/>
        </w:rPr>
        <w:t xml:space="preserve">los artículos 90 y 92 del Bando municipal de Toluca; el numeral 54 de la Ley de Acceso de las mujeres a una vida libre de violencia del Estado de México; </w:t>
      </w:r>
      <w:r w:rsidR="0038224B">
        <w:rPr>
          <w:rFonts w:ascii="Palatino Linotype" w:hAnsi="Palatino Linotype"/>
        </w:rPr>
        <w:t xml:space="preserve">los artículos 87 y </w:t>
      </w:r>
      <w:r w:rsidR="00A018FF">
        <w:rPr>
          <w:rFonts w:ascii="Palatino Linotype" w:hAnsi="Palatino Linotype"/>
        </w:rPr>
        <w:t xml:space="preserve"> 96 </w:t>
      </w:r>
      <w:proofErr w:type="spellStart"/>
      <w:r w:rsidR="00A018FF">
        <w:rPr>
          <w:rFonts w:ascii="Palatino Linotype" w:hAnsi="Palatino Linotype"/>
        </w:rPr>
        <w:t>quaterdecies</w:t>
      </w:r>
      <w:proofErr w:type="spellEnd"/>
      <w:r w:rsidR="00A018FF">
        <w:rPr>
          <w:rFonts w:ascii="Palatino Linotype" w:hAnsi="Palatino Linotype"/>
        </w:rPr>
        <w:t xml:space="preserve"> de la Ley orgánica municipal del Estado de México</w:t>
      </w:r>
      <w:r w:rsidR="005E243A">
        <w:rPr>
          <w:rFonts w:ascii="Palatino Linotype" w:hAnsi="Palatino Linotype"/>
        </w:rPr>
        <w:t xml:space="preserve">; así como el numeral 17 del Reglamento interno del organismo público descentralizado Instituto Municipal de la Mujer de Toluca, porciones normativas que disponen a la literalidad lo siguiente: </w:t>
      </w:r>
    </w:p>
    <w:p w14:paraId="189828A5" w14:textId="7C780520" w:rsidR="00B50E3A" w:rsidRPr="00A018FF" w:rsidRDefault="00A018FF" w:rsidP="00A018FF">
      <w:pPr>
        <w:pStyle w:val="Citas"/>
        <w:jc w:val="center"/>
        <w:rPr>
          <w:b/>
          <w:bCs/>
          <w:i w:val="0"/>
          <w:iCs/>
        </w:rPr>
      </w:pPr>
      <w:r w:rsidRPr="00A018FF">
        <w:rPr>
          <w:b/>
          <w:bCs/>
          <w:i w:val="0"/>
          <w:iCs/>
        </w:rPr>
        <w:t>BANDO MUNICIPAL DE TOLUCA</w:t>
      </w:r>
    </w:p>
    <w:p w14:paraId="08C768E7" w14:textId="0F5317D4" w:rsidR="00B50E3A" w:rsidRDefault="00A018FF" w:rsidP="00B50E3A">
      <w:pPr>
        <w:pStyle w:val="Citas"/>
      </w:pPr>
      <w:r>
        <w:t>“</w:t>
      </w:r>
      <w:r w:rsidR="00B50E3A">
        <w:t>Artículo 90. Para la consulta, estudio, planeación, gestión y ejecución en los diferentes ámbitos de aplicación de la Administración Pública Municipal, la o el Presidente Municipal se regirá por la Constitución Política de los Estados Unidos Mexicanos, la Constitución Política del Estado Libre y Soberano de México, la Ley Orgánica Municipal, el presente Bando y demás disposiciones aplicables, y se auxiliará de las siguientes:</w:t>
      </w:r>
    </w:p>
    <w:p w14:paraId="7324EC4E" w14:textId="555D4727" w:rsidR="00B50E3A" w:rsidRDefault="00B50E3A" w:rsidP="00B50E3A">
      <w:pPr>
        <w:pStyle w:val="Citas"/>
      </w:pPr>
      <w:r>
        <w:t>(…)</w:t>
      </w:r>
    </w:p>
    <w:p w14:paraId="3C6ADE57" w14:textId="77777777" w:rsidR="00B50E3A" w:rsidRDefault="00B50E3A" w:rsidP="00B50E3A">
      <w:pPr>
        <w:pStyle w:val="Citas"/>
      </w:pPr>
      <w:r>
        <w:t>II. ORGANISMOS DESCENTRALIZADOS:</w:t>
      </w:r>
    </w:p>
    <w:p w14:paraId="6AE0871F" w14:textId="77777777" w:rsidR="00B50E3A" w:rsidRDefault="00B50E3A" w:rsidP="00B50E3A">
      <w:pPr>
        <w:pStyle w:val="Citas"/>
      </w:pPr>
      <w:r>
        <w:t>1.Sistema Municipal para el Desarrollo Integral de la Familia de Toluca;</w:t>
      </w:r>
    </w:p>
    <w:p w14:paraId="42AC9018" w14:textId="77777777" w:rsidR="00B50E3A" w:rsidRDefault="00B50E3A" w:rsidP="00B50E3A">
      <w:pPr>
        <w:pStyle w:val="Citas"/>
      </w:pPr>
      <w:r>
        <w:t>2.Instituto Municipal de Cultura Física y Deporte de Toluca;</w:t>
      </w:r>
    </w:p>
    <w:p w14:paraId="7120CED8" w14:textId="77777777" w:rsidR="00B50E3A" w:rsidRPr="00B50E3A" w:rsidRDefault="00B50E3A" w:rsidP="00B50E3A">
      <w:pPr>
        <w:pStyle w:val="Citas"/>
        <w:rPr>
          <w:b/>
          <w:bCs/>
          <w:u w:val="single"/>
        </w:rPr>
      </w:pPr>
      <w:r w:rsidRPr="00B50E3A">
        <w:rPr>
          <w:b/>
          <w:bCs/>
          <w:u w:val="single"/>
        </w:rPr>
        <w:t>3.Instituto Municipal de la Mujer de Toluca; y</w:t>
      </w:r>
    </w:p>
    <w:p w14:paraId="1749E09A" w14:textId="12AC246A" w:rsidR="00B50E3A" w:rsidRDefault="00B50E3A" w:rsidP="00B50E3A">
      <w:pPr>
        <w:pStyle w:val="Citas"/>
      </w:pPr>
      <w:r>
        <w:t>4.Organismo Agua y Saneamiento de Toluca.</w:t>
      </w:r>
    </w:p>
    <w:p w14:paraId="075536B4" w14:textId="5092C486" w:rsidR="00B50E3A" w:rsidRDefault="00B50E3A" w:rsidP="00B50E3A">
      <w:pPr>
        <w:pStyle w:val="Citas"/>
      </w:pPr>
      <w:r>
        <w:lastRenderedPageBreak/>
        <w:t>Artículo 92. La administración pública municipal será centralizada, descentralizada y autónoma. Para el ejercicio del poder público municipal, las personas titulares de las Direcciones Generales, los Organismos Descentralizados y el Órgano Autónomo tendrán las atribuciones y facultades que le otorguen las disposiciones legales aplicables a su campo de actuación y las que este Bando y el Código Reglamentario les confiera.</w:t>
      </w:r>
    </w:p>
    <w:p w14:paraId="7A093AA3" w14:textId="5D15D928" w:rsidR="00B50E3A" w:rsidRDefault="00B50E3A" w:rsidP="00B50E3A">
      <w:pPr>
        <w:pStyle w:val="Citas"/>
      </w:pPr>
      <w:r>
        <w:t>(…)</w:t>
      </w:r>
    </w:p>
    <w:p w14:paraId="074E54A1" w14:textId="61FEADDF" w:rsidR="00B50E3A" w:rsidRPr="00B50E3A" w:rsidRDefault="00B50E3A" w:rsidP="00B50E3A">
      <w:pPr>
        <w:pStyle w:val="Citas"/>
      </w:pPr>
      <w:r w:rsidRPr="00B50E3A">
        <w:t>XVI. La persona titular del Instituto Municipal de la Mujer de Toluca tendrá por objeto el impulso de políticas y acciones para el desarrollo integral de las mujeres, promoviendo su participación en los ámbitos económico, político, social, cultural, laboral y educativo, en un marco de equidad de género, así como la implementación de programas de atención legal, psicológica y social. Deberá promover la incorporación de la perspectiva de género en la planeación y el presupuesto municipal, asegurando la ejecución de programas y acciones afirmativas para la igualdad de derechos, además de fortalecer la capacidad productiva de las mujeres. Asimismo, coordinará esfuerzos para prevenir y erradicar la violencia de género, asegurando una aplicación eficiente de los recursos públicos sin duplicidades mediante la colaboración con diversas dependencias municipales.</w:t>
      </w:r>
    </w:p>
    <w:p w14:paraId="5D5130CF" w14:textId="2180FB6D" w:rsidR="00B50E3A" w:rsidRPr="00B50E3A" w:rsidRDefault="00B50E3A" w:rsidP="00B50E3A">
      <w:pPr>
        <w:pStyle w:val="Citas"/>
      </w:pPr>
      <w:r w:rsidRPr="00B50E3A">
        <w:t>Para ello, se implementará el Modelo Único de Atención para la Violencia de Género en todas las unidades administrativas y territorio municipal para beneficio de todas las mujeres toluqueñas.</w:t>
      </w:r>
    </w:p>
    <w:p w14:paraId="4E30377D" w14:textId="77777777" w:rsidR="00B50E3A" w:rsidRDefault="00B50E3A" w:rsidP="00B50E3A">
      <w:pPr>
        <w:pStyle w:val="Citas"/>
      </w:pPr>
    </w:p>
    <w:p w14:paraId="1D3C9B61" w14:textId="1191DAEA" w:rsidR="00A018FF" w:rsidRPr="00A018FF" w:rsidRDefault="00A018FF" w:rsidP="00A018FF">
      <w:pPr>
        <w:pStyle w:val="Citas"/>
        <w:jc w:val="center"/>
        <w:rPr>
          <w:b/>
          <w:bCs/>
          <w:i w:val="0"/>
          <w:iCs/>
        </w:rPr>
      </w:pPr>
      <w:r w:rsidRPr="00A018FF">
        <w:rPr>
          <w:b/>
          <w:bCs/>
          <w:i w:val="0"/>
          <w:iCs/>
        </w:rPr>
        <w:t>LEY DE ACCESO DE LAS MUJERES A UNA VIDA LIBRE DE VIOLENCIA DEL ESTADO DE MÉXICO</w:t>
      </w:r>
    </w:p>
    <w:p w14:paraId="3C6AD97E" w14:textId="70BB4A15" w:rsidR="00B50E3A" w:rsidRDefault="00A018FF" w:rsidP="00B50E3A">
      <w:pPr>
        <w:pStyle w:val="Citas"/>
      </w:pPr>
      <w:r>
        <w:lastRenderedPageBreak/>
        <w:t>“</w:t>
      </w:r>
      <w:r w:rsidR="00B50E3A">
        <w:t>Artículo 54.- Corresponde a los municipios, en materia de prevención, atención, sanción y erradicación de la violencia de género:</w:t>
      </w:r>
    </w:p>
    <w:p w14:paraId="10A9D4ED" w14:textId="278C7AB2" w:rsidR="00A018FF" w:rsidRDefault="00A018FF" w:rsidP="00B50E3A">
      <w:pPr>
        <w:pStyle w:val="Citas"/>
      </w:pPr>
      <w:r>
        <w:t>(…)</w:t>
      </w:r>
    </w:p>
    <w:p w14:paraId="66807067" w14:textId="39ED2781" w:rsidR="00B50E3A" w:rsidRDefault="00B50E3A" w:rsidP="00B50E3A">
      <w:pPr>
        <w:pStyle w:val="Citas"/>
      </w:pPr>
      <w:r>
        <w:t>V. Expedir las disposiciones jurídicas municipales encaminadas a lograr la participación conjunta y coordinada de la administración pública municipal para garantizar el derecho de las mujeres a una vida libre de violencia en su ámbito territorial;</w:t>
      </w:r>
    </w:p>
    <w:p w14:paraId="59C2B148" w14:textId="1E7FF6C1" w:rsidR="00B50E3A" w:rsidRPr="00B50E3A" w:rsidRDefault="00B50E3A" w:rsidP="00B50E3A">
      <w:pPr>
        <w:pStyle w:val="Citas"/>
        <w:rPr>
          <w:b/>
          <w:bCs/>
          <w:u w:val="single"/>
        </w:rPr>
      </w:pPr>
      <w:r w:rsidRPr="00B50E3A">
        <w:rPr>
          <w:b/>
          <w:bCs/>
          <w:u w:val="single"/>
        </w:rPr>
        <w:t>VI. Formular, ejecutar y evaluar el Programa Municipal para la Igualdad de Trato y Oportunidades entre Mujeres y Hombres y para Prevenir, Atender, Sancionar y Erradicar la Violencia contra las Mujeres, mismo que será remitido al Sistema Estatal y a la Legislatura del Estado, dentro de los primeros tres meses de la gestión municipal para los efectos conducentes;</w:t>
      </w:r>
    </w:p>
    <w:p w14:paraId="76269C85" w14:textId="01FF24E7" w:rsidR="00B50E3A" w:rsidRDefault="00B50E3A" w:rsidP="00B50E3A">
      <w:pPr>
        <w:pStyle w:val="Citas"/>
      </w:pPr>
      <w:r>
        <w:t>VII. Promover, en coordinación con el Gobierno Estatal, cursos de formación, especialización y actualización constante sobre violencia de género y Derechos Humanos de las niñas, adolescentes y mujeres; a las personas que atienden a las mujeres víctimas de violencia, en los términos de la presente Ley;</w:t>
      </w:r>
    </w:p>
    <w:p w14:paraId="30F6800C" w14:textId="73BDCCF4" w:rsidR="00B50E3A" w:rsidRDefault="00B50E3A" w:rsidP="00B50E3A">
      <w:pPr>
        <w:pStyle w:val="Citas"/>
      </w:pPr>
      <w:r>
        <w:t>(…)</w:t>
      </w:r>
    </w:p>
    <w:p w14:paraId="0C633E75" w14:textId="22953158" w:rsidR="00B50E3A" w:rsidRDefault="00B50E3A" w:rsidP="00B50E3A">
      <w:pPr>
        <w:pStyle w:val="Citas"/>
      </w:pPr>
      <w:r>
        <w:t xml:space="preserve">X. Ter. Crear una Dirección de las Mujeres o, en su caso, un Instituto Municipal de las Mujeres, para promover y fomentar las condiciones que faciliten el pleno ejercicio de los derechos humanos, la igualdad, el desarrollo económico, social, político y cultural, la no discriminación y la erradicación de la violencia contra las niñas, las adolescentes y las mujeres, en concordancia con la Constitución Política de los </w:t>
      </w:r>
      <w:r>
        <w:lastRenderedPageBreak/>
        <w:t>Estados Unidos Mexicanos, las leyes generales y las estatales, las políticas, nacional y estatal, así como los tratados internacionales en la materia;</w:t>
      </w:r>
    </w:p>
    <w:p w14:paraId="504C1556" w14:textId="75F4E9BD" w:rsidR="00A018FF" w:rsidRPr="00A018FF" w:rsidRDefault="00A018FF" w:rsidP="00B50E3A">
      <w:pPr>
        <w:pStyle w:val="Citas"/>
        <w:rPr>
          <w:b/>
          <w:bCs/>
        </w:rPr>
      </w:pPr>
      <w:r>
        <w:t xml:space="preserve">(…)” </w:t>
      </w:r>
      <w:r>
        <w:rPr>
          <w:b/>
          <w:bCs/>
        </w:rPr>
        <w:t>(Sic)</w:t>
      </w:r>
    </w:p>
    <w:p w14:paraId="2A7180F1" w14:textId="77777777" w:rsidR="00B50E3A" w:rsidRDefault="00B50E3A" w:rsidP="00384F3A">
      <w:pPr>
        <w:spacing w:line="360" w:lineRule="auto"/>
        <w:jc w:val="both"/>
        <w:rPr>
          <w:rFonts w:ascii="Palatino Linotype" w:hAnsi="Palatino Linotype" w:cs="Arial"/>
          <w:sz w:val="24"/>
          <w:szCs w:val="24"/>
        </w:rPr>
      </w:pPr>
    </w:p>
    <w:p w14:paraId="2136F654" w14:textId="3B4326D3" w:rsidR="00A018FF" w:rsidRPr="00A018FF" w:rsidRDefault="00A018FF" w:rsidP="00A018FF">
      <w:pPr>
        <w:pStyle w:val="Citas"/>
        <w:jc w:val="center"/>
        <w:rPr>
          <w:b/>
          <w:bCs/>
          <w:i w:val="0"/>
          <w:iCs/>
        </w:rPr>
      </w:pPr>
      <w:r w:rsidRPr="00A018FF">
        <w:rPr>
          <w:b/>
          <w:bCs/>
          <w:i w:val="0"/>
          <w:iCs/>
        </w:rPr>
        <w:t>LEY ORGÁNICA MUNICIPAL DEL ESTADO DE MÉXICO</w:t>
      </w:r>
    </w:p>
    <w:p w14:paraId="7F09FEA7" w14:textId="22A06BCA" w:rsidR="0038224B" w:rsidRDefault="00A018FF" w:rsidP="0038224B">
      <w:pPr>
        <w:pStyle w:val="Citas"/>
      </w:pPr>
      <w:r>
        <w:t>“</w:t>
      </w:r>
      <w:r w:rsidR="0038224B">
        <w:t>Artículo 87.- Para el despacho, estudio y planeación de los diversos asuntos de la administración municipal, el ayuntamiento contará por lo menos con las siguientes Dependencias:</w:t>
      </w:r>
    </w:p>
    <w:p w14:paraId="53556D80" w14:textId="79F98BA8" w:rsidR="0038224B" w:rsidRDefault="0038224B" w:rsidP="0038224B">
      <w:pPr>
        <w:pStyle w:val="Citas"/>
      </w:pPr>
      <w:r>
        <w:t>(…)</w:t>
      </w:r>
    </w:p>
    <w:p w14:paraId="5826ABDB" w14:textId="0EAFF378" w:rsidR="0038224B" w:rsidRDefault="0038224B" w:rsidP="0038224B">
      <w:pPr>
        <w:pStyle w:val="Citas"/>
      </w:pPr>
      <w:r w:rsidRPr="0038224B">
        <w:t>IX. La Dirección de las Mujeres o equivalente</w:t>
      </w:r>
    </w:p>
    <w:p w14:paraId="403A3103" w14:textId="68C518EE" w:rsidR="0038224B" w:rsidRDefault="0038224B" w:rsidP="0038224B">
      <w:pPr>
        <w:pStyle w:val="Citas"/>
      </w:pPr>
      <w:r>
        <w:t>(…)</w:t>
      </w:r>
    </w:p>
    <w:p w14:paraId="7A95EB9A" w14:textId="4A8C2F93" w:rsidR="00A018FF" w:rsidRPr="00A018FF" w:rsidRDefault="00A018FF" w:rsidP="00A018FF">
      <w:pPr>
        <w:pStyle w:val="Citas"/>
      </w:pPr>
      <w:r w:rsidRPr="00A018FF">
        <w:t xml:space="preserve">Artículo 96 </w:t>
      </w:r>
      <w:proofErr w:type="spellStart"/>
      <w:r w:rsidRPr="00A018FF">
        <w:t>Quaterdecies</w:t>
      </w:r>
      <w:proofErr w:type="spellEnd"/>
      <w:r w:rsidRPr="00A018FF">
        <w:t>.- La Dirección de las Mujeres, tiene las siguientes atribuciones:</w:t>
      </w:r>
    </w:p>
    <w:p w14:paraId="5CC9EC58" w14:textId="64562111" w:rsidR="00A018FF" w:rsidRDefault="00A018FF" w:rsidP="00A018FF">
      <w:pPr>
        <w:pStyle w:val="Citas"/>
      </w:pPr>
      <w:r w:rsidRPr="00A018FF">
        <w:t>I. Proponer, coordinar y ejecutar las políticas públicas, programas y acciones que aseguren la</w:t>
      </w:r>
      <w:r>
        <w:t xml:space="preserve"> </w:t>
      </w:r>
      <w:r w:rsidRPr="00A018FF">
        <w:t>igualdad y la no discriminación hacia las mujeres en sus distintas etapas de la vida, desde una</w:t>
      </w:r>
      <w:r>
        <w:t xml:space="preserve"> </w:t>
      </w:r>
      <w:r w:rsidRPr="00A018FF">
        <w:t>perspectiva transversal e interseccional y con enfoque de derechos humanos;</w:t>
      </w:r>
    </w:p>
    <w:p w14:paraId="203B34D2" w14:textId="5B367456" w:rsidR="00A018FF" w:rsidRPr="00A018FF" w:rsidRDefault="00A018FF" w:rsidP="00A018FF">
      <w:pPr>
        <w:pStyle w:val="Citas"/>
        <w:rPr>
          <w:b/>
          <w:bCs/>
        </w:rPr>
      </w:pPr>
      <w:r>
        <w:t xml:space="preserve">(…)” </w:t>
      </w:r>
      <w:r>
        <w:rPr>
          <w:b/>
          <w:bCs/>
        </w:rPr>
        <w:t>(Sic)</w:t>
      </w:r>
    </w:p>
    <w:p w14:paraId="52810A96" w14:textId="77777777" w:rsidR="00A018FF" w:rsidRDefault="00A018FF" w:rsidP="00384F3A">
      <w:pPr>
        <w:spacing w:line="360" w:lineRule="auto"/>
        <w:jc w:val="both"/>
        <w:rPr>
          <w:rFonts w:ascii="Palatino Linotype" w:hAnsi="Palatino Linotype" w:cs="Arial"/>
          <w:sz w:val="24"/>
          <w:szCs w:val="24"/>
        </w:rPr>
      </w:pPr>
    </w:p>
    <w:p w14:paraId="43543C95" w14:textId="77777777" w:rsidR="005E243A" w:rsidRDefault="005E243A" w:rsidP="005E243A">
      <w:pPr>
        <w:pStyle w:val="Citas"/>
      </w:pPr>
    </w:p>
    <w:p w14:paraId="00B4B52B" w14:textId="1DB644E3" w:rsidR="005E243A" w:rsidRPr="005E243A" w:rsidRDefault="005E243A" w:rsidP="005E243A">
      <w:pPr>
        <w:pStyle w:val="Citas"/>
        <w:rPr>
          <w:b/>
          <w:bCs/>
          <w:i w:val="0"/>
          <w:iCs/>
        </w:rPr>
      </w:pPr>
      <w:r w:rsidRPr="005E243A">
        <w:rPr>
          <w:b/>
          <w:bCs/>
          <w:i w:val="0"/>
          <w:iCs/>
        </w:rPr>
        <w:lastRenderedPageBreak/>
        <w:t xml:space="preserve">REGLAMENTO INTERNO DEL ORGANISMO PÚBLICO DESCENTRALIZADO INSTITUTO MUNICIPAL DE LA MUJER DE TOLUCA </w:t>
      </w:r>
    </w:p>
    <w:p w14:paraId="38813C63" w14:textId="5594A794" w:rsidR="00A018FF" w:rsidRDefault="005627C1" w:rsidP="005E243A">
      <w:pPr>
        <w:pStyle w:val="Citas"/>
      </w:pPr>
      <w:r>
        <w:t>“</w:t>
      </w:r>
      <w:r w:rsidR="0038224B">
        <w:t>Artículo 17. La persona titular de la Coordinación de Administración y Finanzas tendrá las siguientes atribuciones:</w:t>
      </w:r>
    </w:p>
    <w:p w14:paraId="4D32B55A" w14:textId="4AF95060" w:rsidR="0038224B" w:rsidRDefault="005E243A" w:rsidP="005E243A">
      <w:pPr>
        <w:pStyle w:val="Citas"/>
      </w:pPr>
      <w:r>
        <w:t>(…)</w:t>
      </w:r>
    </w:p>
    <w:p w14:paraId="1D57738F" w14:textId="004CEA75" w:rsidR="005E243A" w:rsidRDefault="005E243A" w:rsidP="005E243A">
      <w:pPr>
        <w:pStyle w:val="Citas"/>
      </w:pPr>
      <w:r>
        <w:t>IV. Integrar el anteproyecto de presupuesto anual de ingresos y egresos del Instituto y someterlo a la consideración de la Dirección General, así como realizar la calendarización de los recursos del presupuesto autorizado.</w:t>
      </w:r>
    </w:p>
    <w:p w14:paraId="0C6BFF7E" w14:textId="56BA4B5D" w:rsidR="005E243A" w:rsidRDefault="005E243A" w:rsidP="005E243A">
      <w:pPr>
        <w:pStyle w:val="Citas"/>
      </w:pPr>
      <w:r>
        <w:t xml:space="preserve">V. Coordinar la operación, ejecución y control del presupuesto de las unidades administrativas del Instituto y vigilar su aplicación. </w:t>
      </w:r>
    </w:p>
    <w:p w14:paraId="06C0D820" w14:textId="710C5CC9" w:rsidR="005E243A" w:rsidRDefault="005E243A" w:rsidP="005E243A">
      <w:pPr>
        <w:pStyle w:val="Citas"/>
      </w:pPr>
      <w:r>
        <w:t>VI. Ejecutar los procedimientos y mecanismos sobre el ejercicio y control del presupuesto de gasto corriente y de inversión, así como verificar su aplicación.</w:t>
      </w:r>
    </w:p>
    <w:p w14:paraId="63E63EE3" w14:textId="766BEEF2" w:rsidR="005E243A" w:rsidRPr="00EB5EE3" w:rsidRDefault="005E243A" w:rsidP="005E243A">
      <w:pPr>
        <w:pStyle w:val="Citas"/>
        <w:rPr>
          <w:b/>
          <w:bCs/>
        </w:rPr>
      </w:pPr>
      <w:r>
        <w:t>(…)</w:t>
      </w:r>
      <w:r w:rsidR="00EB5EE3">
        <w:t xml:space="preserve">” </w:t>
      </w:r>
      <w:r w:rsidR="00EB5EE3">
        <w:rPr>
          <w:b/>
          <w:bCs/>
        </w:rPr>
        <w:t>(Sic)</w:t>
      </w:r>
    </w:p>
    <w:p w14:paraId="18719C9C" w14:textId="77777777" w:rsidR="00A018FF" w:rsidRDefault="00A018FF" w:rsidP="00384F3A">
      <w:pPr>
        <w:spacing w:line="360" w:lineRule="auto"/>
        <w:jc w:val="both"/>
        <w:rPr>
          <w:rFonts w:ascii="Palatino Linotype" w:hAnsi="Palatino Linotype" w:cs="Arial"/>
          <w:sz w:val="24"/>
          <w:szCs w:val="24"/>
        </w:rPr>
      </w:pPr>
    </w:p>
    <w:p w14:paraId="4C93D580" w14:textId="708A5F35" w:rsidR="005E243A" w:rsidRDefault="005E243A" w:rsidP="00384F3A">
      <w:pPr>
        <w:spacing w:line="360" w:lineRule="auto"/>
        <w:jc w:val="both"/>
        <w:rPr>
          <w:rFonts w:ascii="Palatino Linotype" w:hAnsi="Palatino Linotype" w:cs="Arial"/>
          <w:sz w:val="24"/>
          <w:szCs w:val="24"/>
        </w:rPr>
      </w:pPr>
      <w:r>
        <w:rPr>
          <w:rFonts w:ascii="Palatino Linotype" w:hAnsi="Palatino Linotype" w:cs="Arial"/>
          <w:sz w:val="24"/>
          <w:szCs w:val="24"/>
        </w:rPr>
        <w:t>De ahí que deba arribarse a las siguientes consideraciones:</w:t>
      </w:r>
    </w:p>
    <w:p w14:paraId="6E9BB40C" w14:textId="680364A7" w:rsidR="005E243A" w:rsidRDefault="005E243A" w:rsidP="007145FB">
      <w:pPr>
        <w:pStyle w:val="Prrafodelista"/>
        <w:numPr>
          <w:ilvl w:val="0"/>
          <w:numId w:val="7"/>
        </w:numPr>
        <w:spacing w:line="360" w:lineRule="auto"/>
        <w:jc w:val="both"/>
        <w:rPr>
          <w:rFonts w:ascii="Palatino Linotype" w:hAnsi="Palatino Linotype" w:cs="Arial"/>
        </w:rPr>
      </w:pPr>
      <w:r>
        <w:rPr>
          <w:rFonts w:ascii="Palatino Linotype" w:hAnsi="Palatino Linotype" w:cs="Arial"/>
        </w:rPr>
        <w:t xml:space="preserve">Que el Instituto Municipal de la Mujer es un organismo descentralizado del ámbito de gobierno municipal, que coordinará esfuerzos para prevenir y erradicar la violencia de género, asegurando una aplicación eficiente de los recursos públicos. </w:t>
      </w:r>
    </w:p>
    <w:p w14:paraId="62BC4190" w14:textId="4A3C3B45" w:rsidR="005E243A" w:rsidRDefault="005E243A" w:rsidP="007145FB">
      <w:pPr>
        <w:pStyle w:val="Prrafodelista"/>
        <w:numPr>
          <w:ilvl w:val="0"/>
          <w:numId w:val="7"/>
        </w:numPr>
        <w:spacing w:line="360" w:lineRule="auto"/>
        <w:jc w:val="both"/>
        <w:rPr>
          <w:rFonts w:ascii="Palatino Linotype" w:hAnsi="Palatino Linotype" w:cs="Arial"/>
        </w:rPr>
      </w:pPr>
      <w:r>
        <w:rPr>
          <w:rFonts w:ascii="Palatino Linotype" w:hAnsi="Palatino Linotype" w:cs="Arial"/>
        </w:rPr>
        <w:lastRenderedPageBreak/>
        <w:t xml:space="preserve">Que una de las funciones medulares de dicho órgano desconcentrado radica en </w:t>
      </w:r>
      <w:r w:rsidR="005E6FB9">
        <w:rPr>
          <w:rFonts w:ascii="Palatino Linotype" w:hAnsi="Palatino Linotype" w:cs="Arial"/>
        </w:rPr>
        <w:t xml:space="preserve">formular, ejecutar y evaluar un programa municipal para igualdad de oportunidades y erradicar la violencia de género, mismo que deberá de ser generado dentro de los primeros tres meses de la gestión municipal. </w:t>
      </w:r>
    </w:p>
    <w:p w14:paraId="77F09737" w14:textId="77777777" w:rsidR="005E6FB9" w:rsidRDefault="005E6FB9" w:rsidP="005E6FB9">
      <w:pPr>
        <w:pStyle w:val="Prrafodelista"/>
        <w:spacing w:line="360" w:lineRule="auto"/>
        <w:ind w:left="720"/>
        <w:jc w:val="both"/>
        <w:rPr>
          <w:rFonts w:ascii="Palatino Linotype" w:hAnsi="Palatino Linotype" w:cs="Arial"/>
        </w:rPr>
      </w:pPr>
    </w:p>
    <w:p w14:paraId="275C3290" w14:textId="1A34065D" w:rsidR="005E6FB9" w:rsidRPr="005E243A" w:rsidRDefault="005E6FB9" w:rsidP="007145FB">
      <w:pPr>
        <w:pStyle w:val="Prrafodelista"/>
        <w:numPr>
          <w:ilvl w:val="0"/>
          <w:numId w:val="7"/>
        </w:numPr>
        <w:spacing w:line="360" w:lineRule="auto"/>
        <w:jc w:val="both"/>
        <w:rPr>
          <w:rFonts w:ascii="Palatino Linotype" w:hAnsi="Palatino Linotype" w:cs="Arial"/>
        </w:rPr>
      </w:pPr>
      <w:r>
        <w:rPr>
          <w:rFonts w:ascii="Palatino Linotype" w:hAnsi="Palatino Linotype" w:cs="Arial"/>
        </w:rPr>
        <w:t xml:space="preserve">Que el Instituto Municipal de la Mujer, se auxilia de diversas unidades administrativas, cobrando particular relevancia la Coordinación de Administración y Finanzas, </w:t>
      </w:r>
      <w:r w:rsidR="00B42ECE">
        <w:rPr>
          <w:rFonts w:ascii="Palatino Linotype" w:hAnsi="Palatino Linotype" w:cs="Arial"/>
        </w:rPr>
        <w:t xml:space="preserve">la cual da cuenta de los ingresos, egresos y registros contables. </w:t>
      </w:r>
    </w:p>
    <w:p w14:paraId="600E488D" w14:textId="77777777" w:rsidR="00B42ECE" w:rsidRDefault="00B42ECE" w:rsidP="00384F3A">
      <w:pPr>
        <w:spacing w:line="360" w:lineRule="auto"/>
        <w:jc w:val="both"/>
        <w:rPr>
          <w:rFonts w:ascii="Palatino Linotype" w:hAnsi="Palatino Linotype" w:cs="Arial"/>
          <w:sz w:val="24"/>
          <w:szCs w:val="24"/>
        </w:rPr>
      </w:pPr>
    </w:p>
    <w:p w14:paraId="49FE124F" w14:textId="58E4E411" w:rsidR="00384F3A" w:rsidRDefault="00384F3A" w:rsidP="00384F3A">
      <w:pPr>
        <w:spacing w:line="360" w:lineRule="auto"/>
        <w:jc w:val="both"/>
        <w:rPr>
          <w:rFonts w:ascii="Palatino Linotype" w:hAnsi="Palatino Linotype" w:cs="Arial"/>
          <w:sz w:val="24"/>
          <w:szCs w:val="24"/>
        </w:rPr>
      </w:pPr>
      <w:r>
        <w:rPr>
          <w:rFonts w:ascii="Palatino Linotype" w:hAnsi="Palatino Linotype" w:cs="Arial"/>
          <w:sz w:val="24"/>
          <w:szCs w:val="24"/>
        </w:rPr>
        <w:t xml:space="preserve">Una vez sentado lo anterior, en términos de los numerales 18 y 19 de la Ley de Transparencia local existe obligación de documentar actos de autoridad, así como una presunción de existencia de la información cuando se refiera a las atribuciones de los sujetos obligados, porciones normativas que disponen a la literalidad lo siguiente: </w:t>
      </w:r>
    </w:p>
    <w:p w14:paraId="3311464E" w14:textId="77777777" w:rsidR="00384F3A" w:rsidRDefault="00384F3A" w:rsidP="00384F3A">
      <w:pPr>
        <w:pStyle w:val="Citas"/>
      </w:pPr>
      <w:r>
        <w:t xml:space="preserve">“Artículo 18. Los sujetos obligados deberán documentar todo acto que derive del ejercicio de sus facultades, competencias o funciones, considerando desde su origen la eventual publicidad y reutilización de la información que generen. </w:t>
      </w:r>
    </w:p>
    <w:p w14:paraId="38C2DD80" w14:textId="77777777" w:rsidR="00384F3A" w:rsidRDefault="00384F3A" w:rsidP="00384F3A">
      <w:pPr>
        <w:pStyle w:val="Citas"/>
      </w:pPr>
      <w:r>
        <w:t xml:space="preserve">Artículo 19. Se presume que la información debe existir si se refiere a las facultades, competencias y funciones que los ordenamientos jurídicos aplicables otorgan a los sujetos obligados. </w:t>
      </w:r>
    </w:p>
    <w:p w14:paraId="26B85610" w14:textId="77777777" w:rsidR="00384F3A" w:rsidRDefault="00384F3A" w:rsidP="00384F3A">
      <w:pPr>
        <w:pStyle w:val="Citas"/>
      </w:pPr>
      <w:r>
        <w:t xml:space="preserve">En los casos en que ciertas facultades, competencias o funciones no se hayan ejercido, se debe motivar la respuesta en función de las causas que motiven tal circunstancia. </w:t>
      </w:r>
    </w:p>
    <w:p w14:paraId="08CA6022" w14:textId="77777777" w:rsidR="00384F3A" w:rsidRPr="00407C65" w:rsidRDefault="00384F3A" w:rsidP="00384F3A">
      <w:pPr>
        <w:pStyle w:val="Citas"/>
        <w:rPr>
          <w:b/>
          <w:bCs/>
          <w:sz w:val="24"/>
          <w:szCs w:val="24"/>
        </w:rPr>
      </w:pPr>
      <w:r>
        <w:lastRenderedPageBreak/>
        <w:t xml:space="preserve">Si el sujeto obligado, en el ejercicio de sus atribuciones, debía generar, poseer o administrar la información, pero ésta no se encuentra, el Comité de transparencia deberá emitir un acuerdo de inexistencia, debidamente fundado y motivado, en el que detalle las razones del por qué no obra en sus archivos.” </w:t>
      </w:r>
      <w:r>
        <w:rPr>
          <w:b/>
          <w:bCs/>
        </w:rPr>
        <w:t>(Sic)</w:t>
      </w:r>
    </w:p>
    <w:p w14:paraId="56D6B44B" w14:textId="77777777" w:rsidR="00384F3A" w:rsidRDefault="00384F3A" w:rsidP="00384F3A">
      <w:pPr>
        <w:spacing w:before="240" w:line="360" w:lineRule="auto"/>
        <w:jc w:val="both"/>
        <w:rPr>
          <w:rFonts w:ascii="Palatino Linotype" w:hAnsi="Palatino Linotype"/>
          <w:sz w:val="24"/>
          <w:szCs w:val="24"/>
        </w:rPr>
      </w:pPr>
    </w:p>
    <w:p w14:paraId="3FA0DF75" w14:textId="05804E2A" w:rsidR="000567FC" w:rsidRDefault="00B42ECE" w:rsidP="000567FC">
      <w:pPr>
        <w:pStyle w:val="Prrafodelista"/>
        <w:autoSpaceDE w:val="0"/>
        <w:autoSpaceDN w:val="0"/>
        <w:adjustRightInd w:val="0"/>
        <w:spacing w:before="240" w:after="160" w:line="360" w:lineRule="auto"/>
        <w:ind w:left="0"/>
        <w:jc w:val="both"/>
        <w:rPr>
          <w:rFonts w:ascii="Palatino Linotype" w:hAnsi="Palatino Linotype"/>
        </w:rPr>
      </w:pPr>
      <w:r>
        <w:rPr>
          <w:rFonts w:ascii="Palatino Linotype" w:hAnsi="Palatino Linotype"/>
        </w:rPr>
        <w:t>Ahora bien</w:t>
      </w:r>
      <w:r w:rsidR="00FD5270">
        <w:rPr>
          <w:rFonts w:ascii="Palatino Linotype" w:hAnsi="Palatino Linotype"/>
        </w:rPr>
        <w:t xml:space="preserve">, como se mencionó en el antecedente </w:t>
      </w:r>
      <w:r>
        <w:rPr>
          <w:rFonts w:ascii="Palatino Linotype" w:hAnsi="Palatino Linotype"/>
        </w:rPr>
        <w:t>tercero</w:t>
      </w:r>
      <w:r w:rsidR="00FD5270">
        <w:rPr>
          <w:rFonts w:ascii="Palatino Linotype" w:hAnsi="Palatino Linotype"/>
        </w:rPr>
        <w:t xml:space="preserve"> </w:t>
      </w:r>
      <w:r w:rsidR="00FD5270">
        <w:rPr>
          <w:rFonts w:ascii="Palatino Linotype" w:hAnsi="Palatino Linotype"/>
          <w:b/>
          <w:bCs/>
        </w:rPr>
        <w:t xml:space="preserve">El Sujeto Obligado </w:t>
      </w:r>
      <w:r w:rsidR="00FD5270">
        <w:rPr>
          <w:rFonts w:ascii="Palatino Linotype" w:hAnsi="Palatino Linotype"/>
        </w:rPr>
        <w:t>rindió su respuesta en los siguientes términos:</w:t>
      </w:r>
    </w:p>
    <w:p w14:paraId="072A9D3B" w14:textId="69DC19B4" w:rsidR="00C20CC7" w:rsidRDefault="00FD5270" w:rsidP="007145FB">
      <w:pPr>
        <w:pStyle w:val="Prrafodelista"/>
        <w:numPr>
          <w:ilvl w:val="0"/>
          <w:numId w:val="1"/>
        </w:numPr>
        <w:autoSpaceDE w:val="0"/>
        <w:autoSpaceDN w:val="0"/>
        <w:adjustRightInd w:val="0"/>
        <w:spacing w:before="240" w:after="160" w:line="360" w:lineRule="auto"/>
        <w:jc w:val="both"/>
        <w:rPr>
          <w:rFonts w:ascii="Palatino Linotype" w:hAnsi="Palatino Linotype"/>
          <w:noProof/>
          <w:lang w:eastAsia="es-MX"/>
        </w:rPr>
      </w:pPr>
      <w:r>
        <w:rPr>
          <w:rFonts w:ascii="Palatino Linotype" w:hAnsi="Palatino Linotype"/>
          <w:b/>
          <w:bCs/>
        </w:rPr>
        <w:t>“</w:t>
      </w:r>
      <w:r w:rsidR="00B42ECE">
        <w:rPr>
          <w:rFonts w:ascii="Palatino Linotype" w:hAnsi="Palatino Linotype"/>
          <w:b/>
          <w:bCs/>
        </w:rPr>
        <w:t>RESPUESTA 436. 2025.pdf”:</w:t>
      </w:r>
      <w:r w:rsidR="00E35B0E">
        <w:rPr>
          <w:rFonts w:ascii="Palatino Linotype" w:hAnsi="Palatino Linotype"/>
          <w:b/>
          <w:bCs/>
        </w:rPr>
        <w:t xml:space="preserve"> </w:t>
      </w:r>
      <w:r w:rsidR="00E35B0E">
        <w:rPr>
          <w:rFonts w:ascii="Palatino Linotype" w:hAnsi="Palatino Linotype"/>
        </w:rPr>
        <w:t>Oficio sin número, signado por el titular de la unidad de transparencia, dirigido al solicitante, de fecha veinticuatro de febrero de dos mil veinticinco, en términos generales resulta de nuestro interés el siguiente extracto:</w:t>
      </w:r>
    </w:p>
    <w:p w14:paraId="26D8DD73" w14:textId="6AAA15D1" w:rsidR="00E35B0E" w:rsidRPr="00EB5EE3" w:rsidRDefault="00E35B0E" w:rsidP="00E35B0E">
      <w:pPr>
        <w:pStyle w:val="Prrafodelista"/>
        <w:autoSpaceDE w:val="0"/>
        <w:autoSpaceDN w:val="0"/>
        <w:adjustRightInd w:val="0"/>
        <w:spacing w:before="240" w:after="160" w:line="360" w:lineRule="auto"/>
        <w:ind w:left="720"/>
        <w:jc w:val="both"/>
        <w:rPr>
          <w:rFonts w:ascii="Palatino Linotype" w:hAnsi="Palatino Linotype"/>
          <w:i/>
          <w:iCs/>
          <w:sz w:val="22"/>
          <w:szCs w:val="22"/>
        </w:rPr>
      </w:pPr>
      <w:r w:rsidRPr="00EB5EE3">
        <w:rPr>
          <w:rFonts w:ascii="Palatino Linotype" w:hAnsi="Palatino Linotype"/>
          <w:i/>
          <w:iCs/>
          <w:sz w:val="22"/>
          <w:szCs w:val="22"/>
        </w:rPr>
        <w:t>“(…) el Instituto Municipal de la Mujer de Toluca y Servidora Pública Habilitada, informó que el presupuesto autorizado para el ejercicio 2023 fue de $12,508,54.28 y ejercido de $12,503,376.48 distribuido mediante los ejes de trabajo de prevención, seguridad y búsqueda de la siguiente manera:</w:t>
      </w:r>
    </w:p>
    <w:tbl>
      <w:tblPr>
        <w:tblStyle w:val="Tablaconcuadrcula"/>
        <w:tblW w:w="0" w:type="auto"/>
        <w:tblInd w:w="720" w:type="dxa"/>
        <w:tblLook w:val="04A0" w:firstRow="1" w:lastRow="0" w:firstColumn="1" w:lastColumn="0" w:noHBand="0" w:noVBand="1"/>
      </w:tblPr>
      <w:tblGrid>
        <w:gridCol w:w="2101"/>
        <w:gridCol w:w="2058"/>
        <w:gridCol w:w="2107"/>
        <w:gridCol w:w="2076"/>
      </w:tblGrid>
      <w:tr w:rsidR="00E35B0E" w:rsidRPr="00EB5EE3" w14:paraId="7FB22D46" w14:textId="77777777" w:rsidTr="00E35B0E">
        <w:tc>
          <w:tcPr>
            <w:tcW w:w="2101" w:type="dxa"/>
          </w:tcPr>
          <w:p w14:paraId="4E27A92B" w14:textId="2726F929"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ALERTA</w:t>
            </w:r>
          </w:p>
        </w:tc>
        <w:tc>
          <w:tcPr>
            <w:tcW w:w="2058" w:type="dxa"/>
          </w:tcPr>
          <w:p w14:paraId="6291AA50" w14:textId="1988FF95"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EJE DE TRABAJO</w:t>
            </w:r>
          </w:p>
        </w:tc>
        <w:tc>
          <w:tcPr>
            <w:tcW w:w="2107" w:type="dxa"/>
          </w:tcPr>
          <w:p w14:paraId="093FBB26" w14:textId="14E6A4A0"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MONTO ASIGNADO</w:t>
            </w:r>
          </w:p>
        </w:tc>
        <w:tc>
          <w:tcPr>
            <w:tcW w:w="2076" w:type="dxa"/>
          </w:tcPr>
          <w:p w14:paraId="6CFB4C7C" w14:textId="4F728949"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MONTO EJERCIDO</w:t>
            </w:r>
          </w:p>
        </w:tc>
      </w:tr>
      <w:tr w:rsidR="00E35B0E" w:rsidRPr="00EB5EE3" w14:paraId="2CA71C0C" w14:textId="77777777" w:rsidTr="00E35B0E">
        <w:tc>
          <w:tcPr>
            <w:tcW w:w="2101" w:type="dxa"/>
          </w:tcPr>
          <w:p w14:paraId="717FDCEC" w14:textId="41007306"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Desaparición</w:t>
            </w:r>
          </w:p>
        </w:tc>
        <w:tc>
          <w:tcPr>
            <w:tcW w:w="2058" w:type="dxa"/>
          </w:tcPr>
          <w:p w14:paraId="514B4BBC" w14:textId="17F33FD3"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Búsqueda</w:t>
            </w:r>
          </w:p>
        </w:tc>
        <w:tc>
          <w:tcPr>
            <w:tcW w:w="2107" w:type="dxa"/>
          </w:tcPr>
          <w:p w14:paraId="50A54AD4" w14:textId="5A850B19"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$6,005,898.07</w:t>
            </w:r>
          </w:p>
        </w:tc>
        <w:tc>
          <w:tcPr>
            <w:tcW w:w="2076" w:type="dxa"/>
          </w:tcPr>
          <w:p w14:paraId="7034978E" w14:textId="65A161CD"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$6,005,898.07</w:t>
            </w:r>
          </w:p>
        </w:tc>
      </w:tr>
      <w:tr w:rsidR="00E35B0E" w:rsidRPr="00EB5EE3" w14:paraId="739FB3AB" w14:textId="77777777" w:rsidTr="00E35B0E">
        <w:tc>
          <w:tcPr>
            <w:tcW w:w="2101" w:type="dxa"/>
          </w:tcPr>
          <w:p w14:paraId="21EBBCC5" w14:textId="6369EA3E"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feminicidio</w:t>
            </w:r>
          </w:p>
        </w:tc>
        <w:tc>
          <w:tcPr>
            <w:tcW w:w="2058" w:type="dxa"/>
          </w:tcPr>
          <w:p w14:paraId="6BB5A52F" w14:textId="6B993B7A"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 xml:space="preserve">Prevención </w:t>
            </w:r>
          </w:p>
        </w:tc>
        <w:tc>
          <w:tcPr>
            <w:tcW w:w="2107" w:type="dxa"/>
          </w:tcPr>
          <w:p w14:paraId="328EF130" w14:textId="4E10DA68"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$1,950,793.87</w:t>
            </w:r>
          </w:p>
        </w:tc>
        <w:tc>
          <w:tcPr>
            <w:tcW w:w="2076" w:type="dxa"/>
          </w:tcPr>
          <w:p w14:paraId="30C794AE" w14:textId="2FBA7323"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$1,950,793.87</w:t>
            </w:r>
          </w:p>
        </w:tc>
      </w:tr>
      <w:tr w:rsidR="00E35B0E" w:rsidRPr="00EB5EE3" w14:paraId="3B55DFF8" w14:textId="77777777" w:rsidTr="00E35B0E">
        <w:tc>
          <w:tcPr>
            <w:tcW w:w="2101" w:type="dxa"/>
          </w:tcPr>
          <w:p w14:paraId="50BCACDE" w14:textId="5E434D21"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lastRenderedPageBreak/>
              <w:t xml:space="preserve">Feminicidio </w:t>
            </w:r>
          </w:p>
        </w:tc>
        <w:tc>
          <w:tcPr>
            <w:tcW w:w="2058" w:type="dxa"/>
          </w:tcPr>
          <w:p w14:paraId="7140A354" w14:textId="23173911"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seguridad</w:t>
            </w:r>
          </w:p>
        </w:tc>
        <w:tc>
          <w:tcPr>
            <w:tcW w:w="2107" w:type="dxa"/>
          </w:tcPr>
          <w:p w14:paraId="57C6AFD2" w14:textId="6D027C20"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$4,551,852.34</w:t>
            </w:r>
          </w:p>
        </w:tc>
        <w:tc>
          <w:tcPr>
            <w:tcW w:w="2076" w:type="dxa"/>
          </w:tcPr>
          <w:p w14:paraId="7C53F11D" w14:textId="75F0AB84"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$4,346,684.54</w:t>
            </w:r>
          </w:p>
        </w:tc>
      </w:tr>
      <w:tr w:rsidR="00E35B0E" w:rsidRPr="00EB5EE3" w14:paraId="5A6D664D" w14:textId="77777777" w:rsidTr="00E35B0E">
        <w:tc>
          <w:tcPr>
            <w:tcW w:w="4159" w:type="dxa"/>
            <w:gridSpan w:val="2"/>
          </w:tcPr>
          <w:p w14:paraId="30CC4BE3" w14:textId="352DB21C"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 xml:space="preserve">Total </w:t>
            </w:r>
          </w:p>
        </w:tc>
        <w:tc>
          <w:tcPr>
            <w:tcW w:w="2107" w:type="dxa"/>
          </w:tcPr>
          <w:p w14:paraId="28881703" w14:textId="7558FED1"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$12,508,544.28</w:t>
            </w:r>
          </w:p>
        </w:tc>
        <w:tc>
          <w:tcPr>
            <w:tcW w:w="2076" w:type="dxa"/>
          </w:tcPr>
          <w:p w14:paraId="07E795E0" w14:textId="477CA2BF" w:rsidR="00E35B0E" w:rsidRPr="00EB5EE3" w:rsidRDefault="00E35B0E" w:rsidP="00E35B0E">
            <w:pPr>
              <w:pStyle w:val="Prrafodelista"/>
              <w:autoSpaceDE w:val="0"/>
              <w:autoSpaceDN w:val="0"/>
              <w:adjustRightInd w:val="0"/>
              <w:spacing w:before="240" w:after="160" w:line="360" w:lineRule="auto"/>
              <w:ind w:left="0"/>
              <w:jc w:val="both"/>
              <w:rPr>
                <w:rFonts w:ascii="Palatino Linotype" w:hAnsi="Palatino Linotype"/>
                <w:i/>
                <w:iCs/>
                <w:sz w:val="22"/>
                <w:szCs w:val="22"/>
              </w:rPr>
            </w:pPr>
            <w:r w:rsidRPr="00EB5EE3">
              <w:rPr>
                <w:rFonts w:ascii="Palatino Linotype" w:hAnsi="Palatino Linotype"/>
                <w:i/>
                <w:iCs/>
                <w:sz w:val="22"/>
                <w:szCs w:val="22"/>
              </w:rPr>
              <w:t>$12,503,376.48</w:t>
            </w:r>
          </w:p>
        </w:tc>
      </w:tr>
    </w:tbl>
    <w:p w14:paraId="06C29470" w14:textId="397F11F6" w:rsidR="00E35B0E" w:rsidRPr="00E35B0E" w:rsidRDefault="00E35B0E" w:rsidP="00E35B0E">
      <w:pPr>
        <w:pStyle w:val="Prrafodelista"/>
        <w:autoSpaceDE w:val="0"/>
        <w:autoSpaceDN w:val="0"/>
        <w:adjustRightInd w:val="0"/>
        <w:spacing w:before="240" w:after="160" w:line="360" w:lineRule="auto"/>
        <w:ind w:left="720"/>
        <w:jc w:val="both"/>
        <w:rPr>
          <w:rFonts w:ascii="Palatino Linotype" w:hAnsi="Palatino Linotype"/>
          <w:b/>
          <w:bCs/>
          <w:i/>
          <w:iCs/>
        </w:rPr>
      </w:pPr>
      <w:r w:rsidRPr="00EB5EE3">
        <w:rPr>
          <w:rFonts w:ascii="Palatino Linotype" w:hAnsi="Palatino Linotype"/>
          <w:i/>
          <w:iCs/>
          <w:sz w:val="22"/>
          <w:szCs w:val="22"/>
        </w:rPr>
        <w:t>En el 2023 se llevaron a cabo el Programa Presupuestario: “Igualdad de trato y oportunidad de llevar la mujer y el hombre”, de lo que se anexa documental probatorio”</w:t>
      </w:r>
      <w:r>
        <w:rPr>
          <w:rFonts w:ascii="Palatino Linotype" w:hAnsi="Palatino Linotype"/>
          <w:i/>
          <w:iCs/>
        </w:rPr>
        <w:t xml:space="preserve"> </w:t>
      </w:r>
      <w:r>
        <w:rPr>
          <w:rFonts w:ascii="Palatino Linotype" w:hAnsi="Palatino Linotype"/>
          <w:b/>
          <w:bCs/>
          <w:i/>
          <w:iCs/>
        </w:rPr>
        <w:t>(Sic)</w:t>
      </w:r>
    </w:p>
    <w:p w14:paraId="5752FABA" w14:textId="77777777" w:rsidR="00E35B0E" w:rsidRPr="00E35B0E" w:rsidRDefault="00E35B0E" w:rsidP="00E35B0E">
      <w:pPr>
        <w:pStyle w:val="Prrafodelista"/>
        <w:autoSpaceDE w:val="0"/>
        <w:autoSpaceDN w:val="0"/>
        <w:adjustRightInd w:val="0"/>
        <w:spacing w:before="240" w:after="160" w:line="360" w:lineRule="auto"/>
        <w:ind w:left="720"/>
        <w:jc w:val="both"/>
        <w:rPr>
          <w:rFonts w:ascii="Palatino Linotype" w:hAnsi="Palatino Linotype"/>
          <w:i/>
          <w:iCs/>
          <w:noProof/>
          <w:lang w:eastAsia="es-MX"/>
        </w:rPr>
      </w:pPr>
    </w:p>
    <w:p w14:paraId="742F78A9" w14:textId="6F4E8889" w:rsidR="00B42ECE" w:rsidRDefault="00B42ECE" w:rsidP="007145FB">
      <w:pPr>
        <w:pStyle w:val="Prrafodelista"/>
        <w:numPr>
          <w:ilvl w:val="0"/>
          <w:numId w:val="1"/>
        </w:numPr>
        <w:autoSpaceDE w:val="0"/>
        <w:autoSpaceDN w:val="0"/>
        <w:adjustRightInd w:val="0"/>
        <w:spacing w:before="240" w:after="160" w:line="360" w:lineRule="auto"/>
        <w:jc w:val="both"/>
        <w:rPr>
          <w:rFonts w:ascii="Palatino Linotype" w:hAnsi="Palatino Linotype"/>
          <w:noProof/>
          <w:lang w:val="es-MX" w:eastAsia="es-MX"/>
        </w:rPr>
      </w:pPr>
      <w:r w:rsidRPr="00E35B0E">
        <w:rPr>
          <w:rFonts w:ascii="Palatino Linotype" w:hAnsi="Palatino Linotype"/>
          <w:b/>
          <w:bCs/>
          <w:lang w:val="es-MX"/>
        </w:rPr>
        <w:t xml:space="preserve">“00436-TOLUCA-IP-20250002.pdf”: </w:t>
      </w:r>
      <w:r w:rsidR="00E35B0E" w:rsidRPr="00E35B0E">
        <w:rPr>
          <w:rFonts w:ascii="Palatino Linotype" w:hAnsi="Palatino Linotype"/>
          <w:lang w:val="es-MX"/>
        </w:rPr>
        <w:t>PbRM-02a “Calendariz</w:t>
      </w:r>
      <w:r w:rsidR="00E35B0E">
        <w:rPr>
          <w:rFonts w:ascii="Palatino Linotype" w:hAnsi="Palatino Linotype"/>
          <w:lang w:val="es-MX"/>
        </w:rPr>
        <w:t xml:space="preserve">ación de metas de actividad por proyecto”, </w:t>
      </w:r>
      <w:r w:rsidR="004D7545">
        <w:rPr>
          <w:rFonts w:ascii="Palatino Linotype" w:hAnsi="Palatino Linotype"/>
          <w:lang w:val="es-MX"/>
        </w:rPr>
        <w:t xml:space="preserve">elaborado por la Dirección de las mujeres, del periodo comprendido del uno al treinta y uno de diciembre de dos mil veintitrés, consistente en </w:t>
      </w:r>
      <w:r w:rsidR="004D7545">
        <w:rPr>
          <w:rFonts w:ascii="Palatino Linotype" w:hAnsi="Palatino Linotype"/>
          <w:b/>
          <w:bCs/>
          <w:lang w:val="es-MX"/>
        </w:rPr>
        <w:t xml:space="preserve">3 -tres- </w:t>
      </w:r>
      <w:r w:rsidR="004D7545">
        <w:rPr>
          <w:rFonts w:ascii="Palatino Linotype" w:hAnsi="Palatino Linotype"/>
          <w:lang w:val="es-MX"/>
        </w:rPr>
        <w:t xml:space="preserve">fojas. </w:t>
      </w:r>
    </w:p>
    <w:p w14:paraId="45644D42" w14:textId="77777777" w:rsidR="004D7545" w:rsidRDefault="004D7545" w:rsidP="004D7545">
      <w:pPr>
        <w:autoSpaceDE w:val="0"/>
        <w:autoSpaceDN w:val="0"/>
        <w:adjustRightInd w:val="0"/>
        <w:spacing w:before="240" w:line="360" w:lineRule="auto"/>
        <w:ind w:left="360"/>
        <w:jc w:val="both"/>
        <w:rPr>
          <w:rFonts w:ascii="Palatino Linotype" w:hAnsi="Palatino Linotype"/>
          <w:noProof/>
          <w:lang w:eastAsia="es-MX"/>
        </w:rPr>
      </w:pPr>
    </w:p>
    <w:p w14:paraId="2449E6A5" w14:textId="579CB2B8" w:rsidR="004D7545" w:rsidRDefault="00843F94" w:rsidP="00843F94">
      <w:pPr>
        <w:pStyle w:val="Prrafodelista"/>
        <w:autoSpaceDE w:val="0"/>
        <w:autoSpaceDN w:val="0"/>
        <w:adjustRightInd w:val="0"/>
        <w:spacing w:before="240" w:after="160" w:line="360" w:lineRule="auto"/>
        <w:ind w:left="0"/>
        <w:jc w:val="both"/>
        <w:rPr>
          <w:rFonts w:ascii="Palatino Linotype" w:hAnsi="Palatino Linotype"/>
        </w:rPr>
      </w:pPr>
      <w:r>
        <w:rPr>
          <w:rFonts w:ascii="Palatino Linotype" w:hAnsi="Palatino Linotype"/>
        </w:rPr>
        <w:t xml:space="preserve">Inconforme con la respuesta del </w:t>
      </w:r>
      <w:r>
        <w:rPr>
          <w:rFonts w:ascii="Palatino Linotype" w:hAnsi="Palatino Linotype"/>
          <w:b/>
          <w:bCs/>
        </w:rPr>
        <w:t xml:space="preserve">Sujeto Obligado, El Recurrente </w:t>
      </w:r>
      <w:r>
        <w:rPr>
          <w:rFonts w:ascii="Palatino Linotype" w:hAnsi="Palatino Linotype"/>
        </w:rPr>
        <w:t xml:space="preserve">interpuso recurso de revisión en fecha </w:t>
      </w:r>
      <w:r w:rsidR="004D7545">
        <w:rPr>
          <w:rFonts w:ascii="Palatino Linotype" w:hAnsi="Palatino Linotype"/>
          <w:b/>
          <w:bCs/>
        </w:rPr>
        <w:t xml:space="preserve">quince de marzo, </w:t>
      </w:r>
      <w:r w:rsidR="004D7545">
        <w:rPr>
          <w:rFonts w:ascii="Palatino Linotype" w:hAnsi="Palatino Linotype"/>
        </w:rPr>
        <w:t xml:space="preserve">admitiéndose el </w:t>
      </w:r>
      <w:r w:rsidR="004D7545">
        <w:rPr>
          <w:rFonts w:ascii="Palatino Linotype" w:hAnsi="Palatino Linotype"/>
          <w:b/>
          <w:bCs/>
        </w:rPr>
        <w:t xml:space="preserve">diecinueve de marzo de dos mil veinticinco. </w:t>
      </w:r>
      <w:r w:rsidR="004D7545">
        <w:rPr>
          <w:rFonts w:ascii="Palatino Linotype" w:hAnsi="Palatino Linotype"/>
        </w:rPr>
        <w:t xml:space="preserve">Señalando las siguientes manifestaciones: </w:t>
      </w:r>
    </w:p>
    <w:p w14:paraId="65A2F510" w14:textId="77777777" w:rsidR="004D7545" w:rsidRDefault="004D7545" w:rsidP="004D7545">
      <w:pPr>
        <w:spacing w:before="240" w:line="360" w:lineRule="auto"/>
        <w:jc w:val="both"/>
        <w:rPr>
          <w:rFonts w:ascii="Palatino Linotype" w:hAnsi="Palatino Linotype" w:cs="Arial"/>
          <w:b/>
          <w:sz w:val="24"/>
        </w:rPr>
      </w:pPr>
      <w:r>
        <w:rPr>
          <w:rFonts w:ascii="Palatino Linotype" w:hAnsi="Palatino Linotype" w:cs="Arial"/>
          <w:b/>
          <w:sz w:val="24"/>
        </w:rPr>
        <w:t>Acto Impugnado:</w:t>
      </w:r>
    </w:p>
    <w:p w14:paraId="37A056C2" w14:textId="77777777" w:rsidR="004D7545" w:rsidRPr="00712E3A" w:rsidRDefault="004D7545" w:rsidP="004D7545">
      <w:pPr>
        <w:pStyle w:val="Citas"/>
        <w:rPr>
          <w:b/>
        </w:rPr>
      </w:pPr>
      <w:r w:rsidRPr="00B32223">
        <w:t>“</w:t>
      </w:r>
      <w:r w:rsidRPr="00D43677">
        <w:t>Una prorroga fuera de tiempo y falta el programa</w:t>
      </w:r>
      <w:r w:rsidRPr="00B32223">
        <w:t>"</w:t>
      </w:r>
      <w:r>
        <w:rPr>
          <w:b/>
          <w:bCs/>
        </w:rPr>
        <w:t xml:space="preserve"> (Sic)</w:t>
      </w:r>
    </w:p>
    <w:p w14:paraId="1D2D1231" w14:textId="77777777" w:rsidR="004D7545" w:rsidRDefault="004D7545" w:rsidP="004D7545">
      <w:pPr>
        <w:spacing w:before="240" w:line="360" w:lineRule="auto"/>
        <w:jc w:val="both"/>
        <w:rPr>
          <w:rFonts w:ascii="Palatino Linotype" w:hAnsi="Palatino Linotype" w:cs="Arial"/>
          <w:sz w:val="24"/>
        </w:rPr>
      </w:pPr>
      <w:r>
        <w:rPr>
          <w:rFonts w:ascii="Palatino Linotype" w:hAnsi="Palatino Linotype" w:cs="Arial"/>
          <w:b/>
          <w:sz w:val="24"/>
        </w:rPr>
        <w:t>Razones o Motivos de Inconformidad</w:t>
      </w:r>
      <w:r>
        <w:rPr>
          <w:rFonts w:ascii="Palatino Linotype" w:hAnsi="Palatino Linotype" w:cs="Arial"/>
          <w:sz w:val="24"/>
        </w:rPr>
        <w:t xml:space="preserve">: </w:t>
      </w:r>
    </w:p>
    <w:p w14:paraId="651FA0BD" w14:textId="77777777" w:rsidR="004D7545" w:rsidRPr="00712E3A" w:rsidRDefault="004D7545" w:rsidP="004D7545">
      <w:pPr>
        <w:pStyle w:val="Citas"/>
      </w:pPr>
      <w:r w:rsidRPr="00B32223">
        <w:t>“</w:t>
      </w:r>
      <w:r w:rsidRPr="00D43677">
        <w:t xml:space="preserve">Falta el programa que se </w:t>
      </w:r>
      <w:proofErr w:type="spellStart"/>
      <w:r w:rsidRPr="00D43677">
        <w:t>solicito</w:t>
      </w:r>
      <w:proofErr w:type="spellEnd"/>
      <w:r w:rsidRPr="00B32223">
        <w:t>"</w:t>
      </w:r>
      <w:r w:rsidRPr="00A354C4">
        <w:t xml:space="preserve"> </w:t>
      </w:r>
      <w:r>
        <w:rPr>
          <w:b/>
        </w:rPr>
        <w:t>(Sic)</w:t>
      </w:r>
    </w:p>
    <w:p w14:paraId="572023F8" w14:textId="4132743D" w:rsidR="00F14ADB" w:rsidRDefault="004D7545" w:rsidP="00843F94">
      <w:pPr>
        <w:pStyle w:val="Prrafodelista"/>
        <w:autoSpaceDE w:val="0"/>
        <w:autoSpaceDN w:val="0"/>
        <w:adjustRightInd w:val="0"/>
        <w:spacing w:before="240" w:after="160" w:line="360" w:lineRule="auto"/>
        <w:ind w:left="0"/>
        <w:jc w:val="both"/>
        <w:rPr>
          <w:rFonts w:ascii="Palatino Linotype" w:hAnsi="Palatino Linotype"/>
        </w:rPr>
      </w:pPr>
      <w:r>
        <w:rPr>
          <w:rFonts w:ascii="Palatino Linotype" w:hAnsi="Palatino Linotype"/>
          <w:lang w:val="es-MX"/>
        </w:rPr>
        <w:lastRenderedPageBreak/>
        <w:t xml:space="preserve">Dentro de este orden de ideas, con relación al motivo de inconformidad relativo a </w:t>
      </w:r>
      <w:r w:rsidRPr="004D7545">
        <w:rPr>
          <w:rFonts w:ascii="Palatino Linotype" w:hAnsi="Palatino Linotype"/>
          <w:i/>
          <w:iCs/>
          <w:lang w:val="es-MX"/>
        </w:rPr>
        <w:t>“</w:t>
      </w:r>
      <w:r w:rsidRPr="004D7545">
        <w:rPr>
          <w:rFonts w:ascii="Palatino Linotype" w:hAnsi="Palatino Linotype"/>
          <w:i/>
          <w:iCs/>
        </w:rPr>
        <w:t>Una prorroga fuera de tiempo</w:t>
      </w:r>
      <w:r>
        <w:rPr>
          <w:rFonts w:ascii="Palatino Linotype" w:hAnsi="Palatino Linotype"/>
          <w:i/>
          <w:iCs/>
        </w:rPr>
        <w:t xml:space="preserve">”, </w:t>
      </w:r>
      <w:r>
        <w:rPr>
          <w:rFonts w:ascii="Palatino Linotype" w:hAnsi="Palatino Linotype"/>
        </w:rPr>
        <w:t>se destaca que en términos del numeral 162 de la Ley de Transparencia local prevé un plazo para dar respuesta a las solicitudes de información de 15 -quince- días hábiles, con posibilidad de ampliarse por 7 -siete- días hábiles más, siempre y cuando existan</w:t>
      </w:r>
      <w:r w:rsidR="00F14ADB">
        <w:rPr>
          <w:rFonts w:ascii="Palatino Linotype" w:hAnsi="Palatino Linotype"/>
        </w:rPr>
        <w:t xml:space="preserve"> razones fundadas y motivadas. </w:t>
      </w:r>
    </w:p>
    <w:p w14:paraId="41587D59" w14:textId="2A381018" w:rsidR="004D7545" w:rsidRPr="004D7545" w:rsidRDefault="00F14ADB" w:rsidP="00843F94">
      <w:pPr>
        <w:pStyle w:val="Prrafodelista"/>
        <w:autoSpaceDE w:val="0"/>
        <w:autoSpaceDN w:val="0"/>
        <w:adjustRightInd w:val="0"/>
        <w:spacing w:before="240" w:after="160" w:line="360" w:lineRule="auto"/>
        <w:ind w:left="0"/>
        <w:jc w:val="both"/>
        <w:rPr>
          <w:rFonts w:ascii="Palatino Linotype" w:hAnsi="Palatino Linotype"/>
          <w:lang w:val="es-MX"/>
        </w:rPr>
      </w:pPr>
      <w:r>
        <w:rPr>
          <w:rFonts w:ascii="Palatino Linotype" w:hAnsi="Palatino Linotype"/>
        </w:rPr>
        <w:t xml:space="preserve">En las generalizaciones anteriores, la solicitud de información fue presentada el veintidós de enero de dos mil veinticinco, mientras que la solicitud de prórroga fue presentada el trece de febrero del presente, en contraste la respuesta del </w:t>
      </w:r>
      <w:r>
        <w:rPr>
          <w:rFonts w:ascii="Palatino Linotype" w:hAnsi="Palatino Linotype"/>
          <w:b/>
          <w:bCs/>
        </w:rPr>
        <w:t xml:space="preserve">Sujeto Obligado </w:t>
      </w:r>
      <w:r>
        <w:rPr>
          <w:rFonts w:ascii="Palatino Linotype" w:hAnsi="Palatino Linotype"/>
        </w:rPr>
        <w:t xml:space="preserve">fue rendida el veinticuatro de febrero de dos mil veinticinco.   </w:t>
      </w:r>
      <w:r w:rsidR="004D7545">
        <w:rPr>
          <w:rFonts w:ascii="Palatino Linotype" w:hAnsi="Palatino Linotype"/>
        </w:rPr>
        <w:t xml:space="preserve"> </w:t>
      </w:r>
      <w:r w:rsidR="004D7545">
        <w:rPr>
          <w:rFonts w:ascii="Palatino Linotype" w:hAnsi="Palatino Linotype"/>
        </w:rPr>
        <w:tab/>
      </w:r>
      <w:r>
        <w:rPr>
          <w:rFonts w:ascii="Palatino Linotype" w:hAnsi="Palatino Linotype"/>
        </w:rPr>
        <w:tab/>
      </w:r>
    </w:p>
    <w:p w14:paraId="3D1537AC" w14:textId="77C5F867" w:rsidR="004D7545" w:rsidRDefault="00EB5EE3" w:rsidP="00843F94">
      <w:pPr>
        <w:pStyle w:val="Prrafodelista"/>
        <w:autoSpaceDE w:val="0"/>
        <w:autoSpaceDN w:val="0"/>
        <w:adjustRightInd w:val="0"/>
        <w:spacing w:before="240" w:after="160" w:line="360" w:lineRule="auto"/>
        <w:ind w:left="0"/>
        <w:jc w:val="both"/>
        <w:rPr>
          <w:rFonts w:ascii="Palatino Linotype" w:hAnsi="Palatino Linotype"/>
        </w:rPr>
      </w:pPr>
      <w:r>
        <w:rPr>
          <w:rFonts w:ascii="Palatino Linotype" w:hAnsi="Palatino Linotype"/>
        </w:rPr>
        <w:t xml:space="preserve">Dentro de este marco, la respuesta fue rendida en el día </w:t>
      </w:r>
      <w:r w:rsidR="0089431B">
        <w:rPr>
          <w:rFonts w:ascii="Palatino Linotype" w:hAnsi="Palatino Linotype"/>
          <w:b/>
          <w:bCs/>
        </w:rPr>
        <w:t>vigésimo segundo</w:t>
      </w:r>
      <w:r>
        <w:rPr>
          <w:rFonts w:ascii="Palatino Linotype" w:hAnsi="Palatino Linotype"/>
          <w:b/>
          <w:bCs/>
        </w:rPr>
        <w:t xml:space="preserve"> hábil, </w:t>
      </w:r>
      <w:r>
        <w:rPr>
          <w:rFonts w:ascii="Palatino Linotype" w:hAnsi="Palatino Linotype"/>
        </w:rPr>
        <w:t xml:space="preserve">contado a partir del día siguiente en que fue formulada la solicitud de información </w:t>
      </w:r>
      <w:r>
        <w:rPr>
          <w:rFonts w:ascii="Palatino Linotype" w:hAnsi="Palatino Linotype"/>
          <w:b/>
          <w:bCs/>
        </w:rPr>
        <w:t xml:space="preserve">00436/TOLUCA/IP/2025. </w:t>
      </w:r>
      <w:r>
        <w:rPr>
          <w:rFonts w:ascii="Palatino Linotype" w:hAnsi="Palatino Linotype"/>
        </w:rPr>
        <w:t xml:space="preserve">En este sentido se comprende que el acto impugnado relativo a </w:t>
      </w:r>
      <w:r w:rsidRPr="004D7545">
        <w:rPr>
          <w:rFonts w:ascii="Palatino Linotype" w:hAnsi="Palatino Linotype"/>
          <w:i/>
          <w:iCs/>
          <w:lang w:val="es-MX"/>
        </w:rPr>
        <w:t>“</w:t>
      </w:r>
      <w:r w:rsidRPr="004D7545">
        <w:rPr>
          <w:rFonts w:ascii="Palatino Linotype" w:hAnsi="Palatino Linotype"/>
          <w:i/>
          <w:iCs/>
        </w:rPr>
        <w:t>Una prorroga fuera de tiempo</w:t>
      </w:r>
      <w:r>
        <w:rPr>
          <w:rFonts w:ascii="Palatino Linotype" w:hAnsi="Palatino Linotype"/>
          <w:i/>
          <w:iCs/>
        </w:rPr>
        <w:t xml:space="preserve">”, </w:t>
      </w:r>
      <w:r>
        <w:rPr>
          <w:rFonts w:ascii="Palatino Linotype" w:hAnsi="Palatino Linotype"/>
        </w:rPr>
        <w:t xml:space="preserve">deviene infundado, al rendir respuesta de forma oportuna. </w:t>
      </w:r>
    </w:p>
    <w:p w14:paraId="59E414D5" w14:textId="6791AF79" w:rsidR="00220F2C" w:rsidRPr="00EB5EE3" w:rsidRDefault="00EB5EE3" w:rsidP="00EB5EE3">
      <w:pPr>
        <w:pStyle w:val="Prrafodelista"/>
        <w:autoSpaceDE w:val="0"/>
        <w:autoSpaceDN w:val="0"/>
        <w:adjustRightInd w:val="0"/>
        <w:spacing w:before="240" w:after="160" w:line="360" w:lineRule="auto"/>
        <w:ind w:left="0"/>
        <w:jc w:val="both"/>
        <w:rPr>
          <w:rFonts w:ascii="Palatino Linotype" w:hAnsi="Palatino Linotype"/>
        </w:rPr>
      </w:pPr>
      <w:r>
        <w:rPr>
          <w:rFonts w:ascii="Palatino Linotype" w:hAnsi="Palatino Linotype"/>
        </w:rPr>
        <w:t>Ahora bien, debe arribarse a la premisa de que el particular da por consentido</w:t>
      </w:r>
      <w:r w:rsidR="0089431B">
        <w:rPr>
          <w:rFonts w:ascii="Palatino Linotype" w:hAnsi="Palatino Linotype"/>
        </w:rPr>
        <w:t>s</w:t>
      </w:r>
      <w:r>
        <w:rPr>
          <w:rFonts w:ascii="Palatino Linotype" w:hAnsi="Palatino Linotype"/>
        </w:rPr>
        <w:t xml:space="preserve"> </w:t>
      </w:r>
      <w:r>
        <w:rPr>
          <w:rFonts w:ascii="Palatino Linotype" w:hAnsi="Palatino Linotype"/>
          <w:b/>
          <w:bCs/>
        </w:rPr>
        <w:t xml:space="preserve">los puntos 2, 3 y 4. </w:t>
      </w:r>
      <w:r w:rsidR="00220F2C" w:rsidRPr="00EB5EE3">
        <w:rPr>
          <w:rFonts w:ascii="Palatino Linotype" w:hAnsi="Palatino Linotype"/>
          <w:iCs/>
        </w:rPr>
        <w:t xml:space="preserve">Bajo estas líneas argumentativas, la parte de la solicitud sobre la que no se expresó inconformidad </w:t>
      </w:r>
      <w:r w:rsidR="00220F2C" w:rsidRPr="00EB5EE3">
        <w:rPr>
          <w:rFonts w:ascii="Palatino Linotype" w:hAnsi="Palatino Linotype"/>
          <w:iCs/>
          <w:lang w:eastAsia="es-MX"/>
        </w:rPr>
        <w:t xml:space="preserve">debe declararse consentida por el hoy </w:t>
      </w:r>
      <w:r w:rsidR="00220F2C" w:rsidRPr="00EB5EE3">
        <w:rPr>
          <w:rFonts w:ascii="Palatino Linotype" w:hAnsi="Palatino Linotype"/>
          <w:b/>
          <w:iCs/>
          <w:lang w:eastAsia="es-MX"/>
        </w:rPr>
        <w:t xml:space="preserve">Recurrente, </w:t>
      </w:r>
      <w:r w:rsidR="00220F2C" w:rsidRPr="00EB5EE3">
        <w:rPr>
          <w:rFonts w:ascii="Palatino Linotype" w:hAnsi="Palatino Linotype"/>
          <w:iCs/>
          <w:lang w:eastAsia="es-MX"/>
        </w:rPr>
        <w:t xml:space="preserve">ya que no pueden producirse efectos jurídicos tendentes a revocar, confirmar o modificar la parte de la respuesta con relación a la parte de la solicitud que no fue motivo de disenso ya que se infiere un consentimiento del </w:t>
      </w:r>
      <w:r w:rsidR="00220F2C" w:rsidRPr="00EB5EE3">
        <w:rPr>
          <w:rFonts w:ascii="Palatino Linotype" w:hAnsi="Palatino Linotype"/>
          <w:b/>
          <w:iCs/>
          <w:lang w:eastAsia="es-MX"/>
        </w:rPr>
        <w:t>Recurrente</w:t>
      </w:r>
      <w:r w:rsidR="00220F2C" w:rsidRPr="00EB5EE3">
        <w:rPr>
          <w:rFonts w:ascii="Palatino Linotype" w:hAnsi="Palatino Linotype"/>
          <w:iCs/>
          <w:lang w:eastAsia="es-MX"/>
        </w:rPr>
        <w:t xml:space="preserve"> ante la falta de impugnación eficaz. </w:t>
      </w:r>
      <w:r w:rsidR="00220F2C" w:rsidRPr="00EB5EE3">
        <w:rPr>
          <w:rFonts w:ascii="Palatino Linotype" w:hAnsi="Palatino Linotype"/>
          <w:iCs/>
        </w:rPr>
        <w:t>Sirve de sustento a lo anterior, por analogía, la tesis jurisprudencial, que a la letra dice:</w:t>
      </w:r>
      <w:r w:rsidR="00220F2C" w:rsidRPr="00EB5EE3">
        <w:rPr>
          <w:rFonts w:ascii="Palatino Linotype" w:hAnsi="Palatino Linotype"/>
        </w:rPr>
        <w:t xml:space="preserve"> </w:t>
      </w:r>
    </w:p>
    <w:p w14:paraId="1E0009D2" w14:textId="77777777" w:rsidR="00220F2C" w:rsidRPr="001300D8" w:rsidRDefault="00220F2C" w:rsidP="00220F2C">
      <w:pPr>
        <w:pStyle w:val="Prrafodelista"/>
        <w:spacing w:before="240" w:after="160" w:line="360" w:lineRule="auto"/>
        <w:ind w:left="851" w:right="851"/>
        <w:jc w:val="both"/>
        <w:rPr>
          <w:rFonts w:ascii="Palatino Linotype" w:hAnsi="Palatino Linotype"/>
          <w:i/>
          <w:sz w:val="22"/>
          <w:szCs w:val="22"/>
        </w:rPr>
      </w:pPr>
      <w:r w:rsidRPr="001300D8">
        <w:rPr>
          <w:rFonts w:ascii="Palatino Linotype" w:hAnsi="Palatino Linotype"/>
          <w:i/>
          <w:sz w:val="22"/>
          <w:szCs w:val="22"/>
        </w:rPr>
        <w:t>“Época: Novena</w:t>
      </w:r>
    </w:p>
    <w:p w14:paraId="028579FC" w14:textId="77777777" w:rsidR="00220F2C" w:rsidRPr="001300D8" w:rsidRDefault="00220F2C" w:rsidP="00220F2C">
      <w:pPr>
        <w:pStyle w:val="Prrafodelista"/>
        <w:spacing w:before="240" w:after="160" w:line="360" w:lineRule="auto"/>
        <w:ind w:left="851" w:right="851"/>
        <w:jc w:val="both"/>
        <w:rPr>
          <w:rFonts w:ascii="Palatino Linotype" w:hAnsi="Palatino Linotype"/>
          <w:i/>
          <w:sz w:val="22"/>
          <w:szCs w:val="22"/>
        </w:rPr>
      </w:pPr>
      <w:r w:rsidRPr="001300D8">
        <w:rPr>
          <w:rFonts w:ascii="Palatino Linotype" w:hAnsi="Palatino Linotype"/>
          <w:i/>
          <w:sz w:val="22"/>
          <w:szCs w:val="22"/>
        </w:rPr>
        <w:lastRenderedPageBreak/>
        <w:t>Registro: 176608</w:t>
      </w:r>
    </w:p>
    <w:p w14:paraId="55A570F8" w14:textId="77777777" w:rsidR="00220F2C" w:rsidRPr="001300D8" w:rsidRDefault="00220F2C" w:rsidP="00220F2C">
      <w:pPr>
        <w:pStyle w:val="Prrafodelista"/>
        <w:spacing w:before="240" w:after="160" w:line="360" w:lineRule="auto"/>
        <w:ind w:left="851" w:right="851"/>
        <w:jc w:val="both"/>
        <w:rPr>
          <w:rFonts w:ascii="Palatino Linotype" w:hAnsi="Palatino Linotype"/>
          <w:i/>
          <w:sz w:val="22"/>
          <w:szCs w:val="22"/>
        </w:rPr>
      </w:pPr>
      <w:r w:rsidRPr="001300D8">
        <w:rPr>
          <w:rFonts w:ascii="Palatino Linotype" w:hAnsi="Palatino Linotype"/>
          <w:i/>
          <w:sz w:val="22"/>
          <w:szCs w:val="22"/>
        </w:rPr>
        <w:t>Tipo de tesis: Jurisprudencia</w:t>
      </w:r>
    </w:p>
    <w:p w14:paraId="46EBAB51" w14:textId="77777777" w:rsidR="00220F2C" w:rsidRPr="001300D8" w:rsidRDefault="00220F2C" w:rsidP="00220F2C">
      <w:pPr>
        <w:pStyle w:val="Prrafodelista"/>
        <w:spacing w:before="240" w:after="160" w:line="360" w:lineRule="auto"/>
        <w:ind w:left="851" w:right="851"/>
        <w:jc w:val="both"/>
        <w:rPr>
          <w:rFonts w:ascii="Palatino Linotype" w:hAnsi="Palatino Linotype"/>
          <w:i/>
          <w:sz w:val="22"/>
          <w:szCs w:val="22"/>
        </w:rPr>
      </w:pPr>
      <w:r w:rsidRPr="001300D8">
        <w:rPr>
          <w:rFonts w:ascii="Palatino Linotype" w:hAnsi="Palatino Linotype"/>
          <w:i/>
          <w:sz w:val="22"/>
          <w:szCs w:val="22"/>
        </w:rPr>
        <w:t>Fuente: Semanario Judicial de la Federación y su Gaceta</w:t>
      </w:r>
    </w:p>
    <w:p w14:paraId="5A182F5F" w14:textId="77777777" w:rsidR="00220F2C" w:rsidRPr="001300D8" w:rsidRDefault="00220F2C" w:rsidP="00220F2C">
      <w:pPr>
        <w:pStyle w:val="Prrafodelista"/>
        <w:spacing w:before="240" w:after="160" w:line="360" w:lineRule="auto"/>
        <w:ind w:left="851" w:right="851"/>
        <w:jc w:val="both"/>
        <w:rPr>
          <w:rFonts w:ascii="Palatino Linotype" w:hAnsi="Palatino Linotype"/>
          <w:i/>
          <w:sz w:val="22"/>
          <w:szCs w:val="22"/>
        </w:rPr>
      </w:pPr>
      <w:r w:rsidRPr="001300D8">
        <w:rPr>
          <w:rFonts w:ascii="Palatino Linotype" w:hAnsi="Palatino Linotype"/>
          <w:i/>
          <w:sz w:val="22"/>
          <w:szCs w:val="22"/>
        </w:rPr>
        <w:t>Diciembre de 2005, Tomo XXII</w:t>
      </w:r>
    </w:p>
    <w:p w14:paraId="6CDE2D65" w14:textId="77777777" w:rsidR="00220F2C" w:rsidRPr="001300D8" w:rsidRDefault="00220F2C" w:rsidP="00220F2C">
      <w:pPr>
        <w:pStyle w:val="Prrafodelista"/>
        <w:spacing w:before="240" w:after="160" w:line="360" w:lineRule="auto"/>
        <w:ind w:left="851" w:right="851"/>
        <w:jc w:val="both"/>
        <w:rPr>
          <w:rFonts w:ascii="Palatino Linotype" w:hAnsi="Palatino Linotype"/>
          <w:i/>
          <w:sz w:val="22"/>
          <w:szCs w:val="22"/>
        </w:rPr>
      </w:pPr>
      <w:r w:rsidRPr="001300D8">
        <w:rPr>
          <w:rFonts w:ascii="Palatino Linotype" w:hAnsi="Palatino Linotype"/>
          <w:i/>
          <w:sz w:val="22"/>
          <w:szCs w:val="22"/>
        </w:rPr>
        <w:t>Materia (s): Común</w:t>
      </w:r>
    </w:p>
    <w:p w14:paraId="22806C63" w14:textId="77777777" w:rsidR="00220F2C" w:rsidRPr="001300D8" w:rsidRDefault="00220F2C" w:rsidP="00220F2C">
      <w:pPr>
        <w:pStyle w:val="Prrafodelista"/>
        <w:spacing w:before="240" w:after="160" w:line="360" w:lineRule="auto"/>
        <w:ind w:left="851" w:right="851"/>
        <w:jc w:val="both"/>
        <w:rPr>
          <w:rFonts w:ascii="Palatino Linotype" w:hAnsi="Palatino Linotype"/>
          <w:i/>
          <w:sz w:val="22"/>
          <w:szCs w:val="22"/>
        </w:rPr>
      </w:pPr>
      <w:r w:rsidRPr="001300D8">
        <w:rPr>
          <w:rFonts w:ascii="Palatino Linotype" w:hAnsi="Palatino Linotype"/>
          <w:i/>
          <w:sz w:val="22"/>
          <w:szCs w:val="22"/>
        </w:rPr>
        <w:t>Tesis: VI. 3o.C. J/60</w:t>
      </w:r>
    </w:p>
    <w:p w14:paraId="33CACCA3" w14:textId="77777777" w:rsidR="00220F2C" w:rsidRPr="001300D8" w:rsidRDefault="00220F2C" w:rsidP="00220F2C">
      <w:pPr>
        <w:pStyle w:val="Prrafodelista"/>
        <w:spacing w:before="240" w:after="160" w:line="360" w:lineRule="auto"/>
        <w:ind w:left="851" w:right="851"/>
        <w:jc w:val="both"/>
        <w:rPr>
          <w:rFonts w:ascii="Palatino Linotype" w:hAnsi="Palatino Linotype"/>
          <w:i/>
          <w:sz w:val="22"/>
          <w:szCs w:val="22"/>
        </w:rPr>
      </w:pPr>
      <w:r w:rsidRPr="001300D8">
        <w:rPr>
          <w:rFonts w:ascii="Palatino Linotype" w:hAnsi="Palatino Linotype"/>
          <w:i/>
          <w:sz w:val="22"/>
          <w:szCs w:val="22"/>
        </w:rPr>
        <w:t>Página: 2365</w:t>
      </w:r>
    </w:p>
    <w:p w14:paraId="06194550" w14:textId="77777777" w:rsidR="00220F2C" w:rsidRPr="001300D8" w:rsidRDefault="00220F2C" w:rsidP="00220F2C">
      <w:pPr>
        <w:spacing w:before="240" w:line="360" w:lineRule="auto"/>
        <w:ind w:left="851" w:right="851"/>
        <w:jc w:val="both"/>
        <w:rPr>
          <w:rFonts w:ascii="Palatino Linotype" w:hAnsi="Palatino Linotype" w:cs="Arial"/>
          <w:i/>
          <w:lang w:eastAsia="es-MX"/>
        </w:rPr>
      </w:pPr>
      <w:r w:rsidRPr="001300D8">
        <w:rPr>
          <w:rFonts w:ascii="Palatino Linotype" w:hAnsi="Palatino Linotype" w:cs="Arial"/>
          <w:i/>
          <w:lang w:eastAsia="es-MX"/>
        </w:rPr>
        <w:t xml:space="preserve"> </w:t>
      </w:r>
      <w:r w:rsidRPr="001300D8">
        <w:rPr>
          <w:rFonts w:ascii="Palatino Linotype" w:hAnsi="Palatino Linotype" w:cs="Arial"/>
          <w:b/>
          <w:i/>
          <w:lang w:eastAsia="es-MX"/>
        </w:rPr>
        <w:t>ACTOS CONSENTIDOS. SON LOS QUE NO SE IMPUGNAN MEDIANTE EL RECURSO IDÓNEO</w:t>
      </w:r>
      <w:r w:rsidRPr="001300D8">
        <w:rPr>
          <w:rFonts w:ascii="Palatino Linotype" w:hAnsi="Palatino Linotype" w:cs="Arial"/>
          <w:i/>
          <w:lang w:eastAsia="es-MX"/>
        </w:rPr>
        <w:t xml:space="preserve">. </w:t>
      </w:r>
    </w:p>
    <w:p w14:paraId="1284B51A" w14:textId="77777777" w:rsidR="00220F2C" w:rsidRPr="001300D8" w:rsidRDefault="00220F2C" w:rsidP="00220F2C">
      <w:pPr>
        <w:spacing w:before="240" w:line="360" w:lineRule="auto"/>
        <w:ind w:left="851" w:right="851"/>
        <w:jc w:val="both"/>
        <w:rPr>
          <w:rFonts w:ascii="Palatino Linotype" w:hAnsi="Palatino Linotype" w:cs="Arial"/>
          <w:i/>
          <w:lang w:eastAsia="es-MX"/>
        </w:rPr>
      </w:pPr>
      <w:r w:rsidRPr="001300D8">
        <w:rPr>
          <w:rFonts w:ascii="Palatino Linotype" w:hAnsi="Palatino Linotype" w:cs="Arial"/>
          <w:i/>
          <w:lang w:eastAsia="es-MX"/>
        </w:rPr>
        <w:t>Debe reputarse como consentido el acto que no se impugnó por el medio establecido por la ley, ya que si se hizo uso de otro no previsto por ella o si se hace una simple manifestación de inconformidad, tales actuaciones no producen efectos jurídicos tendientes a revocar, confirmar o modificar el acto reclamado en amparo, lo que significa consentimiento del mismo por falta de impugnación eficaz.</w:t>
      </w:r>
    </w:p>
    <w:p w14:paraId="08247247" w14:textId="77777777" w:rsidR="00220F2C" w:rsidRPr="001300D8" w:rsidRDefault="00220F2C" w:rsidP="00220F2C">
      <w:pPr>
        <w:spacing w:before="240" w:line="360" w:lineRule="auto"/>
        <w:ind w:left="851" w:right="851"/>
        <w:jc w:val="both"/>
        <w:rPr>
          <w:rFonts w:ascii="Palatino Linotype" w:eastAsia="Times New Roman" w:hAnsi="Palatino Linotype" w:cs="Calibri"/>
          <w:i/>
          <w:color w:val="000000"/>
          <w:lang w:eastAsia="es-MX"/>
        </w:rPr>
      </w:pPr>
      <w:r w:rsidRPr="001300D8">
        <w:rPr>
          <w:rFonts w:ascii="Palatino Linotype" w:eastAsia="Times New Roman" w:hAnsi="Palatino Linotype" w:cs="Calibri"/>
          <w:i/>
          <w:color w:val="000000"/>
          <w:lang w:eastAsia="es-MX"/>
        </w:rPr>
        <w:t>TERCER TRIBUNAL COLEGIADO EN MATERIA CIVIL DEL SEXTO CIRCUITO.</w:t>
      </w:r>
    </w:p>
    <w:p w14:paraId="7940BA5F" w14:textId="77777777" w:rsidR="00220F2C" w:rsidRPr="001300D8" w:rsidRDefault="00220F2C" w:rsidP="00220F2C">
      <w:pPr>
        <w:spacing w:before="240" w:line="360" w:lineRule="auto"/>
        <w:ind w:left="851" w:right="851"/>
        <w:jc w:val="both"/>
        <w:rPr>
          <w:rFonts w:ascii="Palatino Linotype" w:eastAsia="Times New Roman" w:hAnsi="Palatino Linotype" w:cs="Calibri"/>
          <w:i/>
          <w:color w:val="444444"/>
          <w:lang w:eastAsia="es-MX"/>
        </w:rPr>
      </w:pPr>
      <w:r w:rsidRPr="001300D8">
        <w:rPr>
          <w:rFonts w:ascii="Palatino Linotype" w:eastAsia="Times New Roman" w:hAnsi="Palatino Linotype" w:cs="Calibri"/>
          <w:i/>
          <w:color w:val="444444"/>
          <w:lang w:eastAsia="es-MX"/>
        </w:rPr>
        <w:t>Amparo en revisión 2/90. Germán Miguel Núñez Rivera. 13 de noviembre de 1990. Unanimidad de votos. Ponente: Juan Manuel Brito Velázquez. Secretaria: Luz del Carmen Herrera Calderón.</w:t>
      </w:r>
    </w:p>
    <w:p w14:paraId="433AD1A3" w14:textId="77777777" w:rsidR="00220F2C" w:rsidRPr="001300D8" w:rsidRDefault="00220F2C" w:rsidP="00220F2C">
      <w:pPr>
        <w:spacing w:before="240" w:line="360" w:lineRule="auto"/>
        <w:ind w:left="851" w:right="851"/>
        <w:jc w:val="both"/>
        <w:rPr>
          <w:rFonts w:ascii="Palatino Linotype" w:eastAsia="Times New Roman" w:hAnsi="Palatino Linotype" w:cs="Calibri"/>
          <w:i/>
          <w:color w:val="444444"/>
          <w:lang w:eastAsia="es-MX"/>
        </w:rPr>
      </w:pPr>
      <w:r w:rsidRPr="001300D8">
        <w:rPr>
          <w:rFonts w:ascii="Palatino Linotype" w:eastAsia="Times New Roman" w:hAnsi="Palatino Linotype" w:cs="Calibri"/>
          <w:i/>
          <w:color w:val="444444"/>
          <w:lang w:eastAsia="es-MX"/>
        </w:rPr>
        <w:lastRenderedPageBreak/>
        <w:t xml:space="preserve">Amparo en revisión 393/90. Amparo </w:t>
      </w:r>
      <w:proofErr w:type="spellStart"/>
      <w:r w:rsidRPr="001300D8">
        <w:rPr>
          <w:rFonts w:ascii="Palatino Linotype" w:eastAsia="Times New Roman" w:hAnsi="Palatino Linotype" w:cs="Calibri"/>
          <w:i/>
          <w:color w:val="444444"/>
          <w:lang w:eastAsia="es-MX"/>
        </w:rPr>
        <w:t>Naylor</w:t>
      </w:r>
      <w:proofErr w:type="spellEnd"/>
      <w:r w:rsidRPr="001300D8">
        <w:rPr>
          <w:rFonts w:ascii="Palatino Linotype" w:eastAsia="Times New Roman" w:hAnsi="Palatino Linotype" w:cs="Calibri"/>
          <w:i/>
          <w:color w:val="444444"/>
          <w:lang w:eastAsia="es-MX"/>
        </w:rPr>
        <w:t xml:space="preserve"> Hernández y otros. 6 de diciembre de 1990. Unanimidad de votos. Ponente: Juan Manuel Brito Velázquez. Secretaria: María Dolores Olarte Ruvalcaba.</w:t>
      </w:r>
    </w:p>
    <w:p w14:paraId="42892F42" w14:textId="77777777" w:rsidR="00220F2C" w:rsidRPr="001300D8" w:rsidRDefault="00220F2C" w:rsidP="00220F2C">
      <w:pPr>
        <w:spacing w:before="240" w:line="360" w:lineRule="auto"/>
        <w:ind w:left="851" w:right="851"/>
        <w:jc w:val="both"/>
        <w:rPr>
          <w:rFonts w:ascii="Palatino Linotype" w:eastAsia="Times New Roman" w:hAnsi="Palatino Linotype" w:cs="Calibri"/>
          <w:i/>
          <w:color w:val="444444"/>
          <w:lang w:eastAsia="es-MX"/>
        </w:rPr>
      </w:pPr>
      <w:r w:rsidRPr="001300D8">
        <w:rPr>
          <w:rFonts w:ascii="Palatino Linotype" w:eastAsia="Times New Roman" w:hAnsi="Palatino Linotype" w:cs="Calibri"/>
          <w:i/>
          <w:color w:val="444444"/>
          <w:lang w:eastAsia="es-MX"/>
        </w:rPr>
        <w:t>Amparo directo 352/2000. Omar González Morales. 1o. de septiembre de 2000. Unanimidad de votos. Ponente: Teresa Munguía Sánchez. Secretaria: Julieta Esther Fernández Gaona.</w:t>
      </w:r>
    </w:p>
    <w:p w14:paraId="23E6D709" w14:textId="77777777" w:rsidR="00220F2C" w:rsidRPr="001300D8" w:rsidRDefault="00220F2C" w:rsidP="00220F2C">
      <w:pPr>
        <w:spacing w:before="240" w:line="360" w:lineRule="auto"/>
        <w:ind w:left="851" w:right="851"/>
        <w:jc w:val="both"/>
        <w:rPr>
          <w:rFonts w:ascii="Palatino Linotype" w:eastAsia="Times New Roman" w:hAnsi="Palatino Linotype" w:cs="Calibri"/>
          <w:i/>
          <w:color w:val="444444"/>
          <w:lang w:eastAsia="es-MX"/>
        </w:rPr>
      </w:pPr>
      <w:r w:rsidRPr="001300D8">
        <w:rPr>
          <w:rFonts w:ascii="Palatino Linotype" w:eastAsia="Times New Roman" w:hAnsi="Palatino Linotype" w:cs="Calibri"/>
          <w:i/>
          <w:color w:val="444444"/>
          <w:lang w:eastAsia="es-MX"/>
        </w:rPr>
        <w:t xml:space="preserve">Amparo directo 366/2005. Virginia </w:t>
      </w:r>
      <w:proofErr w:type="spellStart"/>
      <w:r w:rsidRPr="001300D8">
        <w:rPr>
          <w:rFonts w:ascii="Palatino Linotype" w:eastAsia="Times New Roman" w:hAnsi="Palatino Linotype" w:cs="Calibri"/>
          <w:i/>
          <w:color w:val="444444"/>
          <w:lang w:eastAsia="es-MX"/>
        </w:rPr>
        <w:t>Quixihuitl</w:t>
      </w:r>
      <w:proofErr w:type="spellEnd"/>
      <w:r w:rsidRPr="001300D8">
        <w:rPr>
          <w:rFonts w:ascii="Palatino Linotype" w:eastAsia="Times New Roman" w:hAnsi="Palatino Linotype" w:cs="Calibri"/>
          <w:i/>
          <w:color w:val="444444"/>
          <w:lang w:eastAsia="es-MX"/>
        </w:rPr>
        <w:t xml:space="preserve"> Burgos y otra. 14 de octubre de 2005. Unanimidad de votos. Ponente: Norma </w:t>
      </w:r>
      <w:proofErr w:type="spellStart"/>
      <w:r w:rsidRPr="001300D8">
        <w:rPr>
          <w:rFonts w:ascii="Palatino Linotype" w:eastAsia="Times New Roman" w:hAnsi="Palatino Linotype" w:cs="Calibri"/>
          <w:i/>
          <w:color w:val="444444"/>
          <w:lang w:eastAsia="es-MX"/>
        </w:rPr>
        <w:t>Fiallega</w:t>
      </w:r>
      <w:proofErr w:type="spellEnd"/>
      <w:r w:rsidRPr="001300D8">
        <w:rPr>
          <w:rFonts w:ascii="Palatino Linotype" w:eastAsia="Times New Roman" w:hAnsi="Palatino Linotype" w:cs="Calibri"/>
          <w:i/>
          <w:color w:val="444444"/>
          <w:lang w:eastAsia="es-MX"/>
        </w:rPr>
        <w:t xml:space="preserve"> Sánchez. Secretario: Horacio Óscar Rosete Mentado.</w:t>
      </w:r>
    </w:p>
    <w:p w14:paraId="69D448DD" w14:textId="77777777" w:rsidR="00220F2C" w:rsidRDefault="00220F2C" w:rsidP="00220F2C">
      <w:pPr>
        <w:spacing w:before="240" w:line="360" w:lineRule="auto"/>
        <w:ind w:left="851" w:right="851"/>
        <w:jc w:val="both"/>
        <w:rPr>
          <w:rFonts w:ascii="Palatino Linotype" w:eastAsia="Times New Roman" w:hAnsi="Palatino Linotype" w:cs="Calibri"/>
          <w:b/>
          <w:i/>
          <w:color w:val="444444"/>
          <w:lang w:eastAsia="es-MX"/>
        </w:rPr>
      </w:pPr>
      <w:r w:rsidRPr="001300D8">
        <w:rPr>
          <w:rFonts w:ascii="Palatino Linotype" w:eastAsia="Times New Roman" w:hAnsi="Palatino Linotype" w:cs="Calibri"/>
          <w:i/>
          <w:color w:val="444444"/>
          <w:lang w:eastAsia="es-MX"/>
        </w:rPr>
        <w:t xml:space="preserve">Amparo en revisión 353/2005. Francisco Torres Coronel y otro. 4 de noviembre de 2005. Unanimidad de votos. Ponente: Filiberto Méndez Gutiérrez. Secretaria: Carla </w:t>
      </w:r>
      <w:proofErr w:type="spellStart"/>
      <w:r w:rsidRPr="001300D8">
        <w:rPr>
          <w:rFonts w:ascii="Palatino Linotype" w:eastAsia="Times New Roman" w:hAnsi="Palatino Linotype" w:cs="Calibri"/>
          <w:i/>
          <w:color w:val="444444"/>
          <w:lang w:eastAsia="es-MX"/>
        </w:rPr>
        <w:t>Isselín</w:t>
      </w:r>
      <w:proofErr w:type="spellEnd"/>
      <w:r w:rsidRPr="001300D8">
        <w:rPr>
          <w:rFonts w:ascii="Palatino Linotype" w:eastAsia="Times New Roman" w:hAnsi="Palatino Linotype" w:cs="Calibri"/>
          <w:i/>
          <w:color w:val="444444"/>
          <w:lang w:eastAsia="es-MX"/>
        </w:rPr>
        <w:t xml:space="preserve"> Talavera.” </w:t>
      </w:r>
      <w:r w:rsidRPr="001300D8">
        <w:rPr>
          <w:rFonts w:ascii="Palatino Linotype" w:eastAsia="Times New Roman" w:hAnsi="Palatino Linotype" w:cs="Calibri"/>
          <w:b/>
          <w:i/>
          <w:color w:val="444444"/>
          <w:lang w:eastAsia="es-MX"/>
        </w:rPr>
        <w:t>[Sic]</w:t>
      </w:r>
    </w:p>
    <w:p w14:paraId="0FFC22E6" w14:textId="77777777" w:rsidR="00220F2C" w:rsidRDefault="00220F2C" w:rsidP="00220F2C">
      <w:pPr>
        <w:spacing w:after="0" w:line="360" w:lineRule="auto"/>
        <w:jc w:val="both"/>
        <w:rPr>
          <w:rFonts w:ascii="Palatino Linotype" w:hAnsi="Palatino Linotype" w:cs="Arial"/>
          <w:noProof/>
          <w:color w:val="000000"/>
          <w:sz w:val="24"/>
          <w:lang w:eastAsia="es-MX"/>
        </w:rPr>
      </w:pPr>
    </w:p>
    <w:p w14:paraId="56D39883" w14:textId="77777777" w:rsidR="00220F2C" w:rsidRDefault="00220F2C" w:rsidP="00220F2C">
      <w:pPr>
        <w:spacing w:after="0" w:line="360" w:lineRule="auto"/>
        <w:jc w:val="both"/>
        <w:rPr>
          <w:rFonts w:ascii="Palatino Linotype" w:hAnsi="Palatino Linotype" w:cs="Arial"/>
          <w:noProof/>
          <w:color w:val="000000"/>
          <w:sz w:val="24"/>
          <w:lang w:eastAsia="es-MX"/>
        </w:rPr>
      </w:pPr>
      <w:r>
        <w:rPr>
          <w:rFonts w:ascii="Palatino Linotype" w:hAnsi="Palatino Linotype" w:cs="Arial"/>
          <w:noProof/>
          <w:color w:val="000000"/>
          <w:sz w:val="24"/>
          <w:lang w:eastAsia="es-MX"/>
        </w:rPr>
        <w:t xml:space="preserve">De forma complementaria, robustece lo anterior el criterio </w:t>
      </w:r>
      <w:r>
        <w:rPr>
          <w:rFonts w:ascii="Palatino Linotype" w:hAnsi="Palatino Linotype" w:cs="Arial"/>
          <w:b/>
          <w:bCs/>
          <w:noProof/>
          <w:color w:val="000000"/>
          <w:sz w:val="24"/>
          <w:lang w:eastAsia="es-MX"/>
        </w:rPr>
        <w:t xml:space="preserve">01/20 </w:t>
      </w:r>
      <w:r>
        <w:rPr>
          <w:rFonts w:ascii="Palatino Linotype" w:hAnsi="Palatino Linotype" w:cs="Arial"/>
          <w:noProof/>
          <w:color w:val="000000"/>
          <w:sz w:val="24"/>
          <w:lang w:eastAsia="es-MX"/>
        </w:rPr>
        <w:t xml:space="preserve">emitido por el Instituto Nacional de Transparencia, Acceso a la Información y Protección de Datos Personales, cuyo rubro y texto señalan a la literalidad lo siguiente: </w:t>
      </w:r>
    </w:p>
    <w:p w14:paraId="0E8EB3F5" w14:textId="77777777" w:rsidR="00220F2C" w:rsidRDefault="00220F2C" w:rsidP="00220F2C">
      <w:pPr>
        <w:pStyle w:val="Citas"/>
        <w:rPr>
          <w:b/>
        </w:rPr>
      </w:pPr>
      <w:r>
        <w:rPr>
          <w:b/>
        </w:rPr>
        <w:t>“</w:t>
      </w:r>
      <w:r w:rsidRPr="00D83913">
        <w:rPr>
          <w:b/>
        </w:rPr>
        <w:t>ACTOS CONSENTIDOS</w:t>
      </w:r>
      <w:r>
        <w:rPr>
          <w:b/>
        </w:rPr>
        <w:t xml:space="preserve"> TÁCITAMENTE</w:t>
      </w:r>
      <w:r w:rsidRPr="00D83913">
        <w:rPr>
          <w:b/>
        </w:rPr>
        <w:t xml:space="preserve">. </w:t>
      </w:r>
      <w:r w:rsidRPr="004A37A7">
        <w:rPr>
          <w:b/>
        </w:rPr>
        <w:t>IMPROCEDENCIA</w:t>
      </w:r>
      <w:r w:rsidRPr="00D83913">
        <w:rPr>
          <w:b/>
        </w:rPr>
        <w:t xml:space="preserve"> DE SU ANÁLISIS. </w:t>
      </w:r>
    </w:p>
    <w:p w14:paraId="139A73BB" w14:textId="77777777" w:rsidR="00220F2C" w:rsidRPr="0071419E" w:rsidRDefault="00220F2C" w:rsidP="00220F2C">
      <w:pPr>
        <w:pStyle w:val="Citas"/>
        <w:rPr>
          <w:strike/>
        </w:rPr>
      </w:pPr>
      <w:r>
        <w:t xml:space="preserve">Si en su recurso de revisión, la persona recurrente </w:t>
      </w:r>
      <w:r w:rsidRPr="00D83913">
        <w:t xml:space="preserve">no expresó inconformidad alguna con ciertas partes de la respuesta otorgada, </w:t>
      </w:r>
      <w:r w:rsidRPr="0071419E">
        <w:t xml:space="preserve">se entienden tácitamente consentidas, por ende, no deben formar parte del estudio de fondo de la resolución que emite el Instituto. </w:t>
      </w:r>
    </w:p>
    <w:p w14:paraId="2756897A" w14:textId="77777777" w:rsidR="00220F2C" w:rsidRPr="00D83913" w:rsidRDefault="00220F2C" w:rsidP="00220F2C">
      <w:pPr>
        <w:pStyle w:val="Citas"/>
        <w:rPr>
          <w:b/>
          <w:bCs/>
        </w:rPr>
      </w:pPr>
      <w:r w:rsidRPr="00D83913">
        <w:rPr>
          <w:b/>
          <w:bCs/>
        </w:rPr>
        <w:lastRenderedPageBreak/>
        <w:t>Resoluciones</w:t>
      </w:r>
      <w:r>
        <w:rPr>
          <w:b/>
          <w:bCs/>
        </w:rPr>
        <w:t>:</w:t>
      </w:r>
    </w:p>
    <w:p w14:paraId="3DE4DE2B" w14:textId="77777777" w:rsidR="00220F2C" w:rsidRPr="00D83913" w:rsidRDefault="00220F2C" w:rsidP="00220F2C">
      <w:pPr>
        <w:pStyle w:val="Citas"/>
      </w:pPr>
      <w:r w:rsidRPr="00D83913">
        <w:rPr>
          <w:b/>
        </w:rPr>
        <w:t xml:space="preserve">RRA 4548/18. </w:t>
      </w:r>
      <w:r w:rsidRPr="00D83913">
        <w:t>Instituto de Seguridad y Servicios Sociales de los Trabajadores del Estado. 12 de septiembre de 2018. Por unanimidad. Comisionado Ponente Oscar Mauricio Guerra Ford.</w:t>
      </w:r>
    </w:p>
    <w:p w14:paraId="102BF117" w14:textId="77777777" w:rsidR="00220F2C" w:rsidRPr="009754D6" w:rsidRDefault="007145FB" w:rsidP="00220F2C">
      <w:pPr>
        <w:pStyle w:val="Citas"/>
        <w:rPr>
          <w:sz w:val="20"/>
        </w:rPr>
      </w:pPr>
      <w:hyperlink r:id="rId10" w:history="1">
        <w:r w:rsidR="00220F2C" w:rsidRPr="009754D6">
          <w:rPr>
            <w:rStyle w:val="Hipervnculo"/>
          </w:rPr>
          <w:t>http://consultas.ifai.org.mx/descargar.php?r=./pdf/resoluciones/2018/&amp;a=RRA%204548.pdf</w:t>
        </w:r>
      </w:hyperlink>
    </w:p>
    <w:p w14:paraId="00CCAE31" w14:textId="77777777" w:rsidR="00220F2C" w:rsidRPr="009754D6" w:rsidRDefault="00220F2C" w:rsidP="00220F2C">
      <w:pPr>
        <w:pStyle w:val="Citas"/>
        <w:rPr>
          <w:b/>
        </w:rPr>
      </w:pPr>
      <w:r w:rsidRPr="009754D6">
        <w:rPr>
          <w:b/>
        </w:rPr>
        <w:t xml:space="preserve">RRA 5097/18. </w:t>
      </w:r>
      <w:r w:rsidRPr="009754D6">
        <w:t>Secretaría de Hacienda y Crédito Público. 05 de septiembre de 2018. Por unanimidad. Comisionado Ponente Joel Salas Suárez.</w:t>
      </w:r>
    </w:p>
    <w:p w14:paraId="47432F12" w14:textId="77777777" w:rsidR="00220F2C" w:rsidRPr="009754D6" w:rsidRDefault="007145FB" w:rsidP="00220F2C">
      <w:pPr>
        <w:pStyle w:val="Citas"/>
        <w:rPr>
          <w:sz w:val="20"/>
        </w:rPr>
      </w:pPr>
      <w:hyperlink r:id="rId11" w:history="1">
        <w:r w:rsidR="00220F2C" w:rsidRPr="009754D6">
          <w:rPr>
            <w:rStyle w:val="Hipervnculo"/>
          </w:rPr>
          <w:t>http://consultas.ifai.org.mx/descargar.php?r=./pdf/resoluciones/2018/&amp;a=RRA%205097.pdf</w:t>
        </w:r>
      </w:hyperlink>
    </w:p>
    <w:p w14:paraId="777191E4" w14:textId="77777777" w:rsidR="00220F2C" w:rsidRPr="009754D6" w:rsidRDefault="00220F2C" w:rsidP="00220F2C">
      <w:pPr>
        <w:pStyle w:val="Citas"/>
        <w:rPr>
          <w:b/>
        </w:rPr>
      </w:pPr>
      <w:r w:rsidRPr="009754D6">
        <w:rPr>
          <w:b/>
        </w:rPr>
        <w:t xml:space="preserve">RRA 14270/19. </w:t>
      </w:r>
      <w:r w:rsidRPr="009754D6">
        <w:t>Registro Agrario Nacional. 22 de enero de 2020. Por unanimidad. Comisionado Ponente Francisco Javier Acuña Llamas.</w:t>
      </w:r>
    </w:p>
    <w:p w14:paraId="5AF6C0A7" w14:textId="77777777" w:rsidR="00220F2C" w:rsidRPr="009754D6" w:rsidRDefault="007145FB" w:rsidP="00220F2C">
      <w:pPr>
        <w:pStyle w:val="Citas"/>
        <w:rPr>
          <w:rStyle w:val="Hipervnculo"/>
          <w:b/>
          <w:bCs/>
          <w:color w:val="auto"/>
          <w:sz w:val="24"/>
          <w:szCs w:val="24"/>
          <w:u w:val="none"/>
          <w:lang w:val="en-US"/>
        </w:rPr>
      </w:pPr>
      <w:hyperlink r:id="rId12" w:history="1">
        <w:r w:rsidR="00220F2C" w:rsidRPr="009754D6">
          <w:rPr>
            <w:rStyle w:val="Hipervnculo"/>
            <w:lang w:val="en-US"/>
          </w:rPr>
          <w:t>http://consultas.ifai.org.mx/descargar.php?r=./pdf/resoluciones/2019/&amp;a=RRA%2014270.pdf</w:t>
        </w:r>
      </w:hyperlink>
      <w:r w:rsidR="00220F2C" w:rsidRPr="009754D6">
        <w:rPr>
          <w:rStyle w:val="Hipervnculo"/>
          <w:sz w:val="20"/>
          <w:lang w:val="en-US"/>
        </w:rPr>
        <w:t xml:space="preserve">” </w:t>
      </w:r>
      <w:r w:rsidR="00220F2C" w:rsidRPr="009754D6">
        <w:rPr>
          <w:rStyle w:val="Hipervnculo"/>
          <w:i w:val="0"/>
          <w:iCs/>
          <w:sz w:val="24"/>
          <w:szCs w:val="24"/>
          <w:u w:val="none"/>
          <w:lang w:val="en-US"/>
        </w:rPr>
        <w:t xml:space="preserve"> </w:t>
      </w:r>
      <w:r w:rsidR="00220F2C" w:rsidRPr="009754D6">
        <w:rPr>
          <w:rStyle w:val="Hipervnculo"/>
          <w:b/>
          <w:bCs/>
          <w:color w:val="auto"/>
          <w:sz w:val="24"/>
          <w:szCs w:val="24"/>
          <w:u w:val="none"/>
          <w:lang w:val="en-US"/>
        </w:rPr>
        <w:t xml:space="preserve">[Sic] </w:t>
      </w:r>
    </w:p>
    <w:p w14:paraId="01C9B008" w14:textId="77777777" w:rsidR="00220F2C" w:rsidRPr="00220F2C" w:rsidRDefault="00220F2C" w:rsidP="00843F94">
      <w:pPr>
        <w:pStyle w:val="Prrafodelista"/>
        <w:autoSpaceDE w:val="0"/>
        <w:autoSpaceDN w:val="0"/>
        <w:adjustRightInd w:val="0"/>
        <w:spacing w:before="240" w:after="160" w:line="360" w:lineRule="auto"/>
        <w:ind w:left="0"/>
        <w:jc w:val="both"/>
        <w:rPr>
          <w:rFonts w:ascii="Palatino Linotype" w:hAnsi="Palatino Linotype"/>
          <w:lang w:val="en-US"/>
        </w:rPr>
      </w:pPr>
    </w:p>
    <w:p w14:paraId="3D845E5A" w14:textId="010D10B0" w:rsidR="00843F94" w:rsidRPr="00843F94" w:rsidRDefault="00843F94" w:rsidP="00843F94">
      <w:pPr>
        <w:pStyle w:val="infoemcitas"/>
        <w:tabs>
          <w:tab w:val="left" w:pos="7655"/>
        </w:tabs>
        <w:ind w:left="0" w:right="0"/>
        <w:rPr>
          <w:i w:val="0"/>
          <w:sz w:val="24"/>
          <w:szCs w:val="24"/>
        </w:rPr>
      </w:pPr>
      <w:r>
        <w:rPr>
          <w:i w:val="0"/>
          <w:sz w:val="24"/>
          <w:szCs w:val="24"/>
        </w:rPr>
        <w:t xml:space="preserve">Así las cosas, hasta aquí lo expuesto, resulta inconcuso que el acto impugnado y las razones o motivos de inconformidad aducidos por </w:t>
      </w:r>
      <w:r>
        <w:rPr>
          <w:b/>
          <w:bCs/>
          <w:i w:val="0"/>
          <w:sz w:val="24"/>
          <w:szCs w:val="24"/>
        </w:rPr>
        <w:t xml:space="preserve">El Recurrente, </w:t>
      </w:r>
      <w:r>
        <w:rPr>
          <w:i w:val="0"/>
          <w:sz w:val="24"/>
          <w:szCs w:val="24"/>
        </w:rPr>
        <w:t>actualizan la</w:t>
      </w:r>
      <w:r w:rsidR="0089431B">
        <w:rPr>
          <w:i w:val="0"/>
          <w:sz w:val="24"/>
          <w:szCs w:val="24"/>
        </w:rPr>
        <w:t>s</w:t>
      </w:r>
      <w:r>
        <w:rPr>
          <w:i w:val="0"/>
          <w:sz w:val="24"/>
          <w:szCs w:val="24"/>
        </w:rPr>
        <w:t xml:space="preserve"> hipótesis prevista</w:t>
      </w:r>
      <w:r w:rsidR="0089431B">
        <w:rPr>
          <w:i w:val="0"/>
          <w:sz w:val="24"/>
          <w:szCs w:val="24"/>
        </w:rPr>
        <w:t>s</w:t>
      </w:r>
      <w:r>
        <w:rPr>
          <w:i w:val="0"/>
          <w:sz w:val="24"/>
          <w:szCs w:val="24"/>
        </w:rPr>
        <w:t xml:space="preserve"> en el artículo 179 </w:t>
      </w:r>
      <w:r w:rsidR="00EB5EE3">
        <w:rPr>
          <w:i w:val="0"/>
          <w:sz w:val="24"/>
          <w:szCs w:val="24"/>
        </w:rPr>
        <w:t>fracciones I y V</w:t>
      </w:r>
      <w:r>
        <w:rPr>
          <w:i w:val="0"/>
          <w:sz w:val="24"/>
          <w:szCs w:val="24"/>
        </w:rPr>
        <w:t xml:space="preserve"> de la Ley de Transparencia y Acceso a la Información Pública del Estado de México y Municipios, cuyo contenido literal es el siguiente:</w:t>
      </w:r>
    </w:p>
    <w:p w14:paraId="27DD8C91" w14:textId="77777777" w:rsidR="00843F94" w:rsidRDefault="00843F94" w:rsidP="00843F94">
      <w:pPr>
        <w:pStyle w:val="Citas"/>
      </w:pPr>
      <w:r>
        <w:lastRenderedPageBreak/>
        <w:t>“Artículo 179. El recurso de revisión es un medio de protección que la Ley otorga a los particulares, para hacer valer su derecho de acceso a la información pública, y procederá en contra de las siguientes causas:</w:t>
      </w:r>
    </w:p>
    <w:p w14:paraId="217F7668" w14:textId="1D7B0611" w:rsidR="00843F94" w:rsidRDefault="00843F94" w:rsidP="00843F94">
      <w:pPr>
        <w:pStyle w:val="Citas"/>
      </w:pPr>
      <w:r w:rsidRPr="00843F94">
        <w:t>I. La negativa a la información solicitada</w:t>
      </w:r>
    </w:p>
    <w:p w14:paraId="42AEFC2B" w14:textId="1DC79E4C" w:rsidR="00EB5EE3" w:rsidRDefault="00EB5EE3" w:rsidP="00843F94">
      <w:pPr>
        <w:pStyle w:val="Citas"/>
      </w:pPr>
      <w:r>
        <w:t>(…)</w:t>
      </w:r>
    </w:p>
    <w:p w14:paraId="2BDA6CCD" w14:textId="32F98596" w:rsidR="00EB5EE3" w:rsidRDefault="00EB5EE3" w:rsidP="00843F94">
      <w:pPr>
        <w:pStyle w:val="Citas"/>
      </w:pPr>
      <w:r w:rsidRPr="00EB5EE3">
        <w:t>V. La entrega de información incompleta;</w:t>
      </w:r>
    </w:p>
    <w:p w14:paraId="4160FF09" w14:textId="6836CD9E" w:rsidR="00843F94" w:rsidRPr="005A12AE" w:rsidRDefault="00843F94" w:rsidP="00843F94">
      <w:pPr>
        <w:pStyle w:val="Citas"/>
        <w:rPr>
          <w:b/>
          <w:bCs/>
          <w:noProof/>
          <w:color w:val="000000"/>
          <w:sz w:val="24"/>
          <w:lang w:eastAsia="es-MX"/>
        </w:rPr>
      </w:pPr>
      <w:r>
        <w:rPr>
          <w:noProof/>
          <w:color w:val="000000"/>
          <w:sz w:val="24"/>
          <w:lang w:eastAsia="es-MX"/>
        </w:rPr>
        <w:t xml:space="preserve">(…)” </w:t>
      </w:r>
      <w:r>
        <w:rPr>
          <w:b/>
          <w:bCs/>
          <w:noProof/>
          <w:color w:val="000000"/>
          <w:sz w:val="24"/>
          <w:lang w:eastAsia="es-MX"/>
        </w:rPr>
        <w:t>(Sic)</w:t>
      </w:r>
    </w:p>
    <w:p w14:paraId="02961D00" w14:textId="77777777" w:rsidR="00843F94" w:rsidRPr="00595F2F" w:rsidRDefault="00843F94" w:rsidP="00843F94">
      <w:pPr>
        <w:pStyle w:val="Prrafodelista"/>
        <w:autoSpaceDE w:val="0"/>
        <w:autoSpaceDN w:val="0"/>
        <w:adjustRightInd w:val="0"/>
        <w:spacing w:before="240" w:after="160" w:line="360" w:lineRule="auto"/>
        <w:ind w:left="0"/>
        <w:jc w:val="both"/>
        <w:rPr>
          <w:rFonts w:ascii="Palatino Linotype" w:hAnsi="Palatino Linotype"/>
          <w:lang w:val="es-MX"/>
        </w:rPr>
      </w:pPr>
    </w:p>
    <w:p w14:paraId="29542FA9" w14:textId="0BF96A90" w:rsidR="00EB5EE3" w:rsidRDefault="00843F94" w:rsidP="00843F94">
      <w:pPr>
        <w:pStyle w:val="Citas"/>
        <w:tabs>
          <w:tab w:val="left" w:pos="7470"/>
        </w:tabs>
        <w:ind w:left="0" w:right="72"/>
        <w:rPr>
          <w:i w:val="0"/>
          <w:sz w:val="24"/>
          <w:szCs w:val="24"/>
        </w:rPr>
      </w:pPr>
      <w:r>
        <w:rPr>
          <w:i w:val="0"/>
          <w:sz w:val="24"/>
          <w:szCs w:val="24"/>
        </w:rPr>
        <w:t xml:space="preserve">Por otra parte, como fue referido en el antecedente </w:t>
      </w:r>
      <w:r w:rsidR="00227574">
        <w:rPr>
          <w:i w:val="0"/>
          <w:sz w:val="24"/>
          <w:szCs w:val="24"/>
        </w:rPr>
        <w:t>sexto</w:t>
      </w:r>
      <w:r>
        <w:rPr>
          <w:i w:val="0"/>
          <w:sz w:val="24"/>
          <w:szCs w:val="24"/>
        </w:rPr>
        <w:t xml:space="preserve">, en fecha </w:t>
      </w:r>
      <w:r w:rsidR="00B97C95">
        <w:rPr>
          <w:b/>
          <w:bCs/>
          <w:i w:val="0"/>
          <w:sz w:val="24"/>
          <w:szCs w:val="24"/>
        </w:rPr>
        <w:t xml:space="preserve">veintiocho de marzo de dos mil veinticinco, El Sujeto Obligado </w:t>
      </w:r>
      <w:r w:rsidR="00B97C95">
        <w:rPr>
          <w:i w:val="0"/>
          <w:sz w:val="24"/>
          <w:szCs w:val="24"/>
        </w:rPr>
        <w:t>rindió su informe justificado en los siguientes términos:</w:t>
      </w:r>
    </w:p>
    <w:p w14:paraId="6D9A1F3C" w14:textId="1FE4784B" w:rsidR="00B97C95" w:rsidRDefault="00B97C95" w:rsidP="007145FB">
      <w:pPr>
        <w:pStyle w:val="Citas"/>
        <w:numPr>
          <w:ilvl w:val="0"/>
          <w:numId w:val="8"/>
        </w:numPr>
        <w:tabs>
          <w:tab w:val="left" w:pos="7470"/>
        </w:tabs>
        <w:ind w:right="72"/>
        <w:rPr>
          <w:b/>
          <w:bCs/>
          <w:i w:val="0"/>
          <w:sz w:val="24"/>
          <w:szCs w:val="24"/>
        </w:rPr>
      </w:pPr>
      <w:r>
        <w:rPr>
          <w:b/>
          <w:bCs/>
          <w:i w:val="0"/>
          <w:sz w:val="24"/>
          <w:szCs w:val="24"/>
        </w:rPr>
        <w:t xml:space="preserve">“Ratificación 03040.pdf”: </w:t>
      </w:r>
      <w:r>
        <w:rPr>
          <w:i w:val="0"/>
          <w:sz w:val="24"/>
          <w:szCs w:val="24"/>
        </w:rPr>
        <w:t xml:space="preserve">Oficio sin número emitido por el titular de la unidad de transparencia, dirigido al comisionado presidente, de fecha veinticinco de marzo de dos mil veinticinco, en lo medular ratifica la respuesta primigenia. </w:t>
      </w:r>
    </w:p>
    <w:p w14:paraId="4404B290" w14:textId="3BF0B2CA" w:rsidR="00B97C95" w:rsidRPr="00B97C95" w:rsidRDefault="00B97C95" w:rsidP="007145FB">
      <w:pPr>
        <w:pStyle w:val="Citas"/>
        <w:numPr>
          <w:ilvl w:val="0"/>
          <w:numId w:val="8"/>
        </w:numPr>
        <w:tabs>
          <w:tab w:val="left" w:pos="7470"/>
        </w:tabs>
        <w:ind w:right="72"/>
        <w:rPr>
          <w:b/>
          <w:bCs/>
          <w:i w:val="0"/>
          <w:sz w:val="24"/>
          <w:szCs w:val="24"/>
        </w:rPr>
      </w:pPr>
      <w:r>
        <w:rPr>
          <w:b/>
          <w:bCs/>
          <w:i w:val="0"/>
          <w:sz w:val="24"/>
          <w:szCs w:val="24"/>
        </w:rPr>
        <w:t xml:space="preserve">“ANEXO 03040.pdf”: </w:t>
      </w:r>
      <w:r>
        <w:rPr>
          <w:i w:val="0"/>
          <w:sz w:val="24"/>
          <w:szCs w:val="24"/>
        </w:rPr>
        <w:t xml:space="preserve">Oficio número </w:t>
      </w:r>
      <w:r>
        <w:rPr>
          <w:b/>
          <w:bCs/>
          <w:i w:val="0"/>
          <w:sz w:val="24"/>
          <w:szCs w:val="24"/>
        </w:rPr>
        <w:t xml:space="preserve">200F10000/871/2025 </w:t>
      </w:r>
      <w:r>
        <w:rPr>
          <w:i w:val="0"/>
          <w:sz w:val="24"/>
          <w:szCs w:val="24"/>
        </w:rPr>
        <w:t xml:space="preserve">signado por la directora general del Instituto Municipal de la Mujer, dirigido a la titular de la unidad de transparencia, de fecha veinticuatro de marzo de dos mil veinticinco, en términos generales confirma la respuesta primigenia. </w:t>
      </w:r>
    </w:p>
    <w:p w14:paraId="4D2352D5" w14:textId="77777777" w:rsidR="00EB5EE3" w:rsidRDefault="00EB5EE3" w:rsidP="00843F94">
      <w:pPr>
        <w:pStyle w:val="Citas"/>
        <w:tabs>
          <w:tab w:val="left" w:pos="7470"/>
        </w:tabs>
        <w:ind w:left="0" w:right="72"/>
        <w:rPr>
          <w:i w:val="0"/>
          <w:sz w:val="24"/>
          <w:szCs w:val="24"/>
        </w:rPr>
      </w:pPr>
    </w:p>
    <w:p w14:paraId="709A377F" w14:textId="77777777" w:rsidR="00EB5EE3" w:rsidRDefault="00EB5EE3" w:rsidP="00843F94">
      <w:pPr>
        <w:pStyle w:val="Citas"/>
        <w:tabs>
          <w:tab w:val="left" w:pos="7470"/>
        </w:tabs>
        <w:ind w:left="0" w:right="72"/>
        <w:rPr>
          <w:i w:val="0"/>
          <w:sz w:val="24"/>
          <w:szCs w:val="24"/>
        </w:rPr>
      </w:pPr>
    </w:p>
    <w:p w14:paraId="4DE55EB8" w14:textId="327B2BD0" w:rsidR="00573B54" w:rsidRDefault="00573B54" w:rsidP="00573B54">
      <w:pPr>
        <w:spacing w:after="0" w:line="360" w:lineRule="auto"/>
        <w:jc w:val="both"/>
        <w:rPr>
          <w:rFonts w:ascii="Palatino Linotype" w:hAnsi="Palatino Linotype" w:cs="Arial"/>
          <w:noProof/>
          <w:color w:val="000000"/>
          <w:sz w:val="24"/>
          <w:lang w:eastAsia="es-MX"/>
        </w:rPr>
      </w:pPr>
      <w:r w:rsidRPr="000F7BB3">
        <w:rPr>
          <w:rFonts w:ascii="Palatino Linotype" w:hAnsi="Palatino Linotype" w:cs="Arial"/>
          <w:noProof/>
          <w:color w:val="000000"/>
          <w:sz w:val="24"/>
          <w:lang w:eastAsia="es-MX"/>
        </w:rPr>
        <w:lastRenderedPageBreak/>
        <w:t xml:space="preserve">Con base en lo anteriormente expuesto, se arriba a la conclusión de que </w:t>
      </w:r>
      <w:r>
        <w:rPr>
          <w:rFonts w:ascii="Palatino Linotype" w:hAnsi="Palatino Linotype" w:cs="Arial"/>
          <w:noProof/>
          <w:color w:val="000000"/>
          <w:sz w:val="24"/>
          <w:lang w:eastAsia="es-MX"/>
        </w:rPr>
        <w:t>el informe justificado no subsanó la violación al derecho de acceso a la información pública, al tomar en consideración que se limitó a confirmar la respuesta primigenia.</w:t>
      </w:r>
      <w:r w:rsidR="00227574">
        <w:rPr>
          <w:rFonts w:ascii="Palatino Linotype" w:hAnsi="Palatino Linotype" w:cs="Arial"/>
          <w:noProof/>
          <w:color w:val="000000"/>
          <w:sz w:val="24"/>
          <w:lang w:eastAsia="es-MX"/>
        </w:rPr>
        <w:t xml:space="preserve"> Visto de esta forma, fue omiso en atender el punto </w:t>
      </w:r>
      <w:r w:rsidR="00227574" w:rsidRPr="00227574">
        <w:rPr>
          <w:rFonts w:ascii="Palatino Linotype" w:hAnsi="Palatino Linotype" w:cs="Arial"/>
          <w:b/>
          <w:bCs/>
          <w:noProof/>
          <w:color w:val="000000"/>
          <w:sz w:val="24"/>
          <w:lang w:eastAsia="es-MX"/>
        </w:rPr>
        <w:t>1 -uno-,</w:t>
      </w:r>
      <w:r w:rsidR="00227574">
        <w:rPr>
          <w:rFonts w:ascii="Palatino Linotype" w:hAnsi="Palatino Linotype" w:cs="Arial"/>
          <w:noProof/>
          <w:color w:val="000000"/>
          <w:sz w:val="24"/>
          <w:lang w:eastAsia="es-MX"/>
        </w:rPr>
        <w:t xml:space="preserve"> puntualizando que </w:t>
      </w:r>
      <w:r w:rsidR="00227574">
        <w:rPr>
          <w:rFonts w:ascii="Palatino Linotype" w:hAnsi="Palatino Linotype" w:cs="Arial"/>
          <w:b/>
          <w:bCs/>
          <w:noProof/>
          <w:color w:val="000000"/>
          <w:sz w:val="24"/>
          <w:lang w:eastAsia="es-MX"/>
        </w:rPr>
        <w:t xml:space="preserve">El Sujeto Obligado </w:t>
      </w:r>
      <w:r w:rsidR="00227574">
        <w:rPr>
          <w:rFonts w:ascii="Palatino Linotype" w:hAnsi="Palatino Linotype" w:cs="Arial"/>
          <w:noProof/>
          <w:color w:val="000000"/>
          <w:sz w:val="24"/>
          <w:lang w:eastAsia="es-MX"/>
        </w:rPr>
        <w:t xml:space="preserve">asumió contar con la información que resulta de interés al particular.  </w:t>
      </w:r>
      <w:r>
        <w:rPr>
          <w:rFonts w:ascii="Palatino Linotype" w:hAnsi="Palatino Linotype" w:cs="Arial"/>
          <w:noProof/>
          <w:color w:val="000000"/>
          <w:sz w:val="24"/>
          <w:lang w:eastAsia="es-MX"/>
        </w:rPr>
        <w:t xml:space="preserve"> </w:t>
      </w:r>
    </w:p>
    <w:p w14:paraId="7CCECAC5" w14:textId="77777777" w:rsidR="00573B54" w:rsidRDefault="00573B54" w:rsidP="00573B54">
      <w:pPr>
        <w:spacing w:after="0" w:line="360" w:lineRule="auto"/>
        <w:jc w:val="both"/>
        <w:rPr>
          <w:rFonts w:ascii="Palatino Linotype" w:hAnsi="Palatino Linotype" w:cs="Arial"/>
          <w:noProof/>
          <w:color w:val="000000"/>
          <w:sz w:val="24"/>
          <w:lang w:eastAsia="es-MX"/>
        </w:rPr>
      </w:pPr>
    </w:p>
    <w:p w14:paraId="72CD6F00" w14:textId="565D8B72" w:rsidR="00573B54" w:rsidRDefault="00573B54" w:rsidP="00573B54">
      <w:pPr>
        <w:spacing w:after="0" w:line="360" w:lineRule="auto"/>
        <w:jc w:val="both"/>
        <w:rPr>
          <w:rFonts w:ascii="Palatino Linotype" w:hAnsi="Palatino Linotype" w:cs="Arial"/>
          <w:noProof/>
          <w:color w:val="000000"/>
          <w:sz w:val="24"/>
          <w:lang w:eastAsia="es-MX"/>
        </w:rPr>
      </w:pPr>
      <w:r>
        <w:rPr>
          <w:rFonts w:ascii="Palatino Linotype" w:hAnsi="Palatino Linotype" w:cs="Arial"/>
          <w:noProof/>
          <w:color w:val="000000"/>
          <w:sz w:val="24"/>
          <w:lang w:eastAsia="es-MX"/>
        </w:rPr>
        <w:t>Dentro de este marco, resulta procedente ordenar una búsqueda exhaustiva y razonable de la siguiente información:</w:t>
      </w:r>
    </w:p>
    <w:p w14:paraId="5D68D9F8" w14:textId="77777777" w:rsidR="00B97C95" w:rsidRPr="00B97C95" w:rsidRDefault="00B97C95" w:rsidP="007145FB">
      <w:pPr>
        <w:pStyle w:val="Prrafodelista"/>
        <w:numPr>
          <w:ilvl w:val="0"/>
          <w:numId w:val="9"/>
        </w:numPr>
        <w:autoSpaceDE w:val="0"/>
        <w:autoSpaceDN w:val="0"/>
        <w:adjustRightInd w:val="0"/>
        <w:spacing w:before="240" w:line="360" w:lineRule="auto"/>
        <w:jc w:val="both"/>
        <w:rPr>
          <w:rFonts w:ascii="Palatino Linotype" w:hAnsi="Palatino Linotype"/>
        </w:rPr>
      </w:pPr>
      <w:r w:rsidRPr="00B97C95">
        <w:rPr>
          <w:rFonts w:ascii="Palatino Linotype" w:hAnsi="Palatino Linotype"/>
        </w:rPr>
        <w:t xml:space="preserve">Programa para erradicar la violencia de género correspondiente al año 2023. </w:t>
      </w:r>
    </w:p>
    <w:p w14:paraId="28A86497" w14:textId="77777777" w:rsidR="00573B54" w:rsidRPr="00B97C95" w:rsidRDefault="00573B54" w:rsidP="00573B54">
      <w:pPr>
        <w:spacing w:after="0" w:line="360" w:lineRule="auto"/>
        <w:ind w:left="708" w:hanging="708"/>
        <w:jc w:val="both"/>
        <w:rPr>
          <w:rFonts w:ascii="Palatino Linotype" w:hAnsi="Palatino Linotype" w:cs="Arial"/>
          <w:noProof/>
          <w:color w:val="000000"/>
          <w:sz w:val="24"/>
          <w:lang w:val="es-ES" w:eastAsia="es-MX"/>
        </w:rPr>
      </w:pPr>
    </w:p>
    <w:p w14:paraId="7BF58210" w14:textId="77777777" w:rsidR="00573B54" w:rsidRDefault="00573B54" w:rsidP="00573B54">
      <w:pPr>
        <w:spacing w:after="0" w:line="360" w:lineRule="auto"/>
        <w:ind w:right="51"/>
        <w:jc w:val="both"/>
        <w:rPr>
          <w:rFonts w:ascii="Palatino Linotype" w:hAnsi="Palatino Linotype" w:cs="Arial"/>
          <w:sz w:val="24"/>
          <w:szCs w:val="24"/>
        </w:rPr>
      </w:pPr>
    </w:p>
    <w:p w14:paraId="17FD0FEE" w14:textId="5E3E42EE" w:rsidR="00220F2C" w:rsidRPr="000F268E" w:rsidRDefault="00220F2C" w:rsidP="00220F2C">
      <w:pPr>
        <w:spacing w:after="0" w:line="360" w:lineRule="auto"/>
        <w:jc w:val="both"/>
        <w:rPr>
          <w:rFonts w:ascii="Palatino Linotype" w:hAnsi="Palatino Linotype"/>
          <w:sz w:val="24"/>
          <w:szCs w:val="24"/>
        </w:rPr>
      </w:pPr>
      <w:r w:rsidRPr="000F7BB3">
        <w:rPr>
          <w:rFonts w:ascii="Palatino Linotype" w:hAnsi="Palatino Linotype"/>
          <w:sz w:val="24"/>
          <w:szCs w:val="24"/>
        </w:rPr>
        <w:t xml:space="preserve">En mérito de lo expuesto en líneas anteriores, </w:t>
      </w:r>
      <w:r w:rsidRPr="00D5257A">
        <w:rPr>
          <w:rFonts w:ascii="Palatino Linotype" w:hAnsi="Palatino Linotype"/>
          <w:sz w:val="24"/>
          <w:szCs w:val="24"/>
        </w:rPr>
        <w:t xml:space="preserve">resultan parcialmente fundados los motivos de inconformidad vertidos por </w:t>
      </w:r>
      <w:r>
        <w:rPr>
          <w:rFonts w:ascii="Palatino Linotype" w:hAnsi="Palatino Linotype"/>
          <w:b/>
          <w:sz w:val="24"/>
          <w:szCs w:val="24"/>
        </w:rPr>
        <w:t>El</w:t>
      </w:r>
      <w:r w:rsidRPr="00D5257A">
        <w:rPr>
          <w:rFonts w:ascii="Palatino Linotype" w:hAnsi="Palatino Linotype"/>
          <w:b/>
          <w:sz w:val="24"/>
          <w:szCs w:val="24"/>
        </w:rPr>
        <w:t xml:space="preserve"> Recurrente, </w:t>
      </w:r>
      <w:r w:rsidRPr="00D5257A">
        <w:rPr>
          <w:rFonts w:ascii="Palatino Linotype" w:hAnsi="Palatino Linotype"/>
          <w:sz w:val="24"/>
          <w:szCs w:val="24"/>
        </w:rPr>
        <w:t xml:space="preserve">por ello con fundamento en el artículo 186 fracción III de la Ley de Transparencia y Acceso a la Información Pública del Estado de México y Municipios, se </w:t>
      </w:r>
      <w:r w:rsidRPr="00D5257A">
        <w:rPr>
          <w:rFonts w:ascii="Palatino Linotype" w:hAnsi="Palatino Linotype"/>
          <w:b/>
          <w:sz w:val="24"/>
          <w:szCs w:val="24"/>
        </w:rPr>
        <w:t xml:space="preserve">MODIFICA </w:t>
      </w:r>
      <w:r w:rsidRPr="00D5257A">
        <w:rPr>
          <w:rFonts w:ascii="Palatino Linotype" w:hAnsi="Palatino Linotype"/>
          <w:sz w:val="24"/>
          <w:szCs w:val="24"/>
        </w:rPr>
        <w:t xml:space="preserve">la respuesta a la solicitud de información </w:t>
      </w:r>
      <w:r w:rsidR="00B97C95">
        <w:rPr>
          <w:rFonts w:ascii="Palatino Linotype" w:eastAsia="Times New Roman" w:hAnsi="Palatino Linotype" w:cs="Times New Roman"/>
          <w:b/>
          <w:sz w:val="24"/>
          <w:szCs w:val="24"/>
          <w:lang w:eastAsia="es-ES"/>
        </w:rPr>
        <w:t>00436/TOLUCA/IP/2025</w:t>
      </w:r>
      <w:r>
        <w:rPr>
          <w:rFonts w:ascii="Palatino Linotype" w:hAnsi="Palatino Linotype"/>
          <w:b/>
          <w:bCs/>
          <w:sz w:val="24"/>
          <w:szCs w:val="24"/>
        </w:rPr>
        <w:t xml:space="preserve">, </w:t>
      </w:r>
      <w:r>
        <w:rPr>
          <w:rFonts w:ascii="Palatino Linotype" w:hAnsi="Palatino Linotype"/>
          <w:sz w:val="24"/>
          <w:szCs w:val="24"/>
        </w:rPr>
        <w:t xml:space="preserve">que ha sido materia del presente fallo. </w:t>
      </w:r>
    </w:p>
    <w:p w14:paraId="6258DFD8" w14:textId="77777777" w:rsidR="00220F2C" w:rsidRPr="00A35411" w:rsidRDefault="00220F2C" w:rsidP="00220F2C">
      <w:pPr>
        <w:spacing w:after="0" w:line="360" w:lineRule="auto"/>
        <w:jc w:val="both"/>
        <w:rPr>
          <w:rFonts w:ascii="Palatino Linotype" w:hAnsi="Palatino Linotype"/>
          <w:sz w:val="24"/>
          <w:szCs w:val="24"/>
        </w:rPr>
      </w:pPr>
      <w:r>
        <w:rPr>
          <w:rFonts w:ascii="Palatino Linotype" w:hAnsi="Palatino Linotype"/>
          <w:sz w:val="24"/>
          <w:szCs w:val="24"/>
        </w:rPr>
        <w:t xml:space="preserve">Por lo antes expuesto y fundado es de resolverse y, </w:t>
      </w:r>
    </w:p>
    <w:p w14:paraId="06905F21" w14:textId="77777777" w:rsidR="00220F2C" w:rsidRDefault="00220F2C" w:rsidP="00220F2C">
      <w:pPr>
        <w:spacing w:after="0" w:line="360" w:lineRule="auto"/>
        <w:ind w:right="51"/>
        <w:jc w:val="both"/>
        <w:rPr>
          <w:rFonts w:ascii="Palatino Linotype" w:hAnsi="Palatino Linotype"/>
          <w:sz w:val="24"/>
          <w:szCs w:val="24"/>
        </w:rPr>
      </w:pPr>
      <w:r>
        <w:rPr>
          <w:b/>
          <w:bCs/>
        </w:rPr>
        <w:t xml:space="preserve"> </w:t>
      </w:r>
    </w:p>
    <w:p w14:paraId="2B4728A4" w14:textId="77777777" w:rsidR="00220F2C" w:rsidRPr="00D05C83" w:rsidRDefault="00220F2C" w:rsidP="00220F2C">
      <w:pPr>
        <w:spacing w:before="240" w:line="360" w:lineRule="auto"/>
        <w:jc w:val="center"/>
        <w:rPr>
          <w:rFonts w:ascii="Palatino Linotype" w:eastAsia="Times New Roman" w:hAnsi="Palatino Linotype"/>
          <w:b/>
          <w:bCs/>
          <w:spacing w:val="60"/>
          <w:sz w:val="24"/>
          <w:szCs w:val="24"/>
          <w:lang w:val="es-ES_tradnl"/>
        </w:rPr>
      </w:pPr>
      <w:r w:rsidRPr="00D05C83">
        <w:rPr>
          <w:rFonts w:ascii="Palatino Linotype" w:eastAsia="Times New Roman" w:hAnsi="Palatino Linotype"/>
          <w:b/>
          <w:bCs/>
          <w:spacing w:val="60"/>
          <w:sz w:val="24"/>
          <w:szCs w:val="24"/>
          <w:lang w:val="es-ES_tradnl"/>
        </w:rPr>
        <w:t>SE    RESUELVE</w:t>
      </w:r>
    </w:p>
    <w:p w14:paraId="63EEDD23" w14:textId="374DC904" w:rsidR="00220F2C" w:rsidRDefault="00220F2C" w:rsidP="00220F2C">
      <w:pPr>
        <w:tabs>
          <w:tab w:val="left" w:pos="8647"/>
        </w:tabs>
        <w:spacing w:line="360" w:lineRule="auto"/>
        <w:ind w:right="51"/>
        <w:jc w:val="both"/>
        <w:rPr>
          <w:rFonts w:ascii="Palatino Linotype" w:hAnsi="Palatino Linotype" w:cs="Arial"/>
          <w:sz w:val="24"/>
        </w:rPr>
      </w:pPr>
      <w:r w:rsidRPr="006E3ED8">
        <w:rPr>
          <w:rFonts w:ascii="Palatino Linotype" w:eastAsiaTheme="minorEastAsia" w:hAnsi="Palatino Linotype" w:cs="Arial"/>
          <w:b/>
          <w:sz w:val="24"/>
          <w:szCs w:val="24"/>
          <w:lang w:val="es-ES_tradnl"/>
        </w:rPr>
        <w:t>PRIMERO.</w:t>
      </w:r>
      <w:r w:rsidRPr="006E3ED8">
        <w:rPr>
          <w:rFonts w:ascii="Palatino Linotype" w:eastAsiaTheme="minorEastAsia" w:hAnsi="Palatino Linotype" w:cs="Arial"/>
          <w:sz w:val="24"/>
          <w:szCs w:val="24"/>
          <w:lang w:val="es-ES_tradnl"/>
        </w:rPr>
        <w:t xml:space="preserve"> </w:t>
      </w:r>
      <w:r w:rsidRPr="00A05065">
        <w:rPr>
          <w:rFonts w:ascii="Palatino Linotype" w:hAnsi="Palatino Linotype" w:cs="Arial"/>
          <w:sz w:val="24"/>
          <w:szCs w:val="24"/>
        </w:rPr>
        <w:t xml:space="preserve">Se </w:t>
      </w:r>
      <w:r>
        <w:rPr>
          <w:rFonts w:ascii="Palatino Linotype" w:hAnsi="Palatino Linotype" w:cs="Arial"/>
          <w:b/>
          <w:sz w:val="24"/>
          <w:szCs w:val="24"/>
        </w:rPr>
        <w:t xml:space="preserve">MODIFICA </w:t>
      </w:r>
      <w:r>
        <w:rPr>
          <w:rFonts w:ascii="Palatino Linotype" w:hAnsi="Palatino Linotype" w:cs="Arial"/>
          <w:sz w:val="24"/>
          <w:szCs w:val="24"/>
        </w:rPr>
        <w:t xml:space="preserve">la respuesta entregada por </w:t>
      </w:r>
      <w:r>
        <w:rPr>
          <w:rFonts w:ascii="Palatino Linotype" w:hAnsi="Palatino Linotype" w:cs="Arial"/>
          <w:b/>
          <w:sz w:val="24"/>
          <w:szCs w:val="24"/>
        </w:rPr>
        <w:t xml:space="preserve">EL SUJETO OBLIGADO, </w:t>
      </w:r>
      <w:r>
        <w:rPr>
          <w:rFonts w:ascii="Palatino Linotype" w:hAnsi="Palatino Linotype" w:cs="Arial"/>
          <w:sz w:val="24"/>
          <w:szCs w:val="24"/>
        </w:rPr>
        <w:t xml:space="preserve">a la solicitud de información número </w:t>
      </w:r>
      <w:r w:rsidR="00B97C95">
        <w:rPr>
          <w:rFonts w:ascii="Palatino Linotype" w:eastAsia="Times New Roman" w:hAnsi="Palatino Linotype" w:cs="Times New Roman"/>
          <w:b/>
          <w:sz w:val="24"/>
          <w:szCs w:val="24"/>
          <w:lang w:eastAsia="es-ES"/>
        </w:rPr>
        <w:t>00436/TOLUCA/IP/2025</w:t>
      </w:r>
      <w:r>
        <w:rPr>
          <w:rFonts w:ascii="Palatino Linotype" w:hAnsi="Palatino Linotype"/>
          <w:b/>
          <w:bCs/>
          <w:sz w:val="24"/>
          <w:szCs w:val="24"/>
        </w:rPr>
        <w:t xml:space="preserve">, </w:t>
      </w:r>
      <w:r>
        <w:rPr>
          <w:rFonts w:ascii="Palatino Linotype" w:hAnsi="Palatino Linotype" w:cs="Arial"/>
          <w:sz w:val="24"/>
          <w:szCs w:val="24"/>
        </w:rPr>
        <w:t xml:space="preserve">por resultar parcialmente fundados los motivos de inconformidad que arguye </w:t>
      </w:r>
      <w:r>
        <w:rPr>
          <w:rFonts w:ascii="Palatino Linotype" w:hAnsi="Palatino Linotype" w:cs="Arial"/>
          <w:b/>
          <w:bCs/>
          <w:sz w:val="24"/>
          <w:szCs w:val="24"/>
        </w:rPr>
        <w:t xml:space="preserve">EL RECURRENTE, </w:t>
      </w:r>
      <w:r>
        <w:rPr>
          <w:rFonts w:ascii="Palatino Linotype" w:hAnsi="Palatino Linotype" w:cs="Arial"/>
          <w:sz w:val="24"/>
        </w:rPr>
        <w:t xml:space="preserve">en términos del </w:t>
      </w:r>
      <w:r w:rsidRPr="0012305B">
        <w:rPr>
          <w:rFonts w:ascii="Palatino Linotype" w:hAnsi="Palatino Linotype" w:cs="Arial"/>
          <w:b/>
          <w:sz w:val="24"/>
        </w:rPr>
        <w:t xml:space="preserve">Considerando </w:t>
      </w:r>
      <w:r>
        <w:rPr>
          <w:rFonts w:ascii="Palatino Linotype" w:hAnsi="Palatino Linotype" w:cs="Arial"/>
          <w:b/>
          <w:sz w:val="24"/>
        </w:rPr>
        <w:t xml:space="preserve">CUARTO </w:t>
      </w:r>
      <w:r>
        <w:rPr>
          <w:rFonts w:ascii="Palatino Linotype" w:hAnsi="Palatino Linotype" w:cs="Arial"/>
          <w:sz w:val="24"/>
        </w:rPr>
        <w:t xml:space="preserve">de la presente resolución. </w:t>
      </w:r>
    </w:p>
    <w:p w14:paraId="3DE9AFBB" w14:textId="09513C6C" w:rsidR="00573B54" w:rsidRPr="00AF17B1" w:rsidRDefault="00573B54" w:rsidP="00573B54">
      <w:pPr>
        <w:autoSpaceDE w:val="0"/>
        <w:autoSpaceDN w:val="0"/>
        <w:adjustRightInd w:val="0"/>
        <w:spacing w:before="240" w:line="360" w:lineRule="auto"/>
        <w:ind w:right="49"/>
        <w:jc w:val="both"/>
        <w:rPr>
          <w:rFonts w:ascii="Palatino Linotype" w:hAnsi="Palatino Linotype" w:cs="Arial"/>
          <w:sz w:val="24"/>
          <w:szCs w:val="24"/>
        </w:rPr>
      </w:pPr>
      <w:r w:rsidRPr="00AF17B1">
        <w:rPr>
          <w:rFonts w:ascii="Palatino Linotype" w:hAnsi="Palatino Linotype" w:cs="Arial"/>
          <w:b/>
          <w:sz w:val="24"/>
          <w:szCs w:val="24"/>
        </w:rPr>
        <w:lastRenderedPageBreak/>
        <w:t>SEGUNDO.</w:t>
      </w:r>
      <w:r w:rsidRPr="00AF17B1">
        <w:rPr>
          <w:rFonts w:ascii="Palatino Linotype" w:hAnsi="Palatino Linotype" w:cs="Arial"/>
          <w:sz w:val="24"/>
          <w:szCs w:val="24"/>
        </w:rPr>
        <w:t xml:space="preserve"> Se </w:t>
      </w:r>
      <w:r w:rsidRPr="00AF17B1">
        <w:rPr>
          <w:rFonts w:ascii="Palatino Linotype" w:hAnsi="Palatino Linotype" w:cs="Arial"/>
          <w:b/>
          <w:sz w:val="24"/>
          <w:szCs w:val="24"/>
        </w:rPr>
        <w:t>ORDENA</w:t>
      </w:r>
      <w:r w:rsidRPr="00AF17B1">
        <w:rPr>
          <w:rFonts w:ascii="Palatino Linotype" w:hAnsi="Palatino Linotype" w:cs="Arial"/>
          <w:sz w:val="24"/>
          <w:szCs w:val="24"/>
        </w:rPr>
        <w:t xml:space="preserve"> al </w:t>
      </w:r>
      <w:r w:rsidRPr="00AF17B1">
        <w:rPr>
          <w:rFonts w:ascii="Palatino Linotype" w:hAnsi="Palatino Linotype" w:cs="Arial"/>
          <w:b/>
          <w:sz w:val="24"/>
          <w:szCs w:val="24"/>
        </w:rPr>
        <w:t>SUJETO OBLIGADO</w:t>
      </w:r>
      <w:r w:rsidRPr="00AF17B1">
        <w:rPr>
          <w:rFonts w:ascii="Palatino Linotype" w:hAnsi="Palatino Linotype" w:cs="Arial"/>
          <w:sz w:val="24"/>
          <w:szCs w:val="24"/>
        </w:rPr>
        <w:t xml:space="preserve"> realizar una búsqueda exhaustiva y razonable a fin de entregar </w:t>
      </w:r>
      <w:r>
        <w:rPr>
          <w:rFonts w:ascii="Palatino Linotype" w:hAnsi="Palatino Linotype" w:cs="Arial"/>
          <w:sz w:val="24"/>
          <w:szCs w:val="24"/>
        </w:rPr>
        <w:t>al</w:t>
      </w:r>
      <w:r w:rsidRPr="00AF17B1">
        <w:rPr>
          <w:rFonts w:ascii="Palatino Linotype" w:hAnsi="Palatino Linotype" w:cs="Arial"/>
          <w:sz w:val="24"/>
          <w:szCs w:val="24"/>
        </w:rPr>
        <w:t xml:space="preserve"> </w:t>
      </w:r>
      <w:r w:rsidRPr="00AF17B1">
        <w:rPr>
          <w:rFonts w:ascii="Palatino Linotype" w:hAnsi="Palatino Linotype" w:cs="Arial"/>
          <w:b/>
          <w:bCs/>
          <w:sz w:val="24"/>
          <w:szCs w:val="24"/>
        </w:rPr>
        <w:t>RECURRENTE</w:t>
      </w:r>
      <w:r>
        <w:rPr>
          <w:rFonts w:ascii="Palatino Linotype" w:hAnsi="Palatino Linotype" w:cs="Arial"/>
          <w:b/>
          <w:bCs/>
          <w:sz w:val="24"/>
          <w:szCs w:val="24"/>
        </w:rPr>
        <w:t xml:space="preserve">, </w:t>
      </w:r>
      <w:r w:rsidRPr="002B68BB">
        <w:rPr>
          <w:rFonts w:ascii="Palatino Linotype" w:eastAsia="Times New Roman" w:hAnsi="Palatino Linotype" w:cs="Arial"/>
          <w:bCs/>
          <w:sz w:val="24"/>
          <w:szCs w:val="24"/>
          <w:lang w:eastAsia="es-ES"/>
        </w:rPr>
        <w:t>vía</w:t>
      </w:r>
      <w:r w:rsidRPr="00AF17B1">
        <w:rPr>
          <w:rFonts w:ascii="Palatino Linotype" w:eastAsia="Times New Roman" w:hAnsi="Palatino Linotype" w:cs="Arial"/>
          <w:b/>
          <w:sz w:val="24"/>
          <w:szCs w:val="24"/>
          <w:lang w:eastAsia="es-ES"/>
        </w:rPr>
        <w:t xml:space="preserve"> </w:t>
      </w:r>
      <w:r w:rsidRPr="00AF17B1">
        <w:rPr>
          <w:rFonts w:ascii="Palatino Linotype" w:hAnsi="Palatino Linotype" w:cs="Arial"/>
          <w:sz w:val="24"/>
          <w:szCs w:val="24"/>
        </w:rPr>
        <w:t xml:space="preserve">Sistema de Acceso a la Información Mexiquense </w:t>
      </w:r>
      <w:r w:rsidRPr="00AF17B1">
        <w:rPr>
          <w:rFonts w:ascii="Palatino Linotype" w:hAnsi="Palatino Linotype" w:cs="Arial"/>
          <w:b/>
          <w:sz w:val="24"/>
          <w:szCs w:val="24"/>
        </w:rPr>
        <w:t>(SAIMEX)</w:t>
      </w:r>
      <w:r>
        <w:rPr>
          <w:rFonts w:ascii="Palatino Linotype" w:hAnsi="Palatino Linotype" w:cs="Arial"/>
          <w:b/>
          <w:sz w:val="24"/>
          <w:szCs w:val="24"/>
        </w:rPr>
        <w:t>,</w:t>
      </w:r>
      <w:r w:rsidRPr="00AF17B1">
        <w:rPr>
          <w:rFonts w:ascii="Palatino Linotype" w:hAnsi="Palatino Linotype" w:cs="Arial"/>
          <w:b/>
          <w:bCs/>
          <w:sz w:val="24"/>
          <w:szCs w:val="24"/>
        </w:rPr>
        <w:t xml:space="preserve"> </w:t>
      </w:r>
      <w:r w:rsidRPr="00AF17B1">
        <w:rPr>
          <w:rFonts w:ascii="Palatino Linotype" w:hAnsi="Palatino Linotype" w:cs="Arial"/>
          <w:sz w:val="24"/>
          <w:szCs w:val="24"/>
        </w:rPr>
        <w:t xml:space="preserve">en términos del Considerando </w:t>
      </w:r>
      <w:r w:rsidRPr="00AF17B1">
        <w:rPr>
          <w:rFonts w:ascii="Palatino Linotype" w:hAnsi="Palatino Linotype" w:cs="Arial"/>
          <w:b/>
          <w:sz w:val="24"/>
          <w:szCs w:val="24"/>
        </w:rPr>
        <w:t xml:space="preserve">CUARTO </w:t>
      </w:r>
      <w:r w:rsidRPr="00AF17B1">
        <w:rPr>
          <w:rFonts w:ascii="Palatino Linotype" w:hAnsi="Palatino Linotype" w:cs="Arial"/>
          <w:sz w:val="24"/>
          <w:szCs w:val="24"/>
        </w:rPr>
        <w:t>de esta resolución</w:t>
      </w:r>
      <w:r w:rsidRPr="00AF17B1">
        <w:rPr>
          <w:rFonts w:ascii="Palatino Linotype" w:hAnsi="Palatino Linotype" w:cs="Arial"/>
          <w:b/>
          <w:sz w:val="24"/>
          <w:szCs w:val="24"/>
        </w:rPr>
        <w:t xml:space="preserve">, </w:t>
      </w:r>
      <w:r w:rsidRPr="00AF17B1">
        <w:rPr>
          <w:rFonts w:ascii="Palatino Linotype" w:hAnsi="Palatino Linotype" w:cs="Arial"/>
          <w:sz w:val="24"/>
          <w:szCs w:val="24"/>
        </w:rPr>
        <w:t>de lo siguiente:</w:t>
      </w:r>
    </w:p>
    <w:p w14:paraId="1F71E267" w14:textId="77777777" w:rsidR="00B97C95" w:rsidRPr="00B97C95" w:rsidRDefault="00B97C95" w:rsidP="007145FB">
      <w:pPr>
        <w:pStyle w:val="Prrafodelista"/>
        <w:numPr>
          <w:ilvl w:val="0"/>
          <w:numId w:val="4"/>
        </w:numPr>
        <w:autoSpaceDE w:val="0"/>
        <w:autoSpaceDN w:val="0"/>
        <w:adjustRightInd w:val="0"/>
        <w:spacing w:before="240" w:line="360" w:lineRule="auto"/>
        <w:jc w:val="both"/>
        <w:rPr>
          <w:rFonts w:ascii="Palatino Linotype" w:hAnsi="Palatino Linotype"/>
          <w:i/>
          <w:iCs/>
        </w:rPr>
      </w:pPr>
      <w:r w:rsidRPr="00B97C95">
        <w:rPr>
          <w:rFonts w:ascii="Palatino Linotype" w:hAnsi="Palatino Linotype"/>
          <w:i/>
          <w:iCs/>
        </w:rPr>
        <w:t xml:space="preserve">Programa para erradicar la violencia de género correspondiente al año 2023. </w:t>
      </w:r>
    </w:p>
    <w:p w14:paraId="029BE2BC" w14:textId="77777777" w:rsidR="00573B54" w:rsidRDefault="00573B54" w:rsidP="00573B54">
      <w:pPr>
        <w:pStyle w:val="Sinespaciado"/>
        <w:spacing w:line="360" w:lineRule="auto"/>
        <w:ind w:left="782"/>
        <w:jc w:val="both"/>
        <w:rPr>
          <w:rFonts w:ascii="Palatino Linotype" w:hAnsi="Palatino Linotype" w:cs="Arial"/>
          <w:i/>
        </w:rPr>
      </w:pPr>
    </w:p>
    <w:p w14:paraId="088D6235" w14:textId="77777777" w:rsidR="00573B54" w:rsidRPr="007543C8" w:rsidRDefault="00573B54" w:rsidP="00573B54">
      <w:pPr>
        <w:pStyle w:val="Sinespaciado"/>
        <w:spacing w:line="360" w:lineRule="auto"/>
        <w:ind w:left="782"/>
        <w:jc w:val="both"/>
        <w:rPr>
          <w:rFonts w:ascii="Palatino Linotype" w:hAnsi="Palatino Linotype" w:cs="Arial"/>
          <w:i/>
          <w:lang w:val="es-ES"/>
        </w:rPr>
      </w:pPr>
    </w:p>
    <w:p w14:paraId="32FD4F5D" w14:textId="77777777" w:rsidR="00573B54" w:rsidRDefault="00573B54" w:rsidP="00573B54">
      <w:pPr>
        <w:autoSpaceDE w:val="0"/>
        <w:autoSpaceDN w:val="0"/>
        <w:adjustRightInd w:val="0"/>
        <w:spacing w:line="360" w:lineRule="auto"/>
        <w:ind w:right="49"/>
        <w:jc w:val="both"/>
        <w:rPr>
          <w:rFonts w:ascii="Palatino Linotype" w:hAnsi="Palatino Linotype" w:cstheme="minorHAnsi"/>
          <w:sz w:val="24"/>
          <w:szCs w:val="24"/>
        </w:rPr>
      </w:pPr>
      <w:r w:rsidRPr="00AF17B1">
        <w:rPr>
          <w:rFonts w:ascii="Palatino Linotype" w:hAnsi="Palatino Linotype" w:cs="Arial"/>
          <w:b/>
          <w:sz w:val="28"/>
          <w:szCs w:val="28"/>
        </w:rPr>
        <w:t>TERCERO.</w:t>
      </w:r>
      <w:r w:rsidRPr="00AF17B1">
        <w:rPr>
          <w:rFonts w:ascii="Palatino Linotype" w:hAnsi="Palatino Linotype" w:cs="Arial"/>
          <w:b/>
          <w:sz w:val="24"/>
          <w:szCs w:val="24"/>
        </w:rPr>
        <w:t xml:space="preserve"> </w:t>
      </w:r>
      <w:r w:rsidRPr="00AF17B1">
        <w:rPr>
          <w:rFonts w:ascii="Palatino Linotype" w:hAnsi="Palatino Linotype" w:cstheme="minorHAnsi"/>
          <w:b/>
          <w:sz w:val="24"/>
          <w:szCs w:val="24"/>
        </w:rPr>
        <w:t>NOTIFÍQUESE</w:t>
      </w:r>
      <w:r w:rsidRPr="00AF17B1">
        <w:rPr>
          <w:rFonts w:ascii="Palatino Linotype" w:hAnsi="Palatino Linotype" w:cstheme="minorHAnsi"/>
          <w:i/>
          <w:sz w:val="24"/>
          <w:szCs w:val="24"/>
        </w:rPr>
        <w:t xml:space="preserve"> </w:t>
      </w:r>
      <w:r w:rsidRPr="00AF17B1">
        <w:rPr>
          <w:rFonts w:ascii="Palatino Linotype" w:hAnsi="Palatino Linotype" w:cstheme="minorHAnsi"/>
          <w:sz w:val="24"/>
          <w:szCs w:val="24"/>
        </w:rPr>
        <w:t>la presente resolución al Titular de la Unidad de Transparencia del Sujeto Obligado,</w:t>
      </w:r>
      <w:r>
        <w:rPr>
          <w:rFonts w:ascii="Palatino Linotype" w:hAnsi="Palatino Linotype" w:cstheme="minorHAnsi"/>
          <w:sz w:val="24"/>
          <w:szCs w:val="24"/>
        </w:rPr>
        <w:t xml:space="preserve"> </w:t>
      </w:r>
      <w:r w:rsidRPr="00AF17B1">
        <w:rPr>
          <w:rFonts w:ascii="Palatino Linotype" w:eastAsia="Times New Roman" w:hAnsi="Palatino Linotype" w:cs="Arial"/>
          <w:b/>
          <w:sz w:val="24"/>
          <w:szCs w:val="24"/>
          <w:lang w:eastAsia="es-ES"/>
        </w:rPr>
        <w:t xml:space="preserve">vía </w:t>
      </w:r>
      <w:r w:rsidRPr="00AF17B1">
        <w:rPr>
          <w:rFonts w:ascii="Palatino Linotype" w:hAnsi="Palatino Linotype" w:cs="Arial"/>
          <w:sz w:val="24"/>
          <w:szCs w:val="24"/>
        </w:rPr>
        <w:t xml:space="preserve">Sistema de Acceso a la Información Mexiquense </w:t>
      </w:r>
      <w:r w:rsidRPr="00AF17B1">
        <w:rPr>
          <w:rFonts w:ascii="Palatino Linotype" w:hAnsi="Palatino Linotype" w:cs="Arial"/>
          <w:b/>
          <w:sz w:val="24"/>
          <w:szCs w:val="24"/>
        </w:rPr>
        <w:t>(SAIMEX)</w:t>
      </w:r>
      <w:r>
        <w:rPr>
          <w:rFonts w:ascii="Palatino Linotype" w:hAnsi="Palatino Linotype" w:cs="Arial"/>
          <w:b/>
          <w:sz w:val="24"/>
          <w:szCs w:val="24"/>
        </w:rPr>
        <w:t>,</w:t>
      </w:r>
      <w:r w:rsidRPr="00AF17B1">
        <w:rPr>
          <w:rFonts w:ascii="Palatino Linotype" w:hAnsi="Palatino Linotype" w:cs="Arial"/>
          <w:b/>
          <w:sz w:val="24"/>
          <w:szCs w:val="24"/>
        </w:rPr>
        <w:t xml:space="preserve"> </w:t>
      </w:r>
      <w:r w:rsidRPr="00AF17B1">
        <w:rPr>
          <w:rFonts w:ascii="Palatino Linotype" w:hAnsi="Palatino Linotype" w:cstheme="minorHAnsi"/>
          <w:sz w:val="24"/>
          <w:szCs w:val="24"/>
        </w:rPr>
        <w:t xml:space="preserve">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3ADA80E5" w14:textId="77777777" w:rsidR="00573B54" w:rsidRPr="00AF17B1" w:rsidRDefault="00573B54" w:rsidP="00573B54">
      <w:pPr>
        <w:autoSpaceDE w:val="0"/>
        <w:autoSpaceDN w:val="0"/>
        <w:adjustRightInd w:val="0"/>
        <w:spacing w:line="360" w:lineRule="auto"/>
        <w:ind w:right="49"/>
        <w:jc w:val="both"/>
        <w:rPr>
          <w:rFonts w:ascii="Palatino Linotype" w:hAnsi="Palatino Linotype" w:cs="Arial"/>
          <w:sz w:val="24"/>
          <w:szCs w:val="24"/>
        </w:rPr>
      </w:pPr>
    </w:p>
    <w:p w14:paraId="6B8FB06C" w14:textId="77777777" w:rsidR="00573B54" w:rsidRDefault="00573B54" w:rsidP="00573B54">
      <w:pPr>
        <w:autoSpaceDE w:val="0"/>
        <w:autoSpaceDN w:val="0"/>
        <w:adjustRightInd w:val="0"/>
        <w:spacing w:after="0" w:line="360" w:lineRule="auto"/>
        <w:jc w:val="both"/>
        <w:rPr>
          <w:rFonts w:ascii="Palatino Linotype" w:eastAsia="Times New Roman" w:hAnsi="Palatino Linotype" w:cs="Arial"/>
          <w:sz w:val="24"/>
          <w:szCs w:val="24"/>
          <w:lang w:eastAsia="es-ES"/>
        </w:rPr>
      </w:pPr>
      <w:r w:rsidRPr="00AF17B1">
        <w:rPr>
          <w:rFonts w:ascii="Palatino Linotype" w:eastAsia="Times New Roman" w:hAnsi="Palatino Linotype" w:cs="Arial"/>
          <w:b/>
          <w:sz w:val="28"/>
          <w:szCs w:val="28"/>
          <w:lang w:eastAsia="es-ES"/>
        </w:rPr>
        <w:t>CUARTO.</w:t>
      </w:r>
      <w:r w:rsidRPr="00AF17B1">
        <w:rPr>
          <w:rFonts w:ascii="Palatino Linotype" w:eastAsia="Times New Roman" w:hAnsi="Palatino Linotype" w:cs="Arial"/>
          <w:b/>
          <w:sz w:val="24"/>
          <w:szCs w:val="24"/>
          <w:lang w:eastAsia="es-ES"/>
        </w:rPr>
        <w:t xml:space="preserve"> </w:t>
      </w:r>
      <w:r w:rsidRPr="00AF17B1">
        <w:rPr>
          <w:rFonts w:ascii="Palatino Linotype" w:eastAsia="Times New Roman" w:hAnsi="Palatino Linotype" w:cs="Arial"/>
          <w:sz w:val="24"/>
          <w:szCs w:val="24"/>
          <w:lang w:eastAsia="es-ES"/>
        </w:rPr>
        <w:t xml:space="preserve">De conformidad con el artículo 198 de la Ley de Transparencia y Acceso a la Información Pública del Estado de México y Municipios, de considerarlo procedente, el </w:t>
      </w:r>
      <w:r w:rsidRPr="00AF17B1">
        <w:rPr>
          <w:rFonts w:ascii="Palatino Linotype" w:eastAsia="Times New Roman" w:hAnsi="Palatino Linotype" w:cs="Arial"/>
          <w:b/>
          <w:sz w:val="24"/>
          <w:szCs w:val="24"/>
          <w:lang w:eastAsia="es-ES"/>
        </w:rPr>
        <w:t>Sujeto Obligado</w:t>
      </w:r>
      <w:r w:rsidRPr="00AF17B1">
        <w:rPr>
          <w:rFonts w:ascii="Palatino Linotype" w:eastAsia="Times New Roman" w:hAnsi="Palatino Linotype" w:cs="Arial"/>
          <w:sz w:val="24"/>
          <w:szCs w:val="24"/>
          <w:lang w:eastAsia="es-ES"/>
        </w:rPr>
        <w:t xml:space="preserve"> de manera fundada y motivada, podrá solicitar una ampliación de plazo para el cumplimiento de la presente resolución.</w:t>
      </w:r>
    </w:p>
    <w:p w14:paraId="21AC866F" w14:textId="77777777" w:rsidR="00573B54" w:rsidRDefault="00573B54" w:rsidP="00573B54">
      <w:pPr>
        <w:spacing w:after="0" w:line="360" w:lineRule="auto"/>
        <w:jc w:val="both"/>
        <w:rPr>
          <w:rFonts w:ascii="Palatino Linotype" w:eastAsia="Times New Roman" w:hAnsi="Palatino Linotype" w:cs="Times New Roman"/>
          <w:color w:val="222222"/>
          <w:sz w:val="24"/>
          <w:szCs w:val="24"/>
          <w:lang w:eastAsia="es-ES"/>
        </w:rPr>
      </w:pPr>
      <w:r w:rsidRPr="00AF17B1">
        <w:rPr>
          <w:rFonts w:ascii="Palatino Linotype" w:eastAsia="Times New Roman" w:hAnsi="Palatino Linotype" w:cs="Arial"/>
          <w:b/>
          <w:sz w:val="28"/>
          <w:szCs w:val="28"/>
          <w:lang w:eastAsia="es-ES"/>
        </w:rPr>
        <w:lastRenderedPageBreak/>
        <w:t>QUINTO.</w:t>
      </w:r>
      <w:r w:rsidRPr="00AF17B1">
        <w:rPr>
          <w:rFonts w:ascii="Palatino Linotype" w:eastAsia="Times New Roman" w:hAnsi="Palatino Linotype" w:cs="Arial"/>
          <w:b/>
          <w:sz w:val="24"/>
          <w:szCs w:val="24"/>
          <w:lang w:eastAsia="es-ES"/>
        </w:rPr>
        <w:t xml:space="preserve"> </w:t>
      </w:r>
      <w:r w:rsidRPr="00DB757B">
        <w:rPr>
          <w:rFonts w:ascii="Palatino Linotype" w:eastAsia="Times New Roman" w:hAnsi="Palatino Linotype" w:cs="Arial"/>
          <w:b/>
          <w:sz w:val="24"/>
          <w:szCs w:val="24"/>
          <w:lang w:eastAsia="es-ES"/>
        </w:rPr>
        <w:t xml:space="preserve">NOTIFÍQUESE </w:t>
      </w:r>
      <w:r>
        <w:rPr>
          <w:rFonts w:ascii="Palatino Linotype" w:eastAsia="Times New Roman" w:hAnsi="Palatino Linotype" w:cs="Arial"/>
          <w:sz w:val="24"/>
          <w:szCs w:val="24"/>
          <w:lang w:eastAsia="es-ES"/>
        </w:rPr>
        <w:t>la presente resolución al</w:t>
      </w:r>
      <w:r w:rsidRPr="00DB757B">
        <w:rPr>
          <w:rFonts w:ascii="Palatino Linotype" w:eastAsia="Times New Roman" w:hAnsi="Palatino Linotype" w:cs="Arial"/>
          <w:sz w:val="24"/>
          <w:szCs w:val="24"/>
          <w:lang w:eastAsia="es-ES"/>
        </w:rPr>
        <w:t xml:space="preserve"> </w:t>
      </w:r>
      <w:r w:rsidRPr="00DF1D7E">
        <w:rPr>
          <w:rFonts w:ascii="Palatino Linotype" w:eastAsia="Times New Roman" w:hAnsi="Palatino Linotype" w:cs="Arial"/>
          <w:b/>
          <w:sz w:val="24"/>
          <w:szCs w:val="24"/>
          <w:lang w:eastAsia="es-ES"/>
        </w:rPr>
        <w:t>RECURRENTE vía</w:t>
      </w:r>
      <w:r w:rsidRPr="00DB757B">
        <w:rPr>
          <w:rFonts w:ascii="Palatino Linotype" w:eastAsia="Times New Roman" w:hAnsi="Palatino Linotype" w:cs="Arial"/>
          <w:b/>
          <w:sz w:val="24"/>
          <w:szCs w:val="24"/>
          <w:lang w:eastAsia="es-ES"/>
        </w:rPr>
        <w:t xml:space="preserve"> </w:t>
      </w:r>
      <w:r>
        <w:rPr>
          <w:rFonts w:ascii="Palatino Linotype" w:hAnsi="Palatino Linotype" w:cs="Arial"/>
          <w:sz w:val="24"/>
          <w:szCs w:val="24"/>
        </w:rPr>
        <w:t xml:space="preserve">Sistema de Acceso a la Información Mexiquense </w:t>
      </w:r>
      <w:r>
        <w:rPr>
          <w:rFonts w:ascii="Palatino Linotype" w:hAnsi="Palatino Linotype" w:cs="Arial"/>
          <w:b/>
          <w:sz w:val="24"/>
          <w:szCs w:val="24"/>
        </w:rPr>
        <w:t xml:space="preserve">(SAIMEX) </w:t>
      </w:r>
      <w:r w:rsidRPr="00DB757B">
        <w:rPr>
          <w:rFonts w:ascii="Palatino Linotype" w:eastAsia="Times New Roman" w:hAnsi="Palatino Linotype" w:cs="Arial"/>
          <w:sz w:val="24"/>
          <w:szCs w:val="24"/>
          <w:lang w:eastAsia="es-ES"/>
        </w:rPr>
        <w:t xml:space="preserve">y hágase de su conocimiento que, </w:t>
      </w:r>
      <w:r w:rsidRPr="00DB757B">
        <w:rPr>
          <w:rFonts w:ascii="Palatino Linotype" w:eastAsia="Times New Roman" w:hAnsi="Palatino Linotype" w:cs="Times New Roman"/>
          <w:color w:val="222222"/>
          <w:sz w:val="24"/>
          <w:szCs w:val="24"/>
          <w:shd w:val="clear" w:color="auto" w:fill="FFFFFF"/>
          <w:lang w:eastAsia="es-ES"/>
        </w:rPr>
        <w:t xml:space="preserve">de conformidad con lo </w:t>
      </w:r>
      <w:r w:rsidRPr="00AA3F48">
        <w:rPr>
          <w:rFonts w:ascii="Palatino Linotype" w:eastAsia="Times New Roman" w:hAnsi="Palatino Linotype" w:cs="Times New Roman"/>
          <w:color w:val="222222"/>
          <w:sz w:val="24"/>
          <w:szCs w:val="24"/>
          <w:lang w:eastAsia="es-ES"/>
        </w:rPr>
        <w:t xml:space="preserve">establecido en el artículo 196, de la Ley de Transparencia y Acceso a la Información Pública del Estado de México y Municipios, podrá promover el Juicio de Amparo en los términos de las </w:t>
      </w:r>
      <w:r w:rsidRPr="00DB757B">
        <w:rPr>
          <w:rFonts w:ascii="Palatino Linotype" w:eastAsia="Times New Roman" w:hAnsi="Palatino Linotype" w:cs="Times New Roman"/>
          <w:color w:val="222222"/>
          <w:sz w:val="24"/>
          <w:szCs w:val="24"/>
          <w:shd w:val="clear" w:color="auto" w:fill="FFFFFF"/>
          <w:lang w:eastAsia="es-ES"/>
        </w:rPr>
        <w:t xml:space="preserve">leyes </w:t>
      </w:r>
      <w:r w:rsidRPr="00DF1D7E">
        <w:rPr>
          <w:rFonts w:ascii="Palatino Linotype" w:eastAsia="Times New Roman" w:hAnsi="Palatino Linotype" w:cs="Times New Roman"/>
          <w:color w:val="222222"/>
          <w:sz w:val="24"/>
          <w:szCs w:val="24"/>
          <w:lang w:eastAsia="es-ES"/>
        </w:rPr>
        <w:t>aplicables.</w:t>
      </w:r>
    </w:p>
    <w:p w14:paraId="2837E182" w14:textId="77777777" w:rsidR="00227574" w:rsidRDefault="00227574" w:rsidP="00573B54">
      <w:pPr>
        <w:spacing w:after="0" w:line="360" w:lineRule="auto"/>
        <w:jc w:val="both"/>
        <w:rPr>
          <w:rFonts w:ascii="Palatino Linotype" w:hAnsi="Palatino Linotype"/>
          <w:sz w:val="24"/>
          <w:szCs w:val="24"/>
        </w:rPr>
      </w:pPr>
    </w:p>
    <w:p w14:paraId="392976FD" w14:textId="77777777" w:rsidR="00161AE5" w:rsidRPr="00627D99" w:rsidRDefault="00161AE5" w:rsidP="00161AE5">
      <w:pPr>
        <w:pStyle w:val="Prrafodelista"/>
        <w:autoSpaceDE w:val="0"/>
        <w:autoSpaceDN w:val="0"/>
        <w:adjustRightInd w:val="0"/>
        <w:spacing w:before="240" w:after="160" w:line="360" w:lineRule="auto"/>
        <w:ind w:left="0"/>
        <w:jc w:val="both"/>
        <w:rPr>
          <w:rFonts w:ascii="Palatino Linotype" w:hAnsi="Palatino Linotype" w:cs="Arial"/>
          <w:sz w:val="23"/>
          <w:szCs w:val="23"/>
        </w:rPr>
      </w:pPr>
      <w:r>
        <w:rPr>
          <w:rFonts w:ascii="Palatino Linotype" w:hAnsi="Palatino Linotype" w:cs="Arial"/>
        </w:rPr>
        <w:t>A</w:t>
      </w:r>
      <w:r w:rsidRPr="00C91103">
        <w:rPr>
          <w:rFonts w:ascii="Palatino Linotype" w:hAnsi="Palatino Linotype" w:cs="Arial"/>
        </w:rPr>
        <w:t xml:space="preserve">SÍ LO </w:t>
      </w:r>
      <w:r>
        <w:rPr>
          <w:rFonts w:ascii="Palatino Linotype" w:hAnsi="Palatino Linotype" w:cs="Arial"/>
        </w:rPr>
        <w:t>ACORDÓ</w:t>
      </w:r>
      <w:r w:rsidRPr="00C91103">
        <w:rPr>
          <w:rFonts w:ascii="Palatino Linotype" w:hAnsi="Palatino Linotype" w:cs="Arial"/>
        </w:rPr>
        <w:t xml:space="preserve">, POR UNANIMIDAD DE </w:t>
      </w:r>
      <w:r>
        <w:rPr>
          <w:rFonts w:ascii="Palatino Linotype" w:hAnsi="Palatino Linotype" w:cs="Arial"/>
        </w:rPr>
        <w:t>VOTOS,</w:t>
      </w:r>
      <w:r w:rsidRPr="00C91103">
        <w:rPr>
          <w:rFonts w:ascii="Palatino Linotype" w:hAnsi="Palatino Linotype" w:cs="Arial"/>
        </w:rPr>
        <w:t xml:space="preserve"> EL PLENO DEL</w:t>
      </w:r>
      <w:r w:rsidRPr="00C91103">
        <w:rPr>
          <w:rFonts w:ascii="Palatino Linotype" w:eastAsia="Arial Unicode MS" w:hAnsi="Palatino Linotype" w:cs="Arial"/>
        </w:rPr>
        <w:t xml:space="preserve"> INSTITUTO DE TRANSPARENCIA, ACCESO A LA INFORMACIÓN PÚBLICA Y PROTECCIÓN DE DATOS PERSONALES DEL </w:t>
      </w:r>
      <w:r w:rsidRPr="00272CE0">
        <w:rPr>
          <w:rFonts w:ascii="Palatino Linotype" w:eastAsia="Arial Unicode MS" w:hAnsi="Palatino Linotype" w:cs="Arial"/>
        </w:rPr>
        <w:t>ESTADO DE MÉXICO Y MUNICIPIOS</w:t>
      </w:r>
      <w:r w:rsidRPr="00272CE0">
        <w:rPr>
          <w:rFonts w:ascii="Palatino Linotype" w:hAnsi="Palatino Linotype" w:cs="Arial"/>
        </w:rPr>
        <w:t>, CONFORMADO POR LOS COMISIONADOS</w:t>
      </w:r>
      <w:r>
        <w:rPr>
          <w:rFonts w:ascii="Palatino Linotype" w:hAnsi="Palatino Linotype" w:cs="Arial"/>
        </w:rPr>
        <w:t xml:space="preserve"> JOSÉ MARTÍNEZ VILCHIS, MARÍA DEL ROSARIO </w:t>
      </w:r>
      <w:r w:rsidRPr="00266B85">
        <w:rPr>
          <w:rFonts w:ascii="Palatino Linotype" w:hAnsi="Palatino Linotype" w:cs="Arial"/>
        </w:rPr>
        <w:t>MEJÍA AYALA</w:t>
      </w:r>
      <w:r>
        <w:rPr>
          <w:rFonts w:ascii="Palatino Linotype" w:hAnsi="Palatino Linotype" w:cs="Arial"/>
        </w:rPr>
        <w:t xml:space="preserve">, </w:t>
      </w:r>
      <w:r w:rsidRPr="00266B85">
        <w:rPr>
          <w:rFonts w:ascii="Palatino Linotype" w:hAnsi="Palatino Linotype" w:cs="Arial"/>
        </w:rPr>
        <w:t>S</w:t>
      </w:r>
      <w:r>
        <w:rPr>
          <w:rFonts w:ascii="Palatino Linotype" w:hAnsi="Palatino Linotype" w:cs="Arial"/>
        </w:rPr>
        <w:t xml:space="preserve">HARON CRISTINA MORALES MARTÍNEZ, </w:t>
      </w:r>
      <w:r w:rsidRPr="00266B85">
        <w:rPr>
          <w:rFonts w:ascii="Palatino Linotype" w:hAnsi="Palatino Linotype" w:cs="Arial"/>
        </w:rPr>
        <w:t>LUIS GUSTAVO PARRA NORIEGA</w:t>
      </w:r>
      <w:r>
        <w:rPr>
          <w:rFonts w:ascii="Palatino Linotype" w:hAnsi="Palatino Linotype" w:cs="Arial"/>
        </w:rPr>
        <w:t xml:space="preserve"> </w:t>
      </w:r>
      <w:r w:rsidRPr="00266B85">
        <w:rPr>
          <w:rFonts w:ascii="Palatino Linotype" w:hAnsi="Palatino Linotype" w:cs="Arial"/>
        </w:rPr>
        <w:t xml:space="preserve">Y GUADALUPE RAMÍREZ PEÑA; EN LA </w:t>
      </w:r>
      <w:r>
        <w:rPr>
          <w:rFonts w:ascii="Palatino Linotype" w:hAnsi="Palatino Linotype" w:cs="Arial"/>
        </w:rPr>
        <w:t xml:space="preserve">DÉCIMA QUINTA SESIÓN ORDINARIA CELEBRADA EL TREINTA DE ABRIL DE DOS MIL VEINTICINCO, ANTE EL SECRETARIO </w:t>
      </w:r>
      <w:r w:rsidRPr="00627D99">
        <w:rPr>
          <w:rFonts w:ascii="Palatino Linotype" w:hAnsi="Palatino Linotype" w:cs="Arial"/>
          <w:sz w:val="23"/>
          <w:szCs w:val="23"/>
        </w:rPr>
        <w:t xml:space="preserve">TÉCNICO DEL PLENO, ALEXIS TAPIA RAMÍREZ. </w:t>
      </w:r>
    </w:p>
    <w:p w14:paraId="06C69D8F" w14:textId="77777777" w:rsidR="00161AE5" w:rsidRDefault="00161AE5" w:rsidP="00161AE5">
      <w:pPr>
        <w:spacing w:line="360" w:lineRule="auto"/>
        <w:jc w:val="both"/>
        <w:rPr>
          <w:rFonts w:ascii="Palatino Linotype" w:hAnsi="Palatino Linotype"/>
          <w:bCs/>
          <w:sz w:val="24"/>
          <w:szCs w:val="24"/>
        </w:rPr>
      </w:pPr>
      <w:r>
        <w:rPr>
          <w:rFonts w:ascii="Palatino Linotype" w:hAnsi="Palatino Linotype"/>
          <w:bCs/>
          <w:sz w:val="18"/>
          <w:szCs w:val="18"/>
        </w:rPr>
        <w:t>CCR/J</w:t>
      </w:r>
      <w:r w:rsidRPr="00280B8B">
        <w:rPr>
          <w:rFonts w:ascii="Palatino Linotype" w:hAnsi="Palatino Linotype"/>
          <w:bCs/>
          <w:sz w:val="18"/>
          <w:szCs w:val="18"/>
        </w:rPr>
        <w:t>CMA</w:t>
      </w:r>
    </w:p>
    <w:p w14:paraId="0C81F253" w14:textId="77777777" w:rsidR="00573B54" w:rsidRDefault="00573B54" w:rsidP="00573B54">
      <w:pPr>
        <w:spacing w:before="240" w:line="360" w:lineRule="auto"/>
        <w:jc w:val="both"/>
        <w:rPr>
          <w:rFonts w:ascii="Palatino Linotype" w:hAnsi="Palatino Linotype"/>
          <w:sz w:val="24"/>
          <w:szCs w:val="24"/>
        </w:rPr>
      </w:pPr>
    </w:p>
    <w:p w14:paraId="6C7EEAE3" w14:textId="77777777" w:rsidR="00573B54" w:rsidRPr="002629AA" w:rsidRDefault="00573B54" w:rsidP="000567FC">
      <w:pPr>
        <w:pStyle w:val="Prrafodelista"/>
        <w:autoSpaceDE w:val="0"/>
        <w:autoSpaceDN w:val="0"/>
        <w:adjustRightInd w:val="0"/>
        <w:spacing w:before="240" w:after="160" w:line="360" w:lineRule="auto"/>
        <w:ind w:left="0"/>
        <w:jc w:val="both"/>
        <w:rPr>
          <w:rFonts w:ascii="Palatino Linotype" w:hAnsi="Palatino Linotype"/>
          <w:lang w:val="es-MX"/>
        </w:rPr>
      </w:pPr>
    </w:p>
    <w:p w14:paraId="628801CE" w14:textId="77777777" w:rsidR="00863633" w:rsidRDefault="00863633" w:rsidP="000567FC">
      <w:pPr>
        <w:pStyle w:val="Prrafodelista"/>
        <w:autoSpaceDE w:val="0"/>
        <w:autoSpaceDN w:val="0"/>
        <w:adjustRightInd w:val="0"/>
        <w:spacing w:before="240" w:after="160" w:line="360" w:lineRule="auto"/>
        <w:ind w:left="0"/>
        <w:jc w:val="both"/>
        <w:rPr>
          <w:rFonts w:ascii="Palatino Linotype" w:hAnsi="Palatino Linotype"/>
        </w:rPr>
      </w:pPr>
    </w:p>
    <w:p w14:paraId="41EAF83F" w14:textId="77777777" w:rsidR="002629AA" w:rsidRPr="00573B54" w:rsidRDefault="002629AA" w:rsidP="00B971CA">
      <w:pPr>
        <w:pStyle w:val="Citas"/>
        <w:tabs>
          <w:tab w:val="left" w:pos="7470"/>
        </w:tabs>
        <w:ind w:left="0" w:right="72"/>
        <w:rPr>
          <w:i w:val="0"/>
          <w:sz w:val="24"/>
          <w:szCs w:val="24"/>
        </w:rPr>
      </w:pPr>
    </w:p>
    <w:p w14:paraId="39DD5618" w14:textId="77777777" w:rsidR="00663DF5" w:rsidRPr="000F7BB3" w:rsidRDefault="00663DF5" w:rsidP="00663DF5">
      <w:pPr>
        <w:spacing w:after="0" w:line="360" w:lineRule="auto"/>
        <w:jc w:val="both"/>
        <w:rPr>
          <w:rFonts w:ascii="Palatino Linotype" w:hAnsi="Palatino Linotype" w:cs="Arial"/>
          <w:noProof/>
          <w:color w:val="000000"/>
          <w:sz w:val="24"/>
          <w:lang w:eastAsia="es-MX"/>
        </w:rPr>
      </w:pPr>
    </w:p>
    <w:p w14:paraId="027C38D5" w14:textId="5AB834AA" w:rsidR="00663DF5" w:rsidRDefault="00663DF5" w:rsidP="00663DF5">
      <w:pPr>
        <w:pStyle w:val="Citas"/>
        <w:tabs>
          <w:tab w:val="left" w:pos="7470"/>
        </w:tabs>
        <w:ind w:left="0" w:right="72"/>
        <w:rPr>
          <w:bCs/>
          <w:sz w:val="18"/>
          <w:szCs w:val="18"/>
        </w:rPr>
      </w:pPr>
    </w:p>
    <w:p w14:paraId="09D3EB74" w14:textId="21FC7777" w:rsidR="00663DF5" w:rsidRDefault="00663DF5" w:rsidP="00663DF5">
      <w:pPr>
        <w:pStyle w:val="Citas"/>
        <w:tabs>
          <w:tab w:val="left" w:pos="7470"/>
        </w:tabs>
        <w:ind w:left="0" w:right="72"/>
        <w:rPr>
          <w:bCs/>
          <w:sz w:val="18"/>
          <w:szCs w:val="18"/>
        </w:rPr>
      </w:pPr>
    </w:p>
    <w:p w14:paraId="6D7FDE27" w14:textId="5D7A7AC6" w:rsidR="00663DF5" w:rsidRDefault="00663DF5" w:rsidP="00663DF5">
      <w:pPr>
        <w:pStyle w:val="Citas"/>
        <w:tabs>
          <w:tab w:val="left" w:pos="7470"/>
        </w:tabs>
        <w:ind w:left="0" w:right="72"/>
        <w:rPr>
          <w:bCs/>
          <w:sz w:val="18"/>
          <w:szCs w:val="18"/>
        </w:rPr>
      </w:pPr>
    </w:p>
    <w:p w14:paraId="3EC4DA77" w14:textId="4C875BD6" w:rsidR="00663DF5" w:rsidRDefault="00663DF5" w:rsidP="00663DF5">
      <w:pPr>
        <w:pStyle w:val="Citas"/>
        <w:tabs>
          <w:tab w:val="left" w:pos="7470"/>
        </w:tabs>
        <w:ind w:left="0" w:right="72"/>
        <w:rPr>
          <w:bCs/>
          <w:sz w:val="18"/>
          <w:szCs w:val="18"/>
        </w:rPr>
      </w:pPr>
    </w:p>
    <w:p w14:paraId="7FDB0524" w14:textId="10614592" w:rsidR="00A35685" w:rsidRDefault="00A35685" w:rsidP="00663DF5">
      <w:pPr>
        <w:pStyle w:val="Citas"/>
        <w:tabs>
          <w:tab w:val="left" w:pos="7470"/>
        </w:tabs>
        <w:ind w:left="0" w:right="72"/>
        <w:rPr>
          <w:bCs/>
          <w:sz w:val="18"/>
          <w:szCs w:val="18"/>
        </w:rPr>
      </w:pPr>
    </w:p>
    <w:p w14:paraId="7EB69F84" w14:textId="3F1294F9" w:rsidR="00A35685" w:rsidRDefault="00A35685" w:rsidP="00663DF5">
      <w:pPr>
        <w:pStyle w:val="Citas"/>
        <w:tabs>
          <w:tab w:val="left" w:pos="7470"/>
        </w:tabs>
        <w:ind w:left="0" w:right="72"/>
        <w:rPr>
          <w:bCs/>
          <w:sz w:val="18"/>
          <w:szCs w:val="18"/>
        </w:rPr>
      </w:pPr>
    </w:p>
    <w:p w14:paraId="46E9DE69" w14:textId="150646B4" w:rsidR="00A35685" w:rsidRDefault="00A35685" w:rsidP="00663DF5">
      <w:pPr>
        <w:pStyle w:val="Citas"/>
        <w:tabs>
          <w:tab w:val="left" w:pos="7470"/>
        </w:tabs>
        <w:ind w:left="0" w:right="72"/>
        <w:rPr>
          <w:bCs/>
          <w:sz w:val="18"/>
          <w:szCs w:val="18"/>
        </w:rPr>
      </w:pPr>
    </w:p>
    <w:p w14:paraId="2CD311BA" w14:textId="385BD819" w:rsidR="00A35685" w:rsidRDefault="00A35685" w:rsidP="00663DF5">
      <w:pPr>
        <w:pStyle w:val="Citas"/>
        <w:tabs>
          <w:tab w:val="left" w:pos="7470"/>
        </w:tabs>
        <w:ind w:left="0" w:right="72"/>
        <w:rPr>
          <w:bCs/>
          <w:sz w:val="18"/>
          <w:szCs w:val="18"/>
        </w:rPr>
      </w:pPr>
    </w:p>
    <w:p w14:paraId="367E1485" w14:textId="1DE5F933" w:rsidR="00A35685" w:rsidRDefault="00A35685" w:rsidP="00663DF5">
      <w:pPr>
        <w:pStyle w:val="Citas"/>
        <w:tabs>
          <w:tab w:val="left" w:pos="7470"/>
        </w:tabs>
        <w:ind w:left="0" w:right="72"/>
        <w:rPr>
          <w:bCs/>
          <w:sz w:val="18"/>
          <w:szCs w:val="18"/>
        </w:rPr>
      </w:pPr>
    </w:p>
    <w:p w14:paraId="1A95ECED" w14:textId="04AEF9F2" w:rsidR="00A35685" w:rsidRDefault="00A35685" w:rsidP="00663DF5">
      <w:pPr>
        <w:pStyle w:val="Citas"/>
        <w:tabs>
          <w:tab w:val="left" w:pos="7470"/>
        </w:tabs>
        <w:ind w:left="0" w:right="72"/>
        <w:rPr>
          <w:bCs/>
          <w:sz w:val="18"/>
          <w:szCs w:val="18"/>
        </w:rPr>
      </w:pPr>
    </w:p>
    <w:p w14:paraId="47B77515" w14:textId="64137AFF" w:rsidR="00A35685" w:rsidRDefault="00A35685" w:rsidP="00663DF5">
      <w:pPr>
        <w:pStyle w:val="Citas"/>
        <w:tabs>
          <w:tab w:val="left" w:pos="7470"/>
        </w:tabs>
        <w:ind w:left="0" w:right="72"/>
        <w:rPr>
          <w:bCs/>
          <w:sz w:val="18"/>
          <w:szCs w:val="18"/>
        </w:rPr>
      </w:pPr>
    </w:p>
    <w:p w14:paraId="5A6276B5" w14:textId="0E70D114" w:rsidR="00A35685" w:rsidRDefault="00A35685" w:rsidP="00663DF5">
      <w:pPr>
        <w:pStyle w:val="Citas"/>
        <w:tabs>
          <w:tab w:val="left" w:pos="7470"/>
        </w:tabs>
        <w:ind w:left="0" w:right="72"/>
        <w:rPr>
          <w:bCs/>
          <w:sz w:val="18"/>
          <w:szCs w:val="18"/>
        </w:rPr>
      </w:pPr>
    </w:p>
    <w:p w14:paraId="19119F25" w14:textId="54130EBB" w:rsidR="00A35685" w:rsidRDefault="00A35685" w:rsidP="00663DF5">
      <w:pPr>
        <w:pStyle w:val="Citas"/>
        <w:tabs>
          <w:tab w:val="left" w:pos="7470"/>
        </w:tabs>
        <w:ind w:left="0" w:right="72"/>
        <w:rPr>
          <w:bCs/>
          <w:sz w:val="18"/>
          <w:szCs w:val="18"/>
        </w:rPr>
      </w:pPr>
    </w:p>
    <w:p w14:paraId="7A28EFED" w14:textId="0F8948B1" w:rsidR="00A35685" w:rsidRDefault="00A35685" w:rsidP="00663DF5">
      <w:pPr>
        <w:pStyle w:val="Citas"/>
        <w:tabs>
          <w:tab w:val="left" w:pos="7470"/>
        </w:tabs>
        <w:ind w:left="0" w:right="72"/>
        <w:rPr>
          <w:bCs/>
          <w:sz w:val="18"/>
          <w:szCs w:val="18"/>
        </w:rPr>
      </w:pPr>
    </w:p>
    <w:p w14:paraId="20B66FDE" w14:textId="11EE48A8" w:rsidR="00A35685" w:rsidRDefault="00A35685" w:rsidP="00663DF5">
      <w:pPr>
        <w:pStyle w:val="Citas"/>
        <w:tabs>
          <w:tab w:val="left" w:pos="7470"/>
        </w:tabs>
        <w:ind w:left="0" w:right="72"/>
        <w:rPr>
          <w:bCs/>
          <w:sz w:val="18"/>
          <w:szCs w:val="18"/>
        </w:rPr>
      </w:pPr>
    </w:p>
    <w:p w14:paraId="7D660090" w14:textId="4D30829B" w:rsidR="00A35685" w:rsidRDefault="00A35685" w:rsidP="00663DF5">
      <w:pPr>
        <w:pStyle w:val="Citas"/>
        <w:tabs>
          <w:tab w:val="left" w:pos="7470"/>
        </w:tabs>
        <w:ind w:left="0" w:right="72"/>
        <w:rPr>
          <w:bCs/>
          <w:sz w:val="18"/>
          <w:szCs w:val="18"/>
        </w:rPr>
      </w:pPr>
    </w:p>
    <w:p w14:paraId="590F5C88" w14:textId="3D5DC0A5" w:rsidR="00A35685" w:rsidRDefault="00A35685" w:rsidP="00663DF5">
      <w:pPr>
        <w:pStyle w:val="Citas"/>
        <w:tabs>
          <w:tab w:val="left" w:pos="7470"/>
        </w:tabs>
        <w:ind w:left="0" w:right="72"/>
        <w:rPr>
          <w:bCs/>
          <w:sz w:val="18"/>
          <w:szCs w:val="18"/>
        </w:rPr>
      </w:pPr>
    </w:p>
    <w:p w14:paraId="50B461B7" w14:textId="33159946" w:rsidR="00A35685" w:rsidRDefault="00A35685" w:rsidP="00663DF5">
      <w:pPr>
        <w:pStyle w:val="Citas"/>
        <w:tabs>
          <w:tab w:val="left" w:pos="7470"/>
        </w:tabs>
        <w:ind w:left="0" w:right="72"/>
        <w:rPr>
          <w:bCs/>
          <w:sz w:val="18"/>
          <w:szCs w:val="18"/>
        </w:rPr>
      </w:pPr>
    </w:p>
    <w:p w14:paraId="14C83A4B" w14:textId="77777777" w:rsidR="001742A5" w:rsidRPr="001742A5" w:rsidRDefault="001742A5" w:rsidP="001742A5">
      <w:pPr>
        <w:spacing w:line="360" w:lineRule="auto"/>
        <w:contextualSpacing/>
        <w:jc w:val="both"/>
        <w:rPr>
          <w:rFonts w:ascii="Palatino Linotype" w:eastAsia="MS Mincho" w:hAnsi="Palatino Linotype"/>
        </w:rPr>
      </w:pPr>
    </w:p>
    <w:sectPr w:rsidR="001742A5" w:rsidRPr="001742A5" w:rsidSect="00FB4AAD">
      <w:headerReference w:type="default" r:id="rId13"/>
      <w:footerReference w:type="default" r:id="rId14"/>
      <w:headerReference w:type="first" r:id="rId15"/>
      <w:footerReference w:type="first" r:id="rId16"/>
      <w:pgSz w:w="12240" w:h="15840"/>
      <w:pgMar w:top="1417" w:right="1467"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4DD0E0" w14:textId="77777777" w:rsidR="00C828C1" w:rsidRDefault="00C828C1" w:rsidP="006168E4">
      <w:pPr>
        <w:spacing w:after="0" w:line="240" w:lineRule="auto"/>
      </w:pPr>
      <w:r>
        <w:separator/>
      </w:r>
    </w:p>
  </w:endnote>
  <w:endnote w:type="continuationSeparator" w:id="0">
    <w:p w14:paraId="6CCEECDC" w14:textId="77777777" w:rsidR="00C828C1" w:rsidRDefault="00C828C1" w:rsidP="006168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AF2327" w14:textId="77777777" w:rsidR="00F00446" w:rsidRPr="000B69FA" w:rsidRDefault="00F00446" w:rsidP="00FB4AAD">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7145FB">
      <w:rPr>
        <w:rFonts w:ascii="Palatino Linotype" w:hAnsi="Palatino Linotype"/>
        <w:bCs/>
        <w:noProof/>
        <w:sz w:val="20"/>
      </w:rPr>
      <w:t>21</w:t>
    </w:r>
    <w:r w:rsidRPr="000B69FA">
      <w:rPr>
        <w:rFonts w:ascii="Palatino Linotype" w:hAnsi="Palatino Linotype"/>
        <w:bCs/>
        <w:sz w:val="20"/>
      </w:rPr>
      <w:fldChar w:fldCharType="end"/>
    </w:r>
    <w:r w:rsidRPr="000B69FA">
      <w:rPr>
        <w:rFonts w:ascii="Palatino Linotype" w:hAnsi="Palatino Linotype"/>
        <w:sz w:val="20"/>
      </w:rPr>
      <w:t xml:space="preserve"> de </w:t>
    </w:r>
    <w:r w:rsidRPr="000B69FA">
      <w:rPr>
        <w:rFonts w:ascii="Palatino Linotype" w:hAnsi="Palatino Linotype"/>
        <w:bCs/>
        <w:sz w:val="20"/>
      </w:rPr>
      <w:fldChar w:fldCharType="begin"/>
    </w:r>
    <w:r w:rsidRPr="000B69FA">
      <w:rPr>
        <w:rFonts w:ascii="Palatino Linotype" w:hAnsi="Palatino Linotype"/>
        <w:bCs/>
        <w:sz w:val="20"/>
      </w:rPr>
      <w:instrText>NUMPAGES  \* Arabic  \* MERGEFORMAT</w:instrText>
    </w:r>
    <w:r w:rsidRPr="000B69FA">
      <w:rPr>
        <w:rFonts w:ascii="Palatino Linotype" w:hAnsi="Palatino Linotype"/>
        <w:bCs/>
        <w:sz w:val="20"/>
      </w:rPr>
      <w:fldChar w:fldCharType="separate"/>
    </w:r>
    <w:r w:rsidR="007145FB">
      <w:rPr>
        <w:rFonts w:ascii="Palatino Linotype" w:hAnsi="Palatino Linotype"/>
        <w:bCs/>
        <w:noProof/>
        <w:sz w:val="20"/>
      </w:rPr>
      <w:t>34</w:t>
    </w:r>
    <w:r w:rsidRPr="000B69FA">
      <w:rPr>
        <w:rFonts w:ascii="Palatino Linotype" w:hAnsi="Palatino Linotype"/>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D14D01" w14:textId="77777777" w:rsidR="00F00446" w:rsidRPr="000B69FA" w:rsidRDefault="00F00446" w:rsidP="00FB4AAD">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7145FB">
      <w:rPr>
        <w:rFonts w:ascii="Palatino Linotype" w:hAnsi="Palatino Linotype"/>
        <w:bCs/>
        <w:noProof/>
        <w:sz w:val="20"/>
      </w:rPr>
      <w:t>1</w:t>
    </w:r>
    <w:r w:rsidRPr="000B69FA">
      <w:rPr>
        <w:rFonts w:ascii="Palatino Linotype" w:hAnsi="Palatino Linotype"/>
        <w:bCs/>
        <w:sz w:val="20"/>
      </w:rPr>
      <w:fldChar w:fldCharType="end"/>
    </w:r>
    <w:r w:rsidRPr="000B69FA">
      <w:rPr>
        <w:rFonts w:ascii="Palatino Linotype" w:hAnsi="Palatino Linotype"/>
        <w:sz w:val="20"/>
      </w:rPr>
      <w:t xml:space="preserve"> de </w:t>
    </w:r>
    <w:r w:rsidRPr="000B69FA">
      <w:rPr>
        <w:rFonts w:ascii="Palatino Linotype" w:hAnsi="Palatino Linotype"/>
        <w:bCs/>
        <w:sz w:val="20"/>
      </w:rPr>
      <w:fldChar w:fldCharType="begin"/>
    </w:r>
    <w:r w:rsidRPr="000B69FA">
      <w:rPr>
        <w:rFonts w:ascii="Palatino Linotype" w:hAnsi="Palatino Linotype"/>
        <w:bCs/>
        <w:sz w:val="20"/>
      </w:rPr>
      <w:instrText>NUMPAGES  \* Arabic  \* MERGEFORMAT</w:instrText>
    </w:r>
    <w:r w:rsidRPr="000B69FA">
      <w:rPr>
        <w:rFonts w:ascii="Palatino Linotype" w:hAnsi="Palatino Linotype"/>
        <w:bCs/>
        <w:sz w:val="20"/>
      </w:rPr>
      <w:fldChar w:fldCharType="separate"/>
    </w:r>
    <w:r w:rsidR="007145FB">
      <w:rPr>
        <w:rFonts w:ascii="Palatino Linotype" w:hAnsi="Palatino Linotype"/>
        <w:bCs/>
        <w:noProof/>
        <w:sz w:val="20"/>
      </w:rPr>
      <w:t>34</w:t>
    </w:r>
    <w:r w:rsidRPr="000B69FA">
      <w:rPr>
        <w:rFonts w:ascii="Palatino Linotype" w:hAnsi="Palatino Linotype"/>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7E5BD2" w14:textId="77777777" w:rsidR="00C828C1" w:rsidRDefault="00C828C1" w:rsidP="006168E4">
      <w:pPr>
        <w:spacing w:after="0" w:line="240" w:lineRule="auto"/>
      </w:pPr>
      <w:r>
        <w:separator/>
      </w:r>
    </w:p>
  </w:footnote>
  <w:footnote w:type="continuationSeparator" w:id="0">
    <w:p w14:paraId="029CE49E" w14:textId="77777777" w:rsidR="00C828C1" w:rsidRDefault="00C828C1" w:rsidP="006168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D2214C" w14:textId="77777777" w:rsidR="00F00446" w:rsidRDefault="00F00446">
    <w:pPr>
      <w:pStyle w:val="Encabezado"/>
    </w:pPr>
    <w:r>
      <w:rPr>
        <w:rFonts w:ascii="Palatino Linotype" w:hAnsi="Palatino Linotype" w:cs="Arial"/>
        <w:b/>
        <w:noProof/>
        <w:szCs w:val="20"/>
        <w:lang w:val="es-MX" w:eastAsia="es-MX"/>
      </w:rPr>
      <w:drawing>
        <wp:anchor distT="0" distB="0" distL="114300" distR="114300" simplePos="0" relativeHeight="251661312" behindDoc="1" locked="0" layoutInCell="0" allowOverlap="1" wp14:anchorId="463E6D5E" wp14:editId="63F69A4B">
          <wp:simplePos x="0" y="0"/>
          <wp:positionH relativeFrom="page">
            <wp:posOffset>19974</wp:posOffset>
          </wp:positionH>
          <wp:positionV relativeFrom="page">
            <wp:posOffset>15801</wp:posOffset>
          </wp:positionV>
          <wp:extent cx="7705725" cy="10048875"/>
          <wp:effectExtent l="0" t="0" r="9525" b="9525"/>
          <wp:wrapNone/>
          <wp:docPr id="2" name="Imagen 2"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tbl>
    <w:tblPr>
      <w:tblW w:w="10065" w:type="dxa"/>
      <w:tblInd w:w="-851" w:type="dxa"/>
      <w:tblCellMar>
        <w:left w:w="70" w:type="dxa"/>
        <w:right w:w="70" w:type="dxa"/>
      </w:tblCellMar>
      <w:tblLook w:val="04A0" w:firstRow="1" w:lastRow="0" w:firstColumn="1" w:lastColumn="0" w:noHBand="0" w:noVBand="1"/>
    </w:tblPr>
    <w:tblGrid>
      <w:gridCol w:w="5529"/>
      <w:gridCol w:w="4536"/>
    </w:tblGrid>
    <w:tr w:rsidR="00F00446" w14:paraId="517E4460" w14:textId="77777777" w:rsidTr="00FB4AAD">
      <w:trPr>
        <w:trHeight w:val="227"/>
      </w:trPr>
      <w:tc>
        <w:tcPr>
          <w:tcW w:w="5529" w:type="dxa"/>
          <w:hideMark/>
        </w:tcPr>
        <w:p w14:paraId="03543E6C" w14:textId="77777777" w:rsidR="00F00446" w:rsidRDefault="00F00446" w:rsidP="009A686F">
          <w:pPr>
            <w:spacing w:after="120" w:line="256" w:lineRule="auto"/>
            <w:ind w:right="204"/>
            <w:jc w:val="right"/>
            <w:rPr>
              <w:rFonts w:ascii="Palatino Linotype" w:hAnsi="Palatino Linotype" w:cs="Arial"/>
              <w:b/>
              <w:szCs w:val="20"/>
            </w:rPr>
          </w:pPr>
          <w:r>
            <w:rPr>
              <w:rFonts w:ascii="Palatino Linotype" w:hAnsi="Palatino Linotype" w:cs="Arial"/>
              <w:b/>
              <w:szCs w:val="20"/>
            </w:rPr>
            <w:t>Recurso de Revisión N°:</w:t>
          </w:r>
        </w:p>
      </w:tc>
      <w:tc>
        <w:tcPr>
          <w:tcW w:w="4536" w:type="dxa"/>
          <w:hideMark/>
        </w:tcPr>
        <w:p w14:paraId="51EB7898" w14:textId="7228106B" w:rsidR="00F00446" w:rsidRPr="00B4142F" w:rsidRDefault="00131D9B" w:rsidP="00B433C9">
          <w:pPr>
            <w:spacing w:after="120" w:line="256" w:lineRule="auto"/>
            <w:ind w:left="639" w:right="214"/>
            <w:jc w:val="both"/>
            <w:rPr>
              <w:rFonts w:ascii="Palatino Linotype" w:hAnsi="Palatino Linotype" w:cs="Arial"/>
              <w:szCs w:val="20"/>
            </w:rPr>
          </w:pPr>
          <w:r>
            <w:rPr>
              <w:rFonts w:ascii="Palatino Linotype" w:hAnsi="Palatino Linotype" w:cs="Arial"/>
              <w:bCs/>
              <w:sz w:val="24"/>
              <w:lang w:eastAsia="es-MX"/>
            </w:rPr>
            <w:t>0</w:t>
          </w:r>
          <w:r w:rsidR="00D43677">
            <w:rPr>
              <w:rFonts w:ascii="Palatino Linotype" w:hAnsi="Palatino Linotype" w:cs="Arial"/>
              <w:bCs/>
              <w:sz w:val="24"/>
              <w:lang w:eastAsia="es-MX"/>
            </w:rPr>
            <w:t>3040</w:t>
          </w:r>
          <w:r w:rsidR="00F00446">
            <w:rPr>
              <w:rFonts w:ascii="Palatino Linotype" w:hAnsi="Palatino Linotype" w:cs="Arial"/>
              <w:bCs/>
              <w:sz w:val="24"/>
              <w:lang w:eastAsia="es-MX"/>
            </w:rPr>
            <w:t>/INFOEM/IP/RR/202</w:t>
          </w:r>
          <w:r>
            <w:rPr>
              <w:rFonts w:ascii="Palatino Linotype" w:hAnsi="Palatino Linotype" w:cs="Arial"/>
              <w:bCs/>
              <w:sz w:val="24"/>
              <w:lang w:eastAsia="es-MX"/>
            </w:rPr>
            <w:t>5</w:t>
          </w:r>
        </w:p>
      </w:tc>
    </w:tr>
    <w:tr w:rsidR="00F00446" w14:paraId="76095C04" w14:textId="77777777" w:rsidTr="00FB4AAD">
      <w:trPr>
        <w:trHeight w:val="242"/>
      </w:trPr>
      <w:tc>
        <w:tcPr>
          <w:tcW w:w="5529" w:type="dxa"/>
          <w:hideMark/>
        </w:tcPr>
        <w:p w14:paraId="7411E998" w14:textId="77777777" w:rsidR="00F00446" w:rsidRDefault="00F00446" w:rsidP="009A686F">
          <w:pPr>
            <w:spacing w:after="120" w:line="256" w:lineRule="auto"/>
            <w:ind w:right="204"/>
            <w:jc w:val="right"/>
            <w:rPr>
              <w:rFonts w:ascii="Palatino Linotype" w:hAnsi="Palatino Linotype" w:cs="Arial"/>
              <w:b/>
              <w:szCs w:val="20"/>
            </w:rPr>
          </w:pPr>
          <w:r>
            <w:rPr>
              <w:rFonts w:ascii="Palatino Linotype" w:hAnsi="Palatino Linotype" w:cs="Arial"/>
              <w:b/>
              <w:szCs w:val="20"/>
            </w:rPr>
            <w:t>Sujeto Obligado:</w:t>
          </w:r>
        </w:p>
      </w:tc>
      <w:tc>
        <w:tcPr>
          <w:tcW w:w="4536" w:type="dxa"/>
          <w:hideMark/>
        </w:tcPr>
        <w:p w14:paraId="6E3B5A70" w14:textId="4655361D" w:rsidR="00F00446" w:rsidRPr="00F06FED" w:rsidRDefault="00EC1D0D" w:rsidP="00C25084">
          <w:pPr>
            <w:spacing w:after="120" w:line="256" w:lineRule="auto"/>
            <w:ind w:left="639" w:right="214"/>
            <w:jc w:val="both"/>
            <w:rPr>
              <w:rFonts w:ascii="Palatino Linotype" w:hAnsi="Palatino Linotype" w:cs="Arial"/>
            </w:rPr>
          </w:pPr>
          <w:r>
            <w:rPr>
              <w:rFonts w:ascii="Palatino Linotype" w:hAnsi="Palatino Linotype" w:cs="Arial"/>
            </w:rPr>
            <w:t>Ayuntamiento de Toluca</w:t>
          </w:r>
        </w:p>
      </w:tc>
    </w:tr>
    <w:tr w:rsidR="00F00446" w14:paraId="25C2F847" w14:textId="77777777" w:rsidTr="00FB4AAD">
      <w:trPr>
        <w:trHeight w:val="342"/>
      </w:trPr>
      <w:tc>
        <w:tcPr>
          <w:tcW w:w="5529" w:type="dxa"/>
          <w:hideMark/>
        </w:tcPr>
        <w:p w14:paraId="601C03DB" w14:textId="77777777" w:rsidR="00F00446" w:rsidRDefault="00F00446" w:rsidP="009A686F">
          <w:pPr>
            <w:tabs>
              <w:tab w:val="left" w:pos="4892"/>
            </w:tabs>
            <w:spacing w:after="120" w:line="256" w:lineRule="auto"/>
            <w:ind w:right="204"/>
            <w:jc w:val="right"/>
            <w:rPr>
              <w:rFonts w:ascii="Palatino Linotype" w:hAnsi="Palatino Linotype" w:cs="Arial"/>
              <w:b/>
              <w:szCs w:val="20"/>
            </w:rPr>
          </w:pPr>
          <w:r>
            <w:rPr>
              <w:rFonts w:ascii="Palatino Linotype" w:hAnsi="Palatino Linotype" w:cs="Arial"/>
              <w:b/>
              <w:szCs w:val="20"/>
            </w:rPr>
            <w:t>Comisionado Ponente:</w:t>
          </w:r>
        </w:p>
      </w:tc>
      <w:tc>
        <w:tcPr>
          <w:tcW w:w="4536" w:type="dxa"/>
          <w:hideMark/>
        </w:tcPr>
        <w:p w14:paraId="2DCCD2E2" w14:textId="77777777" w:rsidR="00F00446" w:rsidRDefault="00F00446" w:rsidP="009A686F">
          <w:pPr>
            <w:spacing w:after="120" w:line="256" w:lineRule="auto"/>
            <w:ind w:left="497" w:right="214" w:firstLine="142"/>
            <w:jc w:val="both"/>
            <w:rPr>
              <w:rFonts w:ascii="Palatino Linotype" w:hAnsi="Palatino Linotype" w:cs="Arial"/>
              <w:szCs w:val="20"/>
            </w:rPr>
          </w:pPr>
          <w:r>
            <w:rPr>
              <w:rFonts w:ascii="Palatino Linotype" w:hAnsi="Palatino Linotype" w:cs="Arial"/>
              <w:szCs w:val="20"/>
            </w:rPr>
            <w:t xml:space="preserve">José Martínez Vilchis </w:t>
          </w:r>
        </w:p>
      </w:tc>
    </w:tr>
  </w:tbl>
  <w:p w14:paraId="43BB7CE8" w14:textId="77777777" w:rsidR="00F00446" w:rsidRDefault="00F00446">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065" w:type="dxa"/>
      <w:tblInd w:w="-851" w:type="dxa"/>
      <w:tblLayout w:type="fixed"/>
      <w:tblCellMar>
        <w:left w:w="70" w:type="dxa"/>
        <w:right w:w="70" w:type="dxa"/>
      </w:tblCellMar>
      <w:tblLook w:val="04A0" w:firstRow="1" w:lastRow="0" w:firstColumn="1" w:lastColumn="0" w:noHBand="0" w:noVBand="1"/>
    </w:tblPr>
    <w:tblGrid>
      <w:gridCol w:w="5529"/>
      <w:gridCol w:w="4536"/>
    </w:tblGrid>
    <w:tr w:rsidR="00F00446" w14:paraId="5F229218" w14:textId="77777777" w:rsidTr="00FB4AAD">
      <w:trPr>
        <w:trHeight w:val="227"/>
      </w:trPr>
      <w:tc>
        <w:tcPr>
          <w:tcW w:w="5529" w:type="dxa"/>
          <w:hideMark/>
        </w:tcPr>
        <w:p w14:paraId="0F980631" w14:textId="77777777" w:rsidR="00F00446" w:rsidRDefault="00F00446" w:rsidP="00FB4AAD">
          <w:pPr>
            <w:spacing w:after="120" w:line="256" w:lineRule="auto"/>
            <w:ind w:right="204"/>
            <w:jc w:val="right"/>
            <w:rPr>
              <w:rFonts w:ascii="Palatino Linotype" w:hAnsi="Palatino Linotype" w:cs="Arial"/>
              <w:b/>
              <w:szCs w:val="20"/>
            </w:rPr>
          </w:pPr>
          <w:r>
            <w:rPr>
              <w:rFonts w:ascii="Palatino Linotype" w:hAnsi="Palatino Linotype" w:cs="Arial"/>
              <w:b/>
              <w:szCs w:val="20"/>
            </w:rPr>
            <w:t>Recurso de Revisión N°:</w:t>
          </w:r>
        </w:p>
      </w:tc>
      <w:tc>
        <w:tcPr>
          <w:tcW w:w="4536" w:type="dxa"/>
          <w:hideMark/>
        </w:tcPr>
        <w:p w14:paraId="563234DB" w14:textId="13B4E6E4" w:rsidR="00F00446" w:rsidRPr="00B4142F" w:rsidRDefault="00131D9B" w:rsidP="00B433C9">
          <w:pPr>
            <w:spacing w:after="120" w:line="256" w:lineRule="auto"/>
            <w:ind w:left="639" w:right="214"/>
            <w:jc w:val="both"/>
            <w:rPr>
              <w:rFonts w:ascii="Palatino Linotype" w:hAnsi="Palatino Linotype" w:cs="Arial"/>
              <w:szCs w:val="20"/>
            </w:rPr>
          </w:pPr>
          <w:r>
            <w:rPr>
              <w:rFonts w:ascii="Palatino Linotype" w:hAnsi="Palatino Linotype" w:cs="Arial"/>
              <w:bCs/>
              <w:sz w:val="24"/>
              <w:lang w:eastAsia="es-MX"/>
            </w:rPr>
            <w:t>0</w:t>
          </w:r>
          <w:r w:rsidR="00D43677">
            <w:rPr>
              <w:rFonts w:ascii="Palatino Linotype" w:hAnsi="Palatino Linotype" w:cs="Arial"/>
              <w:bCs/>
              <w:sz w:val="24"/>
              <w:lang w:eastAsia="es-MX"/>
            </w:rPr>
            <w:t>3040</w:t>
          </w:r>
          <w:r w:rsidR="00F00446">
            <w:rPr>
              <w:rFonts w:ascii="Palatino Linotype" w:hAnsi="Palatino Linotype" w:cs="Arial"/>
              <w:bCs/>
              <w:sz w:val="24"/>
              <w:lang w:eastAsia="es-MX"/>
            </w:rPr>
            <w:t>/INFOEM/IP/RR/202</w:t>
          </w:r>
          <w:r>
            <w:rPr>
              <w:rFonts w:ascii="Palatino Linotype" w:hAnsi="Palatino Linotype" w:cs="Arial"/>
              <w:bCs/>
              <w:sz w:val="24"/>
              <w:lang w:eastAsia="es-MX"/>
            </w:rPr>
            <w:t>5</w:t>
          </w:r>
          <w:r w:rsidR="00F00446">
            <w:rPr>
              <w:rFonts w:ascii="Palatino Linotype" w:hAnsi="Palatino Linotype" w:cs="Arial"/>
              <w:bCs/>
              <w:sz w:val="24"/>
              <w:lang w:eastAsia="es-MX"/>
            </w:rPr>
            <w:t xml:space="preserve"> </w:t>
          </w:r>
        </w:p>
      </w:tc>
    </w:tr>
    <w:tr w:rsidR="00F00446" w14:paraId="21AEFFE5" w14:textId="77777777" w:rsidTr="00FB4AAD">
      <w:trPr>
        <w:trHeight w:val="196"/>
      </w:trPr>
      <w:tc>
        <w:tcPr>
          <w:tcW w:w="5529" w:type="dxa"/>
          <w:hideMark/>
        </w:tcPr>
        <w:p w14:paraId="4C4B8912" w14:textId="77777777" w:rsidR="00F00446" w:rsidRDefault="00F00446" w:rsidP="00FB4AAD">
          <w:pPr>
            <w:spacing w:after="120" w:line="256" w:lineRule="auto"/>
            <w:ind w:right="204"/>
            <w:jc w:val="right"/>
            <w:rPr>
              <w:rFonts w:ascii="Palatino Linotype" w:hAnsi="Palatino Linotype" w:cs="Arial"/>
              <w:b/>
              <w:szCs w:val="20"/>
            </w:rPr>
          </w:pPr>
          <w:r>
            <w:rPr>
              <w:rFonts w:ascii="Palatino Linotype" w:hAnsi="Palatino Linotype" w:cs="Arial"/>
              <w:b/>
              <w:szCs w:val="20"/>
            </w:rPr>
            <w:t>Recurrente:</w:t>
          </w:r>
        </w:p>
      </w:tc>
      <w:tc>
        <w:tcPr>
          <w:tcW w:w="4536" w:type="dxa"/>
          <w:hideMark/>
        </w:tcPr>
        <w:p w14:paraId="08D65607" w14:textId="10196CF5" w:rsidR="00F00446" w:rsidRPr="00F06FED" w:rsidRDefault="00F00446" w:rsidP="00CC0C5F">
          <w:pPr>
            <w:spacing w:after="120" w:line="256" w:lineRule="auto"/>
            <w:ind w:left="639" w:right="214"/>
            <w:jc w:val="both"/>
            <w:rPr>
              <w:rFonts w:ascii="Palatino Linotype" w:hAnsi="Palatino Linotype" w:cs="Arial"/>
            </w:rPr>
          </w:pPr>
          <w:r>
            <w:rPr>
              <w:rFonts w:ascii="Palatino Linotype" w:hAnsi="Palatino Linotype" w:cs="Arial"/>
            </w:rPr>
            <w:t xml:space="preserve"> </w:t>
          </w:r>
          <w:r w:rsidR="007145FB">
            <w:rPr>
              <w:rFonts w:ascii="Palatino Linotype" w:hAnsi="Palatino Linotype" w:cs="Arial"/>
            </w:rPr>
            <w:t>XXXX</w:t>
          </w:r>
        </w:p>
      </w:tc>
    </w:tr>
    <w:tr w:rsidR="00F00446" w14:paraId="219EEEC5" w14:textId="77777777" w:rsidTr="00FB4AAD">
      <w:trPr>
        <w:trHeight w:val="242"/>
      </w:trPr>
      <w:tc>
        <w:tcPr>
          <w:tcW w:w="5529" w:type="dxa"/>
          <w:hideMark/>
        </w:tcPr>
        <w:p w14:paraId="519BB441" w14:textId="77777777" w:rsidR="00F00446" w:rsidRDefault="00F00446" w:rsidP="00FB4AAD">
          <w:pPr>
            <w:spacing w:after="120" w:line="256" w:lineRule="auto"/>
            <w:ind w:right="204"/>
            <w:jc w:val="right"/>
            <w:rPr>
              <w:rFonts w:ascii="Palatino Linotype" w:hAnsi="Palatino Linotype" w:cs="Arial"/>
              <w:b/>
              <w:szCs w:val="20"/>
            </w:rPr>
          </w:pPr>
          <w:r>
            <w:rPr>
              <w:rFonts w:ascii="Palatino Linotype" w:hAnsi="Palatino Linotype" w:cs="Arial"/>
              <w:b/>
              <w:szCs w:val="20"/>
            </w:rPr>
            <w:t>Sujeto Obligado:</w:t>
          </w:r>
        </w:p>
      </w:tc>
      <w:tc>
        <w:tcPr>
          <w:tcW w:w="4536" w:type="dxa"/>
          <w:hideMark/>
        </w:tcPr>
        <w:p w14:paraId="5D5F0711" w14:textId="3F0830A4" w:rsidR="00F00446" w:rsidRDefault="00EC1D0D" w:rsidP="00C25084">
          <w:pPr>
            <w:spacing w:after="120" w:line="256" w:lineRule="auto"/>
            <w:ind w:left="639" w:right="214"/>
            <w:jc w:val="both"/>
            <w:rPr>
              <w:rFonts w:ascii="Palatino Linotype" w:hAnsi="Palatino Linotype" w:cs="Arial"/>
              <w:szCs w:val="20"/>
            </w:rPr>
          </w:pPr>
          <w:r>
            <w:rPr>
              <w:rFonts w:ascii="Palatino Linotype" w:hAnsi="Palatino Linotype" w:cs="Arial"/>
              <w:szCs w:val="20"/>
            </w:rPr>
            <w:t>Ayuntamiento de Toluca</w:t>
          </w:r>
          <w:r w:rsidR="00F00446">
            <w:rPr>
              <w:rFonts w:ascii="Palatino Linotype" w:hAnsi="Palatino Linotype" w:cs="Arial"/>
              <w:szCs w:val="20"/>
            </w:rPr>
            <w:t xml:space="preserve"> </w:t>
          </w:r>
        </w:p>
      </w:tc>
    </w:tr>
    <w:tr w:rsidR="00F00446" w14:paraId="1DEDAA99" w14:textId="77777777" w:rsidTr="00FB4AAD">
      <w:trPr>
        <w:trHeight w:val="342"/>
      </w:trPr>
      <w:tc>
        <w:tcPr>
          <w:tcW w:w="5529" w:type="dxa"/>
          <w:hideMark/>
        </w:tcPr>
        <w:p w14:paraId="693ABC01" w14:textId="77777777" w:rsidR="00F00446" w:rsidRDefault="00F00446" w:rsidP="00FB4AAD">
          <w:pPr>
            <w:tabs>
              <w:tab w:val="left" w:pos="4892"/>
            </w:tabs>
            <w:spacing w:after="120" w:line="256" w:lineRule="auto"/>
            <w:ind w:right="204"/>
            <w:jc w:val="right"/>
            <w:rPr>
              <w:rFonts w:ascii="Palatino Linotype" w:hAnsi="Palatino Linotype" w:cs="Arial"/>
              <w:b/>
              <w:szCs w:val="20"/>
            </w:rPr>
          </w:pPr>
          <w:r>
            <w:rPr>
              <w:rFonts w:ascii="Palatino Linotype" w:hAnsi="Palatino Linotype" w:cs="Arial"/>
              <w:b/>
              <w:szCs w:val="20"/>
            </w:rPr>
            <w:t>Comisionado Ponente:</w:t>
          </w:r>
        </w:p>
      </w:tc>
      <w:tc>
        <w:tcPr>
          <w:tcW w:w="4536" w:type="dxa"/>
          <w:hideMark/>
        </w:tcPr>
        <w:p w14:paraId="0D4B544C" w14:textId="77777777" w:rsidR="00F00446" w:rsidRDefault="00F00446" w:rsidP="007D1F15">
          <w:pPr>
            <w:spacing w:after="120" w:line="256" w:lineRule="auto"/>
            <w:ind w:left="639" w:right="214"/>
            <w:jc w:val="both"/>
            <w:rPr>
              <w:rFonts w:ascii="Palatino Linotype" w:hAnsi="Palatino Linotype" w:cs="Arial"/>
              <w:szCs w:val="20"/>
            </w:rPr>
          </w:pPr>
          <w:r>
            <w:rPr>
              <w:rFonts w:ascii="Palatino Linotype" w:hAnsi="Palatino Linotype" w:cs="Arial"/>
              <w:szCs w:val="20"/>
            </w:rPr>
            <w:t xml:space="preserve">José Martínez Vilchis </w:t>
          </w:r>
        </w:p>
      </w:tc>
    </w:tr>
  </w:tbl>
  <w:p w14:paraId="41B671E5" w14:textId="77777777" w:rsidR="00F00446" w:rsidRDefault="00F00446">
    <w:pPr>
      <w:pStyle w:val="Encabezado"/>
    </w:pPr>
    <w:r>
      <w:rPr>
        <w:rFonts w:ascii="Palatino Linotype" w:hAnsi="Palatino Linotype" w:cs="Arial"/>
        <w:b/>
        <w:noProof/>
        <w:szCs w:val="20"/>
        <w:lang w:val="es-MX" w:eastAsia="es-MX"/>
      </w:rPr>
      <w:drawing>
        <wp:anchor distT="0" distB="0" distL="114300" distR="114300" simplePos="0" relativeHeight="251659264" behindDoc="1" locked="0" layoutInCell="0" allowOverlap="1" wp14:anchorId="068A25B6" wp14:editId="7CD57142">
          <wp:simplePos x="0" y="0"/>
          <wp:positionH relativeFrom="page">
            <wp:posOffset>2309</wp:posOffset>
          </wp:positionH>
          <wp:positionV relativeFrom="page">
            <wp:posOffset>12733</wp:posOffset>
          </wp:positionV>
          <wp:extent cx="7705725" cy="10048875"/>
          <wp:effectExtent l="0" t="0" r="9525" b="9525"/>
          <wp:wrapNone/>
          <wp:docPr id="1" name="Imagen 1"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4B166B"/>
    <w:multiLevelType w:val="hybridMultilevel"/>
    <w:tmpl w:val="739459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A85278C"/>
    <w:multiLevelType w:val="hybridMultilevel"/>
    <w:tmpl w:val="10BAF52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F023D3A"/>
    <w:multiLevelType w:val="hybridMultilevel"/>
    <w:tmpl w:val="17B84788"/>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3" w15:restartNumberingAfterBreak="0">
    <w:nsid w:val="246156B2"/>
    <w:multiLevelType w:val="hybridMultilevel"/>
    <w:tmpl w:val="F5E037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241AC0"/>
    <w:multiLevelType w:val="hybridMultilevel"/>
    <w:tmpl w:val="FDC642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376665B"/>
    <w:multiLevelType w:val="hybridMultilevel"/>
    <w:tmpl w:val="475CE3D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FFD1136"/>
    <w:multiLevelType w:val="hybridMultilevel"/>
    <w:tmpl w:val="E26C0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566460E"/>
    <w:multiLevelType w:val="hybridMultilevel"/>
    <w:tmpl w:val="A2B0DCB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338044B"/>
    <w:multiLevelType w:val="hybridMultilevel"/>
    <w:tmpl w:val="B5AE5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8"/>
  </w:num>
  <w:num w:numId="3">
    <w:abstractNumId w:val="6"/>
  </w:num>
  <w:num w:numId="4">
    <w:abstractNumId w:val="5"/>
  </w:num>
  <w:num w:numId="5">
    <w:abstractNumId w:val="2"/>
  </w:num>
  <w:num w:numId="6">
    <w:abstractNumId w:val="7"/>
  </w:num>
  <w:num w:numId="7">
    <w:abstractNumId w:val="0"/>
  </w:num>
  <w:num w:numId="8">
    <w:abstractNumId w:val="1"/>
  </w:num>
  <w:num w:numId="9">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68E4"/>
    <w:rsid w:val="000026CF"/>
    <w:rsid w:val="000037E2"/>
    <w:rsid w:val="00010F2B"/>
    <w:rsid w:val="000132D1"/>
    <w:rsid w:val="00020A70"/>
    <w:rsid w:val="00022604"/>
    <w:rsid w:val="0002766F"/>
    <w:rsid w:val="000306A7"/>
    <w:rsid w:val="00031C92"/>
    <w:rsid w:val="00032A15"/>
    <w:rsid w:val="00036A9D"/>
    <w:rsid w:val="000414CE"/>
    <w:rsid w:val="0004199A"/>
    <w:rsid w:val="00045379"/>
    <w:rsid w:val="000461DF"/>
    <w:rsid w:val="00055224"/>
    <w:rsid w:val="0005543E"/>
    <w:rsid w:val="0005622A"/>
    <w:rsid w:val="000567FC"/>
    <w:rsid w:val="00061821"/>
    <w:rsid w:val="000623F9"/>
    <w:rsid w:val="00062482"/>
    <w:rsid w:val="00063A10"/>
    <w:rsid w:val="00063EFB"/>
    <w:rsid w:val="000662F8"/>
    <w:rsid w:val="00073E78"/>
    <w:rsid w:val="00084B56"/>
    <w:rsid w:val="00090AFC"/>
    <w:rsid w:val="00091552"/>
    <w:rsid w:val="00091C3A"/>
    <w:rsid w:val="000923F5"/>
    <w:rsid w:val="000A038C"/>
    <w:rsid w:val="000A128E"/>
    <w:rsid w:val="000A2D37"/>
    <w:rsid w:val="000A3486"/>
    <w:rsid w:val="000A4DD1"/>
    <w:rsid w:val="000A5544"/>
    <w:rsid w:val="000A70F8"/>
    <w:rsid w:val="000A79DA"/>
    <w:rsid w:val="000B2C1B"/>
    <w:rsid w:val="000B4B51"/>
    <w:rsid w:val="000B7158"/>
    <w:rsid w:val="000C5B8B"/>
    <w:rsid w:val="000C666C"/>
    <w:rsid w:val="000D14E9"/>
    <w:rsid w:val="000D1B55"/>
    <w:rsid w:val="000D3C75"/>
    <w:rsid w:val="000E09FC"/>
    <w:rsid w:val="000E686B"/>
    <w:rsid w:val="000F3EE7"/>
    <w:rsid w:val="000F68B1"/>
    <w:rsid w:val="000F6F19"/>
    <w:rsid w:val="000F7AC2"/>
    <w:rsid w:val="00102D69"/>
    <w:rsid w:val="00110EDB"/>
    <w:rsid w:val="00111DCD"/>
    <w:rsid w:val="00114CF9"/>
    <w:rsid w:val="001167AA"/>
    <w:rsid w:val="00117157"/>
    <w:rsid w:val="00124855"/>
    <w:rsid w:val="001254F5"/>
    <w:rsid w:val="00131D9B"/>
    <w:rsid w:val="001336D3"/>
    <w:rsid w:val="00136FAD"/>
    <w:rsid w:val="001434B9"/>
    <w:rsid w:val="00143E27"/>
    <w:rsid w:val="00144B4A"/>
    <w:rsid w:val="00146F0A"/>
    <w:rsid w:val="00147B36"/>
    <w:rsid w:val="00150AFD"/>
    <w:rsid w:val="00151A2D"/>
    <w:rsid w:val="00152124"/>
    <w:rsid w:val="00152C2B"/>
    <w:rsid w:val="00161AE5"/>
    <w:rsid w:val="00165532"/>
    <w:rsid w:val="0017095B"/>
    <w:rsid w:val="00172661"/>
    <w:rsid w:val="001742A5"/>
    <w:rsid w:val="00174EE4"/>
    <w:rsid w:val="00175897"/>
    <w:rsid w:val="00175C56"/>
    <w:rsid w:val="00176091"/>
    <w:rsid w:val="00177D2C"/>
    <w:rsid w:val="001804C3"/>
    <w:rsid w:val="00180B9F"/>
    <w:rsid w:val="00181CC5"/>
    <w:rsid w:val="00186E2F"/>
    <w:rsid w:val="00191926"/>
    <w:rsid w:val="00192010"/>
    <w:rsid w:val="00193784"/>
    <w:rsid w:val="00193FB6"/>
    <w:rsid w:val="0019400D"/>
    <w:rsid w:val="001942EE"/>
    <w:rsid w:val="00197B00"/>
    <w:rsid w:val="001A02EC"/>
    <w:rsid w:val="001A22D7"/>
    <w:rsid w:val="001A577E"/>
    <w:rsid w:val="001A58DE"/>
    <w:rsid w:val="001A7C9B"/>
    <w:rsid w:val="001B05B9"/>
    <w:rsid w:val="001B1519"/>
    <w:rsid w:val="001B3B53"/>
    <w:rsid w:val="001B6D1F"/>
    <w:rsid w:val="001B7B88"/>
    <w:rsid w:val="001C5B08"/>
    <w:rsid w:val="001C7319"/>
    <w:rsid w:val="001C7D87"/>
    <w:rsid w:val="001D3E87"/>
    <w:rsid w:val="001D5F16"/>
    <w:rsid w:val="001D6FAB"/>
    <w:rsid w:val="001D7250"/>
    <w:rsid w:val="001E1D18"/>
    <w:rsid w:val="001F0A4F"/>
    <w:rsid w:val="001F71ED"/>
    <w:rsid w:val="00203D3A"/>
    <w:rsid w:val="00203FF3"/>
    <w:rsid w:val="002044B4"/>
    <w:rsid w:val="0020491B"/>
    <w:rsid w:val="002056EC"/>
    <w:rsid w:val="00207086"/>
    <w:rsid w:val="00211D60"/>
    <w:rsid w:val="0021501E"/>
    <w:rsid w:val="00216AFC"/>
    <w:rsid w:val="002173B1"/>
    <w:rsid w:val="00217DC2"/>
    <w:rsid w:val="002205C0"/>
    <w:rsid w:val="00220F2C"/>
    <w:rsid w:val="0022494A"/>
    <w:rsid w:val="00225507"/>
    <w:rsid w:val="00226ED0"/>
    <w:rsid w:val="00227574"/>
    <w:rsid w:val="0023373D"/>
    <w:rsid w:val="0023423C"/>
    <w:rsid w:val="002368B2"/>
    <w:rsid w:val="0024112D"/>
    <w:rsid w:val="00244177"/>
    <w:rsid w:val="00254477"/>
    <w:rsid w:val="002577FE"/>
    <w:rsid w:val="0025780C"/>
    <w:rsid w:val="002629AA"/>
    <w:rsid w:val="00264232"/>
    <w:rsid w:val="00264F52"/>
    <w:rsid w:val="00266AE6"/>
    <w:rsid w:val="002714F3"/>
    <w:rsid w:val="00273D0E"/>
    <w:rsid w:val="00280B8B"/>
    <w:rsid w:val="0028106D"/>
    <w:rsid w:val="002820F1"/>
    <w:rsid w:val="00292350"/>
    <w:rsid w:val="002929E8"/>
    <w:rsid w:val="00297EF9"/>
    <w:rsid w:val="002A12CB"/>
    <w:rsid w:val="002A2034"/>
    <w:rsid w:val="002A24F4"/>
    <w:rsid w:val="002A38BF"/>
    <w:rsid w:val="002A597E"/>
    <w:rsid w:val="002B0FB9"/>
    <w:rsid w:val="002B4382"/>
    <w:rsid w:val="002B5DBD"/>
    <w:rsid w:val="002B72F9"/>
    <w:rsid w:val="002C498D"/>
    <w:rsid w:val="002C4FE1"/>
    <w:rsid w:val="002C72D2"/>
    <w:rsid w:val="002D1B75"/>
    <w:rsid w:val="002D2F00"/>
    <w:rsid w:val="002D4307"/>
    <w:rsid w:val="002D79E2"/>
    <w:rsid w:val="002D7A5D"/>
    <w:rsid w:val="002E0A4A"/>
    <w:rsid w:val="002E0BC4"/>
    <w:rsid w:val="002E21B4"/>
    <w:rsid w:val="002E2D7B"/>
    <w:rsid w:val="002E5E6A"/>
    <w:rsid w:val="002F1639"/>
    <w:rsid w:val="002F22FA"/>
    <w:rsid w:val="002F37BE"/>
    <w:rsid w:val="002F41CA"/>
    <w:rsid w:val="002F4C6A"/>
    <w:rsid w:val="002F70F6"/>
    <w:rsid w:val="00300D0B"/>
    <w:rsid w:val="00303BAD"/>
    <w:rsid w:val="003043BE"/>
    <w:rsid w:val="00306096"/>
    <w:rsid w:val="00306974"/>
    <w:rsid w:val="00307014"/>
    <w:rsid w:val="00312CF5"/>
    <w:rsid w:val="0031645D"/>
    <w:rsid w:val="003175A1"/>
    <w:rsid w:val="00320A67"/>
    <w:rsid w:val="003272FB"/>
    <w:rsid w:val="00331499"/>
    <w:rsid w:val="0033580E"/>
    <w:rsid w:val="00343D1E"/>
    <w:rsid w:val="00354258"/>
    <w:rsid w:val="00355593"/>
    <w:rsid w:val="00357E0E"/>
    <w:rsid w:val="00357F3D"/>
    <w:rsid w:val="00361B9C"/>
    <w:rsid w:val="0036329D"/>
    <w:rsid w:val="003672FB"/>
    <w:rsid w:val="00370797"/>
    <w:rsid w:val="003746C6"/>
    <w:rsid w:val="00375BEA"/>
    <w:rsid w:val="00376CEC"/>
    <w:rsid w:val="00380758"/>
    <w:rsid w:val="003815E5"/>
    <w:rsid w:val="00381E2B"/>
    <w:rsid w:val="0038224B"/>
    <w:rsid w:val="00384F3A"/>
    <w:rsid w:val="00387929"/>
    <w:rsid w:val="00393D5B"/>
    <w:rsid w:val="0039460D"/>
    <w:rsid w:val="00394A1E"/>
    <w:rsid w:val="003968C7"/>
    <w:rsid w:val="00397436"/>
    <w:rsid w:val="003A2246"/>
    <w:rsid w:val="003A61F9"/>
    <w:rsid w:val="003A6975"/>
    <w:rsid w:val="003B1E88"/>
    <w:rsid w:val="003C5243"/>
    <w:rsid w:val="003C53ED"/>
    <w:rsid w:val="003D0B7E"/>
    <w:rsid w:val="003D4E0F"/>
    <w:rsid w:val="003E16E1"/>
    <w:rsid w:val="003E1871"/>
    <w:rsid w:val="003E504D"/>
    <w:rsid w:val="003E656A"/>
    <w:rsid w:val="003E78B7"/>
    <w:rsid w:val="003F22C5"/>
    <w:rsid w:val="003F3016"/>
    <w:rsid w:val="003F5630"/>
    <w:rsid w:val="003F76E5"/>
    <w:rsid w:val="004012CF"/>
    <w:rsid w:val="00402FF3"/>
    <w:rsid w:val="0040673A"/>
    <w:rsid w:val="004069EB"/>
    <w:rsid w:val="00410ACB"/>
    <w:rsid w:val="00412600"/>
    <w:rsid w:val="00415EE8"/>
    <w:rsid w:val="00422E0C"/>
    <w:rsid w:val="00422ED2"/>
    <w:rsid w:val="00423213"/>
    <w:rsid w:val="0042416D"/>
    <w:rsid w:val="00436802"/>
    <w:rsid w:val="00442E45"/>
    <w:rsid w:val="00443AD4"/>
    <w:rsid w:val="0044438E"/>
    <w:rsid w:val="00445C0F"/>
    <w:rsid w:val="00451448"/>
    <w:rsid w:val="004516EB"/>
    <w:rsid w:val="004529B6"/>
    <w:rsid w:val="00453DBD"/>
    <w:rsid w:val="00454CE6"/>
    <w:rsid w:val="00457305"/>
    <w:rsid w:val="00457955"/>
    <w:rsid w:val="00462881"/>
    <w:rsid w:val="004640F2"/>
    <w:rsid w:val="00467337"/>
    <w:rsid w:val="00474B7D"/>
    <w:rsid w:val="00475F48"/>
    <w:rsid w:val="00477CC2"/>
    <w:rsid w:val="00477D47"/>
    <w:rsid w:val="0048180A"/>
    <w:rsid w:val="00481C7A"/>
    <w:rsid w:val="00487DB5"/>
    <w:rsid w:val="004906C8"/>
    <w:rsid w:val="00492BC7"/>
    <w:rsid w:val="004967E2"/>
    <w:rsid w:val="004A2817"/>
    <w:rsid w:val="004A290F"/>
    <w:rsid w:val="004A55D8"/>
    <w:rsid w:val="004A5FFD"/>
    <w:rsid w:val="004A7CE2"/>
    <w:rsid w:val="004B031A"/>
    <w:rsid w:val="004B234F"/>
    <w:rsid w:val="004B59BB"/>
    <w:rsid w:val="004B5CCC"/>
    <w:rsid w:val="004B7F24"/>
    <w:rsid w:val="004C2845"/>
    <w:rsid w:val="004C7961"/>
    <w:rsid w:val="004D08EB"/>
    <w:rsid w:val="004D54E3"/>
    <w:rsid w:val="004D7545"/>
    <w:rsid w:val="004E1477"/>
    <w:rsid w:val="004E1A3D"/>
    <w:rsid w:val="004E2371"/>
    <w:rsid w:val="004E6BE9"/>
    <w:rsid w:val="004E754F"/>
    <w:rsid w:val="004F38C6"/>
    <w:rsid w:val="004F4F45"/>
    <w:rsid w:val="005001FE"/>
    <w:rsid w:val="005020E9"/>
    <w:rsid w:val="00503655"/>
    <w:rsid w:val="00504BE3"/>
    <w:rsid w:val="00514207"/>
    <w:rsid w:val="005149BE"/>
    <w:rsid w:val="00515090"/>
    <w:rsid w:val="005179E4"/>
    <w:rsid w:val="00521E57"/>
    <w:rsid w:val="005305EA"/>
    <w:rsid w:val="0053652A"/>
    <w:rsid w:val="00536DFF"/>
    <w:rsid w:val="005371E7"/>
    <w:rsid w:val="00537E4B"/>
    <w:rsid w:val="00540538"/>
    <w:rsid w:val="00542664"/>
    <w:rsid w:val="00544CF2"/>
    <w:rsid w:val="00551E8B"/>
    <w:rsid w:val="005520FE"/>
    <w:rsid w:val="0055263C"/>
    <w:rsid w:val="0055472B"/>
    <w:rsid w:val="00555D9A"/>
    <w:rsid w:val="00556513"/>
    <w:rsid w:val="00557F13"/>
    <w:rsid w:val="00562653"/>
    <w:rsid w:val="005627C1"/>
    <w:rsid w:val="005662E2"/>
    <w:rsid w:val="005733EB"/>
    <w:rsid w:val="005734C5"/>
    <w:rsid w:val="00573B54"/>
    <w:rsid w:val="00576D51"/>
    <w:rsid w:val="00580802"/>
    <w:rsid w:val="00581A22"/>
    <w:rsid w:val="005860CB"/>
    <w:rsid w:val="00592542"/>
    <w:rsid w:val="00593E91"/>
    <w:rsid w:val="0059442D"/>
    <w:rsid w:val="00594D38"/>
    <w:rsid w:val="00595F2F"/>
    <w:rsid w:val="005A0B49"/>
    <w:rsid w:val="005A2174"/>
    <w:rsid w:val="005A353A"/>
    <w:rsid w:val="005A6D57"/>
    <w:rsid w:val="005A71FD"/>
    <w:rsid w:val="005B56A9"/>
    <w:rsid w:val="005B5B70"/>
    <w:rsid w:val="005B5F05"/>
    <w:rsid w:val="005C17BF"/>
    <w:rsid w:val="005C5E43"/>
    <w:rsid w:val="005C6982"/>
    <w:rsid w:val="005C6B74"/>
    <w:rsid w:val="005C7AEA"/>
    <w:rsid w:val="005D125D"/>
    <w:rsid w:val="005D2B59"/>
    <w:rsid w:val="005D362F"/>
    <w:rsid w:val="005D370F"/>
    <w:rsid w:val="005D44D1"/>
    <w:rsid w:val="005D5EFB"/>
    <w:rsid w:val="005D6EC6"/>
    <w:rsid w:val="005D7204"/>
    <w:rsid w:val="005E243A"/>
    <w:rsid w:val="005E265D"/>
    <w:rsid w:val="005E3D7D"/>
    <w:rsid w:val="005E4D7C"/>
    <w:rsid w:val="005E6FB9"/>
    <w:rsid w:val="005F048E"/>
    <w:rsid w:val="005F0631"/>
    <w:rsid w:val="005F11D3"/>
    <w:rsid w:val="005F57F0"/>
    <w:rsid w:val="00601010"/>
    <w:rsid w:val="006028C9"/>
    <w:rsid w:val="00605B10"/>
    <w:rsid w:val="0060721D"/>
    <w:rsid w:val="0061042F"/>
    <w:rsid w:val="00616623"/>
    <w:rsid w:val="006168E4"/>
    <w:rsid w:val="00621F47"/>
    <w:rsid w:val="0062497C"/>
    <w:rsid w:val="00625200"/>
    <w:rsid w:val="006255AA"/>
    <w:rsid w:val="00631806"/>
    <w:rsid w:val="00637512"/>
    <w:rsid w:val="00640EE4"/>
    <w:rsid w:val="006466F5"/>
    <w:rsid w:val="0064671F"/>
    <w:rsid w:val="006476E2"/>
    <w:rsid w:val="00652BC5"/>
    <w:rsid w:val="00661422"/>
    <w:rsid w:val="00661753"/>
    <w:rsid w:val="0066216F"/>
    <w:rsid w:val="00663DF5"/>
    <w:rsid w:val="00664459"/>
    <w:rsid w:val="006654F6"/>
    <w:rsid w:val="00675390"/>
    <w:rsid w:val="00676CAA"/>
    <w:rsid w:val="006848B7"/>
    <w:rsid w:val="006868A7"/>
    <w:rsid w:val="006915EA"/>
    <w:rsid w:val="00694828"/>
    <w:rsid w:val="006A3810"/>
    <w:rsid w:val="006A68B8"/>
    <w:rsid w:val="006A7CEB"/>
    <w:rsid w:val="006B022C"/>
    <w:rsid w:val="006B1953"/>
    <w:rsid w:val="006B1BF1"/>
    <w:rsid w:val="006B20F0"/>
    <w:rsid w:val="006B26E3"/>
    <w:rsid w:val="006B3085"/>
    <w:rsid w:val="006B5EC5"/>
    <w:rsid w:val="006B69CF"/>
    <w:rsid w:val="006B7444"/>
    <w:rsid w:val="006B7897"/>
    <w:rsid w:val="006C28CA"/>
    <w:rsid w:val="006C2E67"/>
    <w:rsid w:val="006C350D"/>
    <w:rsid w:val="006C5355"/>
    <w:rsid w:val="006C5E56"/>
    <w:rsid w:val="006C66E4"/>
    <w:rsid w:val="006C7512"/>
    <w:rsid w:val="006D23FC"/>
    <w:rsid w:val="006D643D"/>
    <w:rsid w:val="006E063C"/>
    <w:rsid w:val="006E3851"/>
    <w:rsid w:val="006F1167"/>
    <w:rsid w:val="006F4044"/>
    <w:rsid w:val="006F46DC"/>
    <w:rsid w:val="00701033"/>
    <w:rsid w:val="00701A3F"/>
    <w:rsid w:val="00712E3A"/>
    <w:rsid w:val="007145FB"/>
    <w:rsid w:val="0071487C"/>
    <w:rsid w:val="00721506"/>
    <w:rsid w:val="007216DB"/>
    <w:rsid w:val="007246D3"/>
    <w:rsid w:val="00725F5A"/>
    <w:rsid w:val="007345EA"/>
    <w:rsid w:val="007404D5"/>
    <w:rsid w:val="00744287"/>
    <w:rsid w:val="00744EEF"/>
    <w:rsid w:val="00745D76"/>
    <w:rsid w:val="00747487"/>
    <w:rsid w:val="007505EB"/>
    <w:rsid w:val="00754CAE"/>
    <w:rsid w:val="0075629C"/>
    <w:rsid w:val="00763EE7"/>
    <w:rsid w:val="0076623B"/>
    <w:rsid w:val="00767E4B"/>
    <w:rsid w:val="007718AD"/>
    <w:rsid w:val="007720D6"/>
    <w:rsid w:val="007742A7"/>
    <w:rsid w:val="007851D5"/>
    <w:rsid w:val="007872AA"/>
    <w:rsid w:val="0079486A"/>
    <w:rsid w:val="00794F80"/>
    <w:rsid w:val="007A00E9"/>
    <w:rsid w:val="007A0153"/>
    <w:rsid w:val="007A0454"/>
    <w:rsid w:val="007A0E44"/>
    <w:rsid w:val="007A1C9E"/>
    <w:rsid w:val="007A2404"/>
    <w:rsid w:val="007A4CA1"/>
    <w:rsid w:val="007A5DFD"/>
    <w:rsid w:val="007B0398"/>
    <w:rsid w:val="007B0F8E"/>
    <w:rsid w:val="007B2C77"/>
    <w:rsid w:val="007B2E78"/>
    <w:rsid w:val="007B4EE4"/>
    <w:rsid w:val="007B6549"/>
    <w:rsid w:val="007C18FC"/>
    <w:rsid w:val="007C2D72"/>
    <w:rsid w:val="007C3F2F"/>
    <w:rsid w:val="007C4AB0"/>
    <w:rsid w:val="007D1A27"/>
    <w:rsid w:val="007D1B24"/>
    <w:rsid w:val="007D1F15"/>
    <w:rsid w:val="007D25B1"/>
    <w:rsid w:val="007D2878"/>
    <w:rsid w:val="007D30F1"/>
    <w:rsid w:val="007D55E5"/>
    <w:rsid w:val="007D57B2"/>
    <w:rsid w:val="007E319E"/>
    <w:rsid w:val="007E4FA1"/>
    <w:rsid w:val="007E7B07"/>
    <w:rsid w:val="007E7BAB"/>
    <w:rsid w:val="007E7DCE"/>
    <w:rsid w:val="007E7FA9"/>
    <w:rsid w:val="007F20AC"/>
    <w:rsid w:val="00802C56"/>
    <w:rsid w:val="00807750"/>
    <w:rsid w:val="00807E35"/>
    <w:rsid w:val="00811205"/>
    <w:rsid w:val="00812C48"/>
    <w:rsid w:val="0081369E"/>
    <w:rsid w:val="008146F9"/>
    <w:rsid w:val="00821AEB"/>
    <w:rsid w:val="00824DCD"/>
    <w:rsid w:val="00825B4E"/>
    <w:rsid w:val="008276FC"/>
    <w:rsid w:val="00833A4D"/>
    <w:rsid w:val="00833E8A"/>
    <w:rsid w:val="00836C53"/>
    <w:rsid w:val="00841F6A"/>
    <w:rsid w:val="00843F94"/>
    <w:rsid w:val="00844009"/>
    <w:rsid w:val="00844569"/>
    <w:rsid w:val="00844CDE"/>
    <w:rsid w:val="00845083"/>
    <w:rsid w:val="00847D23"/>
    <w:rsid w:val="008556FF"/>
    <w:rsid w:val="00857106"/>
    <w:rsid w:val="00857765"/>
    <w:rsid w:val="00863327"/>
    <w:rsid w:val="00863633"/>
    <w:rsid w:val="00863A40"/>
    <w:rsid w:val="00866865"/>
    <w:rsid w:val="00867F7E"/>
    <w:rsid w:val="00870F44"/>
    <w:rsid w:val="00872ECB"/>
    <w:rsid w:val="0087456A"/>
    <w:rsid w:val="00880FBC"/>
    <w:rsid w:val="00884054"/>
    <w:rsid w:val="00886782"/>
    <w:rsid w:val="00890B7A"/>
    <w:rsid w:val="00890C62"/>
    <w:rsid w:val="00893088"/>
    <w:rsid w:val="0089431B"/>
    <w:rsid w:val="0089437B"/>
    <w:rsid w:val="00894B43"/>
    <w:rsid w:val="00895089"/>
    <w:rsid w:val="008951ED"/>
    <w:rsid w:val="00896D1D"/>
    <w:rsid w:val="0089761E"/>
    <w:rsid w:val="008977EE"/>
    <w:rsid w:val="008A4DDA"/>
    <w:rsid w:val="008A5928"/>
    <w:rsid w:val="008A75BE"/>
    <w:rsid w:val="008B0D6E"/>
    <w:rsid w:val="008B1AD9"/>
    <w:rsid w:val="008B1D2E"/>
    <w:rsid w:val="008B4DF4"/>
    <w:rsid w:val="008B7420"/>
    <w:rsid w:val="008C005B"/>
    <w:rsid w:val="008C08BE"/>
    <w:rsid w:val="008C229F"/>
    <w:rsid w:val="008C32A8"/>
    <w:rsid w:val="008C3445"/>
    <w:rsid w:val="008C4E94"/>
    <w:rsid w:val="008C55A3"/>
    <w:rsid w:val="008C7368"/>
    <w:rsid w:val="008D0BE2"/>
    <w:rsid w:val="008E6375"/>
    <w:rsid w:val="008F17A1"/>
    <w:rsid w:val="008F4C65"/>
    <w:rsid w:val="008F7579"/>
    <w:rsid w:val="00902944"/>
    <w:rsid w:val="00904175"/>
    <w:rsid w:val="00905422"/>
    <w:rsid w:val="00906BD5"/>
    <w:rsid w:val="009104D1"/>
    <w:rsid w:val="00912397"/>
    <w:rsid w:val="00913133"/>
    <w:rsid w:val="0091475B"/>
    <w:rsid w:val="00921DB9"/>
    <w:rsid w:val="0092403D"/>
    <w:rsid w:val="0093199C"/>
    <w:rsid w:val="009402DB"/>
    <w:rsid w:val="00942857"/>
    <w:rsid w:val="00942E41"/>
    <w:rsid w:val="009440D8"/>
    <w:rsid w:val="009449B8"/>
    <w:rsid w:val="00944DC9"/>
    <w:rsid w:val="009454E7"/>
    <w:rsid w:val="0094603F"/>
    <w:rsid w:val="00952028"/>
    <w:rsid w:val="009611E0"/>
    <w:rsid w:val="00962383"/>
    <w:rsid w:val="00962E7D"/>
    <w:rsid w:val="00963120"/>
    <w:rsid w:val="00965FEE"/>
    <w:rsid w:val="0096643B"/>
    <w:rsid w:val="009706B5"/>
    <w:rsid w:val="0097286A"/>
    <w:rsid w:val="00972BDF"/>
    <w:rsid w:val="00973F49"/>
    <w:rsid w:val="00974C5C"/>
    <w:rsid w:val="0098182D"/>
    <w:rsid w:val="00982A98"/>
    <w:rsid w:val="009855E2"/>
    <w:rsid w:val="00987C03"/>
    <w:rsid w:val="00992977"/>
    <w:rsid w:val="0099557F"/>
    <w:rsid w:val="00996EB4"/>
    <w:rsid w:val="00997D10"/>
    <w:rsid w:val="009A3511"/>
    <w:rsid w:val="009A686F"/>
    <w:rsid w:val="009A7912"/>
    <w:rsid w:val="009B33A8"/>
    <w:rsid w:val="009B3487"/>
    <w:rsid w:val="009B7C61"/>
    <w:rsid w:val="009C3793"/>
    <w:rsid w:val="009C62BD"/>
    <w:rsid w:val="009D2190"/>
    <w:rsid w:val="009D26AD"/>
    <w:rsid w:val="009D341C"/>
    <w:rsid w:val="009E1411"/>
    <w:rsid w:val="009E19FC"/>
    <w:rsid w:val="009E52F2"/>
    <w:rsid w:val="009E681F"/>
    <w:rsid w:val="009F12CD"/>
    <w:rsid w:val="009F3C1F"/>
    <w:rsid w:val="009F614E"/>
    <w:rsid w:val="009F762B"/>
    <w:rsid w:val="009F76BA"/>
    <w:rsid w:val="009F7E09"/>
    <w:rsid w:val="00A018FF"/>
    <w:rsid w:val="00A02047"/>
    <w:rsid w:val="00A035C0"/>
    <w:rsid w:val="00A036BE"/>
    <w:rsid w:val="00A03F2A"/>
    <w:rsid w:val="00A0575E"/>
    <w:rsid w:val="00A12205"/>
    <w:rsid w:val="00A139AF"/>
    <w:rsid w:val="00A20113"/>
    <w:rsid w:val="00A3248C"/>
    <w:rsid w:val="00A34361"/>
    <w:rsid w:val="00A354C4"/>
    <w:rsid w:val="00A35685"/>
    <w:rsid w:val="00A358E6"/>
    <w:rsid w:val="00A37095"/>
    <w:rsid w:val="00A37C0F"/>
    <w:rsid w:val="00A422B7"/>
    <w:rsid w:val="00A44291"/>
    <w:rsid w:val="00A453DC"/>
    <w:rsid w:val="00A47E33"/>
    <w:rsid w:val="00A50182"/>
    <w:rsid w:val="00A51024"/>
    <w:rsid w:val="00A51109"/>
    <w:rsid w:val="00A544DC"/>
    <w:rsid w:val="00A55818"/>
    <w:rsid w:val="00A56556"/>
    <w:rsid w:val="00A60F08"/>
    <w:rsid w:val="00A625E2"/>
    <w:rsid w:val="00A63DC7"/>
    <w:rsid w:val="00A70289"/>
    <w:rsid w:val="00A72105"/>
    <w:rsid w:val="00A72465"/>
    <w:rsid w:val="00A80C92"/>
    <w:rsid w:val="00A816C5"/>
    <w:rsid w:val="00A82461"/>
    <w:rsid w:val="00A851D8"/>
    <w:rsid w:val="00A870C4"/>
    <w:rsid w:val="00A87326"/>
    <w:rsid w:val="00A953BA"/>
    <w:rsid w:val="00A96F9F"/>
    <w:rsid w:val="00AA061F"/>
    <w:rsid w:val="00AA0848"/>
    <w:rsid w:val="00AA0AAF"/>
    <w:rsid w:val="00AA3104"/>
    <w:rsid w:val="00AA3C06"/>
    <w:rsid w:val="00AA56F6"/>
    <w:rsid w:val="00AA5D62"/>
    <w:rsid w:val="00AB240E"/>
    <w:rsid w:val="00AB2BF2"/>
    <w:rsid w:val="00AB3710"/>
    <w:rsid w:val="00AB4B0F"/>
    <w:rsid w:val="00AB6C3B"/>
    <w:rsid w:val="00AB7F4A"/>
    <w:rsid w:val="00AC226E"/>
    <w:rsid w:val="00AC3D45"/>
    <w:rsid w:val="00AC722C"/>
    <w:rsid w:val="00AC7906"/>
    <w:rsid w:val="00AD1291"/>
    <w:rsid w:val="00AD134F"/>
    <w:rsid w:val="00AD3428"/>
    <w:rsid w:val="00AD3AA2"/>
    <w:rsid w:val="00AD4B1A"/>
    <w:rsid w:val="00AD4FDD"/>
    <w:rsid w:val="00AE008F"/>
    <w:rsid w:val="00AF0161"/>
    <w:rsid w:val="00AF2A1F"/>
    <w:rsid w:val="00AF2D9B"/>
    <w:rsid w:val="00B0749B"/>
    <w:rsid w:val="00B10050"/>
    <w:rsid w:val="00B10A1E"/>
    <w:rsid w:val="00B11E08"/>
    <w:rsid w:val="00B14039"/>
    <w:rsid w:val="00B149FA"/>
    <w:rsid w:val="00B22242"/>
    <w:rsid w:val="00B2330D"/>
    <w:rsid w:val="00B32223"/>
    <w:rsid w:val="00B32CD3"/>
    <w:rsid w:val="00B34CED"/>
    <w:rsid w:val="00B35A93"/>
    <w:rsid w:val="00B3672D"/>
    <w:rsid w:val="00B42ECE"/>
    <w:rsid w:val="00B433C9"/>
    <w:rsid w:val="00B4745C"/>
    <w:rsid w:val="00B50E3A"/>
    <w:rsid w:val="00B52A82"/>
    <w:rsid w:val="00B52D3E"/>
    <w:rsid w:val="00B555AD"/>
    <w:rsid w:val="00B57980"/>
    <w:rsid w:val="00B601D4"/>
    <w:rsid w:val="00B63BC9"/>
    <w:rsid w:val="00B653BB"/>
    <w:rsid w:val="00B66E86"/>
    <w:rsid w:val="00B67A20"/>
    <w:rsid w:val="00B724E8"/>
    <w:rsid w:val="00B76471"/>
    <w:rsid w:val="00B82B6B"/>
    <w:rsid w:val="00B87D50"/>
    <w:rsid w:val="00B9223B"/>
    <w:rsid w:val="00B971CA"/>
    <w:rsid w:val="00B97C95"/>
    <w:rsid w:val="00BA4D1F"/>
    <w:rsid w:val="00BA7AD1"/>
    <w:rsid w:val="00BB2250"/>
    <w:rsid w:val="00BB4A1A"/>
    <w:rsid w:val="00BB721B"/>
    <w:rsid w:val="00BC0FDD"/>
    <w:rsid w:val="00BC22E0"/>
    <w:rsid w:val="00BC2A46"/>
    <w:rsid w:val="00BC3FA4"/>
    <w:rsid w:val="00BD004A"/>
    <w:rsid w:val="00BD352C"/>
    <w:rsid w:val="00BD5023"/>
    <w:rsid w:val="00BD58AB"/>
    <w:rsid w:val="00BE28ED"/>
    <w:rsid w:val="00C008B2"/>
    <w:rsid w:val="00C01F6B"/>
    <w:rsid w:val="00C1184D"/>
    <w:rsid w:val="00C12209"/>
    <w:rsid w:val="00C16DFC"/>
    <w:rsid w:val="00C20CC7"/>
    <w:rsid w:val="00C24A09"/>
    <w:rsid w:val="00C25084"/>
    <w:rsid w:val="00C3096A"/>
    <w:rsid w:val="00C3292A"/>
    <w:rsid w:val="00C357BE"/>
    <w:rsid w:val="00C36ED4"/>
    <w:rsid w:val="00C56C44"/>
    <w:rsid w:val="00C6332C"/>
    <w:rsid w:val="00C71CD1"/>
    <w:rsid w:val="00C73143"/>
    <w:rsid w:val="00C77685"/>
    <w:rsid w:val="00C77815"/>
    <w:rsid w:val="00C77977"/>
    <w:rsid w:val="00C77ABA"/>
    <w:rsid w:val="00C828C1"/>
    <w:rsid w:val="00C85378"/>
    <w:rsid w:val="00C87062"/>
    <w:rsid w:val="00C870F5"/>
    <w:rsid w:val="00C909F7"/>
    <w:rsid w:val="00C91B10"/>
    <w:rsid w:val="00C9297C"/>
    <w:rsid w:val="00C9347E"/>
    <w:rsid w:val="00CA5334"/>
    <w:rsid w:val="00CA6FDA"/>
    <w:rsid w:val="00CB3B6F"/>
    <w:rsid w:val="00CB5283"/>
    <w:rsid w:val="00CC0C5F"/>
    <w:rsid w:val="00CC2F3D"/>
    <w:rsid w:val="00CC5FF3"/>
    <w:rsid w:val="00CC6072"/>
    <w:rsid w:val="00CD0993"/>
    <w:rsid w:val="00CD365B"/>
    <w:rsid w:val="00CD4BFA"/>
    <w:rsid w:val="00CE0E72"/>
    <w:rsid w:val="00CE2ADF"/>
    <w:rsid w:val="00CE75D3"/>
    <w:rsid w:val="00CF1C84"/>
    <w:rsid w:val="00CF1D7D"/>
    <w:rsid w:val="00CF45D3"/>
    <w:rsid w:val="00CF51F9"/>
    <w:rsid w:val="00CF6B6C"/>
    <w:rsid w:val="00CF7EA2"/>
    <w:rsid w:val="00D02E45"/>
    <w:rsid w:val="00D03E71"/>
    <w:rsid w:val="00D042BB"/>
    <w:rsid w:val="00D068FC"/>
    <w:rsid w:val="00D06CA0"/>
    <w:rsid w:val="00D115BB"/>
    <w:rsid w:val="00D11797"/>
    <w:rsid w:val="00D12C68"/>
    <w:rsid w:val="00D134FB"/>
    <w:rsid w:val="00D1648B"/>
    <w:rsid w:val="00D17789"/>
    <w:rsid w:val="00D21565"/>
    <w:rsid w:val="00D22F7D"/>
    <w:rsid w:val="00D24574"/>
    <w:rsid w:val="00D25BEE"/>
    <w:rsid w:val="00D2737E"/>
    <w:rsid w:val="00D274A9"/>
    <w:rsid w:val="00D32644"/>
    <w:rsid w:val="00D33619"/>
    <w:rsid w:val="00D37E18"/>
    <w:rsid w:val="00D43422"/>
    <w:rsid w:val="00D43677"/>
    <w:rsid w:val="00D44265"/>
    <w:rsid w:val="00D449AE"/>
    <w:rsid w:val="00D477C3"/>
    <w:rsid w:val="00D51B89"/>
    <w:rsid w:val="00D52AC7"/>
    <w:rsid w:val="00D54CA9"/>
    <w:rsid w:val="00D54D64"/>
    <w:rsid w:val="00D6340F"/>
    <w:rsid w:val="00D6535E"/>
    <w:rsid w:val="00D654EC"/>
    <w:rsid w:val="00D70514"/>
    <w:rsid w:val="00D72D16"/>
    <w:rsid w:val="00D742B9"/>
    <w:rsid w:val="00D7492C"/>
    <w:rsid w:val="00D8195B"/>
    <w:rsid w:val="00D821F8"/>
    <w:rsid w:val="00D848F9"/>
    <w:rsid w:val="00D84DDC"/>
    <w:rsid w:val="00D85695"/>
    <w:rsid w:val="00D8619F"/>
    <w:rsid w:val="00D86764"/>
    <w:rsid w:val="00DA0DF2"/>
    <w:rsid w:val="00DA41D7"/>
    <w:rsid w:val="00DA494B"/>
    <w:rsid w:val="00DB5C0A"/>
    <w:rsid w:val="00DC2AC2"/>
    <w:rsid w:val="00DD13E2"/>
    <w:rsid w:val="00DE47A1"/>
    <w:rsid w:val="00DE6917"/>
    <w:rsid w:val="00DF003C"/>
    <w:rsid w:val="00DF137F"/>
    <w:rsid w:val="00DF4501"/>
    <w:rsid w:val="00DF6971"/>
    <w:rsid w:val="00DF78AE"/>
    <w:rsid w:val="00E00E78"/>
    <w:rsid w:val="00E076C1"/>
    <w:rsid w:val="00E11E2E"/>
    <w:rsid w:val="00E13C83"/>
    <w:rsid w:val="00E15555"/>
    <w:rsid w:val="00E15B7D"/>
    <w:rsid w:val="00E2408E"/>
    <w:rsid w:val="00E276B8"/>
    <w:rsid w:val="00E35B0E"/>
    <w:rsid w:val="00E371EC"/>
    <w:rsid w:val="00E43116"/>
    <w:rsid w:val="00E444DA"/>
    <w:rsid w:val="00E54E8C"/>
    <w:rsid w:val="00E571F8"/>
    <w:rsid w:val="00E572AD"/>
    <w:rsid w:val="00E64F0A"/>
    <w:rsid w:val="00E67668"/>
    <w:rsid w:val="00E70AEE"/>
    <w:rsid w:val="00E70E13"/>
    <w:rsid w:val="00E7107E"/>
    <w:rsid w:val="00E718B5"/>
    <w:rsid w:val="00E71C93"/>
    <w:rsid w:val="00E72AE3"/>
    <w:rsid w:val="00E73B51"/>
    <w:rsid w:val="00E8151C"/>
    <w:rsid w:val="00E81E9C"/>
    <w:rsid w:val="00E82E15"/>
    <w:rsid w:val="00E936FF"/>
    <w:rsid w:val="00E939C8"/>
    <w:rsid w:val="00E93A33"/>
    <w:rsid w:val="00E93B6B"/>
    <w:rsid w:val="00EA1F89"/>
    <w:rsid w:val="00EB117B"/>
    <w:rsid w:val="00EB212A"/>
    <w:rsid w:val="00EB2BEB"/>
    <w:rsid w:val="00EB40D6"/>
    <w:rsid w:val="00EB4222"/>
    <w:rsid w:val="00EB5EE3"/>
    <w:rsid w:val="00EB5F75"/>
    <w:rsid w:val="00EB6785"/>
    <w:rsid w:val="00EB79CD"/>
    <w:rsid w:val="00EC1D0D"/>
    <w:rsid w:val="00ED254C"/>
    <w:rsid w:val="00EE0F2E"/>
    <w:rsid w:val="00EE2610"/>
    <w:rsid w:val="00EE2A41"/>
    <w:rsid w:val="00EE354B"/>
    <w:rsid w:val="00EE3C1D"/>
    <w:rsid w:val="00EE6EC2"/>
    <w:rsid w:val="00EF09FB"/>
    <w:rsid w:val="00EF102E"/>
    <w:rsid w:val="00EF697A"/>
    <w:rsid w:val="00F00446"/>
    <w:rsid w:val="00F02923"/>
    <w:rsid w:val="00F0351B"/>
    <w:rsid w:val="00F06472"/>
    <w:rsid w:val="00F13254"/>
    <w:rsid w:val="00F1465C"/>
    <w:rsid w:val="00F14ADB"/>
    <w:rsid w:val="00F177B1"/>
    <w:rsid w:val="00F22566"/>
    <w:rsid w:val="00F226DB"/>
    <w:rsid w:val="00F22963"/>
    <w:rsid w:val="00F232C2"/>
    <w:rsid w:val="00F24599"/>
    <w:rsid w:val="00F278FA"/>
    <w:rsid w:val="00F30F82"/>
    <w:rsid w:val="00F367F2"/>
    <w:rsid w:val="00F370A2"/>
    <w:rsid w:val="00F403EA"/>
    <w:rsid w:val="00F42753"/>
    <w:rsid w:val="00F42E10"/>
    <w:rsid w:val="00F44A7B"/>
    <w:rsid w:val="00F44FFA"/>
    <w:rsid w:val="00F45B6F"/>
    <w:rsid w:val="00F45CB9"/>
    <w:rsid w:val="00F510DB"/>
    <w:rsid w:val="00F5724D"/>
    <w:rsid w:val="00F60AB3"/>
    <w:rsid w:val="00F60EDC"/>
    <w:rsid w:val="00F62329"/>
    <w:rsid w:val="00F65A74"/>
    <w:rsid w:val="00F727B0"/>
    <w:rsid w:val="00F76A74"/>
    <w:rsid w:val="00F84371"/>
    <w:rsid w:val="00F858D5"/>
    <w:rsid w:val="00F91AEE"/>
    <w:rsid w:val="00FA047C"/>
    <w:rsid w:val="00FA20D3"/>
    <w:rsid w:val="00FA2545"/>
    <w:rsid w:val="00FB4AAD"/>
    <w:rsid w:val="00FB4E3D"/>
    <w:rsid w:val="00FB5F2A"/>
    <w:rsid w:val="00FB6CF8"/>
    <w:rsid w:val="00FC16E9"/>
    <w:rsid w:val="00FC279C"/>
    <w:rsid w:val="00FC3FB3"/>
    <w:rsid w:val="00FC45DE"/>
    <w:rsid w:val="00FC48CB"/>
    <w:rsid w:val="00FC4F9B"/>
    <w:rsid w:val="00FC59F0"/>
    <w:rsid w:val="00FD4599"/>
    <w:rsid w:val="00FD4784"/>
    <w:rsid w:val="00FD5270"/>
    <w:rsid w:val="00FD65FE"/>
    <w:rsid w:val="00FD74EB"/>
    <w:rsid w:val="00FE214F"/>
    <w:rsid w:val="00FE77E7"/>
    <w:rsid w:val="00FF1082"/>
    <w:rsid w:val="00FF465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60D699"/>
  <w15:chartTrackingRefBased/>
  <w15:docId w15:val="{8636E49A-474F-4787-9B6E-936D3E8CA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6C3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168E4"/>
    <w:pPr>
      <w:tabs>
        <w:tab w:val="center" w:pos="4419"/>
        <w:tab w:val="right" w:pos="8838"/>
      </w:tabs>
      <w:spacing w:after="0" w:line="240" w:lineRule="auto"/>
    </w:pPr>
    <w:rPr>
      <w:rFonts w:ascii="Times New Roman" w:eastAsia="Calibri" w:hAnsi="Times New Roman" w:cs="Times New Roman"/>
      <w:sz w:val="24"/>
      <w:szCs w:val="24"/>
      <w:lang w:val="es-ES" w:eastAsia="es-ES"/>
    </w:rPr>
  </w:style>
  <w:style w:type="character" w:customStyle="1" w:styleId="EncabezadoCar">
    <w:name w:val="Encabezado Car"/>
    <w:basedOn w:val="Fuentedeprrafopredeter"/>
    <w:link w:val="Encabezado"/>
    <w:uiPriority w:val="99"/>
    <w:rsid w:val="006168E4"/>
    <w:rPr>
      <w:rFonts w:ascii="Times New Roman" w:eastAsia="Calibri" w:hAnsi="Times New Roman" w:cs="Times New Roman"/>
      <w:sz w:val="24"/>
      <w:szCs w:val="24"/>
      <w:lang w:val="es-ES" w:eastAsia="es-ES"/>
    </w:rPr>
  </w:style>
  <w:style w:type="paragraph" w:styleId="Piedepgina">
    <w:name w:val="footer"/>
    <w:basedOn w:val="Normal"/>
    <w:link w:val="PiedepginaCar"/>
    <w:uiPriority w:val="99"/>
    <w:unhideWhenUsed/>
    <w:rsid w:val="006168E4"/>
    <w:pPr>
      <w:tabs>
        <w:tab w:val="center" w:pos="4419"/>
        <w:tab w:val="right" w:pos="8838"/>
      </w:tabs>
      <w:spacing w:after="0" w:line="240" w:lineRule="auto"/>
    </w:pPr>
    <w:rPr>
      <w:rFonts w:ascii="Times New Roman" w:eastAsia="Calibri"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6168E4"/>
    <w:rPr>
      <w:rFonts w:ascii="Times New Roman" w:eastAsia="Calibri" w:hAnsi="Times New Roman" w:cs="Times New Roman"/>
      <w:sz w:val="24"/>
      <w:szCs w:val="24"/>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6168E4"/>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6168E4"/>
    <w:rPr>
      <w:rFonts w:ascii="Times New Roman" w:eastAsia="Times New Roman" w:hAnsi="Times New Roman" w:cs="Times New Roman"/>
      <w:sz w:val="24"/>
      <w:szCs w:val="24"/>
      <w:lang w:val="es-ES" w:eastAsia="es-ES"/>
    </w:rPr>
  </w:style>
  <w:style w:type="character" w:customStyle="1" w:styleId="apple-converted-space">
    <w:name w:val="apple-converted-space"/>
    <w:basedOn w:val="Fuentedeprrafopredeter"/>
    <w:rsid w:val="006168E4"/>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nhideWhenUsed/>
    <w:qFormat/>
    <w:rsid w:val="006168E4"/>
    <w:rPr>
      <w:vertAlign w:val="superscript"/>
    </w:rPr>
  </w:style>
  <w:style w:type="character" w:styleId="Hipervnculo">
    <w:name w:val="Hyperlink"/>
    <w:aliases w:val="Hipervínculo1,Hipervínculo11,Hipervínculo12,Hipervínculo13,Hipervínculo14,Hipervínculo15"/>
    <w:basedOn w:val="Fuentedeprrafopredeter"/>
    <w:uiPriority w:val="99"/>
    <w:unhideWhenUsed/>
    <w:rsid w:val="006168E4"/>
    <w:rPr>
      <w:color w:val="0563C1" w:themeColor="hyperlink"/>
      <w:u w:val="single"/>
    </w:rPr>
  </w:style>
  <w:style w:type="paragraph" w:styleId="Sinespaciado">
    <w:name w:val="No Spacing"/>
    <w:aliases w:val="Francesa,INAI"/>
    <w:link w:val="SinespaciadoCar"/>
    <w:uiPriority w:val="1"/>
    <w:qFormat/>
    <w:rsid w:val="006168E4"/>
    <w:pPr>
      <w:spacing w:after="0" w:line="240" w:lineRule="auto"/>
    </w:pPr>
    <w:rPr>
      <w:rFonts w:ascii="Times New Roman" w:eastAsia="Times New Roman" w:hAnsi="Times New Roman" w:cs="Times New Roman"/>
      <w:sz w:val="24"/>
      <w:szCs w:val="24"/>
      <w:lang w:eastAsia="es-ES"/>
    </w:rPr>
  </w:style>
  <w:style w:type="character" w:styleId="Textoennegrita">
    <w:name w:val="Strong"/>
    <w:uiPriority w:val="22"/>
    <w:qFormat/>
    <w:rsid w:val="006168E4"/>
    <w:rPr>
      <w:b/>
      <w:bCs/>
    </w:rPr>
  </w:style>
  <w:style w:type="character" w:customStyle="1" w:styleId="SinespaciadoCar">
    <w:name w:val="Sin espaciado Car"/>
    <w:aliases w:val="Francesa Car,INAI Car"/>
    <w:link w:val="Sinespaciado"/>
    <w:uiPriority w:val="1"/>
    <w:locked/>
    <w:rsid w:val="006168E4"/>
    <w:rPr>
      <w:rFonts w:ascii="Times New Roman" w:eastAsia="Times New Roman" w:hAnsi="Times New Roman" w:cs="Times New Roman"/>
      <w:sz w:val="24"/>
      <w:szCs w:val="24"/>
      <w:lang w:eastAsia="es-E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
    <w:basedOn w:val="Normal"/>
    <w:link w:val="TextonotapieCar"/>
    <w:uiPriority w:val="99"/>
    <w:unhideWhenUsed/>
    <w:rsid w:val="008C55A3"/>
    <w:pPr>
      <w:spacing w:after="0" w:line="240" w:lineRule="auto"/>
    </w:pPr>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8C55A3"/>
    <w:rPr>
      <w:sz w:val="20"/>
      <w:szCs w:val="20"/>
    </w:rPr>
  </w:style>
  <w:style w:type="paragraph" w:customStyle="1" w:styleId="Default">
    <w:name w:val="Default"/>
    <w:rsid w:val="00BA7AD1"/>
    <w:pPr>
      <w:autoSpaceDE w:val="0"/>
      <w:autoSpaceDN w:val="0"/>
      <w:adjustRightInd w:val="0"/>
      <w:spacing w:after="0" w:line="240" w:lineRule="auto"/>
    </w:pPr>
    <w:rPr>
      <w:rFonts w:ascii="Arial" w:hAnsi="Arial" w:cs="Arial"/>
      <w:color w:val="000000"/>
      <w:sz w:val="24"/>
      <w:szCs w:val="24"/>
    </w:rPr>
  </w:style>
  <w:style w:type="table" w:styleId="Tabladecuadrcula1clara">
    <w:name w:val="Grid Table 1 Light"/>
    <w:basedOn w:val="Tablanormal"/>
    <w:uiPriority w:val="46"/>
    <w:rsid w:val="00870F44"/>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extodeglobo">
    <w:name w:val="Balloon Text"/>
    <w:basedOn w:val="Normal"/>
    <w:link w:val="TextodegloboCar"/>
    <w:uiPriority w:val="99"/>
    <w:semiHidden/>
    <w:unhideWhenUsed/>
    <w:rsid w:val="000662F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662F8"/>
    <w:rPr>
      <w:rFonts w:ascii="Segoe UI" w:hAnsi="Segoe UI" w:cs="Segoe UI"/>
      <w:sz w:val="18"/>
      <w:szCs w:val="18"/>
    </w:rPr>
  </w:style>
  <w:style w:type="table" w:styleId="Tablaconcuadrcula">
    <w:name w:val="Table Grid"/>
    <w:basedOn w:val="Tablanormal"/>
    <w:uiPriority w:val="39"/>
    <w:rsid w:val="002070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
    <w:uiPriority w:val="1"/>
    <w:semiHidden/>
    <w:unhideWhenUsed/>
    <w:qFormat/>
    <w:rsid w:val="007216DB"/>
    <w:pPr>
      <w:widowControl w:val="0"/>
      <w:spacing w:after="0" w:line="240" w:lineRule="auto"/>
      <w:ind w:left="20"/>
    </w:pPr>
    <w:rPr>
      <w:rFonts w:ascii="Times New Roman" w:eastAsia="Times New Roman" w:hAnsi="Times New Roman"/>
      <w:sz w:val="25"/>
      <w:szCs w:val="25"/>
      <w:lang w:val="en-US"/>
    </w:rPr>
  </w:style>
  <w:style w:type="character" w:customStyle="1" w:styleId="TextoindependienteCar">
    <w:name w:val="Texto independiente Car"/>
    <w:basedOn w:val="Fuentedeprrafopredeter"/>
    <w:link w:val="Textoindependiente"/>
    <w:uiPriority w:val="1"/>
    <w:semiHidden/>
    <w:rsid w:val="007216DB"/>
    <w:rPr>
      <w:rFonts w:ascii="Times New Roman" w:eastAsia="Times New Roman" w:hAnsi="Times New Roman"/>
      <w:sz w:val="25"/>
      <w:szCs w:val="25"/>
      <w:lang w:val="en-US"/>
    </w:rPr>
  </w:style>
  <w:style w:type="character" w:customStyle="1" w:styleId="apple-style-span">
    <w:name w:val="apple-style-span"/>
    <w:rsid w:val="007E319E"/>
  </w:style>
  <w:style w:type="paragraph" w:customStyle="1" w:styleId="INFOEM">
    <w:name w:val="INFOEM"/>
    <w:basedOn w:val="Normal"/>
    <w:qFormat/>
    <w:rsid w:val="00CE0E72"/>
    <w:pPr>
      <w:spacing w:before="240" w:line="360" w:lineRule="auto"/>
      <w:ind w:left="851" w:right="851"/>
      <w:jc w:val="both"/>
    </w:pPr>
    <w:rPr>
      <w:rFonts w:ascii="Palatino Linotype" w:hAnsi="Palatino Linotype"/>
      <w:i/>
      <w:color w:val="000000"/>
      <w:szCs w:val="14"/>
    </w:rPr>
  </w:style>
  <w:style w:type="paragraph" w:customStyle="1" w:styleId="infoemcitas">
    <w:name w:val="infoem citas"/>
    <w:basedOn w:val="Normal"/>
    <w:qFormat/>
    <w:rsid w:val="00D25BEE"/>
    <w:pPr>
      <w:spacing w:before="240" w:line="360" w:lineRule="auto"/>
      <w:ind w:left="851" w:right="851"/>
      <w:jc w:val="both"/>
    </w:pPr>
    <w:rPr>
      <w:rFonts w:ascii="Palatino Linotype" w:hAnsi="Palatino Linotype"/>
      <w:i/>
    </w:rPr>
  </w:style>
  <w:style w:type="paragraph" w:customStyle="1" w:styleId="Citas">
    <w:name w:val="Citas"/>
    <w:basedOn w:val="Normal"/>
    <w:qFormat/>
    <w:rsid w:val="006C66E4"/>
    <w:pPr>
      <w:spacing w:before="240" w:line="360" w:lineRule="auto"/>
      <w:ind w:left="851" w:right="851"/>
      <w:jc w:val="both"/>
    </w:pPr>
    <w:rPr>
      <w:rFonts w:ascii="Palatino Linotype" w:hAnsi="Palatino Linotype" w:cs="Arial"/>
      <w:i/>
    </w:rPr>
  </w:style>
  <w:style w:type="character" w:customStyle="1" w:styleId="Mencinsinresolver1">
    <w:name w:val="Mención sin resolver1"/>
    <w:basedOn w:val="Fuentedeprrafopredeter"/>
    <w:uiPriority w:val="99"/>
    <w:semiHidden/>
    <w:unhideWhenUsed/>
    <w:rsid w:val="000C666C"/>
    <w:rPr>
      <w:color w:val="605E5C"/>
      <w:shd w:val="clear" w:color="auto" w:fill="E1DFDD"/>
    </w:rPr>
  </w:style>
  <w:style w:type="character" w:customStyle="1" w:styleId="markedcontent">
    <w:name w:val="markedcontent"/>
    <w:basedOn w:val="Fuentedeprrafopredeter"/>
    <w:rsid w:val="00825B4E"/>
  </w:style>
  <w:style w:type="character" w:customStyle="1" w:styleId="highlight">
    <w:name w:val="highlight"/>
    <w:basedOn w:val="Fuentedeprrafopredeter"/>
    <w:rsid w:val="00825B4E"/>
  </w:style>
  <w:style w:type="character" w:customStyle="1" w:styleId="UnresolvedMention">
    <w:name w:val="Unresolved Mention"/>
    <w:basedOn w:val="Fuentedeprrafopredeter"/>
    <w:uiPriority w:val="99"/>
    <w:semiHidden/>
    <w:unhideWhenUsed/>
    <w:rsid w:val="00B76471"/>
    <w:rPr>
      <w:color w:val="605E5C"/>
      <w:shd w:val="clear" w:color="auto" w:fill="E1DFDD"/>
    </w:rPr>
  </w:style>
  <w:style w:type="paragraph" w:styleId="Textocomentario">
    <w:name w:val="annotation text"/>
    <w:basedOn w:val="Normal"/>
    <w:link w:val="TextocomentarioCar"/>
    <w:uiPriority w:val="99"/>
    <w:semiHidden/>
    <w:unhideWhenUsed/>
    <w:rsid w:val="00833A4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33A4D"/>
    <w:rPr>
      <w:sz w:val="20"/>
      <w:szCs w:val="20"/>
    </w:rPr>
  </w:style>
  <w:style w:type="paragraph" w:styleId="Asuntodelcomentario">
    <w:name w:val="annotation subject"/>
    <w:basedOn w:val="Textocomentario"/>
    <w:next w:val="Textocomentario"/>
    <w:link w:val="AsuntodelcomentarioCar"/>
    <w:uiPriority w:val="99"/>
    <w:semiHidden/>
    <w:unhideWhenUsed/>
    <w:rsid w:val="00833A4D"/>
    <w:rPr>
      <w:b/>
      <w:bCs/>
    </w:rPr>
  </w:style>
  <w:style w:type="character" w:customStyle="1" w:styleId="AsuntodelcomentarioCar">
    <w:name w:val="Asunto del comentario Car"/>
    <w:basedOn w:val="TextocomentarioCar"/>
    <w:link w:val="Asuntodelcomentario"/>
    <w:uiPriority w:val="99"/>
    <w:semiHidden/>
    <w:rsid w:val="00833A4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539902">
      <w:bodyDiv w:val="1"/>
      <w:marLeft w:val="0"/>
      <w:marRight w:val="0"/>
      <w:marTop w:val="0"/>
      <w:marBottom w:val="0"/>
      <w:divBdr>
        <w:top w:val="none" w:sz="0" w:space="0" w:color="auto"/>
        <w:left w:val="none" w:sz="0" w:space="0" w:color="auto"/>
        <w:bottom w:val="none" w:sz="0" w:space="0" w:color="auto"/>
        <w:right w:val="none" w:sz="0" w:space="0" w:color="auto"/>
      </w:divBdr>
    </w:div>
    <w:div w:id="179663290">
      <w:bodyDiv w:val="1"/>
      <w:marLeft w:val="0"/>
      <w:marRight w:val="0"/>
      <w:marTop w:val="0"/>
      <w:marBottom w:val="0"/>
      <w:divBdr>
        <w:top w:val="none" w:sz="0" w:space="0" w:color="auto"/>
        <w:left w:val="none" w:sz="0" w:space="0" w:color="auto"/>
        <w:bottom w:val="none" w:sz="0" w:space="0" w:color="auto"/>
        <w:right w:val="none" w:sz="0" w:space="0" w:color="auto"/>
      </w:divBdr>
    </w:div>
    <w:div w:id="209584679">
      <w:bodyDiv w:val="1"/>
      <w:marLeft w:val="0"/>
      <w:marRight w:val="0"/>
      <w:marTop w:val="0"/>
      <w:marBottom w:val="0"/>
      <w:divBdr>
        <w:top w:val="none" w:sz="0" w:space="0" w:color="auto"/>
        <w:left w:val="none" w:sz="0" w:space="0" w:color="auto"/>
        <w:bottom w:val="none" w:sz="0" w:space="0" w:color="auto"/>
        <w:right w:val="none" w:sz="0" w:space="0" w:color="auto"/>
      </w:divBdr>
    </w:div>
    <w:div w:id="352802663">
      <w:bodyDiv w:val="1"/>
      <w:marLeft w:val="0"/>
      <w:marRight w:val="0"/>
      <w:marTop w:val="0"/>
      <w:marBottom w:val="0"/>
      <w:divBdr>
        <w:top w:val="none" w:sz="0" w:space="0" w:color="auto"/>
        <w:left w:val="none" w:sz="0" w:space="0" w:color="auto"/>
        <w:bottom w:val="none" w:sz="0" w:space="0" w:color="auto"/>
        <w:right w:val="none" w:sz="0" w:space="0" w:color="auto"/>
      </w:divBdr>
    </w:div>
    <w:div w:id="375473416">
      <w:bodyDiv w:val="1"/>
      <w:marLeft w:val="0"/>
      <w:marRight w:val="0"/>
      <w:marTop w:val="0"/>
      <w:marBottom w:val="0"/>
      <w:divBdr>
        <w:top w:val="none" w:sz="0" w:space="0" w:color="auto"/>
        <w:left w:val="none" w:sz="0" w:space="0" w:color="auto"/>
        <w:bottom w:val="none" w:sz="0" w:space="0" w:color="auto"/>
        <w:right w:val="none" w:sz="0" w:space="0" w:color="auto"/>
      </w:divBdr>
    </w:div>
    <w:div w:id="484666848">
      <w:bodyDiv w:val="1"/>
      <w:marLeft w:val="0"/>
      <w:marRight w:val="0"/>
      <w:marTop w:val="0"/>
      <w:marBottom w:val="0"/>
      <w:divBdr>
        <w:top w:val="none" w:sz="0" w:space="0" w:color="auto"/>
        <w:left w:val="none" w:sz="0" w:space="0" w:color="auto"/>
        <w:bottom w:val="none" w:sz="0" w:space="0" w:color="auto"/>
        <w:right w:val="none" w:sz="0" w:space="0" w:color="auto"/>
      </w:divBdr>
    </w:div>
    <w:div w:id="689767935">
      <w:bodyDiv w:val="1"/>
      <w:marLeft w:val="0"/>
      <w:marRight w:val="0"/>
      <w:marTop w:val="0"/>
      <w:marBottom w:val="0"/>
      <w:divBdr>
        <w:top w:val="none" w:sz="0" w:space="0" w:color="auto"/>
        <w:left w:val="none" w:sz="0" w:space="0" w:color="auto"/>
        <w:bottom w:val="none" w:sz="0" w:space="0" w:color="auto"/>
        <w:right w:val="none" w:sz="0" w:space="0" w:color="auto"/>
      </w:divBdr>
    </w:div>
    <w:div w:id="728041959">
      <w:bodyDiv w:val="1"/>
      <w:marLeft w:val="0"/>
      <w:marRight w:val="0"/>
      <w:marTop w:val="0"/>
      <w:marBottom w:val="0"/>
      <w:divBdr>
        <w:top w:val="none" w:sz="0" w:space="0" w:color="auto"/>
        <w:left w:val="none" w:sz="0" w:space="0" w:color="auto"/>
        <w:bottom w:val="none" w:sz="0" w:space="0" w:color="auto"/>
        <w:right w:val="none" w:sz="0" w:space="0" w:color="auto"/>
      </w:divBdr>
    </w:div>
    <w:div w:id="759179153">
      <w:bodyDiv w:val="1"/>
      <w:marLeft w:val="0"/>
      <w:marRight w:val="0"/>
      <w:marTop w:val="0"/>
      <w:marBottom w:val="0"/>
      <w:divBdr>
        <w:top w:val="none" w:sz="0" w:space="0" w:color="auto"/>
        <w:left w:val="none" w:sz="0" w:space="0" w:color="auto"/>
        <w:bottom w:val="none" w:sz="0" w:space="0" w:color="auto"/>
        <w:right w:val="none" w:sz="0" w:space="0" w:color="auto"/>
      </w:divBdr>
    </w:div>
    <w:div w:id="783614496">
      <w:bodyDiv w:val="1"/>
      <w:marLeft w:val="0"/>
      <w:marRight w:val="0"/>
      <w:marTop w:val="0"/>
      <w:marBottom w:val="0"/>
      <w:divBdr>
        <w:top w:val="none" w:sz="0" w:space="0" w:color="auto"/>
        <w:left w:val="none" w:sz="0" w:space="0" w:color="auto"/>
        <w:bottom w:val="none" w:sz="0" w:space="0" w:color="auto"/>
        <w:right w:val="none" w:sz="0" w:space="0" w:color="auto"/>
      </w:divBdr>
    </w:div>
    <w:div w:id="804542210">
      <w:bodyDiv w:val="1"/>
      <w:marLeft w:val="0"/>
      <w:marRight w:val="0"/>
      <w:marTop w:val="0"/>
      <w:marBottom w:val="0"/>
      <w:divBdr>
        <w:top w:val="none" w:sz="0" w:space="0" w:color="auto"/>
        <w:left w:val="none" w:sz="0" w:space="0" w:color="auto"/>
        <w:bottom w:val="none" w:sz="0" w:space="0" w:color="auto"/>
        <w:right w:val="none" w:sz="0" w:space="0" w:color="auto"/>
      </w:divBdr>
    </w:div>
    <w:div w:id="807625324">
      <w:bodyDiv w:val="1"/>
      <w:marLeft w:val="0"/>
      <w:marRight w:val="0"/>
      <w:marTop w:val="0"/>
      <w:marBottom w:val="0"/>
      <w:divBdr>
        <w:top w:val="none" w:sz="0" w:space="0" w:color="auto"/>
        <w:left w:val="none" w:sz="0" w:space="0" w:color="auto"/>
        <w:bottom w:val="none" w:sz="0" w:space="0" w:color="auto"/>
        <w:right w:val="none" w:sz="0" w:space="0" w:color="auto"/>
      </w:divBdr>
    </w:div>
    <w:div w:id="809516213">
      <w:bodyDiv w:val="1"/>
      <w:marLeft w:val="0"/>
      <w:marRight w:val="0"/>
      <w:marTop w:val="0"/>
      <w:marBottom w:val="0"/>
      <w:divBdr>
        <w:top w:val="none" w:sz="0" w:space="0" w:color="auto"/>
        <w:left w:val="none" w:sz="0" w:space="0" w:color="auto"/>
        <w:bottom w:val="none" w:sz="0" w:space="0" w:color="auto"/>
        <w:right w:val="none" w:sz="0" w:space="0" w:color="auto"/>
      </w:divBdr>
    </w:div>
    <w:div w:id="857044212">
      <w:bodyDiv w:val="1"/>
      <w:marLeft w:val="0"/>
      <w:marRight w:val="0"/>
      <w:marTop w:val="0"/>
      <w:marBottom w:val="0"/>
      <w:divBdr>
        <w:top w:val="none" w:sz="0" w:space="0" w:color="auto"/>
        <w:left w:val="none" w:sz="0" w:space="0" w:color="auto"/>
        <w:bottom w:val="none" w:sz="0" w:space="0" w:color="auto"/>
        <w:right w:val="none" w:sz="0" w:space="0" w:color="auto"/>
      </w:divBdr>
    </w:div>
    <w:div w:id="892816050">
      <w:bodyDiv w:val="1"/>
      <w:marLeft w:val="0"/>
      <w:marRight w:val="0"/>
      <w:marTop w:val="0"/>
      <w:marBottom w:val="0"/>
      <w:divBdr>
        <w:top w:val="none" w:sz="0" w:space="0" w:color="auto"/>
        <w:left w:val="none" w:sz="0" w:space="0" w:color="auto"/>
        <w:bottom w:val="none" w:sz="0" w:space="0" w:color="auto"/>
        <w:right w:val="none" w:sz="0" w:space="0" w:color="auto"/>
      </w:divBdr>
    </w:div>
    <w:div w:id="905720805">
      <w:bodyDiv w:val="1"/>
      <w:marLeft w:val="0"/>
      <w:marRight w:val="0"/>
      <w:marTop w:val="0"/>
      <w:marBottom w:val="0"/>
      <w:divBdr>
        <w:top w:val="none" w:sz="0" w:space="0" w:color="auto"/>
        <w:left w:val="none" w:sz="0" w:space="0" w:color="auto"/>
        <w:bottom w:val="none" w:sz="0" w:space="0" w:color="auto"/>
        <w:right w:val="none" w:sz="0" w:space="0" w:color="auto"/>
      </w:divBdr>
    </w:div>
    <w:div w:id="932979146">
      <w:bodyDiv w:val="1"/>
      <w:marLeft w:val="0"/>
      <w:marRight w:val="0"/>
      <w:marTop w:val="0"/>
      <w:marBottom w:val="0"/>
      <w:divBdr>
        <w:top w:val="none" w:sz="0" w:space="0" w:color="auto"/>
        <w:left w:val="none" w:sz="0" w:space="0" w:color="auto"/>
        <w:bottom w:val="none" w:sz="0" w:space="0" w:color="auto"/>
        <w:right w:val="none" w:sz="0" w:space="0" w:color="auto"/>
      </w:divBdr>
    </w:div>
    <w:div w:id="966080722">
      <w:bodyDiv w:val="1"/>
      <w:marLeft w:val="0"/>
      <w:marRight w:val="0"/>
      <w:marTop w:val="0"/>
      <w:marBottom w:val="0"/>
      <w:divBdr>
        <w:top w:val="none" w:sz="0" w:space="0" w:color="auto"/>
        <w:left w:val="none" w:sz="0" w:space="0" w:color="auto"/>
        <w:bottom w:val="none" w:sz="0" w:space="0" w:color="auto"/>
        <w:right w:val="none" w:sz="0" w:space="0" w:color="auto"/>
      </w:divBdr>
    </w:div>
    <w:div w:id="1030489957">
      <w:bodyDiv w:val="1"/>
      <w:marLeft w:val="0"/>
      <w:marRight w:val="0"/>
      <w:marTop w:val="0"/>
      <w:marBottom w:val="0"/>
      <w:divBdr>
        <w:top w:val="none" w:sz="0" w:space="0" w:color="auto"/>
        <w:left w:val="none" w:sz="0" w:space="0" w:color="auto"/>
        <w:bottom w:val="none" w:sz="0" w:space="0" w:color="auto"/>
        <w:right w:val="none" w:sz="0" w:space="0" w:color="auto"/>
      </w:divBdr>
    </w:div>
    <w:div w:id="1106391644">
      <w:bodyDiv w:val="1"/>
      <w:marLeft w:val="0"/>
      <w:marRight w:val="0"/>
      <w:marTop w:val="0"/>
      <w:marBottom w:val="0"/>
      <w:divBdr>
        <w:top w:val="none" w:sz="0" w:space="0" w:color="auto"/>
        <w:left w:val="none" w:sz="0" w:space="0" w:color="auto"/>
        <w:bottom w:val="none" w:sz="0" w:space="0" w:color="auto"/>
        <w:right w:val="none" w:sz="0" w:space="0" w:color="auto"/>
      </w:divBdr>
      <w:divsChild>
        <w:div w:id="657461941">
          <w:marLeft w:val="0"/>
          <w:marRight w:val="0"/>
          <w:marTop w:val="0"/>
          <w:marBottom w:val="101"/>
          <w:divBdr>
            <w:top w:val="none" w:sz="0" w:space="0" w:color="auto"/>
            <w:left w:val="none" w:sz="0" w:space="0" w:color="auto"/>
            <w:bottom w:val="none" w:sz="0" w:space="0" w:color="auto"/>
            <w:right w:val="none" w:sz="0" w:space="0" w:color="auto"/>
          </w:divBdr>
        </w:div>
        <w:div w:id="687407635">
          <w:marLeft w:val="720"/>
          <w:marRight w:val="0"/>
          <w:marTop w:val="0"/>
          <w:marBottom w:val="101"/>
          <w:divBdr>
            <w:top w:val="none" w:sz="0" w:space="0" w:color="auto"/>
            <w:left w:val="none" w:sz="0" w:space="0" w:color="auto"/>
            <w:bottom w:val="none" w:sz="0" w:space="0" w:color="auto"/>
            <w:right w:val="none" w:sz="0" w:space="0" w:color="auto"/>
          </w:divBdr>
        </w:div>
        <w:div w:id="480780382">
          <w:marLeft w:val="1152"/>
          <w:marRight w:val="0"/>
          <w:marTop w:val="0"/>
          <w:marBottom w:val="101"/>
          <w:divBdr>
            <w:top w:val="none" w:sz="0" w:space="0" w:color="auto"/>
            <w:left w:val="none" w:sz="0" w:space="0" w:color="auto"/>
            <w:bottom w:val="none" w:sz="0" w:space="0" w:color="auto"/>
            <w:right w:val="none" w:sz="0" w:space="0" w:color="auto"/>
          </w:divBdr>
        </w:div>
        <w:div w:id="1331831080">
          <w:marLeft w:val="1584"/>
          <w:marRight w:val="0"/>
          <w:marTop w:val="0"/>
          <w:marBottom w:val="101"/>
          <w:divBdr>
            <w:top w:val="none" w:sz="0" w:space="0" w:color="auto"/>
            <w:left w:val="none" w:sz="0" w:space="0" w:color="auto"/>
            <w:bottom w:val="none" w:sz="0" w:space="0" w:color="auto"/>
            <w:right w:val="none" w:sz="0" w:space="0" w:color="auto"/>
          </w:divBdr>
        </w:div>
        <w:div w:id="123619753">
          <w:marLeft w:val="1584"/>
          <w:marRight w:val="0"/>
          <w:marTop w:val="0"/>
          <w:marBottom w:val="101"/>
          <w:divBdr>
            <w:top w:val="none" w:sz="0" w:space="0" w:color="auto"/>
            <w:left w:val="none" w:sz="0" w:space="0" w:color="auto"/>
            <w:bottom w:val="none" w:sz="0" w:space="0" w:color="auto"/>
            <w:right w:val="none" w:sz="0" w:space="0" w:color="auto"/>
          </w:divBdr>
        </w:div>
        <w:div w:id="116948938">
          <w:marLeft w:val="1584"/>
          <w:marRight w:val="0"/>
          <w:marTop w:val="0"/>
          <w:marBottom w:val="101"/>
          <w:divBdr>
            <w:top w:val="none" w:sz="0" w:space="0" w:color="auto"/>
            <w:left w:val="none" w:sz="0" w:space="0" w:color="auto"/>
            <w:bottom w:val="none" w:sz="0" w:space="0" w:color="auto"/>
            <w:right w:val="none" w:sz="0" w:space="0" w:color="auto"/>
          </w:divBdr>
        </w:div>
        <w:div w:id="70084255">
          <w:marLeft w:val="1584"/>
          <w:marRight w:val="0"/>
          <w:marTop w:val="0"/>
          <w:marBottom w:val="101"/>
          <w:divBdr>
            <w:top w:val="none" w:sz="0" w:space="0" w:color="auto"/>
            <w:left w:val="none" w:sz="0" w:space="0" w:color="auto"/>
            <w:bottom w:val="none" w:sz="0" w:space="0" w:color="auto"/>
            <w:right w:val="none" w:sz="0" w:space="0" w:color="auto"/>
          </w:divBdr>
        </w:div>
        <w:div w:id="454442905">
          <w:marLeft w:val="1584"/>
          <w:marRight w:val="0"/>
          <w:marTop w:val="0"/>
          <w:marBottom w:val="101"/>
          <w:divBdr>
            <w:top w:val="none" w:sz="0" w:space="0" w:color="auto"/>
            <w:left w:val="none" w:sz="0" w:space="0" w:color="auto"/>
            <w:bottom w:val="none" w:sz="0" w:space="0" w:color="auto"/>
            <w:right w:val="none" w:sz="0" w:space="0" w:color="auto"/>
          </w:divBdr>
        </w:div>
        <w:div w:id="1866402728">
          <w:marLeft w:val="1584"/>
          <w:marRight w:val="0"/>
          <w:marTop w:val="0"/>
          <w:marBottom w:val="101"/>
          <w:divBdr>
            <w:top w:val="none" w:sz="0" w:space="0" w:color="auto"/>
            <w:left w:val="none" w:sz="0" w:space="0" w:color="auto"/>
            <w:bottom w:val="none" w:sz="0" w:space="0" w:color="auto"/>
            <w:right w:val="none" w:sz="0" w:space="0" w:color="auto"/>
          </w:divBdr>
        </w:div>
        <w:div w:id="665017556">
          <w:marLeft w:val="1584"/>
          <w:marRight w:val="0"/>
          <w:marTop w:val="0"/>
          <w:marBottom w:val="101"/>
          <w:divBdr>
            <w:top w:val="none" w:sz="0" w:space="0" w:color="auto"/>
            <w:left w:val="none" w:sz="0" w:space="0" w:color="auto"/>
            <w:bottom w:val="none" w:sz="0" w:space="0" w:color="auto"/>
            <w:right w:val="none" w:sz="0" w:space="0" w:color="auto"/>
          </w:divBdr>
        </w:div>
        <w:div w:id="1118642524">
          <w:marLeft w:val="1584"/>
          <w:marRight w:val="0"/>
          <w:marTop w:val="0"/>
          <w:marBottom w:val="101"/>
          <w:divBdr>
            <w:top w:val="none" w:sz="0" w:space="0" w:color="auto"/>
            <w:left w:val="none" w:sz="0" w:space="0" w:color="auto"/>
            <w:bottom w:val="none" w:sz="0" w:space="0" w:color="auto"/>
            <w:right w:val="none" w:sz="0" w:space="0" w:color="auto"/>
          </w:divBdr>
        </w:div>
        <w:div w:id="1628899162">
          <w:marLeft w:val="1584"/>
          <w:marRight w:val="0"/>
          <w:marTop w:val="0"/>
          <w:marBottom w:val="101"/>
          <w:divBdr>
            <w:top w:val="none" w:sz="0" w:space="0" w:color="auto"/>
            <w:left w:val="none" w:sz="0" w:space="0" w:color="auto"/>
            <w:bottom w:val="none" w:sz="0" w:space="0" w:color="auto"/>
            <w:right w:val="none" w:sz="0" w:space="0" w:color="auto"/>
          </w:divBdr>
        </w:div>
        <w:div w:id="112140344">
          <w:marLeft w:val="1584"/>
          <w:marRight w:val="0"/>
          <w:marTop w:val="0"/>
          <w:marBottom w:val="101"/>
          <w:divBdr>
            <w:top w:val="none" w:sz="0" w:space="0" w:color="auto"/>
            <w:left w:val="none" w:sz="0" w:space="0" w:color="auto"/>
            <w:bottom w:val="none" w:sz="0" w:space="0" w:color="auto"/>
            <w:right w:val="none" w:sz="0" w:space="0" w:color="auto"/>
          </w:divBdr>
        </w:div>
        <w:div w:id="418479993">
          <w:marLeft w:val="1152"/>
          <w:marRight w:val="0"/>
          <w:marTop w:val="0"/>
          <w:marBottom w:val="101"/>
          <w:divBdr>
            <w:top w:val="none" w:sz="0" w:space="0" w:color="auto"/>
            <w:left w:val="none" w:sz="0" w:space="0" w:color="auto"/>
            <w:bottom w:val="none" w:sz="0" w:space="0" w:color="auto"/>
            <w:right w:val="none" w:sz="0" w:space="0" w:color="auto"/>
          </w:divBdr>
        </w:div>
        <w:div w:id="1635210718">
          <w:marLeft w:val="1152"/>
          <w:marRight w:val="0"/>
          <w:marTop w:val="0"/>
          <w:marBottom w:val="101"/>
          <w:divBdr>
            <w:top w:val="none" w:sz="0" w:space="0" w:color="auto"/>
            <w:left w:val="none" w:sz="0" w:space="0" w:color="auto"/>
            <w:bottom w:val="none" w:sz="0" w:space="0" w:color="auto"/>
            <w:right w:val="none" w:sz="0" w:space="0" w:color="auto"/>
          </w:divBdr>
        </w:div>
        <w:div w:id="1401362167">
          <w:marLeft w:val="1584"/>
          <w:marRight w:val="0"/>
          <w:marTop w:val="0"/>
          <w:marBottom w:val="101"/>
          <w:divBdr>
            <w:top w:val="none" w:sz="0" w:space="0" w:color="auto"/>
            <w:left w:val="none" w:sz="0" w:space="0" w:color="auto"/>
            <w:bottom w:val="none" w:sz="0" w:space="0" w:color="auto"/>
            <w:right w:val="none" w:sz="0" w:space="0" w:color="auto"/>
          </w:divBdr>
        </w:div>
        <w:div w:id="339043015">
          <w:marLeft w:val="1152"/>
          <w:marRight w:val="0"/>
          <w:marTop w:val="0"/>
          <w:marBottom w:val="101"/>
          <w:divBdr>
            <w:top w:val="none" w:sz="0" w:space="0" w:color="auto"/>
            <w:left w:val="none" w:sz="0" w:space="0" w:color="auto"/>
            <w:bottom w:val="none" w:sz="0" w:space="0" w:color="auto"/>
            <w:right w:val="none" w:sz="0" w:space="0" w:color="auto"/>
          </w:divBdr>
        </w:div>
        <w:div w:id="584264814">
          <w:marLeft w:val="1584"/>
          <w:marRight w:val="0"/>
          <w:marTop w:val="0"/>
          <w:marBottom w:val="101"/>
          <w:divBdr>
            <w:top w:val="none" w:sz="0" w:space="0" w:color="auto"/>
            <w:left w:val="none" w:sz="0" w:space="0" w:color="auto"/>
            <w:bottom w:val="none" w:sz="0" w:space="0" w:color="auto"/>
            <w:right w:val="none" w:sz="0" w:space="0" w:color="auto"/>
          </w:divBdr>
        </w:div>
        <w:div w:id="478769339">
          <w:marLeft w:val="1152"/>
          <w:marRight w:val="0"/>
          <w:marTop w:val="0"/>
          <w:marBottom w:val="101"/>
          <w:divBdr>
            <w:top w:val="none" w:sz="0" w:space="0" w:color="auto"/>
            <w:left w:val="none" w:sz="0" w:space="0" w:color="auto"/>
            <w:bottom w:val="none" w:sz="0" w:space="0" w:color="auto"/>
            <w:right w:val="none" w:sz="0" w:space="0" w:color="auto"/>
          </w:divBdr>
        </w:div>
        <w:div w:id="1349408722">
          <w:marLeft w:val="1584"/>
          <w:marRight w:val="0"/>
          <w:marTop w:val="0"/>
          <w:marBottom w:val="101"/>
          <w:divBdr>
            <w:top w:val="none" w:sz="0" w:space="0" w:color="auto"/>
            <w:left w:val="none" w:sz="0" w:space="0" w:color="auto"/>
            <w:bottom w:val="none" w:sz="0" w:space="0" w:color="auto"/>
            <w:right w:val="none" w:sz="0" w:space="0" w:color="auto"/>
          </w:divBdr>
        </w:div>
        <w:div w:id="863590884">
          <w:marLeft w:val="1152"/>
          <w:marRight w:val="0"/>
          <w:marTop w:val="0"/>
          <w:marBottom w:val="101"/>
          <w:divBdr>
            <w:top w:val="none" w:sz="0" w:space="0" w:color="auto"/>
            <w:left w:val="none" w:sz="0" w:space="0" w:color="auto"/>
            <w:bottom w:val="none" w:sz="0" w:space="0" w:color="auto"/>
            <w:right w:val="none" w:sz="0" w:space="0" w:color="auto"/>
          </w:divBdr>
        </w:div>
        <w:div w:id="319382172">
          <w:marLeft w:val="1584"/>
          <w:marRight w:val="0"/>
          <w:marTop w:val="0"/>
          <w:marBottom w:val="101"/>
          <w:divBdr>
            <w:top w:val="none" w:sz="0" w:space="0" w:color="auto"/>
            <w:left w:val="none" w:sz="0" w:space="0" w:color="auto"/>
            <w:bottom w:val="none" w:sz="0" w:space="0" w:color="auto"/>
            <w:right w:val="none" w:sz="0" w:space="0" w:color="auto"/>
          </w:divBdr>
        </w:div>
        <w:div w:id="337737350">
          <w:marLeft w:val="1152"/>
          <w:marRight w:val="0"/>
          <w:marTop w:val="0"/>
          <w:marBottom w:val="101"/>
          <w:divBdr>
            <w:top w:val="none" w:sz="0" w:space="0" w:color="auto"/>
            <w:left w:val="none" w:sz="0" w:space="0" w:color="auto"/>
            <w:bottom w:val="none" w:sz="0" w:space="0" w:color="auto"/>
            <w:right w:val="none" w:sz="0" w:space="0" w:color="auto"/>
          </w:divBdr>
        </w:div>
        <w:div w:id="717818776">
          <w:marLeft w:val="1584"/>
          <w:marRight w:val="0"/>
          <w:marTop w:val="0"/>
          <w:marBottom w:val="101"/>
          <w:divBdr>
            <w:top w:val="none" w:sz="0" w:space="0" w:color="auto"/>
            <w:left w:val="none" w:sz="0" w:space="0" w:color="auto"/>
            <w:bottom w:val="none" w:sz="0" w:space="0" w:color="auto"/>
            <w:right w:val="none" w:sz="0" w:space="0" w:color="auto"/>
          </w:divBdr>
        </w:div>
        <w:div w:id="1204754298">
          <w:marLeft w:val="1152"/>
          <w:marRight w:val="0"/>
          <w:marTop w:val="0"/>
          <w:marBottom w:val="101"/>
          <w:divBdr>
            <w:top w:val="none" w:sz="0" w:space="0" w:color="auto"/>
            <w:left w:val="none" w:sz="0" w:space="0" w:color="auto"/>
            <w:bottom w:val="none" w:sz="0" w:space="0" w:color="auto"/>
            <w:right w:val="none" w:sz="0" w:space="0" w:color="auto"/>
          </w:divBdr>
        </w:div>
        <w:div w:id="908417077">
          <w:marLeft w:val="1584"/>
          <w:marRight w:val="0"/>
          <w:marTop w:val="0"/>
          <w:marBottom w:val="101"/>
          <w:divBdr>
            <w:top w:val="none" w:sz="0" w:space="0" w:color="auto"/>
            <w:left w:val="none" w:sz="0" w:space="0" w:color="auto"/>
            <w:bottom w:val="none" w:sz="0" w:space="0" w:color="auto"/>
            <w:right w:val="none" w:sz="0" w:space="0" w:color="auto"/>
          </w:divBdr>
        </w:div>
        <w:div w:id="424228469">
          <w:marLeft w:val="1152"/>
          <w:marRight w:val="0"/>
          <w:marTop w:val="0"/>
          <w:marBottom w:val="101"/>
          <w:divBdr>
            <w:top w:val="none" w:sz="0" w:space="0" w:color="auto"/>
            <w:left w:val="none" w:sz="0" w:space="0" w:color="auto"/>
            <w:bottom w:val="none" w:sz="0" w:space="0" w:color="auto"/>
            <w:right w:val="none" w:sz="0" w:space="0" w:color="auto"/>
          </w:divBdr>
        </w:div>
        <w:div w:id="1056273402">
          <w:marLeft w:val="1584"/>
          <w:marRight w:val="0"/>
          <w:marTop w:val="0"/>
          <w:marBottom w:val="101"/>
          <w:divBdr>
            <w:top w:val="none" w:sz="0" w:space="0" w:color="auto"/>
            <w:left w:val="none" w:sz="0" w:space="0" w:color="auto"/>
            <w:bottom w:val="none" w:sz="0" w:space="0" w:color="auto"/>
            <w:right w:val="none" w:sz="0" w:space="0" w:color="auto"/>
          </w:divBdr>
        </w:div>
        <w:div w:id="1824589915">
          <w:marLeft w:val="1152"/>
          <w:marRight w:val="0"/>
          <w:marTop w:val="0"/>
          <w:marBottom w:val="101"/>
          <w:divBdr>
            <w:top w:val="none" w:sz="0" w:space="0" w:color="auto"/>
            <w:left w:val="none" w:sz="0" w:space="0" w:color="auto"/>
            <w:bottom w:val="none" w:sz="0" w:space="0" w:color="auto"/>
            <w:right w:val="none" w:sz="0" w:space="0" w:color="auto"/>
          </w:divBdr>
        </w:div>
        <w:div w:id="194924810">
          <w:marLeft w:val="1584"/>
          <w:marRight w:val="0"/>
          <w:marTop w:val="0"/>
          <w:marBottom w:val="101"/>
          <w:divBdr>
            <w:top w:val="none" w:sz="0" w:space="0" w:color="auto"/>
            <w:left w:val="none" w:sz="0" w:space="0" w:color="auto"/>
            <w:bottom w:val="none" w:sz="0" w:space="0" w:color="auto"/>
            <w:right w:val="none" w:sz="0" w:space="0" w:color="auto"/>
          </w:divBdr>
        </w:div>
        <w:div w:id="374472711">
          <w:marLeft w:val="1584"/>
          <w:marRight w:val="0"/>
          <w:marTop w:val="0"/>
          <w:marBottom w:val="101"/>
          <w:divBdr>
            <w:top w:val="none" w:sz="0" w:space="0" w:color="auto"/>
            <w:left w:val="none" w:sz="0" w:space="0" w:color="auto"/>
            <w:bottom w:val="none" w:sz="0" w:space="0" w:color="auto"/>
            <w:right w:val="none" w:sz="0" w:space="0" w:color="auto"/>
          </w:divBdr>
        </w:div>
        <w:div w:id="178617567">
          <w:marLeft w:val="1152"/>
          <w:marRight w:val="0"/>
          <w:marTop w:val="0"/>
          <w:marBottom w:val="101"/>
          <w:divBdr>
            <w:top w:val="none" w:sz="0" w:space="0" w:color="auto"/>
            <w:left w:val="none" w:sz="0" w:space="0" w:color="auto"/>
            <w:bottom w:val="none" w:sz="0" w:space="0" w:color="auto"/>
            <w:right w:val="none" w:sz="0" w:space="0" w:color="auto"/>
          </w:divBdr>
        </w:div>
        <w:div w:id="753279049">
          <w:marLeft w:val="1584"/>
          <w:marRight w:val="0"/>
          <w:marTop w:val="0"/>
          <w:marBottom w:val="101"/>
          <w:divBdr>
            <w:top w:val="none" w:sz="0" w:space="0" w:color="auto"/>
            <w:left w:val="none" w:sz="0" w:space="0" w:color="auto"/>
            <w:bottom w:val="none" w:sz="0" w:space="0" w:color="auto"/>
            <w:right w:val="none" w:sz="0" w:space="0" w:color="auto"/>
          </w:divBdr>
        </w:div>
        <w:div w:id="698117633">
          <w:marLeft w:val="1584"/>
          <w:marRight w:val="0"/>
          <w:marTop w:val="0"/>
          <w:marBottom w:val="101"/>
          <w:divBdr>
            <w:top w:val="none" w:sz="0" w:space="0" w:color="auto"/>
            <w:left w:val="none" w:sz="0" w:space="0" w:color="auto"/>
            <w:bottom w:val="none" w:sz="0" w:space="0" w:color="auto"/>
            <w:right w:val="none" w:sz="0" w:space="0" w:color="auto"/>
          </w:divBdr>
        </w:div>
        <w:div w:id="1309288632">
          <w:marLeft w:val="1152"/>
          <w:marRight w:val="0"/>
          <w:marTop w:val="0"/>
          <w:marBottom w:val="101"/>
          <w:divBdr>
            <w:top w:val="none" w:sz="0" w:space="0" w:color="auto"/>
            <w:left w:val="none" w:sz="0" w:space="0" w:color="auto"/>
            <w:bottom w:val="none" w:sz="0" w:space="0" w:color="auto"/>
            <w:right w:val="none" w:sz="0" w:space="0" w:color="auto"/>
          </w:divBdr>
        </w:div>
        <w:div w:id="905383443">
          <w:marLeft w:val="1584"/>
          <w:marRight w:val="0"/>
          <w:marTop w:val="0"/>
          <w:marBottom w:val="101"/>
          <w:divBdr>
            <w:top w:val="none" w:sz="0" w:space="0" w:color="auto"/>
            <w:left w:val="none" w:sz="0" w:space="0" w:color="auto"/>
            <w:bottom w:val="none" w:sz="0" w:space="0" w:color="auto"/>
            <w:right w:val="none" w:sz="0" w:space="0" w:color="auto"/>
          </w:divBdr>
        </w:div>
        <w:div w:id="223103133">
          <w:marLeft w:val="1152"/>
          <w:marRight w:val="0"/>
          <w:marTop w:val="0"/>
          <w:marBottom w:val="101"/>
          <w:divBdr>
            <w:top w:val="none" w:sz="0" w:space="0" w:color="auto"/>
            <w:left w:val="none" w:sz="0" w:space="0" w:color="auto"/>
            <w:bottom w:val="none" w:sz="0" w:space="0" w:color="auto"/>
            <w:right w:val="none" w:sz="0" w:space="0" w:color="auto"/>
          </w:divBdr>
        </w:div>
        <w:div w:id="1096942060">
          <w:marLeft w:val="1584"/>
          <w:marRight w:val="0"/>
          <w:marTop w:val="0"/>
          <w:marBottom w:val="101"/>
          <w:divBdr>
            <w:top w:val="none" w:sz="0" w:space="0" w:color="auto"/>
            <w:left w:val="none" w:sz="0" w:space="0" w:color="auto"/>
            <w:bottom w:val="none" w:sz="0" w:space="0" w:color="auto"/>
            <w:right w:val="none" w:sz="0" w:space="0" w:color="auto"/>
          </w:divBdr>
        </w:div>
        <w:div w:id="843014602">
          <w:marLeft w:val="1584"/>
          <w:marRight w:val="0"/>
          <w:marTop w:val="0"/>
          <w:marBottom w:val="101"/>
          <w:divBdr>
            <w:top w:val="none" w:sz="0" w:space="0" w:color="auto"/>
            <w:left w:val="none" w:sz="0" w:space="0" w:color="auto"/>
            <w:bottom w:val="none" w:sz="0" w:space="0" w:color="auto"/>
            <w:right w:val="none" w:sz="0" w:space="0" w:color="auto"/>
          </w:divBdr>
        </w:div>
        <w:div w:id="893002874">
          <w:marLeft w:val="1584"/>
          <w:marRight w:val="0"/>
          <w:marTop w:val="0"/>
          <w:marBottom w:val="101"/>
          <w:divBdr>
            <w:top w:val="none" w:sz="0" w:space="0" w:color="auto"/>
            <w:left w:val="none" w:sz="0" w:space="0" w:color="auto"/>
            <w:bottom w:val="none" w:sz="0" w:space="0" w:color="auto"/>
            <w:right w:val="none" w:sz="0" w:space="0" w:color="auto"/>
          </w:divBdr>
        </w:div>
        <w:div w:id="1857648232">
          <w:marLeft w:val="1584"/>
          <w:marRight w:val="0"/>
          <w:marTop w:val="0"/>
          <w:marBottom w:val="101"/>
          <w:divBdr>
            <w:top w:val="none" w:sz="0" w:space="0" w:color="auto"/>
            <w:left w:val="none" w:sz="0" w:space="0" w:color="auto"/>
            <w:bottom w:val="none" w:sz="0" w:space="0" w:color="auto"/>
            <w:right w:val="none" w:sz="0" w:space="0" w:color="auto"/>
          </w:divBdr>
        </w:div>
        <w:div w:id="236063942">
          <w:marLeft w:val="1584"/>
          <w:marRight w:val="0"/>
          <w:marTop w:val="0"/>
          <w:marBottom w:val="101"/>
          <w:divBdr>
            <w:top w:val="none" w:sz="0" w:space="0" w:color="auto"/>
            <w:left w:val="none" w:sz="0" w:space="0" w:color="auto"/>
            <w:bottom w:val="none" w:sz="0" w:space="0" w:color="auto"/>
            <w:right w:val="none" w:sz="0" w:space="0" w:color="auto"/>
          </w:divBdr>
        </w:div>
        <w:div w:id="477038007">
          <w:marLeft w:val="1584"/>
          <w:marRight w:val="0"/>
          <w:marTop w:val="0"/>
          <w:marBottom w:val="101"/>
          <w:divBdr>
            <w:top w:val="none" w:sz="0" w:space="0" w:color="auto"/>
            <w:left w:val="none" w:sz="0" w:space="0" w:color="auto"/>
            <w:bottom w:val="none" w:sz="0" w:space="0" w:color="auto"/>
            <w:right w:val="none" w:sz="0" w:space="0" w:color="auto"/>
          </w:divBdr>
        </w:div>
        <w:div w:id="1312171191">
          <w:marLeft w:val="1152"/>
          <w:marRight w:val="0"/>
          <w:marTop w:val="0"/>
          <w:marBottom w:val="101"/>
          <w:divBdr>
            <w:top w:val="none" w:sz="0" w:space="0" w:color="auto"/>
            <w:left w:val="none" w:sz="0" w:space="0" w:color="auto"/>
            <w:bottom w:val="none" w:sz="0" w:space="0" w:color="auto"/>
            <w:right w:val="none" w:sz="0" w:space="0" w:color="auto"/>
          </w:divBdr>
        </w:div>
        <w:div w:id="336811703">
          <w:marLeft w:val="1584"/>
          <w:marRight w:val="0"/>
          <w:marTop w:val="0"/>
          <w:marBottom w:val="101"/>
          <w:divBdr>
            <w:top w:val="none" w:sz="0" w:space="0" w:color="auto"/>
            <w:left w:val="none" w:sz="0" w:space="0" w:color="auto"/>
            <w:bottom w:val="none" w:sz="0" w:space="0" w:color="auto"/>
            <w:right w:val="none" w:sz="0" w:space="0" w:color="auto"/>
          </w:divBdr>
        </w:div>
        <w:div w:id="1345980658">
          <w:marLeft w:val="1152"/>
          <w:marRight w:val="0"/>
          <w:marTop w:val="0"/>
          <w:marBottom w:val="101"/>
          <w:divBdr>
            <w:top w:val="none" w:sz="0" w:space="0" w:color="auto"/>
            <w:left w:val="none" w:sz="0" w:space="0" w:color="auto"/>
            <w:bottom w:val="none" w:sz="0" w:space="0" w:color="auto"/>
            <w:right w:val="none" w:sz="0" w:space="0" w:color="auto"/>
          </w:divBdr>
        </w:div>
        <w:div w:id="994920314">
          <w:marLeft w:val="1584"/>
          <w:marRight w:val="0"/>
          <w:marTop w:val="0"/>
          <w:marBottom w:val="101"/>
          <w:divBdr>
            <w:top w:val="none" w:sz="0" w:space="0" w:color="auto"/>
            <w:left w:val="none" w:sz="0" w:space="0" w:color="auto"/>
            <w:bottom w:val="none" w:sz="0" w:space="0" w:color="auto"/>
            <w:right w:val="none" w:sz="0" w:space="0" w:color="auto"/>
          </w:divBdr>
        </w:div>
        <w:div w:id="613830560">
          <w:marLeft w:val="1584"/>
          <w:marRight w:val="0"/>
          <w:marTop w:val="0"/>
          <w:marBottom w:val="101"/>
          <w:divBdr>
            <w:top w:val="none" w:sz="0" w:space="0" w:color="auto"/>
            <w:left w:val="none" w:sz="0" w:space="0" w:color="auto"/>
            <w:bottom w:val="none" w:sz="0" w:space="0" w:color="auto"/>
            <w:right w:val="none" w:sz="0" w:space="0" w:color="auto"/>
          </w:divBdr>
        </w:div>
        <w:div w:id="1141918390">
          <w:marLeft w:val="1584"/>
          <w:marRight w:val="0"/>
          <w:marTop w:val="0"/>
          <w:marBottom w:val="101"/>
          <w:divBdr>
            <w:top w:val="none" w:sz="0" w:space="0" w:color="auto"/>
            <w:left w:val="none" w:sz="0" w:space="0" w:color="auto"/>
            <w:bottom w:val="none" w:sz="0" w:space="0" w:color="auto"/>
            <w:right w:val="none" w:sz="0" w:space="0" w:color="auto"/>
          </w:divBdr>
        </w:div>
        <w:div w:id="1273588275">
          <w:marLeft w:val="1584"/>
          <w:marRight w:val="0"/>
          <w:marTop w:val="0"/>
          <w:marBottom w:val="101"/>
          <w:divBdr>
            <w:top w:val="none" w:sz="0" w:space="0" w:color="auto"/>
            <w:left w:val="none" w:sz="0" w:space="0" w:color="auto"/>
            <w:bottom w:val="none" w:sz="0" w:space="0" w:color="auto"/>
            <w:right w:val="none" w:sz="0" w:space="0" w:color="auto"/>
          </w:divBdr>
        </w:div>
        <w:div w:id="1114984224">
          <w:marLeft w:val="1584"/>
          <w:marRight w:val="0"/>
          <w:marTop w:val="0"/>
          <w:marBottom w:val="101"/>
          <w:divBdr>
            <w:top w:val="none" w:sz="0" w:space="0" w:color="auto"/>
            <w:left w:val="none" w:sz="0" w:space="0" w:color="auto"/>
            <w:bottom w:val="none" w:sz="0" w:space="0" w:color="auto"/>
            <w:right w:val="none" w:sz="0" w:space="0" w:color="auto"/>
          </w:divBdr>
        </w:div>
        <w:div w:id="211121222">
          <w:marLeft w:val="1584"/>
          <w:marRight w:val="0"/>
          <w:marTop w:val="0"/>
          <w:marBottom w:val="101"/>
          <w:divBdr>
            <w:top w:val="none" w:sz="0" w:space="0" w:color="auto"/>
            <w:left w:val="none" w:sz="0" w:space="0" w:color="auto"/>
            <w:bottom w:val="none" w:sz="0" w:space="0" w:color="auto"/>
            <w:right w:val="none" w:sz="0" w:space="0" w:color="auto"/>
          </w:divBdr>
        </w:div>
        <w:div w:id="1449204465">
          <w:marLeft w:val="1152"/>
          <w:marRight w:val="0"/>
          <w:marTop w:val="0"/>
          <w:marBottom w:val="86"/>
          <w:divBdr>
            <w:top w:val="none" w:sz="0" w:space="0" w:color="auto"/>
            <w:left w:val="none" w:sz="0" w:space="0" w:color="auto"/>
            <w:bottom w:val="none" w:sz="0" w:space="0" w:color="auto"/>
            <w:right w:val="none" w:sz="0" w:space="0" w:color="auto"/>
          </w:divBdr>
        </w:div>
        <w:div w:id="612173901">
          <w:marLeft w:val="1152"/>
          <w:marRight w:val="0"/>
          <w:marTop w:val="0"/>
          <w:marBottom w:val="86"/>
          <w:divBdr>
            <w:top w:val="none" w:sz="0" w:space="0" w:color="auto"/>
            <w:left w:val="none" w:sz="0" w:space="0" w:color="auto"/>
            <w:bottom w:val="none" w:sz="0" w:space="0" w:color="auto"/>
            <w:right w:val="none" w:sz="0" w:space="0" w:color="auto"/>
          </w:divBdr>
        </w:div>
        <w:div w:id="1772623450">
          <w:marLeft w:val="1584"/>
          <w:marRight w:val="0"/>
          <w:marTop w:val="0"/>
          <w:marBottom w:val="86"/>
          <w:divBdr>
            <w:top w:val="none" w:sz="0" w:space="0" w:color="auto"/>
            <w:left w:val="none" w:sz="0" w:space="0" w:color="auto"/>
            <w:bottom w:val="none" w:sz="0" w:space="0" w:color="auto"/>
            <w:right w:val="none" w:sz="0" w:space="0" w:color="auto"/>
          </w:divBdr>
        </w:div>
        <w:div w:id="2057118170">
          <w:marLeft w:val="1152"/>
          <w:marRight w:val="0"/>
          <w:marTop w:val="0"/>
          <w:marBottom w:val="86"/>
          <w:divBdr>
            <w:top w:val="none" w:sz="0" w:space="0" w:color="auto"/>
            <w:left w:val="none" w:sz="0" w:space="0" w:color="auto"/>
            <w:bottom w:val="none" w:sz="0" w:space="0" w:color="auto"/>
            <w:right w:val="none" w:sz="0" w:space="0" w:color="auto"/>
          </w:divBdr>
        </w:div>
        <w:div w:id="769280021">
          <w:marLeft w:val="1584"/>
          <w:marRight w:val="0"/>
          <w:marTop w:val="0"/>
          <w:marBottom w:val="86"/>
          <w:divBdr>
            <w:top w:val="none" w:sz="0" w:space="0" w:color="auto"/>
            <w:left w:val="none" w:sz="0" w:space="0" w:color="auto"/>
            <w:bottom w:val="none" w:sz="0" w:space="0" w:color="auto"/>
            <w:right w:val="none" w:sz="0" w:space="0" w:color="auto"/>
          </w:divBdr>
        </w:div>
        <w:div w:id="1628773221">
          <w:marLeft w:val="1584"/>
          <w:marRight w:val="0"/>
          <w:marTop w:val="0"/>
          <w:marBottom w:val="86"/>
          <w:divBdr>
            <w:top w:val="none" w:sz="0" w:space="0" w:color="auto"/>
            <w:left w:val="none" w:sz="0" w:space="0" w:color="auto"/>
            <w:bottom w:val="none" w:sz="0" w:space="0" w:color="auto"/>
            <w:right w:val="none" w:sz="0" w:space="0" w:color="auto"/>
          </w:divBdr>
        </w:div>
        <w:div w:id="108817512">
          <w:marLeft w:val="1584"/>
          <w:marRight w:val="0"/>
          <w:marTop w:val="0"/>
          <w:marBottom w:val="86"/>
          <w:divBdr>
            <w:top w:val="none" w:sz="0" w:space="0" w:color="auto"/>
            <w:left w:val="none" w:sz="0" w:space="0" w:color="auto"/>
            <w:bottom w:val="none" w:sz="0" w:space="0" w:color="auto"/>
            <w:right w:val="none" w:sz="0" w:space="0" w:color="auto"/>
          </w:divBdr>
        </w:div>
        <w:div w:id="1995452908">
          <w:marLeft w:val="1584"/>
          <w:marRight w:val="0"/>
          <w:marTop w:val="0"/>
          <w:marBottom w:val="86"/>
          <w:divBdr>
            <w:top w:val="none" w:sz="0" w:space="0" w:color="auto"/>
            <w:left w:val="none" w:sz="0" w:space="0" w:color="auto"/>
            <w:bottom w:val="none" w:sz="0" w:space="0" w:color="auto"/>
            <w:right w:val="none" w:sz="0" w:space="0" w:color="auto"/>
          </w:divBdr>
        </w:div>
        <w:div w:id="854198753">
          <w:marLeft w:val="1152"/>
          <w:marRight w:val="0"/>
          <w:marTop w:val="0"/>
          <w:marBottom w:val="86"/>
          <w:divBdr>
            <w:top w:val="none" w:sz="0" w:space="0" w:color="auto"/>
            <w:left w:val="none" w:sz="0" w:space="0" w:color="auto"/>
            <w:bottom w:val="none" w:sz="0" w:space="0" w:color="auto"/>
            <w:right w:val="none" w:sz="0" w:space="0" w:color="auto"/>
          </w:divBdr>
        </w:div>
        <w:div w:id="119038627">
          <w:marLeft w:val="1584"/>
          <w:marRight w:val="0"/>
          <w:marTop w:val="0"/>
          <w:marBottom w:val="86"/>
          <w:divBdr>
            <w:top w:val="none" w:sz="0" w:space="0" w:color="auto"/>
            <w:left w:val="none" w:sz="0" w:space="0" w:color="auto"/>
            <w:bottom w:val="none" w:sz="0" w:space="0" w:color="auto"/>
            <w:right w:val="none" w:sz="0" w:space="0" w:color="auto"/>
          </w:divBdr>
        </w:div>
        <w:div w:id="995183381">
          <w:marLeft w:val="1152"/>
          <w:marRight w:val="0"/>
          <w:marTop w:val="0"/>
          <w:marBottom w:val="86"/>
          <w:divBdr>
            <w:top w:val="none" w:sz="0" w:space="0" w:color="auto"/>
            <w:left w:val="none" w:sz="0" w:space="0" w:color="auto"/>
            <w:bottom w:val="none" w:sz="0" w:space="0" w:color="auto"/>
            <w:right w:val="none" w:sz="0" w:space="0" w:color="auto"/>
          </w:divBdr>
        </w:div>
        <w:div w:id="2124613251">
          <w:marLeft w:val="1584"/>
          <w:marRight w:val="0"/>
          <w:marTop w:val="0"/>
          <w:marBottom w:val="86"/>
          <w:divBdr>
            <w:top w:val="none" w:sz="0" w:space="0" w:color="auto"/>
            <w:left w:val="none" w:sz="0" w:space="0" w:color="auto"/>
            <w:bottom w:val="none" w:sz="0" w:space="0" w:color="auto"/>
            <w:right w:val="none" w:sz="0" w:space="0" w:color="auto"/>
          </w:divBdr>
        </w:div>
        <w:div w:id="1256941213">
          <w:marLeft w:val="1584"/>
          <w:marRight w:val="0"/>
          <w:marTop w:val="0"/>
          <w:marBottom w:val="86"/>
          <w:divBdr>
            <w:top w:val="none" w:sz="0" w:space="0" w:color="auto"/>
            <w:left w:val="none" w:sz="0" w:space="0" w:color="auto"/>
            <w:bottom w:val="none" w:sz="0" w:space="0" w:color="auto"/>
            <w:right w:val="none" w:sz="0" w:space="0" w:color="auto"/>
          </w:divBdr>
        </w:div>
        <w:div w:id="911426018">
          <w:marLeft w:val="1584"/>
          <w:marRight w:val="0"/>
          <w:marTop w:val="0"/>
          <w:marBottom w:val="86"/>
          <w:divBdr>
            <w:top w:val="none" w:sz="0" w:space="0" w:color="auto"/>
            <w:left w:val="none" w:sz="0" w:space="0" w:color="auto"/>
            <w:bottom w:val="none" w:sz="0" w:space="0" w:color="auto"/>
            <w:right w:val="none" w:sz="0" w:space="0" w:color="auto"/>
          </w:divBdr>
        </w:div>
        <w:div w:id="267392435">
          <w:marLeft w:val="1152"/>
          <w:marRight w:val="0"/>
          <w:marTop w:val="0"/>
          <w:marBottom w:val="86"/>
          <w:divBdr>
            <w:top w:val="none" w:sz="0" w:space="0" w:color="auto"/>
            <w:left w:val="none" w:sz="0" w:space="0" w:color="auto"/>
            <w:bottom w:val="none" w:sz="0" w:space="0" w:color="auto"/>
            <w:right w:val="none" w:sz="0" w:space="0" w:color="auto"/>
          </w:divBdr>
        </w:div>
        <w:div w:id="2034110299">
          <w:marLeft w:val="1584"/>
          <w:marRight w:val="0"/>
          <w:marTop w:val="0"/>
          <w:marBottom w:val="86"/>
          <w:divBdr>
            <w:top w:val="none" w:sz="0" w:space="0" w:color="auto"/>
            <w:left w:val="none" w:sz="0" w:space="0" w:color="auto"/>
            <w:bottom w:val="none" w:sz="0" w:space="0" w:color="auto"/>
            <w:right w:val="none" w:sz="0" w:space="0" w:color="auto"/>
          </w:divBdr>
        </w:div>
        <w:div w:id="696471281">
          <w:marLeft w:val="1152"/>
          <w:marRight w:val="0"/>
          <w:marTop w:val="0"/>
          <w:marBottom w:val="86"/>
          <w:divBdr>
            <w:top w:val="none" w:sz="0" w:space="0" w:color="auto"/>
            <w:left w:val="none" w:sz="0" w:space="0" w:color="auto"/>
            <w:bottom w:val="none" w:sz="0" w:space="0" w:color="auto"/>
            <w:right w:val="none" w:sz="0" w:space="0" w:color="auto"/>
          </w:divBdr>
        </w:div>
        <w:div w:id="10496081">
          <w:marLeft w:val="1584"/>
          <w:marRight w:val="0"/>
          <w:marTop w:val="0"/>
          <w:marBottom w:val="86"/>
          <w:divBdr>
            <w:top w:val="none" w:sz="0" w:space="0" w:color="auto"/>
            <w:left w:val="none" w:sz="0" w:space="0" w:color="auto"/>
            <w:bottom w:val="none" w:sz="0" w:space="0" w:color="auto"/>
            <w:right w:val="none" w:sz="0" w:space="0" w:color="auto"/>
          </w:divBdr>
        </w:div>
        <w:div w:id="1255019061">
          <w:marLeft w:val="1584"/>
          <w:marRight w:val="0"/>
          <w:marTop w:val="0"/>
          <w:marBottom w:val="86"/>
          <w:divBdr>
            <w:top w:val="none" w:sz="0" w:space="0" w:color="auto"/>
            <w:left w:val="none" w:sz="0" w:space="0" w:color="auto"/>
            <w:bottom w:val="none" w:sz="0" w:space="0" w:color="auto"/>
            <w:right w:val="none" w:sz="0" w:space="0" w:color="auto"/>
          </w:divBdr>
        </w:div>
        <w:div w:id="2078283474">
          <w:marLeft w:val="1584"/>
          <w:marRight w:val="0"/>
          <w:marTop w:val="0"/>
          <w:marBottom w:val="86"/>
          <w:divBdr>
            <w:top w:val="none" w:sz="0" w:space="0" w:color="auto"/>
            <w:left w:val="none" w:sz="0" w:space="0" w:color="auto"/>
            <w:bottom w:val="none" w:sz="0" w:space="0" w:color="auto"/>
            <w:right w:val="none" w:sz="0" w:space="0" w:color="auto"/>
          </w:divBdr>
        </w:div>
        <w:div w:id="226503155">
          <w:marLeft w:val="1584"/>
          <w:marRight w:val="0"/>
          <w:marTop w:val="0"/>
          <w:marBottom w:val="86"/>
          <w:divBdr>
            <w:top w:val="none" w:sz="0" w:space="0" w:color="auto"/>
            <w:left w:val="none" w:sz="0" w:space="0" w:color="auto"/>
            <w:bottom w:val="none" w:sz="0" w:space="0" w:color="auto"/>
            <w:right w:val="none" w:sz="0" w:space="0" w:color="auto"/>
          </w:divBdr>
        </w:div>
        <w:div w:id="1779791578">
          <w:marLeft w:val="1584"/>
          <w:marRight w:val="0"/>
          <w:marTop w:val="0"/>
          <w:marBottom w:val="86"/>
          <w:divBdr>
            <w:top w:val="none" w:sz="0" w:space="0" w:color="auto"/>
            <w:left w:val="none" w:sz="0" w:space="0" w:color="auto"/>
            <w:bottom w:val="none" w:sz="0" w:space="0" w:color="auto"/>
            <w:right w:val="none" w:sz="0" w:space="0" w:color="auto"/>
          </w:divBdr>
        </w:div>
        <w:div w:id="771123874">
          <w:marLeft w:val="1152"/>
          <w:marRight w:val="0"/>
          <w:marTop w:val="0"/>
          <w:marBottom w:val="86"/>
          <w:divBdr>
            <w:top w:val="none" w:sz="0" w:space="0" w:color="auto"/>
            <w:left w:val="none" w:sz="0" w:space="0" w:color="auto"/>
            <w:bottom w:val="none" w:sz="0" w:space="0" w:color="auto"/>
            <w:right w:val="none" w:sz="0" w:space="0" w:color="auto"/>
          </w:divBdr>
        </w:div>
        <w:div w:id="1629967399">
          <w:marLeft w:val="1584"/>
          <w:marRight w:val="0"/>
          <w:marTop w:val="0"/>
          <w:marBottom w:val="86"/>
          <w:divBdr>
            <w:top w:val="none" w:sz="0" w:space="0" w:color="auto"/>
            <w:left w:val="none" w:sz="0" w:space="0" w:color="auto"/>
            <w:bottom w:val="none" w:sz="0" w:space="0" w:color="auto"/>
            <w:right w:val="none" w:sz="0" w:space="0" w:color="auto"/>
          </w:divBdr>
        </w:div>
        <w:div w:id="2142914013">
          <w:marLeft w:val="1584"/>
          <w:marRight w:val="0"/>
          <w:marTop w:val="0"/>
          <w:marBottom w:val="86"/>
          <w:divBdr>
            <w:top w:val="none" w:sz="0" w:space="0" w:color="auto"/>
            <w:left w:val="none" w:sz="0" w:space="0" w:color="auto"/>
            <w:bottom w:val="none" w:sz="0" w:space="0" w:color="auto"/>
            <w:right w:val="none" w:sz="0" w:space="0" w:color="auto"/>
          </w:divBdr>
        </w:div>
        <w:div w:id="1542790929">
          <w:marLeft w:val="1584"/>
          <w:marRight w:val="0"/>
          <w:marTop w:val="0"/>
          <w:marBottom w:val="86"/>
          <w:divBdr>
            <w:top w:val="none" w:sz="0" w:space="0" w:color="auto"/>
            <w:left w:val="none" w:sz="0" w:space="0" w:color="auto"/>
            <w:bottom w:val="none" w:sz="0" w:space="0" w:color="auto"/>
            <w:right w:val="none" w:sz="0" w:space="0" w:color="auto"/>
          </w:divBdr>
        </w:div>
        <w:div w:id="1369060787">
          <w:marLeft w:val="1584"/>
          <w:marRight w:val="0"/>
          <w:marTop w:val="0"/>
          <w:marBottom w:val="86"/>
          <w:divBdr>
            <w:top w:val="none" w:sz="0" w:space="0" w:color="auto"/>
            <w:left w:val="none" w:sz="0" w:space="0" w:color="auto"/>
            <w:bottom w:val="none" w:sz="0" w:space="0" w:color="auto"/>
            <w:right w:val="none" w:sz="0" w:space="0" w:color="auto"/>
          </w:divBdr>
        </w:div>
        <w:div w:id="1034961398">
          <w:marLeft w:val="1584"/>
          <w:marRight w:val="0"/>
          <w:marTop w:val="0"/>
          <w:marBottom w:val="86"/>
          <w:divBdr>
            <w:top w:val="none" w:sz="0" w:space="0" w:color="auto"/>
            <w:left w:val="none" w:sz="0" w:space="0" w:color="auto"/>
            <w:bottom w:val="none" w:sz="0" w:space="0" w:color="auto"/>
            <w:right w:val="none" w:sz="0" w:space="0" w:color="auto"/>
          </w:divBdr>
        </w:div>
        <w:div w:id="386298722">
          <w:marLeft w:val="1584"/>
          <w:marRight w:val="0"/>
          <w:marTop w:val="0"/>
          <w:marBottom w:val="86"/>
          <w:divBdr>
            <w:top w:val="none" w:sz="0" w:space="0" w:color="auto"/>
            <w:left w:val="none" w:sz="0" w:space="0" w:color="auto"/>
            <w:bottom w:val="none" w:sz="0" w:space="0" w:color="auto"/>
            <w:right w:val="none" w:sz="0" w:space="0" w:color="auto"/>
          </w:divBdr>
        </w:div>
        <w:div w:id="255745346">
          <w:marLeft w:val="1584"/>
          <w:marRight w:val="0"/>
          <w:marTop w:val="0"/>
          <w:marBottom w:val="86"/>
          <w:divBdr>
            <w:top w:val="none" w:sz="0" w:space="0" w:color="auto"/>
            <w:left w:val="none" w:sz="0" w:space="0" w:color="auto"/>
            <w:bottom w:val="none" w:sz="0" w:space="0" w:color="auto"/>
            <w:right w:val="none" w:sz="0" w:space="0" w:color="auto"/>
          </w:divBdr>
        </w:div>
      </w:divsChild>
    </w:div>
    <w:div w:id="1112242907">
      <w:bodyDiv w:val="1"/>
      <w:marLeft w:val="0"/>
      <w:marRight w:val="0"/>
      <w:marTop w:val="0"/>
      <w:marBottom w:val="0"/>
      <w:divBdr>
        <w:top w:val="none" w:sz="0" w:space="0" w:color="auto"/>
        <w:left w:val="none" w:sz="0" w:space="0" w:color="auto"/>
        <w:bottom w:val="none" w:sz="0" w:space="0" w:color="auto"/>
        <w:right w:val="none" w:sz="0" w:space="0" w:color="auto"/>
      </w:divBdr>
    </w:div>
    <w:div w:id="1159617817">
      <w:bodyDiv w:val="1"/>
      <w:marLeft w:val="0"/>
      <w:marRight w:val="0"/>
      <w:marTop w:val="0"/>
      <w:marBottom w:val="0"/>
      <w:divBdr>
        <w:top w:val="none" w:sz="0" w:space="0" w:color="auto"/>
        <w:left w:val="none" w:sz="0" w:space="0" w:color="auto"/>
        <w:bottom w:val="none" w:sz="0" w:space="0" w:color="auto"/>
        <w:right w:val="none" w:sz="0" w:space="0" w:color="auto"/>
      </w:divBdr>
    </w:div>
    <w:div w:id="1211258655">
      <w:bodyDiv w:val="1"/>
      <w:marLeft w:val="0"/>
      <w:marRight w:val="0"/>
      <w:marTop w:val="0"/>
      <w:marBottom w:val="0"/>
      <w:divBdr>
        <w:top w:val="none" w:sz="0" w:space="0" w:color="auto"/>
        <w:left w:val="none" w:sz="0" w:space="0" w:color="auto"/>
        <w:bottom w:val="none" w:sz="0" w:space="0" w:color="auto"/>
        <w:right w:val="none" w:sz="0" w:space="0" w:color="auto"/>
      </w:divBdr>
    </w:div>
    <w:div w:id="1213077593">
      <w:bodyDiv w:val="1"/>
      <w:marLeft w:val="0"/>
      <w:marRight w:val="0"/>
      <w:marTop w:val="0"/>
      <w:marBottom w:val="0"/>
      <w:divBdr>
        <w:top w:val="none" w:sz="0" w:space="0" w:color="auto"/>
        <w:left w:val="none" w:sz="0" w:space="0" w:color="auto"/>
        <w:bottom w:val="none" w:sz="0" w:space="0" w:color="auto"/>
        <w:right w:val="none" w:sz="0" w:space="0" w:color="auto"/>
      </w:divBdr>
    </w:div>
    <w:div w:id="1245067843">
      <w:bodyDiv w:val="1"/>
      <w:marLeft w:val="0"/>
      <w:marRight w:val="0"/>
      <w:marTop w:val="0"/>
      <w:marBottom w:val="0"/>
      <w:divBdr>
        <w:top w:val="none" w:sz="0" w:space="0" w:color="auto"/>
        <w:left w:val="none" w:sz="0" w:space="0" w:color="auto"/>
        <w:bottom w:val="none" w:sz="0" w:space="0" w:color="auto"/>
        <w:right w:val="none" w:sz="0" w:space="0" w:color="auto"/>
      </w:divBdr>
    </w:div>
    <w:div w:id="1335113774">
      <w:bodyDiv w:val="1"/>
      <w:marLeft w:val="0"/>
      <w:marRight w:val="0"/>
      <w:marTop w:val="0"/>
      <w:marBottom w:val="0"/>
      <w:divBdr>
        <w:top w:val="none" w:sz="0" w:space="0" w:color="auto"/>
        <w:left w:val="none" w:sz="0" w:space="0" w:color="auto"/>
        <w:bottom w:val="none" w:sz="0" w:space="0" w:color="auto"/>
        <w:right w:val="none" w:sz="0" w:space="0" w:color="auto"/>
      </w:divBdr>
    </w:div>
    <w:div w:id="1400058973">
      <w:bodyDiv w:val="1"/>
      <w:marLeft w:val="0"/>
      <w:marRight w:val="0"/>
      <w:marTop w:val="0"/>
      <w:marBottom w:val="0"/>
      <w:divBdr>
        <w:top w:val="none" w:sz="0" w:space="0" w:color="auto"/>
        <w:left w:val="none" w:sz="0" w:space="0" w:color="auto"/>
        <w:bottom w:val="none" w:sz="0" w:space="0" w:color="auto"/>
        <w:right w:val="none" w:sz="0" w:space="0" w:color="auto"/>
      </w:divBdr>
    </w:div>
    <w:div w:id="1504511205">
      <w:bodyDiv w:val="1"/>
      <w:marLeft w:val="0"/>
      <w:marRight w:val="0"/>
      <w:marTop w:val="0"/>
      <w:marBottom w:val="0"/>
      <w:divBdr>
        <w:top w:val="none" w:sz="0" w:space="0" w:color="auto"/>
        <w:left w:val="none" w:sz="0" w:space="0" w:color="auto"/>
        <w:bottom w:val="none" w:sz="0" w:space="0" w:color="auto"/>
        <w:right w:val="none" w:sz="0" w:space="0" w:color="auto"/>
      </w:divBdr>
    </w:div>
    <w:div w:id="1534072149">
      <w:bodyDiv w:val="1"/>
      <w:marLeft w:val="0"/>
      <w:marRight w:val="0"/>
      <w:marTop w:val="0"/>
      <w:marBottom w:val="0"/>
      <w:divBdr>
        <w:top w:val="none" w:sz="0" w:space="0" w:color="auto"/>
        <w:left w:val="none" w:sz="0" w:space="0" w:color="auto"/>
        <w:bottom w:val="none" w:sz="0" w:space="0" w:color="auto"/>
        <w:right w:val="none" w:sz="0" w:space="0" w:color="auto"/>
      </w:divBdr>
    </w:div>
    <w:div w:id="1583561149">
      <w:bodyDiv w:val="1"/>
      <w:marLeft w:val="0"/>
      <w:marRight w:val="0"/>
      <w:marTop w:val="0"/>
      <w:marBottom w:val="0"/>
      <w:divBdr>
        <w:top w:val="none" w:sz="0" w:space="0" w:color="auto"/>
        <w:left w:val="none" w:sz="0" w:space="0" w:color="auto"/>
        <w:bottom w:val="none" w:sz="0" w:space="0" w:color="auto"/>
        <w:right w:val="none" w:sz="0" w:space="0" w:color="auto"/>
      </w:divBdr>
    </w:div>
    <w:div w:id="1626812807">
      <w:bodyDiv w:val="1"/>
      <w:marLeft w:val="0"/>
      <w:marRight w:val="0"/>
      <w:marTop w:val="0"/>
      <w:marBottom w:val="0"/>
      <w:divBdr>
        <w:top w:val="none" w:sz="0" w:space="0" w:color="auto"/>
        <w:left w:val="none" w:sz="0" w:space="0" w:color="auto"/>
        <w:bottom w:val="none" w:sz="0" w:space="0" w:color="auto"/>
        <w:right w:val="none" w:sz="0" w:space="0" w:color="auto"/>
      </w:divBdr>
    </w:div>
    <w:div w:id="1627930448">
      <w:bodyDiv w:val="1"/>
      <w:marLeft w:val="0"/>
      <w:marRight w:val="0"/>
      <w:marTop w:val="0"/>
      <w:marBottom w:val="0"/>
      <w:divBdr>
        <w:top w:val="none" w:sz="0" w:space="0" w:color="auto"/>
        <w:left w:val="none" w:sz="0" w:space="0" w:color="auto"/>
        <w:bottom w:val="none" w:sz="0" w:space="0" w:color="auto"/>
        <w:right w:val="none" w:sz="0" w:space="0" w:color="auto"/>
      </w:divBdr>
    </w:div>
    <w:div w:id="1639187770">
      <w:bodyDiv w:val="1"/>
      <w:marLeft w:val="0"/>
      <w:marRight w:val="0"/>
      <w:marTop w:val="0"/>
      <w:marBottom w:val="0"/>
      <w:divBdr>
        <w:top w:val="none" w:sz="0" w:space="0" w:color="auto"/>
        <w:left w:val="none" w:sz="0" w:space="0" w:color="auto"/>
        <w:bottom w:val="none" w:sz="0" w:space="0" w:color="auto"/>
        <w:right w:val="none" w:sz="0" w:space="0" w:color="auto"/>
      </w:divBdr>
    </w:div>
    <w:div w:id="1757247924">
      <w:bodyDiv w:val="1"/>
      <w:marLeft w:val="0"/>
      <w:marRight w:val="0"/>
      <w:marTop w:val="0"/>
      <w:marBottom w:val="0"/>
      <w:divBdr>
        <w:top w:val="none" w:sz="0" w:space="0" w:color="auto"/>
        <w:left w:val="none" w:sz="0" w:space="0" w:color="auto"/>
        <w:bottom w:val="none" w:sz="0" w:space="0" w:color="auto"/>
        <w:right w:val="none" w:sz="0" w:space="0" w:color="auto"/>
      </w:divBdr>
    </w:div>
    <w:div w:id="1769035463">
      <w:bodyDiv w:val="1"/>
      <w:marLeft w:val="0"/>
      <w:marRight w:val="0"/>
      <w:marTop w:val="0"/>
      <w:marBottom w:val="0"/>
      <w:divBdr>
        <w:top w:val="none" w:sz="0" w:space="0" w:color="auto"/>
        <w:left w:val="none" w:sz="0" w:space="0" w:color="auto"/>
        <w:bottom w:val="none" w:sz="0" w:space="0" w:color="auto"/>
        <w:right w:val="none" w:sz="0" w:space="0" w:color="auto"/>
      </w:divBdr>
    </w:div>
    <w:div w:id="1786196112">
      <w:bodyDiv w:val="1"/>
      <w:marLeft w:val="0"/>
      <w:marRight w:val="0"/>
      <w:marTop w:val="0"/>
      <w:marBottom w:val="0"/>
      <w:divBdr>
        <w:top w:val="none" w:sz="0" w:space="0" w:color="auto"/>
        <w:left w:val="none" w:sz="0" w:space="0" w:color="auto"/>
        <w:bottom w:val="none" w:sz="0" w:space="0" w:color="auto"/>
        <w:right w:val="none" w:sz="0" w:space="0" w:color="auto"/>
      </w:divBdr>
    </w:div>
    <w:div w:id="1906256901">
      <w:bodyDiv w:val="1"/>
      <w:marLeft w:val="0"/>
      <w:marRight w:val="0"/>
      <w:marTop w:val="0"/>
      <w:marBottom w:val="0"/>
      <w:divBdr>
        <w:top w:val="none" w:sz="0" w:space="0" w:color="auto"/>
        <w:left w:val="none" w:sz="0" w:space="0" w:color="auto"/>
        <w:bottom w:val="none" w:sz="0" w:space="0" w:color="auto"/>
        <w:right w:val="none" w:sz="0" w:space="0" w:color="auto"/>
      </w:divBdr>
    </w:div>
    <w:div w:id="1957321820">
      <w:bodyDiv w:val="1"/>
      <w:marLeft w:val="0"/>
      <w:marRight w:val="0"/>
      <w:marTop w:val="0"/>
      <w:marBottom w:val="0"/>
      <w:divBdr>
        <w:top w:val="none" w:sz="0" w:space="0" w:color="auto"/>
        <w:left w:val="none" w:sz="0" w:space="0" w:color="auto"/>
        <w:bottom w:val="none" w:sz="0" w:space="0" w:color="auto"/>
        <w:right w:val="none" w:sz="0" w:space="0" w:color="auto"/>
      </w:divBdr>
    </w:div>
    <w:div w:id="1985809555">
      <w:bodyDiv w:val="1"/>
      <w:marLeft w:val="0"/>
      <w:marRight w:val="0"/>
      <w:marTop w:val="0"/>
      <w:marBottom w:val="0"/>
      <w:divBdr>
        <w:top w:val="none" w:sz="0" w:space="0" w:color="auto"/>
        <w:left w:val="none" w:sz="0" w:space="0" w:color="auto"/>
        <w:bottom w:val="none" w:sz="0" w:space="0" w:color="auto"/>
        <w:right w:val="none" w:sz="0" w:space="0" w:color="auto"/>
      </w:divBdr>
    </w:div>
    <w:div w:id="2038970081">
      <w:bodyDiv w:val="1"/>
      <w:marLeft w:val="0"/>
      <w:marRight w:val="0"/>
      <w:marTop w:val="0"/>
      <w:marBottom w:val="0"/>
      <w:divBdr>
        <w:top w:val="none" w:sz="0" w:space="0" w:color="auto"/>
        <w:left w:val="none" w:sz="0" w:space="0" w:color="auto"/>
        <w:bottom w:val="none" w:sz="0" w:space="0" w:color="auto"/>
        <w:right w:val="none" w:sz="0" w:space="0" w:color="auto"/>
      </w:divBdr>
    </w:div>
    <w:div w:id="2041936191">
      <w:bodyDiv w:val="1"/>
      <w:marLeft w:val="0"/>
      <w:marRight w:val="0"/>
      <w:marTop w:val="0"/>
      <w:marBottom w:val="0"/>
      <w:divBdr>
        <w:top w:val="none" w:sz="0" w:space="0" w:color="auto"/>
        <w:left w:val="none" w:sz="0" w:space="0" w:color="auto"/>
        <w:bottom w:val="none" w:sz="0" w:space="0" w:color="auto"/>
        <w:right w:val="none" w:sz="0" w:space="0" w:color="auto"/>
      </w:divBdr>
    </w:div>
    <w:div w:id="2053535162">
      <w:bodyDiv w:val="1"/>
      <w:marLeft w:val="0"/>
      <w:marRight w:val="0"/>
      <w:marTop w:val="0"/>
      <w:marBottom w:val="0"/>
      <w:divBdr>
        <w:top w:val="none" w:sz="0" w:space="0" w:color="auto"/>
        <w:left w:val="none" w:sz="0" w:space="0" w:color="auto"/>
        <w:bottom w:val="none" w:sz="0" w:space="0" w:color="auto"/>
        <w:right w:val="none" w:sz="0" w:space="0" w:color="auto"/>
      </w:divBdr>
    </w:div>
    <w:div w:id="2057851788">
      <w:bodyDiv w:val="1"/>
      <w:marLeft w:val="0"/>
      <w:marRight w:val="0"/>
      <w:marTop w:val="0"/>
      <w:marBottom w:val="0"/>
      <w:divBdr>
        <w:top w:val="none" w:sz="0" w:space="0" w:color="auto"/>
        <w:left w:val="none" w:sz="0" w:space="0" w:color="auto"/>
        <w:bottom w:val="none" w:sz="0" w:space="0" w:color="auto"/>
        <w:right w:val="none" w:sz="0" w:space="0" w:color="auto"/>
      </w:divBdr>
    </w:div>
    <w:div w:id="2090230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onsultas.ifai.org.mx/descargar.php?r=./pdf/resoluciones/2019/&amp;a=RRA%2014270.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onsultas.ifai.org.mx/descargar.php?r=./pdf/resoluciones/2018/&amp;a=RRA%205097.pdf"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consultas.ifai.org.mx/descargar.php?r=./pdf/resoluciones/2018/&amp;a=RRA%204548.pdf"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9B3404-FD60-4796-8F44-DB2E8C5AB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360</TotalTime>
  <Pages>34</Pages>
  <Words>6460</Words>
  <Characters>35533</Characters>
  <Application>Microsoft Office Word</Application>
  <DocSecurity>0</DocSecurity>
  <Lines>296</Lines>
  <Paragraphs>83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41910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INFOEM557</cp:lastModifiedBy>
  <cp:revision>21</cp:revision>
  <cp:lastPrinted>2019-11-07T00:56:00Z</cp:lastPrinted>
  <dcterms:created xsi:type="dcterms:W3CDTF">2025-03-10T01:36:00Z</dcterms:created>
  <dcterms:modified xsi:type="dcterms:W3CDTF">2025-05-13T18:24:00Z</dcterms:modified>
</cp:coreProperties>
</file>