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AB08B7" w:rsidRDefault="00AE3DA7" w:rsidP="00AB08B7">
          <w:pPr>
            <w:pStyle w:val="TtulodeTDC"/>
            <w:spacing w:before="0" w:line="240" w:lineRule="auto"/>
            <w:rPr>
              <w:rFonts w:ascii="Palatino Linotype" w:hAnsi="Palatino Linotype"/>
              <w:color w:val="auto"/>
              <w:sz w:val="22"/>
              <w:szCs w:val="22"/>
              <w:lang w:val="es-ES"/>
            </w:rPr>
          </w:pPr>
          <w:r w:rsidRPr="00AB08B7">
            <w:rPr>
              <w:rFonts w:ascii="Palatino Linotype" w:hAnsi="Palatino Linotype"/>
              <w:color w:val="auto"/>
              <w:sz w:val="22"/>
              <w:szCs w:val="22"/>
              <w:lang w:val="es-ES"/>
            </w:rPr>
            <w:t>Contenido</w:t>
          </w:r>
        </w:p>
        <w:p w14:paraId="3EB312A7" w14:textId="77777777" w:rsidR="00AA6EA9" w:rsidRPr="00AB08B7" w:rsidRDefault="00AA6EA9" w:rsidP="00AB08B7">
          <w:pPr>
            <w:spacing w:line="240" w:lineRule="auto"/>
            <w:rPr>
              <w:szCs w:val="22"/>
              <w:lang w:val="es-ES" w:eastAsia="es-MX"/>
            </w:rPr>
          </w:pPr>
        </w:p>
        <w:p w14:paraId="3E3BE827" w14:textId="77777777" w:rsidR="00AB08B7" w:rsidRDefault="00AE3DA7">
          <w:pPr>
            <w:pStyle w:val="TDC1"/>
            <w:tabs>
              <w:tab w:val="right" w:leader="dot" w:pos="9034"/>
            </w:tabs>
            <w:rPr>
              <w:rFonts w:asciiTheme="minorHAnsi" w:eastAsiaTheme="minorEastAsia" w:hAnsiTheme="minorHAnsi" w:cstheme="minorBidi"/>
              <w:noProof/>
              <w:szCs w:val="22"/>
              <w:lang w:eastAsia="es-MX"/>
            </w:rPr>
          </w:pPr>
          <w:r w:rsidRPr="00AB08B7">
            <w:rPr>
              <w:szCs w:val="22"/>
            </w:rPr>
            <w:fldChar w:fldCharType="begin"/>
          </w:r>
          <w:r w:rsidRPr="00AB08B7">
            <w:rPr>
              <w:szCs w:val="22"/>
            </w:rPr>
            <w:instrText xml:space="preserve"> TOC \o "1-3" \h \z \u </w:instrText>
          </w:r>
          <w:r w:rsidRPr="00AB08B7">
            <w:rPr>
              <w:szCs w:val="22"/>
            </w:rPr>
            <w:fldChar w:fldCharType="separate"/>
          </w:r>
          <w:hyperlink w:anchor="_Toc193387469" w:history="1">
            <w:r w:rsidR="00AB08B7" w:rsidRPr="00366487">
              <w:rPr>
                <w:rStyle w:val="Hipervnculo"/>
                <w:noProof/>
              </w:rPr>
              <w:t>ANTECEDENTES</w:t>
            </w:r>
            <w:r w:rsidR="00AB08B7">
              <w:rPr>
                <w:noProof/>
                <w:webHidden/>
              </w:rPr>
              <w:tab/>
            </w:r>
            <w:r w:rsidR="00AB08B7">
              <w:rPr>
                <w:noProof/>
                <w:webHidden/>
              </w:rPr>
              <w:fldChar w:fldCharType="begin"/>
            </w:r>
            <w:r w:rsidR="00AB08B7">
              <w:rPr>
                <w:noProof/>
                <w:webHidden/>
              </w:rPr>
              <w:instrText xml:space="preserve"> PAGEREF _Toc193387469 \h </w:instrText>
            </w:r>
            <w:r w:rsidR="00AB08B7">
              <w:rPr>
                <w:noProof/>
                <w:webHidden/>
              </w:rPr>
            </w:r>
            <w:r w:rsidR="00AB08B7">
              <w:rPr>
                <w:noProof/>
                <w:webHidden/>
              </w:rPr>
              <w:fldChar w:fldCharType="separate"/>
            </w:r>
            <w:r w:rsidR="00DF77EE">
              <w:rPr>
                <w:noProof/>
                <w:webHidden/>
              </w:rPr>
              <w:t>1</w:t>
            </w:r>
            <w:r w:rsidR="00AB08B7">
              <w:rPr>
                <w:noProof/>
                <w:webHidden/>
              </w:rPr>
              <w:fldChar w:fldCharType="end"/>
            </w:r>
          </w:hyperlink>
        </w:p>
        <w:p w14:paraId="1B45F36A" w14:textId="77777777" w:rsidR="00AB08B7" w:rsidRDefault="003930CE">
          <w:pPr>
            <w:pStyle w:val="TDC2"/>
            <w:rPr>
              <w:rFonts w:asciiTheme="minorHAnsi" w:eastAsiaTheme="minorEastAsia" w:hAnsiTheme="minorHAnsi" w:cstheme="minorBidi"/>
              <w:noProof/>
              <w:szCs w:val="22"/>
              <w:lang w:eastAsia="es-MX"/>
            </w:rPr>
          </w:pPr>
          <w:hyperlink w:anchor="_Toc193387470" w:history="1">
            <w:r w:rsidR="00AB08B7" w:rsidRPr="00366487">
              <w:rPr>
                <w:rStyle w:val="Hipervnculo"/>
                <w:noProof/>
              </w:rPr>
              <w:t>DE LA SOLICITUD DE INFORMACIÓN</w:t>
            </w:r>
            <w:r w:rsidR="00AB08B7">
              <w:rPr>
                <w:noProof/>
                <w:webHidden/>
              </w:rPr>
              <w:tab/>
            </w:r>
            <w:r w:rsidR="00AB08B7">
              <w:rPr>
                <w:noProof/>
                <w:webHidden/>
              </w:rPr>
              <w:fldChar w:fldCharType="begin"/>
            </w:r>
            <w:r w:rsidR="00AB08B7">
              <w:rPr>
                <w:noProof/>
                <w:webHidden/>
              </w:rPr>
              <w:instrText xml:space="preserve"> PAGEREF _Toc193387470 \h </w:instrText>
            </w:r>
            <w:r w:rsidR="00AB08B7">
              <w:rPr>
                <w:noProof/>
                <w:webHidden/>
              </w:rPr>
            </w:r>
            <w:r w:rsidR="00AB08B7">
              <w:rPr>
                <w:noProof/>
                <w:webHidden/>
              </w:rPr>
              <w:fldChar w:fldCharType="separate"/>
            </w:r>
            <w:r w:rsidR="00DF77EE">
              <w:rPr>
                <w:noProof/>
                <w:webHidden/>
              </w:rPr>
              <w:t>1</w:t>
            </w:r>
            <w:r w:rsidR="00AB08B7">
              <w:rPr>
                <w:noProof/>
                <w:webHidden/>
              </w:rPr>
              <w:fldChar w:fldCharType="end"/>
            </w:r>
          </w:hyperlink>
        </w:p>
        <w:p w14:paraId="6597FBC7" w14:textId="77777777" w:rsidR="00AB08B7" w:rsidRDefault="003930CE">
          <w:pPr>
            <w:pStyle w:val="TDC3"/>
            <w:rPr>
              <w:rFonts w:asciiTheme="minorHAnsi" w:eastAsiaTheme="minorEastAsia" w:hAnsiTheme="minorHAnsi" w:cstheme="minorBidi"/>
              <w:noProof/>
              <w:szCs w:val="22"/>
              <w:lang w:eastAsia="es-MX"/>
            </w:rPr>
          </w:pPr>
          <w:hyperlink w:anchor="_Toc193387471" w:history="1">
            <w:r w:rsidR="00AB08B7" w:rsidRPr="00366487">
              <w:rPr>
                <w:rStyle w:val="Hipervnculo"/>
                <w:noProof/>
              </w:rPr>
              <w:t>a) Solicitud de información</w:t>
            </w:r>
            <w:r w:rsidR="00AB08B7">
              <w:rPr>
                <w:noProof/>
                <w:webHidden/>
              </w:rPr>
              <w:tab/>
            </w:r>
            <w:r w:rsidR="00AB08B7">
              <w:rPr>
                <w:noProof/>
                <w:webHidden/>
              </w:rPr>
              <w:fldChar w:fldCharType="begin"/>
            </w:r>
            <w:r w:rsidR="00AB08B7">
              <w:rPr>
                <w:noProof/>
                <w:webHidden/>
              </w:rPr>
              <w:instrText xml:space="preserve"> PAGEREF _Toc193387471 \h </w:instrText>
            </w:r>
            <w:r w:rsidR="00AB08B7">
              <w:rPr>
                <w:noProof/>
                <w:webHidden/>
              </w:rPr>
            </w:r>
            <w:r w:rsidR="00AB08B7">
              <w:rPr>
                <w:noProof/>
                <w:webHidden/>
              </w:rPr>
              <w:fldChar w:fldCharType="separate"/>
            </w:r>
            <w:r w:rsidR="00DF77EE">
              <w:rPr>
                <w:noProof/>
                <w:webHidden/>
              </w:rPr>
              <w:t>1</w:t>
            </w:r>
            <w:r w:rsidR="00AB08B7">
              <w:rPr>
                <w:noProof/>
                <w:webHidden/>
              </w:rPr>
              <w:fldChar w:fldCharType="end"/>
            </w:r>
          </w:hyperlink>
        </w:p>
        <w:p w14:paraId="12A2EC12" w14:textId="77777777" w:rsidR="00AB08B7" w:rsidRDefault="003930CE">
          <w:pPr>
            <w:pStyle w:val="TDC3"/>
            <w:rPr>
              <w:rFonts w:asciiTheme="minorHAnsi" w:eastAsiaTheme="minorEastAsia" w:hAnsiTheme="minorHAnsi" w:cstheme="minorBidi"/>
              <w:noProof/>
              <w:szCs w:val="22"/>
              <w:lang w:eastAsia="es-MX"/>
            </w:rPr>
          </w:pPr>
          <w:hyperlink w:anchor="_Toc193387472" w:history="1">
            <w:r w:rsidR="00AB08B7" w:rsidRPr="00366487">
              <w:rPr>
                <w:rStyle w:val="Hipervnculo"/>
                <w:noProof/>
              </w:rPr>
              <w:t>b) Turno de la solicitud de información</w:t>
            </w:r>
            <w:r w:rsidR="00AB08B7">
              <w:rPr>
                <w:noProof/>
                <w:webHidden/>
              </w:rPr>
              <w:tab/>
            </w:r>
            <w:r w:rsidR="00AB08B7">
              <w:rPr>
                <w:noProof/>
                <w:webHidden/>
              </w:rPr>
              <w:fldChar w:fldCharType="begin"/>
            </w:r>
            <w:r w:rsidR="00AB08B7">
              <w:rPr>
                <w:noProof/>
                <w:webHidden/>
              </w:rPr>
              <w:instrText xml:space="preserve"> PAGEREF _Toc193387472 \h </w:instrText>
            </w:r>
            <w:r w:rsidR="00AB08B7">
              <w:rPr>
                <w:noProof/>
                <w:webHidden/>
              </w:rPr>
            </w:r>
            <w:r w:rsidR="00AB08B7">
              <w:rPr>
                <w:noProof/>
                <w:webHidden/>
              </w:rPr>
              <w:fldChar w:fldCharType="separate"/>
            </w:r>
            <w:r w:rsidR="00DF77EE">
              <w:rPr>
                <w:noProof/>
                <w:webHidden/>
              </w:rPr>
              <w:t>2</w:t>
            </w:r>
            <w:r w:rsidR="00AB08B7">
              <w:rPr>
                <w:noProof/>
                <w:webHidden/>
              </w:rPr>
              <w:fldChar w:fldCharType="end"/>
            </w:r>
          </w:hyperlink>
        </w:p>
        <w:p w14:paraId="0F471BCD" w14:textId="77777777" w:rsidR="00AB08B7" w:rsidRDefault="003930CE">
          <w:pPr>
            <w:pStyle w:val="TDC3"/>
            <w:rPr>
              <w:rFonts w:asciiTheme="minorHAnsi" w:eastAsiaTheme="minorEastAsia" w:hAnsiTheme="minorHAnsi" w:cstheme="minorBidi"/>
              <w:noProof/>
              <w:szCs w:val="22"/>
              <w:lang w:eastAsia="es-MX"/>
            </w:rPr>
          </w:pPr>
          <w:hyperlink w:anchor="_Toc193387473" w:history="1">
            <w:r w:rsidR="00AB08B7" w:rsidRPr="00366487">
              <w:rPr>
                <w:rStyle w:val="Hipervnculo"/>
                <w:noProof/>
                <w:lang w:val="es-ES"/>
              </w:rPr>
              <w:t xml:space="preserve">c) Respuesta </w:t>
            </w:r>
            <w:r w:rsidR="00AB08B7" w:rsidRPr="00366487">
              <w:rPr>
                <w:rStyle w:val="Hipervnculo"/>
                <w:rFonts w:eastAsia="Calibri"/>
                <w:noProof/>
                <w:lang w:eastAsia="en-US"/>
              </w:rPr>
              <w:t>del Sujeto Obligado</w:t>
            </w:r>
            <w:r w:rsidR="00AB08B7">
              <w:rPr>
                <w:noProof/>
                <w:webHidden/>
              </w:rPr>
              <w:tab/>
            </w:r>
            <w:r w:rsidR="00AB08B7">
              <w:rPr>
                <w:noProof/>
                <w:webHidden/>
              </w:rPr>
              <w:fldChar w:fldCharType="begin"/>
            </w:r>
            <w:r w:rsidR="00AB08B7">
              <w:rPr>
                <w:noProof/>
                <w:webHidden/>
              </w:rPr>
              <w:instrText xml:space="preserve"> PAGEREF _Toc193387473 \h </w:instrText>
            </w:r>
            <w:r w:rsidR="00AB08B7">
              <w:rPr>
                <w:noProof/>
                <w:webHidden/>
              </w:rPr>
            </w:r>
            <w:r w:rsidR="00AB08B7">
              <w:rPr>
                <w:noProof/>
                <w:webHidden/>
              </w:rPr>
              <w:fldChar w:fldCharType="separate"/>
            </w:r>
            <w:r w:rsidR="00DF77EE">
              <w:rPr>
                <w:noProof/>
                <w:webHidden/>
              </w:rPr>
              <w:t>2</w:t>
            </w:r>
            <w:r w:rsidR="00AB08B7">
              <w:rPr>
                <w:noProof/>
                <w:webHidden/>
              </w:rPr>
              <w:fldChar w:fldCharType="end"/>
            </w:r>
          </w:hyperlink>
        </w:p>
        <w:p w14:paraId="36022FDC" w14:textId="77777777" w:rsidR="00AB08B7" w:rsidRDefault="003930CE">
          <w:pPr>
            <w:pStyle w:val="TDC2"/>
            <w:rPr>
              <w:rFonts w:asciiTheme="minorHAnsi" w:eastAsiaTheme="minorEastAsia" w:hAnsiTheme="minorHAnsi" w:cstheme="minorBidi"/>
              <w:noProof/>
              <w:szCs w:val="22"/>
              <w:lang w:eastAsia="es-MX"/>
            </w:rPr>
          </w:pPr>
          <w:hyperlink w:anchor="_Toc193387474" w:history="1">
            <w:r w:rsidR="00AB08B7" w:rsidRPr="00366487">
              <w:rPr>
                <w:rStyle w:val="Hipervnculo"/>
                <w:noProof/>
              </w:rPr>
              <w:t>DEL RECURSO DE REVISIÓN</w:t>
            </w:r>
            <w:r w:rsidR="00AB08B7">
              <w:rPr>
                <w:noProof/>
                <w:webHidden/>
              </w:rPr>
              <w:tab/>
            </w:r>
            <w:r w:rsidR="00AB08B7">
              <w:rPr>
                <w:noProof/>
                <w:webHidden/>
              </w:rPr>
              <w:fldChar w:fldCharType="begin"/>
            </w:r>
            <w:r w:rsidR="00AB08B7">
              <w:rPr>
                <w:noProof/>
                <w:webHidden/>
              </w:rPr>
              <w:instrText xml:space="preserve"> PAGEREF _Toc193387474 \h </w:instrText>
            </w:r>
            <w:r w:rsidR="00AB08B7">
              <w:rPr>
                <w:noProof/>
                <w:webHidden/>
              </w:rPr>
            </w:r>
            <w:r w:rsidR="00AB08B7">
              <w:rPr>
                <w:noProof/>
                <w:webHidden/>
              </w:rPr>
              <w:fldChar w:fldCharType="separate"/>
            </w:r>
            <w:r w:rsidR="00DF77EE">
              <w:rPr>
                <w:noProof/>
                <w:webHidden/>
              </w:rPr>
              <w:t>3</w:t>
            </w:r>
            <w:r w:rsidR="00AB08B7">
              <w:rPr>
                <w:noProof/>
                <w:webHidden/>
              </w:rPr>
              <w:fldChar w:fldCharType="end"/>
            </w:r>
          </w:hyperlink>
        </w:p>
        <w:p w14:paraId="0CF2E118" w14:textId="77777777" w:rsidR="00AB08B7" w:rsidRDefault="003930CE">
          <w:pPr>
            <w:pStyle w:val="TDC3"/>
            <w:rPr>
              <w:rFonts w:asciiTheme="minorHAnsi" w:eastAsiaTheme="minorEastAsia" w:hAnsiTheme="minorHAnsi" w:cstheme="minorBidi"/>
              <w:noProof/>
              <w:szCs w:val="22"/>
              <w:lang w:eastAsia="es-MX"/>
            </w:rPr>
          </w:pPr>
          <w:hyperlink w:anchor="_Toc193387475" w:history="1">
            <w:r w:rsidR="00AB08B7" w:rsidRPr="00366487">
              <w:rPr>
                <w:rStyle w:val="Hipervnculo"/>
                <w:noProof/>
              </w:rPr>
              <w:t>a) Interposición del Recurso de Revisión</w:t>
            </w:r>
            <w:r w:rsidR="00AB08B7">
              <w:rPr>
                <w:noProof/>
                <w:webHidden/>
              </w:rPr>
              <w:tab/>
            </w:r>
            <w:r w:rsidR="00AB08B7">
              <w:rPr>
                <w:noProof/>
                <w:webHidden/>
              </w:rPr>
              <w:fldChar w:fldCharType="begin"/>
            </w:r>
            <w:r w:rsidR="00AB08B7">
              <w:rPr>
                <w:noProof/>
                <w:webHidden/>
              </w:rPr>
              <w:instrText xml:space="preserve"> PAGEREF _Toc193387475 \h </w:instrText>
            </w:r>
            <w:r w:rsidR="00AB08B7">
              <w:rPr>
                <w:noProof/>
                <w:webHidden/>
              </w:rPr>
            </w:r>
            <w:r w:rsidR="00AB08B7">
              <w:rPr>
                <w:noProof/>
                <w:webHidden/>
              </w:rPr>
              <w:fldChar w:fldCharType="separate"/>
            </w:r>
            <w:r w:rsidR="00DF77EE">
              <w:rPr>
                <w:noProof/>
                <w:webHidden/>
              </w:rPr>
              <w:t>3</w:t>
            </w:r>
            <w:r w:rsidR="00AB08B7">
              <w:rPr>
                <w:noProof/>
                <w:webHidden/>
              </w:rPr>
              <w:fldChar w:fldCharType="end"/>
            </w:r>
          </w:hyperlink>
        </w:p>
        <w:p w14:paraId="5CB204D9" w14:textId="77777777" w:rsidR="00AB08B7" w:rsidRDefault="003930CE">
          <w:pPr>
            <w:pStyle w:val="TDC3"/>
            <w:rPr>
              <w:rFonts w:asciiTheme="minorHAnsi" w:eastAsiaTheme="minorEastAsia" w:hAnsiTheme="minorHAnsi" w:cstheme="minorBidi"/>
              <w:noProof/>
              <w:szCs w:val="22"/>
              <w:lang w:eastAsia="es-MX"/>
            </w:rPr>
          </w:pPr>
          <w:hyperlink w:anchor="_Toc193387476" w:history="1">
            <w:r w:rsidR="00AB08B7" w:rsidRPr="00366487">
              <w:rPr>
                <w:rStyle w:val="Hipervnculo"/>
                <w:noProof/>
              </w:rPr>
              <w:t>b) Turno del Recurso de Revisión</w:t>
            </w:r>
            <w:r w:rsidR="00AB08B7">
              <w:rPr>
                <w:noProof/>
                <w:webHidden/>
              </w:rPr>
              <w:tab/>
            </w:r>
            <w:r w:rsidR="00AB08B7">
              <w:rPr>
                <w:noProof/>
                <w:webHidden/>
              </w:rPr>
              <w:fldChar w:fldCharType="begin"/>
            </w:r>
            <w:r w:rsidR="00AB08B7">
              <w:rPr>
                <w:noProof/>
                <w:webHidden/>
              </w:rPr>
              <w:instrText xml:space="preserve"> PAGEREF _Toc193387476 \h </w:instrText>
            </w:r>
            <w:r w:rsidR="00AB08B7">
              <w:rPr>
                <w:noProof/>
                <w:webHidden/>
              </w:rPr>
            </w:r>
            <w:r w:rsidR="00AB08B7">
              <w:rPr>
                <w:noProof/>
                <w:webHidden/>
              </w:rPr>
              <w:fldChar w:fldCharType="separate"/>
            </w:r>
            <w:r w:rsidR="00DF77EE">
              <w:rPr>
                <w:noProof/>
                <w:webHidden/>
              </w:rPr>
              <w:t>4</w:t>
            </w:r>
            <w:r w:rsidR="00AB08B7">
              <w:rPr>
                <w:noProof/>
                <w:webHidden/>
              </w:rPr>
              <w:fldChar w:fldCharType="end"/>
            </w:r>
          </w:hyperlink>
        </w:p>
        <w:p w14:paraId="3470DC56" w14:textId="77777777" w:rsidR="00AB08B7" w:rsidRDefault="003930CE">
          <w:pPr>
            <w:pStyle w:val="TDC3"/>
            <w:rPr>
              <w:rFonts w:asciiTheme="minorHAnsi" w:eastAsiaTheme="minorEastAsia" w:hAnsiTheme="minorHAnsi" w:cstheme="minorBidi"/>
              <w:noProof/>
              <w:szCs w:val="22"/>
              <w:lang w:eastAsia="es-MX"/>
            </w:rPr>
          </w:pPr>
          <w:hyperlink w:anchor="_Toc193387477" w:history="1">
            <w:r w:rsidR="00AB08B7" w:rsidRPr="00366487">
              <w:rPr>
                <w:rStyle w:val="Hipervnculo"/>
                <w:noProof/>
              </w:rPr>
              <w:t>c) Admisión del Recurso de Revisión</w:t>
            </w:r>
            <w:r w:rsidR="00AB08B7">
              <w:rPr>
                <w:noProof/>
                <w:webHidden/>
              </w:rPr>
              <w:tab/>
            </w:r>
            <w:r w:rsidR="00AB08B7">
              <w:rPr>
                <w:noProof/>
                <w:webHidden/>
              </w:rPr>
              <w:fldChar w:fldCharType="begin"/>
            </w:r>
            <w:r w:rsidR="00AB08B7">
              <w:rPr>
                <w:noProof/>
                <w:webHidden/>
              </w:rPr>
              <w:instrText xml:space="preserve"> PAGEREF _Toc193387477 \h </w:instrText>
            </w:r>
            <w:r w:rsidR="00AB08B7">
              <w:rPr>
                <w:noProof/>
                <w:webHidden/>
              </w:rPr>
            </w:r>
            <w:r w:rsidR="00AB08B7">
              <w:rPr>
                <w:noProof/>
                <w:webHidden/>
              </w:rPr>
              <w:fldChar w:fldCharType="separate"/>
            </w:r>
            <w:r w:rsidR="00DF77EE">
              <w:rPr>
                <w:noProof/>
                <w:webHidden/>
              </w:rPr>
              <w:t>5</w:t>
            </w:r>
            <w:r w:rsidR="00AB08B7">
              <w:rPr>
                <w:noProof/>
                <w:webHidden/>
              </w:rPr>
              <w:fldChar w:fldCharType="end"/>
            </w:r>
          </w:hyperlink>
        </w:p>
        <w:p w14:paraId="68C1B179" w14:textId="77777777" w:rsidR="00AB08B7" w:rsidRDefault="003930CE">
          <w:pPr>
            <w:pStyle w:val="TDC3"/>
            <w:rPr>
              <w:rFonts w:asciiTheme="minorHAnsi" w:eastAsiaTheme="minorEastAsia" w:hAnsiTheme="minorHAnsi" w:cstheme="minorBidi"/>
              <w:noProof/>
              <w:szCs w:val="22"/>
              <w:lang w:eastAsia="es-MX"/>
            </w:rPr>
          </w:pPr>
          <w:hyperlink w:anchor="_Toc193387478" w:history="1">
            <w:r w:rsidR="00AB08B7" w:rsidRPr="00366487">
              <w:rPr>
                <w:rStyle w:val="Hipervnculo"/>
                <w:noProof/>
              </w:rPr>
              <w:t>d) Informe Justificado del Sujeto Obligado</w:t>
            </w:r>
            <w:r w:rsidR="00AB08B7">
              <w:rPr>
                <w:noProof/>
                <w:webHidden/>
              </w:rPr>
              <w:tab/>
            </w:r>
            <w:r w:rsidR="00AB08B7">
              <w:rPr>
                <w:noProof/>
                <w:webHidden/>
              </w:rPr>
              <w:fldChar w:fldCharType="begin"/>
            </w:r>
            <w:r w:rsidR="00AB08B7">
              <w:rPr>
                <w:noProof/>
                <w:webHidden/>
              </w:rPr>
              <w:instrText xml:space="preserve"> PAGEREF _Toc193387478 \h </w:instrText>
            </w:r>
            <w:r w:rsidR="00AB08B7">
              <w:rPr>
                <w:noProof/>
                <w:webHidden/>
              </w:rPr>
            </w:r>
            <w:r w:rsidR="00AB08B7">
              <w:rPr>
                <w:noProof/>
                <w:webHidden/>
              </w:rPr>
              <w:fldChar w:fldCharType="separate"/>
            </w:r>
            <w:r w:rsidR="00DF77EE">
              <w:rPr>
                <w:noProof/>
                <w:webHidden/>
              </w:rPr>
              <w:t>5</w:t>
            </w:r>
            <w:r w:rsidR="00AB08B7">
              <w:rPr>
                <w:noProof/>
                <w:webHidden/>
              </w:rPr>
              <w:fldChar w:fldCharType="end"/>
            </w:r>
          </w:hyperlink>
        </w:p>
        <w:p w14:paraId="69C24DD0" w14:textId="77777777" w:rsidR="00AB08B7" w:rsidRDefault="003930CE">
          <w:pPr>
            <w:pStyle w:val="TDC3"/>
            <w:rPr>
              <w:rFonts w:asciiTheme="minorHAnsi" w:eastAsiaTheme="minorEastAsia" w:hAnsiTheme="minorHAnsi" w:cstheme="minorBidi"/>
              <w:noProof/>
              <w:szCs w:val="22"/>
              <w:lang w:eastAsia="es-MX"/>
            </w:rPr>
          </w:pPr>
          <w:hyperlink w:anchor="_Toc193387479" w:history="1">
            <w:r w:rsidR="00AB08B7" w:rsidRPr="00366487">
              <w:rPr>
                <w:rStyle w:val="Hipervnculo"/>
                <w:rFonts w:eastAsia="Calibri"/>
                <w:bCs/>
                <w:noProof/>
                <w:lang w:eastAsia="en-US"/>
              </w:rPr>
              <w:t>e)</w:t>
            </w:r>
            <w:r w:rsidR="00AB08B7" w:rsidRPr="00366487">
              <w:rPr>
                <w:rStyle w:val="Hipervnculo"/>
                <w:noProof/>
              </w:rPr>
              <w:t xml:space="preserve"> </w:t>
            </w:r>
            <w:r w:rsidR="00AB08B7" w:rsidRPr="00366487">
              <w:rPr>
                <w:rStyle w:val="Hipervnculo"/>
                <w:noProof/>
                <w:lang w:val="es-ES"/>
              </w:rPr>
              <w:t>Manifestaciones de la Parte Recurrente</w:t>
            </w:r>
            <w:r w:rsidR="00AB08B7">
              <w:rPr>
                <w:noProof/>
                <w:webHidden/>
              </w:rPr>
              <w:tab/>
            </w:r>
            <w:r w:rsidR="00AB08B7">
              <w:rPr>
                <w:noProof/>
                <w:webHidden/>
              </w:rPr>
              <w:fldChar w:fldCharType="begin"/>
            </w:r>
            <w:r w:rsidR="00AB08B7">
              <w:rPr>
                <w:noProof/>
                <w:webHidden/>
              </w:rPr>
              <w:instrText xml:space="preserve"> PAGEREF _Toc193387479 \h </w:instrText>
            </w:r>
            <w:r w:rsidR="00AB08B7">
              <w:rPr>
                <w:noProof/>
                <w:webHidden/>
              </w:rPr>
            </w:r>
            <w:r w:rsidR="00AB08B7">
              <w:rPr>
                <w:noProof/>
                <w:webHidden/>
              </w:rPr>
              <w:fldChar w:fldCharType="separate"/>
            </w:r>
            <w:r w:rsidR="00DF77EE">
              <w:rPr>
                <w:noProof/>
                <w:webHidden/>
              </w:rPr>
              <w:t>5</w:t>
            </w:r>
            <w:r w:rsidR="00AB08B7">
              <w:rPr>
                <w:noProof/>
                <w:webHidden/>
              </w:rPr>
              <w:fldChar w:fldCharType="end"/>
            </w:r>
          </w:hyperlink>
        </w:p>
        <w:p w14:paraId="5E30231D" w14:textId="77777777" w:rsidR="00AB08B7" w:rsidRDefault="003930CE">
          <w:pPr>
            <w:pStyle w:val="TDC3"/>
            <w:rPr>
              <w:rFonts w:asciiTheme="minorHAnsi" w:eastAsiaTheme="minorEastAsia" w:hAnsiTheme="minorHAnsi" w:cstheme="minorBidi"/>
              <w:noProof/>
              <w:szCs w:val="22"/>
              <w:lang w:eastAsia="es-MX"/>
            </w:rPr>
          </w:pPr>
          <w:hyperlink w:anchor="_Toc193387480" w:history="1">
            <w:r w:rsidR="00AB08B7" w:rsidRPr="00366487">
              <w:rPr>
                <w:rStyle w:val="Hipervnculo"/>
                <w:noProof/>
              </w:rPr>
              <w:t>f) Cierre de instrucción</w:t>
            </w:r>
            <w:r w:rsidR="00AB08B7">
              <w:rPr>
                <w:noProof/>
                <w:webHidden/>
              </w:rPr>
              <w:tab/>
            </w:r>
            <w:r w:rsidR="00AB08B7">
              <w:rPr>
                <w:noProof/>
                <w:webHidden/>
              </w:rPr>
              <w:fldChar w:fldCharType="begin"/>
            </w:r>
            <w:r w:rsidR="00AB08B7">
              <w:rPr>
                <w:noProof/>
                <w:webHidden/>
              </w:rPr>
              <w:instrText xml:space="preserve"> PAGEREF _Toc193387480 \h </w:instrText>
            </w:r>
            <w:r w:rsidR="00AB08B7">
              <w:rPr>
                <w:noProof/>
                <w:webHidden/>
              </w:rPr>
            </w:r>
            <w:r w:rsidR="00AB08B7">
              <w:rPr>
                <w:noProof/>
                <w:webHidden/>
              </w:rPr>
              <w:fldChar w:fldCharType="separate"/>
            </w:r>
            <w:r w:rsidR="00DF77EE">
              <w:rPr>
                <w:noProof/>
                <w:webHidden/>
              </w:rPr>
              <w:t>5</w:t>
            </w:r>
            <w:r w:rsidR="00AB08B7">
              <w:rPr>
                <w:noProof/>
                <w:webHidden/>
              </w:rPr>
              <w:fldChar w:fldCharType="end"/>
            </w:r>
          </w:hyperlink>
        </w:p>
        <w:p w14:paraId="77C007B8" w14:textId="77777777" w:rsidR="00AB08B7" w:rsidRDefault="003930CE">
          <w:pPr>
            <w:pStyle w:val="TDC1"/>
            <w:tabs>
              <w:tab w:val="right" w:leader="dot" w:pos="9034"/>
            </w:tabs>
            <w:rPr>
              <w:rFonts w:asciiTheme="minorHAnsi" w:eastAsiaTheme="minorEastAsia" w:hAnsiTheme="minorHAnsi" w:cstheme="minorBidi"/>
              <w:noProof/>
              <w:szCs w:val="22"/>
              <w:lang w:eastAsia="es-MX"/>
            </w:rPr>
          </w:pPr>
          <w:hyperlink w:anchor="_Toc193387481" w:history="1">
            <w:r w:rsidR="00AB08B7" w:rsidRPr="00366487">
              <w:rPr>
                <w:rStyle w:val="Hipervnculo"/>
                <w:rFonts w:eastAsiaTheme="minorHAnsi"/>
                <w:noProof/>
                <w:lang w:eastAsia="en-US"/>
              </w:rPr>
              <w:t>CONSIDERANDOS</w:t>
            </w:r>
            <w:r w:rsidR="00AB08B7">
              <w:rPr>
                <w:noProof/>
                <w:webHidden/>
              </w:rPr>
              <w:tab/>
            </w:r>
            <w:r w:rsidR="00AB08B7">
              <w:rPr>
                <w:noProof/>
                <w:webHidden/>
              </w:rPr>
              <w:fldChar w:fldCharType="begin"/>
            </w:r>
            <w:r w:rsidR="00AB08B7">
              <w:rPr>
                <w:noProof/>
                <w:webHidden/>
              </w:rPr>
              <w:instrText xml:space="preserve"> PAGEREF _Toc193387481 \h </w:instrText>
            </w:r>
            <w:r w:rsidR="00AB08B7">
              <w:rPr>
                <w:noProof/>
                <w:webHidden/>
              </w:rPr>
            </w:r>
            <w:r w:rsidR="00AB08B7">
              <w:rPr>
                <w:noProof/>
                <w:webHidden/>
              </w:rPr>
              <w:fldChar w:fldCharType="separate"/>
            </w:r>
            <w:r w:rsidR="00DF77EE">
              <w:rPr>
                <w:noProof/>
                <w:webHidden/>
              </w:rPr>
              <w:t>6</w:t>
            </w:r>
            <w:r w:rsidR="00AB08B7">
              <w:rPr>
                <w:noProof/>
                <w:webHidden/>
              </w:rPr>
              <w:fldChar w:fldCharType="end"/>
            </w:r>
          </w:hyperlink>
        </w:p>
        <w:p w14:paraId="1CF5052C" w14:textId="77777777" w:rsidR="00AB08B7" w:rsidRDefault="003930CE">
          <w:pPr>
            <w:pStyle w:val="TDC2"/>
            <w:rPr>
              <w:rFonts w:asciiTheme="minorHAnsi" w:eastAsiaTheme="minorEastAsia" w:hAnsiTheme="minorHAnsi" w:cstheme="minorBidi"/>
              <w:noProof/>
              <w:szCs w:val="22"/>
              <w:lang w:eastAsia="es-MX"/>
            </w:rPr>
          </w:pPr>
          <w:hyperlink w:anchor="_Toc193387482" w:history="1">
            <w:r w:rsidR="00AB08B7" w:rsidRPr="00366487">
              <w:rPr>
                <w:rStyle w:val="Hipervnculo"/>
                <w:rFonts w:eastAsia="Batang"/>
                <w:noProof/>
              </w:rPr>
              <w:t>PRIMERO. Procedibilidad</w:t>
            </w:r>
            <w:r w:rsidR="00AB08B7">
              <w:rPr>
                <w:noProof/>
                <w:webHidden/>
              </w:rPr>
              <w:tab/>
            </w:r>
            <w:r w:rsidR="00AB08B7">
              <w:rPr>
                <w:noProof/>
                <w:webHidden/>
              </w:rPr>
              <w:fldChar w:fldCharType="begin"/>
            </w:r>
            <w:r w:rsidR="00AB08B7">
              <w:rPr>
                <w:noProof/>
                <w:webHidden/>
              </w:rPr>
              <w:instrText xml:space="preserve"> PAGEREF _Toc193387482 \h </w:instrText>
            </w:r>
            <w:r w:rsidR="00AB08B7">
              <w:rPr>
                <w:noProof/>
                <w:webHidden/>
              </w:rPr>
            </w:r>
            <w:r w:rsidR="00AB08B7">
              <w:rPr>
                <w:noProof/>
                <w:webHidden/>
              </w:rPr>
              <w:fldChar w:fldCharType="separate"/>
            </w:r>
            <w:r w:rsidR="00DF77EE">
              <w:rPr>
                <w:noProof/>
                <w:webHidden/>
              </w:rPr>
              <w:t>6</w:t>
            </w:r>
            <w:r w:rsidR="00AB08B7">
              <w:rPr>
                <w:noProof/>
                <w:webHidden/>
              </w:rPr>
              <w:fldChar w:fldCharType="end"/>
            </w:r>
          </w:hyperlink>
        </w:p>
        <w:p w14:paraId="7ED42F0A" w14:textId="77777777" w:rsidR="00AB08B7" w:rsidRDefault="003930CE">
          <w:pPr>
            <w:pStyle w:val="TDC3"/>
            <w:rPr>
              <w:rFonts w:asciiTheme="minorHAnsi" w:eastAsiaTheme="minorEastAsia" w:hAnsiTheme="minorHAnsi" w:cstheme="minorBidi"/>
              <w:noProof/>
              <w:szCs w:val="22"/>
              <w:lang w:eastAsia="es-MX"/>
            </w:rPr>
          </w:pPr>
          <w:hyperlink w:anchor="_Toc193387483" w:history="1">
            <w:r w:rsidR="00AB08B7" w:rsidRPr="00366487">
              <w:rPr>
                <w:rStyle w:val="Hipervnculo"/>
                <w:noProof/>
              </w:rPr>
              <w:t>a) Competencia del Instituto</w:t>
            </w:r>
            <w:r w:rsidR="00AB08B7">
              <w:rPr>
                <w:noProof/>
                <w:webHidden/>
              </w:rPr>
              <w:tab/>
            </w:r>
            <w:r w:rsidR="00AB08B7">
              <w:rPr>
                <w:noProof/>
                <w:webHidden/>
              </w:rPr>
              <w:fldChar w:fldCharType="begin"/>
            </w:r>
            <w:r w:rsidR="00AB08B7">
              <w:rPr>
                <w:noProof/>
                <w:webHidden/>
              </w:rPr>
              <w:instrText xml:space="preserve"> PAGEREF _Toc193387483 \h </w:instrText>
            </w:r>
            <w:r w:rsidR="00AB08B7">
              <w:rPr>
                <w:noProof/>
                <w:webHidden/>
              </w:rPr>
            </w:r>
            <w:r w:rsidR="00AB08B7">
              <w:rPr>
                <w:noProof/>
                <w:webHidden/>
              </w:rPr>
              <w:fldChar w:fldCharType="separate"/>
            </w:r>
            <w:r w:rsidR="00DF77EE">
              <w:rPr>
                <w:noProof/>
                <w:webHidden/>
              </w:rPr>
              <w:t>6</w:t>
            </w:r>
            <w:r w:rsidR="00AB08B7">
              <w:rPr>
                <w:noProof/>
                <w:webHidden/>
              </w:rPr>
              <w:fldChar w:fldCharType="end"/>
            </w:r>
          </w:hyperlink>
        </w:p>
        <w:p w14:paraId="2D1D8C78" w14:textId="77777777" w:rsidR="00AB08B7" w:rsidRDefault="003930CE">
          <w:pPr>
            <w:pStyle w:val="TDC3"/>
            <w:rPr>
              <w:rFonts w:asciiTheme="minorHAnsi" w:eastAsiaTheme="minorEastAsia" w:hAnsiTheme="minorHAnsi" w:cstheme="minorBidi"/>
              <w:noProof/>
              <w:szCs w:val="22"/>
              <w:lang w:eastAsia="es-MX"/>
            </w:rPr>
          </w:pPr>
          <w:hyperlink w:anchor="_Toc193387484" w:history="1">
            <w:r w:rsidR="00AB08B7" w:rsidRPr="00366487">
              <w:rPr>
                <w:rStyle w:val="Hipervnculo"/>
                <w:noProof/>
              </w:rPr>
              <w:t>b) Legitimidad de la parte recurrente</w:t>
            </w:r>
            <w:r w:rsidR="00AB08B7">
              <w:rPr>
                <w:noProof/>
                <w:webHidden/>
              </w:rPr>
              <w:tab/>
            </w:r>
            <w:r w:rsidR="00AB08B7">
              <w:rPr>
                <w:noProof/>
                <w:webHidden/>
              </w:rPr>
              <w:fldChar w:fldCharType="begin"/>
            </w:r>
            <w:r w:rsidR="00AB08B7">
              <w:rPr>
                <w:noProof/>
                <w:webHidden/>
              </w:rPr>
              <w:instrText xml:space="preserve"> PAGEREF _Toc193387484 \h </w:instrText>
            </w:r>
            <w:r w:rsidR="00AB08B7">
              <w:rPr>
                <w:noProof/>
                <w:webHidden/>
              </w:rPr>
            </w:r>
            <w:r w:rsidR="00AB08B7">
              <w:rPr>
                <w:noProof/>
                <w:webHidden/>
              </w:rPr>
              <w:fldChar w:fldCharType="separate"/>
            </w:r>
            <w:r w:rsidR="00DF77EE">
              <w:rPr>
                <w:noProof/>
                <w:webHidden/>
              </w:rPr>
              <w:t>6</w:t>
            </w:r>
            <w:r w:rsidR="00AB08B7">
              <w:rPr>
                <w:noProof/>
                <w:webHidden/>
              </w:rPr>
              <w:fldChar w:fldCharType="end"/>
            </w:r>
          </w:hyperlink>
        </w:p>
        <w:p w14:paraId="61A2988E" w14:textId="77777777" w:rsidR="00AB08B7" w:rsidRDefault="003930CE">
          <w:pPr>
            <w:pStyle w:val="TDC3"/>
            <w:rPr>
              <w:rFonts w:asciiTheme="minorHAnsi" w:eastAsiaTheme="minorEastAsia" w:hAnsiTheme="minorHAnsi" w:cstheme="minorBidi"/>
              <w:noProof/>
              <w:szCs w:val="22"/>
              <w:lang w:eastAsia="es-MX"/>
            </w:rPr>
          </w:pPr>
          <w:hyperlink w:anchor="_Toc193387485" w:history="1">
            <w:r w:rsidR="00AB08B7" w:rsidRPr="00366487">
              <w:rPr>
                <w:rStyle w:val="Hipervnculo"/>
                <w:rFonts w:eastAsia="Calibri"/>
                <w:noProof/>
                <w:lang w:eastAsia="es-ES_tradnl"/>
              </w:rPr>
              <w:t>c) Plazo para interponer el recurso</w:t>
            </w:r>
            <w:r w:rsidR="00AB08B7">
              <w:rPr>
                <w:noProof/>
                <w:webHidden/>
              </w:rPr>
              <w:tab/>
            </w:r>
            <w:r w:rsidR="00AB08B7">
              <w:rPr>
                <w:noProof/>
                <w:webHidden/>
              </w:rPr>
              <w:fldChar w:fldCharType="begin"/>
            </w:r>
            <w:r w:rsidR="00AB08B7">
              <w:rPr>
                <w:noProof/>
                <w:webHidden/>
              </w:rPr>
              <w:instrText xml:space="preserve"> PAGEREF _Toc193387485 \h </w:instrText>
            </w:r>
            <w:r w:rsidR="00AB08B7">
              <w:rPr>
                <w:noProof/>
                <w:webHidden/>
              </w:rPr>
            </w:r>
            <w:r w:rsidR="00AB08B7">
              <w:rPr>
                <w:noProof/>
                <w:webHidden/>
              </w:rPr>
              <w:fldChar w:fldCharType="separate"/>
            </w:r>
            <w:r w:rsidR="00DF77EE">
              <w:rPr>
                <w:noProof/>
                <w:webHidden/>
              </w:rPr>
              <w:t>6</w:t>
            </w:r>
            <w:r w:rsidR="00AB08B7">
              <w:rPr>
                <w:noProof/>
                <w:webHidden/>
              </w:rPr>
              <w:fldChar w:fldCharType="end"/>
            </w:r>
          </w:hyperlink>
        </w:p>
        <w:p w14:paraId="35C36BEF" w14:textId="77777777" w:rsidR="00AB08B7" w:rsidRDefault="003930CE">
          <w:pPr>
            <w:pStyle w:val="TDC3"/>
            <w:rPr>
              <w:rFonts w:asciiTheme="minorHAnsi" w:eastAsiaTheme="minorEastAsia" w:hAnsiTheme="minorHAnsi" w:cstheme="minorBidi"/>
              <w:noProof/>
              <w:szCs w:val="22"/>
              <w:lang w:eastAsia="es-MX"/>
            </w:rPr>
          </w:pPr>
          <w:hyperlink w:anchor="_Toc193387486" w:history="1">
            <w:r w:rsidR="00AB08B7" w:rsidRPr="00366487">
              <w:rPr>
                <w:rStyle w:val="Hipervnculo"/>
                <w:rFonts w:eastAsia="Calibri"/>
                <w:noProof/>
                <w:lang w:eastAsia="es-ES_tradnl"/>
              </w:rPr>
              <w:t>d) Causal de Procedencia</w:t>
            </w:r>
            <w:r w:rsidR="00AB08B7">
              <w:rPr>
                <w:noProof/>
                <w:webHidden/>
              </w:rPr>
              <w:tab/>
            </w:r>
            <w:r w:rsidR="00AB08B7">
              <w:rPr>
                <w:noProof/>
                <w:webHidden/>
              </w:rPr>
              <w:fldChar w:fldCharType="begin"/>
            </w:r>
            <w:r w:rsidR="00AB08B7">
              <w:rPr>
                <w:noProof/>
                <w:webHidden/>
              </w:rPr>
              <w:instrText xml:space="preserve"> PAGEREF _Toc193387486 \h </w:instrText>
            </w:r>
            <w:r w:rsidR="00AB08B7">
              <w:rPr>
                <w:noProof/>
                <w:webHidden/>
              </w:rPr>
            </w:r>
            <w:r w:rsidR="00AB08B7">
              <w:rPr>
                <w:noProof/>
                <w:webHidden/>
              </w:rPr>
              <w:fldChar w:fldCharType="separate"/>
            </w:r>
            <w:r w:rsidR="00DF77EE">
              <w:rPr>
                <w:noProof/>
                <w:webHidden/>
              </w:rPr>
              <w:t>8</w:t>
            </w:r>
            <w:r w:rsidR="00AB08B7">
              <w:rPr>
                <w:noProof/>
                <w:webHidden/>
              </w:rPr>
              <w:fldChar w:fldCharType="end"/>
            </w:r>
          </w:hyperlink>
        </w:p>
        <w:p w14:paraId="25107C54" w14:textId="77777777" w:rsidR="00AB08B7" w:rsidRDefault="003930CE">
          <w:pPr>
            <w:pStyle w:val="TDC3"/>
            <w:rPr>
              <w:rFonts w:asciiTheme="minorHAnsi" w:eastAsiaTheme="minorEastAsia" w:hAnsiTheme="minorHAnsi" w:cstheme="minorBidi"/>
              <w:noProof/>
              <w:szCs w:val="22"/>
              <w:lang w:eastAsia="es-MX"/>
            </w:rPr>
          </w:pPr>
          <w:hyperlink w:anchor="_Toc193387487" w:history="1">
            <w:r w:rsidR="00AB08B7" w:rsidRPr="00366487">
              <w:rPr>
                <w:rStyle w:val="Hipervnculo"/>
                <w:noProof/>
              </w:rPr>
              <w:t>e) Requisitos formales para la interposición del recurso</w:t>
            </w:r>
            <w:r w:rsidR="00AB08B7">
              <w:rPr>
                <w:noProof/>
                <w:webHidden/>
              </w:rPr>
              <w:tab/>
            </w:r>
            <w:r w:rsidR="00AB08B7">
              <w:rPr>
                <w:noProof/>
                <w:webHidden/>
              </w:rPr>
              <w:fldChar w:fldCharType="begin"/>
            </w:r>
            <w:r w:rsidR="00AB08B7">
              <w:rPr>
                <w:noProof/>
                <w:webHidden/>
              </w:rPr>
              <w:instrText xml:space="preserve"> PAGEREF _Toc193387487 \h </w:instrText>
            </w:r>
            <w:r w:rsidR="00AB08B7">
              <w:rPr>
                <w:noProof/>
                <w:webHidden/>
              </w:rPr>
            </w:r>
            <w:r w:rsidR="00AB08B7">
              <w:rPr>
                <w:noProof/>
                <w:webHidden/>
              </w:rPr>
              <w:fldChar w:fldCharType="separate"/>
            </w:r>
            <w:r w:rsidR="00DF77EE">
              <w:rPr>
                <w:noProof/>
                <w:webHidden/>
              </w:rPr>
              <w:t>8</w:t>
            </w:r>
            <w:r w:rsidR="00AB08B7">
              <w:rPr>
                <w:noProof/>
                <w:webHidden/>
              </w:rPr>
              <w:fldChar w:fldCharType="end"/>
            </w:r>
          </w:hyperlink>
        </w:p>
        <w:p w14:paraId="047E6774" w14:textId="77777777" w:rsidR="00AB08B7" w:rsidRDefault="003930CE">
          <w:pPr>
            <w:pStyle w:val="TDC2"/>
            <w:rPr>
              <w:rFonts w:asciiTheme="minorHAnsi" w:eastAsiaTheme="minorEastAsia" w:hAnsiTheme="minorHAnsi" w:cstheme="minorBidi"/>
              <w:noProof/>
              <w:szCs w:val="22"/>
              <w:lang w:eastAsia="es-MX"/>
            </w:rPr>
          </w:pPr>
          <w:hyperlink w:anchor="_Toc193387488" w:history="1">
            <w:r w:rsidR="00AB08B7" w:rsidRPr="00366487">
              <w:rPr>
                <w:rStyle w:val="Hipervnculo"/>
                <w:noProof/>
              </w:rPr>
              <w:t>SEGUNDO. Estudio de Fondo</w:t>
            </w:r>
            <w:r w:rsidR="00AB08B7">
              <w:rPr>
                <w:noProof/>
                <w:webHidden/>
              </w:rPr>
              <w:tab/>
            </w:r>
            <w:r w:rsidR="00AB08B7">
              <w:rPr>
                <w:noProof/>
                <w:webHidden/>
              </w:rPr>
              <w:fldChar w:fldCharType="begin"/>
            </w:r>
            <w:r w:rsidR="00AB08B7">
              <w:rPr>
                <w:noProof/>
                <w:webHidden/>
              </w:rPr>
              <w:instrText xml:space="preserve"> PAGEREF _Toc193387488 \h </w:instrText>
            </w:r>
            <w:r w:rsidR="00AB08B7">
              <w:rPr>
                <w:noProof/>
                <w:webHidden/>
              </w:rPr>
            </w:r>
            <w:r w:rsidR="00AB08B7">
              <w:rPr>
                <w:noProof/>
                <w:webHidden/>
              </w:rPr>
              <w:fldChar w:fldCharType="separate"/>
            </w:r>
            <w:r w:rsidR="00DF77EE">
              <w:rPr>
                <w:noProof/>
                <w:webHidden/>
              </w:rPr>
              <w:t>8</w:t>
            </w:r>
            <w:r w:rsidR="00AB08B7">
              <w:rPr>
                <w:noProof/>
                <w:webHidden/>
              </w:rPr>
              <w:fldChar w:fldCharType="end"/>
            </w:r>
          </w:hyperlink>
        </w:p>
        <w:p w14:paraId="005384D1" w14:textId="77777777" w:rsidR="00AB08B7" w:rsidRDefault="003930CE">
          <w:pPr>
            <w:pStyle w:val="TDC3"/>
            <w:rPr>
              <w:rFonts w:asciiTheme="minorHAnsi" w:eastAsiaTheme="minorEastAsia" w:hAnsiTheme="minorHAnsi" w:cstheme="minorBidi"/>
              <w:noProof/>
              <w:szCs w:val="22"/>
              <w:lang w:eastAsia="es-MX"/>
            </w:rPr>
          </w:pPr>
          <w:hyperlink w:anchor="_Toc193387489" w:history="1">
            <w:r w:rsidR="00AB08B7" w:rsidRPr="00366487">
              <w:rPr>
                <w:rStyle w:val="Hipervnculo"/>
                <w:noProof/>
              </w:rPr>
              <w:t>a) Mandato de transparencia y responsabilidad del Sujeto Obligado</w:t>
            </w:r>
            <w:r w:rsidR="00AB08B7">
              <w:rPr>
                <w:noProof/>
                <w:webHidden/>
              </w:rPr>
              <w:tab/>
            </w:r>
            <w:r w:rsidR="00AB08B7">
              <w:rPr>
                <w:noProof/>
                <w:webHidden/>
              </w:rPr>
              <w:fldChar w:fldCharType="begin"/>
            </w:r>
            <w:r w:rsidR="00AB08B7">
              <w:rPr>
                <w:noProof/>
                <w:webHidden/>
              </w:rPr>
              <w:instrText xml:space="preserve"> PAGEREF _Toc193387489 \h </w:instrText>
            </w:r>
            <w:r w:rsidR="00AB08B7">
              <w:rPr>
                <w:noProof/>
                <w:webHidden/>
              </w:rPr>
            </w:r>
            <w:r w:rsidR="00AB08B7">
              <w:rPr>
                <w:noProof/>
                <w:webHidden/>
              </w:rPr>
              <w:fldChar w:fldCharType="separate"/>
            </w:r>
            <w:r w:rsidR="00DF77EE">
              <w:rPr>
                <w:noProof/>
                <w:webHidden/>
              </w:rPr>
              <w:t>8</w:t>
            </w:r>
            <w:r w:rsidR="00AB08B7">
              <w:rPr>
                <w:noProof/>
                <w:webHidden/>
              </w:rPr>
              <w:fldChar w:fldCharType="end"/>
            </w:r>
          </w:hyperlink>
        </w:p>
        <w:p w14:paraId="1F1AF7D5" w14:textId="77777777" w:rsidR="00AB08B7" w:rsidRDefault="003930CE">
          <w:pPr>
            <w:pStyle w:val="TDC3"/>
            <w:rPr>
              <w:rFonts w:asciiTheme="minorHAnsi" w:eastAsiaTheme="minorEastAsia" w:hAnsiTheme="minorHAnsi" w:cstheme="minorBidi"/>
              <w:noProof/>
              <w:szCs w:val="22"/>
              <w:lang w:eastAsia="es-MX"/>
            </w:rPr>
          </w:pPr>
          <w:hyperlink w:anchor="_Toc193387490" w:history="1">
            <w:r w:rsidR="00AB08B7" w:rsidRPr="00366487">
              <w:rPr>
                <w:rStyle w:val="Hipervnculo"/>
                <w:rFonts w:eastAsia="Calibri"/>
                <w:noProof/>
                <w:lang w:eastAsia="es-ES_tradnl"/>
              </w:rPr>
              <w:t>b) Controversia a resolver</w:t>
            </w:r>
            <w:r w:rsidR="00AB08B7">
              <w:rPr>
                <w:noProof/>
                <w:webHidden/>
              </w:rPr>
              <w:tab/>
            </w:r>
            <w:r w:rsidR="00AB08B7">
              <w:rPr>
                <w:noProof/>
                <w:webHidden/>
              </w:rPr>
              <w:fldChar w:fldCharType="begin"/>
            </w:r>
            <w:r w:rsidR="00AB08B7">
              <w:rPr>
                <w:noProof/>
                <w:webHidden/>
              </w:rPr>
              <w:instrText xml:space="preserve"> PAGEREF _Toc193387490 \h </w:instrText>
            </w:r>
            <w:r w:rsidR="00AB08B7">
              <w:rPr>
                <w:noProof/>
                <w:webHidden/>
              </w:rPr>
            </w:r>
            <w:r w:rsidR="00AB08B7">
              <w:rPr>
                <w:noProof/>
                <w:webHidden/>
              </w:rPr>
              <w:fldChar w:fldCharType="separate"/>
            </w:r>
            <w:r w:rsidR="00DF77EE">
              <w:rPr>
                <w:noProof/>
                <w:webHidden/>
              </w:rPr>
              <w:t>11</w:t>
            </w:r>
            <w:r w:rsidR="00AB08B7">
              <w:rPr>
                <w:noProof/>
                <w:webHidden/>
              </w:rPr>
              <w:fldChar w:fldCharType="end"/>
            </w:r>
          </w:hyperlink>
        </w:p>
        <w:p w14:paraId="68A258CE" w14:textId="77777777" w:rsidR="00AB08B7" w:rsidRDefault="003930CE">
          <w:pPr>
            <w:pStyle w:val="TDC3"/>
            <w:rPr>
              <w:rFonts w:asciiTheme="minorHAnsi" w:eastAsiaTheme="minorEastAsia" w:hAnsiTheme="minorHAnsi" w:cstheme="minorBidi"/>
              <w:noProof/>
              <w:szCs w:val="22"/>
              <w:lang w:eastAsia="es-MX"/>
            </w:rPr>
          </w:pPr>
          <w:hyperlink w:anchor="_Toc193387491" w:history="1">
            <w:r w:rsidR="00AB08B7" w:rsidRPr="00366487">
              <w:rPr>
                <w:rStyle w:val="Hipervnculo"/>
                <w:noProof/>
              </w:rPr>
              <w:t>c) Estudio de la controversia</w:t>
            </w:r>
            <w:r w:rsidR="00AB08B7">
              <w:rPr>
                <w:noProof/>
                <w:webHidden/>
              </w:rPr>
              <w:tab/>
            </w:r>
            <w:r w:rsidR="00AB08B7">
              <w:rPr>
                <w:noProof/>
                <w:webHidden/>
              </w:rPr>
              <w:fldChar w:fldCharType="begin"/>
            </w:r>
            <w:r w:rsidR="00AB08B7">
              <w:rPr>
                <w:noProof/>
                <w:webHidden/>
              </w:rPr>
              <w:instrText xml:space="preserve"> PAGEREF _Toc193387491 \h </w:instrText>
            </w:r>
            <w:r w:rsidR="00AB08B7">
              <w:rPr>
                <w:noProof/>
                <w:webHidden/>
              </w:rPr>
            </w:r>
            <w:r w:rsidR="00AB08B7">
              <w:rPr>
                <w:noProof/>
                <w:webHidden/>
              </w:rPr>
              <w:fldChar w:fldCharType="separate"/>
            </w:r>
            <w:r w:rsidR="00DF77EE">
              <w:rPr>
                <w:noProof/>
                <w:webHidden/>
              </w:rPr>
              <w:t>12</w:t>
            </w:r>
            <w:r w:rsidR="00AB08B7">
              <w:rPr>
                <w:noProof/>
                <w:webHidden/>
              </w:rPr>
              <w:fldChar w:fldCharType="end"/>
            </w:r>
          </w:hyperlink>
        </w:p>
        <w:p w14:paraId="3735C86E" w14:textId="77777777" w:rsidR="00AB08B7" w:rsidRDefault="003930CE">
          <w:pPr>
            <w:pStyle w:val="TDC3"/>
            <w:rPr>
              <w:rFonts w:asciiTheme="minorHAnsi" w:eastAsiaTheme="minorEastAsia" w:hAnsiTheme="minorHAnsi" w:cstheme="minorBidi"/>
              <w:noProof/>
              <w:szCs w:val="22"/>
              <w:lang w:eastAsia="es-MX"/>
            </w:rPr>
          </w:pPr>
          <w:hyperlink w:anchor="_Toc193387492" w:history="1">
            <w:r w:rsidR="00AB08B7" w:rsidRPr="00366487">
              <w:rPr>
                <w:rStyle w:val="Hipervnculo"/>
                <w:noProof/>
              </w:rPr>
              <w:t>d) Versión pública</w:t>
            </w:r>
            <w:r w:rsidR="00AB08B7">
              <w:rPr>
                <w:noProof/>
                <w:webHidden/>
              </w:rPr>
              <w:tab/>
            </w:r>
            <w:r w:rsidR="00AB08B7">
              <w:rPr>
                <w:noProof/>
                <w:webHidden/>
              </w:rPr>
              <w:fldChar w:fldCharType="begin"/>
            </w:r>
            <w:r w:rsidR="00AB08B7">
              <w:rPr>
                <w:noProof/>
                <w:webHidden/>
              </w:rPr>
              <w:instrText xml:space="preserve"> PAGEREF _Toc193387492 \h </w:instrText>
            </w:r>
            <w:r w:rsidR="00AB08B7">
              <w:rPr>
                <w:noProof/>
                <w:webHidden/>
              </w:rPr>
            </w:r>
            <w:r w:rsidR="00AB08B7">
              <w:rPr>
                <w:noProof/>
                <w:webHidden/>
              </w:rPr>
              <w:fldChar w:fldCharType="separate"/>
            </w:r>
            <w:r w:rsidR="00DF77EE">
              <w:rPr>
                <w:noProof/>
                <w:webHidden/>
              </w:rPr>
              <w:t>30</w:t>
            </w:r>
            <w:r w:rsidR="00AB08B7">
              <w:rPr>
                <w:noProof/>
                <w:webHidden/>
              </w:rPr>
              <w:fldChar w:fldCharType="end"/>
            </w:r>
          </w:hyperlink>
        </w:p>
        <w:p w14:paraId="2556E586" w14:textId="77777777" w:rsidR="00AB08B7" w:rsidRDefault="003930CE">
          <w:pPr>
            <w:pStyle w:val="TDC3"/>
            <w:rPr>
              <w:rFonts w:asciiTheme="minorHAnsi" w:eastAsiaTheme="minorEastAsia" w:hAnsiTheme="minorHAnsi" w:cstheme="minorBidi"/>
              <w:noProof/>
              <w:szCs w:val="22"/>
              <w:lang w:eastAsia="es-MX"/>
            </w:rPr>
          </w:pPr>
          <w:hyperlink w:anchor="_Toc193387493" w:history="1">
            <w:r w:rsidR="00AB08B7" w:rsidRPr="00366487">
              <w:rPr>
                <w:rStyle w:val="Hipervnculo"/>
                <w:noProof/>
              </w:rPr>
              <w:t>e) Conclusión</w:t>
            </w:r>
            <w:r w:rsidR="00AB08B7">
              <w:rPr>
                <w:noProof/>
                <w:webHidden/>
              </w:rPr>
              <w:tab/>
            </w:r>
            <w:r w:rsidR="00AB08B7">
              <w:rPr>
                <w:noProof/>
                <w:webHidden/>
              </w:rPr>
              <w:fldChar w:fldCharType="begin"/>
            </w:r>
            <w:r w:rsidR="00AB08B7">
              <w:rPr>
                <w:noProof/>
                <w:webHidden/>
              </w:rPr>
              <w:instrText xml:space="preserve"> PAGEREF _Toc193387493 \h </w:instrText>
            </w:r>
            <w:r w:rsidR="00AB08B7">
              <w:rPr>
                <w:noProof/>
                <w:webHidden/>
              </w:rPr>
            </w:r>
            <w:r w:rsidR="00AB08B7">
              <w:rPr>
                <w:noProof/>
                <w:webHidden/>
              </w:rPr>
              <w:fldChar w:fldCharType="separate"/>
            </w:r>
            <w:r w:rsidR="00DF77EE">
              <w:rPr>
                <w:noProof/>
                <w:webHidden/>
              </w:rPr>
              <w:t>36</w:t>
            </w:r>
            <w:r w:rsidR="00AB08B7">
              <w:rPr>
                <w:noProof/>
                <w:webHidden/>
              </w:rPr>
              <w:fldChar w:fldCharType="end"/>
            </w:r>
          </w:hyperlink>
        </w:p>
        <w:p w14:paraId="0C82FD7A" w14:textId="2C572742" w:rsidR="009B2945" w:rsidRPr="00AB08B7" w:rsidRDefault="003930CE" w:rsidP="00AB08B7">
          <w:pPr>
            <w:pStyle w:val="TDC1"/>
            <w:tabs>
              <w:tab w:val="right" w:leader="dot" w:pos="9034"/>
            </w:tabs>
            <w:rPr>
              <w:b/>
              <w:bCs/>
              <w:szCs w:val="22"/>
              <w:lang w:val="es-ES"/>
            </w:rPr>
          </w:pPr>
          <w:hyperlink w:anchor="_Toc193387494" w:history="1">
            <w:r w:rsidR="00AB08B7" w:rsidRPr="00366487">
              <w:rPr>
                <w:rStyle w:val="Hipervnculo"/>
                <w:noProof/>
              </w:rPr>
              <w:t>RESUELVE</w:t>
            </w:r>
            <w:r w:rsidR="00AB08B7">
              <w:rPr>
                <w:noProof/>
                <w:webHidden/>
              </w:rPr>
              <w:tab/>
            </w:r>
            <w:r w:rsidR="00AB08B7">
              <w:rPr>
                <w:noProof/>
                <w:webHidden/>
              </w:rPr>
              <w:fldChar w:fldCharType="begin"/>
            </w:r>
            <w:r w:rsidR="00AB08B7">
              <w:rPr>
                <w:noProof/>
                <w:webHidden/>
              </w:rPr>
              <w:instrText xml:space="preserve"> PAGEREF _Toc193387494 \h </w:instrText>
            </w:r>
            <w:r w:rsidR="00AB08B7">
              <w:rPr>
                <w:noProof/>
                <w:webHidden/>
              </w:rPr>
            </w:r>
            <w:r w:rsidR="00AB08B7">
              <w:rPr>
                <w:noProof/>
                <w:webHidden/>
              </w:rPr>
              <w:fldChar w:fldCharType="separate"/>
            </w:r>
            <w:r w:rsidR="00DF77EE">
              <w:rPr>
                <w:noProof/>
                <w:webHidden/>
              </w:rPr>
              <w:t>37</w:t>
            </w:r>
            <w:r w:rsidR="00AB08B7">
              <w:rPr>
                <w:noProof/>
                <w:webHidden/>
              </w:rPr>
              <w:fldChar w:fldCharType="end"/>
            </w:r>
          </w:hyperlink>
          <w:r w:rsidR="00AE3DA7" w:rsidRPr="00AB08B7">
            <w:rPr>
              <w:b/>
              <w:bCs/>
              <w:szCs w:val="22"/>
              <w:lang w:val="es-ES"/>
            </w:rPr>
            <w:fldChar w:fldCharType="end"/>
          </w:r>
        </w:p>
      </w:sdtContent>
    </w:sdt>
    <w:p w14:paraId="603A07E2" w14:textId="77777777" w:rsidR="00646436" w:rsidRPr="00AB08B7" w:rsidRDefault="00646436" w:rsidP="00AB08B7">
      <w:pPr>
        <w:rPr>
          <w:rFonts w:cs="Tahoma"/>
          <w:szCs w:val="22"/>
        </w:rPr>
        <w:sectPr w:rsidR="00646436" w:rsidRPr="00AB08B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F936458" w:rsidR="00775BFC" w:rsidRPr="00AB08B7" w:rsidRDefault="00775BFC" w:rsidP="00AB08B7">
      <w:pPr>
        <w:rPr>
          <w:b/>
          <w:szCs w:val="22"/>
        </w:rPr>
      </w:pPr>
      <w:r w:rsidRPr="00AB08B7">
        <w:rPr>
          <w:szCs w:val="22"/>
        </w:rPr>
        <w:lastRenderedPageBreak/>
        <w:t>Resolución del Pleno del Instituto de Transparencia, Acceso a la Información Pública y Protección de Datos Personales del Estado de México y Municipios, con domicilio en Metepec, Estado de México, de</w:t>
      </w:r>
      <w:r w:rsidR="000C2FD1" w:rsidRPr="00AB08B7">
        <w:rPr>
          <w:szCs w:val="22"/>
        </w:rPr>
        <w:t xml:space="preserve"> </w:t>
      </w:r>
      <w:r w:rsidR="000C2FD1" w:rsidRPr="00AB08B7">
        <w:rPr>
          <w:b/>
          <w:szCs w:val="22"/>
        </w:rPr>
        <w:t>veinte de marzo de dos mil veinticinco.</w:t>
      </w:r>
    </w:p>
    <w:p w14:paraId="0AF3AAC4" w14:textId="77777777" w:rsidR="00775BFC" w:rsidRPr="00AB08B7" w:rsidRDefault="00775BFC" w:rsidP="00AB08B7">
      <w:pPr>
        <w:rPr>
          <w:szCs w:val="22"/>
        </w:rPr>
      </w:pPr>
    </w:p>
    <w:p w14:paraId="40EAE038" w14:textId="40FBE155" w:rsidR="00775BFC" w:rsidRPr="00AB08B7" w:rsidRDefault="00775BFC" w:rsidP="00AB08B7">
      <w:pPr>
        <w:rPr>
          <w:szCs w:val="22"/>
        </w:rPr>
      </w:pPr>
      <w:r w:rsidRPr="00AB08B7">
        <w:rPr>
          <w:b/>
          <w:szCs w:val="22"/>
        </w:rPr>
        <w:t xml:space="preserve">VISTO </w:t>
      </w:r>
      <w:r w:rsidRPr="00AB08B7">
        <w:rPr>
          <w:szCs w:val="22"/>
        </w:rPr>
        <w:t xml:space="preserve">el expediente formado con motivo del Recurso de Revisión </w:t>
      </w:r>
      <w:r w:rsidR="000C2FD1" w:rsidRPr="00AB08B7">
        <w:rPr>
          <w:rFonts w:eastAsia="Calibri"/>
          <w:b/>
          <w:szCs w:val="22"/>
          <w:lang w:eastAsia="en-US"/>
        </w:rPr>
        <w:t>01172</w:t>
      </w:r>
      <w:r w:rsidRPr="00AB08B7">
        <w:rPr>
          <w:rFonts w:eastAsia="Calibri"/>
          <w:b/>
          <w:szCs w:val="22"/>
          <w:lang w:eastAsia="en-US"/>
        </w:rPr>
        <w:t>/INFOEM/IP/RR/</w:t>
      </w:r>
      <w:r w:rsidR="000C2FD1" w:rsidRPr="00AB08B7">
        <w:rPr>
          <w:rFonts w:eastAsia="Calibri"/>
          <w:b/>
          <w:szCs w:val="22"/>
          <w:lang w:eastAsia="en-US"/>
        </w:rPr>
        <w:t>2025</w:t>
      </w:r>
      <w:r w:rsidRPr="00AB08B7">
        <w:rPr>
          <w:rFonts w:eastAsia="Calibri"/>
          <w:szCs w:val="22"/>
          <w:lang w:eastAsia="en-US"/>
        </w:rPr>
        <w:t xml:space="preserve"> </w:t>
      </w:r>
      <w:r w:rsidRPr="00AB08B7">
        <w:rPr>
          <w:szCs w:val="22"/>
        </w:rPr>
        <w:t xml:space="preserve">interpuesto por </w:t>
      </w:r>
      <w:bookmarkStart w:id="2" w:name="_GoBack"/>
      <w:r w:rsidR="00A951E0">
        <w:rPr>
          <w:b/>
          <w:szCs w:val="22"/>
        </w:rPr>
        <w:t>XXXXX XXXXXXXX XXXXXXX</w:t>
      </w:r>
      <w:bookmarkEnd w:id="2"/>
      <w:r w:rsidRPr="00AB08B7">
        <w:rPr>
          <w:szCs w:val="22"/>
        </w:rPr>
        <w:t xml:space="preserve">, a quien en lo subsecuente se le denominará </w:t>
      </w:r>
      <w:r w:rsidRPr="00AB08B7">
        <w:rPr>
          <w:b/>
          <w:bCs/>
          <w:szCs w:val="22"/>
        </w:rPr>
        <w:t>LA PARTE RECURRENTE</w:t>
      </w:r>
      <w:r w:rsidRPr="00AB08B7">
        <w:rPr>
          <w:szCs w:val="22"/>
        </w:rPr>
        <w:t>, en contra de la respuesta emitida por</w:t>
      </w:r>
      <w:r w:rsidR="000C2FD1" w:rsidRPr="00AB08B7">
        <w:rPr>
          <w:szCs w:val="22"/>
        </w:rPr>
        <w:t xml:space="preserve"> el</w:t>
      </w:r>
      <w:r w:rsidRPr="00AB08B7">
        <w:rPr>
          <w:szCs w:val="22"/>
        </w:rPr>
        <w:t xml:space="preserve"> </w:t>
      </w:r>
      <w:r w:rsidR="000C2FD1" w:rsidRPr="00AB08B7">
        <w:rPr>
          <w:rFonts w:eastAsia="Calibri" w:cs="Tahoma"/>
          <w:b/>
          <w:szCs w:val="22"/>
          <w:lang w:eastAsia="en-US"/>
        </w:rPr>
        <w:t>Ayuntamiento de Huehuetoca</w:t>
      </w:r>
      <w:r w:rsidRPr="00AB08B7">
        <w:rPr>
          <w:szCs w:val="22"/>
        </w:rPr>
        <w:t xml:space="preserve">, en adelante </w:t>
      </w:r>
      <w:r w:rsidRPr="00AB08B7">
        <w:rPr>
          <w:b/>
          <w:bCs/>
          <w:szCs w:val="22"/>
        </w:rPr>
        <w:t>EL SUJETO OBLIGADO</w:t>
      </w:r>
      <w:r w:rsidRPr="00AB08B7">
        <w:rPr>
          <w:rFonts w:eastAsia="Calibri"/>
          <w:szCs w:val="22"/>
          <w:lang w:eastAsia="en-US"/>
        </w:rPr>
        <w:t xml:space="preserve">, </w:t>
      </w:r>
      <w:r w:rsidRPr="00AB08B7">
        <w:rPr>
          <w:szCs w:val="22"/>
        </w:rPr>
        <w:t>se emite la presente Resolución con base en los Antecedentes y Considerandos que se exponen a continuación:</w:t>
      </w:r>
    </w:p>
    <w:p w14:paraId="2116968C" w14:textId="77777777" w:rsidR="00775BFC" w:rsidRPr="00AB08B7" w:rsidRDefault="00775BFC" w:rsidP="00AB08B7">
      <w:pPr>
        <w:rPr>
          <w:szCs w:val="22"/>
        </w:rPr>
      </w:pPr>
    </w:p>
    <w:p w14:paraId="5A444FB6" w14:textId="639D3567" w:rsidR="00664420" w:rsidRPr="00AB08B7" w:rsidRDefault="00664420" w:rsidP="00AB08B7">
      <w:pPr>
        <w:pStyle w:val="Ttulo1"/>
        <w:rPr>
          <w:szCs w:val="22"/>
        </w:rPr>
      </w:pPr>
      <w:bookmarkStart w:id="3" w:name="_Toc193387469"/>
      <w:r w:rsidRPr="00AB08B7">
        <w:rPr>
          <w:szCs w:val="22"/>
        </w:rPr>
        <w:t>ANTECEDENTES</w:t>
      </w:r>
      <w:bookmarkEnd w:id="3"/>
    </w:p>
    <w:p w14:paraId="5CB5034E" w14:textId="77777777" w:rsidR="00AC2DB8" w:rsidRPr="00AB08B7" w:rsidRDefault="00AC2DB8" w:rsidP="00AB08B7">
      <w:pPr>
        <w:rPr>
          <w:szCs w:val="22"/>
        </w:rPr>
      </w:pPr>
    </w:p>
    <w:p w14:paraId="09B2D38F" w14:textId="6E49D146" w:rsidR="00664420" w:rsidRPr="00AB08B7" w:rsidRDefault="00E37A3F" w:rsidP="00AB08B7">
      <w:pPr>
        <w:pStyle w:val="Ttulo2"/>
        <w:rPr>
          <w:szCs w:val="22"/>
        </w:rPr>
      </w:pPr>
      <w:bookmarkStart w:id="4" w:name="_Toc193387470"/>
      <w:r w:rsidRPr="00AB08B7">
        <w:rPr>
          <w:szCs w:val="22"/>
        </w:rPr>
        <w:t>DE LA SOLICITUD DE INFORMACIÓN</w:t>
      </w:r>
      <w:bookmarkEnd w:id="4"/>
    </w:p>
    <w:p w14:paraId="2C6AD1A5" w14:textId="0405B3CD" w:rsidR="00664420" w:rsidRPr="00AB08B7" w:rsidRDefault="00E37A3F" w:rsidP="00AB08B7">
      <w:pPr>
        <w:pStyle w:val="Ttulo3"/>
        <w:rPr>
          <w:szCs w:val="22"/>
        </w:rPr>
      </w:pPr>
      <w:bookmarkStart w:id="5" w:name="_Toc193387471"/>
      <w:r w:rsidRPr="00AB08B7">
        <w:rPr>
          <w:szCs w:val="22"/>
        </w:rPr>
        <w:t xml:space="preserve">a) </w:t>
      </w:r>
      <w:r w:rsidR="006B10B0" w:rsidRPr="00AB08B7">
        <w:rPr>
          <w:szCs w:val="22"/>
        </w:rPr>
        <w:t>S</w:t>
      </w:r>
      <w:r w:rsidR="00664420" w:rsidRPr="00AB08B7">
        <w:rPr>
          <w:szCs w:val="22"/>
        </w:rPr>
        <w:t xml:space="preserve">olicitud de </w:t>
      </w:r>
      <w:r w:rsidR="006B10B0" w:rsidRPr="00AB08B7">
        <w:rPr>
          <w:szCs w:val="22"/>
        </w:rPr>
        <w:t>i</w:t>
      </w:r>
      <w:r w:rsidR="00664420" w:rsidRPr="00AB08B7">
        <w:rPr>
          <w:szCs w:val="22"/>
        </w:rPr>
        <w:t>nformación</w:t>
      </w:r>
      <w:bookmarkEnd w:id="5"/>
    </w:p>
    <w:p w14:paraId="06DCD29D" w14:textId="165643F2" w:rsidR="009A2D78" w:rsidRPr="00AB08B7" w:rsidRDefault="006B10B0" w:rsidP="00AB08B7">
      <w:pPr>
        <w:pStyle w:val="Prrafodelista"/>
        <w:tabs>
          <w:tab w:val="left" w:pos="0"/>
        </w:tabs>
        <w:ind w:left="0"/>
        <w:contextualSpacing w:val="0"/>
        <w:rPr>
          <w:rFonts w:cs="Tahoma"/>
          <w:szCs w:val="22"/>
        </w:rPr>
      </w:pPr>
      <w:r w:rsidRPr="00AB08B7">
        <w:rPr>
          <w:rFonts w:cs="Tahoma"/>
          <w:szCs w:val="22"/>
        </w:rPr>
        <w:t>El</w:t>
      </w:r>
      <w:r w:rsidR="000C2FD1" w:rsidRPr="00AB08B7">
        <w:rPr>
          <w:rFonts w:cs="Tahoma"/>
          <w:szCs w:val="22"/>
        </w:rPr>
        <w:t xml:space="preserve"> </w:t>
      </w:r>
      <w:r w:rsidR="000C2FD1" w:rsidRPr="00AB08B7">
        <w:rPr>
          <w:rFonts w:cs="Tahoma"/>
          <w:b/>
          <w:szCs w:val="22"/>
        </w:rPr>
        <w:t>veintisiete de enero de dos mil veinticinco</w:t>
      </w:r>
      <w:r w:rsidR="00664420" w:rsidRPr="00AB08B7">
        <w:rPr>
          <w:rFonts w:cs="Tahoma"/>
          <w:szCs w:val="22"/>
        </w:rPr>
        <w:t xml:space="preserve">, </w:t>
      </w:r>
      <w:r w:rsidRPr="00AB08B7">
        <w:rPr>
          <w:b/>
          <w:bCs/>
          <w:szCs w:val="22"/>
        </w:rPr>
        <w:t>LA PARTE RECURRENTE</w:t>
      </w:r>
      <w:r w:rsidR="00664420" w:rsidRPr="00AB08B7">
        <w:rPr>
          <w:rFonts w:cs="Tahoma"/>
          <w:szCs w:val="22"/>
        </w:rPr>
        <w:t xml:space="preserve"> presentó una solicitud de acceso a la información pública </w:t>
      </w:r>
      <w:r w:rsidR="001F3515" w:rsidRPr="00AB08B7">
        <w:rPr>
          <w:rFonts w:cs="Tahoma"/>
          <w:szCs w:val="22"/>
        </w:rPr>
        <w:t xml:space="preserve">ante el </w:t>
      </w:r>
      <w:r w:rsidR="001F3515" w:rsidRPr="00AB08B7">
        <w:rPr>
          <w:rFonts w:cs="Tahoma"/>
          <w:b/>
          <w:bCs/>
          <w:szCs w:val="22"/>
        </w:rPr>
        <w:t>SUJETO OBLIGADO</w:t>
      </w:r>
      <w:r w:rsidR="001F3515" w:rsidRPr="00AB08B7">
        <w:rPr>
          <w:rFonts w:cs="Tahoma"/>
          <w:szCs w:val="22"/>
        </w:rPr>
        <w:t xml:space="preserve">, </w:t>
      </w:r>
      <w:r w:rsidR="00664420" w:rsidRPr="00AB08B7">
        <w:rPr>
          <w:rFonts w:cs="Tahoma"/>
          <w:szCs w:val="22"/>
        </w:rPr>
        <w:t>a través del Sistema de Acceso a la Información Mexiquense</w:t>
      </w:r>
      <w:r w:rsidRPr="00AB08B7">
        <w:rPr>
          <w:rFonts w:cs="Tahoma"/>
          <w:szCs w:val="22"/>
        </w:rPr>
        <w:t xml:space="preserve"> </w:t>
      </w:r>
      <w:r w:rsidR="009A2D78" w:rsidRPr="00AB08B7">
        <w:rPr>
          <w:rFonts w:cs="Tahoma"/>
          <w:szCs w:val="22"/>
        </w:rPr>
        <w:t>(</w:t>
      </w:r>
      <w:r w:rsidRPr="00AB08B7">
        <w:rPr>
          <w:rFonts w:cs="Tahoma"/>
          <w:b/>
          <w:szCs w:val="22"/>
        </w:rPr>
        <w:t>SAIMEX</w:t>
      </w:r>
      <w:r w:rsidR="009A2D78" w:rsidRPr="00AB08B7">
        <w:rPr>
          <w:rFonts w:cs="Tahoma"/>
          <w:szCs w:val="22"/>
        </w:rPr>
        <w:t>). Dicha solicitud quedó</w:t>
      </w:r>
      <w:r w:rsidRPr="00AB08B7">
        <w:rPr>
          <w:rFonts w:cs="Tahoma"/>
          <w:szCs w:val="22"/>
        </w:rPr>
        <w:t xml:space="preserve"> registrada c</w:t>
      </w:r>
      <w:r w:rsidR="00664420" w:rsidRPr="00AB08B7">
        <w:rPr>
          <w:rFonts w:cs="Tahoma"/>
          <w:szCs w:val="22"/>
        </w:rPr>
        <w:t>on el número de folio</w:t>
      </w:r>
      <w:r w:rsidR="00664420" w:rsidRPr="00AB08B7">
        <w:rPr>
          <w:rFonts w:cs="Tahoma"/>
          <w:b/>
          <w:bCs/>
          <w:szCs w:val="22"/>
        </w:rPr>
        <w:t xml:space="preserve"> </w:t>
      </w:r>
      <w:r w:rsidR="000C2FD1" w:rsidRPr="00AB08B7">
        <w:rPr>
          <w:rFonts w:cs="Tahoma"/>
          <w:b/>
          <w:bCs/>
          <w:szCs w:val="22"/>
        </w:rPr>
        <w:t>00046/HUEHUETO/IP/2025</w:t>
      </w:r>
      <w:r w:rsidR="002A3601" w:rsidRPr="00AB08B7">
        <w:rPr>
          <w:rFonts w:cs="Tahoma"/>
          <w:szCs w:val="22"/>
        </w:rPr>
        <w:t xml:space="preserve"> y en ella </w:t>
      </w:r>
      <w:r w:rsidR="009A2D78" w:rsidRPr="00AB08B7">
        <w:rPr>
          <w:rFonts w:cs="Tahoma"/>
          <w:szCs w:val="22"/>
        </w:rPr>
        <w:t>se requirió la siguiente información:</w:t>
      </w:r>
    </w:p>
    <w:p w14:paraId="0459D6AC" w14:textId="77777777" w:rsidR="00664420" w:rsidRPr="00AB08B7" w:rsidRDefault="00664420" w:rsidP="00AB08B7">
      <w:pPr>
        <w:tabs>
          <w:tab w:val="left" w:pos="4667"/>
        </w:tabs>
        <w:ind w:left="567" w:right="567"/>
        <w:rPr>
          <w:rFonts w:cs="Tahoma"/>
          <w:b/>
          <w:bCs/>
          <w:szCs w:val="22"/>
        </w:rPr>
      </w:pPr>
    </w:p>
    <w:p w14:paraId="179FB369" w14:textId="2C9F2260" w:rsidR="00664420" w:rsidRPr="00AB08B7" w:rsidRDefault="000C2FD1" w:rsidP="00AB08B7">
      <w:pPr>
        <w:pStyle w:val="Puesto"/>
        <w:rPr>
          <w:szCs w:val="22"/>
        </w:rPr>
      </w:pPr>
      <w:r w:rsidRPr="00AB08B7">
        <w:rPr>
          <w:szCs w:val="22"/>
        </w:rPr>
        <w:t xml:space="preserve">“En virtud de la Ley de Transparencia y Acceso a la Información Pública, me permito la presente solicitud para obtener la siguiente información en relación con la peregrinación ciclista a la bajista de Guadalupe: Número de bicicletas rifadas: ¿Cuántas bicicletas fueron rifadas durante el evento de la peregrinación ciclista a la bajista de Guadalupe? Proveedor de bicicletas: ¿Quién fue el proveedor encargado de proporcionar las bicicletas para la rifa y cualquier servicio relacionado con este evento? Cotizaciones y facturas: Solicito las cotizaciones, facturas y cualquier otro documento relacionado con los pagos emitidos al proveedor mencionado anteriormente. Nombres de los ganadores: Solicito los nombres de </w:t>
      </w:r>
      <w:r w:rsidRPr="00AB08B7">
        <w:rPr>
          <w:szCs w:val="22"/>
        </w:rPr>
        <w:lastRenderedPageBreak/>
        <w:t>las personas ganadoras de las bicicletas rifadas en el evento. Formato de entrega: Solicito que la información solicitada sea entregada en formato PDF, conforme a lo establecido en la Ley de Transparencia y Acceso a la Información Pública.”</w:t>
      </w:r>
    </w:p>
    <w:p w14:paraId="64B27DE3" w14:textId="77777777" w:rsidR="00664420" w:rsidRPr="00AB08B7" w:rsidRDefault="00664420" w:rsidP="00AB08B7">
      <w:pPr>
        <w:tabs>
          <w:tab w:val="left" w:pos="4667"/>
        </w:tabs>
        <w:ind w:left="567" w:right="567"/>
        <w:rPr>
          <w:rFonts w:cs="Tahoma"/>
          <w:bCs/>
          <w:i/>
          <w:szCs w:val="22"/>
        </w:rPr>
      </w:pPr>
    </w:p>
    <w:p w14:paraId="0BD6321D" w14:textId="56D9ABBC" w:rsidR="00664420" w:rsidRPr="00AB08B7" w:rsidRDefault="009A2D78" w:rsidP="00AB08B7">
      <w:pPr>
        <w:tabs>
          <w:tab w:val="left" w:pos="4667"/>
        </w:tabs>
        <w:ind w:left="567" w:right="567"/>
        <w:rPr>
          <w:rFonts w:cs="Tahoma"/>
          <w:bCs/>
          <w:szCs w:val="22"/>
        </w:rPr>
      </w:pPr>
      <w:r w:rsidRPr="00AB08B7">
        <w:rPr>
          <w:rFonts w:cs="Tahoma"/>
          <w:b/>
          <w:bCs/>
          <w:szCs w:val="22"/>
        </w:rPr>
        <w:t>Modalidad de entrega</w:t>
      </w:r>
      <w:r w:rsidRPr="00AB08B7">
        <w:rPr>
          <w:rFonts w:cs="Tahoma"/>
          <w:bCs/>
          <w:szCs w:val="22"/>
        </w:rPr>
        <w:t>: a</w:t>
      </w:r>
      <w:r w:rsidR="00664420" w:rsidRPr="00AB08B7">
        <w:rPr>
          <w:rFonts w:cs="Tahoma"/>
          <w:bCs/>
          <w:i/>
          <w:szCs w:val="22"/>
        </w:rPr>
        <w:t xml:space="preserve"> través del </w:t>
      </w:r>
      <w:r w:rsidR="00664420" w:rsidRPr="00AB08B7">
        <w:rPr>
          <w:rFonts w:cs="Tahoma"/>
          <w:b/>
          <w:bCs/>
          <w:i/>
          <w:szCs w:val="22"/>
        </w:rPr>
        <w:t>SAIMEX</w:t>
      </w:r>
      <w:r w:rsidRPr="00AB08B7">
        <w:rPr>
          <w:rFonts w:cs="Tahoma"/>
          <w:bCs/>
          <w:i/>
          <w:szCs w:val="22"/>
        </w:rPr>
        <w:t>.</w:t>
      </w:r>
    </w:p>
    <w:p w14:paraId="334D2860" w14:textId="77777777" w:rsidR="00664420" w:rsidRPr="00AB08B7" w:rsidRDefault="00664420" w:rsidP="00AB08B7">
      <w:pPr>
        <w:autoSpaceDE w:val="0"/>
        <w:autoSpaceDN w:val="0"/>
        <w:adjustRightInd w:val="0"/>
        <w:ind w:right="-28"/>
        <w:rPr>
          <w:rFonts w:cs="Tahoma"/>
          <w:bCs/>
          <w:i/>
          <w:szCs w:val="22"/>
        </w:rPr>
      </w:pPr>
    </w:p>
    <w:p w14:paraId="5AC1EE52" w14:textId="34C34E77" w:rsidR="00D036D3" w:rsidRPr="00AB08B7" w:rsidRDefault="00E37A3F" w:rsidP="00AB08B7">
      <w:pPr>
        <w:pStyle w:val="Ttulo3"/>
        <w:rPr>
          <w:szCs w:val="22"/>
        </w:rPr>
      </w:pPr>
      <w:bookmarkStart w:id="6" w:name="_Toc193387472"/>
      <w:r w:rsidRPr="00AB08B7">
        <w:rPr>
          <w:szCs w:val="22"/>
        </w:rPr>
        <w:t xml:space="preserve">b) </w:t>
      </w:r>
      <w:r w:rsidR="00D036D3" w:rsidRPr="00AB08B7">
        <w:rPr>
          <w:szCs w:val="22"/>
        </w:rPr>
        <w:t>Turno de la solicitud de información</w:t>
      </w:r>
      <w:bookmarkEnd w:id="6"/>
    </w:p>
    <w:p w14:paraId="7CEE6F8C" w14:textId="70ED7CE8" w:rsidR="007D1C55" w:rsidRPr="00AB08B7" w:rsidRDefault="00D036D3" w:rsidP="00AB08B7">
      <w:pPr>
        <w:rPr>
          <w:szCs w:val="22"/>
        </w:rPr>
      </w:pPr>
      <w:r w:rsidRPr="00AB08B7">
        <w:rPr>
          <w:szCs w:val="22"/>
        </w:rPr>
        <w:t>En cumplimiento al artículo 162 de la Ley de Transparencia y Acceso a la Información Pública del Estado de México y Municipios, el</w:t>
      </w:r>
      <w:r w:rsidR="00BC0C3F" w:rsidRPr="00AB08B7">
        <w:rPr>
          <w:szCs w:val="22"/>
        </w:rPr>
        <w:t xml:space="preserve"> </w:t>
      </w:r>
      <w:r w:rsidR="00BC0C3F" w:rsidRPr="00AB08B7">
        <w:rPr>
          <w:b/>
          <w:szCs w:val="22"/>
        </w:rPr>
        <w:t>cuatro de febrero de dos mil veinticinco</w:t>
      </w:r>
      <w:r w:rsidRPr="00AB08B7">
        <w:rPr>
          <w:szCs w:val="22"/>
        </w:rPr>
        <w:t xml:space="preserve">, el Titular de la Unidad de Transparencia del </w:t>
      </w:r>
      <w:r w:rsidRPr="00AB08B7">
        <w:rPr>
          <w:b/>
          <w:szCs w:val="22"/>
        </w:rPr>
        <w:t>SUJETO OBLIGADO</w:t>
      </w:r>
      <w:r w:rsidRPr="00AB08B7">
        <w:rPr>
          <w:szCs w:val="22"/>
        </w:rPr>
        <w:t xml:space="preserve"> turnó la solicitud de información </w:t>
      </w:r>
      <w:r w:rsidR="00163D12" w:rsidRPr="00AB08B7">
        <w:rPr>
          <w:szCs w:val="22"/>
        </w:rPr>
        <w:t xml:space="preserve">a los </w:t>
      </w:r>
      <w:r w:rsidRPr="00AB08B7">
        <w:rPr>
          <w:szCs w:val="22"/>
        </w:rPr>
        <w:t>servidor</w:t>
      </w:r>
      <w:r w:rsidR="007D1C55" w:rsidRPr="00AB08B7">
        <w:rPr>
          <w:szCs w:val="22"/>
        </w:rPr>
        <w:t>es</w:t>
      </w:r>
      <w:r w:rsidRPr="00AB08B7">
        <w:rPr>
          <w:szCs w:val="22"/>
        </w:rPr>
        <w:t xml:space="preserve"> público</w:t>
      </w:r>
      <w:r w:rsidR="007D1C55" w:rsidRPr="00AB08B7">
        <w:rPr>
          <w:szCs w:val="22"/>
        </w:rPr>
        <w:t>s</w:t>
      </w:r>
      <w:r w:rsidRPr="00AB08B7">
        <w:rPr>
          <w:szCs w:val="22"/>
        </w:rPr>
        <w:t xml:space="preserve"> habilitado</w:t>
      </w:r>
      <w:r w:rsidR="007D1C55" w:rsidRPr="00AB08B7">
        <w:rPr>
          <w:szCs w:val="22"/>
        </w:rPr>
        <w:t>s</w:t>
      </w:r>
      <w:r w:rsidRPr="00AB08B7">
        <w:rPr>
          <w:szCs w:val="22"/>
        </w:rPr>
        <w:t xml:space="preserve"> que estimó pertinente</w:t>
      </w:r>
      <w:r w:rsidR="00163D12" w:rsidRPr="00AB08B7">
        <w:rPr>
          <w:szCs w:val="22"/>
        </w:rPr>
        <w:t>s</w:t>
      </w:r>
      <w:r w:rsidR="007D1C55" w:rsidRPr="00AB08B7">
        <w:rPr>
          <w:szCs w:val="22"/>
        </w:rPr>
        <w:t>.</w:t>
      </w:r>
    </w:p>
    <w:p w14:paraId="2C4045D7" w14:textId="77777777" w:rsidR="00AF03C4" w:rsidRPr="00AB08B7" w:rsidRDefault="00AF03C4" w:rsidP="00AB08B7">
      <w:pPr>
        <w:rPr>
          <w:szCs w:val="22"/>
          <w:lang w:val="es-ES"/>
        </w:rPr>
      </w:pPr>
    </w:p>
    <w:p w14:paraId="3212BA4D" w14:textId="6950D786" w:rsidR="00664420" w:rsidRPr="00AB08B7" w:rsidRDefault="00C27F8A" w:rsidP="00AB08B7">
      <w:pPr>
        <w:pStyle w:val="Ttulo3"/>
        <w:rPr>
          <w:rFonts w:eastAsia="Calibri"/>
          <w:szCs w:val="22"/>
          <w:lang w:eastAsia="en-US"/>
        </w:rPr>
      </w:pPr>
      <w:bookmarkStart w:id="7" w:name="_Toc193387473"/>
      <w:r w:rsidRPr="00AB08B7">
        <w:rPr>
          <w:szCs w:val="22"/>
          <w:lang w:val="es-ES"/>
        </w:rPr>
        <w:t>c</w:t>
      </w:r>
      <w:r w:rsidR="00E37A3F" w:rsidRPr="00AB08B7">
        <w:rPr>
          <w:szCs w:val="22"/>
          <w:lang w:val="es-ES"/>
        </w:rPr>
        <w:t xml:space="preserve">) </w:t>
      </w:r>
      <w:r w:rsidR="00664420" w:rsidRPr="00AB08B7">
        <w:rPr>
          <w:szCs w:val="22"/>
          <w:lang w:val="es-ES"/>
        </w:rPr>
        <w:t xml:space="preserve">Respuesta </w:t>
      </w:r>
      <w:r w:rsidR="00664420" w:rsidRPr="00AB08B7">
        <w:rPr>
          <w:rFonts w:eastAsia="Calibri"/>
          <w:szCs w:val="22"/>
          <w:lang w:eastAsia="en-US"/>
        </w:rPr>
        <w:t>del Sujeto Obligado</w:t>
      </w:r>
      <w:bookmarkEnd w:id="7"/>
    </w:p>
    <w:p w14:paraId="79199CC1" w14:textId="22A1F576" w:rsidR="00664420" w:rsidRPr="00AB08B7" w:rsidRDefault="00664420" w:rsidP="00AB08B7">
      <w:pPr>
        <w:pStyle w:val="Sinespaciado"/>
        <w:spacing w:line="360" w:lineRule="auto"/>
        <w:rPr>
          <w:szCs w:val="22"/>
          <w:lang w:val="es-ES"/>
        </w:rPr>
      </w:pPr>
      <w:r w:rsidRPr="00AB08B7">
        <w:rPr>
          <w:szCs w:val="22"/>
          <w:lang w:val="es-ES"/>
        </w:rPr>
        <w:t xml:space="preserve">El </w:t>
      </w:r>
      <w:r w:rsidR="00BC0C3F" w:rsidRPr="00AB08B7">
        <w:rPr>
          <w:b/>
          <w:szCs w:val="22"/>
          <w:lang w:val="es-ES"/>
        </w:rPr>
        <w:t>doce de febrero de dos mil veinticinco</w:t>
      </w:r>
      <w:r w:rsidRPr="00AB08B7">
        <w:rPr>
          <w:szCs w:val="22"/>
          <w:lang w:val="es-ES"/>
        </w:rPr>
        <w:t xml:space="preserve">, </w:t>
      </w:r>
      <w:r w:rsidR="00F07EE6" w:rsidRPr="00AB08B7">
        <w:rPr>
          <w:szCs w:val="22"/>
          <w:lang w:val="es-ES"/>
        </w:rPr>
        <w:t xml:space="preserve">el Titular de la Unidad de Transparencia del </w:t>
      </w:r>
      <w:r w:rsidR="00F07EE6" w:rsidRPr="00AB08B7">
        <w:rPr>
          <w:b/>
          <w:szCs w:val="22"/>
          <w:lang w:val="es-ES"/>
        </w:rPr>
        <w:t>SUJETO OBLIGADO</w:t>
      </w:r>
      <w:r w:rsidR="00F07EE6" w:rsidRPr="00AB08B7">
        <w:rPr>
          <w:szCs w:val="22"/>
          <w:lang w:val="es-ES"/>
        </w:rPr>
        <w:t xml:space="preserve"> notificó la siguiente respuesta a través del </w:t>
      </w:r>
      <w:r w:rsidRPr="00AB08B7">
        <w:rPr>
          <w:szCs w:val="22"/>
          <w:lang w:val="es-ES"/>
        </w:rPr>
        <w:t>SAIMEX</w:t>
      </w:r>
      <w:r w:rsidR="00F07EE6" w:rsidRPr="00AB08B7">
        <w:rPr>
          <w:szCs w:val="22"/>
          <w:lang w:val="es-ES"/>
        </w:rPr>
        <w:t>:</w:t>
      </w:r>
    </w:p>
    <w:p w14:paraId="669F7EFD" w14:textId="77777777" w:rsidR="00664420" w:rsidRPr="00AB08B7" w:rsidRDefault="00664420" w:rsidP="00AB08B7">
      <w:pPr>
        <w:tabs>
          <w:tab w:val="left" w:pos="4667"/>
        </w:tabs>
        <w:ind w:left="567" w:right="567"/>
        <w:rPr>
          <w:rFonts w:cs="Tahoma"/>
          <w:b/>
          <w:bCs/>
          <w:szCs w:val="22"/>
        </w:rPr>
      </w:pPr>
    </w:p>
    <w:p w14:paraId="3521949A" w14:textId="0442BDC7" w:rsidR="00BC0C3F" w:rsidRPr="00AB08B7" w:rsidRDefault="00BC0C3F" w:rsidP="00AB08B7">
      <w:pPr>
        <w:pStyle w:val="Puesto"/>
        <w:jc w:val="right"/>
        <w:rPr>
          <w:szCs w:val="22"/>
        </w:rPr>
      </w:pPr>
      <w:r w:rsidRPr="00AB08B7">
        <w:rPr>
          <w:szCs w:val="22"/>
        </w:rPr>
        <w:t>“Huehuetoca, México a 12 de Febrero de 2025</w:t>
      </w:r>
    </w:p>
    <w:p w14:paraId="644EAE30" w14:textId="77777777" w:rsidR="00BC0C3F" w:rsidRPr="00AB08B7" w:rsidRDefault="00BC0C3F" w:rsidP="00AB08B7">
      <w:pPr>
        <w:pStyle w:val="Puesto"/>
        <w:jc w:val="right"/>
        <w:rPr>
          <w:szCs w:val="22"/>
        </w:rPr>
      </w:pPr>
      <w:r w:rsidRPr="00AB08B7">
        <w:rPr>
          <w:szCs w:val="22"/>
        </w:rPr>
        <w:t>Nombre del solicitante: C. Solicitante</w:t>
      </w:r>
    </w:p>
    <w:p w14:paraId="397D43E6" w14:textId="77777777" w:rsidR="00BC0C3F" w:rsidRPr="00AB08B7" w:rsidRDefault="00BC0C3F" w:rsidP="00AB08B7">
      <w:pPr>
        <w:pStyle w:val="Puesto"/>
        <w:jc w:val="right"/>
        <w:rPr>
          <w:szCs w:val="22"/>
        </w:rPr>
      </w:pPr>
      <w:r w:rsidRPr="00AB08B7">
        <w:rPr>
          <w:szCs w:val="22"/>
        </w:rPr>
        <w:t>Folio de la solicitud: 00046/HUEHUETO/IP/2025</w:t>
      </w:r>
    </w:p>
    <w:p w14:paraId="59D41711" w14:textId="77777777" w:rsidR="00BC0C3F" w:rsidRPr="00AB08B7" w:rsidRDefault="00BC0C3F" w:rsidP="00AB08B7">
      <w:pPr>
        <w:pStyle w:val="Puesto"/>
        <w:rPr>
          <w:szCs w:val="22"/>
        </w:rPr>
      </w:pPr>
    </w:p>
    <w:p w14:paraId="15A2ADF1" w14:textId="184D4BD9" w:rsidR="00BC0C3F" w:rsidRPr="00AB08B7" w:rsidRDefault="00BC0C3F" w:rsidP="00AB08B7">
      <w:pPr>
        <w:pStyle w:val="Puesto"/>
        <w:rPr>
          <w:szCs w:val="22"/>
        </w:rPr>
      </w:pPr>
      <w:r w:rsidRPr="00AB08B7">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863731C" w14:textId="77777777" w:rsidR="00BC0C3F" w:rsidRPr="00AB08B7" w:rsidRDefault="00BC0C3F" w:rsidP="00AB08B7">
      <w:pPr>
        <w:rPr>
          <w:szCs w:val="22"/>
        </w:rPr>
      </w:pPr>
    </w:p>
    <w:p w14:paraId="042FE73D" w14:textId="173848E5" w:rsidR="00F07EE6" w:rsidRPr="00AB08B7" w:rsidRDefault="00BC0C3F" w:rsidP="00AB08B7">
      <w:pPr>
        <w:pStyle w:val="Puesto"/>
        <w:rPr>
          <w:szCs w:val="22"/>
        </w:rPr>
      </w:pPr>
      <w:r w:rsidRPr="00AB08B7">
        <w:rPr>
          <w:szCs w:val="22"/>
        </w:rPr>
        <w:t xml:space="preserve">Buena tarde, le envió la respuesta a su solicitud de información Se proporciona la siguiente información ya que se protegen datos personales. Se proporciona la información que fuerón 168 bicicletas rifadas. </w:t>
      </w:r>
      <w:r w:rsidR="00F07EE6" w:rsidRPr="00AB08B7">
        <w:rPr>
          <w:szCs w:val="22"/>
        </w:rPr>
        <w:t>Copia textual de la respuesta otorgada por el Sujeto Obligado, en letra cursiva.</w:t>
      </w:r>
      <w:r w:rsidRPr="00AB08B7">
        <w:rPr>
          <w:szCs w:val="22"/>
        </w:rPr>
        <w:t>”</w:t>
      </w:r>
      <w:r w:rsidR="00C27F8A" w:rsidRPr="00AB08B7">
        <w:rPr>
          <w:szCs w:val="22"/>
        </w:rPr>
        <w:t xml:space="preserve"> (sic) </w:t>
      </w:r>
    </w:p>
    <w:p w14:paraId="5D11024C" w14:textId="77777777" w:rsidR="00664420" w:rsidRPr="00AB08B7" w:rsidRDefault="00664420" w:rsidP="00AB08B7">
      <w:pPr>
        <w:autoSpaceDE w:val="0"/>
        <w:autoSpaceDN w:val="0"/>
        <w:adjustRightInd w:val="0"/>
        <w:ind w:right="-28"/>
        <w:rPr>
          <w:rFonts w:cs="Tahoma"/>
          <w:bCs/>
          <w:szCs w:val="22"/>
        </w:rPr>
      </w:pPr>
    </w:p>
    <w:p w14:paraId="70920289" w14:textId="5F856155" w:rsidR="00664420" w:rsidRPr="00AB08B7" w:rsidRDefault="00F07EE6" w:rsidP="00AB08B7">
      <w:pPr>
        <w:autoSpaceDE w:val="0"/>
        <w:autoSpaceDN w:val="0"/>
        <w:adjustRightInd w:val="0"/>
        <w:ind w:right="-28"/>
        <w:rPr>
          <w:rFonts w:cs="Tahoma"/>
          <w:bCs/>
          <w:szCs w:val="22"/>
          <w:lang w:val="es-ES"/>
        </w:rPr>
      </w:pPr>
      <w:r w:rsidRPr="00AB08B7">
        <w:rPr>
          <w:rFonts w:cs="Tahoma"/>
          <w:bCs/>
          <w:szCs w:val="22"/>
          <w:lang w:val="es-ES"/>
        </w:rPr>
        <w:lastRenderedPageBreak/>
        <w:t xml:space="preserve">Asimismo, </w:t>
      </w:r>
      <w:r w:rsidRPr="00AB08B7">
        <w:rPr>
          <w:rFonts w:cs="Tahoma"/>
          <w:b/>
          <w:szCs w:val="22"/>
          <w:lang w:val="es-ES"/>
        </w:rPr>
        <w:t xml:space="preserve">EL SUJETO OBLIGADO </w:t>
      </w:r>
      <w:r w:rsidRPr="00AB08B7">
        <w:rPr>
          <w:rFonts w:cs="Tahoma"/>
          <w:bCs/>
          <w:szCs w:val="22"/>
          <w:lang w:val="es-ES"/>
        </w:rPr>
        <w:t>adjuntó a su respuesta los archivos electrónicos que se describen a continuación</w:t>
      </w:r>
      <w:r w:rsidR="00664420" w:rsidRPr="00AB08B7">
        <w:rPr>
          <w:rFonts w:cs="Tahoma"/>
          <w:bCs/>
          <w:szCs w:val="22"/>
          <w:lang w:val="es-ES"/>
        </w:rPr>
        <w:t>:</w:t>
      </w:r>
    </w:p>
    <w:p w14:paraId="1AF3F151" w14:textId="3F2F3B79" w:rsidR="00EF6E84" w:rsidRPr="00AB08B7" w:rsidRDefault="00EF6E84" w:rsidP="00AB08B7">
      <w:pPr>
        <w:autoSpaceDE w:val="0"/>
        <w:autoSpaceDN w:val="0"/>
        <w:adjustRightInd w:val="0"/>
        <w:ind w:right="-28"/>
        <w:rPr>
          <w:rFonts w:cs="Tahoma"/>
          <w:b/>
          <w:bCs/>
          <w:szCs w:val="22"/>
          <w:lang w:val="es-ES"/>
        </w:rPr>
      </w:pPr>
    </w:p>
    <w:p w14:paraId="7FD80C80" w14:textId="2EF47B80" w:rsidR="002C0CEF" w:rsidRPr="00AB08B7" w:rsidRDefault="00EF6E84" w:rsidP="00AB08B7">
      <w:pPr>
        <w:pStyle w:val="Prrafodelista"/>
        <w:numPr>
          <w:ilvl w:val="0"/>
          <w:numId w:val="24"/>
        </w:numPr>
        <w:autoSpaceDE w:val="0"/>
        <w:autoSpaceDN w:val="0"/>
        <w:adjustRightInd w:val="0"/>
        <w:ind w:right="-28"/>
        <w:rPr>
          <w:rFonts w:cs="Tahoma"/>
          <w:b/>
          <w:bCs/>
          <w:szCs w:val="22"/>
          <w:lang w:val="es-ES"/>
        </w:rPr>
      </w:pPr>
      <w:r w:rsidRPr="00AB08B7">
        <w:rPr>
          <w:rFonts w:cs="Tahoma"/>
          <w:b/>
          <w:bCs/>
          <w:szCs w:val="22"/>
          <w:lang w:val="es-ES"/>
        </w:rPr>
        <w:t>RESPUESTA SAIMEX 3.pdf.-</w:t>
      </w:r>
      <w:r w:rsidR="002C0CEF" w:rsidRPr="00AB08B7">
        <w:rPr>
          <w:rFonts w:cs="Tahoma"/>
          <w:b/>
          <w:bCs/>
          <w:szCs w:val="22"/>
          <w:lang w:val="es-ES"/>
        </w:rPr>
        <w:t xml:space="preserve"> y -BICICLETAS RIFADAS.pdf.- </w:t>
      </w:r>
    </w:p>
    <w:p w14:paraId="120957EB" w14:textId="25567682" w:rsidR="00EF6E84" w:rsidRPr="00AB08B7" w:rsidRDefault="002C0CEF" w:rsidP="00AB08B7">
      <w:pPr>
        <w:autoSpaceDE w:val="0"/>
        <w:autoSpaceDN w:val="0"/>
        <w:adjustRightInd w:val="0"/>
        <w:ind w:right="-28"/>
        <w:rPr>
          <w:rFonts w:cs="Tahoma"/>
          <w:b/>
          <w:bCs/>
          <w:szCs w:val="22"/>
          <w:lang w:val="es-ES"/>
        </w:rPr>
      </w:pPr>
      <w:r w:rsidRPr="00AB08B7">
        <w:rPr>
          <w:rFonts w:cs="Tahoma"/>
          <w:bCs/>
          <w:szCs w:val="22"/>
          <w:lang w:val="es-ES"/>
        </w:rPr>
        <w:t xml:space="preserve">Archivos que contienen la </w:t>
      </w:r>
      <w:r w:rsidR="00E71ED8" w:rsidRPr="00AB08B7">
        <w:rPr>
          <w:rFonts w:cs="Tahoma"/>
          <w:bCs/>
          <w:szCs w:val="22"/>
          <w:lang w:val="es-ES"/>
        </w:rPr>
        <w:t>m</w:t>
      </w:r>
      <w:r w:rsidRPr="00AB08B7">
        <w:rPr>
          <w:rFonts w:cs="Tahoma"/>
          <w:bCs/>
          <w:szCs w:val="22"/>
          <w:lang w:val="es-ES"/>
        </w:rPr>
        <w:t>isma información siendo un escrito con los principios de protección de datos, medidas de seguridad y de los deberes de la Ley de Protección de Datos.</w:t>
      </w:r>
    </w:p>
    <w:p w14:paraId="52460699" w14:textId="77777777" w:rsidR="00664420" w:rsidRPr="00AB08B7" w:rsidRDefault="00664420" w:rsidP="00AB08B7">
      <w:pPr>
        <w:autoSpaceDE w:val="0"/>
        <w:autoSpaceDN w:val="0"/>
        <w:adjustRightInd w:val="0"/>
        <w:ind w:right="-28"/>
        <w:rPr>
          <w:rFonts w:cs="Tahoma"/>
          <w:bCs/>
          <w:szCs w:val="22"/>
          <w:lang w:val="es-ES"/>
        </w:rPr>
      </w:pPr>
    </w:p>
    <w:p w14:paraId="5A5DAB9E" w14:textId="77777777" w:rsidR="00E37A3F" w:rsidRPr="00AB08B7" w:rsidRDefault="00E37A3F" w:rsidP="00AB08B7">
      <w:pPr>
        <w:pStyle w:val="Ttulo2"/>
        <w:jc w:val="left"/>
        <w:rPr>
          <w:szCs w:val="22"/>
        </w:rPr>
      </w:pPr>
      <w:bookmarkStart w:id="8" w:name="_Toc193387474"/>
      <w:r w:rsidRPr="00AB08B7">
        <w:rPr>
          <w:szCs w:val="22"/>
        </w:rPr>
        <w:t>DEL RECURSO DE REVISIÓN</w:t>
      </w:r>
      <w:bookmarkEnd w:id="8"/>
    </w:p>
    <w:p w14:paraId="0B17CD08" w14:textId="77777777" w:rsidR="00664420" w:rsidRPr="00AB08B7" w:rsidRDefault="00664420" w:rsidP="00AB08B7">
      <w:pPr>
        <w:autoSpaceDE w:val="0"/>
        <w:autoSpaceDN w:val="0"/>
        <w:adjustRightInd w:val="0"/>
        <w:ind w:right="-28"/>
        <w:rPr>
          <w:rFonts w:cs="Tahoma"/>
          <w:bCs/>
          <w:szCs w:val="22"/>
          <w:lang w:val="es-ES"/>
        </w:rPr>
      </w:pPr>
    </w:p>
    <w:p w14:paraId="2B216813" w14:textId="61ADBB2B" w:rsidR="00664420" w:rsidRPr="00AB08B7" w:rsidRDefault="006E25BC" w:rsidP="00AB08B7">
      <w:pPr>
        <w:pStyle w:val="Ttulo3"/>
        <w:rPr>
          <w:szCs w:val="22"/>
        </w:rPr>
      </w:pPr>
      <w:bookmarkStart w:id="9" w:name="_Toc193387475"/>
      <w:r w:rsidRPr="00AB08B7">
        <w:rPr>
          <w:szCs w:val="22"/>
        </w:rPr>
        <w:t xml:space="preserve">a) </w:t>
      </w:r>
      <w:r w:rsidR="00664420" w:rsidRPr="00AB08B7">
        <w:rPr>
          <w:szCs w:val="22"/>
        </w:rPr>
        <w:t>Interposición del Recurso de Revisión</w:t>
      </w:r>
      <w:bookmarkEnd w:id="9"/>
    </w:p>
    <w:p w14:paraId="6279C622" w14:textId="3988A5DF" w:rsidR="00664420" w:rsidRPr="00AB08B7" w:rsidRDefault="00664420" w:rsidP="00AB08B7">
      <w:pPr>
        <w:autoSpaceDE w:val="0"/>
        <w:autoSpaceDN w:val="0"/>
        <w:adjustRightInd w:val="0"/>
        <w:ind w:right="-28"/>
        <w:rPr>
          <w:rFonts w:cs="Tahoma"/>
          <w:szCs w:val="22"/>
        </w:rPr>
      </w:pPr>
      <w:r w:rsidRPr="00AB08B7">
        <w:rPr>
          <w:rFonts w:cs="Tahoma"/>
          <w:szCs w:val="22"/>
        </w:rPr>
        <w:t>El</w:t>
      </w:r>
      <w:r w:rsidR="00E71ED8" w:rsidRPr="00AB08B7">
        <w:rPr>
          <w:rFonts w:cs="Tahoma"/>
          <w:szCs w:val="22"/>
        </w:rPr>
        <w:t xml:space="preserve"> </w:t>
      </w:r>
      <w:r w:rsidR="00E71ED8" w:rsidRPr="00AB08B7">
        <w:rPr>
          <w:rFonts w:cs="Tahoma"/>
          <w:b/>
          <w:szCs w:val="22"/>
        </w:rPr>
        <w:t>doce de febrero de dos mil veinticinco</w:t>
      </w:r>
      <w:r w:rsidR="00E71ED8" w:rsidRPr="00AB08B7">
        <w:rPr>
          <w:rFonts w:cs="Tahoma"/>
          <w:szCs w:val="22"/>
        </w:rPr>
        <w:t>,</w:t>
      </w:r>
      <w:r w:rsidRPr="00AB08B7">
        <w:rPr>
          <w:rFonts w:cs="Tahoma"/>
          <w:szCs w:val="22"/>
        </w:rPr>
        <w:t xml:space="preserve"> </w:t>
      </w:r>
      <w:r w:rsidR="00F75D23" w:rsidRPr="00AB08B7">
        <w:rPr>
          <w:rFonts w:cs="Tahoma"/>
          <w:b/>
          <w:bCs/>
          <w:szCs w:val="22"/>
        </w:rPr>
        <w:t>LA PARTE RECURRENTE</w:t>
      </w:r>
      <w:r w:rsidR="00F75D23" w:rsidRPr="00AB08B7">
        <w:rPr>
          <w:rFonts w:cs="Tahoma"/>
          <w:szCs w:val="22"/>
        </w:rPr>
        <w:t xml:space="preserve"> interpuso el recurso de revisión en contra de la respuesta emitida por el </w:t>
      </w:r>
      <w:r w:rsidR="00F75D23" w:rsidRPr="00AB08B7">
        <w:rPr>
          <w:rFonts w:cs="Tahoma"/>
          <w:b/>
          <w:bCs/>
          <w:szCs w:val="22"/>
        </w:rPr>
        <w:t>SUJETO OBLIGADO</w:t>
      </w:r>
      <w:r w:rsidR="00953430" w:rsidRPr="00AB08B7">
        <w:rPr>
          <w:rFonts w:cs="Tahoma"/>
          <w:szCs w:val="22"/>
        </w:rPr>
        <w:t xml:space="preserve">, mismo que fue registrado en el SAIMEX con el número de expediente </w:t>
      </w:r>
      <w:r w:rsidR="00E71ED8" w:rsidRPr="00AB08B7">
        <w:rPr>
          <w:rFonts w:cs="Tahoma"/>
          <w:b/>
          <w:bCs/>
          <w:szCs w:val="22"/>
        </w:rPr>
        <w:t>01172</w:t>
      </w:r>
      <w:r w:rsidR="00953430" w:rsidRPr="00AB08B7">
        <w:rPr>
          <w:rFonts w:cs="Tahoma"/>
          <w:b/>
          <w:bCs/>
          <w:szCs w:val="22"/>
        </w:rPr>
        <w:t>/INFOEM/IP/RR/</w:t>
      </w:r>
      <w:r w:rsidR="00E71ED8" w:rsidRPr="00AB08B7">
        <w:rPr>
          <w:rFonts w:cs="Tahoma"/>
          <w:b/>
          <w:bCs/>
          <w:szCs w:val="22"/>
        </w:rPr>
        <w:t>2025</w:t>
      </w:r>
      <w:r w:rsidR="00953430" w:rsidRPr="00AB08B7">
        <w:rPr>
          <w:rFonts w:cs="Tahoma"/>
          <w:szCs w:val="22"/>
        </w:rPr>
        <w:t>, y en el cual manifiesta lo siguiente</w:t>
      </w:r>
      <w:r w:rsidRPr="00AB08B7">
        <w:rPr>
          <w:rFonts w:cs="Tahoma"/>
          <w:szCs w:val="22"/>
        </w:rPr>
        <w:t>:</w:t>
      </w:r>
    </w:p>
    <w:p w14:paraId="74B30008" w14:textId="77777777" w:rsidR="00664420" w:rsidRPr="00AB08B7" w:rsidRDefault="00664420" w:rsidP="00AB08B7">
      <w:pPr>
        <w:tabs>
          <w:tab w:val="left" w:pos="4667"/>
        </w:tabs>
        <w:ind w:right="539"/>
        <w:rPr>
          <w:rFonts w:cs="Tahoma"/>
          <w:szCs w:val="22"/>
        </w:rPr>
      </w:pPr>
    </w:p>
    <w:p w14:paraId="12153283" w14:textId="77777777" w:rsidR="00664420" w:rsidRPr="00AB08B7" w:rsidRDefault="00664420" w:rsidP="00AB08B7">
      <w:pPr>
        <w:tabs>
          <w:tab w:val="left" w:pos="4667"/>
        </w:tabs>
        <w:ind w:left="567" w:right="539"/>
        <w:rPr>
          <w:rFonts w:cs="Tahoma"/>
          <w:b/>
          <w:iCs/>
          <w:szCs w:val="22"/>
        </w:rPr>
      </w:pPr>
      <w:r w:rsidRPr="00AB08B7">
        <w:rPr>
          <w:rFonts w:cs="Tahoma"/>
          <w:b/>
          <w:iCs/>
          <w:szCs w:val="22"/>
        </w:rPr>
        <w:t>ACTO IMPUGNADO</w:t>
      </w:r>
      <w:r w:rsidRPr="00AB08B7">
        <w:rPr>
          <w:rFonts w:cs="Tahoma"/>
          <w:b/>
          <w:iCs/>
          <w:szCs w:val="22"/>
        </w:rPr>
        <w:tab/>
      </w:r>
    </w:p>
    <w:p w14:paraId="7432A49B" w14:textId="77777777" w:rsidR="00C27F8A" w:rsidRPr="00AB08B7" w:rsidRDefault="00C27F8A" w:rsidP="00AB08B7">
      <w:pPr>
        <w:tabs>
          <w:tab w:val="left" w:pos="4667"/>
        </w:tabs>
        <w:ind w:left="567" w:right="539"/>
        <w:rPr>
          <w:rFonts w:cs="Tahoma"/>
          <w:b/>
          <w:iCs/>
          <w:szCs w:val="22"/>
        </w:rPr>
      </w:pPr>
    </w:p>
    <w:p w14:paraId="523F8BF4" w14:textId="785E90E2" w:rsidR="00664420" w:rsidRPr="00AB08B7" w:rsidRDefault="00E71ED8" w:rsidP="00AB08B7">
      <w:pPr>
        <w:pStyle w:val="Puesto"/>
        <w:rPr>
          <w:szCs w:val="22"/>
        </w:rPr>
      </w:pPr>
      <w:r w:rsidRPr="00AB08B7">
        <w:rPr>
          <w:szCs w:val="22"/>
        </w:rPr>
        <w:t>“Por medio del presente, en mi calidad de solicitante de información a través del portal SAIMEX (Infomex), con fecha [fecha en la que se realizó la solicitud], interpongo formal recurso de revisión ante la Comisión de Transparencia y Acceso a la Información Pública del Estado de México, en relación con la respuesta que se me proporcionó el , respecto a mi solicitud de acceso a la siguiente información referente a la peregrinación ciclista a la Bajista de Guadalupe: Número de bicicletas rifadas Proveedor de bicicletas Cotizaciones, facturas y documentos relacionados con los pagos realizados al proveedor Nombres de los ganadores de las bicicletas rifadas”</w:t>
      </w:r>
    </w:p>
    <w:p w14:paraId="6AE8EA9A" w14:textId="77777777" w:rsidR="00664420" w:rsidRPr="00AB08B7" w:rsidRDefault="00664420" w:rsidP="00AB08B7">
      <w:pPr>
        <w:tabs>
          <w:tab w:val="left" w:pos="4667"/>
        </w:tabs>
        <w:ind w:left="567" w:right="539"/>
        <w:rPr>
          <w:rFonts w:cs="Tahoma"/>
          <w:bCs/>
          <w:i/>
          <w:szCs w:val="22"/>
        </w:rPr>
      </w:pPr>
    </w:p>
    <w:p w14:paraId="047D036B" w14:textId="77777777" w:rsidR="00664420" w:rsidRPr="00AB08B7" w:rsidRDefault="00664420" w:rsidP="00AB08B7">
      <w:pPr>
        <w:tabs>
          <w:tab w:val="left" w:pos="4667"/>
        </w:tabs>
        <w:ind w:left="567" w:right="539"/>
        <w:rPr>
          <w:rFonts w:cs="Tahoma"/>
          <w:b/>
          <w:iCs/>
          <w:szCs w:val="22"/>
        </w:rPr>
      </w:pPr>
      <w:r w:rsidRPr="00AB08B7">
        <w:rPr>
          <w:rFonts w:cs="Tahoma"/>
          <w:b/>
          <w:iCs/>
          <w:szCs w:val="22"/>
        </w:rPr>
        <w:t>RAZONES O MOTIVOS DE LA INCONFORMIDAD</w:t>
      </w:r>
      <w:r w:rsidRPr="00AB08B7">
        <w:rPr>
          <w:rFonts w:cs="Tahoma"/>
          <w:b/>
          <w:iCs/>
          <w:szCs w:val="22"/>
        </w:rPr>
        <w:tab/>
      </w:r>
    </w:p>
    <w:p w14:paraId="55E1B69C" w14:textId="77777777" w:rsidR="00C27F8A" w:rsidRPr="00AB08B7" w:rsidRDefault="00C27F8A" w:rsidP="00AB08B7">
      <w:pPr>
        <w:tabs>
          <w:tab w:val="left" w:pos="4667"/>
        </w:tabs>
        <w:ind w:left="567" w:right="539"/>
        <w:rPr>
          <w:rFonts w:cs="Tahoma"/>
          <w:b/>
          <w:iCs/>
          <w:szCs w:val="22"/>
        </w:rPr>
      </w:pPr>
    </w:p>
    <w:p w14:paraId="1DAE2563" w14:textId="5FAF6954" w:rsidR="00953430" w:rsidRPr="00AB08B7" w:rsidRDefault="00E71ED8" w:rsidP="00AB08B7">
      <w:pPr>
        <w:pStyle w:val="Puesto"/>
        <w:rPr>
          <w:szCs w:val="22"/>
        </w:rPr>
      </w:pPr>
      <w:r w:rsidRPr="00AB08B7">
        <w:rPr>
          <w:szCs w:val="22"/>
        </w:rPr>
        <w:lastRenderedPageBreak/>
        <w:t>“Inexistencia de justificación clara: La respuesta proporcionada por el sujeto obligado (H. Ayuntamiento de Huehuetoca) refiere que la información se encuentra "reservada" debido a la Ley de Protección de Datos Personales en Posesión de Sujetos Obligados del Estado de México y Municipios, sin presentar una justificación adecuada para la reserva de la información solicitada. A pesar de que los datos personales de los ganadores pueden estar involucrados, la Ley de Transparencia establece que la información relacionada con actos de autoridad o la gestión pública debe ser accesible, siempre que no haya un riesgo evidente de vulnerar derechos fundamentales. Datos no sensibles: La Ley de Transparencia no impide el acceso a la información relacionada con la gestión pública, como el número de bicicletas rifadas, el proveedor que las suministró y los costos relacionados. Dichos datos no están sujetos a la Ley de Protección de Datos Personales, ya que no involucran información sensible que afecte la privacidad de los individuos. La divulgación de los nombres de los ganadores podría ser una excepción si se considera que afectaría la privacidad de los individuos, sin embargo, aún así se pueden proporcionar de manera anonimizada o resumida. Obligación de proporcionar información pública: El sujeto obligado debe garantizar la transparencia de los recursos públicos, incluidas las contrataciones, las rifas y cualquier evento organizado por el gobierno. El número de bicicletas, el proveedor y las facturas están relacionados con el uso de recursos públicos y deben ser entregados sin reserva, a menos que se demuestre que existe un riesgo real de afectar derechos fundamentales. Por lo tanto, solicito: Que la Comisión de Transparencia revise la respuesta proporcionada y ordene la entrega de la información solicitada, excluyendo únicamente los nombres de los ganadores de la rifa (en caso de que no se pueda hacer de manera anonimizada) y permitiendo la entrega de los demás datos solicitados sin restricción. Que se emita una resolución conforme a la Ley de Transparencia y Acceso a la Información Pública del Estado de México, garantizando la protección de los datos personales solo cuando realmente sea necesario y no como una respuesta generalizada.”</w:t>
      </w:r>
    </w:p>
    <w:p w14:paraId="2ACDAB7A" w14:textId="77777777" w:rsidR="00C27F8A" w:rsidRPr="00AB08B7" w:rsidRDefault="00C27F8A" w:rsidP="00AB08B7">
      <w:pPr>
        <w:rPr>
          <w:szCs w:val="22"/>
        </w:rPr>
      </w:pPr>
    </w:p>
    <w:p w14:paraId="6804DEF1" w14:textId="3C4F6CB5" w:rsidR="00664420" w:rsidRPr="00AB08B7" w:rsidRDefault="006E25BC" w:rsidP="00AB08B7">
      <w:pPr>
        <w:pStyle w:val="Ttulo3"/>
        <w:rPr>
          <w:szCs w:val="22"/>
        </w:rPr>
      </w:pPr>
      <w:bookmarkStart w:id="10" w:name="_Toc193387476"/>
      <w:r w:rsidRPr="00AB08B7">
        <w:rPr>
          <w:szCs w:val="22"/>
        </w:rPr>
        <w:t>b</w:t>
      </w:r>
      <w:r w:rsidR="00664420" w:rsidRPr="00AB08B7">
        <w:rPr>
          <w:szCs w:val="22"/>
        </w:rPr>
        <w:t>) Turno del Recurso de Revisión</w:t>
      </w:r>
      <w:bookmarkEnd w:id="10"/>
    </w:p>
    <w:p w14:paraId="1173671B" w14:textId="15F14C51" w:rsidR="00C72DAA" w:rsidRPr="00AB08B7" w:rsidRDefault="00C72DAA" w:rsidP="00AB08B7">
      <w:pPr>
        <w:rPr>
          <w:szCs w:val="22"/>
        </w:rPr>
      </w:pPr>
      <w:r w:rsidRPr="00AB08B7">
        <w:rPr>
          <w:szCs w:val="22"/>
        </w:rPr>
        <w:t>Con fundamento en el artículo 185, fracción I de la Ley de Transparencia y Acceso a la Información Pública del Estado de México y Municipios, el</w:t>
      </w:r>
      <w:r w:rsidR="00E71ED8" w:rsidRPr="00AB08B7">
        <w:rPr>
          <w:szCs w:val="22"/>
        </w:rPr>
        <w:t xml:space="preserve"> </w:t>
      </w:r>
      <w:r w:rsidR="008179ED" w:rsidRPr="00AB08B7">
        <w:rPr>
          <w:b/>
          <w:szCs w:val="22"/>
        </w:rPr>
        <w:t>doce</w:t>
      </w:r>
      <w:r w:rsidR="00E71ED8" w:rsidRPr="00AB08B7">
        <w:rPr>
          <w:b/>
          <w:szCs w:val="22"/>
        </w:rPr>
        <w:t xml:space="preserve"> de febrero de dos mil veinticinc</w:t>
      </w:r>
      <w:r w:rsidR="00E71ED8" w:rsidRPr="00AB08B7">
        <w:rPr>
          <w:szCs w:val="22"/>
        </w:rPr>
        <w:t>o,</w:t>
      </w:r>
      <w:r w:rsidRPr="00AB08B7">
        <w:rPr>
          <w:szCs w:val="22"/>
        </w:rPr>
        <w:t xml:space="preserve"> se turnó el recurso de revisión a través del</w:t>
      </w:r>
      <w:r w:rsidRPr="00AB08B7">
        <w:rPr>
          <w:rFonts w:eastAsia="Arial Unicode MS"/>
          <w:szCs w:val="22"/>
        </w:rPr>
        <w:t xml:space="preserve"> </w:t>
      </w:r>
      <w:r w:rsidRPr="00AB08B7">
        <w:rPr>
          <w:rFonts w:eastAsia="Arial Unicode MS"/>
          <w:bCs/>
          <w:szCs w:val="22"/>
        </w:rPr>
        <w:t>SAIMEX</w:t>
      </w:r>
      <w:r w:rsidRPr="00AB08B7">
        <w:rPr>
          <w:szCs w:val="22"/>
        </w:rPr>
        <w:t xml:space="preserve"> a la </w:t>
      </w:r>
      <w:r w:rsidRPr="00AB08B7">
        <w:rPr>
          <w:b/>
          <w:szCs w:val="22"/>
        </w:rPr>
        <w:t>Comisionada Sharon Cristina Morales Martínez</w:t>
      </w:r>
      <w:r w:rsidRPr="00AB08B7">
        <w:rPr>
          <w:bCs/>
          <w:szCs w:val="22"/>
        </w:rPr>
        <w:t xml:space="preserve">, </w:t>
      </w:r>
      <w:r w:rsidRPr="00AB08B7">
        <w:rPr>
          <w:szCs w:val="22"/>
        </w:rPr>
        <w:t xml:space="preserve">a efecto de decretar su admisión o desechamiento. </w:t>
      </w:r>
    </w:p>
    <w:p w14:paraId="18F305CB" w14:textId="77777777" w:rsidR="00664420" w:rsidRPr="00AB08B7" w:rsidRDefault="00664420" w:rsidP="00AB08B7">
      <w:pPr>
        <w:rPr>
          <w:rFonts w:eastAsia="Batang" w:cs="Tahoma"/>
          <w:bCs/>
          <w:szCs w:val="22"/>
        </w:rPr>
      </w:pPr>
    </w:p>
    <w:p w14:paraId="3E31EC2D" w14:textId="295256A1" w:rsidR="00664420" w:rsidRPr="00AB08B7" w:rsidRDefault="006E25BC" w:rsidP="00AB08B7">
      <w:pPr>
        <w:pStyle w:val="Ttulo3"/>
        <w:rPr>
          <w:szCs w:val="22"/>
        </w:rPr>
      </w:pPr>
      <w:bookmarkStart w:id="11" w:name="_Toc193387477"/>
      <w:r w:rsidRPr="00AB08B7">
        <w:rPr>
          <w:szCs w:val="22"/>
        </w:rPr>
        <w:lastRenderedPageBreak/>
        <w:t>c</w:t>
      </w:r>
      <w:r w:rsidR="00664420" w:rsidRPr="00AB08B7">
        <w:rPr>
          <w:szCs w:val="22"/>
        </w:rPr>
        <w:t>) Admisión del Recurso de Revisión</w:t>
      </w:r>
      <w:bookmarkEnd w:id="11"/>
    </w:p>
    <w:p w14:paraId="240447D5" w14:textId="267183F0" w:rsidR="000E09C4" w:rsidRPr="00AB08B7" w:rsidRDefault="000E09C4" w:rsidP="00AB08B7">
      <w:pPr>
        <w:rPr>
          <w:rFonts w:cs="Arial"/>
          <w:szCs w:val="22"/>
        </w:rPr>
      </w:pPr>
      <w:r w:rsidRPr="00AB08B7">
        <w:rPr>
          <w:rFonts w:cs="Arial"/>
          <w:szCs w:val="22"/>
        </w:rPr>
        <w:t>El</w:t>
      </w:r>
      <w:r w:rsidR="00E71ED8" w:rsidRPr="00AB08B7">
        <w:rPr>
          <w:rFonts w:cs="Arial"/>
          <w:szCs w:val="22"/>
        </w:rPr>
        <w:t xml:space="preserve"> </w:t>
      </w:r>
      <w:r w:rsidR="00E71ED8" w:rsidRPr="00AB08B7">
        <w:rPr>
          <w:rFonts w:cs="Arial"/>
          <w:b/>
          <w:szCs w:val="22"/>
        </w:rPr>
        <w:t>trece de febrero de dos mil veinticinco</w:t>
      </w:r>
      <w:r w:rsidR="00E71ED8" w:rsidRPr="00AB08B7">
        <w:rPr>
          <w:rFonts w:cs="Arial"/>
          <w:szCs w:val="22"/>
        </w:rPr>
        <w:t>,</w:t>
      </w:r>
      <w:r w:rsidRPr="00AB08B7">
        <w:rPr>
          <w:rFonts w:cs="Arial"/>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B08B7">
        <w:rPr>
          <w:rFonts w:cs="Arial"/>
          <w:szCs w:val="22"/>
        </w:rPr>
        <w:t>, fracción II</w:t>
      </w:r>
      <w:r w:rsidRPr="00AB08B7">
        <w:rPr>
          <w:rFonts w:cs="Arial"/>
          <w:szCs w:val="22"/>
        </w:rPr>
        <w:t xml:space="preserve"> de la Ley de Transparencia y Acceso a la Información Pública del Estado de México y Municipios.</w:t>
      </w:r>
    </w:p>
    <w:p w14:paraId="09B589C5" w14:textId="77777777" w:rsidR="00664420" w:rsidRPr="00AB08B7" w:rsidRDefault="00664420" w:rsidP="00AB08B7">
      <w:pPr>
        <w:rPr>
          <w:rFonts w:cs="Tahoma"/>
          <w:b/>
          <w:szCs w:val="22"/>
        </w:rPr>
      </w:pPr>
    </w:p>
    <w:p w14:paraId="3B820F58" w14:textId="3D1E4E39" w:rsidR="00865CF4" w:rsidRPr="00AB08B7" w:rsidRDefault="00C27F8A" w:rsidP="00AB08B7">
      <w:pPr>
        <w:pStyle w:val="Ttulo3"/>
        <w:rPr>
          <w:szCs w:val="22"/>
        </w:rPr>
      </w:pPr>
      <w:bookmarkStart w:id="12" w:name="_Toc193387478"/>
      <w:r w:rsidRPr="00AB08B7">
        <w:rPr>
          <w:szCs w:val="22"/>
        </w:rPr>
        <w:t>d</w:t>
      </w:r>
      <w:r w:rsidR="00664420" w:rsidRPr="00AB08B7">
        <w:rPr>
          <w:szCs w:val="22"/>
        </w:rPr>
        <w:t xml:space="preserve">) </w:t>
      </w:r>
      <w:r w:rsidR="00865CF4" w:rsidRPr="00AB08B7">
        <w:rPr>
          <w:szCs w:val="22"/>
        </w:rPr>
        <w:t>Informe Justificado del Sujeto Obligado</w:t>
      </w:r>
      <w:bookmarkEnd w:id="12"/>
    </w:p>
    <w:p w14:paraId="14A706BE" w14:textId="77777777" w:rsidR="00865CF4" w:rsidRPr="00AB08B7" w:rsidRDefault="00865CF4" w:rsidP="00AB08B7">
      <w:pPr>
        <w:rPr>
          <w:rFonts w:eastAsia="Arial Unicode MS" w:cs="Arial"/>
          <w:szCs w:val="22"/>
        </w:rPr>
      </w:pPr>
      <w:r w:rsidRPr="00AB08B7">
        <w:rPr>
          <w:rFonts w:cs="Tahoma"/>
          <w:b/>
          <w:szCs w:val="22"/>
        </w:rPr>
        <w:t xml:space="preserve">EL SUJETO OBLIGADO </w:t>
      </w:r>
      <w:r w:rsidRPr="00AB08B7">
        <w:rPr>
          <w:rFonts w:eastAsia="Arial Unicode MS" w:cs="Arial"/>
          <w:szCs w:val="22"/>
        </w:rPr>
        <w:t>no rindió su informe justificado dentro del término legalmente concedido para tal efecto.</w:t>
      </w:r>
    </w:p>
    <w:p w14:paraId="6E939452" w14:textId="77777777" w:rsidR="00865CF4" w:rsidRPr="00AB08B7" w:rsidRDefault="00865CF4" w:rsidP="00AB08B7">
      <w:pPr>
        <w:rPr>
          <w:rFonts w:eastAsia="Calibri" w:cs="Tahoma"/>
          <w:szCs w:val="22"/>
          <w:lang w:eastAsia="en-US"/>
        </w:rPr>
      </w:pPr>
    </w:p>
    <w:p w14:paraId="755B7730" w14:textId="2A7FBCCC" w:rsidR="00664420" w:rsidRPr="00AB08B7" w:rsidRDefault="00C27F8A" w:rsidP="00AB08B7">
      <w:pPr>
        <w:pStyle w:val="Ttulo3"/>
        <w:rPr>
          <w:szCs w:val="22"/>
          <w:lang w:val="es-ES"/>
        </w:rPr>
      </w:pPr>
      <w:bookmarkStart w:id="13" w:name="_Toc193387479"/>
      <w:r w:rsidRPr="00AB08B7">
        <w:rPr>
          <w:rFonts w:eastAsia="Calibri"/>
          <w:bCs/>
          <w:szCs w:val="22"/>
          <w:lang w:eastAsia="en-US"/>
        </w:rPr>
        <w:t>e</w:t>
      </w:r>
      <w:r w:rsidR="00664420" w:rsidRPr="00AB08B7">
        <w:rPr>
          <w:rFonts w:eastAsia="Calibri"/>
          <w:bCs/>
          <w:szCs w:val="22"/>
          <w:lang w:eastAsia="en-US"/>
        </w:rPr>
        <w:t>)</w:t>
      </w:r>
      <w:r w:rsidR="00664420" w:rsidRPr="00AB08B7">
        <w:rPr>
          <w:szCs w:val="22"/>
        </w:rPr>
        <w:t xml:space="preserve"> </w:t>
      </w:r>
      <w:r w:rsidR="00865CF4" w:rsidRPr="00AB08B7">
        <w:rPr>
          <w:szCs w:val="22"/>
          <w:lang w:val="es-ES"/>
        </w:rPr>
        <w:t>Manifestaciones de la Parte Recurrente</w:t>
      </w:r>
      <w:bookmarkEnd w:id="13"/>
    </w:p>
    <w:p w14:paraId="4E8AF011" w14:textId="77777777" w:rsidR="00865CF4" w:rsidRPr="00AB08B7" w:rsidRDefault="00865CF4" w:rsidP="00AB08B7">
      <w:pPr>
        <w:rPr>
          <w:rFonts w:eastAsia="Arial Unicode MS" w:cs="Arial"/>
          <w:szCs w:val="22"/>
        </w:rPr>
      </w:pPr>
      <w:r w:rsidRPr="00AB08B7">
        <w:rPr>
          <w:rFonts w:cs="Tahoma"/>
          <w:b/>
          <w:szCs w:val="22"/>
        </w:rPr>
        <w:t xml:space="preserve">LA PARTE RECURRENTE </w:t>
      </w:r>
      <w:r w:rsidRPr="00AB08B7">
        <w:rPr>
          <w:rFonts w:eastAsia="Arial Unicode MS" w:cs="Arial"/>
          <w:szCs w:val="22"/>
        </w:rPr>
        <w:t>no realizó manifestación alguna dentro del término legalmente concedido para tal efecto, ni presentó pruebas o alegatos.</w:t>
      </w:r>
    </w:p>
    <w:p w14:paraId="6923684C" w14:textId="77777777" w:rsidR="00664420" w:rsidRPr="00AB08B7" w:rsidRDefault="00664420" w:rsidP="00AB08B7">
      <w:pPr>
        <w:rPr>
          <w:rFonts w:cs="Tahoma"/>
          <w:szCs w:val="22"/>
        </w:rPr>
      </w:pPr>
    </w:p>
    <w:p w14:paraId="0E651988" w14:textId="5B557425" w:rsidR="00664420" w:rsidRPr="00AB08B7" w:rsidRDefault="00C27F8A" w:rsidP="00AB08B7">
      <w:pPr>
        <w:pStyle w:val="Ttulo3"/>
        <w:rPr>
          <w:szCs w:val="22"/>
        </w:rPr>
      </w:pPr>
      <w:bookmarkStart w:id="14" w:name="_Toc193387480"/>
      <w:r w:rsidRPr="00AB08B7">
        <w:rPr>
          <w:szCs w:val="22"/>
        </w:rPr>
        <w:t>f</w:t>
      </w:r>
      <w:r w:rsidR="00664420" w:rsidRPr="00AB08B7">
        <w:rPr>
          <w:szCs w:val="22"/>
        </w:rPr>
        <w:t>) Cierre de instrucción</w:t>
      </w:r>
      <w:bookmarkEnd w:id="14"/>
    </w:p>
    <w:p w14:paraId="79AF95DC" w14:textId="5FB0C15E" w:rsidR="00664420" w:rsidRPr="00AB08B7" w:rsidRDefault="00BF091A" w:rsidP="00AB08B7">
      <w:pPr>
        <w:rPr>
          <w:rFonts w:cs="Tahoma"/>
          <w:szCs w:val="22"/>
        </w:rPr>
      </w:pPr>
      <w:r w:rsidRPr="00AB08B7">
        <w:rPr>
          <w:rFonts w:cs="Tahoma"/>
          <w:szCs w:val="22"/>
        </w:rPr>
        <w:t>Al no existir diligencias pendientes por desahogar</w:t>
      </w:r>
      <w:r w:rsidRPr="00AB08B7">
        <w:rPr>
          <w:rFonts w:cs="Arial"/>
          <w:szCs w:val="22"/>
        </w:rPr>
        <w:t>, el</w:t>
      </w:r>
      <w:r w:rsidR="00E71ED8" w:rsidRPr="00AB08B7">
        <w:rPr>
          <w:rFonts w:cs="Arial"/>
          <w:szCs w:val="22"/>
        </w:rPr>
        <w:t xml:space="preserve"> </w:t>
      </w:r>
      <w:r w:rsidR="00C27F8A" w:rsidRPr="00AB08B7">
        <w:rPr>
          <w:rFonts w:cs="Arial"/>
          <w:b/>
          <w:szCs w:val="22"/>
        </w:rPr>
        <w:t xml:space="preserve">diecinueve </w:t>
      </w:r>
      <w:r w:rsidR="00E71ED8" w:rsidRPr="00AB08B7">
        <w:rPr>
          <w:rFonts w:cs="Arial"/>
          <w:b/>
          <w:szCs w:val="22"/>
        </w:rPr>
        <w:t>de marzo de dos mil veinticinco</w:t>
      </w:r>
      <w:r w:rsidRPr="00AB08B7">
        <w:rPr>
          <w:rFonts w:cs="Arial"/>
          <w:szCs w:val="22"/>
        </w:rPr>
        <w:t xml:space="preserve"> la </w:t>
      </w:r>
      <w:r w:rsidRPr="00AB08B7">
        <w:rPr>
          <w:rFonts w:cs="Arial"/>
          <w:b/>
          <w:bCs/>
          <w:szCs w:val="22"/>
        </w:rPr>
        <w:t xml:space="preserve">Comisionada </w:t>
      </w:r>
      <w:r w:rsidRPr="00AB08B7">
        <w:rPr>
          <w:b/>
          <w:szCs w:val="22"/>
        </w:rPr>
        <w:t xml:space="preserve">Sharon Cristina Morales Martínez </w:t>
      </w:r>
      <w:r w:rsidRPr="00AB08B7">
        <w:rPr>
          <w:rFonts w:cs="Arial"/>
          <w:szCs w:val="22"/>
        </w:rPr>
        <w:t>acordó el cierre de instrucción</w:t>
      </w:r>
      <w:r w:rsidR="0011350D" w:rsidRPr="00AB08B7">
        <w:rPr>
          <w:rFonts w:cs="Arial"/>
          <w:szCs w:val="22"/>
        </w:rPr>
        <w:t xml:space="preserve"> y</w:t>
      </w:r>
      <w:r w:rsidRPr="00AB08B7">
        <w:rPr>
          <w:rFonts w:cs="Arial"/>
          <w:szCs w:val="22"/>
        </w:rPr>
        <w:t xml:space="preserve"> </w:t>
      </w:r>
      <w:r w:rsidR="0011350D" w:rsidRPr="00AB08B7">
        <w:rPr>
          <w:rFonts w:cs="Arial"/>
          <w:szCs w:val="22"/>
        </w:rPr>
        <w:t xml:space="preserve">la </w:t>
      </w:r>
      <w:r w:rsidRPr="00AB08B7">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AB08B7">
        <w:rPr>
          <w:szCs w:val="22"/>
        </w:rPr>
        <w:t>.</w:t>
      </w:r>
      <w:r w:rsidR="0011350D" w:rsidRPr="00AB08B7">
        <w:rPr>
          <w:szCs w:val="22"/>
        </w:rPr>
        <w:t xml:space="preserve"> Dicho acuerdo </w:t>
      </w:r>
      <w:r w:rsidR="00664420" w:rsidRPr="00AB08B7">
        <w:rPr>
          <w:rFonts w:cs="Tahoma"/>
          <w:szCs w:val="22"/>
        </w:rPr>
        <w:t xml:space="preserve">fue notificado a las partes el mismo día a través del </w:t>
      </w:r>
      <w:r w:rsidR="00664420" w:rsidRPr="00AB08B7">
        <w:rPr>
          <w:rFonts w:cs="Tahoma"/>
          <w:szCs w:val="22"/>
          <w:lang w:val="es-ES"/>
        </w:rPr>
        <w:t>SAIMEX</w:t>
      </w:r>
      <w:r w:rsidR="00664420" w:rsidRPr="00AB08B7">
        <w:rPr>
          <w:rFonts w:cs="Tahoma"/>
          <w:szCs w:val="22"/>
        </w:rPr>
        <w:t>.</w:t>
      </w:r>
    </w:p>
    <w:p w14:paraId="40776416" w14:textId="77777777" w:rsidR="00C059ED" w:rsidRPr="00AB08B7" w:rsidRDefault="00C059ED" w:rsidP="00AB08B7">
      <w:pPr>
        <w:rPr>
          <w:szCs w:val="22"/>
        </w:rPr>
      </w:pPr>
    </w:p>
    <w:p w14:paraId="741683E3" w14:textId="77777777" w:rsidR="0011350D" w:rsidRPr="00AB08B7" w:rsidRDefault="0011350D" w:rsidP="00AB08B7">
      <w:pPr>
        <w:rPr>
          <w:rFonts w:cs="Tahoma"/>
          <w:szCs w:val="22"/>
        </w:rPr>
      </w:pPr>
    </w:p>
    <w:p w14:paraId="7A9629DE" w14:textId="77777777" w:rsidR="00664420" w:rsidRPr="00AB08B7" w:rsidRDefault="00664420" w:rsidP="00AB08B7">
      <w:pPr>
        <w:pStyle w:val="Ttulo1"/>
        <w:rPr>
          <w:rFonts w:eastAsiaTheme="minorHAnsi"/>
          <w:szCs w:val="22"/>
          <w:lang w:eastAsia="en-US"/>
        </w:rPr>
      </w:pPr>
      <w:bookmarkStart w:id="15" w:name="_Toc193387481"/>
      <w:r w:rsidRPr="00AB08B7">
        <w:rPr>
          <w:rFonts w:eastAsiaTheme="minorHAnsi"/>
          <w:szCs w:val="22"/>
          <w:lang w:eastAsia="en-US"/>
        </w:rPr>
        <w:lastRenderedPageBreak/>
        <w:t>CONSIDERANDOS</w:t>
      </w:r>
      <w:bookmarkEnd w:id="15"/>
    </w:p>
    <w:p w14:paraId="6DD1243B" w14:textId="77777777" w:rsidR="00664420" w:rsidRPr="00AB08B7" w:rsidRDefault="00664420" w:rsidP="00AB08B7">
      <w:pPr>
        <w:contextualSpacing/>
        <w:jc w:val="center"/>
        <w:rPr>
          <w:rFonts w:eastAsiaTheme="minorHAnsi" w:cs="Tahoma"/>
          <w:b/>
          <w:szCs w:val="22"/>
          <w:lang w:eastAsia="en-US"/>
        </w:rPr>
      </w:pPr>
    </w:p>
    <w:p w14:paraId="0B67CB92" w14:textId="2E307D3B" w:rsidR="00664420" w:rsidRPr="00AB08B7" w:rsidRDefault="00664420" w:rsidP="00AB08B7">
      <w:pPr>
        <w:pStyle w:val="Ttulo2"/>
        <w:rPr>
          <w:rFonts w:eastAsia="Batang"/>
          <w:szCs w:val="22"/>
        </w:rPr>
      </w:pPr>
      <w:bookmarkStart w:id="16" w:name="_Toc193387482"/>
      <w:r w:rsidRPr="00AB08B7">
        <w:rPr>
          <w:rFonts w:eastAsia="Batang"/>
          <w:szCs w:val="22"/>
        </w:rPr>
        <w:t xml:space="preserve">PRIMERO. </w:t>
      </w:r>
      <w:r w:rsidR="00BA55A8" w:rsidRPr="00AB08B7">
        <w:rPr>
          <w:rFonts w:eastAsia="Batang"/>
          <w:szCs w:val="22"/>
        </w:rPr>
        <w:t>Procedibilidad</w:t>
      </w:r>
      <w:bookmarkEnd w:id="16"/>
    </w:p>
    <w:p w14:paraId="39C52BC1" w14:textId="56FCC20D" w:rsidR="00BA55A8" w:rsidRPr="00AB08B7" w:rsidRDefault="00BA55A8" w:rsidP="00AB08B7">
      <w:pPr>
        <w:pStyle w:val="Ttulo3"/>
        <w:rPr>
          <w:szCs w:val="22"/>
        </w:rPr>
      </w:pPr>
      <w:bookmarkStart w:id="17" w:name="_Toc193387483"/>
      <w:r w:rsidRPr="00AB08B7">
        <w:rPr>
          <w:szCs w:val="22"/>
        </w:rPr>
        <w:t>a) Competencia</w:t>
      </w:r>
      <w:r w:rsidR="00150C49" w:rsidRPr="00AB08B7">
        <w:rPr>
          <w:szCs w:val="22"/>
        </w:rPr>
        <w:t xml:space="preserve"> del Instituto</w:t>
      </w:r>
      <w:bookmarkEnd w:id="17"/>
    </w:p>
    <w:p w14:paraId="56E64942" w14:textId="6572EDF7" w:rsidR="0011350D" w:rsidRPr="00AB08B7" w:rsidRDefault="0011350D" w:rsidP="00AB08B7">
      <w:pPr>
        <w:rPr>
          <w:rFonts w:cs="Arial"/>
          <w:szCs w:val="22"/>
        </w:rPr>
      </w:pPr>
      <w:r w:rsidRPr="00AB08B7">
        <w:rPr>
          <w:szCs w:val="22"/>
        </w:rPr>
        <w:t xml:space="preserve">Este Instituto de Transparencia, Acceso a la Información Pública y Protección de Datos Personales del Estado de México y Municipios es competente para conocer y resolver </w:t>
      </w:r>
      <w:r w:rsidR="005F65B7" w:rsidRPr="00AB08B7">
        <w:rPr>
          <w:szCs w:val="22"/>
        </w:rPr>
        <w:t xml:space="preserve">el </w:t>
      </w:r>
      <w:r w:rsidRPr="00AB08B7">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B08B7">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AB08B7" w:rsidRDefault="00DB1C09" w:rsidP="00AB08B7">
      <w:pPr>
        <w:rPr>
          <w:rFonts w:cs="Arial"/>
          <w:szCs w:val="22"/>
        </w:rPr>
      </w:pPr>
    </w:p>
    <w:p w14:paraId="517A2DD6" w14:textId="4169BE4D" w:rsidR="00664420" w:rsidRPr="00AB08B7" w:rsidRDefault="00BA55A8" w:rsidP="00AB08B7">
      <w:pPr>
        <w:pStyle w:val="Ttulo3"/>
        <w:rPr>
          <w:szCs w:val="22"/>
        </w:rPr>
      </w:pPr>
      <w:bookmarkStart w:id="18" w:name="_Toc193387484"/>
      <w:r w:rsidRPr="00AB08B7">
        <w:rPr>
          <w:szCs w:val="22"/>
        </w:rPr>
        <w:t>b)</w:t>
      </w:r>
      <w:r w:rsidR="00664420" w:rsidRPr="00AB08B7">
        <w:rPr>
          <w:szCs w:val="22"/>
        </w:rPr>
        <w:t xml:space="preserve"> </w:t>
      </w:r>
      <w:r w:rsidR="00D91CB4" w:rsidRPr="00AB08B7">
        <w:rPr>
          <w:szCs w:val="22"/>
        </w:rPr>
        <w:t>Legitimidad</w:t>
      </w:r>
      <w:r w:rsidRPr="00AB08B7">
        <w:rPr>
          <w:szCs w:val="22"/>
        </w:rPr>
        <w:t xml:space="preserve"> de la parte recurrente</w:t>
      </w:r>
      <w:bookmarkEnd w:id="18"/>
    </w:p>
    <w:p w14:paraId="26FEA382" w14:textId="0B06695C" w:rsidR="00D91CB4" w:rsidRPr="00AB08B7" w:rsidRDefault="00D91CB4" w:rsidP="00AB08B7">
      <w:pPr>
        <w:rPr>
          <w:rFonts w:cs="Arial"/>
          <w:bCs/>
          <w:szCs w:val="22"/>
        </w:rPr>
      </w:pPr>
      <w:r w:rsidRPr="00AB08B7">
        <w:rPr>
          <w:rFonts w:cs="Arial"/>
          <w:bCs/>
          <w:szCs w:val="22"/>
        </w:rPr>
        <w:t>El recurso de revisión fue interpuesto por parte legítima, ya que se presentó por la misma persona que formuló la solicitud de acceso a la Información Pública,</w:t>
      </w:r>
      <w:r w:rsidRPr="00AB08B7">
        <w:rPr>
          <w:rFonts w:cs="Arial"/>
          <w:b/>
          <w:bCs/>
          <w:szCs w:val="22"/>
        </w:rPr>
        <w:t xml:space="preserve"> </w:t>
      </w:r>
      <w:r w:rsidRPr="00AB08B7">
        <w:rPr>
          <w:rFonts w:cs="Arial"/>
          <w:szCs w:val="22"/>
        </w:rPr>
        <w:t>debido a que los datos de acceso</w:t>
      </w:r>
      <w:r w:rsidRPr="00AB08B7">
        <w:rPr>
          <w:rFonts w:cs="Arial"/>
          <w:b/>
          <w:bCs/>
          <w:szCs w:val="22"/>
        </w:rPr>
        <w:t xml:space="preserve"> </w:t>
      </w:r>
      <w:r w:rsidRPr="00AB08B7">
        <w:rPr>
          <w:rFonts w:cs="Arial"/>
          <w:b/>
          <w:szCs w:val="22"/>
        </w:rPr>
        <w:t>SAIMEX</w:t>
      </w:r>
      <w:r w:rsidRPr="00AB08B7">
        <w:rPr>
          <w:rFonts w:eastAsia="Calibri" w:cs="Arial"/>
          <w:szCs w:val="22"/>
          <w:lang w:eastAsia="en-US"/>
        </w:rPr>
        <w:t xml:space="preserve"> son personales e irrepetibles.</w:t>
      </w:r>
    </w:p>
    <w:p w14:paraId="2C367810" w14:textId="77777777" w:rsidR="00D91CB4" w:rsidRPr="00AB08B7" w:rsidRDefault="00D91CB4" w:rsidP="00AB08B7">
      <w:pPr>
        <w:rPr>
          <w:szCs w:val="22"/>
        </w:rPr>
      </w:pPr>
    </w:p>
    <w:p w14:paraId="496490FC" w14:textId="1A5F3FDB" w:rsidR="00D91CB4" w:rsidRPr="00AB08B7" w:rsidRDefault="00BA55A8" w:rsidP="00AB08B7">
      <w:pPr>
        <w:pStyle w:val="Ttulo3"/>
        <w:rPr>
          <w:rFonts w:eastAsia="Calibri"/>
          <w:szCs w:val="22"/>
          <w:lang w:eastAsia="es-ES_tradnl"/>
        </w:rPr>
      </w:pPr>
      <w:bookmarkStart w:id="19" w:name="_Toc193387485"/>
      <w:r w:rsidRPr="00AB08B7">
        <w:rPr>
          <w:rFonts w:eastAsia="Calibri"/>
          <w:szCs w:val="22"/>
          <w:lang w:eastAsia="es-ES_tradnl"/>
        </w:rPr>
        <w:t>c)</w:t>
      </w:r>
      <w:r w:rsidR="00664420" w:rsidRPr="00AB08B7">
        <w:rPr>
          <w:rFonts w:eastAsia="Calibri"/>
          <w:szCs w:val="22"/>
          <w:lang w:eastAsia="es-ES_tradnl"/>
        </w:rPr>
        <w:t xml:space="preserve"> </w:t>
      </w:r>
      <w:r w:rsidR="00D91CB4" w:rsidRPr="00AB08B7">
        <w:rPr>
          <w:rFonts w:eastAsia="Calibri"/>
          <w:szCs w:val="22"/>
          <w:lang w:eastAsia="es-ES_tradnl"/>
        </w:rPr>
        <w:t>Plazo para interponer el recurso</w:t>
      </w:r>
      <w:bookmarkEnd w:id="19"/>
    </w:p>
    <w:p w14:paraId="106D37EE" w14:textId="47C70AF2" w:rsidR="00D91CB4" w:rsidRPr="00AB08B7" w:rsidRDefault="00D91CB4" w:rsidP="00AB08B7">
      <w:pPr>
        <w:rPr>
          <w:rFonts w:eastAsiaTheme="minorEastAsia" w:cs="Arial"/>
          <w:szCs w:val="22"/>
          <w:lang w:val="es-ES_tradnl"/>
        </w:rPr>
      </w:pPr>
      <w:r w:rsidRPr="00AB08B7">
        <w:rPr>
          <w:rFonts w:cs="Arial"/>
          <w:b/>
          <w:szCs w:val="22"/>
        </w:rPr>
        <w:t>EL SUJETO OBLIGADO</w:t>
      </w:r>
      <w:r w:rsidRPr="00AB08B7">
        <w:rPr>
          <w:rFonts w:cs="Arial"/>
          <w:szCs w:val="22"/>
        </w:rPr>
        <w:t xml:space="preserve"> notificó la respuesta a la solicitud de acceso a la Información Pública el</w:t>
      </w:r>
      <w:r w:rsidR="00BD005E" w:rsidRPr="00AB08B7">
        <w:rPr>
          <w:rFonts w:cs="Arial"/>
          <w:szCs w:val="22"/>
        </w:rPr>
        <w:t xml:space="preserve"> </w:t>
      </w:r>
      <w:r w:rsidR="00BD005E" w:rsidRPr="00AB08B7">
        <w:rPr>
          <w:rFonts w:cs="Arial"/>
          <w:b/>
          <w:szCs w:val="22"/>
        </w:rPr>
        <w:t>doce de febrero de dos mil veinticinco</w:t>
      </w:r>
      <w:r w:rsidR="00BD005E" w:rsidRPr="00AB08B7">
        <w:rPr>
          <w:rFonts w:cs="Arial"/>
          <w:szCs w:val="22"/>
        </w:rPr>
        <w:t xml:space="preserve"> </w:t>
      </w:r>
      <w:r w:rsidR="00A53315" w:rsidRPr="00AB08B7">
        <w:rPr>
          <w:rFonts w:cs="Arial"/>
          <w:szCs w:val="22"/>
        </w:rPr>
        <w:t xml:space="preserve">y el recurso </w:t>
      </w:r>
      <w:r w:rsidR="00A53315" w:rsidRPr="00AB08B7">
        <w:rPr>
          <w:rFonts w:eastAsia="Palatino Linotype" w:cs="Palatino Linotype"/>
          <w:szCs w:val="22"/>
        </w:rPr>
        <w:t>que nos ocupa se interpuso el</w:t>
      </w:r>
      <w:r w:rsidR="00BD005E" w:rsidRPr="00AB08B7">
        <w:rPr>
          <w:rFonts w:eastAsia="Palatino Linotype" w:cs="Palatino Linotype"/>
          <w:szCs w:val="22"/>
        </w:rPr>
        <w:t xml:space="preserve"> </w:t>
      </w:r>
      <w:r w:rsidR="00BD005E" w:rsidRPr="00AB08B7">
        <w:rPr>
          <w:rFonts w:eastAsia="Palatino Linotype" w:cs="Palatino Linotype"/>
          <w:b/>
          <w:szCs w:val="22"/>
        </w:rPr>
        <w:t>doce de febrero de dos ml veinticinco</w:t>
      </w:r>
      <w:r w:rsidR="00A53315" w:rsidRPr="00AB08B7">
        <w:rPr>
          <w:rFonts w:eastAsia="Palatino Linotype" w:cs="Palatino Linotype"/>
          <w:bCs/>
          <w:szCs w:val="22"/>
        </w:rPr>
        <w:t>;</w:t>
      </w:r>
      <w:r w:rsidR="00A53315" w:rsidRPr="00AB08B7">
        <w:rPr>
          <w:rFonts w:eastAsia="Palatino Linotype" w:cs="Palatino Linotype"/>
          <w:szCs w:val="22"/>
        </w:rPr>
        <w:t xml:space="preserve"> por lo tanto, éste se encuentra dentro del margen temporal </w:t>
      </w:r>
      <w:r w:rsidR="00A53315" w:rsidRPr="00AB08B7">
        <w:rPr>
          <w:rFonts w:eastAsia="Palatino Linotype" w:cs="Palatino Linotype"/>
          <w:szCs w:val="22"/>
        </w:rPr>
        <w:lastRenderedPageBreak/>
        <w:t xml:space="preserve">previsto en el artículo 178 de la </w:t>
      </w:r>
      <w:r w:rsidR="00A53315" w:rsidRPr="00AB08B7">
        <w:rPr>
          <w:rFonts w:cs="Arial"/>
          <w:szCs w:val="22"/>
        </w:rPr>
        <w:t>Ley de Transparencia y Acceso a la Información Pública del Estado de México y Municipios</w:t>
      </w:r>
      <w:r w:rsidR="00163D12" w:rsidRPr="00AB08B7">
        <w:rPr>
          <w:rFonts w:cs="Arial"/>
          <w:szCs w:val="22"/>
        </w:rPr>
        <w:t>.</w:t>
      </w:r>
    </w:p>
    <w:p w14:paraId="49076992" w14:textId="77777777" w:rsidR="00D91CB4" w:rsidRPr="00AB08B7" w:rsidRDefault="00D91CB4" w:rsidP="00AB08B7">
      <w:pPr>
        <w:rPr>
          <w:rFonts w:eastAsia="Palatino Linotype" w:cs="Palatino Linotype"/>
          <w:szCs w:val="22"/>
        </w:rPr>
      </w:pPr>
    </w:p>
    <w:p w14:paraId="5888F550" w14:textId="77777777" w:rsidR="00C27F8A" w:rsidRPr="00AB08B7" w:rsidRDefault="00C27F8A" w:rsidP="00AB08B7">
      <w:pPr>
        <w:rPr>
          <w:szCs w:val="22"/>
        </w:rPr>
      </w:pPr>
      <w:r w:rsidRPr="00AB08B7">
        <w:rPr>
          <w:szCs w:val="22"/>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AB08B7">
        <w:rPr>
          <w:b/>
          <w:szCs w:val="22"/>
        </w:rPr>
        <w:t>EL RECURRENTE</w:t>
      </w:r>
      <w:r w:rsidRPr="00AB08B7">
        <w:rPr>
          <w:szCs w:val="22"/>
        </w:rPr>
        <w:t xml:space="preserve"> tenga conocimiento de la respuesta impugnada; sin embargo, no prohíbe que el Recurso de Revisión, se presente el mismo día en que aquélla fue notificada.</w:t>
      </w:r>
    </w:p>
    <w:p w14:paraId="1937D5BB" w14:textId="77777777" w:rsidR="00C27F8A" w:rsidRPr="00AB08B7" w:rsidRDefault="00C27F8A" w:rsidP="00AB08B7">
      <w:pPr>
        <w:rPr>
          <w:szCs w:val="22"/>
        </w:rPr>
      </w:pPr>
    </w:p>
    <w:p w14:paraId="0E0F2E58" w14:textId="77777777" w:rsidR="00C27F8A" w:rsidRPr="00AB08B7" w:rsidRDefault="00C27F8A" w:rsidP="00AB08B7">
      <w:pPr>
        <w:rPr>
          <w:szCs w:val="22"/>
        </w:rPr>
      </w:pPr>
      <w:r w:rsidRPr="00AB08B7">
        <w:rPr>
          <w:szCs w:val="22"/>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77719D6A" w14:textId="77777777" w:rsidR="00C27F8A" w:rsidRPr="00AB08B7" w:rsidRDefault="00C27F8A" w:rsidP="00AB08B7">
      <w:pPr>
        <w:tabs>
          <w:tab w:val="left" w:pos="851"/>
        </w:tabs>
        <w:spacing w:line="240" w:lineRule="auto"/>
        <w:ind w:left="851" w:right="901"/>
        <w:rPr>
          <w:szCs w:val="22"/>
        </w:rPr>
      </w:pPr>
    </w:p>
    <w:p w14:paraId="5CB0D53B" w14:textId="77777777" w:rsidR="00C27F8A" w:rsidRPr="00AB08B7" w:rsidRDefault="00C27F8A" w:rsidP="00AB08B7">
      <w:pPr>
        <w:pStyle w:val="Puesto"/>
        <w:rPr>
          <w:rFonts w:eastAsia="Times New Roman"/>
          <w:szCs w:val="22"/>
        </w:rPr>
      </w:pPr>
      <w:r w:rsidRPr="00AB08B7">
        <w:rPr>
          <w:rFonts w:eastAsia="Times New Roman"/>
          <w:b/>
          <w:szCs w:val="22"/>
        </w:rPr>
        <w:t xml:space="preserve">“RECURSO DE RECLAMACIÓN. SU INTERPOSICIÓN NO ES EXTEMPORÁNEA SI SE REALIZA ANTES DE QUE INICIE EL PLAZO PARA HACERLO. </w:t>
      </w:r>
      <w:r w:rsidRPr="00AB08B7">
        <w:rPr>
          <w:rFonts w:eastAsia="Times New Roman"/>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6F11DAA" w14:textId="77777777" w:rsidR="00C27F8A" w:rsidRPr="00AB08B7" w:rsidRDefault="00C27F8A" w:rsidP="00AB08B7">
      <w:pPr>
        <w:tabs>
          <w:tab w:val="left" w:pos="851"/>
        </w:tabs>
        <w:spacing w:line="240" w:lineRule="auto"/>
        <w:ind w:left="851" w:right="901"/>
        <w:rPr>
          <w:szCs w:val="22"/>
        </w:rPr>
      </w:pPr>
    </w:p>
    <w:p w14:paraId="6B0BC571" w14:textId="77777777" w:rsidR="00C27F8A" w:rsidRPr="00AB08B7" w:rsidRDefault="00C27F8A" w:rsidP="00AB08B7">
      <w:pPr>
        <w:rPr>
          <w:szCs w:val="22"/>
        </w:rPr>
      </w:pPr>
      <w:r w:rsidRPr="00AB08B7">
        <w:rPr>
          <w:szCs w:val="22"/>
        </w:rPr>
        <w:t>Por lo tanto, en aras de privilegiar el derecho de acceso a la información se entra al estudio del presente Recurso de Revisión, sin que la fecha en que se presentó afecte la Resolución.</w:t>
      </w:r>
    </w:p>
    <w:p w14:paraId="3DA27337" w14:textId="77777777" w:rsidR="00C27F8A" w:rsidRPr="00AB08B7" w:rsidRDefault="00C27F8A" w:rsidP="00AB08B7">
      <w:pPr>
        <w:rPr>
          <w:szCs w:val="22"/>
        </w:rPr>
      </w:pPr>
    </w:p>
    <w:p w14:paraId="46C0EB3A" w14:textId="15F1A919" w:rsidR="00A53315" w:rsidRPr="00AB08B7" w:rsidRDefault="00BA55A8" w:rsidP="00AB08B7">
      <w:pPr>
        <w:pStyle w:val="Ttulo3"/>
        <w:rPr>
          <w:rFonts w:eastAsia="Calibri"/>
          <w:szCs w:val="22"/>
          <w:lang w:eastAsia="es-ES_tradnl"/>
        </w:rPr>
      </w:pPr>
      <w:bookmarkStart w:id="20" w:name="_Toc193387486"/>
      <w:r w:rsidRPr="00AB08B7">
        <w:rPr>
          <w:rFonts w:eastAsia="Calibri"/>
          <w:szCs w:val="22"/>
          <w:lang w:eastAsia="es-ES_tradnl"/>
        </w:rPr>
        <w:lastRenderedPageBreak/>
        <w:t>d)</w:t>
      </w:r>
      <w:r w:rsidR="00D91CB4" w:rsidRPr="00AB08B7">
        <w:rPr>
          <w:rFonts w:eastAsia="Calibri"/>
          <w:szCs w:val="22"/>
          <w:lang w:eastAsia="es-ES_tradnl"/>
        </w:rPr>
        <w:t xml:space="preserve"> </w:t>
      </w:r>
      <w:r w:rsidR="009A0277" w:rsidRPr="00AB08B7">
        <w:rPr>
          <w:rFonts w:eastAsia="Calibri"/>
          <w:szCs w:val="22"/>
          <w:lang w:eastAsia="es-ES_tradnl"/>
        </w:rPr>
        <w:t>Causal de Procedencia</w:t>
      </w:r>
      <w:bookmarkEnd w:id="20"/>
    </w:p>
    <w:p w14:paraId="190404A6" w14:textId="54683A70" w:rsidR="00BA55A8" w:rsidRPr="00AB08B7" w:rsidRDefault="00BA55A8" w:rsidP="00AB08B7">
      <w:pPr>
        <w:rPr>
          <w:szCs w:val="22"/>
        </w:rPr>
      </w:pPr>
      <w:r w:rsidRPr="00AB08B7">
        <w:rPr>
          <w:rFonts w:cs="Arial"/>
          <w:szCs w:val="22"/>
        </w:rPr>
        <w:t xml:space="preserve">Resulta procedente la interposición del recurso de revisión, ya que </w:t>
      </w:r>
      <w:r w:rsidRPr="00AB08B7">
        <w:rPr>
          <w:rFonts w:eastAsia="Calibri" w:cs="Tahoma"/>
          <w:szCs w:val="22"/>
          <w:lang w:eastAsia="es-MX"/>
        </w:rPr>
        <w:t xml:space="preserve">se actualiza la causal de procedencia señalada en el artículo 179, fracción </w:t>
      </w:r>
      <w:r w:rsidR="00F458B1" w:rsidRPr="00AB08B7">
        <w:rPr>
          <w:rFonts w:eastAsia="Calibri" w:cs="Tahoma"/>
          <w:szCs w:val="22"/>
          <w:lang w:eastAsia="es-MX"/>
        </w:rPr>
        <w:t>II</w:t>
      </w:r>
      <w:r w:rsidRPr="00AB08B7">
        <w:rPr>
          <w:rFonts w:cs="Arial"/>
          <w:szCs w:val="22"/>
        </w:rPr>
        <w:t xml:space="preserve"> de la </w:t>
      </w:r>
      <w:r w:rsidRPr="00AB08B7">
        <w:rPr>
          <w:szCs w:val="22"/>
        </w:rPr>
        <w:t>Ley de Transparencia y Acceso a la Información Pública del Estado de México y Municipios.</w:t>
      </w:r>
    </w:p>
    <w:p w14:paraId="0EFF7141" w14:textId="77777777" w:rsidR="00362A11" w:rsidRPr="00AB08B7" w:rsidRDefault="00362A11" w:rsidP="00AB08B7">
      <w:pPr>
        <w:rPr>
          <w:szCs w:val="22"/>
        </w:rPr>
      </w:pPr>
    </w:p>
    <w:p w14:paraId="2284D7EB" w14:textId="3EE1D036" w:rsidR="00BA55A8" w:rsidRPr="00AB08B7" w:rsidRDefault="00362A11" w:rsidP="00AB08B7">
      <w:pPr>
        <w:pStyle w:val="Ttulo3"/>
        <w:rPr>
          <w:szCs w:val="22"/>
        </w:rPr>
      </w:pPr>
      <w:bookmarkStart w:id="21" w:name="_Toc193387487"/>
      <w:r w:rsidRPr="00AB08B7">
        <w:rPr>
          <w:szCs w:val="22"/>
        </w:rPr>
        <w:t>e) Requisitos formales para la interposición del recurso</w:t>
      </w:r>
      <w:bookmarkEnd w:id="21"/>
    </w:p>
    <w:p w14:paraId="6390674A" w14:textId="78A894DD" w:rsidR="00BA55A8" w:rsidRPr="00AB08B7" w:rsidRDefault="00BA55A8" w:rsidP="00AB08B7">
      <w:pPr>
        <w:rPr>
          <w:rFonts w:cs="Arial"/>
          <w:szCs w:val="22"/>
        </w:rPr>
      </w:pPr>
      <w:r w:rsidRPr="00AB08B7">
        <w:rPr>
          <w:rFonts w:cs="Arial"/>
          <w:b/>
          <w:bCs/>
          <w:szCs w:val="22"/>
        </w:rPr>
        <w:t xml:space="preserve">LA PARTE RECURRENTE </w:t>
      </w:r>
      <w:r w:rsidRPr="00AB08B7">
        <w:rPr>
          <w:rFonts w:cs="Arial"/>
          <w:szCs w:val="22"/>
        </w:rPr>
        <w:t>acreditó todos y cada uno de los elementos formales exigidos por el artículo 180 de la misma normatividad.</w:t>
      </w:r>
    </w:p>
    <w:p w14:paraId="616E33DB" w14:textId="77777777" w:rsidR="00C27F8A" w:rsidRPr="00AB08B7" w:rsidRDefault="00C27F8A" w:rsidP="00AB08B7">
      <w:pPr>
        <w:rPr>
          <w:rFonts w:cs="Arial"/>
          <w:szCs w:val="22"/>
        </w:rPr>
      </w:pPr>
    </w:p>
    <w:p w14:paraId="457548E9" w14:textId="3F7AF03B" w:rsidR="00C71CEF" w:rsidRPr="00AB08B7" w:rsidRDefault="00C71CEF" w:rsidP="00AB08B7">
      <w:pPr>
        <w:pStyle w:val="Ttulo2"/>
        <w:rPr>
          <w:szCs w:val="22"/>
        </w:rPr>
      </w:pPr>
      <w:bookmarkStart w:id="22" w:name="_Toc193387488"/>
      <w:r w:rsidRPr="00AB08B7">
        <w:rPr>
          <w:szCs w:val="22"/>
        </w:rPr>
        <w:t>SEGUNDO. Estudio de Fondo</w:t>
      </w:r>
      <w:bookmarkEnd w:id="22"/>
    </w:p>
    <w:p w14:paraId="2A308F59" w14:textId="0FF373F0" w:rsidR="00C049E2" w:rsidRPr="00AB08B7" w:rsidRDefault="00C71CEF" w:rsidP="00AB08B7">
      <w:pPr>
        <w:pStyle w:val="Ttulo3"/>
        <w:rPr>
          <w:szCs w:val="22"/>
        </w:rPr>
      </w:pPr>
      <w:bookmarkStart w:id="23" w:name="_Toc193387489"/>
      <w:r w:rsidRPr="00AB08B7">
        <w:rPr>
          <w:szCs w:val="22"/>
        </w:rPr>
        <w:t>a</w:t>
      </w:r>
      <w:r w:rsidR="00C049E2" w:rsidRPr="00AB08B7">
        <w:rPr>
          <w:szCs w:val="22"/>
        </w:rPr>
        <w:t>) Mandato de transparencia y responsabilidad del Sujeto Obligado</w:t>
      </w:r>
      <w:bookmarkEnd w:id="23"/>
    </w:p>
    <w:p w14:paraId="6901A889" w14:textId="59EEDAE1" w:rsidR="00C049E2" w:rsidRPr="00AB08B7" w:rsidRDefault="00C049E2" w:rsidP="00AB08B7">
      <w:pPr>
        <w:rPr>
          <w:rFonts w:eastAsia="Palatino Linotype"/>
          <w:szCs w:val="22"/>
        </w:rPr>
      </w:pPr>
      <w:r w:rsidRPr="00AB08B7">
        <w:rPr>
          <w:rFonts w:eastAsia="Palatino Linotype"/>
          <w:szCs w:val="22"/>
        </w:rPr>
        <w:t xml:space="preserve">El </w:t>
      </w:r>
      <w:r w:rsidR="00717E59" w:rsidRPr="00AB08B7">
        <w:rPr>
          <w:rFonts w:eastAsia="Palatino Linotype"/>
          <w:szCs w:val="22"/>
        </w:rPr>
        <w:t>d</w:t>
      </w:r>
      <w:r w:rsidRPr="00AB08B7">
        <w:rPr>
          <w:rFonts w:eastAsia="Palatino Linotype"/>
          <w:szCs w:val="22"/>
        </w:rPr>
        <w:t xml:space="preserve">erecho de </w:t>
      </w:r>
      <w:r w:rsidR="00717E59" w:rsidRPr="00AB08B7">
        <w:rPr>
          <w:rFonts w:eastAsia="Palatino Linotype"/>
          <w:szCs w:val="22"/>
        </w:rPr>
        <w:t>a</w:t>
      </w:r>
      <w:r w:rsidRPr="00AB08B7">
        <w:rPr>
          <w:rFonts w:eastAsia="Palatino Linotype"/>
          <w:szCs w:val="22"/>
        </w:rPr>
        <w:t xml:space="preserve">cceso a la </w:t>
      </w:r>
      <w:r w:rsidR="00717E59" w:rsidRPr="00AB08B7">
        <w:rPr>
          <w:rFonts w:eastAsia="Palatino Linotype"/>
          <w:szCs w:val="22"/>
        </w:rPr>
        <w:t>i</w:t>
      </w:r>
      <w:r w:rsidRPr="00AB08B7">
        <w:rPr>
          <w:rFonts w:eastAsia="Palatino Linotype"/>
          <w:szCs w:val="22"/>
        </w:rPr>
        <w:t xml:space="preserve">nformación </w:t>
      </w:r>
      <w:r w:rsidR="00717E59" w:rsidRPr="00AB08B7">
        <w:rPr>
          <w:rFonts w:eastAsia="Palatino Linotype"/>
          <w:szCs w:val="22"/>
        </w:rPr>
        <w:t>p</w:t>
      </w:r>
      <w:r w:rsidRPr="00AB08B7">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AB08B7">
        <w:rPr>
          <w:rFonts w:eastAsia="Palatino Linotype"/>
          <w:szCs w:val="22"/>
        </w:rPr>
        <w:t>:</w:t>
      </w:r>
    </w:p>
    <w:p w14:paraId="7FAB8D32" w14:textId="77777777" w:rsidR="00C049E2" w:rsidRPr="00AB08B7" w:rsidRDefault="00C049E2" w:rsidP="00AB08B7">
      <w:pPr>
        <w:rPr>
          <w:rFonts w:eastAsia="Palatino Linotype"/>
          <w:szCs w:val="22"/>
        </w:rPr>
      </w:pPr>
    </w:p>
    <w:p w14:paraId="05320813" w14:textId="77777777" w:rsidR="00C049E2" w:rsidRPr="00AB08B7" w:rsidRDefault="00C049E2" w:rsidP="00AB08B7">
      <w:pPr>
        <w:spacing w:line="240" w:lineRule="auto"/>
        <w:ind w:left="567" w:right="539"/>
        <w:rPr>
          <w:rFonts w:eastAsia="Palatino Linotype"/>
          <w:b/>
          <w:i/>
          <w:szCs w:val="22"/>
        </w:rPr>
      </w:pPr>
      <w:r w:rsidRPr="00AB08B7">
        <w:rPr>
          <w:rFonts w:eastAsia="Palatino Linotype"/>
          <w:b/>
          <w:i/>
          <w:szCs w:val="22"/>
        </w:rPr>
        <w:t>Constitución Política de los Estados Unidos Mexicanos</w:t>
      </w:r>
    </w:p>
    <w:p w14:paraId="6B6C67B6" w14:textId="77777777" w:rsidR="00C049E2" w:rsidRPr="00AB08B7" w:rsidRDefault="00C049E2" w:rsidP="00AB08B7">
      <w:pPr>
        <w:spacing w:line="240" w:lineRule="auto"/>
        <w:ind w:left="567" w:right="539"/>
        <w:rPr>
          <w:rFonts w:eastAsia="Palatino Linotype"/>
          <w:b/>
          <w:i/>
          <w:szCs w:val="22"/>
        </w:rPr>
      </w:pPr>
      <w:r w:rsidRPr="00AB08B7">
        <w:rPr>
          <w:rFonts w:eastAsia="Palatino Linotype"/>
          <w:b/>
          <w:i/>
          <w:szCs w:val="22"/>
        </w:rPr>
        <w:t>“Artículo 6.</w:t>
      </w:r>
    </w:p>
    <w:p w14:paraId="38D3B4C4" w14:textId="77777777" w:rsidR="00C049E2" w:rsidRPr="00AB08B7" w:rsidRDefault="00C049E2" w:rsidP="00AB08B7">
      <w:pPr>
        <w:spacing w:line="240" w:lineRule="auto"/>
        <w:ind w:left="567" w:right="539"/>
        <w:rPr>
          <w:rFonts w:eastAsia="Palatino Linotype"/>
          <w:i/>
          <w:szCs w:val="22"/>
        </w:rPr>
      </w:pPr>
      <w:r w:rsidRPr="00AB08B7">
        <w:rPr>
          <w:rFonts w:eastAsia="Palatino Linotype"/>
          <w:i/>
          <w:szCs w:val="22"/>
        </w:rPr>
        <w:t>(…)</w:t>
      </w:r>
    </w:p>
    <w:p w14:paraId="2CCAA297" w14:textId="6602827B" w:rsidR="00C049E2" w:rsidRPr="00AB08B7" w:rsidRDefault="00C049E2" w:rsidP="00AB08B7">
      <w:pPr>
        <w:spacing w:line="240" w:lineRule="auto"/>
        <w:ind w:left="567" w:right="539"/>
        <w:rPr>
          <w:rFonts w:eastAsia="Palatino Linotype"/>
          <w:i/>
          <w:szCs w:val="22"/>
        </w:rPr>
      </w:pPr>
      <w:r w:rsidRPr="00AB08B7">
        <w:rPr>
          <w:rFonts w:eastAsia="Palatino Linotype"/>
          <w:i/>
          <w:szCs w:val="22"/>
        </w:rPr>
        <w:t>Para efectos de lo dispuesto en el presente artículo se observará lo siguiente:</w:t>
      </w:r>
    </w:p>
    <w:p w14:paraId="74CC3718" w14:textId="77777777" w:rsidR="00C049E2" w:rsidRPr="00AB08B7" w:rsidRDefault="00C049E2" w:rsidP="00AB08B7">
      <w:pPr>
        <w:spacing w:line="240" w:lineRule="auto"/>
        <w:ind w:left="567" w:right="539"/>
        <w:rPr>
          <w:rFonts w:eastAsia="Palatino Linotype"/>
          <w:b/>
          <w:i/>
          <w:szCs w:val="22"/>
        </w:rPr>
      </w:pPr>
      <w:r w:rsidRPr="00AB08B7">
        <w:rPr>
          <w:rFonts w:eastAsia="Palatino Linotype"/>
          <w:b/>
          <w:i/>
          <w:szCs w:val="22"/>
        </w:rPr>
        <w:t>A</w:t>
      </w:r>
      <w:r w:rsidRPr="00AB08B7">
        <w:rPr>
          <w:rFonts w:eastAsia="Palatino Linotype"/>
          <w:i/>
          <w:szCs w:val="22"/>
        </w:rPr>
        <w:t xml:space="preserve">. </w:t>
      </w:r>
      <w:r w:rsidRPr="00AB08B7">
        <w:rPr>
          <w:rFonts w:eastAsia="Palatino Linotype"/>
          <w:b/>
          <w:i/>
          <w:szCs w:val="22"/>
        </w:rPr>
        <w:t>Para el ejercicio del derecho de acceso a la información</w:t>
      </w:r>
      <w:r w:rsidRPr="00AB08B7">
        <w:rPr>
          <w:rFonts w:eastAsia="Palatino Linotype"/>
          <w:i/>
          <w:szCs w:val="22"/>
        </w:rPr>
        <w:t xml:space="preserve">, la Federación y </w:t>
      </w:r>
      <w:r w:rsidRPr="00AB08B7">
        <w:rPr>
          <w:rFonts w:eastAsia="Palatino Linotype"/>
          <w:b/>
          <w:i/>
          <w:szCs w:val="22"/>
        </w:rPr>
        <w:t>las entidades federativas, en el ámbito de sus respectivas competencias, se regirán por los siguientes principios y bases:</w:t>
      </w:r>
    </w:p>
    <w:p w14:paraId="596A956B" w14:textId="77777777" w:rsidR="00C049E2" w:rsidRPr="00AB08B7" w:rsidRDefault="00C049E2" w:rsidP="00AB08B7">
      <w:pPr>
        <w:spacing w:line="240" w:lineRule="auto"/>
        <w:ind w:left="567" w:right="539"/>
        <w:rPr>
          <w:rFonts w:eastAsia="Palatino Linotype"/>
          <w:i/>
          <w:szCs w:val="22"/>
        </w:rPr>
      </w:pPr>
      <w:r w:rsidRPr="00AB08B7">
        <w:rPr>
          <w:rFonts w:eastAsia="Palatino Linotype"/>
          <w:b/>
          <w:i/>
          <w:szCs w:val="22"/>
        </w:rPr>
        <w:t xml:space="preserve">I. </w:t>
      </w:r>
      <w:r w:rsidRPr="00AB08B7">
        <w:rPr>
          <w:rFonts w:eastAsia="Palatino Linotype"/>
          <w:b/>
          <w:i/>
          <w:szCs w:val="22"/>
        </w:rPr>
        <w:tab/>
        <w:t>Toda la información en posesión de cualquier</w:t>
      </w:r>
      <w:r w:rsidRPr="00AB08B7">
        <w:rPr>
          <w:rFonts w:eastAsia="Palatino Linotype"/>
          <w:i/>
          <w:szCs w:val="22"/>
        </w:rPr>
        <w:t xml:space="preserve"> </w:t>
      </w:r>
      <w:r w:rsidRPr="00AB08B7">
        <w:rPr>
          <w:rFonts w:eastAsia="Palatino Linotype"/>
          <w:b/>
          <w:i/>
          <w:szCs w:val="22"/>
        </w:rPr>
        <w:t>autoridad</w:t>
      </w:r>
      <w:r w:rsidRPr="00AB08B7">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B08B7">
        <w:rPr>
          <w:rFonts w:eastAsia="Palatino Linotype"/>
          <w:b/>
          <w:i/>
          <w:szCs w:val="22"/>
        </w:rPr>
        <w:t>municipal</w:t>
      </w:r>
      <w:r w:rsidRPr="00AB08B7">
        <w:rPr>
          <w:rFonts w:eastAsia="Palatino Linotype"/>
          <w:i/>
          <w:szCs w:val="22"/>
        </w:rPr>
        <w:t xml:space="preserve">, </w:t>
      </w:r>
      <w:r w:rsidRPr="00AB08B7">
        <w:rPr>
          <w:rFonts w:eastAsia="Palatino Linotype"/>
          <w:b/>
          <w:i/>
          <w:szCs w:val="22"/>
        </w:rPr>
        <w:t>es pública</w:t>
      </w:r>
      <w:r w:rsidRPr="00AB08B7">
        <w:rPr>
          <w:rFonts w:eastAsia="Palatino Linotype"/>
          <w:i/>
          <w:szCs w:val="22"/>
        </w:rPr>
        <w:t xml:space="preserve"> y sólo podrá ser reservada temporalmente por razones de interés público y seguridad nacional, en los términos que fijen las leyes. </w:t>
      </w:r>
      <w:r w:rsidRPr="00AB08B7">
        <w:rPr>
          <w:rFonts w:eastAsia="Palatino Linotype"/>
          <w:b/>
          <w:i/>
          <w:szCs w:val="22"/>
        </w:rPr>
        <w:t xml:space="preserve">En la interpretación de este derecho deberá prevalecer el principio de máxima publicidad. Los sujetos obligados deberán documentar todo acto que derive del </w:t>
      </w:r>
      <w:r w:rsidRPr="00AB08B7">
        <w:rPr>
          <w:rFonts w:eastAsia="Palatino Linotype"/>
          <w:b/>
          <w:i/>
          <w:szCs w:val="22"/>
        </w:rPr>
        <w:lastRenderedPageBreak/>
        <w:t>ejercicio de sus facultades, competencias o funciones</w:t>
      </w:r>
      <w:r w:rsidRPr="00AB08B7">
        <w:rPr>
          <w:rFonts w:eastAsia="Palatino Linotype"/>
          <w:i/>
          <w:szCs w:val="22"/>
        </w:rPr>
        <w:t>, la ley determinará los supuestos específicos bajo los cuales procederá la declaración de inexistencia de la información.”</w:t>
      </w:r>
    </w:p>
    <w:p w14:paraId="68F313E4" w14:textId="77777777" w:rsidR="00C049E2" w:rsidRPr="00AB08B7" w:rsidRDefault="00C049E2" w:rsidP="00AB08B7">
      <w:pPr>
        <w:spacing w:line="240" w:lineRule="auto"/>
        <w:ind w:left="567" w:right="539"/>
        <w:rPr>
          <w:rFonts w:eastAsia="Palatino Linotype"/>
          <w:b/>
          <w:i/>
          <w:szCs w:val="22"/>
        </w:rPr>
      </w:pPr>
    </w:p>
    <w:p w14:paraId="504F12DB" w14:textId="77777777" w:rsidR="00C049E2" w:rsidRPr="00AB08B7" w:rsidRDefault="00C049E2" w:rsidP="00AB08B7">
      <w:pPr>
        <w:spacing w:line="240" w:lineRule="auto"/>
        <w:ind w:left="567" w:right="539"/>
        <w:rPr>
          <w:rFonts w:eastAsia="Palatino Linotype"/>
          <w:b/>
          <w:i/>
          <w:szCs w:val="22"/>
        </w:rPr>
      </w:pPr>
      <w:r w:rsidRPr="00AB08B7">
        <w:rPr>
          <w:rFonts w:eastAsia="Palatino Linotype"/>
          <w:b/>
          <w:i/>
          <w:szCs w:val="22"/>
        </w:rPr>
        <w:t>Constitución Política del Estado Libre y Soberano de México</w:t>
      </w:r>
    </w:p>
    <w:p w14:paraId="04932D29" w14:textId="77777777" w:rsidR="00C049E2" w:rsidRPr="00AB08B7" w:rsidRDefault="00C049E2" w:rsidP="00AB08B7">
      <w:pPr>
        <w:spacing w:line="240" w:lineRule="auto"/>
        <w:ind w:left="567" w:right="539"/>
        <w:rPr>
          <w:rFonts w:eastAsia="Palatino Linotype"/>
          <w:i/>
          <w:szCs w:val="22"/>
        </w:rPr>
      </w:pPr>
      <w:r w:rsidRPr="00AB08B7">
        <w:rPr>
          <w:rFonts w:eastAsia="Palatino Linotype"/>
          <w:b/>
          <w:i/>
          <w:szCs w:val="22"/>
        </w:rPr>
        <w:t>“Artículo 5</w:t>
      </w:r>
      <w:r w:rsidRPr="00AB08B7">
        <w:rPr>
          <w:rFonts w:eastAsia="Palatino Linotype"/>
          <w:i/>
          <w:szCs w:val="22"/>
        </w:rPr>
        <w:t xml:space="preserve">.- </w:t>
      </w:r>
    </w:p>
    <w:p w14:paraId="1D3829F4" w14:textId="77777777" w:rsidR="00C049E2" w:rsidRPr="00AB08B7" w:rsidRDefault="00C049E2" w:rsidP="00AB08B7">
      <w:pPr>
        <w:spacing w:line="240" w:lineRule="auto"/>
        <w:ind w:left="567" w:right="539"/>
        <w:rPr>
          <w:rFonts w:eastAsia="Palatino Linotype"/>
          <w:i/>
          <w:szCs w:val="22"/>
        </w:rPr>
      </w:pPr>
      <w:r w:rsidRPr="00AB08B7">
        <w:rPr>
          <w:rFonts w:eastAsia="Palatino Linotype"/>
          <w:i/>
          <w:szCs w:val="22"/>
        </w:rPr>
        <w:t>(…)</w:t>
      </w:r>
    </w:p>
    <w:p w14:paraId="0EAE47FD" w14:textId="77777777" w:rsidR="00C049E2" w:rsidRPr="00AB08B7" w:rsidRDefault="00C049E2" w:rsidP="00AB08B7">
      <w:pPr>
        <w:spacing w:line="240" w:lineRule="auto"/>
        <w:ind w:left="567" w:right="539"/>
        <w:rPr>
          <w:rFonts w:eastAsia="Palatino Linotype"/>
          <w:i/>
          <w:szCs w:val="22"/>
        </w:rPr>
      </w:pPr>
      <w:r w:rsidRPr="00AB08B7">
        <w:rPr>
          <w:rFonts w:eastAsia="Palatino Linotype"/>
          <w:b/>
          <w:i/>
          <w:szCs w:val="22"/>
        </w:rPr>
        <w:t>El derecho a la información será garantizado por el Estado. La ley establecerá las previsiones que permitan asegurar la protección, el respeto y la difusión de este derecho</w:t>
      </w:r>
      <w:r w:rsidRPr="00AB08B7">
        <w:rPr>
          <w:rFonts w:eastAsia="Palatino Linotype"/>
          <w:i/>
          <w:szCs w:val="22"/>
        </w:rPr>
        <w:t>.</w:t>
      </w:r>
    </w:p>
    <w:p w14:paraId="4F0C804A" w14:textId="77777777" w:rsidR="00C049E2" w:rsidRPr="00AB08B7" w:rsidRDefault="00C049E2" w:rsidP="00AB08B7">
      <w:pPr>
        <w:spacing w:line="240" w:lineRule="auto"/>
        <w:ind w:left="567" w:right="539"/>
        <w:rPr>
          <w:rFonts w:eastAsia="Palatino Linotype"/>
          <w:i/>
          <w:szCs w:val="22"/>
        </w:rPr>
      </w:pPr>
      <w:r w:rsidRPr="00AB08B7">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B08B7" w:rsidRDefault="00C049E2" w:rsidP="00AB08B7">
      <w:pPr>
        <w:spacing w:line="240" w:lineRule="auto"/>
        <w:ind w:left="567" w:right="539"/>
        <w:rPr>
          <w:rFonts w:eastAsia="Palatino Linotype"/>
          <w:i/>
          <w:szCs w:val="22"/>
        </w:rPr>
      </w:pPr>
      <w:r w:rsidRPr="00AB08B7">
        <w:rPr>
          <w:rFonts w:eastAsia="Palatino Linotype"/>
          <w:b/>
          <w:i/>
          <w:szCs w:val="22"/>
        </w:rPr>
        <w:t>Este derecho se regirá por los principios y bases siguientes</w:t>
      </w:r>
      <w:r w:rsidRPr="00AB08B7">
        <w:rPr>
          <w:rFonts w:eastAsia="Palatino Linotype"/>
          <w:i/>
          <w:szCs w:val="22"/>
        </w:rPr>
        <w:t>:</w:t>
      </w:r>
    </w:p>
    <w:p w14:paraId="4A3E8CBA" w14:textId="77777777" w:rsidR="00C049E2" w:rsidRPr="00AB08B7" w:rsidRDefault="00C049E2" w:rsidP="00AB08B7">
      <w:pPr>
        <w:spacing w:line="240" w:lineRule="auto"/>
        <w:ind w:left="567" w:right="539"/>
        <w:rPr>
          <w:rFonts w:eastAsia="Palatino Linotype"/>
          <w:i/>
          <w:szCs w:val="22"/>
        </w:rPr>
      </w:pPr>
      <w:r w:rsidRPr="00AB08B7">
        <w:rPr>
          <w:rFonts w:eastAsia="Palatino Linotype"/>
          <w:b/>
          <w:i/>
          <w:szCs w:val="22"/>
        </w:rPr>
        <w:t>I. Toda la información en posesión de cualquier autoridad, entidad, órgano y organismos de los</w:t>
      </w:r>
      <w:r w:rsidRPr="00AB08B7">
        <w:rPr>
          <w:rFonts w:eastAsia="Palatino Linotype"/>
          <w:i/>
          <w:szCs w:val="22"/>
        </w:rPr>
        <w:t xml:space="preserve"> Poderes Ejecutivo, Legislativo y Judicial, órganos autónomos, partidos políticos, fideicomisos y fondos públicos estatales y </w:t>
      </w:r>
      <w:r w:rsidRPr="00AB08B7">
        <w:rPr>
          <w:rFonts w:eastAsia="Palatino Linotype"/>
          <w:b/>
          <w:i/>
          <w:szCs w:val="22"/>
        </w:rPr>
        <w:t>municipales</w:t>
      </w:r>
      <w:r w:rsidRPr="00AB08B7">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B08B7">
        <w:rPr>
          <w:rFonts w:eastAsia="Palatino Linotype"/>
          <w:b/>
          <w:i/>
          <w:szCs w:val="22"/>
        </w:rPr>
        <w:t>es pública</w:t>
      </w:r>
      <w:r w:rsidRPr="00AB08B7">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AB08B7">
        <w:rPr>
          <w:rFonts w:eastAsia="Palatino Linotype"/>
          <w:b/>
          <w:i/>
          <w:szCs w:val="22"/>
        </w:rPr>
        <w:t>En la interpretación de este derecho deberá prevalecer el principio de máxima publicidad</w:t>
      </w:r>
      <w:r w:rsidRPr="00AB08B7">
        <w:rPr>
          <w:rFonts w:eastAsia="Palatino Linotype"/>
          <w:i/>
          <w:szCs w:val="22"/>
        </w:rPr>
        <w:t xml:space="preserve">. </w:t>
      </w:r>
      <w:r w:rsidRPr="00AB08B7">
        <w:rPr>
          <w:rFonts w:eastAsia="Palatino Linotype"/>
          <w:b/>
          <w:i/>
          <w:szCs w:val="22"/>
        </w:rPr>
        <w:t>Los sujetos obligados deberán documentar todo acto que derive del ejercicio de sus facultades, competencias o funciones</w:t>
      </w:r>
      <w:r w:rsidRPr="00AB08B7">
        <w:rPr>
          <w:rFonts w:eastAsia="Palatino Linotype"/>
          <w:i/>
          <w:szCs w:val="22"/>
        </w:rPr>
        <w:t>, la ley determinará los supuestos específicos bajo los cuales procederá la declaración de inexistencia de la información.”</w:t>
      </w:r>
    </w:p>
    <w:p w14:paraId="5CA98E37" w14:textId="77777777" w:rsidR="00C049E2" w:rsidRPr="00AB08B7" w:rsidRDefault="00C049E2" w:rsidP="00AB08B7">
      <w:pPr>
        <w:rPr>
          <w:rFonts w:eastAsia="Palatino Linotype"/>
          <w:b/>
          <w:i/>
          <w:szCs w:val="22"/>
        </w:rPr>
      </w:pPr>
    </w:p>
    <w:p w14:paraId="6FC1BB3B" w14:textId="3BF4A33D" w:rsidR="00C049E2" w:rsidRPr="00AB08B7" w:rsidRDefault="00717E59" w:rsidP="00AB08B7">
      <w:pPr>
        <w:rPr>
          <w:rFonts w:eastAsia="Palatino Linotype"/>
          <w:i/>
          <w:szCs w:val="22"/>
        </w:rPr>
      </w:pPr>
      <w:r w:rsidRPr="00AB08B7">
        <w:rPr>
          <w:rFonts w:eastAsia="Palatino Linotype"/>
          <w:szCs w:val="22"/>
        </w:rPr>
        <w:t xml:space="preserve">Asimismo, </w:t>
      </w:r>
      <w:r w:rsidR="00C049E2" w:rsidRPr="00AB08B7">
        <w:rPr>
          <w:rFonts w:eastAsia="Palatino Linotype"/>
          <w:szCs w:val="22"/>
        </w:rPr>
        <w:t>el artículo 150 de la Ley de Transparencia y Acceso a la Información Pública del Estado de México y Municipios</w:t>
      </w:r>
      <w:r w:rsidR="00057B2D" w:rsidRPr="00AB08B7">
        <w:rPr>
          <w:rFonts w:eastAsia="Palatino Linotype"/>
          <w:szCs w:val="22"/>
        </w:rPr>
        <w:t xml:space="preserve"> </w:t>
      </w:r>
      <w:r w:rsidR="00E9335C" w:rsidRPr="00AB08B7">
        <w:rPr>
          <w:rFonts w:eastAsia="Palatino Linotype"/>
          <w:szCs w:val="22"/>
        </w:rPr>
        <w:t xml:space="preserve">indica </w:t>
      </w:r>
      <w:r w:rsidR="00057B2D" w:rsidRPr="00AB08B7">
        <w:rPr>
          <w:rFonts w:eastAsia="Palatino Linotype"/>
          <w:szCs w:val="22"/>
        </w:rPr>
        <w:t>que</w:t>
      </w:r>
      <w:r w:rsidR="00C049E2" w:rsidRPr="00AB08B7">
        <w:rPr>
          <w:rFonts w:eastAsia="Palatino Linotype"/>
          <w:szCs w:val="22"/>
        </w:rPr>
        <w:t xml:space="preserve"> la solicitud es la garantía primaria del Derecho de Acceso a la Información, además, establece que se regirá </w:t>
      </w:r>
      <w:r w:rsidR="00C049E2" w:rsidRPr="00AB08B7">
        <w:rPr>
          <w:rFonts w:eastAsia="Palatino Linotype"/>
          <w:i/>
          <w:szCs w:val="22"/>
        </w:rPr>
        <w:t>por los principios de simplicidad, rapidez</w:t>
      </w:r>
      <w:r w:rsidR="005F65B7" w:rsidRPr="00AB08B7">
        <w:rPr>
          <w:rFonts w:eastAsia="Palatino Linotype"/>
          <w:i/>
          <w:szCs w:val="22"/>
        </w:rPr>
        <w:t>,</w:t>
      </w:r>
      <w:r w:rsidR="00C049E2" w:rsidRPr="00AB08B7">
        <w:rPr>
          <w:rFonts w:eastAsia="Palatino Linotype"/>
          <w:i/>
          <w:szCs w:val="22"/>
        </w:rPr>
        <w:t xml:space="preserve"> gratuidad del procedimiento, auxilio y orientación a los particulare</w:t>
      </w:r>
      <w:r w:rsidR="001A58B3" w:rsidRPr="00AB08B7">
        <w:rPr>
          <w:rFonts w:eastAsia="Palatino Linotype"/>
          <w:i/>
          <w:szCs w:val="22"/>
        </w:rPr>
        <w:t>s.</w:t>
      </w:r>
    </w:p>
    <w:p w14:paraId="033466A6" w14:textId="77777777" w:rsidR="001A58B3" w:rsidRPr="00AB08B7" w:rsidRDefault="001A58B3" w:rsidP="00AB08B7">
      <w:pPr>
        <w:rPr>
          <w:rFonts w:eastAsia="Palatino Linotype"/>
          <w:i/>
          <w:szCs w:val="22"/>
        </w:rPr>
      </w:pPr>
    </w:p>
    <w:p w14:paraId="04ADA10B" w14:textId="574A944A" w:rsidR="001A58B3" w:rsidRPr="00AB08B7" w:rsidRDefault="00233F17" w:rsidP="00AB08B7">
      <w:pPr>
        <w:rPr>
          <w:rFonts w:eastAsia="Palatino Linotype" w:cs="Palatino Linotype"/>
          <w:i/>
          <w:szCs w:val="22"/>
        </w:rPr>
      </w:pPr>
      <w:r w:rsidRPr="00AB08B7">
        <w:rPr>
          <w:rFonts w:eastAsia="Palatino Linotype" w:cs="Palatino Linotype"/>
          <w:szCs w:val="22"/>
        </w:rPr>
        <w:t xml:space="preserve">Por su parte, el artículo 4 de </w:t>
      </w:r>
      <w:r w:rsidR="001A58B3" w:rsidRPr="00AB08B7">
        <w:rPr>
          <w:rFonts w:eastAsia="Palatino Linotype" w:cs="Palatino Linotype"/>
          <w:szCs w:val="22"/>
        </w:rPr>
        <w:t xml:space="preserve">la Ley de Transparencia y Acceso a la Información Pública del Estado de México y Municipios refiere que toda la información generada, obtenida, adquirida, </w:t>
      </w:r>
      <w:r w:rsidR="001A58B3" w:rsidRPr="00AB08B7">
        <w:rPr>
          <w:rFonts w:eastAsia="Palatino Linotype" w:cs="Palatino Linotype"/>
          <w:szCs w:val="22"/>
        </w:rPr>
        <w:lastRenderedPageBreak/>
        <w:t>transformada, administrada o en posesión de los sujetos obligados es pública y accesible de manera permanente a cualquier persona, privilegiando el principio de máxima publicidad</w:t>
      </w:r>
      <w:r w:rsidRPr="00AB08B7">
        <w:rPr>
          <w:rFonts w:eastAsia="Palatino Linotype" w:cs="Palatino Linotype"/>
          <w:szCs w:val="22"/>
        </w:rPr>
        <w:t>.</w:t>
      </w:r>
    </w:p>
    <w:p w14:paraId="1407DBB8" w14:textId="77777777" w:rsidR="001A58B3" w:rsidRPr="00AB08B7" w:rsidRDefault="001A58B3" w:rsidP="00AB08B7">
      <w:pPr>
        <w:rPr>
          <w:rFonts w:eastAsia="Palatino Linotype" w:cs="Palatino Linotype"/>
          <w:szCs w:val="22"/>
        </w:rPr>
      </w:pPr>
    </w:p>
    <w:p w14:paraId="7552AA79" w14:textId="5C52E4A4" w:rsidR="001A58B3" w:rsidRPr="00AB08B7" w:rsidRDefault="001A58B3" w:rsidP="00AB08B7">
      <w:pPr>
        <w:rPr>
          <w:rFonts w:eastAsia="Palatino Linotype" w:cs="Palatino Linotype"/>
          <w:szCs w:val="22"/>
        </w:rPr>
      </w:pPr>
      <w:r w:rsidRPr="00AB08B7">
        <w:rPr>
          <w:rFonts w:eastAsia="Palatino Linotype" w:cs="Palatino Linotype"/>
          <w:szCs w:val="22"/>
        </w:rPr>
        <w:t xml:space="preserve">Esto es, que los Sujetos Obligados </w:t>
      </w:r>
      <w:r w:rsidR="00FA5957" w:rsidRPr="00AB08B7">
        <w:rPr>
          <w:rFonts w:eastAsia="Palatino Linotype" w:cs="Palatino Linotype"/>
          <w:szCs w:val="22"/>
        </w:rPr>
        <w:t>deben</w:t>
      </w:r>
      <w:r w:rsidRPr="00AB08B7">
        <w:rPr>
          <w:rFonts w:eastAsia="Palatino Linotype" w:cs="Palatino Linotype"/>
          <w:szCs w:val="22"/>
        </w:rPr>
        <w:t xml:space="preserve"> atender las solicitudes de acceso a la información pública que se les </w:t>
      </w:r>
      <w:r w:rsidR="00FA5957" w:rsidRPr="00AB08B7">
        <w:rPr>
          <w:rFonts w:eastAsia="Palatino Linotype" w:cs="Palatino Linotype"/>
          <w:szCs w:val="22"/>
        </w:rPr>
        <w:t>sean realizadas,</w:t>
      </w:r>
      <w:r w:rsidRPr="00AB08B7">
        <w:rPr>
          <w:rFonts w:eastAsia="Palatino Linotype" w:cs="Palatino Linotype"/>
          <w:szCs w:val="22"/>
        </w:rPr>
        <w:t xml:space="preserve"> y proporcionar la información pública que obre en su poder</w:t>
      </w:r>
      <w:r w:rsidR="00FA5957" w:rsidRPr="00AB08B7">
        <w:rPr>
          <w:rFonts w:eastAsia="Palatino Linotype" w:cs="Palatino Linotype"/>
          <w:szCs w:val="22"/>
        </w:rPr>
        <w:t>,</w:t>
      </w:r>
      <w:r w:rsidRPr="00AB08B7">
        <w:rPr>
          <w:rFonts w:eastAsia="Palatino Linotype" w:cs="Palatino Linotype"/>
          <w:szCs w:val="22"/>
        </w:rPr>
        <w:t xml:space="preserve"> conforme </w:t>
      </w:r>
      <w:r w:rsidR="00FA5957" w:rsidRPr="00AB08B7">
        <w:rPr>
          <w:rFonts w:eastAsia="Palatino Linotype" w:cs="Palatino Linotype"/>
          <w:szCs w:val="22"/>
        </w:rPr>
        <w:t>a</w:t>
      </w:r>
      <w:r w:rsidRPr="00AB08B7">
        <w:rPr>
          <w:rFonts w:eastAsia="Palatino Linotype" w:cs="Palatino Linotype"/>
          <w:szCs w:val="22"/>
        </w:rPr>
        <w:t xml:space="preserve">l estado </w:t>
      </w:r>
      <w:r w:rsidR="00FA5957" w:rsidRPr="00AB08B7">
        <w:rPr>
          <w:rFonts w:eastAsia="Palatino Linotype" w:cs="Palatino Linotype"/>
          <w:szCs w:val="22"/>
        </w:rPr>
        <w:t xml:space="preserve">en </w:t>
      </w:r>
      <w:r w:rsidRPr="00AB08B7">
        <w:rPr>
          <w:rFonts w:eastAsia="Palatino Linotype" w:cs="Palatino Linotype"/>
          <w:szCs w:val="22"/>
        </w:rPr>
        <w:t>que se encuentr</w:t>
      </w:r>
      <w:r w:rsidR="00FA5957" w:rsidRPr="00AB08B7">
        <w:rPr>
          <w:rFonts w:eastAsia="Palatino Linotype" w:cs="Palatino Linotype"/>
          <w:szCs w:val="22"/>
        </w:rPr>
        <w:t>e, sin que sea necesario</w:t>
      </w:r>
      <w:r w:rsidRPr="00AB08B7">
        <w:rPr>
          <w:rFonts w:eastAsia="Palatino Linotype" w:cs="Palatino Linotype"/>
          <w:szCs w:val="22"/>
        </w:rPr>
        <w:t xml:space="preserve"> </w:t>
      </w:r>
      <w:r w:rsidR="00FA5957" w:rsidRPr="00AB08B7">
        <w:rPr>
          <w:rFonts w:eastAsia="Palatino Linotype" w:cs="Palatino Linotype"/>
          <w:szCs w:val="22"/>
        </w:rPr>
        <w:t>procesar</w:t>
      </w:r>
      <w:r w:rsidRPr="00AB08B7">
        <w:rPr>
          <w:rFonts w:eastAsia="Palatino Linotype" w:cs="Palatino Linotype"/>
          <w:szCs w:val="22"/>
        </w:rPr>
        <w:t xml:space="preserve"> la misma, ni presentarla conforme al interés del solicitante; </w:t>
      </w:r>
      <w:r w:rsidR="00FA5957" w:rsidRPr="00AB08B7">
        <w:rPr>
          <w:rFonts w:eastAsia="Palatino Linotype" w:cs="Palatino Linotype"/>
          <w:szCs w:val="22"/>
        </w:rPr>
        <w:t>tal y como</w:t>
      </w:r>
      <w:r w:rsidRPr="00AB08B7">
        <w:rPr>
          <w:rFonts w:eastAsia="Palatino Linotype" w:cs="Palatino Linotype"/>
          <w:szCs w:val="22"/>
        </w:rPr>
        <w:t xml:space="preserve"> lo establece el artículo 12 de la Ley de Transparencia y Acceso a la Información Pública del Estado de México y Municipios</w:t>
      </w:r>
      <w:r w:rsidR="00970EB3" w:rsidRPr="00AB08B7">
        <w:rPr>
          <w:rFonts w:eastAsia="Palatino Linotype" w:cs="Palatino Linotype"/>
          <w:szCs w:val="22"/>
        </w:rPr>
        <w:t>.</w:t>
      </w:r>
    </w:p>
    <w:p w14:paraId="73245195" w14:textId="77777777" w:rsidR="00970EB3" w:rsidRPr="00AB08B7" w:rsidRDefault="00970EB3" w:rsidP="00AB08B7">
      <w:pPr>
        <w:rPr>
          <w:rFonts w:eastAsia="Palatino Linotype" w:cs="Palatino Linotype"/>
          <w:szCs w:val="22"/>
        </w:rPr>
      </w:pPr>
    </w:p>
    <w:p w14:paraId="7F62D4DF" w14:textId="775730E1" w:rsidR="001A58B3" w:rsidRPr="00AB08B7" w:rsidRDefault="001A58B3" w:rsidP="00AB08B7">
      <w:pPr>
        <w:rPr>
          <w:rFonts w:eastAsia="Palatino Linotype" w:cs="Palatino Linotype"/>
          <w:szCs w:val="22"/>
        </w:rPr>
      </w:pPr>
      <w:r w:rsidRPr="00AB08B7">
        <w:rPr>
          <w:rFonts w:eastAsia="Palatino Linotype" w:cs="Palatino Linotype"/>
          <w:szCs w:val="22"/>
        </w:rPr>
        <w:t>Es decir, que todo sujeto obligado que genere, recopile, administre, procese, archive, posea o conserven, son responsables de la misma</w:t>
      </w:r>
      <w:r w:rsidR="00970EB3" w:rsidRPr="00AB08B7">
        <w:rPr>
          <w:rFonts w:eastAsia="Palatino Linotype" w:cs="Palatino Linotype"/>
          <w:szCs w:val="22"/>
        </w:rPr>
        <w:t>,</w:t>
      </w:r>
      <w:r w:rsidRPr="00AB08B7">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AB08B7">
        <w:rPr>
          <w:rFonts w:eastAsia="Palatino Linotype" w:cs="Palatino Linotype"/>
          <w:szCs w:val="22"/>
        </w:rPr>
        <w:t>o</w:t>
      </w:r>
      <w:r w:rsidRPr="00AB08B7">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B08B7" w:rsidRDefault="001A58B3" w:rsidP="00AB08B7">
      <w:pPr>
        <w:rPr>
          <w:rFonts w:eastAsia="Palatino Linotype" w:cs="Palatino Linotype"/>
          <w:szCs w:val="22"/>
        </w:rPr>
      </w:pPr>
    </w:p>
    <w:p w14:paraId="04E42DFE" w14:textId="573F1198" w:rsidR="001A58B3" w:rsidRPr="00AB08B7" w:rsidRDefault="001A58B3" w:rsidP="00AB08B7">
      <w:pPr>
        <w:rPr>
          <w:rFonts w:eastAsia="Palatino Linotype" w:cs="Palatino Linotype"/>
          <w:szCs w:val="22"/>
        </w:rPr>
      </w:pPr>
      <w:r w:rsidRPr="00AB08B7">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B08B7">
        <w:rPr>
          <w:rFonts w:eastAsia="Palatino Linotype" w:cs="Palatino Linotype"/>
          <w:szCs w:val="22"/>
        </w:rPr>
        <w:t>, s</w:t>
      </w:r>
      <w:r w:rsidRPr="00AB08B7">
        <w:rPr>
          <w:rFonts w:eastAsia="Palatino Linotype" w:cs="Palatino Linotype"/>
          <w:szCs w:val="22"/>
        </w:rPr>
        <w:t xml:space="preserve">iempre y cuando no se trate de información reservada o </w:t>
      </w:r>
      <w:r w:rsidR="00331F35" w:rsidRPr="00AB08B7">
        <w:rPr>
          <w:rFonts w:eastAsia="Palatino Linotype" w:cs="Palatino Linotype"/>
          <w:szCs w:val="22"/>
        </w:rPr>
        <w:t>confidencial.</w:t>
      </w:r>
    </w:p>
    <w:p w14:paraId="40C5219F" w14:textId="77777777" w:rsidR="001A58B3" w:rsidRPr="00AB08B7" w:rsidRDefault="001A58B3" w:rsidP="00AB08B7">
      <w:pPr>
        <w:rPr>
          <w:rFonts w:eastAsia="Palatino Linotype" w:cs="Palatino Linotype"/>
          <w:szCs w:val="22"/>
        </w:rPr>
      </w:pPr>
    </w:p>
    <w:p w14:paraId="2E629608" w14:textId="01727E15" w:rsidR="00C049E2" w:rsidRPr="00AB08B7" w:rsidRDefault="006067C7" w:rsidP="00AB08B7">
      <w:pPr>
        <w:rPr>
          <w:rFonts w:eastAsia="Palatino Linotype"/>
          <w:szCs w:val="22"/>
        </w:rPr>
      </w:pPr>
      <w:bookmarkStart w:id="24" w:name="_heading=h.2s8eyo1" w:colFirst="0" w:colLast="0"/>
      <w:bookmarkEnd w:id="24"/>
      <w:r w:rsidRPr="00AB08B7">
        <w:rPr>
          <w:rFonts w:eastAsia="Palatino Linotype"/>
          <w:szCs w:val="22"/>
        </w:rPr>
        <w:t>Con base en lo anterior</w:t>
      </w:r>
      <w:r w:rsidR="00B22A80" w:rsidRPr="00AB08B7">
        <w:rPr>
          <w:rFonts w:eastAsia="Palatino Linotype"/>
          <w:szCs w:val="22"/>
        </w:rPr>
        <w:t>, se considera que</w:t>
      </w:r>
      <w:r w:rsidR="00C049E2" w:rsidRPr="00AB08B7">
        <w:rPr>
          <w:rFonts w:eastAsia="Palatino Linotype"/>
          <w:szCs w:val="22"/>
        </w:rPr>
        <w:t xml:space="preserve"> </w:t>
      </w:r>
      <w:r w:rsidR="00B22A80" w:rsidRPr="00AB08B7">
        <w:rPr>
          <w:rFonts w:eastAsia="Palatino Linotype"/>
          <w:b/>
          <w:bCs/>
          <w:szCs w:val="22"/>
        </w:rPr>
        <w:t>EL</w:t>
      </w:r>
      <w:r w:rsidR="00C049E2" w:rsidRPr="00AB08B7">
        <w:rPr>
          <w:rFonts w:eastAsia="Palatino Linotype"/>
          <w:szCs w:val="22"/>
        </w:rPr>
        <w:t xml:space="preserve"> </w:t>
      </w:r>
      <w:r w:rsidR="00C049E2" w:rsidRPr="00AB08B7">
        <w:rPr>
          <w:rFonts w:eastAsia="Palatino Linotype"/>
          <w:b/>
          <w:szCs w:val="22"/>
        </w:rPr>
        <w:t>SUJETO OBLIGADO</w:t>
      </w:r>
      <w:r w:rsidR="00C049E2" w:rsidRPr="00AB08B7">
        <w:rPr>
          <w:rFonts w:eastAsia="Palatino Linotype"/>
          <w:szCs w:val="22"/>
        </w:rPr>
        <w:t xml:space="preserve"> </w:t>
      </w:r>
      <w:r w:rsidR="00B22A80" w:rsidRPr="00AB08B7">
        <w:rPr>
          <w:rFonts w:eastAsia="Palatino Linotype"/>
          <w:szCs w:val="22"/>
        </w:rPr>
        <w:t xml:space="preserve">se </w:t>
      </w:r>
      <w:r w:rsidR="00717E59" w:rsidRPr="00AB08B7">
        <w:rPr>
          <w:rFonts w:eastAsia="Palatino Linotype"/>
          <w:szCs w:val="22"/>
        </w:rPr>
        <w:t>encontraba</w:t>
      </w:r>
      <w:r w:rsidR="00B22A80" w:rsidRPr="00AB08B7">
        <w:rPr>
          <w:rFonts w:eastAsia="Palatino Linotype"/>
          <w:szCs w:val="22"/>
        </w:rPr>
        <w:t xml:space="preserve"> compelido a</w:t>
      </w:r>
      <w:r w:rsidR="00C049E2" w:rsidRPr="00AB08B7">
        <w:rPr>
          <w:rFonts w:eastAsia="Palatino Linotype"/>
          <w:szCs w:val="22"/>
        </w:rPr>
        <w:t xml:space="preserve"> atender la solicitud de acceso a la información </w:t>
      </w:r>
      <w:r w:rsidR="00B22A80" w:rsidRPr="00AB08B7">
        <w:rPr>
          <w:rFonts w:eastAsia="Palatino Linotype"/>
          <w:szCs w:val="22"/>
        </w:rPr>
        <w:t xml:space="preserve">realizada por </w:t>
      </w:r>
      <w:r w:rsidR="00B22A80" w:rsidRPr="00AB08B7">
        <w:rPr>
          <w:rFonts w:eastAsia="Palatino Linotype"/>
          <w:b/>
          <w:bCs/>
          <w:szCs w:val="22"/>
        </w:rPr>
        <w:t>LA PARTE RECURRENTE</w:t>
      </w:r>
      <w:r w:rsidR="00331F35" w:rsidRPr="00AB08B7">
        <w:rPr>
          <w:rFonts w:eastAsia="Palatino Linotype"/>
          <w:szCs w:val="22"/>
        </w:rPr>
        <w:t>.</w:t>
      </w:r>
    </w:p>
    <w:p w14:paraId="51A0E8B4" w14:textId="676DCA47" w:rsidR="00664420" w:rsidRPr="00AB08B7" w:rsidRDefault="00C71CEF" w:rsidP="00AB08B7">
      <w:pPr>
        <w:pStyle w:val="Ttulo3"/>
        <w:rPr>
          <w:rFonts w:eastAsia="Calibri"/>
          <w:szCs w:val="22"/>
          <w:lang w:eastAsia="es-ES_tradnl"/>
        </w:rPr>
      </w:pPr>
      <w:bookmarkStart w:id="25" w:name="_Toc193387490"/>
      <w:r w:rsidRPr="00AB08B7">
        <w:rPr>
          <w:rFonts w:eastAsia="Calibri"/>
          <w:szCs w:val="22"/>
          <w:lang w:eastAsia="es-ES_tradnl"/>
        </w:rPr>
        <w:lastRenderedPageBreak/>
        <w:t>b)</w:t>
      </w:r>
      <w:r w:rsidR="00A53315" w:rsidRPr="00AB08B7">
        <w:rPr>
          <w:rFonts w:eastAsia="Calibri"/>
          <w:szCs w:val="22"/>
          <w:lang w:eastAsia="es-ES_tradnl"/>
        </w:rPr>
        <w:t xml:space="preserve"> </w:t>
      </w:r>
      <w:r w:rsidR="00A21A20" w:rsidRPr="00AB08B7">
        <w:rPr>
          <w:rFonts w:eastAsia="Calibri"/>
          <w:szCs w:val="22"/>
          <w:lang w:eastAsia="es-ES_tradnl"/>
        </w:rPr>
        <w:t>Controversia a resolver</w:t>
      </w:r>
      <w:bookmarkEnd w:id="25"/>
    </w:p>
    <w:p w14:paraId="5DAE2A65" w14:textId="15338CAB" w:rsidR="00664420" w:rsidRPr="00AB08B7" w:rsidRDefault="00664420" w:rsidP="00AB08B7">
      <w:pPr>
        <w:rPr>
          <w:rFonts w:eastAsia="Calibri"/>
          <w:szCs w:val="22"/>
          <w:lang w:eastAsia="es-ES_tradnl"/>
        </w:rPr>
      </w:pPr>
      <w:r w:rsidRPr="00AB08B7">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B08B7">
        <w:rPr>
          <w:rFonts w:eastAsia="Calibri"/>
          <w:b/>
          <w:bCs/>
          <w:szCs w:val="22"/>
          <w:lang w:eastAsia="es-ES_tradnl"/>
        </w:rPr>
        <w:t>LA PARTE RECURRENTE</w:t>
      </w:r>
      <w:r w:rsidRPr="00AB08B7">
        <w:rPr>
          <w:rFonts w:eastAsia="Calibri"/>
          <w:szCs w:val="22"/>
          <w:lang w:eastAsia="es-ES_tradnl"/>
        </w:rPr>
        <w:t xml:space="preserve"> solicitó</w:t>
      </w:r>
      <w:r w:rsidR="00F458B1" w:rsidRPr="00AB08B7">
        <w:rPr>
          <w:rFonts w:eastAsia="Calibri"/>
          <w:szCs w:val="22"/>
          <w:lang w:eastAsia="es-ES_tradnl"/>
        </w:rPr>
        <w:t xml:space="preserve"> </w:t>
      </w:r>
      <w:r w:rsidR="00F458B1" w:rsidRPr="00AB08B7">
        <w:rPr>
          <w:szCs w:val="22"/>
        </w:rPr>
        <w:t>en relación con la peregrinación ciclista a la bajista de Guadalupe</w:t>
      </w:r>
      <w:r w:rsidRPr="00AB08B7">
        <w:rPr>
          <w:rFonts w:eastAsia="Calibri"/>
          <w:szCs w:val="22"/>
          <w:lang w:eastAsia="es-ES_tradnl"/>
        </w:rPr>
        <w:t xml:space="preserve"> lo siguiente:</w:t>
      </w:r>
    </w:p>
    <w:p w14:paraId="7D9D559B" w14:textId="27F62D8A" w:rsidR="00664420" w:rsidRPr="00AB08B7" w:rsidRDefault="00664420" w:rsidP="00AB08B7">
      <w:pPr>
        <w:tabs>
          <w:tab w:val="left" w:pos="4962"/>
        </w:tabs>
        <w:contextualSpacing/>
        <w:rPr>
          <w:rFonts w:eastAsia="Calibri" w:cs="Tahoma"/>
          <w:iCs/>
          <w:szCs w:val="22"/>
          <w:lang w:eastAsia="es-ES_tradnl"/>
        </w:rPr>
      </w:pPr>
    </w:p>
    <w:p w14:paraId="4210E217" w14:textId="33D64E70" w:rsidR="00F458B1" w:rsidRPr="00AB08B7" w:rsidRDefault="00F458B1" w:rsidP="00AB08B7">
      <w:pPr>
        <w:pStyle w:val="Prrafodelista"/>
        <w:numPr>
          <w:ilvl w:val="0"/>
          <w:numId w:val="17"/>
        </w:numPr>
        <w:tabs>
          <w:tab w:val="left" w:pos="4962"/>
        </w:tabs>
        <w:rPr>
          <w:szCs w:val="22"/>
        </w:rPr>
      </w:pPr>
      <w:r w:rsidRPr="00AB08B7">
        <w:rPr>
          <w:szCs w:val="22"/>
        </w:rPr>
        <w:t xml:space="preserve">Número de bicicletas rifadas </w:t>
      </w:r>
    </w:p>
    <w:p w14:paraId="19E2636B" w14:textId="1CAEA20A" w:rsidR="00F458B1" w:rsidRPr="00AB08B7" w:rsidRDefault="00F458B1" w:rsidP="00AB08B7">
      <w:pPr>
        <w:pStyle w:val="Prrafodelista"/>
        <w:numPr>
          <w:ilvl w:val="0"/>
          <w:numId w:val="17"/>
        </w:numPr>
        <w:tabs>
          <w:tab w:val="left" w:pos="4962"/>
        </w:tabs>
        <w:rPr>
          <w:szCs w:val="22"/>
        </w:rPr>
      </w:pPr>
      <w:r w:rsidRPr="00AB08B7">
        <w:rPr>
          <w:szCs w:val="22"/>
        </w:rPr>
        <w:t>Proveedor de bicicletas y cualquier servicio relacionado con este evento</w:t>
      </w:r>
    </w:p>
    <w:p w14:paraId="556580D1" w14:textId="4C6C4069" w:rsidR="00F458B1" w:rsidRPr="00AB08B7" w:rsidRDefault="00F458B1" w:rsidP="00AB08B7">
      <w:pPr>
        <w:pStyle w:val="Prrafodelista"/>
        <w:numPr>
          <w:ilvl w:val="0"/>
          <w:numId w:val="17"/>
        </w:numPr>
        <w:tabs>
          <w:tab w:val="left" w:pos="4962"/>
        </w:tabs>
        <w:rPr>
          <w:szCs w:val="22"/>
        </w:rPr>
      </w:pPr>
      <w:r w:rsidRPr="00AB08B7">
        <w:rPr>
          <w:szCs w:val="22"/>
        </w:rPr>
        <w:t>Cotizaciones y facturas</w:t>
      </w:r>
    </w:p>
    <w:p w14:paraId="1E73E2B6" w14:textId="270721D1" w:rsidR="00F458B1" w:rsidRPr="00AB08B7" w:rsidRDefault="00CD3DFF" w:rsidP="00AB08B7">
      <w:pPr>
        <w:pStyle w:val="Prrafodelista"/>
        <w:numPr>
          <w:ilvl w:val="0"/>
          <w:numId w:val="17"/>
        </w:numPr>
        <w:tabs>
          <w:tab w:val="left" w:pos="4962"/>
        </w:tabs>
        <w:rPr>
          <w:szCs w:val="22"/>
        </w:rPr>
      </w:pPr>
      <w:r w:rsidRPr="00AB08B7">
        <w:rPr>
          <w:szCs w:val="22"/>
        </w:rPr>
        <w:t>Nombres de los ganadores</w:t>
      </w:r>
    </w:p>
    <w:p w14:paraId="38D2A430" w14:textId="77777777" w:rsidR="00F458B1" w:rsidRPr="00AB08B7" w:rsidRDefault="00F458B1" w:rsidP="00AB08B7">
      <w:pPr>
        <w:tabs>
          <w:tab w:val="left" w:pos="4962"/>
        </w:tabs>
        <w:contextualSpacing/>
        <w:rPr>
          <w:rFonts w:eastAsiaTheme="minorHAnsi" w:cs="Tahoma"/>
          <w:bCs/>
          <w:iCs/>
          <w:szCs w:val="22"/>
          <w:lang w:eastAsia="en-US"/>
        </w:rPr>
      </w:pPr>
    </w:p>
    <w:p w14:paraId="2AEB405E" w14:textId="4CF90753" w:rsidR="00F458B1" w:rsidRPr="00AB08B7" w:rsidRDefault="00664420" w:rsidP="00AB08B7">
      <w:pPr>
        <w:tabs>
          <w:tab w:val="left" w:pos="4962"/>
        </w:tabs>
        <w:contextualSpacing/>
        <w:rPr>
          <w:rFonts w:cs="Tahoma"/>
          <w:b/>
          <w:bCs/>
          <w:szCs w:val="22"/>
          <w:lang w:val="es-ES"/>
        </w:rPr>
      </w:pPr>
      <w:r w:rsidRPr="00AB08B7">
        <w:rPr>
          <w:rFonts w:eastAsiaTheme="minorHAnsi" w:cs="Tahoma"/>
          <w:bCs/>
          <w:iCs/>
          <w:szCs w:val="22"/>
          <w:lang w:eastAsia="en-US"/>
        </w:rPr>
        <w:t xml:space="preserve">En respuesta, </w:t>
      </w:r>
      <w:r w:rsidR="005D5A50" w:rsidRPr="00AB08B7">
        <w:rPr>
          <w:rFonts w:eastAsiaTheme="minorHAnsi" w:cs="Tahoma"/>
          <w:b/>
          <w:iCs/>
          <w:szCs w:val="22"/>
          <w:lang w:eastAsia="en-US"/>
        </w:rPr>
        <w:t>EL SUJETO OBLIGADO</w:t>
      </w:r>
      <w:r w:rsidRPr="00AB08B7">
        <w:rPr>
          <w:rFonts w:eastAsiaTheme="minorHAnsi" w:cs="Tahoma"/>
          <w:bCs/>
          <w:iCs/>
          <w:szCs w:val="22"/>
          <w:lang w:eastAsia="en-US"/>
        </w:rPr>
        <w:t xml:space="preserve"> se pronunció </w:t>
      </w:r>
      <w:r w:rsidR="00F458B1" w:rsidRPr="00AB08B7">
        <w:rPr>
          <w:rFonts w:eastAsiaTheme="minorHAnsi" w:cs="Tahoma"/>
          <w:bCs/>
          <w:iCs/>
          <w:szCs w:val="22"/>
          <w:lang w:eastAsia="en-US"/>
        </w:rPr>
        <w:t xml:space="preserve">informado que </w:t>
      </w:r>
      <w:r w:rsidR="00F458B1" w:rsidRPr="00AB08B7">
        <w:rPr>
          <w:szCs w:val="22"/>
        </w:rPr>
        <w:t>fueron 168 bicicletas rifadas; además un escrito que contiene l</w:t>
      </w:r>
      <w:r w:rsidR="00F458B1" w:rsidRPr="00AB08B7">
        <w:rPr>
          <w:rFonts w:cs="Tahoma"/>
          <w:bCs/>
          <w:szCs w:val="22"/>
          <w:lang w:val="es-ES"/>
        </w:rPr>
        <w:t>os principios de protección de datos, medidas de seguridad y de los deberes de la Ley de Protección de Datos.</w:t>
      </w:r>
    </w:p>
    <w:p w14:paraId="4BEBD880" w14:textId="77777777" w:rsidR="00664420" w:rsidRPr="00AB08B7" w:rsidRDefault="00664420" w:rsidP="00AB08B7">
      <w:pPr>
        <w:tabs>
          <w:tab w:val="left" w:pos="4962"/>
        </w:tabs>
        <w:contextualSpacing/>
        <w:rPr>
          <w:rFonts w:eastAsiaTheme="minorHAnsi" w:cs="Tahoma"/>
          <w:bCs/>
          <w:iCs/>
          <w:szCs w:val="22"/>
          <w:lang w:eastAsia="en-US"/>
        </w:rPr>
      </w:pPr>
    </w:p>
    <w:p w14:paraId="31DD81D7" w14:textId="67005CEB" w:rsidR="00664420" w:rsidRPr="00AB08B7" w:rsidRDefault="00CF7586" w:rsidP="00AB08B7">
      <w:pPr>
        <w:tabs>
          <w:tab w:val="left" w:pos="4962"/>
        </w:tabs>
        <w:contextualSpacing/>
        <w:rPr>
          <w:rFonts w:eastAsiaTheme="minorHAnsi" w:cs="Tahoma"/>
          <w:bCs/>
          <w:iCs/>
          <w:szCs w:val="22"/>
          <w:lang w:eastAsia="en-US"/>
        </w:rPr>
      </w:pPr>
      <w:r w:rsidRPr="00AB08B7">
        <w:rPr>
          <w:rFonts w:eastAsiaTheme="minorHAnsi" w:cs="Tahoma"/>
          <w:bCs/>
          <w:iCs/>
          <w:szCs w:val="22"/>
          <w:lang w:eastAsia="en-US"/>
        </w:rPr>
        <w:t xml:space="preserve">Ahora bien, en la interposición del presente recurso </w:t>
      </w:r>
      <w:r w:rsidRPr="00AB08B7">
        <w:rPr>
          <w:rFonts w:eastAsiaTheme="minorHAnsi" w:cs="Tahoma"/>
          <w:b/>
          <w:iCs/>
          <w:szCs w:val="22"/>
          <w:lang w:eastAsia="en-US"/>
        </w:rPr>
        <w:t>LA PARTE RECURRENTE</w:t>
      </w:r>
      <w:r w:rsidR="00664420" w:rsidRPr="00AB08B7">
        <w:rPr>
          <w:rFonts w:eastAsiaTheme="minorHAnsi" w:cs="Tahoma"/>
          <w:bCs/>
          <w:iCs/>
          <w:szCs w:val="22"/>
          <w:lang w:eastAsia="en-US"/>
        </w:rPr>
        <w:t xml:space="preserve"> se inconformó </w:t>
      </w:r>
      <w:r w:rsidR="00F458B1" w:rsidRPr="00AB08B7">
        <w:rPr>
          <w:rFonts w:eastAsiaTheme="minorHAnsi" w:cs="Tahoma"/>
          <w:bCs/>
          <w:iCs/>
          <w:szCs w:val="22"/>
          <w:lang w:eastAsia="en-US"/>
        </w:rPr>
        <w:t>de la clasificación de la información.</w:t>
      </w:r>
    </w:p>
    <w:p w14:paraId="65829589" w14:textId="77777777" w:rsidR="00F458B1" w:rsidRPr="00AB08B7" w:rsidRDefault="00F458B1" w:rsidP="00AB08B7">
      <w:pPr>
        <w:tabs>
          <w:tab w:val="left" w:pos="4962"/>
        </w:tabs>
        <w:contextualSpacing/>
        <w:rPr>
          <w:rFonts w:eastAsiaTheme="minorHAnsi" w:cs="Tahoma"/>
          <w:bCs/>
          <w:iCs/>
          <w:szCs w:val="22"/>
          <w:lang w:eastAsia="en-US"/>
        </w:rPr>
      </w:pPr>
    </w:p>
    <w:p w14:paraId="73749D78" w14:textId="77777777" w:rsidR="00C72A67" w:rsidRPr="00AB08B7" w:rsidRDefault="00C72A67" w:rsidP="00AB08B7">
      <w:pPr>
        <w:pStyle w:val="Prrafodelista"/>
        <w:widowControl w:val="0"/>
        <w:autoSpaceDE w:val="0"/>
        <w:autoSpaceDN w:val="0"/>
        <w:adjustRightInd w:val="0"/>
        <w:ind w:left="0"/>
        <w:rPr>
          <w:szCs w:val="22"/>
        </w:rPr>
      </w:pPr>
      <w:r w:rsidRPr="00AB08B7">
        <w:rPr>
          <w:szCs w:val="22"/>
        </w:rPr>
        <w:t xml:space="preserve">Asimismo, es importante señalar que </w:t>
      </w:r>
      <w:r w:rsidRPr="00AB08B7">
        <w:rPr>
          <w:rFonts w:eastAsiaTheme="minorHAnsi" w:cs="Tahoma"/>
          <w:b/>
          <w:iCs/>
          <w:szCs w:val="22"/>
          <w:lang w:eastAsia="en-US"/>
        </w:rPr>
        <w:t>LA PARTE RECURRENTE</w:t>
      </w:r>
      <w:r w:rsidRPr="00AB08B7">
        <w:rPr>
          <w:rFonts w:eastAsiaTheme="minorHAnsi" w:cs="Tahoma"/>
          <w:bCs/>
          <w:iCs/>
          <w:szCs w:val="22"/>
          <w:lang w:eastAsia="en-US"/>
        </w:rPr>
        <w:t xml:space="preserve"> </w:t>
      </w:r>
      <w:r w:rsidRPr="00AB08B7">
        <w:rPr>
          <w:rFonts w:cs="Arial"/>
          <w:szCs w:val="22"/>
        </w:rPr>
        <w:t xml:space="preserve">formuló sus alegatos en los cuales expresó sus derechos que consideraba que le fueron violentados y por su parte </w:t>
      </w:r>
      <w:r w:rsidRPr="00AB08B7">
        <w:rPr>
          <w:rFonts w:cs="Arial"/>
          <w:b/>
          <w:szCs w:val="22"/>
        </w:rPr>
        <w:t xml:space="preserve">EL SUJETO OBLIGADO </w:t>
      </w:r>
      <w:r w:rsidRPr="00AB08B7">
        <w:rPr>
          <w:rFonts w:cs="Arial"/>
          <w:szCs w:val="22"/>
        </w:rPr>
        <w:t xml:space="preserve">omitió rendir su </w:t>
      </w:r>
      <w:r w:rsidRPr="00AB08B7">
        <w:rPr>
          <w:szCs w:val="22"/>
        </w:rPr>
        <w:t xml:space="preserve">Informe Justificado, en el término establecido en el numeral 185, fracción II de la Ley de Transparencia y Acceso a la Información Pública del Estado de México y Municipios. </w:t>
      </w:r>
    </w:p>
    <w:p w14:paraId="5BC9EC38" w14:textId="77777777" w:rsidR="00C72A67" w:rsidRPr="00AB08B7" w:rsidRDefault="00C72A67" w:rsidP="00AB08B7">
      <w:pPr>
        <w:pStyle w:val="Prrafodelista"/>
        <w:widowControl w:val="0"/>
        <w:autoSpaceDE w:val="0"/>
        <w:autoSpaceDN w:val="0"/>
        <w:adjustRightInd w:val="0"/>
        <w:ind w:left="0"/>
        <w:rPr>
          <w:szCs w:val="22"/>
        </w:rPr>
      </w:pPr>
    </w:p>
    <w:p w14:paraId="6C780246" w14:textId="77777777" w:rsidR="00C72A67" w:rsidRPr="00AB08B7" w:rsidRDefault="00C72A67" w:rsidP="00AB08B7">
      <w:pPr>
        <w:tabs>
          <w:tab w:val="left" w:pos="4962"/>
        </w:tabs>
        <w:contextualSpacing/>
        <w:rPr>
          <w:rFonts w:eastAsiaTheme="minorHAnsi" w:cs="Tahoma"/>
          <w:bCs/>
          <w:iCs/>
          <w:szCs w:val="22"/>
          <w:lang w:eastAsia="en-US"/>
        </w:rPr>
      </w:pPr>
      <w:r w:rsidRPr="00AB08B7">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AB08B7">
        <w:rPr>
          <w:rFonts w:eastAsiaTheme="minorHAnsi" w:cs="Tahoma"/>
          <w:b/>
          <w:bCs/>
          <w:iCs/>
          <w:szCs w:val="22"/>
          <w:lang w:eastAsia="en-US"/>
        </w:rPr>
        <w:t>LA PARTE RECURRENTE</w:t>
      </w:r>
      <w:r w:rsidRPr="00AB08B7">
        <w:rPr>
          <w:rFonts w:eastAsiaTheme="minorHAnsi" w:cs="Tahoma"/>
          <w:bCs/>
          <w:iCs/>
          <w:szCs w:val="22"/>
          <w:lang w:eastAsia="en-US"/>
        </w:rPr>
        <w:t>.</w:t>
      </w:r>
    </w:p>
    <w:p w14:paraId="3A8EFEE1" w14:textId="77777777" w:rsidR="00C72A67" w:rsidRPr="00AB08B7" w:rsidRDefault="00C72A67" w:rsidP="00AB08B7">
      <w:pPr>
        <w:tabs>
          <w:tab w:val="left" w:pos="4962"/>
        </w:tabs>
        <w:contextualSpacing/>
        <w:rPr>
          <w:rFonts w:eastAsiaTheme="minorHAnsi" w:cs="Tahoma"/>
          <w:bCs/>
          <w:iCs/>
          <w:szCs w:val="22"/>
          <w:lang w:eastAsia="en-US"/>
        </w:rPr>
      </w:pPr>
    </w:p>
    <w:p w14:paraId="414FD2D5" w14:textId="4408E416" w:rsidR="00664420" w:rsidRPr="00AB08B7" w:rsidRDefault="00A21A20" w:rsidP="00AB08B7">
      <w:pPr>
        <w:pStyle w:val="Ttulo3"/>
        <w:rPr>
          <w:szCs w:val="22"/>
        </w:rPr>
      </w:pPr>
      <w:bookmarkStart w:id="26" w:name="_Toc193387491"/>
      <w:r w:rsidRPr="00AB08B7">
        <w:rPr>
          <w:szCs w:val="22"/>
        </w:rPr>
        <w:t>c)</w:t>
      </w:r>
      <w:r w:rsidR="00664420" w:rsidRPr="00AB08B7">
        <w:rPr>
          <w:szCs w:val="22"/>
        </w:rPr>
        <w:t xml:space="preserve"> </w:t>
      </w:r>
      <w:r w:rsidRPr="00AB08B7">
        <w:rPr>
          <w:szCs w:val="22"/>
        </w:rPr>
        <w:t>Estudio de la controversia</w:t>
      </w:r>
      <w:bookmarkEnd w:id="26"/>
    </w:p>
    <w:p w14:paraId="5C7FB14C" w14:textId="64052047" w:rsidR="00FC3A88" w:rsidRPr="00AB08B7" w:rsidRDefault="00FC3A88" w:rsidP="00AB08B7">
      <w:pPr>
        <w:rPr>
          <w:szCs w:val="22"/>
        </w:rPr>
      </w:pPr>
      <w:r w:rsidRPr="00AB08B7">
        <w:rPr>
          <w:szCs w:val="22"/>
        </w:rPr>
        <w:t xml:space="preserve">Este Órgano Garante basará el análisis del presente, en el contenido íntegro de las actuaciones que obran en el expediente electrónico en </w:t>
      </w:r>
      <w:r w:rsidR="00C72A67" w:rsidRPr="00AB08B7">
        <w:rPr>
          <w:b/>
          <w:szCs w:val="22"/>
        </w:rPr>
        <w:t>EL SAIMEX</w:t>
      </w:r>
      <w:r w:rsidRPr="00AB08B7">
        <w:rPr>
          <w:szCs w:val="22"/>
        </w:rPr>
        <w:t>,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29C1855B" w14:textId="77777777" w:rsidR="00FC3A88" w:rsidRPr="00AB08B7" w:rsidRDefault="00FC3A88" w:rsidP="00AB08B7">
      <w:pPr>
        <w:rPr>
          <w:szCs w:val="22"/>
        </w:rPr>
      </w:pPr>
    </w:p>
    <w:p w14:paraId="0025B83F" w14:textId="1B96CF2C" w:rsidR="00FC3A88" w:rsidRPr="00AB08B7" w:rsidRDefault="00FC3A88" w:rsidP="00AB08B7">
      <w:pPr>
        <w:rPr>
          <w:szCs w:val="22"/>
        </w:rPr>
      </w:pPr>
      <w:r w:rsidRPr="00AB08B7">
        <w:rPr>
          <w:szCs w:val="22"/>
        </w:rPr>
        <w:t xml:space="preserve">En primera instancia, es importante destacar que, a través de la solicitud </w:t>
      </w:r>
      <w:r w:rsidR="00CD3DFF" w:rsidRPr="00AB08B7">
        <w:rPr>
          <w:b/>
          <w:szCs w:val="22"/>
        </w:rPr>
        <w:t>EL RECURRENTE</w:t>
      </w:r>
      <w:r w:rsidRPr="00AB08B7">
        <w:rPr>
          <w:szCs w:val="22"/>
        </w:rPr>
        <w:t xml:space="preserve"> formuló cuestionamientos al </w:t>
      </w:r>
      <w:r w:rsidRPr="00AB08B7">
        <w:rPr>
          <w:b/>
          <w:szCs w:val="22"/>
        </w:rPr>
        <w:t>SUJETO OBLIGADO</w:t>
      </w:r>
      <w:r w:rsidRPr="00AB08B7">
        <w:rPr>
          <w:szCs w:val="22"/>
        </w:rPr>
        <w:t>, lo cual en estricto sentido no es materia de acceso a la información pública, no obstante la materia de este derecho subjetivo lo constituye el soporte documental de donde se puede obtener la información que los particulares pretenden obtener; por lo tanto, si bien es improcedente que a través del ejercicio de este derecho se formulen cuestionamientos a los Sujetos Obligados, toda vez que esto implicaría realizar el procesamiento de datos; lo cierto es que del análisis a los cuestionamientos realizados por la particular, este Órgano Garante advierte que los mismos se pueden atender mediante la entrega de expresiones documentales. Lo anterior tiene apoyo en el criterio 16/17 del Instituto Nacional de Transparencia, Acceso a la Información y Protección de Datos Personales, el cual menciona lo siguiente:</w:t>
      </w:r>
    </w:p>
    <w:p w14:paraId="421A079A" w14:textId="77777777" w:rsidR="00FC3A88" w:rsidRPr="00AB08B7" w:rsidRDefault="00FC3A88" w:rsidP="00AB08B7">
      <w:pPr>
        <w:tabs>
          <w:tab w:val="left" w:pos="5049"/>
        </w:tabs>
        <w:rPr>
          <w:szCs w:val="22"/>
        </w:rPr>
      </w:pPr>
      <w:r w:rsidRPr="00AB08B7">
        <w:rPr>
          <w:szCs w:val="22"/>
        </w:rPr>
        <w:tab/>
      </w:r>
    </w:p>
    <w:p w14:paraId="7BA27A0E" w14:textId="77777777" w:rsidR="00FC3A88" w:rsidRPr="00AB08B7" w:rsidRDefault="00FC3A88" w:rsidP="00AB08B7">
      <w:pPr>
        <w:pStyle w:val="Puesto"/>
        <w:rPr>
          <w:szCs w:val="22"/>
        </w:rPr>
      </w:pPr>
      <w:r w:rsidRPr="00AB08B7">
        <w:rPr>
          <w:szCs w:val="22"/>
        </w:rPr>
        <w:t>“</w:t>
      </w:r>
      <w:r w:rsidRPr="00AB08B7">
        <w:rPr>
          <w:b/>
          <w:szCs w:val="22"/>
        </w:rPr>
        <w:t>Expresión documental.</w:t>
      </w:r>
      <w:r w:rsidRPr="00AB08B7">
        <w:rPr>
          <w:szCs w:val="22"/>
        </w:rPr>
        <w:t xml:space="preserve"> Cuando los particulares presenten solicitudes de acceso a la información sin identificar de forma precisa la documentación que pudiera contener la </w:t>
      </w:r>
      <w:r w:rsidRPr="00AB08B7">
        <w:rPr>
          <w:szCs w:val="22"/>
        </w:rPr>
        <w:lastRenderedPageBreak/>
        <w:t xml:space="preserve">información de su interés, o bien, la solicitud constituya una consulta, pero la respuesta pudiera obrar en algún documento en poder de los sujetos obligados, éstos deben dar a dichas solicitudes una interpretación que les otorgue una expresión documental. </w:t>
      </w:r>
    </w:p>
    <w:p w14:paraId="233174E2" w14:textId="77777777" w:rsidR="00FC3A88" w:rsidRPr="00AB08B7" w:rsidRDefault="00FC3A88" w:rsidP="00AB08B7">
      <w:pPr>
        <w:ind w:left="851" w:right="901"/>
        <w:rPr>
          <w:i/>
          <w:szCs w:val="22"/>
        </w:rPr>
      </w:pPr>
    </w:p>
    <w:p w14:paraId="3B5DB714" w14:textId="77777777" w:rsidR="00FC3A88" w:rsidRPr="00AB08B7" w:rsidRDefault="00FC3A88" w:rsidP="00AB08B7">
      <w:pPr>
        <w:rPr>
          <w:szCs w:val="22"/>
        </w:rPr>
      </w:pPr>
      <w:r w:rsidRPr="00AB08B7">
        <w:rPr>
          <w:szCs w:val="22"/>
        </w:rPr>
        <w:t>Ello es así, ya que la transparencia implica el deber de los Sujetos Obligados de documentar todo acto que derive del ejercicio de sus facultades, competencias o 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15453DDB" w14:textId="77777777" w:rsidR="00FC3A88" w:rsidRPr="00AB08B7" w:rsidRDefault="00FC3A88" w:rsidP="00AB08B7">
      <w:pPr>
        <w:rPr>
          <w:szCs w:val="22"/>
        </w:rPr>
      </w:pPr>
    </w:p>
    <w:p w14:paraId="46856E7F" w14:textId="065FD5D5" w:rsidR="00CD3DFF" w:rsidRPr="00AB08B7" w:rsidRDefault="00FC3A88" w:rsidP="00AB08B7">
      <w:pPr>
        <w:rPr>
          <w:szCs w:val="22"/>
        </w:rPr>
      </w:pPr>
      <w:r w:rsidRPr="00AB08B7">
        <w:rPr>
          <w:szCs w:val="22"/>
        </w:rPr>
        <w:t xml:space="preserve">Señalado lo anterior, se procede a contextualizar las preguntas realizadas por </w:t>
      </w:r>
      <w:r w:rsidR="00C72A67" w:rsidRPr="00AB08B7">
        <w:rPr>
          <w:b/>
          <w:szCs w:val="22"/>
        </w:rPr>
        <w:t xml:space="preserve">LA PARTE </w:t>
      </w:r>
      <w:r w:rsidR="00CD3DFF" w:rsidRPr="00AB08B7">
        <w:rPr>
          <w:b/>
          <w:szCs w:val="22"/>
        </w:rPr>
        <w:t>RECURRENTE</w:t>
      </w:r>
      <w:r w:rsidRPr="00AB08B7">
        <w:rPr>
          <w:szCs w:val="22"/>
        </w:rPr>
        <w:t xml:space="preserve"> para determinar cuáles</w:t>
      </w:r>
      <w:r w:rsidR="00CD3DFF" w:rsidRPr="00AB08B7">
        <w:rPr>
          <w:szCs w:val="22"/>
        </w:rPr>
        <w:t xml:space="preserve"> fueron colmadas con la entrega de información.</w:t>
      </w:r>
    </w:p>
    <w:p w14:paraId="30D0AE80" w14:textId="77777777" w:rsidR="00902008" w:rsidRPr="00AB08B7" w:rsidRDefault="00902008" w:rsidP="00AB08B7">
      <w:pPr>
        <w:rPr>
          <w:szCs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3685"/>
        <w:gridCol w:w="1559"/>
      </w:tblGrid>
      <w:tr w:rsidR="00AB08B7" w:rsidRPr="00AB08B7" w14:paraId="5CD1815B" w14:textId="1AB4F5C7" w:rsidTr="00C72A67">
        <w:tc>
          <w:tcPr>
            <w:tcW w:w="3823" w:type="dxa"/>
            <w:shd w:val="clear" w:color="auto" w:fill="D4D4D4"/>
            <w:vAlign w:val="center"/>
          </w:tcPr>
          <w:p w14:paraId="52FCC82D" w14:textId="76FBAABF" w:rsidR="00C72A67" w:rsidRPr="00AB08B7" w:rsidRDefault="00C72A67" w:rsidP="00AB08B7">
            <w:pPr>
              <w:spacing w:line="240" w:lineRule="auto"/>
              <w:jc w:val="center"/>
              <w:rPr>
                <w:b/>
                <w:szCs w:val="22"/>
              </w:rPr>
            </w:pPr>
            <w:r w:rsidRPr="00AB08B7">
              <w:rPr>
                <w:b/>
                <w:szCs w:val="22"/>
              </w:rPr>
              <w:t>Solicitud</w:t>
            </w:r>
          </w:p>
        </w:tc>
        <w:tc>
          <w:tcPr>
            <w:tcW w:w="3685" w:type="dxa"/>
            <w:shd w:val="clear" w:color="auto" w:fill="D4D4D4"/>
            <w:vAlign w:val="center"/>
          </w:tcPr>
          <w:p w14:paraId="469853BE" w14:textId="2005903A" w:rsidR="00C72A67" w:rsidRPr="00AB08B7" w:rsidRDefault="00C72A67" w:rsidP="00AB08B7">
            <w:pPr>
              <w:spacing w:line="240" w:lineRule="auto"/>
              <w:jc w:val="center"/>
              <w:rPr>
                <w:b/>
                <w:szCs w:val="22"/>
              </w:rPr>
            </w:pPr>
            <w:r w:rsidRPr="00AB08B7">
              <w:rPr>
                <w:b/>
                <w:szCs w:val="22"/>
              </w:rPr>
              <w:t>Respuesta</w:t>
            </w:r>
          </w:p>
        </w:tc>
        <w:tc>
          <w:tcPr>
            <w:tcW w:w="1559" w:type="dxa"/>
            <w:shd w:val="clear" w:color="auto" w:fill="D4D4D4"/>
          </w:tcPr>
          <w:p w14:paraId="7366F210" w14:textId="77777777" w:rsidR="00C72A67" w:rsidRPr="00AB08B7" w:rsidRDefault="00C72A67" w:rsidP="00AB08B7">
            <w:pPr>
              <w:spacing w:line="240" w:lineRule="auto"/>
              <w:jc w:val="center"/>
              <w:rPr>
                <w:b/>
                <w:szCs w:val="22"/>
              </w:rPr>
            </w:pPr>
            <w:r w:rsidRPr="00AB08B7">
              <w:rPr>
                <w:b/>
                <w:szCs w:val="22"/>
              </w:rPr>
              <w:t xml:space="preserve">Colma </w:t>
            </w:r>
          </w:p>
          <w:p w14:paraId="2B459BFA" w14:textId="17D58F94" w:rsidR="00C72A67" w:rsidRPr="00AB08B7" w:rsidRDefault="00C72A67" w:rsidP="00AB08B7">
            <w:pPr>
              <w:spacing w:line="240" w:lineRule="auto"/>
              <w:jc w:val="center"/>
              <w:rPr>
                <w:b/>
                <w:szCs w:val="22"/>
              </w:rPr>
            </w:pPr>
            <w:r w:rsidRPr="00AB08B7">
              <w:rPr>
                <w:b/>
                <w:szCs w:val="22"/>
              </w:rPr>
              <w:t xml:space="preserve">Sí/No </w:t>
            </w:r>
          </w:p>
        </w:tc>
      </w:tr>
      <w:tr w:rsidR="00AB08B7" w:rsidRPr="00AB08B7" w14:paraId="646F9944" w14:textId="287D80A4" w:rsidTr="00C72A67">
        <w:tc>
          <w:tcPr>
            <w:tcW w:w="3823" w:type="dxa"/>
          </w:tcPr>
          <w:p w14:paraId="6C5C5806" w14:textId="10A043DA" w:rsidR="00C72A67" w:rsidRPr="00AB08B7" w:rsidRDefault="00C72A67" w:rsidP="00AB08B7">
            <w:pPr>
              <w:spacing w:line="240" w:lineRule="auto"/>
              <w:ind w:right="204"/>
              <w:rPr>
                <w:i/>
                <w:szCs w:val="22"/>
              </w:rPr>
            </w:pPr>
            <w:r w:rsidRPr="00AB08B7">
              <w:rPr>
                <w:i/>
                <w:szCs w:val="22"/>
              </w:rPr>
              <w:t>1.Número de bicicletas rifadas</w:t>
            </w:r>
          </w:p>
        </w:tc>
        <w:tc>
          <w:tcPr>
            <w:tcW w:w="3685" w:type="dxa"/>
          </w:tcPr>
          <w:p w14:paraId="71981DA3" w14:textId="77777777" w:rsidR="00C72A67" w:rsidRPr="00AB08B7" w:rsidRDefault="00C72A67" w:rsidP="00AB08B7">
            <w:pPr>
              <w:tabs>
                <w:tab w:val="left" w:pos="1560"/>
              </w:tabs>
              <w:spacing w:line="240" w:lineRule="auto"/>
              <w:ind w:right="204"/>
              <w:jc w:val="center"/>
              <w:rPr>
                <w:i/>
                <w:szCs w:val="22"/>
              </w:rPr>
            </w:pPr>
            <w:r w:rsidRPr="00AB08B7">
              <w:rPr>
                <w:i/>
                <w:szCs w:val="22"/>
              </w:rPr>
              <w:t>168 bicicletas rifadas</w:t>
            </w:r>
          </w:p>
          <w:p w14:paraId="2DA9C176" w14:textId="2DF5A40E" w:rsidR="00C72A67" w:rsidRPr="00AB08B7" w:rsidRDefault="00C72A67" w:rsidP="00AB08B7">
            <w:pPr>
              <w:tabs>
                <w:tab w:val="left" w:pos="1560"/>
              </w:tabs>
              <w:spacing w:line="240" w:lineRule="auto"/>
              <w:ind w:right="204"/>
              <w:jc w:val="center"/>
              <w:rPr>
                <w:i/>
                <w:szCs w:val="22"/>
              </w:rPr>
            </w:pPr>
          </w:p>
        </w:tc>
        <w:tc>
          <w:tcPr>
            <w:tcW w:w="1559" w:type="dxa"/>
          </w:tcPr>
          <w:p w14:paraId="71BCDD9B" w14:textId="357C6ACD" w:rsidR="00C72A67" w:rsidRPr="00AB08B7" w:rsidRDefault="00C72A67" w:rsidP="00AB08B7">
            <w:pPr>
              <w:tabs>
                <w:tab w:val="left" w:pos="1560"/>
              </w:tabs>
              <w:spacing w:line="240" w:lineRule="auto"/>
              <w:ind w:right="204"/>
              <w:jc w:val="center"/>
              <w:rPr>
                <w:i/>
                <w:szCs w:val="22"/>
              </w:rPr>
            </w:pPr>
            <w:r w:rsidRPr="00AB08B7">
              <w:rPr>
                <w:i/>
                <w:szCs w:val="22"/>
              </w:rPr>
              <w:t>Sí</w:t>
            </w:r>
          </w:p>
        </w:tc>
      </w:tr>
      <w:tr w:rsidR="00AB08B7" w:rsidRPr="00AB08B7" w14:paraId="7283DE79" w14:textId="758E6ED4" w:rsidTr="00C72A67">
        <w:tc>
          <w:tcPr>
            <w:tcW w:w="3823" w:type="dxa"/>
          </w:tcPr>
          <w:p w14:paraId="2857B7E5" w14:textId="173B87EB" w:rsidR="00C72A67" w:rsidRPr="00AB08B7" w:rsidRDefault="00C72A67" w:rsidP="00AB08B7">
            <w:pPr>
              <w:spacing w:line="240" w:lineRule="auto"/>
              <w:ind w:right="204"/>
              <w:rPr>
                <w:i/>
                <w:szCs w:val="22"/>
              </w:rPr>
            </w:pPr>
            <w:r w:rsidRPr="00AB08B7">
              <w:rPr>
                <w:i/>
                <w:szCs w:val="22"/>
              </w:rPr>
              <w:t>2.Proveedor de bicicletas y cualquier servicio relacionado con este evento</w:t>
            </w:r>
          </w:p>
        </w:tc>
        <w:tc>
          <w:tcPr>
            <w:tcW w:w="3685" w:type="dxa"/>
          </w:tcPr>
          <w:p w14:paraId="309FE21E" w14:textId="77777777" w:rsidR="00C72A67" w:rsidRPr="00AB08B7" w:rsidRDefault="00C72A67" w:rsidP="00AB08B7">
            <w:pPr>
              <w:tabs>
                <w:tab w:val="left" w:pos="313"/>
              </w:tabs>
              <w:spacing w:line="240" w:lineRule="auto"/>
              <w:ind w:right="204"/>
              <w:jc w:val="center"/>
              <w:rPr>
                <w:i/>
                <w:szCs w:val="22"/>
              </w:rPr>
            </w:pPr>
            <w:r w:rsidRPr="00AB08B7">
              <w:rPr>
                <w:i/>
                <w:szCs w:val="22"/>
              </w:rPr>
              <w:t>Reserva información</w:t>
            </w:r>
          </w:p>
          <w:p w14:paraId="48369F23" w14:textId="43A38520" w:rsidR="00C72A67" w:rsidRPr="00AB08B7" w:rsidRDefault="00C72A67" w:rsidP="00AB08B7">
            <w:pPr>
              <w:tabs>
                <w:tab w:val="left" w:pos="313"/>
              </w:tabs>
              <w:spacing w:line="240" w:lineRule="auto"/>
              <w:ind w:right="204"/>
              <w:jc w:val="center"/>
              <w:rPr>
                <w:i/>
                <w:szCs w:val="22"/>
              </w:rPr>
            </w:pPr>
          </w:p>
        </w:tc>
        <w:tc>
          <w:tcPr>
            <w:tcW w:w="1559" w:type="dxa"/>
          </w:tcPr>
          <w:p w14:paraId="743EAE07" w14:textId="3D9DE305" w:rsidR="00C72A67" w:rsidRPr="00AB08B7" w:rsidRDefault="00C72A67" w:rsidP="00AB08B7">
            <w:pPr>
              <w:tabs>
                <w:tab w:val="left" w:pos="313"/>
              </w:tabs>
              <w:spacing w:line="240" w:lineRule="auto"/>
              <w:ind w:right="204"/>
              <w:jc w:val="center"/>
              <w:rPr>
                <w:i/>
                <w:szCs w:val="22"/>
              </w:rPr>
            </w:pPr>
            <w:r w:rsidRPr="00AB08B7">
              <w:rPr>
                <w:i/>
                <w:szCs w:val="22"/>
              </w:rPr>
              <w:t xml:space="preserve">No </w:t>
            </w:r>
          </w:p>
        </w:tc>
      </w:tr>
      <w:tr w:rsidR="00AB08B7" w:rsidRPr="00AB08B7" w14:paraId="34F48D27" w14:textId="23A73BDB" w:rsidTr="00C72A67">
        <w:tc>
          <w:tcPr>
            <w:tcW w:w="3823" w:type="dxa"/>
          </w:tcPr>
          <w:p w14:paraId="47FAC337" w14:textId="76887F61" w:rsidR="00C72A67" w:rsidRPr="00AB08B7" w:rsidRDefault="00C72A67" w:rsidP="00AB08B7">
            <w:pPr>
              <w:spacing w:line="240" w:lineRule="auto"/>
              <w:rPr>
                <w:i/>
                <w:szCs w:val="22"/>
              </w:rPr>
            </w:pPr>
            <w:r w:rsidRPr="00AB08B7">
              <w:rPr>
                <w:i/>
                <w:szCs w:val="22"/>
              </w:rPr>
              <w:t>3.Cotizaciones y facturas</w:t>
            </w:r>
          </w:p>
        </w:tc>
        <w:tc>
          <w:tcPr>
            <w:tcW w:w="3685" w:type="dxa"/>
          </w:tcPr>
          <w:p w14:paraId="61943200" w14:textId="77777777" w:rsidR="00C72A67" w:rsidRPr="00AB08B7" w:rsidRDefault="00C72A67" w:rsidP="00AB08B7">
            <w:pPr>
              <w:tabs>
                <w:tab w:val="left" w:pos="313"/>
              </w:tabs>
              <w:spacing w:line="240" w:lineRule="auto"/>
              <w:ind w:right="204"/>
              <w:jc w:val="center"/>
              <w:rPr>
                <w:i/>
                <w:szCs w:val="22"/>
              </w:rPr>
            </w:pPr>
            <w:r w:rsidRPr="00AB08B7">
              <w:rPr>
                <w:i/>
                <w:szCs w:val="22"/>
              </w:rPr>
              <w:t>Reserva información</w:t>
            </w:r>
          </w:p>
          <w:p w14:paraId="7A1FE72C" w14:textId="733706DF" w:rsidR="00C72A67" w:rsidRPr="00AB08B7" w:rsidRDefault="00C72A67" w:rsidP="00AB08B7">
            <w:pPr>
              <w:tabs>
                <w:tab w:val="left" w:pos="313"/>
              </w:tabs>
              <w:spacing w:line="240" w:lineRule="auto"/>
              <w:ind w:right="204"/>
              <w:jc w:val="center"/>
              <w:rPr>
                <w:i/>
                <w:szCs w:val="22"/>
              </w:rPr>
            </w:pPr>
          </w:p>
        </w:tc>
        <w:tc>
          <w:tcPr>
            <w:tcW w:w="1559" w:type="dxa"/>
          </w:tcPr>
          <w:p w14:paraId="61AFF708" w14:textId="1D7585EE" w:rsidR="00C72A67" w:rsidRPr="00AB08B7" w:rsidRDefault="00C72A67" w:rsidP="00AB08B7">
            <w:pPr>
              <w:tabs>
                <w:tab w:val="left" w:pos="313"/>
              </w:tabs>
              <w:spacing w:line="240" w:lineRule="auto"/>
              <w:ind w:right="204"/>
              <w:jc w:val="center"/>
              <w:rPr>
                <w:i/>
                <w:szCs w:val="22"/>
              </w:rPr>
            </w:pPr>
            <w:r w:rsidRPr="00AB08B7">
              <w:rPr>
                <w:i/>
                <w:szCs w:val="22"/>
              </w:rPr>
              <w:t xml:space="preserve">No </w:t>
            </w:r>
          </w:p>
        </w:tc>
      </w:tr>
      <w:tr w:rsidR="00C72A67" w:rsidRPr="00AB08B7" w14:paraId="562CCE3F" w14:textId="36A4C9C5" w:rsidTr="00C72A67">
        <w:tc>
          <w:tcPr>
            <w:tcW w:w="3823" w:type="dxa"/>
          </w:tcPr>
          <w:p w14:paraId="6C3D6D25" w14:textId="3016455E" w:rsidR="00C72A67" w:rsidRPr="00AB08B7" w:rsidRDefault="00C72A67" w:rsidP="00AB08B7">
            <w:pPr>
              <w:spacing w:line="240" w:lineRule="auto"/>
              <w:rPr>
                <w:i/>
                <w:szCs w:val="22"/>
              </w:rPr>
            </w:pPr>
            <w:r w:rsidRPr="00AB08B7">
              <w:rPr>
                <w:i/>
                <w:szCs w:val="22"/>
              </w:rPr>
              <w:t>4.Nombres de los ganadores</w:t>
            </w:r>
          </w:p>
        </w:tc>
        <w:tc>
          <w:tcPr>
            <w:tcW w:w="3685" w:type="dxa"/>
          </w:tcPr>
          <w:p w14:paraId="0150C158" w14:textId="77777777" w:rsidR="00C72A67" w:rsidRPr="00AB08B7" w:rsidRDefault="00C72A67" w:rsidP="00AB08B7">
            <w:pPr>
              <w:tabs>
                <w:tab w:val="left" w:pos="313"/>
              </w:tabs>
              <w:spacing w:line="240" w:lineRule="auto"/>
              <w:ind w:right="204"/>
              <w:jc w:val="center"/>
              <w:rPr>
                <w:i/>
                <w:szCs w:val="22"/>
              </w:rPr>
            </w:pPr>
            <w:r w:rsidRPr="00AB08B7">
              <w:rPr>
                <w:i/>
                <w:szCs w:val="22"/>
              </w:rPr>
              <w:t>Reserva información</w:t>
            </w:r>
          </w:p>
          <w:p w14:paraId="0B9109AC" w14:textId="210F8895" w:rsidR="00C72A67" w:rsidRPr="00AB08B7" w:rsidRDefault="00C72A67" w:rsidP="00AB08B7">
            <w:pPr>
              <w:tabs>
                <w:tab w:val="left" w:pos="313"/>
              </w:tabs>
              <w:spacing w:line="240" w:lineRule="auto"/>
              <w:ind w:right="204"/>
              <w:jc w:val="center"/>
              <w:rPr>
                <w:i/>
                <w:szCs w:val="22"/>
              </w:rPr>
            </w:pPr>
          </w:p>
        </w:tc>
        <w:tc>
          <w:tcPr>
            <w:tcW w:w="1559" w:type="dxa"/>
          </w:tcPr>
          <w:p w14:paraId="6ADD5891" w14:textId="4B9F00FC" w:rsidR="00C72A67" w:rsidRPr="00AB08B7" w:rsidRDefault="00C72A67" w:rsidP="00AB08B7">
            <w:pPr>
              <w:tabs>
                <w:tab w:val="left" w:pos="313"/>
              </w:tabs>
              <w:spacing w:line="240" w:lineRule="auto"/>
              <w:ind w:right="204"/>
              <w:jc w:val="center"/>
              <w:rPr>
                <w:i/>
                <w:szCs w:val="22"/>
              </w:rPr>
            </w:pPr>
            <w:r w:rsidRPr="00AB08B7">
              <w:rPr>
                <w:i/>
                <w:szCs w:val="22"/>
              </w:rPr>
              <w:t>No</w:t>
            </w:r>
          </w:p>
        </w:tc>
      </w:tr>
    </w:tbl>
    <w:p w14:paraId="0353166D" w14:textId="39BD4AB9" w:rsidR="00FC3A88" w:rsidRPr="00AB08B7" w:rsidRDefault="00FC3A88" w:rsidP="00AB08B7">
      <w:pPr>
        <w:pStyle w:val="Prrafodelista"/>
        <w:ind w:right="-93"/>
        <w:rPr>
          <w:rFonts w:cs="Tahoma"/>
          <w:bCs/>
          <w:szCs w:val="22"/>
        </w:rPr>
      </w:pPr>
    </w:p>
    <w:p w14:paraId="10445E76" w14:textId="5B41D28A" w:rsidR="0094081F" w:rsidRPr="00AB08B7" w:rsidRDefault="0094081F" w:rsidP="00AB08B7">
      <w:pPr>
        <w:pStyle w:val="Prrafodelista"/>
        <w:ind w:left="0" w:right="-93"/>
        <w:rPr>
          <w:szCs w:val="22"/>
        </w:rPr>
      </w:pPr>
      <w:r w:rsidRPr="00AB08B7">
        <w:rPr>
          <w:szCs w:val="22"/>
        </w:rPr>
        <w:t xml:space="preserve">Ahora bien, se precisa que se obvia el análisis de la competencia por parte del </w:t>
      </w:r>
      <w:r w:rsidR="00C72A67" w:rsidRPr="00AB08B7">
        <w:rPr>
          <w:b/>
          <w:bCs/>
          <w:szCs w:val="22"/>
        </w:rPr>
        <w:t>SUJETO OBLIGADO</w:t>
      </w:r>
      <w:r w:rsidRPr="00AB08B7">
        <w:rPr>
          <w:szCs w:val="22"/>
        </w:rPr>
        <w:t>, para generar, administrar o poseer la información solicitada, dado que éste ha asumido tácitamente el generar dicha información, pues expuso la clasificación de esta.</w:t>
      </w:r>
    </w:p>
    <w:p w14:paraId="3D8688E8" w14:textId="441EC168" w:rsidR="00325F2D" w:rsidRPr="00AB08B7" w:rsidRDefault="00325F2D" w:rsidP="00AB08B7">
      <w:pPr>
        <w:pStyle w:val="Prrafodelista"/>
        <w:ind w:left="0" w:right="-93"/>
        <w:rPr>
          <w:rFonts w:cs="Tahoma"/>
          <w:bCs/>
          <w:szCs w:val="22"/>
        </w:rPr>
      </w:pPr>
    </w:p>
    <w:p w14:paraId="3CA7384A" w14:textId="17679BD1" w:rsidR="00020074" w:rsidRPr="00AB08B7" w:rsidRDefault="00020074" w:rsidP="00AB08B7">
      <w:pPr>
        <w:ind w:right="49"/>
        <w:rPr>
          <w:szCs w:val="22"/>
        </w:rPr>
      </w:pPr>
      <w:r w:rsidRPr="00AB08B7">
        <w:rPr>
          <w:szCs w:val="22"/>
        </w:rPr>
        <w:t>Cabe destacar que, el Instituto Nacional de Transparencia, Acceso a la Información y Protección de Datos Personales, ha emitido el siguiente criterio de interpretación del Pleno.</w:t>
      </w:r>
    </w:p>
    <w:p w14:paraId="76274ECA" w14:textId="77777777" w:rsidR="00020074" w:rsidRPr="00AB08B7" w:rsidRDefault="00020074" w:rsidP="00AB08B7">
      <w:pPr>
        <w:ind w:left="851" w:right="1106"/>
        <w:jc w:val="center"/>
        <w:rPr>
          <w:b/>
          <w:i/>
          <w:szCs w:val="22"/>
        </w:rPr>
      </w:pPr>
      <w:r w:rsidRPr="00AB08B7">
        <w:rPr>
          <w:b/>
          <w:i/>
          <w:szCs w:val="22"/>
        </w:rPr>
        <w:lastRenderedPageBreak/>
        <w:t>29/10</w:t>
      </w:r>
    </w:p>
    <w:p w14:paraId="5D068867" w14:textId="77777777" w:rsidR="00020074" w:rsidRPr="00AB08B7" w:rsidRDefault="00020074" w:rsidP="00AB08B7">
      <w:pPr>
        <w:ind w:left="851" w:right="1106"/>
        <w:jc w:val="center"/>
        <w:rPr>
          <w:b/>
          <w:i/>
          <w:szCs w:val="22"/>
        </w:rPr>
      </w:pPr>
    </w:p>
    <w:p w14:paraId="5EABBC58" w14:textId="77777777" w:rsidR="00020074" w:rsidRPr="00AB08B7" w:rsidRDefault="00020074" w:rsidP="00AB08B7">
      <w:pPr>
        <w:ind w:left="851" w:right="1106"/>
        <w:jc w:val="center"/>
        <w:rPr>
          <w:b/>
          <w:i/>
          <w:szCs w:val="22"/>
        </w:rPr>
      </w:pPr>
      <w:r w:rsidRPr="00AB08B7">
        <w:rPr>
          <w:b/>
          <w:i/>
          <w:szCs w:val="22"/>
        </w:rPr>
        <w:t>La clasificación y la inexistencia de información son conceptos que no pueden coexistir.</w:t>
      </w:r>
    </w:p>
    <w:p w14:paraId="7D656F81" w14:textId="77777777" w:rsidR="00020074" w:rsidRPr="00AB08B7" w:rsidRDefault="00020074" w:rsidP="00AB08B7">
      <w:pPr>
        <w:ind w:left="851" w:right="1106"/>
        <w:jc w:val="center"/>
        <w:rPr>
          <w:i/>
          <w:szCs w:val="22"/>
        </w:rPr>
      </w:pPr>
    </w:p>
    <w:p w14:paraId="3773AB83" w14:textId="77777777" w:rsidR="00020074" w:rsidRPr="00AB08B7" w:rsidRDefault="00020074" w:rsidP="00AB08B7">
      <w:pPr>
        <w:ind w:left="851" w:right="1106"/>
        <w:rPr>
          <w:i/>
          <w:szCs w:val="22"/>
        </w:rPr>
      </w:pPr>
      <w:r w:rsidRPr="00AB08B7">
        <w:rPr>
          <w:i/>
          <w:szCs w:val="22"/>
        </w:rPr>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hyperlink r:id="rId14" w:history="1">
        <w:r w:rsidRPr="00AB08B7">
          <w:rPr>
            <w:rStyle w:val="Hipervnculo"/>
            <w:rFonts w:eastAsiaTheme="majorEastAsia"/>
            <w:i/>
            <w:color w:val="auto"/>
            <w:szCs w:val="22"/>
          </w:rPr>
          <w:t>http://criteriosdeinterpretacion.inai.org.mx/Criterios/29-10.docx</w:t>
        </w:r>
      </w:hyperlink>
    </w:p>
    <w:p w14:paraId="6B879FF9" w14:textId="77777777" w:rsidR="00020074" w:rsidRPr="00AB08B7" w:rsidRDefault="00020074" w:rsidP="00AB08B7">
      <w:pPr>
        <w:ind w:left="851" w:right="1106"/>
        <w:rPr>
          <w:i/>
          <w:szCs w:val="22"/>
        </w:rPr>
      </w:pPr>
    </w:p>
    <w:p w14:paraId="4D10F610" w14:textId="77777777" w:rsidR="00020074" w:rsidRPr="00AB08B7" w:rsidRDefault="00020074" w:rsidP="00AB08B7">
      <w:pPr>
        <w:ind w:left="851" w:right="1106"/>
        <w:rPr>
          <w:i/>
          <w:szCs w:val="22"/>
        </w:rPr>
      </w:pPr>
    </w:p>
    <w:p w14:paraId="1EBC9F27" w14:textId="4D5D7330" w:rsidR="00020074" w:rsidRPr="00AB08B7" w:rsidRDefault="00020074" w:rsidP="00AB08B7">
      <w:pPr>
        <w:ind w:right="49"/>
        <w:rPr>
          <w:szCs w:val="22"/>
        </w:rPr>
      </w:pPr>
      <w:r w:rsidRPr="00AB08B7">
        <w:rPr>
          <w:szCs w:val="22"/>
        </w:rPr>
        <w:t>Por lo anterior es de señalar que el criterio establece, que la clasificación y la inexistencia no coexisten entre sí, ya que la clasificación de la información, implica la existencia de un documento y la inexistencia conlleva a la ausencia del mismo.</w:t>
      </w:r>
    </w:p>
    <w:p w14:paraId="45325EC1" w14:textId="77777777" w:rsidR="00020074" w:rsidRPr="00AB08B7" w:rsidRDefault="00020074" w:rsidP="00AB08B7">
      <w:pPr>
        <w:tabs>
          <w:tab w:val="left" w:pos="4962"/>
        </w:tabs>
        <w:contextualSpacing/>
        <w:rPr>
          <w:szCs w:val="22"/>
        </w:rPr>
      </w:pPr>
    </w:p>
    <w:p w14:paraId="21B3A8C0" w14:textId="42925331" w:rsidR="00325F2D" w:rsidRPr="00AB08B7" w:rsidRDefault="00325F2D" w:rsidP="00AB08B7">
      <w:pPr>
        <w:pStyle w:val="Prrafodelista"/>
        <w:ind w:left="0" w:right="-93"/>
        <w:rPr>
          <w:rFonts w:cs="Tahoma"/>
          <w:bCs/>
          <w:szCs w:val="22"/>
        </w:rPr>
      </w:pPr>
      <w:r w:rsidRPr="00AB08B7">
        <w:rPr>
          <w:rFonts w:cs="Tahoma"/>
          <w:bCs/>
          <w:szCs w:val="22"/>
        </w:rPr>
        <w:lastRenderedPageBreak/>
        <w:t>Primeramente, relativo al</w:t>
      </w:r>
      <w:r w:rsidR="00910FFF" w:rsidRPr="00AB08B7">
        <w:rPr>
          <w:rFonts w:cs="Tahoma"/>
          <w:bCs/>
          <w:szCs w:val="22"/>
        </w:rPr>
        <w:t xml:space="preserve"> requerimiento marcado con el</w:t>
      </w:r>
      <w:r w:rsidRPr="00AB08B7">
        <w:rPr>
          <w:rFonts w:cs="Tahoma"/>
          <w:bCs/>
          <w:szCs w:val="22"/>
        </w:rPr>
        <w:t xml:space="preserve"> </w:t>
      </w:r>
      <w:r w:rsidRPr="00AB08B7">
        <w:rPr>
          <w:rFonts w:cs="Tahoma"/>
          <w:b/>
          <w:bCs/>
          <w:szCs w:val="22"/>
        </w:rPr>
        <w:t>número</w:t>
      </w:r>
      <w:r w:rsidR="00910FFF" w:rsidRPr="00AB08B7">
        <w:rPr>
          <w:rFonts w:cs="Tahoma"/>
          <w:b/>
          <w:bCs/>
          <w:szCs w:val="22"/>
        </w:rPr>
        <w:t xml:space="preserve"> 1 relativo al número de</w:t>
      </w:r>
      <w:r w:rsidRPr="00AB08B7">
        <w:rPr>
          <w:rFonts w:cs="Tahoma"/>
          <w:b/>
          <w:bCs/>
          <w:szCs w:val="22"/>
        </w:rPr>
        <w:t xml:space="preserve"> bicicletas rifadas</w:t>
      </w:r>
      <w:r w:rsidRPr="00AB08B7">
        <w:rPr>
          <w:rFonts w:cs="Tahoma"/>
          <w:bCs/>
          <w:szCs w:val="22"/>
        </w:rPr>
        <w:t xml:space="preserve">, este pronunciamiento lo realizo la Titular de Administración del </w:t>
      </w:r>
      <w:r w:rsidRPr="00AB08B7">
        <w:rPr>
          <w:rFonts w:cs="Tahoma"/>
          <w:b/>
          <w:bCs/>
          <w:szCs w:val="22"/>
        </w:rPr>
        <w:t>SUJETO OBLIGADO</w:t>
      </w:r>
      <w:r w:rsidRPr="00AB08B7">
        <w:rPr>
          <w:rFonts w:cs="Tahoma"/>
          <w:bCs/>
          <w:szCs w:val="22"/>
        </w:rPr>
        <w:t>, como se puede adverti</w:t>
      </w:r>
      <w:r w:rsidR="00093D61" w:rsidRPr="00AB08B7">
        <w:rPr>
          <w:rFonts w:cs="Tahoma"/>
          <w:bCs/>
          <w:szCs w:val="22"/>
        </w:rPr>
        <w:t xml:space="preserve">r en el archivo digital del presente asunto. </w:t>
      </w:r>
    </w:p>
    <w:p w14:paraId="5A4D02A7" w14:textId="4B089398" w:rsidR="00325F2D" w:rsidRPr="00AB08B7" w:rsidRDefault="00325F2D" w:rsidP="00AB08B7">
      <w:pPr>
        <w:pStyle w:val="Prrafodelista"/>
        <w:ind w:left="0" w:right="-93"/>
        <w:rPr>
          <w:rFonts w:cs="Tahoma"/>
          <w:bCs/>
          <w:szCs w:val="22"/>
        </w:rPr>
      </w:pPr>
    </w:p>
    <w:p w14:paraId="2312F960" w14:textId="328A4AB5" w:rsidR="00325F2D" w:rsidRPr="00AB08B7" w:rsidRDefault="00093D61" w:rsidP="00AB08B7">
      <w:pPr>
        <w:pStyle w:val="Prrafodelista"/>
        <w:ind w:left="0" w:right="-93"/>
        <w:rPr>
          <w:rFonts w:cs="Tahoma"/>
          <w:bCs/>
          <w:szCs w:val="22"/>
        </w:rPr>
      </w:pPr>
      <w:r w:rsidRPr="00AB08B7">
        <w:rPr>
          <w:rFonts w:cs="Tahoma"/>
          <w:bCs/>
          <w:szCs w:val="22"/>
        </w:rPr>
        <w:t xml:space="preserve">En esa tesitura, </w:t>
      </w:r>
      <w:r w:rsidR="00325F2D" w:rsidRPr="00AB08B7">
        <w:rPr>
          <w:rFonts w:cs="Tahoma"/>
          <w:bCs/>
          <w:szCs w:val="22"/>
        </w:rPr>
        <w:t>el Titular de Transparencia,</w:t>
      </w:r>
      <w:r w:rsidRPr="00AB08B7">
        <w:rPr>
          <w:rFonts w:cs="Tahoma"/>
          <w:bCs/>
          <w:szCs w:val="22"/>
        </w:rPr>
        <w:t xml:space="preserve"> turno la solicitud al servidor habilitado competente, es decir, se aprecia en el expediente que quien se pronunció fue </w:t>
      </w:r>
      <w:r w:rsidR="00325F2D" w:rsidRPr="00AB08B7">
        <w:rPr>
          <w:rFonts w:cs="Tahoma"/>
          <w:bCs/>
          <w:szCs w:val="22"/>
        </w:rPr>
        <w:t>la Lic. Myriam Covarrubias Pérez:</w:t>
      </w:r>
    </w:p>
    <w:p w14:paraId="63065CB6" w14:textId="77777777" w:rsidR="00093D61" w:rsidRPr="00AB08B7" w:rsidRDefault="00093D61" w:rsidP="00AB08B7">
      <w:pPr>
        <w:pStyle w:val="Prrafodelista"/>
        <w:ind w:left="0" w:right="-93"/>
        <w:rPr>
          <w:rFonts w:cs="Tahoma"/>
          <w:bCs/>
          <w:szCs w:val="22"/>
        </w:rPr>
      </w:pPr>
    </w:p>
    <w:p w14:paraId="5C677C24" w14:textId="1A7C0483" w:rsidR="00325F2D" w:rsidRPr="00AB08B7" w:rsidRDefault="00093D61" w:rsidP="00AB08B7">
      <w:pPr>
        <w:pStyle w:val="Prrafodelista"/>
        <w:ind w:left="0" w:right="-93"/>
        <w:rPr>
          <w:rFonts w:cs="Tahoma"/>
          <w:bCs/>
          <w:szCs w:val="22"/>
        </w:rPr>
      </w:pPr>
      <w:r w:rsidRPr="00AB08B7">
        <w:rPr>
          <w:rFonts w:cs="Tahoma"/>
          <w:bCs/>
          <w:szCs w:val="22"/>
        </w:rPr>
        <w:t>Ahora bien, para determinar que dicha servidora pública es la habilitada competente se cita e</w:t>
      </w:r>
      <w:r w:rsidR="00325F2D" w:rsidRPr="00AB08B7">
        <w:rPr>
          <w:rFonts w:cs="Tahoma"/>
          <w:bCs/>
          <w:szCs w:val="22"/>
        </w:rPr>
        <w:t xml:space="preserve">l Acta 001 donde se instaló el cabildo del SUJETO </w:t>
      </w:r>
      <w:r w:rsidR="00910FFF" w:rsidRPr="00AB08B7">
        <w:rPr>
          <w:rFonts w:cs="Tahoma"/>
          <w:bCs/>
          <w:szCs w:val="22"/>
        </w:rPr>
        <w:t xml:space="preserve">OBLIGADO, </w:t>
      </w:r>
      <w:r w:rsidRPr="00AB08B7">
        <w:rPr>
          <w:rFonts w:cs="Tahoma"/>
          <w:bCs/>
          <w:szCs w:val="22"/>
        </w:rPr>
        <w:t xml:space="preserve">en este documento se </w:t>
      </w:r>
      <w:r w:rsidR="00910FFF" w:rsidRPr="00AB08B7">
        <w:rPr>
          <w:rFonts w:cs="Tahoma"/>
          <w:bCs/>
          <w:szCs w:val="22"/>
        </w:rPr>
        <w:t>aprecia</w:t>
      </w:r>
      <w:r w:rsidRPr="00AB08B7">
        <w:rPr>
          <w:rFonts w:cs="Tahoma"/>
          <w:bCs/>
          <w:szCs w:val="22"/>
        </w:rPr>
        <w:t xml:space="preserve"> la servidora referida fue nombrada</w:t>
      </w:r>
      <w:r w:rsidR="00325F2D" w:rsidRPr="00AB08B7">
        <w:rPr>
          <w:rFonts w:cs="Tahoma"/>
          <w:bCs/>
          <w:szCs w:val="22"/>
        </w:rPr>
        <w:t xml:space="preserve"> como Directora de Administración del Ayuntamiento de Huehuetoca:</w:t>
      </w:r>
    </w:p>
    <w:p w14:paraId="00A1D1DE" w14:textId="43BB7E65" w:rsidR="00325F2D" w:rsidRPr="00AB08B7" w:rsidRDefault="00325F2D" w:rsidP="00AB08B7">
      <w:pPr>
        <w:pStyle w:val="Prrafodelista"/>
        <w:ind w:left="0" w:right="-93"/>
        <w:jc w:val="center"/>
        <w:rPr>
          <w:rFonts w:cs="Tahoma"/>
          <w:bCs/>
          <w:szCs w:val="22"/>
        </w:rPr>
      </w:pPr>
      <w:r w:rsidRPr="00AB08B7">
        <w:rPr>
          <w:noProof/>
          <w:szCs w:val="22"/>
          <w:lang w:eastAsia="es-MX"/>
          <w14:ligatures w14:val="standardContextual"/>
        </w:rPr>
        <w:drawing>
          <wp:inline distT="0" distB="0" distL="0" distR="0" wp14:anchorId="0AECC1EF" wp14:editId="515B62D7">
            <wp:extent cx="5741986" cy="302972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7366" cy="3043115"/>
                    </a:xfrm>
                    <a:prstGeom prst="rect">
                      <a:avLst/>
                    </a:prstGeom>
                  </pic:spPr>
                </pic:pic>
              </a:graphicData>
            </a:graphic>
          </wp:inline>
        </w:drawing>
      </w:r>
    </w:p>
    <w:p w14:paraId="5E493D85" w14:textId="77777777" w:rsidR="00325F2D" w:rsidRPr="00AB08B7" w:rsidRDefault="00325F2D" w:rsidP="00AB08B7">
      <w:pPr>
        <w:pStyle w:val="Prrafodelista"/>
        <w:ind w:left="0" w:right="-93"/>
        <w:rPr>
          <w:rFonts w:cs="Tahoma"/>
          <w:bCs/>
          <w:szCs w:val="22"/>
        </w:rPr>
      </w:pPr>
    </w:p>
    <w:p w14:paraId="087B4F0B" w14:textId="4D21900C" w:rsidR="00325F2D" w:rsidRPr="00AB08B7" w:rsidRDefault="00325F2D" w:rsidP="00AB08B7">
      <w:pPr>
        <w:pStyle w:val="Prrafodelista"/>
        <w:ind w:left="0" w:right="-93"/>
        <w:jc w:val="center"/>
        <w:rPr>
          <w:rFonts w:cs="Tahoma"/>
          <w:bCs/>
          <w:szCs w:val="22"/>
        </w:rPr>
      </w:pPr>
      <w:r w:rsidRPr="00AB08B7">
        <w:rPr>
          <w:noProof/>
          <w:szCs w:val="22"/>
          <w:lang w:eastAsia="es-MX"/>
          <w14:ligatures w14:val="standardContextual"/>
        </w:rPr>
        <w:lastRenderedPageBreak/>
        <w:drawing>
          <wp:inline distT="0" distB="0" distL="0" distR="0" wp14:anchorId="1B9FE844" wp14:editId="609E2C41">
            <wp:extent cx="5534025" cy="14192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34025" cy="1419225"/>
                    </a:xfrm>
                    <a:prstGeom prst="rect">
                      <a:avLst/>
                    </a:prstGeom>
                  </pic:spPr>
                </pic:pic>
              </a:graphicData>
            </a:graphic>
          </wp:inline>
        </w:drawing>
      </w:r>
    </w:p>
    <w:p w14:paraId="0B58234E" w14:textId="607C7C0F" w:rsidR="00325F2D" w:rsidRPr="00AB08B7" w:rsidRDefault="00325F2D" w:rsidP="00AB08B7">
      <w:pPr>
        <w:pStyle w:val="Prrafodelista"/>
        <w:ind w:left="0" w:right="-93"/>
        <w:jc w:val="center"/>
        <w:rPr>
          <w:rFonts w:cs="Tahoma"/>
          <w:bCs/>
          <w:szCs w:val="22"/>
        </w:rPr>
      </w:pPr>
      <w:r w:rsidRPr="00AB08B7">
        <w:rPr>
          <w:noProof/>
          <w:szCs w:val="22"/>
          <w:lang w:eastAsia="es-MX"/>
          <w14:ligatures w14:val="standardContextual"/>
        </w:rPr>
        <w:drawing>
          <wp:inline distT="0" distB="0" distL="0" distR="0" wp14:anchorId="22B02823" wp14:editId="5B0094A4">
            <wp:extent cx="5667375" cy="6191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67375" cy="619125"/>
                    </a:xfrm>
                    <a:prstGeom prst="rect">
                      <a:avLst/>
                    </a:prstGeom>
                  </pic:spPr>
                </pic:pic>
              </a:graphicData>
            </a:graphic>
          </wp:inline>
        </w:drawing>
      </w:r>
    </w:p>
    <w:p w14:paraId="7C9EE1BD" w14:textId="7EF5D238" w:rsidR="00325F2D" w:rsidRPr="00AB08B7" w:rsidRDefault="00910FFF" w:rsidP="00AB08B7">
      <w:pPr>
        <w:pStyle w:val="Prrafodelista"/>
        <w:ind w:left="0" w:right="-93"/>
        <w:rPr>
          <w:rFonts w:cs="Tahoma"/>
          <w:bCs/>
          <w:szCs w:val="22"/>
        </w:rPr>
      </w:pPr>
      <w:r w:rsidRPr="00AB08B7">
        <w:rPr>
          <w:rFonts w:cs="Tahoma"/>
          <w:bCs/>
          <w:szCs w:val="22"/>
        </w:rPr>
        <w:t>Por lo anterior y de acuerdo a las atribuciones plasmadas en el Bando Municipal del Ayuntamiento de Huehuetoca</w:t>
      </w:r>
      <w:r w:rsidRPr="00AB08B7">
        <w:rPr>
          <w:rStyle w:val="Refdenotaalpie"/>
          <w:rFonts w:cs="Tahoma"/>
          <w:bCs/>
          <w:szCs w:val="22"/>
        </w:rPr>
        <w:footnoteReference w:id="1"/>
      </w:r>
      <w:r w:rsidRPr="00AB08B7">
        <w:rPr>
          <w:rFonts w:cs="Tahoma"/>
          <w:bCs/>
          <w:szCs w:val="22"/>
        </w:rPr>
        <w:t>, relativo a la Dirección de Administración, se tiene lo siguiente:</w:t>
      </w:r>
    </w:p>
    <w:p w14:paraId="1C11DCA7" w14:textId="02D85936" w:rsidR="00325F2D" w:rsidRPr="00AB08B7" w:rsidRDefault="00325F2D" w:rsidP="00AB08B7">
      <w:pPr>
        <w:pStyle w:val="Prrafodelista"/>
        <w:ind w:left="0" w:right="-93"/>
        <w:jc w:val="center"/>
        <w:rPr>
          <w:rFonts w:cs="Tahoma"/>
          <w:bCs/>
          <w:szCs w:val="22"/>
        </w:rPr>
      </w:pPr>
    </w:p>
    <w:p w14:paraId="66D68E56" w14:textId="77777777" w:rsidR="00910FFF" w:rsidRPr="00AB08B7" w:rsidRDefault="00910FFF" w:rsidP="00AB08B7">
      <w:pPr>
        <w:pStyle w:val="Prrafodelista"/>
        <w:ind w:left="851" w:right="822"/>
        <w:jc w:val="center"/>
        <w:rPr>
          <w:b/>
          <w:i/>
          <w:szCs w:val="22"/>
        </w:rPr>
      </w:pPr>
      <w:r w:rsidRPr="00AB08B7">
        <w:rPr>
          <w:b/>
          <w:i/>
          <w:szCs w:val="22"/>
        </w:rPr>
        <w:t>CAPITULO VIGÉSIMO PRIMERO</w:t>
      </w:r>
    </w:p>
    <w:p w14:paraId="7649CA0B" w14:textId="77777777" w:rsidR="00910FFF" w:rsidRPr="00AB08B7" w:rsidRDefault="00910FFF" w:rsidP="00AB08B7">
      <w:pPr>
        <w:pStyle w:val="Prrafodelista"/>
        <w:ind w:left="851" w:right="822"/>
        <w:jc w:val="center"/>
        <w:rPr>
          <w:b/>
          <w:i/>
          <w:szCs w:val="22"/>
        </w:rPr>
      </w:pPr>
      <w:r w:rsidRPr="00AB08B7">
        <w:rPr>
          <w:b/>
          <w:i/>
          <w:szCs w:val="22"/>
        </w:rPr>
        <w:t>SECCIÓN PRIMERA</w:t>
      </w:r>
    </w:p>
    <w:p w14:paraId="4AFE066D" w14:textId="73E12982" w:rsidR="00910FFF" w:rsidRPr="00AB08B7" w:rsidRDefault="00910FFF" w:rsidP="00AB08B7">
      <w:pPr>
        <w:pStyle w:val="Prrafodelista"/>
        <w:ind w:left="851" w:right="822"/>
        <w:jc w:val="center"/>
        <w:rPr>
          <w:b/>
          <w:i/>
          <w:szCs w:val="22"/>
        </w:rPr>
      </w:pPr>
      <w:r w:rsidRPr="00AB08B7">
        <w:rPr>
          <w:b/>
          <w:i/>
          <w:szCs w:val="22"/>
        </w:rPr>
        <w:t>DE LA DIRECCIÓN DE ADMINISTRACIÓN</w:t>
      </w:r>
    </w:p>
    <w:p w14:paraId="261E53A0" w14:textId="77777777" w:rsidR="00910FFF" w:rsidRPr="00AB08B7" w:rsidRDefault="00910FFF" w:rsidP="00AB08B7">
      <w:pPr>
        <w:pStyle w:val="Prrafodelista"/>
        <w:ind w:left="851" w:right="822"/>
        <w:rPr>
          <w:i/>
          <w:szCs w:val="22"/>
        </w:rPr>
      </w:pPr>
    </w:p>
    <w:p w14:paraId="40E31754" w14:textId="7ABFAB5F" w:rsidR="00910FFF" w:rsidRPr="00AB08B7" w:rsidRDefault="00910FFF" w:rsidP="00AB08B7">
      <w:pPr>
        <w:pStyle w:val="Prrafodelista"/>
        <w:ind w:left="851" w:right="822"/>
        <w:rPr>
          <w:rFonts w:cs="Tahoma"/>
          <w:bCs/>
          <w:i/>
          <w:szCs w:val="22"/>
        </w:rPr>
      </w:pPr>
      <w:r w:rsidRPr="00AB08B7">
        <w:rPr>
          <w:b/>
          <w:i/>
          <w:szCs w:val="22"/>
        </w:rPr>
        <w:t>Artículo 400.-</w:t>
      </w:r>
      <w:r w:rsidRPr="00AB08B7">
        <w:rPr>
          <w:i/>
          <w:szCs w:val="22"/>
        </w:rPr>
        <w:t xml:space="preserve"> La Dirección de Administración será la dependencia responsable de administrar los recursos humanos, materiales, tecnológicos, financieros, y de servicios de la estructura administrativa que conforma la Administración Pública Municipal, y asignará a esta, previa autorización del Presidente Municipal, el personal que cumpla con los perfiles que las áreas requieran para el cumplimiento de sus cargos; cumplirá con todas las atribuciones que le otorguen las disposiciones legales que regulen sus funciones.</w:t>
      </w:r>
    </w:p>
    <w:p w14:paraId="4B2B9340" w14:textId="7AF050E5" w:rsidR="00910FFF" w:rsidRPr="00AB08B7" w:rsidRDefault="00910FFF" w:rsidP="00AB08B7">
      <w:pPr>
        <w:pStyle w:val="Prrafodelista"/>
        <w:ind w:left="0" w:right="-93"/>
        <w:rPr>
          <w:rFonts w:cs="Tahoma"/>
          <w:bCs/>
          <w:szCs w:val="22"/>
        </w:rPr>
      </w:pPr>
    </w:p>
    <w:p w14:paraId="705C68BC" w14:textId="43AF2F11" w:rsidR="00910FFF" w:rsidRPr="00AB08B7" w:rsidRDefault="00910FFF" w:rsidP="00AB08B7">
      <w:pPr>
        <w:pStyle w:val="Prrafodelista"/>
        <w:ind w:left="0" w:right="-93"/>
        <w:rPr>
          <w:rFonts w:cs="Tahoma"/>
          <w:bCs/>
          <w:szCs w:val="22"/>
        </w:rPr>
      </w:pPr>
      <w:r w:rsidRPr="00AB08B7">
        <w:rPr>
          <w:rFonts w:cs="Tahoma"/>
          <w:bCs/>
          <w:szCs w:val="22"/>
        </w:rPr>
        <w:lastRenderedPageBreak/>
        <w:t>Por lo anterior se puede advertir la idoneidad del servidor público habilitado para proporcionar la información relativo a la cantidad de bicicletas, por ende se tiene por colmado dicho requerimiento.</w:t>
      </w:r>
    </w:p>
    <w:p w14:paraId="66312E6E" w14:textId="77777777" w:rsidR="00910FFF" w:rsidRPr="00AB08B7" w:rsidRDefault="00910FFF" w:rsidP="00AB08B7">
      <w:pPr>
        <w:pStyle w:val="Prrafodelista"/>
        <w:ind w:left="0" w:right="-93"/>
        <w:rPr>
          <w:rFonts w:cs="Tahoma"/>
          <w:bCs/>
          <w:szCs w:val="22"/>
        </w:rPr>
      </w:pPr>
    </w:p>
    <w:p w14:paraId="2DE86AA2" w14:textId="009F8696" w:rsidR="00FC3A88" w:rsidRPr="00AB08B7" w:rsidRDefault="003B254D" w:rsidP="00AB08B7">
      <w:pPr>
        <w:pStyle w:val="Prrafodelista"/>
        <w:ind w:left="0" w:right="-93"/>
        <w:rPr>
          <w:rFonts w:cs="Tahoma"/>
          <w:bCs/>
          <w:szCs w:val="22"/>
        </w:rPr>
      </w:pPr>
      <w:r w:rsidRPr="00AB08B7">
        <w:rPr>
          <w:rFonts w:cs="Tahoma"/>
          <w:bCs/>
          <w:szCs w:val="22"/>
        </w:rPr>
        <w:t xml:space="preserve">Ahora </w:t>
      </w:r>
      <w:r w:rsidR="00F57FD5" w:rsidRPr="00AB08B7">
        <w:rPr>
          <w:rFonts w:cs="Tahoma"/>
          <w:bCs/>
          <w:szCs w:val="22"/>
        </w:rPr>
        <w:t>bien,</w:t>
      </w:r>
      <w:r w:rsidRPr="00AB08B7">
        <w:rPr>
          <w:rFonts w:cs="Tahoma"/>
          <w:bCs/>
          <w:szCs w:val="22"/>
        </w:rPr>
        <w:t xml:space="preserve"> el </w:t>
      </w:r>
      <w:r w:rsidRPr="00AB08B7">
        <w:rPr>
          <w:rFonts w:cs="Tahoma"/>
          <w:b/>
          <w:bCs/>
          <w:szCs w:val="22"/>
        </w:rPr>
        <w:t>SUJETO OBLIGADO</w:t>
      </w:r>
      <w:r w:rsidRPr="00AB08B7">
        <w:rPr>
          <w:rFonts w:cs="Tahoma"/>
          <w:bCs/>
          <w:szCs w:val="22"/>
        </w:rPr>
        <w:t xml:space="preserve"> pretendió</w:t>
      </w:r>
      <w:r w:rsidR="0094081F" w:rsidRPr="00AB08B7">
        <w:rPr>
          <w:rFonts w:cs="Tahoma"/>
          <w:bCs/>
          <w:szCs w:val="22"/>
        </w:rPr>
        <w:t xml:space="preserve"> fundar y motivar la clasificación</w:t>
      </w:r>
      <w:r w:rsidRPr="00AB08B7">
        <w:rPr>
          <w:rFonts w:cs="Tahoma"/>
          <w:bCs/>
          <w:szCs w:val="22"/>
        </w:rPr>
        <w:t xml:space="preserve"> de entrega de información de la siguiente manera:</w:t>
      </w:r>
    </w:p>
    <w:p w14:paraId="0736D499" w14:textId="77777777" w:rsidR="00C72A67" w:rsidRPr="00AB08B7" w:rsidRDefault="00C72A67" w:rsidP="00AB08B7">
      <w:pPr>
        <w:pStyle w:val="Prrafodelista"/>
        <w:ind w:left="0" w:right="-93"/>
        <w:rPr>
          <w:rFonts w:cs="Tahoma"/>
          <w:bCs/>
          <w:szCs w:val="22"/>
        </w:rPr>
      </w:pPr>
    </w:p>
    <w:p w14:paraId="3A33F8D3" w14:textId="44CC0352" w:rsidR="003B254D" w:rsidRPr="00AB08B7" w:rsidRDefault="003B254D" w:rsidP="00AB08B7">
      <w:pPr>
        <w:pStyle w:val="Prrafodelista"/>
        <w:ind w:right="-93"/>
        <w:jc w:val="center"/>
        <w:rPr>
          <w:rFonts w:cs="Tahoma"/>
          <w:bCs/>
          <w:szCs w:val="22"/>
        </w:rPr>
      </w:pPr>
      <w:r w:rsidRPr="00AB08B7">
        <w:rPr>
          <w:noProof/>
          <w:szCs w:val="22"/>
          <w:lang w:eastAsia="es-MX"/>
          <w14:ligatures w14:val="standardContextual"/>
        </w:rPr>
        <w:drawing>
          <wp:inline distT="0" distB="0" distL="0" distR="0" wp14:anchorId="184ABE20" wp14:editId="4A5C0371">
            <wp:extent cx="4411230" cy="305752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55149" cy="3087966"/>
                    </a:xfrm>
                    <a:prstGeom prst="rect">
                      <a:avLst/>
                    </a:prstGeom>
                  </pic:spPr>
                </pic:pic>
              </a:graphicData>
            </a:graphic>
          </wp:inline>
        </w:drawing>
      </w:r>
    </w:p>
    <w:p w14:paraId="567F5A2D" w14:textId="35C9CE6C" w:rsidR="003B254D" w:rsidRPr="00AB08B7" w:rsidRDefault="003B254D" w:rsidP="00AB08B7">
      <w:pPr>
        <w:pStyle w:val="Prrafodelista"/>
        <w:ind w:right="-93"/>
        <w:jc w:val="center"/>
        <w:rPr>
          <w:rFonts w:cs="Tahoma"/>
          <w:bCs/>
          <w:szCs w:val="22"/>
        </w:rPr>
      </w:pPr>
      <w:r w:rsidRPr="00AB08B7">
        <w:rPr>
          <w:noProof/>
          <w:szCs w:val="22"/>
          <w:lang w:eastAsia="es-MX"/>
          <w14:ligatures w14:val="standardContextual"/>
        </w:rPr>
        <w:drawing>
          <wp:inline distT="0" distB="0" distL="0" distR="0" wp14:anchorId="1A00CB38" wp14:editId="2F4A19DC">
            <wp:extent cx="4482448" cy="1562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5707" cy="1573690"/>
                    </a:xfrm>
                    <a:prstGeom prst="rect">
                      <a:avLst/>
                    </a:prstGeom>
                  </pic:spPr>
                </pic:pic>
              </a:graphicData>
            </a:graphic>
          </wp:inline>
        </w:drawing>
      </w:r>
    </w:p>
    <w:p w14:paraId="46FCD9AC" w14:textId="77777777" w:rsidR="00C72A67" w:rsidRPr="00AB08B7" w:rsidRDefault="00C72A67" w:rsidP="00AB08B7">
      <w:pPr>
        <w:pStyle w:val="Prrafodelista"/>
        <w:ind w:left="0" w:right="-93"/>
        <w:rPr>
          <w:rFonts w:cs="Tahoma"/>
          <w:bCs/>
          <w:szCs w:val="22"/>
        </w:rPr>
      </w:pPr>
    </w:p>
    <w:p w14:paraId="7AF47865" w14:textId="047E0896" w:rsidR="00E2325D" w:rsidRPr="00AB08B7" w:rsidRDefault="00F57FD5" w:rsidP="00AB08B7">
      <w:pPr>
        <w:pStyle w:val="Prrafodelista"/>
        <w:ind w:left="0" w:right="-93"/>
        <w:rPr>
          <w:szCs w:val="22"/>
        </w:rPr>
      </w:pPr>
      <w:r w:rsidRPr="00AB08B7">
        <w:rPr>
          <w:rFonts w:cs="Tahoma"/>
          <w:bCs/>
          <w:szCs w:val="22"/>
        </w:rPr>
        <w:lastRenderedPageBreak/>
        <w:t>Sin embargo, l</w:t>
      </w:r>
      <w:r w:rsidR="00E2325D" w:rsidRPr="00AB08B7">
        <w:rPr>
          <w:szCs w:val="22"/>
        </w:rPr>
        <w:t xml:space="preserve">a reserva de la información implica una medida de protección a la información, la cual debe entenderse como el proceso mediante el cual </w:t>
      </w:r>
      <w:r w:rsidR="00E2325D" w:rsidRPr="00AB08B7">
        <w:rPr>
          <w:b/>
          <w:szCs w:val="22"/>
        </w:rPr>
        <w:t>EL SUJETO OBLIGADO</w:t>
      </w:r>
      <w:r w:rsidR="00E2325D" w:rsidRPr="00AB08B7">
        <w:rPr>
          <w:szCs w:val="22"/>
        </w:rPr>
        <w:t xml:space="preserve"> determina que la información en su poder actualizar alguno de los supuestos conforme a las normas aplicables.</w:t>
      </w:r>
    </w:p>
    <w:p w14:paraId="0FBBC2B1" w14:textId="77777777" w:rsidR="00E2325D" w:rsidRPr="00AB08B7" w:rsidRDefault="00E2325D" w:rsidP="00AB08B7">
      <w:pPr>
        <w:rPr>
          <w:szCs w:val="22"/>
        </w:rPr>
      </w:pPr>
    </w:p>
    <w:p w14:paraId="3128A77D" w14:textId="77777777" w:rsidR="00E2325D" w:rsidRPr="00AB08B7" w:rsidRDefault="00E2325D" w:rsidP="00AB08B7">
      <w:pPr>
        <w:rPr>
          <w:szCs w:val="22"/>
        </w:rPr>
      </w:pPr>
      <w:r w:rsidRPr="00AB08B7">
        <w:rPr>
          <w:szCs w:val="22"/>
        </w:rPr>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que para motivar la clasificación de la información y la ampliación del plazo de reserva, se deberán de señalar las razones, motivos o circunstancias especiales que llevaron al </w:t>
      </w:r>
      <w:r w:rsidRPr="00AB08B7">
        <w:rPr>
          <w:b/>
          <w:szCs w:val="22"/>
        </w:rPr>
        <w:t>SUJETO OBLIGADO</w:t>
      </w:r>
      <w:r w:rsidRPr="00AB08B7">
        <w:rPr>
          <w:szCs w:val="22"/>
        </w:rPr>
        <w:t xml:space="preserve"> a concluir que el caso particular se ajusta al supuesto previsto por la norma legal invocada como fundamento; siendo que, además, </w:t>
      </w:r>
      <w:r w:rsidRPr="00AB08B7">
        <w:rPr>
          <w:b/>
          <w:szCs w:val="22"/>
        </w:rPr>
        <w:t xml:space="preserve">EL SUJETO OBLIGADO </w:t>
      </w:r>
      <w:r w:rsidRPr="00AB08B7">
        <w:rPr>
          <w:szCs w:val="22"/>
        </w:rPr>
        <w:t>debe, en todo momento, aplicar una prueba de daño.</w:t>
      </w:r>
    </w:p>
    <w:p w14:paraId="7FAE402C" w14:textId="77777777" w:rsidR="00E2325D" w:rsidRPr="00AB08B7" w:rsidRDefault="00E2325D" w:rsidP="00AB08B7">
      <w:pPr>
        <w:rPr>
          <w:szCs w:val="22"/>
        </w:rPr>
      </w:pPr>
      <w:r w:rsidRPr="00AB08B7">
        <w:rPr>
          <w:szCs w:val="22"/>
        </w:rPr>
        <w:t xml:space="preserve"> </w:t>
      </w:r>
    </w:p>
    <w:p w14:paraId="5AE0C90D" w14:textId="77777777" w:rsidR="00E2325D" w:rsidRPr="00AB08B7" w:rsidRDefault="00E2325D" w:rsidP="00AB08B7">
      <w:pPr>
        <w:rPr>
          <w:szCs w:val="22"/>
        </w:rPr>
      </w:pPr>
      <w:r w:rsidRPr="00AB08B7">
        <w:rPr>
          <w:szCs w:val="22"/>
        </w:rPr>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 </w:t>
      </w:r>
    </w:p>
    <w:p w14:paraId="7C8DD54E" w14:textId="77777777" w:rsidR="00E2325D" w:rsidRPr="00AB08B7" w:rsidRDefault="00E2325D" w:rsidP="00AB08B7">
      <w:pPr>
        <w:rPr>
          <w:szCs w:val="22"/>
        </w:rPr>
      </w:pPr>
    </w:p>
    <w:p w14:paraId="683D0C84" w14:textId="77777777" w:rsidR="00E2325D" w:rsidRPr="00AB08B7" w:rsidRDefault="00E2325D" w:rsidP="00AB08B7">
      <w:pPr>
        <w:rPr>
          <w:szCs w:val="22"/>
        </w:rPr>
      </w:pPr>
      <w:r w:rsidRPr="00AB08B7">
        <w:rPr>
          <w:szCs w:val="22"/>
        </w:rPr>
        <w:t xml:space="preserve">De este modo, conforme al artículo 132 en correlación con el numeral 49, fracción II de la Ley de Transparencia y Acceso a la Información Pública del Estado de México y Municipios, para clasificar la información se debe de atender a lo dispuesto por la normativa y aplicar, de </w:t>
      </w:r>
      <w:r w:rsidRPr="00AB08B7">
        <w:rPr>
          <w:szCs w:val="22"/>
        </w:rPr>
        <w:lastRenderedPageBreak/>
        <w:t xml:space="preserve">manera estricta, las excepciones del derecho de acceso a la información y sólo podrán invocarlas cuando acrediten su procedencia, debiendo clasificar la información en el momento en que: </w:t>
      </w:r>
    </w:p>
    <w:p w14:paraId="09161579" w14:textId="77777777" w:rsidR="00E2325D" w:rsidRPr="00AB08B7" w:rsidRDefault="00E2325D" w:rsidP="00AB08B7">
      <w:pPr>
        <w:rPr>
          <w:szCs w:val="22"/>
        </w:rPr>
      </w:pPr>
    </w:p>
    <w:p w14:paraId="2F427D8D" w14:textId="77777777" w:rsidR="00E2325D" w:rsidRPr="00AB08B7" w:rsidRDefault="00E2325D" w:rsidP="00AB08B7">
      <w:pPr>
        <w:rPr>
          <w:szCs w:val="22"/>
        </w:rPr>
      </w:pPr>
      <w:r w:rsidRPr="00AB08B7">
        <w:rPr>
          <w:szCs w:val="22"/>
        </w:rPr>
        <w:t xml:space="preserve">1. Se reciba una solicitud de acceso a la información. </w:t>
      </w:r>
    </w:p>
    <w:p w14:paraId="24D765B6" w14:textId="77777777" w:rsidR="00E2325D" w:rsidRPr="00AB08B7" w:rsidRDefault="00E2325D" w:rsidP="00AB08B7">
      <w:pPr>
        <w:rPr>
          <w:szCs w:val="22"/>
        </w:rPr>
      </w:pPr>
      <w:r w:rsidRPr="00AB08B7">
        <w:rPr>
          <w:szCs w:val="22"/>
        </w:rPr>
        <w:t xml:space="preserve">2. Se determine mediante resolución de autoridad competente. </w:t>
      </w:r>
    </w:p>
    <w:p w14:paraId="7665C8A3" w14:textId="77777777" w:rsidR="00E2325D" w:rsidRPr="00AB08B7" w:rsidRDefault="00E2325D" w:rsidP="00AB08B7">
      <w:pPr>
        <w:rPr>
          <w:szCs w:val="22"/>
        </w:rPr>
      </w:pPr>
      <w:r w:rsidRPr="00AB08B7">
        <w:rPr>
          <w:szCs w:val="22"/>
        </w:rPr>
        <w:t xml:space="preserve">3. Se generen versiones públicas para dar cumplimiento a las obligaciones de transparencia previstas en la Ley. </w:t>
      </w:r>
    </w:p>
    <w:p w14:paraId="39CF0708" w14:textId="77777777" w:rsidR="00E2325D" w:rsidRPr="00AB08B7" w:rsidRDefault="00E2325D" w:rsidP="00AB08B7">
      <w:pPr>
        <w:rPr>
          <w:szCs w:val="22"/>
        </w:rPr>
      </w:pPr>
    </w:p>
    <w:p w14:paraId="564D9473" w14:textId="77777777" w:rsidR="00E2325D" w:rsidRPr="00AB08B7" w:rsidRDefault="00E2325D" w:rsidP="00AB08B7">
      <w:pPr>
        <w:rPr>
          <w:szCs w:val="22"/>
        </w:rPr>
      </w:pPr>
      <w:r w:rsidRPr="00AB08B7">
        <w:rPr>
          <w:szCs w:val="22"/>
        </w:rPr>
        <w:t>Situación que se robustece con lo previsto en el artículo 141 de citada Ley, que señala que las causales de reserva previstas se deberán fundar y motivar, a través de la aplicación de la prueba de daño.</w:t>
      </w:r>
    </w:p>
    <w:p w14:paraId="7944D1BF" w14:textId="77777777" w:rsidR="00E2325D" w:rsidRPr="00AB08B7" w:rsidRDefault="00E2325D" w:rsidP="00AB08B7">
      <w:pPr>
        <w:rPr>
          <w:szCs w:val="22"/>
        </w:rPr>
      </w:pPr>
    </w:p>
    <w:p w14:paraId="602F81A6" w14:textId="77777777" w:rsidR="00E2325D" w:rsidRPr="00AB08B7" w:rsidRDefault="00E2325D" w:rsidP="00AB08B7">
      <w:pPr>
        <w:rPr>
          <w:szCs w:val="22"/>
        </w:rPr>
      </w:pPr>
      <w:r w:rsidRPr="00AB08B7">
        <w:rPr>
          <w:szCs w:val="22"/>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198DA17D" w14:textId="77777777" w:rsidR="00E2325D" w:rsidRPr="00AB08B7" w:rsidRDefault="00E2325D" w:rsidP="00AB08B7">
      <w:pPr>
        <w:rPr>
          <w:szCs w:val="22"/>
        </w:rPr>
      </w:pPr>
    </w:p>
    <w:p w14:paraId="6978E644" w14:textId="77777777" w:rsidR="00E2325D" w:rsidRPr="00AB08B7" w:rsidRDefault="00E2325D" w:rsidP="00AB08B7">
      <w:pPr>
        <w:numPr>
          <w:ilvl w:val="0"/>
          <w:numId w:val="19"/>
        </w:numPr>
        <w:pBdr>
          <w:top w:val="nil"/>
          <w:left w:val="nil"/>
          <w:bottom w:val="nil"/>
          <w:right w:val="nil"/>
          <w:between w:val="nil"/>
        </w:pBdr>
        <w:ind w:left="714" w:hanging="357"/>
        <w:rPr>
          <w:szCs w:val="22"/>
        </w:rPr>
      </w:pPr>
      <w:r w:rsidRPr="00AB08B7">
        <w:rPr>
          <w:szCs w:val="22"/>
        </w:rPr>
        <w:t xml:space="preserve">La divulgación de la información representa un riesgo real, demostrable e identificable del perjuicio significativo al interés público o a la seguridad pública; </w:t>
      </w:r>
    </w:p>
    <w:p w14:paraId="5E269ED6" w14:textId="77777777" w:rsidR="00E2325D" w:rsidRPr="00AB08B7" w:rsidRDefault="00E2325D" w:rsidP="00AB08B7">
      <w:pPr>
        <w:numPr>
          <w:ilvl w:val="0"/>
          <w:numId w:val="19"/>
        </w:numPr>
        <w:pBdr>
          <w:top w:val="nil"/>
          <w:left w:val="nil"/>
          <w:bottom w:val="nil"/>
          <w:right w:val="nil"/>
          <w:between w:val="nil"/>
        </w:pBdr>
        <w:rPr>
          <w:szCs w:val="22"/>
        </w:rPr>
      </w:pPr>
      <w:r w:rsidRPr="00AB08B7">
        <w:rPr>
          <w:szCs w:val="22"/>
        </w:rPr>
        <w:t>El riesgo de perjuicio que supondría la divulgación supera el interés público general de que se difunda; y</w:t>
      </w:r>
    </w:p>
    <w:p w14:paraId="0AA8534F" w14:textId="77777777" w:rsidR="00E2325D" w:rsidRPr="00AB08B7" w:rsidRDefault="00E2325D" w:rsidP="00AB08B7">
      <w:pPr>
        <w:numPr>
          <w:ilvl w:val="0"/>
          <w:numId w:val="19"/>
        </w:numPr>
        <w:pBdr>
          <w:top w:val="nil"/>
          <w:left w:val="nil"/>
          <w:bottom w:val="nil"/>
          <w:right w:val="nil"/>
          <w:between w:val="nil"/>
        </w:pBdr>
        <w:rPr>
          <w:szCs w:val="22"/>
        </w:rPr>
      </w:pPr>
      <w:r w:rsidRPr="00AB08B7">
        <w:rPr>
          <w:szCs w:val="22"/>
        </w:rPr>
        <w:t>La limitación se adecua al principio de proporcionalidad y representa el medio menos restrictivo disponible para evitar el perjuicio.</w:t>
      </w:r>
    </w:p>
    <w:p w14:paraId="7690AFD3" w14:textId="77777777" w:rsidR="00E2325D" w:rsidRPr="00AB08B7" w:rsidRDefault="00E2325D" w:rsidP="00AB08B7">
      <w:pPr>
        <w:pBdr>
          <w:top w:val="nil"/>
          <w:left w:val="nil"/>
          <w:bottom w:val="nil"/>
          <w:right w:val="nil"/>
          <w:between w:val="nil"/>
        </w:pBdr>
        <w:ind w:left="720"/>
        <w:rPr>
          <w:szCs w:val="22"/>
        </w:rPr>
      </w:pPr>
    </w:p>
    <w:p w14:paraId="27B61F59" w14:textId="77777777" w:rsidR="00E2325D" w:rsidRPr="00AB08B7" w:rsidRDefault="00E2325D" w:rsidP="00AB08B7">
      <w:pPr>
        <w:rPr>
          <w:szCs w:val="22"/>
        </w:rPr>
      </w:pPr>
      <w:r w:rsidRPr="00AB08B7">
        <w:rPr>
          <w:szCs w:val="22"/>
        </w:rPr>
        <w:lastRenderedPageBreak/>
        <w:t>De tal manera, las limitaciones y/o restricciones al acceso a la información deben sustentarse en una adecuada clasificación que debe distinguir y tomar en cuenta qué información puede generar un daño desproporcionado o innecesario a valores jurídicamente protegidos.</w:t>
      </w:r>
    </w:p>
    <w:p w14:paraId="10DD702D" w14:textId="77777777" w:rsidR="00E2325D" w:rsidRPr="00AB08B7" w:rsidRDefault="00E2325D" w:rsidP="00AB08B7">
      <w:pPr>
        <w:spacing w:before="280"/>
        <w:rPr>
          <w:szCs w:val="22"/>
        </w:rPr>
      </w:pPr>
      <w:r w:rsidRPr="00AB08B7">
        <w:rPr>
          <w:szCs w:val="22"/>
        </w:rPr>
        <w:t xml:space="preserve">Por lo que, podemos advertir que la restricción al acceso a la información formulada y notificada a </w:t>
      </w:r>
      <w:r w:rsidRPr="00AB08B7">
        <w:rPr>
          <w:b/>
          <w:bCs/>
          <w:szCs w:val="22"/>
        </w:rPr>
        <w:t>LA PERSONA</w:t>
      </w:r>
      <w:r w:rsidRPr="00AB08B7">
        <w:rPr>
          <w:szCs w:val="22"/>
        </w:rPr>
        <w:t xml:space="preserve"> </w:t>
      </w:r>
      <w:r w:rsidRPr="00AB08B7">
        <w:rPr>
          <w:b/>
          <w:szCs w:val="22"/>
        </w:rPr>
        <w:t>RECURRENTE</w:t>
      </w:r>
      <w:r w:rsidRPr="00AB08B7">
        <w:rPr>
          <w:szCs w:val="22"/>
        </w:rPr>
        <w:t xml:space="preserve"> por </w:t>
      </w:r>
      <w:r w:rsidRPr="00AB08B7">
        <w:rPr>
          <w:b/>
          <w:szCs w:val="22"/>
        </w:rPr>
        <w:t>EL SUJETO OBLIGADO</w:t>
      </w:r>
      <w:r w:rsidRPr="00AB08B7">
        <w:rPr>
          <w:szCs w:val="22"/>
        </w:rPr>
        <w:t>, cobra vital relevancia puesto que sí ésta no arroja resultados contundentes sobre un posible peligro, deberá de concederse al particular el acceso a la consulta de misma y entregarse la información requerida.</w:t>
      </w:r>
    </w:p>
    <w:p w14:paraId="1A2535D5" w14:textId="77777777" w:rsidR="00E2325D" w:rsidRPr="00AB08B7" w:rsidRDefault="00E2325D" w:rsidP="00AB08B7">
      <w:pPr>
        <w:spacing w:before="280"/>
        <w:rPr>
          <w:szCs w:val="22"/>
        </w:rPr>
      </w:pPr>
      <w:r w:rsidRPr="00AB08B7">
        <w:rPr>
          <w:szCs w:val="22"/>
        </w:rPr>
        <w:t xml:space="preserve">Asimismo, es necesario hacer hincapié que los Sujetos Obligados conforme a lo establecido en la Ley, no pueden emitir acuerdos de carácter general en el que clasifiquen documentos o información como reservada, ya que dicha clasificación, debe estar acorde con la actualización de los supuestos definidos; resaltándose además que, la clasificación de la información se debe realizar conforme a un análisis caso por caso, mediante la aplicación de la enunciada prueba de daño. </w:t>
      </w:r>
    </w:p>
    <w:p w14:paraId="208EEACC" w14:textId="77777777" w:rsidR="00E2325D" w:rsidRPr="00AB08B7" w:rsidRDefault="00E2325D" w:rsidP="00AB08B7">
      <w:pPr>
        <w:rPr>
          <w:szCs w:val="22"/>
        </w:rPr>
      </w:pPr>
    </w:p>
    <w:p w14:paraId="25D2535A" w14:textId="77777777" w:rsidR="00E2325D" w:rsidRPr="00AB08B7" w:rsidRDefault="00E2325D" w:rsidP="00AB08B7">
      <w:pPr>
        <w:rPr>
          <w:szCs w:val="22"/>
        </w:rPr>
      </w:pPr>
      <w:r w:rsidRPr="00AB08B7">
        <w:rPr>
          <w:szCs w:val="22"/>
        </w:rPr>
        <w:t xml:space="preserve">De este modo, es necesario que </w:t>
      </w:r>
      <w:r w:rsidRPr="00AB08B7">
        <w:rPr>
          <w:b/>
          <w:szCs w:val="22"/>
        </w:rPr>
        <w:t>EL SUJETO OBLIGADO</w:t>
      </w:r>
      <w:r w:rsidRPr="00AB08B7">
        <w:rPr>
          <w:szCs w:val="22"/>
        </w:rPr>
        <w:t xml:space="preserve">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10D462DD" w14:textId="77777777" w:rsidR="00E2325D" w:rsidRPr="00AB08B7" w:rsidRDefault="00E2325D" w:rsidP="00AB08B7">
      <w:pPr>
        <w:rPr>
          <w:szCs w:val="22"/>
        </w:rPr>
      </w:pPr>
    </w:p>
    <w:p w14:paraId="3EE1707B" w14:textId="77777777" w:rsidR="00E2325D" w:rsidRPr="00AB08B7" w:rsidRDefault="00E2325D" w:rsidP="00AB08B7">
      <w:pPr>
        <w:rPr>
          <w:szCs w:val="22"/>
        </w:rPr>
      </w:pPr>
      <w:r w:rsidRPr="00AB08B7">
        <w:rPr>
          <w:szCs w:val="22"/>
        </w:rPr>
        <w:t xml:space="preserve">Aunado a lo anterior, es importante señalar el contenido del numeral Octavo de los Lineamientos Generales en materia de Clasificación y Desclasificación de la Información, así </w:t>
      </w:r>
      <w:r w:rsidRPr="00AB08B7">
        <w:rPr>
          <w:szCs w:val="22"/>
        </w:rPr>
        <w:lastRenderedPageBreak/>
        <w:t xml:space="preserve">como para la elaboración de versiones públicas para realizar la clasificación de la información se debe fundar y motivar señalando el artículo, fracción, inciso, párrafo o numeral de la Ley o tratado internacional suscrito por el Estado Mexicano que expresamente le otorgue el carácter de reservada, así como especificando las razones o circunstancias especiales que lo llevaron a concluir que el caso particular se ajusta al supuesto previsto por la norma legal invocada como fundamento. </w:t>
      </w:r>
    </w:p>
    <w:p w14:paraId="69A5015D" w14:textId="77777777" w:rsidR="00E2325D" w:rsidRPr="00AB08B7" w:rsidRDefault="00E2325D" w:rsidP="00AB08B7">
      <w:pPr>
        <w:rPr>
          <w:szCs w:val="22"/>
        </w:rPr>
      </w:pPr>
    </w:p>
    <w:p w14:paraId="7A322F16" w14:textId="77777777" w:rsidR="00E2325D" w:rsidRPr="00AB08B7" w:rsidRDefault="00E2325D" w:rsidP="00AB08B7">
      <w:pPr>
        <w:rPr>
          <w:szCs w:val="22"/>
        </w:rPr>
      </w:pPr>
      <w:r w:rsidRPr="00AB08B7">
        <w:rPr>
          <w:szCs w:val="22"/>
        </w:rPr>
        <w:t xml:space="preserve">Siendo así que, en el caso específico de la reserva, la motivación de la clasificación también deberá comprender las circunstancias que justifican el establecimiento de determinado plazo de reserva; en otras palabras, para clasificar la información como reservada, se debe contar con el acuerdo respectivo el cual debe estar debidamente fundado y motivado. </w:t>
      </w:r>
    </w:p>
    <w:p w14:paraId="72456B2E" w14:textId="77777777" w:rsidR="00E2325D" w:rsidRPr="00AB08B7" w:rsidRDefault="00E2325D" w:rsidP="00AB08B7">
      <w:pPr>
        <w:rPr>
          <w:szCs w:val="22"/>
        </w:rPr>
      </w:pPr>
    </w:p>
    <w:p w14:paraId="6C2DBE37" w14:textId="77777777" w:rsidR="00E2325D" w:rsidRPr="00AB08B7" w:rsidRDefault="00E2325D" w:rsidP="00AB08B7">
      <w:pPr>
        <w:rPr>
          <w:szCs w:val="22"/>
        </w:rPr>
      </w:pPr>
      <w:r w:rsidRPr="00AB08B7">
        <w:rPr>
          <w:szCs w:val="22"/>
        </w:rPr>
        <w:t>Por tanto, la fundamentación y motivación consiste en la obligación que tiene todo ente público de expresar los preceptos jurídicos aplicables al asunto motivo del acto y las razones o argumentos de su actuar.</w:t>
      </w:r>
    </w:p>
    <w:p w14:paraId="31E74396" w14:textId="77777777" w:rsidR="00E2325D" w:rsidRPr="00AB08B7" w:rsidRDefault="00E2325D" w:rsidP="00AB08B7">
      <w:pPr>
        <w:rPr>
          <w:szCs w:val="22"/>
        </w:rPr>
      </w:pPr>
    </w:p>
    <w:p w14:paraId="101891DC" w14:textId="77777777" w:rsidR="00E2325D" w:rsidRPr="00AB08B7" w:rsidRDefault="00E2325D" w:rsidP="00AB08B7">
      <w:pPr>
        <w:rPr>
          <w:szCs w:val="22"/>
        </w:rPr>
      </w:pPr>
      <w:r w:rsidRPr="00AB08B7">
        <w:rPr>
          <w:szCs w:val="22"/>
        </w:rPr>
        <w:t>Al respecto, el máximo tribunal del país ha establecido jurisprudencia respecto a qué debe entenderse por fundamentación y motivación, en los siguientes términos:</w:t>
      </w:r>
    </w:p>
    <w:p w14:paraId="19A05986" w14:textId="77777777" w:rsidR="00E2325D" w:rsidRPr="00AB08B7" w:rsidRDefault="00E2325D" w:rsidP="00AB08B7">
      <w:pPr>
        <w:rPr>
          <w:szCs w:val="22"/>
        </w:rPr>
      </w:pPr>
    </w:p>
    <w:p w14:paraId="379730CA" w14:textId="77777777" w:rsidR="00E2325D" w:rsidRPr="00AB08B7" w:rsidRDefault="00E2325D" w:rsidP="00AB08B7">
      <w:pPr>
        <w:pStyle w:val="Puesto"/>
        <w:rPr>
          <w:szCs w:val="22"/>
        </w:rPr>
      </w:pPr>
      <w:r w:rsidRPr="00AB08B7">
        <w:rPr>
          <w:szCs w:val="22"/>
        </w:rPr>
        <w:t>“</w:t>
      </w:r>
      <w:r w:rsidRPr="00AB08B7">
        <w:rPr>
          <w:b/>
          <w:szCs w:val="22"/>
        </w:rPr>
        <w:t>FUNDAMENTACION Y MOTIVACION</w:t>
      </w:r>
      <w:r w:rsidRPr="00AB08B7">
        <w:rPr>
          <w:szCs w:val="22"/>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3E377752" w14:textId="77777777" w:rsidR="00E2325D" w:rsidRPr="00AB08B7" w:rsidRDefault="00E2325D" w:rsidP="00AB08B7">
      <w:pPr>
        <w:ind w:left="709" w:right="616"/>
        <w:rPr>
          <w:i/>
          <w:szCs w:val="22"/>
        </w:rPr>
      </w:pPr>
    </w:p>
    <w:p w14:paraId="70E958A2" w14:textId="77777777" w:rsidR="00E2325D" w:rsidRPr="00AB08B7" w:rsidRDefault="00E2325D" w:rsidP="00AB08B7">
      <w:pPr>
        <w:rPr>
          <w:szCs w:val="22"/>
        </w:rPr>
      </w:pPr>
      <w:r w:rsidRPr="00AB08B7">
        <w:rPr>
          <w:szCs w:val="22"/>
        </w:rPr>
        <w:t xml:space="preserve">Así, en un acto de autoridad se surte la debida fundamentación cuando se cita el precepto legal aplicable al caso concreto y la debida motivación cuando se expresan las razones, </w:t>
      </w:r>
      <w:r w:rsidRPr="00AB08B7">
        <w:rPr>
          <w:szCs w:val="22"/>
        </w:rPr>
        <w:lastRenderedPageBreak/>
        <w:t>motivos o circunstancias que tomó en cuenta la autoridad para adecuar el hecho a los fundamentos de derecho.</w:t>
      </w:r>
    </w:p>
    <w:p w14:paraId="42FA2282" w14:textId="77777777" w:rsidR="00E2325D" w:rsidRPr="00AB08B7" w:rsidRDefault="00E2325D" w:rsidP="00AB08B7">
      <w:pPr>
        <w:rPr>
          <w:szCs w:val="22"/>
        </w:rPr>
      </w:pPr>
    </w:p>
    <w:p w14:paraId="110A9F2F" w14:textId="77777777" w:rsidR="00E2325D" w:rsidRPr="00AB08B7" w:rsidRDefault="00E2325D" w:rsidP="00AB08B7">
      <w:pPr>
        <w:rPr>
          <w:szCs w:val="22"/>
        </w:rPr>
      </w:pPr>
      <w:r w:rsidRPr="00AB08B7">
        <w:rPr>
          <w:szCs w:val="22"/>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 </w:t>
      </w:r>
    </w:p>
    <w:p w14:paraId="5F898C43" w14:textId="77777777" w:rsidR="00E2325D" w:rsidRPr="00AB08B7" w:rsidRDefault="00E2325D" w:rsidP="00AB08B7">
      <w:pPr>
        <w:rPr>
          <w:szCs w:val="22"/>
        </w:rPr>
      </w:pPr>
    </w:p>
    <w:p w14:paraId="3AD6DD67" w14:textId="77777777" w:rsidR="00E2325D" w:rsidRPr="00AB08B7" w:rsidRDefault="00E2325D" w:rsidP="00AB08B7">
      <w:pPr>
        <w:rPr>
          <w:szCs w:val="22"/>
        </w:rPr>
      </w:pPr>
      <w:r w:rsidRPr="00AB08B7">
        <w:rPr>
          <w:szCs w:val="22"/>
        </w:rPr>
        <w:t>Atento a lo anterior, es necesario hacer hincapié que para clasificar la información como reservada, se deben precisar las razones objetivas por las que la apertura de la información generaría una afectación, asimismo es claro que los mismos deben aplicar de manera restrictiva y limitada las hipótesis de clasificación y no hacerlas valer de manera general.</w:t>
      </w:r>
    </w:p>
    <w:p w14:paraId="5FF883F2" w14:textId="77777777" w:rsidR="00E2325D" w:rsidRPr="00AB08B7" w:rsidRDefault="00E2325D" w:rsidP="00AB08B7">
      <w:pPr>
        <w:rPr>
          <w:szCs w:val="22"/>
        </w:rPr>
      </w:pPr>
    </w:p>
    <w:p w14:paraId="5BEAB859" w14:textId="77777777" w:rsidR="00E2325D" w:rsidRPr="00AB08B7" w:rsidRDefault="00E2325D" w:rsidP="00AB08B7">
      <w:pPr>
        <w:rPr>
          <w:szCs w:val="22"/>
        </w:rPr>
      </w:pPr>
      <w:r w:rsidRPr="00AB08B7">
        <w:rPr>
          <w:szCs w:val="22"/>
        </w:rPr>
        <w:t>Asimismo, se precisa, que conforme a lo establecido en el artículo 59, fracción V, de la Ley de Transparencia, es una atribución de los Servidores Públicos Habilitados integrar y presentar al responsable de la Unidad de Transparencia la propuesta de clasificación de la información, la cual debe de contener los fundamentos y argumentos en que se basa dicha propuesta, como se advierte enseguida:</w:t>
      </w:r>
    </w:p>
    <w:p w14:paraId="56AF1B94" w14:textId="77777777" w:rsidR="00E2325D" w:rsidRPr="00AB08B7" w:rsidRDefault="00E2325D" w:rsidP="00AB08B7">
      <w:pPr>
        <w:rPr>
          <w:szCs w:val="22"/>
        </w:rPr>
      </w:pPr>
    </w:p>
    <w:p w14:paraId="16C1D02A" w14:textId="77777777" w:rsidR="00E2325D" w:rsidRPr="00AB08B7" w:rsidRDefault="00E2325D" w:rsidP="00AB08B7">
      <w:pPr>
        <w:pStyle w:val="Puesto"/>
        <w:rPr>
          <w:szCs w:val="22"/>
        </w:rPr>
      </w:pPr>
      <w:r w:rsidRPr="00AB08B7">
        <w:rPr>
          <w:b/>
          <w:szCs w:val="22"/>
        </w:rPr>
        <w:t>Artículo 59.</w:t>
      </w:r>
      <w:r w:rsidRPr="00AB08B7">
        <w:rPr>
          <w:szCs w:val="22"/>
        </w:rPr>
        <w:t xml:space="preserve"> Los servidores públicos habilitados tendrán las funciones siguientes:</w:t>
      </w:r>
    </w:p>
    <w:p w14:paraId="245B951B" w14:textId="77777777" w:rsidR="00E2325D" w:rsidRPr="00AB08B7" w:rsidRDefault="00E2325D" w:rsidP="00AB08B7">
      <w:pPr>
        <w:pStyle w:val="Puesto"/>
        <w:rPr>
          <w:szCs w:val="22"/>
        </w:rPr>
      </w:pPr>
      <w:r w:rsidRPr="00AB08B7">
        <w:rPr>
          <w:szCs w:val="22"/>
        </w:rPr>
        <w:t>…</w:t>
      </w:r>
    </w:p>
    <w:p w14:paraId="6873E8F9" w14:textId="77777777" w:rsidR="00E2325D" w:rsidRPr="00AB08B7" w:rsidRDefault="00E2325D" w:rsidP="00AB08B7">
      <w:pPr>
        <w:pStyle w:val="Puesto"/>
        <w:rPr>
          <w:szCs w:val="22"/>
        </w:rPr>
      </w:pPr>
    </w:p>
    <w:p w14:paraId="41BD9331" w14:textId="77777777" w:rsidR="00E2325D" w:rsidRPr="00AB08B7" w:rsidRDefault="00E2325D" w:rsidP="00AB08B7">
      <w:pPr>
        <w:pStyle w:val="Puesto"/>
        <w:rPr>
          <w:szCs w:val="22"/>
        </w:rPr>
      </w:pPr>
      <w:r w:rsidRPr="00AB08B7">
        <w:rPr>
          <w:szCs w:val="22"/>
        </w:rPr>
        <w:t>V. Integrar y presentar al responsable de la Unidad de Transparencia la propuesta de clasificación de información, la cual tendrá los fundamentos y argumentos en que se basa dicha propuesta;</w:t>
      </w:r>
    </w:p>
    <w:p w14:paraId="20C48682" w14:textId="77777777" w:rsidR="00E2325D" w:rsidRPr="00AB08B7" w:rsidRDefault="00E2325D" w:rsidP="00AB08B7">
      <w:pPr>
        <w:rPr>
          <w:szCs w:val="22"/>
        </w:rPr>
      </w:pPr>
    </w:p>
    <w:p w14:paraId="2E68FC8C" w14:textId="77777777" w:rsidR="00E2325D" w:rsidRPr="00AB08B7" w:rsidRDefault="00E2325D" w:rsidP="00AB08B7">
      <w:pPr>
        <w:ind w:right="49"/>
        <w:rPr>
          <w:szCs w:val="22"/>
        </w:rPr>
      </w:pPr>
      <w:r w:rsidRPr="00AB08B7">
        <w:rPr>
          <w:szCs w:val="22"/>
        </w:rPr>
        <w:t xml:space="preserve">Así, una vez, que el Titular de la Unidad de Transparencia, tiene en su poder la petición formulada por el Servidor Público Habilitado, éste a su vez, lo someterá a la consideración de </w:t>
      </w:r>
      <w:r w:rsidRPr="00AB08B7">
        <w:rPr>
          <w:szCs w:val="22"/>
        </w:rPr>
        <w:lastRenderedPageBreak/>
        <w:t>los integrantes del Comité de Transparencia para su confirmación, modificación o revocación, como lo disponen los artículos 53, fracción X, 49, fracciones II y VIII del ordenamiento invocado, que son del tenor siguiente:</w:t>
      </w:r>
    </w:p>
    <w:p w14:paraId="0CAD601A" w14:textId="77777777" w:rsidR="00E2325D" w:rsidRPr="00AB08B7" w:rsidRDefault="00E2325D" w:rsidP="00AB08B7">
      <w:pPr>
        <w:ind w:left="851" w:right="899"/>
        <w:rPr>
          <w:i/>
          <w:szCs w:val="22"/>
        </w:rPr>
      </w:pPr>
    </w:p>
    <w:p w14:paraId="724C85BB" w14:textId="77777777" w:rsidR="00E2325D" w:rsidRPr="00AB08B7" w:rsidRDefault="00E2325D" w:rsidP="00AB08B7">
      <w:pPr>
        <w:pStyle w:val="Puesto"/>
        <w:rPr>
          <w:szCs w:val="22"/>
        </w:rPr>
      </w:pPr>
      <w:r w:rsidRPr="00AB08B7">
        <w:rPr>
          <w:szCs w:val="22"/>
        </w:rPr>
        <w:t>“</w:t>
      </w:r>
      <w:r w:rsidRPr="00AB08B7">
        <w:rPr>
          <w:b/>
          <w:szCs w:val="22"/>
        </w:rPr>
        <w:t>Artículo 53.</w:t>
      </w:r>
      <w:r w:rsidRPr="00AB08B7">
        <w:rPr>
          <w:szCs w:val="22"/>
        </w:rPr>
        <w:t xml:space="preserve"> Las Unidades de Transparencia tendrán las siguientes funciones:</w:t>
      </w:r>
    </w:p>
    <w:p w14:paraId="7CB3514A" w14:textId="77777777" w:rsidR="00E2325D" w:rsidRPr="00AB08B7" w:rsidRDefault="00E2325D" w:rsidP="00AB08B7">
      <w:pPr>
        <w:pStyle w:val="Puesto"/>
        <w:rPr>
          <w:szCs w:val="22"/>
        </w:rPr>
      </w:pPr>
      <w:r w:rsidRPr="00AB08B7">
        <w:rPr>
          <w:szCs w:val="22"/>
        </w:rPr>
        <w:t>…</w:t>
      </w:r>
    </w:p>
    <w:p w14:paraId="0642758E" w14:textId="77777777" w:rsidR="00E2325D" w:rsidRPr="00AB08B7" w:rsidRDefault="00E2325D" w:rsidP="00AB08B7">
      <w:pPr>
        <w:pStyle w:val="Puesto"/>
        <w:rPr>
          <w:b/>
          <w:szCs w:val="22"/>
        </w:rPr>
      </w:pPr>
      <w:r w:rsidRPr="00AB08B7">
        <w:rPr>
          <w:b/>
          <w:szCs w:val="22"/>
        </w:rPr>
        <w:t>X. Presentar ante el Comité, el proyecto de clasificación de información;</w:t>
      </w:r>
    </w:p>
    <w:p w14:paraId="3EA46AD4" w14:textId="77777777" w:rsidR="00E2325D" w:rsidRPr="00AB08B7" w:rsidRDefault="00E2325D" w:rsidP="00AB08B7">
      <w:pPr>
        <w:pStyle w:val="Puesto"/>
        <w:rPr>
          <w:szCs w:val="22"/>
        </w:rPr>
      </w:pPr>
      <w:r w:rsidRPr="00AB08B7">
        <w:rPr>
          <w:szCs w:val="22"/>
        </w:rPr>
        <w:t>…</w:t>
      </w:r>
    </w:p>
    <w:p w14:paraId="44A3213B" w14:textId="77777777" w:rsidR="00E2325D" w:rsidRPr="00AB08B7" w:rsidRDefault="00E2325D" w:rsidP="00AB08B7">
      <w:pPr>
        <w:pStyle w:val="Puesto"/>
        <w:rPr>
          <w:szCs w:val="22"/>
        </w:rPr>
      </w:pPr>
      <w:r w:rsidRPr="00AB08B7">
        <w:rPr>
          <w:b/>
          <w:szCs w:val="22"/>
        </w:rPr>
        <w:t>Artículo 49.</w:t>
      </w:r>
      <w:r w:rsidRPr="00AB08B7">
        <w:rPr>
          <w:szCs w:val="22"/>
        </w:rPr>
        <w:t xml:space="preserve"> Los Comités de Transparencia tendrán las siguientes atribuciones:</w:t>
      </w:r>
    </w:p>
    <w:p w14:paraId="413EA296" w14:textId="77777777" w:rsidR="00E2325D" w:rsidRPr="00AB08B7" w:rsidRDefault="00E2325D" w:rsidP="00AB08B7">
      <w:pPr>
        <w:pStyle w:val="Puesto"/>
        <w:rPr>
          <w:szCs w:val="22"/>
        </w:rPr>
      </w:pPr>
      <w:r w:rsidRPr="00AB08B7">
        <w:rPr>
          <w:szCs w:val="22"/>
        </w:rPr>
        <w:t>…</w:t>
      </w:r>
    </w:p>
    <w:p w14:paraId="1AF01947" w14:textId="77777777" w:rsidR="00E2325D" w:rsidRPr="00AB08B7" w:rsidRDefault="00E2325D" w:rsidP="00AB08B7">
      <w:pPr>
        <w:pStyle w:val="Puesto"/>
        <w:rPr>
          <w:szCs w:val="22"/>
        </w:rPr>
      </w:pPr>
      <w:r w:rsidRPr="00AB08B7">
        <w:rPr>
          <w:szCs w:val="22"/>
        </w:rPr>
        <w:t xml:space="preserve">II. </w:t>
      </w:r>
      <w:r w:rsidRPr="00AB08B7">
        <w:rPr>
          <w:b/>
          <w:szCs w:val="22"/>
        </w:rPr>
        <w:t>Confirmar, modificar o revocar las determinaciones que en materia</w:t>
      </w:r>
      <w:r w:rsidRPr="00AB08B7">
        <w:rPr>
          <w:szCs w:val="22"/>
        </w:rPr>
        <w:t xml:space="preserve"> de ampliación del plazo de respuesta, </w:t>
      </w:r>
      <w:r w:rsidRPr="00AB08B7">
        <w:rPr>
          <w:b/>
          <w:szCs w:val="22"/>
        </w:rPr>
        <w:t>clasificación de la información</w:t>
      </w:r>
      <w:r w:rsidRPr="00AB08B7">
        <w:rPr>
          <w:szCs w:val="22"/>
        </w:rPr>
        <w:t xml:space="preserve"> y declaración de inexistencia o de incompetencia realicen los titulares de las áreas de los sujetos obligados;</w:t>
      </w:r>
    </w:p>
    <w:p w14:paraId="080688E5" w14:textId="77777777" w:rsidR="00E2325D" w:rsidRPr="00AB08B7" w:rsidRDefault="00E2325D" w:rsidP="00AB08B7">
      <w:pPr>
        <w:pStyle w:val="Puesto"/>
        <w:rPr>
          <w:szCs w:val="22"/>
        </w:rPr>
      </w:pPr>
      <w:r w:rsidRPr="00AB08B7">
        <w:rPr>
          <w:szCs w:val="22"/>
        </w:rPr>
        <w:t>…</w:t>
      </w:r>
    </w:p>
    <w:p w14:paraId="7DBE7355" w14:textId="77777777" w:rsidR="00E2325D" w:rsidRPr="00AB08B7" w:rsidRDefault="00E2325D" w:rsidP="00AB08B7">
      <w:pPr>
        <w:pStyle w:val="Puesto"/>
        <w:rPr>
          <w:szCs w:val="22"/>
        </w:rPr>
      </w:pPr>
      <w:r w:rsidRPr="00AB08B7">
        <w:rPr>
          <w:szCs w:val="22"/>
        </w:rPr>
        <w:t>VIII. Aprobar, modificar o revocar la clasificación de la información;</w:t>
      </w:r>
    </w:p>
    <w:p w14:paraId="0E5B8249" w14:textId="77777777" w:rsidR="00E2325D" w:rsidRPr="00AB08B7" w:rsidRDefault="00E2325D" w:rsidP="00AB08B7">
      <w:pPr>
        <w:pStyle w:val="Puesto"/>
        <w:rPr>
          <w:szCs w:val="22"/>
        </w:rPr>
      </w:pPr>
      <w:r w:rsidRPr="00AB08B7">
        <w:rPr>
          <w:szCs w:val="22"/>
        </w:rPr>
        <w:t>…” Sic.</w:t>
      </w:r>
    </w:p>
    <w:p w14:paraId="48295BA5" w14:textId="02B86B81" w:rsidR="00902008" w:rsidRPr="00AB08B7" w:rsidRDefault="00902008" w:rsidP="00AB08B7">
      <w:pPr>
        <w:pStyle w:val="Prrafodelista"/>
        <w:ind w:right="-93"/>
        <w:rPr>
          <w:rFonts w:cs="Tahoma"/>
          <w:bCs/>
          <w:szCs w:val="22"/>
        </w:rPr>
      </w:pPr>
    </w:p>
    <w:p w14:paraId="2D261C00" w14:textId="18EF0541" w:rsidR="00C34F5A" w:rsidRPr="00AB08B7" w:rsidRDefault="00F57FD5" w:rsidP="00AB08B7">
      <w:pPr>
        <w:pStyle w:val="Prrafodelista"/>
        <w:ind w:left="0" w:right="-93"/>
        <w:rPr>
          <w:szCs w:val="22"/>
        </w:rPr>
      </w:pPr>
      <w:r w:rsidRPr="00AB08B7">
        <w:rPr>
          <w:rFonts w:cs="Tahoma"/>
          <w:bCs/>
          <w:szCs w:val="22"/>
        </w:rPr>
        <w:t xml:space="preserve">Analizado lo anterior, </w:t>
      </w:r>
      <w:r w:rsidR="00C34F5A" w:rsidRPr="00AB08B7">
        <w:rPr>
          <w:rFonts w:cs="Tahoma"/>
          <w:bCs/>
          <w:szCs w:val="22"/>
        </w:rPr>
        <w:t xml:space="preserve">debe decirse que la información que solicita la parte recurrente, no reviste el carácter de clasificada, pues debemos recordar que las rifas se encuentran reguladas en la Ley, máxime si el dinero usado para la compra del objeto es erogado por el Erario Público, por ende resulta procedente </w:t>
      </w:r>
      <w:r w:rsidR="00C34F5A" w:rsidRPr="00AB08B7">
        <w:rPr>
          <w:szCs w:val="22"/>
        </w:rPr>
        <w:t>referir lo establecido en el artículo 24 de la Ley Orgánica de la Administración Pública del Estado de México, la cual establece dentro de las atribuciones de la Secretaría General de Gobierno la de intervenir en rifas tal como se muestra a continuación:</w:t>
      </w:r>
    </w:p>
    <w:p w14:paraId="2A0CFA27" w14:textId="77777777" w:rsidR="00C34F5A" w:rsidRPr="00AB08B7" w:rsidRDefault="00C34F5A" w:rsidP="00AB08B7">
      <w:pPr>
        <w:rPr>
          <w:szCs w:val="22"/>
        </w:rPr>
      </w:pPr>
    </w:p>
    <w:p w14:paraId="4EE56EF4" w14:textId="77777777" w:rsidR="00C34F5A" w:rsidRPr="00AB08B7" w:rsidRDefault="00C34F5A" w:rsidP="00AB08B7">
      <w:pPr>
        <w:pStyle w:val="Puesto"/>
        <w:rPr>
          <w:szCs w:val="22"/>
        </w:rPr>
      </w:pPr>
      <w:r w:rsidRPr="00AB08B7">
        <w:rPr>
          <w:b/>
          <w:szCs w:val="22"/>
        </w:rPr>
        <w:t>Artículo 24.</w:t>
      </w:r>
      <w:r w:rsidRPr="00AB08B7">
        <w:rPr>
          <w:szCs w:val="22"/>
        </w:rPr>
        <w:t xml:space="preserve"> La Secretaría General de Gobierno es el Órgano encargado de conducir, por delegación de la persona titular del Poder Ejecutivo del Estado, la política interior del Estado y la coordinación y supervisión del despacho de los asuntos encomendados a las demás dependencias a que se refiere el artículo anterior.</w:t>
      </w:r>
    </w:p>
    <w:p w14:paraId="52DE56BD" w14:textId="77777777" w:rsidR="00C34F5A" w:rsidRPr="00AB08B7" w:rsidRDefault="00C34F5A" w:rsidP="00AB08B7">
      <w:pPr>
        <w:pStyle w:val="Puesto"/>
        <w:rPr>
          <w:szCs w:val="22"/>
        </w:rPr>
      </w:pPr>
    </w:p>
    <w:p w14:paraId="36B2712B" w14:textId="77777777" w:rsidR="00C34F5A" w:rsidRPr="00AB08B7" w:rsidRDefault="00C34F5A" w:rsidP="00AB08B7">
      <w:pPr>
        <w:pStyle w:val="Puesto"/>
        <w:rPr>
          <w:szCs w:val="22"/>
        </w:rPr>
      </w:pPr>
      <w:r w:rsidRPr="00AB08B7">
        <w:rPr>
          <w:b/>
          <w:szCs w:val="22"/>
        </w:rPr>
        <w:t>XX.</w:t>
      </w:r>
      <w:r w:rsidRPr="00AB08B7">
        <w:rPr>
          <w:szCs w:val="22"/>
        </w:rPr>
        <w:t xml:space="preserve"> Intervenir, en el ámbito de su competencia, en auxilio o en coordinación con las autoridades federales, en materia de loterías, rifas, concursos y juegos permitidos con cruce de apuestas;</w:t>
      </w:r>
    </w:p>
    <w:p w14:paraId="76AC56A9" w14:textId="77777777" w:rsidR="00C34F5A" w:rsidRPr="00AB08B7" w:rsidRDefault="00C34F5A" w:rsidP="00AB08B7">
      <w:pPr>
        <w:pStyle w:val="Puesto"/>
        <w:rPr>
          <w:szCs w:val="22"/>
        </w:rPr>
      </w:pPr>
    </w:p>
    <w:p w14:paraId="4C857BA4" w14:textId="77777777" w:rsidR="00C34F5A" w:rsidRPr="00AB08B7" w:rsidRDefault="00C34F5A" w:rsidP="00AB08B7">
      <w:pPr>
        <w:rPr>
          <w:szCs w:val="22"/>
        </w:rPr>
      </w:pPr>
      <w:r w:rsidRPr="00AB08B7">
        <w:rPr>
          <w:szCs w:val="22"/>
        </w:rPr>
        <w:lastRenderedPageBreak/>
        <w:t>Asimismo, a nivel federal la Secretaría de Gobernación en el artículo 27, numeral XIV, de la Ley Orgánica de la Administración Pública Federal, establece como atribución la siguiente:</w:t>
      </w:r>
    </w:p>
    <w:p w14:paraId="37E5324C" w14:textId="77777777" w:rsidR="00C34F5A" w:rsidRPr="00AB08B7" w:rsidRDefault="00C34F5A" w:rsidP="00AB08B7">
      <w:pPr>
        <w:rPr>
          <w:szCs w:val="22"/>
        </w:rPr>
      </w:pPr>
    </w:p>
    <w:p w14:paraId="6EC760C7" w14:textId="77777777" w:rsidR="00C34F5A" w:rsidRPr="00AB08B7" w:rsidRDefault="00C34F5A" w:rsidP="00AB08B7">
      <w:pPr>
        <w:pStyle w:val="Puesto"/>
        <w:rPr>
          <w:szCs w:val="22"/>
        </w:rPr>
      </w:pPr>
      <w:r w:rsidRPr="00AB08B7">
        <w:rPr>
          <w:b/>
          <w:szCs w:val="22"/>
        </w:rPr>
        <w:t>Artículo 27.-</w:t>
      </w:r>
      <w:r w:rsidRPr="00AB08B7">
        <w:rPr>
          <w:szCs w:val="22"/>
        </w:rPr>
        <w:t xml:space="preserve"> A la Secretaría de Gobernación corresponde el despacho de los siguientes asuntos:</w:t>
      </w:r>
    </w:p>
    <w:p w14:paraId="71D8A3F5" w14:textId="77777777" w:rsidR="00C34F5A" w:rsidRPr="00AB08B7" w:rsidRDefault="00C34F5A" w:rsidP="00AB08B7">
      <w:pPr>
        <w:pStyle w:val="Puesto"/>
        <w:rPr>
          <w:szCs w:val="22"/>
        </w:rPr>
      </w:pPr>
    </w:p>
    <w:p w14:paraId="1F16DCFA" w14:textId="77777777" w:rsidR="00C34F5A" w:rsidRPr="00AB08B7" w:rsidRDefault="00C34F5A" w:rsidP="00AB08B7">
      <w:pPr>
        <w:pStyle w:val="Puesto"/>
        <w:rPr>
          <w:szCs w:val="22"/>
        </w:rPr>
      </w:pPr>
      <w:r w:rsidRPr="00AB08B7">
        <w:rPr>
          <w:b/>
          <w:szCs w:val="22"/>
        </w:rPr>
        <w:t>XIV</w:t>
      </w:r>
      <w:r w:rsidRPr="00AB08B7">
        <w:rPr>
          <w:szCs w:val="22"/>
        </w:rPr>
        <w:t>. Regular, autorizar y vigilar el juego, las apuestas, las loterías y rifas, en los términos de las leyes relativas;</w:t>
      </w:r>
    </w:p>
    <w:p w14:paraId="4B2816BF" w14:textId="77777777" w:rsidR="00C34F5A" w:rsidRPr="00AB08B7" w:rsidRDefault="00C34F5A" w:rsidP="00AB08B7">
      <w:pPr>
        <w:rPr>
          <w:szCs w:val="22"/>
        </w:rPr>
      </w:pPr>
    </w:p>
    <w:p w14:paraId="5BFD7281" w14:textId="7304DFBF" w:rsidR="00C34F5A" w:rsidRPr="00AB08B7" w:rsidRDefault="00C34F5A" w:rsidP="00AB08B7">
      <w:pPr>
        <w:rPr>
          <w:szCs w:val="22"/>
        </w:rPr>
      </w:pPr>
      <w:r w:rsidRPr="00AB08B7">
        <w:rPr>
          <w:szCs w:val="22"/>
        </w:rPr>
        <w:t xml:space="preserve">Luego entonces se puede inferir que </w:t>
      </w:r>
      <w:r w:rsidR="00C72A67" w:rsidRPr="00AB08B7">
        <w:rPr>
          <w:b/>
          <w:szCs w:val="22"/>
        </w:rPr>
        <w:t>EL</w:t>
      </w:r>
      <w:r w:rsidR="00C72A67" w:rsidRPr="00AB08B7">
        <w:rPr>
          <w:szCs w:val="22"/>
        </w:rPr>
        <w:t xml:space="preserve"> </w:t>
      </w:r>
      <w:r w:rsidRPr="00AB08B7">
        <w:rPr>
          <w:b/>
          <w:szCs w:val="22"/>
        </w:rPr>
        <w:t>SUJETO OBLIGADO</w:t>
      </w:r>
      <w:r w:rsidRPr="00AB08B7">
        <w:rPr>
          <w:szCs w:val="22"/>
        </w:rPr>
        <w:t xml:space="preserve"> debió realizar las gestiones correspondientes con la Secretaría de Gobernación y en su caso con la General de Gobierno del Estado de México para obtener la autorización correspondiente y generar la rifa. </w:t>
      </w:r>
    </w:p>
    <w:p w14:paraId="12AC40D0" w14:textId="68FE3E72" w:rsidR="00FC3A88" w:rsidRPr="00AB08B7" w:rsidRDefault="00FC3A88" w:rsidP="00AB08B7">
      <w:pPr>
        <w:pStyle w:val="Prrafodelista"/>
        <w:ind w:right="-93"/>
        <w:rPr>
          <w:rFonts w:cs="Tahoma"/>
          <w:bCs/>
          <w:szCs w:val="22"/>
        </w:rPr>
      </w:pPr>
    </w:p>
    <w:p w14:paraId="6FFC29D8" w14:textId="6B8C30C2" w:rsidR="00020074" w:rsidRPr="00AB08B7" w:rsidRDefault="00020074" w:rsidP="00AB08B7">
      <w:pPr>
        <w:ind w:right="49"/>
        <w:rPr>
          <w:szCs w:val="22"/>
        </w:rPr>
      </w:pPr>
      <w:r w:rsidRPr="00AB08B7">
        <w:rPr>
          <w:szCs w:val="22"/>
        </w:rPr>
        <w:t>Cabe destacar que, el Instituto Nacional de Transparencia, Acceso a la Información y Protección de Datos Personales, ha emitido el siguiente criterio de interpretación del Pleno.</w:t>
      </w:r>
    </w:p>
    <w:p w14:paraId="1BEE7965" w14:textId="77777777" w:rsidR="006B3566" w:rsidRPr="00AB08B7" w:rsidRDefault="006B3566" w:rsidP="00AB08B7">
      <w:pPr>
        <w:pStyle w:val="Puesto"/>
        <w:rPr>
          <w:b/>
        </w:rPr>
      </w:pPr>
    </w:p>
    <w:p w14:paraId="37DE3091" w14:textId="77777777" w:rsidR="00020074" w:rsidRPr="00AB08B7" w:rsidRDefault="00020074" w:rsidP="00AB08B7">
      <w:pPr>
        <w:pStyle w:val="Puesto"/>
        <w:rPr>
          <w:b/>
        </w:rPr>
      </w:pPr>
      <w:r w:rsidRPr="00AB08B7">
        <w:rPr>
          <w:b/>
        </w:rPr>
        <w:t>29/10</w:t>
      </w:r>
    </w:p>
    <w:p w14:paraId="7B4D3B06" w14:textId="5A55247D" w:rsidR="00020074" w:rsidRPr="00AB08B7" w:rsidRDefault="00020074" w:rsidP="00AB08B7">
      <w:pPr>
        <w:pStyle w:val="Puesto"/>
      </w:pPr>
      <w:r w:rsidRPr="00AB08B7">
        <w:rPr>
          <w:b/>
        </w:rPr>
        <w:t>La clasificación y la inexistencia de información son conceptos que no pueden coexistir.</w:t>
      </w:r>
      <w:r w:rsidR="006B3566" w:rsidRPr="00AB08B7">
        <w:rPr>
          <w:b/>
        </w:rPr>
        <w:t xml:space="preserve"> </w:t>
      </w:r>
      <w:r w:rsidRPr="00AB08B7">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hyperlink r:id="rId20" w:history="1">
        <w:r w:rsidRPr="00AB08B7">
          <w:rPr>
            <w:rStyle w:val="Hipervnculo"/>
            <w:color w:val="auto"/>
            <w:szCs w:val="22"/>
          </w:rPr>
          <w:t>http://criteriosdeinterpretacion.inai.org.mx/Criterios/29-10.docx</w:t>
        </w:r>
      </w:hyperlink>
    </w:p>
    <w:p w14:paraId="5CDE4618" w14:textId="77777777" w:rsidR="00020074" w:rsidRPr="00AB08B7" w:rsidRDefault="00020074" w:rsidP="00AB08B7">
      <w:pPr>
        <w:ind w:left="851" w:right="1106"/>
        <w:rPr>
          <w:i/>
          <w:szCs w:val="22"/>
        </w:rPr>
      </w:pPr>
    </w:p>
    <w:p w14:paraId="23736EFF" w14:textId="77777777" w:rsidR="00020074" w:rsidRPr="00AB08B7" w:rsidRDefault="00020074" w:rsidP="00AB08B7">
      <w:pPr>
        <w:ind w:right="49"/>
        <w:rPr>
          <w:szCs w:val="22"/>
        </w:rPr>
      </w:pPr>
      <w:r w:rsidRPr="00AB08B7">
        <w:rPr>
          <w:szCs w:val="22"/>
        </w:rPr>
        <w:lastRenderedPageBreak/>
        <w:t>Por lo anterior es de señalar que el criterio establece, que la clasificación y la inexistencia no coexisten entre sí, ya que la clasificación de la información, implica la existencia de un documento y la inexistencia conlleva a la ausencia del mismo.</w:t>
      </w:r>
    </w:p>
    <w:p w14:paraId="05B385AF" w14:textId="77777777" w:rsidR="00020074" w:rsidRPr="00AB08B7" w:rsidRDefault="00020074" w:rsidP="00AB08B7">
      <w:pPr>
        <w:pStyle w:val="Prrafodelista"/>
        <w:ind w:right="-93"/>
        <w:rPr>
          <w:rFonts w:cs="Tahoma"/>
          <w:bCs/>
          <w:szCs w:val="22"/>
        </w:rPr>
      </w:pPr>
    </w:p>
    <w:p w14:paraId="70852174" w14:textId="33FE9557" w:rsidR="00102B5C" w:rsidRPr="00AB08B7" w:rsidRDefault="00C34F5A" w:rsidP="00AB08B7">
      <w:pPr>
        <w:tabs>
          <w:tab w:val="left" w:pos="4962"/>
        </w:tabs>
        <w:contextualSpacing/>
        <w:rPr>
          <w:rFonts w:eastAsia="Calibri" w:cs="Tahoma"/>
          <w:iCs/>
          <w:szCs w:val="22"/>
          <w:lang w:eastAsia="es-ES_tradnl"/>
        </w:rPr>
      </w:pPr>
      <w:r w:rsidRPr="00AB08B7">
        <w:rPr>
          <w:rFonts w:eastAsia="Calibri" w:cs="Tahoma"/>
          <w:iCs/>
          <w:szCs w:val="22"/>
          <w:lang w:eastAsia="es-ES_tradnl"/>
        </w:rPr>
        <w:t xml:space="preserve">Atendiendo a lo anterior se advierte que dentro de los requerimientos se encuentra que informe lo relativo al </w:t>
      </w:r>
      <w:r w:rsidRPr="00AB08B7">
        <w:rPr>
          <w:rFonts w:eastAsia="Calibri" w:cs="Tahoma"/>
          <w:b/>
          <w:iCs/>
          <w:szCs w:val="22"/>
          <w:lang w:eastAsia="es-ES_tradnl"/>
        </w:rPr>
        <w:t>Proveedor de bicicletas y cualquier servicio relacionado con este evento</w:t>
      </w:r>
      <w:r w:rsidRPr="00AB08B7">
        <w:rPr>
          <w:rFonts w:eastAsia="Calibri" w:cs="Tahoma"/>
          <w:iCs/>
          <w:szCs w:val="22"/>
          <w:lang w:eastAsia="es-ES_tradnl"/>
        </w:rPr>
        <w:t xml:space="preserve">, así como lo relativo a </w:t>
      </w:r>
      <w:r w:rsidRPr="00AB08B7">
        <w:rPr>
          <w:rFonts w:eastAsia="Calibri" w:cs="Tahoma"/>
          <w:b/>
          <w:iCs/>
          <w:szCs w:val="22"/>
          <w:lang w:eastAsia="es-ES_tradnl"/>
        </w:rPr>
        <w:t>cotizaciones y facturas</w:t>
      </w:r>
      <w:r w:rsidRPr="00AB08B7">
        <w:rPr>
          <w:rFonts w:eastAsia="Calibri" w:cs="Tahoma"/>
          <w:iCs/>
          <w:szCs w:val="22"/>
          <w:lang w:eastAsia="es-ES_tradnl"/>
        </w:rPr>
        <w:t>,</w:t>
      </w:r>
      <w:r w:rsidR="007C3A29" w:rsidRPr="00AB08B7">
        <w:rPr>
          <w:rFonts w:eastAsia="Calibri" w:cs="Tahoma"/>
          <w:iCs/>
          <w:szCs w:val="22"/>
          <w:lang w:eastAsia="es-ES_tradnl"/>
        </w:rPr>
        <w:t xml:space="preserve"> y </w:t>
      </w:r>
      <w:r w:rsidR="007C3A29" w:rsidRPr="00AB08B7">
        <w:rPr>
          <w:rFonts w:eastAsia="Calibri" w:cs="Tahoma"/>
          <w:b/>
          <w:iCs/>
          <w:szCs w:val="22"/>
          <w:lang w:eastAsia="es-ES_tradnl"/>
        </w:rPr>
        <w:t>nombre de los ganadores</w:t>
      </w:r>
      <w:r w:rsidRPr="00AB08B7">
        <w:rPr>
          <w:rFonts w:eastAsia="Calibri" w:cs="Tahoma"/>
          <w:iCs/>
          <w:szCs w:val="22"/>
          <w:lang w:eastAsia="es-ES_tradnl"/>
        </w:rPr>
        <w:t xml:space="preserve"> por ello resulta procedente </w:t>
      </w:r>
      <w:r w:rsidR="00102B5C" w:rsidRPr="00AB08B7">
        <w:rPr>
          <w:rFonts w:eastAsia="Calibri" w:cs="Tahoma"/>
          <w:iCs/>
          <w:szCs w:val="22"/>
          <w:lang w:eastAsia="es-ES_tradnl"/>
        </w:rPr>
        <w:t>el análisis de la información de la siguiente manera:</w:t>
      </w:r>
    </w:p>
    <w:p w14:paraId="1D08A9B6" w14:textId="77777777" w:rsidR="00C72A67" w:rsidRPr="00AB08B7" w:rsidRDefault="00C72A67" w:rsidP="00AB08B7">
      <w:pPr>
        <w:tabs>
          <w:tab w:val="left" w:pos="4962"/>
        </w:tabs>
        <w:contextualSpacing/>
        <w:rPr>
          <w:rFonts w:eastAsia="Calibri" w:cs="Tahoma"/>
          <w:iCs/>
          <w:szCs w:val="22"/>
          <w:lang w:eastAsia="es-ES_tradnl"/>
        </w:rPr>
      </w:pPr>
    </w:p>
    <w:p w14:paraId="45FA61D9" w14:textId="77777777" w:rsidR="00102B5C" w:rsidRPr="00AB08B7" w:rsidRDefault="00102B5C" w:rsidP="00AB08B7">
      <w:pPr>
        <w:rPr>
          <w:szCs w:val="22"/>
        </w:rPr>
      </w:pPr>
      <w:r w:rsidRPr="00AB08B7">
        <w:rPr>
          <w:szCs w:val="22"/>
        </w:rPr>
        <w:t>En ese contexto, conforme a los artículos 26 y 27 de dicho ordenamiento jurídico, las adquisiciones, arrendamientos y servicios, se adjudicarán a través de procedimientos de licitación pública, invitación restringida y adjudicación directa.</w:t>
      </w:r>
    </w:p>
    <w:p w14:paraId="3188A616" w14:textId="77777777" w:rsidR="00102B5C" w:rsidRPr="00AB08B7" w:rsidRDefault="00102B5C" w:rsidP="00AB08B7">
      <w:pPr>
        <w:rPr>
          <w:szCs w:val="22"/>
        </w:rPr>
      </w:pPr>
    </w:p>
    <w:p w14:paraId="6258752E" w14:textId="7C22D2C0" w:rsidR="00102B5C" w:rsidRPr="00AB08B7" w:rsidRDefault="00102B5C" w:rsidP="00AB08B7">
      <w:pPr>
        <w:rPr>
          <w:szCs w:val="22"/>
        </w:rPr>
      </w:pPr>
      <w:r w:rsidRPr="00AB08B7">
        <w:rPr>
          <w:szCs w:val="22"/>
        </w:rPr>
        <w:t xml:space="preserve">En ese orden de ideas, conforme al artículo 65 de la Ley de Contratación Pública del Estado de México y Municipios, la adjudicación de un procedimiento de adquisición y arrendamiento de bienes y contratación de servicios se realizará mediante la suscripción de un </w:t>
      </w:r>
      <w:r w:rsidRPr="00AB08B7">
        <w:rPr>
          <w:bCs/>
          <w:szCs w:val="22"/>
        </w:rPr>
        <w:t>contrato,</w:t>
      </w:r>
      <w:r w:rsidRPr="00AB08B7">
        <w:rPr>
          <w:szCs w:val="22"/>
        </w:rPr>
        <w:t xml:space="preserve"> entre el Ayuntamiento y la persona a la cual haya ganado el procedimiento respectivo, dentro de los diez días hábiles siguientes a la notificación del fallo.</w:t>
      </w:r>
    </w:p>
    <w:p w14:paraId="5EFC10A0" w14:textId="55FA16C3" w:rsidR="008D4C84" w:rsidRPr="00AB08B7" w:rsidRDefault="008D4C84" w:rsidP="00AB08B7">
      <w:pPr>
        <w:rPr>
          <w:szCs w:val="22"/>
        </w:rPr>
      </w:pPr>
    </w:p>
    <w:p w14:paraId="30AA3225" w14:textId="77777777" w:rsidR="00102B5C" w:rsidRPr="00AB08B7" w:rsidRDefault="00102B5C" w:rsidP="00AB08B7">
      <w:pPr>
        <w:rPr>
          <w:szCs w:val="22"/>
        </w:rPr>
      </w:pPr>
      <w:r w:rsidRPr="00AB08B7">
        <w:rPr>
          <w:szCs w:val="22"/>
        </w:rPr>
        <w:t>Ahora bien, conforme al artículo 120 del Reglamento de la Ley de Contratación Pública del Estado de México y Municipios, dichos actos jurídicos se conforman por diversos datos, entre los cuales, se encuentran los datos de identificación de las partes y del contrato, así como el importe total.</w:t>
      </w:r>
    </w:p>
    <w:p w14:paraId="0C528A7D" w14:textId="77777777" w:rsidR="00102B5C" w:rsidRPr="00AB08B7" w:rsidRDefault="00102B5C" w:rsidP="00AB08B7">
      <w:pPr>
        <w:rPr>
          <w:szCs w:val="22"/>
        </w:rPr>
      </w:pPr>
    </w:p>
    <w:p w14:paraId="5597971B" w14:textId="7E81AA76" w:rsidR="00102B5C" w:rsidRPr="00AB08B7" w:rsidRDefault="00102B5C" w:rsidP="00AB08B7">
      <w:pPr>
        <w:widowControl w:val="0"/>
        <w:rPr>
          <w:szCs w:val="22"/>
        </w:rPr>
      </w:pPr>
      <w:r w:rsidRPr="00AB08B7">
        <w:rPr>
          <w:szCs w:val="22"/>
        </w:rPr>
        <w:t xml:space="preserve">Así mismo, el artículo 70 fracción XXVIII, de la Ley General  de Transparencia y Acceso a la Información Pública y 92 fracción XXIX, de la Ley de Transparencia y Acceso a la Información </w:t>
      </w:r>
      <w:r w:rsidRPr="00AB08B7">
        <w:rPr>
          <w:szCs w:val="22"/>
        </w:rPr>
        <w:lastRenderedPageBreak/>
        <w:t xml:space="preserve">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y de los contratos celebrados. </w:t>
      </w:r>
    </w:p>
    <w:p w14:paraId="4F7561DC" w14:textId="7001AFCB" w:rsidR="008D4C84" w:rsidRPr="00AB08B7" w:rsidRDefault="008D4C84" w:rsidP="00AB08B7">
      <w:pPr>
        <w:widowControl w:val="0"/>
        <w:rPr>
          <w:szCs w:val="22"/>
        </w:rPr>
      </w:pPr>
    </w:p>
    <w:p w14:paraId="312778BA" w14:textId="77777777" w:rsidR="00F57CB2" w:rsidRPr="00AB08B7" w:rsidRDefault="008D4C84" w:rsidP="00AB08B7">
      <w:pPr>
        <w:rPr>
          <w:szCs w:val="22"/>
        </w:rPr>
      </w:pPr>
      <w:r w:rsidRPr="00AB08B7">
        <w:rPr>
          <w:szCs w:val="22"/>
        </w:rPr>
        <w:t xml:space="preserve">Por </w:t>
      </w:r>
      <w:r w:rsidR="00F57CB2" w:rsidRPr="00AB08B7">
        <w:rPr>
          <w:szCs w:val="22"/>
        </w:rPr>
        <w:t>ende,</w:t>
      </w:r>
      <w:r w:rsidRPr="00AB08B7">
        <w:rPr>
          <w:szCs w:val="22"/>
        </w:rPr>
        <w:t xml:space="preserve"> se ordena entregue</w:t>
      </w:r>
      <w:r w:rsidR="00F57CB2" w:rsidRPr="00AB08B7">
        <w:rPr>
          <w:szCs w:val="22"/>
        </w:rPr>
        <w:t xml:space="preserve"> lo siguiente:</w:t>
      </w:r>
    </w:p>
    <w:p w14:paraId="11FBEB8D" w14:textId="77777777" w:rsidR="00F57CB2" w:rsidRPr="00AB08B7" w:rsidRDefault="00F57CB2" w:rsidP="00AB08B7">
      <w:pPr>
        <w:ind w:left="851" w:right="822"/>
        <w:rPr>
          <w:szCs w:val="22"/>
        </w:rPr>
      </w:pPr>
    </w:p>
    <w:p w14:paraId="40B15BBA" w14:textId="7ED7A13D" w:rsidR="00F57CB2" w:rsidRPr="00AB08B7" w:rsidRDefault="006B3566" w:rsidP="00AB08B7">
      <w:pPr>
        <w:pStyle w:val="Prrafodelista"/>
        <w:numPr>
          <w:ilvl w:val="0"/>
          <w:numId w:val="27"/>
        </w:numPr>
        <w:ind w:left="851" w:right="822"/>
        <w:rPr>
          <w:rFonts w:eastAsia="Calibri" w:cs="Tahoma"/>
          <w:iCs/>
          <w:szCs w:val="22"/>
          <w:lang w:eastAsia="es-ES_tradnl"/>
        </w:rPr>
      </w:pPr>
      <w:r w:rsidRPr="00AB08B7">
        <w:rPr>
          <w:szCs w:val="22"/>
        </w:rPr>
        <w:t>E</w:t>
      </w:r>
      <w:r w:rsidR="008D4C84" w:rsidRPr="00AB08B7">
        <w:rPr>
          <w:szCs w:val="22"/>
        </w:rPr>
        <w:t>l nombre del</w:t>
      </w:r>
      <w:r w:rsidR="008D4C84" w:rsidRPr="00AB08B7">
        <w:rPr>
          <w:rFonts w:eastAsia="Calibri" w:cs="Tahoma"/>
          <w:iCs/>
          <w:szCs w:val="22"/>
          <w:lang w:eastAsia="es-ES_tradnl"/>
        </w:rPr>
        <w:t xml:space="preserve"> Proveedor de bicicletas </w:t>
      </w:r>
    </w:p>
    <w:p w14:paraId="0D9549BF" w14:textId="468A474C" w:rsidR="00F57CB2" w:rsidRPr="00AB08B7" w:rsidRDefault="00F57CB2" w:rsidP="00AB08B7">
      <w:pPr>
        <w:pStyle w:val="Prrafodelista"/>
        <w:numPr>
          <w:ilvl w:val="0"/>
          <w:numId w:val="27"/>
        </w:numPr>
        <w:ind w:left="851" w:right="822"/>
        <w:rPr>
          <w:rFonts w:eastAsia="Calibri" w:cs="Tahoma"/>
          <w:iCs/>
          <w:szCs w:val="22"/>
          <w:lang w:eastAsia="es-ES_tradnl"/>
        </w:rPr>
      </w:pPr>
      <w:r w:rsidRPr="00AB08B7">
        <w:rPr>
          <w:rFonts w:eastAsia="Calibri" w:cs="Tahoma"/>
          <w:iCs/>
          <w:szCs w:val="22"/>
          <w:lang w:eastAsia="es-ES_tradnl"/>
        </w:rPr>
        <w:t>y</w:t>
      </w:r>
      <w:r w:rsidR="008D4C84" w:rsidRPr="00AB08B7">
        <w:rPr>
          <w:rFonts w:eastAsia="Calibri" w:cs="Tahoma"/>
          <w:iCs/>
          <w:szCs w:val="22"/>
          <w:lang w:eastAsia="es-ES_tradnl"/>
        </w:rPr>
        <w:t xml:space="preserve"> si existió algún otro proveedor de cualquier servicio relacionado con este evento</w:t>
      </w:r>
      <w:r w:rsidRPr="00AB08B7">
        <w:rPr>
          <w:rFonts w:eastAsia="Calibri" w:cs="Tahoma"/>
          <w:iCs/>
          <w:szCs w:val="22"/>
          <w:lang w:eastAsia="es-ES_tradnl"/>
        </w:rPr>
        <w:t>.</w:t>
      </w:r>
    </w:p>
    <w:p w14:paraId="2FE824EE" w14:textId="77777777" w:rsidR="00F57CB2" w:rsidRPr="00AB08B7" w:rsidRDefault="00F57CB2" w:rsidP="00AB08B7">
      <w:pPr>
        <w:rPr>
          <w:rFonts w:eastAsia="Calibri" w:cs="Tahoma"/>
          <w:b/>
          <w:iCs/>
          <w:szCs w:val="22"/>
          <w:lang w:eastAsia="es-ES_tradnl"/>
        </w:rPr>
      </w:pPr>
    </w:p>
    <w:p w14:paraId="75E1157F" w14:textId="1667E9FC" w:rsidR="008D4C84" w:rsidRPr="00AB08B7" w:rsidRDefault="00F57CB2" w:rsidP="00AB08B7">
      <w:pPr>
        <w:rPr>
          <w:rFonts w:eastAsia="Palatino Linotype" w:cs="Palatino Linotype"/>
        </w:rPr>
      </w:pPr>
      <w:r w:rsidRPr="00AB08B7">
        <w:rPr>
          <w:rFonts w:eastAsia="Palatino Linotype" w:cs="Palatino Linotype"/>
        </w:rPr>
        <w:t>S</w:t>
      </w:r>
      <w:r w:rsidR="008D4C84" w:rsidRPr="00AB08B7">
        <w:rPr>
          <w:rFonts w:eastAsia="Palatino Linotype" w:cs="Palatino Linotype"/>
        </w:rPr>
        <w:t>in embargo,</w:t>
      </w:r>
      <w:r w:rsidRPr="00AB08B7">
        <w:rPr>
          <w:rFonts w:eastAsia="Palatino Linotype" w:cs="Palatino Linotype"/>
        </w:rPr>
        <w:t xml:space="preserve"> por cuanto hace al punto 2,</w:t>
      </w:r>
      <w:r w:rsidR="008D4C84" w:rsidRPr="00AB08B7">
        <w:rPr>
          <w:rFonts w:eastAsia="Palatino Linotype" w:cs="Palatino Linotype"/>
        </w:rPr>
        <w:t xml:space="preserve"> si derivado de la búsqueda que se ordena no se llegara a localizar información, por no haberse generado,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w:t>
      </w:r>
    </w:p>
    <w:p w14:paraId="57029302" w14:textId="77777777" w:rsidR="008D4C84" w:rsidRPr="00AB08B7" w:rsidRDefault="008D4C84" w:rsidP="00AB08B7">
      <w:pPr>
        <w:rPr>
          <w:rFonts w:eastAsia="Palatino Linotype" w:cs="Palatino Linotype"/>
        </w:rPr>
      </w:pPr>
    </w:p>
    <w:p w14:paraId="18CEA6E5" w14:textId="77777777" w:rsidR="008D4C84" w:rsidRPr="00AB08B7" w:rsidRDefault="008D4C84" w:rsidP="00AB08B7">
      <w:pPr>
        <w:pStyle w:val="Puesto"/>
        <w:rPr>
          <w:rFonts w:eastAsia="Palatino Linotype"/>
          <w:b/>
        </w:rPr>
      </w:pPr>
      <w:r w:rsidRPr="00AB08B7">
        <w:rPr>
          <w:rFonts w:eastAsia="Palatino Linotype"/>
        </w:rPr>
        <w:t>“</w:t>
      </w:r>
      <w:r w:rsidRPr="00AB08B7">
        <w:rPr>
          <w:rFonts w:eastAsia="Palatino Linotype"/>
          <w:b/>
        </w:rPr>
        <w:t>Artículo 19…</w:t>
      </w:r>
    </w:p>
    <w:p w14:paraId="4AE559A3" w14:textId="77777777" w:rsidR="008D4C84" w:rsidRPr="00AB08B7" w:rsidRDefault="008D4C84" w:rsidP="00AB08B7">
      <w:pPr>
        <w:pStyle w:val="Puesto"/>
        <w:rPr>
          <w:rFonts w:eastAsia="Palatino Linotype"/>
        </w:rPr>
      </w:pPr>
      <w:r w:rsidRPr="00AB08B7">
        <w:rPr>
          <w:rFonts w:eastAsia="Palatino Linotype"/>
          <w:b/>
        </w:rPr>
        <w:t>En los casos en que ciertas facultades, competencias o funciones no se hayan ejercido, se debe motivar la respuesta en función de las causas que motiven tal circunstancia.</w:t>
      </w:r>
      <w:r w:rsidRPr="00AB08B7">
        <w:rPr>
          <w:rFonts w:eastAsia="Palatino Linotype"/>
        </w:rPr>
        <w:t>”</w:t>
      </w:r>
    </w:p>
    <w:p w14:paraId="3D630492" w14:textId="77777777" w:rsidR="00F57CB2" w:rsidRPr="00AB08B7" w:rsidRDefault="00F57CB2" w:rsidP="00AB08B7">
      <w:pPr>
        <w:rPr>
          <w:szCs w:val="22"/>
        </w:rPr>
      </w:pPr>
    </w:p>
    <w:p w14:paraId="38FE3B08" w14:textId="3BFEE9FB" w:rsidR="00102B5C" w:rsidRPr="00AB08B7" w:rsidRDefault="00102B5C" w:rsidP="00AB08B7">
      <w:pPr>
        <w:rPr>
          <w:szCs w:val="22"/>
        </w:rPr>
      </w:pPr>
      <w:r w:rsidRPr="00AB08B7">
        <w:rPr>
          <w:szCs w:val="22"/>
        </w:rPr>
        <w:t xml:space="preserve">En ese orden de ideas, por lo que hace al monto erogado, el artículo 4°, fracción XVIII, de la Ley General de Contabilidad Gubernamental, establece que la información financiera consiste en información presupuestaria y contable que se expresa en unidades monetarias las transacciones que realiza un ente público y los eventos económicos identificables y </w:t>
      </w:r>
      <w:r w:rsidRPr="00AB08B7">
        <w:rPr>
          <w:szCs w:val="22"/>
        </w:rPr>
        <w:lastRenderedPageBreak/>
        <w:t xml:space="preserve">cuantificable la cual puede representarse por reportes, informes, estados y notas que expresan su situación financiera, los resultados de su operación y los cambios en su patrimonio. </w:t>
      </w:r>
    </w:p>
    <w:p w14:paraId="0C2B68DE" w14:textId="77777777" w:rsidR="00102B5C" w:rsidRPr="00AB08B7" w:rsidRDefault="00102B5C" w:rsidP="00AB08B7">
      <w:pPr>
        <w:rPr>
          <w:szCs w:val="22"/>
        </w:rPr>
      </w:pPr>
    </w:p>
    <w:p w14:paraId="7862C0A5" w14:textId="77777777" w:rsidR="00102B5C" w:rsidRPr="00AB08B7" w:rsidRDefault="00102B5C" w:rsidP="00AB08B7">
      <w:pPr>
        <w:rPr>
          <w:szCs w:val="22"/>
        </w:rPr>
      </w:pPr>
      <w:r w:rsidRPr="00AB08B7">
        <w:rPr>
          <w:szCs w:val="22"/>
        </w:rPr>
        <w:t>En esa misma tesitura, los artículos 16, 18, 19, fracción V, y 34 de la Ley General en comento, estableen que los entes públicos deben contar con un sistema de contabilidad gubernamental en el cual se registrarán operaciones presupuestarias y contables derivadas de la gestión pública, así como otros flujos económicos, los cuales serán expresados en términos monetarios. Dichos registros contables se llevarán con base acumulativa, por lo que contabilización de las transacciones de gasto se hará conforme a la fecha de su realización, independientemente de la de su pago, y la del ingreso se registrará cuando exista jurídicamente el derecho de cobro.</w:t>
      </w:r>
    </w:p>
    <w:p w14:paraId="7F857C63" w14:textId="77777777" w:rsidR="00102B5C" w:rsidRPr="00AB08B7" w:rsidRDefault="00102B5C" w:rsidP="00AB08B7">
      <w:pPr>
        <w:rPr>
          <w:szCs w:val="22"/>
        </w:rPr>
      </w:pPr>
    </w:p>
    <w:p w14:paraId="3F01EB4F" w14:textId="77777777" w:rsidR="00102B5C" w:rsidRPr="00AB08B7" w:rsidRDefault="00102B5C" w:rsidP="00AB08B7">
      <w:pPr>
        <w:rPr>
          <w:szCs w:val="22"/>
        </w:rPr>
      </w:pPr>
      <w:r w:rsidRPr="00AB08B7">
        <w:rPr>
          <w:szCs w:val="22"/>
        </w:rPr>
        <w:t>En ese contexto, la Guía técnica 05 “La contabilidad y la cuenta pública municipal”, emitida por el Instituto Nacional de Administración Pública, establece que la contabilidad municipal es la técnica que permite registrar en forma ordenada, completa y detallada de los ingresos y gastos, con el fin de poder determinar en cualquier momento la situación financiera de la hacienda pública municipal.</w:t>
      </w:r>
    </w:p>
    <w:p w14:paraId="47AD0D97" w14:textId="77777777" w:rsidR="00102B5C" w:rsidRPr="00AB08B7" w:rsidRDefault="00102B5C" w:rsidP="00AB08B7">
      <w:pPr>
        <w:rPr>
          <w:szCs w:val="22"/>
        </w:rPr>
      </w:pPr>
    </w:p>
    <w:p w14:paraId="54EF362B" w14:textId="77777777" w:rsidR="00102B5C" w:rsidRPr="00AB08B7" w:rsidRDefault="00102B5C" w:rsidP="00AB08B7">
      <w:pPr>
        <w:rPr>
          <w:szCs w:val="22"/>
        </w:rPr>
      </w:pPr>
      <w:r w:rsidRPr="00AB08B7">
        <w:rPr>
          <w:szCs w:val="22"/>
        </w:rPr>
        <w:t xml:space="preserve">De este modo, de acuerdo a la naturaleza de información solicitada, resulta necesario traer a colación, la Resolución Miscelánea Fiscal para el 2024, establece que la </w:t>
      </w:r>
      <w:r w:rsidRPr="00AB08B7">
        <w:rPr>
          <w:b/>
          <w:szCs w:val="22"/>
        </w:rPr>
        <w:t>factura</w:t>
      </w:r>
      <w:r w:rsidRPr="00AB08B7">
        <w:rPr>
          <w:szCs w:val="22"/>
        </w:rPr>
        <w:t xml:space="preserve"> es lo mismo, que un Comprobante Fiscal Digital por Internet, por lo que, se puede considerar como el documento que comprueba la realización de una </w:t>
      </w:r>
      <w:r w:rsidRPr="00AB08B7">
        <w:rPr>
          <w:b/>
          <w:szCs w:val="22"/>
        </w:rPr>
        <w:t>transacción comercial</w:t>
      </w:r>
      <w:r w:rsidRPr="00AB08B7">
        <w:rPr>
          <w:szCs w:val="22"/>
        </w:rPr>
        <w:t xml:space="preserve">, entre un comprador y un vendedor, mediante el cual, el primero queda obligado a realizar un pago, mientras que el segundo, a entregar o brindar un producto o </w:t>
      </w:r>
      <w:r w:rsidRPr="00AB08B7">
        <w:rPr>
          <w:b/>
          <w:szCs w:val="22"/>
        </w:rPr>
        <w:t>servicio</w:t>
      </w:r>
      <w:r w:rsidRPr="00AB08B7">
        <w:rPr>
          <w:szCs w:val="22"/>
        </w:rPr>
        <w:t>.</w:t>
      </w:r>
    </w:p>
    <w:p w14:paraId="77FDE111" w14:textId="77777777" w:rsidR="00102B5C" w:rsidRPr="00AB08B7" w:rsidRDefault="00102B5C" w:rsidP="00AB08B7">
      <w:pPr>
        <w:rPr>
          <w:szCs w:val="22"/>
        </w:rPr>
      </w:pPr>
    </w:p>
    <w:p w14:paraId="61B03406" w14:textId="77777777" w:rsidR="00102B5C" w:rsidRPr="00AB08B7" w:rsidRDefault="00102B5C" w:rsidP="00AB08B7">
      <w:pPr>
        <w:rPr>
          <w:szCs w:val="22"/>
        </w:rPr>
      </w:pPr>
      <w:r w:rsidRPr="00AB08B7">
        <w:rPr>
          <w:szCs w:val="22"/>
        </w:rPr>
        <w:t xml:space="preserve">En ese orden de ideas, los Lineamientos para la Integración, Presentación y Envió de los Informes Trimestrales Municipales del ejercicio fiscal dos mil veinticuatro, entre los formatos </w:t>
      </w:r>
      <w:r w:rsidRPr="00AB08B7">
        <w:rPr>
          <w:szCs w:val="22"/>
        </w:rPr>
        <w:lastRenderedPageBreak/>
        <w:t xml:space="preserve">que maneja en el </w:t>
      </w:r>
      <w:r w:rsidRPr="00AB08B7">
        <w:rPr>
          <w:b/>
          <w:szCs w:val="22"/>
        </w:rPr>
        <w:t>Módulo 1</w:t>
      </w:r>
      <w:r w:rsidRPr="00AB08B7">
        <w:rPr>
          <w:szCs w:val="22"/>
        </w:rPr>
        <w:t xml:space="preserve">, se advierte que se encuentran </w:t>
      </w:r>
      <w:r w:rsidRPr="00AB08B7">
        <w:rPr>
          <w:b/>
          <w:bCs/>
          <w:szCs w:val="22"/>
        </w:rPr>
        <w:t>Póliza de Egresos y</w:t>
      </w:r>
      <w:r w:rsidRPr="00AB08B7">
        <w:rPr>
          <w:szCs w:val="22"/>
        </w:rPr>
        <w:t xml:space="preserve"> </w:t>
      </w:r>
      <w:r w:rsidRPr="00AB08B7">
        <w:rPr>
          <w:b/>
          <w:bCs/>
          <w:szCs w:val="22"/>
        </w:rPr>
        <w:t>Póliza Cheque</w:t>
      </w:r>
      <w:r w:rsidRPr="00AB08B7">
        <w:rPr>
          <w:szCs w:val="22"/>
        </w:rPr>
        <w:t>, con los documentos comprobatorios, mismos que serán entregados al Órgano Superior de Fiscalización del Estado de México. Además</w:t>
      </w:r>
      <w:r w:rsidRPr="00AB08B7">
        <w:rPr>
          <w:b/>
          <w:szCs w:val="22"/>
        </w:rPr>
        <w:t xml:space="preserve">, </w:t>
      </w:r>
      <w:r w:rsidRPr="00AB08B7">
        <w:rPr>
          <w:szCs w:val="22"/>
        </w:rPr>
        <w:t xml:space="preserve">se precisa que dichos documentos deberán contener las imágenes de la documentación comprobatoria y justificativa de los egresos y de las respectivas pólizas, los cuales incluyen los Comprobantes Fiscales Digitales por Internet, facturas o recibos. </w:t>
      </w:r>
    </w:p>
    <w:p w14:paraId="739B800F" w14:textId="60443027" w:rsidR="00102B5C" w:rsidRPr="00AB08B7" w:rsidRDefault="00102B5C" w:rsidP="00AB08B7">
      <w:pPr>
        <w:tabs>
          <w:tab w:val="left" w:pos="4962"/>
        </w:tabs>
        <w:contextualSpacing/>
        <w:rPr>
          <w:rFonts w:eastAsia="Calibri" w:cs="Tahoma"/>
          <w:iCs/>
          <w:szCs w:val="22"/>
          <w:lang w:eastAsia="es-ES_tradnl"/>
        </w:rPr>
      </w:pPr>
    </w:p>
    <w:p w14:paraId="7E27A5AD" w14:textId="27E3A3ED" w:rsidR="00C34F5A" w:rsidRPr="00AB08B7" w:rsidRDefault="00211B0B" w:rsidP="00AB08B7">
      <w:pPr>
        <w:tabs>
          <w:tab w:val="left" w:pos="4962"/>
        </w:tabs>
        <w:contextualSpacing/>
        <w:rPr>
          <w:szCs w:val="22"/>
        </w:rPr>
      </w:pPr>
      <w:r w:rsidRPr="00AB08B7">
        <w:rPr>
          <w:rFonts w:eastAsia="Calibri" w:cs="Tahoma"/>
          <w:iCs/>
          <w:szCs w:val="22"/>
          <w:lang w:eastAsia="es-ES_tradnl"/>
        </w:rPr>
        <w:t xml:space="preserve">Atendiendo a lo anterior </w:t>
      </w:r>
      <w:r w:rsidR="00C34F5A" w:rsidRPr="00AB08B7">
        <w:rPr>
          <w:rFonts w:eastAsia="Calibri" w:cs="Tahoma"/>
          <w:iCs/>
          <w:szCs w:val="22"/>
          <w:lang w:eastAsia="es-ES_tradnl"/>
        </w:rPr>
        <w:t>la entrega de esta información misma que pude ser atendida de manera enunciativa mas no limitativa por las áreas de Tesorería</w:t>
      </w:r>
      <w:r w:rsidR="00B42F79" w:rsidRPr="00AB08B7">
        <w:rPr>
          <w:rFonts w:eastAsia="Calibri" w:cs="Tahoma"/>
          <w:iCs/>
          <w:szCs w:val="22"/>
          <w:lang w:eastAsia="es-ES_tradnl"/>
        </w:rPr>
        <w:t xml:space="preserve"> Municipal</w:t>
      </w:r>
      <w:r w:rsidR="00C34F5A" w:rsidRPr="00AB08B7">
        <w:rPr>
          <w:rFonts w:eastAsia="Calibri" w:cs="Tahoma"/>
          <w:iCs/>
          <w:szCs w:val="22"/>
          <w:lang w:eastAsia="es-ES_tradnl"/>
        </w:rPr>
        <w:t xml:space="preserve"> y Administración las cuales dentro de sus atribuciones</w:t>
      </w:r>
      <w:r w:rsidR="00B42F79" w:rsidRPr="00AB08B7">
        <w:rPr>
          <w:rFonts w:eastAsia="Calibri" w:cs="Tahoma"/>
          <w:iCs/>
          <w:szCs w:val="22"/>
          <w:lang w:eastAsia="es-ES_tradnl"/>
        </w:rPr>
        <w:t xml:space="preserve"> contempladas en el Bando Municipal de Huehuetoca,</w:t>
      </w:r>
      <w:r w:rsidR="00C34F5A" w:rsidRPr="00AB08B7">
        <w:rPr>
          <w:rFonts w:eastAsia="Calibri" w:cs="Tahoma"/>
          <w:iCs/>
          <w:szCs w:val="22"/>
          <w:lang w:eastAsia="es-ES_tradnl"/>
        </w:rPr>
        <w:t xml:space="preserve"> esta lo siguiente:</w:t>
      </w:r>
      <w:r w:rsidR="00C34F5A" w:rsidRPr="00AB08B7">
        <w:rPr>
          <w:szCs w:val="22"/>
        </w:rPr>
        <w:t xml:space="preserve"> </w:t>
      </w:r>
    </w:p>
    <w:p w14:paraId="30BE3441" w14:textId="77777777" w:rsidR="00C34F5A" w:rsidRPr="00AB08B7" w:rsidRDefault="00C34F5A" w:rsidP="00AB08B7">
      <w:pPr>
        <w:tabs>
          <w:tab w:val="left" w:pos="4962"/>
        </w:tabs>
        <w:contextualSpacing/>
        <w:rPr>
          <w:szCs w:val="22"/>
        </w:rPr>
      </w:pPr>
    </w:p>
    <w:p w14:paraId="5CE55919" w14:textId="77777777" w:rsidR="00C34F5A" w:rsidRPr="00AB08B7" w:rsidRDefault="00C34F5A" w:rsidP="00AB08B7">
      <w:pPr>
        <w:pStyle w:val="Puesto"/>
        <w:jc w:val="center"/>
        <w:rPr>
          <w:b/>
          <w:szCs w:val="22"/>
        </w:rPr>
      </w:pPr>
      <w:r w:rsidRPr="00AB08B7">
        <w:rPr>
          <w:b/>
          <w:szCs w:val="22"/>
        </w:rPr>
        <w:t>CAPÍTULO DÉCIMO</w:t>
      </w:r>
    </w:p>
    <w:p w14:paraId="171B6111" w14:textId="77777777" w:rsidR="00C34F5A" w:rsidRPr="00AB08B7" w:rsidRDefault="00C34F5A" w:rsidP="00AB08B7">
      <w:pPr>
        <w:pStyle w:val="Puesto"/>
        <w:jc w:val="center"/>
        <w:rPr>
          <w:b/>
          <w:szCs w:val="22"/>
        </w:rPr>
      </w:pPr>
      <w:r w:rsidRPr="00AB08B7">
        <w:rPr>
          <w:b/>
          <w:szCs w:val="22"/>
        </w:rPr>
        <w:t>SECCIÓN PRIMERA</w:t>
      </w:r>
    </w:p>
    <w:p w14:paraId="19832D2D" w14:textId="77777777" w:rsidR="00B42F79" w:rsidRPr="00AB08B7" w:rsidRDefault="00C34F5A" w:rsidP="00AB08B7">
      <w:pPr>
        <w:pStyle w:val="Puesto"/>
        <w:jc w:val="center"/>
        <w:rPr>
          <w:b/>
          <w:szCs w:val="22"/>
        </w:rPr>
      </w:pPr>
      <w:r w:rsidRPr="00AB08B7">
        <w:rPr>
          <w:b/>
          <w:szCs w:val="22"/>
        </w:rPr>
        <w:t>DE LA TESORERÍA MUNICIPAL</w:t>
      </w:r>
    </w:p>
    <w:p w14:paraId="3724B56E" w14:textId="77777777" w:rsidR="00C72A67" w:rsidRPr="00AB08B7" w:rsidRDefault="00C72A67" w:rsidP="00AB08B7">
      <w:pPr>
        <w:pStyle w:val="Puesto"/>
        <w:rPr>
          <w:szCs w:val="22"/>
        </w:rPr>
      </w:pPr>
    </w:p>
    <w:p w14:paraId="091BB9FD" w14:textId="03A7A822" w:rsidR="00B42F79" w:rsidRPr="00AB08B7" w:rsidRDefault="00C34F5A" w:rsidP="00AB08B7">
      <w:pPr>
        <w:pStyle w:val="Puesto"/>
        <w:rPr>
          <w:szCs w:val="22"/>
        </w:rPr>
      </w:pPr>
      <w:r w:rsidRPr="00AB08B7">
        <w:rPr>
          <w:b/>
          <w:szCs w:val="22"/>
        </w:rPr>
        <w:t>Artículo 185.-</w:t>
      </w:r>
      <w:r w:rsidRPr="00AB08B7">
        <w:rPr>
          <w:szCs w:val="22"/>
        </w:rPr>
        <w:t xml:space="preserve"> La Tesorería Municipal es la dependencia administrativa, encargada de la recaudación de los ingresos municipales y responsable de realizar las erogaciones que haga el Ayuntamiento, por conducto de las dependencias, de conformidad con las disposiciones legales aplicables, teniendo como finalidad administrar la Hacienda Pública Municipal, de manera ordenada, eficaz, eficiente, honrada y transparente, enfocada a crear una cultura de pago, que se refleje en servicios que eleven la calidad de vida de los Huehuetoquenses; dicha área está a cargo de un Titular propuesto por el Presidente Municipal y aprobado por el Ayuntamiento. </w:t>
      </w:r>
    </w:p>
    <w:p w14:paraId="5D4CFDC4" w14:textId="77777777" w:rsidR="00B42F79" w:rsidRPr="00AB08B7" w:rsidRDefault="00B42F79" w:rsidP="00AB08B7">
      <w:pPr>
        <w:pStyle w:val="Puesto"/>
        <w:rPr>
          <w:szCs w:val="22"/>
        </w:rPr>
      </w:pPr>
    </w:p>
    <w:p w14:paraId="123BBA01" w14:textId="3CE5F74C" w:rsidR="00B42F79" w:rsidRPr="00AB08B7" w:rsidRDefault="00B42F79" w:rsidP="00AB08B7">
      <w:pPr>
        <w:pStyle w:val="Puesto"/>
        <w:rPr>
          <w:szCs w:val="22"/>
        </w:rPr>
      </w:pPr>
      <w:r w:rsidRPr="00AB08B7">
        <w:rPr>
          <w:szCs w:val="22"/>
        </w:rPr>
        <w:t>El Tesorero Municipal podrá, con autorización del Ayuntamiento, realizar la recaudación fiscal en donde se requiera, de forma temporal, contingente o bien de forma permanente.</w:t>
      </w:r>
    </w:p>
    <w:p w14:paraId="76F26BEA" w14:textId="77777777" w:rsidR="00B42F79" w:rsidRPr="00AB08B7" w:rsidRDefault="00B42F79" w:rsidP="00AB08B7">
      <w:pPr>
        <w:pStyle w:val="Puesto"/>
        <w:rPr>
          <w:szCs w:val="22"/>
        </w:rPr>
      </w:pPr>
    </w:p>
    <w:p w14:paraId="6B157889" w14:textId="77777777" w:rsidR="00B42F79" w:rsidRPr="00AB08B7" w:rsidRDefault="00C34F5A" w:rsidP="00AB08B7">
      <w:pPr>
        <w:pStyle w:val="Puesto"/>
        <w:rPr>
          <w:szCs w:val="22"/>
        </w:rPr>
      </w:pPr>
      <w:r w:rsidRPr="00AB08B7">
        <w:rPr>
          <w:szCs w:val="22"/>
        </w:rPr>
        <w:t>El Tesorero Municipal podrá, con autorización del Ayuntamiento, realizar la recaudación fiscal en donde El Tesorero Municipal deberá contar con la certificación y actualización de competencia laboral prevista</w:t>
      </w:r>
      <w:r w:rsidR="00B42F79" w:rsidRPr="00AB08B7">
        <w:rPr>
          <w:szCs w:val="22"/>
        </w:rPr>
        <w:t xml:space="preserve">. </w:t>
      </w:r>
    </w:p>
    <w:p w14:paraId="32B2A5B8" w14:textId="77777777" w:rsidR="00B42F79" w:rsidRPr="00AB08B7" w:rsidRDefault="00B42F79" w:rsidP="00AB08B7">
      <w:pPr>
        <w:tabs>
          <w:tab w:val="left" w:pos="4962"/>
        </w:tabs>
        <w:ind w:left="851" w:right="822"/>
        <w:contextualSpacing/>
        <w:rPr>
          <w:szCs w:val="22"/>
        </w:rPr>
      </w:pPr>
    </w:p>
    <w:p w14:paraId="2F663A01" w14:textId="63CFB72A" w:rsidR="00B42F79" w:rsidRPr="00AB08B7" w:rsidRDefault="00B42F79" w:rsidP="00AB08B7">
      <w:pPr>
        <w:pStyle w:val="Puesto"/>
        <w:jc w:val="center"/>
        <w:rPr>
          <w:b/>
          <w:szCs w:val="22"/>
        </w:rPr>
      </w:pPr>
      <w:r w:rsidRPr="00AB08B7">
        <w:rPr>
          <w:b/>
          <w:szCs w:val="22"/>
        </w:rPr>
        <w:lastRenderedPageBreak/>
        <w:t>CAPITULO VIGÉSIMO PRIMERO</w:t>
      </w:r>
    </w:p>
    <w:p w14:paraId="7FCBF6ED" w14:textId="392C57BA" w:rsidR="00B42F79" w:rsidRPr="00AB08B7" w:rsidRDefault="00B42F79" w:rsidP="00AB08B7">
      <w:pPr>
        <w:pStyle w:val="Puesto"/>
        <w:jc w:val="center"/>
        <w:rPr>
          <w:b/>
          <w:szCs w:val="22"/>
        </w:rPr>
      </w:pPr>
      <w:r w:rsidRPr="00AB08B7">
        <w:rPr>
          <w:b/>
          <w:szCs w:val="22"/>
        </w:rPr>
        <w:t>SECCIÓN PRIMERA</w:t>
      </w:r>
    </w:p>
    <w:p w14:paraId="4ECCD5A3" w14:textId="0EF5BFF9" w:rsidR="00B42F79" w:rsidRPr="00AB08B7" w:rsidRDefault="00B42F79" w:rsidP="00AB08B7">
      <w:pPr>
        <w:pStyle w:val="Puesto"/>
        <w:jc w:val="center"/>
        <w:rPr>
          <w:b/>
          <w:szCs w:val="22"/>
        </w:rPr>
      </w:pPr>
      <w:r w:rsidRPr="00AB08B7">
        <w:rPr>
          <w:b/>
          <w:szCs w:val="22"/>
        </w:rPr>
        <w:t>DE LA DIRECCIÓN DE ADMINISTRACIÓN</w:t>
      </w:r>
    </w:p>
    <w:p w14:paraId="7A8C93D7" w14:textId="77777777" w:rsidR="00C72A67" w:rsidRPr="00AB08B7" w:rsidRDefault="00C72A67" w:rsidP="00AB08B7">
      <w:pPr>
        <w:tabs>
          <w:tab w:val="left" w:pos="4962"/>
        </w:tabs>
        <w:ind w:left="851" w:right="822"/>
        <w:contextualSpacing/>
        <w:rPr>
          <w:b/>
          <w:i/>
          <w:szCs w:val="22"/>
        </w:rPr>
      </w:pPr>
    </w:p>
    <w:p w14:paraId="2FFEEAC3" w14:textId="3114FE54" w:rsidR="00C34F5A" w:rsidRPr="00AB08B7" w:rsidRDefault="00B42F79" w:rsidP="00AB08B7">
      <w:pPr>
        <w:pStyle w:val="Puesto"/>
        <w:rPr>
          <w:rFonts w:eastAsia="Calibri" w:cs="Tahoma"/>
          <w:iCs/>
          <w:szCs w:val="22"/>
          <w:lang w:eastAsia="es-ES_tradnl"/>
        </w:rPr>
      </w:pPr>
      <w:r w:rsidRPr="00AB08B7">
        <w:rPr>
          <w:b/>
          <w:szCs w:val="22"/>
        </w:rPr>
        <w:t>Artículo 400.-</w:t>
      </w:r>
      <w:r w:rsidRPr="00AB08B7">
        <w:rPr>
          <w:szCs w:val="22"/>
        </w:rPr>
        <w:t xml:space="preserve"> La Dirección de Administración será la dependencia responsable de administrar los recursos humanos, materiales, tecnológicos, financieros, y de servicios de la estructura administrativa que conforma la Administración Pública Municipal, y asignará a esta, previa autorización del Presidente Municipal, el personal que cumpla con los perfiles que las áreas requieran para el cumplimiento de sus cargos; cumplirá con todas las atribuciones que le otorguen las disposiciones legales que regulen sus funciones.</w:t>
      </w:r>
    </w:p>
    <w:p w14:paraId="29B99A96" w14:textId="77777777" w:rsidR="007C3A29" w:rsidRPr="00AB08B7" w:rsidRDefault="007C3A29" w:rsidP="00AB08B7">
      <w:pPr>
        <w:tabs>
          <w:tab w:val="left" w:pos="4962"/>
        </w:tabs>
        <w:contextualSpacing/>
        <w:rPr>
          <w:rFonts w:eastAsia="Calibri" w:cs="Tahoma"/>
          <w:iCs/>
          <w:szCs w:val="22"/>
          <w:lang w:eastAsia="es-ES_tradnl"/>
        </w:rPr>
      </w:pPr>
    </w:p>
    <w:p w14:paraId="757A8C61" w14:textId="5C104A39" w:rsidR="007C3A29" w:rsidRPr="00AB08B7" w:rsidRDefault="007C3A29" w:rsidP="00AB08B7">
      <w:pPr>
        <w:tabs>
          <w:tab w:val="left" w:pos="4962"/>
        </w:tabs>
        <w:contextualSpacing/>
        <w:rPr>
          <w:szCs w:val="22"/>
        </w:rPr>
      </w:pPr>
      <w:r w:rsidRPr="00AB08B7">
        <w:rPr>
          <w:rFonts w:eastAsia="Calibri" w:cs="Tahoma"/>
          <w:iCs/>
          <w:szCs w:val="22"/>
          <w:lang w:eastAsia="es-ES_tradnl"/>
        </w:rPr>
        <w:t>Finalmente relativo a la entrega</w:t>
      </w:r>
      <w:r w:rsidRPr="00AB08B7">
        <w:rPr>
          <w:szCs w:val="22"/>
        </w:rPr>
        <w:t xml:space="preserve"> del nombre de las personas</w:t>
      </w:r>
      <w:r w:rsidR="00C72A67" w:rsidRPr="00AB08B7">
        <w:rPr>
          <w:szCs w:val="22"/>
        </w:rPr>
        <w:t xml:space="preserve"> ganadoras de la rifa, </w:t>
      </w:r>
      <w:r w:rsidRPr="00AB08B7">
        <w:rPr>
          <w:szCs w:val="22"/>
        </w:rPr>
        <w:t xml:space="preserve">debe decirse que si bien en relación al </w:t>
      </w:r>
      <w:r w:rsidRPr="00AB08B7">
        <w:rPr>
          <w:b/>
          <w:bCs/>
          <w:szCs w:val="22"/>
        </w:rPr>
        <w:t>nombre de persona física</w:t>
      </w:r>
      <w:r w:rsidRPr="00AB08B7">
        <w:rPr>
          <w:szCs w:val="22"/>
        </w:rPr>
        <w:t xml:space="preserve"> es importante señalar éste se encuentra integrado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w:t>
      </w:r>
    </w:p>
    <w:p w14:paraId="2B699608" w14:textId="77777777" w:rsidR="007C3A29" w:rsidRPr="00AB08B7" w:rsidRDefault="007C3A29" w:rsidP="00AB08B7">
      <w:pPr>
        <w:tabs>
          <w:tab w:val="left" w:pos="4962"/>
        </w:tabs>
        <w:contextualSpacing/>
        <w:rPr>
          <w:szCs w:val="22"/>
        </w:rPr>
      </w:pPr>
    </w:p>
    <w:p w14:paraId="698F32FE" w14:textId="749DDB5B" w:rsidR="007C3A29" w:rsidRPr="00AB08B7" w:rsidRDefault="007C3A29" w:rsidP="00AB08B7">
      <w:pPr>
        <w:tabs>
          <w:tab w:val="left" w:pos="4962"/>
        </w:tabs>
        <w:contextualSpacing/>
        <w:rPr>
          <w:szCs w:val="22"/>
        </w:rPr>
      </w:pPr>
      <w:r w:rsidRPr="00AB08B7">
        <w:rPr>
          <w:szCs w:val="22"/>
        </w:rPr>
        <w:t>Sin embargo, se considera que, en el caso particular, estos son de orden público, pues con ello se garantiza la entrega de las bicicletas que fueron erogadas con gasto del erario público, por ende, resulta factible la entrega del documento donde conste dicho dato.</w:t>
      </w:r>
    </w:p>
    <w:p w14:paraId="66F5328F" w14:textId="6E7ED0A2" w:rsidR="00667327" w:rsidRPr="00AB08B7" w:rsidRDefault="00667327" w:rsidP="00AB08B7">
      <w:pPr>
        <w:tabs>
          <w:tab w:val="left" w:pos="4962"/>
        </w:tabs>
        <w:contextualSpacing/>
        <w:rPr>
          <w:szCs w:val="22"/>
        </w:rPr>
      </w:pPr>
    </w:p>
    <w:p w14:paraId="1D5F9CA9" w14:textId="77777777" w:rsidR="006B3566" w:rsidRPr="00AB08B7" w:rsidRDefault="006B3566" w:rsidP="00AB08B7">
      <w:pPr>
        <w:pBdr>
          <w:top w:val="nil"/>
          <w:left w:val="nil"/>
          <w:bottom w:val="nil"/>
          <w:right w:val="nil"/>
          <w:between w:val="nil"/>
        </w:pBdr>
        <w:contextualSpacing/>
        <w:rPr>
          <w:rFonts w:cs="Arial"/>
          <w:lang w:val="es-ES"/>
        </w:rPr>
      </w:pPr>
      <w:r w:rsidRPr="00AB08B7">
        <w:t>Ahora bien, no se omite comentar que</w:t>
      </w:r>
      <w:r w:rsidRPr="00AB08B7">
        <w:rPr>
          <w:rFonts w:cs="Arial"/>
        </w:rPr>
        <w:t xml:space="preserve"> del contenido de la solicitud, se advierte que el particular desea la información en </w:t>
      </w:r>
      <w:r w:rsidRPr="00AB08B7">
        <w:rPr>
          <w:rFonts w:cs="Arial"/>
          <w:lang w:val="es-ES"/>
        </w:rPr>
        <w:t xml:space="preserve">formato PDF; al respecto, el Pleno de este Instituto, considera conveniente señalar que dicho formato no representa una modalidad de entrega sino más bien obedece al formato en el que pretende acceder al documento, esto es en razón de que el formato PDF </w:t>
      </w:r>
      <w:r w:rsidRPr="00AB08B7">
        <w:rPr>
          <w:rFonts w:cs="Arial"/>
          <w:i/>
          <w:lang w:val="es-ES"/>
        </w:rPr>
        <w:t xml:space="preserve">(Portable Document Format </w:t>
      </w:r>
      <w:r w:rsidRPr="00AB08B7">
        <w:rPr>
          <w:rFonts w:cs="Arial"/>
          <w:lang w:val="es-ES"/>
        </w:rPr>
        <w:t xml:space="preserve">– formato de documento portátil-) es un estándar abierto y oficial reconocido por la Organización Internacional para la </w:t>
      </w:r>
      <w:r w:rsidRPr="00AB08B7">
        <w:rPr>
          <w:rFonts w:cs="Arial"/>
          <w:lang w:val="es-ES"/>
        </w:rPr>
        <w:lastRenderedPageBreak/>
        <w:t xml:space="preserve">Estandarización (ISO), los archivos PDF pueden contener vínculos y botones, campos de formulario, audio, vídeo y lógica empresarial, también se pueden firmar de manera electrónica; es decir, es un formato de almacenamiento para documentos digitales independiente de plataformas de software. Este formato es de tipo compuesto (imagen, vectorial, mapa de bits y texto). </w:t>
      </w:r>
    </w:p>
    <w:p w14:paraId="7809C227" w14:textId="77777777" w:rsidR="006B3566" w:rsidRPr="00AB08B7" w:rsidRDefault="006B3566" w:rsidP="00AB08B7">
      <w:pPr>
        <w:pBdr>
          <w:top w:val="nil"/>
          <w:left w:val="nil"/>
          <w:bottom w:val="nil"/>
          <w:right w:val="nil"/>
          <w:between w:val="nil"/>
        </w:pBdr>
        <w:contextualSpacing/>
        <w:rPr>
          <w:rFonts w:cs="Arial"/>
          <w:lang w:val="es-ES"/>
        </w:rPr>
      </w:pPr>
    </w:p>
    <w:p w14:paraId="296A4C4E" w14:textId="4D08D253" w:rsidR="006B3566" w:rsidRPr="00AB08B7" w:rsidRDefault="006B3566" w:rsidP="00AB08B7">
      <w:pPr>
        <w:pBdr>
          <w:top w:val="nil"/>
          <w:left w:val="nil"/>
          <w:bottom w:val="nil"/>
          <w:right w:val="nil"/>
          <w:between w:val="nil"/>
        </w:pBdr>
        <w:contextualSpacing/>
        <w:rPr>
          <w:rFonts w:cs="Arial"/>
          <w:lang w:val="es-ES"/>
        </w:rPr>
      </w:pPr>
      <w:r w:rsidRPr="00AB08B7">
        <w:rPr>
          <w:rFonts w:cs="Arial"/>
        </w:rPr>
        <w:t xml:space="preserve">No obstante, aun cuando </w:t>
      </w:r>
      <w:r w:rsidRPr="00AB08B7">
        <w:rPr>
          <w:rFonts w:cs="Arial"/>
          <w:b/>
        </w:rPr>
        <w:t xml:space="preserve">EL SUJETO OBLIGADO </w:t>
      </w:r>
      <w:r w:rsidRPr="00AB08B7">
        <w:rPr>
          <w:rFonts w:cs="Arial"/>
        </w:rPr>
        <w:t xml:space="preserve">pudiera hacer entrega de la información solicitada </w:t>
      </w:r>
      <w:r w:rsidRPr="00AB08B7">
        <w:rPr>
          <w:rFonts w:cs="Arial"/>
          <w:lang w:val="es-ES"/>
        </w:rPr>
        <w:t>en dicho formato, lo cierto es que, de la normatividad que lo constriñe a generarla, poseerla y administrarla, no se advierte dato alguno que dé certeza jurídica acerca de que dicho formato sea de uso obligatorio; por ello, se determina ordenar la entrega de dicha información</w:t>
      </w:r>
      <w:r w:rsidRPr="00AB08B7">
        <w:t xml:space="preserve"> </w:t>
      </w:r>
      <w:r w:rsidRPr="00AB08B7">
        <w:rPr>
          <w:b/>
        </w:rPr>
        <w:t>preferentemente</w:t>
      </w:r>
      <w:r w:rsidRPr="00AB08B7">
        <w:t xml:space="preserve"> en formato PDF o en el formato en que haya sido generado</w:t>
      </w:r>
      <w:r w:rsidRPr="00AB08B7">
        <w:rPr>
          <w:rFonts w:cs="Arial"/>
          <w:lang w:val="es-ES"/>
        </w:rPr>
        <w:t>.</w:t>
      </w:r>
    </w:p>
    <w:p w14:paraId="3BFE8EE6" w14:textId="77777777" w:rsidR="006B3566" w:rsidRPr="00AB08B7" w:rsidRDefault="006B3566" w:rsidP="00AB08B7">
      <w:pPr>
        <w:tabs>
          <w:tab w:val="left" w:pos="4962"/>
        </w:tabs>
        <w:contextualSpacing/>
        <w:rPr>
          <w:szCs w:val="22"/>
        </w:rPr>
      </w:pPr>
    </w:p>
    <w:p w14:paraId="5DA7C963" w14:textId="6787BB2B" w:rsidR="00664420" w:rsidRPr="00AB08B7" w:rsidRDefault="00BD5A7C" w:rsidP="00AB08B7">
      <w:pPr>
        <w:pStyle w:val="Ttulo3"/>
        <w:rPr>
          <w:szCs w:val="22"/>
        </w:rPr>
      </w:pPr>
      <w:bookmarkStart w:id="27" w:name="_Toc193387492"/>
      <w:r w:rsidRPr="00AB08B7">
        <w:rPr>
          <w:szCs w:val="22"/>
        </w:rPr>
        <w:t>d</w:t>
      </w:r>
      <w:r w:rsidR="00A21A20" w:rsidRPr="00AB08B7">
        <w:rPr>
          <w:szCs w:val="22"/>
        </w:rPr>
        <w:t>)</w:t>
      </w:r>
      <w:r w:rsidR="00664420" w:rsidRPr="00AB08B7">
        <w:rPr>
          <w:szCs w:val="22"/>
        </w:rPr>
        <w:t xml:space="preserve"> Versión pública</w:t>
      </w:r>
      <w:bookmarkEnd w:id="27"/>
    </w:p>
    <w:p w14:paraId="20B03CFE" w14:textId="401FB7F4" w:rsidR="00AC3CA0" w:rsidRPr="00AB08B7" w:rsidRDefault="007F5D06" w:rsidP="00AB08B7">
      <w:pPr>
        <w:rPr>
          <w:bCs/>
          <w:szCs w:val="22"/>
        </w:rPr>
      </w:pPr>
      <w:r w:rsidRPr="00AB08B7">
        <w:rPr>
          <w:szCs w:val="22"/>
        </w:rPr>
        <w:t>P</w:t>
      </w:r>
      <w:r w:rsidR="00AC3CA0" w:rsidRPr="00AB08B7">
        <w:rPr>
          <w:szCs w:val="22"/>
        </w:rPr>
        <w:t xml:space="preserve">ara el caso de que el o los documentos de los cuales se ordena su entrega contengan datos personales susceptibles de ser testados, deberán ser entregados en </w:t>
      </w:r>
      <w:r w:rsidR="00AC3CA0" w:rsidRPr="00AB08B7">
        <w:rPr>
          <w:b/>
          <w:szCs w:val="22"/>
        </w:rPr>
        <w:t>versión pública</w:t>
      </w:r>
      <w:r w:rsidRPr="00AB08B7">
        <w:rPr>
          <w:szCs w:val="22"/>
        </w:rPr>
        <w:t>,</w:t>
      </w:r>
      <w:r w:rsidR="00AC3CA0" w:rsidRPr="00AB08B7">
        <w:rPr>
          <w:szCs w:val="22"/>
        </w:rPr>
        <w:t xml:space="preserve"> pues el</w:t>
      </w:r>
      <w:r w:rsidR="00AC3CA0" w:rsidRPr="00AB08B7">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AB08B7" w:rsidRDefault="00AC3CA0" w:rsidP="00AB08B7">
      <w:pPr>
        <w:rPr>
          <w:rFonts w:eastAsia="Calibri"/>
          <w:bCs/>
          <w:szCs w:val="22"/>
          <w:lang w:eastAsia="en-US"/>
        </w:rPr>
      </w:pPr>
    </w:p>
    <w:p w14:paraId="13DAE086" w14:textId="0C1C7ADD" w:rsidR="00AC3CA0" w:rsidRPr="00AB08B7" w:rsidRDefault="00AC3CA0" w:rsidP="00AB08B7">
      <w:pPr>
        <w:rPr>
          <w:bCs/>
          <w:szCs w:val="22"/>
        </w:rPr>
      </w:pPr>
      <w:r w:rsidRPr="00AB08B7">
        <w:rPr>
          <w:bCs/>
          <w:szCs w:val="22"/>
        </w:rPr>
        <w:t xml:space="preserve">A este respecto, los artículos 3, fracciones IX, XX, XXI y </w:t>
      </w:r>
      <w:r w:rsidR="007F5D06" w:rsidRPr="00AB08B7">
        <w:rPr>
          <w:bCs/>
          <w:szCs w:val="22"/>
        </w:rPr>
        <w:t>XLV; 51</w:t>
      </w:r>
      <w:r w:rsidRPr="00AB08B7">
        <w:rPr>
          <w:bCs/>
          <w:szCs w:val="22"/>
        </w:rPr>
        <w:t xml:space="preserve"> y 52 de la Ley de Transparencia y Acceso a la Información Pública del Estado de México y Municipios establecen:</w:t>
      </w:r>
    </w:p>
    <w:p w14:paraId="4EE42F33" w14:textId="77777777" w:rsidR="00AC3CA0" w:rsidRPr="00AB08B7" w:rsidRDefault="00AC3CA0" w:rsidP="00AB08B7">
      <w:pPr>
        <w:rPr>
          <w:szCs w:val="22"/>
        </w:rPr>
      </w:pPr>
    </w:p>
    <w:p w14:paraId="22F38C0C" w14:textId="77777777" w:rsidR="00AC3CA0" w:rsidRPr="00AB08B7" w:rsidRDefault="00AC3CA0" w:rsidP="00AB08B7">
      <w:pPr>
        <w:pStyle w:val="Puesto"/>
        <w:rPr>
          <w:szCs w:val="22"/>
        </w:rPr>
      </w:pPr>
      <w:r w:rsidRPr="00AB08B7">
        <w:rPr>
          <w:b/>
          <w:bCs/>
          <w:noProof/>
          <w:szCs w:val="22"/>
        </w:rPr>
        <w:t>“</w:t>
      </w:r>
      <w:r w:rsidRPr="00AB08B7">
        <w:rPr>
          <w:b/>
          <w:bCs/>
          <w:szCs w:val="22"/>
        </w:rPr>
        <w:t xml:space="preserve">Artículo 3. </w:t>
      </w:r>
      <w:r w:rsidRPr="00AB08B7">
        <w:rPr>
          <w:szCs w:val="22"/>
        </w:rPr>
        <w:t xml:space="preserve">Para los efectos de la presente Ley se entenderá por: </w:t>
      </w:r>
    </w:p>
    <w:p w14:paraId="74507E00" w14:textId="77777777" w:rsidR="00AC3CA0" w:rsidRPr="00AB08B7" w:rsidRDefault="00AC3CA0" w:rsidP="00AB08B7">
      <w:pPr>
        <w:pStyle w:val="Puesto"/>
        <w:rPr>
          <w:szCs w:val="22"/>
        </w:rPr>
      </w:pPr>
      <w:r w:rsidRPr="00AB08B7">
        <w:rPr>
          <w:b/>
          <w:szCs w:val="22"/>
        </w:rPr>
        <w:t>IX.</w:t>
      </w:r>
      <w:r w:rsidRPr="00AB08B7">
        <w:rPr>
          <w:szCs w:val="22"/>
        </w:rPr>
        <w:t xml:space="preserve"> </w:t>
      </w:r>
      <w:r w:rsidRPr="00AB08B7">
        <w:rPr>
          <w:b/>
          <w:szCs w:val="22"/>
        </w:rPr>
        <w:t xml:space="preserve">Datos personales: </w:t>
      </w:r>
      <w:r w:rsidRPr="00AB08B7">
        <w:rPr>
          <w:szCs w:val="22"/>
        </w:rPr>
        <w:t xml:space="preserve">La información concerniente a una persona, identificada o identificable según lo dispuesto por la Ley de Protección de Datos Personales del Estado de México; </w:t>
      </w:r>
    </w:p>
    <w:p w14:paraId="320759AF" w14:textId="77777777" w:rsidR="002B7C6F" w:rsidRPr="00AB08B7" w:rsidRDefault="002B7C6F" w:rsidP="00AB08B7">
      <w:pPr>
        <w:rPr>
          <w:szCs w:val="22"/>
        </w:rPr>
      </w:pPr>
    </w:p>
    <w:p w14:paraId="4EFEB771" w14:textId="77777777" w:rsidR="00AC3CA0" w:rsidRPr="00AB08B7" w:rsidRDefault="00AC3CA0" w:rsidP="00AB08B7">
      <w:pPr>
        <w:pStyle w:val="Puesto"/>
        <w:rPr>
          <w:szCs w:val="22"/>
        </w:rPr>
      </w:pPr>
      <w:r w:rsidRPr="00AB08B7">
        <w:rPr>
          <w:b/>
          <w:szCs w:val="22"/>
        </w:rPr>
        <w:t>XX.</w:t>
      </w:r>
      <w:r w:rsidRPr="00AB08B7">
        <w:rPr>
          <w:szCs w:val="22"/>
        </w:rPr>
        <w:t xml:space="preserve"> </w:t>
      </w:r>
      <w:r w:rsidRPr="00AB08B7">
        <w:rPr>
          <w:b/>
          <w:szCs w:val="22"/>
        </w:rPr>
        <w:t>Información clasificada:</w:t>
      </w:r>
      <w:r w:rsidRPr="00AB08B7">
        <w:rPr>
          <w:szCs w:val="22"/>
        </w:rPr>
        <w:t xml:space="preserve"> Aquella considerada por la presente Ley como reservada o confidencial; </w:t>
      </w:r>
    </w:p>
    <w:p w14:paraId="5DA95E10" w14:textId="77777777" w:rsidR="002B7C6F" w:rsidRPr="00AB08B7" w:rsidRDefault="002B7C6F" w:rsidP="00AB08B7">
      <w:pPr>
        <w:rPr>
          <w:szCs w:val="22"/>
        </w:rPr>
      </w:pPr>
    </w:p>
    <w:p w14:paraId="1CD04431" w14:textId="77777777" w:rsidR="00AC3CA0" w:rsidRPr="00AB08B7" w:rsidRDefault="00AC3CA0" w:rsidP="00AB08B7">
      <w:pPr>
        <w:pStyle w:val="Puesto"/>
        <w:rPr>
          <w:szCs w:val="22"/>
        </w:rPr>
      </w:pPr>
      <w:r w:rsidRPr="00AB08B7">
        <w:rPr>
          <w:b/>
          <w:szCs w:val="22"/>
        </w:rPr>
        <w:t>XXI.</w:t>
      </w:r>
      <w:r w:rsidRPr="00AB08B7">
        <w:rPr>
          <w:szCs w:val="22"/>
        </w:rPr>
        <w:t xml:space="preserve"> </w:t>
      </w:r>
      <w:r w:rsidRPr="00AB08B7">
        <w:rPr>
          <w:b/>
          <w:szCs w:val="22"/>
        </w:rPr>
        <w:t>Información confidencial</w:t>
      </w:r>
      <w:r w:rsidRPr="00AB08B7">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AB08B7" w:rsidRDefault="002B7C6F" w:rsidP="00AB08B7">
      <w:pPr>
        <w:rPr>
          <w:szCs w:val="22"/>
        </w:rPr>
      </w:pPr>
    </w:p>
    <w:p w14:paraId="7CD4D2FB" w14:textId="77777777" w:rsidR="00AC3CA0" w:rsidRPr="00AB08B7" w:rsidRDefault="00AC3CA0" w:rsidP="00AB08B7">
      <w:pPr>
        <w:pStyle w:val="Puesto"/>
        <w:rPr>
          <w:szCs w:val="22"/>
        </w:rPr>
      </w:pPr>
      <w:r w:rsidRPr="00AB08B7">
        <w:rPr>
          <w:b/>
          <w:szCs w:val="22"/>
        </w:rPr>
        <w:t>XLV. Versión pública:</w:t>
      </w:r>
      <w:r w:rsidRPr="00AB08B7">
        <w:rPr>
          <w:szCs w:val="22"/>
        </w:rPr>
        <w:t xml:space="preserve"> Documento en el que se elimine, suprime o borra la información clasificada como reservada o confidencial para permitir su acceso. </w:t>
      </w:r>
    </w:p>
    <w:p w14:paraId="1ACE9141" w14:textId="77777777" w:rsidR="002B7C6F" w:rsidRPr="00AB08B7" w:rsidRDefault="002B7C6F" w:rsidP="00AB08B7">
      <w:pPr>
        <w:rPr>
          <w:szCs w:val="22"/>
        </w:rPr>
      </w:pPr>
    </w:p>
    <w:p w14:paraId="0BAED675" w14:textId="178B54DE" w:rsidR="00AC3CA0" w:rsidRPr="00AB08B7" w:rsidRDefault="00AC3CA0" w:rsidP="00AB08B7">
      <w:pPr>
        <w:pStyle w:val="Puesto"/>
        <w:rPr>
          <w:szCs w:val="22"/>
        </w:rPr>
      </w:pPr>
      <w:r w:rsidRPr="00AB08B7">
        <w:rPr>
          <w:b/>
          <w:szCs w:val="22"/>
        </w:rPr>
        <w:t>Artículo 51.</w:t>
      </w:r>
      <w:r w:rsidRPr="00AB08B7">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B08B7">
        <w:rPr>
          <w:b/>
          <w:szCs w:val="22"/>
        </w:rPr>
        <w:t xml:space="preserve">y tendrá la responsabilidad de verificar en cada caso que la misma no sea confidencial o reservada. </w:t>
      </w:r>
      <w:r w:rsidRPr="00AB08B7">
        <w:rPr>
          <w:szCs w:val="22"/>
        </w:rPr>
        <w:t>Dicha Unidad contará con las facultades internas necesarias para gestionar la atención a las solicitudes de información en los términos de la Ley General y la presente Ley.</w:t>
      </w:r>
    </w:p>
    <w:p w14:paraId="54D7F3F5" w14:textId="77777777" w:rsidR="002B7C6F" w:rsidRPr="00AB08B7" w:rsidRDefault="002B7C6F" w:rsidP="00AB08B7">
      <w:pPr>
        <w:rPr>
          <w:szCs w:val="22"/>
        </w:rPr>
      </w:pPr>
    </w:p>
    <w:p w14:paraId="5AB2B52F" w14:textId="68BEB541" w:rsidR="00AC3CA0" w:rsidRPr="00AB08B7" w:rsidRDefault="00AC3CA0" w:rsidP="00AB08B7">
      <w:pPr>
        <w:pStyle w:val="Puesto"/>
        <w:rPr>
          <w:szCs w:val="22"/>
        </w:rPr>
      </w:pPr>
      <w:r w:rsidRPr="00AB08B7">
        <w:rPr>
          <w:b/>
          <w:szCs w:val="22"/>
        </w:rPr>
        <w:t>Artículo 52.</w:t>
      </w:r>
      <w:r w:rsidRPr="00AB08B7">
        <w:rPr>
          <w:szCs w:val="22"/>
        </w:rPr>
        <w:t xml:space="preserve"> Las solicitudes de acceso a la información y las respuestas que se les dé, incluyendo, en su caso, </w:t>
      </w:r>
      <w:r w:rsidRPr="00AB08B7">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AB08B7">
        <w:rPr>
          <w:szCs w:val="22"/>
        </w:rPr>
        <w:t>, siempre y cuando la resolución de referencia se someta a un proceso de disociación, es decir, no haga identificable al titular de tales datos personales.</w:t>
      </w:r>
      <w:r w:rsidRPr="00AB08B7">
        <w:rPr>
          <w:bCs/>
          <w:noProof/>
          <w:szCs w:val="22"/>
        </w:rPr>
        <w:t>”</w:t>
      </w:r>
      <w:r w:rsidR="007F5D06" w:rsidRPr="00AB08B7">
        <w:rPr>
          <w:bCs/>
          <w:noProof/>
          <w:szCs w:val="22"/>
        </w:rPr>
        <w:t xml:space="preserve"> </w:t>
      </w:r>
      <w:r w:rsidRPr="00AB08B7">
        <w:rPr>
          <w:i w:val="0"/>
          <w:iCs/>
          <w:szCs w:val="22"/>
        </w:rPr>
        <w:t>(Énfasis añadido)</w:t>
      </w:r>
    </w:p>
    <w:p w14:paraId="14DDB49A" w14:textId="77777777" w:rsidR="00AC3CA0" w:rsidRPr="00AB08B7" w:rsidRDefault="00AC3CA0" w:rsidP="00AB08B7">
      <w:pPr>
        <w:rPr>
          <w:szCs w:val="22"/>
        </w:rPr>
      </w:pPr>
    </w:p>
    <w:p w14:paraId="18663A56" w14:textId="530412FA" w:rsidR="00AC3CA0" w:rsidRPr="00AB08B7" w:rsidRDefault="00AC3CA0" w:rsidP="00AB08B7">
      <w:pPr>
        <w:rPr>
          <w:szCs w:val="22"/>
        </w:rPr>
      </w:pPr>
      <w:r w:rsidRPr="00AB08B7">
        <w:rPr>
          <w:szCs w:val="22"/>
        </w:rPr>
        <w:t xml:space="preserve">Así, los datos personales que obren en poder de los Sujetos Obligados deben estar protegidos, adoptando las medidas de seguridad administrativas, físicas y técnicas necesarias para </w:t>
      </w:r>
      <w:r w:rsidRPr="00AB08B7">
        <w:rPr>
          <w:szCs w:val="22"/>
        </w:rPr>
        <w:lastRenderedPageBreak/>
        <w:t xml:space="preserve">garantizar la integridad, confidencialidad y disponibilidad de los datos personales, considerando además, que conforme al principio de finalidad, todo tratamiento de datos personales que </w:t>
      </w:r>
      <w:r w:rsidR="007F5D06" w:rsidRPr="00AB08B7">
        <w:rPr>
          <w:szCs w:val="22"/>
        </w:rPr>
        <w:t xml:space="preserve">se </w:t>
      </w:r>
      <w:r w:rsidRPr="00AB08B7">
        <w:rPr>
          <w:szCs w:val="22"/>
        </w:rPr>
        <w:t>efectúe deberá estar justificado en la Ley, lo anterior en términos de lo dispuesto por el artículo 22, párrafo primero</w:t>
      </w:r>
      <w:r w:rsidR="007F5D06" w:rsidRPr="00AB08B7">
        <w:rPr>
          <w:szCs w:val="22"/>
        </w:rPr>
        <w:t>,</w:t>
      </w:r>
      <w:r w:rsidRPr="00AB08B7">
        <w:rPr>
          <w:szCs w:val="22"/>
        </w:rPr>
        <w:t xml:space="preserve"> </w:t>
      </w:r>
      <w:r w:rsidR="007F5D06" w:rsidRPr="00AB08B7">
        <w:rPr>
          <w:szCs w:val="22"/>
        </w:rPr>
        <w:t>relacionado</w:t>
      </w:r>
      <w:r w:rsidRPr="00AB08B7">
        <w:rPr>
          <w:szCs w:val="22"/>
        </w:rPr>
        <w:t xml:space="preserve"> con el 38 de la Ley de Protección de Datos Personales en Posesión de Sujetos Obligados del Estado de México y Municipios, los cuales se transcriben para mayor referencia: </w:t>
      </w:r>
    </w:p>
    <w:p w14:paraId="24D8A62C" w14:textId="77777777" w:rsidR="00AC3CA0" w:rsidRPr="00AB08B7" w:rsidRDefault="00AC3CA0" w:rsidP="00AB08B7">
      <w:pPr>
        <w:rPr>
          <w:szCs w:val="22"/>
        </w:rPr>
      </w:pPr>
    </w:p>
    <w:p w14:paraId="266BB0EA" w14:textId="01A7285C" w:rsidR="00AC3CA0" w:rsidRPr="00AB08B7" w:rsidRDefault="00AC3CA0" w:rsidP="00AB08B7">
      <w:pPr>
        <w:pStyle w:val="Puesto"/>
        <w:rPr>
          <w:rFonts w:eastAsia="Arial Unicode MS"/>
          <w:szCs w:val="22"/>
        </w:rPr>
      </w:pPr>
      <w:r w:rsidRPr="00AB08B7">
        <w:rPr>
          <w:rFonts w:eastAsia="Arial Unicode MS"/>
          <w:b/>
          <w:szCs w:val="22"/>
        </w:rPr>
        <w:t>“Artículo 22.</w:t>
      </w:r>
      <w:r w:rsidRPr="00AB08B7">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AB08B7" w:rsidRDefault="002B7C6F" w:rsidP="00AB08B7">
      <w:pPr>
        <w:rPr>
          <w:rFonts w:eastAsia="Arial Unicode MS"/>
          <w:szCs w:val="22"/>
        </w:rPr>
      </w:pPr>
    </w:p>
    <w:p w14:paraId="0C6ECD10" w14:textId="77777777" w:rsidR="00AC3CA0" w:rsidRPr="00AB08B7" w:rsidRDefault="00AC3CA0" w:rsidP="00AB08B7">
      <w:pPr>
        <w:pStyle w:val="Puesto"/>
        <w:rPr>
          <w:rFonts w:eastAsia="Arial Unicode MS"/>
          <w:szCs w:val="22"/>
        </w:rPr>
      </w:pPr>
      <w:r w:rsidRPr="00AB08B7">
        <w:rPr>
          <w:rFonts w:eastAsia="Arial Unicode MS"/>
          <w:b/>
          <w:szCs w:val="22"/>
        </w:rPr>
        <w:t>Artículo 38.</w:t>
      </w:r>
      <w:r w:rsidRPr="00AB08B7">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B08B7">
        <w:rPr>
          <w:rFonts w:eastAsia="Arial Unicode MS"/>
          <w:b/>
          <w:szCs w:val="22"/>
        </w:rPr>
        <w:t>”</w:t>
      </w:r>
      <w:r w:rsidRPr="00AB08B7">
        <w:rPr>
          <w:rFonts w:eastAsia="Arial Unicode MS"/>
          <w:szCs w:val="22"/>
        </w:rPr>
        <w:t xml:space="preserve"> </w:t>
      </w:r>
    </w:p>
    <w:p w14:paraId="11BDA04E" w14:textId="77777777" w:rsidR="00AC3CA0" w:rsidRPr="00AB08B7" w:rsidRDefault="00AC3CA0" w:rsidP="00AB08B7">
      <w:pPr>
        <w:rPr>
          <w:rFonts w:eastAsia="Arial Unicode MS"/>
          <w:i/>
          <w:szCs w:val="22"/>
        </w:rPr>
      </w:pPr>
    </w:p>
    <w:p w14:paraId="32BB7A5F" w14:textId="77777777" w:rsidR="00AC3CA0" w:rsidRPr="00AB08B7" w:rsidRDefault="00AC3CA0" w:rsidP="00AB08B7">
      <w:pPr>
        <w:rPr>
          <w:szCs w:val="22"/>
        </w:rPr>
      </w:pPr>
      <w:r w:rsidRPr="00AB08B7">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AB08B7" w:rsidRDefault="00AC3CA0" w:rsidP="00AB08B7">
      <w:pPr>
        <w:rPr>
          <w:szCs w:val="22"/>
        </w:rPr>
      </w:pPr>
    </w:p>
    <w:p w14:paraId="3CE77CF7" w14:textId="77777777" w:rsidR="00AC3CA0" w:rsidRPr="00AB08B7" w:rsidRDefault="00AC3CA0" w:rsidP="00AB08B7">
      <w:pPr>
        <w:rPr>
          <w:szCs w:val="22"/>
        </w:rPr>
      </w:pPr>
      <w:r w:rsidRPr="00AB08B7">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AB08B7">
        <w:rPr>
          <w:szCs w:val="22"/>
        </w:rPr>
        <w:lastRenderedPageBreak/>
        <w:t>información confidencial</w:t>
      </w:r>
      <w:r w:rsidRPr="00AB08B7">
        <w:rPr>
          <w:rFonts w:eastAsia="Arial Unicode MS"/>
          <w:szCs w:val="22"/>
        </w:rPr>
        <w:t xml:space="preserve"> que debe ser protegida por </w:t>
      </w:r>
      <w:r w:rsidRPr="00AB08B7">
        <w:rPr>
          <w:rFonts w:eastAsia="Arial Unicode MS"/>
          <w:b/>
          <w:szCs w:val="22"/>
        </w:rPr>
        <w:t>EL SUJETO OBLIGADO,</w:t>
      </w:r>
      <w:r w:rsidRPr="00AB08B7">
        <w:rPr>
          <w:rFonts w:eastAsia="Arial Unicode MS"/>
          <w:szCs w:val="22"/>
        </w:rPr>
        <w:t xml:space="preserve"> por lo </w:t>
      </w:r>
      <w:r w:rsidRPr="00AB08B7">
        <w:rPr>
          <w:szCs w:val="22"/>
        </w:rPr>
        <w:t>que, todo dato personal susceptible de clasificación debe ser protegido.</w:t>
      </w:r>
    </w:p>
    <w:p w14:paraId="17B1D51E" w14:textId="77777777" w:rsidR="00AC3CA0" w:rsidRPr="00AB08B7" w:rsidRDefault="00AC3CA0" w:rsidP="00AB08B7">
      <w:pPr>
        <w:rPr>
          <w:szCs w:val="22"/>
        </w:rPr>
      </w:pPr>
    </w:p>
    <w:p w14:paraId="1C499B05" w14:textId="0FD0F4F9" w:rsidR="00AC3CA0" w:rsidRPr="00AB08B7" w:rsidRDefault="00AC3CA0" w:rsidP="00AB08B7">
      <w:pPr>
        <w:rPr>
          <w:szCs w:val="22"/>
        </w:rPr>
      </w:pPr>
      <w:r w:rsidRPr="00AB08B7">
        <w:rPr>
          <w:szCs w:val="22"/>
        </w:rPr>
        <w:t>La finalidad de la versión pública es salvaguardar la vida, integridad, seguridad, patrimonio y privacidad de las personas; de tal manera que</w:t>
      </w:r>
      <w:r w:rsidR="007F5D06" w:rsidRPr="00AB08B7">
        <w:rPr>
          <w:szCs w:val="22"/>
        </w:rPr>
        <w:t>,</w:t>
      </w:r>
      <w:r w:rsidRPr="00AB08B7">
        <w:rPr>
          <w:szCs w:val="22"/>
        </w:rPr>
        <w:t xml:space="preserve"> todo aquello que no tenga por objeto proteger lo anterior, es susceptible de ser entregado</w:t>
      </w:r>
      <w:r w:rsidR="007F5D06" w:rsidRPr="00AB08B7">
        <w:rPr>
          <w:szCs w:val="22"/>
        </w:rPr>
        <w:t>.</w:t>
      </w:r>
      <w:r w:rsidRPr="00AB08B7">
        <w:rPr>
          <w:szCs w:val="22"/>
        </w:rPr>
        <w:t xml:space="preserve"> </w:t>
      </w:r>
      <w:r w:rsidR="007F5D06" w:rsidRPr="00AB08B7">
        <w:rPr>
          <w:szCs w:val="22"/>
        </w:rPr>
        <w:t>E</w:t>
      </w:r>
      <w:r w:rsidRPr="00AB08B7">
        <w:rPr>
          <w:szCs w:val="22"/>
        </w:rPr>
        <w:t>n otras palabras, la protección de datos personales</w:t>
      </w:r>
      <w:r w:rsidR="007F5D06" w:rsidRPr="00AB08B7">
        <w:rPr>
          <w:szCs w:val="22"/>
        </w:rPr>
        <w:t xml:space="preserve"> </w:t>
      </w:r>
      <w:r w:rsidRPr="00AB08B7">
        <w:rPr>
          <w:szCs w:val="22"/>
        </w:rPr>
        <w:t>es una derivación del derecho a la intimidad.</w:t>
      </w:r>
    </w:p>
    <w:p w14:paraId="4ECCCE5B" w14:textId="77777777" w:rsidR="00AC3CA0" w:rsidRPr="00AB08B7" w:rsidRDefault="00AC3CA0" w:rsidP="00AB08B7">
      <w:pPr>
        <w:rPr>
          <w:szCs w:val="22"/>
        </w:rPr>
      </w:pPr>
    </w:p>
    <w:p w14:paraId="22155419" w14:textId="5E52B74B" w:rsidR="00AC3CA0" w:rsidRPr="00AB08B7" w:rsidRDefault="00AC3CA0" w:rsidP="00AB08B7">
      <w:pPr>
        <w:rPr>
          <w:szCs w:val="22"/>
        </w:rPr>
      </w:pPr>
      <w:r w:rsidRPr="00AB08B7">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AB08B7" w:rsidRDefault="00AC3CA0" w:rsidP="00AB08B7">
      <w:pPr>
        <w:rPr>
          <w:szCs w:val="22"/>
        </w:rPr>
      </w:pPr>
    </w:p>
    <w:p w14:paraId="12C70FB7" w14:textId="77777777" w:rsidR="00AC3CA0" w:rsidRPr="00AB08B7" w:rsidRDefault="00AC3CA0" w:rsidP="00AB08B7">
      <w:pPr>
        <w:jc w:val="center"/>
        <w:rPr>
          <w:b/>
          <w:i/>
          <w:szCs w:val="22"/>
        </w:rPr>
      </w:pPr>
      <w:r w:rsidRPr="00AB08B7">
        <w:rPr>
          <w:b/>
          <w:i/>
          <w:szCs w:val="22"/>
          <w:lang w:val="es-ES_tradnl"/>
        </w:rPr>
        <w:t>Ley de Transparencia y Acceso a la Información Pública del Estado de México y Municipios</w:t>
      </w:r>
    </w:p>
    <w:p w14:paraId="79B28D55" w14:textId="77777777" w:rsidR="00AC3CA0" w:rsidRPr="00AB08B7" w:rsidRDefault="00AC3CA0" w:rsidP="00AB08B7">
      <w:pPr>
        <w:rPr>
          <w:szCs w:val="22"/>
        </w:rPr>
      </w:pPr>
    </w:p>
    <w:p w14:paraId="51E4FC60" w14:textId="77777777" w:rsidR="00AC3CA0" w:rsidRPr="00AB08B7" w:rsidRDefault="00AC3CA0" w:rsidP="00AB08B7">
      <w:pPr>
        <w:pStyle w:val="Puesto"/>
        <w:rPr>
          <w:szCs w:val="22"/>
        </w:rPr>
      </w:pPr>
      <w:r w:rsidRPr="00AB08B7">
        <w:rPr>
          <w:b/>
          <w:szCs w:val="22"/>
        </w:rPr>
        <w:t xml:space="preserve">“Artículo 49. </w:t>
      </w:r>
      <w:r w:rsidRPr="00AB08B7">
        <w:rPr>
          <w:szCs w:val="22"/>
        </w:rPr>
        <w:t>Los Comités de Transparencia tendrán las siguientes atribuciones:</w:t>
      </w:r>
    </w:p>
    <w:p w14:paraId="58B2CA83" w14:textId="77777777" w:rsidR="00AC3CA0" w:rsidRPr="00AB08B7" w:rsidRDefault="00AC3CA0" w:rsidP="00AB08B7">
      <w:pPr>
        <w:pStyle w:val="Puesto"/>
        <w:rPr>
          <w:szCs w:val="22"/>
        </w:rPr>
      </w:pPr>
      <w:r w:rsidRPr="00AB08B7">
        <w:rPr>
          <w:b/>
          <w:szCs w:val="22"/>
        </w:rPr>
        <w:t>VIII.</w:t>
      </w:r>
      <w:r w:rsidRPr="00AB08B7">
        <w:rPr>
          <w:szCs w:val="22"/>
        </w:rPr>
        <w:t xml:space="preserve"> Aprobar, modificar o revocar la clasificación de la información;</w:t>
      </w:r>
    </w:p>
    <w:p w14:paraId="42CDD815" w14:textId="77777777" w:rsidR="002B7C6F" w:rsidRPr="00AB08B7" w:rsidRDefault="002B7C6F" w:rsidP="00AB08B7">
      <w:pPr>
        <w:rPr>
          <w:szCs w:val="22"/>
        </w:rPr>
      </w:pPr>
    </w:p>
    <w:p w14:paraId="5E0FE30C" w14:textId="77777777" w:rsidR="00AC3CA0" w:rsidRPr="00AB08B7" w:rsidRDefault="00AC3CA0" w:rsidP="00AB08B7">
      <w:pPr>
        <w:pStyle w:val="Puesto"/>
        <w:rPr>
          <w:szCs w:val="22"/>
        </w:rPr>
      </w:pPr>
      <w:r w:rsidRPr="00AB08B7">
        <w:rPr>
          <w:b/>
          <w:szCs w:val="22"/>
        </w:rPr>
        <w:t>Artículo 132.</w:t>
      </w:r>
      <w:r w:rsidRPr="00AB08B7">
        <w:rPr>
          <w:szCs w:val="22"/>
        </w:rPr>
        <w:t xml:space="preserve"> La clasificación de la información se llevará a cabo en el momento en que:</w:t>
      </w:r>
    </w:p>
    <w:p w14:paraId="22862CEF" w14:textId="77777777" w:rsidR="00AC3CA0" w:rsidRPr="00AB08B7" w:rsidRDefault="00AC3CA0" w:rsidP="00AB08B7">
      <w:pPr>
        <w:pStyle w:val="Puesto"/>
        <w:rPr>
          <w:szCs w:val="22"/>
        </w:rPr>
      </w:pPr>
      <w:r w:rsidRPr="00AB08B7">
        <w:rPr>
          <w:b/>
          <w:szCs w:val="22"/>
        </w:rPr>
        <w:t>I.</w:t>
      </w:r>
      <w:r w:rsidRPr="00AB08B7">
        <w:rPr>
          <w:szCs w:val="22"/>
        </w:rPr>
        <w:t xml:space="preserve"> Se reciba una solicitud de acceso a la información;</w:t>
      </w:r>
    </w:p>
    <w:p w14:paraId="1076A40B" w14:textId="77777777" w:rsidR="00AC3CA0" w:rsidRPr="00AB08B7" w:rsidRDefault="00AC3CA0" w:rsidP="00AB08B7">
      <w:pPr>
        <w:pStyle w:val="Puesto"/>
        <w:rPr>
          <w:szCs w:val="22"/>
        </w:rPr>
      </w:pPr>
      <w:r w:rsidRPr="00AB08B7">
        <w:rPr>
          <w:b/>
          <w:szCs w:val="22"/>
        </w:rPr>
        <w:t>II.</w:t>
      </w:r>
      <w:r w:rsidRPr="00AB08B7">
        <w:rPr>
          <w:szCs w:val="22"/>
        </w:rPr>
        <w:t xml:space="preserve"> Se determine mediante resolución de autoridad competente; o</w:t>
      </w:r>
    </w:p>
    <w:p w14:paraId="327FFDF5" w14:textId="77777777" w:rsidR="00AC3CA0" w:rsidRPr="00AB08B7" w:rsidRDefault="00AC3CA0" w:rsidP="00AB08B7">
      <w:pPr>
        <w:pStyle w:val="Puesto"/>
        <w:rPr>
          <w:b/>
          <w:szCs w:val="22"/>
        </w:rPr>
      </w:pPr>
      <w:r w:rsidRPr="00AB08B7">
        <w:rPr>
          <w:b/>
          <w:bCs/>
          <w:szCs w:val="22"/>
        </w:rPr>
        <w:t>III.</w:t>
      </w:r>
      <w:r w:rsidRPr="00AB08B7">
        <w:rPr>
          <w:szCs w:val="22"/>
        </w:rPr>
        <w:t xml:space="preserve"> Se generen versiones públicas para dar cumplimiento a las obligaciones de transparencia previstas en esta Ley.</w:t>
      </w:r>
      <w:r w:rsidRPr="00AB08B7">
        <w:rPr>
          <w:b/>
          <w:szCs w:val="22"/>
        </w:rPr>
        <w:t>”</w:t>
      </w:r>
    </w:p>
    <w:p w14:paraId="63550E79" w14:textId="77777777" w:rsidR="002B7C6F" w:rsidRPr="00AB08B7" w:rsidRDefault="002B7C6F" w:rsidP="00AB08B7">
      <w:pPr>
        <w:rPr>
          <w:szCs w:val="22"/>
        </w:rPr>
      </w:pPr>
    </w:p>
    <w:p w14:paraId="733E702D" w14:textId="04C291BD" w:rsidR="00AC3CA0" w:rsidRPr="00AB08B7" w:rsidRDefault="00AC3CA0" w:rsidP="00AB08B7">
      <w:pPr>
        <w:pStyle w:val="Puesto"/>
        <w:rPr>
          <w:szCs w:val="22"/>
        </w:rPr>
      </w:pPr>
      <w:r w:rsidRPr="00AB08B7">
        <w:rPr>
          <w:b/>
          <w:szCs w:val="22"/>
        </w:rPr>
        <w:lastRenderedPageBreak/>
        <w:t>“</w:t>
      </w:r>
      <w:r w:rsidR="002B7C6F" w:rsidRPr="00AB08B7">
        <w:rPr>
          <w:b/>
          <w:szCs w:val="22"/>
        </w:rPr>
        <w:t>Segundo. -</w:t>
      </w:r>
      <w:r w:rsidRPr="00AB08B7">
        <w:rPr>
          <w:szCs w:val="22"/>
        </w:rPr>
        <w:t xml:space="preserve"> Para efectos de los presentes Lineamientos Generales, se entenderá por:</w:t>
      </w:r>
    </w:p>
    <w:p w14:paraId="3D6255D3" w14:textId="77777777" w:rsidR="00AC3CA0" w:rsidRPr="00AB08B7" w:rsidRDefault="00AC3CA0" w:rsidP="00AB08B7">
      <w:pPr>
        <w:pStyle w:val="Puesto"/>
        <w:rPr>
          <w:szCs w:val="22"/>
        </w:rPr>
      </w:pPr>
      <w:r w:rsidRPr="00AB08B7">
        <w:rPr>
          <w:b/>
          <w:szCs w:val="22"/>
        </w:rPr>
        <w:t>XVIII.</w:t>
      </w:r>
      <w:r w:rsidRPr="00AB08B7">
        <w:rPr>
          <w:szCs w:val="22"/>
        </w:rPr>
        <w:t xml:space="preserve">  </w:t>
      </w:r>
      <w:r w:rsidRPr="00AB08B7">
        <w:rPr>
          <w:b/>
          <w:szCs w:val="22"/>
        </w:rPr>
        <w:t>Versión pública:</w:t>
      </w:r>
      <w:r w:rsidRPr="00AB08B7">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AB08B7" w:rsidRDefault="00AC3CA0" w:rsidP="00AB08B7">
      <w:pPr>
        <w:pStyle w:val="Puesto"/>
        <w:rPr>
          <w:szCs w:val="22"/>
        </w:rPr>
      </w:pPr>
    </w:p>
    <w:p w14:paraId="492CD288" w14:textId="77777777" w:rsidR="00AC3CA0" w:rsidRPr="00AB08B7" w:rsidRDefault="00AC3CA0" w:rsidP="00AB08B7">
      <w:pPr>
        <w:pStyle w:val="Puesto"/>
        <w:rPr>
          <w:b/>
          <w:szCs w:val="22"/>
          <w:lang w:val="es-ES_tradnl" w:eastAsia="es-MX"/>
        </w:rPr>
      </w:pPr>
      <w:r w:rsidRPr="00AB08B7">
        <w:rPr>
          <w:b/>
          <w:szCs w:val="22"/>
          <w:lang w:val="es-ES_tradnl" w:eastAsia="es-MX"/>
        </w:rPr>
        <w:t xml:space="preserve">Lineamientos Generales en materia de Clasificación y Desclasificación de la </w:t>
      </w:r>
      <w:r w:rsidRPr="00AB08B7">
        <w:rPr>
          <w:b/>
          <w:szCs w:val="22"/>
          <w:lang w:val="es-ES_tradnl"/>
        </w:rPr>
        <w:t>Información</w:t>
      </w:r>
    </w:p>
    <w:p w14:paraId="57959355" w14:textId="77777777" w:rsidR="00AC3CA0" w:rsidRPr="00AB08B7" w:rsidRDefault="00AC3CA0" w:rsidP="00AB08B7">
      <w:pPr>
        <w:pStyle w:val="Puesto"/>
        <w:rPr>
          <w:szCs w:val="22"/>
        </w:rPr>
      </w:pPr>
    </w:p>
    <w:p w14:paraId="204206B6" w14:textId="77777777" w:rsidR="00AC3CA0" w:rsidRPr="00AB08B7" w:rsidRDefault="00AC3CA0" w:rsidP="00AB08B7">
      <w:pPr>
        <w:pStyle w:val="Puesto"/>
        <w:rPr>
          <w:szCs w:val="22"/>
        </w:rPr>
      </w:pPr>
      <w:r w:rsidRPr="00AB08B7">
        <w:rPr>
          <w:b/>
          <w:szCs w:val="22"/>
        </w:rPr>
        <w:t>Cuarto.</w:t>
      </w:r>
      <w:r w:rsidRPr="00AB08B7">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AB08B7" w:rsidRDefault="00AC3CA0" w:rsidP="00AB08B7">
      <w:pPr>
        <w:pStyle w:val="Puesto"/>
        <w:rPr>
          <w:szCs w:val="22"/>
        </w:rPr>
      </w:pPr>
      <w:r w:rsidRPr="00AB08B7">
        <w:rPr>
          <w:szCs w:val="22"/>
        </w:rPr>
        <w:t>Los sujetos obligados deberán aplicar, de manera estricta, las excepciones al derecho de acceso a la información y sólo podrán invocarlas cuando acrediten su procedencia.</w:t>
      </w:r>
    </w:p>
    <w:p w14:paraId="2334DA4A" w14:textId="77777777" w:rsidR="002B7C6F" w:rsidRPr="00AB08B7" w:rsidRDefault="002B7C6F" w:rsidP="00AB08B7">
      <w:pPr>
        <w:rPr>
          <w:szCs w:val="22"/>
        </w:rPr>
      </w:pPr>
    </w:p>
    <w:p w14:paraId="773F3D38" w14:textId="77777777" w:rsidR="00AC3CA0" w:rsidRPr="00AB08B7" w:rsidRDefault="00AC3CA0" w:rsidP="00AB08B7">
      <w:pPr>
        <w:pStyle w:val="Puesto"/>
        <w:rPr>
          <w:szCs w:val="22"/>
        </w:rPr>
      </w:pPr>
      <w:r w:rsidRPr="00AB08B7">
        <w:rPr>
          <w:b/>
          <w:szCs w:val="22"/>
        </w:rPr>
        <w:t>Quinto.</w:t>
      </w:r>
      <w:r w:rsidRPr="00AB08B7">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AB08B7" w:rsidRDefault="002B7C6F" w:rsidP="00AB08B7">
      <w:pPr>
        <w:rPr>
          <w:szCs w:val="22"/>
        </w:rPr>
      </w:pPr>
    </w:p>
    <w:p w14:paraId="501C8886" w14:textId="77777777" w:rsidR="00AC3CA0" w:rsidRPr="00AB08B7" w:rsidRDefault="00AC3CA0" w:rsidP="00AB08B7">
      <w:pPr>
        <w:pStyle w:val="Puesto"/>
        <w:rPr>
          <w:szCs w:val="22"/>
        </w:rPr>
      </w:pPr>
      <w:r w:rsidRPr="00AB08B7">
        <w:rPr>
          <w:b/>
          <w:szCs w:val="22"/>
        </w:rPr>
        <w:t>Sexto.</w:t>
      </w:r>
      <w:r w:rsidRPr="00AB08B7">
        <w:rPr>
          <w:szCs w:val="22"/>
        </w:rPr>
        <w:t xml:space="preserve"> Se deroga.</w:t>
      </w:r>
    </w:p>
    <w:p w14:paraId="35534E5B" w14:textId="77777777" w:rsidR="002B7C6F" w:rsidRPr="00AB08B7" w:rsidRDefault="002B7C6F" w:rsidP="00AB08B7">
      <w:pPr>
        <w:rPr>
          <w:szCs w:val="22"/>
        </w:rPr>
      </w:pPr>
    </w:p>
    <w:p w14:paraId="71AE6E31" w14:textId="77777777" w:rsidR="00AC3CA0" w:rsidRPr="00AB08B7" w:rsidRDefault="00AC3CA0" w:rsidP="00AB08B7">
      <w:pPr>
        <w:pStyle w:val="Puesto"/>
        <w:rPr>
          <w:szCs w:val="22"/>
        </w:rPr>
      </w:pPr>
      <w:r w:rsidRPr="00AB08B7">
        <w:rPr>
          <w:b/>
          <w:szCs w:val="22"/>
        </w:rPr>
        <w:t>Séptimo.</w:t>
      </w:r>
      <w:r w:rsidRPr="00AB08B7">
        <w:rPr>
          <w:szCs w:val="22"/>
        </w:rPr>
        <w:t xml:space="preserve"> La clasificación de la información se llevará a cabo en el momento en que:</w:t>
      </w:r>
    </w:p>
    <w:p w14:paraId="4BC6551F" w14:textId="77777777" w:rsidR="00AC3CA0" w:rsidRPr="00AB08B7" w:rsidRDefault="00AC3CA0" w:rsidP="00AB08B7">
      <w:pPr>
        <w:pStyle w:val="Puesto"/>
        <w:rPr>
          <w:szCs w:val="22"/>
        </w:rPr>
      </w:pPr>
      <w:r w:rsidRPr="00AB08B7">
        <w:rPr>
          <w:b/>
          <w:szCs w:val="22"/>
        </w:rPr>
        <w:t>I.</w:t>
      </w:r>
      <w:r w:rsidRPr="00AB08B7">
        <w:rPr>
          <w:szCs w:val="22"/>
        </w:rPr>
        <w:t xml:space="preserve">        Se reciba una solicitud de acceso a la información;</w:t>
      </w:r>
    </w:p>
    <w:p w14:paraId="12BC61E7" w14:textId="77777777" w:rsidR="00AC3CA0" w:rsidRPr="00AB08B7" w:rsidRDefault="00AC3CA0" w:rsidP="00AB08B7">
      <w:pPr>
        <w:pStyle w:val="Puesto"/>
        <w:rPr>
          <w:szCs w:val="22"/>
        </w:rPr>
      </w:pPr>
      <w:r w:rsidRPr="00AB08B7">
        <w:rPr>
          <w:b/>
          <w:szCs w:val="22"/>
        </w:rPr>
        <w:t>II.</w:t>
      </w:r>
      <w:r w:rsidRPr="00AB08B7">
        <w:rPr>
          <w:szCs w:val="22"/>
        </w:rPr>
        <w:t xml:space="preserve">       Se determine mediante resolución del Comité de Transparencia, el órgano garante competente, o en cumplimiento a una sentencia del Poder Judicial; o</w:t>
      </w:r>
    </w:p>
    <w:p w14:paraId="60049403" w14:textId="77777777" w:rsidR="00AC3CA0" w:rsidRPr="00AB08B7" w:rsidRDefault="00AC3CA0" w:rsidP="00AB08B7">
      <w:pPr>
        <w:pStyle w:val="Puesto"/>
        <w:rPr>
          <w:szCs w:val="22"/>
        </w:rPr>
      </w:pPr>
      <w:r w:rsidRPr="00AB08B7">
        <w:rPr>
          <w:b/>
          <w:szCs w:val="22"/>
        </w:rPr>
        <w:t>III.</w:t>
      </w:r>
      <w:r w:rsidRPr="00AB08B7">
        <w:rPr>
          <w:szCs w:val="22"/>
        </w:rPr>
        <w:t xml:space="preserve">      Se generen versiones públicas para dar cumplimiento a las obligaciones de transparencia previstas en la Ley General, la Ley Federal y las correspondientes de las entidades federativas.</w:t>
      </w:r>
    </w:p>
    <w:p w14:paraId="2AAF20AA" w14:textId="77777777" w:rsidR="00AC3CA0" w:rsidRPr="00AB08B7" w:rsidRDefault="00AC3CA0" w:rsidP="00AB08B7">
      <w:pPr>
        <w:pStyle w:val="Puesto"/>
        <w:rPr>
          <w:szCs w:val="22"/>
        </w:rPr>
      </w:pPr>
      <w:r w:rsidRPr="00AB08B7">
        <w:rPr>
          <w:szCs w:val="22"/>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AB08B7" w:rsidRDefault="002B7C6F" w:rsidP="00AB08B7">
      <w:pPr>
        <w:rPr>
          <w:szCs w:val="22"/>
        </w:rPr>
      </w:pPr>
    </w:p>
    <w:p w14:paraId="1B84F0FA" w14:textId="77777777" w:rsidR="00AC3CA0" w:rsidRPr="00AB08B7" w:rsidRDefault="00AC3CA0" w:rsidP="00AB08B7">
      <w:pPr>
        <w:pStyle w:val="Puesto"/>
        <w:rPr>
          <w:szCs w:val="22"/>
        </w:rPr>
      </w:pPr>
      <w:r w:rsidRPr="00AB08B7">
        <w:rPr>
          <w:b/>
          <w:szCs w:val="22"/>
        </w:rPr>
        <w:t>Octavo.</w:t>
      </w:r>
      <w:r w:rsidRPr="00AB08B7">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AB08B7" w:rsidRDefault="00AC3CA0" w:rsidP="00AB08B7">
      <w:pPr>
        <w:pStyle w:val="Puesto"/>
        <w:rPr>
          <w:szCs w:val="22"/>
        </w:rPr>
      </w:pPr>
      <w:r w:rsidRPr="00AB08B7">
        <w:rPr>
          <w:szCs w:val="22"/>
        </w:rPr>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AB08B7" w:rsidRDefault="00AC3CA0" w:rsidP="00AB08B7">
      <w:pPr>
        <w:pStyle w:val="Puesto"/>
        <w:rPr>
          <w:szCs w:val="22"/>
        </w:rPr>
      </w:pPr>
      <w:r w:rsidRPr="00AB08B7">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AB08B7" w:rsidRDefault="002B7C6F" w:rsidP="00AB08B7">
      <w:pPr>
        <w:rPr>
          <w:szCs w:val="22"/>
        </w:rPr>
      </w:pPr>
    </w:p>
    <w:p w14:paraId="3DC18E7E" w14:textId="77777777" w:rsidR="00AC3CA0" w:rsidRPr="00AB08B7" w:rsidRDefault="00AC3CA0" w:rsidP="00AB08B7">
      <w:pPr>
        <w:pStyle w:val="Puesto"/>
        <w:rPr>
          <w:szCs w:val="22"/>
        </w:rPr>
      </w:pPr>
      <w:r w:rsidRPr="00AB08B7">
        <w:rPr>
          <w:b/>
          <w:szCs w:val="22"/>
        </w:rPr>
        <w:t>Noveno.</w:t>
      </w:r>
      <w:r w:rsidRPr="00AB08B7">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AB08B7" w:rsidRDefault="002B7C6F" w:rsidP="00AB08B7">
      <w:pPr>
        <w:rPr>
          <w:szCs w:val="22"/>
        </w:rPr>
      </w:pPr>
    </w:p>
    <w:p w14:paraId="45844BB1" w14:textId="77777777" w:rsidR="00AC3CA0" w:rsidRPr="00AB08B7" w:rsidRDefault="00AC3CA0" w:rsidP="00AB08B7">
      <w:pPr>
        <w:pStyle w:val="Puesto"/>
        <w:rPr>
          <w:szCs w:val="22"/>
        </w:rPr>
      </w:pPr>
      <w:r w:rsidRPr="00AB08B7">
        <w:rPr>
          <w:b/>
          <w:szCs w:val="22"/>
        </w:rPr>
        <w:t>Décimo.</w:t>
      </w:r>
      <w:r w:rsidRPr="00AB08B7">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AB08B7" w:rsidRDefault="00AC3CA0" w:rsidP="00AB08B7">
      <w:pPr>
        <w:pStyle w:val="Puesto"/>
        <w:rPr>
          <w:szCs w:val="22"/>
        </w:rPr>
      </w:pPr>
      <w:r w:rsidRPr="00AB08B7">
        <w:rPr>
          <w:szCs w:val="22"/>
        </w:rPr>
        <w:t>En ausencia de los titulares de las áreas, la información será clasificada o desclasificada por la persona que lo supla, en términos de la normativa que rija la actuación del sujeto obligado.</w:t>
      </w:r>
    </w:p>
    <w:p w14:paraId="0861DCC9" w14:textId="77777777" w:rsidR="00AC3CA0" w:rsidRPr="00AB08B7" w:rsidRDefault="00AC3CA0" w:rsidP="00AB08B7">
      <w:pPr>
        <w:pStyle w:val="Puesto"/>
        <w:rPr>
          <w:b/>
          <w:szCs w:val="22"/>
        </w:rPr>
      </w:pPr>
      <w:r w:rsidRPr="00AB08B7">
        <w:rPr>
          <w:b/>
          <w:szCs w:val="22"/>
        </w:rPr>
        <w:t>Décimo primero.</w:t>
      </w:r>
      <w:r w:rsidRPr="00AB08B7">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B08B7">
        <w:rPr>
          <w:b/>
          <w:szCs w:val="22"/>
        </w:rPr>
        <w:t>”</w:t>
      </w:r>
    </w:p>
    <w:p w14:paraId="2D5FBBCD" w14:textId="77777777" w:rsidR="00AC3CA0" w:rsidRPr="00AB08B7" w:rsidRDefault="00AC3CA0" w:rsidP="00AB08B7">
      <w:pPr>
        <w:rPr>
          <w:szCs w:val="22"/>
        </w:rPr>
      </w:pPr>
    </w:p>
    <w:p w14:paraId="05D0E4C9" w14:textId="0A69CA87" w:rsidR="00AC3CA0" w:rsidRPr="00AB08B7" w:rsidRDefault="00AC3CA0" w:rsidP="00AB08B7">
      <w:pPr>
        <w:rPr>
          <w:szCs w:val="22"/>
          <w:lang w:eastAsia="es-CO"/>
        </w:rPr>
      </w:pPr>
      <w:r w:rsidRPr="00AB08B7">
        <w:rPr>
          <w:szCs w:val="22"/>
        </w:rPr>
        <w:t xml:space="preserve">Consecuentemente, se destaca que la versión pública que elabore </w:t>
      </w:r>
      <w:r w:rsidRPr="00AB08B7">
        <w:rPr>
          <w:b/>
          <w:szCs w:val="22"/>
        </w:rPr>
        <w:t>EL SUJETO OBLIGADO</w:t>
      </w:r>
      <w:r w:rsidRPr="00AB08B7">
        <w:rPr>
          <w:szCs w:val="22"/>
        </w:rPr>
        <w:t xml:space="preserve"> debe cumplir con las formalidades exigidas en la Ley, por lo que para tal efecto emitirá el </w:t>
      </w:r>
      <w:r w:rsidRPr="00AB08B7">
        <w:rPr>
          <w:b/>
          <w:szCs w:val="22"/>
        </w:rPr>
        <w:lastRenderedPageBreak/>
        <w:t>Acuerdo del Comité de Transparencia</w:t>
      </w:r>
      <w:r w:rsidRPr="00AB08B7">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B08B7">
        <w:rPr>
          <w:szCs w:val="22"/>
          <w:lang w:eastAsia="es-CO"/>
        </w:rPr>
        <w:t>, ya que</w:t>
      </w:r>
      <w:r w:rsidR="002B7C6F" w:rsidRPr="00AB08B7">
        <w:rPr>
          <w:szCs w:val="22"/>
          <w:lang w:eastAsia="es-CO"/>
        </w:rPr>
        <w:t xml:space="preserve"> de</w:t>
      </w:r>
      <w:r w:rsidRPr="00AB08B7">
        <w:rPr>
          <w:szCs w:val="22"/>
          <w:lang w:eastAsia="es-CO"/>
        </w:rPr>
        <w:t xml:space="preserve"> no hacerlo implica que lo entregado no es legal ni formalmente una versión pública, sino más bien una documentación ilegible, incompleta o tachada; pues no </w:t>
      </w:r>
      <w:r w:rsidR="002B7C6F" w:rsidRPr="00AB08B7">
        <w:rPr>
          <w:szCs w:val="22"/>
          <w:lang w:eastAsia="es-CO"/>
        </w:rPr>
        <w:t xml:space="preserve">se </w:t>
      </w:r>
      <w:r w:rsidRPr="00AB08B7">
        <w:rPr>
          <w:szCs w:val="22"/>
          <w:lang w:eastAsia="es-CO"/>
        </w:rPr>
        <w:t>señala</w:t>
      </w:r>
      <w:r w:rsidR="002B7C6F" w:rsidRPr="00AB08B7">
        <w:rPr>
          <w:szCs w:val="22"/>
          <w:lang w:eastAsia="es-CO"/>
        </w:rPr>
        <w:t>n</w:t>
      </w:r>
      <w:r w:rsidRPr="00AB08B7">
        <w:rPr>
          <w:szCs w:val="22"/>
          <w:lang w:eastAsia="es-CO"/>
        </w:rPr>
        <w:t xml:space="preserve"> las razones por las que no se aprecian determinados datos -ya sea porque se testan o suprimen- </w:t>
      </w:r>
      <w:r w:rsidR="002B7C6F" w:rsidRPr="00AB08B7">
        <w:rPr>
          <w:szCs w:val="22"/>
          <w:lang w:eastAsia="es-CO"/>
        </w:rPr>
        <w:t xml:space="preserve">lo cual </w:t>
      </w:r>
      <w:r w:rsidRPr="00AB08B7">
        <w:rPr>
          <w:szCs w:val="22"/>
          <w:lang w:eastAsia="es-CO"/>
        </w:rPr>
        <w:t>deja al solicitante en estado de incertidumbre, al no conocer o comprender porque no aparecen en la documentación respectiva, es decir, si no se exponen de manera puntual las razones</w:t>
      </w:r>
      <w:r w:rsidR="002B7C6F" w:rsidRPr="00AB08B7">
        <w:rPr>
          <w:szCs w:val="22"/>
          <w:lang w:eastAsia="es-CO"/>
        </w:rPr>
        <w:t xml:space="preserve">, </w:t>
      </w:r>
      <w:r w:rsidRPr="00AB08B7">
        <w:rPr>
          <w:szCs w:val="22"/>
          <w:lang w:eastAsia="es-CO"/>
        </w:rPr>
        <w:t>se estaría violentando desde un inicio el derecho de acceso a la información del solicitante.</w:t>
      </w:r>
    </w:p>
    <w:p w14:paraId="7FF207A9" w14:textId="77777777" w:rsidR="00A65ADD" w:rsidRPr="00AB08B7" w:rsidRDefault="00A65ADD" w:rsidP="00AB08B7">
      <w:pPr>
        <w:pStyle w:val="Ttulo3"/>
        <w:rPr>
          <w:szCs w:val="22"/>
        </w:rPr>
      </w:pPr>
    </w:p>
    <w:p w14:paraId="6CD05AC4" w14:textId="7D73245F" w:rsidR="00BD5A7C" w:rsidRPr="00AB08B7" w:rsidRDefault="00C27F8A" w:rsidP="00AB08B7">
      <w:pPr>
        <w:pStyle w:val="Ttulo3"/>
        <w:rPr>
          <w:szCs w:val="22"/>
        </w:rPr>
      </w:pPr>
      <w:bookmarkStart w:id="28" w:name="_Toc193387493"/>
      <w:r w:rsidRPr="00AB08B7">
        <w:rPr>
          <w:szCs w:val="22"/>
        </w:rPr>
        <w:t>e</w:t>
      </w:r>
      <w:r w:rsidR="00BD5A7C" w:rsidRPr="00AB08B7">
        <w:rPr>
          <w:szCs w:val="22"/>
        </w:rPr>
        <w:t>) Conclusión</w:t>
      </w:r>
      <w:bookmarkEnd w:id="28"/>
    </w:p>
    <w:p w14:paraId="61986A2C" w14:textId="77777777" w:rsidR="00211B0B" w:rsidRPr="00AB08B7" w:rsidRDefault="00211B0B" w:rsidP="00AB08B7">
      <w:pPr>
        <w:contextualSpacing/>
        <w:rPr>
          <w:rFonts w:cs="Tahoma"/>
          <w:szCs w:val="22"/>
        </w:rPr>
      </w:pPr>
      <w:bookmarkStart w:id="29" w:name="_Hlk165381027"/>
      <w:r w:rsidRPr="00AB08B7">
        <w:rPr>
          <w:rFonts w:cs="Tahoma"/>
          <w:szCs w:val="22"/>
        </w:rPr>
        <w:t>Con fundamento en el artículo 186, fracción III, de la Ley de Transparencia y Acceso a la Información Pública del Estado de México y Municipios, este Instituto considera procedente realizar lo siguiente:</w:t>
      </w:r>
    </w:p>
    <w:p w14:paraId="2F2E0E80" w14:textId="77777777" w:rsidR="00211B0B" w:rsidRPr="00AB08B7" w:rsidRDefault="00211B0B" w:rsidP="00AB08B7">
      <w:pPr>
        <w:contextualSpacing/>
        <w:rPr>
          <w:rFonts w:cs="Tahoma"/>
          <w:szCs w:val="22"/>
        </w:rPr>
      </w:pPr>
    </w:p>
    <w:p w14:paraId="14EF094A" w14:textId="556122D6" w:rsidR="00211B0B" w:rsidRPr="00AB08B7" w:rsidRDefault="00211B0B" w:rsidP="00AB08B7">
      <w:pPr>
        <w:contextualSpacing/>
        <w:rPr>
          <w:rFonts w:eastAsia="Palatino Linotype" w:cs="Palatino Linotype"/>
          <w:szCs w:val="22"/>
        </w:rPr>
      </w:pPr>
      <w:r w:rsidRPr="00AB08B7">
        <w:rPr>
          <w:rFonts w:eastAsia="Calibri" w:cs="Tahoma"/>
          <w:b/>
          <w:bCs/>
          <w:szCs w:val="22"/>
        </w:rPr>
        <w:t xml:space="preserve">MODIFICA </w:t>
      </w:r>
      <w:r w:rsidRPr="00AB08B7">
        <w:rPr>
          <w:rFonts w:eastAsia="Calibri" w:cs="Tahoma"/>
          <w:szCs w:val="22"/>
        </w:rPr>
        <w:t xml:space="preserve">la respuesta otorgada por </w:t>
      </w:r>
      <w:r w:rsidR="00F2116E" w:rsidRPr="00AB08B7">
        <w:rPr>
          <w:rFonts w:eastAsia="Calibri" w:cs="Tahoma"/>
          <w:b/>
          <w:szCs w:val="22"/>
        </w:rPr>
        <w:t>EL SUJETO OBLIGADO</w:t>
      </w:r>
      <w:r w:rsidRPr="00AB08B7">
        <w:rPr>
          <w:rFonts w:eastAsia="Calibri" w:cs="Tahoma"/>
          <w:szCs w:val="22"/>
        </w:rPr>
        <w:t xml:space="preserve">, a la solicitud de acceso a la información </w:t>
      </w:r>
      <w:r w:rsidRPr="00AB08B7">
        <w:rPr>
          <w:rFonts w:cs="Tahoma"/>
          <w:b/>
          <w:bCs/>
          <w:szCs w:val="22"/>
        </w:rPr>
        <w:t>00046/HUEHUETO/IP/2025</w:t>
      </w:r>
      <w:r w:rsidRPr="00AB08B7">
        <w:rPr>
          <w:rFonts w:eastAsia="Calibri" w:cs="Tahoma"/>
          <w:szCs w:val="22"/>
        </w:rPr>
        <w:t xml:space="preserve">, referentes al Recurso de Revisión con número </w:t>
      </w:r>
      <w:r w:rsidRPr="00AB08B7">
        <w:rPr>
          <w:rFonts w:eastAsia="Calibri" w:cs="Tahoma"/>
          <w:b/>
          <w:szCs w:val="22"/>
        </w:rPr>
        <w:t>01172/INFOEM/IP/RR/2025</w:t>
      </w:r>
      <w:r w:rsidRPr="00AB08B7">
        <w:rPr>
          <w:rFonts w:eastAsia="Calibri" w:cs="Tahoma"/>
          <w:szCs w:val="22"/>
        </w:rPr>
        <w:t xml:space="preserve">, a efecto de </w:t>
      </w:r>
      <w:r w:rsidR="00BB46B7" w:rsidRPr="00AB08B7">
        <w:rPr>
          <w:rFonts w:eastAsia="Calibri" w:cs="Tahoma"/>
          <w:szCs w:val="22"/>
        </w:rPr>
        <w:t xml:space="preserve">que </w:t>
      </w:r>
      <w:r w:rsidRPr="00AB08B7">
        <w:rPr>
          <w:rFonts w:eastAsia="Calibri" w:cs="Tahoma"/>
          <w:bCs/>
          <w:szCs w:val="22"/>
        </w:rPr>
        <w:t>entregue,</w:t>
      </w:r>
      <w:r w:rsidR="0046648A" w:rsidRPr="00AB08B7">
        <w:rPr>
          <w:rFonts w:eastAsia="Palatino Linotype" w:cs="Palatino Linotype"/>
          <w:szCs w:val="22"/>
        </w:rPr>
        <w:t xml:space="preserve"> en formato PDF o aquel en el que se haya generado,</w:t>
      </w:r>
      <w:r w:rsidRPr="00AB08B7">
        <w:rPr>
          <w:rFonts w:eastAsia="Calibri" w:cs="Tahoma"/>
          <w:bCs/>
          <w:szCs w:val="22"/>
        </w:rPr>
        <w:t xml:space="preserve"> </w:t>
      </w:r>
      <w:r w:rsidR="00F2116E" w:rsidRPr="00AB08B7">
        <w:rPr>
          <w:rFonts w:eastAsia="Calibri" w:cs="Tahoma"/>
          <w:bCs/>
          <w:szCs w:val="22"/>
        </w:rPr>
        <w:t xml:space="preserve">de ser procedente en </w:t>
      </w:r>
      <w:r w:rsidR="00F2116E" w:rsidRPr="00AB08B7">
        <w:rPr>
          <w:rFonts w:eastAsia="Calibri" w:cs="Tahoma"/>
          <w:b/>
          <w:bCs/>
          <w:szCs w:val="22"/>
        </w:rPr>
        <w:t xml:space="preserve">versión pública </w:t>
      </w:r>
      <w:r w:rsidR="00F2116E" w:rsidRPr="00AB08B7">
        <w:rPr>
          <w:rFonts w:eastAsia="Palatino Linotype" w:cs="Palatino Linotype"/>
          <w:szCs w:val="22"/>
        </w:rPr>
        <w:t xml:space="preserve">en relación con la peregrinación ciclista a la basílica de Guadalupe, </w:t>
      </w:r>
      <w:r w:rsidRPr="00AB08B7">
        <w:rPr>
          <w:rFonts w:eastAsia="Palatino Linotype" w:cs="Palatino Linotype"/>
          <w:szCs w:val="22"/>
        </w:rPr>
        <w:t>el documento donde conste lo siguiente:</w:t>
      </w:r>
    </w:p>
    <w:p w14:paraId="2A601681" w14:textId="2EC476B0" w:rsidR="00211B0B" w:rsidRPr="00AB08B7" w:rsidRDefault="00211B0B" w:rsidP="00AB08B7">
      <w:pPr>
        <w:contextualSpacing/>
        <w:rPr>
          <w:rFonts w:eastAsia="Palatino Linotype" w:cs="Palatino Linotype"/>
          <w:szCs w:val="22"/>
        </w:rPr>
      </w:pPr>
    </w:p>
    <w:p w14:paraId="4209CC8A" w14:textId="77777777" w:rsidR="00F57CB2" w:rsidRPr="00AB08B7" w:rsidRDefault="00F57CB2" w:rsidP="00AB08B7">
      <w:pPr>
        <w:pStyle w:val="Prrafodelista"/>
        <w:numPr>
          <w:ilvl w:val="0"/>
          <w:numId w:val="26"/>
        </w:numPr>
        <w:spacing w:line="276" w:lineRule="auto"/>
        <w:ind w:right="822"/>
        <w:rPr>
          <w:rFonts w:eastAsia="Palatino Linotype" w:cs="Palatino Linotype"/>
          <w:i/>
          <w:szCs w:val="22"/>
        </w:rPr>
      </w:pPr>
      <w:r w:rsidRPr="00AB08B7">
        <w:rPr>
          <w:rFonts w:eastAsia="Palatino Linotype" w:cs="Palatino Linotype"/>
          <w:i/>
          <w:szCs w:val="22"/>
        </w:rPr>
        <w:t xml:space="preserve">Nombre de Proveedor de bicicletas </w:t>
      </w:r>
    </w:p>
    <w:p w14:paraId="0CF8A7CC" w14:textId="77777777" w:rsidR="00F57CB2" w:rsidRPr="00AB08B7" w:rsidRDefault="00F57CB2" w:rsidP="00AB08B7">
      <w:pPr>
        <w:pStyle w:val="Prrafodelista"/>
        <w:numPr>
          <w:ilvl w:val="0"/>
          <w:numId w:val="26"/>
        </w:numPr>
        <w:spacing w:line="276" w:lineRule="auto"/>
        <w:ind w:right="822"/>
        <w:rPr>
          <w:rFonts w:eastAsia="Palatino Linotype" w:cs="Palatino Linotype"/>
          <w:i/>
          <w:szCs w:val="22"/>
        </w:rPr>
      </w:pPr>
      <w:r w:rsidRPr="00AB08B7">
        <w:rPr>
          <w:rFonts w:eastAsia="Palatino Linotype" w:cs="Palatino Linotype"/>
          <w:i/>
          <w:szCs w:val="22"/>
        </w:rPr>
        <w:t>Nombre de los Proveedores de servicio relativo al evento (rifa)</w:t>
      </w:r>
    </w:p>
    <w:p w14:paraId="3A4A00EC" w14:textId="25831110" w:rsidR="00F57CB2" w:rsidRPr="00AB08B7" w:rsidRDefault="00F57CB2" w:rsidP="00AB08B7">
      <w:pPr>
        <w:pStyle w:val="Prrafodelista"/>
        <w:numPr>
          <w:ilvl w:val="0"/>
          <w:numId w:val="26"/>
        </w:numPr>
        <w:spacing w:line="276" w:lineRule="auto"/>
        <w:ind w:right="822"/>
        <w:rPr>
          <w:rFonts w:eastAsia="Palatino Linotype" w:cs="Palatino Linotype"/>
          <w:i/>
          <w:szCs w:val="22"/>
        </w:rPr>
      </w:pPr>
      <w:r w:rsidRPr="00AB08B7">
        <w:rPr>
          <w:rFonts w:eastAsia="Palatino Linotype" w:cs="Palatino Linotype"/>
          <w:i/>
          <w:szCs w:val="22"/>
        </w:rPr>
        <w:t>Cotizaciones y facturas</w:t>
      </w:r>
    </w:p>
    <w:p w14:paraId="2B296795" w14:textId="77777777" w:rsidR="00F57CB2" w:rsidRPr="00AB08B7" w:rsidRDefault="00F57CB2" w:rsidP="00AB08B7">
      <w:pPr>
        <w:pStyle w:val="Prrafodelista"/>
        <w:numPr>
          <w:ilvl w:val="0"/>
          <w:numId w:val="26"/>
        </w:numPr>
        <w:rPr>
          <w:rFonts w:eastAsia="Palatino Linotype" w:cs="Palatino Linotype"/>
          <w:i/>
          <w:szCs w:val="22"/>
        </w:rPr>
      </w:pPr>
      <w:r w:rsidRPr="00AB08B7">
        <w:rPr>
          <w:rFonts w:eastAsia="Palatino Linotype" w:cs="Palatino Linotype"/>
          <w:i/>
          <w:szCs w:val="22"/>
        </w:rPr>
        <w:t>Nombres de los ganadores</w:t>
      </w:r>
    </w:p>
    <w:p w14:paraId="16E57ED7" w14:textId="77777777" w:rsidR="00211B0B" w:rsidRPr="00AB08B7" w:rsidRDefault="00211B0B" w:rsidP="00AB08B7">
      <w:pPr>
        <w:contextualSpacing/>
        <w:rPr>
          <w:rFonts w:eastAsia="Palatino Linotype" w:cs="Palatino Linotype"/>
          <w:szCs w:val="22"/>
        </w:rPr>
      </w:pPr>
    </w:p>
    <w:p w14:paraId="1235B427" w14:textId="3F478658" w:rsidR="00211B0B" w:rsidRDefault="00211B0B" w:rsidP="00AB08B7">
      <w:pPr>
        <w:ind w:right="-93"/>
        <w:rPr>
          <w:rFonts w:cs="Tahoma"/>
          <w:bCs/>
          <w:szCs w:val="22"/>
        </w:rPr>
      </w:pPr>
      <w:r w:rsidRPr="00AB08B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9C5AEEE" w14:textId="77777777" w:rsidR="00AB08B7" w:rsidRPr="00AB08B7" w:rsidRDefault="00AB08B7" w:rsidP="00AB08B7">
      <w:pPr>
        <w:ind w:right="-93"/>
        <w:rPr>
          <w:szCs w:val="22"/>
        </w:rPr>
      </w:pPr>
    </w:p>
    <w:p w14:paraId="314D0407" w14:textId="77777777" w:rsidR="00211B0B" w:rsidRPr="00AB08B7" w:rsidRDefault="00211B0B" w:rsidP="00AB08B7">
      <w:pPr>
        <w:pStyle w:val="Ttulo1"/>
        <w:rPr>
          <w:szCs w:val="22"/>
        </w:rPr>
      </w:pPr>
      <w:bookmarkStart w:id="30" w:name="_Toc192161327"/>
      <w:bookmarkStart w:id="31" w:name="_Toc192591232"/>
      <w:bookmarkStart w:id="32" w:name="_Toc193387494"/>
      <w:r w:rsidRPr="00AB08B7">
        <w:rPr>
          <w:szCs w:val="22"/>
        </w:rPr>
        <w:t>RESUELVE</w:t>
      </w:r>
      <w:bookmarkEnd w:id="30"/>
      <w:bookmarkEnd w:id="31"/>
      <w:bookmarkEnd w:id="32"/>
    </w:p>
    <w:p w14:paraId="72A03B6F" w14:textId="77777777" w:rsidR="00211B0B" w:rsidRPr="00AB08B7" w:rsidRDefault="00211B0B" w:rsidP="00AB08B7">
      <w:pPr>
        <w:ind w:right="113"/>
        <w:rPr>
          <w:rFonts w:cs="Arial"/>
          <w:b/>
          <w:szCs w:val="22"/>
        </w:rPr>
      </w:pPr>
    </w:p>
    <w:p w14:paraId="081508B0" w14:textId="525BFFAC" w:rsidR="00211B0B" w:rsidRPr="00AB08B7" w:rsidRDefault="00211B0B" w:rsidP="00AB08B7">
      <w:pPr>
        <w:widowControl w:val="0"/>
        <w:rPr>
          <w:rFonts w:eastAsia="Calibri" w:cs="Tahoma"/>
          <w:bCs/>
          <w:szCs w:val="22"/>
          <w:lang w:eastAsia="en-US"/>
        </w:rPr>
      </w:pPr>
      <w:r w:rsidRPr="00AB08B7">
        <w:rPr>
          <w:b/>
          <w:bCs/>
          <w:szCs w:val="22"/>
        </w:rPr>
        <w:t>PRIMERO.</w:t>
      </w:r>
      <w:r w:rsidRPr="00AB08B7">
        <w:rPr>
          <w:szCs w:val="22"/>
        </w:rPr>
        <w:t xml:space="preserve"> </w:t>
      </w:r>
      <w:r w:rsidRPr="00AB08B7">
        <w:rPr>
          <w:rFonts w:cs="Tahoma"/>
          <w:szCs w:val="22"/>
        </w:rPr>
        <w:t xml:space="preserve">Se </w:t>
      </w:r>
      <w:r w:rsidRPr="00AB08B7">
        <w:rPr>
          <w:rFonts w:cs="Tahoma"/>
          <w:b/>
          <w:bCs/>
          <w:szCs w:val="22"/>
        </w:rPr>
        <w:t>MODIFICA</w:t>
      </w:r>
      <w:r w:rsidRPr="00AB08B7">
        <w:rPr>
          <w:rFonts w:cs="Tahoma"/>
          <w:szCs w:val="22"/>
        </w:rPr>
        <w:t xml:space="preserve"> la respuesta entregada por el </w:t>
      </w:r>
      <w:r w:rsidRPr="00AB08B7">
        <w:rPr>
          <w:rFonts w:cs="Tahoma"/>
          <w:b/>
          <w:bCs/>
          <w:szCs w:val="22"/>
        </w:rPr>
        <w:t>SUJETO OBLIGADO</w:t>
      </w:r>
      <w:r w:rsidRPr="00AB08B7">
        <w:rPr>
          <w:rFonts w:cs="Tahoma"/>
          <w:szCs w:val="22"/>
        </w:rPr>
        <w:t xml:space="preserve"> en la solicitud de información</w:t>
      </w:r>
      <w:r w:rsidRPr="00AB08B7">
        <w:rPr>
          <w:rFonts w:cs="Tahoma"/>
          <w:b/>
          <w:bCs/>
          <w:szCs w:val="22"/>
        </w:rPr>
        <w:t xml:space="preserve"> 00046/HUEHUETO/IP/2025,</w:t>
      </w:r>
      <w:r w:rsidRPr="00AB08B7">
        <w:rPr>
          <w:rFonts w:cs="Tahoma"/>
          <w:bCs/>
          <w:szCs w:val="22"/>
        </w:rPr>
        <w:t xml:space="preserve"> </w:t>
      </w:r>
      <w:r w:rsidRPr="00AB08B7">
        <w:rPr>
          <w:rFonts w:eastAsia="Calibri" w:cs="Tahoma"/>
          <w:bCs/>
          <w:szCs w:val="22"/>
          <w:lang w:eastAsia="en-US"/>
        </w:rPr>
        <w:t xml:space="preserve">por resultar </w:t>
      </w:r>
      <w:r w:rsidRPr="00AB08B7">
        <w:rPr>
          <w:rFonts w:eastAsia="Calibri" w:cs="Tahoma"/>
          <w:b/>
          <w:bCs/>
          <w:szCs w:val="22"/>
          <w:lang w:eastAsia="en-US"/>
        </w:rPr>
        <w:t>FUNDADAS</w:t>
      </w:r>
      <w:r w:rsidRPr="00AB08B7">
        <w:rPr>
          <w:rFonts w:eastAsia="Calibri" w:cs="Tahoma"/>
          <w:bCs/>
          <w:szCs w:val="22"/>
          <w:lang w:eastAsia="en-US"/>
        </w:rPr>
        <w:t xml:space="preserve"> las razones o motivos de inconformidad hechos valer por </w:t>
      </w:r>
      <w:r w:rsidRPr="00AB08B7">
        <w:rPr>
          <w:rFonts w:eastAsia="Calibri" w:cs="Tahoma"/>
          <w:b/>
          <w:szCs w:val="22"/>
          <w:lang w:eastAsia="en-US"/>
        </w:rPr>
        <w:t>LA PARTE RECURRENTE</w:t>
      </w:r>
      <w:r w:rsidRPr="00AB08B7">
        <w:rPr>
          <w:rFonts w:eastAsia="Calibri" w:cs="Tahoma"/>
          <w:bCs/>
          <w:szCs w:val="22"/>
          <w:lang w:eastAsia="en-US"/>
        </w:rPr>
        <w:t xml:space="preserve"> en el Recurso de Revisión </w:t>
      </w:r>
      <w:r w:rsidRPr="00AB08B7">
        <w:rPr>
          <w:rFonts w:eastAsia="Calibri" w:cs="Tahoma"/>
          <w:b/>
          <w:szCs w:val="22"/>
        </w:rPr>
        <w:t>01172/INFOEM/IP/RR/2025</w:t>
      </w:r>
      <w:r w:rsidRPr="00AB08B7">
        <w:rPr>
          <w:rFonts w:eastAsiaTheme="minorHAnsi" w:cstheme="minorBidi"/>
          <w:szCs w:val="22"/>
          <w:lang w:eastAsia="en-US"/>
        </w:rPr>
        <w:t>,</w:t>
      </w:r>
      <w:r w:rsidRPr="00AB08B7">
        <w:rPr>
          <w:rFonts w:cs="Tahoma"/>
          <w:b/>
          <w:szCs w:val="22"/>
        </w:rPr>
        <w:t xml:space="preserve"> </w:t>
      </w:r>
      <w:r w:rsidRPr="00AB08B7">
        <w:rPr>
          <w:rFonts w:eastAsia="Calibri" w:cs="Tahoma"/>
          <w:bCs/>
          <w:szCs w:val="22"/>
          <w:lang w:eastAsia="en-US"/>
        </w:rPr>
        <w:t xml:space="preserve">en términos del considerando </w:t>
      </w:r>
      <w:r w:rsidRPr="00AB08B7">
        <w:rPr>
          <w:rFonts w:eastAsia="Calibri" w:cs="Tahoma"/>
          <w:b/>
          <w:szCs w:val="22"/>
          <w:lang w:eastAsia="en-US"/>
        </w:rPr>
        <w:t>SEGUNDO</w:t>
      </w:r>
      <w:r w:rsidRPr="00AB08B7">
        <w:rPr>
          <w:rFonts w:eastAsia="Calibri" w:cs="Tahoma"/>
          <w:bCs/>
          <w:szCs w:val="22"/>
          <w:lang w:eastAsia="en-US"/>
        </w:rPr>
        <w:t xml:space="preserve"> de la presente Resolución.</w:t>
      </w:r>
    </w:p>
    <w:p w14:paraId="29FB090D" w14:textId="77777777" w:rsidR="00211B0B" w:rsidRPr="00AB08B7" w:rsidRDefault="00211B0B" w:rsidP="00AB08B7">
      <w:pPr>
        <w:widowControl w:val="0"/>
        <w:rPr>
          <w:rFonts w:eastAsia="Calibri" w:cs="Tahoma"/>
          <w:bCs/>
          <w:szCs w:val="22"/>
          <w:lang w:eastAsia="en-US"/>
        </w:rPr>
      </w:pPr>
    </w:p>
    <w:p w14:paraId="34F17388" w14:textId="6808B8CA" w:rsidR="00F2116E" w:rsidRPr="00AB08B7" w:rsidRDefault="00211B0B" w:rsidP="00AB08B7">
      <w:pPr>
        <w:ind w:right="49"/>
        <w:rPr>
          <w:rFonts w:eastAsia="Palatino Linotype" w:cs="Palatino Linotype"/>
          <w:szCs w:val="22"/>
        </w:rPr>
      </w:pPr>
      <w:r w:rsidRPr="00AB08B7">
        <w:rPr>
          <w:rFonts w:eastAsia="Palatino Linotype" w:cs="Palatino Linotype"/>
          <w:b/>
          <w:szCs w:val="22"/>
        </w:rPr>
        <w:t>SEGUNDO</w:t>
      </w:r>
      <w:r w:rsidRPr="00AB08B7">
        <w:rPr>
          <w:rFonts w:eastAsia="Palatino Linotype" w:cs="Palatino Linotype"/>
          <w:szCs w:val="22"/>
        </w:rPr>
        <w:t xml:space="preserve">. Se </w:t>
      </w:r>
      <w:r w:rsidRPr="00AB08B7">
        <w:rPr>
          <w:rFonts w:eastAsia="Palatino Linotype" w:cs="Palatino Linotype"/>
          <w:b/>
          <w:szCs w:val="22"/>
        </w:rPr>
        <w:t>ORDENA</w:t>
      </w:r>
      <w:r w:rsidRPr="00AB08B7">
        <w:rPr>
          <w:rFonts w:eastAsia="Palatino Linotype" w:cs="Palatino Linotype"/>
          <w:szCs w:val="22"/>
        </w:rPr>
        <w:t xml:space="preserve"> al </w:t>
      </w:r>
      <w:r w:rsidRPr="00AB08B7">
        <w:rPr>
          <w:rFonts w:eastAsia="Palatino Linotype" w:cs="Palatino Linotype"/>
          <w:b/>
          <w:szCs w:val="22"/>
        </w:rPr>
        <w:t>SUJETO OBLIGADO</w:t>
      </w:r>
      <w:r w:rsidRPr="00AB08B7">
        <w:rPr>
          <w:rFonts w:eastAsia="Palatino Linotype" w:cs="Palatino Linotype"/>
          <w:szCs w:val="22"/>
        </w:rPr>
        <w:t xml:space="preserve"> entregar al </w:t>
      </w:r>
      <w:r w:rsidRPr="00AB08B7">
        <w:rPr>
          <w:rFonts w:eastAsia="Palatino Linotype" w:cs="Palatino Linotype"/>
          <w:b/>
          <w:szCs w:val="22"/>
        </w:rPr>
        <w:t xml:space="preserve">RECURRENTE, </w:t>
      </w:r>
      <w:r w:rsidRPr="00AB08B7">
        <w:rPr>
          <w:rFonts w:eastAsia="Palatino Linotype" w:cs="Palatino Linotype"/>
          <w:szCs w:val="22"/>
        </w:rPr>
        <w:t xml:space="preserve">a través del Sistema de Acceso a la Información Mexiquense </w:t>
      </w:r>
      <w:r w:rsidRPr="00AB08B7">
        <w:rPr>
          <w:rFonts w:eastAsia="Palatino Linotype" w:cs="Palatino Linotype"/>
          <w:b/>
          <w:szCs w:val="22"/>
        </w:rPr>
        <w:t>(SAIMEX)</w:t>
      </w:r>
      <w:r w:rsidRPr="00AB08B7">
        <w:rPr>
          <w:rFonts w:eastAsia="Palatino Linotype" w:cs="Palatino Linotype"/>
          <w:szCs w:val="22"/>
        </w:rPr>
        <w:t xml:space="preserve">, </w:t>
      </w:r>
      <w:r w:rsidR="0046648A" w:rsidRPr="00AB08B7">
        <w:rPr>
          <w:rFonts w:eastAsia="Palatino Linotype" w:cs="Palatino Linotype"/>
          <w:szCs w:val="22"/>
        </w:rPr>
        <w:t xml:space="preserve">en formato PDF o aquel en el que se haya generado, </w:t>
      </w:r>
      <w:r w:rsidRPr="00AB08B7">
        <w:rPr>
          <w:rFonts w:eastAsia="Palatino Linotype" w:cs="Palatino Linotype"/>
          <w:szCs w:val="22"/>
        </w:rPr>
        <w:t xml:space="preserve">de ser procedente en </w:t>
      </w:r>
      <w:r w:rsidRPr="00AB08B7">
        <w:rPr>
          <w:rFonts w:eastAsia="Palatino Linotype" w:cs="Palatino Linotype"/>
          <w:b/>
          <w:szCs w:val="22"/>
        </w:rPr>
        <w:t>versión pública,</w:t>
      </w:r>
      <w:r w:rsidRPr="00AB08B7">
        <w:rPr>
          <w:rFonts w:eastAsia="Palatino Linotype" w:cs="Palatino Linotype"/>
          <w:szCs w:val="22"/>
        </w:rPr>
        <w:t xml:space="preserve"> </w:t>
      </w:r>
      <w:r w:rsidR="00F2116E" w:rsidRPr="00AB08B7">
        <w:rPr>
          <w:rFonts w:eastAsia="Palatino Linotype" w:cs="Palatino Linotype"/>
          <w:szCs w:val="22"/>
        </w:rPr>
        <w:t xml:space="preserve">en relación con la peregrinación ciclista a la </w:t>
      </w:r>
      <w:r w:rsidR="00210887" w:rsidRPr="00AB08B7">
        <w:rPr>
          <w:rFonts w:eastAsia="Palatino Linotype" w:cs="Palatino Linotype"/>
          <w:szCs w:val="22"/>
        </w:rPr>
        <w:t xml:space="preserve">Basílica </w:t>
      </w:r>
      <w:r w:rsidR="00F2116E" w:rsidRPr="00AB08B7">
        <w:rPr>
          <w:rFonts w:eastAsia="Palatino Linotype" w:cs="Palatino Linotype"/>
          <w:szCs w:val="22"/>
        </w:rPr>
        <w:t>de Guadalupe, la información generada al 27 de enero de 2025, donde conste lo siguiente.</w:t>
      </w:r>
    </w:p>
    <w:p w14:paraId="0287FD8A" w14:textId="77777777" w:rsidR="00F2116E" w:rsidRPr="00AB08B7" w:rsidRDefault="00F2116E" w:rsidP="00AB08B7">
      <w:pPr>
        <w:ind w:right="49"/>
        <w:rPr>
          <w:rFonts w:eastAsia="Palatino Linotype" w:cs="Palatino Linotype"/>
          <w:szCs w:val="22"/>
        </w:rPr>
      </w:pPr>
    </w:p>
    <w:p w14:paraId="348C281A" w14:textId="11C2D17F" w:rsidR="00020074" w:rsidRPr="00AB08B7" w:rsidRDefault="00F57CB2" w:rsidP="00AB08B7">
      <w:pPr>
        <w:pStyle w:val="Prrafodelista"/>
        <w:numPr>
          <w:ilvl w:val="0"/>
          <w:numId w:val="28"/>
        </w:numPr>
        <w:spacing w:line="276" w:lineRule="auto"/>
        <w:ind w:right="822"/>
        <w:rPr>
          <w:rFonts w:eastAsia="Palatino Linotype" w:cs="Palatino Linotype"/>
          <w:i/>
          <w:szCs w:val="22"/>
        </w:rPr>
      </w:pPr>
      <w:r w:rsidRPr="00AB08B7">
        <w:rPr>
          <w:rFonts w:eastAsia="Palatino Linotype" w:cs="Palatino Linotype"/>
          <w:i/>
          <w:szCs w:val="22"/>
        </w:rPr>
        <w:t xml:space="preserve">Nombre de </w:t>
      </w:r>
      <w:r w:rsidR="00211B0B" w:rsidRPr="00AB08B7">
        <w:rPr>
          <w:rFonts w:eastAsia="Palatino Linotype" w:cs="Palatino Linotype"/>
          <w:i/>
          <w:szCs w:val="22"/>
        </w:rPr>
        <w:t xml:space="preserve">Proveedor de bicicletas </w:t>
      </w:r>
    </w:p>
    <w:p w14:paraId="356B2F91" w14:textId="1079F758" w:rsidR="008D4C84" w:rsidRPr="00AB08B7" w:rsidRDefault="00F57CB2" w:rsidP="00AB08B7">
      <w:pPr>
        <w:pStyle w:val="Prrafodelista"/>
        <w:numPr>
          <w:ilvl w:val="0"/>
          <w:numId w:val="28"/>
        </w:numPr>
        <w:spacing w:line="276" w:lineRule="auto"/>
        <w:ind w:right="822"/>
        <w:rPr>
          <w:rFonts w:eastAsia="Palatino Linotype" w:cs="Palatino Linotype"/>
          <w:i/>
          <w:szCs w:val="22"/>
        </w:rPr>
      </w:pPr>
      <w:r w:rsidRPr="00AB08B7">
        <w:rPr>
          <w:rFonts w:eastAsia="Palatino Linotype" w:cs="Palatino Linotype"/>
          <w:i/>
          <w:szCs w:val="22"/>
        </w:rPr>
        <w:t xml:space="preserve">Nombre de los </w:t>
      </w:r>
      <w:r w:rsidR="008D4C84" w:rsidRPr="00AB08B7">
        <w:rPr>
          <w:rFonts w:eastAsia="Palatino Linotype" w:cs="Palatino Linotype"/>
          <w:i/>
          <w:szCs w:val="22"/>
        </w:rPr>
        <w:t>Proveedor</w:t>
      </w:r>
      <w:r w:rsidRPr="00AB08B7">
        <w:rPr>
          <w:rFonts w:eastAsia="Palatino Linotype" w:cs="Palatino Linotype"/>
          <w:i/>
          <w:szCs w:val="22"/>
        </w:rPr>
        <w:t>es</w:t>
      </w:r>
      <w:r w:rsidR="008D4C84" w:rsidRPr="00AB08B7">
        <w:rPr>
          <w:rFonts w:eastAsia="Palatino Linotype" w:cs="Palatino Linotype"/>
          <w:i/>
          <w:szCs w:val="22"/>
        </w:rPr>
        <w:t xml:space="preserve"> </w:t>
      </w:r>
      <w:r w:rsidRPr="00AB08B7">
        <w:rPr>
          <w:rFonts w:eastAsia="Palatino Linotype" w:cs="Palatino Linotype"/>
          <w:i/>
          <w:szCs w:val="22"/>
        </w:rPr>
        <w:t>de</w:t>
      </w:r>
      <w:r w:rsidR="008D4C84" w:rsidRPr="00AB08B7">
        <w:rPr>
          <w:rFonts w:eastAsia="Palatino Linotype" w:cs="Palatino Linotype"/>
          <w:i/>
          <w:szCs w:val="22"/>
        </w:rPr>
        <w:t xml:space="preserve"> servicio relativo al evento (rifa)</w:t>
      </w:r>
    </w:p>
    <w:p w14:paraId="406728CA" w14:textId="285E1BD9" w:rsidR="00020074" w:rsidRPr="00AB08B7" w:rsidRDefault="00020074" w:rsidP="00AB08B7">
      <w:pPr>
        <w:pStyle w:val="Prrafodelista"/>
        <w:numPr>
          <w:ilvl w:val="0"/>
          <w:numId w:val="28"/>
        </w:numPr>
        <w:spacing w:line="276" w:lineRule="auto"/>
        <w:ind w:right="822"/>
        <w:rPr>
          <w:rFonts w:eastAsia="Palatino Linotype" w:cs="Palatino Linotype"/>
          <w:i/>
          <w:szCs w:val="22"/>
        </w:rPr>
      </w:pPr>
      <w:r w:rsidRPr="00AB08B7">
        <w:rPr>
          <w:rFonts w:eastAsia="Palatino Linotype" w:cs="Palatino Linotype"/>
          <w:i/>
          <w:szCs w:val="22"/>
        </w:rPr>
        <w:t>Cotizaciones y facturas</w:t>
      </w:r>
    </w:p>
    <w:p w14:paraId="3D5F1C5D" w14:textId="470C8B16" w:rsidR="008D4C84" w:rsidRPr="00AB08B7" w:rsidRDefault="008D4C84" w:rsidP="00AB08B7">
      <w:pPr>
        <w:pStyle w:val="Prrafodelista"/>
        <w:numPr>
          <w:ilvl w:val="0"/>
          <w:numId w:val="28"/>
        </w:numPr>
        <w:spacing w:line="276" w:lineRule="auto"/>
        <w:ind w:right="822"/>
        <w:rPr>
          <w:rFonts w:eastAsia="Palatino Linotype" w:cs="Palatino Linotype"/>
          <w:i/>
          <w:szCs w:val="22"/>
        </w:rPr>
      </w:pPr>
      <w:r w:rsidRPr="00AB08B7">
        <w:rPr>
          <w:rFonts w:eastAsia="Palatino Linotype" w:cs="Palatino Linotype"/>
          <w:i/>
          <w:szCs w:val="22"/>
        </w:rPr>
        <w:t>Nombres de los ganadores</w:t>
      </w:r>
    </w:p>
    <w:p w14:paraId="341FFD20" w14:textId="3D307475" w:rsidR="00211B0B" w:rsidRPr="00AB08B7" w:rsidRDefault="00211B0B" w:rsidP="00AB08B7">
      <w:pPr>
        <w:spacing w:line="276" w:lineRule="auto"/>
        <w:ind w:right="822"/>
        <w:rPr>
          <w:rFonts w:eastAsia="Palatino Linotype" w:cs="Palatino Linotype"/>
          <w:i/>
          <w:szCs w:val="22"/>
        </w:rPr>
      </w:pPr>
    </w:p>
    <w:p w14:paraId="28E9B14B" w14:textId="77777777" w:rsidR="00211B0B" w:rsidRPr="00AB08B7" w:rsidRDefault="00211B0B" w:rsidP="00AB08B7">
      <w:pPr>
        <w:spacing w:line="276" w:lineRule="auto"/>
        <w:ind w:left="851" w:right="822"/>
        <w:rPr>
          <w:rFonts w:eastAsia="Palatino Linotype" w:cs="Palatino Linotype"/>
          <w:i/>
          <w:szCs w:val="22"/>
        </w:rPr>
      </w:pPr>
    </w:p>
    <w:p w14:paraId="2980BE7B" w14:textId="07AA07D7" w:rsidR="00F2116E" w:rsidRPr="00AB08B7" w:rsidRDefault="00F2116E" w:rsidP="00AB08B7">
      <w:pPr>
        <w:spacing w:line="240" w:lineRule="auto"/>
        <w:ind w:left="851" w:right="822"/>
        <w:rPr>
          <w:bCs/>
          <w:i/>
          <w:szCs w:val="22"/>
        </w:rPr>
      </w:pPr>
      <w:r w:rsidRPr="00AB08B7">
        <w:rPr>
          <w:bCs/>
          <w:i/>
          <w:szCs w:val="22"/>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DC8F9A8" w14:textId="77777777" w:rsidR="008D4C84" w:rsidRPr="00AB08B7" w:rsidRDefault="008D4C84" w:rsidP="00AB08B7">
      <w:pPr>
        <w:spacing w:line="240" w:lineRule="auto"/>
        <w:ind w:left="851" w:right="822"/>
        <w:rPr>
          <w:bCs/>
          <w:i/>
          <w:szCs w:val="22"/>
        </w:rPr>
      </w:pPr>
    </w:p>
    <w:p w14:paraId="5161B5EE" w14:textId="14B6E567" w:rsidR="00786478" w:rsidRPr="00AB08B7" w:rsidRDefault="00786478" w:rsidP="00AB08B7">
      <w:pPr>
        <w:spacing w:line="240" w:lineRule="auto"/>
        <w:ind w:left="851" w:right="822"/>
        <w:rPr>
          <w:bCs/>
          <w:i/>
          <w:szCs w:val="22"/>
        </w:rPr>
      </w:pPr>
      <w:r w:rsidRPr="00AB08B7">
        <w:rPr>
          <w:bCs/>
          <w:i/>
          <w:szCs w:val="22"/>
        </w:rPr>
        <w:t xml:space="preserve">Para el caso de que la información ordenada en el numeral 2, no obre en los archivos del </w:t>
      </w:r>
      <w:r w:rsidRPr="00AB08B7">
        <w:rPr>
          <w:b/>
          <w:bCs/>
          <w:i/>
          <w:szCs w:val="22"/>
        </w:rPr>
        <w:t>SUJETO OBLIGADO</w:t>
      </w:r>
      <w:r w:rsidRPr="00AB08B7">
        <w:rPr>
          <w:bCs/>
          <w:i/>
          <w:szCs w:val="22"/>
        </w:rPr>
        <w:t xml:space="preserve">, bastará con que así lo haga del conocimiento de </w:t>
      </w:r>
      <w:r w:rsidRPr="00AB08B7">
        <w:rPr>
          <w:b/>
          <w:bCs/>
          <w:i/>
          <w:szCs w:val="22"/>
        </w:rPr>
        <w:t>LA PARTE RECURRENTE.</w:t>
      </w:r>
      <w:r w:rsidRPr="00AB08B7">
        <w:rPr>
          <w:bCs/>
          <w:i/>
          <w:szCs w:val="22"/>
        </w:rPr>
        <w:t xml:space="preserve"> </w:t>
      </w:r>
    </w:p>
    <w:p w14:paraId="11179953" w14:textId="77777777" w:rsidR="00786478" w:rsidRPr="00AB08B7" w:rsidRDefault="00786478" w:rsidP="00AB08B7">
      <w:pPr>
        <w:rPr>
          <w:bCs/>
          <w:szCs w:val="22"/>
        </w:rPr>
      </w:pPr>
    </w:p>
    <w:p w14:paraId="1E45351A" w14:textId="77777777" w:rsidR="00211B0B" w:rsidRPr="00AB08B7" w:rsidRDefault="00211B0B" w:rsidP="00AB08B7">
      <w:pPr>
        <w:rPr>
          <w:szCs w:val="22"/>
        </w:rPr>
      </w:pPr>
      <w:r w:rsidRPr="00AB08B7">
        <w:rPr>
          <w:b/>
          <w:bCs/>
          <w:szCs w:val="22"/>
        </w:rPr>
        <w:t>TERCERO.</w:t>
      </w:r>
      <w:r w:rsidRPr="00AB08B7">
        <w:rPr>
          <w:szCs w:val="22"/>
        </w:rPr>
        <w:t xml:space="preserve"> </w:t>
      </w:r>
      <w:r w:rsidRPr="00AB08B7">
        <w:rPr>
          <w:rFonts w:eastAsia="Palatino Linotype" w:cs="Palatino Linotype"/>
          <w:b/>
          <w:szCs w:val="22"/>
          <w:lang w:eastAsia="es-MX"/>
        </w:rPr>
        <w:t xml:space="preserve">Notifíquese </w:t>
      </w:r>
      <w:r w:rsidRPr="00AB08B7">
        <w:rPr>
          <w:szCs w:val="22"/>
          <w:lang w:eastAsia="es-ES_tradnl"/>
        </w:rPr>
        <w:t xml:space="preserve">vía </w:t>
      </w:r>
      <w:r w:rsidRPr="00AB08B7">
        <w:rPr>
          <w:rFonts w:cs="Arial"/>
          <w:szCs w:val="22"/>
        </w:rPr>
        <w:t>Sistema de Acceso a la Información Mexiquense (</w:t>
      </w:r>
      <w:r w:rsidRPr="00AB08B7">
        <w:rPr>
          <w:rFonts w:cs="Arial"/>
          <w:b/>
          <w:bCs/>
          <w:szCs w:val="22"/>
        </w:rPr>
        <w:t>SAIMEX)</w:t>
      </w:r>
      <w:r w:rsidRPr="00AB08B7">
        <w:rPr>
          <w:szCs w:val="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012E6E2" w14:textId="77777777" w:rsidR="00211B0B" w:rsidRPr="00AB08B7" w:rsidRDefault="00211B0B" w:rsidP="00AB08B7">
      <w:pPr>
        <w:rPr>
          <w:szCs w:val="22"/>
        </w:rPr>
      </w:pPr>
    </w:p>
    <w:p w14:paraId="50304E08" w14:textId="77777777" w:rsidR="00211B0B" w:rsidRPr="00AB08B7" w:rsidRDefault="00211B0B" w:rsidP="00AB08B7">
      <w:pPr>
        <w:rPr>
          <w:szCs w:val="22"/>
        </w:rPr>
      </w:pPr>
      <w:r w:rsidRPr="00AB08B7">
        <w:rPr>
          <w:b/>
          <w:bCs/>
          <w:szCs w:val="22"/>
        </w:rPr>
        <w:t>CUARTO.</w:t>
      </w:r>
      <w:r w:rsidRPr="00AB08B7">
        <w:rPr>
          <w:szCs w:val="22"/>
        </w:rPr>
        <w:t xml:space="preserve"> Notifíquese a </w:t>
      </w:r>
      <w:r w:rsidRPr="00AB08B7">
        <w:rPr>
          <w:b/>
          <w:bCs/>
          <w:szCs w:val="22"/>
        </w:rPr>
        <w:t>LA PARTE RECURRENTE</w:t>
      </w:r>
      <w:r w:rsidRPr="00AB08B7">
        <w:rPr>
          <w:szCs w:val="22"/>
        </w:rPr>
        <w:t xml:space="preserve"> la presente resolución vía Sistema de Acceso a la Información Mexiquense (</w:t>
      </w:r>
      <w:r w:rsidRPr="00AB08B7">
        <w:rPr>
          <w:b/>
          <w:szCs w:val="22"/>
        </w:rPr>
        <w:t>SAIMEX</w:t>
      </w:r>
      <w:r w:rsidRPr="00AB08B7">
        <w:rPr>
          <w:szCs w:val="22"/>
        </w:rPr>
        <w:t>).</w:t>
      </w:r>
    </w:p>
    <w:p w14:paraId="682E7241" w14:textId="77777777" w:rsidR="00211B0B" w:rsidRPr="00AB08B7" w:rsidRDefault="00211B0B" w:rsidP="00AB08B7">
      <w:pPr>
        <w:rPr>
          <w:szCs w:val="22"/>
        </w:rPr>
      </w:pPr>
    </w:p>
    <w:p w14:paraId="58E21049" w14:textId="77777777" w:rsidR="00211B0B" w:rsidRPr="00AB08B7" w:rsidRDefault="00211B0B" w:rsidP="00AB08B7">
      <w:pPr>
        <w:rPr>
          <w:szCs w:val="22"/>
        </w:rPr>
      </w:pPr>
      <w:r w:rsidRPr="00AB08B7">
        <w:rPr>
          <w:b/>
          <w:bCs/>
          <w:szCs w:val="22"/>
        </w:rPr>
        <w:t>QUINTO</w:t>
      </w:r>
      <w:r w:rsidRPr="00AB08B7">
        <w:rPr>
          <w:szCs w:val="22"/>
        </w:rPr>
        <w:t xml:space="preserve">. Hágase del conocimiento a </w:t>
      </w:r>
      <w:r w:rsidRPr="00AB08B7">
        <w:rPr>
          <w:b/>
          <w:bCs/>
          <w:szCs w:val="22"/>
        </w:rPr>
        <w:t>LA PARTE RECURRENTE</w:t>
      </w:r>
      <w:r w:rsidRPr="00AB08B7">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B184E4C" w14:textId="77777777" w:rsidR="00F2116E" w:rsidRPr="00AB08B7" w:rsidRDefault="00F2116E" w:rsidP="00AB08B7">
      <w:pPr>
        <w:rPr>
          <w:szCs w:val="22"/>
        </w:rPr>
      </w:pPr>
    </w:p>
    <w:p w14:paraId="7397B734" w14:textId="77777777" w:rsidR="00211B0B" w:rsidRPr="00AB08B7" w:rsidRDefault="00211B0B" w:rsidP="00AB08B7">
      <w:pPr>
        <w:rPr>
          <w:rFonts w:eastAsia="Palatino Linotype" w:cs="Palatino Linotype"/>
          <w:szCs w:val="22"/>
        </w:rPr>
      </w:pPr>
      <w:r w:rsidRPr="00AB08B7">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p>
    <w:p w14:paraId="1E5C3B4E" w14:textId="77777777" w:rsidR="00211B0B" w:rsidRPr="00AB08B7" w:rsidRDefault="00211B0B" w:rsidP="00AB08B7">
      <w:pPr>
        <w:widowControl w:val="0"/>
        <w:autoSpaceDE w:val="0"/>
        <w:autoSpaceDN w:val="0"/>
        <w:adjustRightInd w:val="0"/>
        <w:rPr>
          <w:rFonts w:eastAsiaTheme="minorEastAsia"/>
          <w:szCs w:val="22"/>
          <w:lang w:val="it-IT"/>
        </w:rPr>
      </w:pPr>
      <w:r w:rsidRPr="00AB08B7">
        <w:rPr>
          <w:rFonts w:eastAsiaTheme="minorEastAsia"/>
          <w:szCs w:val="22"/>
          <w:lang w:val="it-IT"/>
        </w:rPr>
        <w:t>SCMM/AGZ/DEMF/AGE</w:t>
      </w:r>
    </w:p>
    <w:p w14:paraId="535BEB16" w14:textId="77777777" w:rsidR="00211B0B" w:rsidRPr="00AB08B7" w:rsidRDefault="00211B0B" w:rsidP="00AB08B7">
      <w:pPr>
        <w:ind w:right="-93"/>
        <w:rPr>
          <w:rFonts w:eastAsia="Calibri" w:cs="Tahoma"/>
          <w:bCs/>
          <w:szCs w:val="22"/>
          <w:lang w:eastAsia="en-US"/>
        </w:rPr>
      </w:pPr>
    </w:p>
    <w:bookmarkEnd w:id="29"/>
    <w:p w14:paraId="52B66DE7" w14:textId="77777777" w:rsidR="00664420" w:rsidRPr="00AB08B7" w:rsidRDefault="00664420" w:rsidP="00AB08B7">
      <w:pPr>
        <w:ind w:right="-93"/>
        <w:rPr>
          <w:rFonts w:eastAsia="Calibri" w:cs="Tahoma"/>
          <w:bCs/>
          <w:szCs w:val="22"/>
          <w:lang w:val="es-ES_tradnl" w:eastAsia="en-US"/>
        </w:rPr>
      </w:pPr>
    </w:p>
    <w:p w14:paraId="3BA305D1" w14:textId="77777777" w:rsidR="00664420" w:rsidRPr="00AB08B7" w:rsidRDefault="00664420" w:rsidP="00AB08B7">
      <w:pPr>
        <w:ind w:right="-93"/>
        <w:rPr>
          <w:rFonts w:eastAsia="Calibri" w:cs="Tahoma"/>
          <w:bCs/>
          <w:szCs w:val="22"/>
          <w:lang w:val="es-ES_tradnl" w:eastAsia="en-US"/>
        </w:rPr>
      </w:pPr>
    </w:p>
    <w:p w14:paraId="78230707" w14:textId="77777777" w:rsidR="00664420" w:rsidRPr="00AB08B7" w:rsidRDefault="00664420" w:rsidP="00AB08B7">
      <w:pPr>
        <w:ind w:right="-93"/>
        <w:rPr>
          <w:rFonts w:eastAsia="Calibri" w:cs="Tahoma"/>
          <w:bCs/>
          <w:szCs w:val="22"/>
          <w:lang w:val="es-ES_tradnl" w:eastAsia="en-US"/>
        </w:rPr>
      </w:pPr>
    </w:p>
    <w:p w14:paraId="72D18B28" w14:textId="77777777" w:rsidR="00664420" w:rsidRPr="00AB08B7" w:rsidRDefault="00664420" w:rsidP="00AB08B7">
      <w:pPr>
        <w:ind w:right="-93"/>
        <w:rPr>
          <w:rFonts w:eastAsia="Calibri" w:cs="Tahoma"/>
          <w:bCs/>
          <w:szCs w:val="22"/>
          <w:lang w:val="es-ES_tradnl" w:eastAsia="en-US"/>
        </w:rPr>
      </w:pPr>
    </w:p>
    <w:p w14:paraId="6BD461DC" w14:textId="77777777" w:rsidR="00664420" w:rsidRPr="00AB08B7" w:rsidRDefault="00664420" w:rsidP="00AB08B7">
      <w:pPr>
        <w:tabs>
          <w:tab w:val="center" w:pos="4568"/>
        </w:tabs>
        <w:ind w:right="-93"/>
        <w:rPr>
          <w:rFonts w:eastAsia="Calibri" w:cs="Tahoma"/>
          <w:bCs/>
          <w:szCs w:val="22"/>
          <w:lang w:eastAsia="en-US"/>
        </w:rPr>
      </w:pPr>
    </w:p>
    <w:p w14:paraId="4DBB1727" w14:textId="77777777" w:rsidR="00664420" w:rsidRPr="00AB08B7" w:rsidRDefault="00664420" w:rsidP="00AB08B7">
      <w:pPr>
        <w:tabs>
          <w:tab w:val="center" w:pos="4568"/>
        </w:tabs>
        <w:ind w:right="-93"/>
        <w:rPr>
          <w:rFonts w:eastAsia="Calibri" w:cs="Tahoma"/>
          <w:bCs/>
          <w:szCs w:val="22"/>
          <w:lang w:eastAsia="en-US"/>
        </w:rPr>
      </w:pPr>
    </w:p>
    <w:p w14:paraId="1D74121B" w14:textId="77777777" w:rsidR="00664420" w:rsidRPr="00AB08B7" w:rsidRDefault="00664420" w:rsidP="00AB08B7">
      <w:pPr>
        <w:tabs>
          <w:tab w:val="center" w:pos="4568"/>
        </w:tabs>
        <w:ind w:right="-93"/>
        <w:rPr>
          <w:rFonts w:eastAsia="Calibri" w:cs="Tahoma"/>
          <w:bCs/>
          <w:szCs w:val="22"/>
          <w:lang w:eastAsia="en-US"/>
        </w:rPr>
      </w:pPr>
    </w:p>
    <w:p w14:paraId="08E74E9C" w14:textId="77777777" w:rsidR="00664420" w:rsidRPr="00AB08B7" w:rsidRDefault="00664420" w:rsidP="00AB08B7">
      <w:pPr>
        <w:tabs>
          <w:tab w:val="center" w:pos="4568"/>
        </w:tabs>
        <w:ind w:right="-93"/>
        <w:rPr>
          <w:rFonts w:eastAsia="Calibri" w:cs="Tahoma"/>
          <w:bCs/>
          <w:szCs w:val="22"/>
          <w:lang w:eastAsia="en-US"/>
        </w:rPr>
      </w:pPr>
    </w:p>
    <w:p w14:paraId="2CBF5E03" w14:textId="77777777" w:rsidR="00664420" w:rsidRPr="00AB08B7" w:rsidRDefault="00664420" w:rsidP="00AB08B7">
      <w:pPr>
        <w:tabs>
          <w:tab w:val="center" w:pos="4568"/>
        </w:tabs>
        <w:ind w:right="-93"/>
        <w:rPr>
          <w:rFonts w:eastAsia="Calibri" w:cs="Tahoma"/>
          <w:bCs/>
          <w:szCs w:val="22"/>
          <w:lang w:eastAsia="en-US"/>
        </w:rPr>
      </w:pPr>
    </w:p>
    <w:p w14:paraId="44865A6D" w14:textId="77777777" w:rsidR="00664420" w:rsidRPr="00AB08B7" w:rsidRDefault="00664420" w:rsidP="00AB08B7">
      <w:pPr>
        <w:tabs>
          <w:tab w:val="center" w:pos="4568"/>
        </w:tabs>
        <w:ind w:right="-93"/>
        <w:rPr>
          <w:rFonts w:eastAsia="Calibri" w:cs="Tahoma"/>
          <w:bCs/>
          <w:szCs w:val="22"/>
          <w:lang w:eastAsia="en-US"/>
        </w:rPr>
      </w:pPr>
    </w:p>
    <w:p w14:paraId="7147F06B" w14:textId="77777777" w:rsidR="00664420" w:rsidRPr="00AB08B7" w:rsidRDefault="00664420" w:rsidP="00AB08B7">
      <w:pPr>
        <w:tabs>
          <w:tab w:val="center" w:pos="4568"/>
        </w:tabs>
        <w:ind w:right="-93"/>
        <w:rPr>
          <w:rFonts w:eastAsia="Calibri" w:cs="Tahoma"/>
          <w:bCs/>
          <w:szCs w:val="22"/>
          <w:lang w:eastAsia="en-US"/>
        </w:rPr>
      </w:pPr>
    </w:p>
    <w:p w14:paraId="6FDF3D7E" w14:textId="77777777" w:rsidR="00664420" w:rsidRPr="00AB08B7" w:rsidRDefault="00664420" w:rsidP="00AB08B7">
      <w:pPr>
        <w:tabs>
          <w:tab w:val="center" w:pos="4568"/>
        </w:tabs>
        <w:ind w:right="-93"/>
        <w:rPr>
          <w:rFonts w:eastAsia="Calibri" w:cs="Tahoma"/>
          <w:bCs/>
          <w:szCs w:val="22"/>
          <w:lang w:eastAsia="en-US"/>
        </w:rPr>
      </w:pPr>
    </w:p>
    <w:p w14:paraId="6246F818" w14:textId="77777777" w:rsidR="00664420" w:rsidRPr="00AB08B7" w:rsidRDefault="00664420" w:rsidP="00AB08B7">
      <w:pPr>
        <w:tabs>
          <w:tab w:val="center" w:pos="4568"/>
        </w:tabs>
        <w:ind w:right="-93"/>
        <w:rPr>
          <w:rFonts w:eastAsia="Calibri" w:cs="Tahoma"/>
          <w:bCs/>
          <w:szCs w:val="22"/>
          <w:lang w:eastAsia="en-US"/>
        </w:rPr>
      </w:pPr>
    </w:p>
    <w:p w14:paraId="57A88B28" w14:textId="77777777" w:rsidR="00664420" w:rsidRPr="00AB08B7" w:rsidRDefault="00664420" w:rsidP="00AB08B7">
      <w:pPr>
        <w:tabs>
          <w:tab w:val="center" w:pos="4568"/>
        </w:tabs>
        <w:ind w:right="-93"/>
        <w:rPr>
          <w:rFonts w:eastAsia="Calibri" w:cs="Tahoma"/>
          <w:bCs/>
          <w:szCs w:val="22"/>
          <w:lang w:eastAsia="en-US"/>
        </w:rPr>
      </w:pPr>
    </w:p>
    <w:p w14:paraId="77EF6095" w14:textId="77777777" w:rsidR="00664420" w:rsidRPr="00AB08B7" w:rsidRDefault="00664420" w:rsidP="00AB08B7">
      <w:pPr>
        <w:tabs>
          <w:tab w:val="center" w:pos="4568"/>
        </w:tabs>
        <w:ind w:right="-93"/>
        <w:rPr>
          <w:rFonts w:eastAsia="Calibri" w:cs="Tahoma"/>
          <w:bCs/>
          <w:szCs w:val="22"/>
          <w:lang w:eastAsia="en-US"/>
        </w:rPr>
      </w:pPr>
    </w:p>
    <w:p w14:paraId="35593947" w14:textId="77777777" w:rsidR="00664420" w:rsidRPr="00AB08B7" w:rsidRDefault="00664420" w:rsidP="00AB08B7">
      <w:pPr>
        <w:tabs>
          <w:tab w:val="center" w:pos="4568"/>
        </w:tabs>
        <w:ind w:right="-93"/>
        <w:rPr>
          <w:rFonts w:eastAsia="Calibri" w:cs="Tahoma"/>
          <w:bCs/>
          <w:szCs w:val="22"/>
          <w:lang w:eastAsia="en-US"/>
        </w:rPr>
      </w:pPr>
    </w:p>
    <w:p w14:paraId="3AF72A17" w14:textId="77777777" w:rsidR="00664420" w:rsidRPr="00AB08B7" w:rsidRDefault="00664420" w:rsidP="00AB08B7">
      <w:pPr>
        <w:tabs>
          <w:tab w:val="center" w:pos="4568"/>
        </w:tabs>
        <w:ind w:right="-93"/>
        <w:rPr>
          <w:rFonts w:eastAsia="Calibri" w:cs="Tahoma"/>
          <w:bCs/>
          <w:szCs w:val="22"/>
          <w:lang w:eastAsia="en-US"/>
        </w:rPr>
      </w:pPr>
    </w:p>
    <w:p w14:paraId="37169144" w14:textId="77777777" w:rsidR="00664420" w:rsidRPr="00AB08B7" w:rsidRDefault="00664420" w:rsidP="00AB08B7">
      <w:pPr>
        <w:tabs>
          <w:tab w:val="center" w:pos="4568"/>
        </w:tabs>
        <w:ind w:right="-93"/>
        <w:rPr>
          <w:rFonts w:eastAsia="Calibri" w:cs="Tahoma"/>
          <w:bCs/>
          <w:szCs w:val="22"/>
          <w:lang w:eastAsia="en-US"/>
        </w:rPr>
      </w:pPr>
    </w:p>
    <w:p w14:paraId="77CFC088" w14:textId="77777777" w:rsidR="00664420" w:rsidRPr="00AB08B7" w:rsidRDefault="00664420" w:rsidP="00AB08B7">
      <w:pPr>
        <w:tabs>
          <w:tab w:val="center" w:pos="4568"/>
        </w:tabs>
        <w:ind w:right="-93"/>
        <w:rPr>
          <w:rFonts w:eastAsia="Calibri" w:cs="Tahoma"/>
          <w:bCs/>
          <w:szCs w:val="22"/>
          <w:lang w:eastAsia="en-US"/>
        </w:rPr>
      </w:pPr>
    </w:p>
    <w:p w14:paraId="781A11A5" w14:textId="77777777" w:rsidR="00664420" w:rsidRPr="00AB08B7" w:rsidRDefault="00664420" w:rsidP="00AB08B7">
      <w:pPr>
        <w:tabs>
          <w:tab w:val="center" w:pos="4568"/>
        </w:tabs>
        <w:ind w:right="-93"/>
        <w:rPr>
          <w:rFonts w:eastAsia="Calibri" w:cs="Tahoma"/>
          <w:bCs/>
          <w:szCs w:val="22"/>
          <w:lang w:eastAsia="en-US"/>
        </w:rPr>
      </w:pPr>
    </w:p>
    <w:p w14:paraId="5B4ADFF3" w14:textId="77777777" w:rsidR="00A131AC" w:rsidRPr="00AB08B7" w:rsidRDefault="00A131AC" w:rsidP="00AB08B7">
      <w:pPr>
        <w:rPr>
          <w:szCs w:val="22"/>
        </w:rPr>
      </w:pPr>
    </w:p>
    <w:sectPr w:rsidR="00A131AC" w:rsidRPr="00AB08B7" w:rsidSect="00EE2AF2">
      <w:footerReference w:type="default" r:id="rId21"/>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8AAD6" w14:textId="77777777" w:rsidR="003930CE" w:rsidRDefault="003930CE" w:rsidP="00664420">
      <w:pPr>
        <w:spacing w:line="240" w:lineRule="auto"/>
      </w:pPr>
      <w:r>
        <w:separator/>
      </w:r>
    </w:p>
  </w:endnote>
  <w:endnote w:type="continuationSeparator" w:id="0">
    <w:p w14:paraId="4FE34A70" w14:textId="77777777" w:rsidR="003930CE" w:rsidRDefault="003930C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B3566" w:rsidRDefault="006B3566">
    <w:pPr>
      <w:tabs>
        <w:tab w:val="center" w:pos="4550"/>
        <w:tab w:val="left" w:pos="5818"/>
      </w:tabs>
      <w:ind w:right="260"/>
      <w:jc w:val="right"/>
      <w:rPr>
        <w:color w:val="071320" w:themeColor="text2" w:themeShade="80"/>
        <w:sz w:val="24"/>
        <w:szCs w:val="24"/>
      </w:rPr>
    </w:pPr>
  </w:p>
  <w:p w14:paraId="1BCA7F23" w14:textId="77777777" w:rsidR="006B3566" w:rsidRDefault="006B35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EDF9539" w:rsidR="006B3566" w:rsidRDefault="006B356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951E0" w:rsidRPr="00A951E0">
      <w:rPr>
        <w:noProof/>
        <w:color w:val="0A1D30" w:themeColor="text2" w:themeShade="BF"/>
        <w:sz w:val="24"/>
        <w:szCs w:val="24"/>
        <w:lang w:val="es-ES"/>
      </w:rPr>
      <w:t>15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951E0" w:rsidRPr="00A951E0">
      <w:rPr>
        <w:noProof/>
        <w:color w:val="0A1D30" w:themeColor="text2" w:themeShade="BF"/>
        <w:sz w:val="24"/>
        <w:szCs w:val="24"/>
        <w:lang w:val="es-ES"/>
      </w:rPr>
      <w:t>41</w:t>
    </w:r>
    <w:r>
      <w:rPr>
        <w:color w:val="0A1D30" w:themeColor="text2" w:themeShade="BF"/>
        <w:sz w:val="24"/>
        <w:szCs w:val="24"/>
      </w:rPr>
      <w:fldChar w:fldCharType="end"/>
    </w:r>
  </w:p>
  <w:p w14:paraId="310E15C0" w14:textId="77777777" w:rsidR="006B3566" w:rsidRDefault="006B35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60D7C" w14:textId="77777777" w:rsidR="003930CE" w:rsidRDefault="003930CE" w:rsidP="00664420">
      <w:pPr>
        <w:spacing w:line="240" w:lineRule="auto"/>
      </w:pPr>
      <w:r>
        <w:separator/>
      </w:r>
    </w:p>
  </w:footnote>
  <w:footnote w:type="continuationSeparator" w:id="0">
    <w:p w14:paraId="305BB978" w14:textId="77777777" w:rsidR="003930CE" w:rsidRDefault="003930CE" w:rsidP="00664420">
      <w:pPr>
        <w:spacing w:line="240" w:lineRule="auto"/>
      </w:pPr>
      <w:r>
        <w:continuationSeparator/>
      </w:r>
    </w:p>
  </w:footnote>
  <w:footnote w:id="1">
    <w:p w14:paraId="378EB212" w14:textId="78FC7830" w:rsidR="006B3566" w:rsidRDefault="006B3566">
      <w:pPr>
        <w:pStyle w:val="Textonotapie"/>
      </w:pPr>
      <w:r>
        <w:rPr>
          <w:rStyle w:val="Refdenotaalpie"/>
        </w:rPr>
        <w:footnoteRef/>
      </w:r>
      <w:r>
        <w:t xml:space="preserve"> </w:t>
      </w:r>
      <w:r w:rsidRPr="00910FFF">
        <w:t>https://legislacion.edomex.gob.mx/sites/legislacion.edomex.gob.mx/files/files/pdf/bdo/bdo2022/bdo037.pdf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B3566" w:rsidRPr="00330DA7" w14:paraId="070A4B18" w14:textId="77777777" w:rsidTr="003F35FD">
      <w:trPr>
        <w:trHeight w:val="144"/>
        <w:jc w:val="right"/>
      </w:trPr>
      <w:tc>
        <w:tcPr>
          <w:tcW w:w="2727" w:type="dxa"/>
        </w:tcPr>
        <w:p w14:paraId="62B7493A" w14:textId="77777777" w:rsidR="006B3566" w:rsidRPr="00330DA7" w:rsidRDefault="006B356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F8E3C41" w:rsidR="006B3566" w:rsidRPr="00A90C72" w:rsidRDefault="006B3566" w:rsidP="003F35FD">
          <w:pPr>
            <w:tabs>
              <w:tab w:val="right" w:pos="8838"/>
            </w:tabs>
            <w:ind w:left="-74" w:right="-105"/>
            <w:rPr>
              <w:rFonts w:eastAsia="Calibri" w:cs="Tahoma"/>
              <w:szCs w:val="22"/>
              <w:lang w:eastAsia="en-US"/>
            </w:rPr>
          </w:pPr>
          <w:r w:rsidRPr="000C2FD1">
            <w:rPr>
              <w:rFonts w:eastAsia="Calibri" w:cs="Tahoma"/>
              <w:szCs w:val="22"/>
              <w:lang w:eastAsia="en-US"/>
            </w:rPr>
            <w:t>01172/</w:t>
          </w:r>
          <w:r w:rsidRPr="00A90C72">
            <w:rPr>
              <w:rFonts w:eastAsia="Calibri" w:cs="Tahoma"/>
              <w:szCs w:val="22"/>
              <w:lang w:eastAsia="en-US"/>
            </w:rPr>
            <w:t>INFOEM/IP/RR</w:t>
          </w:r>
          <w:r>
            <w:rPr>
              <w:rFonts w:eastAsia="Calibri" w:cs="Tahoma"/>
              <w:szCs w:val="22"/>
              <w:lang w:eastAsia="en-US"/>
            </w:rPr>
            <w:t xml:space="preserve">/2025 </w:t>
          </w:r>
        </w:p>
      </w:tc>
    </w:tr>
    <w:tr w:rsidR="006B3566" w:rsidRPr="00330DA7" w14:paraId="4521E058" w14:textId="77777777" w:rsidTr="003F35FD">
      <w:trPr>
        <w:trHeight w:val="283"/>
        <w:jc w:val="right"/>
      </w:trPr>
      <w:tc>
        <w:tcPr>
          <w:tcW w:w="2727" w:type="dxa"/>
        </w:tcPr>
        <w:p w14:paraId="0B68C086" w14:textId="77777777" w:rsidR="006B3566" w:rsidRPr="00330DA7" w:rsidRDefault="006B356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412160D" w:rsidR="006B3566" w:rsidRPr="00952DD0" w:rsidRDefault="006B3566" w:rsidP="00106B03">
          <w:pPr>
            <w:tabs>
              <w:tab w:val="left" w:pos="2834"/>
              <w:tab w:val="right" w:pos="8838"/>
            </w:tabs>
            <w:ind w:left="-108" w:right="-105"/>
            <w:rPr>
              <w:rFonts w:eastAsia="Calibri" w:cs="Tahoma"/>
              <w:szCs w:val="22"/>
              <w:lang w:eastAsia="en-US"/>
            </w:rPr>
          </w:pPr>
          <w:r w:rsidRPr="00106B03">
            <w:rPr>
              <w:rFonts w:eastAsia="Calibri" w:cs="Tahoma"/>
              <w:szCs w:val="22"/>
              <w:lang w:eastAsia="en-US"/>
            </w:rPr>
            <w:t>Ayuntamiento de Huehuetoca</w:t>
          </w:r>
        </w:p>
      </w:tc>
    </w:tr>
    <w:tr w:rsidR="006B3566" w:rsidRPr="00330DA7" w14:paraId="6331D9B6" w14:textId="77777777" w:rsidTr="003F35FD">
      <w:trPr>
        <w:trHeight w:val="283"/>
        <w:jc w:val="right"/>
      </w:trPr>
      <w:tc>
        <w:tcPr>
          <w:tcW w:w="2727" w:type="dxa"/>
        </w:tcPr>
        <w:p w14:paraId="3FA86BAE" w14:textId="04F1C45E" w:rsidR="006B3566" w:rsidRPr="00330DA7" w:rsidRDefault="006B3566"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B3566" w:rsidRPr="00EA66FC" w:rsidRDefault="006B356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B3566" w:rsidRPr="00443C6B" w:rsidRDefault="006B356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B3566" w:rsidRPr="00330DA7" w14:paraId="29CFF901" w14:textId="77777777" w:rsidTr="000C2FD1">
      <w:trPr>
        <w:trHeight w:val="1435"/>
      </w:trPr>
      <w:tc>
        <w:tcPr>
          <w:tcW w:w="283" w:type="dxa"/>
          <w:shd w:val="clear" w:color="auto" w:fill="auto"/>
        </w:tcPr>
        <w:p w14:paraId="046B9F8F" w14:textId="77777777" w:rsidR="006B3566" w:rsidRPr="00330DA7" w:rsidRDefault="006B3566" w:rsidP="000C2FD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B3566" w:rsidRPr="00330DA7" w14:paraId="04F272D2" w14:textId="77777777" w:rsidTr="000C2FD1">
            <w:trPr>
              <w:trHeight w:val="144"/>
            </w:trPr>
            <w:tc>
              <w:tcPr>
                <w:tcW w:w="2727" w:type="dxa"/>
              </w:tcPr>
              <w:p w14:paraId="2FD4DBF6" w14:textId="77777777" w:rsidR="006B3566" w:rsidRPr="00330DA7" w:rsidRDefault="006B3566" w:rsidP="000C2FD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0B5BFB1" w:rsidR="006B3566" w:rsidRPr="00A90C72" w:rsidRDefault="006B3566" w:rsidP="000C2FD1">
                <w:pPr>
                  <w:tabs>
                    <w:tab w:val="right" w:pos="8838"/>
                  </w:tabs>
                  <w:ind w:left="-74" w:right="-105"/>
                  <w:rPr>
                    <w:rFonts w:eastAsia="Calibri" w:cs="Tahoma"/>
                    <w:szCs w:val="22"/>
                    <w:lang w:eastAsia="en-US"/>
                  </w:rPr>
                </w:pPr>
                <w:r w:rsidRPr="00093D61">
                  <w:rPr>
                    <w:rFonts w:eastAsia="Calibri" w:cs="Tahoma"/>
                    <w:szCs w:val="22"/>
                    <w:lang w:eastAsia="en-US"/>
                  </w:rPr>
                  <w:t>01172/INFOEM/IP</w:t>
                </w:r>
                <w:r w:rsidRPr="00A90C72">
                  <w:rPr>
                    <w:rFonts w:eastAsia="Calibri" w:cs="Tahoma"/>
                    <w:szCs w:val="22"/>
                    <w:lang w:eastAsia="en-US"/>
                  </w:rPr>
                  <w:t>/RR</w:t>
                </w:r>
                <w:r>
                  <w:rPr>
                    <w:rFonts w:eastAsia="Calibri" w:cs="Tahoma"/>
                    <w:szCs w:val="22"/>
                    <w:lang w:eastAsia="en-US"/>
                  </w:rPr>
                  <w:t xml:space="preserve">/2025 </w:t>
                </w:r>
              </w:p>
            </w:tc>
            <w:tc>
              <w:tcPr>
                <w:tcW w:w="3402" w:type="dxa"/>
              </w:tcPr>
              <w:p w14:paraId="71DEA1CF" w14:textId="77777777" w:rsidR="006B3566" w:rsidRDefault="006B3566" w:rsidP="000C2FD1">
                <w:pPr>
                  <w:tabs>
                    <w:tab w:val="right" w:pos="8838"/>
                  </w:tabs>
                  <w:ind w:left="-74" w:right="-105"/>
                  <w:rPr>
                    <w:rFonts w:eastAsia="Calibri" w:cs="Tahoma"/>
                    <w:szCs w:val="22"/>
                    <w:lang w:eastAsia="en-US"/>
                  </w:rPr>
                </w:pPr>
              </w:p>
            </w:tc>
          </w:tr>
          <w:tr w:rsidR="006B3566" w:rsidRPr="00330DA7" w14:paraId="05C58951" w14:textId="77777777" w:rsidTr="000C2FD1">
            <w:trPr>
              <w:trHeight w:val="144"/>
            </w:trPr>
            <w:tc>
              <w:tcPr>
                <w:tcW w:w="2727" w:type="dxa"/>
              </w:tcPr>
              <w:p w14:paraId="642B9610" w14:textId="77777777" w:rsidR="006B3566" w:rsidRPr="00330DA7" w:rsidRDefault="006B3566" w:rsidP="000C2FD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AA34CDC" w:rsidR="006B3566" w:rsidRPr="005F19B1" w:rsidRDefault="00A951E0" w:rsidP="000C2FD1">
                <w:pPr>
                  <w:tabs>
                    <w:tab w:val="left" w:pos="3122"/>
                    <w:tab w:val="right" w:pos="8838"/>
                  </w:tabs>
                  <w:ind w:left="-105" w:right="-105"/>
                  <w:rPr>
                    <w:rFonts w:eastAsia="Calibri" w:cs="Tahoma"/>
                    <w:szCs w:val="22"/>
                    <w:lang w:eastAsia="en-US"/>
                  </w:rPr>
                </w:pPr>
                <w:r>
                  <w:rPr>
                    <w:rFonts w:eastAsia="Calibri" w:cs="Tahoma"/>
                    <w:szCs w:val="22"/>
                    <w:lang w:eastAsia="en-US"/>
                  </w:rPr>
                  <w:t>XXXXX XXXXXXXX XXXXXXX</w:t>
                </w:r>
              </w:p>
            </w:tc>
            <w:tc>
              <w:tcPr>
                <w:tcW w:w="3402" w:type="dxa"/>
              </w:tcPr>
              <w:p w14:paraId="73F47F53" w14:textId="77777777" w:rsidR="006B3566" w:rsidRPr="005F19B1" w:rsidRDefault="006B3566" w:rsidP="000C2FD1">
                <w:pPr>
                  <w:tabs>
                    <w:tab w:val="left" w:pos="3122"/>
                    <w:tab w:val="right" w:pos="8838"/>
                  </w:tabs>
                  <w:ind w:left="-105" w:right="-105"/>
                  <w:rPr>
                    <w:rFonts w:eastAsia="Calibri" w:cs="Tahoma"/>
                    <w:szCs w:val="22"/>
                    <w:lang w:eastAsia="en-US"/>
                  </w:rPr>
                </w:pPr>
              </w:p>
            </w:tc>
          </w:tr>
          <w:bookmarkEnd w:id="1"/>
          <w:tr w:rsidR="006B3566" w:rsidRPr="00330DA7" w14:paraId="00E6CDC1" w14:textId="77777777" w:rsidTr="000C2FD1">
            <w:trPr>
              <w:trHeight w:val="283"/>
            </w:trPr>
            <w:tc>
              <w:tcPr>
                <w:tcW w:w="2727" w:type="dxa"/>
              </w:tcPr>
              <w:p w14:paraId="0631AD24" w14:textId="77777777" w:rsidR="006B3566" w:rsidRPr="00330DA7" w:rsidRDefault="006B3566" w:rsidP="000C2FD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8BEBDAE" w:rsidR="006B3566" w:rsidRPr="00952DD0" w:rsidRDefault="006B3566" w:rsidP="000C2FD1">
                <w:pPr>
                  <w:tabs>
                    <w:tab w:val="left" w:pos="2834"/>
                    <w:tab w:val="right" w:pos="8838"/>
                  </w:tabs>
                  <w:ind w:left="-108" w:right="-105"/>
                  <w:rPr>
                    <w:rFonts w:eastAsia="Calibri" w:cs="Tahoma"/>
                    <w:szCs w:val="22"/>
                    <w:lang w:eastAsia="en-US"/>
                  </w:rPr>
                </w:pPr>
                <w:r w:rsidRPr="00106B03">
                  <w:rPr>
                    <w:rFonts w:eastAsia="Calibri" w:cs="Tahoma"/>
                    <w:szCs w:val="22"/>
                    <w:lang w:eastAsia="en-US"/>
                  </w:rPr>
                  <w:t>Ayuntamiento de Huehuetoca</w:t>
                </w:r>
              </w:p>
            </w:tc>
            <w:tc>
              <w:tcPr>
                <w:tcW w:w="3402" w:type="dxa"/>
              </w:tcPr>
              <w:p w14:paraId="3A7DA319" w14:textId="77777777" w:rsidR="006B3566" w:rsidRPr="00A90C72" w:rsidRDefault="006B3566" w:rsidP="000C2FD1">
                <w:pPr>
                  <w:tabs>
                    <w:tab w:val="left" w:pos="2834"/>
                    <w:tab w:val="right" w:pos="8838"/>
                  </w:tabs>
                  <w:ind w:left="-108" w:right="-105"/>
                  <w:rPr>
                    <w:rFonts w:eastAsia="Calibri" w:cs="Tahoma"/>
                    <w:szCs w:val="22"/>
                    <w:lang w:eastAsia="en-US"/>
                  </w:rPr>
                </w:pPr>
              </w:p>
            </w:tc>
          </w:tr>
          <w:tr w:rsidR="006B3566" w:rsidRPr="00330DA7" w14:paraId="0F6CD8D2" w14:textId="77777777" w:rsidTr="000C2FD1">
            <w:trPr>
              <w:trHeight w:val="283"/>
            </w:trPr>
            <w:tc>
              <w:tcPr>
                <w:tcW w:w="2727" w:type="dxa"/>
              </w:tcPr>
              <w:p w14:paraId="31700628" w14:textId="385332FF" w:rsidR="006B3566" w:rsidRPr="00330DA7" w:rsidRDefault="006B3566" w:rsidP="000C2FD1">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B3566" w:rsidRPr="00EA66FC" w:rsidRDefault="006B3566" w:rsidP="000C2FD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B3566" w:rsidRPr="00330DA7" w:rsidRDefault="006B3566" w:rsidP="000C2FD1">
                <w:pPr>
                  <w:tabs>
                    <w:tab w:val="right" w:pos="8838"/>
                  </w:tabs>
                  <w:ind w:left="-108" w:right="-105"/>
                  <w:rPr>
                    <w:rFonts w:eastAsia="Calibri" w:cs="Tahoma"/>
                    <w:szCs w:val="22"/>
                    <w:lang w:eastAsia="en-US"/>
                  </w:rPr>
                </w:pPr>
              </w:p>
            </w:tc>
          </w:tr>
        </w:tbl>
        <w:p w14:paraId="5DC6AC61" w14:textId="77777777" w:rsidR="006B3566" w:rsidRPr="00330DA7" w:rsidRDefault="006B3566" w:rsidP="000C2FD1">
          <w:pPr>
            <w:tabs>
              <w:tab w:val="right" w:pos="8838"/>
            </w:tabs>
            <w:ind w:left="-28"/>
            <w:rPr>
              <w:rFonts w:ascii="Arial" w:eastAsia="Calibri" w:hAnsi="Arial" w:cs="Arial"/>
              <w:b/>
              <w:szCs w:val="22"/>
              <w:lang w:eastAsia="en-US"/>
            </w:rPr>
          </w:pPr>
        </w:p>
      </w:tc>
    </w:tr>
  </w:tbl>
  <w:p w14:paraId="2A906731" w14:textId="77777777" w:rsidR="006B3566" w:rsidRPr="00765661" w:rsidRDefault="003930CE" w:rsidP="000C2FD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296"/>
    <w:multiLevelType w:val="hybridMultilevel"/>
    <w:tmpl w:val="7D42B7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B347D"/>
    <w:multiLevelType w:val="hybridMultilevel"/>
    <w:tmpl w:val="7D42B7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C942F9"/>
    <w:multiLevelType w:val="hybridMultilevel"/>
    <w:tmpl w:val="A27E5B40"/>
    <w:lvl w:ilvl="0" w:tplc="97E497DE">
      <w:start w:val="1"/>
      <w:numFmt w:val="decimal"/>
      <w:lvlText w:val="%1."/>
      <w:lvlJc w:val="left"/>
      <w:pPr>
        <w:ind w:left="1406" w:hanging="555"/>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2E204E9E"/>
    <w:multiLevelType w:val="hybridMultilevel"/>
    <w:tmpl w:val="892E434A"/>
    <w:lvl w:ilvl="0" w:tplc="97E497DE">
      <w:start w:val="1"/>
      <w:numFmt w:val="decimal"/>
      <w:lvlText w:val="%1."/>
      <w:lvlJc w:val="left"/>
      <w:pPr>
        <w:ind w:left="1406" w:hanging="5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215508"/>
    <w:multiLevelType w:val="hybridMultilevel"/>
    <w:tmpl w:val="BDA01562"/>
    <w:lvl w:ilvl="0" w:tplc="8342095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2F783C7D"/>
    <w:multiLevelType w:val="multilevel"/>
    <w:tmpl w:val="871CA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E5203E"/>
    <w:multiLevelType w:val="multilevel"/>
    <w:tmpl w:val="6136B0C8"/>
    <w:lvl w:ilvl="0">
      <w:start w:val="1"/>
      <w:numFmt w:val="decimal"/>
      <w:lvlText w:val="%1."/>
      <w:lvlJc w:val="left"/>
      <w:pPr>
        <w:ind w:left="644"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F725AB"/>
    <w:multiLevelType w:val="hybridMultilevel"/>
    <w:tmpl w:val="73F4D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C580141"/>
    <w:multiLevelType w:val="hybridMultilevel"/>
    <w:tmpl w:val="AAAAC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A12BE1"/>
    <w:multiLevelType w:val="hybridMultilevel"/>
    <w:tmpl w:val="7D42B7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125673"/>
    <w:multiLevelType w:val="hybridMultilevel"/>
    <w:tmpl w:val="7D42B7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4541BC"/>
    <w:multiLevelType w:val="hybridMultilevel"/>
    <w:tmpl w:val="34B0B9E0"/>
    <w:lvl w:ilvl="0" w:tplc="D834EECC">
      <w:start w:val="1"/>
      <w:numFmt w:val="decimal"/>
      <w:lvlText w:val="%1."/>
      <w:lvlJc w:val="left"/>
      <w:pPr>
        <w:ind w:left="1406" w:hanging="5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4D493E"/>
    <w:multiLevelType w:val="hybridMultilevel"/>
    <w:tmpl w:val="14822C74"/>
    <w:lvl w:ilvl="0" w:tplc="9BB634CE">
      <w:start w:val="1"/>
      <w:numFmt w:val="lowerLetter"/>
      <w:lvlText w:val="%1)"/>
      <w:lvlJc w:val="left"/>
      <w:pPr>
        <w:ind w:left="1211"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9"/>
  </w:num>
  <w:num w:numId="3">
    <w:abstractNumId w:val="25"/>
  </w:num>
  <w:num w:numId="4">
    <w:abstractNumId w:val="6"/>
  </w:num>
  <w:num w:numId="5">
    <w:abstractNumId w:val="2"/>
  </w:num>
  <w:num w:numId="6">
    <w:abstractNumId w:val="26"/>
  </w:num>
  <w:num w:numId="7">
    <w:abstractNumId w:val="17"/>
  </w:num>
  <w:num w:numId="8">
    <w:abstractNumId w:val="5"/>
  </w:num>
  <w:num w:numId="9">
    <w:abstractNumId w:val="15"/>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4"/>
  </w:num>
  <w:num w:numId="15">
    <w:abstractNumId w:val="18"/>
  </w:num>
  <w:num w:numId="16">
    <w:abstractNumId w:val="16"/>
  </w:num>
  <w:num w:numId="17">
    <w:abstractNumId w:val="22"/>
  </w:num>
  <w:num w:numId="18">
    <w:abstractNumId w:val="3"/>
  </w:num>
  <w:num w:numId="19">
    <w:abstractNumId w:val="12"/>
  </w:num>
  <w:num w:numId="20">
    <w:abstractNumId w:val="21"/>
  </w:num>
  <w:num w:numId="21">
    <w:abstractNumId w:val="0"/>
  </w:num>
  <w:num w:numId="22">
    <w:abstractNumId w:val="24"/>
  </w:num>
  <w:num w:numId="23">
    <w:abstractNumId w:val="11"/>
  </w:num>
  <w:num w:numId="24">
    <w:abstractNumId w:val="20"/>
  </w:num>
  <w:num w:numId="25">
    <w:abstractNumId w:val="13"/>
  </w:num>
  <w:num w:numId="26">
    <w:abstractNumId w:val="7"/>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0074"/>
    <w:rsid w:val="000318BC"/>
    <w:rsid w:val="00043716"/>
    <w:rsid w:val="00057B2D"/>
    <w:rsid w:val="00080071"/>
    <w:rsid w:val="00093D61"/>
    <w:rsid w:val="000C2FD1"/>
    <w:rsid w:val="000D0D67"/>
    <w:rsid w:val="000E09C4"/>
    <w:rsid w:val="00102B5C"/>
    <w:rsid w:val="00106B03"/>
    <w:rsid w:val="0011350D"/>
    <w:rsid w:val="00141876"/>
    <w:rsid w:val="0014207B"/>
    <w:rsid w:val="00150C49"/>
    <w:rsid w:val="00163D12"/>
    <w:rsid w:val="0018519E"/>
    <w:rsid w:val="001A24F7"/>
    <w:rsid w:val="001A3255"/>
    <w:rsid w:val="001A58B3"/>
    <w:rsid w:val="001C7688"/>
    <w:rsid w:val="001D30FA"/>
    <w:rsid w:val="001F3515"/>
    <w:rsid w:val="001F5C8C"/>
    <w:rsid w:val="00210887"/>
    <w:rsid w:val="00211B0B"/>
    <w:rsid w:val="00223240"/>
    <w:rsid w:val="00233005"/>
    <w:rsid w:val="00233F17"/>
    <w:rsid w:val="00241E77"/>
    <w:rsid w:val="002A3601"/>
    <w:rsid w:val="002B7C6F"/>
    <w:rsid w:val="002C0CEF"/>
    <w:rsid w:val="002D111C"/>
    <w:rsid w:val="002F4BBA"/>
    <w:rsid w:val="00302476"/>
    <w:rsid w:val="00325F2D"/>
    <w:rsid w:val="00331F35"/>
    <w:rsid w:val="00335CDF"/>
    <w:rsid w:val="00337F4D"/>
    <w:rsid w:val="00360A3B"/>
    <w:rsid w:val="00362A11"/>
    <w:rsid w:val="003930CE"/>
    <w:rsid w:val="003A40C1"/>
    <w:rsid w:val="003B254D"/>
    <w:rsid w:val="003B5D3E"/>
    <w:rsid w:val="003E4F98"/>
    <w:rsid w:val="003F35FD"/>
    <w:rsid w:val="003F6FBF"/>
    <w:rsid w:val="0040402D"/>
    <w:rsid w:val="0041385B"/>
    <w:rsid w:val="00441BFA"/>
    <w:rsid w:val="00454FBD"/>
    <w:rsid w:val="0046648A"/>
    <w:rsid w:val="004D7CD8"/>
    <w:rsid w:val="004E5068"/>
    <w:rsid w:val="004F7A00"/>
    <w:rsid w:val="00523F48"/>
    <w:rsid w:val="005365FA"/>
    <w:rsid w:val="005723CB"/>
    <w:rsid w:val="00575400"/>
    <w:rsid w:val="005B18AF"/>
    <w:rsid w:val="005D5A50"/>
    <w:rsid w:val="005E263D"/>
    <w:rsid w:val="005F5301"/>
    <w:rsid w:val="005F65B7"/>
    <w:rsid w:val="006067C7"/>
    <w:rsid w:val="00606A65"/>
    <w:rsid w:val="006159AD"/>
    <w:rsid w:val="00646436"/>
    <w:rsid w:val="00664420"/>
    <w:rsid w:val="00667327"/>
    <w:rsid w:val="006A46F4"/>
    <w:rsid w:val="006A646A"/>
    <w:rsid w:val="006B10B0"/>
    <w:rsid w:val="006B3566"/>
    <w:rsid w:val="006E25BC"/>
    <w:rsid w:val="006E6BBC"/>
    <w:rsid w:val="006F7768"/>
    <w:rsid w:val="00717E59"/>
    <w:rsid w:val="00775BFC"/>
    <w:rsid w:val="00786478"/>
    <w:rsid w:val="007A3459"/>
    <w:rsid w:val="007B6074"/>
    <w:rsid w:val="007C3A29"/>
    <w:rsid w:val="007D1C55"/>
    <w:rsid w:val="007D29D7"/>
    <w:rsid w:val="007D317F"/>
    <w:rsid w:val="007F5D06"/>
    <w:rsid w:val="007F7EDC"/>
    <w:rsid w:val="00805A6E"/>
    <w:rsid w:val="008179ED"/>
    <w:rsid w:val="00865CF4"/>
    <w:rsid w:val="00876DBC"/>
    <w:rsid w:val="008A6003"/>
    <w:rsid w:val="008A6F88"/>
    <w:rsid w:val="008B1E16"/>
    <w:rsid w:val="008D4C84"/>
    <w:rsid w:val="008E1316"/>
    <w:rsid w:val="008E1CA9"/>
    <w:rsid w:val="00902008"/>
    <w:rsid w:val="00902EE5"/>
    <w:rsid w:val="00910FD2"/>
    <w:rsid w:val="00910FFF"/>
    <w:rsid w:val="00931437"/>
    <w:rsid w:val="0094081F"/>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658F0"/>
    <w:rsid w:val="00A65ADD"/>
    <w:rsid w:val="00A70EF0"/>
    <w:rsid w:val="00A9208D"/>
    <w:rsid w:val="00A951E0"/>
    <w:rsid w:val="00AA6EA9"/>
    <w:rsid w:val="00AB08B7"/>
    <w:rsid w:val="00AC2DB8"/>
    <w:rsid w:val="00AC3CA0"/>
    <w:rsid w:val="00AE3DA7"/>
    <w:rsid w:val="00AF03C4"/>
    <w:rsid w:val="00B22A80"/>
    <w:rsid w:val="00B42F79"/>
    <w:rsid w:val="00B94487"/>
    <w:rsid w:val="00BA2F12"/>
    <w:rsid w:val="00BA55A8"/>
    <w:rsid w:val="00BA7B9C"/>
    <w:rsid w:val="00BB2ABF"/>
    <w:rsid w:val="00BB46B7"/>
    <w:rsid w:val="00BB64F4"/>
    <w:rsid w:val="00BC0C3F"/>
    <w:rsid w:val="00BD005E"/>
    <w:rsid w:val="00BD3F4F"/>
    <w:rsid w:val="00BD5A7C"/>
    <w:rsid w:val="00BE7A1B"/>
    <w:rsid w:val="00BF0221"/>
    <w:rsid w:val="00BF091A"/>
    <w:rsid w:val="00BF3DEA"/>
    <w:rsid w:val="00BF4EAD"/>
    <w:rsid w:val="00C049E2"/>
    <w:rsid w:val="00C059ED"/>
    <w:rsid w:val="00C27F8A"/>
    <w:rsid w:val="00C34F5A"/>
    <w:rsid w:val="00C36795"/>
    <w:rsid w:val="00C461EC"/>
    <w:rsid w:val="00C507D4"/>
    <w:rsid w:val="00C71CEF"/>
    <w:rsid w:val="00C72A67"/>
    <w:rsid w:val="00C72DAA"/>
    <w:rsid w:val="00C743A7"/>
    <w:rsid w:val="00C80B14"/>
    <w:rsid w:val="00CB7E9A"/>
    <w:rsid w:val="00CC1D4B"/>
    <w:rsid w:val="00CD0B92"/>
    <w:rsid w:val="00CD3DFF"/>
    <w:rsid w:val="00CE29D3"/>
    <w:rsid w:val="00CF2D8B"/>
    <w:rsid w:val="00CF378F"/>
    <w:rsid w:val="00CF7586"/>
    <w:rsid w:val="00D036D3"/>
    <w:rsid w:val="00D2790D"/>
    <w:rsid w:val="00D51ECD"/>
    <w:rsid w:val="00D6170E"/>
    <w:rsid w:val="00D91CB4"/>
    <w:rsid w:val="00DB1C09"/>
    <w:rsid w:val="00DC2048"/>
    <w:rsid w:val="00DC30BA"/>
    <w:rsid w:val="00DE1133"/>
    <w:rsid w:val="00DF77EE"/>
    <w:rsid w:val="00E16BF5"/>
    <w:rsid w:val="00E2325D"/>
    <w:rsid w:val="00E37A3F"/>
    <w:rsid w:val="00E37D3C"/>
    <w:rsid w:val="00E40A98"/>
    <w:rsid w:val="00E62E6A"/>
    <w:rsid w:val="00E71ED8"/>
    <w:rsid w:val="00E83EF5"/>
    <w:rsid w:val="00E9335C"/>
    <w:rsid w:val="00EC1C6A"/>
    <w:rsid w:val="00ED1C1E"/>
    <w:rsid w:val="00EE2AF2"/>
    <w:rsid w:val="00EF165E"/>
    <w:rsid w:val="00EF6E84"/>
    <w:rsid w:val="00F07EE6"/>
    <w:rsid w:val="00F2116E"/>
    <w:rsid w:val="00F33CC8"/>
    <w:rsid w:val="00F4481C"/>
    <w:rsid w:val="00F458B1"/>
    <w:rsid w:val="00F57CB2"/>
    <w:rsid w:val="00F57FD5"/>
    <w:rsid w:val="00F75D23"/>
    <w:rsid w:val="00F936F9"/>
    <w:rsid w:val="00FA348B"/>
    <w:rsid w:val="00FA5957"/>
    <w:rsid w:val="00FC3A88"/>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alfinal">
    <w:name w:val="endnote text"/>
    <w:basedOn w:val="Normal"/>
    <w:link w:val="TextonotaalfinalCar"/>
    <w:uiPriority w:val="99"/>
    <w:semiHidden/>
    <w:unhideWhenUsed/>
    <w:rsid w:val="00910FFF"/>
    <w:pPr>
      <w:spacing w:line="240" w:lineRule="auto"/>
    </w:pPr>
    <w:rPr>
      <w:sz w:val="20"/>
    </w:rPr>
  </w:style>
  <w:style w:type="character" w:customStyle="1" w:styleId="TextonotaalfinalCar">
    <w:name w:val="Texto nota al final Car"/>
    <w:basedOn w:val="Fuentedeprrafopredeter"/>
    <w:link w:val="Textonotaalfinal"/>
    <w:uiPriority w:val="99"/>
    <w:semiHidden/>
    <w:rsid w:val="00910FFF"/>
    <w:rPr>
      <w:rFonts w:ascii="Palatino Linotype" w:eastAsia="Times New Roman" w:hAnsi="Palatino Linotype" w:cs="Times New Roman"/>
      <w:kern w:val="0"/>
      <w:sz w:val="20"/>
      <w:szCs w:val="20"/>
      <w:lang w:eastAsia="es-ES"/>
      <w14:ligatures w14:val="none"/>
    </w:rPr>
  </w:style>
  <w:style w:type="character" w:styleId="Refdenotaalfinal">
    <w:name w:val="endnote reference"/>
    <w:basedOn w:val="Fuentedeprrafopredeter"/>
    <w:uiPriority w:val="99"/>
    <w:semiHidden/>
    <w:unhideWhenUsed/>
    <w:rsid w:val="00910FFF"/>
    <w:rPr>
      <w:vertAlign w:val="superscript"/>
    </w:rPr>
  </w:style>
  <w:style w:type="paragraph" w:styleId="Textonotapie">
    <w:name w:val="footnote text"/>
    <w:basedOn w:val="Normal"/>
    <w:link w:val="TextonotapieCar"/>
    <w:uiPriority w:val="99"/>
    <w:semiHidden/>
    <w:unhideWhenUsed/>
    <w:rsid w:val="00910FFF"/>
    <w:pPr>
      <w:spacing w:line="240" w:lineRule="auto"/>
    </w:pPr>
    <w:rPr>
      <w:sz w:val="20"/>
    </w:rPr>
  </w:style>
  <w:style w:type="character" w:customStyle="1" w:styleId="TextonotapieCar">
    <w:name w:val="Texto nota pie Car"/>
    <w:basedOn w:val="Fuentedeprrafopredeter"/>
    <w:link w:val="Textonotapie"/>
    <w:uiPriority w:val="99"/>
    <w:semiHidden/>
    <w:rsid w:val="00910FFF"/>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910FFF"/>
    <w:rPr>
      <w:vertAlign w:val="superscript"/>
    </w:rPr>
  </w:style>
  <w:style w:type="paragraph" w:customStyle="1" w:styleId="Citas">
    <w:name w:val="Citas"/>
    <w:basedOn w:val="Normal"/>
    <w:qFormat/>
    <w:rsid w:val="008D4C84"/>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8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criteriosdeinterpretacion.inai.org.mx/Criterios/29-1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iteriosdeinterpretacion.inai.org.mx/Criterios/29-10.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3CBADE-F057-4C8B-9439-A41DF46D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10528</Words>
  <Characters>57906</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2025-03-24T16:07:00Z</cp:lastPrinted>
  <dcterms:created xsi:type="dcterms:W3CDTF">2025-03-18T23:39:00Z</dcterms:created>
  <dcterms:modified xsi:type="dcterms:W3CDTF">2025-04-28T20:07:00Z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