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E6B" w:rsidRPr="00E95A8A" w:rsidRDefault="00892A78">
      <w:pPr>
        <w:spacing w:line="360" w:lineRule="auto"/>
        <w:ind w:right="-277"/>
        <w:jc w:val="both"/>
        <w:rPr>
          <w:rFonts w:ascii="Palatino Linotype" w:eastAsia="Palatino Linotype" w:hAnsi="Palatino Linotype" w:cs="Palatino Linotype"/>
        </w:rPr>
      </w:pPr>
      <w:r w:rsidRPr="00E95A8A">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w:t>
      </w:r>
      <w:r w:rsidR="00DA4C52" w:rsidRPr="00E95A8A">
        <w:rPr>
          <w:rFonts w:ascii="Palatino Linotype" w:eastAsia="Palatino Linotype" w:hAnsi="Palatino Linotype" w:cs="Palatino Linotype"/>
        </w:rPr>
        <w:t xml:space="preserve"> México; de fecha veintiséis (26</w:t>
      </w:r>
      <w:r w:rsidRPr="00E95A8A">
        <w:rPr>
          <w:rFonts w:ascii="Palatino Linotype" w:eastAsia="Palatino Linotype" w:hAnsi="Palatino Linotype" w:cs="Palatino Linotype"/>
        </w:rPr>
        <w:t>) de febrero de dos mil veinticinco.</w:t>
      </w:r>
    </w:p>
    <w:p w:rsidR="00306E6B" w:rsidRPr="00E95A8A" w:rsidRDefault="00306E6B">
      <w:pPr>
        <w:ind w:right="-277"/>
        <w:jc w:val="both"/>
        <w:rPr>
          <w:rFonts w:ascii="Palatino Linotype" w:eastAsia="Palatino Linotype" w:hAnsi="Palatino Linotype" w:cs="Palatino Linotype"/>
        </w:rPr>
      </w:pPr>
    </w:p>
    <w:p w:rsidR="00306E6B" w:rsidRPr="00E95A8A" w:rsidRDefault="00892A78">
      <w:pPr>
        <w:spacing w:line="360" w:lineRule="auto"/>
        <w:ind w:right="-277"/>
        <w:jc w:val="both"/>
        <w:rPr>
          <w:rFonts w:ascii="Palatino Linotype" w:eastAsia="Palatino Linotype" w:hAnsi="Palatino Linotype" w:cs="Palatino Linotype"/>
        </w:rPr>
      </w:pPr>
      <w:r w:rsidRPr="00E95A8A">
        <w:rPr>
          <w:rFonts w:ascii="Palatino Linotype" w:eastAsia="Palatino Linotype" w:hAnsi="Palatino Linotype" w:cs="Palatino Linotype"/>
          <w:b/>
        </w:rPr>
        <w:t>VISTO</w:t>
      </w:r>
      <w:r w:rsidRPr="00E95A8A">
        <w:rPr>
          <w:rFonts w:ascii="Palatino Linotype" w:eastAsia="Palatino Linotype" w:hAnsi="Palatino Linotype" w:cs="Palatino Linotype"/>
        </w:rPr>
        <w:t xml:space="preserve"> el expediente electrónico formado con motivo del recurso de revisión </w:t>
      </w:r>
      <w:r w:rsidRPr="00E95A8A">
        <w:rPr>
          <w:rFonts w:ascii="Palatino Linotype" w:eastAsia="Palatino Linotype" w:hAnsi="Palatino Linotype" w:cs="Palatino Linotype"/>
          <w:b/>
        </w:rPr>
        <w:t xml:space="preserve">02133/INFOEM/IP/RR/2024, </w:t>
      </w:r>
      <w:r w:rsidRPr="00E95A8A">
        <w:rPr>
          <w:rFonts w:ascii="Palatino Linotype" w:eastAsia="Palatino Linotype" w:hAnsi="Palatino Linotype" w:cs="Palatino Linotype"/>
        </w:rPr>
        <w:t xml:space="preserve">promovido por </w:t>
      </w:r>
      <w:r w:rsidR="0072735D">
        <w:rPr>
          <w:rFonts w:ascii="Palatino Linotype" w:eastAsia="Palatino Linotype" w:hAnsi="Palatino Linotype" w:cs="Palatino Linotype"/>
          <w:b/>
        </w:rPr>
        <w:t>XXXX</w:t>
      </w:r>
      <w:r w:rsidRPr="00E95A8A">
        <w:rPr>
          <w:rFonts w:ascii="Palatino Linotype" w:eastAsia="Palatino Linotype" w:hAnsi="Palatino Linotype" w:cs="Palatino Linotype"/>
          <w:b/>
        </w:rPr>
        <w:t>,</w:t>
      </w:r>
      <w:r w:rsidRPr="00E95A8A">
        <w:rPr>
          <w:rFonts w:ascii="Palatino Linotype" w:eastAsia="Palatino Linotype" w:hAnsi="Palatino Linotype" w:cs="Palatino Linotype"/>
        </w:rPr>
        <w:t xml:space="preserve"> en contra de la respuesta del </w:t>
      </w:r>
      <w:r w:rsidRPr="00E95A8A">
        <w:rPr>
          <w:rFonts w:ascii="Palatino Linotype" w:eastAsia="Palatino Linotype" w:hAnsi="Palatino Linotype" w:cs="Palatino Linotype"/>
          <w:b/>
          <w:color w:val="000000"/>
        </w:rPr>
        <w:t>Ayuntamiento de Ixtapaluca</w:t>
      </w:r>
      <w:r w:rsidRPr="00E95A8A">
        <w:rPr>
          <w:rFonts w:ascii="Palatino Linotype" w:eastAsia="Palatino Linotype" w:hAnsi="Palatino Linotype" w:cs="Palatino Linotype"/>
          <w:b/>
        </w:rPr>
        <w:t xml:space="preserve">, </w:t>
      </w:r>
      <w:r w:rsidRPr="00E95A8A">
        <w:rPr>
          <w:rFonts w:ascii="Palatino Linotype" w:eastAsia="Palatino Linotype" w:hAnsi="Palatino Linotype" w:cs="Palatino Linotype"/>
        </w:rPr>
        <w:t>en adelante el</w:t>
      </w:r>
      <w:r w:rsidRPr="00E95A8A">
        <w:rPr>
          <w:rFonts w:ascii="Palatino Linotype" w:eastAsia="Palatino Linotype" w:hAnsi="Palatino Linotype" w:cs="Palatino Linotype"/>
          <w:b/>
        </w:rPr>
        <w:t xml:space="preserve"> SUJETO OBLIGADO</w:t>
      </w:r>
      <w:r w:rsidRPr="00E95A8A">
        <w:rPr>
          <w:rFonts w:ascii="Palatino Linotype" w:eastAsia="Palatino Linotype" w:hAnsi="Palatino Linotype" w:cs="Palatino Linotype"/>
        </w:rPr>
        <w:t>, por lo que se procede a dictar la presente resolución, con base en los siguientes:</w:t>
      </w:r>
    </w:p>
    <w:p w:rsidR="00306E6B" w:rsidRPr="00E95A8A" w:rsidRDefault="00306E6B">
      <w:pPr>
        <w:ind w:right="-277"/>
        <w:jc w:val="both"/>
        <w:rPr>
          <w:rFonts w:ascii="Palatino Linotype" w:eastAsia="Palatino Linotype" w:hAnsi="Palatino Linotype" w:cs="Palatino Linotype"/>
        </w:rPr>
      </w:pPr>
    </w:p>
    <w:p w:rsidR="00306E6B" w:rsidRPr="00E95A8A" w:rsidRDefault="00892A78">
      <w:pPr>
        <w:keepNext/>
        <w:keepLines/>
        <w:spacing w:line="360" w:lineRule="auto"/>
        <w:ind w:right="-277"/>
        <w:jc w:val="center"/>
        <w:rPr>
          <w:rFonts w:ascii="Palatino Linotype" w:eastAsia="Palatino Linotype" w:hAnsi="Palatino Linotype" w:cs="Palatino Linotype"/>
          <w:b/>
        </w:rPr>
      </w:pPr>
      <w:r w:rsidRPr="00E95A8A">
        <w:rPr>
          <w:rFonts w:ascii="Palatino Linotype" w:eastAsia="Palatino Linotype" w:hAnsi="Palatino Linotype" w:cs="Palatino Linotype"/>
          <w:b/>
        </w:rPr>
        <w:t>A N T E C E D E N T E S</w:t>
      </w:r>
    </w:p>
    <w:p w:rsidR="00306E6B" w:rsidRPr="00E95A8A" w:rsidRDefault="00306E6B">
      <w:pPr>
        <w:ind w:right="-277"/>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El uno de abril de dos mil veinticuatro, la</w:t>
      </w:r>
      <w:r w:rsidRPr="00E95A8A">
        <w:rPr>
          <w:rFonts w:ascii="Palatino Linotype" w:eastAsia="Palatino Linotype" w:hAnsi="Palatino Linotype" w:cs="Palatino Linotype"/>
          <w:b/>
        </w:rPr>
        <w:t xml:space="preserve"> RECURRENTE </w:t>
      </w:r>
      <w:r w:rsidRPr="00E95A8A">
        <w:rPr>
          <w:rFonts w:ascii="Palatino Linotype" w:eastAsia="Palatino Linotype" w:hAnsi="Palatino Linotype" w:cs="Palatino Linotype"/>
        </w:rPr>
        <w:t xml:space="preserve">presentó ante el </w:t>
      </w:r>
      <w:r w:rsidRPr="00E95A8A">
        <w:rPr>
          <w:rFonts w:ascii="Palatino Linotype" w:eastAsia="Palatino Linotype" w:hAnsi="Palatino Linotype" w:cs="Palatino Linotype"/>
          <w:b/>
        </w:rPr>
        <w:t>SUJETO OBLIGADO,</w:t>
      </w:r>
      <w:r w:rsidRPr="00E95A8A">
        <w:rPr>
          <w:rFonts w:ascii="Palatino Linotype" w:eastAsia="Palatino Linotype" w:hAnsi="Palatino Linotype" w:cs="Palatino Linotype"/>
        </w:rPr>
        <w:t xml:space="preserve"> a través del el Sistema de Acceso a la Información Mexiquense </w:t>
      </w:r>
      <w:r w:rsidRPr="00E95A8A">
        <w:rPr>
          <w:rFonts w:ascii="Palatino Linotype" w:eastAsia="Palatino Linotype" w:hAnsi="Palatino Linotype" w:cs="Palatino Linotype"/>
          <w:b/>
        </w:rPr>
        <w:t>(SAIMEX),</w:t>
      </w:r>
      <w:r w:rsidRPr="00E95A8A">
        <w:rPr>
          <w:rFonts w:ascii="Palatino Linotype" w:eastAsia="Palatino Linotype" w:hAnsi="Palatino Linotype" w:cs="Palatino Linotype"/>
        </w:rPr>
        <w:t xml:space="preserve"> la solicitud de información pública </w:t>
      </w:r>
      <w:r w:rsidRPr="00E95A8A">
        <w:rPr>
          <w:rFonts w:ascii="Palatino Linotype" w:eastAsia="Palatino Linotype" w:hAnsi="Palatino Linotype" w:cs="Palatino Linotype"/>
          <w:b/>
        </w:rPr>
        <w:t>00249/IXTAPALU/IP/2024</w:t>
      </w:r>
      <w:r w:rsidRPr="00E95A8A">
        <w:rPr>
          <w:rFonts w:ascii="Palatino Linotype" w:eastAsia="Palatino Linotype" w:hAnsi="Palatino Linotype" w:cs="Palatino Linotype"/>
        </w:rPr>
        <w:t>, en la que solicitó:</w:t>
      </w:r>
    </w:p>
    <w:p w:rsidR="00306E6B" w:rsidRPr="00E95A8A" w:rsidRDefault="00306E6B">
      <w:pPr>
        <w:ind w:right="-277"/>
        <w:jc w:val="both"/>
        <w:rPr>
          <w:rFonts w:ascii="Palatino Linotype" w:eastAsia="Palatino Linotype" w:hAnsi="Palatino Linotype" w:cs="Palatino Linotype"/>
        </w:rPr>
      </w:pPr>
    </w:p>
    <w:p w:rsidR="00306E6B" w:rsidRPr="00E95A8A" w:rsidRDefault="00892A78">
      <w:pPr>
        <w:ind w:left="567" w:right="-277"/>
        <w:jc w:val="both"/>
        <w:rPr>
          <w:rFonts w:ascii="Palatino Linotype" w:eastAsia="Palatino Linotype" w:hAnsi="Palatino Linotype" w:cs="Palatino Linotype"/>
          <w:i/>
        </w:rPr>
      </w:pPr>
      <w:r w:rsidRPr="00E95A8A">
        <w:rPr>
          <w:rFonts w:ascii="Palatino Linotype" w:eastAsia="Palatino Linotype" w:hAnsi="Palatino Linotype" w:cs="Palatino Linotype"/>
          <w:i/>
          <w:color w:val="000000"/>
        </w:rPr>
        <w:t>“S</w:t>
      </w:r>
      <w:bookmarkStart w:id="0" w:name="_GoBack"/>
      <w:bookmarkEnd w:id="0"/>
      <w:r w:rsidRPr="00E95A8A">
        <w:rPr>
          <w:rFonts w:ascii="Palatino Linotype" w:eastAsia="Palatino Linotype" w:hAnsi="Palatino Linotype" w:cs="Palatino Linotype"/>
          <w:i/>
          <w:color w:val="000000"/>
        </w:rPr>
        <w:t xml:space="preserve">olicito al Municipio de Ixtapaluca administración 2022-2024, así como a la tesorería municipal, al ICUFIDE o a la persona encargada el presupuesto ejecutado, el proyecto, los contratos con sus anexos, el perfil del proveedor o constructora que realizó y/o ejecutó la remodelación de la Unidad Deportiva Emiliano Zapata que se encuentra en Ignacio Zaragoza Manzana 011, La Venta, 56530 Ixtapaluca, Méx.” (Sic) </w:t>
      </w:r>
    </w:p>
    <w:p w:rsidR="00306E6B" w:rsidRPr="00E95A8A" w:rsidRDefault="00306E6B">
      <w:pPr>
        <w:pBdr>
          <w:top w:val="nil"/>
          <w:left w:val="nil"/>
          <w:bottom w:val="nil"/>
          <w:right w:val="nil"/>
          <w:between w:val="nil"/>
        </w:pBdr>
        <w:ind w:right="-277"/>
        <w:jc w:val="both"/>
        <w:rPr>
          <w:rFonts w:ascii="Palatino Linotype" w:eastAsia="Palatino Linotype" w:hAnsi="Palatino Linotype" w:cs="Palatino Linotype"/>
          <w:color w:val="000000"/>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 xml:space="preserve">Se hace constar que se señaló como modalidad de entrega de la información a través del </w:t>
      </w:r>
      <w:r w:rsidRPr="00E95A8A">
        <w:rPr>
          <w:rFonts w:ascii="Palatino Linotype" w:eastAsia="Palatino Linotype" w:hAnsi="Palatino Linotype" w:cs="Palatino Linotype"/>
          <w:b/>
        </w:rPr>
        <w:t>SAIMEX.</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 xml:space="preserve">El veintidós de abril de dos mil veinticuatro, el </w:t>
      </w:r>
      <w:r w:rsidRPr="00E95A8A">
        <w:rPr>
          <w:rFonts w:ascii="Palatino Linotype" w:eastAsia="Palatino Linotype" w:hAnsi="Palatino Linotype" w:cs="Palatino Linotype"/>
          <w:b/>
        </w:rPr>
        <w:t>SUJETO OBLIGADO</w:t>
      </w:r>
      <w:r w:rsidRPr="00E95A8A">
        <w:rPr>
          <w:rFonts w:ascii="Palatino Linotype" w:eastAsia="Palatino Linotype" w:hAnsi="Palatino Linotype" w:cs="Palatino Linotype"/>
          <w:b/>
          <w:i/>
        </w:rPr>
        <w:t xml:space="preserve"> </w:t>
      </w:r>
      <w:r w:rsidRPr="00E95A8A">
        <w:rPr>
          <w:rFonts w:ascii="Palatino Linotype" w:eastAsia="Palatino Linotype" w:hAnsi="Palatino Linotype" w:cs="Palatino Linotype"/>
        </w:rPr>
        <w:t>dio respuesta a la solicitud de información, en los siguientes términos:</w:t>
      </w:r>
    </w:p>
    <w:p w:rsidR="00306E6B" w:rsidRPr="00E95A8A" w:rsidRDefault="00892A78" w:rsidP="003D44AA">
      <w:pPr>
        <w:ind w:left="567" w:right="284"/>
        <w:jc w:val="both"/>
        <w:rPr>
          <w:rFonts w:ascii="Palatino Linotype" w:eastAsia="Palatino Linotype" w:hAnsi="Palatino Linotype" w:cs="Palatino Linotype"/>
          <w:i/>
          <w:color w:val="000000"/>
          <w:sz w:val="22"/>
        </w:rPr>
      </w:pPr>
      <w:r w:rsidRPr="00E95A8A">
        <w:rPr>
          <w:rFonts w:ascii="Palatino Linotype" w:eastAsia="Palatino Linotype" w:hAnsi="Palatino Linotype" w:cs="Palatino Linotype"/>
          <w:i/>
          <w:sz w:val="22"/>
        </w:rPr>
        <w:t xml:space="preserve">“…EN </w:t>
      </w:r>
      <w:r w:rsidRPr="00E95A8A">
        <w:rPr>
          <w:rFonts w:ascii="Palatino Linotype" w:eastAsia="Palatino Linotype" w:hAnsi="Palatino Linotype" w:cs="Palatino Linotype"/>
          <w:i/>
          <w:color w:val="000000"/>
          <w:sz w:val="22"/>
        </w:rPr>
        <w:t>RELACIÓN A LA SOLICITUD CON FOLIO 00249/IXTAPALU/IP/2024 ANEXO RESPUESTA…” (Sic)</w:t>
      </w:r>
    </w:p>
    <w:p w:rsidR="00306E6B" w:rsidRPr="00E95A8A" w:rsidRDefault="00306E6B" w:rsidP="003D44AA">
      <w:pPr>
        <w:ind w:right="284"/>
        <w:jc w:val="both"/>
        <w:rPr>
          <w:rFonts w:ascii="Palatino Linotype" w:eastAsia="Palatino Linotype" w:hAnsi="Palatino Linotype" w:cs="Palatino Linotype"/>
          <w:i/>
          <w:color w:val="000000"/>
          <w:sz w:val="22"/>
        </w:rPr>
      </w:pPr>
    </w:p>
    <w:p w:rsidR="00306E6B" w:rsidRPr="00E95A8A" w:rsidRDefault="00892A78" w:rsidP="003D44AA">
      <w:pPr>
        <w:ind w:right="284"/>
        <w:jc w:val="both"/>
        <w:rPr>
          <w:rFonts w:ascii="Palatino Linotype" w:eastAsia="Palatino Linotype" w:hAnsi="Palatino Linotype" w:cs="Palatino Linotype"/>
          <w:sz w:val="22"/>
        </w:rPr>
      </w:pPr>
      <w:r w:rsidRPr="00E95A8A">
        <w:rPr>
          <w:rFonts w:ascii="Palatino Linotype" w:eastAsia="Palatino Linotype" w:hAnsi="Palatino Linotype" w:cs="Palatino Linotype"/>
          <w:sz w:val="22"/>
        </w:rPr>
        <w:lastRenderedPageBreak/>
        <w:t>Archivos electrónicos adjuntos:</w:t>
      </w:r>
    </w:p>
    <w:p w:rsidR="00306E6B" w:rsidRPr="00E95A8A" w:rsidRDefault="00306E6B" w:rsidP="003D44AA">
      <w:pPr>
        <w:ind w:left="567" w:right="284"/>
        <w:jc w:val="both"/>
        <w:rPr>
          <w:rFonts w:ascii="Palatino Linotype" w:eastAsia="Palatino Linotype" w:hAnsi="Palatino Linotype" w:cs="Palatino Linotype"/>
          <w:b/>
          <w:sz w:val="22"/>
        </w:rPr>
      </w:pPr>
    </w:p>
    <w:p w:rsidR="00306E6B" w:rsidRPr="00E95A8A" w:rsidRDefault="00EE0D70" w:rsidP="003D44AA">
      <w:pPr>
        <w:ind w:left="567" w:right="284"/>
        <w:jc w:val="both"/>
        <w:rPr>
          <w:rFonts w:ascii="Palatino Linotype" w:eastAsia="Palatino Linotype" w:hAnsi="Palatino Linotype" w:cs="Palatino Linotype"/>
          <w:b/>
          <w:sz w:val="22"/>
        </w:rPr>
      </w:pPr>
      <w:hyperlink r:id="rId8">
        <w:r w:rsidR="00892A78" w:rsidRPr="00E95A8A">
          <w:rPr>
            <w:rFonts w:ascii="Palatino Linotype" w:eastAsia="Palatino Linotype" w:hAnsi="Palatino Linotype" w:cs="Palatino Linotype"/>
            <w:b/>
            <w:color w:val="000000"/>
            <w:sz w:val="22"/>
          </w:rPr>
          <w:t>Respuesta 249 Tesorería.pdf</w:t>
        </w:r>
      </w:hyperlink>
      <w:r w:rsidR="00892A78" w:rsidRPr="00E95A8A">
        <w:rPr>
          <w:rFonts w:ascii="Palatino Linotype" w:eastAsia="Palatino Linotype" w:hAnsi="Palatino Linotype" w:cs="Palatino Linotype"/>
          <w:sz w:val="22"/>
        </w:rPr>
        <w:t>: Oficio del 08 de abril de 2024, suscrito por el Tesorero Municipal, por medio del cual, informó que después de realizar una búsqueda exhaustiva y razonable, no localizó expediente con el nombre de la obra referida en la solicitud de información; en consecuencia, no cuenta con lo requerido.</w:t>
      </w:r>
    </w:p>
    <w:p w:rsidR="00306E6B" w:rsidRPr="00E95A8A" w:rsidRDefault="00306E6B">
      <w:pPr>
        <w:ind w:right="-277"/>
        <w:jc w:val="both"/>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El veintitrés de abril de dos mil veinticuatro,</w:t>
      </w:r>
      <w:r w:rsidRPr="00E95A8A">
        <w:rPr>
          <w:rFonts w:ascii="Palatino Linotype" w:eastAsia="Palatino Linotype" w:hAnsi="Palatino Linotype" w:cs="Palatino Linotype"/>
          <w:b/>
        </w:rPr>
        <w:t xml:space="preserve"> </w:t>
      </w:r>
      <w:r w:rsidRPr="00E95A8A">
        <w:rPr>
          <w:rFonts w:ascii="Palatino Linotype" w:eastAsia="Palatino Linotype" w:hAnsi="Palatino Linotype" w:cs="Palatino Linotype"/>
        </w:rPr>
        <w:t xml:space="preserve">el </w:t>
      </w:r>
      <w:r w:rsidRPr="00E95A8A">
        <w:rPr>
          <w:rFonts w:ascii="Palatino Linotype" w:eastAsia="Palatino Linotype" w:hAnsi="Palatino Linotype" w:cs="Palatino Linotype"/>
          <w:b/>
        </w:rPr>
        <w:t>RECURRENTE</w:t>
      </w:r>
      <w:r w:rsidRPr="00E95A8A">
        <w:rPr>
          <w:rFonts w:ascii="Palatino Linotype" w:eastAsia="Palatino Linotype" w:hAnsi="Palatino Linotype" w:cs="Palatino Linotype"/>
        </w:rPr>
        <w:t xml:space="preserve"> interpuso el recurso de revisión en contra de la respuesta, señalando como:</w:t>
      </w:r>
    </w:p>
    <w:p w:rsidR="00306E6B" w:rsidRPr="00E95A8A" w:rsidRDefault="00892A78" w:rsidP="003D44AA">
      <w:pPr>
        <w:ind w:left="567" w:right="284"/>
        <w:jc w:val="both"/>
        <w:rPr>
          <w:rFonts w:ascii="Palatino Linotype" w:eastAsia="Palatino Linotype" w:hAnsi="Palatino Linotype" w:cs="Palatino Linotype"/>
          <w:sz w:val="22"/>
        </w:rPr>
      </w:pPr>
      <w:r w:rsidRPr="00E95A8A">
        <w:rPr>
          <w:rFonts w:ascii="Palatino Linotype" w:eastAsia="Palatino Linotype" w:hAnsi="Palatino Linotype" w:cs="Palatino Linotype"/>
          <w:b/>
          <w:sz w:val="22"/>
        </w:rPr>
        <w:t>Acto impugnado</w:t>
      </w:r>
      <w:r w:rsidRPr="00E95A8A">
        <w:rPr>
          <w:rFonts w:ascii="Palatino Linotype" w:eastAsia="Palatino Linotype" w:hAnsi="Palatino Linotype" w:cs="Palatino Linotype"/>
          <w:b/>
          <w:i/>
          <w:sz w:val="22"/>
        </w:rPr>
        <w:t>:</w:t>
      </w:r>
      <w:r w:rsidRPr="00E95A8A">
        <w:rPr>
          <w:rFonts w:ascii="Palatino Linotype" w:eastAsia="Palatino Linotype" w:hAnsi="Palatino Linotype" w:cs="Palatino Linotype"/>
          <w:i/>
          <w:color w:val="000000"/>
          <w:sz w:val="22"/>
        </w:rPr>
        <w:t xml:space="preserve"> “Por medio de la presente expreso lo siguiente, se le solicitó al Municipio de Ixtapaluca, Administración 2022-2024, así como a la Tesorería Municipal, al ICUFIDE, o a la persona encargada del presupuesto ejecutado, él proyecto, los contratos con sus anexos, el perfil del proveedor o constructora que realizó y/o ejecutó la remodelación de la Unidad Deportiva Emiliano Zapata, que se encuentra en Ignacio Zaragoza Manzana 011, La Venta, 56530, Ixtapaluca, Méx. Él Municipio de Ixtapaluca, Administración 2022-2024 muestra opacidad, poco interés e indiferencia a los temas de transparencia y acceso a la información, y de acuerdo con la respuesta por parte de la Tesorería Municipal que nos menciona: “En atención a su petición hago de su conocimiento que después de realizar una búsqueda exhaustiva y razonable, esta Tesorería Municipal no encontró expediente por él nombre de obra mencionado, por lo tanto no se cuenta con información para solventar su solicitud”. La respuesta de la Tesorería Municipal, muestra que la Administración Municipal 2022-2024 de Ixtapaluca, Estado de México se encuentra en un desorden administrativo grave, ya que él día 14 de junio de 2023, el entonces Presidente Constitucional del Municipio de Ixtapaluca, él Sr. Felipe Rafael Arvizu de la Luz, anunció que (se anexan evidencias fotográficas): “¡Próximamente tendremos un gran deportivo!, Parque Recreativo La Venta Ixtapaluca. Creemos en él deporte y en los grandes atletas que nos representan. Por ello este gobierno está trabajando en espacios recreativos para aumentar la salud mental y la convivencia entre amigos y familia. #AccionesFuertes #SomosIxtapaluca” Dicha publicación se ilustra con fotografías de arranque de obra donde aparece él Sr. Presidente Municipal acompañado del Director de obras Mario Alberto Castañeda, en síntesis no hay interés real por proporcionar la información en versión publica y se muestra una actitud de aparente participación a responder lo solicitado pero en evidente la opacidad y él nulo interés en la transparencia y acceso a la información.” (Sic)</w:t>
      </w:r>
    </w:p>
    <w:p w:rsidR="00306E6B" w:rsidRPr="00E95A8A" w:rsidRDefault="00306E6B" w:rsidP="003D44AA">
      <w:pPr>
        <w:ind w:left="567" w:right="284"/>
        <w:jc w:val="both"/>
        <w:rPr>
          <w:rFonts w:ascii="Palatino Linotype" w:eastAsia="Palatino Linotype" w:hAnsi="Palatino Linotype" w:cs="Palatino Linotype"/>
          <w:sz w:val="22"/>
        </w:rPr>
      </w:pPr>
    </w:p>
    <w:p w:rsidR="00306E6B" w:rsidRPr="00E95A8A" w:rsidRDefault="00892A78" w:rsidP="003D44AA">
      <w:pPr>
        <w:ind w:left="567" w:right="284"/>
        <w:jc w:val="both"/>
        <w:rPr>
          <w:rFonts w:ascii="Palatino Linotype" w:eastAsia="Palatino Linotype" w:hAnsi="Palatino Linotype" w:cs="Palatino Linotype"/>
          <w:i/>
          <w:color w:val="000000"/>
          <w:sz w:val="22"/>
        </w:rPr>
      </w:pPr>
      <w:r w:rsidRPr="00E95A8A">
        <w:rPr>
          <w:rFonts w:ascii="Palatino Linotype" w:eastAsia="Palatino Linotype" w:hAnsi="Palatino Linotype" w:cs="Palatino Linotype"/>
          <w:b/>
          <w:sz w:val="22"/>
        </w:rPr>
        <w:t xml:space="preserve">Razones o Motivos de inconformidad: </w:t>
      </w:r>
      <w:r w:rsidRPr="00E95A8A">
        <w:rPr>
          <w:rFonts w:ascii="Palatino Linotype" w:eastAsia="Palatino Linotype" w:hAnsi="Palatino Linotype" w:cs="Palatino Linotype"/>
          <w:i/>
          <w:color w:val="000000"/>
          <w:sz w:val="22"/>
        </w:rPr>
        <w:t xml:space="preserve">“Por medio de la presente expreso lo siguiente, se le solicitó al Municipio de Ixtapaluca, Administración 2022-2024, así como a la Tesorería Municipal, al ICUFIDE, o a la persona encargada del presupuesto ejecutado, él proyecto, los contratos con sus anexos, el perfil del proveedor o constructora que realizó y/o ejecutó la remodelación de la Unidad Deportiva Emiliano Zapata, que se encuentra en Ignacio Zaragoza Manzana 011, La Venta, 56530, Ixtapaluca, Méx. Él Municipio de Ixtapaluca, Administración </w:t>
      </w:r>
      <w:r w:rsidRPr="00E95A8A">
        <w:rPr>
          <w:rFonts w:ascii="Palatino Linotype" w:eastAsia="Palatino Linotype" w:hAnsi="Palatino Linotype" w:cs="Palatino Linotype"/>
          <w:i/>
          <w:color w:val="000000"/>
          <w:sz w:val="22"/>
        </w:rPr>
        <w:lastRenderedPageBreak/>
        <w:t>2022-2024 muestra opacidad, poco interés e indiferencia a los temas de transparencia y acceso a la información, y de acuerdo con la respuesta por parte de la Tesorería Municipal que nos menciona: “En atención a su petición hago de su conocimiento que después de realizar una búsqueda exhaustiva y razonable, esta Tesorería Municipal no encontró expediente por él nombre de obra mencionado, por lo tanto no se cuenta con información para solventar su solicitud”. La respuesta de la Tesorería Municipal, muestra que la Administración Municipal 2022-2024 de Ixtapaluca, Estado de México se encuentra en un desorden administrativo grave, ya que él día 14 de junio de 2023, el entonces Presidente Constitucional del Municipio de Ixtapaluca, él Sr. Felipe Rafael Arvizu de la Luz, anunció que (se anexan evidencias fotográficas): “¡Próximamente tendremos un gran deportivo!, Parque Recreativo La Venta Ixtapaluca. Creemos en él deporte y en los grandes atletas que nos representan. Por ello este gobierno está trabajando en espacios recreativos para aumentar la salud mental y la convivencia entre amigos y familia. #AccionesFuertes #SomosIxtapaluca” Dicha publicación se ilustra con fotografías de arranque de obra donde aparece él Sr. Presidente Municipal acompañado del Director de obras Mario Alberto Castañeda, en síntesis no hay interés real por proporcionar la información en versión publica y se muestra una actitud de aparente participación a responder lo solicitado pero en evidente la opacidad y él nulo interés en la transparencia y acceso a la información.” (Sic)</w:t>
      </w:r>
    </w:p>
    <w:p w:rsidR="00306E6B" w:rsidRPr="00E95A8A" w:rsidRDefault="00306E6B" w:rsidP="003D44AA">
      <w:pPr>
        <w:ind w:right="284"/>
        <w:jc w:val="both"/>
        <w:rPr>
          <w:rFonts w:ascii="Palatino Linotype" w:eastAsia="Palatino Linotype" w:hAnsi="Palatino Linotype" w:cs="Palatino Linotype"/>
          <w:b/>
          <w:sz w:val="22"/>
        </w:rPr>
      </w:pPr>
    </w:p>
    <w:p w:rsidR="00306E6B" w:rsidRPr="00E95A8A" w:rsidRDefault="00892A78" w:rsidP="003D44AA">
      <w:pPr>
        <w:ind w:right="284"/>
        <w:jc w:val="both"/>
        <w:rPr>
          <w:rFonts w:ascii="Palatino Linotype" w:eastAsia="Palatino Linotype" w:hAnsi="Palatino Linotype" w:cs="Palatino Linotype"/>
          <w:sz w:val="22"/>
        </w:rPr>
      </w:pPr>
      <w:r w:rsidRPr="00E95A8A">
        <w:rPr>
          <w:rFonts w:ascii="Palatino Linotype" w:eastAsia="Palatino Linotype" w:hAnsi="Palatino Linotype" w:cs="Palatino Linotype"/>
          <w:sz w:val="22"/>
        </w:rPr>
        <w:t>Archivos electrónicos adjuntos:</w:t>
      </w:r>
    </w:p>
    <w:p w:rsidR="00306E6B" w:rsidRPr="00E95A8A" w:rsidRDefault="00EE0D70" w:rsidP="003D44AA">
      <w:pPr>
        <w:ind w:left="567" w:right="284"/>
        <w:jc w:val="both"/>
        <w:rPr>
          <w:rFonts w:ascii="Palatino Linotype" w:eastAsia="Palatino Linotype" w:hAnsi="Palatino Linotype" w:cs="Palatino Linotype"/>
          <w:sz w:val="22"/>
        </w:rPr>
      </w:pPr>
      <w:hyperlink r:id="rId9">
        <w:r w:rsidR="00892A78" w:rsidRPr="00E95A8A">
          <w:rPr>
            <w:rFonts w:ascii="Palatino Linotype" w:eastAsia="Palatino Linotype" w:hAnsi="Palatino Linotype" w:cs="Palatino Linotype"/>
            <w:b/>
            <w:color w:val="000000"/>
            <w:sz w:val="22"/>
          </w:rPr>
          <w:t>Foto 1 249.pdf</w:t>
        </w:r>
      </w:hyperlink>
      <w:r w:rsidR="00892A78" w:rsidRPr="00E95A8A">
        <w:rPr>
          <w:rFonts w:ascii="Palatino Linotype" w:eastAsia="Palatino Linotype" w:hAnsi="Palatino Linotype" w:cs="Palatino Linotype"/>
          <w:sz w:val="22"/>
        </w:rPr>
        <w:t>: Captura de pantalla en la que se aprecia una publicación realizada el 14 de junio de 2023 por el Presidente Municipal, del arranque de una obra (deportiva) en el Parque Recreativo “La Venta”, Ixtapaluca.</w:t>
      </w:r>
    </w:p>
    <w:p w:rsidR="00306E6B" w:rsidRPr="00E95A8A" w:rsidRDefault="00EE0D70" w:rsidP="003D44AA">
      <w:pPr>
        <w:ind w:left="567" w:right="284"/>
        <w:jc w:val="both"/>
        <w:rPr>
          <w:rFonts w:ascii="Palatino Linotype" w:eastAsia="Palatino Linotype" w:hAnsi="Palatino Linotype" w:cs="Palatino Linotype"/>
          <w:sz w:val="22"/>
        </w:rPr>
      </w:pPr>
      <w:hyperlink r:id="rId10">
        <w:r w:rsidR="00892A78" w:rsidRPr="00E95A8A">
          <w:rPr>
            <w:rFonts w:ascii="Palatino Linotype" w:eastAsia="Palatino Linotype" w:hAnsi="Palatino Linotype" w:cs="Palatino Linotype"/>
            <w:b/>
            <w:color w:val="000000"/>
            <w:sz w:val="22"/>
          </w:rPr>
          <w:t>foto 3 249.pdf</w:t>
        </w:r>
      </w:hyperlink>
      <w:r w:rsidR="00892A78" w:rsidRPr="00E95A8A">
        <w:rPr>
          <w:rFonts w:ascii="Palatino Linotype" w:eastAsia="Palatino Linotype" w:hAnsi="Palatino Linotype" w:cs="Palatino Linotype"/>
          <w:sz w:val="22"/>
        </w:rPr>
        <w:t>: Fotografía del arranque de la obra.</w:t>
      </w:r>
    </w:p>
    <w:p w:rsidR="00306E6B" w:rsidRPr="00E95A8A" w:rsidRDefault="00EE0D70" w:rsidP="003D44AA">
      <w:pPr>
        <w:ind w:left="567" w:right="284"/>
        <w:jc w:val="both"/>
        <w:rPr>
          <w:rFonts w:ascii="Palatino Linotype" w:eastAsia="Palatino Linotype" w:hAnsi="Palatino Linotype" w:cs="Palatino Linotype"/>
          <w:sz w:val="22"/>
        </w:rPr>
      </w:pPr>
      <w:hyperlink r:id="rId11">
        <w:r w:rsidR="00892A78" w:rsidRPr="00E95A8A">
          <w:rPr>
            <w:rFonts w:ascii="Palatino Linotype" w:eastAsia="Palatino Linotype" w:hAnsi="Palatino Linotype" w:cs="Palatino Linotype"/>
            <w:b/>
            <w:color w:val="000000"/>
            <w:sz w:val="22"/>
          </w:rPr>
          <w:t>foto</w:t>
        </w:r>
      </w:hyperlink>
      <w:hyperlink r:id="rId12">
        <w:r w:rsidR="00892A78" w:rsidRPr="00E95A8A">
          <w:rPr>
            <w:rFonts w:ascii="Palatino Linotype" w:eastAsia="Palatino Linotype" w:hAnsi="Palatino Linotype" w:cs="Palatino Linotype"/>
            <w:b/>
            <w:color w:val="000000"/>
            <w:sz w:val="22"/>
          </w:rPr>
          <w:t xml:space="preserve"> 4 249.pdf</w:t>
        </w:r>
      </w:hyperlink>
      <w:r w:rsidR="00892A78" w:rsidRPr="00E95A8A">
        <w:rPr>
          <w:rFonts w:ascii="Palatino Linotype" w:eastAsia="Palatino Linotype" w:hAnsi="Palatino Linotype" w:cs="Palatino Linotype"/>
          <w:sz w:val="22"/>
        </w:rPr>
        <w:t>: Fotografía del arranque de la obra.</w:t>
      </w:r>
    </w:p>
    <w:p w:rsidR="00306E6B" w:rsidRPr="00E95A8A" w:rsidRDefault="00EE0D70" w:rsidP="003D44AA">
      <w:pPr>
        <w:ind w:left="567" w:right="284"/>
        <w:jc w:val="both"/>
        <w:rPr>
          <w:rFonts w:ascii="Palatino Linotype" w:eastAsia="Palatino Linotype" w:hAnsi="Palatino Linotype" w:cs="Palatino Linotype"/>
          <w:sz w:val="22"/>
        </w:rPr>
      </w:pPr>
      <w:hyperlink r:id="rId13">
        <w:r w:rsidR="00892A78" w:rsidRPr="00E95A8A">
          <w:rPr>
            <w:rFonts w:ascii="Palatino Linotype" w:eastAsia="Palatino Linotype" w:hAnsi="Palatino Linotype" w:cs="Palatino Linotype"/>
            <w:b/>
            <w:color w:val="000000"/>
            <w:sz w:val="22"/>
          </w:rPr>
          <w:t>foto 2 249.pdf</w:t>
        </w:r>
      </w:hyperlink>
      <w:r w:rsidR="00892A78" w:rsidRPr="00E95A8A">
        <w:rPr>
          <w:rFonts w:ascii="Palatino Linotype" w:eastAsia="Palatino Linotype" w:hAnsi="Palatino Linotype" w:cs="Palatino Linotype"/>
          <w:sz w:val="22"/>
        </w:rPr>
        <w:t>: Fotografía del arranque de la obra.</w:t>
      </w:r>
    </w:p>
    <w:p w:rsidR="00306E6B" w:rsidRPr="00E95A8A" w:rsidRDefault="00306E6B" w:rsidP="003D44AA">
      <w:pPr>
        <w:ind w:left="567" w:right="284"/>
        <w:jc w:val="both"/>
        <w:rPr>
          <w:rFonts w:ascii="Palatino Linotype" w:eastAsia="Palatino Linotype" w:hAnsi="Palatino Linotype" w:cs="Palatino Linotype"/>
          <w:sz w:val="22"/>
        </w:rPr>
      </w:pPr>
    </w:p>
    <w:p w:rsidR="00306E6B" w:rsidRPr="00E95A8A" w:rsidRDefault="00EE0D70" w:rsidP="003D44AA">
      <w:pPr>
        <w:ind w:left="567" w:right="284"/>
        <w:jc w:val="both"/>
        <w:rPr>
          <w:rFonts w:ascii="Palatino Linotype" w:eastAsia="Palatino Linotype" w:hAnsi="Palatino Linotype" w:cs="Palatino Linotype"/>
          <w:sz w:val="22"/>
        </w:rPr>
      </w:pPr>
      <w:hyperlink r:id="rId14">
        <w:r w:rsidR="00892A78" w:rsidRPr="00E95A8A">
          <w:rPr>
            <w:rFonts w:ascii="Palatino Linotype" w:eastAsia="Palatino Linotype" w:hAnsi="Palatino Linotype" w:cs="Palatino Linotype"/>
            <w:b/>
            <w:color w:val="000000"/>
            <w:sz w:val="22"/>
          </w:rPr>
          <w:t>Respuesta 249 Tesorería.pdf</w:t>
        </w:r>
      </w:hyperlink>
      <w:r w:rsidR="00892A78" w:rsidRPr="00E95A8A">
        <w:rPr>
          <w:rFonts w:ascii="Palatino Linotype" w:eastAsia="Palatino Linotype" w:hAnsi="Palatino Linotype" w:cs="Palatino Linotype"/>
          <w:sz w:val="22"/>
        </w:rPr>
        <w:t>: Oficio del 08 de abril de 2024, suscrito por el Tesorero Municipal, por medio del cual, informó que después de realizar una búsqueda exhaustiva y razonable, no localizó expediente con el nombre de la obra referida en la solicitud de información; en consecuencia, no cuenta con lo requerido.</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E95A8A">
        <w:rPr>
          <w:rFonts w:ascii="Palatino Linotype" w:eastAsia="Palatino Linotype" w:hAnsi="Palatino Linotype" w:cs="Palatino Linotype"/>
          <w:b/>
        </w:rPr>
        <w:t xml:space="preserve">Ley de Transparencia y Acceso a la Información Pública del Estado de México y Municipios </w:t>
      </w:r>
      <w:r w:rsidRPr="00E95A8A">
        <w:rPr>
          <w:rFonts w:ascii="Palatino Linotype" w:eastAsia="Palatino Linotype" w:hAnsi="Palatino Linotype" w:cs="Palatino Linotype"/>
        </w:rPr>
        <w:t xml:space="preserve">se turna a la </w:t>
      </w:r>
      <w:r w:rsidRPr="00E95A8A">
        <w:rPr>
          <w:rFonts w:ascii="Palatino Linotype" w:eastAsia="Palatino Linotype" w:hAnsi="Palatino Linotype" w:cs="Palatino Linotype"/>
          <w:b/>
        </w:rPr>
        <w:t xml:space="preserve">Comisionada María del Rosario Mejía Ayala, </w:t>
      </w:r>
      <w:r w:rsidRPr="00E95A8A">
        <w:rPr>
          <w:rFonts w:ascii="Palatino Linotype" w:eastAsia="Palatino Linotype" w:hAnsi="Palatino Linotype" w:cs="Palatino Linotype"/>
        </w:rPr>
        <w:t xml:space="preserve">para su análisis. </w:t>
      </w:r>
    </w:p>
    <w:p w:rsidR="003D44AA" w:rsidRPr="00E95A8A" w:rsidRDefault="003D44AA" w:rsidP="003D44AA">
      <w:pPr>
        <w:spacing w:line="360" w:lineRule="auto"/>
        <w:ind w:right="-277"/>
        <w:jc w:val="both"/>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color w:val="000000"/>
        </w:rPr>
      </w:pPr>
      <w:r w:rsidRPr="00E95A8A">
        <w:rPr>
          <w:rFonts w:ascii="Palatino Linotype" w:eastAsia="Palatino Linotype" w:hAnsi="Palatino Linotype" w:cs="Palatino Linotype"/>
        </w:rPr>
        <w:lastRenderedPageBreak/>
        <w:t xml:space="preserve">La Comisionada Ponente con fundamento en lo dispuesto por el artículo 185 fracción II de la ley de la materia, a través del acuerdo de admisión del treinta de abril de dos mil veinticuatro, puso a disposición de las partes el expediente electrónico vía </w:t>
      </w:r>
      <w:r w:rsidRPr="00E95A8A">
        <w:rPr>
          <w:rFonts w:ascii="Palatino Linotype" w:eastAsia="Palatino Linotype" w:hAnsi="Palatino Linotype" w:cs="Palatino Linotype"/>
          <w:b/>
        </w:rPr>
        <w:t xml:space="preserve">SAIMEX </w:t>
      </w:r>
      <w:r w:rsidRPr="00E95A8A">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E95A8A">
        <w:rPr>
          <w:rFonts w:ascii="Palatino Linotype" w:eastAsia="Palatino Linotype" w:hAnsi="Palatino Linotype" w:cs="Palatino Linotype"/>
          <w:b/>
        </w:rPr>
        <w:t>SUJETO OBLIGADO</w:t>
      </w:r>
      <w:r w:rsidRPr="00E95A8A">
        <w:rPr>
          <w:rFonts w:ascii="Palatino Linotype" w:eastAsia="Palatino Linotype" w:hAnsi="Palatino Linotype" w:cs="Palatino Linotype"/>
        </w:rPr>
        <w:t xml:space="preserve"> presentará el informe justificado procedente. </w:t>
      </w:r>
    </w:p>
    <w:p w:rsidR="00306E6B" w:rsidRPr="00E95A8A" w:rsidRDefault="00306E6B">
      <w:pPr>
        <w:shd w:val="clear" w:color="auto" w:fill="FFFFFF"/>
        <w:ind w:right="-277"/>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 xml:space="preserve">El ocho de mayo de dos mil veinticuatro, el </w:t>
      </w:r>
      <w:r w:rsidRPr="00E95A8A">
        <w:rPr>
          <w:rFonts w:ascii="Palatino Linotype" w:eastAsia="Palatino Linotype" w:hAnsi="Palatino Linotype" w:cs="Palatino Linotype"/>
          <w:b/>
        </w:rPr>
        <w:t>SUJETO OBLIGADO</w:t>
      </w:r>
      <w:r w:rsidRPr="00E95A8A">
        <w:rPr>
          <w:rFonts w:ascii="Palatino Linotype" w:eastAsia="Palatino Linotype" w:hAnsi="Palatino Linotype" w:cs="Palatino Linotype"/>
        </w:rPr>
        <w:t xml:space="preserve"> rindió el informe justificado correspondiente, por medio del archivo electrónico denominado </w:t>
      </w:r>
      <w:r w:rsidRPr="00E95A8A">
        <w:rPr>
          <w:rFonts w:ascii="Palatino Linotype" w:eastAsia="Palatino Linotype" w:hAnsi="Palatino Linotype" w:cs="Palatino Linotype"/>
          <w:b/>
        </w:rPr>
        <w:t xml:space="preserve">RESPUESTA 249 TESORERIA.pdf, </w:t>
      </w:r>
      <w:r w:rsidRPr="00E95A8A">
        <w:rPr>
          <w:rFonts w:ascii="Palatino Linotype" w:eastAsia="Palatino Linotype" w:hAnsi="Palatino Linotype" w:cs="Palatino Linotype"/>
        </w:rPr>
        <w:t xml:space="preserve">consistente en un oficio del 03 de mayo de 2024, suscrito por el Tesorero Municipal, por medio del cual, </w:t>
      </w:r>
      <w:r w:rsidRPr="00E95A8A">
        <w:rPr>
          <w:rFonts w:ascii="Palatino Linotype" w:eastAsia="Palatino Linotype" w:hAnsi="Palatino Linotype" w:cs="Palatino Linotype"/>
          <w:b/>
        </w:rPr>
        <w:t>ratificó la respuesta</w:t>
      </w:r>
      <w:r w:rsidRPr="00E95A8A">
        <w:rPr>
          <w:rFonts w:ascii="Palatino Linotype" w:eastAsia="Palatino Linotype" w:hAnsi="Palatino Linotype" w:cs="Palatino Linotype"/>
        </w:rPr>
        <w:t xml:space="preserve"> al referir que se realizó la búsqueda razonable por el concepto “remodelación de la Unidad Deportiva Emiliano Zapata”, sin haber encontrado información relativa en los archivos que obran en la Unidad Administrativa a su cargo, asimismo, refirió que, de acuerdo con la información proporcionada como evidencia, referente al “Parque Recreativo La Venta Ixtapaluca”, no corresponde a la relacionada con el requerimiento.</w:t>
      </w:r>
    </w:p>
    <w:p w:rsidR="00306E6B" w:rsidRPr="00E95A8A" w:rsidRDefault="00306E6B">
      <w:pPr>
        <w:pBdr>
          <w:top w:val="nil"/>
          <w:left w:val="nil"/>
          <w:bottom w:val="nil"/>
          <w:right w:val="nil"/>
          <w:between w:val="nil"/>
        </w:pBdr>
        <w:ind w:left="720" w:right="-277"/>
        <w:rPr>
          <w:rFonts w:ascii="Palatino Linotype" w:eastAsia="Palatino Linotype" w:hAnsi="Palatino Linotype" w:cs="Palatino Linotype"/>
          <w:color w:val="000000"/>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 xml:space="preserve">Por su parte, el cuatro de febrero de dos mil veinticuatro, el </w:t>
      </w:r>
      <w:r w:rsidRPr="00E95A8A">
        <w:rPr>
          <w:rFonts w:ascii="Palatino Linotype" w:eastAsia="Palatino Linotype" w:hAnsi="Palatino Linotype" w:cs="Palatino Linotype"/>
          <w:b/>
        </w:rPr>
        <w:t xml:space="preserve">RECURRENTE </w:t>
      </w:r>
      <w:r w:rsidRPr="00E95A8A">
        <w:rPr>
          <w:rFonts w:ascii="Palatino Linotype" w:eastAsia="Palatino Linotype" w:hAnsi="Palatino Linotype" w:cs="Palatino Linotype"/>
        </w:rPr>
        <w:t xml:space="preserve">adjuntó el archivo electrónico denominado </w:t>
      </w:r>
      <w:r w:rsidRPr="00E95A8A">
        <w:rPr>
          <w:rFonts w:ascii="Palatino Linotype" w:eastAsia="Palatino Linotype" w:hAnsi="Palatino Linotype" w:cs="Palatino Linotype"/>
          <w:b/>
        </w:rPr>
        <w:t>02133-2024 AMPLIACIÓN DE PLAZO.pdf</w:t>
      </w:r>
      <w:r w:rsidRPr="00E95A8A">
        <w:rPr>
          <w:rFonts w:ascii="Palatino Linotype" w:eastAsia="Palatino Linotype" w:hAnsi="Palatino Linotype" w:cs="Palatino Linotype"/>
        </w:rPr>
        <w:t>, consistente en el Acuerdo de Ampliación de plazo emitido por el Instituto de Transparencia, Acceso a la Información Pública y Protección de Datos Personales del Estado de México y Municipios.</w:t>
      </w:r>
    </w:p>
    <w:p w:rsidR="00306E6B" w:rsidRPr="00E95A8A" w:rsidRDefault="00306E6B">
      <w:pPr>
        <w:ind w:right="-277"/>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El once de junio de dos mil veinticuatro, se notificó el acuerdo mediante el cual se amplió el plazo para emitir resolución por un término de 15 días adicionales.</w:t>
      </w:r>
    </w:p>
    <w:p w:rsidR="00306E6B" w:rsidRPr="00E95A8A" w:rsidRDefault="00306E6B">
      <w:pPr>
        <w:ind w:right="-277"/>
        <w:jc w:val="both"/>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lastRenderedPageBreak/>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306E6B" w:rsidRPr="00E95A8A" w:rsidRDefault="00306E6B">
      <w:pPr>
        <w:ind w:right="-277"/>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306E6B" w:rsidRPr="00E95A8A" w:rsidRDefault="00306E6B">
      <w:pPr>
        <w:ind w:right="-277"/>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06E6B" w:rsidRPr="00E95A8A" w:rsidRDefault="00306E6B">
      <w:pPr>
        <w:ind w:right="-277"/>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306E6B" w:rsidRPr="00E95A8A" w:rsidRDefault="00306E6B">
      <w:pPr>
        <w:ind w:right="-277"/>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rsidR="00306E6B" w:rsidRPr="00E95A8A" w:rsidRDefault="00892A78">
      <w:pPr>
        <w:pBdr>
          <w:top w:val="nil"/>
          <w:left w:val="nil"/>
          <w:bottom w:val="nil"/>
          <w:right w:val="nil"/>
          <w:between w:val="nil"/>
        </w:pBdr>
        <w:spacing w:before="240"/>
        <w:ind w:left="567" w:right="289"/>
        <w:jc w:val="both"/>
        <w:rPr>
          <w:rFonts w:ascii="Palatino Linotype" w:eastAsia="Palatino Linotype" w:hAnsi="Palatino Linotype" w:cs="Palatino Linotype"/>
          <w:color w:val="000000"/>
          <w:sz w:val="22"/>
          <w:szCs w:val="22"/>
        </w:rPr>
      </w:pPr>
      <w:r w:rsidRPr="00E95A8A">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306E6B" w:rsidRPr="00E95A8A" w:rsidRDefault="00892A78">
      <w:pPr>
        <w:pBdr>
          <w:top w:val="nil"/>
          <w:left w:val="nil"/>
          <w:bottom w:val="nil"/>
          <w:right w:val="nil"/>
          <w:between w:val="nil"/>
        </w:pBdr>
        <w:ind w:left="567" w:right="289"/>
        <w:jc w:val="both"/>
        <w:rPr>
          <w:rFonts w:ascii="Palatino Linotype" w:eastAsia="Palatino Linotype" w:hAnsi="Palatino Linotype" w:cs="Palatino Linotype"/>
          <w:color w:val="000000"/>
          <w:sz w:val="22"/>
          <w:szCs w:val="22"/>
        </w:rPr>
      </w:pPr>
      <w:r w:rsidRPr="00E95A8A">
        <w:rPr>
          <w:rFonts w:ascii="Palatino Linotype" w:eastAsia="Palatino Linotype" w:hAnsi="Palatino Linotype" w:cs="Palatino Linotype"/>
          <w:color w:val="000000"/>
          <w:sz w:val="22"/>
          <w:szCs w:val="22"/>
        </w:rPr>
        <w:lastRenderedPageBreak/>
        <w:t>b) Actividad Procesal del interesado: Acciones u omisiones del interesado.</w:t>
      </w:r>
    </w:p>
    <w:p w:rsidR="00306E6B" w:rsidRPr="00E95A8A" w:rsidRDefault="00892A78">
      <w:pPr>
        <w:pBdr>
          <w:top w:val="nil"/>
          <w:left w:val="nil"/>
          <w:bottom w:val="nil"/>
          <w:right w:val="nil"/>
          <w:between w:val="nil"/>
        </w:pBdr>
        <w:ind w:left="567" w:right="289"/>
        <w:jc w:val="both"/>
        <w:rPr>
          <w:rFonts w:ascii="Palatino Linotype" w:eastAsia="Palatino Linotype" w:hAnsi="Palatino Linotype" w:cs="Palatino Linotype"/>
          <w:color w:val="000000"/>
          <w:sz w:val="22"/>
          <w:szCs w:val="22"/>
        </w:rPr>
      </w:pPr>
      <w:r w:rsidRPr="00E95A8A">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306E6B" w:rsidRPr="00E95A8A" w:rsidRDefault="00892A78">
      <w:pPr>
        <w:pBdr>
          <w:top w:val="nil"/>
          <w:left w:val="nil"/>
          <w:bottom w:val="nil"/>
          <w:right w:val="nil"/>
          <w:between w:val="nil"/>
        </w:pBdr>
        <w:ind w:left="567" w:right="289"/>
        <w:jc w:val="both"/>
        <w:rPr>
          <w:rFonts w:ascii="Palatino Linotype" w:eastAsia="Palatino Linotype" w:hAnsi="Palatino Linotype" w:cs="Palatino Linotype"/>
          <w:color w:val="000000"/>
          <w:sz w:val="22"/>
          <w:szCs w:val="22"/>
        </w:rPr>
      </w:pPr>
      <w:r w:rsidRPr="00E95A8A">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306E6B" w:rsidRPr="00E95A8A" w:rsidRDefault="00306E6B">
      <w:pPr>
        <w:pBdr>
          <w:top w:val="nil"/>
          <w:left w:val="nil"/>
          <w:bottom w:val="nil"/>
          <w:right w:val="nil"/>
          <w:between w:val="nil"/>
        </w:pBdr>
        <w:spacing w:after="240"/>
        <w:ind w:left="567" w:right="-277"/>
        <w:jc w:val="both"/>
        <w:rPr>
          <w:rFonts w:ascii="Palatino Linotype" w:eastAsia="Palatino Linotype" w:hAnsi="Palatino Linotype" w:cs="Palatino Linotype"/>
          <w:color w:val="000000"/>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06E6B" w:rsidRPr="00E95A8A" w:rsidRDefault="00306E6B">
      <w:pPr>
        <w:ind w:right="-277"/>
        <w:jc w:val="both"/>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Argumento que encuentra sustento en la jurisprudencia P./J. 32/92 emitida por el Pleno de la Suprema Corte de Justicia de la Nación del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rsidR="00306E6B" w:rsidRPr="00E95A8A" w:rsidRDefault="00306E6B">
      <w:pPr>
        <w:ind w:right="-277"/>
        <w:jc w:val="both"/>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w:t>
      </w:r>
      <w:r w:rsidRPr="00E95A8A">
        <w:rPr>
          <w:rFonts w:ascii="Palatino Linotype" w:eastAsia="Palatino Linotype" w:hAnsi="Palatino Linotype" w:cs="Palatino Linotype"/>
        </w:rPr>
        <w:lastRenderedPageBreak/>
        <w:t>la tramitación de los recursos dentro de los términos legales previamente establecidos por la Ley, por tratarse de causas de fuerza mayor.</w:t>
      </w:r>
    </w:p>
    <w:p w:rsidR="00306E6B" w:rsidRPr="00E95A8A" w:rsidRDefault="00306E6B">
      <w:pPr>
        <w:ind w:right="-277"/>
        <w:jc w:val="both"/>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306E6B" w:rsidRPr="00E95A8A" w:rsidRDefault="00892A78">
      <w:pPr>
        <w:tabs>
          <w:tab w:val="left" w:pos="8364"/>
        </w:tabs>
        <w:spacing w:before="240" w:after="240"/>
        <w:ind w:left="567" w:right="289"/>
        <w:jc w:val="both"/>
        <w:rPr>
          <w:rFonts w:ascii="Palatino Linotype" w:eastAsia="Palatino Linotype" w:hAnsi="Palatino Linotype" w:cs="Palatino Linotype"/>
          <w:sz w:val="22"/>
          <w:szCs w:val="22"/>
        </w:rPr>
      </w:pPr>
      <w:r w:rsidRPr="00E95A8A">
        <w:rPr>
          <w:rFonts w:ascii="Palatino Linotype" w:eastAsia="Palatino Linotype" w:hAnsi="Palatino Linotype" w:cs="Palatino Linotype"/>
          <w:sz w:val="22"/>
          <w:szCs w:val="22"/>
        </w:rPr>
        <w:t>“PLAZO RAZONABLE PARA RESOLVER. DIMENSIÓN Y EFECTOS DE ESTE CONCEPTO CUANDO SE ADUCE EXCESIVA CARGA DE TRABAJO.” consultable en el Seminario Judicial de la Federación y su gaceta, con el registro digital 2002351.</w:t>
      </w:r>
    </w:p>
    <w:p w:rsidR="00306E6B" w:rsidRPr="00E95A8A" w:rsidRDefault="00892A78">
      <w:pPr>
        <w:pBdr>
          <w:top w:val="nil"/>
          <w:left w:val="nil"/>
          <w:bottom w:val="nil"/>
          <w:right w:val="nil"/>
          <w:between w:val="nil"/>
        </w:pBdr>
        <w:tabs>
          <w:tab w:val="left" w:pos="8364"/>
        </w:tabs>
        <w:spacing w:before="240"/>
        <w:ind w:left="567" w:right="289"/>
        <w:jc w:val="both"/>
        <w:rPr>
          <w:rFonts w:ascii="Palatino Linotype" w:eastAsia="Palatino Linotype" w:hAnsi="Palatino Linotype" w:cs="Palatino Linotype"/>
          <w:color w:val="000000"/>
          <w:sz w:val="22"/>
          <w:szCs w:val="22"/>
        </w:rPr>
      </w:pPr>
      <w:r w:rsidRPr="00E95A8A">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306E6B" w:rsidRPr="00E95A8A" w:rsidRDefault="00892A78">
      <w:pPr>
        <w:pBdr>
          <w:top w:val="nil"/>
          <w:left w:val="nil"/>
          <w:bottom w:val="nil"/>
          <w:right w:val="nil"/>
          <w:between w:val="nil"/>
        </w:pBdr>
        <w:tabs>
          <w:tab w:val="left" w:pos="8364"/>
        </w:tabs>
        <w:ind w:left="567" w:right="-277"/>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La Comisionada Ponente decretó el cierre de instrucción mediante el acuerdo del veinticinco de febrero de dos mil veinticinco.-------------------------------------------------------------</w:t>
      </w:r>
    </w:p>
    <w:p w:rsidR="00306E6B" w:rsidRPr="00E95A8A" w:rsidRDefault="00306E6B">
      <w:pPr>
        <w:ind w:right="-277"/>
        <w:rPr>
          <w:rFonts w:ascii="Palatino Linotype" w:eastAsia="Palatino Linotype" w:hAnsi="Palatino Linotype" w:cs="Palatino Linotype"/>
          <w:b/>
        </w:rPr>
      </w:pPr>
    </w:p>
    <w:p w:rsidR="00306E6B" w:rsidRPr="00E95A8A" w:rsidRDefault="00306E6B">
      <w:pPr>
        <w:ind w:right="-277"/>
        <w:rPr>
          <w:rFonts w:ascii="Palatino Linotype" w:eastAsia="Palatino Linotype" w:hAnsi="Palatino Linotype" w:cs="Palatino Linotype"/>
          <w:b/>
        </w:rPr>
      </w:pPr>
    </w:p>
    <w:p w:rsidR="00306E6B" w:rsidRPr="00E95A8A" w:rsidRDefault="00892A78">
      <w:pPr>
        <w:keepNext/>
        <w:keepLines/>
        <w:spacing w:line="360" w:lineRule="auto"/>
        <w:ind w:right="-277"/>
        <w:jc w:val="center"/>
        <w:rPr>
          <w:rFonts w:ascii="Palatino Linotype" w:eastAsia="Palatino Linotype" w:hAnsi="Palatino Linotype" w:cs="Palatino Linotype"/>
          <w:b/>
        </w:rPr>
      </w:pPr>
      <w:r w:rsidRPr="00E95A8A">
        <w:rPr>
          <w:rFonts w:ascii="Palatino Linotype" w:eastAsia="Palatino Linotype" w:hAnsi="Palatino Linotype" w:cs="Palatino Linotype"/>
          <w:b/>
        </w:rPr>
        <w:t xml:space="preserve">C O N S I D E R A N D O </w:t>
      </w:r>
    </w:p>
    <w:p w:rsidR="00306E6B" w:rsidRPr="00E95A8A" w:rsidRDefault="00306E6B">
      <w:pPr>
        <w:keepNext/>
        <w:keepLines/>
        <w:ind w:right="-277"/>
        <w:rPr>
          <w:rFonts w:ascii="Palatino Linotype" w:eastAsia="Palatino Linotype" w:hAnsi="Palatino Linotype" w:cs="Palatino Linotype"/>
        </w:rPr>
      </w:pPr>
    </w:p>
    <w:p w:rsidR="00306E6B" w:rsidRPr="00E95A8A" w:rsidRDefault="00892A78">
      <w:pPr>
        <w:keepNext/>
        <w:keepLines/>
        <w:spacing w:line="360" w:lineRule="auto"/>
        <w:ind w:right="-277"/>
        <w:rPr>
          <w:rFonts w:ascii="Palatino Linotype" w:eastAsia="Palatino Linotype" w:hAnsi="Palatino Linotype" w:cs="Palatino Linotype"/>
          <w:b/>
        </w:rPr>
      </w:pPr>
      <w:r w:rsidRPr="00E95A8A">
        <w:rPr>
          <w:rFonts w:ascii="Palatino Linotype" w:eastAsia="Palatino Linotype" w:hAnsi="Palatino Linotype" w:cs="Palatino Linotype"/>
          <w:b/>
        </w:rPr>
        <w:t>PRIMERO. De la competencia.</w:t>
      </w: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bookmarkStart w:id="1" w:name="_heading=h.3znysh7" w:colFirst="0" w:colLast="0"/>
      <w:bookmarkEnd w:id="1"/>
      <w:r w:rsidRPr="00E95A8A">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w:t>
      </w:r>
      <w:r w:rsidRPr="00E95A8A">
        <w:rPr>
          <w:rFonts w:ascii="Palatino Linotype" w:eastAsia="Palatino Linotype" w:hAnsi="Palatino Linotype" w:cs="Palatino Linotype"/>
        </w:rPr>
        <w:lastRenderedPageBreak/>
        <w:t>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3D44AA" w:rsidRPr="00E95A8A" w:rsidRDefault="003D44AA" w:rsidP="003D44AA">
      <w:pPr>
        <w:spacing w:line="360" w:lineRule="auto"/>
        <w:ind w:right="-277"/>
        <w:jc w:val="both"/>
        <w:rPr>
          <w:rFonts w:ascii="Palatino Linotype" w:eastAsia="Palatino Linotype" w:hAnsi="Palatino Linotype" w:cs="Palatino Linotype"/>
          <w:b/>
        </w:rPr>
      </w:pPr>
    </w:p>
    <w:p w:rsidR="00306E6B" w:rsidRPr="00E95A8A" w:rsidRDefault="00892A78">
      <w:pPr>
        <w:keepNext/>
        <w:keepLines/>
        <w:spacing w:line="360" w:lineRule="auto"/>
        <w:ind w:right="-277"/>
        <w:rPr>
          <w:rFonts w:ascii="Palatino Linotype" w:eastAsia="Palatino Linotype" w:hAnsi="Palatino Linotype" w:cs="Palatino Linotype"/>
          <w:b/>
        </w:rPr>
      </w:pPr>
      <w:r w:rsidRPr="00E95A8A">
        <w:rPr>
          <w:rFonts w:ascii="Palatino Linotype" w:eastAsia="Palatino Linotype" w:hAnsi="Palatino Linotype" w:cs="Palatino Linotype"/>
          <w:b/>
        </w:rPr>
        <w:t>SEGUNDO. De la oportunidad y procedencia.</w:t>
      </w: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bookmarkStart w:id="2" w:name="_heading=h.3dy6vkm" w:colFirst="0" w:colLast="0"/>
      <w:bookmarkEnd w:id="2"/>
      <w:r w:rsidRPr="00E95A8A">
        <w:rPr>
          <w:rFonts w:ascii="Palatino Linotype" w:eastAsia="Palatino Linotype" w:hAnsi="Palatino Linotype" w:cs="Palatino Linotype"/>
        </w:rPr>
        <w:t xml:space="preserve">El medio de impugnación fue presentado a través del </w:t>
      </w:r>
      <w:r w:rsidRPr="00E95A8A">
        <w:rPr>
          <w:rFonts w:ascii="Palatino Linotype" w:eastAsia="Palatino Linotype" w:hAnsi="Palatino Linotype" w:cs="Palatino Linotype"/>
          <w:b/>
        </w:rPr>
        <w:t>SAIMEX,</w:t>
      </w:r>
      <w:r w:rsidRPr="00E95A8A">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E95A8A">
        <w:rPr>
          <w:rFonts w:ascii="Palatino Linotype" w:eastAsia="Palatino Linotype" w:hAnsi="Palatino Linotype" w:cs="Palatino Linotype"/>
          <w:b/>
        </w:rPr>
        <w:t>SUJETO OBLIGADO</w:t>
      </w:r>
      <w:r w:rsidRPr="00E95A8A">
        <w:rPr>
          <w:rFonts w:ascii="Palatino Linotype" w:eastAsia="Palatino Linotype" w:hAnsi="Palatino Linotype" w:cs="Palatino Linotype"/>
        </w:rPr>
        <w:t xml:space="preserve"> entregó respuesta el veintidós de abril de dos mil veinticuatro de dos mil veinticuatro, de tal forma que el plazo para interponer el recurso de revisión transcurrió del veintitrés de abril al quince de mayo de dos mil veinticuatro; en consecuencia, presentó su inconformidad el veintitrés de abril de dos mil veinticuatro, por lo que se encuentra dentro de los márgenes temporales previstos en el artículo 178 de la </w:t>
      </w:r>
      <w:r w:rsidRPr="00E95A8A">
        <w:rPr>
          <w:rFonts w:ascii="Palatino Linotype" w:eastAsia="Palatino Linotype" w:hAnsi="Palatino Linotype" w:cs="Palatino Linotype"/>
          <w:b/>
        </w:rPr>
        <w:t xml:space="preserve">Ley de Transparencia y Acceso a la Información Pública del Estado de México y Municipios </w:t>
      </w:r>
      <w:r w:rsidRPr="00E95A8A">
        <w:rPr>
          <w:rFonts w:ascii="Palatino Linotype" w:eastAsia="Palatino Linotype" w:hAnsi="Palatino Linotype" w:cs="Palatino Linotype"/>
        </w:rPr>
        <w:t>vigente.</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spacing w:line="360" w:lineRule="auto"/>
        <w:ind w:right="-277"/>
        <w:jc w:val="both"/>
        <w:rPr>
          <w:rFonts w:ascii="Palatino Linotype" w:eastAsia="Palatino Linotype" w:hAnsi="Palatino Linotype" w:cs="Palatino Linotype"/>
          <w:b/>
        </w:rPr>
      </w:pPr>
      <w:r w:rsidRPr="00E95A8A">
        <w:rPr>
          <w:rFonts w:ascii="Palatino Linotype" w:eastAsia="Palatino Linotype" w:hAnsi="Palatino Linotype" w:cs="Palatino Linotype"/>
          <w:b/>
        </w:rPr>
        <w:t>TERCERO. Planteamiento de la Litis.</w:t>
      </w: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 xml:space="preserve">El </w:t>
      </w:r>
      <w:r w:rsidRPr="00E95A8A">
        <w:rPr>
          <w:rFonts w:ascii="Palatino Linotype" w:eastAsia="Palatino Linotype" w:hAnsi="Palatino Linotype" w:cs="Palatino Linotype"/>
          <w:b/>
        </w:rPr>
        <w:t xml:space="preserve">RECURRENTE </w:t>
      </w:r>
      <w:r w:rsidRPr="00E95A8A">
        <w:rPr>
          <w:rFonts w:ascii="Palatino Linotype" w:eastAsia="Palatino Linotype" w:hAnsi="Palatino Linotype" w:cs="Palatino Linotype"/>
        </w:rPr>
        <w:t xml:space="preserve">solicitó de </w:t>
      </w:r>
      <w:r w:rsidRPr="00E95A8A">
        <w:rPr>
          <w:rFonts w:ascii="Palatino Linotype" w:eastAsia="Palatino Linotype" w:hAnsi="Palatino Linotype" w:cs="Palatino Linotype"/>
          <w:color w:val="000000"/>
        </w:rPr>
        <w:t xml:space="preserve">la remodelación en la Unidad Deportiva Emiliano Zapata que se encuentra en Ignacio Zaragoza Manzana 011, La Venta, Ixtapaluca; lo </w:t>
      </w:r>
      <w:r w:rsidRPr="00E95A8A">
        <w:rPr>
          <w:rFonts w:ascii="Palatino Linotype" w:eastAsia="Palatino Linotype" w:hAnsi="Palatino Linotype" w:cs="Palatino Linotype"/>
          <w:color w:val="000000"/>
        </w:rPr>
        <w:lastRenderedPageBreak/>
        <w:t>siguiente:</w:t>
      </w:r>
      <w:r w:rsidRPr="00E95A8A">
        <w:rPr>
          <w:rFonts w:ascii="Palatino Linotype" w:eastAsia="Palatino Linotype" w:hAnsi="Palatino Linotype" w:cs="Palatino Linotype"/>
        </w:rPr>
        <w:t xml:space="preserve"> El</w:t>
      </w:r>
      <w:r w:rsidRPr="00E95A8A">
        <w:rPr>
          <w:rFonts w:ascii="Palatino Linotype" w:eastAsia="Palatino Linotype" w:hAnsi="Palatino Linotype" w:cs="Palatino Linotype"/>
          <w:color w:val="000000"/>
        </w:rPr>
        <w:t xml:space="preserve"> proyecto, los contratos con sus anexos y el perfil del proveedor o constructora que la realizó y/o ejecutó.</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 xml:space="preserve">En respuesta, el </w:t>
      </w:r>
      <w:r w:rsidRPr="00E95A8A">
        <w:rPr>
          <w:rFonts w:ascii="Palatino Linotype" w:eastAsia="Palatino Linotype" w:hAnsi="Palatino Linotype" w:cs="Palatino Linotype"/>
          <w:b/>
        </w:rPr>
        <w:t>SUJETO OBLIGADO</w:t>
      </w:r>
      <w:r w:rsidRPr="00E95A8A">
        <w:rPr>
          <w:rFonts w:ascii="Palatino Linotype" w:eastAsia="Palatino Linotype" w:hAnsi="Palatino Linotype" w:cs="Palatino Linotype"/>
        </w:rPr>
        <w:t xml:space="preserve"> por medio del Tesorero Municipal, informó que después de realizar una búsqueda exhaustiva y razonable, no localizó expediente con el nombre de la obra referida en la solicitud de información.</w:t>
      </w:r>
    </w:p>
    <w:p w:rsidR="00306E6B" w:rsidRPr="00E95A8A" w:rsidRDefault="00306E6B">
      <w:pPr>
        <w:ind w:right="-277"/>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 xml:space="preserve">Posteriormente, el </w:t>
      </w:r>
      <w:r w:rsidRPr="00E95A8A">
        <w:rPr>
          <w:rFonts w:ascii="Palatino Linotype" w:eastAsia="Palatino Linotype" w:hAnsi="Palatino Linotype" w:cs="Palatino Linotype"/>
          <w:b/>
        </w:rPr>
        <w:t>RECURRENTE</w:t>
      </w:r>
      <w:r w:rsidRPr="00E95A8A">
        <w:rPr>
          <w:rFonts w:ascii="Palatino Linotype" w:eastAsia="Palatino Linotype" w:hAnsi="Palatino Linotype" w:cs="Palatino Linotype"/>
        </w:rPr>
        <w:t xml:space="preserve"> se inconformó por </w:t>
      </w:r>
      <w:r w:rsidRPr="00E95A8A">
        <w:rPr>
          <w:rFonts w:ascii="Palatino Linotype" w:eastAsia="Palatino Linotype" w:hAnsi="Palatino Linotype" w:cs="Palatino Linotype"/>
          <w:b/>
        </w:rPr>
        <w:t>la negativa de la información solicitada.</w:t>
      </w:r>
    </w:p>
    <w:p w:rsidR="00306E6B" w:rsidRPr="00E95A8A" w:rsidRDefault="00306E6B">
      <w:pPr>
        <w:ind w:right="-277"/>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bookmarkStart w:id="3" w:name="_heading=h.gjdgxs" w:colFirst="0" w:colLast="0"/>
      <w:bookmarkEnd w:id="3"/>
      <w:r w:rsidRPr="00E95A8A">
        <w:rPr>
          <w:rFonts w:ascii="Palatino Linotype" w:eastAsia="Palatino Linotype" w:hAnsi="Palatino Linotype" w:cs="Palatino Linotype"/>
        </w:rPr>
        <w:t xml:space="preserve">En dichas condiciones, la </w:t>
      </w:r>
      <w:r w:rsidRPr="00E95A8A">
        <w:rPr>
          <w:rFonts w:ascii="Palatino Linotype" w:eastAsia="Palatino Linotype" w:hAnsi="Palatino Linotype" w:cs="Palatino Linotype"/>
          <w:i/>
        </w:rPr>
        <w:t>Litis</w:t>
      </w:r>
      <w:r w:rsidRPr="00E95A8A">
        <w:rPr>
          <w:rFonts w:ascii="Palatino Linotype" w:eastAsia="Palatino Linotype" w:hAnsi="Palatino Linotype" w:cs="Palatino Linotype"/>
        </w:rPr>
        <w:t xml:space="preserve"> a resolver en el presente recurso de revisión se circunscribe a determinar si se actualizan la causal de procedencia prevista en el artículo 179, fracción</w:t>
      </w:r>
      <w:r w:rsidRPr="00E95A8A">
        <w:rPr>
          <w:rFonts w:ascii="Palatino Linotype" w:eastAsia="Palatino Linotype" w:hAnsi="Palatino Linotype" w:cs="Palatino Linotype"/>
          <w:b/>
        </w:rPr>
        <w:t xml:space="preserve"> </w:t>
      </w:r>
      <w:r w:rsidRPr="00E95A8A">
        <w:rPr>
          <w:rFonts w:ascii="Palatino Linotype" w:eastAsia="Palatino Linotype" w:hAnsi="Palatino Linotype" w:cs="Palatino Linotype"/>
        </w:rPr>
        <w:t xml:space="preserve">I de la </w:t>
      </w:r>
      <w:r w:rsidRPr="00E95A8A">
        <w:rPr>
          <w:rFonts w:ascii="Palatino Linotype" w:eastAsia="Palatino Linotype" w:hAnsi="Palatino Linotype" w:cs="Palatino Linotype"/>
          <w:b/>
        </w:rPr>
        <w:t>Ley de Transparencia y Acceso a la Información Pública del Estado de México y Municipios</w:t>
      </w:r>
      <w:r w:rsidRPr="00E95A8A">
        <w:rPr>
          <w:rFonts w:ascii="Palatino Linotype" w:eastAsia="Palatino Linotype" w:hAnsi="Palatino Linotype" w:cs="Palatino Linotype"/>
        </w:rPr>
        <w:t>.</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pStyle w:val="Ttulo2"/>
        <w:spacing w:before="0" w:line="360" w:lineRule="auto"/>
        <w:ind w:right="-277"/>
        <w:rPr>
          <w:rFonts w:ascii="Palatino Linotype" w:eastAsia="Palatino Linotype" w:hAnsi="Palatino Linotype" w:cs="Palatino Linotype"/>
          <w:b/>
          <w:color w:val="000000"/>
          <w:sz w:val="24"/>
          <w:szCs w:val="24"/>
        </w:rPr>
      </w:pPr>
      <w:r w:rsidRPr="00E95A8A">
        <w:rPr>
          <w:rFonts w:ascii="Palatino Linotype" w:eastAsia="Palatino Linotype" w:hAnsi="Palatino Linotype" w:cs="Palatino Linotype"/>
          <w:b/>
          <w:color w:val="000000"/>
          <w:sz w:val="24"/>
          <w:szCs w:val="24"/>
        </w:rPr>
        <w:t>CUARTA. Estudio y resolución del asunto.</w:t>
      </w: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b/>
        </w:rPr>
        <w:t xml:space="preserve"> </w:t>
      </w:r>
      <w:r w:rsidRPr="00E95A8A">
        <w:rPr>
          <w:rFonts w:ascii="Palatino Linotype" w:eastAsia="Palatino Linotype" w:hAnsi="Palatino Linotype" w:cs="Palatino Linotype"/>
        </w:rPr>
        <w:t xml:space="preserve">El </w:t>
      </w:r>
      <w:r w:rsidRPr="00E95A8A">
        <w:rPr>
          <w:rFonts w:ascii="Palatino Linotype" w:eastAsia="Palatino Linotype" w:hAnsi="Palatino Linotype" w:cs="Palatino Linotype"/>
          <w:color w:val="000000"/>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E95A8A">
        <w:rPr>
          <w:rFonts w:ascii="Palatino Linotype" w:eastAsia="Palatino Linotype" w:hAnsi="Palatino Linotype" w:cs="Palatino Linotype"/>
        </w:rPr>
        <w:t>Particular</w:t>
      </w:r>
      <w:r w:rsidRPr="00E95A8A">
        <w:rPr>
          <w:rFonts w:ascii="Palatino Linotype" w:eastAsia="Palatino Linotype" w:hAnsi="Palatino Linotype" w:cs="Palatino Linotype"/>
          <w:color w:val="000000"/>
        </w:rPr>
        <w:t xml:space="preserve"> del Estado de México.</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color w:val="000000"/>
        </w:rPr>
        <w:t xml:space="preserve">Definiendo </w:t>
      </w:r>
      <w:r w:rsidRPr="00E95A8A">
        <w:rPr>
          <w:rFonts w:ascii="Palatino Linotype" w:eastAsia="Palatino Linotype" w:hAnsi="Palatino Linotype" w:cs="Palatino Linotype"/>
        </w:rPr>
        <w:t xml:space="preserve">el Derecho de Acceso a la Información Pública como: </w:t>
      </w:r>
      <w:r w:rsidRPr="00E95A8A">
        <w:rPr>
          <w:rFonts w:ascii="Palatino Linotype" w:eastAsia="Palatino Linotype" w:hAnsi="Palatino Linotype" w:cs="Palatino Linotype"/>
          <w:i/>
          <w:color w:val="000000"/>
        </w:rPr>
        <w:t xml:space="preserve">La igualdad de </w:t>
      </w:r>
      <w:r w:rsidRPr="00E95A8A">
        <w:rPr>
          <w:rFonts w:ascii="Palatino Linotype" w:eastAsia="Palatino Linotype" w:hAnsi="Palatino Linotype" w:cs="Palatino Linotype"/>
        </w:rPr>
        <w:t>oportunidades</w:t>
      </w:r>
      <w:r w:rsidRPr="00E95A8A">
        <w:rPr>
          <w:rFonts w:ascii="Palatino Linotype" w:eastAsia="Palatino Linotype" w:hAnsi="Palatino Linotype" w:cs="Palatino Linotype"/>
          <w:i/>
          <w:color w:val="000000"/>
        </w:rPr>
        <w:t xml:space="preserve"> para recibir, buscar e impartir información</w:t>
      </w:r>
      <w:r w:rsidRPr="00E95A8A">
        <w:rPr>
          <w:rFonts w:ascii="Palatino Linotype" w:eastAsia="Palatino Linotype" w:hAnsi="Palatino Linotype" w:cs="Palatino Linotype"/>
          <w:i/>
          <w:color w:val="000000"/>
          <w:vertAlign w:val="superscript"/>
        </w:rPr>
        <w:footnoteReference w:id="1"/>
      </w:r>
      <w:r w:rsidRPr="00E95A8A">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w:t>
      </w:r>
      <w:r w:rsidRPr="00E95A8A">
        <w:rPr>
          <w:rFonts w:ascii="Palatino Linotype" w:eastAsia="Palatino Linotype" w:hAnsi="Palatino Linotype" w:cs="Palatino Linotype"/>
          <w:i/>
          <w:color w:val="000000"/>
        </w:rPr>
        <w:lastRenderedPageBreak/>
        <w:t>partidos políticos, fideicomisos y fondos públicos, así como de cualquier persona física, moral o sindicato que reciba y ejerza recursos públicos o realice actos de autoridad en el ámbito federal, estatal y municipal,</w:t>
      </w:r>
      <w:r w:rsidRPr="00E95A8A">
        <w:rPr>
          <w:rFonts w:ascii="Palatino Linotype" w:eastAsia="Palatino Linotype" w:hAnsi="Palatino Linotype" w:cs="Palatino Linotype"/>
          <w:i/>
          <w:color w:val="000000"/>
          <w:vertAlign w:val="superscript"/>
        </w:rPr>
        <w:footnoteReference w:id="2"/>
      </w:r>
      <w:r w:rsidRPr="00E95A8A">
        <w:rPr>
          <w:rFonts w:ascii="Palatino Linotype" w:eastAsia="Palatino Linotype" w:hAnsi="Palatino Linotype" w:cs="Palatino Linotype"/>
          <w:color w:val="000000"/>
        </w:rPr>
        <w:t>que se constituye como una herramienta fundamental para ejercer</w:t>
      </w:r>
      <w:r w:rsidRPr="00E95A8A">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E95A8A">
        <w:rPr>
          <w:rFonts w:ascii="Palatino Linotype" w:eastAsia="Palatino Linotype" w:hAnsi="Palatino Linotype" w:cs="Palatino Linotype"/>
          <w:i/>
          <w:color w:val="000000"/>
          <w:vertAlign w:val="superscript"/>
        </w:rPr>
        <w:footnoteReference w:id="3"/>
      </w:r>
      <w:r w:rsidRPr="00E95A8A">
        <w:rPr>
          <w:rFonts w:ascii="Palatino Linotype" w:eastAsia="Palatino Linotype" w:hAnsi="Palatino Linotype" w:cs="Palatino Linotype"/>
          <w:color w:val="000000"/>
        </w:rPr>
        <w:t>fomentando</w:t>
      </w:r>
      <w:r w:rsidRPr="00E95A8A">
        <w:rPr>
          <w:rFonts w:ascii="Palatino Linotype" w:eastAsia="Palatino Linotype" w:hAnsi="Palatino Linotype" w:cs="Palatino Linotype"/>
          <w:i/>
          <w:color w:val="000000"/>
        </w:rPr>
        <w:t xml:space="preserve"> la transparencia de las actividades estatales y </w:t>
      </w:r>
      <w:r w:rsidRPr="00E95A8A">
        <w:rPr>
          <w:rFonts w:ascii="Palatino Linotype" w:eastAsia="Palatino Linotype" w:hAnsi="Palatino Linotype" w:cs="Palatino Linotype"/>
          <w:color w:val="000000"/>
        </w:rPr>
        <w:t>promoviendo</w:t>
      </w:r>
      <w:r w:rsidRPr="00E95A8A">
        <w:rPr>
          <w:rFonts w:ascii="Palatino Linotype" w:eastAsia="Palatino Linotype" w:hAnsi="Palatino Linotype" w:cs="Palatino Linotype"/>
          <w:i/>
          <w:color w:val="000000"/>
        </w:rPr>
        <w:t xml:space="preserve"> la responsabilidad de los funcionarios sobre su gestión pública,</w:t>
      </w:r>
      <w:r w:rsidRPr="00E95A8A">
        <w:rPr>
          <w:rFonts w:ascii="Palatino Linotype" w:eastAsia="Palatino Linotype" w:hAnsi="Palatino Linotype" w:cs="Palatino Linotype"/>
          <w:i/>
          <w:color w:val="000000"/>
          <w:vertAlign w:val="superscript"/>
        </w:rPr>
        <w:footnoteReference w:id="4"/>
      </w:r>
      <w:r w:rsidRPr="00E95A8A">
        <w:rPr>
          <w:rFonts w:ascii="Palatino Linotype" w:eastAsia="Palatino Linotype" w:hAnsi="Palatino Linotype" w:cs="Palatino Linotype"/>
          <w:color w:val="000000"/>
        </w:rPr>
        <w:t>que permite</w:t>
      </w:r>
      <w:r w:rsidRPr="00E95A8A">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306E6B" w:rsidRPr="00E95A8A" w:rsidRDefault="00306E6B">
      <w:pPr>
        <w:ind w:right="-277"/>
        <w:rPr>
          <w:rFonts w:ascii="Palatino Linotype" w:eastAsia="Palatino Linotype" w:hAnsi="Palatino Linotype" w:cs="Palatino Linotype"/>
          <w:color w:val="000000"/>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color w:val="000000"/>
        </w:rPr>
        <w:t xml:space="preserve">En </w:t>
      </w:r>
      <w:r w:rsidRPr="00E95A8A">
        <w:rPr>
          <w:rFonts w:ascii="Palatino Linotype" w:eastAsia="Palatino Linotype" w:hAnsi="Palatino Linotype" w:cs="Palatino Linotype"/>
        </w:rPr>
        <w:t>México, además de los derechos, están reconocidas las garantías para su protección, en ese sentido el párrafo tercero de artículo primero de la Constitución Política de los Estados Unidos Mexicanos, dispone lo siguiente:</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r w:rsidRPr="00E95A8A">
        <w:rPr>
          <w:rFonts w:ascii="Palatino Linotype" w:eastAsia="Palatino Linotype" w:hAnsi="Palatino Linotype" w:cs="Palatino Linotype"/>
          <w:b/>
          <w:i/>
          <w:sz w:val="22"/>
          <w:szCs w:val="22"/>
        </w:rPr>
        <w:t>Artículo 1.-</w:t>
      </w:r>
      <w:r w:rsidRPr="00E95A8A">
        <w:rPr>
          <w:rFonts w:ascii="Palatino Linotype" w:eastAsia="Palatino Linotype" w:hAnsi="Palatino Linotype" w:cs="Palatino Linotype"/>
          <w:i/>
          <w:sz w:val="22"/>
          <w:szCs w:val="22"/>
        </w:rPr>
        <w:t xml:space="preserve">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Todas las</w:t>
      </w:r>
      <w:r w:rsidRPr="00E95A8A">
        <w:rPr>
          <w:rFonts w:ascii="Palatino Linotype" w:eastAsia="Palatino Linotype" w:hAnsi="Palatino Linotype" w:cs="Palatino Linotype"/>
          <w:sz w:val="22"/>
          <w:szCs w:val="22"/>
        </w:rPr>
        <w:t xml:space="preserve"> </w:t>
      </w:r>
      <w:r w:rsidRPr="00E95A8A">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306E6B" w:rsidRPr="00E95A8A" w:rsidRDefault="00892A78">
      <w:pPr>
        <w:ind w:left="567" w:right="289"/>
        <w:jc w:val="both"/>
        <w:rPr>
          <w:rFonts w:ascii="Palatino Linotype" w:eastAsia="Palatino Linotype" w:hAnsi="Palatino Linotype" w:cs="Palatino Linotype"/>
          <w:sz w:val="22"/>
          <w:szCs w:val="22"/>
        </w:rPr>
      </w:pPr>
      <w:r w:rsidRPr="00E95A8A">
        <w:rPr>
          <w:rFonts w:ascii="Palatino Linotype" w:eastAsia="Palatino Linotype" w:hAnsi="Palatino Linotype" w:cs="Palatino Linotype"/>
          <w:i/>
          <w:sz w:val="22"/>
          <w:szCs w:val="22"/>
        </w:rPr>
        <w:t>(…)</w:t>
      </w:r>
      <w:r w:rsidRPr="00E95A8A">
        <w:rPr>
          <w:rFonts w:ascii="Palatino Linotype" w:eastAsia="Palatino Linotype" w:hAnsi="Palatino Linotype" w:cs="Palatino Linotype"/>
          <w:sz w:val="22"/>
          <w:szCs w:val="22"/>
        </w:rPr>
        <w:t>”</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color w:val="000000"/>
        </w:rPr>
        <w:t xml:space="preserve">Por </w:t>
      </w:r>
      <w:r w:rsidRPr="00E95A8A">
        <w:rPr>
          <w:rFonts w:ascii="Palatino Linotype" w:eastAsia="Palatino Linotype" w:hAnsi="Palatino Linotype" w:cs="Palatino Linotype"/>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color w:val="000000"/>
        </w:rPr>
        <w:lastRenderedPageBreak/>
        <w:t xml:space="preserve">Así </w:t>
      </w:r>
      <w:r w:rsidRPr="00E95A8A">
        <w:rPr>
          <w:rFonts w:ascii="Palatino Linotype" w:eastAsia="Palatino Linotype" w:hAnsi="Palatino Linotype" w:cs="Palatino Linotype"/>
        </w:rPr>
        <w:t>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306E6B" w:rsidRPr="00E95A8A" w:rsidRDefault="00892A78" w:rsidP="003D44AA">
      <w:pPr>
        <w:ind w:left="567" w:right="284"/>
        <w:jc w:val="both"/>
        <w:rPr>
          <w:rFonts w:ascii="Palatino Linotype" w:eastAsia="Palatino Linotype" w:hAnsi="Palatino Linotype" w:cs="Palatino Linotype"/>
          <w:b/>
          <w:i/>
          <w:sz w:val="22"/>
        </w:rPr>
      </w:pPr>
      <w:r w:rsidRPr="00E95A8A">
        <w:rPr>
          <w:rFonts w:ascii="Palatino Linotype" w:eastAsia="Palatino Linotype" w:hAnsi="Palatino Linotype" w:cs="Palatino Linotype"/>
          <w:b/>
          <w:i/>
          <w:sz w:val="22"/>
        </w:rPr>
        <w:t>Constitución Política de los Estados Unidos Mexicanos</w:t>
      </w:r>
    </w:p>
    <w:p w:rsidR="00306E6B" w:rsidRPr="00E95A8A" w:rsidRDefault="00306E6B" w:rsidP="003D44AA">
      <w:pPr>
        <w:ind w:left="567" w:right="284"/>
        <w:jc w:val="both"/>
        <w:rPr>
          <w:rFonts w:ascii="Palatino Linotype" w:eastAsia="Palatino Linotype" w:hAnsi="Palatino Linotype" w:cs="Palatino Linotype"/>
          <w:b/>
          <w:i/>
          <w:sz w:val="22"/>
        </w:rPr>
      </w:pPr>
    </w:p>
    <w:p w:rsidR="00306E6B" w:rsidRPr="00E95A8A" w:rsidRDefault="00892A78" w:rsidP="003D44AA">
      <w:pPr>
        <w:ind w:left="567" w:right="284"/>
        <w:jc w:val="both"/>
        <w:rPr>
          <w:rFonts w:ascii="Palatino Linotype" w:eastAsia="Palatino Linotype" w:hAnsi="Palatino Linotype" w:cs="Palatino Linotype"/>
          <w:b/>
          <w:i/>
          <w:sz w:val="22"/>
        </w:rPr>
      </w:pPr>
      <w:r w:rsidRPr="00E95A8A">
        <w:rPr>
          <w:rFonts w:ascii="Palatino Linotype" w:eastAsia="Palatino Linotype" w:hAnsi="Palatino Linotype" w:cs="Palatino Linotype"/>
          <w:b/>
          <w:i/>
          <w:sz w:val="22"/>
        </w:rPr>
        <w:t>“Artículo 6.</w:t>
      </w:r>
      <w:r w:rsidRPr="00E95A8A">
        <w:rPr>
          <w:rFonts w:ascii="Palatino Linotype" w:eastAsia="Palatino Linotype" w:hAnsi="Palatino Linotype" w:cs="Palatino Linotype"/>
          <w:i/>
          <w:sz w:val="22"/>
        </w:rPr>
        <w:t xml:space="preserve"> …</w:t>
      </w:r>
    </w:p>
    <w:p w:rsidR="00306E6B" w:rsidRPr="00E95A8A" w:rsidRDefault="00892A78" w:rsidP="003D44AA">
      <w:pPr>
        <w:ind w:left="567" w:right="284"/>
        <w:jc w:val="both"/>
        <w:rPr>
          <w:rFonts w:ascii="Palatino Linotype" w:eastAsia="Palatino Linotype" w:hAnsi="Palatino Linotype" w:cs="Palatino Linotype"/>
          <w:i/>
          <w:sz w:val="22"/>
        </w:rPr>
      </w:pPr>
      <w:r w:rsidRPr="00E95A8A">
        <w:rPr>
          <w:rFonts w:ascii="Palatino Linotype" w:eastAsia="Palatino Linotype" w:hAnsi="Palatino Linotype" w:cs="Palatino Linotype"/>
          <w:i/>
          <w:sz w:val="22"/>
        </w:rPr>
        <w:t>…</w:t>
      </w:r>
    </w:p>
    <w:p w:rsidR="00306E6B" w:rsidRPr="00E95A8A" w:rsidRDefault="00892A78" w:rsidP="003D44AA">
      <w:pPr>
        <w:ind w:left="567" w:right="284"/>
        <w:jc w:val="both"/>
        <w:rPr>
          <w:rFonts w:ascii="Palatino Linotype" w:eastAsia="Palatino Linotype" w:hAnsi="Palatino Linotype" w:cs="Palatino Linotype"/>
          <w:i/>
          <w:sz w:val="22"/>
        </w:rPr>
      </w:pPr>
      <w:r w:rsidRPr="00E95A8A">
        <w:rPr>
          <w:rFonts w:ascii="Palatino Linotype" w:eastAsia="Palatino Linotype" w:hAnsi="Palatino Linotype" w:cs="Palatino Linotype"/>
          <w:i/>
          <w:sz w:val="22"/>
        </w:rPr>
        <w:t>Para efectos de lo dispuesto en el presente artículo se observará lo siguiente:</w:t>
      </w:r>
    </w:p>
    <w:p w:rsidR="00306E6B" w:rsidRPr="00E95A8A" w:rsidRDefault="00892A78" w:rsidP="003D44AA">
      <w:pPr>
        <w:numPr>
          <w:ilvl w:val="0"/>
          <w:numId w:val="3"/>
        </w:numPr>
        <w:pBdr>
          <w:top w:val="nil"/>
          <w:left w:val="nil"/>
          <w:bottom w:val="nil"/>
          <w:right w:val="nil"/>
          <w:between w:val="nil"/>
        </w:pBdr>
        <w:ind w:right="284"/>
        <w:jc w:val="both"/>
        <w:rPr>
          <w:rFonts w:ascii="Palatino Linotype" w:eastAsia="Palatino Linotype" w:hAnsi="Palatino Linotype" w:cs="Palatino Linotype"/>
          <w:b/>
          <w:i/>
          <w:color w:val="000000"/>
          <w:sz w:val="22"/>
        </w:rPr>
      </w:pPr>
      <w:r w:rsidRPr="00E95A8A">
        <w:rPr>
          <w:rFonts w:ascii="Palatino Linotype" w:eastAsia="Palatino Linotype" w:hAnsi="Palatino Linotype" w:cs="Palatino Linotype"/>
          <w:b/>
          <w:i/>
          <w:color w:val="000000"/>
          <w:sz w:val="22"/>
        </w:rPr>
        <w:t>Para el ejercicio del derecho de acceso a la información</w:t>
      </w:r>
      <w:r w:rsidRPr="00E95A8A">
        <w:rPr>
          <w:rFonts w:ascii="Palatino Linotype" w:eastAsia="Palatino Linotype" w:hAnsi="Palatino Linotype" w:cs="Palatino Linotype"/>
          <w:i/>
          <w:color w:val="000000"/>
          <w:sz w:val="22"/>
        </w:rPr>
        <w:t xml:space="preserve">, la Federación y </w:t>
      </w:r>
      <w:r w:rsidRPr="00E95A8A">
        <w:rPr>
          <w:rFonts w:ascii="Palatino Linotype" w:eastAsia="Palatino Linotype" w:hAnsi="Palatino Linotype" w:cs="Palatino Linotype"/>
          <w:b/>
          <w:i/>
          <w:color w:val="000000"/>
          <w:sz w:val="22"/>
        </w:rPr>
        <w:t>las entidades federativas, en el ámbito de sus respectivas competencias, se regirán por los siguientes principios y bases:</w:t>
      </w:r>
    </w:p>
    <w:p w:rsidR="00306E6B" w:rsidRPr="00E95A8A" w:rsidRDefault="00306E6B" w:rsidP="003D44AA">
      <w:pPr>
        <w:pBdr>
          <w:top w:val="nil"/>
          <w:left w:val="nil"/>
          <w:bottom w:val="nil"/>
          <w:right w:val="nil"/>
          <w:between w:val="nil"/>
        </w:pBdr>
        <w:ind w:left="927" w:right="284"/>
        <w:jc w:val="both"/>
        <w:rPr>
          <w:rFonts w:ascii="Palatino Linotype" w:eastAsia="Palatino Linotype" w:hAnsi="Palatino Linotype" w:cs="Palatino Linotype"/>
          <w:b/>
          <w:i/>
          <w:color w:val="000000"/>
          <w:sz w:val="22"/>
        </w:rPr>
      </w:pPr>
    </w:p>
    <w:p w:rsidR="00306E6B" w:rsidRPr="00E95A8A" w:rsidRDefault="00892A78" w:rsidP="003D44AA">
      <w:pPr>
        <w:ind w:left="567" w:right="284"/>
        <w:jc w:val="both"/>
        <w:rPr>
          <w:rFonts w:ascii="Palatino Linotype" w:eastAsia="Palatino Linotype" w:hAnsi="Palatino Linotype" w:cs="Palatino Linotype"/>
          <w:i/>
          <w:sz w:val="22"/>
        </w:rPr>
      </w:pPr>
      <w:r w:rsidRPr="00E95A8A">
        <w:rPr>
          <w:rFonts w:ascii="Palatino Linotype" w:eastAsia="Palatino Linotype" w:hAnsi="Palatino Linotype" w:cs="Palatino Linotype"/>
          <w:b/>
          <w:i/>
          <w:sz w:val="22"/>
        </w:rPr>
        <w:t xml:space="preserve">I. </w:t>
      </w:r>
      <w:r w:rsidRPr="00E95A8A">
        <w:rPr>
          <w:rFonts w:ascii="Palatino Linotype" w:eastAsia="Palatino Linotype" w:hAnsi="Palatino Linotype" w:cs="Palatino Linotype"/>
          <w:b/>
          <w:i/>
          <w:sz w:val="22"/>
        </w:rPr>
        <w:tab/>
        <w:t>Toda la información en posesión de cualquier</w:t>
      </w:r>
      <w:r w:rsidRPr="00E95A8A">
        <w:rPr>
          <w:rFonts w:ascii="Palatino Linotype" w:eastAsia="Palatino Linotype" w:hAnsi="Palatino Linotype" w:cs="Palatino Linotype"/>
          <w:i/>
          <w:sz w:val="22"/>
        </w:rPr>
        <w:t xml:space="preserve"> </w:t>
      </w:r>
      <w:r w:rsidRPr="00E95A8A">
        <w:rPr>
          <w:rFonts w:ascii="Palatino Linotype" w:eastAsia="Palatino Linotype" w:hAnsi="Palatino Linotype" w:cs="Palatino Linotype"/>
          <w:b/>
          <w:i/>
          <w:sz w:val="22"/>
        </w:rPr>
        <w:t>autoridad</w:t>
      </w:r>
      <w:r w:rsidRPr="00E95A8A">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95A8A">
        <w:rPr>
          <w:rFonts w:ascii="Palatino Linotype" w:eastAsia="Palatino Linotype" w:hAnsi="Palatino Linotype" w:cs="Palatino Linotype"/>
          <w:b/>
          <w:i/>
          <w:sz w:val="22"/>
        </w:rPr>
        <w:t>municipal</w:t>
      </w:r>
      <w:r w:rsidRPr="00E95A8A">
        <w:rPr>
          <w:rFonts w:ascii="Palatino Linotype" w:eastAsia="Palatino Linotype" w:hAnsi="Palatino Linotype" w:cs="Palatino Linotype"/>
          <w:i/>
          <w:sz w:val="22"/>
        </w:rPr>
        <w:t xml:space="preserve">, </w:t>
      </w:r>
      <w:r w:rsidRPr="00E95A8A">
        <w:rPr>
          <w:rFonts w:ascii="Palatino Linotype" w:eastAsia="Palatino Linotype" w:hAnsi="Palatino Linotype" w:cs="Palatino Linotype"/>
          <w:b/>
          <w:i/>
          <w:sz w:val="22"/>
        </w:rPr>
        <w:t>es pública</w:t>
      </w:r>
      <w:r w:rsidRPr="00E95A8A">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E95A8A">
        <w:rPr>
          <w:rFonts w:ascii="Palatino Linotype" w:eastAsia="Palatino Linotype" w:hAnsi="Palatino Linotype" w:cs="Palatino Linotype"/>
          <w:b/>
          <w:i/>
          <w:sz w:val="22"/>
        </w:rPr>
        <w:t>En la interpretación de este derecho deberá prevalecer el principio de máxima publicidad. Los sujetos obligados deberán documentar todo acto que derive del ejercicio de sus facultades, competencias o funciones</w:t>
      </w:r>
      <w:r w:rsidRPr="00E95A8A">
        <w:rPr>
          <w:rFonts w:ascii="Palatino Linotype" w:eastAsia="Palatino Linotype" w:hAnsi="Palatino Linotype" w:cs="Palatino Linotype"/>
          <w:i/>
          <w:sz w:val="22"/>
        </w:rPr>
        <w:t>, la ley determinará los supuestos específicos bajo los cuales procederá la declaración de inexistencia de la información.”</w:t>
      </w:r>
    </w:p>
    <w:p w:rsidR="00306E6B" w:rsidRPr="00E95A8A" w:rsidRDefault="00306E6B" w:rsidP="003D44AA">
      <w:pPr>
        <w:tabs>
          <w:tab w:val="left" w:pos="426"/>
          <w:tab w:val="left" w:pos="567"/>
        </w:tabs>
        <w:ind w:left="567" w:right="284"/>
        <w:jc w:val="both"/>
        <w:rPr>
          <w:rFonts w:ascii="Palatino Linotype" w:eastAsia="Palatino Linotype" w:hAnsi="Palatino Linotype" w:cs="Palatino Linotype"/>
          <w:color w:val="000000"/>
          <w:sz w:val="22"/>
        </w:rPr>
      </w:pPr>
    </w:p>
    <w:p w:rsidR="00306E6B" w:rsidRPr="00E95A8A" w:rsidRDefault="00892A78" w:rsidP="003D44AA">
      <w:pPr>
        <w:ind w:left="567" w:right="284"/>
        <w:jc w:val="both"/>
        <w:rPr>
          <w:rFonts w:ascii="Palatino Linotype" w:eastAsia="Palatino Linotype" w:hAnsi="Palatino Linotype" w:cs="Palatino Linotype"/>
          <w:b/>
          <w:i/>
          <w:sz w:val="22"/>
        </w:rPr>
      </w:pPr>
      <w:r w:rsidRPr="00E95A8A">
        <w:rPr>
          <w:rFonts w:ascii="Palatino Linotype" w:eastAsia="Palatino Linotype" w:hAnsi="Palatino Linotype" w:cs="Palatino Linotype"/>
          <w:b/>
          <w:i/>
          <w:sz w:val="22"/>
        </w:rPr>
        <w:t>Constitución Política del Estado Libre y Soberano de México</w:t>
      </w:r>
    </w:p>
    <w:p w:rsidR="00306E6B" w:rsidRPr="00E95A8A" w:rsidRDefault="00892A78" w:rsidP="003D44AA">
      <w:pPr>
        <w:ind w:left="567" w:right="284"/>
        <w:jc w:val="both"/>
        <w:rPr>
          <w:rFonts w:ascii="Palatino Linotype" w:eastAsia="Palatino Linotype" w:hAnsi="Palatino Linotype" w:cs="Palatino Linotype"/>
          <w:i/>
          <w:sz w:val="22"/>
        </w:rPr>
      </w:pPr>
      <w:r w:rsidRPr="00E95A8A">
        <w:rPr>
          <w:rFonts w:ascii="Palatino Linotype" w:eastAsia="Palatino Linotype" w:hAnsi="Palatino Linotype" w:cs="Palatino Linotype"/>
          <w:b/>
          <w:i/>
          <w:sz w:val="22"/>
        </w:rPr>
        <w:t>“Artículo 5</w:t>
      </w:r>
      <w:r w:rsidRPr="00E95A8A">
        <w:rPr>
          <w:rFonts w:ascii="Palatino Linotype" w:eastAsia="Palatino Linotype" w:hAnsi="Palatino Linotype" w:cs="Palatino Linotype"/>
          <w:i/>
          <w:sz w:val="22"/>
        </w:rPr>
        <w:t>.-…</w:t>
      </w:r>
    </w:p>
    <w:p w:rsidR="00306E6B" w:rsidRPr="00E95A8A" w:rsidRDefault="00892A78" w:rsidP="003D44AA">
      <w:pPr>
        <w:ind w:left="567" w:right="284"/>
        <w:jc w:val="both"/>
        <w:rPr>
          <w:rFonts w:ascii="Palatino Linotype" w:eastAsia="Palatino Linotype" w:hAnsi="Palatino Linotype" w:cs="Palatino Linotype"/>
          <w:i/>
          <w:sz w:val="22"/>
        </w:rPr>
      </w:pPr>
      <w:r w:rsidRPr="00E95A8A">
        <w:rPr>
          <w:rFonts w:ascii="Palatino Linotype" w:eastAsia="Palatino Linotype" w:hAnsi="Palatino Linotype" w:cs="Palatino Linotype"/>
          <w:i/>
          <w:sz w:val="22"/>
        </w:rPr>
        <w:t>…</w:t>
      </w:r>
    </w:p>
    <w:p w:rsidR="00306E6B" w:rsidRPr="00E95A8A" w:rsidRDefault="00892A78" w:rsidP="003D44AA">
      <w:pPr>
        <w:ind w:left="567" w:right="284"/>
        <w:jc w:val="both"/>
        <w:rPr>
          <w:rFonts w:ascii="Palatino Linotype" w:eastAsia="Palatino Linotype" w:hAnsi="Palatino Linotype" w:cs="Palatino Linotype"/>
          <w:i/>
          <w:sz w:val="22"/>
        </w:rPr>
      </w:pPr>
      <w:r w:rsidRPr="00E95A8A">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E95A8A">
        <w:rPr>
          <w:rFonts w:ascii="Palatino Linotype" w:eastAsia="Palatino Linotype" w:hAnsi="Palatino Linotype" w:cs="Palatino Linotype"/>
          <w:i/>
          <w:sz w:val="22"/>
        </w:rPr>
        <w:t>.</w:t>
      </w:r>
    </w:p>
    <w:p w:rsidR="00306E6B" w:rsidRPr="00E95A8A" w:rsidRDefault="00892A78" w:rsidP="003D44AA">
      <w:pPr>
        <w:ind w:left="567" w:right="284"/>
        <w:jc w:val="both"/>
        <w:rPr>
          <w:rFonts w:ascii="Palatino Linotype" w:eastAsia="Palatino Linotype" w:hAnsi="Palatino Linotype" w:cs="Palatino Linotype"/>
          <w:i/>
          <w:sz w:val="22"/>
        </w:rPr>
      </w:pPr>
      <w:r w:rsidRPr="00E95A8A">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306E6B" w:rsidRPr="00E95A8A" w:rsidRDefault="00306E6B" w:rsidP="003D44AA">
      <w:pPr>
        <w:ind w:left="567" w:right="284"/>
        <w:jc w:val="both"/>
        <w:rPr>
          <w:rFonts w:ascii="Palatino Linotype" w:eastAsia="Palatino Linotype" w:hAnsi="Palatino Linotype" w:cs="Palatino Linotype"/>
          <w:i/>
          <w:sz w:val="22"/>
        </w:rPr>
      </w:pPr>
    </w:p>
    <w:p w:rsidR="00306E6B" w:rsidRPr="00E95A8A" w:rsidRDefault="00892A78" w:rsidP="003D44AA">
      <w:pPr>
        <w:ind w:left="567" w:right="284"/>
        <w:jc w:val="both"/>
        <w:rPr>
          <w:rFonts w:ascii="Palatino Linotype" w:eastAsia="Palatino Linotype" w:hAnsi="Palatino Linotype" w:cs="Palatino Linotype"/>
          <w:i/>
          <w:sz w:val="22"/>
        </w:rPr>
      </w:pPr>
      <w:r w:rsidRPr="00E95A8A">
        <w:rPr>
          <w:rFonts w:ascii="Palatino Linotype" w:eastAsia="Palatino Linotype" w:hAnsi="Palatino Linotype" w:cs="Palatino Linotype"/>
          <w:b/>
          <w:i/>
          <w:sz w:val="22"/>
        </w:rPr>
        <w:t>Este derecho se regirá por los principios y bases siguientes</w:t>
      </w:r>
      <w:r w:rsidRPr="00E95A8A">
        <w:rPr>
          <w:rFonts w:ascii="Palatino Linotype" w:eastAsia="Palatino Linotype" w:hAnsi="Palatino Linotype" w:cs="Palatino Linotype"/>
          <w:i/>
          <w:sz w:val="22"/>
        </w:rPr>
        <w:t>:</w:t>
      </w:r>
    </w:p>
    <w:p w:rsidR="00306E6B" w:rsidRPr="00E95A8A" w:rsidRDefault="00892A78" w:rsidP="003D44AA">
      <w:pPr>
        <w:ind w:left="567" w:right="284"/>
        <w:jc w:val="both"/>
        <w:rPr>
          <w:rFonts w:ascii="Palatino Linotype" w:eastAsia="Palatino Linotype" w:hAnsi="Palatino Linotype" w:cs="Palatino Linotype"/>
          <w:i/>
          <w:sz w:val="22"/>
        </w:rPr>
      </w:pPr>
      <w:r w:rsidRPr="00E95A8A">
        <w:rPr>
          <w:rFonts w:ascii="Palatino Linotype" w:eastAsia="Palatino Linotype" w:hAnsi="Palatino Linotype" w:cs="Palatino Linotype"/>
          <w:b/>
          <w:i/>
          <w:sz w:val="22"/>
        </w:rPr>
        <w:lastRenderedPageBreak/>
        <w:t>Toda la información en posesión de cualquier autoridad, entidad, órgano y organismos de los</w:t>
      </w:r>
      <w:r w:rsidRPr="00E95A8A">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E95A8A">
        <w:rPr>
          <w:rFonts w:ascii="Palatino Linotype" w:eastAsia="Palatino Linotype" w:hAnsi="Palatino Linotype" w:cs="Palatino Linotype"/>
          <w:b/>
          <w:i/>
          <w:sz w:val="22"/>
        </w:rPr>
        <w:t>municipales</w:t>
      </w:r>
      <w:r w:rsidRPr="00E95A8A">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95A8A">
        <w:rPr>
          <w:rFonts w:ascii="Palatino Linotype" w:eastAsia="Palatino Linotype" w:hAnsi="Palatino Linotype" w:cs="Palatino Linotype"/>
          <w:b/>
          <w:i/>
          <w:sz w:val="22"/>
        </w:rPr>
        <w:t>es pública</w:t>
      </w:r>
      <w:r w:rsidRPr="00E95A8A">
        <w:rPr>
          <w:rFonts w:ascii="Palatino Linotype" w:eastAsia="Palatino Linotype" w:hAnsi="Palatino Linotype" w:cs="Palatino Linotype"/>
          <w:i/>
          <w:sz w:val="22"/>
        </w:rPr>
        <w:t xml:space="preserve"> y sólo podrá ser reservada temporalmente por razones previstas en la Constitución Política de los Estados Unidos Mexicanos de interés público y seguridad, en los términos que fijen las leyes. </w:t>
      </w:r>
      <w:r w:rsidRPr="00E95A8A">
        <w:rPr>
          <w:rFonts w:ascii="Palatino Linotype" w:eastAsia="Palatino Linotype" w:hAnsi="Palatino Linotype" w:cs="Palatino Linotype"/>
          <w:b/>
          <w:i/>
          <w:sz w:val="22"/>
        </w:rPr>
        <w:t>En la interpretación de este derecho deberá prevalecer el principio de máxima publicidad</w:t>
      </w:r>
      <w:r w:rsidRPr="00E95A8A">
        <w:rPr>
          <w:rFonts w:ascii="Palatino Linotype" w:eastAsia="Palatino Linotype" w:hAnsi="Palatino Linotype" w:cs="Palatino Linotype"/>
          <w:i/>
          <w:sz w:val="22"/>
        </w:rPr>
        <w:t xml:space="preserve">. </w:t>
      </w:r>
      <w:r w:rsidRPr="00E95A8A">
        <w:rPr>
          <w:rFonts w:ascii="Palatino Linotype" w:eastAsia="Palatino Linotype" w:hAnsi="Palatino Linotype" w:cs="Palatino Linotype"/>
          <w:b/>
          <w:i/>
          <w:sz w:val="22"/>
        </w:rPr>
        <w:t>Los sujetos obligados deberán documentar todo acto que derive del ejercicio de sus facultades, competencias o funciones</w:t>
      </w:r>
      <w:r w:rsidRPr="00E95A8A">
        <w:rPr>
          <w:rFonts w:ascii="Palatino Linotype" w:eastAsia="Palatino Linotype" w:hAnsi="Palatino Linotype" w:cs="Palatino Linotype"/>
          <w:i/>
          <w:sz w:val="22"/>
        </w:rPr>
        <w:t>, la ley determinará los supuestos específicos bajo los cuales procederá la declaración de inexistencia de la información.”</w:t>
      </w:r>
    </w:p>
    <w:p w:rsidR="003D44AA" w:rsidRPr="00E95A8A" w:rsidRDefault="003D44AA" w:rsidP="003D44AA">
      <w:pPr>
        <w:ind w:left="567" w:right="284"/>
        <w:jc w:val="both"/>
        <w:rPr>
          <w:rFonts w:ascii="Palatino Linotype" w:eastAsia="Palatino Linotype" w:hAnsi="Palatino Linotype" w:cs="Palatino Linotype"/>
          <w:b/>
          <w:sz w:val="22"/>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color w:val="000000"/>
        </w:rPr>
        <w:t xml:space="preserve">Según </w:t>
      </w:r>
      <w:r w:rsidRPr="00E95A8A">
        <w:rPr>
          <w:rFonts w:ascii="Palatino Linotype" w:eastAsia="Palatino Linotype" w:hAnsi="Palatino Linotype" w:cs="Palatino Linotype"/>
        </w:rPr>
        <w:t xml:space="preserve">el artículo 150 de la Ley de Transparencia del Estado, la solicitud es la garantía primaria del Derecho de Acceso a la Información, además, establece que se regirá </w:t>
      </w:r>
      <w:r w:rsidRPr="00E95A8A">
        <w:rPr>
          <w:rFonts w:ascii="Palatino Linotype" w:eastAsia="Palatino Linotype" w:hAnsi="Palatino Linotype" w:cs="Palatino Linotype"/>
          <w:i/>
        </w:rPr>
        <w:t>por los principios de simplicidad, rapidez gratuidad del procedimiento, auxilio y orientación a los particulares</w:t>
      </w:r>
      <w:r w:rsidRPr="00E95A8A">
        <w:rPr>
          <w:rFonts w:ascii="Palatino Linotype" w:eastAsia="Palatino Linotype" w:hAnsi="Palatino Linotype" w:cs="Palatino Linotype"/>
        </w:rPr>
        <w:t>, contemplando el derecho de las personas con discapacidad y hablantes de lengua indígena.</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color w:val="000000"/>
        </w:rPr>
        <w:t xml:space="preserve">El </w:t>
      </w:r>
      <w:r w:rsidRPr="00E95A8A">
        <w:rPr>
          <w:rFonts w:ascii="Palatino Linotype" w:eastAsia="Palatino Linotype" w:hAnsi="Palatino Linotype" w:cs="Palatino Linotype"/>
        </w:rPr>
        <w:t xml:space="preserve">Derecho de Acceso a la Información se garantiza y respeta oportunamente, y según lo que dispone la Ley, las </w:t>
      </w:r>
      <w:r w:rsidRPr="00E95A8A">
        <w:rPr>
          <w:rFonts w:ascii="Palatino Linotype" w:eastAsia="Palatino Linotype" w:hAnsi="Palatino Linotype" w:cs="Palatino Linotype"/>
          <w:i/>
        </w:rPr>
        <w:t>solicitudes de acceso a la información</w:t>
      </w:r>
      <w:r w:rsidRPr="00E95A8A">
        <w:rPr>
          <w:rFonts w:ascii="Palatino Linotype" w:eastAsia="Palatino Linotype" w:hAnsi="Palatino Linotype" w:cs="Palatino Linotype"/>
        </w:rPr>
        <w:t>.</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color w:val="000000"/>
        </w:rPr>
        <w:t xml:space="preserve">Así </w:t>
      </w:r>
      <w:r w:rsidRPr="00E95A8A">
        <w:rPr>
          <w:rFonts w:ascii="Palatino Linotype" w:eastAsia="Palatino Linotype" w:hAnsi="Palatino Linotype" w:cs="Palatino Linotype"/>
        </w:rPr>
        <w:t xml:space="preserve">entonces, se procede analizar, en primer lugar, si el </w:t>
      </w:r>
      <w:r w:rsidRPr="00E95A8A">
        <w:rPr>
          <w:rFonts w:ascii="Palatino Linotype" w:eastAsia="Palatino Linotype" w:hAnsi="Palatino Linotype" w:cs="Palatino Linotype"/>
          <w:b/>
        </w:rPr>
        <w:t>SUJETO OBLIGADO</w:t>
      </w:r>
      <w:r w:rsidRPr="00E95A8A">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306E6B" w:rsidRPr="00E95A8A" w:rsidRDefault="00306E6B">
      <w:pPr>
        <w:ind w:right="-277"/>
        <w:rPr>
          <w:rFonts w:ascii="Palatino Linotype" w:eastAsia="Palatino Linotype" w:hAnsi="Palatino Linotype" w:cs="Palatino Linotype"/>
          <w:b/>
        </w:rPr>
      </w:pPr>
    </w:p>
    <w:p w:rsidR="00306E6B" w:rsidRPr="00E95A8A" w:rsidRDefault="00892A78">
      <w:pPr>
        <w:keepNext/>
        <w:keepLines/>
        <w:numPr>
          <w:ilvl w:val="1"/>
          <w:numId w:val="4"/>
        </w:numPr>
        <w:spacing w:line="360" w:lineRule="auto"/>
        <w:ind w:left="567" w:right="-277"/>
        <w:jc w:val="both"/>
        <w:rPr>
          <w:rFonts w:ascii="Palatino Linotype" w:eastAsia="Palatino Linotype" w:hAnsi="Palatino Linotype" w:cs="Palatino Linotype"/>
          <w:b/>
        </w:rPr>
      </w:pPr>
      <w:r w:rsidRPr="00E95A8A">
        <w:rPr>
          <w:rFonts w:ascii="Palatino Linotype" w:eastAsia="Palatino Linotype" w:hAnsi="Palatino Linotype" w:cs="Palatino Linotype"/>
          <w:b/>
        </w:rPr>
        <w:t>De la información solicitada y la respuesta del SUJETO OBLIGADO.</w:t>
      </w: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bookmarkStart w:id="4" w:name="_heading=h.30j0zll" w:colFirst="0" w:colLast="0"/>
      <w:bookmarkEnd w:id="4"/>
      <w:r w:rsidRPr="00E95A8A">
        <w:rPr>
          <w:rFonts w:ascii="Palatino Linotype" w:eastAsia="Palatino Linotype" w:hAnsi="Palatino Linotype" w:cs="Palatino Linotype"/>
        </w:rPr>
        <w:t xml:space="preserve">Derivado del Planteamiento de la Litis, se procede a analizar el contenido íntegro de las actuaciones que obran en el expediente electrónico y con ello, este Órgano Garante dicte </w:t>
      </w:r>
      <w:r w:rsidRPr="00E95A8A">
        <w:rPr>
          <w:rFonts w:ascii="Palatino Linotype" w:eastAsia="Palatino Linotype" w:hAnsi="Palatino Linotype" w:cs="Palatino Linotype"/>
        </w:rPr>
        <w:lastRenderedPageBreak/>
        <w:t>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 xml:space="preserve">Así, debemos recapitular que, el </w:t>
      </w:r>
      <w:r w:rsidRPr="00E95A8A">
        <w:rPr>
          <w:rFonts w:ascii="Palatino Linotype" w:eastAsia="Palatino Linotype" w:hAnsi="Palatino Linotype" w:cs="Palatino Linotype"/>
          <w:b/>
        </w:rPr>
        <w:t>RECURRENTE</w:t>
      </w:r>
      <w:r w:rsidRPr="00E95A8A">
        <w:rPr>
          <w:rFonts w:ascii="Palatino Linotype" w:eastAsia="Palatino Linotype" w:hAnsi="Palatino Linotype" w:cs="Palatino Linotype"/>
        </w:rPr>
        <w:t xml:space="preserve"> solicitó el</w:t>
      </w:r>
      <w:r w:rsidRPr="00E95A8A">
        <w:rPr>
          <w:rFonts w:ascii="Palatino Linotype" w:eastAsia="Palatino Linotype" w:hAnsi="Palatino Linotype" w:cs="Palatino Linotype"/>
          <w:color w:val="000000"/>
        </w:rPr>
        <w:t xml:space="preserve"> proyecto, los contratos con sus anexos y el perfil del proveedor o constructora que la realizó y/o ejecutó la remodelación en la Unidad Deportiva Emiliano Zapata que se encuentra en Ignacio Zaragoza Manzana 011, La Venta, Ixtapaluca.</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 xml:space="preserve">En respuesta, el </w:t>
      </w:r>
      <w:r w:rsidRPr="00E95A8A">
        <w:rPr>
          <w:rFonts w:ascii="Palatino Linotype" w:eastAsia="Palatino Linotype" w:hAnsi="Palatino Linotype" w:cs="Palatino Linotype"/>
          <w:b/>
        </w:rPr>
        <w:t>SUJETO OBLIGADO</w:t>
      </w:r>
      <w:r w:rsidRPr="00E95A8A">
        <w:rPr>
          <w:rFonts w:ascii="Palatino Linotype" w:eastAsia="Palatino Linotype" w:hAnsi="Palatino Linotype" w:cs="Palatino Linotype"/>
        </w:rPr>
        <w:t xml:space="preserve"> por medio del Tesorero Municipal, informó que después de realizar una búsqueda exhaustiva y razonable, no localizó expediente con el nombre de la obra referida en la solicitud de información.</w:t>
      </w:r>
    </w:p>
    <w:p w:rsidR="00306E6B" w:rsidRPr="00E95A8A" w:rsidRDefault="00306E6B">
      <w:pPr>
        <w:spacing w:line="360" w:lineRule="auto"/>
        <w:ind w:right="-277"/>
        <w:jc w:val="both"/>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 xml:space="preserve">Posteriormente, el </w:t>
      </w:r>
      <w:r w:rsidRPr="00E95A8A">
        <w:rPr>
          <w:rFonts w:ascii="Palatino Linotype" w:eastAsia="Palatino Linotype" w:hAnsi="Palatino Linotype" w:cs="Palatino Linotype"/>
          <w:b/>
        </w:rPr>
        <w:t>RECURRENTE</w:t>
      </w:r>
      <w:r w:rsidRPr="00E95A8A">
        <w:rPr>
          <w:rFonts w:ascii="Palatino Linotype" w:eastAsia="Palatino Linotype" w:hAnsi="Palatino Linotype" w:cs="Palatino Linotype"/>
        </w:rPr>
        <w:t xml:space="preserve"> se inconformó por </w:t>
      </w:r>
      <w:r w:rsidRPr="00E95A8A">
        <w:rPr>
          <w:rFonts w:ascii="Palatino Linotype" w:eastAsia="Palatino Linotype" w:hAnsi="Palatino Linotype" w:cs="Palatino Linotype"/>
          <w:b/>
        </w:rPr>
        <w:t xml:space="preserve">la negativa de la información solicitada. </w:t>
      </w:r>
      <w:r w:rsidRPr="00E95A8A">
        <w:rPr>
          <w:rFonts w:ascii="Palatino Linotype" w:eastAsia="Palatino Linotype" w:hAnsi="Palatino Linotype" w:cs="Palatino Linotype"/>
        </w:rPr>
        <w:t>Asimismo, anexo fotografías relativas a la obra de interés.</w:t>
      </w:r>
    </w:p>
    <w:p w:rsidR="00306E6B" w:rsidRPr="00E95A8A" w:rsidRDefault="00306E6B">
      <w:pPr>
        <w:pBdr>
          <w:top w:val="nil"/>
          <w:left w:val="nil"/>
          <w:bottom w:val="nil"/>
          <w:right w:val="nil"/>
          <w:between w:val="nil"/>
        </w:pBdr>
        <w:ind w:left="720" w:right="-277"/>
        <w:rPr>
          <w:rFonts w:ascii="Palatino Linotype" w:eastAsia="Palatino Linotype" w:hAnsi="Palatino Linotype" w:cs="Palatino Linotype"/>
          <w:b/>
          <w:color w:val="000000"/>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rPr>
      </w:pPr>
      <w:r w:rsidRPr="00E95A8A">
        <w:rPr>
          <w:rFonts w:ascii="Palatino Linotype" w:eastAsia="Palatino Linotype" w:hAnsi="Palatino Linotype" w:cs="Palatino Linotype"/>
        </w:rPr>
        <w:t xml:space="preserve">Y, mediante informe justificado el </w:t>
      </w:r>
      <w:r w:rsidRPr="00E95A8A">
        <w:rPr>
          <w:rFonts w:ascii="Palatino Linotype" w:eastAsia="Palatino Linotype" w:hAnsi="Palatino Linotype" w:cs="Palatino Linotype"/>
          <w:b/>
        </w:rPr>
        <w:t xml:space="preserve">SUJETO OBLIGADO </w:t>
      </w:r>
      <w:r w:rsidRPr="00E95A8A">
        <w:rPr>
          <w:rFonts w:ascii="Palatino Linotype" w:eastAsia="Palatino Linotype" w:hAnsi="Palatino Linotype" w:cs="Palatino Linotype"/>
        </w:rPr>
        <w:t xml:space="preserve">por medio del Tesorero Municipal, reiteró que no se encontró información relativa a lo solicitado, asimismo, refirió que de acuerdo con la información proporcionada como evidencia por el </w:t>
      </w:r>
      <w:r w:rsidRPr="00E95A8A">
        <w:rPr>
          <w:rFonts w:ascii="Palatino Linotype" w:eastAsia="Palatino Linotype" w:hAnsi="Palatino Linotype" w:cs="Palatino Linotype"/>
          <w:b/>
        </w:rPr>
        <w:t>RECURRENTE</w:t>
      </w:r>
      <w:r w:rsidRPr="00E95A8A">
        <w:rPr>
          <w:rFonts w:ascii="Palatino Linotype" w:eastAsia="Palatino Linotype" w:hAnsi="Palatino Linotype" w:cs="Palatino Linotype"/>
        </w:rPr>
        <w:t>, referente al “Parque Recreativo La Venta Ixtapaluca”, no corresponde a la relacionada con el requerimiento.</w:t>
      </w:r>
    </w:p>
    <w:p w:rsidR="00306E6B" w:rsidRPr="00E95A8A" w:rsidRDefault="00306E6B">
      <w:pPr>
        <w:spacing w:line="360" w:lineRule="auto"/>
        <w:ind w:right="-277"/>
        <w:jc w:val="both"/>
        <w:rPr>
          <w:rFonts w:ascii="Palatino Linotype" w:eastAsia="Palatino Linotype" w:hAnsi="Palatino Linotype" w:cs="Palatino Linotype"/>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Expuesto lo anterior, es necesario precisar que, si bien es cierto el</w:t>
      </w:r>
      <w:r w:rsidRPr="00E95A8A">
        <w:rPr>
          <w:rFonts w:ascii="Palatino Linotype" w:eastAsia="Palatino Linotype" w:hAnsi="Palatino Linotype" w:cs="Palatino Linotype"/>
          <w:b/>
        </w:rPr>
        <w:t xml:space="preserve"> RECURRENTE</w:t>
      </w:r>
      <w:r w:rsidRPr="00E95A8A">
        <w:rPr>
          <w:rFonts w:ascii="Palatino Linotype" w:eastAsia="Palatino Linotype" w:hAnsi="Palatino Linotype" w:cs="Palatino Linotype"/>
        </w:rPr>
        <w:t xml:space="preserve"> mediante su solicitud de información proporcionó el nombre de la Unidad Deportiva como </w:t>
      </w:r>
      <w:r w:rsidRPr="00E95A8A">
        <w:rPr>
          <w:rFonts w:ascii="Palatino Linotype" w:eastAsia="Palatino Linotype" w:hAnsi="Palatino Linotype" w:cs="Palatino Linotype"/>
        </w:rPr>
        <w:lastRenderedPageBreak/>
        <w:t>“Emiliano Zapata”, también lo es que no fue el único dato de referencia, sino que también proporcionó la dirección en la que se llevó a cabo la obra de interés, aunado a que, mediante la interposición del recurso de revisión adjuntó evidencia fotográfica, así como, una captura de pantalla en la que se aprecia la publicación realizada el 14 de junio de 2023 por el Presidente Municipal, relativa al arranque de una obra (deportivo) en el Parque Recreativo “La Venta”, Ixtapaluca; lugar señalado por el solicitante.</w:t>
      </w:r>
    </w:p>
    <w:p w:rsidR="003D44AA" w:rsidRPr="00E95A8A" w:rsidRDefault="003D44AA" w:rsidP="003D44AA">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Por lo anterior, resulta procedente suplir la deficiencia en términos de la Ley de Transparencia y Acceso a la Información Pública del Estado de México y Municipios, concretamente en sus artículos 13 y 181, tercer párrafo, donde se señala el deber de este Instituto de suplir cualquier deficiencia para garantizar el derecho de acceso a la información a favor de los recurrentes sin cambiar los hechos expuestos; tal y como se lee a continuación:</w:t>
      </w:r>
    </w:p>
    <w:p w:rsidR="00306E6B" w:rsidRPr="00E95A8A" w:rsidRDefault="00892A78">
      <w:pPr>
        <w:shd w:val="clear" w:color="auto" w:fill="FFFFFF"/>
        <w:spacing w:before="240" w:after="240"/>
        <w:ind w:left="567" w:right="289"/>
        <w:jc w:val="both"/>
        <w:rPr>
          <w:rFonts w:ascii="Palatino Linotype" w:eastAsia="Palatino Linotype" w:hAnsi="Palatino Linotype" w:cs="Palatino Linotype"/>
          <w:sz w:val="22"/>
        </w:rPr>
      </w:pPr>
      <w:r w:rsidRPr="00E95A8A">
        <w:rPr>
          <w:rFonts w:ascii="Palatino Linotype" w:eastAsia="Palatino Linotype" w:hAnsi="Palatino Linotype" w:cs="Palatino Linotype"/>
          <w:b/>
          <w:i/>
          <w:sz w:val="22"/>
        </w:rPr>
        <w:t>Artículo 13</w:t>
      </w:r>
      <w:r w:rsidRPr="00E95A8A">
        <w:rPr>
          <w:rFonts w:ascii="Palatino Linotype" w:eastAsia="Palatino Linotype" w:hAnsi="Palatino Linotype" w:cs="Palatino Linotype"/>
          <w:i/>
          <w:sz w:val="22"/>
        </w:rPr>
        <w:t>. El Instituto, en el ámbito de sus atribuciones, deberá suplir cualquier deficiencia para garantizar el ejercicio del derecho de acceso a la información.</w:t>
      </w:r>
    </w:p>
    <w:p w:rsidR="00306E6B" w:rsidRPr="00E95A8A" w:rsidRDefault="00892A78">
      <w:pPr>
        <w:shd w:val="clear" w:color="auto" w:fill="FFFFFF"/>
        <w:ind w:left="567" w:right="289"/>
        <w:jc w:val="both"/>
        <w:rPr>
          <w:rFonts w:ascii="Palatino Linotype" w:eastAsia="Palatino Linotype" w:hAnsi="Palatino Linotype" w:cs="Palatino Linotype"/>
          <w:i/>
          <w:sz w:val="22"/>
        </w:rPr>
      </w:pPr>
      <w:r w:rsidRPr="00E95A8A">
        <w:rPr>
          <w:rFonts w:ascii="Palatino Linotype" w:eastAsia="Palatino Linotype" w:hAnsi="Palatino Linotype" w:cs="Palatino Linotype"/>
          <w:b/>
          <w:i/>
          <w:sz w:val="22"/>
        </w:rPr>
        <w:t>Artículo 181.</w:t>
      </w:r>
      <w:r w:rsidRPr="00E95A8A">
        <w:rPr>
          <w:rFonts w:ascii="Palatino Linotype" w:eastAsia="Palatino Linotype" w:hAnsi="Palatino Linotype" w:cs="Palatino Linotype"/>
          <w:i/>
          <w:sz w:val="22"/>
        </w:rPr>
        <w:t> </w:t>
      </w:r>
    </w:p>
    <w:p w:rsidR="00306E6B" w:rsidRPr="00E95A8A" w:rsidRDefault="00892A78">
      <w:pPr>
        <w:shd w:val="clear" w:color="auto" w:fill="FFFFFF"/>
        <w:ind w:left="567" w:right="289"/>
        <w:jc w:val="both"/>
        <w:rPr>
          <w:rFonts w:ascii="Palatino Linotype" w:eastAsia="Palatino Linotype" w:hAnsi="Palatino Linotype" w:cs="Palatino Linotype"/>
          <w:sz w:val="22"/>
        </w:rPr>
      </w:pPr>
      <w:r w:rsidRPr="00E95A8A">
        <w:rPr>
          <w:rFonts w:ascii="Palatino Linotype" w:eastAsia="Palatino Linotype" w:hAnsi="Palatino Linotype" w:cs="Palatino Linotype"/>
          <w:i/>
          <w:sz w:val="22"/>
        </w:rPr>
        <w:t>(…)</w:t>
      </w:r>
    </w:p>
    <w:p w:rsidR="00306E6B" w:rsidRPr="00E95A8A" w:rsidRDefault="00892A78">
      <w:pPr>
        <w:shd w:val="clear" w:color="auto" w:fill="FFFFFF"/>
        <w:ind w:left="567" w:right="289"/>
        <w:jc w:val="both"/>
        <w:rPr>
          <w:rFonts w:ascii="Palatino Linotype" w:eastAsia="Palatino Linotype" w:hAnsi="Palatino Linotype" w:cs="Palatino Linotype"/>
          <w:i/>
          <w:sz w:val="22"/>
        </w:rPr>
      </w:pPr>
      <w:r w:rsidRPr="00E95A8A">
        <w:rPr>
          <w:rFonts w:ascii="Palatino Linotype" w:eastAsia="Palatino Linotype" w:hAnsi="Palatino Linotype" w:cs="Palatino Linotype"/>
          <w:i/>
          <w:sz w:val="22"/>
        </w:rPr>
        <w:t>Durante el procedimiento deberá aplicarse la suplencia de la queja a favor del recurrente, sin cambiar los hechos expuestos, asegurándose de que las partes puedan presentar, de manera oral o escrita, los argumentos que funden y motiven sus pretensiones.</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Así también en armonía con lo señalado en la jurisprudencia y en la tesis aislada, emitida por la Suprema Corte de Justicia de la Nación, que llevan por rubro respectivamente; “</w:t>
      </w:r>
      <w:r w:rsidRPr="00E95A8A">
        <w:rPr>
          <w:rFonts w:ascii="Palatino Linotype" w:eastAsia="Palatino Linotype" w:hAnsi="Palatino Linotype" w:cs="Palatino Linotype"/>
          <w:i/>
        </w:rPr>
        <w:t xml:space="preserve">SUPLENCIA DE LA QUEJA DEFICIENTE SU PROCEDENCIA EN OTRAS MATERIAS, AUN A FALTA DE CONCEPTO DE VIOLACIÓN O AGRAVIO, </w:t>
      </w:r>
      <w:r w:rsidRPr="00E95A8A">
        <w:rPr>
          <w:rFonts w:ascii="Palatino Linotype" w:eastAsia="Palatino Linotype" w:hAnsi="Palatino Linotype" w:cs="Palatino Linotype"/>
          <w:i/>
        </w:rPr>
        <w:lastRenderedPageBreak/>
        <w:t>CUANDO SE ADVIERTA VIOLACIÓN GRAVE Y MANIFIESTA DE LA LEY”</w:t>
      </w:r>
      <w:r w:rsidRPr="00E95A8A">
        <w:rPr>
          <w:rFonts w:ascii="Palatino Linotype" w:eastAsia="Palatino Linotype" w:hAnsi="Palatino Linotype" w:cs="Palatino Linotype"/>
          <w:i/>
          <w:vertAlign w:val="superscript"/>
        </w:rPr>
        <w:footnoteReference w:id="5"/>
      </w:r>
      <w:r w:rsidRPr="00E95A8A">
        <w:rPr>
          <w:rFonts w:ascii="Palatino Linotype" w:eastAsia="Palatino Linotype" w:hAnsi="Palatino Linotype" w:cs="Palatino Linotype"/>
        </w:rPr>
        <w:t xml:space="preserve"> y </w:t>
      </w:r>
      <w:r w:rsidRPr="00E95A8A">
        <w:rPr>
          <w:rFonts w:ascii="Palatino Linotype" w:eastAsia="Palatino Linotype" w:hAnsi="Palatino Linotype" w:cs="Palatino Linotype"/>
          <w:i/>
        </w:rPr>
        <w:t>“SUPLENCIA DE LA QUEJA DEFICIENTE EN MATERIAS CIVIL Y ADMINISTRATIVA (INTERPRETACIÓN DEL ARTÍCULO 79, FRACCIÓN VI, DE LA LEY DE AMPARO).”</w:t>
      </w:r>
      <w:r w:rsidRPr="00E95A8A">
        <w:rPr>
          <w:rFonts w:ascii="Palatino Linotype" w:eastAsia="Palatino Linotype" w:hAnsi="Palatino Linotype" w:cs="Palatino Linotype"/>
          <w:i/>
          <w:vertAlign w:val="superscript"/>
        </w:rPr>
        <w:footnoteReference w:id="6"/>
      </w:r>
      <w:r w:rsidRPr="00E95A8A">
        <w:rPr>
          <w:rFonts w:ascii="Palatino Linotype" w:eastAsia="Palatino Linotype" w:hAnsi="Palatino Linotype" w:cs="Palatino Linotype"/>
        </w:rPr>
        <w:t>, que indican esencialmente que es obligación del juzgador suplir la queja deficiente ante una violación evidente de la ley que haya dejado sin defensa al particular, aún ante la ausencia de concepto de violación con el fin de evitar el beneficio de una de las partes a costa de la indefensión de la otra.</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b/>
        </w:rPr>
        <w:t xml:space="preserve">Precisado lo anterior, </w:t>
      </w:r>
      <w:r w:rsidRPr="00E95A8A">
        <w:rPr>
          <w:rFonts w:ascii="Palatino Linotype" w:eastAsia="Palatino Linotype" w:hAnsi="Palatino Linotype" w:cs="Palatino Linotype"/>
        </w:rPr>
        <w:t>resulta conveniente traer a colación lo establecido en el artículo 31 de la Ley Orgánica Municipal del Estado de México:</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sz w:val="22"/>
          <w:szCs w:val="22"/>
        </w:rPr>
        <w:lastRenderedPageBreak/>
        <w:t>“</w:t>
      </w:r>
      <w:r w:rsidRPr="00E95A8A">
        <w:rPr>
          <w:rFonts w:ascii="Palatino Linotype" w:eastAsia="Palatino Linotype" w:hAnsi="Palatino Linotype" w:cs="Palatino Linotype"/>
          <w:b/>
          <w:i/>
          <w:sz w:val="22"/>
          <w:szCs w:val="22"/>
        </w:rPr>
        <w:t>Artículo 31</w:t>
      </w:r>
      <w:r w:rsidRPr="00E95A8A">
        <w:rPr>
          <w:rFonts w:ascii="Palatino Linotype" w:eastAsia="Palatino Linotype" w:hAnsi="Palatino Linotype" w:cs="Palatino Linotype"/>
          <w:i/>
          <w:sz w:val="22"/>
          <w:szCs w:val="22"/>
        </w:rPr>
        <w:t xml:space="preserve">.- </w:t>
      </w:r>
      <w:r w:rsidRPr="00E95A8A">
        <w:rPr>
          <w:rFonts w:ascii="Palatino Linotype" w:eastAsia="Palatino Linotype" w:hAnsi="Palatino Linotype" w:cs="Palatino Linotype"/>
          <w:b/>
          <w:i/>
          <w:sz w:val="22"/>
          <w:szCs w:val="22"/>
        </w:rPr>
        <w:t>Son atribuciones de los ayuntamientos</w:t>
      </w: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VII</w:t>
      </w:r>
      <w:r w:rsidRPr="00E95A8A">
        <w:rPr>
          <w:rFonts w:ascii="Palatino Linotype" w:eastAsia="Palatino Linotype" w:hAnsi="Palatino Linotype" w:cs="Palatino Linotype"/>
          <w:i/>
          <w:sz w:val="22"/>
          <w:szCs w:val="22"/>
        </w:rPr>
        <w:t xml:space="preserve">. Convenir, </w:t>
      </w:r>
      <w:r w:rsidRPr="00E95A8A">
        <w:rPr>
          <w:rFonts w:ascii="Palatino Linotype" w:eastAsia="Palatino Linotype" w:hAnsi="Palatino Linotype" w:cs="Palatino Linotype"/>
          <w:b/>
          <w:i/>
          <w:sz w:val="22"/>
          <w:szCs w:val="22"/>
        </w:rPr>
        <w:t>contratar</w:t>
      </w:r>
      <w:r w:rsidRPr="00E95A8A">
        <w:rPr>
          <w:rFonts w:ascii="Palatino Linotype" w:eastAsia="Palatino Linotype" w:hAnsi="Palatino Linotype" w:cs="Palatino Linotype"/>
          <w:i/>
          <w:sz w:val="22"/>
          <w:szCs w:val="22"/>
        </w:rPr>
        <w:t xml:space="preserve"> o concesionar, en términos de ley, </w:t>
      </w:r>
      <w:r w:rsidRPr="00E95A8A">
        <w:rPr>
          <w:rFonts w:ascii="Palatino Linotype" w:eastAsia="Palatino Linotype" w:hAnsi="Palatino Linotype" w:cs="Palatino Linotype"/>
          <w:b/>
          <w:i/>
          <w:sz w:val="22"/>
          <w:szCs w:val="22"/>
        </w:rPr>
        <w:t>la ejecución de obras</w:t>
      </w:r>
      <w:r w:rsidRPr="00E95A8A">
        <w:rPr>
          <w:rFonts w:ascii="Palatino Linotype" w:eastAsia="Palatino Linotype" w:hAnsi="Palatino Linotype" w:cs="Palatino Linotype"/>
          <w:i/>
          <w:sz w:val="22"/>
          <w:szCs w:val="22"/>
        </w:rPr>
        <w:t xml:space="preserve"> y la prestación de servicios públicos, con el Estado, con otros municipios de la entidad o con particulares, recabando, cuando proceda, la autorización de la Legislatura del Estado;</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VIII</w:t>
      </w:r>
      <w:r w:rsidRPr="00E95A8A">
        <w:rPr>
          <w:rFonts w:ascii="Palatino Linotype" w:eastAsia="Palatino Linotype" w:hAnsi="Palatino Linotype" w:cs="Palatino Linotype"/>
          <w:i/>
          <w:sz w:val="22"/>
          <w:szCs w:val="22"/>
        </w:rPr>
        <w:t xml:space="preserve">. Concluir las obras iniciadas por administraciones anteriores y dar mantenimiento a la infraestructura e instalaciones de los servicios públicos municipales;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XVIII</w:t>
      </w:r>
      <w:r w:rsidRPr="00E95A8A">
        <w:rPr>
          <w:rFonts w:ascii="Palatino Linotype" w:eastAsia="Palatino Linotype" w:hAnsi="Palatino Linotype" w:cs="Palatino Linotype"/>
          <w:i/>
          <w:sz w:val="22"/>
          <w:szCs w:val="22"/>
        </w:rPr>
        <w:t xml:space="preserve">. </w:t>
      </w:r>
      <w:r w:rsidRPr="00E95A8A">
        <w:rPr>
          <w:rFonts w:ascii="Palatino Linotype" w:eastAsia="Palatino Linotype" w:hAnsi="Palatino Linotype" w:cs="Palatino Linotype"/>
          <w:b/>
          <w:i/>
          <w:sz w:val="22"/>
          <w:szCs w:val="22"/>
        </w:rPr>
        <w:t>Administrar su hacienda en términos de ley</w:t>
      </w:r>
      <w:r w:rsidRPr="00E95A8A">
        <w:rPr>
          <w:rFonts w:ascii="Palatino Linotype" w:eastAsia="Palatino Linotype" w:hAnsi="Palatino Linotype" w:cs="Palatino Linotype"/>
          <w:i/>
          <w:sz w:val="22"/>
          <w:szCs w:val="22"/>
        </w:rPr>
        <w:t xml:space="preserve">, y controlar a través del presidente y síndico la </w:t>
      </w:r>
      <w:r w:rsidRPr="00E95A8A">
        <w:rPr>
          <w:rFonts w:ascii="Palatino Linotype" w:eastAsia="Palatino Linotype" w:hAnsi="Palatino Linotype" w:cs="Palatino Linotype"/>
          <w:b/>
          <w:i/>
          <w:sz w:val="22"/>
          <w:szCs w:val="22"/>
        </w:rPr>
        <w:t>aplicación del presupuesto de egresos</w:t>
      </w:r>
      <w:r w:rsidRPr="00E95A8A">
        <w:rPr>
          <w:rFonts w:ascii="Palatino Linotype" w:eastAsia="Palatino Linotype" w:hAnsi="Palatino Linotype" w:cs="Palatino Linotype"/>
          <w:i/>
          <w:sz w:val="22"/>
          <w:szCs w:val="22"/>
        </w:rPr>
        <w:t xml:space="preserve"> del municipio;</w:t>
      </w:r>
    </w:p>
    <w:p w:rsidR="00306E6B" w:rsidRPr="00E95A8A" w:rsidRDefault="00892A78">
      <w:pPr>
        <w:ind w:left="567" w:right="289"/>
        <w:jc w:val="both"/>
        <w:rPr>
          <w:rFonts w:ascii="Palatino Linotype" w:eastAsia="Palatino Linotype" w:hAnsi="Palatino Linotype" w:cs="Palatino Linotype"/>
          <w:sz w:val="22"/>
          <w:szCs w:val="22"/>
        </w:rPr>
      </w:pPr>
      <w:r w:rsidRPr="00E95A8A">
        <w:rPr>
          <w:rFonts w:ascii="Palatino Linotype" w:eastAsia="Palatino Linotype" w:hAnsi="Palatino Linotype" w:cs="Palatino Linotype"/>
          <w:i/>
          <w:sz w:val="22"/>
          <w:szCs w:val="22"/>
        </w:rPr>
        <w:t>(…)”</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Del precepto citado, se advierte que los Ayuntamientos tienen la atribución de contratar la ejecución de obras, concluir aquellas que no fueron terminadas en administraciones anteriores y administrar los recursos obtenidos de su hacienda, en los términos de la legislación aplicable.</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Correlativo a lo anterior, los artículos 12.1 fracción III, 12.8 primer párrafo, 12.20, 12.21, 12.38, 12.60 y 12.64 del Reglamento del Libro Décimo Segundo del Código Administrativo del Estado de México, señalan lo siguiente:</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“Artículo 12.1.-</w:t>
      </w:r>
      <w:r w:rsidRPr="00E95A8A">
        <w:rPr>
          <w:rFonts w:ascii="Palatino Linotype" w:eastAsia="Palatino Linotype" w:hAnsi="Palatino Linotype" w:cs="Palatino Linotype"/>
          <w:i/>
          <w:sz w:val="22"/>
          <w:szCs w:val="22"/>
        </w:rPr>
        <w:t xml:space="preserve"> </w:t>
      </w:r>
      <w:r w:rsidRPr="00E95A8A">
        <w:rPr>
          <w:rFonts w:ascii="Palatino Linotype" w:eastAsia="Palatino Linotype" w:hAnsi="Palatino Linotype" w:cs="Palatino Linotype"/>
          <w:b/>
          <w:i/>
          <w:sz w:val="22"/>
          <w:szCs w:val="22"/>
        </w:rPr>
        <w:t>Este Libro tiene por objeto regular los actos relativos a la</w:t>
      </w:r>
      <w:r w:rsidRPr="00E95A8A">
        <w:rPr>
          <w:rFonts w:ascii="Palatino Linotype" w:eastAsia="Palatino Linotype" w:hAnsi="Palatino Linotype" w:cs="Palatino Linotype"/>
          <w:i/>
          <w:sz w:val="22"/>
          <w:szCs w:val="22"/>
        </w:rPr>
        <w:t xml:space="preserve"> planeación, programación, presupuestación, adjudicación, </w:t>
      </w:r>
      <w:r w:rsidRPr="00E95A8A">
        <w:rPr>
          <w:rFonts w:ascii="Palatino Linotype" w:eastAsia="Palatino Linotype" w:hAnsi="Palatino Linotype" w:cs="Palatino Linotype"/>
          <w:b/>
          <w:i/>
          <w:sz w:val="22"/>
          <w:szCs w:val="22"/>
        </w:rPr>
        <w:t>contratación</w:t>
      </w:r>
      <w:r w:rsidRPr="00E95A8A">
        <w:rPr>
          <w:rFonts w:ascii="Palatino Linotype" w:eastAsia="Palatino Linotype" w:hAnsi="Palatino Linotype" w:cs="Palatino Linotype"/>
          <w:i/>
          <w:sz w:val="22"/>
          <w:szCs w:val="22"/>
        </w:rPr>
        <w:t xml:space="preserve">, ejecución y control </w:t>
      </w:r>
      <w:r w:rsidRPr="00E95A8A">
        <w:rPr>
          <w:rFonts w:ascii="Palatino Linotype" w:eastAsia="Palatino Linotype" w:hAnsi="Palatino Linotype" w:cs="Palatino Linotype"/>
          <w:b/>
          <w:i/>
          <w:sz w:val="22"/>
          <w:szCs w:val="22"/>
        </w:rPr>
        <w:t>de la obra pública, así como los servicios relacionados con la misma</w:t>
      </w:r>
      <w:r w:rsidRPr="00E95A8A">
        <w:rPr>
          <w:rFonts w:ascii="Palatino Linotype" w:eastAsia="Palatino Linotype" w:hAnsi="Palatino Linotype" w:cs="Palatino Linotype"/>
          <w:i/>
          <w:sz w:val="22"/>
          <w:szCs w:val="22"/>
        </w:rPr>
        <w:t xml:space="preserve"> que, por sí o </w:t>
      </w:r>
      <w:r w:rsidRPr="00E95A8A">
        <w:rPr>
          <w:rFonts w:ascii="Palatino Linotype" w:eastAsia="Palatino Linotype" w:hAnsi="Palatino Linotype" w:cs="Palatino Linotype"/>
          <w:b/>
          <w:i/>
          <w:sz w:val="22"/>
          <w:szCs w:val="22"/>
        </w:rPr>
        <w:t>por conducto de terceros, realicen:</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III. Los ayuntamientos de los municipios del Estado</w:t>
      </w: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b/>
          <w:i/>
          <w:sz w:val="22"/>
          <w:szCs w:val="22"/>
        </w:rPr>
      </w:pPr>
      <w:r w:rsidRPr="00E95A8A">
        <w:rPr>
          <w:rFonts w:ascii="Palatino Linotype" w:eastAsia="Palatino Linotype" w:hAnsi="Palatino Linotype" w:cs="Palatino Linotype"/>
          <w:b/>
          <w:i/>
          <w:sz w:val="22"/>
          <w:szCs w:val="22"/>
        </w:rPr>
        <w:t>(…)</w:t>
      </w:r>
    </w:p>
    <w:p w:rsidR="00306E6B" w:rsidRPr="00E95A8A" w:rsidRDefault="00306E6B">
      <w:pPr>
        <w:ind w:left="567" w:right="289"/>
        <w:jc w:val="both"/>
        <w:rPr>
          <w:rFonts w:ascii="Palatino Linotype" w:eastAsia="Palatino Linotype" w:hAnsi="Palatino Linotype" w:cs="Palatino Linotype"/>
          <w:b/>
          <w:i/>
          <w:sz w:val="22"/>
          <w:szCs w:val="22"/>
        </w:rPr>
      </w:pP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Artículo 12.8.-</w:t>
      </w:r>
      <w:r w:rsidRPr="00E95A8A">
        <w:rPr>
          <w:rFonts w:ascii="Palatino Linotype" w:eastAsia="Palatino Linotype" w:hAnsi="Palatino Linotype" w:cs="Palatino Linotype"/>
          <w:i/>
          <w:sz w:val="22"/>
          <w:szCs w:val="22"/>
        </w:rPr>
        <w:t xml:space="preserve"> </w:t>
      </w:r>
      <w:r w:rsidRPr="00E95A8A">
        <w:rPr>
          <w:rFonts w:ascii="Palatino Linotype" w:eastAsia="Palatino Linotype" w:hAnsi="Palatino Linotype" w:cs="Palatino Linotype"/>
          <w:b/>
          <w:i/>
          <w:sz w:val="22"/>
          <w:szCs w:val="22"/>
        </w:rPr>
        <w:t>Corresponde</w:t>
      </w:r>
      <w:r w:rsidRPr="00E95A8A">
        <w:rPr>
          <w:rFonts w:ascii="Palatino Linotype" w:eastAsia="Palatino Linotype" w:hAnsi="Palatino Linotype" w:cs="Palatino Linotype"/>
          <w:i/>
          <w:sz w:val="22"/>
          <w:szCs w:val="22"/>
        </w:rPr>
        <w:t xml:space="preserve"> a la Secretaría del Ramo y </w:t>
      </w:r>
      <w:r w:rsidRPr="00E95A8A">
        <w:rPr>
          <w:rFonts w:ascii="Palatino Linotype" w:eastAsia="Palatino Linotype" w:hAnsi="Palatino Linotype" w:cs="Palatino Linotype"/>
          <w:b/>
          <w:i/>
          <w:sz w:val="22"/>
          <w:szCs w:val="22"/>
        </w:rPr>
        <w:t>a los ayuntamientos</w:t>
      </w:r>
      <w:r w:rsidRPr="00E95A8A">
        <w:rPr>
          <w:rFonts w:ascii="Palatino Linotype" w:eastAsia="Palatino Linotype" w:hAnsi="Palatino Linotype" w:cs="Palatino Linotype"/>
          <w:i/>
          <w:sz w:val="22"/>
          <w:szCs w:val="22"/>
        </w:rPr>
        <w:t xml:space="preserve">, en el ámbito de sus respectivas competencias, </w:t>
      </w:r>
      <w:r w:rsidRPr="00E95A8A">
        <w:rPr>
          <w:rFonts w:ascii="Palatino Linotype" w:eastAsia="Palatino Linotype" w:hAnsi="Palatino Linotype" w:cs="Palatino Linotype"/>
          <w:b/>
          <w:i/>
          <w:sz w:val="22"/>
          <w:szCs w:val="22"/>
        </w:rPr>
        <w:t>ejecutar la obra pública, mediante contrato con terceros o por administración directa</w:t>
      </w: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p>
    <w:p w:rsidR="00306E6B" w:rsidRPr="00E95A8A" w:rsidRDefault="00306E6B">
      <w:pPr>
        <w:ind w:left="567" w:right="289"/>
        <w:jc w:val="both"/>
        <w:rPr>
          <w:rFonts w:ascii="Palatino Linotype" w:eastAsia="Palatino Linotype" w:hAnsi="Palatino Linotype" w:cs="Palatino Linotype"/>
          <w:i/>
          <w:sz w:val="22"/>
          <w:szCs w:val="22"/>
        </w:rPr>
      </w:pP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lastRenderedPageBreak/>
        <w:t>Artículo 12.20.-</w:t>
      </w:r>
      <w:r w:rsidRPr="00E95A8A">
        <w:rPr>
          <w:rFonts w:ascii="Palatino Linotype" w:eastAsia="Palatino Linotype" w:hAnsi="Palatino Linotype" w:cs="Palatino Linotype"/>
          <w:i/>
          <w:sz w:val="22"/>
          <w:szCs w:val="22"/>
        </w:rPr>
        <w:t xml:space="preserve"> </w:t>
      </w:r>
      <w:r w:rsidRPr="00E95A8A">
        <w:rPr>
          <w:rFonts w:ascii="Palatino Linotype" w:eastAsia="Palatino Linotype" w:hAnsi="Palatino Linotype" w:cs="Palatino Linotype"/>
          <w:b/>
          <w:i/>
          <w:sz w:val="22"/>
          <w:szCs w:val="22"/>
        </w:rPr>
        <w:t>Los contratos a que se refiere este Libro, se adjudicarán a través de licitaciones públicas</w:t>
      </w:r>
      <w:r w:rsidRPr="00E95A8A">
        <w:rPr>
          <w:rFonts w:ascii="Palatino Linotype" w:eastAsia="Palatino Linotype" w:hAnsi="Palatino Linotype" w:cs="Palatino Linotype"/>
          <w:i/>
          <w:sz w:val="22"/>
          <w:szCs w:val="22"/>
        </w:rPr>
        <w:t>, mediante convocatoria pública.</w:t>
      </w:r>
    </w:p>
    <w:p w:rsidR="00306E6B" w:rsidRPr="00E95A8A" w:rsidRDefault="00306E6B">
      <w:pPr>
        <w:ind w:left="567" w:right="289"/>
        <w:jc w:val="both"/>
        <w:rPr>
          <w:rFonts w:ascii="Palatino Linotype" w:eastAsia="Palatino Linotype" w:hAnsi="Palatino Linotype" w:cs="Palatino Linotype"/>
          <w:i/>
          <w:sz w:val="22"/>
          <w:szCs w:val="22"/>
        </w:rPr>
      </w:pPr>
    </w:p>
    <w:p w:rsidR="00306E6B" w:rsidRPr="00E95A8A" w:rsidRDefault="00892A78">
      <w:pPr>
        <w:ind w:left="567" w:right="289"/>
        <w:jc w:val="both"/>
        <w:rPr>
          <w:rFonts w:ascii="Palatino Linotype" w:eastAsia="Palatino Linotype" w:hAnsi="Palatino Linotype" w:cs="Palatino Linotype"/>
          <w:b/>
          <w:i/>
          <w:sz w:val="22"/>
          <w:szCs w:val="22"/>
        </w:rPr>
      </w:pPr>
      <w:r w:rsidRPr="00E95A8A">
        <w:rPr>
          <w:rFonts w:ascii="Palatino Linotype" w:eastAsia="Palatino Linotype" w:hAnsi="Palatino Linotype" w:cs="Palatino Linotype"/>
          <w:b/>
          <w:i/>
          <w:sz w:val="22"/>
          <w:szCs w:val="22"/>
        </w:rPr>
        <w:t>Artículo 12.21.-</w:t>
      </w:r>
      <w:r w:rsidRPr="00E95A8A">
        <w:rPr>
          <w:rFonts w:ascii="Palatino Linotype" w:eastAsia="Palatino Linotype" w:hAnsi="Palatino Linotype" w:cs="Palatino Linotype"/>
          <w:i/>
          <w:sz w:val="22"/>
          <w:szCs w:val="22"/>
        </w:rPr>
        <w:t xml:space="preserve"> Las dependencias, entidades y </w:t>
      </w:r>
      <w:r w:rsidRPr="00E95A8A">
        <w:rPr>
          <w:rFonts w:ascii="Palatino Linotype" w:eastAsia="Palatino Linotype" w:hAnsi="Palatino Linotype" w:cs="Palatino Linotype"/>
          <w:b/>
          <w:i/>
          <w:sz w:val="22"/>
          <w:szCs w:val="22"/>
        </w:rPr>
        <w:t xml:space="preserve">ayuntamientos podrán adjudicar contratos para la ejecución de obra pública </w:t>
      </w:r>
      <w:r w:rsidRPr="00E95A8A">
        <w:rPr>
          <w:rFonts w:ascii="Palatino Linotype" w:eastAsia="Palatino Linotype" w:hAnsi="Palatino Linotype" w:cs="Palatino Linotype"/>
          <w:i/>
          <w:sz w:val="22"/>
          <w:szCs w:val="22"/>
        </w:rPr>
        <w:t>o servicios relacionados con la misma mediante las excepciones al procedimiento de licitación siguientes</w:t>
      </w:r>
      <w:r w:rsidRPr="00E95A8A">
        <w:rPr>
          <w:rFonts w:ascii="Palatino Linotype" w:eastAsia="Palatino Linotype" w:hAnsi="Palatino Linotype" w:cs="Palatino Linotype"/>
          <w:b/>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 Invitación restringida</w:t>
      </w: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II. Adjudicación directa</w:t>
      </w: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sz w:val="22"/>
          <w:szCs w:val="22"/>
        </w:rPr>
      </w:pPr>
      <w:r w:rsidRPr="00E95A8A">
        <w:rPr>
          <w:rFonts w:ascii="Palatino Linotype" w:eastAsia="Palatino Linotype" w:hAnsi="Palatino Linotype" w:cs="Palatino Linotype"/>
          <w:b/>
          <w:i/>
          <w:sz w:val="22"/>
          <w:szCs w:val="22"/>
        </w:rPr>
        <w:t>Artículo 12.64.-</w:t>
      </w:r>
      <w:r w:rsidRPr="00E95A8A">
        <w:rPr>
          <w:rFonts w:ascii="Palatino Linotype" w:eastAsia="Palatino Linotype" w:hAnsi="Palatino Linotype" w:cs="Palatino Linotype"/>
          <w:i/>
          <w:sz w:val="22"/>
          <w:szCs w:val="22"/>
        </w:rPr>
        <w:t xml:space="preserve"> Las dependencias, entidades y </w:t>
      </w:r>
      <w:r w:rsidRPr="00E95A8A">
        <w:rPr>
          <w:rFonts w:ascii="Palatino Linotype" w:eastAsia="Palatino Linotype" w:hAnsi="Palatino Linotype" w:cs="Palatino Linotype"/>
          <w:b/>
          <w:i/>
          <w:sz w:val="22"/>
          <w:szCs w:val="22"/>
        </w:rPr>
        <w:t>ayuntamientos conservarán, archivando en forma ordenada la documentación comprobatoria de los actos y contratos materia de este Libro, cuando menos por el lapso de cinco años, contados a partir de la fecha de la recepción de los trabajos</w:t>
      </w:r>
      <w:r w:rsidRPr="00E95A8A">
        <w:rPr>
          <w:rFonts w:ascii="Palatino Linotype" w:eastAsia="Palatino Linotype" w:hAnsi="Palatino Linotype" w:cs="Palatino Linotype"/>
          <w:i/>
          <w:sz w:val="22"/>
          <w:szCs w:val="22"/>
        </w:rPr>
        <w:t>.</w:t>
      </w:r>
      <w:r w:rsidRPr="00E95A8A">
        <w:rPr>
          <w:rFonts w:ascii="Palatino Linotype" w:eastAsia="Palatino Linotype" w:hAnsi="Palatino Linotype" w:cs="Palatino Linotype"/>
          <w:b/>
          <w:i/>
          <w:sz w:val="22"/>
          <w:szCs w:val="22"/>
        </w:rPr>
        <w:t>”</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En este sentido, la ejecución de obras se realiza a través de dos vías, la administración directa, o bien, mediante la contratación de terceros, ésta última forma, se desarrolla a través de los procedimientos de licitación correspondiente, esto es, a través de licitaciones, o de manera excepcional, mediante los procedimientos de invitación restringida y adjudicación directa, en cuyo caso, requiere la generación de diversa información, entre ella, de manera enunciativa más no limitativa, la referida en el artículo 92, fracción XXIX, de la Ley de la materia.</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Aunado a lo anterior, debe observarse lo establecido en los artículos 8, 214, 215, 217, 218 y 219 del Reglamento del Libro Décimo Segundo del Código Administrativo del Estado de México:</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r w:rsidRPr="00E95A8A">
        <w:rPr>
          <w:rFonts w:ascii="Palatino Linotype" w:eastAsia="Palatino Linotype" w:hAnsi="Palatino Linotype" w:cs="Palatino Linotype"/>
          <w:b/>
          <w:i/>
          <w:sz w:val="22"/>
          <w:szCs w:val="22"/>
        </w:rPr>
        <w:t>Artículo 8.</w:t>
      </w:r>
      <w:r w:rsidRPr="00E95A8A">
        <w:rPr>
          <w:rFonts w:ascii="Palatino Linotype" w:eastAsia="Palatino Linotype" w:hAnsi="Palatino Linotype" w:cs="Palatino Linotype"/>
          <w:i/>
          <w:sz w:val="22"/>
          <w:szCs w:val="22"/>
        </w:rPr>
        <w:t>- Las dependencias, entidades y, en su caso</w:t>
      </w:r>
      <w:r w:rsidRPr="00E95A8A">
        <w:rPr>
          <w:rFonts w:ascii="Palatino Linotype" w:eastAsia="Palatino Linotype" w:hAnsi="Palatino Linotype" w:cs="Palatino Linotype"/>
          <w:b/>
          <w:i/>
          <w:sz w:val="22"/>
          <w:szCs w:val="22"/>
        </w:rPr>
        <w:t>, los ayuntamientos, al realizar la planeación de una obra pública o servicio, deberán considerar, además de lo previsto en el Libro, lo siguiente</w:t>
      </w:r>
      <w:r w:rsidRPr="00E95A8A">
        <w:rPr>
          <w:rFonts w:ascii="Palatino Linotype" w:eastAsia="Palatino Linotype" w:hAnsi="Palatino Linotype" w:cs="Palatino Linotype"/>
          <w:i/>
          <w:sz w:val="22"/>
          <w:szCs w:val="22"/>
        </w:rPr>
        <w:t>:</w:t>
      </w:r>
    </w:p>
    <w:p w:rsidR="00306E6B" w:rsidRPr="00E95A8A" w:rsidRDefault="00306E6B">
      <w:pPr>
        <w:ind w:left="567" w:right="289"/>
        <w:jc w:val="both"/>
        <w:rPr>
          <w:rFonts w:ascii="Palatino Linotype" w:eastAsia="Palatino Linotype" w:hAnsi="Palatino Linotype" w:cs="Palatino Linotype"/>
          <w:i/>
          <w:sz w:val="22"/>
          <w:szCs w:val="22"/>
        </w:rPr>
      </w:pP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 Que los proyectos arquitectónicos y de ingeniería aseguren condiciones adecuadas de accesibilidad y libertad de movimiento para todas las personas</w:t>
      </w:r>
      <w:r w:rsidRPr="00E95A8A">
        <w:rPr>
          <w:rFonts w:ascii="Palatino Linotype" w:eastAsia="Palatino Linotype" w:hAnsi="Palatino Linotype" w:cs="Palatino Linotype"/>
          <w:i/>
          <w:sz w:val="22"/>
          <w:szCs w:val="22"/>
        </w:rPr>
        <w:t xml:space="preserve">, sin barreras arquitectónicas; y la necesaria facilidad de evacuación y cumplan con las normas de diseño y de señalización vigentes en el Estado relativas a las personas con capacidades diferentes, en cuanto a instalaciones, circulaciones, servicios sanitarios e instalaciones análogas.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lastRenderedPageBreak/>
        <w:t>II. La debida realización del análisis de factibilidad técnica, económica, social, ecológica, ambiental y, en su caso, los estudios de costo beneficio</w:t>
      </w:r>
      <w:r w:rsidRPr="00E95A8A">
        <w:rPr>
          <w:rFonts w:ascii="Palatino Linotype" w:eastAsia="Palatino Linotype" w:hAnsi="Palatino Linotype" w:cs="Palatino Linotype"/>
          <w:i/>
          <w:sz w:val="22"/>
          <w:szCs w:val="22"/>
        </w:rPr>
        <w:t xml:space="preserve">;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III.</w:t>
      </w:r>
      <w:r w:rsidRPr="00E95A8A">
        <w:rPr>
          <w:rFonts w:ascii="Palatino Linotype" w:eastAsia="Palatino Linotype" w:hAnsi="Palatino Linotype" w:cs="Palatino Linotype"/>
          <w:i/>
          <w:sz w:val="22"/>
          <w:szCs w:val="22"/>
        </w:rPr>
        <w:t xml:space="preserve"> La congruencia de la obra con las características ambientales, climáticas y geográficas de la región donde se realizará, así como </w:t>
      </w:r>
      <w:r w:rsidRPr="00E95A8A">
        <w:rPr>
          <w:rFonts w:ascii="Palatino Linotype" w:eastAsia="Palatino Linotype" w:hAnsi="Palatino Linotype" w:cs="Palatino Linotype"/>
          <w:b/>
          <w:i/>
          <w:sz w:val="22"/>
          <w:szCs w:val="22"/>
        </w:rPr>
        <w:t>los impactos previsibles</w:t>
      </w:r>
      <w:r w:rsidRPr="00E95A8A">
        <w:rPr>
          <w:rFonts w:ascii="Palatino Linotype" w:eastAsia="Palatino Linotype" w:hAnsi="Palatino Linotype" w:cs="Palatino Linotype"/>
          <w:i/>
          <w:sz w:val="22"/>
          <w:szCs w:val="22"/>
        </w:rPr>
        <w:t xml:space="preserve">;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IV. La determinación de la forma de ejecución, por contrato o administración directa</w:t>
      </w:r>
      <w:r w:rsidRPr="00E95A8A">
        <w:rPr>
          <w:rFonts w:ascii="Palatino Linotype" w:eastAsia="Palatino Linotype" w:hAnsi="Palatino Linotype" w:cs="Palatino Linotype"/>
          <w:i/>
          <w:sz w:val="22"/>
          <w:szCs w:val="22"/>
        </w:rPr>
        <w:t xml:space="preserve">. En el caso de contrato, precisar las áreas responsables de la contratación y la supervisión de los trabajos; y en el caso de obras por administración directa, de los responsables de las áreas de ejecución;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V. La coordinación con otras dependencias, entidades o ayuntamientos que realicen trabajos en el lugar de ejecución</w:t>
      </w:r>
      <w:r w:rsidRPr="00E95A8A">
        <w:rPr>
          <w:rFonts w:ascii="Palatino Linotype" w:eastAsia="Palatino Linotype" w:hAnsi="Palatino Linotype" w:cs="Palatino Linotype"/>
          <w:i/>
          <w:sz w:val="22"/>
          <w:szCs w:val="22"/>
        </w:rPr>
        <w:t>, o bien, que cuenten con instalaciones en operación, con el propósito de identificar aquellos trabajos que pudieran ocasionar daños, interferencias o suspensiones de los servicios públicos. Para tal efecto</w:t>
      </w:r>
      <w:r w:rsidRPr="00E95A8A">
        <w:rPr>
          <w:rFonts w:ascii="Palatino Linotype" w:eastAsia="Palatino Linotype" w:hAnsi="Palatino Linotype" w:cs="Palatino Linotype"/>
          <w:b/>
          <w:i/>
          <w:sz w:val="22"/>
          <w:szCs w:val="22"/>
        </w:rPr>
        <w:t>, las dependencias o entidades y, en su caso, ayuntamientos, delimitarán los alcances de los trabajos que a cada una de ellas corresponda realizar</w:t>
      </w:r>
      <w:r w:rsidRPr="00E95A8A">
        <w:rPr>
          <w:rFonts w:ascii="Palatino Linotype" w:eastAsia="Palatino Linotype" w:hAnsi="Palatino Linotype" w:cs="Palatino Linotype"/>
          <w:i/>
          <w:sz w:val="22"/>
          <w:szCs w:val="22"/>
        </w:rPr>
        <w:t xml:space="preserve">. El programa de ejecución preverá una secuencia de actividades, que evite la duplicidad o repetición de acciones y trabajos;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VI. La determinación de los materiales, productos, equipos y procedimientos de construcción que satisfagan los requerimientos técnicos y económicos del proyecto</w:t>
      </w:r>
      <w:r w:rsidRPr="00E95A8A">
        <w:rPr>
          <w:rFonts w:ascii="Palatino Linotype" w:eastAsia="Palatino Linotype" w:hAnsi="Palatino Linotype" w:cs="Palatino Linotype"/>
          <w:i/>
          <w:sz w:val="22"/>
          <w:szCs w:val="22"/>
        </w:rPr>
        <w:t xml:space="preserve">, considerando preferentemente el empleo de los recursos humanos y los materiales propios de la región donde se ubiquen las obras;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 xml:space="preserve">VII. El análisis de los avances tecnológicos y la determinación de los criterios de tecnología aplicables en función de la naturaleza de la obra pública </w:t>
      </w:r>
      <w:r w:rsidRPr="00E95A8A">
        <w:rPr>
          <w:rFonts w:ascii="Palatino Linotype" w:eastAsia="Palatino Linotype" w:hAnsi="Palatino Linotype" w:cs="Palatino Linotype"/>
          <w:i/>
          <w:sz w:val="22"/>
          <w:szCs w:val="22"/>
        </w:rPr>
        <w:t xml:space="preserve">y los servicios que satisfagan los requerimientos técnicos, económicos, ambientales y culturales;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VIII. La definición de las obras principales, de infraestructura; de las complementarias, inducidas y accesorias; y de las acciones requeridas para ponerlas en servicio e incorporarlas en el programa general de la obra;</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IX. La determinación del presupuesto total de la obra</w:t>
      </w:r>
      <w:r w:rsidRPr="00E95A8A">
        <w:rPr>
          <w:rFonts w:ascii="Palatino Linotype" w:eastAsia="Palatino Linotype" w:hAnsi="Palatino Linotype" w:cs="Palatino Linotype"/>
          <w:i/>
          <w:sz w:val="22"/>
          <w:szCs w:val="22"/>
        </w:rPr>
        <w:t xml:space="preserve"> y, en su caso, por ejercicios presupuéstales;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X. La determinación de acciones de adquisición</w:t>
      </w:r>
      <w:r w:rsidRPr="00E95A8A">
        <w:rPr>
          <w:rFonts w:ascii="Palatino Linotype" w:eastAsia="Palatino Linotype" w:hAnsi="Palatino Linotype" w:cs="Palatino Linotype"/>
          <w:i/>
          <w:sz w:val="22"/>
          <w:szCs w:val="22"/>
        </w:rPr>
        <w:t xml:space="preserve"> y, en su caso, de regularización de la tenencia de la tierra; y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XI.</w:t>
      </w:r>
      <w:r w:rsidRPr="00E95A8A">
        <w:rPr>
          <w:rFonts w:ascii="Palatino Linotype" w:eastAsia="Palatino Linotype" w:hAnsi="Palatino Linotype" w:cs="Palatino Linotype"/>
          <w:i/>
          <w:sz w:val="22"/>
          <w:szCs w:val="22"/>
        </w:rPr>
        <w:t xml:space="preserve"> En el caso de las obras por administración directa</w:t>
      </w:r>
      <w:r w:rsidRPr="00E95A8A">
        <w:rPr>
          <w:rFonts w:ascii="Palatino Linotype" w:eastAsia="Palatino Linotype" w:hAnsi="Palatino Linotype" w:cs="Palatino Linotype"/>
          <w:b/>
          <w:i/>
          <w:sz w:val="22"/>
          <w:szCs w:val="22"/>
        </w:rPr>
        <w:t>, la evaluación de la disponibilidad de personal</w:t>
      </w:r>
      <w:r w:rsidRPr="00E95A8A">
        <w:rPr>
          <w:rFonts w:ascii="Palatino Linotype" w:eastAsia="Palatino Linotype" w:hAnsi="Palatino Linotype" w:cs="Palatino Linotype"/>
          <w:i/>
          <w:sz w:val="22"/>
          <w:szCs w:val="22"/>
        </w:rPr>
        <w:t xml:space="preserve"> en las áreas responsables de la ejecución, así como de la maquinaria y equipo, que determine la capacidad real para ejecutar la obra con recursos propios.</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Artículo 214</w:t>
      </w:r>
      <w:r w:rsidRPr="00E95A8A">
        <w:rPr>
          <w:rFonts w:ascii="Palatino Linotype" w:eastAsia="Palatino Linotype" w:hAnsi="Palatino Linotype" w:cs="Palatino Linotype"/>
          <w:i/>
          <w:sz w:val="22"/>
          <w:szCs w:val="22"/>
        </w:rPr>
        <w:t xml:space="preserve">.- </w:t>
      </w:r>
      <w:r w:rsidRPr="00E95A8A">
        <w:rPr>
          <w:rFonts w:ascii="Palatino Linotype" w:eastAsia="Palatino Linotype" w:hAnsi="Palatino Linotype" w:cs="Palatino Linotype"/>
          <w:b/>
          <w:i/>
          <w:sz w:val="22"/>
          <w:szCs w:val="22"/>
        </w:rPr>
        <w:t>La ejecución de los trabajos deberá realizarse en el orden y tiempo previstos</w:t>
      </w:r>
      <w:r w:rsidRPr="00E95A8A">
        <w:rPr>
          <w:rFonts w:ascii="Palatino Linotype" w:eastAsia="Palatino Linotype" w:hAnsi="Palatino Linotype" w:cs="Palatino Linotype"/>
          <w:i/>
          <w:sz w:val="22"/>
          <w:szCs w:val="22"/>
        </w:rPr>
        <w:t xml:space="preserve"> en los programas pactados en el contrato. </w:t>
      </w:r>
    </w:p>
    <w:p w:rsidR="00306E6B" w:rsidRPr="00E95A8A" w:rsidRDefault="00306E6B">
      <w:pPr>
        <w:ind w:left="567" w:right="289"/>
        <w:jc w:val="both"/>
        <w:rPr>
          <w:rFonts w:ascii="Palatino Linotype" w:eastAsia="Palatino Linotype" w:hAnsi="Palatino Linotype" w:cs="Palatino Linotype"/>
          <w:i/>
          <w:sz w:val="22"/>
          <w:szCs w:val="22"/>
        </w:rPr>
      </w:pP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Artículo 215.-</w:t>
      </w:r>
      <w:r w:rsidRPr="00E95A8A">
        <w:rPr>
          <w:rFonts w:ascii="Palatino Linotype" w:eastAsia="Palatino Linotype" w:hAnsi="Palatino Linotype" w:cs="Palatino Linotype"/>
          <w:i/>
          <w:sz w:val="22"/>
          <w:szCs w:val="22"/>
        </w:rPr>
        <w:t xml:space="preserve"> </w:t>
      </w:r>
      <w:r w:rsidRPr="00E95A8A">
        <w:rPr>
          <w:rFonts w:ascii="Palatino Linotype" w:eastAsia="Palatino Linotype" w:hAnsi="Palatino Linotype" w:cs="Palatino Linotype"/>
          <w:b/>
          <w:i/>
          <w:sz w:val="22"/>
          <w:szCs w:val="22"/>
        </w:rPr>
        <w:t>Para dar inicio a la ejecución de los trabajos, el contratante nombrará al servidor público residente de obra</w:t>
      </w:r>
      <w:r w:rsidRPr="00E95A8A">
        <w:rPr>
          <w:rFonts w:ascii="Palatino Linotype" w:eastAsia="Palatino Linotype" w:hAnsi="Palatino Linotype" w:cs="Palatino Linotype"/>
          <w:i/>
          <w:sz w:val="22"/>
          <w:szCs w:val="22"/>
        </w:rPr>
        <w:t>; y el contratista, al superintendente de la obra que lo representará. Cuando la supervisión sea contratada con terceras personas, es conveniente que participe desde el fallo del procedimiento de adjudicación del contrato de obra.</w:t>
      </w:r>
    </w:p>
    <w:p w:rsidR="00306E6B" w:rsidRPr="00E95A8A" w:rsidRDefault="00306E6B">
      <w:pPr>
        <w:ind w:left="567" w:right="289"/>
        <w:jc w:val="both"/>
        <w:rPr>
          <w:rFonts w:ascii="Palatino Linotype" w:eastAsia="Palatino Linotype" w:hAnsi="Palatino Linotype" w:cs="Palatino Linotype"/>
          <w:i/>
          <w:sz w:val="22"/>
          <w:szCs w:val="22"/>
        </w:rPr>
      </w:pP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lastRenderedPageBreak/>
        <w:t>Artículo 217.- Las funciones de la residencia de obra serán</w:t>
      </w: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 Vigilar que se cuente con el oficio de autorización de los recursos presupuestales</w:t>
      </w:r>
      <w:r w:rsidRPr="00E95A8A">
        <w:rPr>
          <w:rFonts w:ascii="Palatino Linotype" w:eastAsia="Palatino Linotype" w:hAnsi="Palatino Linotype" w:cs="Palatino Linotype"/>
          <w:i/>
          <w:sz w:val="22"/>
          <w:szCs w:val="22"/>
        </w:rPr>
        <w:t xml:space="preserve">;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II.</w:t>
      </w:r>
      <w:r w:rsidRPr="00E95A8A">
        <w:rPr>
          <w:rFonts w:ascii="Palatino Linotype" w:eastAsia="Palatino Linotype" w:hAnsi="Palatino Linotype" w:cs="Palatino Linotype"/>
          <w:i/>
          <w:sz w:val="22"/>
          <w:szCs w:val="22"/>
        </w:rPr>
        <w:t xml:space="preserve"> </w:t>
      </w:r>
      <w:r w:rsidRPr="00E95A8A">
        <w:rPr>
          <w:rFonts w:ascii="Palatino Linotype" w:eastAsia="Palatino Linotype" w:hAnsi="Palatino Linotype" w:cs="Palatino Linotype"/>
          <w:b/>
          <w:i/>
          <w:sz w:val="22"/>
          <w:szCs w:val="22"/>
        </w:rPr>
        <w:t>Verificar que, antes del inicio de la obra, se cuente con los proyectos arquitectónicos y de ingeniería, especificaciones de calidad de los materiales y especificaciones generales y particulares de construcción</w:t>
      </w:r>
      <w:r w:rsidRPr="00E95A8A">
        <w:rPr>
          <w:rFonts w:ascii="Palatino Linotype" w:eastAsia="Palatino Linotype" w:hAnsi="Palatino Linotype" w:cs="Palatino Linotype"/>
          <w:i/>
          <w:sz w:val="22"/>
          <w:szCs w:val="22"/>
        </w:rPr>
        <w:t xml:space="preserve">, catálogo de conceptos con sus análisis de precios unitarios o alcance de las actividades de obra, programas de ejecución y suministros o utilización, términos de referencia y alcance de servicios; en caso contrario, informar a su inmediato superior;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III. Abrir la bitácora de obra</w:t>
      </w:r>
      <w:r w:rsidRPr="00E95A8A">
        <w:rPr>
          <w:rFonts w:ascii="Palatino Linotype" w:eastAsia="Palatino Linotype" w:hAnsi="Palatino Linotype" w:cs="Palatino Linotype"/>
          <w:i/>
          <w:sz w:val="22"/>
          <w:szCs w:val="22"/>
        </w:rPr>
        <w:t xml:space="preserve">, la cual quedará bajo su resguardo, y por medio de ella dar las instrucciones pertinentes, y recibir las solicitudes que le formule la supervisión y el contratista;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IV. Supervisar, revisar, vigilar y controlar los trabajos</w:t>
      </w:r>
      <w:r w:rsidRPr="00E95A8A">
        <w:rPr>
          <w:rFonts w:ascii="Palatino Linotype" w:eastAsia="Palatino Linotype" w:hAnsi="Palatino Linotype" w:cs="Palatino Linotype"/>
          <w:i/>
          <w:sz w:val="22"/>
          <w:szCs w:val="22"/>
        </w:rPr>
        <w:t xml:space="preserve">;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V. Vigilar y controlar el desarrollo de los trabajos</w:t>
      </w:r>
      <w:r w:rsidRPr="00E95A8A">
        <w:rPr>
          <w:rFonts w:ascii="Palatino Linotype" w:eastAsia="Palatino Linotype" w:hAnsi="Palatino Linotype" w:cs="Palatino Linotype"/>
          <w:i/>
          <w:sz w:val="22"/>
          <w:szCs w:val="22"/>
        </w:rPr>
        <w:t xml:space="preserve">, en sus aspectos de tiempo, calidad, costo y apego a los programas de ejecución de los trabajos de acuerdo con los avances, recursos asignados, rendimientos y consumos pactados en el contrato; </w:t>
      </w:r>
    </w:p>
    <w:p w:rsidR="00306E6B" w:rsidRPr="00E95A8A" w:rsidRDefault="00306E6B">
      <w:pPr>
        <w:ind w:left="567" w:right="289"/>
        <w:jc w:val="both"/>
        <w:rPr>
          <w:rFonts w:ascii="Palatino Linotype" w:eastAsia="Palatino Linotype" w:hAnsi="Palatino Linotype" w:cs="Palatino Linotype"/>
          <w:i/>
          <w:sz w:val="22"/>
          <w:szCs w:val="22"/>
        </w:rPr>
      </w:pP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Artículo 218.- La supervisión es el auxiliar de la residencia de obra</w:t>
      </w:r>
      <w:r w:rsidRPr="00E95A8A">
        <w:rPr>
          <w:rFonts w:ascii="Palatino Linotype" w:eastAsia="Palatino Linotype" w:hAnsi="Palatino Linotype" w:cs="Palatino Linotype"/>
          <w:i/>
          <w:sz w:val="22"/>
          <w:szCs w:val="22"/>
        </w:rPr>
        <w:t>. Tendrá las funciones que se señalan en este Reglamento, así como las que, en su caso, se pacten en el contrato de supervisión. Para tal función se deberá contar con la certificación de conocimientos y habilidades en la materia.</w:t>
      </w:r>
    </w:p>
    <w:p w:rsidR="00306E6B" w:rsidRPr="00E95A8A" w:rsidRDefault="00306E6B">
      <w:pPr>
        <w:ind w:left="567" w:right="289"/>
        <w:jc w:val="both"/>
        <w:rPr>
          <w:rFonts w:ascii="Palatino Linotype" w:eastAsia="Palatino Linotype" w:hAnsi="Palatino Linotype" w:cs="Palatino Linotype"/>
          <w:i/>
          <w:sz w:val="22"/>
          <w:szCs w:val="22"/>
        </w:rPr>
      </w:pP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Artículo 219.- Las funciones de la supervisión serán</w:t>
      </w:r>
      <w:r w:rsidRPr="00E95A8A">
        <w:rPr>
          <w:rFonts w:ascii="Palatino Linotype" w:eastAsia="Palatino Linotype" w:hAnsi="Palatino Linotype" w:cs="Palatino Linotype"/>
          <w:i/>
          <w:sz w:val="22"/>
          <w:szCs w:val="22"/>
        </w:rPr>
        <w:t xml:space="preserve">: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 Revisar, antes del inicio de los trabajos, la información que le proporcione la residencia de obra respecto del contrato</w:t>
      </w:r>
      <w:r w:rsidRPr="00E95A8A">
        <w:rPr>
          <w:rFonts w:ascii="Palatino Linotype" w:eastAsia="Palatino Linotype" w:hAnsi="Palatino Linotype" w:cs="Palatino Linotype"/>
          <w:i/>
          <w:sz w:val="22"/>
          <w:szCs w:val="22"/>
        </w:rPr>
        <w:t xml:space="preserve">, con el objeto de enterarse con detalle de las características del proyecto y del sitio de la obra, obteniendo la información que le permita iniciar los trabajos de supervisión según lo programado y ejecutarlos ininterrumpidamente hasta su conclusión;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III. Integrar y mantener en orden y actualizado el archivo y documentación derivada de la realización de los trabajos, el que contendrá, entre otros</w:t>
      </w:r>
      <w:r w:rsidRPr="00E95A8A">
        <w:rPr>
          <w:rFonts w:ascii="Palatino Linotype" w:eastAsia="Palatino Linotype" w:hAnsi="Palatino Linotype" w:cs="Palatino Linotype"/>
          <w:i/>
          <w:sz w:val="22"/>
          <w:szCs w:val="22"/>
        </w:rPr>
        <w:t xml:space="preserve">: </w:t>
      </w:r>
    </w:p>
    <w:p w:rsidR="00306E6B" w:rsidRPr="00E95A8A" w:rsidRDefault="00892A78">
      <w:pPr>
        <w:tabs>
          <w:tab w:val="left" w:pos="1701"/>
        </w:tabs>
        <w:ind w:left="1134" w:right="289" w:hanging="283"/>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a.</w:t>
      </w:r>
      <w:r w:rsidRPr="00E95A8A">
        <w:rPr>
          <w:rFonts w:ascii="Palatino Linotype" w:eastAsia="Palatino Linotype" w:hAnsi="Palatino Linotype" w:cs="Palatino Linotype"/>
          <w:b/>
          <w:i/>
          <w:sz w:val="22"/>
          <w:szCs w:val="22"/>
        </w:rPr>
        <w:tab/>
      </w:r>
      <w:r w:rsidRPr="00E95A8A">
        <w:rPr>
          <w:rFonts w:ascii="Palatino Linotype" w:eastAsia="Palatino Linotype" w:hAnsi="Palatino Linotype" w:cs="Palatino Linotype"/>
          <w:i/>
          <w:sz w:val="22"/>
          <w:szCs w:val="22"/>
        </w:rPr>
        <w:t xml:space="preserve">Contrato, convenios, programas de obra y suministros, números generadores, cantidades de obra realizadas y faltantes de ejecutar y presupuesto; </w:t>
      </w:r>
    </w:p>
    <w:p w:rsidR="00306E6B" w:rsidRPr="00E95A8A" w:rsidRDefault="00892A78">
      <w:pPr>
        <w:tabs>
          <w:tab w:val="left" w:pos="1701"/>
        </w:tabs>
        <w:ind w:left="1134" w:right="289" w:hanging="283"/>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b.</w:t>
      </w:r>
      <w:r w:rsidRPr="00E95A8A">
        <w:rPr>
          <w:rFonts w:ascii="Palatino Linotype" w:eastAsia="Palatino Linotype" w:hAnsi="Palatino Linotype" w:cs="Palatino Linotype"/>
          <w:i/>
          <w:sz w:val="22"/>
          <w:szCs w:val="22"/>
        </w:rPr>
        <w:tab/>
        <w:t>Permisos, licencias y autorizaciones;</w:t>
      </w:r>
    </w:p>
    <w:p w:rsidR="00306E6B" w:rsidRPr="00E95A8A" w:rsidRDefault="00892A78">
      <w:pPr>
        <w:tabs>
          <w:tab w:val="left" w:pos="1701"/>
        </w:tabs>
        <w:ind w:left="1134" w:right="289" w:hanging="283"/>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c.</w:t>
      </w:r>
      <w:r w:rsidRPr="00E95A8A">
        <w:rPr>
          <w:rFonts w:ascii="Palatino Linotype" w:eastAsia="Palatino Linotype" w:hAnsi="Palatino Linotype" w:cs="Palatino Linotype"/>
          <w:i/>
          <w:sz w:val="22"/>
          <w:szCs w:val="22"/>
        </w:rPr>
        <w:tab/>
        <w:t>Especificaciones de construcción y procedimientos constructivos;</w:t>
      </w:r>
    </w:p>
    <w:p w:rsidR="00306E6B" w:rsidRPr="00E95A8A" w:rsidRDefault="00892A78">
      <w:pPr>
        <w:tabs>
          <w:tab w:val="left" w:pos="1701"/>
        </w:tabs>
        <w:ind w:left="1134" w:right="289" w:hanging="283"/>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d.</w:t>
      </w:r>
      <w:r w:rsidRPr="00E95A8A">
        <w:rPr>
          <w:rFonts w:ascii="Palatino Linotype" w:eastAsia="Palatino Linotype" w:hAnsi="Palatino Linotype" w:cs="Palatino Linotype"/>
          <w:i/>
          <w:sz w:val="22"/>
          <w:szCs w:val="22"/>
        </w:rPr>
        <w:tab/>
        <w:t xml:space="preserve">Registro y control de la bitácora y de las minutas de las juntas de obra; </w:t>
      </w:r>
    </w:p>
    <w:p w:rsidR="00306E6B" w:rsidRPr="00E95A8A" w:rsidRDefault="00892A78">
      <w:pPr>
        <w:tabs>
          <w:tab w:val="left" w:pos="1701"/>
        </w:tabs>
        <w:ind w:left="1134" w:right="289" w:hanging="283"/>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e.</w:t>
      </w:r>
      <w:r w:rsidRPr="00E95A8A">
        <w:rPr>
          <w:rFonts w:ascii="Palatino Linotype" w:eastAsia="Palatino Linotype" w:hAnsi="Palatino Linotype" w:cs="Palatino Linotype"/>
          <w:i/>
          <w:sz w:val="22"/>
          <w:szCs w:val="22"/>
        </w:rPr>
        <w:tab/>
        <w:t xml:space="preserve">Copia de planos y sus modificaciones; </w:t>
      </w:r>
    </w:p>
    <w:p w:rsidR="00306E6B" w:rsidRPr="00E95A8A" w:rsidRDefault="00892A78">
      <w:pPr>
        <w:tabs>
          <w:tab w:val="left" w:pos="1701"/>
        </w:tabs>
        <w:ind w:left="1134" w:right="289" w:hanging="283"/>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f.</w:t>
      </w:r>
      <w:r w:rsidRPr="00E95A8A">
        <w:rPr>
          <w:rFonts w:ascii="Palatino Linotype" w:eastAsia="Palatino Linotype" w:hAnsi="Palatino Linotype" w:cs="Palatino Linotype"/>
          <w:b/>
          <w:i/>
          <w:sz w:val="22"/>
          <w:szCs w:val="22"/>
        </w:rPr>
        <w:tab/>
      </w:r>
      <w:r w:rsidRPr="00E95A8A">
        <w:rPr>
          <w:rFonts w:ascii="Palatino Linotype" w:eastAsia="Palatino Linotype" w:hAnsi="Palatino Linotype" w:cs="Palatino Linotype"/>
          <w:i/>
          <w:sz w:val="22"/>
          <w:szCs w:val="22"/>
        </w:rPr>
        <w:t>Matrices de precios unitarios o cédula de avances y pagos programados, según corresponda;</w:t>
      </w:r>
    </w:p>
    <w:p w:rsidR="00306E6B" w:rsidRPr="00E95A8A" w:rsidRDefault="00892A78">
      <w:pPr>
        <w:tabs>
          <w:tab w:val="left" w:pos="1701"/>
        </w:tabs>
        <w:ind w:left="1134" w:right="289" w:hanging="283"/>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g.</w:t>
      </w:r>
      <w:r w:rsidRPr="00E95A8A">
        <w:rPr>
          <w:rFonts w:ascii="Palatino Linotype" w:eastAsia="Palatino Linotype" w:hAnsi="Palatino Linotype" w:cs="Palatino Linotype"/>
          <w:i/>
          <w:sz w:val="22"/>
          <w:szCs w:val="22"/>
        </w:rPr>
        <w:tab/>
        <w:t xml:space="preserve">Estimaciones; </w:t>
      </w:r>
    </w:p>
    <w:p w:rsidR="00306E6B" w:rsidRPr="00E95A8A" w:rsidRDefault="00892A78">
      <w:pPr>
        <w:tabs>
          <w:tab w:val="left" w:pos="1701"/>
        </w:tabs>
        <w:ind w:left="1134" w:right="289" w:hanging="283"/>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h.</w:t>
      </w:r>
      <w:r w:rsidRPr="00E95A8A">
        <w:rPr>
          <w:rFonts w:ascii="Palatino Linotype" w:eastAsia="Palatino Linotype" w:hAnsi="Palatino Linotype" w:cs="Palatino Linotype"/>
          <w:b/>
          <w:i/>
          <w:sz w:val="22"/>
          <w:szCs w:val="22"/>
        </w:rPr>
        <w:tab/>
      </w:r>
      <w:r w:rsidRPr="00E95A8A">
        <w:rPr>
          <w:rFonts w:ascii="Palatino Linotype" w:eastAsia="Palatino Linotype" w:hAnsi="Palatino Linotype" w:cs="Palatino Linotype"/>
          <w:i/>
          <w:sz w:val="22"/>
          <w:szCs w:val="22"/>
        </w:rPr>
        <w:t>Reportes de laboratorio y resultado de las pruebas, y</w:t>
      </w:r>
    </w:p>
    <w:p w:rsidR="00306E6B" w:rsidRPr="00E95A8A" w:rsidRDefault="00892A78">
      <w:pPr>
        <w:tabs>
          <w:tab w:val="left" w:pos="1701"/>
        </w:tabs>
        <w:ind w:left="1134" w:right="289" w:hanging="283"/>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w:t>
      </w:r>
      <w:r w:rsidRPr="00E95A8A">
        <w:rPr>
          <w:rFonts w:ascii="Palatino Linotype" w:eastAsia="Palatino Linotype" w:hAnsi="Palatino Linotype" w:cs="Palatino Linotype"/>
          <w:i/>
          <w:sz w:val="22"/>
          <w:szCs w:val="22"/>
        </w:rPr>
        <w:t>.</w:t>
      </w:r>
      <w:r w:rsidRPr="00E95A8A">
        <w:rPr>
          <w:rFonts w:ascii="Palatino Linotype" w:eastAsia="Palatino Linotype" w:hAnsi="Palatino Linotype" w:cs="Palatino Linotype"/>
          <w:i/>
          <w:sz w:val="22"/>
          <w:szCs w:val="22"/>
        </w:rPr>
        <w:tab/>
        <w:t>Manuales y garantía de la maquinaria y equipo;</w:t>
      </w:r>
    </w:p>
    <w:p w:rsidR="00306E6B" w:rsidRPr="00E95A8A" w:rsidRDefault="00892A78">
      <w:pPr>
        <w:ind w:left="851" w:right="289"/>
        <w:jc w:val="both"/>
        <w:rPr>
          <w:rFonts w:ascii="Palatino Linotype" w:eastAsia="Palatino Linotype" w:hAnsi="Palatino Linotype" w:cs="Palatino Linotype"/>
          <w:sz w:val="22"/>
          <w:szCs w:val="22"/>
        </w:rPr>
      </w:pPr>
      <w:r w:rsidRPr="00E95A8A">
        <w:rPr>
          <w:rFonts w:ascii="Palatino Linotype" w:eastAsia="Palatino Linotype" w:hAnsi="Palatino Linotype" w:cs="Palatino Linotype"/>
          <w:sz w:val="22"/>
          <w:szCs w:val="22"/>
        </w:rPr>
        <w:t>(…)”</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lastRenderedPageBreak/>
        <w:t>Ahora bien, de conformidad con el Acuerdo del Secretario de Infraestructura por el que se establece el Índice de Expediente Único de Obra Pública e Instructivos de llenado en las modalidades de adjudicación directa, invitación restringida y licitación pública, se establecieron los Índices de Expedientes Únicos de Obra e instructivos de llenado, en las modalidades de Adjudicación Directa, Invitación Restringida y Licitación Pública, para la integración del expediente único de obra pública que para tal efecto integran las dependencias, entidades, ayuntamientos y tribunales administrativos que ejecuten obra pública.</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 xml:space="preserve">Así, de conformidad con los instructivos de referencia, se advierte que dentro de la documentación que debe de contener el Expediente Único de Obra se encuentran: el Expediente Técnico: el Proyecto Ejecutivo; el Presupuesto Base; el Oficio de Asignación, autorización de Recursos y Dictamen de Procedencia; las Bases de Concurso y en su caso Términos de Referencia; la Invitación a la Persona Física o Moral para presentar su propuesta; el Escrito de aceptación de la persona Física o Moral para presentar su propuesta, y entrega de bases por la Dependencia; la Evaluación de la Propuesta, Dictamen y Acta de Adjudicación (incluyendo Invitación a Instancias internas y externas al acto de adjudicación; la Propuesta aceptada (con todos los documentos solicitados en las bases y en su caso en los términos de referencia); el Contrato, diferimiento, convenios de reprogramación, y/o convenios de ampliación al importe del contrato, incluyendo solicitud de la empresa, opinión de la residencia y de la supervisión externa; los Comunicados de Modificación al Contrato; las Garantías de Cumplimiento de Contrato, Anticipos y/o Convenios; el Aviso de Inicio de Obra; los Programa de Obra o Servicio (Incluyendo modificaciones), aprobado por la residencia de obra y la supervisión externa; los Números generadores, estimaciones y facturas, incluyendo estimación de finiquito; las Resolución de Ajuste o Escalatoria de </w:t>
      </w:r>
      <w:r w:rsidRPr="00E95A8A">
        <w:rPr>
          <w:rFonts w:ascii="Palatino Linotype" w:eastAsia="Palatino Linotype" w:hAnsi="Palatino Linotype" w:cs="Palatino Linotype"/>
        </w:rPr>
        <w:lastRenderedPageBreak/>
        <w:t>Precios Unitarios, Incluyendo la solicitud de la empresa con sus matrices, y el visto bueno de la Residencia de Obra y Supervisión Externa; la Autorización de precios unitarios extraordinarios, incluyendo la solicitud y análisis de la empresa, y la validación de la Residencia de Obra y Supervisión Externa; la Bitácora de Obra o Servicios (original) y Minutas de Trabajo; los Reportes de Control de Calidad; el Álbum Fotográfico; los Planos actualizados definitivos; el Acta de Recepción de los Trabajos y Garantía de Vicios Ocultos (Incluyendo Invitaciones Internas y Externas a dicho acto); y, el Acta de entrega a la instancia encargada de su operación.</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 xml:space="preserve">Ahora bien, de conformidad con la los numerales 1, 2, 3, 31, fracciones XVIII y XIX y 95, fracciones I, IV, V, VI y XIX de la Ley Orgánica Municipal del Estado de México, normatividad invocada que dispone a la literalidad: </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r w:rsidRPr="00E95A8A">
        <w:rPr>
          <w:rFonts w:ascii="Palatino Linotype" w:eastAsia="Palatino Linotype" w:hAnsi="Palatino Linotype" w:cs="Palatino Linotype"/>
          <w:b/>
          <w:i/>
          <w:sz w:val="22"/>
          <w:szCs w:val="22"/>
        </w:rPr>
        <w:t>Artículo 1.-</w:t>
      </w:r>
      <w:r w:rsidRPr="00E95A8A">
        <w:rPr>
          <w:rFonts w:ascii="Palatino Linotype" w:eastAsia="Palatino Linotype" w:hAnsi="Palatino Linotype" w:cs="Palatino Linotype"/>
          <w:i/>
          <w:sz w:val="22"/>
          <w:szCs w:val="22"/>
        </w:rPr>
        <w:t xml:space="preserve"> Esta Ley es de interés público y tiene por objeto regular las bases para la integración y organización del territorio, la población, el gobierno y la administración pública municipales. El municipio libre es la base de la división territorial y de la organización política del Estado, investido de personalidad jurídica propia, integrado por una comunidad establecida en un territorio, con un gobierno autónomo en su régimen interior y en la administración de su hacienda pública, en términos del Artículo 115 de la Constitución Política de los Estados Unidos Mexicanos. </w:t>
      </w:r>
    </w:p>
    <w:p w:rsidR="00306E6B" w:rsidRPr="00E95A8A" w:rsidRDefault="00306E6B">
      <w:pPr>
        <w:ind w:left="567" w:right="289"/>
        <w:jc w:val="both"/>
        <w:rPr>
          <w:rFonts w:ascii="Palatino Linotype" w:eastAsia="Palatino Linotype" w:hAnsi="Palatino Linotype" w:cs="Palatino Linotype"/>
          <w:i/>
          <w:sz w:val="22"/>
          <w:szCs w:val="22"/>
        </w:rPr>
      </w:pP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Artículo 2.-</w:t>
      </w:r>
      <w:r w:rsidRPr="00E95A8A">
        <w:rPr>
          <w:rFonts w:ascii="Palatino Linotype" w:eastAsia="Palatino Linotype" w:hAnsi="Palatino Linotype" w:cs="Palatino Linotype"/>
          <w:i/>
          <w:sz w:val="22"/>
          <w:szCs w:val="22"/>
        </w:rPr>
        <w:t xml:space="preserve"> Las autoridades municipales tienen las atribuciones que les señalen los ordenamientos federales, locales y municipales y las derivadas de los convenios que se celebren con el Gobierno del Estado o con otros municipios. </w:t>
      </w:r>
    </w:p>
    <w:p w:rsidR="00306E6B" w:rsidRPr="00E95A8A" w:rsidRDefault="00306E6B">
      <w:pPr>
        <w:ind w:left="567" w:right="289"/>
        <w:jc w:val="both"/>
        <w:rPr>
          <w:rFonts w:ascii="Palatino Linotype" w:eastAsia="Palatino Linotype" w:hAnsi="Palatino Linotype" w:cs="Palatino Linotype"/>
          <w:i/>
          <w:sz w:val="22"/>
          <w:szCs w:val="22"/>
        </w:rPr>
      </w:pP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Artículo 3.-</w:t>
      </w:r>
      <w:r w:rsidRPr="00E95A8A">
        <w:rPr>
          <w:rFonts w:ascii="Palatino Linotype" w:eastAsia="Palatino Linotype" w:hAnsi="Palatino Linotype" w:cs="Palatino Linotype"/>
          <w:i/>
          <w:sz w:val="22"/>
          <w:szCs w:val="22"/>
        </w:rPr>
        <w:t xml:space="preserve"> Los municipios del Estado regularán su funcionamiento de conformidad con lo que establece esta Ley, los Bandos municipales, reglamentos y demás disposiciones legales aplicables.</w:t>
      </w:r>
    </w:p>
    <w:p w:rsidR="00306E6B" w:rsidRPr="00E95A8A" w:rsidRDefault="00306E6B">
      <w:pPr>
        <w:ind w:left="567" w:right="289"/>
        <w:jc w:val="both"/>
        <w:rPr>
          <w:rFonts w:ascii="Palatino Linotype" w:eastAsia="Palatino Linotype" w:hAnsi="Palatino Linotype" w:cs="Palatino Linotype"/>
          <w:i/>
          <w:sz w:val="22"/>
          <w:szCs w:val="22"/>
        </w:rPr>
      </w:pP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Artículo 31.-</w:t>
      </w:r>
      <w:r w:rsidRPr="00E95A8A">
        <w:rPr>
          <w:rFonts w:ascii="Palatino Linotype" w:eastAsia="Palatino Linotype" w:hAnsi="Palatino Linotype" w:cs="Palatino Linotype"/>
          <w:i/>
          <w:sz w:val="22"/>
          <w:szCs w:val="22"/>
        </w:rPr>
        <w:t xml:space="preserve"> Son atribuciones de los ayuntamientos:</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XVIII</w:t>
      </w:r>
      <w:r w:rsidRPr="00E95A8A">
        <w:rPr>
          <w:rFonts w:ascii="Palatino Linotype" w:eastAsia="Palatino Linotype" w:hAnsi="Palatino Linotype" w:cs="Palatino Linotype"/>
          <w:i/>
          <w:sz w:val="22"/>
          <w:szCs w:val="22"/>
        </w:rPr>
        <w:t xml:space="preserve">. </w:t>
      </w:r>
      <w:r w:rsidRPr="00E95A8A">
        <w:rPr>
          <w:rFonts w:ascii="Palatino Linotype" w:eastAsia="Palatino Linotype" w:hAnsi="Palatino Linotype" w:cs="Palatino Linotype"/>
          <w:i/>
          <w:sz w:val="22"/>
          <w:szCs w:val="22"/>
          <w:u w:val="single"/>
        </w:rPr>
        <w:t>Administrar su hacienda</w:t>
      </w:r>
      <w:r w:rsidRPr="00E95A8A">
        <w:rPr>
          <w:rFonts w:ascii="Palatino Linotype" w:eastAsia="Palatino Linotype" w:hAnsi="Palatino Linotype" w:cs="Palatino Linotype"/>
          <w:i/>
          <w:sz w:val="22"/>
          <w:szCs w:val="22"/>
        </w:rPr>
        <w:t xml:space="preserve"> en términos de ley, y controlar a través del presidente y síndico la aplicación del presupuesto de egresos del municipio;</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XIX</w:t>
      </w:r>
      <w:r w:rsidRPr="00E95A8A">
        <w:rPr>
          <w:rFonts w:ascii="Palatino Linotype" w:eastAsia="Palatino Linotype" w:hAnsi="Palatino Linotype" w:cs="Palatino Linotype"/>
          <w:i/>
          <w:sz w:val="22"/>
          <w:szCs w:val="22"/>
        </w:rPr>
        <w:t xml:space="preserve">. Aprobar anualmente a más tardar el 20 de diciembre, su Presupuesto de Egresos, en base a los ingresos presupuestados para el ejercicio que corresponda, el cual podrá ser adecuado en </w:t>
      </w:r>
      <w:r w:rsidRPr="00E95A8A">
        <w:rPr>
          <w:rFonts w:ascii="Palatino Linotype" w:eastAsia="Palatino Linotype" w:hAnsi="Palatino Linotype" w:cs="Palatino Linotype"/>
          <w:i/>
          <w:sz w:val="22"/>
          <w:szCs w:val="22"/>
        </w:rPr>
        <w:lastRenderedPageBreak/>
        <w:t>función de las implicaciones que deriven de la aprobación de la Ley de Ingresos Municipal que haga la Legislatura, así como por la asignación de las participaciones y aportaciones federales y estatales.</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Si cumplido el plazo que corresponda no se hubiere aprobado el Presupuesto de Egresos referido, seguirá en vigor hasta el 28 o 29 de febrero del ejercicio fiscal inmediato siguiente, el expedido para el ejercicio inmediato anterior al de la iniciativa en discusión, únicamente respecto del gasto corriente.</w:t>
      </w:r>
    </w:p>
    <w:p w:rsidR="00306E6B" w:rsidRPr="00E95A8A" w:rsidRDefault="00306E6B">
      <w:pPr>
        <w:ind w:left="567" w:right="289"/>
        <w:jc w:val="both"/>
        <w:rPr>
          <w:rFonts w:ascii="Palatino Linotype" w:eastAsia="Palatino Linotype" w:hAnsi="Palatino Linotype" w:cs="Palatino Linotype"/>
          <w:i/>
          <w:sz w:val="22"/>
          <w:szCs w:val="22"/>
        </w:rPr>
      </w:pP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Artículo 95.-</w:t>
      </w:r>
      <w:r w:rsidRPr="00E95A8A">
        <w:rPr>
          <w:rFonts w:ascii="Palatino Linotype" w:eastAsia="Palatino Linotype" w:hAnsi="Palatino Linotype" w:cs="Palatino Linotype"/>
          <w:i/>
          <w:sz w:val="22"/>
          <w:szCs w:val="22"/>
        </w:rPr>
        <w:t xml:space="preserve"> Son atribuciones del </w:t>
      </w:r>
      <w:r w:rsidRPr="00E95A8A">
        <w:rPr>
          <w:rFonts w:ascii="Palatino Linotype" w:eastAsia="Palatino Linotype" w:hAnsi="Palatino Linotype" w:cs="Palatino Linotype"/>
          <w:i/>
          <w:sz w:val="22"/>
          <w:szCs w:val="22"/>
          <w:u w:val="single"/>
        </w:rPr>
        <w:t>tesorero municipal</w:t>
      </w: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I. Administrar la hacienda pública municipal, de conformidad con las disposiciones legales aplicables;</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IV</w:t>
      </w:r>
      <w:r w:rsidRPr="00E95A8A">
        <w:rPr>
          <w:rFonts w:ascii="Palatino Linotype" w:eastAsia="Palatino Linotype" w:hAnsi="Palatino Linotype" w:cs="Palatino Linotype"/>
          <w:i/>
          <w:sz w:val="22"/>
          <w:szCs w:val="22"/>
        </w:rPr>
        <w:t>. Llevar los registros contables, financieros y administrativos de los ingresos, egresos, e inventarios;</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V</w:t>
      </w:r>
      <w:r w:rsidRPr="00E95A8A">
        <w:rPr>
          <w:rFonts w:ascii="Palatino Linotype" w:eastAsia="Palatino Linotype" w:hAnsi="Palatino Linotype" w:cs="Palatino Linotype"/>
          <w:i/>
          <w:sz w:val="22"/>
          <w:szCs w:val="22"/>
        </w:rPr>
        <w:t>. Proporcionar oportunamente al ayuntamiento todos los datos o informes que sean necesarios para la formulación del Presupuesto de Egresos Municipales, vigilando que se ajuste a las disposiciones de esta Ley y otros ordenamientos aplicables;</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VI</w:t>
      </w:r>
      <w:r w:rsidRPr="00E95A8A">
        <w:rPr>
          <w:rFonts w:ascii="Palatino Linotype" w:eastAsia="Palatino Linotype" w:hAnsi="Palatino Linotype" w:cs="Palatino Linotype"/>
          <w:i/>
          <w:sz w:val="22"/>
          <w:szCs w:val="22"/>
        </w:rPr>
        <w:t>. Presentar anualmente al ayuntamiento un informe de la situación contable financiera de la Tesorería Municipal;</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i/>
          <w:sz w:val="22"/>
          <w:szCs w:val="22"/>
        </w:rPr>
        <w:t>(…)</w:t>
      </w:r>
    </w:p>
    <w:p w:rsidR="00306E6B" w:rsidRPr="00E95A8A" w:rsidRDefault="00892A78">
      <w:pPr>
        <w:ind w:left="567" w:right="289"/>
        <w:jc w:val="both"/>
        <w:rPr>
          <w:rFonts w:ascii="Palatino Linotype" w:eastAsia="Palatino Linotype" w:hAnsi="Palatino Linotype" w:cs="Palatino Linotype"/>
          <w:i/>
          <w:sz w:val="22"/>
          <w:szCs w:val="22"/>
        </w:rPr>
      </w:pPr>
      <w:r w:rsidRPr="00E95A8A">
        <w:rPr>
          <w:rFonts w:ascii="Palatino Linotype" w:eastAsia="Palatino Linotype" w:hAnsi="Palatino Linotype" w:cs="Palatino Linotype"/>
          <w:b/>
          <w:i/>
          <w:sz w:val="22"/>
          <w:szCs w:val="22"/>
        </w:rPr>
        <w:t>XIX</w:t>
      </w:r>
      <w:r w:rsidRPr="00E95A8A">
        <w:rPr>
          <w:rFonts w:ascii="Palatino Linotype" w:eastAsia="Palatino Linotype" w:hAnsi="Palatino Linotype" w:cs="Palatino Linotype"/>
          <w:i/>
          <w:sz w:val="22"/>
          <w:szCs w:val="22"/>
        </w:rPr>
        <w:t xml:space="preserve">. </w:t>
      </w:r>
      <w:r w:rsidRPr="00E95A8A">
        <w:rPr>
          <w:rFonts w:ascii="Palatino Linotype" w:eastAsia="Palatino Linotype" w:hAnsi="Palatino Linotype" w:cs="Palatino Linotype"/>
          <w:i/>
          <w:sz w:val="22"/>
          <w:szCs w:val="22"/>
          <w:u w:val="single"/>
        </w:rPr>
        <w:t>Recaudar y administrar los ingresos que se deriven de la suscripción de convenios, acuerdos o la emisión de declaratorias de coordinación; los relativos a las transferencias otorgadas a favor del Municipio en el marco del Sistema Nacional o Estatal de Coordinación Fiscal</w:t>
      </w:r>
      <w:r w:rsidRPr="00E95A8A">
        <w:rPr>
          <w:rFonts w:ascii="Palatino Linotype" w:eastAsia="Palatino Linotype" w:hAnsi="Palatino Linotype" w:cs="Palatino Linotype"/>
          <w:i/>
          <w:sz w:val="22"/>
          <w:szCs w:val="22"/>
        </w:rPr>
        <w:t>, o los que reciba por cualquier otro concepto; así como el importe de las sanciones por infracciones impuestas por las autoridades competentes, por la inobservancia de las diversas disposiciones y ordenamientos legales, constituyendo los créditos fiscales correspondientes;</w:t>
      </w:r>
    </w:p>
    <w:p w:rsidR="00306E6B" w:rsidRPr="00E95A8A" w:rsidRDefault="00892A78">
      <w:pPr>
        <w:ind w:left="567" w:right="289"/>
        <w:jc w:val="both"/>
        <w:rPr>
          <w:rFonts w:ascii="Palatino Linotype" w:eastAsia="Palatino Linotype" w:hAnsi="Palatino Linotype" w:cs="Palatino Linotype"/>
          <w:sz w:val="22"/>
          <w:szCs w:val="22"/>
        </w:rPr>
      </w:pPr>
      <w:r w:rsidRPr="00E95A8A">
        <w:rPr>
          <w:rFonts w:ascii="Palatino Linotype" w:eastAsia="Palatino Linotype" w:hAnsi="Palatino Linotype" w:cs="Palatino Linotype"/>
          <w:b/>
          <w:i/>
          <w:sz w:val="22"/>
          <w:szCs w:val="22"/>
        </w:rPr>
        <w:t>(…)</w:t>
      </w:r>
      <w:r w:rsidRPr="00E95A8A">
        <w:rPr>
          <w:rFonts w:ascii="Palatino Linotype" w:eastAsia="Palatino Linotype" w:hAnsi="Palatino Linotype" w:cs="Palatino Linotype"/>
          <w:i/>
          <w:sz w:val="22"/>
          <w:szCs w:val="22"/>
        </w:rPr>
        <w:t xml:space="preserve">” </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 xml:space="preserve">Así, se tiene que el Municipio libre es la base de la división territorial y de la organización política del Estado, investido de personalidad jurídica propia, integrado por una comunidad establecida en un territorio, con un gobierno autónomo en su régimen interior y en la administración de su hacienda pública, para lo cual se auxiliará de las áreas administrativas indispensables, precisando que la Hacienda Pública estará a cargo de la </w:t>
      </w:r>
      <w:r w:rsidRPr="00E95A8A">
        <w:rPr>
          <w:rFonts w:ascii="Palatino Linotype" w:eastAsia="Palatino Linotype" w:hAnsi="Palatino Linotype" w:cs="Palatino Linotype"/>
          <w:b/>
        </w:rPr>
        <w:t>Tesorería,</w:t>
      </w:r>
      <w:r w:rsidRPr="00E95A8A">
        <w:rPr>
          <w:rFonts w:ascii="Palatino Linotype" w:eastAsia="Palatino Linotype" w:hAnsi="Palatino Linotype" w:cs="Palatino Linotype"/>
        </w:rPr>
        <w:t xml:space="preserve"> al fungir como la instancia encargada del manejo de ingresos y egresos del </w:t>
      </w:r>
      <w:r w:rsidRPr="00E95A8A">
        <w:rPr>
          <w:rFonts w:ascii="Palatino Linotype" w:eastAsia="Palatino Linotype" w:hAnsi="Palatino Linotype" w:cs="Palatino Linotype"/>
        </w:rPr>
        <w:lastRenderedPageBreak/>
        <w:t xml:space="preserve">Municipio, de conformidad con las disposiciones legales aplicables. De igual manera, la Ley de Ingresos de los Municipios del Estado de México, señala: </w:t>
      </w:r>
    </w:p>
    <w:p w:rsidR="00306E6B" w:rsidRPr="00E95A8A" w:rsidRDefault="00892A78">
      <w:pPr>
        <w:ind w:left="567" w:right="-277"/>
        <w:jc w:val="both"/>
        <w:rPr>
          <w:rFonts w:ascii="Palatino Linotype" w:eastAsia="Palatino Linotype" w:hAnsi="Palatino Linotype" w:cs="Palatino Linotype"/>
          <w:sz w:val="22"/>
          <w:szCs w:val="22"/>
        </w:rPr>
      </w:pPr>
      <w:r w:rsidRPr="00E95A8A">
        <w:rPr>
          <w:rFonts w:ascii="Palatino Linotype" w:eastAsia="Palatino Linotype" w:hAnsi="Palatino Linotype" w:cs="Palatino Linotype"/>
          <w:i/>
          <w:sz w:val="22"/>
          <w:szCs w:val="22"/>
        </w:rPr>
        <w:t>“</w:t>
      </w:r>
      <w:r w:rsidRPr="00E95A8A">
        <w:rPr>
          <w:rFonts w:ascii="Palatino Linotype" w:eastAsia="Palatino Linotype" w:hAnsi="Palatino Linotype" w:cs="Palatino Linotype"/>
          <w:b/>
          <w:i/>
          <w:sz w:val="22"/>
          <w:szCs w:val="22"/>
        </w:rPr>
        <w:t>Artículo 6.-</w:t>
      </w:r>
      <w:r w:rsidRPr="00E95A8A">
        <w:rPr>
          <w:rFonts w:ascii="Palatino Linotype" w:eastAsia="Palatino Linotype" w:hAnsi="Palatino Linotype" w:cs="Palatino Linotype"/>
          <w:i/>
          <w:sz w:val="22"/>
          <w:szCs w:val="22"/>
        </w:rPr>
        <w:t xml:space="preserve"> Todos los ingresos municipales, cualquiera que sea su origen o naturaleza, </w:t>
      </w:r>
      <w:r w:rsidRPr="00E95A8A">
        <w:rPr>
          <w:rFonts w:ascii="Palatino Linotype" w:eastAsia="Palatino Linotype" w:hAnsi="Palatino Linotype" w:cs="Palatino Linotype"/>
          <w:b/>
          <w:i/>
          <w:sz w:val="22"/>
          <w:szCs w:val="22"/>
        </w:rPr>
        <w:t>deberán registrarse por la Tesorería Municipal</w:t>
      </w:r>
      <w:r w:rsidRPr="00E95A8A">
        <w:rPr>
          <w:rFonts w:ascii="Palatino Linotype" w:eastAsia="Palatino Linotype" w:hAnsi="Palatino Linotype" w:cs="Palatino Linotype"/>
          <w:i/>
          <w:sz w:val="22"/>
          <w:szCs w:val="22"/>
        </w:rPr>
        <w:t xml:space="preserve"> y formar parte de la Cuenta Pública”</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b/>
        </w:rPr>
        <w:t>Por su parte, el artículo 2 y 3 del Reglamento de la Dirección de Infraestructura y Obras Públicas de Ixtapaluca, establece que el objetivo de la Dirección de Infraestructura y Obras Públicas, es ejecutar las obras públicas, solicitadas por la ciudadanía del Municipio de Ixtapaluca, aprobadas por el Ayuntamiento, incluidas en el Plan de Desarrollo vigente, y concentradas en el Programa Anual de Obra Pública, referentes a edificación,</w:t>
      </w:r>
      <w:r w:rsidRPr="00E95A8A">
        <w:rPr>
          <w:rFonts w:ascii="Palatino Linotype" w:eastAsia="Palatino Linotype" w:hAnsi="Palatino Linotype" w:cs="Palatino Linotype"/>
        </w:rPr>
        <w:t xml:space="preserve"> urbanización, servicios, equipamiento urbano y que satisfagan los requerimientos de la sociedad, en un esquema de transparencia, y con apego a la normatividad, lo anterior, buscando acrecentar la calidad de vida de los habitantes de este Municipio; asimismo, tiene por tarea planear, diseñar, construir y evaluar los proyectos de obra pública, así como, controlar y evaluar el funcionamiento de la misma, a fin de garantizar el cumplimiento de su objeto, planes y programas autorizados.</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 xml:space="preserve">En síntesis, es de observarse que el encargado de registrar los ingresos que por cualquier concepto reciba el Municipio, es la </w:t>
      </w:r>
      <w:r w:rsidRPr="00E95A8A">
        <w:rPr>
          <w:rFonts w:ascii="Palatino Linotype" w:eastAsia="Palatino Linotype" w:hAnsi="Palatino Linotype" w:cs="Palatino Linotype"/>
          <w:b/>
        </w:rPr>
        <w:t>Tesorería Municipal</w:t>
      </w:r>
      <w:r w:rsidRPr="00E95A8A">
        <w:rPr>
          <w:rFonts w:ascii="Palatino Linotype" w:eastAsia="Palatino Linotype" w:hAnsi="Palatino Linotype" w:cs="Palatino Linotype"/>
        </w:rPr>
        <w:t xml:space="preserve">, por otro lado, la </w:t>
      </w:r>
      <w:r w:rsidRPr="00E95A8A">
        <w:rPr>
          <w:rFonts w:ascii="Palatino Linotype" w:eastAsia="Palatino Linotype" w:hAnsi="Palatino Linotype" w:cs="Palatino Linotype"/>
          <w:b/>
        </w:rPr>
        <w:t>Dirección de Infraestructura y Obras Públicas,</w:t>
      </w:r>
      <w:r w:rsidRPr="00E95A8A">
        <w:rPr>
          <w:rFonts w:ascii="Palatino Linotype" w:eastAsia="Palatino Linotype" w:hAnsi="Palatino Linotype" w:cs="Palatino Linotype"/>
        </w:rPr>
        <w:t xml:space="preserve"> es la encargada de ejecutar las obras públicas solicitadas por la ciudadanía del Municipio y aprobadas por el Ayuntamiento; por lo que, de manera enunciativa más no limitativa, son las Unidades Administrativas competentes para conocer de la información de mérito. </w:t>
      </w:r>
    </w:p>
    <w:p w:rsidR="003D44AA" w:rsidRPr="00E95A8A" w:rsidRDefault="003D44AA" w:rsidP="003D44AA">
      <w:pPr>
        <w:pStyle w:val="Prrafodelista"/>
        <w:rPr>
          <w:rFonts w:ascii="Palatino Linotype" w:eastAsia="Palatino Linotype" w:hAnsi="Palatino Linotype" w:cs="Palatino Linotype"/>
          <w:b/>
        </w:rPr>
      </w:pPr>
    </w:p>
    <w:p w:rsidR="003D44AA" w:rsidRPr="00E95A8A" w:rsidRDefault="003D44AA" w:rsidP="003D44AA">
      <w:pPr>
        <w:spacing w:line="360" w:lineRule="auto"/>
        <w:ind w:right="-277"/>
        <w:jc w:val="both"/>
        <w:rPr>
          <w:rFonts w:ascii="Palatino Linotype" w:eastAsia="Palatino Linotype" w:hAnsi="Palatino Linotype" w:cs="Palatino Linotype"/>
          <w:b/>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lastRenderedPageBreak/>
        <w:t xml:space="preserve">En consecuencia, el </w:t>
      </w:r>
      <w:r w:rsidRPr="00E95A8A">
        <w:rPr>
          <w:rFonts w:ascii="Palatino Linotype" w:eastAsia="Palatino Linotype" w:hAnsi="Palatino Linotype" w:cs="Palatino Linotype"/>
          <w:b/>
        </w:rPr>
        <w:t xml:space="preserve">SUJETO OBLIGADO </w:t>
      </w:r>
      <w:r w:rsidRPr="00E95A8A">
        <w:rPr>
          <w:rFonts w:ascii="Palatino Linotype" w:eastAsia="Palatino Linotype" w:hAnsi="Palatino Linotype" w:cs="Palatino Linotype"/>
        </w:rPr>
        <w:t xml:space="preserve">deberá hacer entrega, previa búsqueda exhaustiva y razonable, de ser procedente en versión pública, al 01 de abril de 2024, de </w:t>
      </w:r>
      <w:r w:rsidRPr="00E95A8A">
        <w:rPr>
          <w:rFonts w:ascii="Palatino Linotype" w:eastAsia="Palatino Linotype" w:hAnsi="Palatino Linotype" w:cs="Palatino Linotype"/>
          <w:b/>
        </w:rPr>
        <w:t xml:space="preserve">los documentos donde conste </w:t>
      </w:r>
      <w:r w:rsidRPr="00E95A8A">
        <w:rPr>
          <w:rFonts w:ascii="Palatino Linotype" w:eastAsia="Palatino Linotype" w:hAnsi="Palatino Linotype" w:cs="Palatino Linotype"/>
          <w:b/>
          <w:color w:val="000000"/>
        </w:rPr>
        <w:t>el presupuesto ejecutado, el proyecto, los contratos con anexos y el perfil del proveedor o constructora que realizó y/o ejecutó la obra pública realizada en el Parque Recreativo La venta Ixtapaluca, de la cual, el solicitante adjuntó evidencia fotográfica.</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keepNext/>
        <w:keepLines/>
        <w:spacing w:before="240" w:line="360" w:lineRule="auto"/>
        <w:ind w:right="-277"/>
        <w:rPr>
          <w:rFonts w:ascii="Palatino Linotype" w:eastAsia="Palatino Linotype" w:hAnsi="Palatino Linotype" w:cs="Palatino Linotype"/>
          <w:b/>
        </w:rPr>
      </w:pPr>
      <w:r w:rsidRPr="00E95A8A">
        <w:rPr>
          <w:rFonts w:ascii="Palatino Linotype" w:eastAsia="Palatino Linotype" w:hAnsi="Palatino Linotype" w:cs="Palatino Linotype"/>
          <w:b/>
        </w:rPr>
        <w:t>QUINTO. VERSIÓN PÚBLICA.</w:t>
      </w:r>
    </w:p>
    <w:p w:rsidR="00306E6B" w:rsidRPr="00E95A8A" w:rsidRDefault="00892A78">
      <w:pPr>
        <w:keepNext/>
        <w:keepLines/>
        <w:numPr>
          <w:ilvl w:val="0"/>
          <w:numId w:val="5"/>
        </w:numPr>
        <w:spacing w:line="360" w:lineRule="auto"/>
        <w:ind w:left="284" w:right="-277" w:firstLine="0"/>
        <w:rPr>
          <w:rFonts w:ascii="Palatino Linotype" w:eastAsia="Palatino Linotype" w:hAnsi="Palatino Linotype" w:cs="Palatino Linotype"/>
          <w:b/>
          <w:color w:val="000000"/>
        </w:rPr>
      </w:pPr>
      <w:bookmarkStart w:id="5" w:name="_heading=h.1t3h5sf" w:colFirst="0" w:colLast="0"/>
      <w:bookmarkEnd w:id="5"/>
      <w:r w:rsidRPr="00E95A8A">
        <w:rPr>
          <w:rFonts w:ascii="Palatino Linotype" w:eastAsia="Palatino Linotype" w:hAnsi="Palatino Linotype" w:cs="Palatino Linotype"/>
          <w:b/>
          <w:color w:val="000000"/>
        </w:rPr>
        <w:t xml:space="preserve">Nociones generales. </w:t>
      </w: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rPr>
        <w:t xml:space="preserve">Debe </w:t>
      </w:r>
      <w:r w:rsidRPr="00E95A8A">
        <w:rPr>
          <w:rFonts w:ascii="Palatino Linotype" w:eastAsia="Palatino Linotype" w:hAnsi="Palatino Linotype" w:cs="Palatino Linotype"/>
          <w:color w:val="000000"/>
        </w:rPr>
        <w:t>destacarse que, debido a la naturaleza de la información solicitada</w:t>
      </w:r>
      <w:r w:rsidRPr="00E95A8A">
        <w:rPr>
          <w:rFonts w:ascii="Palatino Linotype" w:eastAsia="Palatino Linotype" w:hAnsi="Palatino Linotype" w:cs="Palatino Linotype"/>
          <w:b/>
          <w:color w:val="000000"/>
        </w:rPr>
        <w:t xml:space="preserve">, </w:t>
      </w:r>
      <w:r w:rsidRPr="00E95A8A">
        <w:rPr>
          <w:rFonts w:ascii="Palatino Linotype" w:eastAsia="Palatino Linotype" w:hAnsi="Palatino Linotype" w:cs="Palatino Linotype"/>
          <w:color w:val="000000"/>
        </w:rPr>
        <w:t xml:space="preserve">eventualmente pudiera obrar datos personales susceptibles de protegerse, el </w:t>
      </w:r>
      <w:r w:rsidRPr="00E95A8A">
        <w:rPr>
          <w:rFonts w:ascii="Palatino Linotype" w:eastAsia="Palatino Linotype" w:hAnsi="Palatino Linotype" w:cs="Palatino Linotype"/>
          <w:b/>
          <w:color w:val="000000"/>
        </w:rPr>
        <w:t xml:space="preserve">Sujeto Obligado </w:t>
      </w:r>
      <w:r w:rsidRPr="00E95A8A">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306E6B" w:rsidRPr="00E95A8A" w:rsidRDefault="00306E6B">
      <w:pPr>
        <w:ind w:right="-277"/>
        <w:rPr>
          <w:rFonts w:ascii="Palatino Linotype" w:eastAsia="Palatino Linotype" w:hAnsi="Palatino Linotype" w:cs="Palatino Linotype"/>
          <w:color w:val="000000"/>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color w:val="000000"/>
        </w:rPr>
        <w:t>No pasa desapercibido para este Órgano Garante que los Sujetos Obligados</w:t>
      </w:r>
      <w:r w:rsidRPr="00E95A8A">
        <w:rPr>
          <w:rFonts w:ascii="Palatino Linotype" w:eastAsia="Palatino Linotype" w:hAnsi="Palatino Linotype" w:cs="Palatino Linotype"/>
          <w:b/>
          <w:color w:val="000000"/>
        </w:rPr>
        <w:t xml:space="preserve"> </w:t>
      </w:r>
      <w:r w:rsidRPr="00E95A8A">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9"/>
        <w:tblW w:w="963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10"/>
        <w:gridCol w:w="7620"/>
      </w:tblGrid>
      <w:tr w:rsidR="00306E6B" w:rsidRPr="00E95A8A" w:rsidTr="00306E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rsidR="00306E6B" w:rsidRPr="00E95A8A" w:rsidRDefault="00892A78">
            <w:pPr>
              <w:ind w:right="-42"/>
              <w:rPr>
                <w:rFonts w:ascii="Palatino Linotype" w:eastAsia="Palatino Linotype" w:hAnsi="Palatino Linotype" w:cs="Palatino Linotype"/>
              </w:rPr>
            </w:pPr>
            <w:r w:rsidRPr="00E95A8A">
              <w:rPr>
                <w:rFonts w:ascii="Palatino Linotype" w:eastAsia="Palatino Linotype" w:hAnsi="Palatino Linotype" w:cs="Palatino Linotype"/>
              </w:rPr>
              <w:t>a) Requisitos previos.</w:t>
            </w:r>
          </w:p>
        </w:tc>
        <w:tc>
          <w:tcPr>
            <w:tcW w:w="7620" w:type="dxa"/>
          </w:tcPr>
          <w:p w:rsidR="00306E6B" w:rsidRPr="00E95A8A" w:rsidRDefault="00892A78">
            <w:pPr>
              <w:ind w:right="-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b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306E6B" w:rsidRPr="00E95A8A" w:rsidRDefault="00892A78">
            <w:pPr>
              <w:ind w:right="-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b w:val="0"/>
                <w:color w:val="000000"/>
              </w:rPr>
              <w:t>Al hacerlo tienen que precisar de qué información se trata, señalando el supuesto de clasificación (confidencialidad o reserva).</w:t>
            </w:r>
          </w:p>
          <w:p w:rsidR="00306E6B" w:rsidRPr="00E95A8A" w:rsidRDefault="00892A78">
            <w:pPr>
              <w:ind w:right="-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b w:val="0"/>
                <w:color w:val="000000"/>
              </w:rPr>
              <w:lastRenderedPageBreak/>
              <w:t>Además, se debe señalar el procedimiento, de los tres que establecen los artículos 132 y 106 de la Ley Estatal y General, respectivamente.</w:t>
            </w:r>
          </w:p>
          <w:p w:rsidR="00306E6B" w:rsidRPr="00E95A8A" w:rsidRDefault="00892A78">
            <w:pPr>
              <w:ind w:right="-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E95A8A">
              <w:rPr>
                <w:rFonts w:ascii="Palatino Linotype" w:eastAsia="Palatino Linotype" w:hAnsi="Palatino Linotype" w:cs="Palatino Linotype"/>
                <w:b w:val="0"/>
                <w:color w:val="000000"/>
              </w:rPr>
              <w:t xml:space="preserve">El último de estos requisitos previos consiste en que no se pueden emitir acuerdos de carácter general ni particular, esto es, </w:t>
            </w:r>
            <w:r w:rsidRPr="00E95A8A">
              <w:rPr>
                <w:rFonts w:ascii="Palatino Linotype" w:eastAsia="Palatino Linotype" w:hAnsi="Palatino Linotype" w:cs="Palatino Linotype"/>
                <w:b w:val="0"/>
                <w:color w:val="000000"/>
                <w:u w:val="single"/>
              </w:rPr>
              <w:t>no se puede hacer un acuerdo para clasificar de manera general todos los documentos de un expediente o área, sin</w:t>
            </w:r>
            <w:r w:rsidRPr="00E95A8A">
              <w:rPr>
                <w:rFonts w:ascii="Palatino Linotype" w:eastAsia="Palatino Linotype" w:hAnsi="Palatino Linotype" w:cs="Palatino Linotype"/>
                <w:b w:val="0"/>
                <w:color w:val="000000"/>
              </w:rPr>
              <w:t xml:space="preserve"> individualizar su análisis y tampoco se puede hacer un acuerdo por cada dato que se vaya a clasificar dentro de un documento con diez datos, por ejemplo, susceptibles de ser clasificados.</w:t>
            </w:r>
          </w:p>
        </w:tc>
      </w:tr>
      <w:tr w:rsidR="00306E6B" w:rsidRPr="00E95A8A" w:rsidTr="00306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rsidR="00306E6B" w:rsidRPr="00E95A8A" w:rsidRDefault="00892A78">
            <w:pPr>
              <w:ind w:right="-42"/>
              <w:rPr>
                <w:rFonts w:ascii="Palatino Linotype" w:eastAsia="Palatino Linotype" w:hAnsi="Palatino Linotype" w:cs="Palatino Linotype"/>
              </w:rPr>
            </w:pPr>
            <w:r w:rsidRPr="00E95A8A">
              <w:rPr>
                <w:rFonts w:ascii="Palatino Linotype" w:eastAsia="Palatino Linotype" w:hAnsi="Palatino Linotype" w:cs="Palatino Linotype"/>
              </w:rPr>
              <w:lastRenderedPageBreak/>
              <w:t>b) Supuestos de clasificación.</w:t>
            </w:r>
          </w:p>
        </w:tc>
        <w:tc>
          <w:tcPr>
            <w:tcW w:w="7620" w:type="dxa"/>
          </w:tcPr>
          <w:p w:rsidR="00306E6B" w:rsidRPr="00E95A8A" w:rsidRDefault="00892A78">
            <w:pPr>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306E6B" w:rsidRPr="00E95A8A" w:rsidRDefault="00892A78">
            <w:pPr>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306E6B" w:rsidRPr="00E95A8A" w:rsidRDefault="00892A78">
            <w:pPr>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E95A8A">
              <w:rPr>
                <w:rFonts w:ascii="Palatino Linotype" w:eastAsia="Palatino Linotype" w:hAnsi="Palatino Linotype" w:cs="Palatino Linotype"/>
                <w:color w:val="000000"/>
              </w:rPr>
              <w:t xml:space="preserve">El </w:t>
            </w:r>
            <w:r w:rsidRPr="00E95A8A">
              <w:rPr>
                <w:rFonts w:ascii="Palatino Linotype" w:eastAsia="Palatino Linotype" w:hAnsi="Palatino Linotype" w:cs="Palatino Linotype"/>
                <w:b/>
                <w:color w:val="000000"/>
              </w:rPr>
              <w:t>Sujeto Obligado</w:t>
            </w:r>
            <w:r w:rsidRPr="00E95A8A">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06E6B" w:rsidRPr="00E95A8A" w:rsidTr="00306E6B">
        <w:tc>
          <w:tcPr>
            <w:cnfStyle w:val="001000000000" w:firstRow="0" w:lastRow="0" w:firstColumn="1" w:lastColumn="0" w:oddVBand="0" w:evenVBand="0" w:oddHBand="0" w:evenHBand="0" w:firstRowFirstColumn="0" w:firstRowLastColumn="0" w:lastRowFirstColumn="0" w:lastRowLastColumn="0"/>
            <w:tcW w:w="2010" w:type="dxa"/>
          </w:tcPr>
          <w:p w:rsidR="00306E6B" w:rsidRPr="00E95A8A" w:rsidRDefault="00892A78">
            <w:pPr>
              <w:ind w:right="-42"/>
              <w:rPr>
                <w:rFonts w:ascii="Palatino Linotype" w:eastAsia="Palatino Linotype" w:hAnsi="Palatino Linotype" w:cs="Palatino Linotype"/>
              </w:rPr>
            </w:pPr>
            <w:r w:rsidRPr="00E95A8A">
              <w:rPr>
                <w:rFonts w:ascii="Palatino Linotype" w:eastAsia="Palatino Linotype" w:hAnsi="Palatino Linotype" w:cs="Palatino Linotype"/>
              </w:rPr>
              <w:t>c) Formalidades para emitir el acuerdo de clasificación.</w:t>
            </w:r>
          </w:p>
        </w:tc>
        <w:tc>
          <w:tcPr>
            <w:tcW w:w="7620" w:type="dxa"/>
          </w:tcPr>
          <w:p w:rsidR="00306E6B" w:rsidRPr="00E95A8A" w:rsidRDefault="00892A78">
            <w:pPr>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306E6B" w:rsidRPr="00E95A8A" w:rsidRDefault="00892A78">
            <w:pPr>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 xml:space="preserve">Es necesario que </w:t>
            </w:r>
            <w:r w:rsidRPr="00E95A8A">
              <w:rPr>
                <w:rFonts w:ascii="Palatino Linotype" w:eastAsia="Palatino Linotype" w:hAnsi="Palatino Linotype" w:cs="Palatino Linotype"/>
                <w:b/>
                <w:color w:val="000000"/>
                <w:u w:val="single"/>
              </w:rPr>
              <w:t>el acto reúna con los requisitos elementales</w:t>
            </w:r>
            <w:r w:rsidRPr="00E95A8A">
              <w:rPr>
                <w:rFonts w:ascii="Palatino Linotype" w:eastAsia="Palatino Linotype" w:hAnsi="Palatino Linotype" w:cs="Palatino Linotype"/>
                <w:color w:val="000000"/>
              </w:rPr>
              <w:t>, entre ellos, que la autoridad que va a emitir el acto de autoridad sea la legalmente facultada para ello.</w:t>
            </w:r>
          </w:p>
          <w:p w:rsidR="00306E6B" w:rsidRPr="00E95A8A" w:rsidRDefault="00892A78">
            <w:pPr>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E95A8A">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E95A8A">
              <w:rPr>
                <w:rFonts w:ascii="Palatino Linotype" w:eastAsia="Palatino Linotype" w:hAnsi="Palatino Linotype" w:cs="Palatino Linotype"/>
              </w:rPr>
              <w:t>El área</w:t>
            </w:r>
            <w:r w:rsidRPr="00E95A8A">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06E6B" w:rsidRPr="00E95A8A" w:rsidTr="00306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rsidR="00306E6B" w:rsidRPr="00E95A8A" w:rsidRDefault="00306E6B">
            <w:pPr>
              <w:ind w:right="-42"/>
              <w:rPr>
                <w:rFonts w:ascii="Palatino Linotype" w:eastAsia="Palatino Linotype" w:hAnsi="Palatino Linotype" w:cs="Palatino Linotype"/>
              </w:rPr>
            </w:pPr>
          </w:p>
          <w:p w:rsidR="00306E6B" w:rsidRPr="00E95A8A" w:rsidRDefault="00892A78">
            <w:pPr>
              <w:ind w:right="-42"/>
              <w:jc w:val="both"/>
              <w:rPr>
                <w:rFonts w:ascii="Palatino Linotype" w:eastAsia="Palatino Linotype" w:hAnsi="Palatino Linotype" w:cs="Palatino Linotype"/>
              </w:rPr>
            </w:pPr>
            <w:r w:rsidRPr="00E95A8A">
              <w:rPr>
                <w:rFonts w:ascii="Palatino Linotype" w:eastAsia="Palatino Linotype" w:hAnsi="Palatino Linotype" w:cs="Palatino Linotype"/>
                <w:color w:val="000000"/>
              </w:rPr>
              <w:t xml:space="preserve">d) Requisitos de fondo del acuerdo de clasificación. </w:t>
            </w:r>
          </w:p>
        </w:tc>
        <w:tc>
          <w:tcPr>
            <w:tcW w:w="7620" w:type="dxa"/>
          </w:tcPr>
          <w:p w:rsidR="00306E6B" w:rsidRPr="00E95A8A" w:rsidRDefault="00892A78">
            <w:pPr>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w:t>
            </w:r>
            <w:r w:rsidRPr="00E95A8A">
              <w:rPr>
                <w:rFonts w:ascii="Palatino Linotype" w:eastAsia="Palatino Linotype" w:hAnsi="Palatino Linotype" w:cs="Palatino Linotype"/>
                <w:color w:val="000000"/>
              </w:rPr>
              <w:lastRenderedPageBreak/>
              <w:t xml:space="preserve">señala que la carga de la prueba, para justificar las restricciones, corresponde a los </w:t>
            </w:r>
            <w:r w:rsidRPr="00E95A8A">
              <w:rPr>
                <w:rFonts w:ascii="Palatino Linotype" w:eastAsia="Palatino Linotype" w:hAnsi="Palatino Linotype" w:cs="Palatino Linotype"/>
                <w:b/>
                <w:color w:val="000000"/>
              </w:rPr>
              <w:t>Sujetos Obligados</w:t>
            </w:r>
            <w:r w:rsidRPr="00E95A8A">
              <w:rPr>
                <w:rFonts w:ascii="Palatino Linotype" w:eastAsia="Palatino Linotype" w:hAnsi="Palatino Linotype" w:cs="Palatino Linotype"/>
                <w:color w:val="000000"/>
              </w:rPr>
              <w:t xml:space="preserve">, por lo que deberán fundar y motivar debidamente la clasificación. </w:t>
            </w:r>
          </w:p>
          <w:p w:rsidR="00306E6B" w:rsidRPr="00E95A8A" w:rsidRDefault="00892A78">
            <w:pPr>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 xml:space="preserve">De lo anterior, se desprende que para una correcta </w:t>
            </w:r>
            <w:r w:rsidRPr="00E95A8A">
              <w:rPr>
                <w:rFonts w:ascii="Palatino Linotype" w:eastAsia="Palatino Linotype" w:hAnsi="Palatino Linotype" w:cs="Palatino Linotype"/>
                <w:b/>
                <w:color w:val="000000"/>
              </w:rPr>
              <w:t>clasificación total o parcial</w:t>
            </w:r>
            <w:r w:rsidRPr="00E95A8A">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306E6B" w:rsidRPr="00E95A8A" w:rsidRDefault="00892A78">
            <w:pPr>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306E6B" w:rsidRPr="00E95A8A" w:rsidRDefault="00892A78">
            <w:pPr>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306E6B" w:rsidRPr="00E95A8A" w:rsidRDefault="00892A78">
            <w:pPr>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 xml:space="preserve">Ahora bien, </w:t>
            </w:r>
            <w:r w:rsidRPr="00E95A8A">
              <w:rPr>
                <w:rFonts w:ascii="Palatino Linotype" w:eastAsia="Palatino Linotype" w:hAnsi="Palatino Linotype" w:cs="Palatino Linotype"/>
                <w:b/>
                <w:color w:val="000000"/>
                <w:u w:val="single"/>
              </w:rPr>
              <w:t>para cada caso además de fundar y motivar</w:t>
            </w:r>
            <w:r w:rsidRPr="00E95A8A">
              <w:rPr>
                <w:rFonts w:ascii="Palatino Linotype" w:eastAsia="Palatino Linotype" w:hAnsi="Palatino Linotype" w:cs="Palatino Linotype"/>
                <w:color w:val="000000"/>
              </w:rPr>
              <w:t xml:space="preserve">, se debe identificar con claridad </w:t>
            </w:r>
            <w:r w:rsidRPr="00E95A8A">
              <w:rPr>
                <w:rFonts w:ascii="Palatino Linotype" w:eastAsia="Palatino Linotype" w:hAnsi="Palatino Linotype" w:cs="Palatino Linotype"/>
              </w:rPr>
              <w:t>qué</w:t>
            </w:r>
            <w:r w:rsidRPr="00E95A8A">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06E6B" w:rsidRPr="00E95A8A" w:rsidTr="00306E6B">
        <w:tc>
          <w:tcPr>
            <w:cnfStyle w:val="001000000000" w:firstRow="0" w:lastRow="0" w:firstColumn="1" w:lastColumn="0" w:oddVBand="0" w:evenVBand="0" w:oddHBand="0" w:evenHBand="0" w:firstRowFirstColumn="0" w:firstRowLastColumn="0" w:lastRowFirstColumn="0" w:lastRowLastColumn="0"/>
            <w:tcW w:w="2010" w:type="dxa"/>
          </w:tcPr>
          <w:p w:rsidR="00306E6B" w:rsidRPr="00E95A8A" w:rsidRDefault="00892A78">
            <w:pPr>
              <w:ind w:right="-42"/>
              <w:jc w:val="both"/>
              <w:rPr>
                <w:rFonts w:ascii="Palatino Linotype" w:eastAsia="Palatino Linotype" w:hAnsi="Palatino Linotype" w:cs="Palatino Linotype"/>
              </w:rPr>
            </w:pPr>
            <w:r w:rsidRPr="00E95A8A">
              <w:rPr>
                <w:rFonts w:ascii="Palatino Linotype" w:eastAsia="Palatino Linotype" w:hAnsi="Palatino Linotype" w:cs="Palatino Linotype"/>
                <w:b w:val="0"/>
              </w:rPr>
              <w:lastRenderedPageBreak/>
              <w:t>e</w:t>
            </w:r>
            <w:r w:rsidRPr="00E95A8A">
              <w:rPr>
                <w:rFonts w:ascii="Palatino Linotype" w:eastAsia="Palatino Linotype" w:hAnsi="Palatino Linotype" w:cs="Palatino Linotype"/>
              </w:rPr>
              <w:t xml:space="preserve">) Condiciones especiales de la clasificación de la información como confidencial. </w:t>
            </w:r>
          </w:p>
        </w:tc>
        <w:tc>
          <w:tcPr>
            <w:tcW w:w="7620" w:type="dxa"/>
          </w:tcPr>
          <w:p w:rsidR="00306E6B" w:rsidRPr="00E95A8A" w:rsidRDefault="00892A78">
            <w:pPr>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306E6B" w:rsidRPr="00E95A8A" w:rsidRDefault="00892A78">
            <w:pPr>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E95A8A">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306E6B" w:rsidRPr="00E95A8A" w:rsidRDefault="00892A78">
            <w:pPr>
              <w:ind w:right="-42"/>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E95A8A">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06E6B" w:rsidRPr="00E95A8A" w:rsidRDefault="00306E6B">
      <w:pPr>
        <w:ind w:right="-277"/>
        <w:rPr>
          <w:rFonts w:ascii="Palatino Linotype" w:eastAsia="Palatino Linotype" w:hAnsi="Palatino Linotype" w:cs="Palatino Linotype"/>
          <w:color w:val="222222"/>
        </w:rPr>
      </w:pPr>
    </w:p>
    <w:p w:rsidR="00306E6B" w:rsidRPr="00E95A8A" w:rsidRDefault="00892A78">
      <w:pPr>
        <w:numPr>
          <w:ilvl w:val="0"/>
          <w:numId w:val="1"/>
        </w:numPr>
        <w:spacing w:line="360" w:lineRule="auto"/>
        <w:ind w:left="0" w:right="-277" w:firstLine="0"/>
        <w:jc w:val="both"/>
        <w:rPr>
          <w:rFonts w:ascii="Palatino Linotype" w:eastAsia="Palatino Linotype" w:hAnsi="Palatino Linotype" w:cs="Palatino Linotype"/>
          <w:b/>
        </w:rPr>
      </w:pPr>
      <w:r w:rsidRPr="00E95A8A">
        <w:rPr>
          <w:rFonts w:ascii="Palatino Linotype" w:eastAsia="Palatino Linotype" w:hAnsi="Palatino Linotype" w:cs="Palatino Linotype"/>
          <w:color w:val="222222"/>
        </w:rPr>
        <w:lastRenderedPageBreak/>
        <w:t xml:space="preserve">Por lo anteriormente expuesto y fundado, este </w:t>
      </w:r>
      <w:r w:rsidRPr="00E95A8A">
        <w:rPr>
          <w:rFonts w:ascii="Palatino Linotype" w:eastAsia="Palatino Linotype" w:hAnsi="Palatino Linotype" w:cs="Palatino Linotype"/>
          <w:b/>
          <w:color w:val="222222"/>
        </w:rPr>
        <w:t>ÓRGANO GARANTE</w:t>
      </w:r>
      <w:r w:rsidRPr="00E95A8A">
        <w:rPr>
          <w:rFonts w:ascii="Palatino Linotype" w:eastAsia="Palatino Linotype" w:hAnsi="Palatino Linotype" w:cs="Palatino Linotype"/>
          <w:color w:val="222222"/>
        </w:rPr>
        <w:t xml:space="preserve"> emite los siguientes:</w:t>
      </w:r>
    </w:p>
    <w:p w:rsidR="00306E6B" w:rsidRPr="00E95A8A" w:rsidRDefault="00306E6B">
      <w:pPr>
        <w:spacing w:line="360" w:lineRule="auto"/>
        <w:ind w:right="-277"/>
        <w:jc w:val="both"/>
        <w:rPr>
          <w:rFonts w:ascii="Palatino Linotype" w:eastAsia="Palatino Linotype" w:hAnsi="Palatino Linotype" w:cs="Palatino Linotype"/>
          <w:b/>
        </w:rPr>
      </w:pPr>
    </w:p>
    <w:p w:rsidR="00306E6B" w:rsidRPr="00E95A8A" w:rsidRDefault="00892A78">
      <w:pPr>
        <w:keepNext/>
        <w:keepLines/>
        <w:spacing w:line="360" w:lineRule="auto"/>
        <w:ind w:right="-277"/>
        <w:jc w:val="center"/>
        <w:rPr>
          <w:rFonts w:ascii="Palatino Linotype" w:eastAsia="Palatino Linotype" w:hAnsi="Palatino Linotype" w:cs="Palatino Linotype"/>
          <w:b/>
          <w:color w:val="000000"/>
        </w:rPr>
      </w:pPr>
      <w:r w:rsidRPr="00E95A8A">
        <w:rPr>
          <w:rFonts w:ascii="Palatino Linotype" w:eastAsia="Palatino Linotype" w:hAnsi="Palatino Linotype" w:cs="Palatino Linotype"/>
          <w:b/>
          <w:color w:val="000000"/>
        </w:rPr>
        <w:t>R E S O L U T I V O S</w:t>
      </w:r>
    </w:p>
    <w:p w:rsidR="00306E6B" w:rsidRPr="00E95A8A" w:rsidRDefault="00892A78">
      <w:pPr>
        <w:spacing w:before="240" w:after="240" w:line="360" w:lineRule="auto"/>
        <w:ind w:right="-277"/>
        <w:jc w:val="both"/>
        <w:rPr>
          <w:rFonts w:ascii="Palatino Linotype" w:eastAsia="Palatino Linotype" w:hAnsi="Palatino Linotype" w:cs="Palatino Linotype"/>
        </w:rPr>
      </w:pPr>
      <w:bookmarkStart w:id="6" w:name="_heading=h.2et92p0" w:colFirst="0" w:colLast="0"/>
      <w:bookmarkEnd w:id="6"/>
      <w:r w:rsidRPr="00E95A8A">
        <w:rPr>
          <w:rFonts w:ascii="Palatino Linotype" w:eastAsia="Palatino Linotype" w:hAnsi="Palatino Linotype" w:cs="Palatino Linotype"/>
          <w:b/>
        </w:rPr>
        <w:t>PRIMERO</w:t>
      </w:r>
      <w:r w:rsidRPr="00E95A8A">
        <w:rPr>
          <w:rFonts w:ascii="Palatino Linotype" w:eastAsia="Palatino Linotype" w:hAnsi="Palatino Linotype" w:cs="Palatino Linotype"/>
        </w:rPr>
        <w:t xml:space="preserve">. Resultan fundadas las razones o motivos de inconformidad hechos valer en el Recurso de Revisión </w:t>
      </w:r>
      <w:r w:rsidRPr="00E95A8A">
        <w:rPr>
          <w:rFonts w:ascii="Palatino Linotype" w:eastAsia="Palatino Linotype" w:hAnsi="Palatino Linotype" w:cs="Palatino Linotype"/>
          <w:b/>
        </w:rPr>
        <w:t>02133/INFOEM/IP/RR/2024</w:t>
      </w:r>
      <w:r w:rsidRPr="00E95A8A">
        <w:rPr>
          <w:rFonts w:ascii="Palatino Linotype" w:eastAsia="Palatino Linotype" w:hAnsi="Palatino Linotype" w:cs="Palatino Linotype"/>
        </w:rPr>
        <w:t>,</w:t>
      </w:r>
      <w:r w:rsidRPr="00E95A8A">
        <w:rPr>
          <w:rFonts w:ascii="Palatino Linotype" w:eastAsia="Palatino Linotype" w:hAnsi="Palatino Linotype" w:cs="Palatino Linotype"/>
          <w:b/>
        </w:rPr>
        <w:t xml:space="preserve"> </w:t>
      </w:r>
      <w:r w:rsidRPr="00E95A8A">
        <w:rPr>
          <w:rFonts w:ascii="Palatino Linotype" w:eastAsia="Palatino Linotype" w:hAnsi="Palatino Linotype" w:cs="Palatino Linotype"/>
        </w:rPr>
        <w:t>en términos del Considerando y Quinto</w:t>
      </w:r>
      <w:r w:rsidRPr="00E95A8A">
        <w:rPr>
          <w:rFonts w:ascii="Palatino Linotype" w:eastAsia="Palatino Linotype" w:hAnsi="Palatino Linotype" w:cs="Palatino Linotype"/>
          <w:b/>
        </w:rPr>
        <w:t xml:space="preserve"> </w:t>
      </w:r>
      <w:r w:rsidRPr="00E95A8A">
        <w:rPr>
          <w:rFonts w:ascii="Palatino Linotype" w:eastAsia="Palatino Linotype" w:hAnsi="Palatino Linotype" w:cs="Palatino Linotype"/>
        </w:rPr>
        <w:t>de la presente Resolución.</w:t>
      </w:r>
    </w:p>
    <w:p w:rsidR="00306E6B" w:rsidRPr="00E95A8A" w:rsidRDefault="00892A78">
      <w:pPr>
        <w:shd w:val="clear" w:color="auto" w:fill="FFFFFF"/>
        <w:spacing w:before="240" w:after="360" w:line="360" w:lineRule="auto"/>
        <w:ind w:right="-277"/>
        <w:jc w:val="both"/>
        <w:rPr>
          <w:rFonts w:ascii="Palatino Linotype" w:eastAsia="Palatino Linotype" w:hAnsi="Palatino Linotype" w:cs="Palatino Linotype"/>
        </w:rPr>
      </w:pPr>
      <w:bookmarkStart w:id="7" w:name="_heading=h.1fob9te" w:colFirst="0" w:colLast="0"/>
      <w:bookmarkEnd w:id="7"/>
      <w:r w:rsidRPr="00E95A8A">
        <w:rPr>
          <w:rFonts w:ascii="Palatino Linotype" w:eastAsia="Palatino Linotype" w:hAnsi="Palatino Linotype" w:cs="Palatino Linotype"/>
          <w:b/>
        </w:rPr>
        <w:t>SEGUNDO.</w:t>
      </w:r>
      <w:r w:rsidRPr="00E95A8A">
        <w:rPr>
          <w:rFonts w:ascii="Palatino Linotype" w:eastAsia="Palatino Linotype" w:hAnsi="Palatino Linotype" w:cs="Palatino Linotype"/>
          <w:b/>
          <w:color w:val="000000"/>
        </w:rPr>
        <w:t xml:space="preserve"> </w:t>
      </w:r>
      <w:r w:rsidRPr="00E95A8A">
        <w:rPr>
          <w:rFonts w:ascii="Palatino Linotype" w:eastAsia="Palatino Linotype" w:hAnsi="Palatino Linotype" w:cs="Palatino Linotype"/>
          <w:color w:val="000000"/>
        </w:rPr>
        <w:t xml:space="preserve">Se </w:t>
      </w:r>
      <w:r w:rsidRPr="00E95A8A">
        <w:rPr>
          <w:rFonts w:ascii="Palatino Linotype" w:eastAsia="Palatino Linotype" w:hAnsi="Palatino Linotype" w:cs="Palatino Linotype"/>
          <w:b/>
          <w:color w:val="000000"/>
        </w:rPr>
        <w:t xml:space="preserve">REVOCA </w:t>
      </w:r>
      <w:r w:rsidRPr="00E95A8A">
        <w:rPr>
          <w:rFonts w:ascii="Palatino Linotype" w:eastAsia="Palatino Linotype" w:hAnsi="Palatino Linotype" w:cs="Palatino Linotype"/>
          <w:color w:val="000000"/>
        </w:rPr>
        <w:t xml:space="preserve">la respuesta emitida por el </w:t>
      </w:r>
      <w:r w:rsidRPr="00E95A8A">
        <w:rPr>
          <w:rFonts w:ascii="Palatino Linotype" w:eastAsia="Palatino Linotype" w:hAnsi="Palatino Linotype" w:cs="Palatino Linotype"/>
          <w:b/>
        </w:rPr>
        <w:t xml:space="preserve">Ayuntamiento de Ixtapaluca </w:t>
      </w:r>
      <w:r w:rsidRPr="00E95A8A">
        <w:rPr>
          <w:rFonts w:ascii="Palatino Linotype" w:eastAsia="Palatino Linotype" w:hAnsi="Palatino Linotype" w:cs="Palatino Linotype"/>
          <w:color w:val="000000"/>
        </w:rPr>
        <w:t xml:space="preserve">y se </w:t>
      </w:r>
      <w:r w:rsidRPr="00E95A8A">
        <w:rPr>
          <w:rFonts w:ascii="Palatino Linotype" w:eastAsia="Palatino Linotype" w:hAnsi="Palatino Linotype" w:cs="Palatino Linotype"/>
          <w:b/>
          <w:color w:val="000000"/>
        </w:rPr>
        <w:t>ORDENA</w:t>
      </w:r>
      <w:r w:rsidRPr="00E95A8A">
        <w:rPr>
          <w:rFonts w:ascii="Palatino Linotype" w:eastAsia="Palatino Linotype" w:hAnsi="Palatino Linotype" w:cs="Palatino Linotype"/>
          <w:color w:val="000000"/>
        </w:rPr>
        <w:t xml:space="preserve"> </w:t>
      </w:r>
      <w:r w:rsidRPr="00E95A8A">
        <w:rPr>
          <w:rFonts w:ascii="Palatino Linotype" w:eastAsia="Palatino Linotype" w:hAnsi="Palatino Linotype" w:cs="Palatino Linotype"/>
        </w:rPr>
        <w:t xml:space="preserve">entregar vía Sistema de Accesos a la Información Mexiquense </w:t>
      </w:r>
      <w:r w:rsidRPr="00E95A8A">
        <w:rPr>
          <w:rFonts w:ascii="Palatino Linotype" w:eastAsia="Palatino Linotype" w:hAnsi="Palatino Linotype" w:cs="Palatino Linotype"/>
          <w:b/>
        </w:rPr>
        <w:t>(SAIMEX)</w:t>
      </w:r>
      <w:r w:rsidRPr="00E95A8A">
        <w:rPr>
          <w:rFonts w:ascii="Palatino Linotype" w:eastAsia="Palatino Linotype" w:hAnsi="Palatino Linotype" w:cs="Palatino Linotype"/>
        </w:rPr>
        <w:t>, previa búsqueda exhaustiva y razonable, de ser procedente en versión pública</w:t>
      </w:r>
      <w:r w:rsidRPr="00E95A8A">
        <w:rPr>
          <w:rFonts w:ascii="Palatino Linotype" w:eastAsia="Palatino Linotype" w:hAnsi="Palatino Linotype" w:cs="Palatino Linotype"/>
          <w:b/>
        </w:rPr>
        <w:t xml:space="preserve">, al 01 de abril de 2024, </w:t>
      </w:r>
      <w:r w:rsidRPr="00E95A8A">
        <w:rPr>
          <w:rFonts w:ascii="Palatino Linotype" w:eastAsia="Palatino Linotype" w:hAnsi="Palatino Linotype" w:cs="Palatino Linotype"/>
        </w:rPr>
        <w:t>lo siguiente:</w:t>
      </w:r>
    </w:p>
    <w:p w:rsidR="00306E6B" w:rsidRPr="00E95A8A" w:rsidRDefault="00892A78">
      <w:pPr>
        <w:numPr>
          <w:ilvl w:val="0"/>
          <w:numId w:val="2"/>
        </w:numPr>
        <w:spacing w:line="360" w:lineRule="auto"/>
        <w:ind w:left="567" w:right="-277" w:hanging="141"/>
        <w:jc w:val="both"/>
        <w:rPr>
          <w:rFonts w:ascii="Palatino Linotype" w:eastAsia="Palatino Linotype" w:hAnsi="Palatino Linotype" w:cs="Palatino Linotype"/>
          <w:b/>
        </w:rPr>
      </w:pPr>
      <w:r w:rsidRPr="00E95A8A">
        <w:rPr>
          <w:rFonts w:ascii="Palatino Linotype" w:eastAsia="Palatino Linotype" w:hAnsi="Palatino Linotype" w:cs="Palatino Linotype"/>
        </w:rPr>
        <w:t>L</w:t>
      </w:r>
      <w:r w:rsidRPr="00E95A8A">
        <w:rPr>
          <w:rFonts w:ascii="Palatino Linotype" w:eastAsia="Palatino Linotype" w:hAnsi="Palatino Linotype" w:cs="Palatino Linotype"/>
          <w:b/>
        </w:rPr>
        <w:t xml:space="preserve">os documentos donde conste </w:t>
      </w:r>
      <w:r w:rsidRPr="00E95A8A">
        <w:rPr>
          <w:rFonts w:ascii="Palatino Linotype" w:eastAsia="Palatino Linotype" w:hAnsi="Palatino Linotype" w:cs="Palatino Linotype"/>
          <w:b/>
          <w:color w:val="000000"/>
        </w:rPr>
        <w:t>el presupuesto ejecutado, el proyecto, los contratos con anexos y el perfil del proveedor o constructora que realizó y/o ejecutó la obra pública realizada en el Parque Recreativo La venta Ixtapaluca, de la cual, el solicitante adjuntó evidencia fotográfica.</w:t>
      </w:r>
    </w:p>
    <w:p w:rsidR="00306E6B" w:rsidRPr="00E95A8A" w:rsidRDefault="00306E6B">
      <w:pPr>
        <w:ind w:right="-277"/>
        <w:jc w:val="both"/>
        <w:rPr>
          <w:rFonts w:ascii="Palatino Linotype" w:eastAsia="Palatino Linotype" w:hAnsi="Palatino Linotype" w:cs="Palatino Linotype"/>
          <w:b/>
        </w:rPr>
      </w:pPr>
    </w:p>
    <w:p w:rsidR="00306E6B" w:rsidRPr="00E95A8A" w:rsidRDefault="00892A78">
      <w:pPr>
        <w:spacing w:before="240" w:after="360" w:line="360" w:lineRule="auto"/>
        <w:ind w:right="-277"/>
        <w:jc w:val="both"/>
        <w:rPr>
          <w:rFonts w:ascii="Palatino Linotype" w:eastAsia="Palatino Linotype" w:hAnsi="Palatino Linotype" w:cs="Palatino Linotype"/>
        </w:rPr>
      </w:pPr>
      <w:r w:rsidRPr="00E95A8A">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E95A8A">
        <w:rPr>
          <w:rFonts w:ascii="Palatino Linotype" w:eastAsia="Palatino Linotype" w:hAnsi="Palatino Linotype" w:cs="Palatino Linotype"/>
          <w:b/>
        </w:rPr>
        <w:t xml:space="preserve"> RECURRENTE</w:t>
      </w:r>
      <w:r w:rsidRPr="00E95A8A">
        <w:rPr>
          <w:rFonts w:ascii="Palatino Linotype" w:eastAsia="Palatino Linotype" w:hAnsi="Palatino Linotype" w:cs="Palatino Linotype"/>
        </w:rPr>
        <w:t>.</w:t>
      </w:r>
    </w:p>
    <w:p w:rsidR="00306E6B" w:rsidRPr="00E95A8A" w:rsidRDefault="00892A78">
      <w:pPr>
        <w:spacing w:line="360" w:lineRule="auto"/>
        <w:ind w:right="-277"/>
        <w:jc w:val="both"/>
        <w:rPr>
          <w:rFonts w:ascii="Palatino Linotype" w:eastAsia="Palatino Linotype" w:hAnsi="Palatino Linotype" w:cs="Palatino Linotype"/>
          <w:b/>
        </w:rPr>
      </w:pPr>
      <w:r w:rsidRPr="00E95A8A">
        <w:rPr>
          <w:rFonts w:ascii="Palatino Linotype" w:eastAsia="Palatino Linotype" w:hAnsi="Palatino Linotype" w:cs="Palatino Linotype"/>
          <w:b/>
        </w:rPr>
        <w:lastRenderedPageBreak/>
        <w:t xml:space="preserve">TERCERO. </w:t>
      </w:r>
      <w:r w:rsidRPr="00E95A8A">
        <w:rPr>
          <w:rFonts w:ascii="Palatino Linotype" w:eastAsia="Palatino Linotype" w:hAnsi="Palatino Linotype" w:cs="Palatino Linotype"/>
          <w:b/>
          <w:color w:val="000000"/>
        </w:rPr>
        <w:t>Notifíquese vía SAIMEX l</w:t>
      </w:r>
      <w:r w:rsidRPr="00E95A8A">
        <w:rPr>
          <w:rFonts w:ascii="Palatino Linotype" w:eastAsia="Palatino Linotype" w:hAnsi="Palatino Linotype" w:cs="Palatino Linotype"/>
        </w:rPr>
        <w:t xml:space="preserve">a presente resolución al Titular de la Unidad de Transparencia del </w:t>
      </w:r>
      <w:r w:rsidRPr="00E95A8A">
        <w:rPr>
          <w:rFonts w:ascii="Palatino Linotype" w:eastAsia="Palatino Linotype" w:hAnsi="Palatino Linotype" w:cs="Palatino Linotype"/>
          <w:b/>
        </w:rPr>
        <w:t>SUJETO OBLIGADO</w:t>
      </w:r>
      <w:r w:rsidRPr="00E95A8A">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E95A8A">
        <w:rPr>
          <w:rFonts w:ascii="Palatino Linotype" w:eastAsia="Palatino Linotype" w:hAnsi="Palatino Linotype" w:cs="Palatino Linotype"/>
          <w:b/>
        </w:rPr>
        <w:t>dé cumplimiento a lo ordenado dentro del plazo de diez días hábiles</w:t>
      </w:r>
      <w:r w:rsidRPr="00E95A8A">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06E6B" w:rsidRPr="00E95A8A" w:rsidRDefault="00306E6B">
      <w:pPr>
        <w:tabs>
          <w:tab w:val="left" w:pos="8080"/>
        </w:tabs>
        <w:spacing w:line="360" w:lineRule="auto"/>
        <w:ind w:right="-277"/>
        <w:jc w:val="both"/>
        <w:rPr>
          <w:rFonts w:ascii="Palatino Linotype" w:eastAsia="Palatino Linotype" w:hAnsi="Palatino Linotype" w:cs="Palatino Linotype"/>
          <w:color w:val="222222"/>
        </w:rPr>
      </w:pPr>
    </w:p>
    <w:p w:rsidR="00306E6B" w:rsidRPr="00E95A8A" w:rsidRDefault="00892A78">
      <w:pPr>
        <w:shd w:val="clear" w:color="auto" w:fill="FFFFFF"/>
        <w:spacing w:after="240" w:line="360" w:lineRule="auto"/>
        <w:ind w:right="-277"/>
        <w:jc w:val="both"/>
        <w:rPr>
          <w:rFonts w:ascii="Palatino Linotype" w:eastAsia="Palatino Linotype" w:hAnsi="Palatino Linotype" w:cs="Palatino Linotype"/>
          <w:b/>
        </w:rPr>
      </w:pPr>
      <w:r w:rsidRPr="00E95A8A">
        <w:rPr>
          <w:rFonts w:ascii="Palatino Linotype" w:eastAsia="Palatino Linotype" w:hAnsi="Palatino Linotype" w:cs="Palatino Linotype"/>
          <w:b/>
        </w:rPr>
        <w:t>CUARTO. Notifíquese al RECURRENTE</w:t>
      </w:r>
      <w:r w:rsidRPr="00E95A8A">
        <w:rPr>
          <w:rFonts w:ascii="Palatino Linotype" w:eastAsia="Palatino Linotype" w:hAnsi="Palatino Linotype" w:cs="Palatino Linotype"/>
        </w:rPr>
        <w:t xml:space="preserve"> la presente resolución vía </w:t>
      </w:r>
      <w:r w:rsidRPr="00E95A8A">
        <w:rPr>
          <w:rFonts w:ascii="Palatino Linotype" w:eastAsia="Palatino Linotype" w:hAnsi="Palatino Linotype" w:cs="Palatino Linotype"/>
          <w:b/>
        </w:rPr>
        <w:t>SAIMEX.</w:t>
      </w:r>
    </w:p>
    <w:p w:rsidR="00E95A8A" w:rsidRPr="00E95A8A" w:rsidRDefault="00E95A8A">
      <w:pPr>
        <w:shd w:val="clear" w:color="auto" w:fill="FFFFFF"/>
        <w:spacing w:after="240" w:line="360" w:lineRule="auto"/>
        <w:ind w:right="-277"/>
        <w:jc w:val="both"/>
        <w:rPr>
          <w:rFonts w:ascii="Palatino Linotype" w:eastAsia="Palatino Linotype" w:hAnsi="Palatino Linotype" w:cs="Palatino Linotype"/>
          <w:b/>
        </w:rPr>
      </w:pPr>
    </w:p>
    <w:p w:rsidR="00306E6B" w:rsidRPr="00E95A8A" w:rsidRDefault="00892A78">
      <w:pPr>
        <w:spacing w:before="240" w:after="240" w:line="360" w:lineRule="auto"/>
        <w:ind w:right="-277"/>
        <w:jc w:val="both"/>
        <w:rPr>
          <w:rFonts w:ascii="Palatino Linotype" w:eastAsia="Palatino Linotype" w:hAnsi="Palatino Linotype" w:cs="Palatino Linotype"/>
        </w:rPr>
      </w:pPr>
      <w:r w:rsidRPr="00E95A8A">
        <w:rPr>
          <w:rFonts w:ascii="Palatino Linotype" w:eastAsia="Palatino Linotype" w:hAnsi="Palatino Linotype" w:cs="Palatino Linotype"/>
          <w:b/>
        </w:rPr>
        <w:t>QUINTO.</w:t>
      </w:r>
      <w:r w:rsidRPr="00E95A8A">
        <w:rPr>
          <w:rFonts w:ascii="Palatino Linotype" w:eastAsia="Palatino Linotype" w:hAnsi="Palatino Linotype" w:cs="Palatino Linotype"/>
        </w:rPr>
        <w:t xml:space="preserve"> Se hace del conocimiento del </w:t>
      </w:r>
      <w:r w:rsidRPr="00E95A8A">
        <w:rPr>
          <w:rFonts w:ascii="Palatino Linotype" w:eastAsia="Palatino Linotype" w:hAnsi="Palatino Linotype" w:cs="Palatino Linotype"/>
          <w:b/>
        </w:rPr>
        <w:t>RECURRENTE</w:t>
      </w:r>
      <w:r w:rsidRPr="00E95A8A">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E95A8A" w:rsidRPr="00E95A8A" w:rsidRDefault="00E95A8A">
      <w:pPr>
        <w:spacing w:before="240" w:after="240" w:line="360" w:lineRule="auto"/>
        <w:ind w:right="-277"/>
        <w:jc w:val="both"/>
        <w:rPr>
          <w:rFonts w:ascii="Palatino Linotype" w:eastAsia="Palatino Linotype" w:hAnsi="Palatino Linotype" w:cs="Palatino Linotype"/>
        </w:rPr>
      </w:pPr>
    </w:p>
    <w:p w:rsidR="00306E6B" w:rsidRPr="00E95A8A" w:rsidRDefault="00892A78">
      <w:pPr>
        <w:spacing w:before="240" w:after="240" w:line="360" w:lineRule="auto"/>
        <w:ind w:right="-277"/>
        <w:jc w:val="both"/>
        <w:rPr>
          <w:rFonts w:ascii="Palatino Linotype" w:eastAsia="Palatino Linotype" w:hAnsi="Palatino Linotype" w:cs="Palatino Linotype"/>
        </w:rPr>
      </w:pPr>
      <w:r w:rsidRPr="00E95A8A">
        <w:rPr>
          <w:rFonts w:ascii="Palatino Linotype" w:eastAsia="Palatino Linotype" w:hAnsi="Palatino Linotype" w:cs="Palatino Linotype"/>
          <w:b/>
          <w:color w:val="000000"/>
        </w:rPr>
        <w:t xml:space="preserve">SEXTO. </w:t>
      </w:r>
      <w:r w:rsidRPr="00E95A8A">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DA4C52" w:rsidRPr="00E95A8A" w:rsidRDefault="00DA4C52">
      <w:pPr>
        <w:spacing w:before="240" w:after="240" w:line="360" w:lineRule="auto"/>
        <w:ind w:right="-277"/>
        <w:jc w:val="both"/>
        <w:rPr>
          <w:rFonts w:ascii="Palatino Linotype" w:eastAsia="Palatino Linotype" w:hAnsi="Palatino Linotype" w:cs="Palatino Linotype"/>
        </w:rPr>
      </w:pPr>
    </w:p>
    <w:p w:rsidR="00E95A8A" w:rsidRPr="00E95A8A" w:rsidRDefault="00E95A8A">
      <w:pPr>
        <w:spacing w:before="240" w:after="240" w:line="360" w:lineRule="auto"/>
        <w:ind w:right="-277"/>
        <w:jc w:val="both"/>
        <w:rPr>
          <w:rFonts w:ascii="Palatino Linotype" w:eastAsia="Palatino Linotype" w:hAnsi="Palatino Linotype" w:cs="Palatino Linotype"/>
        </w:rPr>
      </w:pPr>
    </w:p>
    <w:p w:rsidR="00DA4C52" w:rsidRPr="003C7186" w:rsidRDefault="00DA4C52" w:rsidP="00DA4C52">
      <w:pPr>
        <w:spacing w:line="360" w:lineRule="auto"/>
        <w:ind w:left="-142" w:right="-234" w:firstLine="1"/>
        <w:jc w:val="both"/>
        <w:rPr>
          <w:rFonts w:ascii="Palatino Linotype" w:hAnsi="Palatino Linotype"/>
        </w:rPr>
      </w:pPr>
      <w:r w:rsidRPr="00E95A8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306E6B" w:rsidRDefault="00306E6B">
      <w:pPr>
        <w:spacing w:line="360" w:lineRule="auto"/>
        <w:ind w:right="-277"/>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jc w:val="both"/>
        <w:rPr>
          <w:rFonts w:ascii="Palatino Linotype" w:eastAsia="Palatino Linotype" w:hAnsi="Palatino Linotype" w:cs="Palatino Linotype"/>
        </w:rPr>
      </w:pPr>
    </w:p>
    <w:p w:rsidR="00306E6B" w:rsidRDefault="00306E6B">
      <w:pPr>
        <w:spacing w:line="360" w:lineRule="auto"/>
        <w:ind w:right="-277"/>
        <w:rPr>
          <w:rFonts w:ascii="Palatino Linotype" w:eastAsia="Palatino Linotype" w:hAnsi="Palatino Linotype" w:cs="Palatino Linotype"/>
        </w:rPr>
      </w:pPr>
    </w:p>
    <w:p w:rsidR="00306E6B" w:rsidRDefault="00306E6B">
      <w:pPr>
        <w:spacing w:line="360" w:lineRule="auto"/>
        <w:ind w:right="-277"/>
        <w:rPr>
          <w:rFonts w:ascii="Palatino Linotype" w:eastAsia="Palatino Linotype" w:hAnsi="Palatino Linotype" w:cs="Palatino Linotype"/>
        </w:rPr>
      </w:pPr>
    </w:p>
    <w:p w:rsidR="00306E6B" w:rsidRDefault="00306E6B">
      <w:pPr>
        <w:spacing w:line="360" w:lineRule="auto"/>
        <w:ind w:right="-277"/>
        <w:rPr>
          <w:rFonts w:ascii="Palatino Linotype" w:eastAsia="Palatino Linotype" w:hAnsi="Palatino Linotype" w:cs="Palatino Linotype"/>
        </w:rPr>
      </w:pPr>
    </w:p>
    <w:p w:rsidR="00306E6B" w:rsidRDefault="00306E6B">
      <w:pPr>
        <w:spacing w:line="360" w:lineRule="auto"/>
        <w:ind w:right="-277"/>
        <w:rPr>
          <w:rFonts w:ascii="Palatino Linotype" w:eastAsia="Palatino Linotype" w:hAnsi="Palatino Linotype" w:cs="Palatino Linotype"/>
        </w:rPr>
      </w:pPr>
    </w:p>
    <w:p w:rsidR="00306E6B" w:rsidRDefault="00306E6B">
      <w:pPr>
        <w:spacing w:line="360" w:lineRule="auto"/>
        <w:ind w:right="-277"/>
        <w:rPr>
          <w:rFonts w:ascii="Palatino Linotype" w:eastAsia="Palatino Linotype" w:hAnsi="Palatino Linotype" w:cs="Palatino Linotype"/>
        </w:rPr>
      </w:pPr>
    </w:p>
    <w:p w:rsidR="00306E6B" w:rsidRDefault="00306E6B">
      <w:pPr>
        <w:spacing w:line="360" w:lineRule="auto"/>
        <w:ind w:right="-277"/>
        <w:rPr>
          <w:rFonts w:ascii="Palatino Linotype" w:eastAsia="Palatino Linotype" w:hAnsi="Palatino Linotype" w:cs="Palatino Linotype"/>
        </w:rPr>
      </w:pPr>
    </w:p>
    <w:p w:rsidR="00306E6B" w:rsidRDefault="00306E6B">
      <w:pPr>
        <w:ind w:right="-277"/>
        <w:rPr>
          <w:rFonts w:ascii="Palatino Linotype" w:eastAsia="Palatino Linotype" w:hAnsi="Palatino Linotype" w:cs="Palatino Linotype"/>
        </w:rPr>
      </w:pPr>
    </w:p>
    <w:sectPr w:rsidR="00306E6B">
      <w:headerReference w:type="even" r:id="rId15"/>
      <w:headerReference w:type="default" r:id="rId16"/>
      <w:footerReference w:type="default" r:id="rId17"/>
      <w:headerReference w:type="first" r:id="rId18"/>
      <w:footerReference w:type="first" r:id="rId19"/>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70" w:rsidRDefault="00EE0D70">
      <w:r>
        <w:separator/>
      </w:r>
    </w:p>
  </w:endnote>
  <w:endnote w:type="continuationSeparator" w:id="0">
    <w:p w:rsidR="00EE0D70" w:rsidRDefault="00EE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6B" w:rsidRDefault="00892A7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2735D">
      <w:rPr>
        <w:b/>
        <w:noProof/>
        <w:color w:val="000000"/>
      </w:rPr>
      <w:t>22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2735D">
      <w:rPr>
        <w:b/>
        <w:noProof/>
        <w:color w:val="000000"/>
      </w:rPr>
      <w:t>30</w:t>
    </w:r>
    <w:r>
      <w:rPr>
        <w:b/>
        <w:color w:val="000000"/>
      </w:rPr>
      <w:fldChar w:fldCharType="end"/>
    </w:r>
  </w:p>
  <w:p w:rsidR="00306E6B" w:rsidRDefault="00306E6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6B" w:rsidRDefault="00892A7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2735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2735D">
      <w:rPr>
        <w:b/>
        <w:noProof/>
        <w:color w:val="000000"/>
      </w:rPr>
      <w:t>30</w:t>
    </w:r>
    <w:r>
      <w:rPr>
        <w:b/>
        <w:color w:val="000000"/>
      </w:rPr>
      <w:fldChar w:fldCharType="end"/>
    </w:r>
  </w:p>
  <w:p w:rsidR="00306E6B" w:rsidRDefault="00306E6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70" w:rsidRDefault="00EE0D70">
      <w:r>
        <w:separator/>
      </w:r>
    </w:p>
  </w:footnote>
  <w:footnote w:type="continuationSeparator" w:id="0">
    <w:p w:rsidR="00EE0D70" w:rsidRDefault="00EE0D70">
      <w:r>
        <w:continuationSeparator/>
      </w:r>
    </w:p>
  </w:footnote>
  <w:footnote w:id="1">
    <w:p w:rsidR="00306E6B" w:rsidRDefault="00892A7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306E6B" w:rsidRDefault="00892A7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306E6B" w:rsidRDefault="00892A7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306E6B" w:rsidRDefault="00892A7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306E6B" w:rsidRDefault="00892A78">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color w:val="000000"/>
          <w:sz w:val="20"/>
          <w:szCs w:val="20"/>
          <w:highlight w:val="white"/>
        </w:rPr>
        <w:t>Jurisprudencia publicada en el Semanario Judicial de la Federación número 2a./J.120/2015, de la Décima Época, Tomo I, Libro 22, Septiembre 2015, cuyo texto es el siguiente: “La regulación establecida en el artículo </w:t>
      </w:r>
      <w:r>
        <w:rPr>
          <w:rFonts w:ascii="Cambria" w:eastAsia="Cambria" w:hAnsi="Cambria" w:cs="Cambria"/>
          <w:color w:val="000000"/>
          <w:sz w:val="20"/>
          <w:szCs w:val="20"/>
        </w:rPr>
        <w:t>79, fracción VI, de la Ley de Amparo</w:t>
      </w:r>
      <w:r>
        <w:rPr>
          <w:rFonts w:ascii="Cambria" w:eastAsia="Cambria" w:hAnsi="Cambria" w:cs="Cambria"/>
          <w:color w:val="000000"/>
          <w:sz w:val="20"/>
          <w:szCs w:val="20"/>
          <w:highlight w:val="white"/>
        </w:rPr>
        <w:t> faculta al juzgador de amparo para suplir la deficiencia de la queja en materias diversas a las que el propio numeral prevé, ante una irregularidad procesal grave y manifiesta en la controversia del amparo, no resuelta en el procedimiento de origen, que afecte al quejoso o recurrente, aun ante la ausencia de concepto de violación o agravio al respecto, ya que revela la intención del legislador de no permitir que una de las partes se beneficie a costa de la indefensión de su contraria, como consecuencia de una actuación ilegal de la autoridad, permitiendo al Juez ejercer un discernimiento en cada caso concreto, en atención a la materia y sujeto de que se trate, lo cual es congruente con el artículo </w:t>
      </w:r>
      <w:r>
        <w:rPr>
          <w:rFonts w:ascii="Cambria" w:eastAsia="Cambria" w:hAnsi="Cambria" w:cs="Cambria"/>
          <w:color w:val="000000"/>
          <w:sz w:val="20"/>
          <w:szCs w:val="20"/>
        </w:rPr>
        <w:t>107, fracción II, antepenúltimo párrafo, de la Constitución Política de los Estados Unidos Mexicanos</w:t>
      </w:r>
      <w:r>
        <w:rPr>
          <w:rFonts w:ascii="Cambria" w:eastAsia="Cambria" w:hAnsi="Cambria" w:cs="Cambria"/>
          <w:color w:val="000000"/>
          <w:sz w:val="20"/>
          <w:szCs w:val="20"/>
          <w:highlight w:val="white"/>
        </w:rPr>
        <w:t>.”</w:t>
      </w:r>
    </w:p>
  </w:footnote>
  <w:footnote w:id="6">
    <w:p w:rsidR="00306E6B" w:rsidRDefault="00892A7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color w:val="000000"/>
          <w:sz w:val="20"/>
          <w:szCs w:val="20"/>
          <w:highlight w:val="white"/>
        </w:rPr>
        <w:t>Tesis aislada publicada en el Semanario Judicial de la Federación número 1a. LXXIII/2015, de la Décima Época, Tomo II, Libro 15, Febrero 2015, cuyo texto es el siguiente: “Del precepto citado deriva que la suplencia de la queja deficiente operará en las materias civil y administrativa cuando el tribunal de amparo advierta que ha habido contra el quejoso o recurrente una violación evidente de la ley que lo haya dejado sin defensa, por afectar sus derechos humanos reconocidos en la Constitución Política de los Estados Unidos Mexicanos y en los tratados internacionales de que el Estado Mexicano sea parte. Ahora bien, el Pleno de la Suprema Corte de Justicia de la Nación, al pronunciarse sobre el artículo 76 Bis de la Ley de Amparo abrogada, de redacción similar al 79 de la vigente, estimó que la frase "lo haya dejado sin defensa" no debe interpretarse literalmente,</w:t>
      </w:r>
      <w:r>
        <w:rPr>
          <w:rFonts w:ascii="Palatino Linotype" w:eastAsia="Palatino Linotype" w:hAnsi="Palatino Linotype" w:cs="Palatino Linotype"/>
          <w:color w:val="000000"/>
          <w:sz w:val="16"/>
          <w:szCs w:val="16"/>
          <w:highlight w:val="white"/>
        </w:rPr>
        <w:t xml:space="preserve"> </w:t>
      </w:r>
      <w:r>
        <w:rPr>
          <w:rFonts w:ascii="Cambria" w:eastAsia="Cambria" w:hAnsi="Cambria" w:cs="Cambria"/>
          <w:color w:val="000000"/>
          <w:sz w:val="20"/>
          <w:szCs w:val="20"/>
          <w:highlight w:val="white"/>
        </w:rPr>
        <w:t>sino que debe entenderse en el sentido de que la autoridad responsable infringió determinadas normas, de forma que afectó sustancialmente al quejoso en su defensa. Asimismo, sostuvo que una "violación manifiesta de la ley" es la que se advierte obvia, que es innegable e indiscutible, y cuya existencia no puede derivarse de una serie de razonamientos y planteamientos cuestionables. Por otra parte, esta Primera Sala sostuvo que por "violación manifiesta de la ley que deje sin defensa", se entiende aquella actuación que haga notoria e indiscutible la vulneración a los derechos del quejoso, ya sea en forma directa, o bien, indirecta, mediante la transgresión a las normas procedimentales y sustantivas, y que rigen el acto reclamado; de ahí que dicha interpretación es aplicable al artículo 79 de la Ley de Amparo, ya que no se le opone, sino que es concordante. Conforme a lo anterior, los tribunales de amparo sólo están obligados a suplir la queja deficiente en las materias civil y administrativa cuando adviertan una violación evidente, esto es, clara, innegable, que afecte sustancialmente al quejoso en su defensa.”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6B" w:rsidRDefault="00EE0D7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10490" w:type="dxa"/>
      <w:tblInd w:w="0" w:type="dxa"/>
      <w:tblLayout w:type="fixed"/>
      <w:tblLook w:val="0400" w:firstRow="0" w:lastRow="0" w:firstColumn="0" w:lastColumn="0" w:noHBand="0" w:noVBand="1"/>
    </w:tblPr>
    <w:tblGrid>
      <w:gridCol w:w="2552"/>
      <w:gridCol w:w="7938"/>
    </w:tblGrid>
    <w:tr w:rsidR="00306E6B" w:rsidTr="003D44AA">
      <w:trPr>
        <w:trHeight w:val="1435"/>
      </w:trPr>
      <w:tc>
        <w:tcPr>
          <w:tcW w:w="2552" w:type="dxa"/>
          <w:shd w:val="clear" w:color="auto" w:fill="auto"/>
        </w:tcPr>
        <w:p w:rsidR="00306E6B" w:rsidRDefault="00306E6B">
          <w:pPr>
            <w:tabs>
              <w:tab w:val="right" w:pos="4273"/>
            </w:tabs>
            <w:rPr>
              <w:rFonts w:ascii="Garamond" w:eastAsia="Garamond" w:hAnsi="Garamond" w:cs="Garamond"/>
              <w:sz w:val="16"/>
              <w:szCs w:val="16"/>
            </w:rPr>
          </w:pPr>
        </w:p>
      </w:tc>
      <w:tc>
        <w:tcPr>
          <w:tcW w:w="7938" w:type="dxa"/>
          <w:shd w:val="clear" w:color="auto" w:fill="auto"/>
        </w:tcPr>
        <w:tbl>
          <w:tblPr>
            <w:tblStyle w:val="ab"/>
            <w:tblW w:w="7371" w:type="dxa"/>
            <w:tblInd w:w="594" w:type="dxa"/>
            <w:tblLayout w:type="fixed"/>
            <w:tblLook w:val="0400" w:firstRow="0" w:lastRow="0" w:firstColumn="0" w:lastColumn="0" w:noHBand="0" w:noVBand="1"/>
          </w:tblPr>
          <w:tblGrid>
            <w:gridCol w:w="3377"/>
            <w:gridCol w:w="3994"/>
          </w:tblGrid>
          <w:tr w:rsidR="00306E6B" w:rsidTr="003D44AA">
            <w:trPr>
              <w:trHeight w:val="150"/>
            </w:trPr>
            <w:tc>
              <w:tcPr>
                <w:tcW w:w="3377" w:type="dxa"/>
                <w:shd w:val="clear" w:color="auto" w:fill="auto"/>
              </w:tcPr>
              <w:p w:rsidR="00306E6B" w:rsidRPr="003D44AA" w:rsidRDefault="00892A78">
                <w:pPr>
                  <w:tabs>
                    <w:tab w:val="right" w:pos="8838"/>
                  </w:tabs>
                  <w:ind w:left="850" w:right="-105"/>
                  <w:jc w:val="both"/>
                  <w:rPr>
                    <w:rFonts w:ascii="Palatino Linotype" w:eastAsia="Palatino Linotype" w:hAnsi="Palatino Linotype" w:cs="Palatino Linotype"/>
                    <w:b/>
                    <w:sz w:val="22"/>
                    <w:szCs w:val="18"/>
                  </w:rPr>
                </w:pPr>
                <w:r w:rsidRPr="003D44AA">
                  <w:rPr>
                    <w:rFonts w:ascii="Palatino Linotype" w:eastAsia="Palatino Linotype" w:hAnsi="Palatino Linotype" w:cs="Palatino Linotype"/>
                    <w:b/>
                    <w:sz w:val="22"/>
                    <w:szCs w:val="18"/>
                  </w:rPr>
                  <w:t>Recurso de Revisión:</w:t>
                </w:r>
              </w:p>
            </w:tc>
            <w:tc>
              <w:tcPr>
                <w:tcW w:w="3994" w:type="dxa"/>
                <w:shd w:val="clear" w:color="auto" w:fill="auto"/>
              </w:tcPr>
              <w:p w:rsidR="00306E6B" w:rsidRPr="003D44AA" w:rsidRDefault="00892A78">
                <w:pPr>
                  <w:tabs>
                    <w:tab w:val="right" w:pos="8838"/>
                  </w:tabs>
                  <w:ind w:right="-781"/>
                  <w:jc w:val="both"/>
                  <w:rPr>
                    <w:rFonts w:ascii="Palatino Linotype" w:eastAsia="Palatino Linotype" w:hAnsi="Palatino Linotype" w:cs="Palatino Linotype"/>
                    <w:sz w:val="22"/>
                    <w:szCs w:val="18"/>
                  </w:rPr>
                </w:pPr>
                <w:r w:rsidRPr="003D44AA">
                  <w:rPr>
                    <w:rFonts w:ascii="Palatino Linotype" w:eastAsia="Palatino Linotype" w:hAnsi="Palatino Linotype" w:cs="Palatino Linotype"/>
                    <w:sz w:val="22"/>
                    <w:szCs w:val="18"/>
                  </w:rPr>
                  <w:t>02133/INFOEM/IP/RR/2024</w:t>
                </w:r>
              </w:p>
            </w:tc>
          </w:tr>
          <w:tr w:rsidR="00306E6B" w:rsidTr="003D44AA">
            <w:trPr>
              <w:trHeight w:val="295"/>
            </w:trPr>
            <w:tc>
              <w:tcPr>
                <w:tcW w:w="3377" w:type="dxa"/>
                <w:shd w:val="clear" w:color="auto" w:fill="auto"/>
              </w:tcPr>
              <w:p w:rsidR="00306E6B" w:rsidRPr="003D44AA" w:rsidRDefault="00892A78">
                <w:pPr>
                  <w:tabs>
                    <w:tab w:val="right" w:pos="8838"/>
                  </w:tabs>
                  <w:ind w:left="850" w:right="-105"/>
                  <w:jc w:val="both"/>
                  <w:rPr>
                    <w:rFonts w:ascii="Palatino Linotype" w:eastAsia="Palatino Linotype" w:hAnsi="Palatino Linotype" w:cs="Palatino Linotype"/>
                    <w:b/>
                    <w:sz w:val="22"/>
                    <w:szCs w:val="18"/>
                  </w:rPr>
                </w:pPr>
                <w:r w:rsidRPr="003D44AA">
                  <w:rPr>
                    <w:rFonts w:ascii="Palatino Linotype" w:eastAsia="Palatino Linotype" w:hAnsi="Palatino Linotype" w:cs="Palatino Linotype"/>
                    <w:b/>
                    <w:sz w:val="22"/>
                    <w:szCs w:val="18"/>
                  </w:rPr>
                  <w:t>Sujeto Obligado:</w:t>
                </w:r>
              </w:p>
            </w:tc>
            <w:tc>
              <w:tcPr>
                <w:tcW w:w="3994" w:type="dxa"/>
                <w:shd w:val="clear" w:color="auto" w:fill="auto"/>
              </w:tcPr>
              <w:p w:rsidR="00306E6B" w:rsidRPr="003D44AA" w:rsidRDefault="00892A78" w:rsidP="003D44AA">
                <w:pPr>
                  <w:tabs>
                    <w:tab w:val="right" w:pos="8838"/>
                  </w:tabs>
                  <w:ind w:right="-115"/>
                  <w:jc w:val="both"/>
                  <w:rPr>
                    <w:rFonts w:ascii="Palatino Linotype" w:eastAsia="Palatino Linotype" w:hAnsi="Palatino Linotype" w:cs="Palatino Linotype"/>
                    <w:sz w:val="22"/>
                    <w:szCs w:val="18"/>
                  </w:rPr>
                </w:pPr>
                <w:r w:rsidRPr="003D44AA">
                  <w:rPr>
                    <w:rFonts w:ascii="Palatino Linotype" w:eastAsia="Palatino Linotype" w:hAnsi="Palatino Linotype" w:cs="Palatino Linotype"/>
                    <w:sz w:val="22"/>
                    <w:szCs w:val="18"/>
                  </w:rPr>
                  <w:t>Ayuntamiento de Ixtapaluca</w:t>
                </w:r>
              </w:p>
            </w:tc>
          </w:tr>
          <w:tr w:rsidR="00306E6B" w:rsidTr="003D44AA">
            <w:trPr>
              <w:trHeight w:val="295"/>
            </w:trPr>
            <w:tc>
              <w:tcPr>
                <w:tcW w:w="3377" w:type="dxa"/>
                <w:shd w:val="clear" w:color="auto" w:fill="auto"/>
              </w:tcPr>
              <w:p w:rsidR="00306E6B" w:rsidRPr="003D44AA" w:rsidRDefault="00892A78">
                <w:pPr>
                  <w:tabs>
                    <w:tab w:val="right" w:pos="8838"/>
                  </w:tabs>
                  <w:ind w:left="850" w:right="-105"/>
                  <w:jc w:val="both"/>
                  <w:rPr>
                    <w:rFonts w:ascii="Palatino Linotype" w:eastAsia="Palatino Linotype" w:hAnsi="Palatino Linotype" w:cs="Palatino Linotype"/>
                    <w:b/>
                    <w:sz w:val="22"/>
                    <w:szCs w:val="18"/>
                  </w:rPr>
                </w:pPr>
                <w:r w:rsidRPr="003D44AA">
                  <w:rPr>
                    <w:rFonts w:ascii="Palatino Linotype" w:eastAsia="Palatino Linotype" w:hAnsi="Palatino Linotype" w:cs="Palatino Linotype"/>
                    <w:b/>
                    <w:sz w:val="22"/>
                    <w:szCs w:val="18"/>
                  </w:rPr>
                  <w:t>Comisionada ponente:</w:t>
                </w:r>
              </w:p>
            </w:tc>
            <w:tc>
              <w:tcPr>
                <w:tcW w:w="3994" w:type="dxa"/>
                <w:shd w:val="clear" w:color="auto" w:fill="auto"/>
              </w:tcPr>
              <w:p w:rsidR="00306E6B" w:rsidRPr="003D44AA" w:rsidRDefault="00892A78">
                <w:pPr>
                  <w:tabs>
                    <w:tab w:val="right" w:pos="8838"/>
                  </w:tabs>
                  <w:ind w:right="-781"/>
                  <w:jc w:val="both"/>
                  <w:rPr>
                    <w:rFonts w:ascii="Palatino Linotype" w:eastAsia="Palatino Linotype" w:hAnsi="Palatino Linotype" w:cs="Palatino Linotype"/>
                    <w:sz w:val="22"/>
                    <w:szCs w:val="18"/>
                  </w:rPr>
                </w:pPr>
                <w:r w:rsidRPr="003D44AA">
                  <w:rPr>
                    <w:rFonts w:ascii="Palatino Linotype" w:eastAsia="Palatino Linotype" w:hAnsi="Palatino Linotype" w:cs="Palatino Linotype"/>
                    <w:sz w:val="22"/>
                    <w:szCs w:val="18"/>
                  </w:rPr>
                  <w:t>María del Rosario Mejía Ayala</w:t>
                </w:r>
              </w:p>
              <w:p w:rsidR="00306E6B" w:rsidRPr="003D44AA" w:rsidRDefault="00306E6B">
                <w:pPr>
                  <w:tabs>
                    <w:tab w:val="right" w:pos="8838"/>
                  </w:tabs>
                  <w:ind w:left="141" w:right="-781"/>
                  <w:jc w:val="both"/>
                  <w:rPr>
                    <w:rFonts w:ascii="Palatino Linotype" w:eastAsia="Palatino Linotype" w:hAnsi="Palatino Linotype" w:cs="Palatino Linotype"/>
                    <w:sz w:val="22"/>
                    <w:szCs w:val="18"/>
                  </w:rPr>
                </w:pPr>
              </w:p>
            </w:tc>
          </w:tr>
        </w:tbl>
        <w:p w:rsidR="00306E6B" w:rsidRDefault="00306E6B">
          <w:pPr>
            <w:tabs>
              <w:tab w:val="right" w:pos="8838"/>
            </w:tabs>
            <w:ind w:left="-28"/>
            <w:jc w:val="both"/>
            <w:rPr>
              <w:rFonts w:ascii="Arial" w:eastAsia="Arial" w:hAnsi="Arial" w:cs="Arial"/>
              <w:b/>
              <w:sz w:val="18"/>
              <w:szCs w:val="18"/>
            </w:rPr>
          </w:pPr>
        </w:p>
      </w:tc>
    </w:tr>
  </w:tbl>
  <w:p w:rsidR="00306E6B" w:rsidRDefault="00EE0D70">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6B" w:rsidRDefault="00306E6B">
    <w:pPr>
      <w:widowControl w:val="0"/>
      <w:pBdr>
        <w:top w:val="nil"/>
        <w:left w:val="nil"/>
        <w:bottom w:val="nil"/>
        <w:right w:val="nil"/>
        <w:between w:val="nil"/>
      </w:pBdr>
      <w:spacing w:line="276" w:lineRule="auto"/>
      <w:rPr>
        <w:color w:val="000000"/>
        <w:sz w:val="14"/>
        <w:szCs w:val="14"/>
      </w:rPr>
    </w:pPr>
  </w:p>
  <w:tbl>
    <w:tblPr>
      <w:tblStyle w:val="ac"/>
      <w:tblW w:w="10065" w:type="dxa"/>
      <w:tblInd w:w="0" w:type="dxa"/>
      <w:tblLayout w:type="fixed"/>
      <w:tblLook w:val="0400" w:firstRow="0" w:lastRow="0" w:firstColumn="0" w:lastColumn="0" w:noHBand="0" w:noVBand="1"/>
    </w:tblPr>
    <w:tblGrid>
      <w:gridCol w:w="2265"/>
      <w:gridCol w:w="7800"/>
    </w:tblGrid>
    <w:tr w:rsidR="00306E6B">
      <w:trPr>
        <w:trHeight w:val="1435"/>
      </w:trPr>
      <w:tc>
        <w:tcPr>
          <w:tcW w:w="2265" w:type="dxa"/>
          <w:shd w:val="clear" w:color="auto" w:fill="auto"/>
        </w:tcPr>
        <w:p w:rsidR="00306E6B" w:rsidRDefault="00306E6B">
          <w:pPr>
            <w:tabs>
              <w:tab w:val="right" w:pos="4273"/>
            </w:tabs>
            <w:rPr>
              <w:rFonts w:ascii="Garamond" w:eastAsia="Garamond" w:hAnsi="Garamond" w:cs="Garamond"/>
              <w:sz w:val="22"/>
              <w:szCs w:val="22"/>
            </w:rPr>
          </w:pPr>
        </w:p>
      </w:tc>
      <w:tc>
        <w:tcPr>
          <w:tcW w:w="7800" w:type="dxa"/>
          <w:shd w:val="clear" w:color="auto" w:fill="auto"/>
        </w:tcPr>
        <w:tbl>
          <w:tblPr>
            <w:tblStyle w:val="ad"/>
            <w:tblW w:w="7755" w:type="dxa"/>
            <w:tblInd w:w="1306" w:type="dxa"/>
            <w:tblLayout w:type="fixed"/>
            <w:tblLook w:val="0400" w:firstRow="0" w:lastRow="0" w:firstColumn="0" w:lastColumn="0" w:noHBand="0" w:noVBand="1"/>
          </w:tblPr>
          <w:tblGrid>
            <w:gridCol w:w="2835"/>
            <w:gridCol w:w="4920"/>
          </w:tblGrid>
          <w:tr w:rsidR="00306E6B" w:rsidTr="003D44AA">
            <w:trPr>
              <w:trHeight w:val="144"/>
            </w:trPr>
            <w:tc>
              <w:tcPr>
                <w:tcW w:w="2835" w:type="dxa"/>
                <w:shd w:val="clear" w:color="auto" w:fill="auto"/>
              </w:tcPr>
              <w:p w:rsidR="00306E6B" w:rsidRDefault="00892A78" w:rsidP="003D44AA">
                <w:pPr>
                  <w:tabs>
                    <w:tab w:val="right" w:pos="8838"/>
                  </w:tabs>
                  <w:ind w:left="1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shd w:val="clear" w:color="auto" w:fill="auto"/>
              </w:tcPr>
              <w:p w:rsidR="00306E6B" w:rsidRDefault="00892A78" w:rsidP="003D44AA">
                <w:pPr>
                  <w:tabs>
                    <w:tab w:val="right" w:pos="8838"/>
                  </w:tabs>
                  <w:ind w:left="-115"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02133/INFOEM/IP/RR/2024</w:t>
                </w:r>
              </w:p>
            </w:tc>
          </w:tr>
          <w:tr w:rsidR="00306E6B" w:rsidTr="003D44AA">
            <w:trPr>
              <w:trHeight w:val="144"/>
            </w:trPr>
            <w:tc>
              <w:tcPr>
                <w:tcW w:w="2835" w:type="dxa"/>
                <w:shd w:val="clear" w:color="auto" w:fill="auto"/>
              </w:tcPr>
              <w:p w:rsidR="00306E6B" w:rsidRDefault="00892A78" w:rsidP="003D44AA">
                <w:pPr>
                  <w:tabs>
                    <w:tab w:val="right" w:pos="8838"/>
                  </w:tabs>
                  <w:ind w:left="1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20" w:type="dxa"/>
                <w:shd w:val="clear" w:color="auto" w:fill="auto"/>
              </w:tcPr>
              <w:p w:rsidR="00306E6B" w:rsidRDefault="0072735D" w:rsidP="003D44AA">
                <w:pPr>
                  <w:tabs>
                    <w:tab w:val="left" w:pos="3122"/>
                    <w:tab w:val="right" w:pos="8838"/>
                  </w:tabs>
                  <w:ind w:left="-115"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306E6B" w:rsidTr="003D44AA">
            <w:trPr>
              <w:trHeight w:val="80"/>
            </w:trPr>
            <w:tc>
              <w:tcPr>
                <w:tcW w:w="2835" w:type="dxa"/>
                <w:shd w:val="clear" w:color="auto" w:fill="auto"/>
              </w:tcPr>
              <w:p w:rsidR="00306E6B" w:rsidRDefault="00892A78" w:rsidP="003D44AA">
                <w:pPr>
                  <w:tabs>
                    <w:tab w:val="right" w:pos="8838"/>
                  </w:tabs>
                  <w:ind w:left="1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shd w:val="clear" w:color="auto" w:fill="auto"/>
              </w:tcPr>
              <w:p w:rsidR="00306E6B" w:rsidRDefault="00892A78" w:rsidP="003D44AA">
                <w:pPr>
                  <w:tabs>
                    <w:tab w:val="left" w:pos="2834"/>
                    <w:tab w:val="right" w:pos="8838"/>
                  </w:tabs>
                  <w:ind w:left="-115"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Ixtapaluca</w:t>
                </w:r>
              </w:p>
            </w:tc>
          </w:tr>
          <w:tr w:rsidR="00306E6B" w:rsidTr="003D44AA">
            <w:trPr>
              <w:trHeight w:val="283"/>
            </w:trPr>
            <w:tc>
              <w:tcPr>
                <w:tcW w:w="2835" w:type="dxa"/>
                <w:shd w:val="clear" w:color="auto" w:fill="auto"/>
              </w:tcPr>
              <w:p w:rsidR="00306E6B" w:rsidRDefault="00892A78" w:rsidP="003D44AA">
                <w:pPr>
                  <w:tabs>
                    <w:tab w:val="right" w:pos="8838"/>
                  </w:tabs>
                  <w:ind w:left="1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shd w:val="clear" w:color="auto" w:fill="auto"/>
              </w:tcPr>
              <w:p w:rsidR="00306E6B" w:rsidRDefault="00892A78" w:rsidP="003D44AA">
                <w:pPr>
                  <w:tabs>
                    <w:tab w:val="right" w:pos="8838"/>
                  </w:tabs>
                  <w:ind w:left="-115"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306E6B" w:rsidRDefault="00306E6B" w:rsidP="003D44AA">
                <w:pPr>
                  <w:tabs>
                    <w:tab w:val="right" w:pos="8838"/>
                  </w:tabs>
                  <w:ind w:left="-115" w:right="-1552"/>
                  <w:rPr>
                    <w:rFonts w:ascii="Palatino Linotype" w:eastAsia="Palatino Linotype" w:hAnsi="Palatino Linotype" w:cs="Palatino Linotype"/>
                    <w:sz w:val="22"/>
                    <w:szCs w:val="22"/>
                  </w:rPr>
                </w:pPr>
              </w:p>
            </w:tc>
          </w:tr>
        </w:tbl>
        <w:p w:rsidR="00306E6B" w:rsidRDefault="00306E6B">
          <w:pPr>
            <w:tabs>
              <w:tab w:val="right" w:pos="8838"/>
            </w:tabs>
            <w:ind w:left="-28"/>
            <w:jc w:val="both"/>
            <w:rPr>
              <w:rFonts w:ascii="Arial" w:eastAsia="Arial" w:hAnsi="Arial" w:cs="Arial"/>
              <w:b/>
              <w:sz w:val="22"/>
              <w:szCs w:val="22"/>
            </w:rPr>
          </w:pPr>
        </w:p>
      </w:tc>
    </w:tr>
  </w:tbl>
  <w:p w:rsidR="00306E6B" w:rsidRDefault="00EE0D70">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85067"/>
    <w:multiLevelType w:val="multilevel"/>
    <w:tmpl w:val="AA980776"/>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CC2B3C"/>
    <w:multiLevelType w:val="multilevel"/>
    <w:tmpl w:val="D416EB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D31F28"/>
    <w:multiLevelType w:val="multilevel"/>
    <w:tmpl w:val="108E958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C11814"/>
    <w:multiLevelType w:val="multilevel"/>
    <w:tmpl w:val="E00EFB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2742A6"/>
    <w:multiLevelType w:val="multilevel"/>
    <w:tmpl w:val="38D223F2"/>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6B"/>
    <w:rsid w:val="00071102"/>
    <w:rsid w:val="000A409D"/>
    <w:rsid w:val="00306E6B"/>
    <w:rsid w:val="003D44AA"/>
    <w:rsid w:val="0072735D"/>
    <w:rsid w:val="00892A78"/>
    <w:rsid w:val="008B2584"/>
    <w:rsid w:val="00DA4C52"/>
    <w:rsid w:val="00E95A8A"/>
    <w:rsid w:val="00EE0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E91C32D-BEED-487D-9C26-B70DFF0D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 w:type="table" w:customStyle="1" w:styleId="a9">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63166.page" TargetMode="External"/><Relationship Id="rId13" Type="http://schemas.openxmlformats.org/officeDocument/2006/relationships/hyperlink" Target="https://saimex.org.mx/saimex/solicitud/downloadAttach/2077838.pag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2077836.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77836.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2077835.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2077834.page" TargetMode="External"/><Relationship Id="rId14" Type="http://schemas.openxmlformats.org/officeDocument/2006/relationships/hyperlink" Target="https://saimex.org.mx/saimex/solicitud/downloadAttach/2077837.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qM3EDy1Hz28dn1Pj5NciH6fOkw==">CgMxLjAyCWguM3pueXNoNzIJaC4zZHk2dmttMghoLmdqZGd4czIJaC4zMGowemxsMgloLjF0M2g1c2YyCWguMmV0OTJwMDIJaC4xZm9iOXRlOAByITF0U3l4VTBETjQ1RW1VaWk5eTVlTXhIUDhsX01uZE1hRA==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8631</Words>
  <Characters>47476</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Cuenta Microsoft</cp:lastModifiedBy>
  <cp:revision>6</cp:revision>
  <cp:lastPrinted>2025-02-27T17:04:00Z</cp:lastPrinted>
  <dcterms:created xsi:type="dcterms:W3CDTF">2025-02-24T17:31:00Z</dcterms:created>
  <dcterms:modified xsi:type="dcterms:W3CDTF">2025-04-04T19:38:00Z</dcterms:modified>
</cp:coreProperties>
</file>