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2AB4E" w14:textId="77777777" w:rsidR="00113E04" w:rsidRDefault="00113E04" w:rsidP="00C46274">
      <w:pPr>
        <w:widowControl w:val="0"/>
        <w:pBdr>
          <w:top w:val="nil"/>
          <w:left w:val="nil"/>
          <w:bottom w:val="nil"/>
          <w:right w:val="nil"/>
          <w:between w:val="nil"/>
        </w:pBdr>
        <w:spacing w:after="0" w:line="360" w:lineRule="auto"/>
        <w:jc w:val="left"/>
      </w:pPr>
    </w:p>
    <w:p w14:paraId="78129FCE" w14:textId="77777777" w:rsidR="00113E04" w:rsidRDefault="00113E04" w:rsidP="00C46274">
      <w:pPr>
        <w:widowControl w:val="0"/>
        <w:pBdr>
          <w:top w:val="nil"/>
          <w:left w:val="nil"/>
          <w:bottom w:val="nil"/>
          <w:right w:val="nil"/>
          <w:between w:val="nil"/>
        </w:pBdr>
        <w:spacing w:after="0" w:line="360" w:lineRule="auto"/>
        <w:jc w:val="left"/>
      </w:pPr>
    </w:p>
    <w:p w14:paraId="7D89A52F" w14:textId="77777777" w:rsidR="00113E04" w:rsidRDefault="00113E04" w:rsidP="00C46274">
      <w:pPr>
        <w:spacing w:after="0" w:line="360" w:lineRule="auto"/>
      </w:pPr>
    </w:p>
    <w:p w14:paraId="2492E5F3" w14:textId="77777777" w:rsidR="00113E04" w:rsidRDefault="00AB421C" w:rsidP="00C46274">
      <w:pPr>
        <w:keepNext/>
        <w:keepLines/>
        <w:pBdr>
          <w:top w:val="nil"/>
          <w:left w:val="nil"/>
          <w:bottom w:val="nil"/>
          <w:right w:val="nil"/>
          <w:between w:val="nil"/>
        </w:pBdr>
        <w:spacing w:after="0" w:line="360" w:lineRule="auto"/>
        <w:jc w:val="center"/>
        <w:rPr>
          <w:color w:val="000000"/>
        </w:rPr>
      </w:pPr>
      <w:r>
        <w:rPr>
          <w:color w:val="000000"/>
        </w:rPr>
        <w:t>RESOLUCIÓN DEL RECURSO DE REVISIÓN 07316/INFOEM/IP/RR/2025 Y ACUMULADO</w:t>
      </w:r>
    </w:p>
    <w:p w14:paraId="328C6814" w14:textId="77777777" w:rsidR="00113E04" w:rsidRDefault="00113E04" w:rsidP="00C46274">
      <w:pPr>
        <w:spacing w:after="0" w:line="360" w:lineRule="auto"/>
      </w:pPr>
    </w:p>
    <w:sdt>
      <w:sdtPr>
        <w:rPr>
          <w:rFonts w:ascii="Palatino Linotype" w:eastAsia="Palatino Linotype" w:hAnsi="Palatino Linotype" w:cs="Palatino Linotype"/>
          <w:color w:val="auto"/>
          <w:sz w:val="22"/>
          <w:szCs w:val="22"/>
          <w:lang w:val="es-ES"/>
        </w:rPr>
        <w:id w:val="-1187137330"/>
        <w:docPartObj>
          <w:docPartGallery w:val="Table of Contents"/>
          <w:docPartUnique/>
        </w:docPartObj>
      </w:sdtPr>
      <w:sdtEndPr>
        <w:rPr>
          <w:b/>
          <w:bCs/>
        </w:rPr>
      </w:sdtEndPr>
      <w:sdtContent>
        <w:p w14:paraId="3C6BE8E4" w14:textId="3DC3D04C" w:rsidR="002C3618" w:rsidRDefault="002C3618">
          <w:pPr>
            <w:pStyle w:val="TtulodeTDC"/>
          </w:pPr>
        </w:p>
        <w:p w14:paraId="497B9309" w14:textId="1F5F4773" w:rsidR="002C3618" w:rsidRDefault="002C3618">
          <w:pPr>
            <w:pStyle w:val="TDC1"/>
            <w:tabs>
              <w:tab w:val="right" w:leader="dot" w:pos="8921"/>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6688019" w:history="1">
            <w:r w:rsidRPr="00C33FC4">
              <w:rPr>
                <w:rStyle w:val="Hipervnculo"/>
                <w:noProof/>
              </w:rPr>
              <w:t>A N T E C E D E N T E S</w:t>
            </w:r>
            <w:r>
              <w:rPr>
                <w:noProof/>
                <w:webHidden/>
              </w:rPr>
              <w:tab/>
            </w:r>
            <w:r>
              <w:rPr>
                <w:noProof/>
                <w:webHidden/>
              </w:rPr>
              <w:fldChar w:fldCharType="begin"/>
            </w:r>
            <w:r>
              <w:rPr>
                <w:noProof/>
                <w:webHidden/>
              </w:rPr>
              <w:instrText xml:space="preserve"> PAGEREF _Toc206688019 \h </w:instrText>
            </w:r>
            <w:r>
              <w:rPr>
                <w:noProof/>
                <w:webHidden/>
              </w:rPr>
            </w:r>
            <w:r>
              <w:rPr>
                <w:noProof/>
                <w:webHidden/>
              </w:rPr>
              <w:fldChar w:fldCharType="separate"/>
            </w:r>
            <w:r w:rsidR="00AC3E43">
              <w:rPr>
                <w:noProof/>
                <w:webHidden/>
              </w:rPr>
              <w:t>2</w:t>
            </w:r>
            <w:r>
              <w:rPr>
                <w:noProof/>
                <w:webHidden/>
              </w:rPr>
              <w:fldChar w:fldCharType="end"/>
            </w:r>
          </w:hyperlink>
        </w:p>
        <w:p w14:paraId="24C4A5A6" w14:textId="5B02E641"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0" w:history="1">
            <w:r w:rsidR="002C3618" w:rsidRPr="00C33FC4">
              <w:rPr>
                <w:rStyle w:val="Hipervnculo"/>
                <w:noProof/>
              </w:rPr>
              <w:t>I. Presentación de la solicitud de información</w:t>
            </w:r>
            <w:r w:rsidR="002C3618">
              <w:rPr>
                <w:noProof/>
                <w:webHidden/>
              </w:rPr>
              <w:tab/>
            </w:r>
            <w:r w:rsidR="002C3618">
              <w:rPr>
                <w:noProof/>
                <w:webHidden/>
              </w:rPr>
              <w:fldChar w:fldCharType="begin"/>
            </w:r>
            <w:r w:rsidR="002C3618">
              <w:rPr>
                <w:noProof/>
                <w:webHidden/>
              </w:rPr>
              <w:instrText xml:space="preserve"> PAGEREF _Toc206688020 \h </w:instrText>
            </w:r>
            <w:r w:rsidR="002C3618">
              <w:rPr>
                <w:noProof/>
                <w:webHidden/>
              </w:rPr>
            </w:r>
            <w:r w:rsidR="002C3618">
              <w:rPr>
                <w:noProof/>
                <w:webHidden/>
              </w:rPr>
              <w:fldChar w:fldCharType="separate"/>
            </w:r>
            <w:r w:rsidR="00AC3E43">
              <w:rPr>
                <w:noProof/>
                <w:webHidden/>
              </w:rPr>
              <w:t>2</w:t>
            </w:r>
            <w:r w:rsidR="002C3618">
              <w:rPr>
                <w:noProof/>
                <w:webHidden/>
              </w:rPr>
              <w:fldChar w:fldCharType="end"/>
            </w:r>
          </w:hyperlink>
        </w:p>
        <w:p w14:paraId="2713A1EE" w14:textId="02E82140"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1" w:history="1">
            <w:r w:rsidR="002C3618" w:rsidRPr="00C33FC4">
              <w:rPr>
                <w:rStyle w:val="Hipervnculo"/>
                <w:noProof/>
              </w:rPr>
              <w:t>II. Respuesta del Sujeto Obligado.</w:t>
            </w:r>
            <w:r w:rsidR="002C3618">
              <w:rPr>
                <w:noProof/>
                <w:webHidden/>
              </w:rPr>
              <w:tab/>
            </w:r>
            <w:r w:rsidR="002C3618">
              <w:rPr>
                <w:noProof/>
                <w:webHidden/>
              </w:rPr>
              <w:fldChar w:fldCharType="begin"/>
            </w:r>
            <w:r w:rsidR="002C3618">
              <w:rPr>
                <w:noProof/>
                <w:webHidden/>
              </w:rPr>
              <w:instrText xml:space="preserve"> PAGEREF _Toc206688021 \h </w:instrText>
            </w:r>
            <w:r w:rsidR="002C3618">
              <w:rPr>
                <w:noProof/>
                <w:webHidden/>
              </w:rPr>
            </w:r>
            <w:r w:rsidR="002C3618">
              <w:rPr>
                <w:noProof/>
                <w:webHidden/>
              </w:rPr>
              <w:fldChar w:fldCharType="separate"/>
            </w:r>
            <w:r w:rsidR="00AC3E43">
              <w:rPr>
                <w:noProof/>
                <w:webHidden/>
              </w:rPr>
              <w:t>3</w:t>
            </w:r>
            <w:r w:rsidR="002C3618">
              <w:rPr>
                <w:noProof/>
                <w:webHidden/>
              </w:rPr>
              <w:fldChar w:fldCharType="end"/>
            </w:r>
          </w:hyperlink>
        </w:p>
        <w:p w14:paraId="3737EC05" w14:textId="0B6EBEA2"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2" w:history="1">
            <w:r w:rsidR="002C3618" w:rsidRPr="00C33FC4">
              <w:rPr>
                <w:rStyle w:val="Hipervnculo"/>
                <w:noProof/>
              </w:rPr>
              <w:t>V. Trámite del Recurso de Revisión ante este Instituto</w:t>
            </w:r>
            <w:r w:rsidR="002C3618">
              <w:rPr>
                <w:noProof/>
                <w:webHidden/>
              </w:rPr>
              <w:tab/>
            </w:r>
            <w:r w:rsidR="002C3618">
              <w:rPr>
                <w:noProof/>
                <w:webHidden/>
              </w:rPr>
              <w:fldChar w:fldCharType="begin"/>
            </w:r>
            <w:r w:rsidR="002C3618">
              <w:rPr>
                <w:noProof/>
                <w:webHidden/>
              </w:rPr>
              <w:instrText xml:space="preserve"> PAGEREF _Toc206688022 \h </w:instrText>
            </w:r>
            <w:r w:rsidR="002C3618">
              <w:rPr>
                <w:noProof/>
                <w:webHidden/>
              </w:rPr>
            </w:r>
            <w:r w:rsidR="002C3618">
              <w:rPr>
                <w:noProof/>
                <w:webHidden/>
              </w:rPr>
              <w:fldChar w:fldCharType="separate"/>
            </w:r>
            <w:r w:rsidR="00AC3E43">
              <w:rPr>
                <w:noProof/>
                <w:webHidden/>
              </w:rPr>
              <w:t>6</w:t>
            </w:r>
            <w:r w:rsidR="002C3618">
              <w:rPr>
                <w:noProof/>
                <w:webHidden/>
              </w:rPr>
              <w:fldChar w:fldCharType="end"/>
            </w:r>
          </w:hyperlink>
        </w:p>
        <w:p w14:paraId="77665D5F" w14:textId="72CC28F6" w:rsidR="002C3618" w:rsidRDefault="005F3985">
          <w:pPr>
            <w:pStyle w:val="TDC3"/>
            <w:tabs>
              <w:tab w:val="right" w:leader="dot" w:pos="8921"/>
            </w:tabs>
            <w:rPr>
              <w:noProof/>
            </w:rPr>
          </w:pPr>
          <w:hyperlink w:anchor="_Toc206688023" w:history="1">
            <w:r w:rsidR="002C3618" w:rsidRPr="00C33FC4">
              <w:rPr>
                <w:rStyle w:val="Hipervnculo"/>
                <w:noProof/>
              </w:rPr>
              <w:t>c) Acumulación de los medios de impugnación.</w:t>
            </w:r>
            <w:r w:rsidR="002C3618">
              <w:rPr>
                <w:noProof/>
                <w:webHidden/>
              </w:rPr>
              <w:tab/>
            </w:r>
            <w:r w:rsidR="002C3618">
              <w:rPr>
                <w:noProof/>
                <w:webHidden/>
              </w:rPr>
              <w:fldChar w:fldCharType="begin"/>
            </w:r>
            <w:r w:rsidR="002C3618">
              <w:rPr>
                <w:noProof/>
                <w:webHidden/>
              </w:rPr>
              <w:instrText xml:space="preserve"> PAGEREF _Toc206688023 \h </w:instrText>
            </w:r>
            <w:r w:rsidR="002C3618">
              <w:rPr>
                <w:noProof/>
                <w:webHidden/>
              </w:rPr>
            </w:r>
            <w:r w:rsidR="002C3618">
              <w:rPr>
                <w:noProof/>
                <w:webHidden/>
              </w:rPr>
              <w:fldChar w:fldCharType="separate"/>
            </w:r>
            <w:r w:rsidR="00AC3E43">
              <w:rPr>
                <w:noProof/>
                <w:webHidden/>
              </w:rPr>
              <w:t>6</w:t>
            </w:r>
            <w:r w:rsidR="002C3618">
              <w:rPr>
                <w:noProof/>
                <w:webHidden/>
              </w:rPr>
              <w:fldChar w:fldCharType="end"/>
            </w:r>
          </w:hyperlink>
        </w:p>
        <w:p w14:paraId="2D18F262" w14:textId="14C4FC1A" w:rsidR="002C3618" w:rsidRDefault="005F3985">
          <w:pPr>
            <w:pStyle w:val="TDC1"/>
            <w:tabs>
              <w:tab w:val="right" w:leader="dot" w:pos="8921"/>
            </w:tabs>
            <w:rPr>
              <w:rFonts w:asciiTheme="minorHAnsi" w:eastAsiaTheme="minorEastAsia" w:hAnsiTheme="minorHAnsi" w:cstheme="minorBidi"/>
              <w:noProof/>
              <w:kern w:val="2"/>
              <w14:ligatures w14:val="standardContextual"/>
            </w:rPr>
          </w:pPr>
          <w:hyperlink w:anchor="_Toc206688024" w:history="1">
            <w:r w:rsidR="002C3618" w:rsidRPr="00C33FC4">
              <w:rPr>
                <w:rStyle w:val="Hipervnculo"/>
                <w:noProof/>
              </w:rPr>
              <w:t>C O N S I D E R A N D O S</w:t>
            </w:r>
            <w:r w:rsidR="002C3618">
              <w:rPr>
                <w:noProof/>
                <w:webHidden/>
              </w:rPr>
              <w:tab/>
            </w:r>
            <w:r w:rsidR="002C3618">
              <w:rPr>
                <w:noProof/>
                <w:webHidden/>
              </w:rPr>
              <w:fldChar w:fldCharType="begin"/>
            </w:r>
            <w:r w:rsidR="002C3618">
              <w:rPr>
                <w:noProof/>
                <w:webHidden/>
              </w:rPr>
              <w:instrText xml:space="preserve"> PAGEREF _Toc206688024 \h </w:instrText>
            </w:r>
            <w:r w:rsidR="002C3618">
              <w:rPr>
                <w:noProof/>
                <w:webHidden/>
              </w:rPr>
            </w:r>
            <w:r w:rsidR="002C3618">
              <w:rPr>
                <w:noProof/>
                <w:webHidden/>
              </w:rPr>
              <w:fldChar w:fldCharType="separate"/>
            </w:r>
            <w:r w:rsidR="00AC3E43">
              <w:rPr>
                <w:noProof/>
                <w:webHidden/>
              </w:rPr>
              <w:t>8</w:t>
            </w:r>
            <w:r w:rsidR="002C3618">
              <w:rPr>
                <w:noProof/>
                <w:webHidden/>
              </w:rPr>
              <w:fldChar w:fldCharType="end"/>
            </w:r>
          </w:hyperlink>
        </w:p>
        <w:p w14:paraId="31177098" w14:textId="2996CB39"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5" w:history="1">
            <w:r w:rsidR="002C3618" w:rsidRPr="00C33FC4">
              <w:rPr>
                <w:rStyle w:val="Hipervnculo"/>
                <w:noProof/>
              </w:rPr>
              <w:t>PRIMERO. Competencia</w:t>
            </w:r>
            <w:r w:rsidR="002C3618">
              <w:rPr>
                <w:noProof/>
                <w:webHidden/>
              </w:rPr>
              <w:tab/>
            </w:r>
            <w:r w:rsidR="002C3618">
              <w:rPr>
                <w:noProof/>
                <w:webHidden/>
              </w:rPr>
              <w:fldChar w:fldCharType="begin"/>
            </w:r>
            <w:r w:rsidR="002C3618">
              <w:rPr>
                <w:noProof/>
                <w:webHidden/>
              </w:rPr>
              <w:instrText xml:space="preserve"> PAGEREF _Toc206688025 \h </w:instrText>
            </w:r>
            <w:r w:rsidR="002C3618">
              <w:rPr>
                <w:noProof/>
                <w:webHidden/>
              </w:rPr>
            </w:r>
            <w:r w:rsidR="002C3618">
              <w:rPr>
                <w:noProof/>
                <w:webHidden/>
              </w:rPr>
              <w:fldChar w:fldCharType="separate"/>
            </w:r>
            <w:r w:rsidR="00AC3E43">
              <w:rPr>
                <w:noProof/>
                <w:webHidden/>
              </w:rPr>
              <w:t>8</w:t>
            </w:r>
            <w:r w:rsidR="002C3618">
              <w:rPr>
                <w:noProof/>
                <w:webHidden/>
              </w:rPr>
              <w:fldChar w:fldCharType="end"/>
            </w:r>
          </w:hyperlink>
        </w:p>
        <w:p w14:paraId="6B474CA2" w14:textId="0E70EA21"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6" w:history="1">
            <w:r w:rsidR="002C3618" w:rsidRPr="00C33FC4">
              <w:rPr>
                <w:rStyle w:val="Hipervnculo"/>
                <w:noProof/>
              </w:rPr>
              <w:t>SEGUNDO. Causales de improcedencia y sobreseimiento</w:t>
            </w:r>
            <w:r w:rsidR="002C3618">
              <w:rPr>
                <w:noProof/>
                <w:webHidden/>
              </w:rPr>
              <w:tab/>
            </w:r>
            <w:r w:rsidR="002C3618">
              <w:rPr>
                <w:noProof/>
                <w:webHidden/>
              </w:rPr>
              <w:fldChar w:fldCharType="begin"/>
            </w:r>
            <w:r w:rsidR="002C3618">
              <w:rPr>
                <w:noProof/>
                <w:webHidden/>
              </w:rPr>
              <w:instrText xml:space="preserve"> PAGEREF _Toc206688026 \h </w:instrText>
            </w:r>
            <w:r w:rsidR="002C3618">
              <w:rPr>
                <w:noProof/>
                <w:webHidden/>
              </w:rPr>
            </w:r>
            <w:r w:rsidR="002C3618">
              <w:rPr>
                <w:noProof/>
                <w:webHidden/>
              </w:rPr>
              <w:fldChar w:fldCharType="separate"/>
            </w:r>
            <w:r w:rsidR="00AC3E43">
              <w:rPr>
                <w:noProof/>
                <w:webHidden/>
              </w:rPr>
              <w:t>9</w:t>
            </w:r>
            <w:r w:rsidR="002C3618">
              <w:rPr>
                <w:noProof/>
                <w:webHidden/>
              </w:rPr>
              <w:fldChar w:fldCharType="end"/>
            </w:r>
          </w:hyperlink>
        </w:p>
        <w:p w14:paraId="2953E5C1" w14:textId="5B1E52FE"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7" w:history="1">
            <w:r w:rsidR="002C3618" w:rsidRPr="00C33FC4">
              <w:rPr>
                <w:rStyle w:val="Hipervnculo"/>
                <w:noProof/>
              </w:rPr>
              <w:t>TERCERO. Determinación de la Controversia</w:t>
            </w:r>
            <w:r w:rsidR="002C3618">
              <w:rPr>
                <w:noProof/>
                <w:webHidden/>
              </w:rPr>
              <w:tab/>
            </w:r>
            <w:r w:rsidR="002C3618">
              <w:rPr>
                <w:noProof/>
                <w:webHidden/>
              </w:rPr>
              <w:fldChar w:fldCharType="begin"/>
            </w:r>
            <w:r w:rsidR="002C3618">
              <w:rPr>
                <w:noProof/>
                <w:webHidden/>
              </w:rPr>
              <w:instrText xml:space="preserve"> PAGEREF _Toc206688027 \h </w:instrText>
            </w:r>
            <w:r w:rsidR="002C3618">
              <w:rPr>
                <w:noProof/>
                <w:webHidden/>
              </w:rPr>
            </w:r>
            <w:r w:rsidR="002C3618">
              <w:rPr>
                <w:noProof/>
                <w:webHidden/>
              </w:rPr>
              <w:fldChar w:fldCharType="separate"/>
            </w:r>
            <w:r w:rsidR="00AC3E43">
              <w:rPr>
                <w:noProof/>
                <w:webHidden/>
              </w:rPr>
              <w:t>24</w:t>
            </w:r>
            <w:r w:rsidR="002C3618">
              <w:rPr>
                <w:noProof/>
                <w:webHidden/>
              </w:rPr>
              <w:fldChar w:fldCharType="end"/>
            </w:r>
          </w:hyperlink>
        </w:p>
        <w:p w14:paraId="12A1DD2E" w14:textId="28735963"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8" w:history="1">
            <w:r w:rsidR="002C3618" w:rsidRPr="00C33FC4">
              <w:rPr>
                <w:rStyle w:val="Hipervnculo"/>
                <w:noProof/>
              </w:rPr>
              <w:t>CUARTO. Marco normativo aplicable en materia de transparencia y acceso a la información pública</w:t>
            </w:r>
            <w:r w:rsidR="002C3618">
              <w:rPr>
                <w:noProof/>
                <w:webHidden/>
              </w:rPr>
              <w:tab/>
            </w:r>
            <w:r w:rsidR="002C3618">
              <w:rPr>
                <w:noProof/>
                <w:webHidden/>
              </w:rPr>
              <w:fldChar w:fldCharType="begin"/>
            </w:r>
            <w:r w:rsidR="002C3618">
              <w:rPr>
                <w:noProof/>
                <w:webHidden/>
              </w:rPr>
              <w:instrText xml:space="preserve"> PAGEREF _Toc206688028 \h </w:instrText>
            </w:r>
            <w:r w:rsidR="002C3618">
              <w:rPr>
                <w:noProof/>
                <w:webHidden/>
              </w:rPr>
            </w:r>
            <w:r w:rsidR="002C3618">
              <w:rPr>
                <w:noProof/>
                <w:webHidden/>
              </w:rPr>
              <w:fldChar w:fldCharType="separate"/>
            </w:r>
            <w:r w:rsidR="00AC3E43">
              <w:rPr>
                <w:noProof/>
                <w:webHidden/>
              </w:rPr>
              <w:t>27</w:t>
            </w:r>
            <w:r w:rsidR="002C3618">
              <w:rPr>
                <w:noProof/>
                <w:webHidden/>
              </w:rPr>
              <w:fldChar w:fldCharType="end"/>
            </w:r>
          </w:hyperlink>
        </w:p>
        <w:p w14:paraId="66AEECCC" w14:textId="60B6D8CF"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29" w:history="1">
            <w:r w:rsidR="002C3618" w:rsidRPr="00C33FC4">
              <w:rPr>
                <w:rStyle w:val="Hipervnculo"/>
                <w:noProof/>
              </w:rPr>
              <w:t>QUINTO. Estudio de Fondo</w:t>
            </w:r>
            <w:r w:rsidR="002C3618">
              <w:rPr>
                <w:noProof/>
                <w:webHidden/>
              </w:rPr>
              <w:tab/>
            </w:r>
            <w:r w:rsidR="002C3618">
              <w:rPr>
                <w:noProof/>
                <w:webHidden/>
              </w:rPr>
              <w:fldChar w:fldCharType="begin"/>
            </w:r>
            <w:r w:rsidR="002C3618">
              <w:rPr>
                <w:noProof/>
                <w:webHidden/>
              </w:rPr>
              <w:instrText xml:space="preserve"> PAGEREF _Toc206688029 \h </w:instrText>
            </w:r>
            <w:r w:rsidR="002C3618">
              <w:rPr>
                <w:noProof/>
                <w:webHidden/>
              </w:rPr>
            </w:r>
            <w:r w:rsidR="002C3618">
              <w:rPr>
                <w:noProof/>
                <w:webHidden/>
              </w:rPr>
              <w:fldChar w:fldCharType="separate"/>
            </w:r>
            <w:r w:rsidR="00AC3E43">
              <w:rPr>
                <w:noProof/>
                <w:webHidden/>
              </w:rPr>
              <w:t>28</w:t>
            </w:r>
            <w:r w:rsidR="002C3618">
              <w:rPr>
                <w:noProof/>
                <w:webHidden/>
              </w:rPr>
              <w:fldChar w:fldCharType="end"/>
            </w:r>
          </w:hyperlink>
        </w:p>
        <w:p w14:paraId="5FBF4C10" w14:textId="170AF3AA" w:rsidR="002C3618" w:rsidRDefault="005F3985">
          <w:pPr>
            <w:pStyle w:val="TDC2"/>
            <w:tabs>
              <w:tab w:val="right" w:leader="dot" w:pos="8921"/>
            </w:tabs>
            <w:rPr>
              <w:rFonts w:asciiTheme="minorHAnsi" w:eastAsiaTheme="minorEastAsia" w:hAnsiTheme="minorHAnsi" w:cstheme="minorBidi"/>
              <w:noProof/>
              <w:kern w:val="2"/>
              <w14:ligatures w14:val="standardContextual"/>
            </w:rPr>
          </w:pPr>
          <w:hyperlink w:anchor="_Toc206688030" w:history="1">
            <w:r w:rsidR="002C3618" w:rsidRPr="00C33FC4">
              <w:rPr>
                <w:rStyle w:val="Hipervnculo"/>
                <w:noProof/>
              </w:rPr>
              <w:t>SEXTO. Decisión</w:t>
            </w:r>
            <w:r w:rsidR="002C3618">
              <w:rPr>
                <w:noProof/>
                <w:webHidden/>
              </w:rPr>
              <w:tab/>
            </w:r>
            <w:r w:rsidR="002C3618">
              <w:rPr>
                <w:noProof/>
                <w:webHidden/>
              </w:rPr>
              <w:fldChar w:fldCharType="begin"/>
            </w:r>
            <w:r w:rsidR="002C3618">
              <w:rPr>
                <w:noProof/>
                <w:webHidden/>
              </w:rPr>
              <w:instrText xml:space="preserve"> PAGEREF _Toc206688030 \h </w:instrText>
            </w:r>
            <w:r w:rsidR="002C3618">
              <w:rPr>
                <w:noProof/>
                <w:webHidden/>
              </w:rPr>
            </w:r>
            <w:r w:rsidR="002C3618">
              <w:rPr>
                <w:noProof/>
                <w:webHidden/>
              </w:rPr>
              <w:fldChar w:fldCharType="separate"/>
            </w:r>
            <w:r w:rsidR="00AC3E43">
              <w:rPr>
                <w:noProof/>
                <w:webHidden/>
              </w:rPr>
              <w:t>29</w:t>
            </w:r>
            <w:r w:rsidR="002C3618">
              <w:rPr>
                <w:noProof/>
                <w:webHidden/>
              </w:rPr>
              <w:fldChar w:fldCharType="end"/>
            </w:r>
          </w:hyperlink>
        </w:p>
        <w:p w14:paraId="48D5E89D" w14:textId="1C45F79C" w:rsidR="002C3618" w:rsidRDefault="005F3985">
          <w:pPr>
            <w:pStyle w:val="TDC1"/>
            <w:tabs>
              <w:tab w:val="right" w:leader="dot" w:pos="8921"/>
            </w:tabs>
            <w:rPr>
              <w:rFonts w:asciiTheme="minorHAnsi" w:eastAsiaTheme="minorEastAsia" w:hAnsiTheme="minorHAnsi" w:cstheme="minorBidi"/>
              <w:noProof/>
              <w:kern w:val="2"/>
              <w14:ligatures w14:val="standardContextual"/>
            </w:rPr>
          </w:pPr>
          <w:hyperlink w:anchor="_Toc206688031" w:history="1">
            <w:r w:rsidR="002C3618" w:rsidRPr="00C33FC4">
              <w:rPr>
                <w:rStyle w:val="Hipervnculo"/>
                <w:noProof/>
              </w:rPr>
              <w:t>R E S U E L V E</w:t>
            </w:r>
            <w:r w:rsidR="002C3618">
              <w:rPr>
                <w:noProof/>
                <w:webHidden/>
              </w:rPr>
              <w:tab/>
            </w:r>
            <w:r w:rsidR="002C3618">
              <w:rPr>
                <w:noProof/>
                <w:webHidden/>
              </w:rPr>
              <w:fldChar w:fldCharType="begin"/>
            </w:r>
            <w:r w:rsidR="002C3618">
              <w:rPr>
                <w:noProof/>
                <w:webHidden/>
              </w:rPr>
              <w:instrText xml:space="preserve"> PAGEREF _Toc206688031 \h </w:instrText>
            </w:r>
            <w:r w:rsidR="002C3618">
              <w:rPr>
                <w:noProof/>
                <w:webHidden/>
              </w:rPr>
            </w:r>
            <w:r w:rsidR="002C3618">
              <w:rPr>
                <w:noProof/>
                <w:webHidden/>
              </w:rPr>
              <w:fldChar w:fldCharType="separate"/>
            </w:r>
            <w:r w:rsidR="00AC3E43">
              <w:rPr>
                <w:noProof/>
                <w:webHidden/>
              </w:rPr>
              <w:t>31</w:t>
            </w:r>
            <w:r w:rsidR="002C3618">
              <w:rPr>
                <w:noProof/>
                <w:webHidden/>
              </w:rPr>
              <w:fldChar w:fldCharType="end"/>
            </w:r>
          </w:hyperlink>
        </w:p>
        <w:p w14:paraId="12D24088" w14:textId="4A854B49" w:rsidR="002C3618" w:rsidRDefault="002C3618">
          <w:r>
            <w:rPr>
              <w:b/>
              <w:bCs/>
              <w:lang w:val="es-ES"/>
            </w:rPr>
            <w:fldChar w:fldCharType="end"/>
          </w:r>
        </w:p>
      </w:sdtContent>
    </w:sdt>
    <w:p w14:paraId="1C6F3A1D" w14:textId="77777777" w:rsidR="00113E04" w:rsidRDefault="00113E04" w:rsidP="00C46274">
      <w:pPr>
        <w:tabs>
          <w:tab w:val="left" w:pos="8931"/>
        </w:tabs>
        <w:spacing w:after="0" w:line="360" w:lineRule="auto"/>
      </w:pPr>
    </w:p>
    <w:p w14:paraId="72153696" w14:textId="19ACD4B6" w:rsidR="00113E04" w:rsidRDefault="002C3618" w:rsidP="00C46274">
      <w:pPr>
        <w:tabs>
          <w:tab w:val="left" w:pos="8931"/>
        </w:tabs>
        <w:spacing w:after="0" w:line="360" w:lineRule="auto"/>
      </w:pPr>
      <w:r>
        <w:br/>
      </w:r>
    </w:p>
    <w:p w14:paraId="54A1C438" w14:textId="77777777" w:rsidR="002C3618" w:rsidRDefault="002C3618" w:rsidP="00C46274">
      <w:pPr>
        <w:tabs>
          <w:tab w:val="left" w:pos="8931"/>
        </w:tabs>
        <w:spacing w:after="0" w:line="360" w:lineRule="auto"/>
      </w:pPr>
    </w:p>
    <w:p w14:paraId="35434BEC" w14:textId="77777777" w:rsidR="002C3618" w:rsidRDefault="002C3618" w:rsidP="00C46274">
      <w:pPr>
        <w:tabs>
          <w:tab w:val="left" w:pos="8931"/>
        </w:tabs>
        <w:spacing w:after="0" w:line="360" w:lineRule="auto"/>
      </w:pPr>
    </w:p>
    <w:p w14:paraId="14E9A669" w14:textId="77777777" w:rsidR="002C3618" w:rsidRDefault="002C3618" w:rsidP="00C46274">
      <w:pPr>
        <w:tabs>
          <w:tab w:val="left" w:pos="8931"/>
        </w:tabs>
        <w:spacing w:after="0" w:line="360" w:lineRule="auto"/>
      </w:pPr>
    </w:p>
    <w:p w14:paraId="310AE6D6" w14:textId="77777777" w:rsidR="002C3618" w:rsidRPr="00BE3B4D" w:rsidRDefault="002C3618" w:rsidP="002C3618">
      <w:pPr>
        <w:tabs>
          <w:tab w:val="left" w:pos="8931"/>
        </w:tabs>
        <w:spacing w:after="0" w:line="360" w:lineRule="auto"/>
      </w:pPr>
      <w:r w:rsidRPr="00BE3B4D">
        <w:lastRenderedPageBreak/>
        <w:t xml:space="preserve">Resolución del Pleno del Instituto de Transparencia, Acceso a la Información Pública y Protección de Datos Personales del Estado de México y Municipios, con domicilio en Metepec, Estado de México, de fecha veinte de agosto de dos mil veinticinco. </w:t>
      </w:r>
    </w:p>
    <w:p w14:paraId="35D7F3FE" w14:textId="77777777" w:rsidR="002C3618" w:rsidRDefault="002C3618" w:rsidP="00C46274">
      <w:pPr>
        <w:tabs>
          <w:tab w:val="left" w:pos="8931"/>
        </w:tabs>
        <w:spacing w:after="0" w:line="360" w:lineRule="auto"/>
      </w:pPr>
    </w:p>
    <w:p w14:paraId="33AC47F1" w14:textId="77777777" w:rsidR="00113E04" w:rsidRDefault="00AB421C" w:rsidP="00C46274">
      <w:pPr>
        <w:spacing w:after="0" w:line="360" w:lineRule="auto"/>
        <w:rPr>
          <w:color w:val="0D0D0D"/>
        </w:rPr>
      </w:pPr>
      <w:r>
        <w:rPr>
          <w:b/>
        </w:rPr>
        <w:t xml:space="preserve">VISTO </w:t>
      </w:r>
      <w:r>
        <w:t xml:space="preserve">el expediente electrónico conformado con motivo del Recurso de Revisión </w:t>
      </w:r>
      <w:r w:rsidRPr="00E4177C">
        <w:rPr>
          <w:b/>
        </w:rPr>
        <w:t>07316/INFOEM/IP/RR/2025 y 07563/INFOEM/IP/RR/2025</w:t>
      </w:r>
      <w:r>
        <w:t xml:space="preserve">, interpuesto en lo sucesivo la persona </w:t>
      </w:r>
      <w:r>
        <w:rPr>
          <w:color w:val="0D0D0D"/>
        </w:rPr>
        <w:t xml:space="preserve">Recurrente o Particular, en contra de las respuestas del Sujeto Obligado, </w:t>
      </w:r>
      <w:r w:rsidRPr="00E4177C">
        <w:rPr>
          <w:b/>
        </w:rPr>
        <w:t>Ayuntamiento de Zinacantepec</w:t>
      </w:r>
      <w:r>
        <w:t>,</w:t>
      </w:r>
      <w:r>
        <w:rPr>
          <w:color w:val="0D0D0D"/>
        </w:rPr>
        <w:t xml:space="preserve"> a las solicitudes de acceso a la información pública </w:t>
      </w:r>
      <w:r>
        <w:t>00396/ZINACANT/IP/2025 y 00407/ZINACANT/IP/2025</w:t>
      </w:r>
      <w:r>
        <w:rPr>
          <w:color w:val="000000"/>
        </w:rPr>
        <w:t xml:space="preserve">, </w:t>
      </w:r>
      <w:r>
        <w:rPr>
          <w:color w:val="0D0D0D"/>
        </w:rPr>
        <w:t>se emite la presente Resolución, con base en los Antecedentes y Considerandos que se exponen a continuación:</w:t>
      </w:r>
    </w:p>
    <w:p w14:paraId="7350A551" w14:textId="77777777" w:rsidR="00113E04" w:rsidRDefault="00113E04" w:rsidP="00C46274">
      <w:pPr>
        <w:spacing w:after="0" w:line="360" w:lineRule="auto"/>
        <w:rPr>
          <w:b/>
        </w:rPr>
      </w:pPr>
    </w:p>
    <w:p w14:paraId="77E2FA2D" w14:textId="77777777" w:rsidR="00113E04" w:rsidRDefault="00AB421C" w:rsidP="00C46274">
      <w:pPr>
        <w:pStyle w:val="Ttulo1"/>
        <w:spacing w:before="0" w:after="0" w:line="360" w:lineRule="auto"/>
        <w:jc w:val="center"/>
        <w:rPr>
          <w:sz w:val="22"/>
          <w:szCs w:val="22"/>
        </w:rPr>
      </w:pPr>
      <w:bookmarkStart w:id="0" w:name="_Toc206688019"/>
      <w:r>
        <w:rPr>
          <w:sz w:val="22"/>
          <w:szCs w:val="22"/>
        </w:rPr>
        <w:t>A N T E C E D E N T E S</w:t>
      </w:r>
      <w:bookmarkEnd w:id="0"/>
    </w:p>
    <w:p w14:paraId="59A483F6" w14:textId="77777777" w:rsidR="00113E04" w:rsidRDefault="00113E04" w:rsidP="00C46274">
      <w:pPr>
        <w:spacing w:after="0" w:line="360" w:lineRule="auto"/>
        <w:jc w:val="center"/>
        <w:rPr>
          <w:b/>
        </w:rPr>
      </w:pPr>
    </w:p>
    <w:p w14:paraId="176758B3" w14:textId="77777777" w:rsidR="00113E04" w:rsidRDefault="00AB421C" w:rsidP="00C46274">
      <w:pPr>
        <w:pStyle w:val="Ttulo2"/>
        <w:spacing w:before="0" w:after="0" w:line="360" w:lineRule="auto"/>
        <w:rPr>
          <w:sz w:val="22"/>
          <w:szCs w:val="22"/>
        </w:rPr>
      </w:pPr>
      <w:bookmarkStart w:id="1" w:name="_Toc206688020"/>
      <w:r>
        <w:rPr>
          <w:sz w:val="22"/>
          <w:szCs w:val="22"/>
        </w:rPr>
        <w:t>I. Presentación de la solicitud de información</w:t>
      </w:r>
      <w:bookmarkEnd w:id="1"/>
    </w:p>
    <w:p w14:paraId="72C286D1" w14:textId="77777777" w:rsidR="00113E04" w:rsidRDefault="00113E04" w:rsidP="00C46274">
      <w:pPr>
        <w:tabs>
          <w:tab w:val="left" w:pos="567"/>
        </w:tabs>
        <w:spacing w:after="0" w:line="360" w:lineRule="auto"/>
      </w:pPr>
    </w:p>
    <w:p w14:paraId="2BBAFE2E" w14:textId="77777777" w:rsidR="00113E04" w:rsidRDefault="00AB421C" w:rsidP="00C46274">
      <w:pPr>
        <w:spacing w:after="0" w:line="360" w:lineRule="auto"/>
      </w:pPr>
      <w:r>
        <w:t>El veintisiete y treinta de mayo de dos mil veinticinco, el Particular presentó una solicitud de acceso a la información pública, a través del Sistema de Acceso a la Información Mexiquense (SAIMEX), ante el Ayuntamiento de Zinacantepec</w:t>
      </w:r>
      <w:r>
        <w:rPr>
          <w:color w:val="000000"/>
        </w:rPr>
        <w:t>,</w:t>
      </w:r>
      <w:r>
        <w:t xml:space="preserve"> en los siguientes términos: </w:t>
      </w:r>
    </w:p>
    <w:p w14:paraId="3FB60719" w14:textId="77777777" w:rsidR="00113E04" w:rsidRDefault="00113E04" w:rsidP="00C46274">
      <w:pPr>
        <w:spacing w:after="0" w:line="360" w:lineRule="auto"/>
      </w:pPr>
    </w:p>
    <w:p w14:paraId="453B227F" w14:textId="77777777" w:rsidR="00113E04" w:rsidRDefault="00AB421C" w:rsidP="00C46274">
      <w:pPr>
        <w:spacing w:after="0" w:line="360" w:lineRule="auto"/>
        <w:ind w:left="567"/>
        <w:rPr>
          <w:b/>
        </w:rPr>
      </w:pPr>
      <w:r>
        <w:rPr>
          <w:b/>
        </w:rPr>
        <w:t>00396/ZINACANT/IP/2025</w:t>
      </w:r>
    </w:p>
    <w:p w14:paraId="08A748DE" w14:textId="77777777" w:rsidR="00113E04" w:rsidRDefault="00AB421C" w:rsidP="00C46274">
      <w:pPr>
        <w:tabs>
          <w:tab w:val="left" w:pos="4667"/>
        </w:tabs>
        <w:spacing w:after="0" w:line="360" w:lineRule="auto"/>
        <w:ind w:left="567" w:right="567"/>
        <w:rPr>
          <w:b/>
          <w:i/>
          <w:sz w:val="20"/>
          <w:szCs w:val="20"/>
        </w:rPr>
      </w:pPr>
      <w:r>
        <w:rPr>
          <w:b/>
          <w:i/>
          <w:sz w:val="20"/>
          <w:szCs w:val="20"/>
        </w:rPr>
        <w:t>“DESCRIPCIÓN CLARA Y PRECISA DE LA INFORMACIÓN SOLICITADA</w:t>
      </w:r>
    </w:p>
    <w:p w14:paraId="14A32140" w14:textId="77777777" w:rsidR="00113E04" w:rsidRDefault="00AB421C" w:rsidP="00C46274">
      <w:pPr>
        <w:tabs>
          <w:tab w:val="left" w:pos="4667"/>
        </w:tabs>
        <w:spacing w:after="0" w:line="360" w:lineRule="auto"/>
        <w:ind w:left="567" w:right="567"/>
        <w:rPr>
          <w:i/>
          <w:sz w:val="20"/>
          <w:szCs w:val="20"/>
        </w:rPr>
      </w:pPr>
      <w:proofErr w:type="gramStart"/>
      <w:r>
        <w:rPr>
          <w:i/>
          <w:sz w:val="20"/>
          <w:szCs w:val="20"/>
        </w:rPr>
        <w:t>solicito</w:t>
      </w:r>
      <w:proofErr w:type="gramEnd"/>
      <w:r>
        <w:rPr>
          <w:i/>
          <w:sz w:val="20"/>
          <w:szCs w:val="20"/>
        </w:rPr>
        <w:t xml:space="preserve"> recibo de </w:t>
      </w:r>
      <w:proofErr w:type="spellStart"/>
      <w:r>
        <w:rPr>
          <w:i/>
          <w:sz w:val="20"/>
          <w:szCs w:val="20"/>
        </w:rPr>
        <w:t>nomina</w:t>
      </w:r>
      <w:proofErr w:type="spellEnd"/>
      <w:r>
        <w:rPr>
          <w:i/>
          <w:sz w:val="20"/>
          <w:szCs w:val="20"/>
        </w:rPr>
        <w:t xml:space="preserve"> del personal de secretaria del ayuntamiento el recibo mas actual.” (Sic.)</w:t>
      </w:r>
    </w:p>
    <w:p w14:paraId="03982A6D" w14:textId="77777777" w:rsidR="00C46274" w:rsidRDefault="00C46274" w:rsidP="00C46274">
      <w:pPr>
        <w:tabs>
          <w:tab w:val="left" w:pos="4667"/>
        </w:tabs>
        <w:spacing w:after="0" w:line="360" w:lineRule="auto"/>
        <w:ind w:left="567" w:right="567"/>
        <w:rPr>
          <w:i/>
          <w:sz w:val="20"/>
          <w:szCs w:val="20"/>
        </w:rPr>
      </w:pPr>
    </w:p>
    <w:p w14:paraId="513F5B5B" w14:textId="77777777" w:rsidR="00113E04" w:rsidRDefault="00AB421C" w:rsidP="00C46274">
      <w:pPr>
        <w:tabs>
          <w:tab w:val="left" w:pos="4667"/>
        </w:tabs>
        <w:spacing w:after="0" w:line="360" w:lineRule="auto"/>
        <w:ind w:left="567" w:right="567"/>
        <w:rPr>
          <w:b/>
          <w:i/>
          <w:sz w:val="20"/>
          <w:szCs w:val="20"/>
        </w:rPr>
      </w:pPr>
      <w:r>
        <w:rPr>
          <w:b/>
          <w:i/>
          <w:sz w:val="20"/>
          <w:szCs w:val="20"/>
        </w:rPr>
        <w:t>“MODALIDAD DE ENTREGA</w:t>
      </w:r>
    </w:p>
    <w:p w14:paraId="06A09A5D" w14:textId="77777777" w:rsidR="00113E04" w:rsidRDefault="00AB421C" w:rsidP="00C46274">
      <w:pPr>
        <w:spacing w:after="0" w:line="360" w:lineRule="auto"/>
        <w:ind w:left="567" w:right="567"/>
        <w:rPr>
          <w:i/>
          <w:sz w:val="20"/>
          <w:szCs w:val="20"/>
        </w:rPr>
      </w:pPr>
      <w:r>
        <w:rPr>
          <w:i/>
          <w:sz w:val="20"/>
          <w:szCs w:val="20"/>
        </w:rPr>
        <w:t>A través del SAIMEX”</w:t>
      </w:r>
    </w:p>
    <w:p w14:paraId="5A4E8F44" w14:textId="77777777" w:rsidR="00113E04" w:rsidRDefault="00113E04" w:rsidP="00C46274">
      <w:pPr>
        <w:spacing w:after="0" w:line="360" w:lineRule="auto"/>
        <w:ind w:left="567" w:right="567"/>
        <w:rPr>
          <w:i/>
          <w:sz w:val="20"/>
          <w:szCs w:val="20"/>
        </w:rPr>
      </w:pPr>
    </w:p>
    <w:p w14:paraId="12DB075C" w14:textId="77777777" w:rsidR="00113E04" w:rsidRDefault="00AB421C" w:rsidP="00C46274">
      <w:pPr>
        <w:spacing w:after="0" w:line="360" w:lineRule="auto"/>
        <w:ind w:left="567"/>
        <w:rPr>
          <w:b/>
        </w:rPr>
      </w:pPr>
      <w:r>
        <w:rPr>
          <w:b/>
        </w:rPr>
        <w:t>00407/ZINACANT/IP/2025</w:t>
      </w:r>
    </w:p>
    <w:p w14:paraId="77B61E39" w14:textId="77777777" w:rsidR="00113E04" w:rsidRDefault="00AB421C" w:rsidP="00C46274">
      <w:pPr>
        <w:tabs>
          <w:tab w:val="left" w:pos="4667"/>
        </w:tabs>
        <w:spacing w:after="0" w:line="360" w:lineRule="auto"/>
        <w:ind w:left="567" w:right="567"/>
        <w:rPr>
          <w:b/>
          <w:i/>
          <w:sz w:val="20"/>
          <w:szCs w:val="20"/>
        </w:rPr>
      </w:pPr>
      <w:r>
        <w:rPr>
          <w:b/>
          <w:i/>
          <w:sz w:val="20"/>
          <w:szCs w:val="20"/>
        </w:rPr>
        <w:lastRenderedPageBreak/>
        <w:t>“DESCRIPCIÓN CLARA Y PRECISA DE LA INFORMACIÓN SOLICITADA</w:t>
      </w:r>
    </w:p>
    <w:p w14:paraId="20B26DB1" w14:textId="77777777" w:rsidR="00113E04" w:rsidRDefault="00AB421C" w:rsidP="00C46274">
      <w:pPr>
        <w:tabs>
          <w:tab w:val="left" w:pos="4667"/>
        </w:tabs>
        <w:spacing w:after="0" w:line="360" w:lineRule="auto"/>
        <w:ind w:left="567" w:right="567"/>
        <w:rPr>
          <w:i/>
          <w:sz w:val="20"/>
          <w:szCs w:val="20"/>
        </w:rPr>
      </w:pPr>
      <w:r>
        <w:rPr>
          <w:i/>
          <w:sz w:val="20"/>
          <w:szCs w:val="20"/>
        </w:rPr>
        <w:t>SOLICITO LOS RECIBOS DE NOMINA DE LA SEGUNDA QUINCENA MAYO 2025 DE TODO EL AYUNTAMIENTO.” (Sic.)</w:t>
      </w:r>
    </w:p>
    <w:p w14:paraId="42EE6F44" w14:textId="77777777" w:rsidR="00C46274" w:rsidRDefault="00C46274" w:rsidP="00C46274">
      <w:pPr>
        <w:tabs>
          <w:tab w:val="left" w:pos="4667"/>
        </w:tabs>
        <w:spacing w:after="0" w:line="360" w:lineRule="auto"/>
        <w:ind w:left="567" w:right="567"/>
        <w:rPr>
          <w:i/>
          <w:sz w:val="20"/>
          <w:szCs w:val="20"/>
        </w:rPr>
      </w:pPr>
    </w:p>
    <w:p w14:paraId="7826D1E0" w14:textId="77777777" w:rsidR="00113E04" w:rsidRDefault="00AB421C" w:rsidP="00C46274">
      <w:pPr>
        <w:tabs>
          <w:tab w:val="left" w:pos="4667"/>
        </w:tabs>
        <w:spacing w:after="0" w:line="360" w:lineRule="auto"/>
        <w:ind w:left="567" w:right="567"/>
        <w:rPr>
          <w:b/>
          <w:i/>
          <w:sz w:val="20"/>
          <w:szCs w:val="20"/>
        </w:rPr>
      </w:pPr>
      <w:r>
        <w:rPr>
          <w:b/>
          <w:i/>
          <w:sz w:val="20"/>
          <w:szCs w:val="20"/>
        </w:rPr>
        <w:t>“MODALIDAD DE ENTREGA</w:t>
      </w:r>
    </w:p>
    <w:p w14:paraId="044E6F85" w14:textId="77777777" w:rsidR="00113E04" w:rsidRDefault="00AB421C" w:rsidP="00C46274">
      <w:pPr>
        <w:spacing w:after="0" w:line="360" w:lineRule="auto"/>
        <w:ind w:left="567" w:right="567"/>
        <w:rPr>
          <w:i/>
          <w:sz w:val="20"/>
          <w:szCs w:val="20"/>
        </w:rPr>
      </w:pPr>
      <w:r>
        <w:rPr>
          <w:i/>
          <w:sz w:val="20"/>
          <w:szCs w:val="20"/>
        </w:rPr>
        <w:t>A través del SAIMEX</w:t>
      </w:r>
    </w:p>
    <w:p w14:paraId="5018FF95" w14:textId="77777777" w:rsidR="00113E04" w:rsidRDefault="00113E04" w:rsidP="00C46274">
      <w:pPr>
        <w:spacing w:after="0" w:line="360" w:lineRule="auto"/>
        <w:ind w:right="567"/>
        <w:rPr>
          <w:i/>
          <w:sz w:val="20"/>
          <w:szCs w:val="20"/>
        </w:rPr>
      </w:pPr>
    </w:p>
    <w:p w14:paraId="6A11CECB" w14:textId="77777777" w:rsidR="00113E04" w:rsidRDefault="00AB421C" w:rsidP="00C46274">
      <w:pPr>
        <w:pStyle w:val="Ttulo2"/>
        <w:spacing w:before="0" w:after="0" w:line="360" w:lineRule="auto"/>
        <w:rPr>
          <w:sz w:val="22"/>
          <w:szCs w:val="22"/>
        </w:rPr>
      </w:pPr>
      <w:bookmarkStart w:id="2" w:name="_Toc206688021"/>
      <w:r>
        <w:rPr>
          <w:sz w:val="22"/>
          <w:szCs w:val="22"/>
        </w:rPr>
        <w:t>II. Respuesta del Sujeto Obligado.</w:t>
      </w:r>
      <w:bookmarkEnd w:id="2"/>
    </w:p>
    <w:p w14:paraId="48372F84" w14:textId="77777777" w:rsidR="00113E04" w:rsidRDefault="00113E04" w:rsidP="00C46274">
      <w:pPr>
        <w:spacing w:after="0" w:line="360" w:lineRule="auto"/>
        <w:rPr>
          <w:b/>
        </w:rPr>
      </w:pPr>
    </w:p>
    <w:p w14:paraId="0826B8C4" w14:textId="77777777" w:rsidR="00113E04" w:rsidRDefault="00AB421C" w:rsidP="00C46274">
      <w:pPr>
        <w:spacing w:after="0" w:line="360" w:lineRule="auto"/>
      </w:pPr>
      <w:r>
        <w:t>El diecisiete y veinte de junio de dos mil veinticinco, el Sujeto Obligado notificó, a través del Sistema de Acceso a la Información Mexiquense (SAIMEX), la respuesta a la solicitud de acceso a la información pública, en los siguientes términos:</w:t>
      </w:r>
    </w:p>
    <w:p w14:paraId="508AFA90" w14:textId="77777777" w:rsidR="00113E04" w:rsidRDefault="00113E04" w:rsidP="00C46274">
      <w:pPr>
        <w:spacing w:after="0" w:line="360" w:lineRule="auto"/>
        <w:ind w:right="567"/>
      </w:pPr>
    </w:p>
    <w:p w14:paraId="7EBB4B76" w14:textId="77777777" w:rsidR="00113E04" w:rsidRDefault="00AB421C" w:rsidP="00C46274">
      <w:pPr>
        <w:spacing w:after="0" w:line="360" w:lineRule="auto"/>
        <w:ind w:left="426" w:right="567"/>
        <w:rPr>
          <w:b/>
        </w:rPr>
      </w:pPr>
      <w:r>
        <w:rPr>
          <w:b/>
        </w:rPr>
        <w:t>00396/ZINACANT/IP/2025</w:t>
      </w:r>
    </w:p>
    <w:p w14:paraId="724AF64F" w14:textId="77777777" w:rsidR="00113E04" w:rsidRDefault="00113E04" w:rsidP="00C46274">
      <w:pPr>
        <w:spacing w:after="0" w:line="360" w:lineRule="auto"/>
        <w:ind w:left="426" w:right="567"/>
        <w:rPr>
          <w:b/>
        </w:rPr>
      </w:pPr>
    </w:p>
    <w:p w14:paraId="40D82C0F" w14:textId="77777777" w:rsidR="00113E04" w:rsidRDefault="00AB421C" w:rsidP="00C46274">
      <w:pPr>
        <w:numPr>
          <w:ilvl w:val="0"/>
          <w:numId w:val="2"/>
        </w:numPr>
        <w:pBdr>
          <w:top w:val="nil"/>
          <w:left w:val="nil"/>
          <w:bottom w:val="nil"/>
          <w:right w:val="nil"/>
          <w:between w:val="nil"/>
        </w:pBdr>
        <w:spacing w:after="0" w:line="360" w:lineRule="auto"/>
        <w:ind w:right="567"/>
        <w:rPr>
          <w:i/>
          <w:color w:val="000000"/>
          <w:sz w:val="20"/>
          <w:szCs w:val="20"/>
        </w:rPr>
      </w:pPr>
      <w:r>
        <w:rPr>
          <w:color w:val="000000"/>
        </w:rPr>
        <w:t xml:space="preserve">Oficio de fecha diecisiete de junio de dos mil veinticinco, signado por el Titular de la Unidad de Transparencia, mediante el cual informa que: </w:t>
      </w:r>
    </w:p>
    <w:p w14:paraId="401F22ED" w14:textId="77777777" w:rsidR="00113E04" w:rsidRDefault="00113E04" w:rsidP="00C46274">
      <w:pPr>
        <w:spacing w:after="0" w:line="360" w:lineRule="auto"/>
        <w:ind w:left="360" w:right="567"/>
        <w:rPr>
          <w:i/>
          <w:sz w:val="20"/>
          <w:szCs w:val="20"/>
        </w:rPr>
      </w:pPr>
    </w:p>
    <w:p w14:paraId="058BB205" w14:textId="77777777" w:rsidR="00113E04" w:rsidRDefault="00AB421C" w:rsidP="00C46274">
      <w:pPr>
        <w:spacing w:after="0" w:line="360" w:lineRule="auto"/>
        <w:ind w:left="360" w:right="567"/>
        <w:rPr>
          <w:i/>
          <w:sz w:val="20"/>
          <w:szCs w:val="20"/>
        </w:rPr>
      </w:pPr>
      <w:r>
        <w:rPr>
          <w:i/>
          <w:sz w:val="20"/>
          <w:szCs w:val="20"/>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392E13" w14:textId="77777777" w:rsidR="00113E04" w:rsidRDefault="00AB421C" w:rsidP="00C46274">
      <w:pPr>
        <w:spacing w:after="0" w:line="360" w:lineRule="auto"/>
        <w:ind w:left="360" w:right="567"/>
        <w:rPr>
          <w:i/>
          <w:sz w:val="20"/>
          <w:szCs w:val="20"/>
        </w:rPr>
      </w:pPr>
      <w:r>
        <w:rPr>
          <w:i/>
          <w:sz w:val="20"/>
          <w:szCs w:val="20"/>
        </w:rPr>
        <w:t>Por lo anterior, remito la respuesta proporcionada por el área competente.”</w:t>
      </w:r>
    </w:p>
    <w:p w14:paraId="3BA97AF3" w14:textId="77777777" w:rsidR="00113E04" w:rsidRDefault="00113E04" w:rsidP="00C46274">
      <w:pPr>
        <w:spacing w:after="0" w:line="360" w:lineRule="auto"/>
        <w:ind w:left="360" w:right="567"/>
        <w:rPr>
          <w:i/>
          <w:sz w:val="20"/>
          <w:szCs w:val="20"/>
        </w:rPr>
      </w:pPr>
    </w:p>
    <w:p w14:paraId="6FDE9344" w14:textId="77777777" w:rsidR="00113E04" w:rsidRDefault="00AB421C" w:rsidP="00C46274">
      <w:pPr>
        <w:numPr>
          <w:ilvl w:val="0"/>
          <w:numId w:val="10"/>
        </w:numPr>
        <w:pBdr>
          <w:top w:val="nil"/>
          <w:left w:val="nil"/>
          <w:bottom w:val="nil"/>
          <w:right w:val="nil"/>
          <w:between w:val="nil"/>
        </w:pBdr>
        <w:spacing w:after="0" w:line="360" w:lineRule="auto"/>
        <w:ind w:left="567" w:right="567"/>
        <w:rPr>
          <w:i/>
          <w:color w:val="000000"/>
          <w:sz w:val="20"/>
          <w:szCs w:val="20"/>
        </w:rPr>
      </w:pPr>
      <w:r>
        <w:rPr>
          <w:color w:val="000000"/>
        </w:rPr>
        <w:lastRenderedPageBreak/>
        <w:t>Catorce recibos de nómina de los servidores públicos adscritos a la Secretaría del Ayuntamiento, de la segunda quincena de mayo de dos mil veinticinco, en versión pública.</w:t>
      </w:r>
    </w:p>
    <w:p w14:paraId="48C4937C" w14:textId="77777777" w:rsidR="00113E04" w:rsidRDefault="00AB421C" w:rsidP="00C46274">
      <w:pPr>
        <w:numPr>
          <w:ilvl w:val="0"/>
          <w:numId w:val="10"/>
        </w:numPr>
        <w:pBdr>
          <w:top w:val="nil"/>
          <w:left w:val="nil"/>
          <w:bottom w:val="nil"/>
          <w:right w:val="nil"/>
          <w:between w:val="nil"/>
        </w:pBdr>
        <w:spacing w:after="0" w:line="360" w:lineRule="auto"/>
        <w:ind w:left="567" w:right="567"/>
        <w:rPr>
          <w:i/>
          <w:color w:val="000000"/>
          <w:sz w:val="20"/>
          <w:szCs w:val="20"/>
        </w:rPr>
      </w:pPr>
      <w:r>
        <w:rPr>
          <w:color w:val="000000"/>
        </w:rPr>
        <w:t>Oficio de fecha diez de junio de dos mil veinticinco, signado por el Subdirector de Recursos Humanos, mediante el cual informa lo siguiente:</w:t>
      </w:r>
    </w:p>
    <w:p w14:paraId="385AD896" w14:textId="77777777" w:rsidR="00113E04" w:rsidRDefault="00113E04" w:rsidP="00C46274">
      <w:pPr>
        <w:pBdr>
          <w:top w:val="nil"/>
          <w:left w:val="nil"/>
          <w:bottom w:val="nil"/>
          <w:right w:val="nil"/>
          <w:between w:val="nil"/>
        </w:pBdr>
        <w:spacing w:after="0" w:line="360" w:lineRule="auto"/>
        <w:ind w:left="567" w:right="567"/>
        <w:rPr>
          <w:i/>
          <w:color w:val="000000"/>
          <w:sz w:val="20"/>
          <w:szCs w:val="20"/>
        </w:rPr>
      </w:pPr>
    </w:p>
    <w:p w14:paraId="1033B27C" w14:textId="77777777" w:rsidR="00113E04" w:rsidRDefault="00AB421C" w:rsidP="00C46274">
      <w:pPr>
        <w:pBdr>
          <w:top w:val="nil"/>
          <w:left w:val="nil"/>
          <w:bottom w:val="nil"/>
          <w:right w:val="nil"/>
          <w:between w:val="nil"/>
        </w:pBdr>
        <w:spacing w:after="0" w:line="360" w:lineRule="auto"/>
        <w:ind w:left="567" w:right="567"/>
        <w:rPr>
          <w:i/>
          <w:color w:val="000000"/>
          <w:sz w:val="20"/>
          <w:szCs w:val="20"/>
        </w:rPr>
      </w:pPr>
      <w:bookmarkStart w:id="3" w:name="_heading=h.8bho1183zkan" w:colFirst="0" w:colLast="0"/>
      <w:bookmarkEnd w:id="3"/>
      <w:r>
        <w:rPr>
          <w:i/>
        </w:rPr>
        <w:t xml:space="preserve">“Al respecto, y en cumplimiento a lo que establecen los artículos 12,24 último párrafo, 59 fracciones 1, II Y III de la Ley de Transparencia y Accesos a la información Pública del Estado de México y Municipios, con el objetivo de garantizar el derecho humano respecto a la consulta de la documental y/o referentes informativos en posesión de los sujetos obligados; informo que se adjunta archivo electrónico denominado "Secretaria del Ayuntamiento" así mismo cuadro de clasificación. </w:t>
      </w:r>
      <w:r>
        <w:rPr>
          <w:i/>
          <w:color w:val="000000"/>
        </w:rPr>
        <w:t xml:space="preserve"> </w:t>
      </w:r>
    </w:p>
    <w:p w14:paraId="2A52F72B" w14:textId="77777777" w:rsidR="00113E04" w:rsidRDefault="00113E04" w:rsidP="00C46274">
      <w:pPr>
        <w:spacing w:after="0" w:line="360" w:lineRule="auto"/>
      </w:pPr>
    </w:p>
    <w:p w14:paraId="4BE10855" w14:textId="77777777" w:rsidR="00113E04" w:rsidRDefault="00AB421C" w:rsidP="00C46274">
      <w:pPr>
        <w:spacing w:after="0" w:line="360" w:lineRule="auto"/>
        <w:ind w:left="426"/>
        <w:rPr>
          <w:b/>
        </w:rPr>
      </w:pPr>
      <w:r>
        <w:rPr>
          <w:b/>
        </w:rPr>
        <w:t>00407/ZINACANT/IP/2025</w:t>
      </w:r>
    </w:p>
    <w:p w14:paraId="13098B4F" w14:textId="77777777" w:rsidR="00113E04" w:rsidRDefault="00113E04" w:rsidP="00C46274">
      <w:pPr>
        <w:spacing w:after="0" w:line="360" w:lineRule="auto"/>
      </w:pPr>
    </w:p>
    <w:p w14:paraId="703214C9" w14:textId="77777777" w:rsidR="00113E04" w:rsidRDefault="00AB421C" w:rsidP="00C46274">
      <w:pPr>
        <w:numPr>
          <w:ilvl w:val="0"/>
          <w:numId w:val="9"/>
        </w:numPr>
        <w:pBdr>
          <w:top w:val="nil"/>
          <w:left w:val="nil"/>
          <w:bottom w:val="nil"/>
          <w:right w:val="nil"/>
          <w:between w:val="nil"/>
        </w:pBdr>
        <w:spacing w:after="0" w:line="360" w:lineRule="auto"/>
        <w:rPr>
          <w:color w:val="000000"/>
        </w:rPr>
      </w:pPr>
      <w:r>
        <w:rPr>
          <w:color w:val="000000"/>
        </w:rPr>
        <w:t xml:space="preserve">Oficio número ZIN/DA/SRH/129/2025 signado por el Subdirector de Recursos Humanos, mediante el cual informa que, se hace entrega de la información solicitada, en la que se realiza un testado especial para aquellas personas servidores públicos que ocupan un cargo operativo de Seguridad Pública (nombre), el cual es objeto de reserva. </w:t>
      </w:r>
    </w:p>
    <w:p w14:paraId="4C5460F9" w14:textId="77777777" w:rsidR="00113E04" w:rsidRDefault="00AB421C" w:rsidP="00C46274">
      <w:pPr>
        <w:numPr>
          <w:ilvl w:val="0"/>
          <w:numId w:val="9"/>
        </w:numPr>
        <w:pBdr>
          <w:top w:val="nil"/>
          <w:left w:val="nil"/>
          <w:bottom w:val="nil"/>
          <w:right w:val="nil"/>
          <w:between w:val="nil"/>
        </w:pBdr>
        <w:spacing w:after="0" w:line="360" w:lineRule="auto"/>
        <w:rPr>
          <w:color w:val="000000"/>
        </w:rPr>
      </w:pPr>
      <w:r>
        <w:rPr>
          <w:color w:val="000000"/>
        </w:rPr>
        <w:t xml:space="preserve">Cuadro de clasificación. </w:t>
      </w:r>
    </w:p>
    <w:p w14:paraId="5C191755" w14:textId="77777777" w:rsidR="00113E04" w:rsidRDefault="00AB421C" w:rsidP="00C46274">
      <w:pPr>
        <w:numPr>
          <w:ilvl w:val="0"/>
          <w:numId w:val="9"/>
        </w:numPr>
        <w:pBdr>
          <w:top w:val="nil"/>
          <w:left w:val="nil"/>
          <w:bottom w:val="nil"/>
          <w:right w:val="nil"/>
          <w:between w:val="nil"/>
        </w:pBdr>
        <w:spacing w:after="0" w:line="360" w:lineRule="auto"/>
        <w:rPr>
          <w:color w:val="000000"/>
        </w:rPr>
      </w:pPr>
      <w:r>
        <w:rPr>
          <w:color w:val="000000"/>
        </w:rPr>
        <w:t>Novecientos diez recibos de nómina, en versión pública.</w:t>
      </w:r>
    </w:p>
    <w:p w14:paraId="49A100C7" w14:textId="77777777" w:rsidR="00113E04" w:rsidRPr="0048051A" w:rsidRDefault="00AB421C" w:rsidP="00C46274">
      <w:pPr>
        <w:numPr>
          <w:ilvl w:val="0"/>
          <w:numId w:val="9"/>
        </w:numPr>
        <w:pBdr>
          <w:top w:val="nil"/>
          <w:left w:val="nil"/>
          <w:bottom w:val="nil"/>
          <w:right w:val="nil"/>
          <w:between w:val="nil"/>
        </w:pBdr>
        <w:spacing w:after="0" w:line="360" w:lineRule="auto"/>
        <w:rPr>
          <w:color w:val="000000"/>
        </w:rPr>
      </w:pPr>
      <w:r>
        <w:rPr>
          <w:color w:val="000000"/>
        </w:rPr>
        <w:t>Oficio de fecha veinte de junio de dos mil veinticinco, signado por la Titular de la Unidad de Transparen</w:t>
      </w:r>
      <w:r>
        <w:t>c</w:t>
      </w:r>
      <w:r>
        <w:rPr>
          <w:color w:val="000000"/>
        </w:rPr>
        <w:t>ia, mediante el cual informa que se remite la información p</w:t>
      </w:r>
      <w:r>
        <w:t xml:space="preserve">roporcionada por el área. </w:t>
      </w:r>
    </w:p>
    <w:p w14:paraId="40A7B785" w14:textId="77777777" w:rsidR="0048051A" w:rsidRDefault="0048051A" w:rsidP="00C46274">
      <w:pPr>
        <w:pBdr>
          <w:top w:val="nil"/>
          <w:left w:val="nil"/>
          <w:bottom w:val="nil"/>
          <w:right w:val="nil"/>
          <w:between w:val="nil"/>
        </w:pBdr>
        <w:spacing w:after="0" w:line="360" w:lineRule="auto"/>
      </w:pPr>
    </w:p>
    <w:p w14:paraId="7D38525D" w14:textId="77777777" w:rsidR="0048051A" w:rsidRPr="00AB421C" w:rsidRDefault="0048051A" w:rsidP="00C46274">
      <w:pPr>
        <w:pBdr>
          <w:top w:val="nil"/>
          <w:left w:val="nil"/>
          <w:bottom w:val="nil"/>
          <w:right w:val="nil"/>
          <w:between w:val="nil"/>
        </w:pBdr>
        <w:spacing w:after="0" w:line="360" w:lineRule="auto"/>
        <w:rPr>
          <w:color w:val="000000"/>
        </w:rPr>
      </w:pPr>
    </w:p>
    <w:p w14:paraId="74BCACF2" w14:textId="77777777" w:rsidR="00113E04" w:rsidRPr="00AB421C" w:rsidRDefault="00AB421C" w:rsidP="00C46274">
      <w:pPr>
        <w:spacing w:after="0" w:line="360" w:lineRule="auto"/>
        <w:rPr>
          <w:b/>
        </w:rPr>
      </w:pPr>
      <w:r w:rsidRPr="00AB421C">
        <w:rPr>
          <w:b/>
        </w:rPr>
        <w:t>IV. Interposición del Recurso de Revisión</w:t>
      </w:r>
    </w:p>
    <w:p w14:paraId="0543C72A" w14:textId="77777777" w:rsidR="00113E04" w:rsidRDefault="00113E04" w:rsidP="00C46274">
      <w:pPr>
        <w:spacing w:after="0" w:line="360" w:lineRule="auto"/>
        <w:rPr>
          <w:b/>
        </w:rPr>
      </w:pPr>
    </w:p>
    <w:p w14:paraId="143C447E" w14:textId="77777777" w:rsidR="00113E04" w:rsidRDefault="00AB421C" w:rsidP="00C46274">
      <w:pPr>
        <w:spacing w:after="0" w:line="360" w:lineRule="auto"/>
      </w:pPr>
      <w:r>
        <w:t>El diecisiete y veinte de junio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671C4C05" w14:textId="77777777" w:rsidR="00113E04" w:rsidRDefault="00113E04" w:rsidP="00C46274">
      <w:pPr>
        <w:spacing w:after="0" w:line="360" w:lineRule="auto"/>
      </w:pPr>
    </w:p>
    <w:p w14:paraId="439D4923" w14:textId="77777777" w:rsidR="00113E04" w:rsidRDefault="00AB421C" w:rsidP="00C46274">
      <w:pPr>
        <w:spacing w:after="0" w:line="360" w:lineRule="auto"/>
        <w:rPr>
          <w:b/>
        </w:rPr>
      </w:pPr>
      <w:r>
        <w:rPr>
          <w:b/>
        </w:rPr>
        <w:t>07316/INFOEM/IP/RR/2025</w:t>
      </w:r>
    </w:p>
    <w:p w14:paraId="040B9E15" w14:textId="77777777" w:rsidR="00113E04" w:rsidRDefault="00113E04" w:rsidP="00C46274">
      <w:pPr>
        <w:spacing w:after="0" w:line="360" w:lineRule="auto"/>
      </w:pPr>
    </w:p>
    <w:p w14:paraId="4CBC415A" w14:textId="77777777" w:rsidR="00113E04" w:rsidRDefault="00AB421C" w:rsidP="00C46274">
      <w:pPr>
        <w:spacing w:after="0" w:line="360" w:lineRule="auto"/>
        <w:ind w:left="567" w:right="567"/>
        <w:rPr>
          <w:i/>
          <w:sz w:val="20"/>
          <w:szCs w:val="20"/>
        </w:rPr>
      </w:pPr>
      <w:r>
        <w:rPr>
          <w:b/>
          <w:i/>
          <w:sz w:val="20"/>
          <w:szCs w:val="20"/>
        </w:rPr>
        <w:t>‘’ACTO IMPUGNADO</w:t>
      </w:r>
    </w:p>
    <w:p w14:paraId="6D23FC99" w14:textId="77777777" w:rsidR="00113E04" w:rsidRDefault="00AB421C" w:rsidP="00C46274">
      <w:pPr>
        <w:spacing w:after="0" w:line="360" w:lineRule="auto"/>
        <w:ind w:left="567" w:right="567"/>
        <w:rPr>
          <w:i/>
          <w:sz w:val="20"/>
          <w:szCs w:val="20"/>
        </w:rPr>
      </w:pPr>
      <w:r>
        <w:rPr>
          <w:i/>
          <w:sz w:val="20"/>
          <w:szCs w:val="20"/>
        </w:rPr>
        <w:t xml:space="preserve">NO ENTREGAN INFORMACION COMPLETA.” </w:t>
      </w:r>
    </w:p>
    <w:p w14:paraId="189E70CC" w14:textId="77777777" w:rsidR="00113E04" w:rsidRDefault="00113E04" w:rsidP="00C46274">
      <w:pPr>
        <w:spacing w:after="0" w:line="360" w:lineRule="auto"/>
        <w:ind w:right="567"/>
        <w:rPr>
          <w:i/>
          <w:sz w:val="20"/>
          <w:szCs w:val="20"/>
        </w:rPr>
      </w:pPr>
    </w:p>
    <w:p w14:paraId="1159F54A" w14:textId="77777777" w:rsidR="00113E04" w:rsidRDefault="00AB421C" w:rsidP="00C46274">
      <w:pPr>
        <w:spacing w:after="0" w:line="360" w:lineRule="auto"/>
        <w:ind w:left="567" w:right="567"/>
        <w:rPr>
          <w:b/>
          <w:i/>
          <w:sz w:val="20"/>
          <w:szCs w:val="20"/>
        </w:rPr>
      </w:pPr>
      <w:r>
        <w:rPr>
          <w:b/>
          <w:i/>
          <w:sz w:val="20"/>
          <w:szCs w:val="20"/>
        </w:rPr>
        <w:t>‘’RAZONES O MOTIVOS DE LA INCONFORMIDAD</w:t>
      </w:r>
    </w:p>
    <w:p w14:paraId="4323CDAE" w14:textId="77777777" w:rsidR="00113E04" w:rsidRDefault="00AB421C" w:rsidP="00C46274">
      <w:pPr>
        <w:spacing w:after="0" w:line="360" w:lineRule="auto"/>
        <w:ind w:left="567" w:right="567"/>
        <w:rPr>
          <w:i/>
          <w:sz w:val="20"/>
          <w:szCs w:val="20"/>
        </w:rPr>
      </w:pPr>
      <w:r>
        <w:rPr>
          <w:i/>
          <w:sz w:val="20"/>
          <w:szCs w:val="20"/>
        </w:rPr>
        <w:t>NO ENTREGAN INFORMACION COMPLETA, NO ADJUNTA EL ACTA DEL COMITE DE TRANSPARENCIA.”</w:t>
      </w:r>
    </w:p>
    <w:p w14:paraId="4F967616" w14:textId="77777777" w:rsidR="00113E04" w:rsidRDefault="00113E04" w:rsidP="00C46274">
      <w:pPr>
        <w:spacing w:after="0" w:line="360" w:lineRule="auto"/>
        <w:ind w:left="567" w:right="567"/>
        <w:rPr>
          <w:i/>
          <w:sz w:val="20"/>
          <w:szCs w:val="20"/>
        </w:rPr>
      </w:pPr>
    </w:p>
    <w:p w14:paraId="5A3CF6B8" w14:textId="77777777" w:rsidR="00113E04" w:rsidRDefault="00AB421C" w:rsidP="00C46274">
      <w:pPr>
        <w:spacing w:after="0" w:line="360" w:lineRule="auto"/>
        <w:rPr>
          <w:b/>
        </w:rPr>
      </w:pPr>
      <w:r>
        <w:rPr>
          <w:b/>
        </w:rPr>
        <w:t>07563/INFOEM/IP/RR/2025</w:t>
      </w:r>
    </w:p>
    <w:p w14:paraId="6FD1CAAE" w14:textId="77777777" w:rsidR="00113E04" w:rsidRDefault="00113E04" w:rsidP="00C46274">
      <w:pPr>
        <w:spacing w:after="0" w:line="360" w:lineRule="auto"/>
        <w:rPr>
          <w:b/>
        </w:rPr>
      </w:pPr>
    </w:p>
    <w:p w14:paraId="5E596D3F" w14:textId="77777777" w:rsidR="00113E04" w:rsidRDefault="00AB421C" w:rsidP="00C46274">
      <w:pPr>
        <w:spacing w:after="0" w:line="360" w:lineRule="auto"/>
        <w:ind w:left="567" w:right="567"/>
        <w:rPr>
          <w:i/>
          <w:sz w:val="20"/>
          <w:szCs w:val="20"/>
        </w:rPr>
      </w:pPr>
      <w:r>
        <w:rPr>
          <w:b/>
          <w:i/>
          <w:sz w:val="20"/>
          <w:szCs w:val="20"/>
        </w:rPr>
        <w:t>‘’ACTO IMPUGNADO</w:t>
      </w:r>
    </w:p>
    <w:p w14:paraId="27C0E36E" w14:textId="77777777" w:rsidR="00113E04" w:rsidRDefault="00AB421C" w:rsidP="00C46274">
      <w:pPr>
        <w:spacing w:after="0" w:line="360" w:lineRule="auto"/>
        <w:ind w:left="567" w:right="567"/>
        <w:rPr>
          <w:i/>
          <w:sz w:val="20"/>
          <w:szCs w:val="20"/>
        </w:rPr>
      </w:pPr>
      <w:r>
        <w:rPr>
          <w:i/>
          <w:sz w:val="20"/>
          <w:szCs w:val="20"/>
        </w:rPr>
        <w:t xml:space="preserve">NO ENTREGAN INFORMACION COMPLETA.” </w:t>
      </w:r>
    </w:p>
    <w:p w14:paraId="2DE1A8C3" w14:textId="77777777" w:rsidR="00113E04" w:rsidRDefault="00113E04" w:rsidP="00C46274">
      <w:pPr>
        <w:spacing w:after="0" w:line="360" w:lineRule="auto"/>
        <w:ind w:right="567"/>
        <w:rPr>
          <w:i/>
          <w:sz w:val="20"/>
          <w:szCs w:val="20"/>
        </w:rPr>
      </w:pPr>
    </w:p>
    <w:p w14:paraId="4514045A" w14:textId="77777777" w:rsidR="00113E04" w:rsidRDefault="00AB421C" w:rsidP="00C46274">
      <w:pPr>
        <w:spacing w:after="0" w:line="360" w:lineRule="auto"/>
        <w:ind w:left="567" w:right="567"/>
        <w:rPr>
          <w:b/>
          <w:i/>
          <w:sz w:val="20"/>
          <w:szCs w:val="20"/>
        </w:rPr>
      </w:pPr>
      <w:r>
        <w:rPr>
          <w:b/>
          <w:i/>
          <w:sz w:val="20"/>
          <w:szCs w:val="20"/>
        </w:rPr>
        <w:t>‘’RAZONES O MOTIVOS DE LA INCONFORMIDAD</w:t>
      </w:r>
    </w:p>
    <w:p w14:paraId="2BF7BD6C" w14:textId="77777777" w:rsidR="00113E04" w:rsidRPr="00AB421C" w:rsidRDefault="00AB421C" w:rsidP="00C46274">
      <w:pPr>
        <w:spacing w:after="0" w:line="360" w:lineRule="auto"/>
        <w:ind w:left="567" w:right="567"/>
        <w:rPr>
          <w:b/>
          <w:i/>
          <w:sz w:val="32"/>
        </w:rPr>
      </w:pPr>
      <w:r w:rsidRPr="00AB421C">
        <w:rPr>
          <w:rFonts w:eastAsia="Verdana" w:cs="Verdana"/>
          <w:i/>
          <w:sz w:val="20"/>
          <w:szCs w:val="14"/>
        </w:rPr>
        <w:t>NO ENTREGA INFORMACION COMPLETA, ADEMAS NO REMITE EL ACTA DEL COMITE QUE AVALE LA VERSION PUBLICA</w:t>
      </w:r>
      <w:r>
        <w:rPr>
          <w:rFonts w:eastAsia="Verdana" w:cs="Verdana"/>
          <w:i/>
          <w:sz w:val="20"/>
          <w:szCs w:val="14"/>
        </w:rPr>
        <w:t>”</w:t>
      </w:r>
    </w:p>
    <w:p w14:paraId="5A2AB212" w14:textId="77777777" w:rsidR="00113E04" w:rsidRDefault="00113E04" w:rsidP="00C46274">
      <w:pPr>
        <w:spacing w:after="0" w:line="360" w:lineRule="auto"/>
        <w:ind w:right="567"/>
        <w:rPr>
          <w:i/>
          <w:sz w:val="20"/>
          <w:szCs w:val="20"/>
        </w:rPr>
      </w:pPr>
    </w:p>
    <w:p w14:paraId="1DCA8DF9" w14:textId="77777777" w:rsidR="00113E04" w:rsidRDefault="00AB421C" w:rsidP="00C46274">
      <w:pPr>
        <w:pStyle w:val="Ttulo2"/>
        <w:spacing w:before="0" w:after="0" w:line="360" w:lineRule="auto"/>
        <w:rPr>
          <w:sz w:val="22"/>
          <w:szCs w:val="22"/>
        </w:rPr>
      </w:pPr>
      <w:bookmarkStart w:id="4" w:name="_Toc206688022"/>
      <w:r>
        <w:rPr>
          <w:sz w:val="22"/>
          <w:szCs w:val="22"/>
        </w:rPr>
        <w:lastRenderedPageBreak/>
        <w:t>V. Trámite del Recurso de Revisión ante este Instituto</w:t>
      </w:r>
      <w:bookmarkEnd w:id="4"/>
    </w:p>
    <w:p w14:paraId="7EB55535" w14:textId="77777777" w:rsidR="00113E04" w:rsidRDefault="00113E04" w:rsidP="00C46274">
      <w:pPr>
        <w:spacing w:after="0" w:line="360" w:lineRule="auto"/>
        <w:rPr>
          <w:b/>
        </w:rPr>
      </w:pPr>
    </w:p>
    <w:p w14:paraId="0D92C499" w14:textId="77777777" w:rsidR="00113E04" w:rsidRDefault="00AB421C" w:rsidP="00C46274">
      <w:pPr>
        <w:spacing w:after="0" w:line="360" w:lineRule="auto"/>
      </w:pPr>
      <w:r w:rsidRPr="0048051A">
        <w:rPr>
          <w:b/>
        </w:rPr>
        <w:t>a) Turno del Medio de Impugnación.</w:t>
      </w:r>
      <w:r w:rsidRPr="0048051A">
        <w:t xml:space="preserve"> El veinticuatro de abril de dos mil veinticinco, el Sistema de Acceso a la Información Mexiquense (SAIMEX), asignó el número de expediente </w:t>
      </w:r>
      <w:r w:rsidRPr="0048051A">
        <w:rPr>
          <w:b/>
        </w:rPr>
        <w:t>07316/INFOEM/IP/RR/2025</w:t>
      </w:r>
      <w:r w:rsidRPr="0048051A">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r>
        <w:t xml:space="preserve"> </w:t>
      </w:r>
    </w:p>
    <w:p w14:paraId="528CDC40" w14:textId="77777777" w:rsidR="0048051A" w:rsidRDefault="0048051A" w:rsidP="00C46274">
      <w:pPr>
        <w:spacing w:after="0" w:line="360" w:lineRule="auto"/>
      </w:pPr>
    </w:p>
    <w:p w14:paraId="00EA65B6" w14:textId="77777777" w:rsidR="0048051A" w:rsidRPr="0048051A" w:rsidRDefault="0048051A" w:rsidP="00C46274">
      <w:pPr>
        <w:spacing w:after="0" w:line="360" w:lineRule="auto"/>
        <w:contextualSpacing/>
        <w:rPr>
          <w:rFonts w:eastAsia="Batang" w:cs="Tahoma"/>
          <w:bCs/>
        </w:rPr>
      </w:pPr>
      <w:r>
        <w:rPr>
          <w:rFonts w:eastAsia="Batang" w:cs="Tahoma"/>
          <w:bCs/>
        </w:rPr>
        <w:t xml:space="preserve">El folio </w:t>
      </w:r>
      <w:r>
        <w:rPr>
          <w:rFonts w:eastAsia="Batang" w:cs="Tahoma"/>
          <w:b/>
          <w:bCs/>
        </w:rPr>
        <w:t>07563</w:t>
      </w:r>
      <w:r w:rsidRPr="00D97D2A">
        <w:rPr>
          <w:rFonts w:eastAsia="Batang" w:cs="Tahoma"/>
          <w:b/>
          <w:bCs/>
        </w:rPr>
        <w:t>/INFOEM/IP/RR/2025</w:t>
      </w:r>
      <w:r>
        <w:rPr>
          <w:rFonts w:eastAsia="Batang" w:cs="Tahoma"/>
          <w:b/>
          <w:bCs/>
        </w:rPr>
        <w:t xml:space="preserve"> </w:t>
      </w:r>
      <w:r w:rsidRPr="005573F0">
        <w:rPr>
          <w:rFonts w:eastAsia="Batang" w:cs="Tahoma"/>
          <w:bCs/>
        </w:rPr>
        <w:t>del recurso de revisión acumulado, se turnó a la Comisionada Sharon Cristina Morales Martínez, con base en el sistema aprobado por el Pleno de este Órgano Garante.</w:t>
      </w:r>
    </w:p>
    <w:p w14:paraId="3B4C9E28" w14:textId="77777777" w:rsidR="00113E04" w:rsidRDefault="00113E04" w:rsidP="00C46274">
      <w:pPr>
        <w:spacing w:after="0" w:line="360" w:lineRule="auto"/>
        <w:rPr>
          <w:b/>
        </w:rPr>
      </w:pPr>
    </w:p>
    <w:p w14:paraId="055C305D" w14:textId="77777777" w:rsidR="00113E04" w:rsidRDefault="00AB421C" w:rsidP="00C46274">
      <w:pPr>
        <w:spacing w:after="0" w:line="360" w:lineRule="auto"/>
      </w:pPr>
      <w:r>
        <w:rPr>
          <w:b/>
        </w:rPr>
        <w:t xml:space="preserve">b) Admisión del Recurso de Revisión. </w:t>
      </w:r>
      <w:r>
        <w:t>El veinte de junio  y primero de julio de dos mil veinticinco, se acordó la admisión de los Recursos de Revisión interpuestos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CB817D5" w14:textId="77777777" w:rsidR="0048051A" w:rsidRPr="0048051A" w:rsidRDefault="0048051A" w:rsidP="00C46274">
      <w:pPr>
        <w:spacing w:after="0" w:line="360" w:lineRule="auto"/>
        <w:rPr>
          <w:b/>
        </w:rPr>
      </w:pPr>
    </w:p>
    <w:p w14:paraId="7D771B1F" w14:textId="77777777" w:rsidR="0048051A" w:rsidRPr="004476CB" w:rsidRDefault="0048051A" w:rsidP="00C46274">
      <w:pPr>
        <w:spacing w:after="0" w:line="360" w:lineRule="auto"/>
        <w:contextualSpacing/>
        <w:rPr>
          <w:rFonts w:cs="Tahoma"/>
          <w:bCs/>
          <w:lang w:val="es-ES_tradnl"/>
        </w:rPr>
      </w:pPr>
      <w:bookmarkStart w:id="5" w:name="_Toc205396968"/>
      <w:bookmarkStart w:id="6" w:name="_Toc206688023"/>
      <w:r w:rsidRPr="0048051A">
        <w:rPr>
          <w:rStyle w:val="Ttulo3Car"/>
          <w:sz w:val="22"/>
        </w:rPr>
        <w:t>c) Acumulación de los medios de impugnación</w:t>
      </w:r>
      <w:r w:rsidRPr="0048051A">
        <w:rPr>
          <w:rStyle w:val="Ttulo3Car"/>
          <w:b w:val="0"/>
          <w:sz w:val="22"/>
        </w:rPr>
        <w:t>.</w:t>
      </w:r>
      <w:bookmarkEnd w:id="5"/>
      <w:bookmarkEnd w:id="6"/>
      <w:r w:rsidRPr="0048051A">
        <w:rPr>
          <w:rFonts w:cs="Tahoma"/>
          <w:bCs/>
          <w:sz w:val="18"/>
          <w:lang w:val="es-ES_tradnl"/>
        </w:rPr>
        <w:t xml:space="preserve"> </w:t>
      </w:r>
      <w:r>
        <w:rPr>
          <w:rFonts w:eastAsia="Calibri" w:cs="Tahoma"/>
          <w:lang w:eastAsia="en-US"/>
        </w:rPr>
        <w:t>Toda</w:t>
      </w:r>
      <w:r w:rsidRPr="0068784B">
        <w:rPr>
          <w:rFonts w:eastAsia="Calibri" w:cs="Tahoma"/>
          <w:lang w:eastAsia="en-US"/>
        </w:rPr>
        <w:t xml:space="preserve"> vez que se advirtió conexidad entre estos, al haber sido promovidos por la misma persona, en los que se señaló como dependencia o entidad recurrida </w:t>
      </w:r>
      <w:r>
        <w:rPr>
          <w:rFonts w:eastAsia="Calibri" w:cs="Tahoma"/>
          <w:lang w:eastAsia="en-US"/>
        </w:rPr>
        <w:t xml:space="preserve">el </w:t>
      </w:r>
      <w:r>
        <w:rPr>
          <w:rFonts w:eastAsia="Calibri" w:cs="Tahoma"/>
          <w:b/>
          <w:lang w:eastAsia="en-US"/>
        </w:rPr>
        <w:t>Ayuntamiento de Zinacantepec</w:t>
      </w:r>
      <w:r w:rsidRPr="0068784B">
        <w:rPr>
          <w:rFonts w:eastAsia="Calibri" w:cs="Tahoma"/>
          <w:lang w:eastAsia="en-US"/>
        </w:rPr>
        <w:t xml:space="preserve">, y en los cuales, además, se manifestaron similares actos recurridos; con el propósito de privilegiar la resolución </w:t>
      </w:r>
      <w:r w:rsidRPr="0068784B">
        <w:rPr>
          <w:rFonts w:eastAsia="Calibri" w:cs="Tahoma"/>
          <w:lang w:eastAsia="en-US"/>
        </w:rPr>
        <w:lastRenderedPageBreak/>
        <w:t>expedita y evitar el dictado de determinaciones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w:t>
      </w:r>
      <w:r>
        <w:rPr>
          <w:rFonts w:eastAsia="Calibri" w:cs="Tahoma"/>
          <w:lang w:eastAsia="en-US"/>
        </w:rPr>
        <w:t xml:space="preserve">, </w:t>
      </w:r>
      <w:r w:rsidRPr="00D8693C">
        <w:rPr>
          <w:rFonts w:eastAsia="Calibri" w:cs="Tahoma"/>
          <w:lang w:eastAsia="en-US"/>
        </w:rPr>
        <w:t xml:space="preserve">en su </w:t>
      </w:r>
      <w:r w:rsidR="004476CB">
        <w:rPr>
          <w:rFonts w:eastAsia="Calibri" w:cs="Tahoma"/>
          <w:lang w:eastAsia="en-US"/>
        </w:rPr>
        <w:t xml:space="preserve">Acuerdo de fecha tres de julio </w:t>
      </w:r>
      <w:r w:rsidRPr="00D8693C">
        <w:rPr>
          <w:rFonts w:eastAsia="Calibri" w:cs="Tahoma"/>
          <w:lang w:eastAsia="en-US"/>
        </w:rPr>
        <w:t>de dos mil veinticinco</w:t>
      </w:r>
      <w:r w:rsidRPr="0068784B">
        <w:rPr>
          <w:rFonts w:eastAsia="Calibri" w:cs="Tahoma"/>
          <w:lang w:eastAsia="en-US"/>
        </w:rPr>
        <w:t xml:space="preserve">, </w:t>
      </w:r>
      <w:r w:rsidRPr="0068784B">
        <w:rPr>
          <w:rFonts w:eastAsia="Calibri" w:cs="Tahoma"/>
          <w:b/>
          <w:lang w:eastAsia="en-US"/>
        </w:rPr>
        <w:t>decretó</w:t>
      </w:r>
      <w:r w:rsidRPr="0068784B">
        <w:rPr>
          <w:rFonts w:eastAsia="Calibri" w:cs="Tahoma"/>
          <w:lang w:eastAsia="en-US"/>
        </w:rPr>
        <w:t xml:space="preserve"> la acumulación </w:t>
      </w:r>
      <w:r>
        <w:rPr>
          <w:rFonts w:eastAsia="Calibri" w:cs="Tahoma"/>
          <w:lang w:eastAsia="en-US"/>
        </w:rPr>
        <w:t>del Recurso</w:t>
      </w:r>
      <w:r w:rsidRPr="0068784B">
        <w:rPr>
          <w:rFonts w:eastAsia="Calibri" w:cs="Tahoma"/>
          <w:lang w:eastAsia="en-US"/>
        </w:rPr>
        <w:t xml:space="preserve"> de Revisión </w:t>
      </w:r>
      <w:r>
        <w:rPr>
          <w:rFonts w:eastAsia="Calibri" w:cs="Tahoma"/>
          <w:b/>
          <w:bCs/>
          <w:lang w:eastAsia="en-US"/>
        </w:rPr>
        <w:t>07563</w:t>
      </w:r>
      <w:r w:rsidRPr="00D8693C">
        <w:rPr>
          <w:rFonts w:eastAsia="Calibri" w:cs="Tahoma"/>
          <w:b/>
          <w:bCs/>
          <w:lang w:eastAsia="en-US"/>
        </w:rPr>
        <w:t>/INFOEM</w:t>
      </w:r>
      <w:r w:rsidRPr="00C854D8">
        <w:rPr>
          <w:rFonts w:eastAsia="Calibri" w:cs="Tahoma"/>
          <w:b/>
          <w:bCs/>
          <w:lang w:eastAsia="en-US"/>
        </w:rPr>
        <w:t>/IP/RR/2025</w:t>
      </w:r>
      <w:r w:rsidRPr="0068784B">
        <w:rPr>
          <w:rFonts w:eastAsia="Calibri" w:cs="Tahoma"/>
          <w:b/>
          <w:bCs/>
          <w:lang w:eastAsia="en-US"/>
        </w:rPr>
        <w:t xml:space="preserve"> </w:t>
      </w:r>
      <w:r w:rsidRPr="0068784B">
        <w:rPr>
          <w:rFonts w:eastAsia="Calibri" w:cs="Tahoma"/>
          <w:lang w:eastAsia="en-US"/>
        </w:rPr>
        <w:t>al diverso</w:t>
      </w:r>
      <w:r w:rsidRPr="0068784B">
        <w:rPr>
          <w:rFonts w:eastAsia="Calibri" w:cs="Tahoma"/>
          <w:b/>
          <w:bCs/>
          <w:lang w:eastAsia="en-US"/>
        </w:rPr>
        <w:t xml:space="preserve"> </w:t>
      </w:r>
      <w:r>
        <w:rPr>
          <w:rFonts w:eastAsia="Calibri" w:cs="Tahoma"/>
          <w:b/>
          <w:bCs/>
          <w:lang w:eastAsia="en-US"/>
        </w:rPr>
        <w:t>07316</w:t>
      </w:r>
      <w:r w:rsidRPr="00B817D3">
        <w:rPr>
          <w:rFonts w:eastAsia="Calibri" w:cs="Tahoma"/>
          <w:b/>
          <w:bCs/>
          <w:lang w:eastAsia="en-US"/>
        </w:rPr>
        <w:t>/INFOEM</w:t>
      </w:r>
      <w:r w:rsidRPr="00DF7553">
        <w:rPr>
          <w:rFonts w:eastAsia="Calibri" w:cs="Tahoma"/>
          <w:b/>
          <w:bCs/>
          <w:lang w:eastAsia="en-US"/>
        </w:rPr>
        <w:t>/IP/RR/</w:t>
      </w:r>
      <w:r>
        <w:rPr>
          <w:rFonts w:eastAsia="Calibri" w:cs="Tahoma"/>
          <w:b/>
          <w:bCs/>
          <w:lang w:eastAsia="en-US"/>
        </w:rPr>
        <w:t>2025</w:t>
      </w:r>
      <w:r w:rsidRPr="00DF7553">
        <w:rPr>
          <w:rFonts w:eastAsia="Calibri" w:cs="Tahoma"/>
          <w:lang w:eastAsia="en-US"/>
        </w:rPr>
        <w:t>,</w:t>
      </w:r>
      <w:r w:rsidRPr="0068784B">
        <w:rPr>
          <w:rFonts w:eastAsia="Calibri" w:cs="Tahoma"/>
          <w:lang w:eastAsia="en-US"/>
        </w:rPr>
        <w:t xml:space="preserve"> por ser este último el más antiguo, sustanciado bajo el índice de esta ponencia.</w:t>
      </w:r>
    </w:p>
    <w:p w14:paraId="5D585ECF" w14:textId="77777777" w:rsidR="00113E04" w:rsidRDefault="00113E04" w:rsidP="00C46274">
      <w:pPr>
        <w:spacing w:after="0" w:line="360" w:lineRule="auto"/>
      </w:pPr>
    </w:p>
    <w:p w14:paraId="223A106E" w14:textId="77777777" w:rsidR="00113E04" w:rsidRDefault="004476CB" w:rsidP="00C46274">
      <w:pPr>
        <w:spacing w:after="0" w:line="360" w:lineRule="auto"/>
      </w:pPr>
      <w:r>
        <w:rPr>
          <w:b/>
        </w:rPr>
        <w:t>d</w:t>
      </w:r>
      <w:r w:rsidR="00AB421C">
        <w:rPr>
          <w:b/>
        </w:rPr>
        <w:t xml:space="preserve">) Informe Justificado o manifestaciones. </w:t>
      </w:r>
      <w:r w:rsidR="00AB421C">
        <w:t xml:space="preserve">En lo que corresponde al Recurso de Revisión </w:t>
      </w:r>
      <w:r w:rsidR="00AB421C">
        <w:rPr>
          <w:b/>
        </w:rPr>
        <w:t xml:space="preserve">07316/INFOEM/IP/RR/2025 </w:t>
      </w:r>
      <w:r w:rsidR="00AB421C">
        <w:t xml:space="preserve">las partes fueron omisas en rendir manifestaciones. </w:t>
      </w:r>
    </w:p>
    <w:p w14:paraId="28950EA6" w14:textId="77777777" w:rsidR="00113E04" w:rsidRDefault="00113E04" w:rsidP="00C46274">
      <w:pPr>
        <w:spacing w:after="0" w:line="360" w:lineRule="auto"/>
      </w:pPr>
    </w:p>
    <w:p w14:paraId="795FC31A" w14:textId="77777777" w:rsidR="00113E04" w:rsidRDefault="00AB421C" w:rsidP="00C46274">
      <w:pPr>
        <w:spacing w:after="0" w:line="360" w:lineRule="auto"/>
      </w:pPr>
      <w:r>
        <w:t xml:space="preserve">En lo que corresponde al Recurso de Revisión </w:t>
      </w:r>
      <w:r>
        <w:rPr>
          <w:b/>
        </w:rPr>
        <w:t xml:space="preserve">07563/INFOEM/IP/RR/2025 </w:t>
      </w:r>
      <w:r>
        <w:t>en fecha nueve de julio de dos mil veinticinco, el Sujeto Obligado rindió su informe justificado, al tenor de lo siguiente</w:t>
      </w:r>
    </w:p>
    <w:p w14:paraId="69CCC39D" w14:textId="77777777" w:rsidR="00113E04" w:rsidRDefault="00113E04" w:rsidP="00C46274">
      <w:pPr>
        <w:spacing w:after="0" w:line="360" w:lineRule="auto"/>
      </w:pPr>
    </w:p>
    <w:p w14:paraId="6F7951F2" w14:textId="77777777" w:rsidR="00113E04" w:rsidRDefault="00AB421C" w:rsidP="00C46274">
      <w:pPr>
        <w:numPr>
          <w:ilvl w:val="0"/>
          <w:numId w:val="1"/>
        </w:numPr>
        <w:spacing w:after="0" w:line="360" w:lineRule="auto"/>
      </w:pPr>
      <w:r>
        <w:t>Acta de la Trigésima Tercera Sesión Extraordinaria del Comité de Transparencia.</w:t>
      </w:r>
    </w:p>
    <w:p w14:paraId="1C49B10B" w14:textId="77777777" w:rsidR="00113E04" w:rsidRDefault="00AB421C" w:rsidP="00C46274">
      <w:pPr>
        <w:numPr>
          <w:ilvl w:val="0"/>
          <w:numId w:val="1"/>
        </w:numPr>
        <w:spacing w:after="0" w:line="360" w:lineRule="auto"/>
      </w:pPr>
      <w:r>
        <w:t xml:space="preserve">Oficio de fecha veinticinco de junio de dos mil veinticinco, signado por el Subdirector de Recurso Humanos, mediante el cual ratificó su respuesta inicial. </w:t>
      </w:r>
    </w:p>
    <w:p w14:paraId="5219BDD9" w14:textId="77777777" w:rsidR="00113E04" w:rsidRDefault="00AB421C" w:rsidP="00C46274">
      <w:pPr>
        <w:numPr>
          <w:ilvl w:val="0"/>
          <w:numId w:val="1"/>
        </w:numPr>
        <w:spacing w:after="0" w:line="360" w:lineRule="auto"/>
      </w:pPr>
      <w:r>
        <w:t xml:space="preserve">Informe Justificado suscrito por la titular de la Unidad de Transparencia, mediante el cual solicita que se confirme la respuesta a la solicitud de información. </w:t>
      </w:r>
    </w:p>
    <w:p w14:paraId="40951948" w14:textId="77777777" w:rsidR="00113E04" w:rsidRDefault="00AB421C" w:rsidP="00C46274">
      <w:pPr>
        <w:numPr>
          <w:ilvl w:val="0"/>
          <w:numId w:val="1"/>
        </w:numPr>
        <w:spacing w:after="0" w:line="360" w:lineRule="auto"/>
      </w:pPr>
      <w:r>
        <w:t xml:space="preserve">Acta de la Décima Sesión Extraordinaria emitida por el Comité de Transparencia, mediante la cual se aprueba la versión pública de los documentos remitidos en respuesta. </w:t>
      </w:r>
    </w:p>
    <w:p w14:paraId="32F7A4C4" w14:textId="77777777" w:rsidR="00113E04" w:rsidRDefault="00113E04" w:rsidP="00C46274">
      <w:pPr>
        <w:spacing w:after="0" w:line="360" w:lineRule="auto"/>
      </w:pPr>
    </w:p>
    <w:p w14:paraId="6178C33A" w14:textId="77777777" w:rsidR="00113E04" w:rsidRDefault="00AB421C" w:rsidP="00C46274">
      <w:pPr>
        <w:spacing w:after="0" w:line="360" w:lineRule="auto"/>
      </w:pPr>
      <w:r>
        <w:t xml:space="preserve">Los referidos documentos se hicieron del conocimiento del particular en fecha trece de agosto de dos mil veinticinco. </w:t>
      </w:r>
    </w:p>
    <w:p w14:paraId="513B79D5" w14:textId="77777777" w:rsidR="00113E04" w:rsidRDefault="00AB421C" w:rsidP="00C46274">
      <w:pPr>
        <w:spacing w:after="0" w:line="360" w:lineRule="auto"/>
      </w:pPr>
      <w:r>
        <w:lastRenderedPageBreak/>
        <w:t>La parte Recurrente no realizó manifestaciones.</w:t>
      </w:r>
    </w:p>
    <w:p w14:paraId="62A988CB" w14:textId="77777777" w:rsidR="00C46274" w:rsidRDefault="00C46274" w:rsidP="00C46274">
      <w:pPr>
        <w:spacing w:after="0" w:line="360" w:lineRule="auto"/>
      </w:pPr>
    </w:p>
    <w:p w14:paraId="71BDCA66" w14:textId="77777777" w:rsidR="00113E04" w:rsidRDefault="004476CB" w:rsidP="00C46274">
      <w:pPr>
        <w:spacing w:after="0" w:line="360" w:lineRule="auto"/>
      </w:pPr>
      <w:r>
        <w:rPr>
          <w:b/>
        </w:rPr>
        <w:t>e</w:t>
      </w:r>
      <w:r w:rsidR="00AB421C">
        <w:rPr>
          <w:b/>
        </w:rPr>
        <w:t xml:space="preserve">) Ampliación de plazo para resolver. </w:t>
      </w:r>
      <w:r w:rsidR="00AB421C">
        <w:t>El siete y trece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SAIMEX.</w:t>
      </w:r>
    </w:p>
    <w:p w14:paraId="190AAC15" w14:textId="77777777" w:rsidR="00113E04" w:rsidRDefault="00113E04" w:rsidP="00C46274">
      <w:pPr>
        <w:spacing w:after="0" w:line="360" w:lineRule="auto"/>
      </w:pPr>
    </w:p>
    <w:p w14:paraId="49787360" w14:textId="5C75E87C" w:rsidR="00113E04" w:rsidRDefault="004476CB" w:rsidP="00C46274">
      <w:pPr>
        <w:spacing w:after="0" w:line="360" w:lineRule="auto"/>
      </w:pPr>
      <w:r>
        <w:rPr>
          <w:b/>
        </w:rPr>
        <w:t>f</w:t>
      </w:r>
      <w:r w:rsidR="00AB421C">
        <w:rPr>
          <w:b/>
        </w:rPr>
        <w:t>) Cierre de instrucción.</w:t>
      </w:r>
      <w:r w:rsidR="00AB421C">
        <w:t xml:space="preserve"> El </w:t>
      </w:r>
      <w:r w:rsidR="002C3618">
        <w:t xml:space="preserve">siete y </w:t>
      </w:r>
      <w:r w:rsidR="00AB421C">
        <w:t>diecinueve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2C3618">
        <w:t>.</w:t>
      </w:r>
    </w:p>
    <w:p w14:paraId="2CEF0A3C" w14:textId="77777777" w:rsidR="00113E04" w:rsidRDefault="00113E04" w:rsidP="00C46274">
      <w:pPr>
        <w:spacing w:after="0" w:line="360" w:lineRule="auto"/>
      </w:pPr>
    </w:p>
    <w:p w14:paraId="696869E6" w14:textId="77777777" w:rsidR="00113E04" w:rsidRDefault="00AB421C" w:rsidP="00C46274">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65B38F0B" w14:textId="77777777" w:rsidR="00113E04" w:rsidRDefault="00113E04" w:rsidP="00C46274">
      <w:pPr>
        <w:spacing w:after="0" w:line="360" w:lineRule="auto"/>
        <w:rPr>
          <w:color w:val="000000"/>
        </w:rPr>
      </w:pPr>
    </w:p>
    <w:p w14:paraId="348387D1" w14:textId="77777777" w:rsidR="00113E04" w:rsidRDefault="00AB421C" w:rsidP="00C46274">
      <w:pPr>
        <w:pStyle w:val="Ttulo1"/>
        <w:spacing w:before="0" w:after="0" w:line="360" w:lineRule="auto"/>
        <w:jc w:val="center"/>
        <w:rPr>
          <w:sz w:val="22"/>
          <w:szCs w:val="22"/>
        </w:rPr>
      </w:pPr>
      <w:bookmarkStart w:id="7" w:name="_Toc206688024"/>
      <w:r>
        <w:rPr>
          <w:sz w:val="22"/>
          <w:szCs w:val="22"/>
        </w:rPr>
        <w:t>C O N S I D E R A N D O S</w:t>
      </w:r>
      <w:bookmarkEnd w:id="7"/>
    </w:p>
    <w:p w14:paraId="34FE2934" w14:textId="77777777" w:rsidR="00113E04" w:rsidRDefault="00113E04" w:rsidP="00C46274">
      <w:pPr>
        <w:spacing w:after="0" w:line="360" w:lineRule="auto"/>
        <w:jc w:val="center"/>
        <w:rPr>
          <w:b/>
          <w:color w:val="000000"/>
        </w:rPr>
      </w:pPr>
    </w:p>
    <w:p w14:paraId="157F8649" w14:textId="77777777" w:rsidR="00113E04" w:rsidRDefault="00AB421C" w:rsidP="00C46274">
      <w:pPr>
        <w:pStyle w:val="Ttulo2"/>
        <w:spacing w:before="0" w:after="0" w:line="360" w:lineRule="auto"/>
        <w:rPr>
          <w:sz w:val="22"/>
          <w:szCs w:val="22"/>
        </w:rPr>
      </w:pPr>
      <w:bookmarkStart w:id="8" w:name="_Toc206688025"/>
      <w:r>
        <w:rPr>
          <w:sz w:val="22"/>
          <w:szCs w:val="22"/>
        </w:rPr>
        <w:t>PRIMERO. Competencia</w:t>
      </w:r>
      <w:bookmarkEnd w:id="8"/>
    </w:p>
    <w:p w14:paraId="584F628E" w14:textId="77777777" w:rsidR="00113E04" w:rsidRDefault="00113E04" w:rsidP="00C46274">
      <w:pPr>
        <w:spacing w:after="0" w:line="360" w:lineRule="auto"/>
      </w:pPr>
      <w:bookmarkStart w:id="9" w:name="_heading=h.30j0zll" w:colFirst="0" w:colLast="0"/>
      <w:bookmarkEnd w:id="9"/>
    </w:p>
    <w:p w14:paraId="7884B8B9" w14:textId="77777777" w:rsidR="00113E04" w:rsidRDefault="00AB421C" w:rsidP="00C46274">
      <w:pPr>
        <w:spacing w:after="0" w:line="360" w:lineRule="auto"/>
      </w:pPr>
      <w:r>
        <w:t xml:space="preserve">El Instituto de Transparencia, Acceso a la Información Pública y Protección de Datos Personales del Estado de México y Municipios, es competente para conocer y resolver el </w:t>
      </w:r>
      <w:r>
        <w:lastRenderedPageBreak/>
        <w:t>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AF9AEE" w14:textId="77777777" w:rsidR="00113E04" w:rsidRDefault="00113E04" w:rsidP="00C46274">
      <w:pPr>
        <w:spacing w:after="0" w:line="360" w:lineRule="auto"/>
        <w:rPr>
          <w:b/>
          <w:color w:val="000000"/>
        </w:rPr>
      </w:pPr>
    </w:p>
    <w:p w14:paraId="69D74A8A" w14:textId="77777777" w:rsidR="00113E04" w:rsidRDefault="00AB421C" w:rsidP="00C46274">
      <w:pPr>
        <w:pStyle w:val="Ttulo2"/>
        <w:spacing w:before="0" w:after="0" w:line="360" w:lineRule="auto"/>
        <w:rPr>
          <w:sz w:val="22"/>
          <w:szCs w:val="22"/>
        </w:rPr>
      </w:pPr>
      <w:bookmarkStart w:id="10" w:name="_Toc206688026"/>
      <w:r>
        <w:rPr>
          <w:sz w:val="22"/>
          <w:szCs w:val="22"/>
        </w:rPr>
        <w:t>SEGUNDO. Causales de improcedencia y sobreseimiento</w:t>
      </w:r>
      <w:bookmarkEnd w:id="10"/>
    </w:p>
    <w:p w14:paraId="0353852D" w14:textId="77777777" w:rsidR="00113E04" w:rsidRDefault="00113E04" w:rsidP="00C46274">
      <w:pPr>
        <w:spacing w:after="0" w:line="360" w:lineRule="auto"/>
        <w:rPr>
          <w:color w:val="000000"/>
        </w:rPr>
      </w:pPr>
    </w:p>
    <w:p w14:paraId="3628B82F" w14:textId="77777777" w:rsidR="00113E04" w:rsidRDefault="00AB421C" w:rsidP="00C46274">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532EBCB1" w14:textId="77777777" w:rsidR="00113E04" w:rsidRDefault="00113E04" w:rsidP="00C46274">
      <w:pPr>
        <w:spacing w:after="0" w:line="360" w:lineRule="auto"/>
        <w:rPr>
          <w:color w:val="000000"/>
        </w:rPr>
      </w:pPr>
    </w:p>
    <w:p w14:paraId="4309A612" w14:textId="77777777" w:rsidR="00113E04" w:rsidRDefault="00AB421C" w:rsidP="00C46274">
      <w:pPr>
        <w:spacing w:after="0" w:line="360" w:lineRule="auto"/>
        <w:rPr>
          <w:b/>
        </w:rPr>
      </w:pPr>
      <w:r>
        <w:rPr>
          <w:b/>
        </w:rPr>
        <w:t>Causales de improcedencia</w:t>
      </w:r>
    </w:p>
    <w:p w14:paraId="6434DD39" w14:textId="77777777" w:rsidR="00113E04" w:rsidRDefault="00113E04" w:rsidP="00C46274">
      <w:pPr>
        <w:spacing w:after="0" w:line="360" w:lineRule="auto"/>
        <w:rPr>
          <w:b/>
        </w:rPr>
      </w:pPr>
    </w:p>
    <w:p w14:paraId="5B17C7FF" w14:textId="77777777" w:rsidR="00113E04" w:rsidRDefault="00AB421C" w:rsidP="00C46274">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6057E1" w14:textId="77777777" w:rsidR="00113E04" w:rsidRDefault="00113E04" w:rsidP="00C46274">
      <w:pPr>
        <w:spacing w:after="0" w:line="360" w:lineRule="auto"/>
        <w:rPr>
          <w:color w:val="000000"/>
        </w:rPr>
      </w:pPr>
    </w:p>
    <w:p w14:paraId="1D182F34" w14:textId="77777777" w:rsidR="00113E04" w:rsidRDefault="00AB421C" w:rsidP="00C46274">
      <w:pPr>
        <w:spacing w:after="0" w:line="360" w:lineRule="auto"/>
        <w:rPr>
          <w:color w:val="000000"/>
        </w:rPr>
      </w:pPr>
      <w:r>
        <w:rPr>
          <w:color w:val="000000"/>
        </w:rPr>
        <w:lastRenderedPageBreak/>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3D796E9" w14:textId="77777777" w:rsidR="00113E04" w:rsidRDefault="00113E04" w:rsidP="00C46274">
      <w:pPr>
        <w:spacing w:after="0" w:line="360" w:lineRule="auto"/>
        <w:rPr>
          <w:color w:val="000000"/>
        </w:rPr>
      </w:pPr>
    </w:p>
    <w:p w14:paraId="40C54B40" w14:textId="77777777" w:rsidR="00113E04" w:rsidRDefault="00AB421C" w:rsidP="00C46274">
      <w:pPr>
        <w:spacing w:after="0" w:line="360" w:lineRule="auto"/>
      </w:pPr>
      <w:r>
        <w:t>Por lo cual, se actualiza la causal de procedencia del Recurso de Revisión señalada en el artículo 179, fracción II, de la Ley en cita, pues la persona Recurrente se inconformó de la clasificación de la información.</w:t>
      </w:r>
    </w:p>
    <w:p w14:paraId="6BE4B196" w14:textId="77777777" w:rsidR="00113E04" w:rsidRDefault="00113E04" w:rsidP="00C46274">
      <w:pPr>
        <w:spacing w:after="0" w:line="360" w:lineRule="auto"/>
      </w:pPr>
    </w:p>
    <w:p w14:paraId="3F7DB171" w14:textId="77777777" w:rsidR="00113E04" w:rsidRDefault="00AB421C" w:rsidP="00C46274">
      <w:pPr>
        <w:spacing w:after="0" w:line="360" w:lineRule="auto"/>
        <w:rPr>
          <w:color w:val="0D0D0D"/>
        </w:rPr>
      </w:pPr>
      <w:r>
        <w:rPr>
          <w:b/>
          <w:color w:val="0D0D0D"/>
        </w:rPr>
        <w:t>Causales de sobreseimiento</w:t>
      </w:r>
    </w:p>
    <w:p w14:paraId="540D0FE5" w14:textId="77777777" w:rsidR="00113E04" w:rsidRDefault="00113E04" w:rsidP="00C46274">
      <w:pPr>
        <w:spacing w:after="0" w:line="360" w:lineRule="auto"/>
        <w:rPr>
          <w:color w:val="0D0D0D"/>
        </w:rPr>
      </w:pPr>
    </w:p>
    <w:p w14:paraId="1427A7D9" w14:textId="77777777" w:rsidR="00347D24" w:rsidRDefault="00347D24" w:rsidP="00C46274">
      <w:pPr>
        <w:spacing w:after="0" w:line="360" w:lineRule="auto"/>
      </w:pPr>
      <w:r>
        <w:t>Por ser de previo y especial pronunciamiento, este Instituto analiza si se actualiza alguna causal de sobreseimiento.</w:t>
      </w:r>
    </w:p>
    <w:p w14:paraId="505EF9A3" w14:textId="77777777" w:rsidR="00347D24" w:rsidRDefault="00347D24" w:rsidP="00C46274">
      <w:pPr>
        <w:spacing w:after="0" w:line="360" w:lineRule="auto"/>
      </w:pPr>
    </w:p>
    <w:p w14:paraId="669BB8D4" w14:textId="77777777" w:rsidR="00347D24" w:rsidRDefault="00347D24" w:rsidP="00C46274">
      <w:pPr>
        <w:spacing w:after="0" w:line="360" w:lineRule="auto"/>
      </w:pPr>
      <w: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b/>
        </w:rPr>
        <w:t>que no se actualizan los supuestos de sobreseimiento previstos en las fracciones I, II, IV y V</w:t>
      </w:r>
      <w: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7F0E9C51" w14:textId="77777777" w:rsidR="00347D24" w:rsidRDefault="00347D24" w:rsidP="00C46274">
      <w:pPr>
        <w:spacing w:after="0" w:line="360" w:lineRule="auto"/>
      </w:pPr>
    </w:p>
    <w:p w14:paraId="6E8FC091" w14:textId="77777777" w:rsidR="00113E04" w:rsidRDefault="00347D24" w:rsidP="00C46274">
      <w:pPr>
        <w:spacing w:after="0" w:line="360" w:lineRule="auto"/>
      </w:pPr>
      <w:r>
        <w:t xml:space="preserve">No obstante, por lo que hace a la fracción III, del artículo 192, de la Ley de la materia, es de señalar que el Sujeto Obligado modificó su respuesta, durante la sustanciación del Medio de </w:t>
      </w:r>
      <w:r>
        <w:lastRenderedPageBreak/>
        <w:t xml:space="preserve">Impugnación; por lo que, se estima procedente entrar al estudio de dicha causal de sobreseimiento, para lo cual, </w:t>
      </w:r>
      <w:r w:rsidR="00AB421C">
        <w:rPr>
          <w:color w:val="000000"/>
        </w:rPr>
        <w:t xml:space="preserve">se advierte que </w:t>
      </w:r>
      <w:r>
        <w:rPr>
          <w:color w:val="000000"/>
        </w:rPr>
        <w:t>en lo que corresponde a</w:t>
      </w:r>
      <w:r w:rsidR="00AB421C">
        <w:rPr>
          <w:color w:val="000000"/>
        </w:rPr>
        <w:t xml:space="preserve">l Recurso de </w:t>
      </w:r>
      <w:r w:rsidR="00AB421C">
        <w:t xml:space="preserve">Revisión </w:t>
      </w:r>
      <w:r w:rsidR="00AB421C">
        <w:rPr>
          <w:b/>
        </w:rPr>
        <w:t xml:space="preserve">07563/INFOEM/IP/RR/2025 </w:t>
      </w:r>
      <w:r w:rsidR="00AB421C">
        <w:t>se solicitaron los recibos de nómina de la segunda quincena de mayo de dos mil veinticinco de todos los servidores públicos adscritos al ayuntamiento.</w:t>
      </w:r>
    </w:p>
    <w:p w14:paraId="1BDB5F4F" w14:textId="77777777" w:rsidR="00113E04" w:rsidRDefault="00113E04" w:rsidP="00C46274">
      <w:pPr>
        <w:spacing w:after="0" w:line="360" w:lineRule="auto"/>
      </w:pPr>
    </w:p>
    <w:p w14:paraId="49E40B14" w14:textId="77777777" w:rsidR="00113E04" w:rsidRDefault="00AB421C" w:rsidP="00C46274">
      <w:pPr>
        <w:spacing w:after="0" w:line="360" w:lineRule="auto"/>
      </w:pPr>
      <w:r>
        <w:t>En respuesta, el Sujeto Obligado proporcionó novecientos diez recibos de nómina, en versión pública, no obstante, la parte Recurrente se inconformo señalando que la información se encontraba incompleta, además de que no se remitió el acuerdo de clasificación correspondiente, lo cual actualiza la causal de procedencia establecida en el artículo 179, fracción V, de la Ley de la materia.</w:t>
      </w:r>
    </w:p>
    <w:p w14:paraId="4C89CCA4" w14:textId="77777777" w:rsidR="00113E04" w:rsidRDefault="00113E04" w:rsidP="00C46274">
      <w:pPr>
        <w:spacing w:after="0" w:line="360" w:lineRule="auto"/>
      </w:pPr>
    </w:p>
    <w:p w14:paraId="5D7C8944" w14:textId="77777777" w:rsidR="00113E04" w:rsidRDefault="00AB421C" w:rsidP="00C46274">
      <w:pPr>
        <w:spacing w:after="0" w:line="360" w:lineRule="auto"/>
      </w:pPr>
      <w:r>
        <w:t xml:space="preserve">Es así que mediante informe justificado, el Sujeto Obligado hizo entrega del Acta de la Décima Sesión Extraordinaria emitida por el Comité de Transparencia, mediante la cual se aprueba la versión pública de los recibos de nómina remitidos en respuesta. </w:t>
      </w:r>
    </w:p>
    <w:p w14:paraId="0DAADFCE" w14:textId="77777777" w:rsidR="00113E04" w:rsidRDefault="00113E04" w:rsidP="00C46274">
      <w:pPr>
        <w:spacing w:after="0" w:line="360" w:lineRule="auto"/>
      </w:pPr>
    </w:p>
    <w:p w14:paraId="6F589D1A" w14:textId="77777777" w:rsidR="00AB421C" w:rsidRDefault="00AB421C" w:rsidP="00C46274">
      <w:pPr>
        <w:spacing w:after="0" w:line="360" w:lineRule="auto"/>
      </w:pPr>
      <w:r>
        <w:t>Por lo anterior, resulta dable contextualizar la información solicitada, para ello,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358FE249" w14:textId="77777777" w:rsidR="00AB421C" w:rsidRDefault="00AB421C" w:rsidP="00C46274">
      <w:pPr>
        <w:spacing w:after="0" w:line="360" w:lineRule="auto"/>
        <w:ind w:right="-28"/>
      </w:pPr>
    </w:p>
    <w:p w14:paraId="6BE8DD76" w14:textId="77777777" w:rsidR="00AB421C" w:rsidRDefault="00AB421C" w:rsidP="00C46274">
      <w:pPr>
        <w:spacing w:after="0" w:line="360" w:lineRule="auto"/>
        <w:ind w:right="-28"/>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F84FAFD" w14:textId="77777777" w:rsidR="00AB421C" w:rsidRDefault="00AB421C" w:rsidP="00C46274">
      <w:pPr>
        <w:tabs>
          <w:tab w:val="left" w:pos="4962"/>
        </w:tabs>
        <w:spacing w:after="0" w:line="360" w:lineRule="auto"/>
      </w:pPr>
    </w:p>
    <w:p w14:paraId="0B9DB752" w14:textId="77777777" w:rsidR="00AB421C" w:rsidRDefault="00AB421C" w:rsidP="00C46274">
      <w:pPr>
        <w:tabs>
          <w:tab w:val="left" w:pos="4962"/>
        </w:tabs>
        <w:spacing w:after="0" w:line="360" w:lineRule="auto"/>
      </w:pPr>
      <w:r>
        <w:lastRenderedPageBreak/>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C8E7E7C" w14:textId="77777777" w:rsidR="00AB421C" w:rsidRDefault="00AB421C" w:rsidP="00C46274">
      <w:pPr>
        <w:tabs>
          <w:tab w:val="left" w:pos="4962"/>
        </w:tabs>
        <w:spacing w:after="0" w:line="360" w:lineRule="auto"/>
      </w:pPr>
    </w:p>
    <w:p w14:paraId="41972FA4" w14:textId="77777777" w:rsidR="00AB421C" w:rsidRDefault="00AB421C" w:rsidP="00C46274">
      <w:pPr>
        <w:tabs>
          <w:tab w:val="left" w:pos="4962"/>
        </w:tabs>
        <w:spacing w:after="0" w:line="360" w:lineRule="auto"/>
      </w:pPr>
      <w:r>
        <w:t>En ese orden de ideas, los Lineamientos para la integración y presentación de los Informes Trimestrales Estatales y Municipales del Ejercicio Fiscal 2025, establecen que el Sujeto Obligado deberá entregar al Órgano Superior de Fiscalización, la Conciliación de Nómina (1 y 2), en donde se encuentran los comprobantes fiscales digitales, por concepto de pago de nómina.</w:t>
      </w:r>
    </w:p>
    <w:p w14:paraId="600B8330" w14:textId="77777777" w:rsidR="00670410" w:rsidRDefault="00670410" w:rsidP="00C46274">
      <w:pPr>
        <w:tabs>
          <w:tab w:val="left" w:pos="4962"/>
        </w:tabs>
        <w:spacing w:after="0" w:line="360" w:lineRule="auto"/>
      </w:pPr>
    </w:p>
    <w:p w14:paraId="34B4B5C2" w14:textId="77777777" w:rsidR="00670410" w:rsidRDefault="00670410" w:rsidP="00C46274">
      <w:pPr>
        <w:tabs>
          <w:tab w:val="left" w:pos="5387"/>
        </w:tabs>
        <w:spacing w:after="0" w:line="360" w:lineRule="auto"/>
      </w:pPr>
      <w:r>
        <w:t xml:space="preserve">En lo que corresponde al Sujeto Obligado, el Bando Municipal de Zinacantepec 2025, refiere en su artículo 21 que, el Presidente Municipal para el ejercicio de sus funciones, se auxiliará de las siguientes unidades administrativas: </w:t>
      </w:r>
    </w:p>
    <w:p w14:paraId="13ADADD8" w14:textId="77777777" w:rsidR="00670410" w:rsidRDefault="00670410" w:rsidP="00C46274">
      <w:pPr>
        <w:tabs>
          <w:tab w:val="left" w:pos="5387"/>
          <w:tab w:val="left" w:pos="8222"/>
        </w:tabs>
        <w:spacing w:after="0" w:line="360" w:lineRule="auto"/>
        <w:ind w:left="567" w:right="709"/>
      </w:pPr>
    </w:p>
    <w:p w14:paraId="08F2ED32" w14:textId="77777777" w:rsidR="00670410" w:rsidRDefault="00670410" w:rsidP="00C46274">
      <w:pPr>
        <w:tabs>
          <w:tab w:val="left" w:pos="5387"/>
          <w:tab w:val="left" w:pos="8222"/>
        </w:tabs>
        <w:spacing w:after="0" w:line="360" w:lineRule="auto"/>
        <w:ind w:left="567" w:right="709"/>
      </w:pPr>
      <w:r>
        <w:t xml:space="preserve">I. Secretaría Particular </w:t>
      </w:r>
    </w:p>
    <w:p w14:paraId="6A8253B4" w14:textId="77777777" w:rsidR="00670410" w:rsidRDefault="00670410" w:rsidP="00C46274">
      <w:pPr>
        <w:tabs>
          <w:tab w:val="left" w:pos="5387"/>
          <w:tab w:val="left" w:pos="8222"/>
        </w:tabs>
        <w:spacing w:after="0" w:line="360" w:lineRule="auto"/>
        <w:ind w:left="567" w:right="709"/>
      </w:pPr>
      <w:r>
        <w:t xml:space="preserve">II. Secretaría Técnica </w:t>
      </w:r>
    </w:p>
    <w:p w14:paraId="24D2179B" w14:textId="77777777" w:rsidR="00670410" w:rsidRDefault="00670410" w:rsidP="00C46274">
      <w:pPr>
        <w:tabs>
          <w:tab w:val="left" w:pos="5387"/>
          <w:tab w:val="left" w:pos="8222"/>
        </w:tabs>
        <w:spacing w:after="0" w:line="360" w:lineRule="auto"/>
        <w:ind w:left="567" w:right="709"/>
      </w:pPr>
      <w:r>
        <w:t>III. Unidad de Información, Planeación, Programación y Evaluación</w:t>
      </w:r>
    </w:p>
    <w:p w14:paraId="2AE04869" w14:textId="77777777" w:rsidR="00670410" w:rsidRDefault="00670410" w:rsidP="00C46274">
      <w:pPr>
        <w:tabs>
          <w:tab w:val="left" w:pos="5387"/>
          <w:tab w:val="left" w:pos="8222"/>
        </w:tabs>
        <w:spacing w:after="0" w:line="360" w:lineRule="auto"/>
        <w:ind w:left="567" w:right="709"/>
      </w:pPr>
      <w:r>
        <w:t xml:space="preserve">IV. Coordinación Municipal de Mejora Regulatoria. </w:t>
      </w:r>
    </w:p>
    <w:p w14:paraId="7946B956" w14:textId="77777777" w:rsidR="00670410" w:rsidRDefault="00670410" w:rsidP="00C46274">
      <w:pPr>
        <w:tabs>
          <w:tab w:val="left" w:pos="5387"/>
          <w:tab w:val="left" w:pos="8222"/>
        </w:tabs>
        <w:spacing w:after="0" w:line="360" w:lineRule="auto"/>
        <w:ind w:left="567" w:right="709"/>
      </w:pPr>
      <w:r>
        <w:t xml:space="preserve">V. Unidad de Transparencia. </w:t>
      </w:r>
    </w:p>
    <w:p w14:paraId="2941063D" w14:textId="77777777" w:rsidR="00670410" w:rsidRDefault="00670410" w:rsidP="00C46274">
      <w:pPr>
        <w:tabs>
          <w:tab w:val="left" w:pos="5387"/>
          <w:tab w:val="left" w:pos="8222"/>
        </w:tabs>
        <w:spacing w:after="0" w:line="360" w:lineRule="auto"/>
        <w:ind w:left="567" w:right="709"/>
      </w:pPr>
      <w:r>
        <w:t xml:space="preserve">VI. Secretaría Técnica del Consejo Municipal de Seguridad Pública. </w:t>
      </w:r>
    </w:p>
    <w:p w14:paraId="3E991E83" w14:textId="77777777" w:rsidR="00670410" w:rsidRDefault="00670410" w:rsidP="00C46274">
      <w:pPr>
        <w:tabs>
          <w:tab w:val="left" w:pos="5387"/>
          <w:tab w:val="left" w:pos="8222"/>
        </w:tabs>
        <w:spacing w:after="0" w:line="360" w:lineRule="auto"/>
        <w:ind w:left="567" w:right="709"/>
      </w:pPr>
      <w:r>
        <w:t xml:space="preserve">VII. Las demás que determine crear el Ayuntamiento a propuesta del Presidente Municipal. </w:t>
      </w:r>
    </w:p>
    <w:p w14:paraId="133464F4" w14:textId="77777777" w:rsidR="00670410" w:rsidRDefault="00670410" w:rsidP="00C46274">
      <w:pPr>
        <w:tabs>
          <w:tab w:val="left" w:pos="5387"/>
          <w:tab w:val="left" w:pos="8222"/>
        </w:tabs>
        <w:spacing w:after="0" w:line="360" w:lineRule="auto"/>
        <w:ind w:left="567" w:right="709"/>
      </w:pPr>
    </w:p>
    <w:p w14:paraId="5C11A48E" w14:textId="77777777" w:rsidR="00670410" w:rsidRDefault="00670410" w:rsidP="00C46274">
      <w:pPr>
        <w:tabs>
          <w:tab w:val="left" w:pos="5387"/>
          <w:tab w:val="left" w:pos="8222"/>
        </w:tabs>
        <w:spacing w:after="0" w:line="360" w:lineRule="auto"/>
        <w:ind w:left="567" w:right="709"/>
      </w:pPr>
      <w:r>
        <w:lastRenderedPageBreak/>
        <w:t>Asimismo, el artículo en cita establece que para el despacho de los asuntos municipales, el Ayuntamiento se auxiliará de dependencias, organismos públicos descentralizados, desconcentrados y autónomos de la administración pública municipal, siendo los siguientes:</w:t>
      </w:r>
    </w:p>
    <w:p w14:paraId="2BE2B31B" w14:textId="77777777" w:rsidR="00670410" w:rsidRDefault="00670410" w:rsidP="00C46274">
      <w:pPr>
        <w:tabs>
          <w:tab w:val="left" w:pos="5387"/>
          <w:tab w:val="left" w:pos="8222"/>
        </w:tabs>
        <w:spacing w:after="0" w:line="360" w:lineRule="auto"/>
        <w:ind w:left="567" w:right="709"/>
      </w:pPr>
    </w:p>
    <w:p w14:paraId="32FDCC48" w14:textId="77777777" w:rsidR="00670410" w:rsidRDefault="00670410" w:rsidP="00C46274">
      <w:pPr>
        <w:tabs>
          <w:tab w:val="left" w:pos="5387"/>
          <w:tab w:val="left" w:pos="8222"/>
        </w:tabs>
        <w:spacing w:after="0" w:line="360" w:lineRule="auto"/>
        <w:ind w:left="567" w:right="709"/>
      </w:pPr>
      <w:r>
        <w:t xml:space="preserve">I. DEPENDENCIAS ADMINISTRATIVAS: </w:t>
      </w:r>
    </w:p>
    <w:p w14:paraId="4D92A5D8" w14:textId="77777777" w:rsidR="00670410" w:rsidRDefault="00670410" w:rsidP="00C46274">
      <w:pPr>
        <w:tabs>
          <w:tab w:val="left" w:pos="5387"/>
          <w:tab w:val="left" w:pos="8222"/>
        </w:tabs>
        <w:spacing w:after="0" w:line="360" w:lineRule="auto"/>
        <w:ind w:left="567" w:right="709"/>
      </w:pPr>
      <w:r>
        <w:t xml:space="preserve">1. Secretaría del Ayuntamiento </w:t>
      </w:r>
    </w:p>
    <w:p w14:paraId="0DF13872" w14:textId="77777777" w:rsidR="00670410" w:rsidRDefault="00670410" w:rsidP="00C46274">
      <w:pPr>
        <w:tabs>
          <w:tab w:val="left" w:pos="5387"/>
          <w:tab w:val="left" w:pos="8222"/>
        </w:tabs>
        <w:spacing w:after="0" w:line="360" w:lineRule="auto"/>
        <w:ind w:left="567" w:right="709"/>
      </w:pPr>
      <w:r>
        <w:t>2. Tesorería Municipal.</w:t>
      </w:r>
    </w:p>
    <w:p w14:paraId="7A0F333E" w14:textId="77777777" w:rsidR="00670410" w:rsidRDefault="00670410" w:rsidP="00C46274">
      <w:pPr>
        <w:tabs>
          <w:tab w:val="left" w:pos="5387"/>
          <w:tab w:val="left" w:pos="8222"/>
        </w:tabs>
        <w:spacing w:after="0" w:line="360" w:lineRule="auto"/>
        <w:ind w:left="567" w:right="709"/>
      </w:pPr>
      <w:r>
        <w:t xml:space="preserve"> 3. Órgano Interno de Control Municipal </w:t>
      </w:r>
    </w:p>
    <w:p w14:paraId="342DDCD1" w14:textId="77777777" w:rsidR="00670410" w:rsidRDefault="00670410" w:rsidP="00C46274">
      <w:pPr>
        <w:tabs>
          <w:tab w:val="left" w:pos="5387"/>
          <w:tab w:val="left" w:pos="8222"/>
        </w:tabs>
        <w:spacing w:after="0" w:line="360" w:lineRule="auto"/>
        <w:ind w:left="567" w:right="709"/>
      </w:pPr>
      <w:r>
        <w:t xml:space="preserve">4. Dirección de Administración. </w:t>
      </w:r>
    </w:p>
    <w:p w14:paraId="5E7D0B2D" w14:textId="77777777" w:rsidR="00670410" w:rsidRDefault="00670410" w:rsidP="00C46274">
      <w:pPr>
        <w:tabs>
          <w:tab w:val="left" w:pos="5387"/>
          <w:tab w:val="left" w:pos="8222"/>
        </w:tabs>
        <w:spacing w:after="0" w:line="360" w:lineRule="auto"/>
        <w:ind w:left="567" w:right="709"/>
      </w:pPr>
      <w:r>
        <w:t xml:space="preserve">5. Dirección de Obras Públicas. </w:t>
      </w:r>
    </w:p>
    <w:p w14:paraId="7E22A199" w14:textId="77777777" w:rsidR="00670410" w:rsidRDefault="00670410" w:rsidP="00C46274">
      <w:pPr>
        <w:tabs>
          <w:tab w:val="left" w:pos="5387"/>
          <w:tab w:val="left" w:pos="8222"/>
        </w:tabs>
        <w:spacing w:after="0" w:line="360" w:lineRule="auto"/>
        <w:ind w:left="567" w:right="709"/>
      </w:pPr>
      <w:r>
        <w:t xml:space="preserve">6. Dirección de Desarrollo Metropolitano y Movilidad. </w:t>
      </w:r>
    </w:p>
    <w:p w14:paraId="119E6C23" w14:textId="77777777" w:rsidR="00670410" w:rsidRDefault="00670410" w:rsidP="00C46274">
      <w:pPr>
        <w:tabs>
          <w:tab w:val="left" w:pos="5387"/>
          <w:tab w:val="left" w:pos="8222"/>
        </w:tabs>
        <w:spacing w:after="0" w:line="360" w:lineRule="auto"/>
        <w:ind w:left="567" w:right="709"/>
      </w:pPr>
      <w:r>
        <w:t>7. Dirección de Desarrollo Territorial y Urbano.</w:t>
      </w:r>
    </w:p>
    <w:p w14:paraId="05A73071" w14:textId="77777777" w:rsidR="00670410" w:rsidRDefault="00670410" w:rsidP="00C46274">
      <w:pPr>
        <w:tabs>
          <w:tab w:val="left" w:pos="5387"/>
          <w:tab w:val="left" w:pos="8222"/>
        </w:tabs>
        <w:spacing w:after="0" w:line="360" w:lineRule="auto"/>
        <w:ind w:left="567" w:right="709"/>
      </w:pPr>
      <w:r>
        <w:t xml:space="preserve">8. Dirección de Desarrollo Económico. </w:t>
      </w:r>
    </w:p>
    <w:p w14:paraId="79FA1B97" w14:textId="77777777" w:rsidR="00670410" w:rsidRDefault="00670410" w:rsidP="00C46274">
      <w:pPr>
        <w:tabs>
          <w:tab w:val="left" w:pos="5387"/>
          <w:tab w:val="left" w:pos="8222"/>
        </w:tabs>
        <w:spacing w:after="0" w:line="360" w:lineRule="auto"/>
        <w:ind w:left="567" w:right="709"/>
      </w:pPr>
      <w:r>
        <w:t xml:space="preserve">9. Dirección de Desarrollo Social. </w:t>
      </w:r>
    </w:p>
    <w:p w14:paraId="0B016712" w14:textId="77777777" w:rsidR="00670410" w:rsidRDefault="00670410" w:rsidP="00C46274">
      <w:pPr>
        <w:tabs>
          <w:tab w:val="left" w:pos="5387"/>
          <w:tab w:val="left" w:pos="8222"/>
        </w:tabs>
        <w:spacing w:after="0" w:line="360" w:lineRule="auto"/>
        <w:ind w:left="567" w:right="709"/>
      </w:pPr>
      <w:r>
        <w:t xml:space="preserve">10. Dirección de Seguridad Pública y Tránsito. </w:t>
      </w:r>
    </w:p>
    <w:p w14:paraId="4FDBD0B7" w14:textId="77777777" w:rsidR="00670410" w:rsidRDefault="00670410" w:rsidP="00C46274">
      <w:pPr>
        <w:tabs>
          <w:tab w:val="left" w:pos="5387"/>
          <w:tab w:val="left" w:pos="8222"/>
        </w:tabs>
        <w:spacing w:after="0" w:line="360" w:lineRule="auto"/>
        <w:ind w:left="567" w:right="709"/>
      </w:pPr>
      <w:r>
        <w:t xml:space="preserve">11. Dirección de Servicios Públicos. </w:t>
      </w:r>
    </w:p>
    <w:p w14:paraId="3EE2D8A5" w14:textId="77777777" w:rsidR="00670410" w:rsidRDefault="00670410" w:rsidP="00C46274">
      <w:pPr>
        <w:tabs>
          <w:tab w:val="left" w:pos="5387"/>
          <w:tab w:val="left" w:pos="8222"/>
        </w:tabs>
        <w:spacing w:after="0" w:line="360" w:lineRule="auto"/>
        <w:ind w:left="567" w:right="709"/>
      </w:pPr>
      <w:r>
        <w:t xml:space="preserve">12. Dirección de Medio Ambiente. </w:t>
      </w:r>
    </w:p>
    <w:p w14:paraId="1F9DF574" w14:textId="77777777" w:rsidR="00670410" w:rsidRDefault="00670410" w:rsidP="00C46274">
      <w:pPr>
        <w:tabs>
          <w:tab w:val="left" w:pos="5387"/>
          <w:tab w:val="left" w:pos="8222"/>
        </w:tabs>
        <w:spacing w:after="0" w:line="360" w:lineRule="auto"/>
        <w:ind w:left="567" w:right="709"/>
      </w:pPr>
      <w:r>
        <w:t xml:space="preserve">13. Dirección de Cultura y Turismo. </w:t>
      </w:r>
    </w:p>
    <w:p w14:paraId="09DE2FDF" w14:textId="77777777" w:rsidR="00670410" w:rsidRDefault="00670410" w:rsidP="00C46274">
      <w:pPr>
        <w:tabs>
          <w:tab w:val="left" w:pos="5387"/>
          <w:tab w:val="left" w:pos="8222"/>
        </w:tabs>
        <w:spacing w:after="0" w:line="360" w:lineRule="auto"/>
        <w:ind w:left="567" w:right="709"/>
      </w:pPr>
      <w:r>
        <w:t xml:space="preserve">14. Dirección de Educación. </w:t>
      </w:r>
    </w:p>
    <w:p w14:paraId="2BDF317D" w14:textId="77777777" w:rsidR="00670410" w:rsidRDefault="00670410" w:rsidP="00C46274">
      <w:pPr>
        <w:tabs>
          <w:tab w:val="left" w:pos="5387"/>
          <w:tab w:val="left" w:pos="8222"/>
        </w:tabs>
        <w:spacing w:after="0" w:line="360" w:lineRule="auto"/>
        <w:ind w:left="567" w:right="709"/>
      </w:pPr>
      <w:r>
        <w:t xml:space="preserve">15. Dirección de Gobernación. </w:t>
      </w:r>
    </w:p>
    <w:p w14:paraId="2C7A5A15" w14:textId="77777777" w:rsidR="00670410" w:rsidRDefault="00670410" w:rsidP="00C46274">
      <w:pPr>
        <w:tabs>
          <w:tab w:val="left" w:pos="5387"/>
          <w:tab w:val="left" w:pos="8222"/>
        </w:tabs>
        <w:spacing w:after="0" w:line="360" w:lineRule="auto"/>
        <w:ind w:left="567" w:right="709"/>
      </w:pPr>
      <w:r>
        <w:t xml:space="preserve">16. Dirección de la Mujer </w:t>
      </w:r>
    </w:p>
    <w:p w14:paraId="6CDEB104" w14:textId="77777777" w:rsidR="00670410" w:rsidRDefault="00670410" w:rsidP="00C46274">
      <w:pPr>
        <w:tabs>
          <w:tab w:val="left" w:pos="5387"/>
          <w:tab w:val="left" w:pos="8222"/>
        </w:tabs>
        <w:spacing w:after="0" w:line="360" w:lineRule="auto"/>
        <w:ind w:left="567" w:right="709"/>
      </w:pPr>
      <w:r>
        <w:t xml:space="preserve">17. Dirección Jurídica. </w:t>
      </w:r>
    </w:p>
    <w:p w14:paraId="3639DB0B" w14:textId="77777777" w:rsidR="00670410" w:rsidRDefault="00670410" w:rsidP="00C46274">
      <w:pPr>
        <w:tabs>
          <w:tab w:val="left" w:pos="5387"/>
          <w:tab w:val="left" w:pos="8222"/>
        </w:tabs>
        <w:spacing w:after="0" w:line="360" w:lineRule="auto"/>
        <w:ind w:right="709"/>
      </w:pPr>
    </w:p>
    <w:p w14:paraId="649500BF" w14:textId="77777777" w:rsidR="00670410" w:rsidRPr="00670410" w:rsidRDefault="00670410" w:rsidP="00C46274">
      <w:pPr>
        <w:tabs>
          <w:tab w:val="left" w:pos="5387"/>
          <w:tab w:val="left" w:pos="8222"/>
        </w:tabs>
        <w:spacing w:after="0" w:line="360" w:lineRule="auto"/>
        <w:ind w:left="567" w:right="709"/>
        <w:rPr>
          <w:b/>
        </w:rPr>
      </w:pPr>
      <w:r w:rsidRPr="00670410">
        <w:rPr>
          <w:b/>
        </w:rPr>
        <w:t>III. ORGANISMO DESCONCENTRADO:</w:t>
      </w:r>
    </w:p>
    <w:p w14:paraId="434A91BA" w14:textId="77777777" w:rsidR="00670410" w:rsidRDefault="00670410" w:rsidP="00C46274">
      <w:pPr>
        <w:tabs>
          <w:tab w:val="left" w:pos="5387"/>
          <w:tab w:val="left" w:pos="8222"/>
        </w:tabs>
        <w:spacing w:after="0" w:line="360" w:lineRule="auto"/>
        <w:ind w:left="567" w:right="709"/>
      </w:pPr>
      <w:r>
        <w:t xml:space="preserve"> 1. Instituto Municipal de la Juventud.</w:t>
      </w:r>
    </w:p>
    <w:p w14:paraId="1EC56D74" w14:textId="77777777" w:rsidR="00670410" w:rsidRDefault="00670410" w:rsidP="00C46274">
      <w:pPr>
        <w:tabs>
          <w:tab w:val="left" w:pos="5387"/>
          <w:tab w:val="left" w:pos="8222"/>
        </w:tabs>
        <w:spacing w:after="0" w:line="360" w:lineRule="auto"/>
        <w:ind w:left="567" w:right="709"/>
      </w:pPr>
    </w:p>
    <w:p w14:paraId="1704CFAA" w14:textId="77777777" w:rsidR="00670410" w:rsidRPr="00670410" w:rsidRDefault="00670410" w:rsidP="00C46274">
      <w:pPr>
        <w:tabs>
          <w:tab w:val="left" w:pos="5387"/>
          <w:tab w:val="left" w:pos="8222"/>
        </w:tabs>
        <w:spacing w:after="0" w:line="360" w:lineRule="auto"/>
        <w:ind w:left="567" w:right="709"/>
        <w:rPr>
          <w:b/>
        </w:rPr>
      </w:pPr>
      <w:r w:rsidRPr="00670410">
        <w:rPr>
          <w:b/>
        </w:rPr>
        <w:t xml:space="preserve"> IV. ORGANISMO AUTÓNOMO: </w:t>
      </w:r>
    </w:p>
    <w:p w14:paraId="2E9F5C0A" w14:textId="77777777" w:rsidR="00670410" w:rsidRDefault="00670410" w:rsidP="00C46274">
      <w:pPr>
        <w:tabs>
          <w:tab w:val="left" w:pos="5387"/>
          <w:tab w:val="left" w:pos="8222"/>
        </w:tabs>
        <w:spacing w:after="0" w:line="360" w:lineRule="auto"/>
        <w:ind w:left="567" w:right="709"/>
      </w:pPr>
      <w:r>
        <w:t>1. Defensoría Municipal de Derechos Humanos.</w:t>
      </w:r>
    </w:p>
    <w:p w14:paraId="329AB6B6" w14:textId="77777777" w:rsidR="00AB421C" w:rsidRDefault="00AB421C" w:rsidP="00C46274">
      <w:pPr>
        <w:tabs>
          <w:tab w:val="left" w:pos="4962"/>
        </w:tabs>
        <w:spacing w:after="0" w:line="360" w:lineRule="auto"/>
      </w:pPr>
    </w:p>
    <w:p w14:paraId="74603E1A" w14:textId="77777777" w:rsidR="00AB421C" w:rsidRDefault="00AB421C" w:rsidP="00C46274">
      <w:pPr>
        <w:tabs>
          <w:tab w:val="left" w:pos="4962"/>
        </w:tabs>
        <w:spacing w:after="0" w:line="360" w:lineRule="auto"/>
        <w:contextualSpacing/>
        <w:rPr>
          <w:rFonts w:eastAsia="Batang" w:cs="Tahoma"/>
          <w:bCs/>
        </w:rPr>
      </w:pPr>
      <w:r w:rsidRPr="00581328">
        <w:rPr>
          <w:rFonts w:eastAsia="Calibri" w:cs="Tahoma"/>
          <w:bCs/>
        </w:rPr>
        <w:t xml:space="preserve">Establecido lo anterior, es de hacer mención que </w:t>
      </w:r>
      <w:r w:rsidRPr="00581328">
        <w:rPr>
          <w:rFonts w:eastAsia="Batang" w:cs="Tahoma"/>
          <w:bCs/>
        </w:rPr>
        <w:t xml:space="preserve"> de las constancias que obran en el expediente se advierte que el Sujeto Obligado turn</w:t>
      </w:r>
      <w:r>
        <w:rPr>
          <w:rFonts w:eastAsia="Batang" w:cs="Tahoma"/>
          <w:bCs/>
        </w:rPr>
        <w:t>ó</w:t>
      </w:r>
      <w:r w:rsidRPr="00581328">
        <w:rPr>
          <w:rFonts w:eastAsia="Batang" w:cs="Tahoma"/>
          <w:bCs/>
        </w:rPr>
        <w:t xml:space="preserve"> el requerimiento de información a la </w:t>
      </w:r>
      <w:r>
        <w:rPr>
          <w:rFonts w:eastAsia="Batang" w:cs="Tahoma"/>
          <w:b/>
        </w:rPr>
        <w:t>Subdirector de Recursos Humanos</w:t>
      </w:r>
      <w:r w:rsidRPr="00581328">
        <w:rPr>
          <w:rFonts w:eastAsia="Batang" w:cs="Tahoma"/>
          <w:bCs/>
        </w:rPr>
        <w:t xml:space="preserve">,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w:t>
      </w:r>
      <w:r>
        <w:rPr>
          <w:rFonts w:eastAsia="Batang" w:cs="Tahoma"/>
          <w:bCs/>
        </w:rPr>
        <w:t>con</w:t>
      </w:r>
      <w:r w:rsidRPr="00581328">
        <w:rPr>
          <w:rFonts w:eastAsia="Batang" w:cs="Tahoma"/>
          <w:bCs/>
        </w:rPr>
        <w:t xml:space="preserve"> las facultades, competencias y funciones-, con el objeto de que dichas áreas realicen una búsqueda exhaustiva y razonable de la información requerida</w:t>
      </w:r>
      <w:r>
        <w:rPr>
          <w:rFonts w:eastAsia="Batang" w:cs="Tahoma"/>
          <w:bCs/>
        </w:rPr>
        <w:t>.</w:t>
      </w:r>
    </w:p>
    <w:p w14:paraId="2B3B716B" w14:textId="77777777" w:rsidR="00670410" w:rsidRDefault="00670410" w:rsidP="00C46274">
      <w:pPr>
        <w:tabs>
          <w:tab w:val="left" w:pos="4962"/>
        </w:tabs>
        <w:spacing w:after="0" w:line="360" w:lineRule="auto"/>
        <w:contextualSpacing/>
        <w:rPr>
          <w:rFonts w:eastAsia="Batang" w:cs="Tahoma"/>
          <w:bCs/>
        </w:rPr>
      </w:pPr>
    </w:p>
    <w:p w14:paraId="227AE705" w14:textId="77777777" w:rsidR="00AB421C" w:rsidRDefault="00AB421C" w:rsidP="00C46274">
      <w:pPr>
        <w:tabs>
          <w:tab w:val="left" w:pos="4962"/>
        </w:tabs>
        <w:spacing w:after="0" w:line="360" w:lineRule="auto"/>
        <w:contextualSpacing/>
        <w:rPr>
          <w:rFonts w:eastAsia="Batang" w:cs="Tahoma"/>
          <w:bCs/>
        </w:rPr>
      </w:pPr>
      <w:r>
        <w:rPr>
          <w:rFonts w:eastAsia="Batang" w:cs="Tahoma"/>
          <w:bCs/>
        </w:rPr>
        <w:t>Ahora bien, en atención a los agravios hechos valer por la parte Recurrente</w:t>
      </w:r>
      <w:r w:rsidR="00670410">
        <w:rPr>
          <w:rFonts w:eastAsia="Batang" w:cs="Tahoma"/>
          <w:bCs/>
        </w:rPr>
        <w:t xml:space="preserve">, </w:t>
      </w:r>
      <w:r>
        <w:rPr>
          <w:rFonts w:eastAsia="Batang" w:cs="Tahoma"/>
          <w:bCs/>
        </w:rPr>
        <w:t>es menester señalar que, del análisis a los documentos remitidos</w:t>
      </w:r>
      <w:r w:rsidR="006B18EC">
        <w:rPr>
          <w:rFonts w:eastAsia="Batang" w:cs="Tahoma"/>
          <w:bCs/>
        </w:rPr>
        <w:t xml:space="preserve"> en respuesta</w:t>
      </w:r>
      <w:r>
        <w:rPr>
          <w:rFonts w:eastAsia="Batang" w:cs="Tahoma"/>
          <w:bCs/>
        </w:rPr>
        <w:t xml:space="preserve">, se advierte que, </w:t>
      </w:r>
      <w:r w:rsidR="00670410">
        <w:rPr>
          <w:rFonts w:eastAsia="Batang" w:cs="Tahoma"/>
          <w:bCs/>
        </w:rPr>
        <w:t xml:space="preserve">el Sujeto Obligado proporcionó información de todos los servidores públicos que integran la totalidad de sus unidades administrativas </w:t>
      </w:r>
      <w:r w:rsidR="006B18EC">
        <w:rPr>
          <w:rFonts w:eastAsia="Batang" w:cs="Tahoma"/>
          <w:bCs/>
        </w:rPr>
        <w:t>de la temporalidad solicitada, en versión pública</w:t>
      </w:r>
      <w:r w:rsidR="00347D24">
        <w:rPr>
          <w:rFonts w:eastAsia="Batang" w:cs="Tahoma"/>
          <w:bCs/>
        </w:rPr>
        <w:t xml:space="preserve">, en los que se advierte que el Sujeto Obligado clasificó los siguientes datos: </w:t>
      </w:r>
    </w:p>
    <w:p w14:paraId="5FFD79CA" w14:textId="77777777" w:rsidR="00347D24" w:rsidRDefault="00347D24" w:rsidP="00C46274">
      <w:pPr>
        <w:spacing w:after="0" w:line="360" w:lineRule="auto"/>
        <w:rPr>
          <w:color w:val="000000"/>
        </w:rPr>
      </w:pPr>
    </w:p>
    <w:p w14:paraId="1A362575" w14:textId="77777777" w:rsidR="00347D24" w:rsidRDefault="00347D24" w:rsidP="00C46274">
      <w:pPr>
        <w:pStyle w:val="Prrafodelista"/>
        <w:numPr>
          <w:ilvl w:val="0"/>
          <w:numId w:val="12"/>
        </w:numPr>
        <w:spacing w:line="360" w:lineRule="auto"/>
        <w:rPr>
          <w:color w:val="000000"/>
        </w:rPr>
      </w:pPr>
      <w:r>
        <w:rPr>
          <w:color w:val="000000"/>
        </w:rPr>
        <w:t>Número de empleado.</w:t>
      </w:r>
    </w:p>
    <w:p w14:paraId="2A47C2A3" w14:textId="77777777" w:rsidR="00347D24" w:rsidRDefault="00347D24" w:rsidP="00C46274">
      <w:pPr>
        <w:pStyle w:val="Prrafodelista"/>
        <w:numPr>
          <w:ilvl w:val="0"/>
          <w:numId w:val="12"/>
        </w:numPr>
        <w:spacing w:line="360" w:lineRule="auto"/>
        <w:rPr>
          <w:color w:val="000000"/>
        </w:rPr>
      </w:pPr>
      <w:r>
        <w:rPr>
          <w:color w:val="000000"/>
        </w:rPr>
        <w:t>Registro Federal de Contribuyentes.</w:t>
      </w:r>
    </w:p>
    <w:p w14:paraId="1E02A57C" w14:textId="77777777" w:rsidR="00347D24" w:rsidRDefault="00347D24" w:rsidP="00C46274">
      <w:pPr>
        <w:pStyle w:val="Prrafodelista"/>
        <w:numPr>
          <w:ilvl w:val="0"/>
          <w:numId w:val="12"/>
        </w:numPr>
        <w:spacing w:line="360" w:lineRule="auto"/>
        <w:rPr>
          <w:color w:val="000000"/>
        </w:rPr>
      </w:pPr>
      <w:r>
        <w:rPr>
          <w:color w:val="000000"/>
        </w:rPr>
        <w:t xml:space="preserve">Clave Única de Registro de Población. </w:t>
      </w:r>
    </w:p>
    <w:p w14:paraId="66933759" w14:textId="77777777" w:rsidR="00347D24" w:rsidRDefault="00347D24" w:rsidP="00C46274">
      <w:pPr>
        <w:pStyle w:val="Prrafodelista"/>
        <w:numPr>
          <w:ilvl w:val="0"/>
          <w:numId w:val="12"/>
        </w:numPr>
        <w:spacing w:line="360" w:lineRule="auto"/>
        <w:rPr>
          <w:color w:val="000000"/>
        </w:rPr>
      </w:pPr>
      <w:r>
        <w:rPr>
          <w:color w:val="000000"/>
        </w:rPr>
        <w:t xml:space="preserve">Número de Seguridad Social. </w:t>
      </w:r>
    </w:p>
    <w:p w14:paraId="38BF3F1A" w14:textId="77777777" w:rsidR="00347D24" w:rsidRDefault="00347D24" w:rsidP="00C46274">
      <w:pPr>
        <w:pStyle w:val="Prrafodelista"/>
        <w:numPr>
          <w:ilvl w:val="0"/>
          <w:numId w:val="12"/>
        </w:numPr>
        <w:spacing w:line="360" w:lineRule="auto"/>
        <w:rPr>
          <w:color w:val="000000"/>
        </w:rPr>
      </w:pPr>
      <w:r>
        <w:rPr>
          <w:color w:val="000000"/>
        </w:rPr>
        <w:t xml:space="preserve">Deducciones personales. </w:t>
      </w:r>
    </w:p>
    <w:p w14:paraId="1BE4A642" w14:textId="77777777" w:rsidR="00347D24" w:rsidRDefault="00347D24" w:rsidP="00C46274">
      <w:pPr>
        <w:pStyle w:val="Prrafodelista"/>
        <w:numPr>
          <w:ilvl w:val="0"/>
          <w:numId w:val="12"/>
        </w:numPr>
        <w:spacing w:line="360" w:lineRule="auto"/>
        <w:rPr>
          <w:color w:val="000000"/>
        </w:rPr>
      </w:pPr>
      <w:r>
        <w:rPr>
          <w:color w:val="000000"/>
        </w:rPr>
        <w:lastRenderedPageBreak/>
        <w:t xml:space="preserve">Cuenta Bancaria. </w:t>
      </w:r>
    </w:p>
    <w:p w14:paraId="2DCAF557" w14:textId="77777777" w:rsidR="00347D24" w:rsidRDefault="00347D24" w:rsidP="00C46274">
      <w:pPr>
        <w:pStyle w:val="Prrafodelista"/>
        <w:numPr>
          <w:ilvl w:val="0"/>
          <w:numId w:val="12"/>
        </w:numPr>
        <w:spacing w:line="360" w:lineRule="auto"/>
        <w:rPr>
          <w:color w:val="000000"/>
        </w:rPr>
      </w:pPr>
      <w:r>
        <w:rPr>
          <w:color w:val="000000"/>
        </w:rPr>
        <w:t xml:space="preserve">Cadenas y códigos bidimensionales. </w:t>
      </w:r>
    </w:p>
    <w:p w14:paraId="5E32C965" w14:textId="77777777" w:rsidR="00347D24" w:rsidRDefault="00347D24" w:rsidP="00C46274">
      <w:pPr>
        <w:spacing w:after="0" w:line="360" w:lineRule="auto"/>
      </w:pPr>
      <w:r>
        <w:t>Bajo ese contexto, se analizarán si los datos mencionados, deben ser considerados confidenciales, en términos del artículo 143, fracción I, de la Ley de Transparencia y Acceso a la Información Pública del Estado de México y Municipios, o públicos.</w:t>
      </w:r>
    </w:p>
    <w:p w14:paraId="5D6509C5" w14:textId="77777777" w:rsidR="00347D24" w:rsidRDefault="00347D24" w:rsidP="00C46274">
      <w:pPr>
        <w:spacing w:after="0" w:line="360" w:lineRule="auto"/>
      </w:pPr>
    </w:p>
    <w:p w14:paraId="0834C1DB" w14:textId="77777777" w:rsidR="00347D24" w:rsidRPr="0016300D" w:rsidRDefault="00347D24" w:rsidP="00C46274">
      <w:pPr>
        <w:pStyle w:val="Prrafodelista"/>
        <w:numPr>
          <w:ilvl w:val="0"/>
          <w:numId w:val="16"/>
        </w:numPr>
        <w:spacing w:line="360" w:lineRule="auto"/>
      </w:pPr>
      <w:r w:rsidRPr="0016300D">
        <w:rPr>
          <w:b/>
        </w:rPr>
        <w:t>Número de empleado</w:t>
      </w:r>
    </w:p>
    <w:p w14:paraId="6AFDA8A0" w14:textId="77777777" w:rsidR="00347D24" w:rsidRPr="0016300D" w:rsidRDefault="00347D24" w:rsidP="00C46274">
      <w:pPr>
        <w:pStyle w:val="Prrafodelista"/>
        <w:spacing w:line="360" w:lineRule="auto"/>
      </w:pPr>
    </w:p>
    <w:p w14:paraId="203AF990" w14:textId="77777777" w:rsidR="00347D24" w:rsidRDefault="00347D24" w:rsidP="00C46274">
      <w:pPr>
        <w:pStyle w:val="NormalWeb"/>
        <w:spacing w:after="0" w:line="360" w:lineRule="auto"/>
        <w:rPr>
          <w:rFonts w:ascii="Palatino Linotype" w:hAnsi="Palatino Linotype"/>
          <w:color w:val="000000"/>
          <w:sz w:val="22"/>
        </w:rPr>
      </w:pPr>
      <w:r w:rsidRPr="0016300D">
        <w:rPr>
          <w:rFonts w:ascii="Palatino Linotype" w:hAnsi="Palatino Linotype"/>
          <w:color w:val="000000"/>
          <w:sz w:val="22"/>
        </w:rPr>
        <w:t xml:space="preserve">Con relación al </w:t>
      </w:r>
      <w:r w:rsidRPr="0016300D">
        <w:rPr>
          <w:rFonts w:ascii="Palatino Linotype" w:hAnsi="Palatino Linotype"/>
          <w:bCs/>
          <w:color w:val="000000"/>
          <w:sz w:val="22"/>
        </w:rPr>
        <w:t>número de empleado</w:t>
      </w:r>
      <w:r w:rsidRPr="0016300D">
        <w:rPr>
          <w:rFonts w:ascii="Palatino Linotype" w:hAnsi="Palatino Linotype"/>
          <w:color w:val="000000"/>
          <w:sz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1184D179" w14:textId="77777777" w:rsidR="00347D24" w:rsidRPr="0016300D" w:rsidRDefault="00347D24" w:rsidP="00C46274">
      <w:pPr>
        <w:pStyle w:val="NormalWeb"/>
        <w:spacing w:after="0" w:line="360" w:lineRule="auto"/>
        <w:rPr>
          <w:sz w:val="22"/>
        </w:rPr>
      </w:pPr>
    </w:p>
    <w:p w14:paraId="2F64BF5D" w14:textId="77777777" w:rsidR="00347D24" w:rsidRDefault="00347D24" w:rsidP="00C46274">
      <w:pPr>
        <w:pStyle w:val="NormalWeb"/>
        <w:spacing w:after="0" w:line="360" w:lineRule="auto"/>
        <w:rPr>
          <w:rFonts w:ascii="Palatino Linotype" w:hAnsi="Palatino Linotype"/>
          <w:color w:val="000000"/>
          <w:sz w:val="22"/>
        </w:rPr>
      </w:pPr>
      <w:r w:rsidRPr="0016300D">
        <w:rPr>
          <w:rFonts w:ascii="Palatino Linotype" w:hAnsi="Palatino Linotype"/>
          <w:color w:val="000000"/>
          <w:sz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470E134C" w14:textId="77777777" w:rsidR="00347D24" w:rsidRPr="0016300D" w:rsidRDefault="00347D24" w:rsidP="00C46274">
      <w:pPr>
        <w:pStyle w:val="NormalWeb"/>
        <w:spacing w:after="0" w:line="360" w:lineRule="auto"/>
        <w:rPr>
          <w:sz w:val="22"/>
        </w:rPr>
      </w:pPr>
    </w:p>
    <w:p w14:paraId="02073383" w14:textId="77777777" w:rsidR="00347D24" w:rsidRPr="00C46274" w:rsidRDefault="00347D24" w:rsidP="00C46274">
      <w:pPr>
        <w:pStyle w:val="NormalWeb"/>
        <w:spacing w:after="0" w:line="360" w:lineRule="auto"/>
        <w:ind w:left="567" w:right="992"/>
        <w:rPr>
          <w:rFonts w:ascii="Palatino Linotype" w:hAnsi="Palatino Linotype"/>
          <w:i/>
          <w:iCs/>
          <w:color w:val="000000"/>
          <w:sz w:val="20"/>
          <w:szCs w:val="20"/>
        </w:rPr>
      </w:pPr>
      <w:r w:rsidRPr="00C46274">
        <w:rPr>
          <w:rFonts w:ascii="Palatino Linotype" w:hAnsi="Palatino Linotype"/>
          <w:b/>
          <w:bCs/>
          <w:i/>
          <w:iCs/>
          <w:color w:val="000000"/>
          <w:sz w:val="20"/>
          <w:szCs w:val="20"/>
        </w:rPr>
        <w:t xml:space="preserve">“Número de empleado. </w:t>
      </w:r>
      <w:r w:rsidRPr="00C46274">
        <w:rPr>
          <w:rFonts w:ascii="Palatino Linotype" w:hAnsi="Palatino Linotype"/>
          <w:i/>
          <w:iCs/>
          <w:color w:val="000000"/>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94FE774" w14:textId="77777777" w:rsidR="00347D24" w:rsidRPr="0016300D" w:rsidRDefault="00347D24" w:rsidP="00C46274">
      <w:pPr>
        <w:pStyle w:val="NormalWeb"/>
        <w:spacing w:after="0" w:line="360" w:lineRule="auto"/>
        <w:ind w:right="992"/>
        <w:rPr>
          <w:sz w:val="22"/>
        </w:rPr>
      </w:pPr>
    </w:p>
    <w:p w14:paraId="396F3631" w14:textId="77777777" w:rsidR="00347D24" w:rsidRPr="0016300D" w:rsidRDefault="00347D24" w:rsidP="00C46274">
      <w:pPr>
        <w:pStyle w:val="NormalWeb"/>
        <w:spacing w:after="0" w:line="360" w:lineRule="auto"/>
        <w:rPr>
          <w:rFonts w:ascii="Palatino Linotype" w:hAnsi="Palatino Linotype"/>
          <w:color w:val="000000"/>
          <w:sz w:val="22"/>
        </w:rPr>
      </w:pPr>
      <w:r w:rsidRPr="0016300D">
        <w:rPr>
          <w:rFonts w:ascii="Palatino Linotype" w:hAnsi="Palatino Linotype"/>
          <w:color w:val="000000"/>
          <w:sz w:val="22"/>
        </w:rPr>
        <w:lastRenderedPageBreak/>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w:t>
      </w:r>
      <w:r>
        <w:rPr>
          <w:rFonts w:ascii="Palatino Linotype" w:hAnsi="Palatino Linotype"/>
          <w:color w:val="000000"/>
          <w:sz w:val="22"/>
        </w:rPr>
        <w:t>le los mismos.</w:t>
      </w:r>
    </w:p>
    <w:p w14:paraId="7A7ED99A" w14:textId="77777777" w:rsidR="00347D24" w:rsidRDefault="00347D24" w:rsidP="00C46274">
      <w:pPr>
        <w:spacing w:after="0" w:line="360" w:lineRule="auto"/>
      </w:pPr>
    </w:p>
    <w:p w14:paraId="6F6EE70C" w14:textId="77777777" w:rsidR="00347D24" w:rsidRDefault="00347D24" w:rsidP="00C46274">
      <w:pPr>
        <w:numPr>
          <w:ilvl w:val="0"/>
          <w:numId w:val="15"/>
        </w:numPr>
        <w:pBdr>
          <w:top w:val="nil"/>
          <w:left w:val="nil"/>
          <w:bottom w:val="nil"/>
          <w:right w:val="nil"/>
          <w:between w:val="nil"/>
        </w:pBdr>
        <w:spacing w:after="0" w:line="360" w:lineRule="auto"/>
        <w:ind w:left="567"/>
        <w:rPr>
          <w:b/>
          <w:color w:val="000000"/>
        </w:rPr>
      </w:pPr>
      <w:r>
        <w:rPr>
          <w:b/>
          <w:color w:val="000000"/>
        </w:rPr>
        <w:t>Clave Única de Registro de Población (CURP)</w:t>
      </w:r>
    </w:p>
    <w:p w14:paraId="0CA2AC2D" w14:textId="77777777" w:rsidR="00347D24" w:rsidRDefault="00347D24" w:rsidP="00C46274">
      <w:pPr>
        <w:spacing w:after="0" w:line="360" w:lineRule="auto"/>
        <w:rPr>
          <w:b/>
        </w:rPr>
      </w:pPr>
    </w:p>
    <w:p w14:paraId="57B3F4B7" w14:textId="77777777" w:rsidR="00347D24" w:rsidRDefault="00347D24" w:rsidP="00C46274">
      <w:pPr>
        <w:spacing w:after="0" w:line="360" w:lineRule="auto"/>
      </w:pPr>
      <w: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DBFFD6D" w14:textId="77777777" w:rsidR="00347D24" w:rsidRDefault="00347D24" w:rsidP="00C46274">
      <w:pPr>
        <w:spacing w:after="0" w:line="360" w:lineRule="auto"/>
      </w:pPr>
    </w:p>
    <w:p w14:paraId="396A1C7C" w14:textId="77777777" w:rsidR="00347D24" w:rsidRDefault="00347D24" w:rsidP="00C46274">
      <w:pPr>
        <w:spacing w:after="0" w:line="360" w:lineRule="auto"/>
      </w:pPr>
      <w: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6D38B60" w14:textId="77777777" w:rsidR="00347D24" w:rsidRDefault="00347D24" w:rsidP="00C46274">
      <w:pPr>
        <w:spacing w:after="0" w:line="360" w:lineRule="auto"/>
      </w:pPr>
    </w:p>
    <w:p w14:paraId="6C96C2E8" w14:textId="77777777" w:rsidR="00347D24" w:rsidRDefault="00347D24" w:rsidP="00C46274">
      <w:pPr>
        <w:spacing w:after="0" w:line="360" w:lineRule="auto"/>
      </w:pPr>
      <w:r>
        <w:t xml:space="preserve">En ese orden de ideas, la Secretaría de Gobernación en las direcciones </w:t>
      </w:r>
      <w:hyperlink r:id="rId8">
        <w:r>
          <w:rPr>
            <w:color w:val="0563C1"/>
            <w:u w:val="single"/>
          </w:rPr>
          <w:t>https://consultas.curp.gob.mx/CurpSP/html/informacionecurpPS.html</w:t>
        </w:r>
      </w:hyperlink>
      <w:r>
        <w:t xml:space="preserve">  y </w:t>
      </w:r>
      <w:hyperlink r:id="rId9">
        <w:r>
          <w:rPr>
            <w:color w:val="0563C1"/>
            <w:u w:val="single"/>
          </w:rPr>
          <w:t>https://www.gob.mx/segob/renapo/acciones-y-programas/clave-unica-de-registro-depoblacion-curp-142226</w:t>
        </w:r>
      </w:hyperlink>
      <w:r>
        <w:t xml:space="preserve">  (consultadas el veinticinco de febrero de dos mil veinticinco), </w:t>
      </w:r>
      <w:r>
        <w:lastRenderedPageBreak/>
        <w:t xml:space="preserve">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Pr>
          <w:b/>
        </w:rPr>
        <w:t xml:space="preserve">generan a partir de los datos contenidos en el documento probatorio de la identidad del interesado </w:t>
      </w:r>
      <w:r>
        <w:t>(acta de nacimiento, carta de naturalización o documento migratorio) de la siguiente forma:</w:t>
      </w:r>
    </w:p>
    <w:p w14:paraId="6EC020BC" w14:textId="77777777" w:rsidR="00347D24" w:rsidRDefault="00347D24" w:rsidP="00C46274">
      <w:pPr>
        <w:spacing w:after="0" w:line="360" w:lineRule="auto"/>
      </w:pPr>
    </w:p>
    <w:p w14:paraId="5BB4C036" w14:textId="77777777" w:rsidR="00347D24" w:rsidRDefault="00347D24" w:rsidP="00C46274">
      <w:pPr>
        <w:numPr>
          <w:ilvl w:val="0"/>
          <w:numId w:val="15"/>
        </w:numPr>
        <w:pBdr>
          <w:top w:val="nil"/>
          <w:left w:val="nil"/>
          <w:bottom w:val="nil"/>
          <w:right w:val="nil"/>
          <w:between w:val="nil"/>
        </w:pBdr>
        <w:spacing w:after="0" w:line="360" w:lineRule="auto"/>
        <w:ind w:left="567"/>
        <w:rPr>
          <w:color w:val="000000"/>
        </w:rPr>
      </w:pPr>
      <w:r>
        <w:rPr>
          <w:color w:val="000000"/>
        </w:rPr>
        <w:t xml:space="preserve">El primero y segundo apellidos, así como al nombre de pila; </w:t>
      </w:r>
    </w:p>
    <w:p w14:paraId="403EB175" w14:textId="77777777" w:rsidR="00347D24" w:rsidRDefault="00347D24" w:rsidP="00C46274">
      <w:pPr>
        <w:numPr>
          <w:ilvl w:val="0"/>
          <w:numId w:val="15"/>
        </w:numPr>
        <w:pBdr>
          <w:top w:val="nil"/>
          <w:left w:val="nil"/>
          <w:bottom w:val="nil"/>
          <w:right w:val="nil"/>
          <w:between w:val="nil"/>
        </w:pBdr>
        <w:spacing w:after="0" w:line="360" w:lineRule="auto"/>
        <w:ind w:left="567"/>
        <w:rPr>
          <w:color w:val="000000"/>
        </w:rPr>
      </w:pPr>
      <w:r>
        <w:rPr>
          <w:color w:val="000000"/>
        </w:rPr>
        <w:t xml:space="preserve">La fecha de nacimiento; </w:t>
      </w:r>
    </w:p>
    <w:p w14:paraId="402AA72D" w14:textId="77777777" w:rsidR="00347D24" w:rsidRDefault="00347D24" w:rsidP="00C46274">
      <w:pPr>
        <w:numPr>
          <w:ilvl w:val="0"/>
          <w:numId w:val="15"/>
        </w:numPr>
        <w:pBdr>
          <w:top w:val="nil"/>
          <w:left w:val="nil"/>
          <w:bottom w:val="nil"/>
          <w:right w:val="nil"/>
          <w:between w:val="nil"/>
        </w:pBdr>
        <w:spacing w:after="0" w:line="360" w:lineRule="auto"/>
        <w:ind w:left="567"/>
        <w:rPr>
          <w:color w:val="000000"/>
        </w:rPr>
      </w:pPr>
      <w:r>
        <w:rPr>
          <w:color w:val="000000"/>
        </w:rPr>
        <w:t xml:space="preserve">El sexo, y </w:t>
      </w:r>
    </w:p>
    <w:p w14:paraId="3F5C42BD" w14:textId="77777777" w:rsidR="00347D24" w:rsidRDefault="00347D24" w:rsidP="00C46274">
      <w:pPr>
        <w:numPr>
          <w:ilvl w:val="0"/>
          <w:numId w:val="15"/>
        </w:numPr>
        <w:pBdr>
          <w:top w:val="nil"/>
          <w:left w:val="nil"/>
          <w:bottom w:val="nil"/>
          <w:right w:val="nil"/>
          <w:between w:val="nil"/>
        </w:pBdr>
        <w:spacing w:after="0" w:line="360" w:lineRule="auto"/>
        <w:ind w:left="567"/>
      </w:pPr>
      <w:r>
        <w:rPr>
          <w:color w:val="000000"/>
        </w:rPr>
        <w:t>La entidad federativa de nacimiento.</w:t>
      </w:r>
    </w:p>
    <w:p w14:paraId="51791AE2" w14:textId="77777777" w:rsidR="00347D24" w:rsidRDefault="00347D24" w:rsidP="00C46274">
      <w:pPr>
        <w:spacing w:after="0" w:line="360" w:lineRule="auto"/>
      </w:pPr>
    </w:p>
    <w:p w14:paraId="2E094238" w14:textId="77777777" w:rsidR="00347D24" w:rsidRDefault="00347D24" w:rsidP="00C46274">
      <w:pPr>
        <w:spacing w:after="0" w:line="360" w:lineRule="auto"/>
      </w:pPr>
      <w:r>
        <w:t>Los dos últimos elementos de la Clave Única de Registro de Población evitan la duplicidad de la Clave y garantizan su correcta integración.</w:t>
      </w:r>
    </w:p>
    <w:p w14:paraId="343E2A52" w14:textId="77777777" w:rsidR="00347D24" w:rsidRDefault="00347D24" w:rsidP="00C46274">
      <w:pPr>
        <w:spacing w:after="0" w:line="360" w:lineRule="auto"/>
      </w:pPr>
    </w:p>
    <w:p w14:paraId="4FEA6CAC" w14:textId="77777777" w:rsidR="00347D24" w:rsidRDefault="00347D24" w:rsidP="00C46274">
      <w:pPr>
        <w:spacing w:after="0" w:line="360" w:lineRule="auto"/>
      </w:pPr>
      <w: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F57D700" w14:textId="77777777" w:rsidR="00347D24" w:rsidRDefault="00347D24" w:rsidP="00C46274">
      <w:pPr>
        <w:spacing w:after="0" w:line="360" w:lineRule="auto"/>
      </w:pPr>
    </w:p>
    <w:p w14:paraId="17E01702" w14:textId="77777777" w:rsidR="00347D24" w:rsidRDefault="00347D24" w:rsidP="00C46274">
      <w:pPr>
        <w:spacing w:after="0" w:line="360" w:lineRule="auto"/>
      </w:pPr>
      <w:r>
        <w:t>Situación que se robustece, con el Criterio Orientador, con número de registro SO/018/2017, emitido por el entonces Instituto Nacional de Transparencia, Acceso a la Información y Protección de Datos Personales, vigente a la fecha de la solicitud, que establece lo siguiente:</w:t>
      </w:r>
    </w:p>
    <w:p w14:paraId="0ADF72E2" w14:textId="77777777" w:rsidR="00347D24" w:rsidRDefault="00347D24" w:rsidP="00C46274">
      <w:pPr>
        <w:spacing w:after="0" w:line="360" w:lineRule="auto"/>
      </w:pPr>
    </w:p>
    <w:p w14:paraId="394702B2" w14:textId="77777777" w:rsidR="00347D24" w:rsidRPr="00C46274" w:rsidRDefault="00347D24" w:rsidP="00C46274">
      <w:pPr>
        <w:tabs>
          <w:tab w:val="left" w:pos="4667"/>
        </w:tabs>
        <w:spacing w:after="0" w:line="360" w:lineRule="auto"/>
        <w:ind w:left="567" w:right="567"/>
        <w:rPr>
          <w:i/>
          <w:sz w:val="20"/>
          <w:szCs w:val="20"/>
        </w:rPr>
      </w:pPr>
      <w:r w:rsidRPr="00C46274">
        <w:rPr>
          <w:b/>
          <w:i/>
          <w:sz w:val="20"/>
          <w:szCs w:val="20"/>
        </w:rPr>
        <w:lastRenderedPageBreak/>
        <w:t>“Clave Única de Registro de Población (CURP).</w:t>
      </w:r>
      <w:r w:rsidRPr="00C46274">
        <w:rPr>
          <w:i/>
          <w:sz w:val="20"/>
          <w:szCs w:val="20"/>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3F4226" w14:textId="77777777" w:rsidR="00347D24" w:rsidRDefault="00347D24" w:rsidP="00C46274">
      <w:pPr>
        <w:spacing w:after="0" w:line="360" w:lineRule="auto"/>
      </w:pPr>
    </w:p>
    <w:p w14:paraId="39D9A3B1" w14:textId="77777777" w:rsidR="00347D24" w:rsidRDefault="00347D24" w:rsidP="00C46274">
      <w:pPr>
        <w:spacing w:after="0" w:line="360" w:lineRule="auto"/>
      </w:pPr>
      <w: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D6988C0" w14:textId="77777777" w:rsidR="00347D24" w:rsidRDefault="00347D24" w:rsidP="00C46274">
      <w:pPr>
        <w:spacing w:after="0" w:line="360" w:lineRule="auto"/>
      </w:pPr>
    </w:p>
    <w:p w14:paraId="04B02A96" w14:textId="77777777" w:rsidR="00347D24" w:rsidRDefault="00347D24" w:rsidP="00C46274">
      <w:pPr>
        <w:numPr>
          <w:ilvl w:val="0"/>
          <w:numId w:val="15"/>
        </w:numPr>
        <w:pBdr>
          <w:top w:val="nil"/>
          <w:left w:val="nil"/>
          <w:bottom w:val="nil"/>
          <w:right w:val="nil"/>
          <w:between w:val="nil"/>
        </w:pBdr>
        <w:spacing w:after="0" w:line="360" w:lineRule="auto"/>
        <w:ind w:left="567"/>
        <w:rPr>
          <w:b/>
          <w:color w:val="000000"/>
        </w:rPr>
      </w:pPr>
      <w:r>
        <w:rPr>
          <w:b/>
          <w:color w:val="000000"/>
        </w:rPr>
        <w:t>Registro Federal de Contribuyentes (RFC)</w:t>
      </w:r>
    </w:p>
    <w:p w14:paraId="755E6147" w14:textId="77777777" w:rsidR="00347D24" w:rsidRDefault="00347D24" w:rsidP="00C46274">
      <w:pPr>
        <w:spacing w:after="0" w:line="360" w:lineRule="auto"/>
      </w:pPr>
    </w:p>
    <w:p w14:paraId="40C6E81D" w14:textId="77777777" w:rsidR="00347D24" w:rsidRDefault="00347D24" w:rsidP="00C46274">
      <w:pPr>
        <w:spacing w:after="0" w:line="360" w:lineRule="auto"/>
      </w:pPr>
      <w: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9C37C2D" w14:textId="77777777" w:rsidR="00347D24" w:rsidRDefault="00347D24" w:rsidP="00C46274">
      <w:pPr>
        <w:spacing w:after="0" w:line="360" w:lineRule="auto"/>
      </w:pPr>
    </w:p>
    <w:p w14:paraId="4B7F8371" w14:textId="77777777" w:rsidR="00347D24" w:rsidRDefault="00347D24" w:rsidP="00C46274">
      <w:pPr>
        <w:spacing w:after="0" w:line="360" w:lineRule="auto"/>
      </w:pPr>
      <w: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5E26F9F" w14:textId="77777777" w:rsidR="00347D24" w:rsidRDefault="00347D24" w:rsidP="00C46274">
      <w:pPr>
        <w:spacing w:after="0" w:line="360" w:lineRule="auto"/>
      </w:pPr>
    </w:p>
    <w:p w14:paraId="0AE12458" w14:textId="77777777" w:rsidR="00347D24" w:rsidRDefault="00347D24" w:rsidP="00C46274">
      <w:pPr>
        <w:spacing w:after="0" w:line="360" w:lineRule="auto"/>
      </w:pPr>
      <w: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A3C07ED" w14:textId="77777777" w:rsidR="00347D24" w:rsidRDefault="00347D24" w:rsidP="00C46274">
      <w:pPr>
        <w:spacing w:after="0" w:line="360" w:lineRule="auto"/>
      </w:pPr>
    </w:p>
    <w:p w14:paraId="6C0905A2" w14:textId="77777777" w:rsidR="00347D24" w:rsidRDefault="00347D24" w:rsidP="00C46274">
      <w:pPr>
        <w:spacing w:after="0" w:line="360" w:lineRule="auto"/>
        <w:rPr>
          <w:color w:val="000000"/>
        </w:rPr>
      </w:pPr>
      <w:r>
        <w:rPr>
          <w:color w:val="000000"/>
        </w:rPr>
        <w:t xml:space="preserve">Así, el Registro Federal de Contribuyentes, es un dato personal, ya que hace a las personas físicas </w:t>
      </w:r>
      <w:r>
        <w:t>identificadas</w:t>
      </w:r>
      <w:r>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t>involucradas</w:t>
      </w:r>
      <w:proofErr w:type="gramEnd"/>
      <w:r>
        <w:rPr>
          <w:color w:val="000000"/>
        </w:rPr>
        <w:t xml:space="preserve">, en el pago de estos, en el presente caso, del pago del Impuesto Sobre el Producto del Trabajo. </w:t>
      </w:r>
    </w:p>
    <w:p w14:paraId="3129FF7B" w14:textId="77777777" w:rsidR="00347D24" w:rsidRDefault="00347D24" w:rsidP="00C46274">
      <w:pPr>
        <w:spacing w:after="0" w:line="360" w:lineRule="auto"/>
        <w:rPr>
          <w:color w:val="000000"/>
        </w:rPr>
      </w:pPr>
    </w:p>
    <w:p w14:paraId="333ACD41" w14:textId="77777777" w:rsidR="00347D24" w:rsidRDefault="00347D24" w:rsidP="00C46274">
      <w:pPr>
        <w:spacing w:after="0" w:line="360" w:lineRule="auto"/>
        <w:rPr>
          <w:color w:val="000000"/>
        </w:rPr>
      </w:pPr>
      <w:r>
        <w:rPr>
          <w:color w:val="000000"/>
        </w:rPr>
        <w:t>Lo anterior, resulta congruente con el Criterio Orientador, con número de registro SO/019/2017, emitido por el entonces Instituto Nacional de Transparencia, Acceso a la Información y Protección de Datos Personales, vigente a la fecha de la solicitud, en el cual se señala lo siguiente:</w:t>
      </w:r>
    </w:p>
    <w:p w14:paraId="71E0F999" w14:textId="77777777" w:rsidR="00347D24" w:rsidRDefault="00347D24" w:rsidP="00C46274">
      <w:pPr>
        <w:spacing w:after="0" w:line="360" w:lineRule="auto"/>
        <w:rPr>
          <w:color w:val="000000"/>
        </w:rPr>
      </w:pPr>
    </w:p>
    <w:p w14:paraId="5ED44B41" w14:textId="77777777" w:rsidR="00347D24" w:rsidRPr="00C46274" w:rsidRDefault="00347D24" w:rsidP="00C46274">
      <w:pPr>
        <w:spacing w:after="0" w:line="360" w:lineRule="auto"/>
        <w:ind w:left="567" w:right="567"/>
        <w:rPr>
          <w:i/>
          <w:color w:val="000000"/>
          <w:sz w:val="20"/>
          <w:szCs w:val="20"/>
        </w:rPr>
      </w:pPr>
      <w:r w:rsidRPr="00C46274">
        <w:rPr>
          <w:b/>
          <w:i/>
          <w:color w:val="000000"/>
          <w:sz w:val="20"/>
          <w:szCs w:val="20"/>
        </w:rPr>
        <w:t>“Registro Federal de Contribuyentes (RFC) de personas físicas.</w:t>
      </w:r>
      <w:r w:rsidRPr="00C46274">
        <w:rPr>
          <w:i/>
          <w:color w:val="000000"/>
          <w:sz w:val="20"/>
          <w:szCs w:val="20"/>
        </w:rPr>
        <w:t xml:space="preserve"> El RFC es una clave de carácter fiscal, única e irrepetible, que permite identificar al titular, su edad y fecha de nacimiento, por lo que es un dato personal de carácter confidencial.”</w:t>
      </w:r>
    </w:p>
    <w:p w14:paraId="1157F361" w14:textId="77777777" w:rsidR="00347D24" w:rsidRDefault="00347D24" w:rsidP="00C46274">
      <w:pPr>
        <w:spacing w:after="0" w:line="360" w:lineRule="auto"/>
        <w:rPr>
          <w:color w:val="000000"/>
        </w:rPr>
      </w:pPr>
    </w:p>
    <w:p w14:paraId="76207FE4" w14:textId="77777777" w:rsidR="00347D24" w:rsidRDefault="00347D24" w:rsidP="00C46274">
      <w:pPr>
        <w:spacing w:after="0" w:line="360" w:lineRule="auto"/>
        <w:rPr>
          <w:color w:val="000000"/>
        </w:rPr>
      </w:pPr>
      <w:r>
        <w:rPr>
          <w:color w:val="000000"/>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Pr>
          <w:color w:val="000000"/>
        </w:rPr>
        <w:lastRenderedPageBreak/>
        <w:t>actualizar el supuesto normativo del artículo 143, fracción I, de la Ley de Transparencia y Acceso a la Información Pública del Estado de México y Municipios.</w:t>
      </w:r>
    </w:p>
    <w:p w14:paraId="57D73BBF" w14:textId="77777777" w:rsidR="00347D24" w:rsidRDefault="00347D24" w:rsidP="00C46274">
      <w:pPr>
        <w:spacing w:after="0" w:line="360" w:lineRule="auto"/>
      </w:pPr>
    </w:p>
    <w:p w14:paraId="771BFA35" w14:textId="77777777" w:rsidR="00347D24" w:rsidRDefault="00347D24" w:rsidP="00C46274">
      <w:pPr>
        <w:numPr>
          <w:ilvl w:val="0"/>
          <w:numId w:val="15"/>
        </w:numPr>
        <w:pBdr>
          <w:top w:val="nil"/>
          <w:left w:val="nil"/>
          <w:bottom w:val="nil"/>
          <w:right w:val="nil"/>
          <w:between w:val="nil"/>
        </w:pBdr>
        <w:spacing w:after="0" w:line="360" w:lineRule="auto"/>
        <w:ind w:left="567"/>
      </w:pPr>
      <w:r>
        <w:rPr>
          <w:b/>
          <w:color w:val="000000"/>
        </w:rPr>
        <w:t>Número de seguridad social del Instituto de Seguridad Social del Estado de México y Municipios</w:t>
      </w:r>
    </w:p>
    <w:p w14:paraId="075AABB5" w14:textId="77777777" w:rsidR="00347D24" w:rsidRDefault="00347D24" w:rsidP="00C46274">
      <w:pPr>
        <w:pBdr>
          <w:top w:val="nil"/>
          <w:left w:val="nil"/>
          <w:bottom w:val="nil"/>
          <w:right w:val="nil"/>
          <w:between w:val="nil"/>
        </w:pBdr>
        <w:spacing w:after="0" w:line="360" w:lineRule="auto"/>
        <w:rPr>
          <w:color w:val="000000"/>
        </w:rPr>
      </w:pPr>
    </w:p>
    <w:p w14:paraId="3C79FA53" w14:textId="77777777" w:rsidR="00347D24" w:rsidRDefault="00347D24" w:rsidP="00C46274">
      <w:pPr>
        <w:spacing w:after="0" w:line="360" w:lineRule="auto"/>
      </w:pPr>
      <w: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40CA24D" w14:textId="77777777" w:rsidR="00C46274" w:rsidRDefault="00C46274" w:rsidP="00C46274">
      <w:pPr>
        <w:spacing w:after="0" w:line="360" w:lineRule="auto"/>
      </w:pPr>
    </w:p>
    <w:p w14:paraId="2E850524" w14:textId="77777777" w:rsidR="00347D24" w:rsidRDefault="00347D24" w:rsidP="00C46274">
      <w:pPr>
        <w:spacing w:after="0" w:line="360" w:lineRule="auto"/>
      </w:pPr>
      <w: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022F864" w14:textId="77777777" w:rsidR="00347D24" w:rsidRDefault="00347D24" w:rsidP="00C46274">
      <w:pPr>
        <w:spacing w:after="0" w:line="360" w:lineRule="auto"/>
      </w:pPr>
    </w:p>
    <w:p w14:paraId="189FE4A7" w14:textId="77777777" w:rsidR="00347D24" w:rsidRDefault="00347D24" w:rsidP="00C46274">
      <w:pPr>
        <w:spacing w:after="0" w:line="360" w:lineRule="auto"/>
      </w:pPr>
      <w: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w:t>
      </w:r>
      <w:r>
        <w:lastRenderedPageBreak/>
        <w:t>derecho a esta prestación de seguridad social; además, es de destacar que dicho dato no cambia, aunque el trabajador se dé de baja y alta en diversas ocasiones, con motivo de haber trabajado en diferentes instituciones gubernamentales de la Entidad.</w:t>
      </w:r>
    </w:p>
    <w:p w14:paraId="4913A9B8" w14:textId="77777777" w:rsidR="00347D24" w:rsidRDefault="00347D24" w:rsidP="00C46274">
      <w:pPr>
        <w:spacing w:after="0" w:line="360" w:lineRule="auto"/>
      </w:pPr>
    </w:p>
    <w:p w14:paraId="1262C386" w14:textId="77777777" w:rsidR="00347D24" w:rsidRDefault="00347D24" w:rsidP="00C46274">
      <w:pPr>
        <w:spacing w:after="0" w:line="360" w:lineRule="auto"/>
      </w:pPr>
      <w: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1F3B0B0" w14:textId="77777777" w:rsidR="00347D24" w:rsidRDefault="00347D24" w:rsidP="00C46274">
      <w:pPr>
        <w:spacing w:after="0" w:line="360" w:lineRule="auto"/>
      </w:pPr>
    </w:p>
    <w:p w14:paraId="2CCE34F1" w14:textId="77777777" w:rsidR="00347D24" w:rsidRDefault="00347D24" w:rsidP="00C46274">
      <w:pPr>
        <w:numPr>
          <w:ilvl w:val="0"/>
          <w:numId w:val="15"/>
        </w:numPr>
        <w:pBdr>
          <w:top w:val="nil"/>
          <w:left w:val="nil"/>
          <w:bottom w:val="nil"/>
          <w:right w:val="nil"/>
          <w:between w:val="nil"/>
        </w:pBdr>
        <w:spacing w:after="0" w:line="360" w:lineRule="auto"/>
        <w:ind w:left="567"/>
        <w:rPr>
          <w:b/>
          <w:color w:val="000000"/>
        </w:rPr>
      </w:pPr>
      <w:r>
        <w:rPr>
          <w:b/>
          <w:color w:val="000000"/>
        </w:rPr>
        <w:t>Descuentos personales</w:t>
      </w:r>
    </w:p>
    <w:p w14:paraId="7DD1D5B1" w14:textId="77777777" w:rsidR="00347D24" w:rsidRDefault="00347D24" w:rsidP="00C46274">
      <w:pPr>
        <w:spacing w:after="0" w:line="360" w:lineRule="auto"/>
        <w:rPr>
          <w:b/>
        </w:rPr>
      </w:pPr>
    </w:p>
    <w:p w14:paraId="75FFE6D3" w14:textId="77777777" w:rsidR="00347D24" w:rsidRDefault="00347D24" w:rsidP="00C46274">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54732D9" w14:textId="77777777" w:rsidR="00347D24" w:rsidRDefault="00347D24" w:rsidP="00C46274">
      <w:pPr>
        <w:spacing w:after="0" w:line="360" w:lineRule="auto"/>
        <w:rPr>
          <w:color w:val="000000"/>
        </w:rPr>
      </w:pPr>
    </w:p>
    <w:p w14:paraId="477694F6" w14:textId="77777777" w:rsidR="00347D24" w:rsidRDefault="00347D24" w:rsidP="00C46274">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2B3D6B06" w14:textId="77777777" w:rsidR="00347D24" w:rsidRDefault="00347D24" w:rsidP="00C46274">
      <w:pPr>
        <w:spacing w:after="0" w:line="360" w:lineRule="auto"/>
        <w:rPr>
          <w:color w:val="000000"/>
        </w:rPr>
      </w:pPr>
    </w:p>
    <w:p w14:paraId="6E3F8DDC" w14:textId="77777777" w:rsidR="00347D24" w:rsidRDefault="00347D24" w:rsidP="00C46274">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Pr>
          <w:color w:val="000000"/>
        </w:rPr>
        <w:lastRenderedPageBreak/>
        <w:t xml:space="preserve">y tampoco reflejan el ejercicio de una prestación; por el contrario, en dichos casos se trata del libre ejercicio del servidor público para disponer de un ingreso que forma parte de su patrimonio. </w:t>
      </w:r>
    </w:p>
    <w:p w14:paraId="1732121B" w14:textId="77777777" w:rsidR="00347D24" w:rsidRDefault="00347D24" w:rsidP="00C46274">
      <w:pPr>
        <w:spacing w:after="0" w:line="360" w:lineRule="auto"/>
        <w:rPr>
          <w:color w:val="000000"/>
        </w:rPr>
      </w:pPr>
    </w:p>
    <w:p w14:paraId="76ED5FE9" w14:textId="77777777" w:rsidR="00347D24" w:rsidRDefault="00347D24" w:rsidP="00C46274">
      <w:pPr>
        <w:spacing w:after="0" w:line="360" w:lineRule="auto"/>
        <w:rPr>
          <w:color w:val="000000"/>
        </w:rPr>
      </w:pPr>
      <w:r>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B856023" w14:textId="77777777" w:rsidR="00347D24" w:rsidRDefault="00347D24" w:rsidP="00C46274">
      <w:pPr>
        <w:spacing w:after="0" w:line="360" w:lineRule="auto"/>
        <w:rPr>
          <w:color w:val="000000"/>
        </w:rPr>
      </w:pPr>
    </w:p>
    <w:p w14:paraId="16C5E72C" w14:textId="77777777" w:rsidR="00347D24" w:rsidRDefault="00347D24" w:rsidP="00C46274">
      <w:pPr>
        <w:numPr>
          <w:ilvl w:val="0"/>
          <w:numId w:val="13"/>
        </w:numPr>
        <w:spacing w:after="0" w:line="360" w:lineRule="auto"/>
        <w:jc w:val="left"/>
        <w:rPr>
          <w:b/>
          <w:color w:val="000000"/>
        </w:rPr>
      </w:pPr>
      <w:r>
        <w:rPr>
          <w:b/>
          <w:color w:val="000000"/>
        </w:rPr>
        <w:t>Cuenta bancaria de servidores públicos</w:t>
      </w:r>
    </w:p>
    <w:p w14:paraId="41424F43" w14:textId="77777777" w:rsidR="00347D24" w:rsidRDefault="00347D24" w:rsidP="00C46274">
      <w:pPr>
        <w:spacing w:after="0" w:line="360" w:lineRule="auto"/>
        <w:ind w:left="720"/>
        <w:rPr>
          <w:b/>
          <w:color w:val="000000"/>
        </w:rPr>
      </w:pPr>
    </w:p>
    <w:p w14:paraId="27E793BC" w14:textId="77777777" w:rsidR="00347D24" w:rsidRDefault="00347D24" w:rsidP="00C46274">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7A1B5754" w14:textId="77777777" w:rsidR="00347D24" w:rsidRDefault="00347D24" w:rsidP="00C46274">
      <w:pPr>
        <w:spacing w:after="0" w:line="360" w:lineRule="auto"/>
        <w:rPr>
          <w:color w:val="000000"/>
        </w:rPr>
      </w:pPr>
      <w:r>
        <w:rPr>
          <w:color w:val="000000"/>
        </w:rPr>
        <w:t> </w:t>
      </w:r>
    </w:p>
    <w:p w14:paraId="05F22F06" w14:textId="77777777" w:rsidR="00347D24" w:rsidRDefault="00347D24" w:rsidP="00C46274">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702B63F" w14:textId="77777777" w:rsidR="00347D24" w:rsidRDefault="00347D24" w:rsidP="00C46274">
      <w:pPr>
        <w:spacing w:after="0" w:line="360" w:lineRule="auto"/>
        <w:rPr>
          <w:color w:val="000000"/>
        </w:rPr>
      </w:pPr>
    </w:p>
    <w:p w14:paraId="7E166A25" w14:textId="77777777" w:rsidR="00347D24" w:rsidRDefault="00347D24" w:rsidP="00C46274">
      <w:pPr>
        <w:spacing w:after="0" w:line="360" w:lineRule="auto"/>
        <w:ind w:left="567" w:right="567"/>
        <w:rPr>
          <w:i/>
          <w:color w:val="000000"/>
          <w:sz w:val="20"/>
          <w:szCs w:val="20"/>
        </w:rPr>
      </w:pPr>
      <w:r>
        <w:rPr>
          <w:i/>
          <w:color w:val="000000"/>
          <w:sz w:val="20"/>
          <w:szCs w:val="20"/>
        </w:rPr>
        <w:lastRenderedPageBreak/>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CF316C9" w14:textId="77777777" w:rsidR="00347D24" w:rsidRDefault="00347D24" w:rsidP="00C46274">
      <w:pPr>
        <w:spacing w:after="0" w:line="360" w:lineRule="auto"/>
        <w:rPr>
          <w:b/>
        </w:rPr>
      </w:pPr>
    </w:p>
    <w:p w14:paraId="54BDF4E9" w14:textId="77777777" w:rsidR="00347D24" w:rsidRPr="0016300D" w:rsidRDefault="00347D24" w:rsidP="00C46274">
      <w:pPr>
        <w:pStyle w:val="Prrafodelista"/>
        <w:numPr>
          <w:ilvl w:val="0"/>
          <w:numId w:val="16"/>
        </w:numPr>
        <w:spacing w:line="360" w:lineRule="auto"/>
        <w:rPr>
          <w:color w:val="000000"/>
        </w:rPr>
      </w:pPr>
      <w:r>
        <w:rPr>
          <w:b/>
          <w:color w:val="000000"/>
        </w:rPr>
        <w:t xml:space="preserve">Cadenas y códigos bidimensionales o código QR. </w:t>
      </w:r>
    </w:p>
    <w:p w14:paraId="16696AF6" w14:textId="77777777" w:rsidR="00347D24" w:rsidRDefault="00347D24" w:rsidP="00C46274">
      <w:pPr>
        <w:spacing w:after="0" w:line="360" w:lineRule="auto"/>
        <w:rPr>
          <w:color w:val="000000"/>
        </w:rPr>
      </w:pPr>
    </w:p>
    <w:p w14:paraId="65390A73" w14:textId="77777777" w:rsidR="00347D24" w:rsidRPr="0016300D" w:rsidRDefault="00347D24" w:rsidP="00C46274">
      <w:pPr>
        <w:pStyle w:val="NormalWeb"/>
        <w:spacing w:after="0" w:line="360" w:lineRule="auto"/>
        <w:rPr>
          <w:sz w:val="22"/>
        </w:rPr>
      </w:pPr>
      <w:r w:rsidRPr="0016300D">
        <w:rPr>
          <w:rFonts w:ascii="Palatino Linotype" w:hAnsi="Palatino Linotype"/>
          <w:color w:val="000000"/>
          <w:sz w:val="22"/>
        </w:rPr>
        <w:t xml:space="preserve">La </w:t>
      </w:r>
      <w:r w:rsidRPr="0016300D">
        <w:rPr>
          <w:rFonts w:ascii="Palatino Linotype" w:hAnsi="Palatino Linotype"/>
          <w:bCs/>
          <w:color w:val="000000"/>
          <w:sz w:val="22"/>
        </w:rPr>
        <w:t>Cadena Original</w:t>
      </w:r>
      <w:r w:rsidRPr="0016300D">
        <w:rPr>
          <w:rFonts w:ascii="Palatino Linotype" w:hAnsi="Palatino Linotype"/>
          <w:color w:val="000000"/>
          <w:sz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6300D">
        <w:rPr>
          <w:rFonts w:ascii="Palatino Linotype" w:hAnsi="Palatino Linotype"/>
          <w:bCs/>
          <w:color w:val="000000"/>
          <w:sz w:val="22"/>
        </w:rPr>
        <w:t>Sujeto Obligado</w:t>
      </w:r>
      <w:r w:rsidRPr="0016300D">
        <w:rPr>
          <w:rFonts w:ascii="Palatino Linotype" w:hAnsi="Palatino Linotype"/>
          <w:color w:val="000000"/>
          <w:sz w:val="22"/>
        </w:rPr>
        <w:t xml:space="preserve"> analizar dicha circunstancia con la finalidad de proteger, de ser el caso, la información a través de su clasificación por actualizarse el supuesto de confidencialidad.</w:t>
      </w:r>
    </w:p>
    <w:p w14:paraId="5852C8A0" w14:textId="77777777" w:rsidR="00347D24" w:rsidRPr="0016300D" w:rsidRDefault="00347D24" w:rsidP="00C46274">
      <w:pPr>
        <w:spacing w:after="0" w:line="360" w:lineRule="auto"/>
        <w:rPr>
          <w:sz w:val="20"/>
        </w:rPr>
      </w:pPr>
    </w:p>
    <w:p w14:paraId="7AE77CB6" w14:textId="77777777" w:rsidR="00347D24" w:rsidRPr="0016300D" w:rsidRDefault="00347D24" w:rsidP="00C46274">
      <w:pPr>
        <w:pStyle w:val="NormalWeb"/>
        <w:spacing w:after="0" w:line="360" w:lineRule="auto"/>
        <w:rPr>
          <w:sz w:val="22"/>
        </w:rPr>
      </w:pPr>
      <w:r w:rsidRPr="0016300D">
        <w:rPr>
          <w:rFonts w:ascii="Palatino Linotype" w:hAnsi="Palatino Linotype"/>
          <w:color w:val="000000"/>
          <w:sz w:val="22"/>
        </w:rPr>
        <w:t xml:space="preserve">Los </w:t>
      </w:r>
      <w:r w:rsidRPr="0016300D">
        <w:rPr>
          <w:rFonts w:ascii="Palatino Linotype" w:hAnsi="Palatino Linotype"/>
          <w:bCs/>
          <w:color w:val="000000"/>
          <w:sz w:val="22"/>
        </w:rPr>
        <w:t>códigos bidimensionales</w:t>
      </w:r>
      <w:r w:rsidRPr="0016300D">
        <w:rPr>
          <w:rFonts w:ascii="Palatino Linotype" w:hAnsi="Palatino Linotype"/>
          <w:color w:val="000000"/>
          <w:sz w:val="22"/>
        </w:rPr>
        <w:t xml:space="preserve"> o </w:t>
      </w:r>
      <w:r w:rsidRPr="0016300D">
        <w:rPr>
          <w:rFonts w:ascii="Palatino Linotype" w:hAnsi="Palatino Linotype"/>
          <w:bCs/>
          <w:color w:val="000000"/>
          <w:sz w:val="22"/>
        </w:rPr>
        <w:t xml:space="preserve">códigos QR, </w:t>
      </w:r>
      <w:r w:rsidRPr="0016300D">
        <w:rPr>
          <w:rFonts w:ascii="Palatino Linotype" w:hAnsi="Palatino Linotype"/>
          <w:color w:val="000000"/>
          <w:sz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6300D">
        <w:rPr>
          <w:rFonts w:ascii="Palatino Linotype" w:hAnsi="Palatino Linotype"/>
          <w:bCs/>
          <w:color w:val="000000"/>
          <w:sz w:val="22"/>
        </w:rPr>
        <w:t xml:space="preserve">Sujeto Obligado </w:t>
      </w:r>
      <w:r w:rsidRPr="0016300D">
        <w:rPr>
          <w:rFonts w:ascii="Palatino Linotype" w:hAnsi="Palatino Linotype"/>
          <w:color w:val="000000"/>
          <w:sz w:val="22"/>
        </w:rPr>
        <w:t>analizar dicha circunstancia con la finalidad de determinar si se actualiza algún supuesto de confidencialidad.</w:t>
      </w:r>
    </w:p>
    <w:p w14:paraId="1DA8431D" w14:textId="77777777" w:rsidR="00347D24" w:rsidRDefault="00347D24" w:rsidP="00C46274">
      <w:pPr>
        <w:spacing w:after="0" w:line="360" w:lineRule="auto"/>
        <w:ind w:right="-28"/>
        <w:rPr>
          <w:color w:val="000000"/>
        </w:rPr>
      </w:pPr>
    </w:p>
    <w:p w14:paraId="5B235FB6" w14:textId="45DAD1BC" w:rsidR="00347D24" w:rsidRDefault="00347D24" w:rsidP="00C46274">
      <w:pPr>
        <w:spacing w:after="0" w:line="360" w:lineRule="auto"/>
        <w:ind w:right="-28"/>
        <w:rPr>
          <w:color w:val="000000"/>
        </w:rPr>
      </w:pPr>
      <w:r>
        <w:rPr>
          <w:color w:val="000000"/>
        </w:rPr>
        <w:t xml:space="preserve">Ahora bien, de lo anterior, es menester señalar </w:t>
      </w:r>
      <w:r w:rsidR="00C46274">
        <w:rPr>
          <w:color w:val="000000"/>
        </w:rPr>
        <w:t>que,</w:t>
      </w:r>
      <w:r>
        <w:rPr>
          <w:color w:val="000000"/>
        </w:rPr>
        <w:t xml:space="preserve"> de la respuesta proporcionada, el Sujeto Obligado: </w:t>
      </w:r>
    </w:p>
    <w:p w14:paraId="771BC173" w14:textId="77777777" w:rsidR="00347D24" w:rsidRDefault="00347D24" w:rsidP="00C46274">
      <w:pPr>
        <w:spacing w:after="0" w:line="360" w:lineRule="auto"/>
        <w:ind w:right="-28"/>
        <w:rPr>
          <w:color w:val="000000"/>
        </w:rPr>
      </w:pPr>
    </w:p>
    <w:p w14:paraId="7ED94E09" w14:textId="77777777" w:rsidR="00347D24" w:rsidRDefault="00347D24" w:rsidP="00C46274">
      <w:pPr>
        <w:pStyle w:val="Prrafodelista"/>
        <w:numPr>
          <w:ilvl w:val="0"/>
          <w:numId w:val="13"/>
        </w:numPr>
        <w:spacing w:line="360" w:lineRule="auto"/>
        <w:ind w:right="-28"/>
        <w:rPr>
          <w:color w:val="000000"/>
        </w:rPr>
      </w:pPr>
      <w:r>
        <w:rPr>
          <w:color w:val="000000"/>
        </w:rPr>
        <w:lastRenderedPageBreak/>
        <w:t xml:space="preserve">Remitió los recibos de nómina de manera completa de la temporalidad solicitada. </w:t>
      </w:r>
    </w:p>
    <w:p w14:paraId="26EB386B" w14:textId="77777777" w:rsidR="002C3618" w:rsidRDefault="002C3618" w:rsidP="002C3618">
      <w:pPr>
        <w:pStyle w:val="Prrafodelista"/>
        <w:spacing w:line="360" w:lineRule="auto"/>
        <w:ind w:right="-28"/>
        <w:rPr>
          <w:color w:val="000000"/>
        </w:rPr>
      </w:pPr>
    </w:p>
    <w:p w14:paraId="7193B9CF" w14:textId="77777777" w:rsidR="00347D24" w:rsidRDefault="00347D24" w:rsidP="00C46274">
      <w:pPr>
        <w:pStyle w:val="Prrafodelista"/>
        <w:numPr>
          <w:ilvl w:val="0"/>
          <w:numId w:val="13"/>
        </w:numPr>
        <w:spacing w:line="360" w:lineRule="auto"/>
        <w:ind w:right="-28"/>
        <w:rPr>
          <w:color w:val="000000"/>
        </w:rPr>
      </w:pPr>
      <w:r>
        <w:rPr>
          <w:color w:val="000000"/>
        </w:rPr>
        <w:t xml:space="preserve">Los datos testados en los recibos de nómina actualizan la causal de clasificación prevista en la fracción I del artículo 143 de la Ley de Transparencia y Acceso a la Información Pública del Estado de México y Municipios. </w:t>
      </w:r>
    </w:p>
    <w:p w14:paraId="68E3B828" w14:textId="77777777" w:rsidR="002C3618" w:rsidRPr="002C3618" w:rsidRDefault="002C3618" w:rsidP="002C3618">
      <w:pPr>
        <w:pStyle w:val="Prrafodelista"/>
        <w:rPr>
          <w:color w:val="000000"/>
        </w:rPr>
      </w:pPr>
    </w:p>
    <w:p w14:paraId="4B4C34DB" w14:textId="77777777" w:rsidR="00347D24" w:rsidRPr="00347D24" w:rsidRDefault="00347D24" w:rsidP="00C46274">
      <w:pPr>
        <w:pStyle w:val="Prrafodelista"/>
        <w:numPr>
          <w:ilvl w:val="0"/>
          <w:numId w:val="13"/>
        </w:numPr>
        <w:spacing w:line="360" w:lineRule="auto"/>
        <w:ind w:right="-28"/>
        <w:rPr>
          <w:color w:val="000000"/>
        </w:rPr>
      </w:pPr>
      <w:r>
        <w:rPr>
          <w:color w:val="000000"/>
        </w:rPr>
        <w:t xml:space="preserve">El Sujeto Obligado fue omiso en remitir el Acuerdo emitido por el Comité de Transparencia que sustente la versión pública de los recibos de nómina proporcionados. </w:t>
      </w:r>
    </w:p>
    <w:p w14:paraId="45949CBC" w14:textId="77777777" w:rsidR="00347D24" w:rsidRDefault="00347D24" w:rsidP="00C46274">
      <w:pPr>
        <w:tabs>
          <w:tab w:val="left" w:pos="4962"/>
        </w:tabs>
        <w:spacing w:after="0" w:line="360" w:lineRule="auto"/>
        <w:contextualSpacing/>
        <w:rPr>
          <w:color w:val="000000"/>
        </w:rPr>
      </w:pPr>
    </w:p>
    <w:p w14:paraId="714DB6B4" w14:textId="6A4E6068" w:rsidR="00347D24" w:rsidRDefault="00347D24" w:rsidP="00C46274">
      <w:pPr>
        <w:tabs>
          <w:tab w:val="left" w:pos="4962"/>
        </w:tabs>
        <w:spacing w:after="0" w:line="360" w:lineRule="auto"/>
        <w:contextualSpacing/>
        <w:rPr>
          <w:color w:val="000000"/>
        </w:rPr>
      </w:pPr>
      <w:r>
        <w:rPr>
          <w:color w:val="000000"/>
        </w:rPr>
        <w:t>Sin embargo, de las actuaciones que obran en el expediente electrónico, se advierte que, mediante informe justificado, el Sujeto Obligado proporcionó</w:t>
      </w:r>
      <w:r w:rsidR="006B2460">
        <w:rPr>
          <w:color w:val="000000"/>
        </w:rPr>
        <w:t xml:space="preserve"> el Acta de la Décima Sesión Extraordinaria del Comité de Transparencia</w:t>
      </w:r>
      <w:r w:rsidR="002C3618">
        <w:rPr>
          <w:color w:val="000000"/>
        </w:rPr>
        <w:t xml:space="preserve"> y de la Trigésima Sesión Extraordinaria</w:t>
      </w:r>
      <w:r w:rsidR="006B2460">
        <w:rPr>
          <w:color w:val="000000"/>
        </w:rPr>
        <w:t xml:space="preserve">, en donde se aprobó, la versión pública de los documentos proporcionados en respuesta, </w:t>
      </w:r>
      <w:r w:rsidR="002C3618">
        <w:rPr>
          <w:color w:val="000000"/>
        </w:rPr>
        <w:t>lo cual incluye la clasificación del nombre de los elementos operativos en materia de seguridad, en términos del artículo 140, fracción IV, de la Ley de Transparencia y Acceso a la Información Pública del Estado de México y Municipios.</w:t>
      </w:r>
    </w:p>
    <w:p w14:paraId="063D7CC3" w14:textId="3264C101" w:rsidR="006B2460" w:rsidRDefault="006B2460" w:rsidP="00C46274">
      <w:pPr>
        <w:tabs>
          <w:tab w:val="left" w:pos="4962"/>
        </w:tabs>
        <w:spacing w:after="0" w:line="360" w:lineRule="auto"/>
        <w:contextualSpacing/>
        <w:rPr>
          <w:color w:val="000000"/>
        </w:rPr>
      </w:pPr>
    </w:p>
    <w:p w14:paraId="27EA5E54" w14:textId="77777777" w:rsidR="00347D24" w:rsidRPr="00815D48" w:rsidRDefault="00347D24" w:rsidP="00C46274">
      <w:pPr>
        <w:tabs>
          <w:tab w:val="center" w:pos="4522"/>
        </w:tabs>
        <w:spacing w:after="0" w:line="360" w:lineRule="auto"/>
        <w:rPr>
          <w:color w:val="000000"/>
        </w:rPr>
      </w:pPr>
      <w:r>
        <w:rPr>
          <w:color w:val="000000"/>
        </w:rPr>
        <w:t xml:space="preserve">En ese sentido, este Organismo Garante considera que, debido a que, durante la sustanciación del Medio de Impugnación, el Sujeto Obligado </w:t>
      </w:r>
      <w:r w:rsidR="006B2460">
        <w:rPr>
          <w:color w:val="000000"/>
        </w:rPr>
        <w:t>proporcionó el Acta de la Décima Sesión Extraordinaria del Comité de Transparencia, en la que se sustenta la versión pública de los recibos de nómina proporcionados en respuesta</w:t>
      </w:r>
      <w:r>
        <w:rPr>
          <w:color w:val="000000"/>
        </w:rPr>
        <w:t xml:space="preserve">, </w:t>
      </w:r>
      <w:r w:rsidRPr="00556C13">
        <w:rPr>
          <w:b/>
        </w:rPr>
        <w:t>se considera que la impugnación que se dirime ha quedado sin materia.</w:t>
      </w:r>
    </w:p>
    <w:p w14:paraId="65317862" w14:textId="77777777" w:rsidR="00113E04" w:rsidRDefault="00113E04" w:rsidP="00C46274">
      <w:pPr>
        <w:spacing w:after="0" w:line="360" w:lineRule="auto"/>
        <w:rPr>
          <w:b/>
          <w:color w:val="000000"/>
        </w:rPr>
      </w:pPr>
    </w:p>
    <w:p w14:paraId="35E42676" w14:textId="77777777" w:rsidR="00113E04" w:rsidRDefault="00AB421C" w:rsidP="00C46274">
      <w:pPr>
        <w:pStyle w:val="Ttulo2"/>
        <w:spacing w:before="0" w:after="0" w:line="360" w:lineRule="auto"/>
        <w:rPr>
          <w:sz w:val="22"/>
          <w:szCs w:val="22"/>
        </w:rPr>
      </w:pPr>
      <w:bookmarkStart w:id="11" w:name="_Toc206688027"/>
      <w:r>
        <w:rPr>
          <w:sz w:val="22"/>
          <w:szCs w:val="22"/>
        </w:rPr>
        <w:t>TERCERO. Determinación de la Controversia</w:t>
      </w:r>
      <w:bookmarkEnd w:id="11"/>
    </w:p>
    <w:p w14:paraId="0CA45510" w14:textId="77777777" w:rsidR="00113E04" w:rsidRDefault="00113E04" w:rsidP="00C46274">
      <w:pPr>
        <w:spacing w:after="0" w:line="360" w:lineRule="auto"/>
        <w:rPr>
          <w:b/>
          <w:color w:val="000000"/>
        </w:rPr>
      </w:pPr>
    </w:p>
    <w:p w14:paraId="175FF246" w14:textId="77777777" w:rsidR="00113E04" w:rsidRPr="006B2460" w:rsidRDefault="006B2460" w:rsidP="00C46274">
      <w:pPr>
        <w:spacing w:after="0" w:line="360" w:lineRule="auto"/>
        <w:rPr>
          <w:color w:val="000000"/>
        </w:rPr>
      </w:pPr>
      <w:r w:rsidRPr="006B2460">
        <w:rPr>
          <w:color w:val="000000"/>
        </w:rPr>
        <w:lastRenderedPageBreak/>
        <w:t xml:space="preserve">En lo que respecta al Recurso de Revisión </w:t>
      </w:r>
      <w:r w:rsidRPr="006B2460">
        <w:rPr>
          <w:b/>
        </w:rPr>
        <w:t>07316/INFOEM/IP/RR/2025</w:t>
      </w:r>
      <w:r w:rsidR="00AB421C" w:rsidRPr="006B2460">
        <w:rPr>
          <w:color w:val="000000"/>
        </w:rPr>
        <w:t xml:space="preserve"> el particular, solicitó los recibos de nómina actuales del personal de Secretaría del Ayuntamiento. </w:t>
      </w:r>
    </w:p>
    <w:p w14:paraId="56DE2864" w14:textId="77777777" w:rsidR="00113E04" w:rsidRPr="006B2460" w:rsidRDefault="00113E04" w:rsidP="00C46274">
      <w:pPr>
        <w:spacing w:after="0" w:line="360" w:lineRule="auto"/>
        <w:rPr>
          <w:highlight w:val="yellow"/>
        </w:rPr>
      </w:pPr>
    </w:p>
    <w:p w14:paraId="23C070AD" w14:textId="77777777" w:rsidR="00113E04" w:rsidRDefault="00AB421C" w:rsidP="00C46274">
      <w:pPr>
        <w:spacing w:after="0" w:line="360" w:lineRule="auto"/>
        <w:rPr>
          <w:color w:val="000000"/>
        </w:rPr>
      </w:pPr>
      <w:r w:rsidRPr="006B2460">
        <w:t>E</w:t>
      </w:r>
      <w:r w:rsidRPr="006B2460">
        <w:rPr>
          <w:color w:val="000000"/>
        </w:rPr>
        <w:t>n respuesta</w:t>
      </w:r>
      <w:r w:rsidRPr="006B2460">
        <w:t xml:space="preserve">, el </w:t>
      </w:r>
      <w:r w:rsidRPr="006B2460">
        <w:rPr>
          <w:color w:val="000000"/>
        </w:rPr>
        <w:t>Sujeto Obligado, a través de su Subdirector de Recursos Humanos, remitió catorce recibos de nómina de los servidores públicos adscritos a la Secretaría del Ayuntamiento, de la segunda quincena de mayo de dos mil veinticinco, en versión pública.</w:t>
      </w:r>
    </w:p>
    <w:p w14:paraId="28AF695A" w14:textId="77777777" w:rsidR="00113E04" w:rsidRDefault="00113E04" w:rsidP="00C46274">
      <w:pPr>
        <w:spacing w:after="0" w:line="360" w:lineRule="auto"/>
      </w:pPr>
    </w:p>
    <w:p w14:paraId="7E544904" w14:textId="55C4343A" w:rsidR="00113E04" w:rsidRDefault="00AB421C" w:rsidP="00C46274">
      <w:pPr>
        <w:pBdr>
          <w:top w:val="nil"/>
          <w:left w:val="nil"/>
          <w:bottom w:val="nil"/>
          <w:right w:val="nil"/>
          <w:between w:val="nil"/>
        </w:pBdr>
        <w:spacing w:after="0" w:line="360" w:lineRule="auto"/>
      </w:pPr>
      <w:r>
        <w:rPr>
          <w:color w:val="000000"/>
        </w:rPr>
        <w:t>Derivado de ello, la parte Recurrente se inconformó arguyendo que la información se encontraba incompleta,</w:t>
      </w:r>
      <w:r>
        <w:t xml:space="preserve"> </w:t>
      </w:r>
      <w:r>
        <w:rPr>
          <w:color w:val="000000"/>
        </w:rPr>
        <w:t>porque no se adjuntaba el acuerdo de clasificación de la información,</w:t>
      </w:r>
      <w:r>
        <w:t xml:space="preserve"> lo cual actualiza la causal de procedencia establecida en el artículo 179, fracción V, de la Ley de la materia. </w:t>
      </w:r>
      <w:r w:rsidR="002C3618">
        <w:t xml:space="preserve"> </w:t>
      </w:r>
      <w:r>
        <w:t xml:space="preserve">Las partes fueron omisas en rendir manifestaciones. </w:t>
      </w:r>
    </w:p>
    <w:p w14:paraId="02822494" w14:textId="77777777" w:rsidR="00113E04" w:rsidRDefault="00113E04" w:rsidP="00C46274">
      <w:pPr>
        <w:pBdr>
          <w:top w:val="nil"/>
          <w:left w:val="nil"/>
          <w:bottom w:val="nil"/>
          <w:right w:val="nil"/>
          <w:between w:val="nil"/>
        </w:pBdr>
        <w:spacing w:after="0" w:line="360" w:lineRule="auto"/>
      </w:pPr>
    </w:p>
    <w:p w14:paraId="55C1FAA3" w14:textId="77777777" w:rsidR="006B2460" w:rsidRDefault="006B2460" w:rsidP="00C46274">
      <w:pPr>
        <w:pBdr>
          <w:top w:val="nil"/>
          <w:left w:val="nil"/>
          <w:bottom w:val="nil"/>
          <w:right w:val="nil"/>
          <w:between w:val="nil"/>
        </w:pBdr>
        <w:spacing w:after="0" w:line="360" w:lineRule="auto"/>
      </w:pPr>
      <w:r>
        <w:t>Conforme a lo analizado, se puede advertir que, el ahora Recurrente no se inconformó respecto a los recibos de nómina o la temporalidad proporcionada, sino, únicamente por la versión pública de estos, aunado a que puntualizó que no se le había proporcionado el acuerdo del comité de transparencia, por lo que de acuerdo el artículo 195 de la Ley de Transparencia y Acceso a la Información Pública del Estado de México y Municipios, con relación con el diverso 195, fracción IV, del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0DB913E4" w14:textId="77777777" w:rsidR="006B2460" w:rsidRDefault="006B2460" w:rsidP="00C46274">
      <w:pPr>
        <w:pBdr>
          <w:top w:val="nil"/>
          <w:left w:val="nil"/>
          <w:bottom w:val="nil"/>
          <w:right w:val="nil"/>
          <w:between w:val="nil"/>
        </w:pBdr>
        <w:spacing w:after="0" w:line="360" w:lineRule="auto"/>
      </w:pPr>
      <w:r>
        <w:t xml:space="preserve"> </w:t>
      </w:r>
    </w:p>
    <w:p w14:paraId="103CBFB0" w14:textId="77777777" w:rsidR="006B2460" w:rsidRDefault="006B2460" w:rsidP="00C46274">
      <w:pPr>
        <w:pBdr>
          <w:top w:val="nil"/>
          <w:left w:val="nil"/>
          <w:bottom w:val="nil"/>
          <w:right w:val="nil"/>
          <w:between w:val="nil"/>
        </w:pBdr>
        <w:spacing w:after="0" w:line="360" w:lineRule="auto"/>
      </w:pPr>
      <w:r>
        <w:t xml:space="preserve">De la misma manera resulta aplicable el criterio sostenido por el Poder Judicial de la Federación de rubro </w:t>
      </w:r>
      <w:r w:rsidRPr="006B2460">
        <w:rPr>
          <w:b/>
        </w:rPr>
        <w:t>ACTOS CONSENTIDOS TÁCITAMENTE, Tesis VI.2o. J/21</w:t>
      </w:r>
      <w:r>
        <w:t xml:space="preserve">, emitida en la novena época, por el Segundo Tribunal Colegiado del Sexto Circuito, publicada en la Gaceta del Semanario Judicial de la Federación en agosto de 1995, página 291, número de </w:t>
      </w:r>
      <w:r>
        <w:lastRenderedPageBreak/>
        <w:t>registro 204707, del que se desprende que cuando no se reclaman los actos de autoridad en la vía y plazos establecidos en la Ley, se presume que el Particular está conforme con los mismos.</w:t>
      </w:r>
    </w:p>
    <w:p w14:paraId="05927CB6" w14:textId="77777777" w:rsidR="006B2460" w:rsidRDefault="006B2460" w:rsidP="00C46274">
      <w:pPr>
        <w:pBdr>
          <w:top w:val="nil"/>
          <w:left w:val="nil"/>
          <w:bottom w:val="nil"/>
          <w:right w:val="nil"/>
          <w:between w:val="nil"/>
        </w:pBdr>
        <w:spacing w:after="0" w:line="360" w:lineRule="auto"/>
      </w:pPr>
      <w:r>
        <w:t xml:space="preserve"> </w:t>
      </w:r>
    </w:p>
    <w:p w14:paraId="5FC70751" w14:textId="77777777" w:rsidR="006B2460" w:rsidRDefault="006B2460" w:rsidP="00C46274">
      <w:pPr>
        <w:pBdr>
          <w:top w:val="nil"/>
          <w:left w:val="nil"/>
          <w:bottom w:val="nil"/>
          <w:right w:val="nil"/>
          <w:between w:val="nil"/>
        </w:pBdr>
        <w:spacing w:after="0" w:line="360" w:lineRule="auto"/>
      </w:pPr>
      <w: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717086EA" w14:textId="77777777" w:rsidR="006B2460" w:rsidRDefault="006B2460" w:rsidP="00C46274">
      <w:pPr>
        <w:pBdr>
          <w:top w:val="nil"/>
          <w:left w:val="nil"/>
          <w:bottom w:val="nil"/>
          <w:right w:val="nil"/>
          <w:between w:val="nil"/>
        </w:pBdr>
        <w:spacing w:after="0" w:line="360" w:lineRule="auto"/>
      </w:pPr>
      <w:r>
        <w:t xml:space="preserve"> </w:t>
      </w:r>
    </w:p>
    <w:p w14:paraId="04F4ACB5" w14:textId="77777777" w:rsidR="006B2460" w:rsidRDefault="006B2460" w:rsidP="00C46274">
      <w:pPr>
        <w:pBdr>
          <w:top w:val="nil"/>
          <w:left w:val="nil"/>
          <w:bottom w:val="nil"/>
          <w:right w:val="nil"/>
          <w:between w:val="nil"/>
        </w:pBdr>
        <w:spacing w:after="0" w:line="360" w:lineRule="auto"/>
      </w:pPr>
      <w: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para atender lo referente a versión pública de los recibos de nómina proporcionados. </w:t>
      </w:r>
    </w:p>
    <w:p w14:paraId="39924C3C" w14:textId="77777777" w:rsidR="006B2460" w:rsidRDefault="006B2460" w:rsidP="00C46274">
      <w:pPr>
        <w:pBdr>
          <w:top w:val="nil"/>
          <w:left w:val="nil"/>
          <w:bottom w:val="nil"/>
          <w:right w:val="nil"/>
          <w:between w:val="nil"/>
        </w:pBdr>
        <w:spacing w:after="0" w:line="360" w:lineRule="auto"/>
      </w:pPr>
    </w:p>
    <w:p w14:paraId="3C836147" w14:textId="77777777" w:rsidR="00113E04" w:rsidRDefault="00AB421C" w:rsidP="00C46274">
      <w:pPr>
        <w:pBdr>
          <w:top w:val="nil"/>
          <w:left w:val="nil"/>
          <w:bottom w:val="nil"/>
          <w:right w:val="nil"/>
          <w:between w:val="nil"/>
        </w:pBdr>
        <w:spacing w:after="0" w:line="360" w:lineRule="auto"/>
      </w:pPr>
      <w:r>
        <w:t xml:space="preserve">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1737C593" w14:textId="77777777" w:rsidR="0048051A" w:rsidRPr="0048051A" w:rsidRDefault="0048051A" w:rsidP="00C46274">
      <w:pPr>
        <w:pBdr>
          <w:top w:val="nil"/>
          <w:left w:val="nil"/>
          <w:bottom w:val="nil"/>
          <w:right w:val="nil"/>
          <w:between w:val="nil"/>
        </w:pBdr>
        <w:spacing w:after="0" w:line="360" w:lineRule="auto"/>
      </w:pPr>
    </w:p>
    <w:p w14:paraId="51A357A4" w14:textId="77777777" w:rsidR="00113E04" w:rsidRDefault="00AB421C" w:rsidP="00C46274">
      <w:pPr>
        <w:pStyle w:val="Ttulo2"/>
        <w:spacing w:before="0" w:after="0" w:line="360" w:lineRule="auto"/>
        <w:rPr>
          <w:sz w:val="22"/>
          <w:szCs w:val="22"/>
        </w:rPr>
      </w:pPr>
      <w:bookmarkStart w:id="12" w:name="_Toc206688028"/>
      <w:r>
        <w:rPr>
          <w:sz w:val="22"/>
          <w:szCs w:val="22"/>
        </w:rPr>
        <w:lastRenderedPageBreak/>
        <w:t>CUARTO. Marco normativo aplicable en materia de transparencia y acceso a la información pública</w:t>
      </w:r>
      <w:bookmarkEnd w:id="12"/>
    </w:p>
    <w:p w14:paraId="0266141C" w14:textId="77777777" w:rsidR="00113E04" w:rsidRDefault="00113E04" w:rsidP="00C46274">
      <w:pPr>
        <w:spacing w:after="0" w:line="360" w:lineRule="auto"/>
        <w:rPr>
          <w:color w:val="000000"/>
        </w:rPr>
      </w:pPr>
    </w:p>
    <w:p w14:paraId="211E2E5F" w14:textId="77777777" w:rsidR="00113E04" w:rsidRDefault="00AB421C" w:rsidP="00C46274">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DE5AED5" w14:textId="77777777" w:rsidR="00113E04" w:rsidRDefault="00113E04" w:rsidP="00C46274">
      <w:pPr>
        <w:spacing w:after="0" w:line="360" w:lineRule="auto"/>
        <w:rPr>
          <w:color w:val="000000"/>
        </w:rPr>
      </w:pPr>
    </w:p>
    <w:p w14:paraId="0F70F454" w14:textId="77777777" w:rsidR="00113E04" w:rsidRDefault="00AB421C" w:rsidP="00C46274">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59F0E9" w14:textId="77777777" w:rsidR="00113E04" w:rsidRDefault="00113E04" w:rsidP="00C46274">
      <w:pPr>
        <w:spacing w:after="0" w:line="360" w:lineRule="auto"/>
        <w:rPr>
          <w:color w:val="000000"/>
        </w:rPr>
      </w:pPr>
    </w:p>
    <w:p w14:paraId="447C15E7" w14:textId="77777777" w:rsidR="00113E04" w:rsidRDefault="00AB421C" w:rsidP="00C46274">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6761111D" w14:textId="77777777" w:rsidR="00113E04" w:rsidRDefault="00113E04" w:rsidP="00C46274">
      <w:pPr>
        <w:spacing w:after="0" w:line="360" w:lineRule="auto"/>
        <w:rPr>
          <w:color w:val="000000"/>
        </w:rPr>
      </w:pPr>
    </w:p>
    <w:p w14:paraId="11DA6958" w14:textId="77777777" w:rsidR="00113E04" w:rsidRDefault="00AB421C" w:rsidP="00C46274">
      <w:pPr>
        <w:spacing w:after="0" w:line="360" w:lineRule="auto"/>
        <w:rPr>
          <w:color w:val="000000"/>
        </w:rPr>
      </w:pPr>
      <w:r>
        <w:rPr>
          <w:color w:val="000000"/>
        </w:rPr>
        <w:t xml:space="preserve">El artículo </w:t>
      </w:r>
      <w:r>
        <w:t>12 dice que</w:t>
      </w:r>
      <w:r>
        <w:rPr>
          <w:color w:val="000000"/>
        </w:rPr>
        <w:t>, quienes generen, recopilen, administren, manejen, procesen, archiven o conserven información pública serán responsables de la misma.</w:t>
      </w:r>
    </w:p>
    <w:p w14:paraId="0308065A" w14:textId="77777777" w:rsidR="00113E04" w:rsidRDefault="00113E04" w:rsidP="00C46274">
      <w:pPr>
        <w:spacing w:after="0" w:line="360" w:lineRule="auto"/>
        <w:rPr>
          <w:color w:val="000000"/>
        </w:rPr>
      </w:pPr>
    </w:p>
    <w:p w14:paraId="65E852B4" w14:textId="77777777" w:rsidR="00113E04" w:rsidRDefault="00AB421C" w:rsidP="00C46274">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CB9C373" w14:textId="77777777" w:rsidR="00113E04" w:rsidRDefault="00113E04" w:rsidP="00C46274">
      <w:pPr>
        <w:widowControl w:val="0"/>
        <w:spacing w:after="0" w:line="360" w:lineRule="auto"/>
        <w:rPr>
          <w:color w:val="000000"/>
        </w:rPr>
      </w:pPr>
    </w:p>
    <w:p w14:paraId="1D8BC728" w14:textId="77777777" w:rsidR="00113E04" w:rsidRDefault="00AB421C" w:rsidP="00C46274">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w:t>
      </w:r>
      <w:r>
        <w:rPr>
          <w:color w:val="000000"/>
        </w:rPr>
        <w:lastRenderedPageBreak/>
        <w:t>obligados y en caso de que dichas facultades no se hayan ejercido, se deberá motivar la respuesta en función de las causas que motivaron tal circunstancia.</w:t>
      </w:r>
    </w:p>
    <w:p w14:paraId="1663FBBC" w14:textId="77777777" w:rsidR="00113E04" w:rsidRDefault="00113E04" w:rsidP="00C46274">
      <w:pPr>
        <w:spacing w:after="0" w:line="360" w:lineRule="auto"/>
      </w:pPr>
    </w:p>
    <w:p w14:paraId="14BD299A" w14:textId="77777777" w:rsidR="00113E04" w:rsidRDefault="00AB421C" w:rsidP="00C46274">
      <w:pPr>
        <w:pStyle w:val="Ttulo2"/>
        <w:spacing w:before="0" w:after="0" w:line="360" w:lineRule="auto"/>
        <w:rPr>
          <w:sz w:val="22"/>
          <w:szCs w:val="22"/>
        </w:rPr>
      </w:pPr>
      <w:bookmarkStart w:id="13" w:name="_Toc206688029"/>
      <w:r>
        <w:rPr>
          <w:sz w:val="22"/>
          <w:szCs w:val="22"/>
        </w:rPr>
        <w:t>QUINTO. Estudio de Fondo</w:t>
      </w:r>
      <w:bookmarkEnd w:id="13"/>
    </w:p>
    <w:p w14:paraId="37F1A54E" w14:textId="77777777" w:rsidR="00113E04" w:rsidRDefault="00113E04" w:rsidP="00C46274">
      <w:pPr>
        <w:spacing w:after="0" w:line="360" w:lineRule="auto"/>
        <w:rPr>
          <w:b/>
          <w:color w:val="000000"/>
        </w:rPr>
      </w:pPr>
    </w:p>
    <w:p w14:paraId="4C5F6931" w14:textId="77777777" w:rsidR="00113E04" w:rsidRDefault="00AB421C" w:rsidP="00C46274">
      <w:pPr>
        <w:spacing w:after="0" w:line="360" w:lineRule="auto"/>
        <w:rPr>
          <w:color w:val="000000"/>
        </w:rPr>
      </w:pPr>
      <w:r>
        <w:rPr>
          <w:color w:val="000000"/>
        </w:rPr>
        <w:t>Expuestas las posturas de las partes, se procede al análisis de los agravios hechos valer por la persona Recurrente</w:t>
      </w:r>
      <w:r w:rsidR="006B2460">
        <w:rPr>
          <w:color w:val="000000"/>
        </w:rPr>
        <w:t xml:space="preserve"> en el Recurso de Revisión </w:t>
      </w:r>
      <w:r w:rsidR="006B2460" w:rsidRPr="006B2460">
        <w:rPr>
          <w:b/>
        </w:rPr>
        <w:t>07316/INFOEM/IP/RR/2025</w:t>
      </w:r>
      <w:r>
        <w:t>,</w:t>
      </w:r>
      <w:r w:rsidR="007F1225">
        <w:t xml:space="preserve"> siendo que,</w:t>
      </w:r>
      <w:r>
        <w:t xml:space="preserve"> </w:t>
      </w:r>
      <w:r>
        <w:rPr>
          <w:color w:val="000000"/>
        </w:rPr>
        <w:t xml:space="preserve">del análisis realizado a </w:t>
      </w:r>
      <w:proofErr w:type="gramStart"/>
      <w:r w:rsidR="007F1225">
        <w:rPr>
          <w:color w:val="000000"/>
        </w:rPr>
        <w:t>la versión pública de los recibos de nómina proporcionados</w:t>
      </w:r>
      <w:proofErr w:type="gramEnd"/>
      <w:r>
        <w:rPr>
          <w:color w:val="000000"/>
        </w:rPr>
        <w:t xml:space="preserve">, se advierte que, el Sujeto Obligado clasificó los siguientes datos: </w:t>
      </w:r>
    </w:p>
    <w:p w14:paraId="03535E10" w14:textId="77777777" w:rsidR="00113E04" w:rsidRDefault="00113E04" w:rsidP="00C46274">
      <w:pPr>
        <w:spacing w:after="0" w:line="360" w:lineRule="auto"/>
        <w:rPr>
          <w:color w:val="000000"/>
        </w:rPr>
      </w:pPr>
    </w:p>
    <w:p w14:paraId="304C3673"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Número de empleado.</w:t>
      </w:r>
    </w:p>
    <w:p w14:paraId="76D19AD0"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Registro Federal de Contribuyentes.</w:t>
      </w:r>
    </w:p>
    <w:p w14:paraId="622D27E1"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 xml:space="preserve">Clave Única de Registro de Población. </w:t>
      </w:r>
    </w:p>
    <w:p w14:paraId="795FC890"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 xml:space="preserve">Número de Seguridad Social. </w:t>
      </w:r>
    </w:p>
    <w:p w14:paraId="6A9E36BE"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 xml:space="preserve">Deducciones personales. </w:t>
      </w:r>
    </w:p>
    <w:p w14:paraId="52A70FBB"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 xml:space="preserve">Cuenta Bancaria. </w:t>
      </w:r>
    </w:p>
    <w:p w14:paraId="6E136AAC" w14:textId="77777777" w:rsidR="00113E04" w:rsidRDefault="00AB421C" w:rsidP="00C46274">
      <w:pPr>
        <w:numPr>
          <w:ilvl w:val="0"/>
          <w:numId w:val="3"/>
        </w:numPr>
        <w:pBdr>
          <w:top w:val="nil"/>
          <w:left w:val="nil"/>
          <w:bottom w:val="nil"/>
          <w:right w:val="nil"/>
          <w:between w:val="nil"/>
        </w:pBdr>
        <w:spacing w:after="0" w:line="360" w:lineRule="auto"/>
        <w:rPr>
          <w:color w:val="000000"/>
        </w:rPr>
      </w:pPr>
      <w:r>
        <w:rPr>
          <w:color w:val="000000"/>
        </w:rPr>
        <w:t xml:space="preserve">Código QR. </w:t>
      </w:r>
    </w:p>
    <w:p w14:paraId="79F03E58" w14:textId="77777777" w:rsidR="00113E04" w:rsidRDefault="00113E04" w:rsidP="00C46274">
      <w:pPr>
        <w:pBdr>
          <w:top w:val="nil"/>
          <w:left w:val="nil"/>
          <w:bottom w:val="nil"/>
          <w:right w:val="nil"/>
          <w:between w:val="nil"/>
        </w:pBdr>
        <w:spacing w:after="0" w:line="360" w:lineRule="auto"/>
        <w:ind w:left="720"/>
        <w:rPr>
          <w:color w:val="000000"/>
        </w:rPr>
      </w:pPr>
    </w:p>
    <w:p w14:paraId="4ADBC2D5" w14:textId="32264A01" w:rsidR="00113E04" w:rsidRDefault="00C46274" w:rsidP="00C46274">
      <w:pPr>
        <w:spacing w:after="0" w:line="360" w:lineRule="auto"/>
        <w:ind w:right="-28"/>
        <w:rPr>
          <w:color w:val="000000"/>
        </w:rPr>
      </w:pPr>
      <w:r>
        <w:rPr>
          <w:color w:val="000000"/>
        </w:rPr>
        <w:t>Cabe recordar que tal como se analizó en el Considerando SEGUNDO, los datos previamente señalados son confidenciales y actualizan la causal de clasificación prevista en el artículo 143, fracción I, de la Ley de Transparencia y Acceso a la Información Pública del Estado de México y Municipios.</w:t>
      </w:r>
    </w:p>
    <w:p w14:paraId="45CCE951" w14:textId="77777777" w:rsidR="00C46274" w:rsidRDefault="00C46274" w:rsidP="00C46274">
      <w:pPr>
        <w:tabs>
          <w:tab w:val="left" w:pos="3962"/>
        </w:tabs>
        <w:spacing w:after="0" w:line="360" w:lineRule="auto"/>
      </w:pPr>
    </w:p>
    <w:p w14:paraId="6BCE42AA" w14:textId="569FA6C0" w:rsidR="00113E04" w:rsidRDefault="00AB421C" w:rsidP="00C46274">
      <w:pPr>
        <w:tabs>
          <w:tab w:val="left" w:pos="3962"/>
        </w:tabs>
        <w:spacing w:after="0" w:line="360" w:lineRule="auto"/>
      </w:pPr>
      <w:r>
        <w:t xml:space="preserve">En ese contexto, toda vez que resultó procedente la clasificación de los datos testados en cada uno de los recibos de nómina y, por lo tanto, es correcta la versión pública entregada, debe traerse a colación lo dispuesto en el artículo 168 de la Ley de Transparencia y Acceso a la </w:t>
      </w:r>
      <w:r>
        <w:lastRenderedPageBreak/>
        <w:t>Información Pública del Estado de México y Municipios, que precisa que</w:t>
      </w:r>
      <w:r>
        <w:rPr>
          <w:rFonts w:ascii="Arial" w:eastAsia="Arial" w:hAnsi="Arial" w:cs="Arial"/>
          <w:sz w:val="24"/>
          <w:szCs w:val="24"/>
        </w:rPr>
        <w:t xml:space="preserve"> </w:t>
      </w:r>
      <w: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2E05311" w14:textId="77777777" w:rsidR="00113E04" w:rsidRDefault="00113E04" w:rsidP="00C46274">
      <w:pPr>
        <w:tabs>
          <w:tab w:val="left" w:pos="3962"/>
        </w:tabs>
        <w:spacing w:after="0" w:line="360" w:lineRule="auto"/>
      </w:pPr>
    </w:p>
    <w:p w14:paraId="52DF8ED0" w14:textId="77777777" w:rsidR="00113E04" w:rsidRDefault="00AB421C" w:rsidP="00C46274">
      <w:pPr>
        <w:numPr>
          <w:ilvl w:val="0"/>
          <w:numId w:val="8"/>
        </w:numPr>
        <w:tabs>
          <w:tab w:val="left" w:pos="3962"/>
        </w:tabs>
        <w:spacing w:after="0" w:line="360" w:lineRule="auto"/>
        <w:jc w:val="left"/>
      </w:pPr>
      <w:r>
        <w:t>Confirmar la clasificación;</w:t>
      </w:r>
    </w:p>
    <w:p w14:paraId="6576A105" w14:textId="77777777" w:rsidR="00113E04" w:rsidRDefault="00AB421C" w:rsidP="00C46274">
      <w:pPr>
        <w:numPr>
          <w:ilvl w:val="0"/>
          <w:numId w:val="8"/>
        </w:numPr>
        <w:tabs>
          <w:tab w:val="left" w:pos="3962"/>
        </w:tabs>
        <w:spacing w:after="0" w:line="360" w:lineRule="auto"/>
        <w:jc w:val="left"/>
      </w:pPr>
      <w:r>
        <w:t>Modificar la clasificación y, otorgar total o parcialmente el acceso a la información, o</w:t>
      </w:r>
    </w:p>
    <w:p w14:paraId="130C2665" w14:textId="77777777" w:rsidR="00113E04" w:rsidRDefault="00AB421C" w:rsidP="00C46274">
      <w:pPr>
        <w:numPr>
          <w:ilvl w:val="0"/>
          <w:numId w:val="8"/>
        </w:numPr>
        <w:tabs>
          <w:tab w:val="left" w:pos="3962"/>
        </w:tabs>
        <w:spacing w:after="0" w:line="360" w:lineRule="auto"/>
        <w:jc w:val="left"/>
      </w:pPr>
      <w:r>
        <w:t>Revocar la clasificación y conceder el acceso a la información.</w:t>
      </w:r>
    </w:p>
    <w:p w14:paraId="5429A18B" w14:textId="77777777" w:rsidR="00113E04" w:rsidRDefault="00113E04" w:rsidP="00C46274">
      <w:pPr>
        <w:tabs>
          <w:tab w:val="left" w:pos="3962"/>
        </w:tabs>
        <w:spacing w:after="0" w:line="360" w:lineRule="auto"/>
      </w:pPr>
    </w:p>
    <w:p w14:paraId="5C273BD1" w14:textId="77777777" w:rsidR="00113E04" w:rsidRDefault="00AB421C" w:rsidP="00C46274">
      <w:pPr>
        <w:tabs>
          <w:tab w:val="left" w:pos="3962"/>
        </w:tabs>
        <w:spacing w:after="0" w:line="360" w:lineRule="auto"/>
        <w:rPr>
          <w:b/>
        </w:rPr>
      </w:pPr>
      <w: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no sucedió, pues si bien en respuesta entregó la versión pública, omitió entregar el Acuerdo de Clasificación emitido por el Comité de Transparencia, lo cual da como resultado que el agravio sea </w:t>
      </w:r>
      <w:r>
        <w:rPr>
          <w:b/>
        </w:rPr>
        <w:t>FUNDADO.</w:t>
      </w:r>
    </w:p>
    <w:p w14:paraId="682EB776" w14:textId="77777777" w:rsidR="00113E04" w:rsidRDefault="00113E04" w:rsidP="00C46274">
      <w:pPr>
        <w:tabs>
          <w:tab w:val="left" w:pos="3962"/>
        </w:tabs>
        <w:spacing w:after="0" w:line="360" w:lineRule="auto"/>
        <w:rPr>
          <w:color w:val="000000"/>
        </w:rPr>
      </w:pPr>
    </w:p>
    <w:p w14:paraId="63411157" w14:textId="77777777" w:rsidR="00113E04" w:rsidRDefault="00AB421C" w:rsidP="00C46274">
      <w:pPr>
        <w:pStyle w:val="Ttulo2"/>
        <w:spacing w:before="0" w:after="0" w:line="360" w:lineRule="auto"/>
        <w:rPr>
          <w:sz w:val="22"/>
          <w:szCs w:val="22"/>
        </w:rPr>
      </w:pPr>
      <w:bookmarkStart w:id="14" w:name="_Toc206688030"/>
      <w:r>
        <w:rPr>
          <w:sz w:val="22"/>
          <w:szCs w:val="22"/>
        </w:rPr>
        <w:t>SEXTO. Decisión</w:t>
      </w:r>
      <w:bookmarkEnd w:id="14"/>
    </w:p>
    <w:p w14:paraId="524330E3" w14:textId="77777777" w:rsidR="00113E04" w:rsidRDefault="00113E04" w:rsidP="00C46274">
      <w:pPr>
        <w:spacing w:after="0" w:line="360" w:lineRule="auto"/>
        <w:rPr>
          <w:b/>
        </w:rPr>
      </w:pPr>
    </w:p>
    <w:p w14:paraId="76B75F16" w14:textId="77777777" w:rsidR="00113E04" w:rsidRPr="0048051A" w:rsidRDefault="00AB421C" w:rsidP="00C46274">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la respuesta del Ayuntamiento de Zinacantepec</w:t>
      </w:r>
      <w:r w:rsidR="0048051A">
        <w:t xml:space="preserve"> </w:t>
      </w:r>
      <w:r w:rsidR="0048051A" w:rsidRPr="0048051A">
        <w:t xml:space="preserve">del Recurso de Revisión </w:t>
      </w:r>
      <w:r w:rsidR="0048051A" w:rsidRPr="0048051A">
        <w:rPr>
          <w:b/>
        </w:rPr>
        <w:t>07316/INFOEM/IP/RR/2025,</w:t>
      </w:r>
      <w:r w:rsidR="0048051A" w:rsidRPr="0048051A">
        <w:t xml:space="preserve"> </w:t>
      </w:r>
      <w:r w:rsidRPr="0048051A">
        <w:t>a efecto de que entregue, e</w:t>
      </w:r>
      <w:r w:rsidRPr="0048051A">
        <w:rPr>
          <w:color w:val="000000"/>
        </w:rPr>
        <w:t xml:space="preserve">l Acuerdo emitido por el Comité de Transparencia </w:t>
      </w:r>
      <w:r w:rsidRPr="0048051A">
        <w:t>donde confirme la clasificación, de manera fundada y motivada</w:t>
      </w:r>
      <w:r w:rsidRPr="0048051A">
        <w:rPr>
          <w:color w:val="000000"/>
        </w:rPr>
        <w:t xml:space="preserve"> de los datos contenidos en los recibos de nómina remitidos en respuesta, </w:t>
      </w:r>
      <w:r w:rsidRPr="0048051A">
        <w:t xml:space="preserve">en términos del artículo 143, fracción I, de la Ley de Transparencia y Acceso a la Información Pública del Estado de México y Municipios. </w:t>
      </w:r>
    </w:p>
    <w:p w14:paraId="73C7BB09" w14:textId="77777777" w:rsidR="0048051A" w:rsidRPr="0048051A" w:rsidRDefault="0048051A" w:rsidP="00C46274">
      <w:pPr>
        <w:tabs>
          <w:tab w:val="left" w:pos="2974"/>
        </w:tabs>
        <w:spacing w:after="0" w:line="360" w:lineRule="auto"/>
      </w:pPr>
      <w:r w:rsidRPr="0048051A">
        <w:lastRenderedPageBreak/>
        <w:tab/>
      </w:r>
    </w:p>
    <w:p w14:paraId="505F45C6" w14:textId="77777777" w:rsidR="0048051A" w:rsidRPr="004A6EBF" w:rsidRDefault="0048051A" w:rsidP="00C46274">
      <w:pPr>
        <w:spacing w:after="0" w:line="360" w:lineRule="auto"/>
        <w:contextualSpacing/>
        <w:rPr>
          <w:rFonts w:eastAsia="Calibri" w:cs="Tahoma"/>
          <w:bCs/>
          <w:iCs/>
          <w:color w:val="000000"/>
          <w:lang w:eastAsia="en-US"/>
        </w:rPr>
      </w:pPr>
      <w:r w:rsidRPr="0048051A">
        <w:rPr>
          <w:rFonts w:eastAsia="Calibri" w:cs="Tahoma"/>
          <w:bCs/>
          <w:iCs/>
          <w:color w:val="000000"/>
          <w:lang w:eastAsia="en-US"/>
        </w:rPr>
        <w:t xml:space="preserve">Asimismo, con fundamento en el artículo 186, fracción I, de la Ley de Transparencia y Acceso a la Información Pública del Estado de México y Municipios, se considera procedente </w:t>
      </w:r>
      <w:r w:rsidRPr="0048051A">
        <w:rPr>
          <w:rFonts w:eastAsia="Calibri" w:cs="Tahoma"/>
          <w:b/>
          <w:bCs/>
          <w:iCs/>
          <w:color w:val="000000"/>
          <w:lang w:eastAsia="en-US"/>
        </w:rPr>
        <w:t xml:space="preserve">SOBRESEER </w:t>
      </w:r>
      <w:r w:rsidRPr="0048051A">
        <w:rPr>
          <w:rFonts w:eastAsia="Calibri" w:cs="Tahoma"/>
          <w:bCs/>
          <w:iCs/>
          <w:color w:val="000000"/>
          <w:lang w:eastAsia="en-US"/>
        </w:rPr>
        <w:t>el Recurso de Revisión</w:t>
      </w:r>
      <w:r>
        <w:rPr>
          <w:rFonts w:eastAsia="Calibri" w:cs="Tahoma"/>
          <w:bCs/>
          <w:iCs/>
          <w:color w:val="000000"/>
          <w:lang w:eastAsia="en-US"/>
        </w:rPr>
        <w:t xml:space="preserve"> </w:t>
      </w:r>
      <w:r>
        <w:rPr>
          <w:b/>
        </w:rPr>
        <w:t>07563</w:t>
      </w:r>
      <w:r w:rsidRPr="0048051A">
        <w:rPr>
          <w:b/>
        </w:rPr>
        <w:t>/INFOEM/IP/RR/2025</w:t>
      </w:r>
      <w:r w:rsidRPr="0048051A">
        <w:rPr>
          <w:rFonts w:eastAsia="Calibri" w:cs="Tahoma"/>
          <w:bCs/>
          <w:iCs/>
          <w:color w:val="000000"/>
          <w:lang w:eastAsia="en-US"/>
        </w:rPr>
        <w:t>, en virtud de que se actualiza la hipótesis normativa prevista en la fracción III, del artículo 192, del citado ordenamiento legal.</w:t>
      </w:r>
    </w:p>
    <w:p w14:paraId="7204A05B" w14:textId="77777777" w:rsidR="00113E04" w:rsidRDefault="00113E04" w:rsidP="00C46274">
      <w:pPr>
        <w:spacing w:after="0" w:line="360" w:lineRule="auto"/>
      </w:pPr>
    </w:p>
    <w:p w14:paraId="3688C4AF" w14:textId="77777777" w:rsidR="00113E04" w:rsidRDefault="00AB421C" w:rsidP="00C46274">
      <w:pPr>
        <w:spacing w:after="0" w:line="360" w:lineRule="auto"/>
        <w:rPr>
          <w:b/>
        </w:rPr>
      </w:pPr>
      <w:r>
        <w:rPr>
          <w:b/>
        </w:rPr>
        <w:t>Términos de la Resolución para conocimiento del Particular</w:t>
      </w:r>
    </w:p>
    <w:p w14:paraId="254E0B85" w14:textId="77777777" w:rsidR="002C3618" w:rsidRDefault="002C3618" w:rsidP="00C46274">
      <w:pPr>
        <w:spacing w:after="0" w:line="360" w:lineRule="auto"/>
        <w:rPr>
          <w:b/>
        </w:rPr>
      </w:pPr>
    </w:p>
    <w:p w14:paraId="6FB26AFA" w14:textId="77777777" w:rsidR="002C3618" w:rsidRDefault="00AB421C" w:rsidP="00C46274">
      <w:pPr>
        <w:spacing w:after="0" w:line="360" w:lineRule="auto"/>
      </w:pPr>
      <w:bookmarkStart w:id="15" w:name="_heading=h.f828p35g2bi8" w:colFirst="0" w:colLast="0"/>
      <w:bookmarkEnd w:id="15"/>
      <w:r>
        <w:t xml:space="preserve">Se le hace del conocimiento a la persona Recurrente que, en </w:t>
      </w:r>
      <w:r w:rsidR="0048051A">
        <w:t xml:space="preserve">lo que corresponde al Recurso de Revisión </w:t>
      </w:r>
      <w:r w:rsidR="0048051A" w:rsidRPr="0048051A">
        <w:rPr>
          <w:b/>
        </w:rPr>
        <w:t>07316/INFOEM/IP/RR/2025</w:t>
      </w:r>
      <w:r>
        <w:t>, se le da la razón, pues el Sujeto Obligado, omitió entregar e</w:t>
      </w:r>
      <w:r>
        <w:rPr>
          <w:color w:val="000000"/>
        </w:rPr>
        <w:t xml:space="preserve">l Acuerdo emitido por el Comité de Transparencia </w:t>
      </w:r>
      <w:r>
        <w:t>donde sustentara la clasificación de la información de</w:t>
      </w:r>
      <w:r w:rsidR="0048051A">
        <w:t xml:space="preserve"> los documentos proporcionados.</w:t>
      </w:r>
      <w:r w:rsidR="00C46274">
        <w:t xml:space="preserve"> </w:t>
      </w:r>
      <w:r w:rsidR="0048051A">
        <w:t xml:space="preserve">Por otro lado, en lo que respecta al Recurso de Revisión </w:t>
      </w:r>
      <w:r w:rsidR="0048051A">
        <w:rPr>
          <w:b/>
        </w:rPr>
        <w:t>07563</w:t>
      </w:r>
      <w:r w:rsidR="0048051A" w:rsidRPr="0048051A">
        <w:rPr>
          <w:b/>
        </w:rPr>
        <w:t>/INFOEM/IP/RR/2025</w:t>
      </w:r>
      <w:r w:rsidR="0048051A">
        <w:t xml:space="preserve">, el Sujeto Obligado subsanó mediante informe justificado la entrega del Acuerdo emitido por el Comité de Transparencia mediante el cual se aprueban las versiones públicas de los recibos de nómina remitidos en respuesta, los cuales se encuentran completos. </w:t>
      </w:r>
    </w:p>
    <w:p w14:paraId="7BEE26B7" w14:textId="77777777" w:rsidR="002C3618" w:rsidRDefault="002C3618" w:rsidP="00C46274">
      <w:pPr>
        <w:spacing w:after="0" w:line="360" w:lineRule="auto"/>
      </w:pPr>
    </w:p>
    <w:p w14:paraId="70C093FD" w14:textId="2ABEFC9F" w:rsidR="00113E04" w:rsidRDefault="00AB421C" w:rsidP="00C46274">
      <w:pPr>
        <w:spacing w:after="0" w:line="360" w:lineRule="auto"/>
      </w:pPr>
      <w:r>
        <w:t>Finalmente, se le informa que la labor del Instituto de Transparencia, Acceso a la Información Pública y Protección de Datos Personales del Estado de México y Municipios, por una parte, es apoyar a la población a acceder a la información pública y, por otra es, garantizar la protección de los datos personales.</w:t>
      </w:r>
    </w:p>
    <w:p w14:paraId="26FA528A" w14:textId="77777777" w:rsidR="00113E04" w:rsidRDefault="00113E04" w:rsidP="00C46274">
      <w:pPr>
        <w:spacing w:after="0" w:line="360" w:lineRule="auto"/>
      </w:pPr>
    </w:p>
    <w:p w14:paraId="6C3D4BD3" w14:textId="77777777" w:rsidR="00113E04" w:rsidRDefault="00AB421C" w:rsidP="00C46274">
      <w:pPr>
        <w:spacing w:after="0" w:line="360" w:lineRule="auto"/>
      </w:pPr>
      <w:r>
        <w:t>Por lo expuesto y fundado, este Pleno:</w:t>
      </w:r>
    </w:p>
    <w:p w14:paraId="0692D9BD" w14:textId="77777777" w:rsidR="00113E04" w:rsidRDefault="00113E04" w:rsidP="00C46274">
      <w:pPr>
        <w:spacing w:after="0" w:line="360" w:lineRule="auto"/>
      </w:pPr>
    </w:p>
    <w:p w14:paraId="4AB7D358" w14:textId="77777777" w:rsidR="00113E04" w:rsidRDefault="00AB421C" w:rsidP="00C46274">
      <w:pPr>
        <w:pStyle w:val="Ttulo1"/>
        <w:spacing w:before="0" w:after="0" w:line="360" w:lineRule="auto"/>
        <w:jc w:val="center"/>
        <w:rPr>
          <w:sz w:val="22"/>
          <w:szCs w:val="22"/>
        </w:rPr>
      </w:pPr>
      <w:bookmarkStart w:id="16" w:name="_Toc206688031"/>
      <w:r>
        <w:rPr>
          <w:sz w:val="22"/>
          <w:szCs w:val="22"/>
        </w:rPr>
        <w:lastRenderedPageBreak/>
        <w:t>R E S U E L V E</w:t>
      </w:r>
      <w:bookmarkEnd w:id="16"/>
    </w:p>
    <w:p w14:paraId="0933ACD7" w14:textId="77777777" w:rsidR="00113E04" w:rsidRDefault="00113E04" w:rsidP="00C46274">
      <w:pPr>
        <w:spacing w:after="0" w:line="360" w:lineRule="auto"/>
        <w:rPr>
          <w:b/>
        </w:rPr>
      </w:pPr>
    </w:p>
    <w:p w14:paraId="1E7A6DBA" w14:textId="77777777" w:rsidR="006B2460" w:rsidRPr="0048051A" w:rsidRDefault="006B2460" w:rsidP="00C46274">
      <w:pPr>
        <w:spacing w:after="0" w:line="360" w:lineRule="auto"/>
      </w:pPr>
      <w:r w:rsidRPr="0048051A">
        <w:rPr>
          <w:b/>
        </w:rPr>
        <w:t>PRIMERO</w:t>
      </w:r>
      <w:r w:rsidRPr="0048051A">
        <w:t xml:space="preserve">. Se </w:t>
      </w:r>
      <w:r w:rsidRPr="0048051A">
        <w:rPr>
          <w:b/>
        </w:rPr>
        <w:t>SOBRESEE</w:t>
      </w:r>
      <w:r w:rsidR="0048051A">
        <w:t xml:space="preserve"> el Recurso de Revisión </w:t>
      </w:r>
      <w:r w:rsidR="0048051A" w:rsidRPr="00C46274">
        <w:rPr>
          <w:bCs/>
        </w:rPr>
        <w:t>07563</w:t>
      </w:r>
      <w:r w:rsidRPr="00C46274">
        <w:rPr>
          <w:bCs/>
        </w:rPr>
        <w:t>/INFOEM/IP/RR/2025, en</w:t>
      </w:r>
      <w:r w:rsidR="0048051A" w:rsidRPr="00C46274">
        <w:rPr>
          <w:bCs/>
        </w:rPr>
        <w:t xml:space="preserve"> </w:t>
      </w:r>
      <w:r w:rsidRPr="00C46274">
        <w:rPr>
          <w:bCs/>
        </w:rPr>
        <w:t>términos del artículo 192, fracción III, de la Ley de Transparencia y Acceso a la Información</w:t>
      </w:r>
      <w:r w:rsidR="0048051A" w:rsidRPr="00C46274">
        <w:rPr>
          <w:bCs/>
        </w:rPr>
        <w:t xml:space="preserve"> </w:t>
      </w:r>
      <w:r w:rsidRPr="00C46274">
        <w:rPr>
          <w:bCs/>
        </w:rPr>
        <w:t>Pública del Estado de México y Municipios, porque el Sujeto Obligado, al modificar la</w:t>
      </w:r>
      <w:r w:rsidR="0048051A" w:rsidRPr="00C46274">
        <w:rPr>
          <w:bCs/>
        </w:rPr>
        <w:t xml:space="preserve"> </w:t>
      </w:r>
      <w:r w:rsidRPr="00C46274">
        <w:rPr>
          <w:bCs/>
        </w:rPr>
        <w:t>respuesta a la solicitud de acceso a</w:t>
      </w:r>
      <w:r w:rsidR="0048051A" w:rsidRPr="00C46274">
        <w:rPr>
          <w:bCs/>
        </w:rPr>
        <w:t xml:space="preserve"> la información con número 00407</w:t>
      </w:r>
      <w:r w:rsidRPr="00C46274">
        <w:rPr>
          <w:bCs/>
        </w:rPr>
        <w:t>/ZINACANT/IP/2025</w:t>
      </w:r>
      <w:r w:rsidRPr="0048051A">
        <w:t>,</w:t>
      </w:r>
      <w:r w:rsidR="0048051A">
        <w:t xml:space="preserve"> </w:t>
      </w:r>
      <w:r w:rsidRPr="0048051A">
        <w:t>el Medio de Impugnación, quedó sin materia, en términos de los Considerandos TERCERO</w:t>
      </w:r>
      <w:r w:rsidR="0048051A">
        <w:t xml:space="preserve"> </w:t>
      </w:r>
      <w:r w:rsidRPr="0048051A">
        <w:t xml:space="preserve">y </w:t>
      </w:r>
      <w:r w:rsidR="0048051A">
        <w:t>SEXTO</w:t>
      </w:r>
      <w:r w:rsidRPr="0048051A">
        <w:t xml:space="preserve"> de la presente Resolución.</w:t>
      </w:r>
    </w:p>
    <w:p w14:paraId="59D04632" w14:textId="77777777" w:rsidR="006B2460" w:rsidRDefault="006B2460" w:rsidP="00C46274">
      <w:pPr>
        <w:spacing w:after="0" w:line="360" w:lineRule="auto"/>
        <w:rPr>
          <w:b/>
        </w:rPr>
      </w:pPr>
    </w:p>
    <w:p w14:paraId="2621CCE6" w14:textId="77777777" w:rsidR="00113E04" w:rsidRDefault="0048051A" w:rsidP="00C46274">
      <w:pPr>
        <w:spacing w:after="0" w:line="360" w:lineRule="auto"/>
      </w:pPr>
      <w:r>
        <w:rPr>
          <w:b/>
        </w:rPr>
        <w:t>SEGUNDO</w:t>
      </w:r>
      <w:r w:rsidR="00AB421C">
        <w:rPr>
          <w:b/>
        </w:rPr>
        <w:t xml:space="preserve">. </w:t>
      </w:r>
      <w:r w:rsidR="00AB421C">
        <w:t xml:space="preserve">Se </w:t>
      </w:r>
      <w:r w:rsidR="00AB421C">
        <w:rPr>
          <w:b/>
        </w:rPr>
        <w:t xml:space="preserve">MODIFICA </w:t>
      </w:r>
      <w:r w:rsidR="00AB421C">
        <w:t>la respuesta entregada por el Ayuntamiento de Zinacantepec, a la solicitud de información</w:t>
      </w:r>
      <w:r w:rsidR="00AB421C" w:rsidRPr="0048051A">
        <w:rPr>
          <w:b/>
        </w:rPr>
        <w:t xml:space="preserve"> </w:t>
      </w:r>
      <w:r w:rsidR="00AB421C" w:rsidRPr="00C46274">
        <w:rPr>
          <w:bCs/>
        </w:rPr>
        <w:t>00396/ZINACANT/IP/2025, por resultar FUNDADAS</w:t>
      </w:r>
      <w:r w:rsidR="00AB421C">
        <w:rPr>
          <w:b/>
        </w:rPr>
        <w:t xml:space="preserve"> </w:t>
      </w:r>
      <w:r w:rsidR="00AB421C">
        <w:t>las razones o motivos de inconformidad hechos valer por el Recurrente, en términos de los considerandos QUINTO y SEXTO de la presente Resolución.</w:t>
      </w:r>
    </w:p>
    <w:p w14:paraId="79BE5A22" w14:textId="77777777" w:rsidR="00113E04" w:rsidRDefault="00113E04" w:rsidP="00C46274">
      <w:pPr>
        <w:spacing w:after="0" w:line="360" w:lineRule="auto"/>
      </w:pPr>
    </w:p>
    <w:p w14:paraId="1694CE9A" w14:textId="77777777" w:rsidR="00113E04" w:rsidRDefault="0048051A" w:rsidP="00C46274">
      <w:pPr>
        <w:spacing w:after="0" w:line="360" w:lineRule="auto"/>
      </w:pPr>
      <w:r>
        <w:rPr>
          <w:b/>
        </w:rPr>
        <w:t>TERCERO</w:t>
      </w:r>
      <w:r w:rsidR="00AB421C">
        <w:rPr>
          <w:b/>
        </w:rPr>
        <w:t xml:space="preserve">. </w:t>
      </w:r>
      <w:r w:rsidR="00AB421C">
        <w:t xml:space="preserve">Se </w:t>
      </w:r>
      <w:r w:rsidR="00AB421C">
        <w:rPr>
          <w:b/>
        </w:rPr>
        <w:t>ORDENA</w:t>
      </w:r>
      <w:r w:rsidR="00AB421C">
        <w:t xml:space="preserve"> al Ente Recurrido</w:t>
      </w:r>
      <w:r w:rsidR="00AB421C">
        <w:rPr>
          <w:b/>
        </w:rPr>
        <w:t xml:space="preserve">, </w:t>
      </w:r>
      <w:r w:rsidR="00AB421C">
        <w:t>a efecto de que, entregue a través del Sistema de Acceso a la Información Mexiquense (SAIMEX), e</w:t>
      </w:r>
      <w:r w:rsidR="00AB421C">
        <w:rPr>
          <w:color w:val="000000"/>
        </w:rPr>
        <w:t xml:space="preserve">l Acuerdo emitido por el Comité de Transparencia, </w:t>
      </w:r>
      <w:r w:rsidR="00AB421C">
        <w:t>donde confirme la clasificación, de manera fundada y motivada</w:t>
      </w:r>
      <w:r w:rsidR="00AB421C">
        <w:rPr>
          <w:color w:val="000000"/>
        </w:rPr>
        <w:t xml:space="preserve"> de los datos testados en los recibos de nómina remitidos en respuesta, </w:t>
      </w:r>
      <w:r w:rsidR="00AB421C">
        <w:t>en términos del artículo 143, fracción I, de la Ley de Transparencia y Acceso a la Información Pública del Estado de México y Municipios.</w:t>
      </w:r>
    </w:p>
    <w:p w14:paraId="65C6B459" w14:textId="77777777" w:rsidR="00113E04" w:rsidRDefault="00113E04" w:rsidP="00C46274">
      <w:pPr>
        <w:spacing w:after="0" w:line="360" w:lineRule="auto"/>
        <w:ind w:right="-91"/>
        <w:rPr>
          <w:b/>
        </w:rPr>
      </w:pPr>
    </w:p>
    <w:p w14:paraId="1301A256" w14:textId="77777777" w:rsidR="00113E04" w:rsidRDefault="0048051A" w:rsidP="00C46274">
      <w:pPr>
        <w:spacing w:after="0" w:line="360" w:lineRule="auto"/>
        <w:ind w:right="-28"/>
        <w:rPr>
          <w:b/>
        </w:rPr>
      </w:pPr>
      <w:r>
        <w:rPr>
          <w:b/>
        </w:rPr>
        <w:t>CUARTO</w:t>
      </w:r>
      <w:r w:rsidR="00AB421C">
        <w:rPr>
          <w:b/>
        </w:rPr>
        <w:t xml:space="preserve">. NOTIFÍQUESE POR SAIMEX </w:t>
      </w:r>
      <w:r w:rsidR="00AB421C">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AB421C">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0BD7537" w14:textId="77777777" w:rsidR="00113E04" w:rsidRDefault="00113E04" w:rsidP="00C46274">
      <w:pPr>
        <w:spacing w:after="0" w:line="360" w:lineRule="auto"/>
        <w:ind w:right="-28"/>
        <w:rPr>
          <w:color w:val="000000"/>
        </w:rPr>
      </w:pPr>
    </w:p>
    <w:p w14:paraId="3F468CC2" w14:textId="77777777" w:rsidR="00113E04" w:rsidRDefault="00AB421C" w:rsidP="00C46274">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1092B6C9" w14:textId="77777777" w:rsidR="00113E04" w:rsidRDefault="00113E04" w:rsidP="00C46274">
      <w:pPr>
        <w:spacing w:after="0" w:line="360" w:lineRule="auto"/>
        <w:rPr>
          <w:color w:val="000000"/>
        </w:rPr>
      </w:pPr>
    </w:p>
    <w:p w14:paraId="677AFB5C" w14:textId="77777777" w:rsidR="00113E04" w:rsidRDefault="0048051A" w:rsidP="00C46274">
      <w:pPr>
        <w:spacing w:after="0" w:line="360" w:lineRule="auto"/>
      </w:pPr>
      <w:r>
        <w:rPr>
          <w:b/>
        </w:rPr>
        <w:t>QUINTO</w:t>
      </w:r>
      <w:r w:rsidR="00AB421C">
        <w:rPr>
          <w:b/>
        </w:rPr>
        <w:t>. NOTIFÍQUESE POR SAIMEX</w:t>
      </w:r>
      <w:r w:rsidR="00AB421C">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09D70E" w14:textId="77777777" w:rsidR="00113E04" w:rsidRDefault="00113E04" w:rsidP="00C46274">
      <w:pPr>
        <w:spacing w:after="0" w:line="360" w:lineRule="auto"/>
        <w:rPr>
          <w:b/>
        </w:rPr>
      </w:pPr>
    </w:p>
    <w:p w14:paraId="388C1DBC" w14:textId="6C77CA0E" w:rsidR="00113E04" w:rsidRDefault="00AB421C" w:rsidP="00C46274">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w:t>
      </w:r>
      <w:r w:rsidR="002C3618">
        <w:t xml:space="preserve"> (AUSENCIA JUSTIFICADA)</w:t>
      </w:r>
      <w:r>
        <w:t>, MARÍA DEL ROSARIO MEJÍA AYALA, SHARON CRISTINA MORALES MARTÍNEZ, LUIS GUSTAVO PARRA NORIEGA</w:t>
      </w:r>
      <w:r w:rsidR="002C3618">
        <w:t xml:space="preserve"> CON VOTO PARTICULAR</w:t>
      </w:r>
      <w:r w:rsidR="00E4177C">
        <w:t xml:space="preserve"> Y</w:t>
      </w:r>
      <w:bookmarkStart w:id="17" w:name="_GoBack"/>
      <w:bookmarkEnd w:id="17"/>
      <w:r>
        <w:t xml:space="preserve"> GUADALUPE RAMÍREZ PEÑA, EN LA VIGÉSIMA </w:t>
      </w:r>
      <w:r w:rsidR="0048051A">
        <w:t>NOVENA</w:t>
      </w:r>
      <w:r>
        <w:t xml:space="preserve"> SESIÓN ORDINARIA, CELEBRADA EL </w:t>
      </w:r>
      <w:r w:rsidR="0048051A">
        <w:t>VEINTE</w:t>
      </w:r>
      <w:r>
        <w:t xml:space="preserve"> DE AGOSTO DE DOS MIL VEINTICINCO, ANTE EL SECRETARIO TÉCNICO DEL PLENO, ALEXIS TAPIA RAMÍREZ.</w:t>
      </w:r>
    </w:p>
    <w:p w14:paraId="725D93A1" w14:textId="77777777" w:rsidR="00113E04" w:rsidRDefault="00113E04" w:rsidP="00C46274">
      <w:pPr>
        <w:spacing w:after="0" w:line="360" w:lineRule="auto"/>
        <w:ind w:right="-28"/>
        <w:rPr>
          <w:color w:val="000000"/>
        </w:rPr>
      </w:pPr>
    </w:p>
    <w:p w14:paraId="0AF57BA1" w14:textId="77777777" w:rsidR="00113E04" w:rsidRDefault="00113E04" w:rsidP="00C46274">
      <w:pPr>
        <w:spacing w:after="0" w:line="360" w:lineRule="auto"/>
        <w:rPr>
          <w:b/>
        </w:rPr>
      </w:pPr>
    </w:p>
    <w:p w14:paraId="069497F3" w14:textId="77777777" w:rsidR="00113E04" w:rsidRDefault="00113E04" w:rsidP="00C46274">
      <w:pPr>
        <w:spacing w:after="0" w:line="360" w:lineRule="auto"/>
        <w:rPr>
          <w:b/>
        </w:rPr>
      </w:pPr>
    </w:p>
    <w:p w14:paraId="0D95EB32" w14:textId="77777777" w:rsidR="00113E04" w:rsidRDefault="00113E04" w:rsidP="00C46274">
      <w:pPr>
        <w:spacing w:after="0" w:line="360" w:lineRule="auto"/>
        <w:rPr>
          <w:color w:val="000000"/>
        </w:rPr>
      </w:pPr>
    </w:p>
    <w:p w14:paraId="4B6C8D31" w14:textId="77777777" w:rsidR="00113E04" w:rsidRDefault="00113E04" w:rsidP="00C46274">
      <w:pPr>
        <w:spacing w:after="0" w:line="360" w:lineRule="auto"/>
        <w:rPr>
          <w:color w:val="000000"/>
        </w:rPr>
      </w:pPr>
    </w:p>
    <w:p w14:paraId="1E717B34" w14:textId="77777777" w:rsidR="00113E04" w:rsidRDefault="00113E04" w:rsidP="00C46274">
      <w:pPr>
        <w:spacing w:after="0" w:line="360" w:lineRule="auto"/>
      </w:pPr>
    </w:p>
    <w:p w14:paraId="02902AAC" w14:textId="77777777" w:rsidR="00113E04" w:rsidRDefault="00113E04" w:rsidP="00C46274">
      <w:pPr>
        <w:spacing w:after="0" w:line="360" w:lineRule="auto"/>
      </w:pPr>
    </w:p>
    <w:p w14:paraId="6FC1C579" w14:textId="77777777" w:rsidR="00113E04" w:rsidRDefault="00113E04" w:rsidP="00C46274">
      <w:pPr>
        <w:spacing w:after="0" w:line="360" w:lineRule="auto"/>
      </w:pPr>
    </w:p>
    <w:p w14:paraId="77C1AD9D" w14:textId="77777777" w:rsidR="00113E04" w:rsidRDefault="00113E04" w:rsidP="00C46274">
      <w:pPr>
        <w:spacing w:after="0" w:line="360" w:lineRule="auto"/>
      </w:pPr>
    </w:p>
    <w:p w14:paraId="5C2E5E23" w14:textId="77777777" w:rsidR="00113E04" w:rsidRDefault="00113E04" w:rsidP="00C46274">
      <w:pPr>
        <w:spacing w:after="0" w:line="360" w:lineRule="auto"/>
      </w:pPr>
    </w:p>
    <w:p w14:paraId="79DE5986" w14:textId="77777777" w:rsidR="00113E04" w:rsidRDefault="00113E04" w:rsidP="00C46274">
      <w:pPr>
        <w:spacing w:after="0" w:line="360" w:lineRule="auto"/>
      </w:pPr>
    </w:p>
    <w:p w14:paraId="621D70B3" w14:textId="77777777" w:rsidR="00113E04" w:rsidRDefault="00113E04" w:rsidP="00C46274">
      <w:pPr>
        <w:spacing w:after="0" w:line="360" w:lineRule="auto"/>
      </w:pPr>
    </w:p>
    <w:p w14:paraId="1E796928" w14:textId="77777777" w:rsidR="00113E04" w:rsidRDefault="00113E04" w:rsidP="00C46274">
      <w:pPr>
        <w:spacing w:after="0" w:line="360" w:lineRule="auto"/>
      </w:pPr>
    </w:p>
    <w:p w14:paraId="32C3ED1D" w14:textId="77777777" w:rsidR="00113E04" w:rsidRDefault="00113E04" w:rsidP="00C46274">
      <w:pPr>
        <w:spacing w:after="0" w:line="360" w:lineRule="auto"/>
      </w:pPr>
    </w:p>
    <w:p w14:paraId="216C3340" w14:textId="77777777" w:rsidR="00113E04" w:rsidRDefault="00113E04" w:rsidP="00C46274">
      <w:pPr>
        <w:spacing w:after="0" w:line="360" w:lineRule="auto"/>
      </w:pPr>
    </w:p>
    <w:p w14:paraId="4EF6DD30" w14:textId="77777777" w:rsidR="00113E04" w:rsidRDefault="00113E04" w:rsidP="00C46274">
      <w:pPr>
        <w:spacing w:after="0" w:line="360" w:lineRule="auto"/>
      </w:pPr>
    </w:p>
    <w:p w14:paraId="6F906A74" w14:textId="77777777" w:rsidR="00113E04" w:rsidRDefault="00113E04" w:rsidP="00C46274">
      <w:pPr>
        <w:spacing w:after="0" w:line="360" w:lineRule="auto"/>
      </w:pPr>
    </w:p>
    <w:p w14:paraId="1250D330" w14:textId="77777777" w:rsidR="00113E04" w:rsidRDefault="00113E04" w:rsidP="00C46274">
      <w:pPr>
        <w:spacing w:after="0" w:line="360" w:lineRule="auto"/>
      </w:pPr>
    </w:p>
    <w:p w14:paraId="41C29368" w14:textId="77777777" w:rsidR="00113E04" w:rsidRDefault="00113E04" w:rsidP="00C46274">
      <w:pPr>
        <w:spacing w:after="0" w:line="360" w:lineRule="auto"/>
      </w:pPr>
    </w:p>
    <w:p w14:paraId="609DD4BF" w14:textId="77777777" w:rsidR="00113E04" w:rsidRDefault="00113E04" w:rsidP="00C46274">
      <w:pPr>
        <w:spacing w:after="0" w:line="360" w:lineRule="auto"/>
        <w:rPr>
          <w:color w:val="000000"/>
        </w:rPr>
      </w:pPr>
    </w:p>
    <w:p w14:paraId="21F786AB" w14:textId="77777777" w:rsidR="00113E04" w:rsidRDefault="00113E04" w:rsidP="00C46274">
      <w:pPr>
        <w:spacing w:after="0" w:line="360" w:lineRule="auto"/>
        <w:rPr>
          <w:color w:val="000000"/>
        </w:rPr>
      </w:pPr>
    </w:p>
    <w:p w14:paraId="2FF61B73" w14:textId="77777777" w:rsidR="00113E04" w:rsidRDefault="00113E04" w:rsidP="00C46274">
      <w:pPr>
        <w:tabs>
          <w:tab w:val="right" w:pos="8931"/>
        </w:tabs>
        <w:spacing w:after="0" w:line="360" w:lineRule="auto"/>
      </w:pPr>
    </w:p>
    <w:p w14:paraId="0F87CFA4" w14:textId="77777777" w:rsidR="00113E04" w:rsidRDefault="00113E04" w:rsidP="00C46274">
      <w:pPr>
        <w:tabs>
          <w:tab w:val="right" w:pos="8931"/>
        </w:tabs>
        <w:spacing w:after="0" w:line="360" w:lineRule="auto"/>
      </w:pPr>
    </w:p>
    <w:p w14:paraId="68357748" w14:textId="77777777" w:rsidR="00113E04" w:rsidRDefault="00113E04" w:rsidP="00C46274">
      <w:pPr>
        <w:spacing w:after="0" w:line="360" w:lineRule="auto"/>
      </w:pPr>
    </w:p>
    <w:p w14:paraId="662DE18A" w14:textId="77777777" w:rsidR="00113E04" w:rsidRDefault="00113E04" w:rsidP="00C46274">
      <w:pPr>
        <w:spacing w:after="0" w:line="360" w:lineRule="auto"/>
      </w:pPr>
    </w:p>
    <w:sectPr w:rsidR="00113E0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E2427" w14:textId="77777777" w:rsidR="005F3985" w:rsidRDefault="005F3985">
      <w:pPr>
        <w:spacing w:after="0" w:line="240" w:lineRule="auto"/>
      </w:pPr>
      <w:r>
        <w:separator/>
      </w:r>
    </w:p>
  </w:endnote>
  <w:endnote w:type="continuationSeparator" w:id="0">
    <w:p w14:paraId="65475C10" w14:textId="77777777" w:rsidR="005F3985" w:rsidRDefault="005F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4E2A" w14:textId="77777777" w:rsidR="0048051A" w:rsidRDefault="0048051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C3E43">
      <w:rPr>
        <w:b/>
        <w:color w:val="000000"/>
        <w:sz w:val="24"/>
        <w:szCs w:val="24"/>
      </w:rPr>
      <w:fldChar w:fldCharType="separate"/>
    </w:r>
    <w:r w:rsidR="00AC3E43">
      <w:rPr>
        <w:b/>
        <w:noProof/>
        <w:color w:val="000000"/>
        <w:sz w:val="24"/>
        <w:szCs w:val="24"/>
      </w:rPr>
      <w:t>33</w:t>
    </w:r>
    <w:r>
      <w:rPr>
        <w:b/>
        <w:color w:val="000000"/>
        <w:sz w:val="24"/>
        <w:szCs w:val="24"/>
      </w:rPr>
      <w:fldChar w:fldCharType="end"/>
    </w:r>
  </w:p>
  <w:p w14:paraId="44136C7C" w14:textId="77777777" w:rsidR="0048051A" w:rsidRDefault="0048051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FFD4" w14:textId="77777777" w:rsidR="0048051A" w:rsidRDefault="0048051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3E43">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3E43">
      <w:rPr>
        <w:b/>
        <w:noProof/>
        <w:color w:val="000000"/>
        <w:sz w:val="24"/>
        <w:szCs w:val="24"/>
      </w:rPr>
      <w:t>33</w:t>
    </w:r>
    <w:r>
      <w:rPr>
        <w:b/>
        <w:color w:val="000000"/>
        <w:sz w:val="24"/>
        <w:szCs w:val="24"/>
      </w:rPr>
      <w:fldChar w:fldCharType="end"/>
    </w:r>
  </w:p>
  <w:p w14:paraId="0134138E" w14:textId="77777777" w:rsidR="0048051A" w:rsidRDefault="0048051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4EFF8" w14:textId="77777777" w:rsidR="0048051A" w:rsidRDefault="0048051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3E4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3E43">
      <w:rPr>
        <w:b/>
        <w:noProof/>
        <w:color w:val="000000"/>
        <w:sz w:val="24"/>
        <w:szCs w:val="24"/>
      </w:rPr>
      <w:t>33</w:t>
    </w:r>
    <w:r>
      <w:rPr>
        <w:b/>
        <w:color w:val="000000"/>
        <w:sz w:val="24"/>
        <w:szCs w:val="24"/>
      </w:rPr>
      <w:fldChar w:fldCharType="end"/>
    </w:r>
  </w:p>
  <w:p w14:paraId="2A56E266" w14:textId="77777777" w:rsidR="0048051A" w:rsidRDefault="0048051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CC2B2" w14:textId="77777777" w:rsidR="005F3985" w:rsidRDefault="005F3985">
      <w:pPr>
        <w:spacing w:after="0" w:line="240" w:lineRule="auto"/>
      </w:pPr>
      <w:r>
        <w:separator/>
      </w:r>
    </w:p>
  </w:footnote>
  <w:footnote w:type="continuationSeparator" w:id="0">
    <w:p w14:paraId="307AA92E" w14:textId="77777777" w:rsidR="005F3985" w:rsidRDefault="005F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E822" w14:textId="77777777" w:rsidR="0048051A" w:rsidRDefault="0048051A">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8051A" w14:paraId="13CF079D" w14:textId="77777777">
      <w:trPr>
        <w:trHeight w:val="132"/>
      </w:trPr>
      <w:tc>
        <w:tcPr>
          <w:tcW w:w="2691" w:type="dxa"/>
        </w:tcPr>
        <w:p w14:paraId="7D051C97" w14:textId="77777777" w:rsidR="0048051A" w:rsidRDefault="0048051A">
          <w:pPr>
            <w:tabs>
              <w:tab w:val="right" w:pos="8838"/>
            </w:tabs>
            <w:ind w:right="-105"/>
            <w:rPr>
              <w:b/>
            </w:rPr>
          </w:pPr>
          <w:r>
            <w:rPr>
              <w:b/>
            </w:rPr>
            <w:t>Recurso de Revisión:</w:t>
          </w:r>
        </w:p>
      </w:tc>
      <w:tc>
        <w:tcPr>
          <w:tcW w:w="3405" w:type="dxa"/>
        </w:tcPr>
        <w:p w14:paraId="4826CE8E" w14:textId="77777777" w:rsidR="0048051A" w:rsidRDefault="0048051A">
          <w:pPr>
            <w:tabs>
              <w:tab w:val="right" w:pos="8838"/>
            </w:tabs>
            <w:ind w:left="-28" w:right="-32"/>
          </w:pPr>
          <w:r>
            <w:t>03846/INFOEM/IP/RR/2020</w:t>
          </w:r>
        </w:p>
      </w:tc>
    </w:tr>
    <w:tr w:rsidR="0048051A" w14:paraId="3DBFE487" w14:textId="77777777">
      <w:trPr>
        <w:trHeight w:val="261"/>
      </w:trPr>
      <w:tc>
        <w:tcPr>
          <w:tcW w:w="2691" w:type="dxa"/>
        </w:tcPr>
        <w:p w14:paraId="0863C657" w14:textId="77777777" w:rsidR="0048051A" w:rsidRDefault="0048051A">
          <w:pPr>
            <w:tabs>
              <w:tab w:val="right" w:pos="8838"/>
            </w:tabs>
            <w:ind w:right="-105"/>
            <w:rPr>
              <w:b/>
            </w:rPr>
          </w:pPr>
          <w:r>
            <w:rPr>
              <w:b/>
            </w:rPr>
            <w:t>Sujeto Obligado:</w:t>
          </w:r>
        </w:p>
      </w:tc>
      <w:tc>
        <w:tcPr>
          <w:tcW w:w="3405" w:type="dxa"/>
        </w:tcPr>
        <w:p w14:paraId="76BCA2D6" w14:textId="77777777" w:rsidR="0048051A" w:rsidRDefault="0048051A">
          <w:pPr>
            <w:tabs>
              <w:tab w:val="right" w:pos="8838"/>
            </w:tabs>
            <w:ind w:right="-32"/>
          </w:pPr>
          <w:r>
            <w:t>Ayuntamiento de Temascalcingo</w:t>
          </w:r>
        </w:p>
      </w:tc>
    </w:tr>
    <w:tr w:rsidR="0048051A" w14:paraId="0534E342" w14:textId="77777777">
      <w:trPr>
        <w:trHeight w:val="261"/>
      </w:trPr>
      <w:tc>
        <w:tcPr>
          <w:tcW w:w="2691" w:type="dxa"/>
        </w:tcPr>
        <w:p w14:paraId="05AEE165" w14:textId="77777777" w:rsidR="0048051A" w:rsidRDefault="0048051A">
          <w:pPr>
            <w:tabs>
              <w:tab w:val="right" w:pos="8838"/>
            </w:tabs>
            <w:ind w:right="-105"/>
            <w:rPr>
              <w:b/>
            </w:rPr>
          </w:pPr>
          <w:r>
            <w:rPr>
              <w:b/>
            </w:rPr>
            <w:t>Comisionado Ponente:</w:t>
          </w:r>
        </w:p>
      </w:tc>
      <w:tc>
        <w:tcPr>
          <w:tcW w:w="3405" w:type="dxa"/>
        </w:tcPr>
        <w:p w14:paraId="210984B5" w14:textId="77777777" w:rsidR="0048051A" w:rsidRDefault="0048051A">
          <w:pPr>
            <w:tabs>
              <w:tab w:val="right" w:pos="8838"/>
            </w:tabs>
            <w:ind w:right="-32"/>
            <w:rPr>
              <w:b/>
            </w:rPr>
          </w:pPr>
          <w:r>
            <w:t>Luis Gustavo Parra Noriega</w:t>
          </w:r>
        </w:p>
      </w:tc>
    </w:tr>
  </w:tbl>
  <w:p w14:paraId="58FF03BD" w14:textId="77777777" w:rsidR="0048051A" w:rsidRDefault="005F3985">
    <w:pPr>
      <w:pBdr>
        <w:top w:val="nil"/>
        <w:left w:val="nil"/>
        <w:bottom w:val="nil"/>
        <w:right w:val="nil"/>
        <w:between w:val="nil"/>
      </w:pBdr>
      <w:tabs>
        <w:tab w:val="center" w:pos="4419"/>
        <w:tab w:val="right" w:pos="8838"/>
      </w:tabs>
      <w:spacing w:after="0" w:line="240" w:lineRule="auto"/>
      <w:rPr>
        <w:color w:val="000000"/>
      </w:rPr>
    </w:pPr>
    <w:r>
      <w:rPr>
        <w:color w:val="000000"/>
      </w:rPr>
      <w:pict w14:anchorId="5563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6396" w14:textId="3AAB791E" w:rsidR="0048051A" w:rsidRDefault="005F3985">
    <w:pPr>
      <w:widowControl w:val="0"/>
      <w:pBdr>
        <w:top w:val="nil"/>
        <w:left w:val="nil"/>
        <w:bottom w:val="nil"/>
        <w:right w:val="nil"/>
        <w:between w:val="nil"/>
      </w:pBdr>
      <w:spacing w:after="0" w:line="276" w:lineRule="auto"/>
      <w:jc w:val="left"/>
    </w:pPr>
    <w:r>
      <w:rPr>
        <w:b/>
        <w:noProof/>
      </w:rPr>
      <w:pict w14:anchorId="60287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RCA DE AGUA - HOJA RESOLUCIÓN" style="position:absolute;margin-left:-77.85pt;margin-top:-135.35pt;width:663.5pt;height:12in;z-index:-251656704;mso-position-horizontal-relative:margin;mso-position-vertical-relative:margin">
          <v:imagedata r:id="rId1" o:title="image1"/>
          <w10:wrap anchorx="margin" anchory="margin"/>
        </v:shape>
      </w:pict>
    </w:r>
  </w:p>
  <w:tbl>
    <w:tblPr>
      <w:tblStyle w:val="a3"/>
      <w:tblW w:w="6521"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253"/>
    </w:tblGrid>
    <w:tr w:rsidR="0048051A" w14:paraId="3FDCE11F" w14:textId="77777777" w:rsidTr="00C46274">
      <w:trPr>
        <w:trHeight w:val="138"/>
      </w:trPr>
      <w:tc>
        <w:tcPr>
          <w:tcW w:w="2268" w:type="dxa"/>
          <w:vAlign w:val="center"/>
        </w:tcPr>
        <w:p w14:paraId="586E56DE" w14:textId="4174D8BC" w:rsidR="0048051A" w:rsidRDefault="0048051A">
          <w:pPr>
            <w:tabs>
              <w:tab w:val="right" w:pos="8838"/>
            </w:tabs>
            <w:ind w:left="-108" w:right="-105"/>
            <w:jc w:val="left"/>
            <w:rPr>
              <w:b/>
            </w:rPr>
          </w:pPr>
        </w:p>
        <w:p w14:paraId="577CD571" w14:textId="77777777" w:rsidR="00C46274" w:rsidRDefault="00C46274">
          <w:pPr>
            <w:tabs>
              <w:tab w:val="right" w:pos="8838"/>
            </w:tabs>
            <w:ind w:left="-108" w:right="-105"/>
            <w:jc w:val="left"/>
            <w:rPr>
              <w:b/>
            </w:rPr>
          </w:pPr>
        </w:p>
        <w:p w14:paraId="1C0779B6" w14:textId="18DFA9AB" w:rsidR="0048051A" w:rsidRDefault="0048051A">
          <w:pPr>
            <w:tabs>
              <w:tab w:val="right" w:pos="8838"/>
            </w:tabs>
            <w:ind w:left="-108" w:right="-105"/>
            <w:jc w:val="left"/>
            <w:rPr>
              <w:b/>
            </w:rPr>
          </w:pPr>
          <w:r>
            <w:rPr>
              <w:b/>
            </w:rPr>
            <w:t>Recurso de Revisión:</w:t>
          </w:r>
        </w:p>
      </w:tc>
      <w:tc>
        <w:tcPr>
          <w:tcW w:w="4253" w:type="dxa"/>
        </w:tcPr>
        <w:p w14:paraId="65D506A5" w14:textId="77777777" w:rsidR="0048051A" w:rsidRDefault="0048051A">
          <w:pPr>
            <w:tabs>
              <w:tab w:val="right" w:pos="8838"/>
            </w:tabs>
            <w:ind w:right="57"/>
          </w:pPr>
        </w:p>
        <w:p w14:paraId="2A16B1E9" w14:textId="77777777" w:rsidR="00C46274" w:rsidRDefault="00C46274" w:rsidP="00670410">
          <w:pPr>
            <w:tabs>
              <w:tab w:val="right" w:pos="8838"/>
            </w:tabs>
            <w:ind w:right="57"/>
          </w:pPr>
        </w:p>
        <w:p w14:paraId="386CC561" w14:textId="6B154576" w:rsidR="0048051A" w:rsidRDefault="0048051A" w:rsidP="00670410">
          <w:pPr>
            <w:tabs>
              <w:tab w:val="right" w:pos="8838"/>
            </w:tabs>
            <w:ind w:right="57"/>
          </w:pPr>
          <w:r>
            <w:t>07316/INFOEM/IP/RR/2025 y acumulado</w:t>
          </w:r>
        </w:p>
      </w:tc>
    </w:tr>
    <w:tr w:rsidR="0048051A" w14:paraId="0E3E5CB2" w14:textId="77777777" w:rsidTr="00C46274">
      <w:trPr>
        <w:trHeight w:val="273"/>
      </w:trPr>
      <w:tc>
        <w:tcPr>
          <w:tcW w:w="2268" w:type="dxa"/>
        </w:tcPr>
        <w:p w14:paraId="17B535A9" w14:textId="77777777" w:rsidR="0048051A" w:rsidRDefault="0048051A">
          <w:pPr>
            <w:tabs>
              <w:tab w:val="right" w:pos="8838"/>
            </w:tabs>
            <w:ind w:left="-108" w:right="-105"/>
            <w:rPr>
              <w:b/>
            </w:rPr>
          </w:pPr>
          <w:r>
            <w:rPr>
              <w:b/>
            </w:rPr>
            <w:t>Sujeto Obligado:</w:t>
          </w:r>
        </w:p>
      </w:tc>
      <w:tc>
        <w:tcPr>
          <w:tcW w:w="4253" w:type="dxa"/>
        </w:tcPr>
        <w:p w14:paraId="1DD84E3E" w14:textId="77777777" w:rsidR="0048051A" w:rsidRDefault="0048051A">
          <w:pPr>
            <w:tabs>
              <w:tab w:val="right" w:pos="8838"/>
            </w:tabs>
            <w:ind w:right="180"/>
          </w:pPr>
          <w:r>
            <w:t>Ayuntamiento de Zinacantepec</w:t>
          </w:r>
        </w:p>
      </w:tc>
    </w:tr>
    <w:tr w:rsidR="0048051A" w14:paraId="09993720" w14:textId="77777777" w:rsidTr="00C46274">
      <w:trPr>
        <w:trHeight w:val="273"/>
      </w:trPr>
      <w:tc>
        <w:tcPr>
          <w:tcW w:w="2268" w:type="dxa"/>
        </w:tcPr>
        <w:p w14:paraId="0976C6AC" w14:textId="77777777" w:rsidR="0048051A" w:rsidRDefault="0048051A">
          <w:pPr>
            <w:tabs>
              <w:tab w:val="right" w:pos="8838"/>
            </w:tabs>
            <w:ind w:left="-108" w:right="-105"/>
            <w:rPr>
              <w:b/>
            </w:rPr>
          </w:pPr>
          <w:r>
            <w:rPr>
              <w:b/>
            </w:rPr>
            <w:t>Comisionado Ponente:</w:t>
          </w:r>
        </w:p>
      </w:tc>
      <w:tc>
        <w:tcPr>
          <w:tcW w:w="4253" w:type="dxa"/>
        </w:tcPr>
        <w:p w14:paraId="548BF916" w14:textId="77777777" w:rsidR="0048051A" w:rsidRDefault="0048051A" w:rsidP="00670410">
          <w:pPr>
            <w:tabs>
              <w:tab w:val="right" w:pos="8838"/>
            </w:tabs>
            <w:ind w:right="-170"/>
          </w:pPr>
          <w:r>
            <w:t>Luis Gustavo Parra Noriega</w:t>
          </w:r>
        </w:p>
        <w:p w14:paraId="2CB07C31" w14:textId="1535FD90" w:rsidR="00C46274" w:rsidRPr="0048051A" w:rsidRDefault="00C46274" w:rsidP="00670410">
          <w:pPr>
            <w:tabs>
              <w:tab w:val="right" w:pos="8838"/>
            </w:tabs>
            <w:ind w:right="-170"/>
          </w:pPr>
        </w:p>
      </w:tc>
    </w:tr>
  </w:tbl>
  <w:p w14:paraId="55E47980" w14:textId="77777777" w:rsidR="0048051A" w:rsidRDefault="0048051A">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45E0D" w14:textId="77777777" w:rsidR="0048051A" w:rsidRDefault="0048051A">
    <w:pPr>
      <w:widowControl w:val="0"/>
      <w:pBdr>
        <w:top w:val="nil"/>
        <w:left w:val="nil"/>
        <w:bottom w:val="nil"/>
        <w:right w:val="nil"/>
        <w:between w:val="nil"/>
      </w:pBdr>
      <w:spacing w:after="0" w:line="276" w:lineRule="auto"/>
      <w:jc w:val="left"/>
      <w:rPr>
        <w:color w:val="000000"/>
      </w:rPr>
    </w:pPr>
  </w:p>
  <w:tbl>
    <w:tblPr>
      <w:tblStyle w:val="a4"/>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8051A" w14:paraId="678371C7" w14:textId="77777777" w:rsidTr="002C3618">
      <w:trPr>
        <w:trHeight w:val="132"/>
      </w:trPr>
      <w:tc>
        <w:tcPr>
          <w:tcW w:w="2551" w:type="dxa"/>
        </w:tcPr>
        <w:p w14:paraId="46F8D484" w14:textId="77777777" w:rsidR="0048051A" w:rsidRDefault="0048051A">
          <w:pPr>
            <w:tabs>
              <w:tab w:val="right" w:pos="8838"/>
            </w:tabs>
            <w:ind w:right="-105"/>
            <w:rPr>
              <w:b/>
            </w:rPr>
          </w:pPr>
          <w:r>
            <w:rPr>
              <w:b/>
            </w:rPr>
            <w:t>Recurso de Revisión:</w:t>
          </w:r>
        </w:p>
      </w:tc>
      <w:tc>
        <w:tcPr>
          <w:tcW w:w="4253" w:type="dxa"/>
        </w:tcPr>
        <w:p w14:paraId="52FDA3D8" w14:textId="77777777" w:rsidR="0048051A" w:rsidRDefault="0048051A">
          <w:r>
            <w:t>07316/INFOEM/IP/RR/2025 y acumulado</w:t>
          </w:r>
        </w:p>
      </w:tc>
    </w:tr>
    <w:tr w:rsidR="0048051A" w14:paraId="69A776D5" w14:textId="77777777" w:rsidTr="002C3618">
      <w:trPr>
        <w:trHeight w:val="132"/>
      </w:trPr>
      <w:tc>
        <w:tcPr>
          <w:tcW w:w="2551" w:type="dxa"/>
          <w:shd w:val="clear" w:color="auto" w:fill="auto"/>
        </w:tcPr>
        <w:p w14:paraId="38B0D71B" w14:textId="77777777" w:rsidR="0048051A" w:rsidRDefault="0048051A">
          <w:pPr>
            <w:tabs>
              <w:tab w:val="left" w:pos="1875"/>
            </w:tabs>
            <w:ind w:right="-105"/>
            <w:rPr>
              <w:b/>
            </w:rPr>
          </w:pPr>
          <w:r>
            <w:rPr>
              <w:b/>
            </w:rPr>
            <w:t>Recurrente:</w:t>
          </w:r>
          <w:r>
            <w:rPr>
              <w:b/>
            </w:rPr>
            <w:tab/>
          </w:r>
        </w:p>
      </w:tc>
      <w:tc>
        <w:tcPr>
          <w:tcW w:w="4253" w:type="dxa"/>
          <w:shd w:val="clear" w:color="auto" w:fill="auto"/>
        </w:tcPr>
        <w:p w14:paraId="7338EB4A" w14:textId="77777777" w:rsidR="0048051A" w:rsidRDefault="0048051A">
          <w:pPr>
            <w:tabs>
              <w:tab w:val="right" w:pos="8838"/>
            </w:tabs>
            <w:ind w:right="-250"/>
          </w:pPr>
        </w:p>
      </w:tc>
    </w:tr>
    <w:tr w:rsidR="0048051A" w14:paraId="261745F3" w14:textId="77777777" w:rsidTr="002C3618">
      <w:trPr>
        <w:trHeight w:val="261"/>
      </w:trPr>
      <w:tc>
        <w:tcPr>
          <w:tcW w:w="2551" w:type="dxa"/>
        </w:tcPr>
        <w:p w14:paraId="5886BA72" w14:textId="77777777" w:rsidR="0048051A" w:rsidRDefault="0048051A">
          <w:pPr>
            <w:tabs>
              <w:tab w:val="right" w:pos="8838"/>
            </w:tabs>
            <w:ind w:right="-105"/>
            <w:rPr>
              <w:b/>
            </w:rPr>
          </w:pPr>
          <w:r>
            <w:rPr>
              <w:b/>
            </w:rPr>
            <w:t>Sujeto Obligado:</w:t>
          </w:r>
        </w:p>
      </w:tc>
      <w:tc>
        <w:tcPr>
          <w:tcW w:w="4253" w:type="dxa"/>
        </w:tcPr>
        <w:p w14:paraId="43AB84ED" w14:textId="77777777" w:rsidR="0048051A" w:rsidRDefault="0048051A">
          <w:r>
            <w:t>Ayuntamiento de Zinacantepec</w:t>
          </w:r>
        </w:p>
      </w:tc>
    </w:tr>
    <w:tr w:rsidR="0048051A" w14:paraId="05C334D9" w14:textId="77777777" w:rsidTr="002C3618">
      <w:trPr>
        <w:trHeight w:val="261"/>
      </w:trPr>
      <w:tc>
        <w:tcPr>
          <w:tcW w:w="2551" w:type="dxa"/>
        </w:tcPr>
        <w:p w14:paraId="65E34A8D" w14:textId="77777777" w:rsidR="0048051A" w:rsidRDefault="0048051A">
          <w:pPr>
            <w:tabs>
              <w:tab w:val="right" w:pos="8838"/>
            </w:tabs>
            <w:ind w:right="-105"/>
            <w:rPr>
              <w:b/>
            </w:rPr>
          </w:pPr>
          <w:r>
            <w:rPr>
              <w:b/>
            </w:rPr>
            <w:t>Comisionado Ponente:</w:t>
          </w:r>
        </w:p>
      </w:tc>
      <w:tc>
        <w:tcPr>
          <w:tcW w:w="4253" w:type="dxa"/>
        </w:tcPr>
        <w:p w14:paraId="5BAFE3CE" w14:textId="77777777" w:rsidR="0048051A" w:rsidRDefault="0048051A">
          <w:pPr>
            <w:tabs>
              <w:tab w:val="right" w:pos="8838"/>
            </w:tabs>
            <w:ind w:right="-32"/>
            <w:rPr>
              <w:b/>
            </w:rPr>
          </w:pPr>
          <w:r>
            <w:t>Luis Gustavo Parra Noriega</w:t>
          </w:r>
        </w:p>
      </w:tc>
    </w:tr>
  </w:tbl>
  <w:p w14:paraId="2CCF2899" w14:textId="77777777" w:rsidR="0048051A" w:rsidRDefault="005F398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0287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79E8"/>
    <w:multiLevelType w:val="hybridMultilevel"/>
    <w:tmpl w:val="B98E0FF4"/>
    <w:lvl w:ilvl="0" w:tplc="1316A05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A27D3"/>
    <w:multiLevelType w:val="multilevel"/>
    <w:tmpl w:val="E45AF3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1F1288"/>
    <w:multiLevelType w:val="multilevel"/>
    <w:tmpl w:val="3DBE1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6B2999"/>
    <w:multiLevelType w:val="multilevel"/>
    <w:tmpl w:val="3ACCF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672FDF"/>
    <w:multiLevelType w:val="multilevel"/>
    <w:tmpl w:val="66041D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3C2EB6"/>
    <w:multiLevelType w:val="multilevel"/>
    <w:tmpl w:val="53BE20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1C030C"/>
    <w:multiLevelType w:val="multilevel"/>
    <w:tmpl w:val="0BA2A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3116DB"/>
    <w:multiLevelType w:val="multilevel"/>
    <w:tmpl w:val="EEE8F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455A93"/>
    <w:multiLevelType w:val="hybridMultilevel"/>
    <w:tmpl w:val="46C0B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557D5"/>
    <w:multiLevelType w:val="multilevel"/>
    <w:tmpl w:val="AA74B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931CC7"/>
    <w:multiLevelType w:val="multilevel"/>
    <w:tmpl w:val="630C3A9E"/>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19680E"/>
    <w:multiLevelType w:val="multilevel"/>
    <w:tmpl w:val="690E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DE62A0"/>
    <w:multiLevelType w:val="multilevel"/>
    <w:tmpl w:val="C68C6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D97DE3"/>
    <w:multiLevelType w:val="multilevel"/>
    <w:tmpl w:val="9A16C9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9A0880"/>
    <w:multiLevelType w:val="multilevel"/>
    <w:tmpl w:val="B2003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4"/>
  </w:num>
  <w:num w:numId="3">
    <w:abstractNumId w:val="11"/>
  </w:num>
  <w:num w:numId="4">
    <w:abstractNumId w:val="1"/>
  </w:num>
  <w:num w:numId="5">
    <w:abstractNumId w:val="6"/>
  </w:num>
  <w:num w:numId="6">
    <w:abstractNumId w:val="15"/>
  </w:num>
  <w:num w:numId="7">
    <w:abstractNumId w:val="10"/>
  </w:num>
  <w:num w:numId="8">
    <w:abstractNumId w:val="14"/>
  </w:num>
  <w:num w:numId="9">
    <w:abstractNumId w:val="8"/>
  </w:num>
  <w:num w:numId="10">
    <w:abstractNumId w:val="3"/>
  </w:num>
  <w:num w:numId="11">
    <w:abstractNumId w:val="2"/>
  </w:num>
  <w:num w:numId="12">
    <w:abstractNumId w:val="0"/>
  </w:num>
  <w:num w:numId="13">
    <w:abstractNumId w:val="5"/>
  </w:num>
  <w:num w:numId="14">
    <w:abstractNumId w:val="7"/>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04"/>
    <w:rsid w:val="00113E04"/>
    <w:rsid w:val="001E00A2"/>
    <w:rsid w:val="002C3618"/>
    <w:rsid w:val="00347D24"/>
    <w:rsid w:val="004476CB"/>
    <w:rsid w:val="0048051A"/>
    <w:rsid w:val="005A7A9E"/>
    <w:rsid w:val="005F3985"/>
    <w:rsid w:val="006615E2"/>
    <w:rsid w:val="00670410"/>
    <w:rsid w:val="006B18EC"/>
    <w:rsid w:val="006B2460"/>
    <w:rsid w:val="00786428"/>
    <w:rsid w:val="007F1225"/>
    <w:rsid w:val="00AB421C"/>
    <w:rsid w:val="00AC3E43"/>
    <w:rsid w:val="00BB1B2B"/>
    <w:rsid w:val="00C46274"/>
    <w:rsid w:val="00E41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41E93F"/>
  <w15:docId w15:val="{13B281FC-5098-42DA-9B08-5E4C2FDD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0939E3"/>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customStyle="1" w:styleId="Ttulo3Car">
    <w:name w:val="Título 3 Car"/>
    <w:basedOn w:val="Fuentedeprrafopredeter"/>
    <w:link w:val="Ttulo3"/>
    <w:rsid w:val="0048051A"/>
    <w:rPr>
      <w:b/>
      <w:sz w:val="28"/>
      <w:szCs w:val="28"/>
    </w:rPr>
  </w:style>
  <w:style w:type="paragraph" w:styleId="TDC3">
    <w:name w:val="toc 3"/>
    <w:basedOn w:val="Normal"/>
    <w:next w:val="Normal"/>
    <w:autoRedefine/>
    <w:uiPriority w:val="39"/>
    <w:unhideWhenUsed/>
    <w:rsid w:val="002C361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q2EiNhGhnwaJXeLEXLPg/Tz7w==">CgMxLjAyDmguODgzeDkzM2c0cWJvMg5oLmw5M3JydG94ZXlwdDINaC45d28wb3B1bG83cTIOaC5hdzZ6ZHFuaHg2eXoyDmguaWJ5NGIxMzV6eWNzMg5oLjhiaG8xMTgzemthbjIOaC51Z2dmMGNtcWl0YWMyDmguaWR4Y2x3d3Mza2xrMg5oLjNsZWd6c2RqcXA3bzIOaC42OHhxZXlzYmxlc3UyCWguMzBqMHpsbDIOaC44MDZwOGZsaW13ZG0yDmguamR5eTVzMTQxcHNlMg5oLmdycGx5dWR0eXk2YzIOaC5zYmJ5NHNydGd0bWEyDmguYndpNGthbnZtcjM3Mg5oLmY4MjhwMzVnMmJpODIOaC5memlibXFqY2N6dWo4AHIhMWNVYnNKX1J0VnNvME9mVEJTcEJSQkJYVmgyRGFCT0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7627</Words>
  <Characters>41953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2025-08-22T18:44:00Z</cp:lastPrinted>
  <dcterms:created xsi:type="dcterms:W3CDTF">2025-08-22T18:44:00Z</dcterms:created>
  <dcterms:modified xsi:type="dcterms:W3CDTF">2025-08-22T18:44:00Z</dcterms:modified>
</cp:coreProperties>
</file>