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B8" w:rsidRPr="008A18B3" w:rsidRDefault="00B850B8" w:rsidP="008A18B3">
      <w:pPr>
        <w:spacing w:line="360" w:lineRule="auto"/>
        <w:jc w:val="both"/>
        <w:rPr>
          <w:rFonts w:ascii="Palatino Linotype" w:eastAsia="Palatino Linotype" w:hAnsi="Palatino Linotype" w:cs="Palatino Linotype"/>
          <w:color w:val="000000" w:themeColor="text1"/>
        </w:rPr>
      </w:pPr>
      <w:bookmarkStart w:id="0" w:name="_GoBack"/>
      <w:bookmarkEnd w:id="0"/>
      <w:r w:rsidRPr="008A18B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A18B3">
        <w:rPr>
          <w:rFonts w:ascii="Palatino Linotype" w:eastAsia="Palatino Linotype" w:hAnsi="Palatino Linotype" w:cs="Palatino Linotype"/>
          <w:b/>
          <w:color w:val="000000" w:themeColor="text1"/>
        </w:rPr>
        <w:t>de fecha veintidós</w:t>
      </w:r>
      <w:r w:rsidR="009B7E6D">
        <w:rPr>
          <w:rFonts w:ascii="Palatino Linotype" w:eastAsia="Palatino Linotype" w:hAnsi="Palatino Linotype" w:cs="Palatino Linotype"/>
          <w:b/>
          <w:color w:val="000000" w:themeColor="text1"/>
        </w:rPr>
        <w:t xml:space="preserve"> (22)</w:t>
      </w:r>
      <w:r w:rsidRPr="008A18B3">
        <w:rPr>
          <w:rFonts w:ascii="Palatino Linotype" w:eastAsia="Palatino Linotype" w:hAnsi="Palatino Linotype" w:cs="Palatino Linotype"/>
          <w:b/>
          <w:color w:val="000000" w:themeColor="text1"/>
        </w:rPr>
        <w:t xml:space="preserve"> de octubre de dos mil veinticinco</w:t>
      </w:r>
      <w:r w:rsidRPr="008A18B3">
        <w:rPr>
          <w:rFonts w:ascii="Palatino Linotype" w:eastAsia="Palatino Linotype" w:hAnsi="Palatino Linotype" w:cs="Palatino Linotype"/>
          <w:color w:val="000000" w:themeColor="text1"/>
        </w:rPr>
        <w:t>.</w:t>
      </w: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t>VISTO</w:t>
      </w:r>
      <w:r w:rsidRPr="008A18B3">
        <w:rPr>
          <w:rFonts w:ascii="Palatino Linotype" w:eastAsia="Palatino Linotype" w:hAnsi="Palatino Linotype" w:cs="Palatino Linotype"/>
          <w:color w:val="000000" w:themeColor="text1"/>
        </w:rPr>
        <w:t xml:space="preserve"> el expediente electrónico formado con motivo del recurso de revisión </w:t>
      </w:r>
      <w:r w:rsidRPr="008A18B3">
        <w:rPr>
          <w:rFonts w:ascii="Palatino Linotype" w:eastAsia="Palatino Linotype" w:hAnsi="Palatino Linotype" w:cs="Palatino Linotype"/>
          <w:b/>
          <w:color w:val="000000" w:themeColor="text1"/>
        </w:rPr>
        <w:t xml:space="preserve">08398/INFOEM/IP/RR/2025, </w:t>
      </w:r>
      <w:r w:rsidRPr="008A18B3">
        <w:rPr>
          <w:rFonts w:ascii="Palatino Linotype" w:eastAsia="Palatino Linotype" w:hAnsi="Palatino Linotype" w:cs="Palatino Linotype"/>
          <w:color w:val="000000" w:themeColor="text1"/>
        </w:rPr>
        <w:t xml:space="preserve">promovido por </w:t>
      </w:r>
      <w:r w:rsidR="009300A5">
        <w:rPr>
          <w:rFonts w:ascii="Palatino Linotype" w:eastAsia="Palatino Linotype" w:hAnsi="Palatino Linotype" w:cs="Palatino Linotype"/>
          <w:b/>
          <w:bCs/>
          <w:color w:val="000000" w:themeColor="text1"/>
        </w:rPr>
        <w:t>XXXX</w:t>
      </w:r>
      <w:r w:rsidRPr="008A18B3">
        <w:rPr>
          <w:rFonts w:ascii="Palatino Linotype" w:eastAsia="Palatino Linotype" w:hAnsi="Palatino Linotype" w:cs="Palatino Linotype"/>
          <w:b/>
          <w:color w:val="000000" w:themeColor="text1"/>
        </w:rPr>
        <w:t>,</w:t>
      </w:r>
      <w:r w:rsidRPr="008A18B3">
        <w:rPr>
          <w:rFonts w:ascii="Palatino Linotype" w:eastAsia="Palatino Linotype" w:hAnsi="Palatino Linotype" w:cs="Palatino Linotype"/>
          <w:color w:val="000000" w:themeColor="text1"/>
        </w:rPr>
        <w:t xml:space="preserve"> </w:t>
      </w:r>
      <w:r w:rsidR="009B7E6D">
        <w:rPr>
          <w:rFonts w:ascii="Palatino Linotype" w:eastAsia="Palatino Linotype" w:hAnsi="Palatino Linotype" w:cs="Palatino Linotype"/>
          <w:color w:val="000000" w:themeColor="text1"/>
        </w:rPr>
        <w:t xml:space="preserve">a </w:t>
      </w:r>
      <w:r w:rsidRPr="008A18B3">
        <w:rPr>
          <w:rFonts w:ascii="Palatino Linotype" w:eastAsia="Palatino Linotype" w:hAnsi="Palatino Linotype" w:cs="Palatino Linotype"/>
          <w:color w:val="000000" w:themeColor="text1"/>
        </w:rPr>
        <w:t xml:space="preserve">quien en lo sucesivo se identificará como </w:t>
      </w:r>
      <w:r w:rsidRPr="008A18B3">
        <w:rPr>
          <w:rFonts w:ascii="Palatino Linotype" w:eastAsia="Palatino Linotype" w:hAnsi="Palatino Linotype" w:cs="Palatino Linotype"/>
          <w:b/>
          <w:color w:val="000000" w:themeColor="text1"/>
        </w:rPr>
        <w:t>RECURRENTE</w:t>
      </w:r>
      <w:r w:rsidRPr="008A18B3">
        <w:rPr>
          <w:rFonts w:ascii="Palatino Linotype" w:eastAsia="Palatino Linotype" w:hAnsi="Palatino Linotype" w:cs="Palatino Linotype"/>
          <w:color w:val="000000" w:themeColor="text1"/>
        </w:rPr>
        <w:t xml:space="preserve">, en contra de la respuesta del </w:t>
      </w:r>
      <w:r w:rsidRPr="008A18B3">
        <w:rPr>
          <w:rFonts w:ascii="Palatino Linotype" w:eastAsia="Palatino Linotype" w:hAnsi="Palatino Linotype" w:cs="Palatino Linotype"/>
          <w:b/>
          <w:color w:val="000000" w:themeColor="text1"/>
        </w:rPr>
        <w:t xml:space="preserve">Ayuntamiento de Temamatla, </w:t>
      </w:r>
      <w:r w:rsidRPr="008A18B3">
        <w:rPr>
          <w:rFonts w:ascii="Palatino Linotype" w:eastAsia="Palatino Linotype" w:hAnsi="Palatino Linotype" w:cs="Palatino Linotype"/>
          <w:color w:val="000000" w:themeColor="text1"/>
        </w:rPr>
        <w:t>en adelante el</w:t>
      </w:r>
      <w:r w:rsidRPr="008A18B3">
        <w:rPr>
          <w:rFonts w:ascii="Palatino Linotype" w:eastAsia="Palatino Linotype" w:hAnsi="Palatino Linotype" w:cs="Palatino Linotype"/>
          <w:b/>
          <w:color w:val="000000" w:themeColor="text1"/>
        </w:rPr>
        <w:t xml:space="preserve"> SUJETO OBLIGADO</w:t>
      </w:r>
      <w:r w:rsidRPr="008A18B3">
        <w:rPr>
          <w:rFonts w:ascii="Palatino Linotype" w:eastAsia="Palatino Linotype" w:hAnsi="Palatino Linotype" w:cs="Palatino Linotype"/>
          <w:color w:val="000000" w:themeColor="text1"/>
        </w:rPr>
        <w:t>, por lo que se procede a dictar la presente resolución, con base en los siguientes:</w:t>
      </w:r>
    </w:p>
    <w:p w:rsidR="00B850B8" w:rsidRPr="008A18B3" w:rsidRDefault="00B850B8" w:rsidP="008A18B3">
      <w:pPr>
        <w:spacing w:line="360" w:lineRule="auto"/>
        <w:jc w:val="both"/>
        <w:rPr>
          <w:rFonts w:ascii="Palatino Linotype" w:eastAsia="Palatino Linotype" w:hAnsi="Palatino Linotype" w:cs="Palatino Linotype"/>
          <w:b/>
          <w:color w:val="000000" w:themeColor="text1"/>
        </w:rPr>
      </w:pPr>
    </w:p>
    <w:p w:rsidR="00B850B8" w:rsidRPr="008A18B3" w:rsidRDefault="00B850B8" w:rsidP="008A18B3">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8A18B3">
        <w:rPr>
          <w:rFonts w:ascii="Palatino Linotype" w:eastAsia="Palatino Linotype" w:hAnsi="Palatino Linotype" w:cs="Palatino Linotype"/>
          <w:b/>
          <w:color w:val="000000" w:themeColor="text1"/>
        </w:rPr>
        <w:t>A N T E C E D E N T E S</w:t>
      </w:r>
    </w:p>
    <w:p w:rsidR="00B850B8" w:rsidRPr="008A18B3" w:rsidRDefault="00B850B8" w:rsidP="008A18B3">
      <w:pPr>
        <w:spacing w:line="360" w:lineRule="auto"/>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El </w:t>
      </w:r>
      <w:r w:rsidRPr="008A18B3">
        <w:rPr>
          <w:rFonts w:ascii="Palatino Linotype" w:eastAsia="Palatino Linotype" w:hAnsi="Palatino Linotype" w:cs="Palatino Linotype"/>
          <w:b/>
          <w:color w:val="000000" w:themeColor="text1"/>
        </w:rPr>
        <w:t>primero de julio de dos mil veinticinco</w:t>
      </w:r>
      <w:r w:rsidRPr="008A18B3">
        <w:rPr>
          <w:rFonts w:ascii="Palatino Linotype" w:eastAsia="Palatino Linotype" w:hAnsi="Palatino Linotype" w:cs="Palatino Linotype"/>
          <w:color w:val="000000" w:themeColor="text1"/>
        </w:rPr>
        <w:t xml:space="preserve">, </w:t>
      </w:r>
      <w:r w:rsidRPr="008A18B3">
        <w:rPr>
          <w:rFonts w:ascii="Palatino Linotype" w:eastAsia="Palatino Linotype" w:hAnsi="Palatino Linotype" w:cs="Palatino Linotype"/>
          <w:b/>
          <w:color w:val="000000" w:themeColor="text1"/>
        </w:rPr>
        <w:t>EL RECURRENTE,</w:t>
      </w:r>
      <w:r w:rsidRPr="008A18B3">
        <w:rPr>
          <w:rFonts w:ascii="Palatino Linotype" w:eastAsia="Palatino Linotype" w:hAnsi="Palatino Linotype" w:cs="Palatino Linotype"/>
          <w:color w:val="000000" w:themeColor="text1"/>
        </w:rPr>
        <w:t xml:space="preserve"> ante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8A18B3">
        <w:rPr>
          <w:rFonts w:ascii="Palatino Linotype" w:eastAsia="Palatino Linotype" w:hAnsi="Palatino Linotype" w:cs="Palatino Linotype"/>
          <w:b/>
          <w:bCs/>
          <w:color w:val="000000" w:themeColor="text1"/>
        </w:rPr>
        <w:t>00403/TEMAMATL/IP/2025</w:t>
      </w:r>
      <w:r w:rsidRPr="008A18B3">
        <w:rPr>
          <w:rFonts w:ascii="Palatino Linotype" w:eastAsia="Palatino Linotype" w:hAnsi="Palatino Linotype" w:cs="Palatino Linotype"/>
          <w:b/>
          <w:color w:val="000000" w:themeColor="text1"/>
        </w:rPr>
        <w:t xml:space="preserve">, </w:t>
      </w:r>
      <w:r w:rsidRPr="008A18B3">
        <w:rPr>
          <w:rFonts w:ascii="Palatino Linotype" w:eastAsia="Palatino Linotype" w:hAnsi="Palatino Linotype" w:cs="Palatino Linotype"/>
          <w:color w:val="000000" w:themeColor="text1"/>
        </w:rPr>
        <w:t>en la que se solicitó lo siguiente:</w:t>
      </w: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A18B3">
        <w:rPr>
          <w:rFonts w:ascii="Palatino Linotype" w:eastAsia="Palatino Linotype" w:hAnsi="Palatino Linotype" w:cs="Palatino Linotype"/>
          <w:i/>
          <w:color w:val="000000" w:themeColor="text1"/>
        </w:rPr>
        <w:t xml:space="preserve">“SOLICITO EL REGLAMENTO PARA EL FUNCIONAMIENTO DE CABILDOS 2025” (Sic) </w:t>
      </w:r>
    </w:p>
    <w:p w:rsidR="00B850B8"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B7E6D" w:rsidRPr="008A18B3" w:rsidRDefault="009B7E6D"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Se señaló como modalidad de entrega a través de SAIMEX.  </w:t>
      </w: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El </w:t>
      </w:r>
      <w:r w:rsidRPr="008A18B3">
        <w:rPr>
          <w:rFonts w:ascii="Palatino Linotype" w:eastAsia="Palatino Linotype" w:hAnsi="Palatino Linotype" w:cs="Palatino Linotype"/>
          <w:b/>
          <w:color w:val="000000" w:themeColor="text1"/>
        </w:rPr>
        <w:t>tres de julio de dos mil veinticinco</w:t>
      </w:r>
      <w:r w:rsidRPr="008A18B3">
        <w:rPr>
          <w:rFonts w:ascii="Palatino Linotype" w:eastAsia="Palatino Linotype" w:hAnsi="Palatino Linotype" w:cs="Palatino Linotype"/>
          <w:color w:val="000000" w:themeColor="text1"/>
        </w:rPr>
        <w:t>, el Sujeto Obligado dio respuesta a la solicitud de información en los siguientes términos:</w:t>
      </w: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8A18B3" w:rsidRPr="008A18B3" w:rsidTr="00B850B8">
        <w:trPr>
          <w:trHeight w:val="286"/>
          <w:tblCellSpacing w:w="0" w:type="dxa"/>
          <w:jc w:val="center"/>
        </w:trPr>
        <w:tc>
          <w:tcPr>
            <w:tcW w:w="0" w:type="auto"/>
            <w:vAlign w:val="center"/>
            <w:hideMark/>
          </w:tcPr>
          <w:p w:rsidR="00B850B8" w:rsidRPr="008A18B3" w:rsidRDefault="00B850B8" w:rsidP="008A18B3">
            <w:pPr>
              <w:jc w:val="right"/>
              <w:rPr>
                <w:rFonts w:ascii="Palatino Linotype" w:hAnsi="Palatino Linotype"/>
                <w:i/>
                <w:color w:val="000000" w:themeColor="text1"/>
              </w:rPr>
            </w:pPr>
            <w:r w:rsidRPr="008A18B3">
              <w:rPr>
                <w:rFonts w:ascii="Palatino Linotype" w:hAnsi="Palatino Linotype"/>
                <w:i/>
                <w:color w:val="000000" w:themeColor="text1"/>
              </w:rPr>
              <w:lastRenderedPageBreak/>
              <w:t>Temamatla, México a 03 de Julio de 2025</w:t>
            </w:r>
          </w:p>
        </w:tc>
      </w:tr>
      <w:tr w:rsidR="008A18B3" w:rsidRPr="008A18B3" w:rsidTr="00B850B8">
        <w:trPr>
          <w:trHeight w:val="286"/>
          <w:tblCellSpacing w:w="0" w:type="dxa"/>
          <w:jc w:val="center"/>
        </w:trPr>
        <w:tc>
          <w:tcPr>
            <w:tcW w:w="0" w:type="auto"/>
            <w:vAlign w:val="center"/>
            <w:hideMark/>
          </w:tcPr>
          <w:p w:rsidR="00B850B8" w:rsidRPr="008A18B3" w:rsidRDefault="00B850B8" w:rsidP="008A18B3">
            <w:pPr>
              <w:jc w:val="right"/>
              <w:rPr>
                <w:rFonts w:ascii="Palatino Linotype" w:hAnsi="Palatino Linotype"/>
                <w:i/>
                <w:color w:val="000000" w:themeColor="text1"/>
              </w:rPr>
            </w:pPr>
            <w:r w:rsidRPr="008A18B3">
              <w:rPr>
                <w:rFonts w:ascii="Palatino Linotype" w:hAnsi="Palatino Linotype"/>
                <w:i/>
                <w:color w:val="000000" w:themeColor="text1"/>
              </w:rPr>
              <w:t>Nombre del solicitante: C. Solicitante</w:t>
            </w:r>
          </w:p>
        </w:tc>
      </w:tr>
      <w:tr w:rsidR="008A18B3" w:rsidRPr="008A18B3" w:rsidTr="00B850B8">
        <w:trPr>
          <w:trHeight w:val="286"/>
          <w:tblCellSpacing w:w="0" w:type="dxa"/>
          <w:jc w:val="center"/>
        </w:trPr>
        <w:tc>
          <w:tcPr>
            <w:tcW w:w="0" w:type="auto"/>
            <w:vAlign w:val="center"/>
            <w:hideMark/>
          </w:tcPr>
          <w:p w:rsidR="00B850B8" w:rsidRPr="008A18B3" w:rsidRDefault="00B850B8" w:rsidP="008A18B3">
            <w:pPr>
              <w:jc w:val="right"/>
              <w:rPr>
                <w:rFonts w:ascii="Palatino Linotype" w:hAnsi="Palatino Linotype"/>
                <w:i/>
                <w:color w:val="000000" w:themeColor="text1"/>
              </w:rPr>
            </w:pPr>
            <w:r w:rsidRPr="008A18B3">
              <w:rPr>
                <w:rFonts w:ascii="Palatino Linotype" w:hAnsi="Palatino Linotype"/>
                <w:i/>
                <w:color w:val="000000" w:themeColor="text1"/>
              </w:rPr>
              <w:t>Folio de la solicitud: 00403/TEMAMATL/IP/2025</w:t>
            </w:r>
          </w:p>
        </w:tc>
      </w:tr>
      <w:tr w:rsidR="008A18B3" w:rsidRPr="008A18B3" w:rsidTr="00B850B8">
        <w:trPr>
          <w:trHeight w:val="429"/>
          <w:tblCellSpacing w:w="0" w:type="dxa"/>
          <w:jc w:val="center"/>
        </w:trPr>
        <w:tc>
          <w:tcPr>
            <w:tcW w:w="0" w:type="auto"/>
            <w:vAlign w:val="center"/>
            <w:hideMark/>
          </w:tcPr>
          <w:p w:rsidR="00B850B8" w:rsidRPr="008A18B3" w:rsidRDefault="00B850B8" w:rsidP="008A18B3">
            <w:pPr>
              <w:jc w:val="right"/>
              <w:rPr>
                <w:rFonts w:ascii="Palatino Linotype" w:hAnsi="Palatino Linotype"/>
                <w:i/>
                <w:color w:val="000000" w:themeColor="text1"/>
              </w:rPr>
            </w:pPr>
          </w:p>
        </w:tc>
      </w:tr>
      <w:tr w:rsidR="008A18B3" w:rsidRPr="008A18B3" w:rsidTr="00B850B8">
        <w:trPr>
          <w:trHeight w:val="143"/>
          <w:tblCellSpacing w:w="0" w:type="dxa"/>
          <w:jc w:val="center"/>
        </w:trPr>
        <w:tc>
          <w:tcPr>
            <w:tcW w:w="0" w:type="auto"/>
            <w:vAlign w:val="center"/>
            <w:hideMark/>
          </w:tcPr>
          <w:p w:rsidR="00B850B8" w:rsidRPr="008A18B3" w:rsidRDefault="00B850B8" w:rsidP="008A18B3">
            <w:pPr>
              <w:jc w:val="center"/>
              <w:rPr>
                <w:rFonts w:ascii="Palatino Linotype" w:hAnsi="Palatino Linotype"/>
                <w:i/>
                <w:color w:val="000000" w:themeColor="text1"/>
              </w:rPr>
            </w:pPr>
          </w:p>
        </w:tc>
      </w:tr>
      <w:tr w:rsidR="008A18B3" w:rsidRPr="008A18B3" w:rsidTr="00B850B8">
        <w:trPr>
          <w:trHeight w:val="357"/>
          <w:tblCellSpacing w:w="0" w:type="dxa"/>
          <w:jc w:val="center"/>
        </w:trPr>
        <w:tc>
          <w:tcPr>
            <w:tcW w:w="0" w:type="auto"/>
            <w:vAlign w:val="center"/>
            <w:hideMark/>
          </w:tcPr>
          <w:p w:rsidR="00B850B8" w:rsidRPr="008A18B3" w:rsidRDefault="00B850B8" w:rsidP="008A18B3">
            <w:pPr>
              <w:rPr>
                <w:rFonts w:ascii="Palatino Linotype" w:hAnsi="Palatino Linotype"/>
                <w:i/>
                <w:color w:val="000000" w:themeColor="text1"/>
              </w:rPr>
            </w:pPr>
          </w:p>
        </w:tc>
      </w:tr>
      <w:tr w:rsidR="008A18B3" w:rsidRPr="008A18B3" w:rsidTr="00B850B8">
        <w:trPr>
          <w:trHeight w:val="143"/>
          <w:tblCellSpacing w:w="0" w:type="dxa"/>
          <w:jc w:val="center"/>
        </w:trPr>
        <w:tc>
          <w:tcPr>
            <w:tcW w:w="0" w:type="auto"/>
            <w:vAlign w:val="center"/>
            <w:hideMark/>
          </w:tcPr>
          <w:p w:rsidR="00B850B8" w:rsidRPr="008A18B3" w:rsidRDefault="00B850B8" w:rsidP="008A18B3">
            <w:pPr>
              <w:jc w:val="both"/>
              <w:rPr>
                <w:rFonts w:ascii="Palatino Linotype" w:hAnsi="Palatino Linotype"/>
                <w:i/>
                <w:color w:val="000000" w:themeColor="text1"/>
              </w:rPr>
            </w:pPr>
            <w:r w:rsidRPr="008A18B3">
              <w:rPr>
                <w:rFonts w:ascii="Palatino Linotype" w:hAnsi="Palatino Linotype"/>
                <w:i/>
                <w:color w:val="000000" w:themeColor="text1"/>
              </w:rPr>
              <w:t>TEMAMATLA, ESTADO DE MÉXICO A 03 DE JUNIO DEL 2025 DEPENDENCIA: UNIDAD DE TRANSPARENCIA Y ACCESO A LA INFORMACIÓN PÚBLICA OFICIO: TEMA/AYUNT/UTAIP/285R/2025 A QUIEN CORRESPONDA El Municipio Temamatla reitera su compromiso con la transparencia y el derecho de acceso a la información pública, cumpliendo puntualmente con las obligaciones previstas en la Ley de Transparencia y Acceso a la Información Pública del Estado de México y Municipios. Bajo este principio, este sujeto obligado ha atendido con oportunidad las solicitudes que se enmarcan dentro de sus atribuciones y de la información que obra en su poder. Con fundamento en lo dispuesto por el artículo 24 fracción IX y artículo 161 de la Ley de Transparencia y Acceso a la Información Pública del Estado de México y Municipios, y dentro del plazo legal establecido, se notifica la respuesta a la solicitud de información con número 00403/TEMAMATL/IP/2025; por lo expuesto se informa: La información se encuentra publicada en la página oficial del H. Ayuntamiento de Temamatla por lo cual se agrega el link para consulta correspondiente, siendo el punto 9 en donde encontrara la información. LINK DE CONSULTA: https://temamatla.mx/gacetas-municipales/ LINK REGLAMENTO: https://temamatla.mx/wp-content/uploads/2025/04/GACETA-9_pagenumber1.pdf Sin otro particular quedo atenta a cualquier duda o comentario al respecto. ATENTAMENTE LIC. LAURA MUCIÑO BRITO TITULAR DE LA UNIDAD DE TRANSPARENCIA Y ACCESO A LA INFORMACIÓN PÚBLICA DEL MUNICIPIO DE TEMAMATLA, ESTADO DE MÉXICO.</w:t>
            </w:r>
          </w:p>
        </w:tc>
      </w:tr>
      <w:tr w:rsidR="008A18B3" w:rsidRPr="008A18B3" w:rsidTr="00B850B8">
        <w:trPr>
          <w:trHeight w:val="357"/>
          <w:tblCellSpacing w:w="0" w:type="dxa"/>
          <w:jc w:val="center"/>
        </w:trPr>
        <w:tc>
          <w:tcPr>
            <w:tcW w:w="0" w:type="auto"/>
            <w:vAlign w:val="center"/>
            <w:hideMark/>
          </w:tcPr>
          <w:p w:rsidR="00B850B8" w:rsidRPr="008A18B3" w:rsidRDefault="00B850B8" w:rsidP="008A18B3">
            <w:pPr>
              <w:rPr>
                <w:rFonts w:ascii="Palatino Linotype" w:hAnsi="Palatino Linotype"/>
                <w:i/>
                <w:color w:val="000000" w:themeColor="text1"/>
              </w:rPr>
            </w:pPr>
          </w:p>
        </w:tc>
      </w:tr>
      <w:tr w:rsidR="008A18B3" w:rsidRPr="008A18B3" w:rsidTr="00B850B8">
        <w:trPr>
          <w:trHeight w:val="143"/>
          <w:tblCellSpacing w:w="0" w:type="dxa"/>
          <w:jc w:val="center"/>
        </w:trPr>
        <w:tc>
          <w:tcPr>
            <w:tcW w:w="0" w:type="auto"/>
            <w:vAlign w:val="center"/>
            <w:hideMark/>
          </w:tcPr>
          <w:p w:rsidR="00B850B8" w:rsidRPr="008A18B3" w:rsidRDefault="00B850B8" w:rsidP="008A18B3">
            <w:pPr>
              <w:jc w:val="center"/>
              <w:rPr>
                <w:rFonts w:ascii="Palatino Linotype" w:hAnsi="Palatino Linotype"/>
                <w:i/>
                <w:color w:val="000000" w:themeColor="text1"/>
              </w:rPr>
            </w:pPr>
          </w:p>
        </w:tc>
      </w:tr>
      <w:tr w:rsidR="008A18B3" w:rsidRPr="008A18B3" w:rsidTr="00B850B8">
        <w:trPr>
          <w:trHeight w:val="143"/>
          <w:tblCellSpacing w:w="0" w:type="dxa"/>
          <w:jc w:val="center"/>
        </w:trPr>
        <w:tc>
          <w:tcPr>
            <w:tcW w:w="0" w:type="auto"/>
            <w:vAlign w:val="center"/>
            <w:hideMark/>
          </w:tcPr>
          <w:p w:rsidR="00B850B8" w:rsidRPr="008A18B3" w:rsidRDefault="00B850B8" w:rsidP="008A18B3">
            <w:pPr>
              <w:rPr>
                <w:rFonts w:ascii="Palatino Linotype" w:hAnsi="Palatino Linotype"/>
                <w:i/>
                <w:color w:val="000000" w:themeColor="text1"/>
              </w:rPr>
            </w:pPr>
          </w:p>
        </w:tc>
      </w:tr>
      <w:tr w:rsidR="008A18B3" w:rsidRPr="008A18B3" w:rsidTr="00B850B8">
        <w:trPr>
          <w:trHeight w:val="143"/>
          <w:tblCellSpacing w:w="0" w:type="dxa"/>
          <w:jc w:val="center"/>
        </w:trPr>
        <w:tc>
          <w:tcPr>
            <w:tcW w:w="0" w:type="auto"/>
            <w:vAlign w:val="center"/>
            <w:hideMark/>
          </w:tcPr>
          <w:p w:rsidR="00B850B8" w:rsidRPr="008A18B3" w:rsidRDefault="00B850B8" w:rsidP="008A18B3">
            <w:pPr>
              <w:rPr>
                <w:rFonts w:ascii="Palatino Linotype" w:hAnsi="Palatino Linotype"/>
                <w:i/>
                <w:color w:val="000000" w:themeColor="text1"/>
              </w:rPr>
            </w:pPr>
            <w:r w:rsidRPr="008A18B3">
              <w:rPr>
                <w:rFonts w:ascii="Palatino Linotype" w:hAnsi="Palatino Linotype"/>
                <w:i/>
                <w:color w:val="000000" w:themeColor="text1"/>
              </w:rPr>
              <w:t>ATENTAMENTE</w:t>
            </w:r>
          </w:p>
        </w:tc>
      </w:tr>
      <w:tr w:rsidR="008A18B3" w:rsidRPr="008A18B3" w:rsidTr="00B850B8">
        <w:trPr>
          <w:trHeight w:val="214"/>
          <w:tblCellSpacing w:w="0" w:type="dxa"/>
          <w:jc w:val="center"/>
        </w:trPr>
        <w:tc>
          <w:tcPr>
            <w:tcW w:w="0" w:type="auto"/>
            <w:vAlign w:val="center"/>
            <w:hideMark/>
          </w:tcPr>
          <w:p w:rsidR="00B850B8" w:rsidRPr="008A18B3" w:rsidRDefault="00B850B8" w:rsidP="008A18B3">
            <w:pPr>
              <w:rPr>
                <w:rFonts w:ascii="Palatino Linotype" w:hAnsi="Palatino Linotype"/>
                <w:i/>
                <w:color w:val="000000" w:themeColor="text1"/>
              </w:rPr>
            </w:pPr>
          </w:p>
        </w:tc>
      </w:tr>
      <w:tr w:rsidR="00B850B8" w:rsidRPr="008A18B3" w:rsidTr="00B850B8">
        <w:trPr>
          <w:trHeight w:val="143"/>
          <w:tblCellSpacing w:w="0" w:type="dxa"/>
          <w:jc w:val="center"/>
        </w:trPr>
        <w:tc>
          <w:tcPr>
            <w:tcW w:w="0" w:type="auto"/>
            <w:vAlign w:val="center"/>
            <w:hideMark/>
          </w:tcPr>
          <w:p w:rsidR="00B850B8" w:rsidRPr="008A18B3" w:rsidRDefault="00B850B8" w:rsidP="008A18B3">
            <w:pPr>
              <w:rPr>
                <w:rFonts w:ascii="Palatino Linotype" w:hAnsi="Palatino Linotype"/>
                <w:i/>
                <w:color w:val="000000" w:themeColor="text1"/>
              </w:rPr>
            </w:pPr>
            <w:r w:rsidRPr="008A18B3">
              <w:rPr>
                <w:rFonts w:ascii="Palatino Linotype" w:hAnsi="Palatino Linotype"/>
                <w:i/>
                <w:color w:val="000000" w:themeColor="text1"/>
              </w:rPr>
              <w:t>Laura Muciño Brito</w:t>
            </w:r>
          </w:p>
        </w:tc>
      </w:tr>
    </w:tbl>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lastRenderedPageBreak/>
        <w:t xml:space="preserve">A la respuesta se adjuntó el archivo electrónico denominado </w:t>
      </w:r>
      <w:hyperlink r:id="rId7" w:tgtFrame="_blank" w:history="1">
        <w:r w:rsidRPr="008A18B3">
          <w:rPr>
            <w:rStyle w:val="Hipervnculo"/>
            <w:rFonts w:ascii="Palatino Linotype" w:eastAsia="Palatino Linotype" w:hAnsi="Palatino Linotype" w:cs="Palatino Linotype"/>
            <w:b/>
            <w:bCs/>
            <w:color w:val="000000" w:themeColor="text1"/>
          </w:rPr>
          <w:t>403.pdf</w:t>
        </w:r>
      </w:hyperlink>
      <w:r w:rsidRPr="008A18B3">
        <w:rPr>
          <w:rFonts w:ascii="Palatino Linotype" w:eastAsia="Palatino Linotype" w:hAnsi="Palatino Linotype" w:cs="Palatino Linotype"/>
          <w:color w:val="000000" w:themeColor="text1"/>
        </w:rPr>
        <w:t xml:space="preserve">, en el que se advierte el oficio número TEMA/AYUNT/UTAIP/285R/2025 de fecha tres de junio de dos mil veinticinco, suscrito por el Titular de la Unidad de Transparencia que la información solicitada se encuentra publicada en la página oficial del Ayuntamiento y agregó los siguientes dos link en los que puede ser consultada la información: </w:t>
      </w:r>
    </w:p>
    <w:p w:rsidR="00B850B8" w:rsidRPr="008A18B3" w:rsidRDefault="001358C2" w:rsidP="008A18B3">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8" w:history="1">
        <w:r w:rsidR="00B850B8" w:rsidRPr="008A18B3">
          <w:rPr>
            <w:rStyle w:val="Hipervnculo"/>
            <w:rFonts w:ascii="Palatino Linotype" w:eastAsia="Palatino Linotype" w:hAnsi="Palatino Linotype" w:cs="Palatino Linotype"/>
            <w:color w:val="000000" w:themeColor="text1"/>
          </w:rPr>
          <w:t>https://temamatla.mx/gacetas-munidpales/</w:t>
        </w:r>
      </w:hyperlink>
      <w:r w:rsidR="00B850B8" w:rsidRPr="008A18B3">
        <w:rPr>
          <w:rFonts w:ascii="Palatino Linotype" w:eastAsia="Palatino Linotype" w:hAnsi="Palatino Linotype" w:cs="Palatino Linotype"/>
          <w:color w:val="000000" w:themeColor="text1"/>
        </w:rPr>
        <w:t xml:space="preserve"> </w:t>
      </w:r>
    </w:p>
    <w:p w:rsidR="00B850B8" w:rsidRPr="008A18B3" w:rsidRDefault="001358C2" w:rsidP="008A18B3">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9" w:history="1">
        <w:r w:rsidR="00B850B8" w:rsidRPr="008A18B3">
          <w:rPr>
            <w:rStyle w:val="Hipervnculo"/>
            <w:rFonts w:ascii="Palatino Linotype" w:eastAsia="Palatino Linotype" w:hAnsi="Palatino Linotype" w:cs="Palatino Linotype"/>
            <w:color w:val="000000" w:themeColor="text1"/>
          </w:rPr>
          <w:t>https://temamatla.mx/wp-cofltent/uploads/2025/04/GACETA-9 pagenumberl.pdf</w:t>
        </w:r>
      </w:hyperlink>
      <w:r w:rsidR="00B850B8" w:rsidRPr="008A18B3">
        <w:rPr>
          <w:rFonts w:ascii="Palatino Linotype" w:eastAsia="Palatino Linotype" w:hAnsi="Palatino Linotype" w:cs="Palatino Linotype"/>
          <w:color w:val="000000" w:themeColor="text1"/>
        </w:rPr>
        <w:t xml:space="preserve"> </w:t>
      </w: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El </w:t>
      </w:r>
      <w:r w:rsidRPr="008A18B3">
        <w:rPr>
          <w:rFonts w:ascii="Palatino Linotype" w:eastAsia="Palatino Linotype" w:hAnsi="Palatino Linotype" w:cs="Palatino Linotype"/>
          <w:b/>
          <w:color w:val="000000" w:themeColor="text1"/>
        </w:rPr>
        <w:t>diez de julio de dos mil veinticinco</w:t>
      </w:r>
      <w:r w:rsidRPr="008A18B3">
        <w:rPr>
          <w:rFonts w:ascii="Palatino Linotype" w:eastAsia="Palatino Linotype" w:hAnsi="Palatino Linotype" w:cs="Palatino Linotype"/>
          <w:color w:val="000000" w:themeColor="text1"/>
        </w:rPr>
        <w:t xml:space="preserve">, </w:t>
      </w:r>
      <w:r w:rsidRPr="008A18B3">
        <w:rPr>
          <w:rFonts w:ascii="Palatino Linotype" w:eastAsia="Palatino Linotype" w:hAnsi="Palatino Linotype" w:cs="Palatino Linotype"/>
          <w:b/>
          <w:color w:val="000000" w:themeColor="text1"/>
        </w:rPr>
        <w:t>El Recurrente</w:t>
      </w:r>
      <w:r w:rsidRPr="008A18B3">
        <w:rPr>
          <w:rFonts w:ascii="Palatino Linotype" w:eastAsia="Palatino Linotype" w:hAnsi="Palatino Linotype" w:cs="Palatino Linotype"/>
          <w:color w:val="000000" w:themeColor="text1"/>
        </w:rPr>
        <w:t xml:space="preserve"> interpuso el recurso de revisión, en contra de la respuesta, señalando como:</w:t>
      </w: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1"/>
        </w:numPr>
        <w:spacing w:line="360" w:lineRule="auto"/>
        <w:ind w:left="0" w:firstLine="0"/>
        <w:jc w:val="both"/>
        <w:rPr>
          <w:rFonts w:ascii="Palatino Linotype" w:hAnsi="Palatino Linotype"/>
          <w:color w:val="000000" w:themeColor="text1"/>
        </w:rPr>
      </w:pPr>
      <w:r w:rsidRPr="008A18B3">
        <w:rPr>
          <w:rFonts w:ascii="Palatino Linotype" w:eastAsia="Palatino Linotype" w:hAnsi="Palatino Linotype" w:cs="Palatino Linotype"/>
          <w:b/>
          <w:color w:val="000000" w:themeColor="text1"/>
        </w:rPr>
        <w:t>Acto impugnado</w:t>
      </w:r>
      <w:r w:rsidRPr="008A18B3">
        <w:rPr>
          <w:rFonts w:ascii="Palatino Linotype" w:eastAsia="Palatino Linotype" w:hAnsi="Palatino Linotype" w:cs="Palatino Linotype"/>
          <w:b/>
          <w:i/>
          <w:color w:val="000000" w:themeColor="text1"/>
        </w:rPr>
        <w:t>:</w:t>
      </w:r>
      <w:r w:rsidRPr="008A18B3">
        <w:rPr>
          <w:rFonts w:ascii="Palatino Linotype" w:eastAsia="Palatino Linotype" w:hAnsi="Palatino Linotype" w:cs="Palatino Linotype"/>
          <w:i/>
          <w:color w:val="000000" w:themeColor="text1"/>
        </w:rPr>
        <w:t xml:space="preserve"> "</w:t>
      </w:r>
      <w:r w:rsidRPr="008A18B3">
        <w:rPr>
          <w:rFonts w:ascii="Palatino Linotype" w:hAnsi="Palatino Linotype"/>
          <w:color w:val="000000" w:themeColor="text1"/>
        </w:rPr>
        <w:t xml:space="preserve"> </w:t>
      </w:r>
      <w:r w:rsidRPr="008A18B3">
        <w:rPr>
          <w:rFonts w:ascii="Palatino Linotype" w:eastAsia="Palatino Linotype" w:hAnsi="Palatino Linotype" w:cs="Palatino Linotype"/>
          <w:i/>
          <w:color w:val="000000" w:themeColor="text1"/>
        </w:rPr>
        <w:t>negativa de entrega de informacion" (Sic)</w:t>
      </w:r>
    </w:p>
    <w:p w:rsidR="00B850B8" w:rsidRPr="008A18B3" w:rsidRDefault="00B850B8" w:rsidP="008A18B3">
      <w:pPr>
        <w:spacing w:line="360" w:lineRule="auto"/>
        <w:jc w:val="both"/>
        <w:rPr>
          <w:rFonts w:ascii="Palatino Linotype" w:hAnsi="Palatino Linotype"/>
          <w:color w:val="000000" w:themeColor="text1"/>
        </w:rPr>
      </w:pPr>
    </w:p>
    <w:p w:rsidR="00B850B8" w:rsidRPr="008A18B3" w:rsidRDefault="00B850B8" w:rsidP="008A18B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t xml:space="preserve">Razones o Motivos de inconformidad: </w:t>
      </w:r>
      <w:r w:rsidRPr="008A18B3">
        <w:rPr>
          <w:rFonts w:ascii="Palatino Linotype" w:eastAsia="Palatino Linotype" w:hAnsi="Palatino Linotype" w:cs="Palatino Linotype"/>
          <w:i/>
          <w:color w:val="000000" w:themeColor="text1"/>
        </w:rPr>
        <w:t>"no se que pretende entregando link de consulta mismos que al momento de abrirlos no se encuentra informacion al respecto, cometiendo responsabilidades administrativas la titular del area de transparencia al realizar ella la contestacion y negar el derecho establecido en la constoticion." (Sic)</w:t>
      </w: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8A18B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A18B3">
        <w:rPr>
          <w:rFonts w:ascii="Palatino Linotype" w:eastAsia="Palatino Linotype" w:hAnsi="Palatino Linotype" w:cs="Palatino Linotype"/>
          <w:color w:val="000000" w:themeColor="text1"/>
        </w:rPr>
        <w:t xml:space="preserve">se turna a la </w:t>
      </w:r>
      <w:r w:rsidRPr="008A18B3">
        <w:rPr>
          <w:rFonts w:ascii="Palatino Linotype" w:eastAsia="Palatino Linotype" w:hAnsi="Palatino Linotype" w:cs="Palatino Linotype"/>
          <w:b/>
          <w:color w:val="000000" w:themeColor="text1"/>
        </w:rPr>
        <w:t xml:space="preserve">Comisionada María del Rosario Mejía Ayala, </w:t>
      </w:r>
      <w:r w:rsidRPr="008A18B3">
        <w:rPr>
          <w:rFonts w:ascii="Palatino Linotype" w:eastAsia="Palatino Linotype" w:hAnsi="Palatino Linotype" w:cs="Palatino Linotype"/>
          <w:color w:val="000000" w:themeColor="text1"/>
        </w:rPr>
        <w:t xml:space="preserve">para su análisis. </w:t>
      </w: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8A18B3">
        <w:rPr>
          <w:rFonts w:ascii="Palatino Linotype" w:eastAsia="Palatino Linotype" w:hAnsi="Palatino Linotype" w:cs="Palatino Linotype"/>
          <w:b/>
          <w:color w:val="000000" w:themeColor="text1"/>
        </w:rPr>
        <w:t xml:space="preserve">once de julio de dos mil </w:t>
      </w:r>
      <w:r w:rsidRPr="008A18B3">
        <w:rPr>
          <w:rFonts w:ascii="Palatino Linotype" w:eastAsia="Palatino Linotype" w:hAnsi="Palatino Linotype" w:cs="Palatino Linotype"/>
          <w:b/>
          <w:color w:val="000000" w:themeColor="text1"/>
        </w:rPr>
        <w:lastRenderedPageBreak/>
        <w:t>veinticinco</w:t>
      </w:r>
      <w:r w:rsidRPr="008A18B3">
        <w:rPr>
          <w:rFonts w:ascii="Palatino Linotype" w:eastAsia="Palatino Linotype" w:hAnsi="Palatino Linotype" w:cs="Palatino Linotype"/>
          <w:color w:val="000000" w:themeColor="text1"/>
        </w:rPr>
        <w:t xml:space="preserve">, puso a disposición de las partes el expediente electrónico vía </w:t>
      </w:r>
      <w:r w:rsidRPr="008A18B3">
        <w:rPr>
          <w:rFonts w:ascii="Palatino Linotype" w:eastAsia="Palatino Linotype" w:hAnsi="Palatino Linotype" w:cs="Palatino Linotype"/>
          <w:b/>
          <w:color w:val="000000" w:themeColor="text1"/>
        </w:rPr>
        <w:t xml:space="preserve">SAIMEX </w:t>
      </w:r>
      <w:r w:rsidRPr="008A18B3">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 xml:space="preserve"> presentará el informe justificado procedente. </w:t>
      </w:r>
    </w:p>
    <w:p w:rsidR="00B850B8" w:rsidRPr="008A18B3" w:rsidRDefault="00B850B8" w:rsidP="008A18B3">
      <w:pPr>
        <w:pBdr>
          <w:top w:val="nil"/>
          <w:left w:val="nil"/>
          <w:bottom w:val="nil"/>
          <w:right w:val="nil"/>
          <w:between w:val="nil"/>
        </w:pBdr>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8A18B3">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Pr="008A18B3">
        <w:rPr>
          <w:rFonts w:ascii="Palatino Linotype" w:eastAsia="Palatino Linotype" w:hAnsi="Palatino Linotype" w:cs="Palatino Linotype"/>
          <w:b/>
          <w:color w:val="000000" w:themeColor="text1"/>
        </w:rPr>
        <w:t>catorce de julio de dos mil veinticinco</w:t>
      </w:r>
      <w:r w:rsidRPr="008A18B3">
        <w:rPr>
          <w:rFonts w:ascii="Palatino Linotype" w:eastAsia="Palatino Linotype" w:hAnsi="Palatino Linotype" w:cs="Palatino Linotype"/>
          <w:color w:val="000000" w:themeColor="text1"/>
        </w:rPr>
        <w:t xml:space="preserve">, el cual se puso a la vista del particular el </w:t>
      </w:r>
      <w:r w:rsidRPr="008A18B3">
        <w:rPr>
          <w:rFonts w:ascii="Palatino Linotype" w:eastAsia="Palatino Linotype" w:hAnsi="Palatino Linotype" w:cs="Palatino Linotype"/>
          <w:b/>
          <w:color w:val="000000" w:themeColor="text1"/>
        </w:rPr>
        <w:t>dieciséis de octubre del mismo año</w:t>
      </w:r>
      <w:r w:rsidRPr="008A18B3">
        <w:rPr>
          <w:rFonts w:ascii="Palatino Linotype" w:eastAsia="Palatino Linotype" w:hAnsi="Palatino Linotype" w:cs="Palatino Linotype"/>
          <w:color w:val="000000" w:themeColor="text1"/>
        </w:rPr>
        <w:t>, y que consta de los archivos que se describen enseguida:</w:t>
      </w:r>
    </w:p>
    <w:p w:rsidR="00B850B8" w:rsidRPr="008A18B3" w:rsidRDefault="00B850B8" w:rsidP="008A18B3">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8A18B3">
        <w:rPr>
          <w:rFonts w:ascii="Palatino Linotype" w:eastAsia="Palatino Linotype" w:hAnsi="Palatino Linotype" w:cs="Palatino Linotype"/>
          <w:color w:val="000000" w:themeColor="text1"/>
        </w:rPr>
        <w:t xml:space="preserve"> </w:t>
      </w:r>
      <w:hyperlink r:id="rId10" w:history="1">
        <w:r w:rsidRPr="008A18B3">
          <w:rPr>
            <w:rStyle w:val="Hipervnculo"/>
            <w:rFonts w:ascii="Palatino Linotype" w:eastAsiaTheme="majorEastAsia" w:hAnsi="Palatino Linotype" w:cs="Arial"/>
            <w:b/>
            <w:bCs/>
            <w:color w:val="000000" w:themeColor="text1"/>
          </w:rPr>
          <w:t>08398 manifestaciones.pdf</w:t>
        </w:r>
      </w:hyperlink>
      <w:r w:rsidRPr="008A18B3">
        <w:rPr>
          <w:rFonts w:ascii="Palatino Linotype" w:eastAsiaTheme="majorEastAsia" w:hAnsi="Palatino Linotype" w:cs="Arial"/>
          <w:b/>
          <w:bCs/>
          <w:color w:val="000000" w:themeColor="text1"/>
          <w:u w:val="single"/>
        </w:rPr>
        <w:t xml:space="preserve">: </w:t>
      </w:r>
      <w:r w:rsidRPr="008A18B3">
        <w:rPr>
          <w:rFonts w:ascii="Palatino Linotype" w:eastAsiaTheme="majorEastAsia" w:hAnsi="Palatino Linotype" w:cs="Arial"/>
          <w:bCs/>
          <w:color w:val="000000" w:themeColor="text1"/>
        </w:rPr>
        <w:t xml:space="preserve">oficio número TEMA/AYUNT/UTAIP/341R/2025 de fecha catorce de julio de dos mil veinticinco, suscrito por el Titular de la Unidad de Transparencia, quien señaló </w:t>
      </w:r>
      <w:r w:rsidR="00CA6685" w:rsidRPr="008A18B3">
        <w:rPr>
          <w:rFonts w:ascii="Palatino Linotype" w:eastAsiaTheme="majorEastAsia" w:hAnsi="Palatino Linotype" w:cs="Arial"/>
          <w:bCs/>
          <w:color w:val="000000" w:themeColor="text1"/>
        </w:rPr>
        <w:t xml:space="preserve">que si se puede ingresar a la información a través de las ligas electrónicas, aunado a que señaló que adjunta la información en formato PDF. </w:t>
      </w:r>
    </w:p>
    <w:p w:rsidR="00B850B8" w:rsidRPr="008A18B3" w:rsidRDefault="001358C2" w:rsidP="008A18B3">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1" w:history="1">
        <w:r w:rsidR="00CA6685" w:rsidRPr="008A18B3">
          <w:rPr>
            <w:rStyle w:val="Hipervnculo"/>
            <w:rFonts w:ascii="Palatino Linotype" w:eastAsia="Palatino Linotype" w:hAnsi="Palatino Linotype" w:cs="Palatino Linotype"/>
            <w:b/>
            <w:bCs/>
            <w:color w:val="000000" w:themeColor="text1"/>
          </w:rPr>
          <w:t>anexo 08398.zip</w:t>
        </w:r>
      </w:hyperlink>
      <w:r w:rsidR="00CA6685" w:rsidRPr="008A18B3">
        <w:rPr>
          <w:rFonts w:ascii="Palatino Linotype" w:eastAsia="Palatino Linotype" w:hAnsi="Palatino Linotype" w:cs="Palatino Linotype"/>
          <w:b/>
          <w:color w:val="000000" w:themeColor="text1"/>
        </w:rPr>
        <w:t xml:space="preserve">: </w:t>
      </w:r>
      <w:r w:rsidR="00CA6685" w:rsidRPr="008A18B3">
        <w:rPr>
          <w:rFonts w:ascii="Palatino Linotype" w:eastAsia="Palatino Linotype" w:hAnsi="Palatino Linotype" w:cs="Palatino Linotype"/>
          <w:color w:val="000000" w:themeColor="text1"/>
        </w:rPr>
        <w:t xml:space="preserve">archivo que contiene dos capturas de pantalla para señalar que la información si se localiza en las ligas electrónicas. </w:t>
      </w:r>
    </w:p>
    <w:p w:rsidR="00CA6685" w:rsidRPr="008A18B3" w:rsidRDefault="001358C2" w:rsidP="008A18B3">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2" w:history="1">
        <w:r w:rsidR="00CA6685" w:rsidRPr="008A18B3">
          <w:rPr>
            <w:rStyle w:val="Hipervnculo"/>
            <w:rFonts w:ascii="Palatino Linotype" w:eastAsia="Palatino Linotype" w:hAnsi="Palatino Linotype" w:cs="Palatino Linotype"/>
            <w:b/>
            <w:bCs/>
            <w:color w:val="000000" w:themeColor="text1"/>
          </w:rPr>
          <w:t>GACETA #9.cdr.pdf</w:t>
        </w:r>
      </w:hyperlink>
      <w:r w:rsidR="00CA6685" w:rsidRPr="008A18B3">
        <w:rPr>
          <w:rFonts w:ascii="Palatino Linotype" w:eastAsia="Palatino Linotype" w:hAnsi="Palatino Linotype" w:cs="Palatino Linotype"/>
          <w:b/>
          <w:color w:val="000000" w:themeColor="text1"/>
        </w:rPr>
        <w:t xml:space="preserve">: </w:t>
      </w:r>
      <w:r w:rsidR="00CA6685" w:rsidRPr="008A18B3">
        <w:rPr>
          <w:rFonts w:ascii="Palatino Linotype" w:eastAsia="Palatino Linotype" w:hAnsi="Palatino Linotype" w:cs="Palatino Linotype"/>
          <w:color w:val="000000" w:themeColor="text1"/>
        </w:rPr>
        <w:t>Reglamento Interno de Sesiones de Cabildo del Ayuntamiento 2025-2027.</w:t>
      </w:r>
      <w:r w:rsidR="00CA6685" w:rsidRPr="008A18B3">
        <w:rPr>
          <w:rFonts w:ascii="Palatino Linotype" w:eastAsia="Palatino Linotype" w:hAnsi="Palatino Linotype" w:cs="Palatino Linotype"/>
          <w:b/>
          <w:color w:val="000000" w:themeColor="text1"/>
        </w:rPr>
        <w:t xml:space="preserve"> </w:t>
      </w:r>
    </w:p>
    <w:p w:rsidR="00CA6685" w:rsidRPr="008A18B3" w:rsidRDefault="00CA6685" w:rsidP="008A18B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850B8"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El </w:t>
      </w:r>
      <w:r w:rsidR="00CA6685" w:rsidRPr="008A18B3">
        <w:rPr>
          <w:rFonts w:ascii="Palatino Linotype" w:eastAsia="Palatino Linotype" w:hAnsi="Palatino Linotype" w:cs="Palatino Linotype"/>
          <w:b/>
          <w:color w:val="000000" w:themeColor="text1"/>
        </w:rPr>
        <w:t>dieciséis de octubre</w:t>
      </w:r>
      <w:r w:rsidRPr="008A18B3">
        <w:rPr>
          <w:rFonts w:ascii="Palatino Linotype" w:eastAsia="Palatino Linotype" w:hAnsi="Palatino Linotype" w:cs="Palatino Linotype"/>
          <w:b/>
          <w:color w:val="000000" w:themeColor="text1"/>
        </w:rPr>
        <w:t xml:space="preserve"> de dos mil veinticinco,</w:t>
      </w:r>
      <w:r w:rsidRPr="008A18B3">
        <w:rPr>
          <w:rFonts w:ascii="Palatino Linotype" w:eastAsia="Palatino Linotype" w:hAnsi="Palatino Linotype" w:cs="Palatino Linotype"/>
          <w:color w:val="000000" w:themeColor="text1"/>
        </w:rPr>
        <w:t xml:space="preserve"> se notificó el acuerdo a través del cual se aprobó la ampliación d</w:t>
      </w:r>
      <w:r w:rsidR="00CA6685" w:rsidRPr="008A18B3">
        <w:rPr>
          <w:rFonts w:ascii="Palatino Linotype" w:eastAsia="Palatino Linotype" w:hAnsi="Palatino Linotype" w:cs="Palatino Linotype"/>
          <w:color w:val="000000" w:themeColor="text1"/>
        </w:rPr>
        <w:t xml:space="preserve">e plazo para emitir resolución, asimismo, se notificó el acuerdo mediante el cual se decretó el cierre de instrucción. </w:t>
      </w:r>
      <w:r w:rsidR="009B7E6D">
        <w:rPr>
          <w:rFonts w:ascii="Palatino Linotype" w:eastAsia="Palatino Linotype" w:hAnsi="Palatino Linotype" w:cs="Palatino Linotype"/>
          <w:color w:val="000000" w:themeColor="text1"/>
        </w:rPr>
        <w:t>----------------------------------------------------</w:t>
      </w:r>
    </w:p>
    <w:p w:rsidR="009B7E6D" w:rsidRDefault="009B7E6D" w:rsidP="009B7E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B7E6D" w:rsidRDefault="009B7E6D" w:rsidP="009B7E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B7E6D" w:rsidRPr="008A18B3" w:rsidRDefault="009B7E6D" w:rsidP="009B7E6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A6685" w:rsidRPr="008A18B3" w:rsidRDefault="00CA6685" w:rsidP="008A18B3">
      <w:pPr>
        <w:spacing w:line="360" w:lineRule="auto"/>
        <w:rPr>
          <w:rFonts w:ascii="Palatino Linotype" w:eastAsia="Palatino Linotype" w:hAnsi="Palatino Linotype" w:cs="Palatino Linotype"/>
          <w:color w:val="000000" w:themeColor="text1"/>
        </w:rPr>
      </w:pPr>
    </w:p>
    <w:p w:rsidR="00B850B8" w:rsidRPr="008A18B3" w:rsidRDefault="00B850B8" w:rsidP="008A18B3">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8A18B3">
        <w:rPr>
          <w:rFonts w:ascii="Palatino Linotype" w:eastAsia="Palatino Linotype" w:hAnsi="Palatino Linotype" w:cs="Palatino Linotype"/>
          <w:b/>
          <w:color w:val="000000" w:themeColor="text1"/>
        </w:rPr>
        <w:lastRenderedPageBreak/>
        <w:t>C O N S I D E R A N D O</w:t>
      </w:r>
    </w:p>
    <w:p w:rsidR="00B850B8" w:rsidRPr="008A18B3" w:rsidRDefault="00B850B8" w:rsidP="008A18B3">
      <w:pPr>
        <w:spacing w:line="360" w:lineRule="auto"/>
        <w:jc w:val="center"/>
        <w:rPr>
          <w:rFonts w:ascii="Palatino Linotype" w:eastAsia="Palatino Linotype" w:hAnsi="Palatino Linotype" w:cs="Palatino Linotype"/>
          <w:color w:val="000000" w:themeColor="text1"/>
        </w:rPr>
      </w:pPr>
    </w:p>
    <w:p w:rsidR="00B850B8" w:rsidRPr="008A18B3" w:rsidRDefault="00B850B8" w:rsidP="008A18B3">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8A18B3">
        <w:rPr>
          <w:rFonts w:ascii="Palatino Linotype" w:eastAsia="Palatino Linotype" w:hAnsi="Palatino Linotype" w:cs="Palatino Linotype"/>
          <w:b/>
          <w:color w:val="000000" w:themeColor="text1"/>
        </w:rPr>
        <w:t>PRIMERO. De la competencia</w:t>
      </w:r>
    </w:p>
    <w:p w:rsidR="00CA6685" w:rsidRPr="008A18B3" w:rsidRDefault="00B850B8" w:rsidP="008A18B3">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00CA6685" w:rsidRPr="008A18B3">
        <w:rPr>
          <w:rFonts w:ascii="Palatino Linotype" w:eastAsia="Palatino Linotype" w:hAnsi="Palatino Linotype" w:cs="Palatino Linotype"/>
          <w:color w:val="000000" w:themeColor="text1"/>
        </w:rPr>
        <w:t>noveno, cuadragésimo y cuadragésimo primero</w:t>
      </w:r>
      <w:r w:rsidRPr="008A18B3">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CA6685" w:rsidRPr="008A18B3" w:rsidRDefault="00CA6685" w:rsidP="008A18B3">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B850B8" w:rsidRPr="008A18B3" w:rsidRDefault="00B850B8" w:rsidP="008A18B3">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8A18B3">
        <w:rPr>
          <w:rFonts w:ascii="Palatino Linotype" w:eastAsia="Palatino Linotype" w:hAnsi="Palatino Linotype" w:cs="Palatino Linotype"/>
          <w:b/>
          <w:color w:val="000000" w:themeColor="text1"/>
        </w:rPr>
        <w:t>SEGUNDO. De la oportunidad y procedencia.</w:t>
      </w:r>
    </w:p>
    <w:p w:rsidR="00B850B8"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El medio de impugnación fue presentado a través del </w:t>
      </w:r>
      <w:r w:rsidRPr="008A18B3">
        <w:rPr>
          <w:rFonts w:ascii="Palatino Linotype" w:eastAsia="Palatino Linotype" w:hAnsi="Palatino Linotype" w:cs="Palatino Linotype"/>
          <w:b/>
          <w:color w:val="000000" w:themeColor="text1"/>
        </w:rPr>
        <w:t>SAIMEX,</w:t>
      </w:r>
      <w:r w:rsidRPr="008A18B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 xml:space="preserve"> entregó respuesta a la solicitud el día </w:t>
      </w:r>
      <w:r w:rsidR="00CA6685" w:rsidRPr="008A18B3">
        <w:rPr>
          <w:rFonts w:ascii="Palatino Linotype" w:eastAsia="Palatino Linotype" w:hAnsi="Palatino Linotype" w:cs="Palatino Linotype"/>
          <w:b/>
          <w:color w:val="000000" w:themeColor="text1"/>
        </w:rPr>
        <w:t>tres de julio</w:t>
      </w:r>
      <w:r w:rsidRPr="008A18B3">
        <w:rPr>
          <w:rFonts w:ascii="Palatino Linotype" w:eastAsia="Palatino Linotype" w:hAnsi="Palatino Linotype" w:cs="Palatino Linotype"/>
          <w:b/>
          <w:color w:val="000000" w:themeColor="text1"/>
        </w:rPr>
        <w:t xml:space="preserve"> de dos mil veinticinco</w:t>
      </w:r>
      <w:r w:rsidRPr="008A18B3">
        <w:rPr>
          <w:rFonts w:ascii="Palatino Linotype" w:eastAsia="Palatino Linotype" w:hAnsi="Palatino Linotype" w:cs="Palatino Linotype"/>
          <w:color w:val="000000" w:themeColor="text1"/>
        </w:rPr>
        <w:t>, de tal forma que el plazo para interponer el recurso de revisión transcurrió del</w:t>
      </w:r>
      <w:r w:rsidRPr="008A18B3">
        <w:rPr>
          <w:rFonts w:ascii="Palatino Linotype" w:eastAsia="Palatino Linotype" w:hAnsi="Palatino Linotype" w:cs="Palatino Linotype"/>
          <w:b/>
          <w:color w:val="000000" w:themeColor="text1"/>
        </w:rPr>
        <w:t xml:space="preserve"> </w:t>
      </w:r>
      <w:r w:rsidR="00CA6685" w:rsidRPr="008A18B3">
        <w:rPr>
          <w:rFonts w:ascii="Palatino Linotype" w:eastAsia="Palatino Linotype" w:hAnsi="Palatino Linotype" w:cs="Palatino Linotype"/>
          <w:b/>
          <w:color w:val="000000" w:themeColor="text1"/>
        </w:rPr>
        <w:t>cuatro de julio al siete de agosto</w:t>
      </w:r>
      <w:r w:rsidRPr="008A18B3">
        <w:rPr>
          <w:rFonts w:ascii="Palatino Linotype" w:eastAsia="Palatino Linotype" w:hAnsi="Palatino Linotype" w:cs="Palatino Linotype"/>
          <w:b/>
          <w:color w:val="000000" w:themeColor="text1"/>
        </w:rPr>
        <w:t xml:space="preserve"> de dos mil veinticinco</w:t>
      </w:r>
      <w:r w:rsidRPr="008A18B3">
        <w:rPr>
          <w:rFonts w:ascii="Palatino Linotype" w:eastAsia="Palatino Linotype" w:hAnsi="Palatino Linotype" w:cs="Palatino Linotype"/>
          <w:color w:val="000000" w:themeColor="text1"/>
        </w:rPr>
        <w:t xml:space="preserve">; en consecuencia, presentó su inconformidad el día </w:t>
      </w:r>
      <w:r w:rsidR="00CA6685" w:rsidRPr="008A18B3">
        <w:rPr>
          <w:rFonts w:ascii="Palatino Linotype" w:eastAsia="Palatino Linotype" w:hAnsi="Palatino Linotype" w:cs="Palatino Linotype"/>
          <w:b/>
          <w:color w:val="000000" w:themeColor="text1"/>
        </w:rPr>
        <w:t>diez de julio</w:t>
      </w:r>
      <w:r w:rsidRPr="008A18B3">
        <w:rPr>
          <w:rFonts w:ascii="Palatino Linotype" w:eastAsia="Palatino Linotype" w:hAnsi="Palatino Linotype" w:cs="Palatino Linotype"/>
          <w:b/>
          <w:color w:val="000000" w:themeColor="text1"/>
        </w:rPr>
        <w:t xml:space="preserve"> de dos mil veinticinco</w:t>
      </w:r>
      <w:r w:rsidRPr="008A18B3">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8A18B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A18B3">
        <w:rPr>
          <w:rFonts w:ascii="Palatino Linotype" w:eastAsia="Palatino Linotype" w:hAnsi="Palatino Linotype" w:cs="Palatino Linotype"/>
          <w:color w:val="000000" w:themeColor="text1"/>
        </w:rPr>
        <w:t>vigente.</w:t>
      </w:r>
    </w:p>
    <w:p w:rsidR="00B850B8" w:rsidRPr="008A18B3" w:rsidRDefault="00B850B8"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850B8" w:rsidRPr="008A18B3" w:rsidRDefault="00B850B8" w:rsidP="008A18B3">
      <w:pPr>
        <w:pBdr>
          <w:top w:val="nil"/>
          <w:left w:val="nil"/>
          <w:bottom w:val="nil"/>
          <w:right w:val="nil"/>
          <w:between w:val="nil"/>
        </w:pBdr>
        <w:rPr>
          <w:rFonts w:ascii="Palatino Linotype" w:eastAsia="Palatino Linotype" w:hAnsi="Palatino Linotype" w:cs="Palatino Linotype"/>
          <w:color w:val="000000" w:themeColor="text1"/>
        </w:rPr>
      </w:pPr>
    </w:p>
    <w:p w:rsidR="00B850B8" w:rsidRPr="008A18B3" w:rsidRDefault="00B850B8" w:rsidP="008A18B3">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8A18B3">
        <w:rPr>
          <w:rFonts w:ascii="Palatino Linotype" w:eastAsia="Palatino Linotype" w:hAnsi="Palatino Linotype" w:cs="Palatino Linotype"/>
          <w:b/>
          <w:color w:val="000000" w:themeColor="text1"/>
          <w:sz w:val="24"/>
          <w:szCs w:val="24"/>
        </w:rPr>
        <w:t xml:space="preserve">TERCERO. De las causales de sobreseimiento </w:t>
      </w:r>
    </w:p>
    <w:p w:rsidR="00B850B8" w:rsidRPr="008A18B3" w:rsidRDefault="00B850B8" w:rsidP="008A18B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8A18B3">
        <w:rPr>
          <w:rFonts w:ascii="Palatino Linotype" w:eastAsia="Palatino Linotype" w:hAnsi="Palatino Linotype" w:cs="Palatino Linotype"/>
          <w:b/>
          <w:color w:val="000000" w:themeColor="text1"/>
          <w:u w:val="single"/>
        </w:rPr>
        <w:t>sobreseimiento</w:t>
      </w:r>
      <w:r w:rsidRPr="008A18B3">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8A18B3">
        <w:rPr>
          <w:rFonts w:ascii="Palatino Linotype" w:eastAsia="Palatino Linotype" w:hAnsi="Palatino Linotype" w:cs="Palatino Linotype"/>
          <w:b/>
          <w:color w:val="000000" w:themeColor="text1"/>
        </w:rPr>
        <w:t>SUJETO</w:t>
      </w:r>
      <w:r w:rsidRPr="008A18B3">
        <w:rPr>
          <w:rFonts w:ascii="Palatino Linotype" w:eastAsia="Palatino Linotype" w:hAnsi="Palatino Linotype" w:cs="Palatino Linotype"/>
          <w:color w:val="000000" w:themeColor="text1"/>
        </w:rPr>
        <w:t xml:space="preserve"> </w:t>
      </w:r>
      <w:r w:rsidRPr="008A18B3">
        <w:rPr>
          <w:rFonts w:ascii="Palatino Linotype" w:eastAsia="Palatino Linotype" w:hAnsi="Palatino Linotype" w:cs="Palatino Linotype"/>
          <w:b/>
          <w:color w:val="000000" w:themeColor="text1"/>
        </w:rPr>
        <w:t>OBLIGADO</w:t>
      </w:r>
      <w:r w:rsidRPr="008A18B3">
        <w:rPr>
          <w:rFonts w:ascii="Palatino Linotype" w:eastAsia="Palatino Linotype" w:hAnsi="Palatino Linotype" w:cs="Palatino Linotype"/>
          <w:color w:val="000000" w:themeColor="text1"/>
        </w:rPr>
        <w:t>.</w:t>
      </w:r>
    </w:p>
    <w:p w:rsidR="00B850B8" w:rsidRPr="008A18B3" w:rsidRDefault="00B850B8" w:rsidP="008A18B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De acuerdo al precepto legal contenido en la fracción III del artículo 192 de la </w:t>
      </w:r>
      <w:r w:rsidRPr="008A18B3">
        <w:rPr>
          <w:rFonts w:ascii="Palatino Linotype" w:eastAsia="Palatino Linotype" w:hAnsi="Palatino Linotype" w:cs="Palatino Linotype"/>
          <w:b/>
          <w:color w:val="000000" w:themeColor="text1"/>
        </w:rPr>
        <w:t>Ley de Transparencia y Acceso a la Información Pública del Estado de México y Municipios</w:t>
      </w:r>
      <w:r w:rsidRPr="008A18B3">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B850B8" w:rsidRPr="008A18B3" w:rsidRDefault="00B850B8" w:rsidP="008A18B3">
      <w:pPr>
        <w:pBdr>
          <w:top w:val="nil"/>
          <w:left w:val="nil"/>
          <w:bottom w:val="nil"/>
          <w:right w:val="nil"/>
          <w:between w:val="nil"/>
        </w:pBdr>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w:t>
      </w:r>
    </w:p>
    <w:p w:rsidR="00B850B8" w:rsidRPr="008A18B3" w:rsidRDefault="00B850B8" w:rsidP="008A18B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lastRenderedPageBreak/>
        <w:t>Modifique el acto impugnado:</w:t>
      </w:r>
      <w:r w:rsidRPr="008A18B3">
        <w:rPr>
          <w:rFonts w:ascii="Palatino Linotype" w:eastAsia="Palatino Linotype" w:hAnsi="Palatino Linotype" w:cs="Palatino Linotype"/>
          <w:color w:val="000000" w:themeColor="text1"/>
        </w:rPr>
        <w:t xml:space="preserve"> Se actualiza cuando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B850B8" w:rsidRPr="008A18B3" w:rsidRDefault="00B850B8" w:rsidP="008A18B3">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t>Revoque el acto impugnado:</w:t>
      </w:r>
      <w:r w:rsidRPr="008A18B3">
        <w:rPr>
          <w:rFonts w:ascii="Palatino Linotype" w:eastAsia="Palatino Linotype" w:hAnsi="Palatino Linotype" w:cs="Palatino Linotype"/>
          <w:color w:val="000000" w:themeColor="text1"/>
        </w:rPr>
        <w:t xml:space="preserve"> En este supuesto,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B850B8" w:rsidRPr="008A18B3" w:rsidRDefault="00B850B8" w:rsidP="008A18B3">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color w:val="000000" w:themeColor="text1"/>
        </w:rPr>
        <w:t xml:space="preserve">En el presente caso, el Recurrente </w:t>
      </w:r>
      <w:r w:rsidR="00CA6685" w:rsidRPr="008A18B3">
        <w:rPr>
          <w:rFonts w:ascii="Palatino Linotype" w:eastAsia="Palatino Linotype" w:hAnsi="Palatino Linotype" w:cs="Palatino Linotype"/>
          <w:color w:val="000000" w:themeColor="text1"/>
        </w:rPr>
        <w:t xml:space="preserve">solicitó el Reglamento para el funcionamiento de cabildos. En respuesta, el Sujeto Obligado adjuntó dos ligas electrónicas en las que señaló que se localizaba la información solicitada. Posteriormente, el Recurrente se inconformó a través del recurso de revisión en el que señaló que no se encontraba la información requerida. </w:t>
      </w:r>
      <w:r w:rsidRPr="008A18B3">
        <w:rPr>
          <w:rFonts w:ascii="Palatino Linotype" w:eastAsia="Palatino Linotype" w:hAnsi="Palatino Linotype" w:cs="Palatino Linotype"/>
          <w:color w:val="000000" w:themeColor="text1"/>
        </w:rPr>
        <w:t xml:space="preserve"> </w:t>
      </w:r>
    </w:p>
    <w:p w:rsidR="00B850B8" w:rsidRPr="008A18B3" w:rsidRDefault="00B850B8" w:rsidP="008A18B3">
      <w:pPr>
        <w:pBdr>
          <w:top w:val="nil"/>
          <w:left w:val="nil"/>
          <w:bottom w:val="nil"/>
          <w:right w:val="nil"/>
          <w:between w:val="nil"/>
        </w:pBdr>
        <w:rPr>
          <w:rFonts w:ascii="Palatino Linotype" w:eastAsia="Palatino Linotype" w:hAnsi="Palatino Linotype" w:cs="Palatino Linotype"/>
          <w:color w:val="000000" w:themeColor="text1"/>
        </w:rPr>
      </w:pPr>
    </w:p>
    <w:p w:rsidR="00CA6685" w:rsidRPr="008A18B3" w:rsidRDefault="00605CD2"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Al respecto, conviene señalar el artículo 161 de la Ley de Transparencia y Acceso a la Información Pública que establece:</w:t>
      </w:r>
    </w:p>
    <w:p w:rsidR="00605CD2" w:rsidRPr="008A18B3" w:rsidRDefault="00605CD2" w:rsidP="008A18B3">
      <w:pPr>
        <w:autoSpaceDE w:val="0"/>
        <w:autoSpaceDN w:val="0"/>
        <w:adjustRightInd w:val="0"/>
        <w:spacing w:line="360" w:lineRule="auto"/>
        <w:jc w:val="both"/>
        <w:rPr>
          <w:rFonts w:ascii="Palatino Linotype" w:hAnsi="Palatino Linotype"/>
          <w:i/>
          <w:color w:val="000000" w:themeColor="text1"/>
          <w:lang w:val="es-ES"/>
        </w:rPr>
      </w:pPr>
      <w:r w:rsidRPr="008A18B3">
        <w:rPr>
          <w:rFonts w:ascii="Palatino Linotype" w:hAnsi="Palatino Linotype" w:cs="Bookman Old Style,Bold"/>
          <w:b/>
          <w:bCs/>
          <w:i/>
          <w:color w:val="000000" w:themeColor="text1"/>
        </w:rPr>
        <w:t xml:space="preserve">Artículo 161. </w:t>
      </w:r>
      <w:r w:rsidRPr="008A18B3">
        <w:rPr>
          <w:rFonts w:ascii="Palatino Linotype" w:hAnsi="Palatino Linotype" w:cs="Bookman Old Style"/>
          <w:b/>
          <w:i/>
          <w:color w:val="000000" w:themeColor="text1"/>
        </w:rPr>
        <w:t>Cuando la información requerida por el solicitante ya esté disponible</w:t>
      </w:r>
      <w:r w:rsidRPr="008A18B3">
        <w:rPr>
          <w:rFonts w:ascii="Palatino Linotype" w:hAnsi="Palatino Linotype" w:cs="Bookman Old Style"/>
          <w:i/>
          <w:color w:val="000000" w:themeColor="text1"/>
        </w:rPr>
        <w:t xml:space="preserve"> al público en medios impresos, tales como libros, compendios, trípticos, registros públicos, </w:t>
      </w:r>
      <w:r w:rsidRPr="008A18B3">
        <w:rPr>
          <w:rFonts w:ascii="Palatino Linotype" w:hAnsi="Palatino Linotype" w:cs="Bookman Old Style"/>
          <w:b/>
          <w:i/>
          <w:color w:val="000000" w:themeColor="text1"/>
        </w:rPr>
        <w:t xml:space="preserve">en formatos electrónicos disponibles en Internet </w:t>
      </w:r>
      <w:r w:rsidRPr="008A18B3">
        <w:rPr>
          <w:rFonts w:ascii="Palatino Linotype" w:hAnsi="Palatino Linotype" w:cs="Bookman Old Style"/>
          <w:i/>
          <w:color w:val="000000" w:themeColor="text1"/>
        </w:rPr>
        <w:t xml:space="preserve">o en cualquier otro medio, se le hará saber por el medio requerido por el solicitante la fuente, el lugar y la forma en que puede consultar, reproducir o adquirir </w:t>
      </w:r>
      <w:r w:rsidRPr="008A18B3">
        <w:rPr>
          <w:rFonts w:ascii="Palatino Linotype" w:hAnsi="Palatino Linotype" w:cs="Bookman Old Style"/>
          <w:i/>
          <w:color w:val="000000" w:themeColor="text1"/>
        </w:rPr>
        <w:lastRenderedPageBreak/>
        <w:t xml:space="preserve">dicha información </w:t>
      </w:r>
      <w:r w:rsidRPr="008A18B3">
        <w:rPr>
          <w:rFonts w:ascii="Palatino Linotype" w:hAnsi="Palatino Linotype" w:cs="Bookman Old Style"/>
          <w:b/>
          <w:i/>
          <w:color w:val="000000" w:themeColor="text1"/>
        </w:rPr>
        <w:t>en un plazo no mayor a cinco días hábiles</w:t>
      </w:r>
      <w:r w:rsidRPr="008A18B3">
        <w:rPr>
          <w:rFonts w:ascii="Palatino Linotype" w:hAnsi="Palatino Linotype" w:cs="Bookman Old Style"/>
          <w:i/>
          <w:color w:val="000000" w:themeColor="text1"/>
        </w:rPr>
        <w:t xml:space="preserve">. </w:t>
      </w:r>
      <w:r w:rsidRPr="008A18B3">
        <w:rPr>
          <w:rFonts w:ascii="Palatino Linotype" w:hAnsi="Palatino Linotype" w:cs="Bookman Old Style"/>
          <w:b/>
          <w:i/>
          <w:color w:val="000000" w:themeColor="text1"/>
        </w:rPr>
        <w:t>La fuente deberá ser precisa y concreta y no debe implicar que el solicitante realice una búsqueda en toda la información que se encuentre disponible</w:t>
      </w:r>
      <w:r w:rsidRPr="008A18B3">
        <w:rPr>
          <w:rFonts w:ascii="Palatino Linotype" w:hAnsi="Palatino Linotype" w:cs="Bookman Old Style"/>
          <w:i/>
          <w:color w:val="000000" w:themeColor="text1"/>
        </w:rPr>
        <w:t>.</w:t>
      </w:r>
    </w:p>
    <w:p w:rsidR="00605CD2" w:rsidRPr="008A18B3" w:rsidRDefault="00605CD2"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05CD2" w:rsidRPr="008A18B3" w:rsidRDefault="00605CD2" w:rsidP="008A18B3">
      <w:pPr>
        <w:pStyle w:val="Prrafodelista"/>
        <w:numPr>
          <w:ilvl w:val="0"/>
          <w:numId w:val="2"/>
        </w:numPr>
        <w:tabs>
          <w:tab w:val="left" w:pos="851"/>
        </w:tabs>
        <w:spacing w:before="240" w:after="240" w:line="360" w:lineRule="auto"/>
        <w:ind w:left="0" w:firstLine="0"/>
        <w:jc w:val="both"/>
        <w:rPr>
          <w:rFonts w:ascii="Palatino Linotype" w:hAnsi="Palatino Linotype"/>
          <w:i/>
          <w:color w:val="000000" w:themeColor="text1"/>
          <w:lang w:val="es-ES"/>
        </w:rPr>
      </w:pPr>
      <w:r w:rsidRPr="008A18B3">
        <w:rPr>
          <w:rFonts w:ascii="Palatino Linotype" w:hAnsi="Palatino Linotype"/>
          <w:color w:val="000000" w:themeColor="text1"/>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deben indicar la dirección electrónica donde obra la información solicitada y esta dirección electrónica debe ser </w:t>
      </w:r>
      <w:r w:rsidRPr="008A18B3">
        <w:rPr>
          <w:rFonts w:ascii="Palatino Linotype" w:hAnsi="Palatino Linotype"/>
          <w:b/>
          <w:color w:val="000000" w:themeColor="text1"/>
          <w:lang w:val="es-ES"/>
        </w:rPr>
        <w:t>precisa</w:t>
      </w:r>
      <w:r w:rsidRPr="008A18B3">
        <w:rPr>
          <w:rFonts w:ascii="Palatino Linotype" w:hAnsi="Palatino Linotype"/>
          <w:color w:val="000000" w:themeColor="text1"/>
          <w:lang w:val="es-ES"/>
        </w:rPr>
        <w:t>, de tal modo que no implique realizar una búsqueda en toda la información que ahí se encuentre. Además, debe ir acompañada del procedimiento a seguir, en caso de que la información se encuentre en distintos puntos del sitio electrónico referido.</w:t>
      </w:r>
    </w:p>
    <w:p w:rsidR="00CA6685" w:rsidRPr="008A18B3" w:rsidRDefault="00605CD2"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En este caso, se intentó ingresar a las ligas electrónicas que se remitieron en respuesta, sin embargo, no se pudo acceder a la información, pues como se observa en las siguientes imágenes, refiere que la página no existe: </w:t>
      </w:r>
    </w:p>
    <w:p w:rsidR="00605CD2" w:rsidRPr="008A18B3" w:rsidRDefault="00605CD2"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05CD2" w:rsidRPr="008A18B3" w:rsidRDefault="00605CD2" w:rsidP="008A18B3">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noProof/>
          <w:color w:val="000000" w:themeColor="text1"/>
        </w:rPr>
        <w:lastRenderedPageBreak/>
        <w:drawing>
          <wp:inline distT="0" distB="0" distL="0" distR="0" wp14:anchorId="58C460CC" wp14:editId="121A09CD">
            <wp:extent cx="5540991" cy="2451100"/>
            <wp:effectExtent l="0" t="0" r="317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7343" cy="2462757"/>
                    </a:xfrm>
                    <a:prstGeom prst="rect">
                      <a:avLst/>
                    </a:prstGeom>
                  </pic:spPr>
                </pic:pic>
              </a:graphicData>
            </a:graphic>
          </wp:inline>
        </w:drawing>
      </w:r>
    </w:p>
    <w:p w:rsidR="00CA6685" w:rsidRPr="008A18B3" w:rsidRDefault="00CA6685"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605CD2" w:rsidP="008A18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No obstante, el Sujeto Obligado entregó a través de informe justificado, el Reglamento Interno de Sesiones de Cabildo del Ayuntamiento 2025-2027, a</w:t>
      </w:r>
      <w:r w:rsidR="00B850B8" w:rsidRPr="008A18B3">
        <w:rPr>
          <w:rFonts w:ascii="Palatino Linotype" w:eastAsia="Palatino Linotype" w:hAnsi="Palatino Linotype" w:cs="Palatino Linotype"/>
          <w:color w:val="000000" w:themeColor="text1"/>
        </w:rPr>
        <w:t xml:space="preserve">sí, podemos advertir el Sujeto Obligado modificó su respuesta y </w:t>
      </w:r>
      <w:r w:rsidRPr="008A18B3">
        <w:rPr>
          <w:rFonts w:ascii="Palatino Linotype" w:eastAsia="Palatino Linotype" w:hAnsi="Palatino Linotype" w:cs="Palatino Linotype"/>
          <w:color w:val="000000" w:themeColor="text1"/>
        </w:rPr>
        <w:t xml:space="preserve">entregó la información solicitada. </w:t>
      </w:r>
    </w:p>
    <w:p w:rsidR="00B850B8" w:rsidRPr="008A18B3" w:rsidRDefault="00B850B8" w:rsidP="008A18B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 Así, este Pleno advierte que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 xml:space="preserve"> </w:t>
      </w:r>
      <w:r w:rsidRPr="008A18B3">
        <w:rPr>
          <w:rFonts w:ascii="Palatino Linotype" w:eastAsia="Palatino Linotype" w:hAnsi="Palatino Linotype" w:cs="Palatino Linotype"/>
          <w:b/>
          <w:color w:val="000000" w:themeColor="text1"/>
        </w:rPr>
        <w:t xml:space="preserve">modificó </w:t>
      </w:r>
      <w:r w:rsidRPr="008A18B3">
        <w:rPr>
          <w:rFonts w:ascii="Palatino Linotype" w:eastAsia="Palatino Linotype" w:hAnsi="Palatino Linotype" w:cs="Palatino Linotype"/>
          <w:color w:val="000000" w:themeColor="text1"/>
        </w:rPr>
        <w:t>el acto que le dio origen a los recursos de revisión, lo que trae como consecuencia que el mismo quede sin materia, actualizándose de este modo, la hipótesis jurídica contenida en la fracción III del artículo 192 de la Ley de Transparencia Local.</w:t>
      </w:r>
    </w:p>
    <w:p w:rsidR="00B850B8" w:rsidRPr="008A18B3" w:rsidRDefault="00B850B8" w:rsidP="008A18B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8A18B3">
        <w:rPr>
          <w:rFonts w:ascii="Palatino Linotype" w:eastAsia="Palatino Linotype" w:hAnsi="Palatino Linotype" w:cs="Palatino Linotype"/>
          <w:b/>
          <w:color w:val="000000" w:themeColor="text1"/>
        </w:rPr>
        <w:t>SUJETOS OBLIGADOS</w:t>
      </w:r>
      <w:r w:rsidRPr="008A18B3">
        <w:rPr>
          <w:rFonts w:ascii="Palatino Linotype" w:eastAsia="Palatino Linotype" w:hAnsi="Palatino Linotype" w:cs="Palatino Linotype"/>
          <w:color w:val="000000" w:themeColor="text1"/>
        </w:rPr>
        <w:t xml:space="preserve"> o la negativa de entrega de esta, derivada de la solicitud de información pública.</w:t>
      </w:r>
    </w:p>
    <w:p w:rsidR="00B850B8" w:rsidRPr="008A18B3" w:rsidRDefault="00B850B8" w:rsidP="008A18B3">
      <w:pPr>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lastRenderedPageBreak/>
        <w:t xml:space="preserve">De este modo, cuando el </w:t>
      </w:r>
      <w:r w:rsidRPr="008A18B3">
        <w:rPr>
          <w:rFonts w:ascii="Palatino Linotype" w:eastAsia="Palatino Linotype" w:hAnsi="Palatino Linotype" w:cs="Palatino Linotype"/>
          <w:b/>
          <w:color w:val="000000" w:themeColor="text1"/>
        </w:rPr>
        <w:t xml:space="preserve">SUJETO OBLIGADO, </w:t>
      </w:r>
      <w:r w:rsidRPr="008A18B3">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A18B3">
        <w:rPr>
          <w:rFonts w:ascii="Palatino Linotype" w:eastAsia="Palatino Linotype" w:hAnsi="Palatino Linotype" w:cs="Palatino Linotype"/>
          <w:i/>
          <w:color w:val="000000" w:themeColor="text1"/>
        </w:rPr>
        <w:t>litis</w:t>
      </w:r>
      <w:r w:rsidRPr="008A18B3">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B850B8" w:rsidRPr="008A18B3" w:rsidRDefault="00B850B8" w:rsidP="008A18B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B850B8" w:rsidRPr="008A18B3" w:rsidRDefault="00B850B8" w:rsidP="008A18B3">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A18B3">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w:t>
      </w:r>
      <w:r w:rsidRPr="008A18B3">
        <w:rPr>
          <w:rFonts w:ascii="Palatino Linotype" w:eastAsia="Palatino Linotype" w:hAnsi="Palatino Linotype" w:cs="Palatino Linotype"/>
          <w:i/>
          <w:color w:val="000000" w:themeColor="text1"/>
        </w:rPr>
        <w:lastRenderedPageBreak/>
        <w:t>ampliar su demanda inicial, promover otro juicio de amparo o el medio ordinario de defensa que proceda, toda vez que se trata de un nuevo acto.</w:t>
      </w:r>
    </w:p>
    <w:p w:rsidR="00B850B8" w:rsidRPr="008A18B3" w:rsidRDefault="00B850B8" w:rsidP="008A18B3">
      <w:pPr>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La anterior jurisprudencia resulta aplicable al presente asunto, en dos aspectos: </w:t>
      </w:r>
    </w:p>
    <w:p w:rsidR="00B850B8" w:rsidRPr="008A18B3" w:rsidRDefault="00B850B8" w:rsidP="008A18B3">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t>La cesación de los efectos perniciosos del acto de autoridad:</w:t>
      </w:r>
      <w:r w:rsidRPr="008A18B3">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 xml:space="preserve"> de </w:t>
      </w:r>
      <w:r w:rsidRPr="008A18B3">
        <w:rPr>
          <w:rFonts w:ascii="Palatino Linotype" w:eastAsia="Palatino Linotype" w:hAnsi="Palatino Linotype" w:cs="Palatino Linotype"/>
          <w:i/>
          <w:color w:val="000000" w:themeColor="text1"/>
        </w:rPr>
        <w:t>motu proprio</w:t>
      </w:r>
      <w:r w:rsidRPr="008A18B3">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B850B8" w:rsidRPr="008A18B3" w:rsidRDefault="00B850B8" w:rsidP="008A18B3">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t>El momento procesal para modificar el acto impugnado:</w:t>
      </w:r>
      <w:r w:rsidRPr="008A18B3">
        <w:rPr>
          <w:rFonts w:ascii="Palatino Linotype" w:eastAsia="Palatino Linotype" w:hAnsi="Palatino Linotype" w:cs="Palatino Linotype"/>
          <w:color w:val="000000" w:themeColor="text1"/>
        </w:rPr>
        <w:t xml:space="preserve"> Para que se actualice el sobreseimiento de un recurso de revisión, el </w:t>
      </w:r>
      <w:r w:rsidRPr="008A18B3">
        <w:rPr>
          <w:rFonts w:ascii="Palatino Linotype" w:eastAsia="Palatino Linotype" w:hAnsi="Palatino Linotype" w:cs="Palatino Linotype"/>
          <w:b/>
          <w:color w:val="000000" w:themeColor="text1"/>
        </w:rPr>
        <w:t>SUJETO OBLIGADO</w:t>
      </w:r>
      <w:r w:rsidRPr="008A18B3">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8A18B3">
        <w:rPr>
          <w:rFonts w:ascii="Palatino Linotype" w:eastAsia="Palatino Linotype" w:hAnsi="Palatino Linotype" w:cs="Palatino Linotype"/>
          <w:b/>
          <w:color w:val="000000" w:themeColor="text1"/>
          <w:u w:val="single"/>
        </w:rPr>
        <w:t>posteriormente</w:t>
      </w:r>
      <w:r w:rsidRPr="008A18B3">
        <w:rPr>
          <w:rFonts w:ascii="Palatino Linotype" w:eastAsia="Palatino Linotype" w:hAnsi="Palatino Linotype" w:cs="Palatino Linotype"/>
          <w:color w:val="000000" w:themeColor="text1"/>
        </w:rPr>
        <w:t xml:space="preserve"> a éste, siempre y cuando el Pleno del Instituto no haya dictado resolución definitiva.</w:t>
      </w:r>
    </w:p>
    <w:p w:rsidR="00B850B8" w:rsidRPr="008A18B3" w:rsidRDefault="00B850B8" w:rsidP="008A18B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Eduardo Pallares, en su artículo </w:t>
      </w:r>
      <w:r w:rsidRPr="008A18B3">
        <w:rPr>
          <w:rFonts w:ascii="Palatino Linotype" w:eastAsia="Palatino Linotype" w:hAnsi="Palatino Linotype" w:cs="Palatino Linotype"/>
          <w:i/>
          <w:color w:val="000000" w:themeColor="text1"/>
        </w:rPr>
        <w:t>“La caducidad y el sobreseimiento en el amparo”</w:t>
      </w:r>
      <w:r w:rsidRPr="008A18B3">
        <w:rPr>
          <w:rFonts w:ascii="Palatino Linotype" w:eastAsia="Palatino Linotype" w:hAnsi="Palatino Linotype" w:cs="Palatino Linotype"/>
          <w:color w:val="000000" w:themeColor="text1"/>
        </w:rPr>
        <w:t xml:space="preserve">, cita la definición de Aguilera Paz, aduciendo que se </w:t>
      </w:r>
      <w:r w:rsidRPr="008A18B3">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8A18B3">
        <w:rPr>
          <w:rFonts w:ascii="Palatino Linotype" w:eastAsia="Palatino Linotype" w:hAnsi="Palatino Linotype" w:cs="Palatino Linotype"/>
          <w:color w:val="000000" w:themeColor="text1"/>
        </w:rPr>
        <w:t>. Asimismo, señala que existe el sobreseimiento provisional y el definitivo</w:t>
      </w:r>
      <w:r w:rsidRPr="008A18B3">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8A18B3">
        <w:rPr>
          <w:rFonts w:ascii="Palatino Linotype" w:eastAsia="Palatino Linotype" w:hAnsi="Palatino Linotype" w:cs="Palatino Linotype"/>
          <w:b/>
          <w:color w:val="000000" w:themeColor="text1"/>
          <w:u w:val="single"/>
        </w:rPr>
        <w:t xml:space="preserve">sin que se entre al estudio de los agravios o motivos de </w:t>
      </w:r>
      <w:r w:rsidRPr="008A18B3">
        <w:rPr>
          <w:rFonts w:ascii="Palatino Linotype" w:eastAsia="Palatino Linotype" w:hAnsi="Palatino Linotype" w:cs="Palatino Linotype"/>
          <w:b/>
          <w:color w:val="000000" w:themeColor="text1"/>
          <w:u w:val="single"/>
        </w:rPr>
        <w:lastRenderedPageBreak/>
        <w:t xml:space="preserve">inconformidad. </w:t>
      </w:r>
      <w:r w:rsidRPr="008A18B3">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B850B8" w:rsidRPr="008A18B3" w:rsidRDefault="00B850B8" w:rsidP="008A18B3">
      <w:pPr>
        <w:spacing w:line="360" w:lineRule="auto"/>
        <w:jc w:val="both"/>
        <w:rPr>
          <w:rFonts w:ascii="Palatino Linotype" w:eastAsia="Palatino Linotype" w:hAnsi="Palatino Linotype" w:cs="Palatino Linotype"/>
          <w:i/>
          <w:color w:val="000000" w:themeColor="text1"/>
        </w:rPr>
      </w:pPr>
      <w:r w:rsidRPr="008A18B3">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8A18B3">
        <w:rPr>
          <w:rFonts w:ascii="Palatino Linotype" w:eastAsia="Palatino Linotype" w:hAnsi="Palatino Linotype" w:cs="Palatino Linotype"/>
          <w:i/>
          <w:color w:val="000000" w:themeColor="text1"/>
        </w:rPr>
        <w:t xml:space="preserve"> en el juicio de amparo directo </w:t>
      </w:r>
      <w:r w:rsidRPr="008A18B3">
        <w:rPr>
          <w:rFonts w:ascii="Palatino Linotype" w:eastAsia="Palatino Linotype" w:hAnsi="Palatino Linotype" w:cs="Palatino Linotype"/>
          <w:b/>
          <w:i/>
          <w:color w:val="000000" w:themeColor="text1"/>
        </w:rPr>
        <w:t>provoca la terminación de la controversia planteada</w:t>
      </w:r>
      <w:r w:rsidRPr="008A18B3">
        <w:rPr>
          <w:rFonts w:ascii="Palatino Linotype" w:eastAsia="Palatino Linotype" w:hAnsi="Palatino Linotype" w:cs="Palatino Linotype"/>
          <w:i/>
          <w:color w:val="000000" w:themeColor="text1"/>
        </w:rPr>
        <w:t xml:space="preserve"> por el quejoso en la demanda de amparo</w:t>
      </w:r>
      <w:r w:rsidRPr="008A18B3">
        <w:rPr>
          <w:rFonts w:ascii="Palatino Linotype" w:eastAsia="Palatino Linotype" w:hAnsi="Palatino Linotype" w:cs="Palatino Linotype"/>
          <w:b/>
          <w:i/>
          <w:color w:val="000000" w:themeColor="text1"/>
        </w:rPr>
        <w:t>, sin hacer un pronunciamiento de fondo sobre la legalidad o ilegalidad de la sentencia reclamada</w:t>
      </w:r>
      <w:r w:rsidRPr="008A18B3">
        <w:rPr>
          <w:rFonts w:ascii="Palatino Linotype" w:eastAsia="Palatino Linotype" w:hAnsi="Palatino Linotype" w:cs="Palatino Linotype"/>
          <w:i/>
          <w:color w:val="000000" w:themeColor="text1"/>
        </w:rPr>
        <w:t xml:space="preserve">. </w:t>
      </w:r>
      <w:r w:rsidRPr="008A18B3">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A18B3">
        <w:rPr>
          <w:rFonts w:ascii="Palatino Linotype" w:eastAsia="Palatino Linotype" w:hAnsi="Palatino Linotype" w:cs="Palatino Linotype"/>
          <w:i/>
          <w:color w:val="000000" w:themeColor="text1"/>
        </w:rPr>
        <w:t>.</w:t>
      </w:r>
    </w:p>
    <w:p w:rsidR="00B850B8" w:rsidRPr="008A18B3" w:rsidRDefault="00B850B8" w:rsidP="008A18B3">
      <w:pPr>
        <w:spacing w:line="360" w:lineRule="auto"/>
        <w:jc w:val="both"/>
        <w:rPr>
          <w:rFonts w:ascii="Palatino Linotype" w:eastAsia="Palatino Linotype" w:hAnsi="Palatino Linotype" w:cs="Palatino Linotype"/>
          <w:i/>
          <w:color w:val="000000" w:themeColor="text1"/>
        </w:rPr>
      </w:pPr>
      <w:r w:rsidRPr="008A18B3">
        <w:rPr>
          <w:rFonts w:ascii="Palatino Linotype" w:eastAsia="Palatino Linotype" w:hAnsi="Palatino Linotype" w:cs="Palatino Linotype"/>
          <w:i/>
          <w:color w:val="000000" w:themeColor="text1"/>
        </w:rPr>
        <w:t>SÉPTIMO TRIBUNAL COLEGIADO EN MATERIA CIVIL DEL PRIMER CIRCUITO.</w:t>
      </w:r>
    </w:p>
    <w:p w:rsidR="00B850B8" w:rsidRPr="008A18B3" w:rsidRDefault="00B850B8" w:rsidP="008A18B3">
      <w:pPr>
        <w:spacing w:line="360" w:lineRule="auto"/>
        <w:jc w:val="both"/>
        <w:rPr>
          <w:rFonts w:ascii="Palatino Linotype" w:eastAsia="Palatino Linotype" w:hAnsi="Palatino Linotype" w:cs="Palatino Linotype"/>
          <w:b/>
          <w:i/>
          <w:color w:val="000000" w:themeColor="text1"/>
        </w:rPr>
      </w:pPr>
      <w:r w:rsidRPr="008A18B3">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B850B8" w:rsidRPr="008A18B3" w:rsidRDefault="00B850B8" w:rsidP="008A18B3">
      <w:pPr>
        <w:spacing w:line="360" w:lineRule="auto"/>
        <w:jc w:val="both"/>
        <w:rPr>
          <w:rFonts w:ascii="Palatino Linotype" w:eastAsia="Palatino Linotype" w:hAnsi="Palatino Linotype" w:cs="Palatino Linotype"/>
          <w:b/>
          <w:i/>
          <w:color w:val="000000" w:themeColor="text1"/>
        </w:rPr>
      </w:pPr>
    </w:p>
    <w:p w:rsidR="00B850B8" w:rsidRPr="008A18B3" w:rsidRDefault="00B850B8" w:rsidP="008A18B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 xml:space="preserve">Bajo ese tenor y en términos del artículo 186 fracción I este Pleno determina el </w:t>
      </w:r>
      <w:r w:rsidRPr="008A18B3">
        <w:rPr>
          <w:rFonts w:ascii="Palatino Linotype" w:eastAsia="Palatino Linotype" w:hAnsi="Palatino Linotype" w:cs="Palatino Linotype"/>
          <w:b/>
          <w:color w:val="000000" w:themeColor="text1"/>
        </w:rPr>
        <w:t xml:space="preserve">SOBRESEIMIENTO </w:t>
      </w:r>
      <w:r w:rsidRPr="008A18B3">
        <w:rPr>
          <w:rFonts w:ascii="Palatino Linotype" w:eastAsia="Palatino Linotype" w:hAnsi="Palatino Linotype" w:cs="Palatino Linotype"/>
          <w:color w:val="000000" w:themeColor="text1"/>
        </w:rPr>
        <w:t xml:space="preserve">del recurso de revisión </w:t>
      </w:r>
      <w:r w:rsidR="00091A98" w:rsidRPr="008A18B3">
        <w:rPr>
          <w:rFonts w:ascii="Palatino Linotype" w:eastAsia="Palatino Linotype" w:hAnsi="Palatino Linotype" w:cs="Palatino Linotype"/>
          <w:b/>
          <w:color w:val="000000" w:themeColor="text1"/>
        </w:rPr>
        <w:t>08398</w:t>
      </w:r>
      <w:r w:rsidRPr="008A18B3">
        <w:rPr>
          <w:rFonts w:ascii="Palatino Linotype" w:eastAsia="Palatino Linotype" w:hAnsi="Palatino Linotype" w:cs="Palatino Linotype"/>
          <w:b/>
          <w:color w:val="000000" w:themeColor="text1"/>
        </w:rPr>
        <w:t>/INFOEM/IP/RR/2025</w:t>
      </w:r>
      <w:r w:rsidRPr="008A18B3">
        <w:rPr>
          <w:rFonts w:ascii="Palatino Linotype" w:eastAsia="Palatino Linotype" w:hAnsi="Palatino Linotype" w:cs="Palatino Linotype"/>
          <w:color w:val="000000" w:themeColor="text1"/>
        </w:rPr>
        <w:t>, toda vez que la afectación al derecho de acceso a la información pública establecido constitucionalmente a favor del Particular ha sido resarcida.</w:t>
      </w:r>
    </w:p>
    <w:p w:rsidR="00B850B8" w:rsidRPr="008A18B3" w:rsidRDefault="00B850B8" w:rsidP="008A18B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lastRenderedPageBreak/>
        <w:t xml:space="preserve">Por lo anteriormente expuesto y fundado, este </w:t>
      </w:r>
      <w:r w:rsidRPr="008A18B3">
        <w:rPr>
          <w:rFonts w:ascii="Palatino Linotype" w:eastAsia="Palatino Linotype" w:hAnsi="Palatino Linotype" w:cs="Palatino Linotype"/>
          <w:b/>
          <w:color w:val="000000" w:themeColor="text1"/>
        </w:rPr>
        <w:t>ÓRGANO GARANTE</w:t>
      </w:r>
      <w:r w:rsidRPr="008A18B3">
        <w:rPr>
          <w:rFonts w:ascii="Palatino Linotype" w:eastAsia="Palatino Linotype" w:hAnsi="Palatino Linotype" w:cs="Palatino Linotype"/>
          <w:color w:val="000000" w:themeColor="text1"/>
        </w:rPr>
        <w:t xml:space="preserve"> emite los siguientes:</w:t>
      </w: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spacing w:line="360" w:lineRule="auto"/>
        <w:jc w:val="center"/>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R E S O L U T I V O S</w:t>
      </w: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t xml:space="preserve">PRIMERO. </w:t>
      </w:r>
      <w:r w:rsidRPr="008A18B3">
        <w:rPr>
          <w:rFonts w:ascii="Palatino Linotype" w:eastAsia="Palatino Linotype" w:hAnsi="Palatino Linotype" w:cs="Palatino Linotype"/>
          <w:color w:val="000000" w:themeColor="text1"/>
        </w:rPr>
        <w:t xml:space="preserve">Se </w:t>
      </w:r>
      <w:r w:rsidRPr="008A18B3">
        <w:rPr>
          <w:rFonts w:ascii="Palatino Linotype" w:eastAsia="Palatino Linotype" w:hAnsi="Palatino Linotype" w:cs="Palatino Linotype"/>
          <w:b/>
          <w:color w:val="000000" w:themeColor="text1"/>
        </w:rPr>
        <w:t>SOBRESEE</w:t>
      </w:r>
      <w:r w:rsidRPr="008A18B3">
        <w:rPr>
          <w:rFonts w:ascii="Palatino Linotype" w:eastAsia="Palatino Linotype" w:hAnsi="Palatino Linotype" w:cs="Palatino Linotype"/>
          <w:color w:val="000000" w:themeColor="text1"/>
        </w:rPr>
        <w:t xml:space="preserve"> el recurso de revisión número </w:t>
      </w:r>
      <w:r w:rsidRPr="008A18B3">
        <w:rPr>
          <w:rFonts w:ascii="Palatino Linotype" w:eastAsia="Palatino Linotype" w:hAnsi="Palatino Linotype" w:cs="Palatino Linotype"/>
          <w:b/>
          <w:color w:val="000000" w:themeColor="text1"/>
        </w:rPr>
        <w:t>0</w:t>
      </w:r>
      <w:r w:rsidR="00091A98" w:rsidRPr="008A18B3">
        <w:rPr>
          <w:rFonts w:ascii="Palatino Linotype" w:eastAsia="Palatino Linotype" w:hAnsi="Palatino Linotype" w:cs="Palatino Linotype"/>
          <w:b/>
          <w:color w:val="000000" w:themeColor="text1"/>
        </w:rPr>
        <w:t>8398</w:t>
      </w:r>
      <w:r w:rsidRPr="008A18B3">
        <w:rPr>
          <w:rFonts w:ascii="Palatino Linotype" w:eastAsia="Palatino Linotype" w:hAnsi="Palatino Linotype" w:cs="Palatino Linotype"/>
          <w:b/>
          <w:color w:val="000000" w:themeColor="text1"/>
        </w:rPr>
        <w:t xml:space="preserve">/INFOEM/IP/RR/2025 </w:t>
      </w:r>
      <w:r w:rsidRPr="008A18B3">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8A18B3">
        <w:rPr>
          <w:rFonts w:ascii="Palatino Linotype" w:eastAsia="Palatino Linotype" w:hAnsi="Palatino Linotype" w:cs="Palatino Linotype"/>
          <w:b/>
          <w:color w:val="000000" w:themeColor="text1"/>
        </w:rPr>
        <w:t>modificar la respuesta a través del informe justificado y atender lo solicitado</w:t>
      </w:r>
      <w:r w:rsidRPr="008A18B3">
        <w:rPr>
          <w:rFonts w:ascii="Palatino Linotype" w:eastAsia="Palatino Linotype" w:hAnsi="Palatino Linotype" w:cs="Palatino Linotype"/>
          <w:color w:val="000000" w:themeColor="text1"/>
        </w:rPr>
        <w:t xml:space="preserve">, el recurso de revisión quedó sin materia en términos del Considerando </w:t>
      </w:r>
      <w:r w:rsidRPr="008A18B3">
        <w:rPr>
          <w:rFonts w:ascii="Palatino Linotype" w:eastAsia="Palatino Linotype" w:hAnsi="Palatino Linotype" w:cs="Palatino Linotype"/>
          <w:b/>
          <w:color w:val="000000" w:themeColor="text1"/>
        </w:rPr>
        <w:t>TERCERO</w:t>
      </w:r>
      <w:r w:rsidRPr="008A18B3">
        <w:rPr>
          <w:rFonts w:ascii="Palatino Linotype" w:eastAsia="Palatino Linotype" w:hAnsi="Palatino Linotype" w:cs="Palatino Linotype"/>
          <w:color w:val="000000" w:themeColor="text1"/>
        </w:rPr>
        <w:t xml:space="preserve"> de la presente resolución.</w:t>
      </w: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p>
    <w:p w:rsidR="00B850B8" w:rsidRPr="008A18B3" w:rsidRDefault="008A18B3" w:rsidP="008A18B3">
      <w:pP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SEGUNDO. Notifíquese</w:t>
      </w:r>
      <w:r w:rsidR="00B850B8" w:rsidRPr="008A18B3">
        <w:rPr>
          <w:rFonts w:ascii="Palatino Linotype" w:eastAsia="Palatino Linotype" w:hAnsi="Palatino Linotype" w:cs="Palatino Linotype"/>
          <w:b/>
          <w:color w:val="000000" w:themeColor="text1"/>
        </w:rPr>
        <w:t xml:space="preserve"> </w:t>
      </w:r>
      <w:r w:rsidR="00B850B8" w:rsidRPr="008A18B3">
        <w:rPr>
          <w:rFonts w:ascii="Palatino Linotype" w:eastAsia="Palatino Linotype" w:hAnsi="Palatino Linotype" w:cs="Palatino Linotype"/>
          <w:color w:val="000000" w:themeColor="text1"/>
        </w:rPr>
        <w:t xml:space="preserve">a través del Sistema de Acceso a la Información Mexiquense </w:t>
      </w:r>
      <w:r w:rsidR="00B850B8" w:rsidRPr="008A18B3">
        <w:rPr>
          <w:rFonts w:ascii="Palatino Linotype" w:eastAsia="Palatino Linotype" w:hAnsi="Palatino Linotype" w:cs="Palatino Linotype"/>
          <w:b/>
          <w:color w:val="000000" w:themeColor="text1"/>
        </w:rPr>
        <w:t xml:space="preserve">(SAIMEX) </w:t>
      </w:r>
      <w:r w:rsidR="00B850B8" w:rsidRPr="008A18B3">
        <w:rPr>
          <w:rFonts w:ascii="Palatino Linotype" w:eastAsia="Palatino Linotype" w:hAnsi="Palatino Linotype" w:cs="Palatino Linotype"/>
          <w:color w:val="000000" w:themeColor="text1"/>
        </w:rPr>
        <w:t>la presente resolución al Titular de la Unidad de Transparencia del</w:t>
      </w:r>
      <w:r w:rsidR="00B850B8" w:rsidRPr="008A18B3">
        <w:rPr>
          <w:rFonts w:ascii="Palatino Linotype" w:eastAsia="Palatino Linotype" w:hAnsi="Palatino Linotype" w:cs="Palatino Linotype"/>
          <w:b/>
          <w:color w:val="000000" w:themeColor="text1"/>
        </w:rPr>
        <w:t xml:space="preserve"> SUJETO OBLIGADO. </w:t>
      </w:r>
    </w:p>
    <w:p w:rsidR="00B850B8" w:rsidRPr="008A18B3" w:rsidRDefault="00B850B8" w:rsidP="008A18B3">
      <w:pPr>
        <w:tabs>
          <w:tab w:val="left" w:pos="3263"/>
        </w:tabs>
        <w:spacing w:line="360" w:lineRule="auto"/>
        <w:jc w:val="both"/>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ab/>
      </w: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t xml:space="preserve">TERCERO. Notifíquese </w:t>
      </w:r>
      <w:r w:rsidRPr="008A18B3">
        <w:rPr>
          <w:rFonts w:ascii="Palatino Linotype" w:eastAsia="Palatino Linotype" w:hAnsi="Palatino Linotype" w:cs="Palatino Linotype"/>
          <w:color w:val="000000" w:themeColor="text1"/>
        </w:rPr>
        <w:t xml:space="preserve">al </w:t>
      </w:r>
      <w:r w:rsidRPr="008A18B3">
        <w:rPr>
          <w:rFonts w:ascii="Palatino Linotype" w:eastAsia="Palatino Linotype" w:hAnsi="Palatino Linotype" w:cs="Palatino Linotype"/>
          <w:b/>
          <w:color w:val="000000" w:themeColor="text1"/>
        </w:rPr>
        <w:t>RECURRENTE</w:t>
      </w:r>
      <w:r w:rsidRPr="008A18B3">
        <w:rPr>
          <w:rFonts w:ascii="Palatino Linotype" w:eastAsia="Palatino Linotype" w:hAnsi="Palatino Linotype" w:cs="Palatino Linotype"/>
          <w:color w:val="000000" w:themeColor="text1"/>
        </w:rPr>
        <w:t xml:space="preserve"> la presente resolución vía SAIMEX y correo electrónico. </w:t>
      </w: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spacing w:line="360" w:lineRule="auto"/>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b/>
          <w:color w:val="000000" w:themeColor="text1"/>
        </w:rPr>
        <w:t>CUARTO.</w:t>
      </w:r>
      <w:r w:rsidRPr="008A18B3">
        <w:rPr>
          <w:rFonts w:ascii="Palatino Linotype" w:eastAsia="Palatino Linotype" w:hAnsi="Palatino Linotype" w:cs="Palatino Linotype"/>
          <w:color w:val="000000" w:themeColor="text1"/>
        </w:rPr>
        <w:t xml:space="preserve"> Se hace del conocimiento del </w:t>
      </w:r>
      <w:r w:rsidRPr="008A18B3">
        <w:rPr>
          <w:rFonts w:ascii="Palatino Linotype" w:eastAsia="Palatino Linotype" w:hAnsi="Palatino Linotype" w:cs="Palatino Linotype"/>
          <w:b/>
          <w:color w:val="000000" w:themeColor="text1"/>
        </w:rPr>
        <w:t>RECURRENTE</w:t>
      </w:r>
      <w:r w:rsidRPr="008A18B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850B8" w:rsidRDefault="00B850B8" w:rsidP="008A18B3">
      <w:pPr>
        <w:spacing w:line="360" w:lineRule="auto"/>
        <w:jc w:val="both"/>
        <w:rPr>
          <w:rFonts w:ascii="Palatino Linotype" w:eastAsia="Palatino Linotype" w:hAnsi="Palatino Linotype" w:cs="Palatino Linotype"/>
          <w:color w:val="000000" w:themeColor="text1"/>
        </w:rPr>
      </w:pPr>
    </w:p>
    <w:p w:rsidR="008A18B3" w:rsidRPr="00444783" w:rsidRDefault="008A18B3" w:rsidP="008A18B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Default="00B850B8"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9B7E6D" w:rsidRPr="008A18B3" w:rsidRDefault="009B7E6D" w:rsidP="008A18B3">
      <w:pPr>
        <w:pBdr>
          <w:top w:val="nil"/>
          <w:left w:val="nil"/>
          <w:bottom w:val="nil"/>
          <w:right w:val="nil"/>
          <w:between w:val="nil"/>
        </w:pBdr>
        <w:rPr>
          <w:rFonts w:ascii="Palatino Linotype" w:eastAsia="Palatino Linotype" w:hAnsi="Palatino Linotype" w:cs="Palatino Linotype"/>
          <w:color w:val="000000" w:themeColor="text1"/>
        </w:rPr>
      </w:pPr>
    </w:p>
    <w:p w:rsidR="00B850B8" w:rsidRPr="008A18B3" w:rsidRDefault="00B850B8" w:rsidP="008A18B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850B8" w:rsidRPr="008A18B3" w:rsidRDefault="00B850B8" w:rsidP="008A18B3">
      <w:pPr>
        <w:rPr>
          <w:rFonts w:ascii="Palatino Linotype" w:hAnsi="Palatino Linotype"/>
          <w:color w:val="000000" w:themeColor="text1"/>
        </w:rPr>
      </w:pPr>
    </w:p>
    <w:p w:rsidR="00A25C5C" w:rsidRPr="008A18B3" w:rsidRDefault="00A25C5C" w:rsidP="008A18B3">
      <w:pPr>
        <w:rPr>
          <w:rFonts w:ascii="Palatino Linotype" w:hAnsi="Palatino Linotype"/>
          <w:color w:val="000000" w:themeColor="text1"/>
        </w:rPr>
      </w:pPr>
    </w:p>
    <w:sectPr w:rsidR="00A25C5C" w:rsidRPr="008A18B3" w:rsidSect="009B7E6D">
      <w:headerReference w:type="even" r:id="rId14"/>
      <w:headerReference w:type="default" r:id="rId15"/>
      <w:footerReference w:type="default" r:id="rId16"/>
      <w:headerReference w:type="first" r:id="rId17"/>
      <w:footerReference w:type="first" r:id="rId18"/>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8C2" w:rsidRDefault="001358C2" w:rsidP="00B850B8">
      <w:r>
        <w:separator/>
      </w:r>
    </w:p>
  </w:endnote>
  <w:endnote w:type="continuationSeparator" w:id="0">
    <w:p w:rsidR="001358C2" w:rsidRDefault="001358C2" w:rsidP="00B8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CD2" w:rsidRDefault="00605CD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300A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300A5">
      <w:rPr>
        <w:b/>
        <w:noProof/>
        <w:color w:val="000000"/>
      </w:rPr>
      <w:t>15</w:t>
    </w:r>
    <w:r>
      <w:rPr>
        <w:b/>
        <w:color w:val="000000"/>
      </w:rPr>
      <w:fldChar w:fldCharType="end"/>
    </w:r>
  </w:p>
  <w:p w:rsidR="00605CD2" w:rsidRDefault="00605CD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CD2" w:rsidRDefault="00605CD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300A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300A5">
      <w:rPr>
        <w:b/>
        <w:noProof/>
        <w:color w:val="000000"/>
      </w:rPr>
      <w:t>15</w:t>
    </w:r>
    <w:r>
      <w:rPr>
        <w:b/>
        <w:color w:val="000000"/>
      </w:rPr>
      <w:fldChar w:fldCharType="end"/>
    </w:r>
  </w:p>
  <w:p w:rsidR="00605CD2" w:rsidRDefault="00605CD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8C2" w:rsidRDefault="001358C2" w:rsidP="00B850B8">
      <w:r>
        <w:separator/>
      </w:r>
    </w:p>
  </w:footnote>
  <w:footnote w:type="continuationSeparator" w:id="0">
    <w:p w:rsidR="001358C2" w:rsidRDefault="001358C2" w:rsidP="00B85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CD2" w:rsidRDefault="001358C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00" w:firstRow="0" w:lastRow="0" w:firstColumn="0" w:lastColumn="0" w:noHBand="0" w:noVBand="1"/>
    </w:tblPr>
    <w:tblGrid>
      <w:gridCol w:w="2268"/>
      <w:gridCol w:w="6946"/>
    </w:tblGrid>
    <w:tr w:rsidR="00605CD2">
      <w:trPr>
        <w:trHeight w:val="1435"/>
      </w:trPr>
      <w:tc>
        <w:tcPr>
          <w:tcW w:w="2268" w:type="dxa"/>
          <w:shd w:val="clear" w:color="auto" w:fill="auto"/>
        </w:tcPr>
        <w:p w:rsidR="00605CD2" w:rsidRDefault="00605CD2">
          <w:pPr>
            <w:tabs>
              <w:tab w:val="right" w:pos="4273"/>
            </w:tabs>
            <w:rPr>
              <w:rFonts w:ascii="Garamond" w:eastAsia="Garamond" w:hAnsi="Garamond" w:cs="Garamond"/>
              <w:sz w:val="16"/>
              <w:szCs w:val="16"/>
            </w:rPr>
          </w:pPr>
        </w:p>
      </w:tc>
      <w:tc>
        <w:tcPr>
          <w:tcW w:w="6946" w:type="dxa"/>
          <w:shd w:val="clear" w:color="auto" w:fill="auto"/>
        </w:tcPr>
        <w:tbl>
          <w:tblPr>
            <w:tblW w:w="6798" w:type="dxa"/>
            <w:tblInd w:w="1026" w:type="dxa"/>
            <w:tblLayout w:type="fixed"/>
            <w:tblLook w:val="0400" w:firstRow="0" w:lastRow="0" w:firstColumn="0" w:lastColumn="0" w:noHBand="0" w:noVBand="1"/>
          </w:tblPr>
          <w:tblGrid>
            <w:gridCol w:w="2687"/>
            <w:gridCol w:w="4111"/>
          </w:tblGrid>
          <w:tr w:rsidR="00605CD2" w:rsidTr="009B7E6D">
            <w:trPr>
              <w:trHeight w:val="150"/>
            </w:trPr>
            <w:tc>
              <w:tcPr>
                <w:tcW w:w="2687" w:type="dxa"/>
                <w:shd w:val="clear" w:color="auto" w:fill="auto"/>
              </w:tcPr>
              <w:p w:rsidR="00605CD2" w:rsidRPr="008A18B3" w:rsidRDefault="00605CD2" w:rsidP="008A18B3">
                <w:pPr>
                  <w:tabs>
                    <w:tab w:val="right" w:pos="8838"/>
                  </w:tabs>
                  <w:ind w:right="-105"/>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Recurso de Revisión:</w:t>
                </w:r>
              </w:p>
            </w:tc>
            <w:tc>
              <w:tcPr>
                <w:tcW w:w="4111" w:type="dxa"/>
                <w:shd w:val="clear" w:color="auto" w:fill="auto"/>
              </w:tcPr>
              <w:p w:rsidR="00605CD2" w:rsidRPr="008A18B3" w:rsidRDefault="00605CD2" w:rsidP="008A18B3">
                <w:pPr>
                  <w:tabs>
                    <w:tab w:val="right" w:pos="8838"/>
                  </w:tabs>
                  <w:ind w:left="-108" w:right="-109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08398/INFOEM/IP/RR/2025</w:t>
                </w:r>
                <w:r w:rsidRPr="008A18B3">
                  <w:rPr>
                    <w:rFonts w:ascii="Palatino Linotype" w:eastAsia="Palatino Linotype" w:hAnsi="Palatino Linotype" w:cs="Palatino Linotype"/>
                    <w:b/>
                    <w:color w:val="000000" w:themeColor="text1"/>
                  </w:rPr>
                  <w:t xml:space="preserve"> </w:t>
                </w:r>
              </w:p>
            </w:tc>
          </w:tr>
          <w:tr w:rsidR="00605CD2" w:rsidTr="009B7E6D">
            <w:trPr>
              <w:trHeight w:val="295"/>
            </w:trPr>
            <w:tc>
              <w:tcPr>
                <w:tcW w:w="2687" w:type="dxa"/>
                <w:shd w:val="clear" w:color="auto" w:fill="auto"/>
              </w:tcPr>
              <w:p w:rsidR="00605CD2" w:rsidRPr="008A18B3" w:rsidRDefault="00605CD2" w:rsidP="008A18B3">
                <w:pPr>
                  <w:tabs>
                    <w:tab w:val="right" w:pos="8838"/>
                  </w:tabs>
                  <w:ind w:right="-105"/>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Sujeto Obligado:</w:t>
                </w:r>
              </w:p>
            </w:tc>
            <w:tc>
              <w:tcPr>
                <w:tcW w:w="4111" w:type="dxa"/>
                <w:shd w:val="clear" w:color="auto" w:fill="auto"/>
              </w:tcPr>
              <w:p w:rsidR="00605CD2" w:rsidRPr="008A18B3" w:rsidRDefault="00605CD2" w:rsidP="008A18B3">
                <w:pPr>
                  <w:tabs>
                    <w:tab w:val="left" w:pos="2834"/>
                    <w:tab w:val="right" w:pos="8838"/>
                  </w:tabs>
                  <w:ind w:left="-108" w:right="-109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Ayuntamiento de Temamatla</w:t>
                </w:r>
              </w:p>
            </w:tc>
          </w:tr>
          <w:tr w:rsidR="00605CD2" w:rsidTr="009B7E6D">
            <w:trPr>
              <w:trHeight w:val="295"/>
            </w:trPr>
            <w:tc>
              <w:tcPr>
                <w:tcW w:w="2687" w:type="dxa"/>
                <w:shd w:val="clear" w:color="auto" w:fill="auto"/>
              </w:tcPr>
              <w:p w:rsidR="00605CD2" w:rsidRPr="008A18B3" w:rsidRDefault="00605CD2" w:rsidP="008A18B3">
                <w:pPr>
                  <w:tabs>
                    <w:tab w:val="right" w:pos="8838"/>
                  </w:tabs>
                  <w:ind w:right="-105"/>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Comisionado ponente:</w:t>
                </w:r>
              </w:p>
            </w:tc>
            <w:tc>
              <w:tcPr>
                <w:tcW w:w="4111" w:type="dxa"/>
                <w:shd w:val="clear" w:color="auto" w:fill="auto"/>
              </w:tcPr>
              <w:p w:rsidR="00605CD2" w:rsidRPr="008A18B3" w:rsidRDefault="00605CD2" w:rsidP="008A18B3">
                <w:pPr>
                  <w:tabs>
                    <w:tab w:val="right" w:pos="8838"/>
                  </w:tabs>
                  <w:ind w:left="-108" w:right="-1090"/>
                  <w:jc w:val="both"/>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María del Rosario Mejía Ayala</w:t>
                </w:r>
              </w:p>
              <w:p w:rsidR="00605CD2" w:rsidRPr="008A18B3" w:rsidRDefault="00605CD2" w:rsidP="008A18B3">
                <w:pPr>
                  <w:tabs>
                    <w:tab w:val="right" w:pos="8838"/>
                  </w:tabs>
                  <w:ind w:left="-108" w:right="-1090"/>
                  <w:jc w:val="both"/>
                  <w:rPr>
                    <w:rFonts w:ascii="Palatino Linotype" w:eastAsia="Palatino Linotype" w:hAnsi="Palatino Linotype" w:cs="Palatino Linotype"/>
                    <w:b/>
                    <w:color w:val="000000" w:themeColor="text1"/>
                  </w:rPr>
                </w:pPr>
              </w:p>
            </w:tc>
          </w:tr>
        </w:tbl>
        <w:p w:rsidR="00605CD2" w:rsidRDefault="00605CD2">
          <w:pPr>
            <w:tabs>
              <w:tab w:val="right" w:pos="8838"/>
            </w:tabs>
            <w:ind w:left="-28"/>
            <w:jc w:val="both"/>
            <w:rPr>
              <w:rFonts w:ascii="Arial" w:eastAsia="Arial" w:hAnsi="Arial" w:cs="Arial"/>
              <w:b/>
              <w:sz w:val="22"/>
              <w:szCs w:val="22"/>
            </w:rPr>
          </w:pPr>
        </w:p>
      </w:tc>
    </w:tr>
  </w:tbl>
  <w:p w:rsidR="00605CD2" w:rsidRDefault="001358C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605CD2">
      <w:trPr>
        <w:trHeight w:val="1435"/>
      </w:trPr>
      <w:tc>
        <w:tcPr>
          <w:tcW w:w="2265" w:type="dxa"/>
          <w:shd w:val="clear" w:color="auto" w:fill="auto"/>
        </w:tcPr>
        <w:p w:rsidR="00605CD2" w:rsidRDefault="00605CD2">
          <w:pPr>
            <w:tabs>
              <w:tab w:val="right" w:pos="4273"/>
            </w:tabs>
            <w:rPr>
              <w:rFonts w:ascii="Garamond" w:eastAsia="Garamond" w:hAnsi="Garamond" w:cs="Garamond"/>
              <w:sz w:val="22"/>
              <w:szCs w:val="22"/>
            </w:rPr>
          </w:pPr>
        </w:p>
      </w:tc>
      <w:tc>
        <w:tcPr>
          <w:tcW w:w="7755" w:type="dxa"/>
          <w:shd w:val="clear" w:color="auto" w:fill="auto"/>
        </w:tcPr>
        <w:tbl>
          <w:tblPr>
            <w:tblW w:w="7935" w:type="dxa"/>
            <w:tblInd w:w="1313" w:type="dxa"/>
            <w:tblLayout w:type="fixed"/>
            <w:tblLook w:val="0400" w:firstRow="0" w:lastRow="0" w:firstColumn="0" w:lastColumn="0" w:noHBand="0" w:noVBand="1"/>
          </w:tblPr>
          <w:tblGrid>
            <w:gridCol w:w="2549"/>
            <w:gridCol w:w="5386"/>
          </w:tblGrid>
          <w:tr w:rsidR="00605CD2" w:rsidTr="009B7E6D">
            <w:trPr>
              <w:trHeight w:val="144"/>
            </w:trPr>
            <w:tc>
              <w:tcPr>
                <w:tcW w:w="2549" w:type="dxa"/>
                <w:shd w:val="clear" w:color="auto" w:fill="auto"/>
              </w:tcPr>
              <w:p w:rsidR="00605CD2" w:rsidRPr="008A18B3" w:rsidRDefault="00605CD2" w:rsidP="008A18B3">
                <w:pPr>
                  <w:tabs>
                    <w:tab w:val="right" w:pos="8838"/>
                  </w:tabs>
                  <w:ind w:left="-264" w:right="-105" w:firstLine="195"/>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Recurso de Revisión:</w:t>
                </w:r>
              </w:p>
            </w:tc>
            <w:tc>
              <w:tcPr>
                <w:tcW w:w="5386" w:type="dxa"/>
                <w:shd w:val="clear" w:color="auto" w:fill="auto"/>
              </w:tcPr>
              <w:p w:rsidR="00605CD2" w:rsidRPr="008A18B3" w:rsidRDefault="00605CD2" w:rsidP="008A18B3">
                <w:pPr>
                  <w:tabs>
                    <w:tab w:val="right" w:pos="8838"/>
                  </w:tabs>
                  <w:ind w:left="-74" w:right="-104"/>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08398/INFOEM/IP/RR/2025</w:t>
                </w:r>
              </w:p>
            </w:tc>
          </w:tr>
          <w:tr w:rsidR="00605CD2" w:rsidTr="009B7E6D">
            <w:trPr>
              <w:trHeight w:val="144"/>
            </w:trPr>
            <w:tc>
              <w:tcPr>
                <w:tcW w:w="2549" w:type="dxa"/>
                <w:shd w:val="clear" w:color="auto" w:fill="auto"/>
              </w:tcPr>
              <w:p w:rsidR="00605CD2" w:rsidRPr="008A18B3" w:rsidRDefault="00605CD2" w:rsidP="008A18B3">
                <w:pPr>
                  <w:tabs>
                    <w:tab w:val="right" w:pos="8838"/>
                  </w:tabs>
                  <w:ind w:left="-74" w:right="-105"/>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Recurrente:</w:t>
                </w:r>
              </w:p>
            </w:tc>
            <w:tc>
              <w:tcPr>
                <w:tcW w:w="5386" w:type="dxa"/>
                <w:shd w:val="clear" w:color="auto" w:fill="auto"/>
              </w:tcPr>
              <w:p w:rsidR="00605CD2" w:rsidRPr="008A18B3" w:rsidRDefault="009300A5" w:rsidP="008A18B3">
                <w:pPr>
                  <w:tabs>
                    <w:tab w:val="left" w:pos="3122"/>
                    <w:tab w:val="right" w:pos="8838"/>
                  </w:tabs>
                  <w:ind w:left="-74" w:right="-104"/>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605CD2" w:rsidTr="009B7E6D">
            <w:trPr>
              <w:trHeight w:val="283"/>
            </w:trPr>
            <w:tc>
              <w:tcPr>
                <w:tcW w:w="2549" w:type="dxa"/>
                <w:shd w:val="clear" w:color="auto" w:fill="auto"/>
              </w:tcPr>
              <w:p w:rsidR="00605CD2" w:rsidRPr="008A18B3" w:rsidRDefault="00605CD2" w:rsidP="008A18B3">
                <w:pPr>
                  <w:tabs>
                    <w:tab w:val="right" w:pos="8838"/>
                  </w:tabs>
                  <w:ind w:left="-74" w:right="-105"/>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Sujeto Obligado:</w:t>
                </w:r>
              </w:p>
            </w:tc>
            <w:tc>
              <w:tcPr>
                <w:tcW w:w="5386" w:type="dxa"/>
                <w:shd w:val="clear" w:color="auto" w:fill="auto"/>
              </w:tcPr>
              <w:p w:rsidR="00605CD2" w:rsidRPr="008A18B3" w:rsidRDefault="00605CD2" w:rsidP="008A18B3">
                <w:pPr>
                  <w:tabs>
                    <w:tab w:val="left" w:pos="2834"/>
                    <w:tab w:val="right" w:pos="8838"/>
                  </w:tabs>
                  <w:ind w:left="-74" w:right="-104"/>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Ayuntamiento de Temamatla</w:t>
                </w:r>
              </w:p>
            </w:tc>
          </w:tr>
          <w:tr w:rsidR="00605CD2" w:rsidTr="009B7E6D">
            <w:trPr>
              <w:trHeight w:val="283"/>
            </w:trPr>
            <w:tc>
              <w:tcPr>
                <w:tcW w:w="2549" w:type="dxa"/>
                <w:shd w:val="clear" w:color="auto" w:fill="auto"/>
              </w:tcPr>
              <w:p w:rsidR="00605CD2" w:rsidRPr="008A18B3" w:rsidRDefault="00605CD2" w:rsidP="008A18B3">
                <w:pPr>
                  <w:tabs>
                    <w:tab w:val="right" w:pos="8838"/>
                  </w:tabs>
                  <w:ind w:left="-74" w:right="-105"/>
                  <w:rPr>
                    <w:rFonts w:ascii="Palatino Linotype" w:eastAsia="Palatino Linotype" w:hAnsi="Palatino Linotype" w:cs="Palatino Linotype"/>
                    <w:b/>
                    <w:color w:val="000000" w:themeColor="text1"/>
                  </w:rPr>
                </w:pPr>
                <w:r w:rsidRPr="008A18B3">
                  <w:rPr>
                    <w:rFonts w:ascii="Palatino Linotype" w:eastAsia="Palatino Linotype" w:hAnsi="Palatino Linotype" w:cs="Palatino Linotype"/>
                    <w:b/>
                    <w:color w:val="000000" w:themeColor="text1"/>
                  </w:rPr>
                  <w:t>Comisionado ponente:</w:t>
                </w:r>
              </w:p>
            </w:tc>
            <w:tc>
              <w:tcPr>
                <w:tcW w:w="5386" w:type="dxa"/>
                <w:shd w:val="clear" w:color="auto" w:fill="auto"/>
              </w:tcPr>
              <w:p w:rsidR="00605CD2" w:rsidRPr="008A18B3" w:rsidRDefault="00605CD2" w:rsidP="008A18B3">
                <w:pPr>
                  <w:tabs>
                    <w:tab w:val="right" w:pos="8838"/>
                  </w:tabs>
                  <w:ind w:left="-74" w:right="-104"/>
                  <w:rPr>
                    <w:rFonts w:ascii="Palatino Linotype" w:eastAsia="Palatino Linotype" w:hAnsi="Palatino Linotype" w:cs="Palatino Linotype"/>
                    <w:color w:val="000000" w:themeColor="text1"/>
                  </w:rPr>
                </w:pPr>
                <w:r w:rsidRPr="008A18B3">
                  <w:rPr>
                    <w:rFonts w:ascii="Palatino Linotype" w:eastAsia="Palatino Linotype" w:hAnsi="Palatino Linotype" w:cs="Palatino Linotype"/>
                    <w:color w:val="000000" w:themeColor="text1"/>
                  </w:rPr>
                  <w:t>María del Rosario Mejía Ayala</w:t>
                </w:r>
              </w:p>
              <w:p w:rsidR="00605CD2" w:rsidRPr="008A18B3" w:rsidRDefault="00605CD2" w:rsidP="008A18B3">
                <w:pPr>
                  <w:tabs>
                    <w:tab w:val="right" w:pos="8838"/>
                  </w:tabs>
                  <w:ind w:left="-74" w:right="-104"/>
                  <w:rPr>
                    <w:rFonts w:ascii="Palatino Linotype" w:eastAsia="Palatino Linotype" w:hAnsi="Palatino Linotype" w:cs="Palatino Linotype"/>
                    <w:b/>
                    <w:color w:val="000000" w:themeColor="text1"/>
                  </w:rPr>
                </w:pPr>
              </w:p>
            </w:tc>
          </w:tr>
        </w:tbl>
        <w:p w:rsidR="00605CD2" w:rsidRDefault="00605CD2">
          <w:pPr>
            <w:tabs>
              <w:tab w:val="right" w:pos="8838"/>
            </w:tabs>
            <w:ind w:left="-28"/>
            <w:jc w:val="both"/>
            <w:rPr>
              <w:rFonts w:ascii="Arial" w:eastAsia="Arial" w:hAnsi="Arial" w:cs="Arial"/>
              <w:b/>
              <w:sz w:val="22"/>
              <w:szCs w:val="22"/>
            </w:rPr>
          </w:pPr>
        </w:p>
      </w:tc>
    </w:tr>
  </w:tbl>
  <w:p w:rsidR="00605CD2" w:rsidRDefault="001358C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 w15:restartNumberingAfterBreak="0">
    <w:nsid w:val="1E112605"/>
    <w:multiLevelType w:val="hybridMultilevel"/>
    <w:tmpl w:val="8D846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E33FAC"/>
    <w:multiLevelType w:val="hybridMultilevel"/>
    <w:tmpl w:val="EE6C383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B8"/>
    <w:rsid w:val="00091A98"/>
    <w:rsid w:val="001358C2"/>
    <w:rsid w:val="00605CD2"/>
    <w:rsid w:val="008A18B3"/>
    <w:rsid w:val="009300A5"/>
    <w:rsid w:val="009B7E6D"/>
    <w:rsid w:val="00A25C5C"/>
    <w:rsid w:val="00AD7737"/>
    <w:rsid w:val="00AE1C28"/>
    <w:rsid w:val="00B850B8"/>
    <w:rsid w:val="00C13203"/>
    <w:rsid w:val="00CA6685"/>
    <w:rsid w:val="00EA16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7ECE6DB-ABFE-4889-AD0B-D44445EB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0B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B850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B850B8"/>
    <w:rPr>
      <w:rFonts w:asciiTheme="majorHAnsi" w:eastAsiaTheme="majorEastAsia" w:hAnsiTheme="majorHAnsi" w:cstheme="majorBidi"/>
      <w:color w:val="2E74B5" w:themeColor="accent1" w:themeShade="BF"/>
      <w:sz w:val="26"/>
      <w:szCs w:val="26"/>
      <w:lang w:eastAsia="es-MX"/>
    </w:rPr>
  </w:style>
  <w:style w:type="character" w:styleId="Hipervnculo">
    <w:name w:val="Hyperlink"/>
    <w:basedOn w:val="Fuentedeprrafopredeter"/>
    <w:uiPriority w:val="99"/>
    <w:unhideWhenUsed/>
    <w:rsid w:val="00B850B8"/>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50B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850B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850B8"/>
    <w:pPr>
      <w:tabs>
        <w:tab w:val="center" w:pos="4419"/>
        <w:tab w:val="right" w:pos="8838"/>
      </w:tabs>
    </w:pPr>
  </w:style>
  <w:style w:type="character" w:customStyle="1" w:styleId="PiedepginaCar">
    <w:name w:val="Pie de página Car"/>
    <w:basedOn w:val="Fuentedeprrafopredeter"/>
    <w:link w:val="Piedepgina"/>
    <w:uiPriority w:val="99"/>
    <w:rsid w:val="00B850B8"/>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amatla.mx/gacetas-munidpales/"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497245.page" TargetMode="External"/><Relationship Id="rId12" Type="http://schemas.openxmlformats.org/officeDocument/2006/relationships/hyperlink" Target="https://saimex.org.mx/saimex/solicitud/downloadAttach/2506544.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506543.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2506542.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amatla.mx/wp-cofltent/uploads/2025/04/GACETA-9%20pagenumberl.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3195</Words>
  <Characters>17573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5</cp:revision>
  <dcterms:created xsi:type="dcterms:W3CDTF">2025-10-16T19:27:00Z</dcterms:created>
  <dcterms:modified xsi:type="dcterms:W3CDTF">2025-11-13T23:01:00Z</dcterms:modified>
</cp:coreProperties>
</file>