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CD7" w:rsidRDefault="00A97CD7">
      <w:pPr>
        <w:widowControl w:val="0"/>
        <w:pBdr>
          <w:top w:val="nil"/>
          <w:left w:val="nil"/>
          <w:bottom w:val="nil"/>
          <w:right w:val="nil"/>
          <w:between w:val="nil"/>
        </w:pBdr>
        <w:spacing w:after="0" w:line="276" w:lineRule="auto"/>
        <w:jc w:val="left"/>
      </w:pPr>
    </w:p>
    <w:p w:rsidR="00A97CD7" w:rsidRDefault="00A97CD7">
      <w:pPr>
        <w:tabs>
          <w:tab w:val="left" w:pos="8931"/>
        </w:tabs>
        <w:spacing w:after="0" w:line="360" w:lineRule="auto"/>
      </w:pPr>
    </w:p>
    <w:p w:rsidR="00A97CD7" w:rsidRDefault="00A97CD7">
      <w:pPr>
        <w:tabs>
          <w:tab w:val="left" w:pos="8931"/>
        </w:tabs>
        <w:spacing w:after="0" w:line="360" w:lineRule="auto"/>
      </w:pPr>
    </w:p>
    <w:p w:rsidR="00A97CD7" w:rsidRDefault="00A97CD7">
      <w:pPr>
        <w:tabs>
          <w:tab w:val="left" w:pos="8931"/>
        </w:tabs>
        <w:spacing w:after="0" w:line="360" w:lineRule="auto"/>
      </w:pPr>
    </w:p>
    <w:p w:rsidR="00A97CD7" w:rsidRPr="00487F93" w:rsidRDefault="004C3F0A">
      <w:pPr>
        <w:keepNext/>
        <w:keepLines/>
        <w:pBdr>
          <w:top w:val="nil"/>
          <w:left w:val="nil"/>
          <w:bottom w:val="nil"/>
          <w:right w:val="nil"/>
          <w:between w:val="nil"/>
        </w:pBdr>
        <w:spacing w:after="0" w:line="360" w:lineRule="auto"/>
        <w:jc w:val="center"/>
        <w:rPr>
          <w:color w:val="000000"/>
        </w:rPr>
      </w:pPr>
      <w:r w:rsidRPr="00487F93">
        <w:rPr>
          <w:color w:val="000000"/>
        </w:rPr>
        <w:t>RESOLUCIÓN DEL RECURSO DE REVISIÓN 02256/INFOEM/IP/RR/2025</w:t>
      </w:r>
    </w:p>
    <w:p w:rsidR="00A97CD7" w:rsidRPr="00487F93" w:rsidRDefault="00A97CD7">
      <w:pPr>
        <w:spacing w:after="0" w:line="360" w:lineRule="auto"/>
      </w:pPr>
    </w:p>
    <w:sdt>
      <w:sdtPr>
        <w:id w:val="-1020237460"/>
        <w:docPartObj>
          <w:docPartGallery w:val="Table of Contents"/>
          <w:docPartUnique/>
        </w:docPartObj>
      </w:sdtPr>
      <w:sdtEndPr/>
      <w:sdtContent>
        <w:p w:rsidR="00A97CD7" w:rsidRPr="00487F93" w:rsidRDefault="004C3F0A">
          <w:pPr>
            <w:pBdr>
              <w:top w:val="nil"/>
              <w:left w:val="nil"/>
              <w:bottom w:val="nil"/>
              <w:right w:val="nil"/>
              <w:between w:val="nil"/>
            </w:pBdr>
            <w:tabs>
              <w:tab w:val="right" w:pos="8921"/>
            </w:tabs>
            <w:spacing w:after="0" w:line="360" w:lineRule="auto"/>
            <w:rPr>
              <w:rFonts w:ascii="Cambria" w:eastAsia="Cambria" w:hAnsi="Cambria" w:cs="Cambria"/>
              <w:color w:val="000000"/>
            </w:rPr>
          </w:pPr>
          <w:r w:rsidRPr="00487F93">
            <w:fldChar w:fldCharType="begin"/>
          </w:r>
          <w:r w:rsidRPr="00487F93">
            <w:instrText xml:space="preserve"> TOC \h \u \z \t "Heading 1,1,Heading 2,2,Heading 3,3,"</w:instrText>
          </w:r>
          <w:r w:rsidRPr="00487F93">
            <w:fldChar w:fldCharType="separate"/>
          </w:r>
          <w:hyperlink w:anchor="_heading=h.ltz5ljrfbmvv">
            <w:r w:rsidRPr="00487F93">
              <w:rPr>
                <w:color w:val="000000"/>
              </w:rPr>
              <w:t>A N T E C E D E N T E S</w:t>
            </w:r>
            <w:r w:rsidRPr="00487F93">
              <w:rPr>
                <w:color w:val="000000"/>
              </w:rPr>
              <w:tab/>
              <w:t>2</w:t>
            </w:r>
          </w:hyperlink>
        </w:p>
        <w:p w:rsidR="00A97CD7" w:rsidRPr="00487F93" w:rsidRDefault="00776C74">
          <w:pPr>
            <w:pBdr>
              <w:top w:val="nil"/>
              <w:left w:val="nil"/>
              <w:bottom w:val="nil"/>
              <w:right w:val="nil"/>
              <w:between w:val="nil"/>
            </w:pBdr>
            <w:tabs>
              <w:tab w:val="right" w:pos="8921"/>
            </w:tabs>
            <w:spacing w:after="0" w:line="360" w:lineRule="auto"/>
            <w:ind w:left="220"/>
            <w:rPr>
              <w:rFonts w:ascii="Cambria" w:eastAsia="Cambria" w:hAnsi="Cambria" w:cs="Cambria"/>
              <w:color w:val="000000"/>
            </w:rPr>
          </w:pPr>
          <w:hyperlink w:anchor="_heading=h.244qk4jnzm86">
            <w:r w:rsidR="004C3F0A" w:rsidRPr="00487F93">
              <w:rPr>
                <w:color w:val="000000"/>
              </w:rPr>
              <w:t>I. Presentación de la solicitud de información</w:t>
            </w:r>
            <w:r w:rsidR="004C3F0A" w:rsidRPr="00487F93">
              <w:rPr>
                <w:color w:val="000000"/>
              </w:rPr>
              <w:tab/>
              <w:t>2</w:t>
            </w:r>
          </w:hyperlink>
        </w:p>
        <w:p w:rsidR="00A97CD7" w:rsidRPr="00487F93" w:rsidRDefault="00776C74">
          <w:pPr>
            <w:pBdr>
              <w:top w:val="nil"/>
              <w:left w:val="nil"/>
              <w:bottom w:val="nil"/>
              <w:right w:val="nil"/>
              <w:between w:val="nil"/>
            </w:pBdr>
            <w:tabs>
              <w:tab w:val="right" w:pos="8921"/>
            </w:tabs>
            <w:spacing w:after="0" w:line="360" w:lineRule="auto"/>
            <w:ind w:left="220"/>
            <w:rPr>
              <w:rFonts w:ascii="Cambria" w:eastAsia="Cambria" w:hAnsi="Cambria" w:cs="Cambria"/>
              <w:color w:val="000000"/>
            </w:rPr>
          </w:pPr>
          <w:hyperlink w:anchor="_heading=h.1y2yz6eyoxsa">
            <w:r w:rsidR="004C3F0A" w:rsidRPr="00487F93">
              <w:rPr>
                <w:color w:val="000000"/>
              </w:rPr>
              <w:t>II. Respuesta del Sujeto Obligado</w:t>
            </w:r>
            <w:r w:rsidR="004C3F0A" w:rsidRPr="00487F93">
              <w:rPr>
                <w:color w:val="000000"/>
              </w:rPr>
              <w:tab/>
              <w:t>3</w:t>
            </w:r>
          </w:hyperlink>
        </w:p>
        <w:p w:rsidR="00A97CD7" w:rsidRPr="00487F93" w:rsidRDefault="00776C74">
          <w:pPr>
            <w:pBdr>
              <w:top w:val="nil"/>
              <w:left w:val="nil"/>
              <w:bottom w:val="nil"/>
              <w:right w:val="nil"/>
              <w:between w:val="nil"/>
            </w:pBdr>
            <w:tabs>
              <w:tab w:val="right" w:pos="8921"/>
            </w:tabs>
            <w:spacing w:after="0" w:line="360" w:lineRule="auto"/>
            <w:ind w:left="220"/>
            <w:rPr>
              <w:rFonts w:ascii="Cambria" w:eastAsia="Cambria" w:hAnsi="Cambria" w:cs="Cambria"/>
              <w:color w:val="000000"/>
            </w:rPr>
          </w:pPr>
          <w:hyperlink w:anchor="_heading=h.v519memc06uk">
            <w:r w:rsidR="004C3F0A" w:rsidRPr="00487F93">
              <w:rPr>
                <w:color w:val="000000"/>
              </w:rPr>
              <w:t>III. Interposición del Recurso de Revisión</w:t>
            </w:r>
            <w:r w:rsidR="004C3F0A" w:rsidRPr="00487F93">
              <w:rPr>
                <w:color w:val="000000"/>
              </w:rPr>
              <w:tab/>
              <w:t>3</w:t>
            </w:r>
          </w:hyperlink>
        </w:p>
        <w:p w:rsidR="00A97CD7" w:rsidRPr="00487F93" w:rsidRDefault="00776C74">
          <w:pPr>
            <w:pBdr>
              <w:top w:val="nil"/>
              <w:left w:val="nil"/>
              <w:bottom w:val="nil"/>
              <w:right w:val="nil"/>
              <w:between w:val="nil"/>
            </w:pBdr>
            <w:tabs>
              <w:tab w:val="right" w:pos="8921"/>
            </w:tabs>
            <w:spacing w:after="0" w:line="360" w:lineRule="auto"/>
            <w:ind w:left="220"/>
            <w:rPr>
              <w:rFonts w:ascii="Cambria" w:eastAsia="Cambria" w:hAnsi="Cambria" w:cs="Cambria"/>
              <w:color w:val="000000"/>
            </w:rPr>
          </w:pPr>
          <w:hyperlink w:anchor="_heading=h.xtj9rgnpkrtb">
            <w:r w:rsidR="004C3F0A" w:rsidRPr="00487F93">
              <w:rPr>
                <w:color w:val="000000"/>
              </w:rPr>
              <w:t>IV. Trámite del Recurso de Revisión ante este Instituto</w:t>
            </w:r>
            <w:r w:rsidR="004C3F0A" w:rsidRPr="00487F93">
              <w:rPr>
                <w:color w:val="000000"/>
              </w:rPr>
              <w:tab/>
              <w:t>3</w:t>
            </w:r>
          </w:hyperlink>
        </w:p>
        <w:p w:rsidR="00A97CD7" w:rsidRPr="00487F93" w:rsidRDefault="00776C74">
          <w:pPr>
            <w:pBdr>
              <w:top w:val="nil"/>
              <w:left w:val="nil"/>
              <w:bottom w:val="nil"/>
              <w:right w:val="nil"/>
              <w:between w:val="nil"/>
            </w:pBdr>
            <w:tabs>
              <w:tab w:val="right" w:pos="8921"/>
            </w:tabs>
            <w:spacing w:after="0" w:line="360" w:lineRule="auto"/>
            <w:rPr>
              <w:rFonts w:ascii="Cambria" w:eastAsia="Cambria" w:hAnsi="Cambria" w:cs="Cambria"/>
              <w:color w:val="000000"/>
            </w:rPr>
          </w:pPr>
          <w:hyperlink w:anchor="_heading=h.7ow42afj5np4">
            <w:r w:rsidR="004C3F0A" w:rsidRPr="00487F93">
              <w:rPr>
                <w:color w:val="000000"/>
              </w:rPr>
              <w:t>C O N S I D E R A N D O S</w:t>
            </w:r>
            <w:r w:rsidR="004C3F0A" w:rsidRPr="00487F93">
              <w:rPr>
                <w:color w:val="000000"/>
              </w:rPr>
              <w:tab/>
              <w:t>6</w:t>
            </w:r>
          </w:hyperlink>
        </w:p>
        <w:p w:rsidR="00A97CD7" w:rsidRPr="00487F93" w:rsidRDefault="00776C74">
          <w:pPr>
            <w:pBdr>
              <w:top w:val="nil"/>
              <w:left w:val="nil"/>
              <w:bottom w:val="nil"/>
              <w:right w:val="nil"/>
              <w:between w:val="nil"/>
            </w:pBdr>
            <w:tabs>
              <w:tab w:val="right" w:pos="8921"/>
            </w:tabs>
            <w:spacing w:after="0" w:line="360" w:lineRule="auto"/>
            <w:ind w:left="220"/>
            <w:rPr>
              <w:rFonts w:ascii="Cambria" w:eastAsia="Cambria" w:hAnsi="Cambria" w:cs="Cambria"/>
              <w:color w:val="000000"/>
            </w:rPr>
          </w:pPr>
          <w:hyperlink w:anchor="_heading=h.j94og1dvkjvb">
            <w:r w:rsidR="004C3F0A" w:rsidRPr="00487F93">
              <w:rPr>
                <w:color w:val="000000"/>
              </w:rPr>
              <w:t>PRIMERO. Competencia</w:t>
            </w:r>
            <w:r w:rsidR="004C3F0A" w:rsidRPr="00487F93">
              <w:rPr>
                <w:color w:val="000000"/>
              </w:rPr>
              <w:tab/>
              <w:t>6</w:t>
            </w:r>
          </w:hyperlink>
        </w:p>
        <w:p w:rsidR="00A97CD7" w:rsidRPr="00487F93" w:rsidRDefault="00776C74">
          <w:pPr>
            <w:pBdr>
              <w:top w:val="nil"/>
              <w:left w:val="nil"/>
              <w:bottom w:val="nil"/>
              <w:right w:val="nil"/>
              <w:between w:val="nil"/>
            </w:pBdr>
            <w:tabs>
              <w:tab w:val="right" w:pos="8921"/>
            </w:tabs>
            <w:spacing w:after="0" w:line="360" w:lineRule="auto"/>
            <w:ind w:left="220"/>
            <w:rPr>
              <w:rFonts w:ascii="Cambria" w:eastAsia="Cambria" w:hAnsi="Cambria" w:cs="Cambria"/>
              <w:color w:val="000000"/>
            </w:rPr>
          </w:pPr>
          <w:hyperlink w:anchor="_heading=h.7oyjmos4abld">
            <w:r w:rsidR="004C3F0A" w:rsidRPr="00487F93">
              <w:rPr>
                <w:color w:val="000000"/>
              </w:rPr>
              <w:t>SEGUNDO. Causales de improcedencia y sobreseimiento</w:t>
            </w:r>
            <w:r w:rsidR="004C3F0A" w:rsidRPr="00487F93">
              <w:rPr>
                <w:color w:val="000000"/>
              </w:rPr>
              <w:tab/>
              <w:t>6</w:t>
            </w:r>
          </w:hyperlink>
        </w:p>
        <w:p w:rsidR="00A97CD7" w:rsidRPr="00487F93" w:rsidRDefault="00776C74">
          <w:pPr>
            <w:pBdr>
              <w:top w:val="nil"/>
              <w:left w:val="nil"/>
              <w:bottom w:val="nil"/>
              <w:right w:val="nil"/>
              <w:between w:val="nil"/>
            </w:pBdr>
            <w:tabs>
              <w:tab w:val="right" w:pos="8921"/>
            </w:tabs>
            <w:spacing w:after="0" w:line="360" w:lineRule="auto"/>
            <w:ind w:left="220"/>
            <w:rPr>
              <w:rFonts w:ascii="Cambria" w:eastAsia="Cambria" w:hAnsi="Cambria" w:cs="Cambria"/>
              <w:color w:val="000000"/>
            </w:rPr>
          </w:pPr>
          <w:hyperlink w:anchor="_heading=h.tyl74vlmb2c3">
            <w:r w:rsidR="004C3F0A" w:rsidRPr="00487F93">
              <w:rPr>
                <w:color w:val="000000"/>
              </w:rPr>
              <w:t>TERCERO. Determinación de la Controversia</w:t>
            </w:r>
            <w:r w:rsidR="004C3F0A" w:rsidRPr="00487F93">
              <w:rPr>
                <w:color w:val="000000"/>
              </w:rPr>
              <w:tab/>
              <w:t>8</w:t>
            </w:r>
          </w:hyperlink>
        </w:p>
        <w:p w:rsidR="00A97CD7" w:rsidRPr="00487F93" w:rsidRDefault="00776C74">
          <w:pPr>
            <w:pBdr>
              <w:top w:val="nil"/>
              <w:left w:val="nil"/>
              <w:bottom w:val="nil"/>
              <w:right w:val="nil"/>
              <w:between w:val="nil"/>
            </w:pBdr>
            <w:tabs>
              <w:tab w:val="right" w:pos="8921"/>
            </w:tabs>
            <w:spacing w:after="0" w:line="360" w:lineRule="auto"/>
            <w:ind w:left="220"/>
            <w:rPr>
              <w:rFonts w:ascii="Cambria" w:eastAsia="Cambria" w:hAnsi="Cambria" w:cs="Cambria"/>
              <w:color w:val="000000"/>
            </w:rPr>
          </w:pPr>
          <w:hyperlink w:anchor="_heading=h.nl9tatlldi34">
            <w:r w:rsidR="004C3F0A" w:rsidRPr="00487F93">
              <w:rPr>
                <w:color w:val="000000"/>
              </w:rPr>
              <w:t>CUARTO. Marco normativo aplicable en materia de transparencia y acceso a la información pública</w:t>
            </w:r>
            <w:r w:rsidR="004C3F0A" w:rsidRPr="00487F93">
              <w:rPr>
                <w:color w:val="000000"/>
              </w:rPr>
              <w:tab/>
              <w:t>9</w:t>
            </w:r>
          </w:hyperlink>
        </w:p>
        <w:p w:rsidR="00A97CD7" w:rsidRPr="00487F93" w:rsidRDefault="00776C74">
          <w:pPr>
            <w:pBdr>
              <w:top w:val="nil"/>
              <w:left w:val="nil"/>
              <w:bottom w:val="nil"/>
              <w:right w:val="nil"/>
              <w:between w:val="nil"/>
            </w:pBdr>
            <w:tabs>
              <w:tab w:val="right" w:pos="8921"/>
            </w:tabs>
            <w:spacing w:after="0" w:line="360" w:lineRule="auto"/>
            <w:ind w:left="220"/>
            <w:rPr>
              <w:rFonts w:ascii="Cambria" w:eastAsia="Cambria" w:hAnsi="Cambria" w:cs="Cambria"/>
              <w:color w:val="000000"/>
            </w:rPr>
          </w:pPr>
          <w:hyperlink w:anchor="_heading=h.ettyh7ygajwc">
            <w:r w:rsidR="004C3F0A" w:rsidRPr="00487F93">
              <w:rPr>
                <w:color w:val="000000"/>
              </w:rPr>
              <w:t>QUINTO. Estudio de Fondo</w:t>
            </w:r>
            <w:r w:rsidR="004C3F0A" w:rsidRPr="00487F93">
              <w:rPr>
                <w:color w:val="000000"/>
              </w:rPr>
              <w:tab/>
              <w:t>10</w:t>
            </w:r>
          </w:hyperlink>
        </w:p>
        <w:p w:rsidR="00A97CD7" w:rsidRPr="00487F93" w:rsidRDefault="00776C74">
          <w:pPr>
            <w:pBdr>
              <w:top w:val="nil"/>
              <w:left w:val="nil"/>
              <w:bottom w:val="nil"/>
              <w:right w:val="nil"/>
              <w:between w:val="nil"/>
            </w:pBdr>
            <w:tabs>
              <w:tab w:val="right" w:pos="8921"/>
            </w:tabs>
            <w:spacing w:after="0" w:line="360" w:lineRule="auto"/>
            <w:ind w:left="220"/>
            <w:rPr>
              <w:rFonts w:ascii="Cambria" w:eastAsia="Cambria" w:hAnsi="Cambria" w:cs="Cambria"/>
              <w:color w:val="000000"/>
            </w:rPr>
          </w:pPr>
          <w:hyperlink w:anchor="_heading=h.19n17ripnvwy">
            <w:r w:rsidR="004C3F0A" w:rsidRPr="00487F93">
              <w:rPr>
                <w:color w:val="000000"/>
              </w:rPr>
              <w:t>SEXTO. Decisión</w:t>
            </w:r>
            <w:r w:rsidR="004C3F0A" w:rsidRPr="00487F93">
              <w:rPr>
                <w:color w:val="000000"/>
              </w:rPr>
              <w:tab/>
              <w:t>16</w:t>
            </w:r>
          </w:hyperlink>
        </w:p>
        <w:p w:rsidR="00A97CD7" w:rsidRPr="00487F93" w:rsidRDefault="00776C74">
          <w:pPr>
            <w:pBdr>
              <w:top w:val="nil"/>
              <w:left w:val="nil"/>
              <w:bottom w:val="nil"/>
              <w:right w:val="nil"/>
              <w:between w:val="nil"/>
            </w:pBdr>
            <w:tabs>
              <w:tab w:val="right" w:pos="8921"/>
            </w:tabs>
            <w:spacing w:after="0" w:line="360" w:lineRule="auto"/>
            <w:rPr>
              <w:rFonts w:ascii="Cambria" w:eastAsia="Cambria" w:hAnsi="Cambria" w:cs="Cambria"/>
              <w:color w:val="000000"/>
            </w:rPr>
          </w:pPr>
          <w:hyperlink w:anchor="_heading=h.6x9r6y9tky96">
            <w:r w:rsidR="004C3F0A" w:rsidRPr="00487F93">
              <w:rPr>
                <w:color w:val="000000"/>
              </w:rPr>
              <w:t>R E S U E L V E</w:t>
            </w:r>
            <w:r w:rsidR="004C3F0A" w:rsidRPr="00487F93">
              <w:rPr>
                <w:color w:val="000000"/>
              </w:rPr>
              <w:tab/>
              <w:t>17</w:t>
            </w:r>
          </w:hyperlink>
        </w:p>
        <w:p w:rsidR="00A97CD7" w:rsidRPr="00487F93" w:rsidRDefault="004C3F0A">
          <w:pPr>
            <w:spacing w:after="0" w:line="360" w:lineRule="auto"/>
          </w:pPr>
          <w:r w:rsidRPr="00487F93">
            <w:fldChar w:fldCharType="end"/>
          </w:r>
        </w:p>
      </w:sdtContent>
    </w:sdt>
    <w:p w:rsidR="00A97CD7" w:rsidRPr="00487F93" w:rsidRDefault="00A97CD7">
      <w:pPr>
        <w:tabs>
          <w:tab w:val="left" w:pos="8931"/>
        </w:tabs>
        <w:spacing w:after="0" w:line="360" w:lineRule="auto"/>
      </w:pPr>
    </w:p>
    <w:p w:rsidR="00A97CD7" w:rsidRPr="00487F93" w:rsidRDefault="00A97CD7">
      <w:pPr>
        <w:tabs>
          <w:tab w:val="left" w:pos="8931"/>
        </w:tabs>
        <w:spacing w:after="0" w:line="360" w:lineRule="auto"/>
      </w:pPr>
    </w:p>
    <w:p w:rsidR="00A97CD7" w:rsidRPr="00487F93" w:rsidRDefault="00A97CD7">
      <w:pPr>
        <w:tabs>
          <w:tab w:val="left" w:pos="8931"/>
        </w:tabs>
        <w:spacing w:after="0" w:line="360" w:lineRule="auto"/>
      </w:pPr>
    </w:p>
    <w:p w:rsidR="00A97CD7" w:rsidRPr="00487F93" w:rsidRDefault="00A97CD7">
      <w:pPr>
        <w:tabs>
          <w:tab w:val="left" w:pos="8931"/>
        </w:tabs>
        <w:spacing w:after="0" w:line="360" w:lineRule="auto"/>
      </w:pPr>
    </w:p>
    <w:p w:rsidR="00A97CD7" w:rsidRPr="00487F93" w:rsidRDefault="00A97CD7">
      <w:pPr>
        <w:tabs>
          <w:tab w:val="left" w:pos="8931"/>
        </w:tabs>
        <w:spacing w:after="0" w:line="360" w:lineRule="auto"/>
      </w:pPr>
    </w:p>
    <w:p w:rsidR="00A97CD7" w:rsidRPr="00487F93" w:rsidRDefault="00A97CD7">
      <w:pPr>
        <w:tabs>
          <w:tab w:val="left" w:pos="8931"/>
        </w:tabs>
        <w:spacing w:after="0" w:line="360" w:lineRule="auto"/>
      </w:pPr>
    </w:p>
    <w:p w:rsidR="00A97CD7" w:rsidRPr="00487F93" w:rsidRDefault="00A97CD7">
      <w:pPr>
        <w:tabs>
          <w:tab w:val="left" w:pos="8931"/>
        </w:tabs>
        <w:spacing w:after="0" w:line="360" w:lineRule="auto"/>
      </w:pPr>
    </w:p>
    <w:p w:rsidR="00A97CD7" w:rsidRPr="00487F93" w:rsidRDefault="004C3F0A">
      <w:pPr>
        <w:tabs>
          <w:tab w:val="left" w:pos="8931"/>
        </w:tabs>
        <w:spacing w:after="0" w:line="360" w:lineRule="auto"/>
      </w:pPr>
      <w:r w:rsidRPr="00487F93">
        <w:lastRenderedPageBreak/>
        <w:t xml:space="preserve">Resolución del Pleno del Instituto de Transparencia, Acceso a la Información Pública y Protección de Datos Personales del Estado de México y Municipios, con domicilio en Metepec, Estado de México, de fecha dos de abril de dos mil veinticinco. </w:t>
      </w:r>
    </w:p>
    <w:p w:rsidR="00A97CD7" w:rsidRPr="00487F93" w:rsidRDefault="00A97CD7">
      <w:pPr>
        <w:spacing w:after="0" w:line="360" w:lineRule="auto"/>
        <w:rPr>
          <w:b/>
        </w:rPr>
      </w:pPr>
    </w:p>
    <w:p w:rsidR="00A97CD7" w:rsidRPr="00487F93" w:rsidRDefault="004C3F0A">
      <w:pPr>
        <w:spacing w:after="0" w:line="360" w:lineRule="auto"/>
        <w:rPr>
          <w:color w:val="0D0D0D"/>
        </w:rPr>
      </w:pPr>
      <w:r w:rsidRPr="00487F93">
        <w:rPr>
          <w:b/>
        </w:rPr>
        <w:t xml:space="preserve">VISTO </w:t>
      </w:r>
      <w:r w:rsidRPr="00487F93">
        <w:t xml:space="preserve">el expediente electrónico conformado con motivo del Recurso de Revisión </w:t>
      </w:r>
      <w:r w:rsidRPr="002E3037">
        <w:rPr>
          <w:b/>
        </w:rPr>
        <w:t>02256/INFOEM/IP/RR/2025</w:t>
      </w:r>
      <w:r w:rsidRPr="00487F93">
        <w:t xml:space="preserve">, interpuesto por </w:t>
      </w:r>
      <w:r w:rsidR="0021473F" w:rsidRPr="0021473F">
        <w:rPr>
          <w:highlight w:val="black"/>
        </w:rPr>
        <w:t>XXXXXXXXXX</w:t>
      </w:r>
      <w:r w:rsidRPr="00487F93">
        <w:rPr>
          <w:color w:val="0D0D0D"/>
        </w:rPr>
        <w:t xml:space="preserve">, en contra de la respuesta del Sujeto Obligado, </w:t>
      </w:r>
      <w:r w:rsidRPr="002E3037">
        <w:rPr>
          <w:b/>
          <w:color w:val="0D0D0D"/>
        </w:rPr>
        <w:t>Ayuntamiento de Ozumba</w:t>
      </w:r>
      <w:r w:rsidRPr="00487F93">
        <w:t>,</w:t>
      </w:r>
      <w:r w:rsidRPr="00487F93">
        <w:rPr>
          <w:color w:val="0D0D0D"/>
        </w:rPr>
        <w:t xml:space="preserve"> a la solicitud de acceso a la información pública </w:t>
      </w:r>
      <w:r w:rsidRPr="00487F93">
        <w:t>00032/OZUMBA/IP/2025</w:t>
      </w:r>
      <w:r w:rsidRPr="00487F93">
        <w:rPr>
          <w:color w:val="000000"/>
        </w:rPr>
        <w:t xml:space="preserve">, </w:t>
      </w:r>
      <w:r w:rsidRPr="00487F93">
        <w:rPr>
          <w:color w:val="0D0D0D"/>
        </w:rPr>
        <w:t>se emite la presente Resolución, con base en los Antecedentes y Considerandos que se exponen a continuación:</w:t>
      </w:r>
      <w:bookmarkStart w:id="0" w:name="_GoBack"/>
      <w:bookmarkEnd w:id="0"/>
    </w:p>
    <w:p w:rsidR="00A97CD7" w:rsidRPr="00487F93" w:rsidRDefault="00A97CD7">
      <w:pPr>
        <w:spacing w:after="0" w:line="360" w:lineRule="auto"/>
        <w:rPr>
          <w:b/>
        </w:rPr>
      </w:pPr>
    </w:p>
    <w:p w:rsidR="00A97CD7" w:rsidRPr="00487F93" w:rsidRDefault="004C3F0A">
      <w:pPr>
        <w:pStyle w:val="Ttulo1"/>
        <w:spacing w:before="0" w:after="0" w:line="360" w:lineRule="auto"/>
        <w:jc w:val="center"/>
        <w:rPr>
          <w:sz w:val="22"/>
          <w:szCs w:val="22"/>
        </w:rPr>
      </w:pPr>
      <w:bookmarkStart w:id="1" w:name="_heading=h.ltz5ljrfbmvv" w:colFirst="0" w:colLast="0"/>
      <w:bookmarkEnd w:id="1"/>
      <w:r w:rsidRPr="00487F93">
        <w:rPr>
          <w:sz w:val="22"/>
          <w:szCs w:val="22"/>
        </w:rPr>
        <w:t>A N T E C E D E N T E S</w:t>
      </w:r>
    </w:p>
    <w:p w:rsidR="00A97CD7" w:rsidRPr="00487F93" w:rsidRDefault="00A97CD7">
      <w:pPr>
        <w:spacing w:after="0" w:line="360" w:lineRule="auto"/>
        <w:jc w:val="center"/>
        <w:rPr>
          <w:b/>
        </w:rPr>
      </w:pPr>
    </w:p>
    <w:p w:rsidR="00A97CD7" w:rsidRPr="00487F93" w:rsidRDefault="004C3F0A">
      <w:pPr>
        <w:pStyle w:val="Ttulo2"/>
        <w:spacing w:before="0" w:after="0" w:line="360" w:lineRule="auto"/>
        <w:rPr>
          <w:sz w:val="22"/>
          <w:szCs w:val="22"/>
        </w:rPr>
      </w:pPr>
      <w:bookmarkStart w:id="2" w:name="_heading=h.244qk4jnzm86" w:colFirst="0" w:colLast="0"/>
      <w:bookmarkEnd w:id="2"/>
      <w:r w:rsidRPr="00487F93">
        <w:rPr>
          <w:sz w:val="22"/>
          <w:szCs w:val="22"/>
        </w:rPr>
        <w:t>I. Presentación de la solicitud de información</w:t>
      </w:r>
    </w:p>
    <w:p w:rsidR="00A97CD7" w:rsidRPr="00487F93" w:rsidRDefault="00A97CD7">
      <w:pPr>
        <w:tabs>
          <w:tab w:val="left" w:pos="567"/>
        </w:tabs>
        <w:spacing w:after="0" w:line="360" w:lineRule="auto"/>
      </w:pPr>
    </w:p>
    <w:p w:rsidR="00A97CD7" w:rsidRPr="00487F93" w:rsidRDefault="004C3F0A">
      <w:pPr>
        <w:spacing w:after="0" w:line="360" w:lineRule="auto"/>
      </w:pPr>
      <w:r w:rsidRPr="00487F93">
        <w:t xml:space="preserve">El veinticuatro de enero de dos mil veinticinco, el Particular presentó una solicitud de acceso a la información pública, a través del Sistema de Acceso a la Información Mexiquense (SAIMEX), ante el Ayuntamiento de Ozumba en los siguientes términos: </w:t>
      </w:r>
    </w:p>
    <w:p w:rsidR="00A97CD7" w:rsidRPr="00487F93" w:rsidRDefault="00A97CD7">
      <w:pPr>
        <w:spacing w:after="0" w:line="360" w:lineRule="auto"/>
      </w:pPr>
    </w:p>
    <w:p w:rsidR="00A97CD7" w:rsidRPr="00487F93" w:rsidRDefault="004C3F0A">
      <w:pPr>
        <w:tabs>
          <w:tab w:val="left" w:pos="4667"/>
        </w:tabs>
        <w:spacing w:after="0" w:line="360" w:lineRule="auto"/>
        <w:ind w:left="567" w:right="567"/>
        <w:rPr>
          <w:b/>
          <w:i/>
          <w:sz w:val="20"/>
          <w:szCs w:val="20"/>
        </w:rPr>
      </w:pPr>
      <w:r w:rsidRPr="00487F93">
        <w:rPr>
          <w:b/>
          <w:i/>
          <w:sz w:val="20"/>
          <w:szCs w:val="20"/>
        </w:rPr>
        <w:t>“DESCRIPCIÓN CLARA Y PRECISA DE LA INFORMACIÓN SOLICITADA</w:t>
      </w:r>
    </w:p>
    <w:p w:rsidR="00A97CD7" w:rsidRPr="00487F93" w:rsidRDefault="004C3F0A">
      <w:pPr>
        <w:tabs>
          <w:tab w:val="left" w:pos="4667"/>
        </w:tabs>
        <w:spacing w:after="0" w:line="360" w:lineRule="auto"/>
        <w:ind w:left="567" w:right="567"/>
        <w:rPr>
          <w:i/>
          <w:sz w:val="20"/>
          <w:szCs w:val="20"/>
        </w:rPr>
      </w:pPr>
      <w:r w:rsidRPr="00487F93">
        <w:rPr>
          <w:i/>
          <w:sz w:val="20"/>
          <w:szCs w:val="20"/>
        </w:rPr>
        <w:t xml:space="preserve">Con fundamento en el </w:t>
      </w:r>
      <w:proofErr w:type="spellStart"/>
      <w:r w:rsidRPr="00487F93">
        <w:rPr>
          <w:i/>
          <w:sz w:val="20"/>
          <w:szCs w:val="20"/>
        </w:rPr>
        <w:t>articulo</w:t>
      </w:r>
      <w:proofErr w:type="spellEnd"/>
      <w:r w:rsidRPr="00487F93">
        <w:rPr>
          <w:i/>
          <w:sz w:val="20"/>
          <w:szCs w:val="20"/>
        </w:rPr>
        <w:t xml:space="preserve"> 6 Constitucional, solicito los </w:t>
      </w:r>
      <w:proofErr w:type="spellStart"/>
      <w:r w:rsidRPr="00487F93">
        <w:rPr>
          <w:i/>
          <w:sz w:val="20"/>
          <w:szCs w:val="20"/>
        </w:rPr>
        <w:t>Curriculum</w:t>
      </w:r>
      <w:proofErr w:type="spellEnd"/>
      <w:r w:rsidRPr="00487F93">
        <w:rPr>
          <w:i/>
          <w:sz w:val="20"/>
          <w:szCs w:val="20"/>
        </w:rPr>
        <w:t xml:space="preserve"> vitae, Nombramiento y documento que contenga el sueldo de la C. Araceli Rodríguez Martínez.” (Sic.)</w:t>
      </w:r>
    </w:p>
    <w:p w:rsidR="00A97CD7" w:rsidRPr="00487F93" w:rsidRDefault="00A97CD7">
      <w:pPr>
        <w:tabs>
          <w:tab w:val="left" w:pos="4667"/>
        </w:tabs>
        <w:spacing w:after="0" w:line="360" w:lineRule="auto"/>
        <w:ind w:left="567" w:right="567"/>
        <w:rPr>
          <w:b/>
          <w:i/>
          <w:sz w:val="20"/>
          <w:szCs w:val="20"/>
        </w:rPr>
      </w:pPr>
    </w:p>
    <w:p w:rsidR="00A97CD7" w:rsidRPr="00487F93" w:rsidRDefault="004C3F0A">
      <w:pPr>
        <w:tabs>
          <w:tab w:val="left" w:pos="4667"/>
        </w:tabs>
        <w:spacing w:after="0" w:line="360" w:lineRule="auto"/>
        <w:ind w:left="567" w:right="567"/>
        <w:rPr>
          <w:b/>
          <w:i/>
          <w:sz w:val="20"/>
          <w:szCs w:val="20"/>
        </w:rPr>
      </w:pPr>
      <w:r w:rsidRPr="00487F93">
        <w:rPr>
          <w:b/>
          <w:i/>
          <w:sz w:val="20"/>
          <w:szCs w:val="20"/>
        </w:rPr>
        <w:t>“MODALIDAD DE ENTREGA</w:t>
      </w:r>
    </w:p>
    <w:p w:rsidR="00A97CD7" w:rsidRPr="00487F93" w:rsidRDefault="004C3F0A">
      <w:pPr>
        <w:spacing w:after="0" w:line="360" w:lineRule="auto"/>
        <w:ind w:left="567" w:right="567"/>
        <w:rPr>
          <w:i/>
          <w:sz w:val="20"/>
          <w:szCs w:val="20"/>
        </w:rPr>
      </w:pPr>
      <w:r w:rsidRPr="00487F93">
        <w:rPr>
          <w:i/>
          <w:sz w:val="20"/>
          <w:szCs w:val="20"/>
        </w:rPr>
        <w:t>A través del SAIMEX”</w:t>
      </w:r>
    </w:p>
    <w:p w:rsidR="00A97CD7" w:rsidRPr="00487F93" w:rsidRDefault="00A97CD7">
      <w:pPr>
        <w:spacing w:after="0" w:line="360" w:lineRule="auto"/>
        <w:ind w:left="567" w:right="567"/>
        <w:rPr>
          <w:i/>
          <w:sz w:val="20"/>
          <w:szCs w:val="20"/>
        </w:rPr>
      </w:pPr>
    </w:p>
    <w:p w:rsidR="00A97CD7" w:rsidRPr="00487F93" w:rsidRDefault="00A97CD7">
      <w:pPr>
        <w:spacing w:after="0" w:line="360" w:lineRule="auto"/>
        <w:ind w:left="567" w:right="567"/>
        <w:rPr>
          <w:i/>
          <w:sz w:val="20"/>
          <w:szCs w:val="20"/>
        </w:rPr>
      </w:pPr>
    </w:p>
    <w:p w:rsidR="00A97CD7" w:rsidRPr="00487F93" w:rsidRDefault="004C3F0A">
      <w:pPr>
        <w:pStyle w:val="Ttulo2"/>
        <w:spacing w:before="0" w:after="0" w:line="360" w:lineRule="auto"/>
        <w:rPr>
          <w:sz w:val="22"/>
          <w:szCs w:val="22"/>
        </w:rPr>
      </w:pPr>
      <w:bookmarkStart w:id="3" w:name="_heading=h.1y2yz6eyoxsa" w:colFirst="0" w:colLast="0"/>
      <w:bookmarkEnd w:id="3"/>
      <w:r w:rsidRPr="00487F93">
        <w:rPr>
          <w:sz w:val="22"/>
          <w:szCs w:val="22"/>
        </w:rPr>
        <w:lastRenderedPageBreak/>
        <w:t>II. Respuesta del Sujeto Obligado</w:t>
      </w:r>
    </w:p>
    <w:p w:rsidR="00A97CD7" w:rsidRPr="00487F93" w:rsidRDefault="00A97CD7">
      <w:pPr>
        <w:spacing w:after="0" w:line="360" w:lineRule="auto"/>
        <w:rPr>
          <w:b/>
        </w:rPr>
      </w:pPr>
    </w:p>
    <w:p w:rsidR="00A97CD7" w:rsidRPr="00487F93" w:rsidRDefault="004C3F0A">
      <w:pPr>
        <w:spacing w:after="0" w:line="360" w:lineRule="auto"/>
      </w:pPr>
      <w:r w:rsidRPr="00487F93">
        <w:t xml:space="preserve">El diecinueve de febrero de dos mil veinticinco, el Sujeto Obligado notificó, a través del Sistema de Acceso a la Información Mexiquense (SAIMEX), la respuesta a la solicitud de acceso a la información pública, por medio del cual proporcionó el Nombramiento y </w:t>
      </w:r>
      <w:r w:rsidRPr="00487F93">
        <w:rPr>
          <w:i/>
        </w:rPr>
        <w:t>Currículum Vitae</w:t>
      </w:r>
      <w:r w:rsidRPr="00487F93">
        <w:t xml:space="preserve"> de la Directora de Recursos Humanos.</w:t>
      </w:r>
    </w:p>
    <w:p w:rsidR="00A97CD7" w:rsidRPr="00487F93" w:rsidRDefault="00A97CD7">
      <w:pPr>
        <w:spacing w:after="0" w:line="360" w:lineRule="auto"/>
      </w:pPr>
    </w:p>
    <w:p w:rsidR="00A97CD7" w:rsidRPr="00487F93" w:rsidRDefault="004C3F0A">
      <w:pPr>
        <w:pStyle w:val="Ttulo2"/>
        <w:spacing w:before="0" w:after="0" w:line="360" w:lineRule="auto"/>
        <w:rPr>
          <w:sz w:val="22"/>
          <w:szCs w:val="22"/>
        </w:rPr>
      </w:pPr>
      <w:bookmarkStart w:id="4" w:name="_heading=h.v519memc06uk" w:colFirst="0" w:colLast="0"/>
      <w:bookmarkEnd w:id="4"/>
      <w:r w:rsidRPr="00487F93">
        <w:rPr>
          <w:sz w:val="22"/>
          <w:szCs w:val="22"/>
        </w:rPr>
        <w:t>III. Interposición del Recurso de Revisión</w:t>
      </w:r>
    </w:p>
    <w:p w:rsidR="00A97CD7" w:rsidRPr="00487F93" w:rsidRDefault="00A97CD7">
      <w:pPr>
        <w:spacing w:after="0" w:line="360" w:lineRule="auto"/>
        <w:rPr>
          <w:b/>
        </w:rPr>
      </w:pPr>
    </w:p>
    <w:p w:rsidR="00A97CD7" w:rsidRPr="00487F93" w:rsidRDefault="004C3F0A">
      <w:pPr>
        <w:spacing w:after="0" w:line="360" w:lineRule="auto"/>
      </w:pPr>
      <w:r w:rsidRPr="00487F93">
        <w:t>El veintiocho de febrero de dos mil veinticinco, se recibió en este Instituto, a través del Sistema de Acceso a la Información Mexiquense (SAIMEX), el Recurso de Revisión interpuesto por la persona Recurrente, en contra de la respuesta por el Sujeto Obligado, a la solicitud de información, en los siguientes términos:</w:t>
      </w:r>
    </w:p>
    <w:p w:rsidR="00A97CD7" w:rsidRPr="00487F93" w:rsidRDefault="00A97CD7">
      <w:pPr>
        <w:spacing w:after="0" w:line="360" w:lineRule="auto"/>
      </w:pPr>
    </w:p>
    <w:p w:rsidR="00A97CD7" w:rsidRPr="00487F93" w:rsidRDefault="004C3F0A">
      <w:pPr>
        <w:spacing w:after="0" w:line="360" w:lineRule="auto"/>
        <w:ind w:left="567" w:right="567"/>
        <w:rPr>
          <w:i/>
          <w:sz w:val="20"/>
          <w:szCs w:val="20"/>
        </w:rPr>
      </w:pPr>
      <w:r w:rsidRPr="00487F93">
        <w:rPr>
          <w:b/>
          <w:i/>
          <w:sz w:val="20"/>
          <w:szCs w:val="20"/>
        </w:rPr>
        <w:t>‘’ACTO IMPUGNADO</w:t>
      </w:r>
    </w:p>
    <w:p w:rsidR="00A97CD7" w:rsidRPr="00487F93" w:rsidRDefault="004C3F0A">
      <w:pPr>
        <w:spacing w:after="0" w:line="360" w:lineRule="auto"/>
        <w:ind w:left="567" w:right="567"/>
        <w:rPr>
          <w:i/>
          <w:sz w:val="20"/>
          <w:szCs w:val="20"/>
        </w:rPr>
      </w:pPr>
      <w:r w:rsidRPr="00487F93">
        <w:rPr>
          <w:i/>
          <w:sz w:val="20"/>
          <w:szCs w:val="20"/>
        </w:rPr>
        <w:t>Información Incompleta” (Sic.)</w:t>
      </w:r>
    </w:p>
    <w:p w:rsidR="00A97CD7" w:rsidRPr="00487F93" w:rsidRDefault="00A97CD7">
      <w:pPr>
        <w:spacing w:after="0" w:line="360" w:lineRule="auto"/>
        <w:ind w:left="567" w:right="567"/>
        <w:rPr>
          <w:i/>
          <w:sz w:val="20"/>
          <w:szCs w:val="20"/>
        </w:rPr>
      </w:pPr>
    </w:p>
    <w:p w:rsidR="00A97CD7" w:rsidRPr="00487F93" w:rsidRDefault="004C3F0A">
      <w:pPr>
        <w:spacing w:after="0" w:line="360" w:lineRule="auto"/>
        <w:ind w:left="567" w:right="567"/>
        <w:rPr>
          <w:b/>
          <w:i/>
          <w:sz w:val="20"/>
          <w:szCs w:val="20"/>
        </w:rPr>
      </w:pPr>
      <w:r w:rsidRPr="00487F93">
        <w:rPr>
          <w:b/>
          <w:i/>
          <w:sz w:val="20"/>
          <w:szCs w:val="20"/>
        </w:rPr>
        <w:t>‘’RAZONES O MOTIVOS DE LA INCONFORMIDAD</w:t>
      </w:r>
    </w:p>
    <w:p w:rsidR="00A97CD7" w:rsidRPr="00487F93" w:rsidRDefault="004C3F0A">
      <w:pPr>
        <w:spacing w:after="0" w:line="360" w:lineRule="auto"/>
        <w:ind w:left="567" w:right="567"/>
        <w:rPr>
          <w:i/>
          <w:sz w:val="20"/>
          <w:szCs w:val="20"/>
        </w:rPr>
      </w:pPr>
      <w:r w:rsidRPr="00487F93">
        <w:rPr>
          <w:i/>
          <w:sz w:val="20"/>
          <w:szCs w:val="20"/>
        </w:rPr>
        <w:t xml:space="preserve">Me niegan el documento que contenga el sueldo de la C. Araceli Rodríguez Martínez; lo cual debe ser </w:t>
      </w:r>
      <w:proofErr w:type="spellStart"/>
      <w:r w:rsidRPr="00487F93">
        <w:rPr>
          <w:i/>
          <w:sz w:val="20"/>
          <w:szCs w:val="20"/>
        </w:rPr>
        <w:t>publico</w:t>
      </w:r>
      <w:proofErr w:type="spellEnd"/>
      <w:r w:rsidRPr="00487F93">
        <w:rPr>
          <w:i/>
          <w:sz w:val="20"/>
          <w:szCs w:val="20"/>
        </w:rPr>
        <w:t xml:space="preserve">.” </w:t>
      </w:r>
    </w:p>
    <w:p w:rsidR="00A97CD7" w:rsidRPr="00487F93" w:rsidRDefault="00A97CD7">
      <w:pPr>
        <w:spacing w:after="0" w:line="360" w:lineRule="auto"/>
        <w:ind w:left="567" w:right="567" w:firstLine="32"/>
        <w:rPr>
          <w:i/>
          <w:sz w:val="20"/>
          <w:szCs w:val="20"/>
        </w:rPr>
      </w:pPr>
    </w:p>
    <w:p w:rsidR="00A97CD7" w:rsidRPr="00487F93" w:rsidRDefault="004C3F0A">
      <w:pPr>
        <w:pStyle w:val="Ttulo2"/>
        <w:spacing w:before="0" w:after="0" w:line="360" w:lineRule="auto"/>
        <w:rPr>
          <w:sz w:val="22"/>
          <w:szCs w:val="22"/>
        </w:rPr>
      </w:pPr>
      <w:bookmarkStart w:id="5" w:name="_heading=h.xtj9rgnpkrtb" w:colFirst="0" w:colLast="0"/>
      <w:bookmarkEnd w:id="5"/>
      <w:r w:rsidRPr="00487F93">
        <w:rPr>
          <w:sz w:val="22"/>
          <w:szCs w:val="22"/>
        </w:rPr>
        <w:t>IV. Trámite del Recurso de Revisión ante este Instituto</w:t>
      </w:r>
    </w:p>
    <w:p w:rsidR="00A97CD7" w:rsidRPr="00487F93" w:rsidRDefault="00A97CD7">
      <w:pPr>
        <w:spacing w:after="0" w:line="360" w:lineRule="auto"/>
        <w:rPr>
          <w:b/>
        </w:rPr>
      </w:pPr>
    </w:p>
    <w:p w:rsidR="00A97CD7" w:rsidRPr="00487F93" w:rsidRDefault="004C3F0A">
      <w:pPr>
        <w:spacing w:after="0" w:line="360" w:lineRule="auto"/>
      </w:pPr>
      <w:r w:rsidRPr="00487F93">
        <w:rPr>
          <w:b/>
        </w:rPr>
        <w:t>a) Turno del Medio de Impugnación.</w:t>
      </w:r>
      <w:r w:rsidRPr="00487F93">
        <w:t xml:space="preserve"> El veintiocho de febrero de dos mil veinticinco, el Sistema de Acceso a la Información Mexiquense (SAIMEX), asignó el número de expediente </w:t>
      </w:r>
      <w:r w:rsidRPr="00487F93">
        <w:rPr>
          <w:b/>
        </w:rPr>
        <w:t>02256/INFOEM/IP/RR/2025</w:t>
      </w:r>
      <w:r w:rsidRPr="00487F93">
        <w:t xml:space="preserve">, al medio de impugnación que nos ocupa, con base en el sistema aprobado por el Pleno de este Organismo Garante y lo turnó al Comisionado Ponente Luis </w:t>
      </w:r>
      <w:r w:rsidRPr="00487F93">
        <w:lastRenderedPageBreak/>
        <w:t>Gustavo Parra Noriega, para los efectos del artículo 185, fracción I de la Ley de Transparencia y Acceso a la Información Pública del Estado de México y Municipios.</w:t>
      </w:r>
    </w:p>
    <w:p w:rsidR="00A97CD7" w:rsidRPr="00487F93" w:rsidRDefault="00A97CD7">
      <w:pPr>
        <w:spacing w:after="0" w:line="360" w:lineRule="auto"/>
        <w:rPr>
          <w:b/>
        </w:rPr>
      </w:pPr>
    </w:p>
    <w:p w:rsidR="00A97CD7" w:rsidRPr="00487F93" w:rsidRDefault="004C3F0A">
      <w:pPr>
        <w:spacing w:after="0" w:line="360" w:lineRule="auto"/>
      </w:pPr>
      <w:r w:rsidRPr="00487F93">
        <w:rPr>
          <w:b/>
        </w:rPr>
        <w:t xml:space="preserve">b) Admisión del Recurso de Revisión. </w:t>
      </w:r>
      <w:r w:rsidRPr="00487F93">
        <w:t>El seis de marzo de dos mil veinticinco,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formularán alegatos.</w:t>
      </w:r>
    </w:p>
    <w:p w:rsidR="00A97CD7" w:rsidRPr="00487F93" w:rsidRDefault="00A97CD7">
      <w:pPr>
        <w:spacing w:after="0" w:line="360" w:lineRule="auto"/>
      </w:pPr>
    </w:p>
    <w:p w:rsidR="00A97CD7" w:rsidRPr="00487F93" w:rsidRDefault="004C3F0A">
      <w:pPr>
        <w:spacing w:after="0" w:line="360" w:lineRule="auto"/>
      </w:pPr>
      <w:r w:rsidRPr="00487F93">
        <w:rPr>
          <w:b/>
        </w:rPr>
        <w:t xml:space="preserve">c) Informe Justificado. </w:t>
      </w:r>
      <w:r w:rsidRPr="00487F93">
        <w:t>El diecinueve de marzo de dos mil veinticinco, a través del Sistema de Acceso a la Información Mexiquense (SAIMEX), se recibió en este Instituto el informe justificado por parte del Sujeto Obligado a través de un oficio con número TM/OZU/302/2025,  del diez de marzo de dos mil veinticinco, suscrito por el Tesorero Municipal y dirigido al Titular de la Unidad de Transparencia, por medio del cual menciona lo siguiente:</w:t>
      </w:r>
    </w:p>
    <w:p w:rsidR="00A97CD7" w:rsidRPr="00487F93" w:rsidRDefault="00A97CD7">
      <w:pPr>
        <w:spacing w:after="0" w:line="360" w:lineRule="auto"/>
      </w:pPr>
    </w:p>
    <w:p w:rsidR="00A97CD7" w:rsidRPr="00487F93" w:rsidRDefault="004C3F0A">
      <w:pPr>
        <w:pBdr>
          <w:top w:val="nil"/>
          <w:left w:val="nil"/>
          <w:bottom w:val="nil"/>
          <w:right w:val="nil"/>
          <w:between w:val="nil"/>
        </w:pBdr>
        <w:spacing w:after="0" w:line="360" w:lineRule="auto"/>
        <w:ind w:left="567" w:right="567"/>
        <w:rPr>
          <w:color w:val="000000"/>
          <w:sz w:val="20"/>
          <w:szCs w:val="20"/>
        </w:rPr>
      </w:pPr>
      <w:r w:rsidRPr="00487F93">
        <w:rPr>
          <w:color w:val="000000"/>
          <w:sz w:val="20"/>
          <w:szCs w:val="20"/>
        </w:rPr>
        <w:t>“…</w:t>
      </w:r>
    </w:p>
    <w:p w:rsidR="00A97CD7" w:rsidRPr="00487F93" w:rsidRDefault="004C3F0A">
      <w:pPr>
        <w:pBdr>
          <w:top w:val="nil"/>
          <w:left w:val="nil"/>
          <w:bottom w:val="nil"/>
          <w:right w:val="nil"/>
          <w:between w:val="nil"/>
        </w:pBdr>
        <w:spacing w:after="0" w:line="360" w:lineRule="auto"/>
        <w:ind w:left="567" w:right="567"/>
        <w:rPr>
          <w:i/>
          <w:color w:val="000000"/>
          <w:sz w:val="20"/>
          <w:szCs w:val="20"/>
        </w:rPr>
      </w:pPr>
      <w:r w:rsidRPr="00487F93">
        <w:rPr>
          <w:i/>
          <w:color w:val="000000"/>
          <w:sz w:val="20"/>
          <w:szCs w:val="20"/>
        </w:rPr>
        <w:t>La presente solicitud no había sido turnada con anterioridad al suscrito a través de esa Unidad de Transparencia a su digno cargo, mediante la cual requiere derivado del folio de solicitud 00032/OZUMBA/IP/2024, recibida a través del portal electrónico de SAIMEX a través del cual es requerido”</w:t>
      </w:r>
    </w:p>
    <w:p w:rsidR="00A97CD7" w:rsidRPr="00487F93" w:rsidRDefault="00A97CD7">
      <w:pPr>
        <w:pBdr>
          <w:top w:val="nil"/>
          <w:left w:val="nil"/>
          <w:bottom w:val="nil"/>
          <w:right w:val="nil"/>
          <w:between w:val="nil"/>
        </w:pBdr>
        <w:spacing w:after="0" w:line="360" w:lineRule="auto"/>
        <w:ind w:left="567" w:right="567"/>
        <w:rPr>
          <w:i/>
          <w:color w:val="000000"/>
          <w:sz w:val="20"/>
          <w:szCs w:val="20"/>
        </w:rPr>
      </w:pPr>
    </w:p>
    <w:p w:rsidR="00A97CD7" w:rsidRPr="00487F93" w:rsidRDefault="004C3F0A">
      <w:pPr>
        <w:pBdr>
          <w:top w:val="nil"/>
          <w:left w:val="nil"/>
          <w:bottom w:val="nil"/>
          <w:right w:val="nil"/>
          <w:between w:val="nil"/>
        </w:pBdr>
        <w:spacing w:after="0" w:line="360" w:lineRule="auto"/>
        <w:ind w:left="567" w:right="567"/>
        <w:rPr>
          <w:b/>
          <w:i/>
          <w:color w:val="000000"/>
          <w:sz w:val="20"/>
          <w:szCs w:val="20"/>
        </w:rPr>
      </w:pPr>
      <w:r w:rsidRPr="00487F93">
        <w:rPr>
          <w:b/>
          <w:i/>
          <w:color w:val="000000"/>
          <w:sz w:val="20"/>
          <w:szCs w:val="20"/>
        </w:rPr>
        <w:t>“CON FUNDAMENTO EN EL ARTICULO 6TO, CONSTITUCIONAL, SOLICITO LOS CURRICULUM VITAE, NOMBRAMIENTO Y DOCUMENTOS QUE CONTENGA EL SUELDO DE LA C. ARACELI RODRIGUEZ MARTINEZ”</w:t>
      </w:r>
    </w:p>
    <w:p w:rsidR="00A97CD7" w:rsidRPr="00487F93" w:rsidRDefault="00A97CD7">
      <w:pPr>
        <w:pBdr>
          <w:top w:val="nil"/>
          <w:left w:val="nil"/>
          <w:bottom w:val="nil"/>
          <w:right w:val="nil"/>
          <w:between w:val="nil"/>
        </w:pBdr>
        <w:spacing w:after="0" w:line="360" w:lineRule="auto"/>
        <w:ind w:left="720"/>
        <w:rPr>
          <w:b/>
          <w:i/>
          <w:color w:val="000000"/>
          <w:sz w:val="20"/>
          <w:szCs w:val="20"/>
        </w:rPr>
      </w:pPr>
    </w:p>
    <w:p w:rsidR="00A97CD7" w:rsidRPr="00487F93" w:rsidRDefault="004C3F0A">
      <w:pPr>
        <w:spacing w:after="0" w:line="360" w:lineRule="auto"/>
        <w:ind w:left="567"/>
        <w:rPr>
          <w:i/>
          <w:sz w:val="20"/>
          <w:szCs w:val="20"/>
        </w:rPr>
      </w:pPr>
      <w:r w:rsidRPr="00487F93">
        <w:rPr>
          <w:i/>
          <w:sz w:val="20"/>
          <w:szCs w:val="20"/>
        </w:rPr>
        <w:t>En relación al sueldo se describe a continuación}</w:t>
      </w:r>
    </w:p>
    <w:p w:rsidR="00A97CD7" w:rsidRPr="00487F93" w:rsidRDefault="00A97CD7">
      <w:pPr>
        <w:spacing w:after="0" w:line="360" w:lineRule="auto"/>
        <w:ind w:left="567"/>
        <w:rPr>
          <w:i/>
          <w:sz w:val="20"/>
          <w:szCs w:val="20"/>
        </w:rPr>
      </w:pPr>
    </w:p>
    <w:tbl>
      <w:tblPr>
        <w:tblStyle w:val="a"/>
        <w:tblW w:w="76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8"/>
        <w:gridCol w:w="4892"/>
      </w:tblGrid>
      <w:tr w:rsidR="00A97CD7" w:rsidRPr="00487F93">
        <w:trPr>
          <w:trHeight w:val="545"/>
          <w:jc w:val="center"/>
        </w:trPr>
        <w:tc>
          <w:tcPr>
            <w:tcW w:w="2758" w:type="dxa"/>
          </w:tcPr>
          <w:p w:rsidR="00A97CD7" w:rsidRPr="00487F93" w:rsidRDefault="004C3F0A">
            <w:pPr>
              <w:spacing w:line="360" w:lineRule="auto"/>
              <w:rPr>
                <w:i/>
                <w:sz w:val="20"/>
                <w:szCs w:val="20"/>
              </w:rPr>
            </w:pPr>
            <w:r w:rsidRPr="00487F93">
              <w:rPr>
                <w:i/>
                <w:sz w:val="20"/>
                <w:szCs w:val="20"/>
              </w:rPr>
              <w:t>Araceli Rodríguez Martínez</w:t>
            </w:r>
          </w:p>
        </w:tc>
        <w:tc>
          <w:tcPr>
            <w:tcW w:w="4892" w:type="dxa"/>
          </w:tcPr>
          <w:p w:rsidR="00A97CD7" w:rsidRPr="00487F93" w:rsidRDefault="004C3F0A">
            <w:pPr>
              <w:spacing w:line="360" w:lineRule="auto"/>
              <w:rPr>
                <w:i/>
                <w:sz w:val="20"/>
                <w:szCs w:val="20"/>
              </w:rPr>
            </w:pPr>
            <w:r w:rsidRPr="00487F93">
              <w:rPr>
                <w:i/>
                <w:sz w:val="20"/>
                <w:szCs w:val="20"/>
              </w:rPr>
              <w:t>10,903.86</w:t>
            </w:r>
          </w:p>
        </w:tc>
      </w:tr>
    </w:tbl>
    <w:p w:rsidR="00A97CD7" w:rsidRPr="00487F93" w:rsidRDefault="00A97CD7">
      <w:pPr>
        <w:spacing w:after="0" w:line="360" w:lineRule="auto"/>
        <w:ind w:left="567"/>
        <w:rPr>
          <w:i/>
          <w:sz w:val="20"/>
          <w:szCs w:val="20"/>
        </w:rPr>
      </w:pPr>
    </w:p>
    <w:p w:rsidR="00A97CD7" w:rsidRPr="00487F93" w:rsidRDefault="004C3F0A">
      <w:pPr>
        <w:spacing w:after="0" w:line="360" w:lineRule="auto"/>
        <w:ind w:left="567" w:right="567"/>
        <w:rPr>
          <w:i/>
          <w:sz w:val="20"/>
          <w:szCs w:val="20"/>
        </w:rPr>
      </w:pPr>
      <w:r w:rsidRPr="00487F93">
        <w:rPr>
          <w:i/>
          <w:sz w:val="20"/>
          <w:szCs w:val="20"/>
        </w:rPr>
        <w:t>En cuanto al currículum vitae y nombramiento, informo a usted respetuosamente que la solicitud de información no corresponde a esta área.</w:t>
      </w:r>
    </w:p>
    <w:p w:rsidR="00A97CD7" w:rsidRPr="00487F93" w:rsidRDefault="00A97CD7">
      <w:pPr>
        <w:spacing w:after="0" w:line="360" w:lineRule="auto"/>
        <w:jc w:val="left"/>
        <w:rPr>
          <w:i/>
          <w:sz w:val="20"/>
          <w:szCs w:val="20"/>
        </w:rPr>
      </w:pPr>
    </w:p>
    <w:p w:rsidR="00A97CD7" w:rsidRPr="00487F93" w:rsidRDefault="004C3F0A">
      <w:pPr>
        <w:spacing w:after="0" w:line="360" w:lineRule="auto"/>
        <w:jc w:val="left"/>
        <w:rPr>
          <w:i/>
        </w:rPr>
      </w:pPr>
      <w:r w:rsidRPr="00487F93">
        <w:t>El Sujeto Obligado adjuntó los documentos referidos en el Antecedente II.</w:t>
      </w:r>
    </w:p>
    <w:p w:rsidR="00A97CD7" w:rsidRPr="00487F93" w:rsidRDefault="00A97CD7">
      <w:pPr>
        <w:spacing w:after="0" w:line="360" w:lineRule="auto"/>
        <w:rPr>
          <w:sz w:val="24"/>
          <w:szCs w:val="24"/>
        </w:rPr>
      </w:pPr>
    </w:p>
    <w:p w:rsidR="00A97CD7" w:rsidRPr="00487F93" w:rsidRDefault="004C3F0A">
      <w:pPr>
        <w:spacing w:after="0" w:line="360" w:lineRule="auto"/>
        <w:rPr>
          <w:b/>
        </w:rPr>
      </w:pPr>
      <w:bookmarkStart w:id="6" w:name="_heading=h.w28vp7s9sybm" w:colFirst="0" w:colLast="0"/>
      <w:bookmarkEnd w:id="6"/>
      <w:r w:rsidRPr="00487F93">
        <w:rPr>
          <w:b/>
        </w:rPr>
        <w:t xml:space="preserve">d) Vista del Informe Justificado. </w:t>
      </w:r>
      <w:r w:rsidRPr="00487F93">
        <w:rPr>
          <w:color w:val="000000"/>
        </w:rPr>
        <w:t>El veinticinco de marzo de dos mil veinticinco, se dictó acuerdo por medio del cual se puso a la vista de la persona Recurrente el Informe Justificado entregado por el Sujeto Obligado, el cual fue notificado a las partes, el mismo día, a través del Sistema de Acceso a la Información Mexiquense (SAIMEX).</w:t>
      </w:r>
    </w:p>
    <w:p w:rsidR="00A97CD7" w:rsidRPr="00487F93" w:rsidRDefault="00A97CD7">
      <w:pPr>
        <w:spacing w:after="0" w:line="360" w:lineRule="auto"/>
      </w:pPr>
    </w:p>
    <w:p w:rsidR="00A97CD7" w:rsidRPr="00487F93" w:rsidRDefault="004C3F0A">
      <w:pPr>
        <w:spacing w:after="0" w:line="360" w:lineRule="auto"/>
      </w:pPr>
      <w:r w:rsidRPr="00487F93">
        <w:rPr>
          <w:b/>
        </w:rPr>
        <w:t>e) Cierre de instrucción.</w:t>
      </w:r>
      <w:r w:rsidRPr="00487F93">
        <w:t xml:space="preserve"> El tres de abril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rsidR="00A97CD7" w:rsidRPr="00487F93" w:rsidRDefault="00A97CD7">
      <w:pPr>
        <w:spacing w:after="0" w:line="360" w:lineRule="auto"/>
        <w:rPr>
          <w:b/>
        </w:rPr>
      </w:pPr>
    </w:p>
    <w:p w:rsidR="00A97CD7" w:rsidRPr="00487F93" w:rsidRDefault="004C3F0A">
      <w:pPr>
        <w:spacing w:after="0" w:line="360" w:lineRule="auto"/>
        <w:rPr>
          <w:color w:val="000000"/>
        </w:rPr>
      </w:pPr>
      <w:r w:rsidRPr="00487F93">
        <w:rPr>
          <w:color w:val="000000"/>
        </w:rPr>
        <w:t>En razón de que fue debidamente sustanciado e integrado el expediente electrónico y no existe diligencia pendiente de desahogo, se emite la resolución que conforme a Derecho proceda, de acuerdo a los siguientes:</w:t>
      </w:r>
    </w:p>
    <w:p w:rsidR="00A97CD7" w:rsidRPr="00487F93" w:rsidRDefault="00A97CD7">
      <w:pPr>
        <w:spacing w:after="0" w:line="360" w:lineRule="auto"/>
        <w:rPr>
          <w:color w:val="000000"/>
        </w:rPr>
      </w:pPr>
    </w:p>
    <w:p w:rsidR="00A97CD7" w:rsidRPr="00487F93" w:rsidRDefault="004C3F0A">
      <w:pPr>
        <w:pStyle w:val="Ttulo1"/>
        <w:spacing w:before="0" w:after="0" w:line="360" w:lineRule="auto"/>
        <w:jc w:val="center"/>
        <w:rPr>
          <w:sz w:val="22"/>
          <w:szCs w:val="22"/>
        </w:rPr>
      </w:pPr>
      <w:bookmarkStart w:id="7" w:name="_heading=h.7ow42afj5np4" w:colFirst="0" w:colLast="0"/>
      <w:bookmarkEnd w:id="7"/>
      <w:r w:rsidRPr="00487F93">
        <w:rPr>
          <w:sz w:val="22"/>
          <w:szCs w:val="22"/>
        </w:rPr>
        <w:t>C O N S I D E R A N D O S</w:t>
      </w:r>
    </w:p>
    <w:p w:rsidR="00A97CD7" w:rsidRPr="00487F93" w:rsidRDefault="00A97CD7">
      <w:pPr>
        <w:spacing w:after="0" w:line="360" w:lineRule="auto"/>
        <w:jc w:val="center"/>
        <w:rPr>
          <w:b/>
          <w:color w:val="000000"/>
        </w:rPr>
      </w:pPr>
    </w:p>
    <w:p w:rsidR="00A97CD7" w:rsidRPr="00487F93" w:rsidRDefault="004C3F0A">
      <w:pPr>
        <w:pStyle w:val="Ttulo2"/>
        <w:spacing w:before="0" w:after="0" w:line="360" w:lineRule="auto"/>
        <w:rPr>
          <w:sz w:val="22"/>
          <w:szCs w:val="22"/>
        </w:rPr>
      </w:pPr>
      <w:bookmarkStart w:id="8" w:name="_heading=h.j94og1dvkjvb" w:colFirst="0" w:colLast="0"/>
      <w:bookmarkEnd w:id="8"/>
      <w:r w:rsidRPr="00487F93">
        <w:rPr>
          <w:sz w:val="22"/>
          <w:szCs w:val="22"/>
        </w:rPr>
        <w:lastRenderedPageBreak/>
        <w:t>PRIMERO. Competencia</w:t>
      </w:r>
    </w:p>
    <w:p w:rsidR="00A97CD7" w:rsidRPr="00487F93" w:rsidRDefault="00A97CD7">
      <w:pPr>
        <w:spacing w:after="0" w:line="360" w:lineRule="auto"/>
        <w:rPr>
          <w:b/>
          <w:color w:val="000000"/>
        </w:rPr>
      </w:pPr>
    </w:p>
    <w:p w:rsidR="00A97CD7" w:rsidRPr="00487F93" w:rsidRDefault="004C3F0A">
      <w:pPr>
        <w:spacing w:after="0" w:line="360" w:lineRule="auto"/>
      </w:pPr>
      <w:bookmarkStart w:id="9" w:name="_heading=h.30j0zll" w:colFirst="0" w:colLast="0"/>
      <w:bookmarkEnd w:id="9"/>
      <w:r w:rsidRPr="00487F93">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A97CD7" w:rsidRPr="00487F93" w:rsidRDefault="00A97CD7">
      <w:pPr>
        <w:spacing w:after="0" w:line="360" w:lineRule="auto"/>
        <w:rPr>
          <w:b/>
          <w:color w:val="000000"/>
        </w:rPr>
      </w:pPr>
    </w:p>
    <w:p w:rsidR="00A97CD7" w:rsidRPr="00487F93" w:rsidRDefault="004C3F0A">
      <w:pPr>
        <w:pStyle w:val="Ttulo2"/>
        <w:spacing w:before="0" w:after="0" w:line="360" w:lineRule="auto"/>
        <w:rPr>
          <w:sz w:val="22"/>
          <w:szCs w:val="22"/>
        </w:rPr>
      </w:pPr>
      <w:bookmarkStart w:id="10" w:name="_heading=h.7oyjmos4abld" w:colFirst="0" w:colLast="0"/>
      <w:bookmarkEnd w:id="10"/>
      <w:r w:rsidRPr="00487F93">
        <w:rPr>
          <w:sz w:val="22"/>
          <w:szCs w:val="22"/>
        </w:rPr>
        <w:t>SEGUNDO. Causales de improcedencia y sobreseimiento</w:t>
      </w:r>
    </w:p>
    <w:p w:rsidR="00A97CD7" w:rsidRPr="00487F93" w:rsidRDefault="00A97CD7">
      <w:pPr>
        <w:spacing w:after="0" w:line="360" w:lineRule="auto"/>
        <w:rPr>
          <w:color w:val="000000"/>
        </w:rPr>
      </w:pPr>
    </w:p>
    <w:p w:rsidR="00A97CD7" w:rsidRPr="00487F93" w:rsidRDefault="004C3F0A">
      <w:pPr>
        <w:spacing w:after="0" w:line="360" w:lineRule="auto"/>
        <w:rPr>
          <w:color w:val="000000"/>
        </w:rPr>
      </w:pPr>
      <w:r w:rsidRPr="00487F93">
        <w:rPr>
          <w:color w:val="000000"/>
        </w:rPr>
        <w:t xml:space="preserve">De las constancias que forma parte del Recurso de Revisión que se analiza, se advierte que previo al estudio del fondo de la </w:t>
      </w:r>
      <w:r w:rsidRPr="00487F93">
        <w:rPr>
          <w:i/>
          <w:color w:val="000000"/>
        </w:rPr>
        <w:t>litis</w:t>
      </w:r>
      <w:r w:rsidRPr="00487F93">
        <w:rPr>
          <w:color w:val="000000"/>
        </w:rPr>
        <w:t>, es necesario estudiar las causales de improcedencia y sobreseimiento que se adviertan, para determinar lo que en Derecho proceda.</w:t>
      </w:r>
    </w:p>
    <w:p w:rsidR="00A97CD7" w:rsidRPr="00487F93" w:rsidRDefault="00A97CD7">
      <w:pPr>
        <w:spacing w:after="0" w:line="360" w:lineRule="auto"/>
        <w:rPr>
          <w:color w:val="000000"/>
        </w:rPr>
      </w:pPr>
    </w:p>
    <w:p w:rsidR="00A97CD7" w:rsidRPr="00487F93" w:rsidRDefault="004C3F0A">
      <w:pPr>
        <w:spacing w:after="0" w:line="360" w:lineRule="auto"/>
        <w:rPr>
          <w:b/>
        </w:rPr>
      </w:pPr>
      <w:r w:rsidRPr="00487F93">
        <w:rPr>
          <w:b/>
        </w:rPr>
        <w:t>Causales de improcedencia</w:t>
      </w:r>
    </w:p>
    <w:p w:rsidR="00A97CD7" w:rsidRPr="00487F93" w:rsidRDefault="00A97CD7">
      <w:pPr>
        <w:spacing w:after="0" w:line="360" w:lineRule="auto"/>
      </w:pPr>
    </w:p>
    <w:p w:rsidR="00A97CD7" w:rsidRPr="00487F93" w:rsidRDefault="004C3F0A">
      <w:pPr>
        <w:spacing w:after="0" w:line="360" w:lineRule="auto"/>
        <w:rPr>
          <w:color w:val="000000"/>
        </w:rPr>
      </w:pPr>
      <w:r w:rsidRPr="00487F93">
        <w:rPr>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w:t>
      </w:r>
      <w:r w:rsidRPr="00487F93">
        <w:rPr>
          <w:color w:val="000000"/>
        </w:rPr>
        <w:lastRenderedPageBreak/>
        <w:t>actualice alguno de los supuestos establecidos en el artículo 191 de la Ley de Transparencia y Acceso a la Información Pública del Estado de México y Municipios, por ser improcedente.</w:t>
      </w:r>
    </w:p>
    <w:p w:rsidR="00A97CD7" w:rsidRPr="00487F93" w:rsidRDefault="00A97CD7">
      <w:pPr>
        <w:spacing w:after="0" w:line="360" w:lineRule="auto"/>
        <w:rPr>
          <w:color w:val="000000"/>
        </w:rPr>
      </w:pPr>
    </w:p>
    <w:p w:rsidR="00A97CD7" w:rsidRPr="00487F93" w:rsidRDefault="004C3F0A">
      <w:pPr>
        <w:spacing w:after="0" w:line="360" w:lineRule="auto"/>
        <w:rPr>
          <w:color w:val="000000"/>
        </w:rPr>
      </w:pPr>
      <w:r w:rsidRPr="00487F93">
        <w:rPr>
          <w:color w:val="000000"/>
        </w:rPr>
        <w:t>En el presente caso, </w:t>
      </w:r>
      <w:r w:rsidRPr="00487F93">
        <w:rPr>
          <w:b/>
          <w:color w:val="000000"/>
        </w:rPr>
        <w:t>no se actualiza ninguna de las causales de improcedencia</w:t>
      </w:r>
      <w:r w:rsidRPr="00487F93">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rsidR="00A97CD7" w:rsidRPr="00487F93" w:rsidRDefault="00A97CD7">
      <w:pPr>
        <w:spacing w:after="0" w:line="360" w:lineRule="auto"/>
        <w:rPr>
          <w:color w:val="000000"/>
        </w:rPr>
      </w:pPr>
    </w:p>
    <w:p w:rsidR="00A97CD7" w:rsidRPr="00487F93" w:rsidRDefault="004C3F0A">
      <w:pPr>
        <w:spacing w:after="0" w:line="360" w:lineRule="auto"/>
      </w:pPr>
      <w:r w:rsidRPr="00487F93">
        <w:t>Por lo cual, se actualiza la causal de procedencia del Recurso de Revisión señalada en el artículo 179, fracción VI, de la Ley en cita, pues la persona Recurrente se inconformó de la entrega de información que no corresponde con lo solicitado.</w:t>
      </w:r>
    </w:p>
    <w:p w:rsidR="00A97CD7" w:rsidRPr="00487F93" w:rsidRDefault="00A97CD7">
      <w:pPr>
        <w:spacing w:after="0" w:line="360" w:lineRule="auto"/>
      </w:pPr>
    </w:p>
    <w:p w:rsidR="00A97CD7" w:rsidRPr="00487F93" w:rsidRDefault="004C3F0A">
      <w:pPr>
        <w:spacing w:after="0" w:line="360" w:lineRule="auto"/>
        <w:rPr>
          <w:color w:val="0D0D0D"/>
        </w:rPr>
      </w:pPr>
      <w:r w:rsidRPr="00487F93">
        <w:rPr>
          <w:b/>
          <w:color w:val="0D0D0D"/>
        </w:rPr>
        <w:t>Causales de sobreseimiento</w:t>
      </w:r>
    </w:p>
    <w:p w:rsidR="00A97CD7" w:rsidRPr="00487F93" w:rsidRDefault="00A97CD7">
      <w:pPr>
        <w:spacing w:after="0" w:line="360" w:lineRule="auto"/>
        <w:rPr>
          <w:color w:val="0D0D0D"/>
        </w:rPr>
      </w:pPr>
    </w:p>
    <w:p w:rsidR="00A97CD7" w:rsidRPr="00487F93" w:rsidRDefault="004C3F0A">
      <w:pPr>
        <w:spacing w:after="0" w:line="360" w:lineRule="auto"/>
        <w:rPr>
          <w:color w:val="0D0D0D"/>
        </w:rPr>
      </w:pPr>
      <w:r w:rsidRPr="00487F93">
        <w:rPr>
          <w:color w:val="0D0D0D"/>
        </w:rPr>
        <w:t>Por ser de previo y especial pronunciamiento, este Instituto analiza si se actualiza alguna causal de sobreseimiento.</w:t>
      </w:r>
    </w:p>
    <w:p w:rsidR="00A97CD7" w:rsidRPr="00487F93" w:rsidRDefault="00A97CD7">
      <w:pPr>
        <w:spacing w:after="0" w:line="360" w:lineRule="auto"/>
        <w:rPr>
          <w:color w:val="0D0D0D"/>
        </w:rPr>
      </w:pPr>
    </w:p>
    <w:p w:rsidR="00A97CD7" w:rsidRPr="00487F93" w:rsidRDefault="004C3F0A">
      <w:pPr>
        <w:spacing w:after="0" w:line="360" w:lineRule="auto"/>
        <w:rPr>
          <w:color w:val="000000"/>
        </w:rPr>
      </w:pPr>
      <w:r w:rsidRPr="00487F93">
        <w:rPr>
          <w:color w:val="0D0D0D"/>
        </w:rPr>
        <w:t>Sobre el tema, e</w:t>
      </w:r>
      <w:r w:rsidRPr="00487F93">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rsidR="00A97CD7" w:rsidRPr="00487F93" w:rsidRDefault="00A97CD7">
      <w:pPr>
        <w:spacing w:after="0" w:line="360" w:lineRule="auto"/>
        <w:rPr>
          <w:color w:val="000000"/>
        </w:rPr>
      </w:pPr>
    </w:p>
    <w:p w:rsidR="00A97CD7" w:rsidRPr="00487F93" w:rsidRDefault="004C3F0A">
      <w:pPr>
        <w:spacing w:after="0" w:line="360" w:lineRule="auto"/>
        <w:rPr>
          <w:color w:val="0D0D0D"/>
        </w:rPr>
      </w:pPr>
      <w:r w:rsidRPr="00487F93">
        <w:rPr>
          <w:color w:val="0D0D0D"/>
        </w:rPr>
        <w:t xml:space="preserve">Por tales motivos, se considera procedente entrar al fondo del presente asunto. </w:t>
      </w:r>
    </w:p>
    <w:p w:rsidR="00A97CD7" w:rsidRPr="00487F93" w:rsidRDefault="00A97CD7">
      <w:pPr>
        <w:spacing w:after="0" w:line="360" w:lineRule="auto"/>
        <w:rPr>
          <w:b/>
          <w:color w:val="000000"/>
        </w:rPr>
      </w:pPr>
    </w:p>
    <w:p w:rsidR="00A97CD7" w:rsidRPr="00487F93" w:rsidRDefault="004C3F0A">
      <w:pPr>
        <w:pStyle w:val="Ttulo2"/>
        <w:spacing w:before="0" w:after="0" w:line="360" w:lineRule="auto"/>
        <w:rPr>
          <w:sz w:val="22"/>
          <w:szCs w:val="22"/>
        </w:rPr>
      </w:pPr>
      <w:bookmarkStart w:id="11" w:name="_heading=h.tyl74vlmb2c3" w:colFirst="0" w:colLast="0"/>
      <w:bookmarkEnd w:id="11"/>
      <w:r w:rsidRPr="00487F93">
        <w:rPr>
          <w:sz w:val="22"/>
          <w:szCs w:val="22"/>
        </w:rPr>
        <w:t>TERCERO. Determinación de la Controversia</w:t>
      </w:r>
    </w:p>
    <w:p w:rsidR="00A97CD7" w:rsidRPr="00487F93" w:rsidRDefault="00A97CD7">
      <w:pPr>
        <w:spacing w:after="0" w:line="360" w:lineRule="auto"/>
        <w:rPr>
          <w:b/>
          <w:color w:val="000000"/>
        </w:rPr>
      </w:pPr>
    </w:p>
    <w:p w:rsidR="00A97CD7" w:rsidRPr="00487F93" w:rsidRDefault="004C3F0A">
      <w:pPr>
        <w:spacing w:after="0" w:line="360" w:lineRule="auto"/>
      </w:pPr>
      <w:r w:rsidRPr="00487F93">
        <w:t>Con el objetivo de ilustrar la controversia planteada, resulta conveniente precisar, que una vez realizado el estudio de las constancias que integran el expediente en el que se actúa, se desprende que el Particular requirió de Araceli Rodríguez Martínez, lo siguiente:</w:t>
      </w:r>
    </w:p>
    <w:p w:rsidR="00A97CD7" w:rsidRPr="00487F93" w:rsidRDefault="00A97CD7">
      <w:pPr>
        <w:spacing w:after="0" w:line="360" w:lineRule="auto"/>
      </w:pPr>
    </w:p>
    <w:p w:rsidR="00A97CD7" w:rsidRPr="00487F93" w:rsidRDefault="004C3F0A">
      <w:pPr>
        <w:numPr>
          <w:ilvl w:val="0"/>
          <w:numId w:val="1"/>
        </w:numPr>
        <w:pBdr>
          <w:top w:val="nil"/>
          <w:left w:val="nil"/>
          <w:bottom w:val="nil"/>
          <w:right w:val="nil"/>
          <w:between w:val="nil"/>
        </w:pBdr>
        <w:spacing w:after="0" w:line="360" w:lineRule="auto"/>
        <w:rPr>
          <w:i/>
          <w:color w:val="000000"/>
        </w:rPr>
      </w:pPr>
      <w:r w:rsidRPr="00487F93">
        <w:rPr>
          <w:i/>
          <w:color w:val="000000"/>
        </w:rPr>
        <w:t>Currículum Vitae;</w:t>
      </w:r>
    </w:p>
    <w:p w:rsidR="00A97CD7" w:rsidRPr="00487F93" w:rsidRDefault="004C3F0A">
      <w:pPr>
        <w:numPr>
          <w:ilvl w:val="0"/>
          <w:numId w:val="1"/>
        </w:numPr>
        <w:pBdr>
          <w:top w:val="nil"/>
          <w:left w:val="nil"/>
          <w:bottom w:val="nil"/>
          <w:right w:val="nil"/>
          <w:between w:val="nil"/>
        </w:pBdr>
        <w:spacing w:after="0" w:line="360" w:lineRule="auto"/>
        <w:rPr>
          <w:color w:val="000000"/>
        </w:rPr>
      </w:pPr>
      <w:r w:rsidRPr="00487F93">
        <w:rPr>
          <w:color w:val="000000"/>
        </w:rPr>
        <w:t>Nombramiento, y</w:t>
      </w:r>
    </w:p>
    <w:p w:rsidR="00A97CD7" w:rsidRPr="00487F93" w:rsidRDefault="004C3F0A">
      <w:pPr>
        <w:numPr>
          <w:ilvl w:val="0"/>
          <w:numId w:val="1"/>
        </w:numPr>
        <w:pBdr>
          <w:top w:val="nil"/>
          <w:left w:val="nil"/>
          <w:bottom w:val="nil"/>
          <w:right w:val="nil"/>
          <w:between w:val="nil"/>
        </w:pBdr>
        <w:spacing w:after="0" w:line="360" w:lineRule="auto"/>
        <w:rPr>
          <w:color w:val="000000"/>
        </w:rPr>
      </w:pPr>
      <w:r w:rsidRPr="00487F93">
        <w:rPr>
          <w:color w:val="000000"/>
        </w:rPr>
        <w:t>Sueldo.</w:t>
      </w:r>
    </w:p>
    <w:p w:rsidR="00A97CD7" w:rsidRPr="00487F93" w:rsidRDefault="00A97CD7">
      <w:pPr>
        <w:spacing w:after="0" w:line="360" w:lineRule="auto"/>
      </w:pPr>
    </w:p>
    <w:p w:rsidR="00A97CD7" w:rsidRPr="00487F93" w:rsidRDefault="004C3F0A">
      <w:pPr>
        <w:spacing w:after="0" w:line="360" w:lineRule="auto"/>
        <w:rPr>
          <w:color w:val="000000"/>
        </w:rPr>
      </w:pPr>
      <w:r w:rsidRPr="00487F93">
        <w:rPr>
          <w:color w:val="000000"/>
        </w:rPr>
        <w:t xml:space="preserve">En respuesta, el Sujeto Obligado entregó el </w:t>
      </w:r>
      <w:r w:rsidRPr="00487F93">
        <w:rPr>
          <w:i/>
          <w:color w:val="000000"/>
        </w:rPr>
        <w:t>currículum vitae</w:t>
      </w:r>
      <w:r w:rsidRPr="00487F93">
        <w:rPr>
          <w:color w:val="000000"/>
        </w:rPr>
        <w:t xml:space="preserve"> y nombramiento de la persona solicitada, la cual ocupa el cargo de Directora de Recursos Humanos</w:t>
      </w:r>
      <w:r w:rsidRPr="00487F93">
        <w:t>; ante dicha circunstancia, el Particular se inconformó de la entrega de información incompleta, al señalar que no se le entregaba el sueldo de la Directora, lo cual actualiza la causal de procedencia prevista en la fracción V del artículo 179 de la Ley de Transparencia y Acceso a la Información Pública del Estado de México y Municipios</w:t>
      </w:r>
      <w:r w:rsidRPr="00487F93">
        <w:rPr>
          <w:color w:val="0D0D0D"/>
        </w:rPr>
        <w:t xml:space="preserve">. </w:t>
      </w:r>
      <w:r w:rsidRPr="00487F93">
        <w:t>Así, las cosas, una vez admitido y notificado el Recurso de Revisión a las partes, el Sujeto Obligado, por medio de la Tesorería Municipal, proporcionó el sueldo de la servidora pública.</w:t>
      </w:r>
    </w:p>
    <w:p w:rsidR="00A97CD7" w:rsidRPr="00487F93" w:rsidRDefault="00A97CD7">
      <w:pPr>
        <w:tabs>
          <w:tab w:val="left" w:pos="4962"/>
        </w:tabs>
        <w:spacing w:after="0" w:line="360" w:lineRule="auto"/>
      </w:pPr>
    </w:p>
    <w:p w:rsidR="00A97CD7" w:rsidRPr="00487F93" w:rsidRDefault="004C3F0A">
      <w:pPr>
        <w:spacing w:after="0" w:line="360" w:lineRule="auto"/>
        <w:rPr>
          <w:color w:val="000000"/>
        </w:rPr>
      </w:pPr>
      <w:r w:rsidRPr="00487F93">
        <w:rPr>
          <w:color w:val="000000"/>
        </w:rPr>
        <w:t xml:space="preserve">Conforme a lo anterior, se logra vislumbrar que el ahora Recurrente no se agravió del nombramiento y </w:t>
      </w:r>
      <w:r w:rsidRPr="00487F93">
        <w:rPr>
          <w:i/>
          <w:color w:val="000000"/>
        </w:rPr>
        <w:t>currículum vitae</w:t>
      </w:r>
      <w:r w:rsidRPr="00487F93">
        <w:rPr>
          <w:color w:val="000000"/>
        </w:rPr>
        <w:t xml:space="preserve"> entregado en respuesta, sino que únicamente se inconformó del punto tres de la solicitud; por lo que, no se hará pronunciamiento alguno, respecto a las documentales entregadas, de conformidad con el artículo 195 de la Ley de Transparencia y Acceso a la Información Pública del Estado de México y Municipios, con relación con el </w:t>
      </w:r>
      <w:r w:rsidRPr="00487F93">
        <w:rPr>
          <w:color w:val="000000"/>
        </w:rPr>
        <w:lastRenderedPageBreak/>
        <w:t>diverso 195, fracción IV, de Código de Procedimientos Administrativos del Estado de México, que establece que será improcedente el recurso contra </w:t>
      </w:r>
      <w:r w:rsidRPr="00487F93">
        <w:rPr>
          <w:b/>
          <w:color w:val="000000"/>
        </w:rPr>
        <w:t>los actos que se hayan consentido tácitamente,</w:t>
      </w:r>
      <w:r w:rsidRPr="00487F93">
        <w:rPr>
          <w:color w:val="000000"/>
        </w:rPr>
        <w:t> entendiéndose por estos cuando el agravio no se haya promovido en el plazo señalado para el efecto.</w:t>
      </w:r>
    </w:p>
    <w:p w:rsidR="00A97CD7" w:rsidRPr="00487F93" w:rsidRDefault="00A97CD7">
      <w:pPr>
        <w:spacing w:after="0" w:line="360" w:lineRule="auto"/>
        <w:rPr>
          <w:color w:val="000000"/>
        </w:rPr>
      </w:pPr>
    </w:p>
    <w:p w:rsidR="00A97CD7" w:rsidRPr="00487F93" w:rsidRDefault="004C3F0A">
      <w:pPr>
        <w:spacing w:after="0" w:line="360" w:lineRule="auto"/>
        <w:rPr>
          <w:color w:val="000000"/>
        </w:rPr>
      </w:pPr>
      <w:r w:rsidRPr="00487F93">
        <w:rPr>
          <w:color w:val="000000"/>
        </w:rPr>
        <w:t>De la misma manera resulta aplicable el criterio sostenido por el Poder Judicial de la Federación de rubro </w:t>
      </w:r>
      <w:r w:rsidRPr="00487F93">
        <w:rPr>
          <w:b/>
          <w:color w:val="000000"/>
        </w:rPr>
        <w:t>ACTOS CONSENTIDOS TÁCITAMENTE</w:t>
      </w:r>
      <w:r w:rsidRPr="00487F93">
        <w:rPr>
          <w:color w:val="000000"/>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rsidR="00A97CD7" w:rsidRPr="00487F93" w:rsidRDefault="004C3F0A">
      <w:pPr>
        <w:spacing w:after="0" w:line="360" w:lineRule="auto"/>
        <w:rPr>
          <w:color w:val="000000"/>
        </w:rPr>
      </w:pPr>
      <w:r w:rsidRPr="00487F93">
        <w:rPr>
          <w:color w:val="000000"/>
        </w:rPr>
        <w:t> </w:t>
      </w:r>
    </w:p>
    <w:p w:rsidR="00A97CD7" w:rsidRPr="00487F93" w:rsidRDefault="004C3F0A">
      <w:pPr>
        <w:spacing w:after="0" w:line="360" w:lineRule="auto"/>
        <w:rPr>
          <w:color w:val="000000"/>
        </w:rPr>
      </w:pPr>
      <w:r w:rsidRPr="00487F93">
        <w:rPr>
          <w:color w:val="000000"/>
        </w:rPr>
        <w:t>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rsidR="00A97CD7" w:rsidRPr="00487F93" w:rsidRDefault="00A97CD7">
      <w:pPr>
        <w:tabs>
          <w:tab w:val="left" w:pos="4962"/>
        </w:tabs>
        <w:spacing w:after="0" w:line="360" w:lineRule="auto"/>
      </w:pPr>
    </w:p>
    <w:p w:rsidR="00A97CD7" w:rsidRPr="00487F93" w:rsidRDefault="004C3F0A">
      <w:pPr>
        <w:spacing w:after="0" w:line="360" w:lineRule="auto"/>
        <w:rPr>
          <w:color w:val="000000"/>
        </w:rPr>
      </w:pPr>
      <w:r w:rsidRPr="00487F93">
        <w:rPr>
          <w:color w:val="000000"/>
        </w:rPr>
        <w:t xml:space="preserve">Asimismo, resulta relevante traer a colación el Criterio orientador, vigente a la fecha de la solicitud, de la Segunda Época, con número de registro SO/001/2020, emitido por el entonces Instituto Nacional de Transparencia, Acceso a la Información y Protección de Datos Personales, el cual establece que es improcedente entrar al análisis de las partes de la respuesta del Sujeto Obligado que no fueron impugnadas por la Recurrente; por lo que, en el presente caso, se tiene por consentida la información proporcionada por el Ente Recurrido, referente al nombramiento y </w:t>
      </w:r>
      <w:r w:rsidRPr="00487F93">
        <w:rPr>
          <w:i/>
          <w:color w:val="000000"/>
        </w:rPr>
        <w:t xml:space="preserve">currículum vitae </w:t>
      </w:r>
      <w:r w:rsidRPr="00487F93">
        <w:rPr>
          <w:color w:val="000000"/>
        </w:rPr>
        <w:t>de la directora de recursos humanos.</w:t>
      </w:r>
    </w:p>
    <w:p w:rsidR="00A97CD7" w:rsidRPr="00487F93" w:rsidRDefault="00A97CD7">
      <w:pPr>
        <w:tabs>
          <w:tab w:val="left" w:pos="4962"/>
        </w:tabs>
        <w:spacing w:after="0" w:line="360" w:lineRule="auto"/>
      </w:pPr>
    </w:p>
    <w:p w:rsidR="00A97CD7" w:rsidRPr="00487F93" w:rsidRDefault="004C3F0A">
      <w:pPr>
        <w:tabs>
          <w:tab w:val="left" w:pos="4962"/>
        </w:tabs>
        <w:spacing w:after="0" w:line="360" w:lineRule="auto"/>
      </w:pPr>
      <w:r w:rsidRPr="00487F93">
        <w:lastRenderedPageBreak/>
        <w:t xml:space="preserve">Lo anterior, se desprende de las documentales que obran en el expediente de referencia, materia de la presente resolución, consistente en: la solicitud de acceso a la información, el escrito </w:t>
      </w:r>
      <w:proofErr w:type="spellStart"/>
      <w:r w:rsidRPr="00487F93">
        <w:t>recursal</w:t>
      </w:r>
      <w:proofErr w:type="spellEnd"/>
      <w:r w:rsidRPr="00487F93">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rsidR="00A97CD7" w:rsidRPr="00487F93" w:rsidRDefault="00A97CD7">
      <w:pPr>
        <w:spacing w:after="0" w:line="360" w:lineRule="auto"/>
        <w:rPr>
          <w:b/>
          <w:color w:val="000000"/>
        </w:rPr>
      </w:pPr>
    </w:p>
    <w:p w:rsidR="00A97CD7" w:rsidRPr="00487F93" w:rsidRDefault="004C3F0A">
      <w:pPr>
        <w:pStyle w:val="Ttulo2"/>
        <w:spacing w:before="0" w:after="0" w:line="360" w:lineRule="auto"/>
        <w:rPr>
          <w:sz w:val="22"/>
          <w:szCs w:val="22"/>
        </w:rPr>
      </w:pPr>
      <w:bookmarkStart w:id="12" w:name="_heading=h.nl9tatlldi34" w:colFirst="0" w:colLast="0"/>
      <w:bookmarkEnd w:id="12"/>
      <w:r w:rsidRPr="00487F93">
        <w:rPr>
          <w:sz w:val="22"/>
          <w:szCs w:val="22"/>
        </w:rPr>
        <w:t>CUARTO. Marco normativo aplicable en materia de transparencia y acceso a la información pública</w:t>
      </w:r>
    </w:p>
    <w:p w:rsidR="00A97CD7" w:rsidRPr="00487F93" w:rsidRDefault="00A97CD7">
      <w:pPr>
        <w:spacing w:after="0" w:line="360" w:lineRule="auto"/>
        <w:rPr>
          <w:color w:val="000000"/>
        </w:rPr>
      </w:pPr>
    </w:p>
    <w:p w:rsidR="00A97CD7" w:rsidRPr="00487F93" w:rsidRDefault="004C3F0A">
      <w:pPr>
        <w:spacing w:after="0" w:line="360" w:lineRule="auto"/>
        <w:rPr>
          <w:color w:val="000000"/>
        </w:rPr>
      </w:pPr>
      <w:r w:rsidRPr="00487F93">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A97CD7" w:rsidRPr="00487F93" w:rsidRDefault="00A97CD7">
      <w:pPr>
        <w:spacing w:after="0" w:line="360" w:lineRule="auto"/>
        <w:rPr>
          <w:color w:val="000000"/>
        </w:rPr>
      </w:pPr>
    </w:p>
    <w:p w:rsidR="00A97CD7" w:rsidRPr="00487F93" w:rsidRDefault="004C3F0A">
      <w:pPr>
        <w:spacing w:after="0" w:line="360" w:lineRule="auto"/>
        <w:rPr>
          <w:color w:val="000000"/>
        </w:rPr>
      </w:pPr>
      <w:r w:rsidRPr="00487F93">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A97CD7" w:rsidRPr="00487F93" w:rsidRDefault="00A97CD7">
      <w:pPr>
        <w:spacing w:after="0" w:line="360" w:lineRule="auto"/>
        <w:rPr>
          <w:color w:val="000000"/>
        </w:rPr>
      </w:pPr>
    </w:p>
    <w:p w:rsidR="00A97CD7" w:rsidRPr="00487F93" w:rsidRDefault="004C3F0A">
      <w:pPr>
        <w:spacing w:after="0" w:line="360" w:lineRule="auto"/>
        <w:rPr>
          <w:color w:val="000000"/>
        </w:rPr>
      </w:pPr>
      <w:r w:rsidRPr="00487F93">
        <w:rPr>
          <w:color w:val="000000"/>
        </w:rPr>
        <w:t>Por su parte, la Ley de Transparencia y Acceso a la Información Pública del Estado de México y Municipios (Reglamentaria del artículo 5° de la Constitución Local), establece lo siguiente:</w:t>
      </w:r>
    </w:p>
    <w:p w:rsidR="00A97CD7" w:rsidRPr="00487F93" w:rsidRDefault="00A97CD7">
      <w:pPr>
        <w:spacing w:after="0" w:line="360" w:lineRule="auto"/>
        <w:rPr>
          <w:color w:val="000000"/>
        </w:rPr>
      </w:pPr>
    </w:p>
    <w:p w:rsidR="00A97CD7" w:rsidRPr="00487F93" w:rsidRDefault="004C3F0A">
      <w:pPr>
        <w:spacing w:after="0" w:line="360" w:lineRule="auto"/>
        <w:rPr>
          <w:color w:val="000000"/>
        </w:rPr>
      </w:pPr>
      <w:r w:rsidRPr="00487F93">
        <w:rPr>
          <w:color w:val="000000"/>
        </w:rPr>
        <w:t>El artículo 12, que, quienes generen, recopilen, administren, manejen, procesen, archiven o conserven información pública serán responsables de la misma.</w:t>
      </w:r>
    </w:p>
    <w:p w:rsidR="00A97CD7" w:rsidRPr="00487F93" w:rsidRDefault="00A97CD7">
      <w:pPr>
        <w:spacing w:after="0" w:line="360" w:lineRule="auto"/>
        <w:rPr>
          <w:color w:val="000000"/>
        </w:rPr>
      </w:pPr>
    </w:p>
    <w:p w:rsidR="00A97CD7" w:rsidRPr="00487F93" w:rsidRDefault="004C3F0A">
      <w:pPr>
        <w:widowControl w:val="0"/>
        <w:spacing w:after="0" w:line="360" w:lineRule="auto"/>
        <w:rPr>
          <w:color w:val="000000"/>
        </w:rPr>
      </w:pPr>
      <w:r w:rsidRPr="00487F93">
        <w:rPr>
          <w:color w:val="000000"/>
        </w:rPr>
        <w:t xml:space="preserve">El artículo 18, que, los Sujetos Obligados deberán documentar todo acto que derive del </w:t>
      </w:r>
      <w:r w:rsidRPr="00487F93">
        <w:rPr>
          <w:color w:val="000000"/>
        </w:rPr>
        <w:lastRenderedPageBreak/>
        <w:t>ejercicio de sus facultades, competencias o funciones, considerando desde su origen la eventual publicidad y reutilización de la información que generen.</w:t>
      </w:r>
    </w:p>
    <w:p w:rsidR="00A97CD7" w:rsidRPr="00487F93" w:rsidRDefault="00A97CD7">
      <w:pPr>
        <w:widowControl w:val="0"/>
        <w:spacing w:after="0" w:line="360" w:lineRule="auto"/>
        <w:rPr>
          <w:color w:val="000000"/>
        </w:rPr>
      </w:pPr>
    </w:p>
    <w:p w:rsidR="00A97CD7" w:rsidRPr="00487F93" w:rsidRDefault="004C3F0A">
      <w:pPr>
        <w:spacing w:after="0" w:line="360" w:lineRule="auto"/>
        <w:rPr>
          <w:color w:val="000000"/>
        </w:rPr>
      </w:pPr>
      <w:r w:rsidRPr="00487F93">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A97CD7" w:rsidRPr="00487F93" w:rsidRDefault="00A97CD7">
      <w:pPr>
        <w:spacing w:after="0" w:line="360" w:lineRule="auto"/>
      </w:pPr>
    </w:p>
    <w:p w:rsidR="00A97CD7" w:rsidRPr="00487F93" w:rsidRDefault="004C3F0A">
      <w:pPr>
        <w:pStyle w:val="Ttulo2"/>
        <w:spacing w:before="0" w:after="0" w:line="360" w:lineRule="auto"/>
        <w:rPr>
          <w:sz w:val="22"/>
          <w:szCs w:val="22"/>
        </w:rPr>
      </w:pPr>
      <w:bookmarkStart w:id="13" w:name="_heading=h.ettyh7ygajwc" w:colFirst="0" w:colLast="0"/>
      <w:bookmarkEnd w:id="13"/>
      <w:r w:rsidRPr="00487F93">
        <w:rPr>
          <w:sz w:val="22"/>
          <w:szCs w:val="22"/>
        </w:rPr>
        <w:t>QUINTO. Estudio de Fondo</w:t>
      </w:r>
    </w:p>
    <w:p w:rsidR="00A97CD7" w:rsidRPr="00487F93" w:rsidRDefault="00A97CD7">
      <w:pPr>
        <w:spacing w:after="0" w:line="360" w:lineRule="auto"/>
        <w:rPr>
          <w:b/>
          <w:color w:val="000000"/>
        </w:rPr>
      </w:pPr>
    </w:p>
    <w:p w:rsidR="00A97CD7" w:rsidRPr="00487F93" w:rsidRDefault="004C3F0A">
      <w:pPr>
        <w:spacing w:after="0" w:line="360" w:lineRule="auto"/>
      </w:pPr>
      <w:r w:rsidRPr="00487F93">
        <w:rPr>
          <w:color w:val="000000"/>
        </w:rPr>
        <w:t>Expuestas las posturas de las partes, se procede al análisis de los agravios hechos valer por la persona Recurrente</w:t>
      </w:r>
      <w:r w:rsidRPr="00487F93">
        <w:t>, por lo que, en principio es necesario contextualizar la solicitud de información, respecto al sueldo.</w:t>
      </w:r>
    </w:p>
    <w:p w:rsidR="00A97CD7" w:rsidRPr="00487F93" w:rsidRDefault="00A97CD7">
      <w:pPr>
        <w:spacing w:after="0" w:line="360" w:lineRule="auto"/>
        <w:rPr>
          <w:b/>
          <w:color w:val="000000"/>
        </w:rPr>
      </w:pPr>
    </w:p>
    <w:p w:rsidR="00A97CD7" w:rsidRPr="00487F93" w:rsidRDefault="004C3F0A">
      <w:pPr>
        <w:spacing w:after="0" w:line="360" w:lineRule="auto"/>
        <w:ind w:right="-28"/>
        <w:rPr>
          <w:color w:val="000000"/>
        </w:rPr>
      </w:pPr>
      <w:r w:rsidRPr="00487F93">
        <w:rPr>
          <w:color w:val="000000"/>
        </w:rPr>
        <w:t>En tal sentido, el artículo 147 de la Constitución Política del Estado Libre y Soberano de México, establece que los trabajadores al Servicio del Estado, recibirán una remuneración adecuada e irrenunciable por el desempeño de su empleo, cargo o comisión, que será determinada en el presupuesto de egresos que corresponda.</w:t>
      </w:r>
    </w:p>
    <w:p w:rsidR="00A97CD7" w:rsidRPr="00487F93" w:rsidRDefault="00A97CD7">
      <w:pPr>
        <w:spacing w:after="0" w:line="360" w:lineRule="auto"/>
        <w:ind w:right="-28"/>
        <w:rPr>
          <w:color w:val="000000"/>
        </w:rPr>
      </w:pPr>
    </w:p>
    <w:p w:rsidR="00A97CD7" w:rsidRPr="00487F93" w:rsidRDefault="004C3F0A">
      <w:pPr>
        <w:spacing w:after="0" w:line="360" w:lineRule="auto"/>
        <w:ind w:right="-28"/>
      </w:pPr>
      <w:r w:rsidRPr="00487F93">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rsidR="00A97CD7" w:rsidRPr="00487F93" w:rsidRDefault="00A97CD7">
      <w:pPr>
        <w:spacing w:after="0" w:line="360" w:lineRule="auto"/>
        <w:ind w:right="-28"/>
      </w:pPr>
    </w:p>
    <w:p w:rsidR="00A97CD7" w:rsidRPr="00487F93" w:rsidRDefault="004C3F0A">
      <w:pPr>
        <w:spacing w:after="0" w:line="360" w:lineRule="auto"/>
        <w:ind w:right="-28"/>
      </w:pPr>
      <w:r w:rsidRPr="00487F93">
        <w:t xml:space="preserve">En ese contexto, el artículo 70, fracción VIII, de la Ley General de Transparencia y Acceso a la Información Pública y 92, fracción VIII, de la Ley de Transparencia y Acceso a la Información Pública del Estado de México y Municipios, establece que los Sujetos Obligados </w:t>
      </w:r>
      <w:r w:rsidRPr="00487F93">
        <w:lastRenderedPageBreak/>
        <w:t>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rsidR="00A97CD7" w:rsidRPr="00487F93" w:rsidRDefault="00A97CD7">
      <w:pPr>
        <w:spacing w:after="0" w:line="360" w:lineRule="auto"/>
        <w:ind w:right="-28"/>
      </w:pPr>
    </w:p>
    <w:p w:rsidR="00A97CD7" w:rsidRPr="00487F93" w:rsidRDefault="004C3F0A">
      <w:pPr>
        <w:spacing w:after="0" w:line="360" w:lineRule="auto"/>
        <w:ind w:right="-28"/>
      </w:pPr>
      <w:r w:rsidRPr="00487F93">
        <w:t xml:space="preserve">Además,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vigentes a la fecha de la solicitud, precisan que los Sujetos Obligados deben de publicar de todos los servidores públicos de base, de confianza, integrantes, miembros de la institución y toda personal que desempeñe un empleo, cargo o comisión o realice actos de autoridad, </w:t>
      </w:r>
      <w:r w:rsidRPr="00487F93">
        <w:rPr>
          <w:b/>
        </w:rPr>
        <w:t>la remuneración bruta y neta</w:t>
      </w:r>
      <w:r w:rsidRPr="00487F93">
        <w:t>, así como, todas las percepciones en efectivo o en especie, que incluya sueldos, prestaciones, gratificaciones, primas, comisiones, dietas, bonos, estímulos, apoyos económicos, ingresos de sistemas de compensación, entre otros, que incluya la periodicidad de la remuneración.</w:t>
      </w:r>
    </w:p>
    <w:p w:rsidR="00A97CD7" w:rsidRPr="00487F93" w:rsidRDefault="00A97CD7">
      <w:pPr>
        <w:spacing w:after="0" w:line="360" w:lineRule="auto"/>
        <w:ind w:right="-28"/>
      </w:pPr>
    </w:p>
    <w:p w:rsidR="00A97CD7" w:rsidRPr="00487F93" w:rsidRDefault="004C3F0A">
      <w:pPr>
        <w:spacing w:after="0" w:line="360" w:lineRule="auto"/>
      </w:pPr>
      <w:r w:rsidRPr="00487F93">
        <w:rPr>
          <w:color w:val="000000"/>
        </w:rPr>
        <w:t xml:space="preserve">Conforme a lo anterior, se logra vislumbrar que la pretensión de la persona Recurrente es </w:t>
      </w:r>
      <w:r w:rsidRPr="00487F93">
        <w:t>obtener los documentos donde conste el sueldo bruto y neto mensual vigente al veintiséis de febrero de dos mil veinticinco, de la Directora de Recursos Humanos (Araceli Rodríguez Martínez).</w:t>
      </w:r>
    </w:p>
    <w:p w:rsidR="00A97CD7" w:rsidRPr="00487F93" w:rsidRDefault="00A97CD7">
      <w:pPr>
        <w:spacing w:after="0" w:line="360" w:lineRule="auto"/>
      </w:pPr>
    </w:p>
    <w:p w:rsidR="00A97CD7" w:rsidRPr="00487F93" w:rsidRDefault="004C3F0A">
      <w:pPr>
        <w:spacing w:after="0" w:line="360" w:lineRule="auto"/>
        <w:rPr>
          <w:color w:val="000000"/>
        </w:rPr>
      </w:pPr>
      <w:r w:rsidRPr="00487F93">
        <w:rPr>
          <w:color w:val="000000"/>
        </w:rPr>
        <w:t>Ahora bien, en respuesta el Sujeto Obligado no realizó un pronunciamiento expreso sobre dicha información; sobre el tema, el artículo 1.8, fracción XIII, del Código Administrativo del Estado de México, establece que para que tenga validez, todo acto administrativo deberá resolver todos los puntos propuestos por los interesados.</w:t>
      </w:r>
    </w:p>
    <w:p w:rsidR="00A97CD7" w:rsidRPr="00487F93" w:rsidRDefault="00A97CD7">
      <w:pPr>
        <w:spacing w:after="0" w:line="360" w:lineRule="auto"/>
        <w:ind w:right="-93"/>
        <w:rPr>
          <w:color w:val="000000"/>
        </w:rPr>
      </w:pPr>
    </w:p>
    <w:p w:rsidR="00A97CD7" w:rsidRPr="00487F93" w:rsidRDefault="004C3F0A">
      <w:pPr>
        <w:spacing w:after="0" w:line="360" w:lineRule="auto"/>
        <w:ind w:right="-93"/>
        <w:rPr>
          <w:color w:val="000000"/>
        </w:rPr>
      </w:pPr>
      <w:r w:rsidRPr="00487F93">
        <w:rPr>
          <w:color w:val="000000"/>
        </w:rPr>
        <w:lastRenderedPageBreak/>
        <w:t xml:space="preserve">Situación que se robustece, con el Criterio de Interpretación, con clave de control SO/002/2017, del Instituto Nacional de Transparencia, Acceso a la Información y Protección de Datos Personales, el cual establece que todo acto administrativo debe apegarse al </w:t>
      </w:r>
      <w:r w:rsidRPr="00487F93">
        <w:rPr>
          <w:b/>
          <w:color w:val="000000"/>
        </w:rPr>
        <w:t>principio de exhaustividad,</w:t>
      </w:r>
      <w:r w:rsidRPr="00487F93">
        <w:rPr>
          <w:color w:val="000000"/>
        </w:rPr>
        <w:t xml:space="preserve">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rsidR="00A97CD7" w:rsidRPr="00487F93" w:rsidRDefault="00A97CD7">
      <w:pPr>
        <w:spacing w:after="0" w:line="360" w:lineRule="auto"/>
        <w:ind w:right="-93"/>
        <w:rPr>
          <w:color w:val="000000"/>
        </w:rPr>
      </w:pPr>
    </w:p>
    <w:p w:rsidR="00A97CD7" w:rsidRPr="00487F93" w:rsidRDefault="004C3F0A">
      <w:pPr>
        <w:spacing w:after="0" w:line="360" w:lineRule="auto"/>
        <w:rPr>
          <w:color w:val="000000"/>
        </w:rPr>
      </w:pPr>
      <w:r w:rsidRPr="00487F93">
        <w:rPr>
          <w:color w:val="000000"/>
        </w:rPr>
        <w:t xml:space="preserve">En esa tesitura, se concluye que el Sujeto Obligado no satisfizo el derecho de acceso a la información del Solicitante, al no pronunciarse respecto al sueldo de la Directora de Recursos Humanos, lo cual da como resultado que el agravio sea </w:t>
      </w:r>
      <w:r w:rsidRPr="00487F93">
        <w:rPr>
          <w:b/>
          <w:color w:val="000000"/>
        </w:rPr>
        <w:t>FUNDADO</w:t>
      </w:r>
      <w:r w:rsidRPr="00487F93">
        <w:rPr>
          <w:color w:val="000000"/>
        </w:rPr>
        <w:t xml:space="preserve">; lo cual se robustece con el hecho de que en respuesta no se </w:t>
      </w:r>
      <w:proofErr w:type="spellStart"/>
      <w:r w:rsidRPr="00487F93">
        <w:rPr>
          <w:color w:val="000000"/>
        </w:rPr>
        <w:t>turno</w:t>
      </w:r>
      <w:proofErr w:type="spellEnd"/>
      <w:r w:rsidRPr="00487F93">
        <w:rPr>
          <w:color w:val="000000"/>
        </w:rPr>
        <w:t xml:space="preserve"> la solicitud de información a una unidad administrativa.</w:t>
      </w:r>
    </w:p>
    <w:p w:rsidR="00A97CD7" w:rsidRPr="00487F93" w:rsidRDefault="00A97CD7">
      <w:pPr>
        <w:spacing w:after="0" w:line="360" w:lineRule="auto"/>
        <w:rPr>
          <w:color w:val="000000"/>
        </w:rPr>
      </w:pPr>
    </w:p>
    <w:p w:rsidR="00A97CD7" w:rsidRPr="00487F93" w:rsidRDefault="004C3F0A">
      <w:pPr>
        <w:spacing w:after="0" w:line="360" w:lineRule="auto"/>
      </w:pPr>
      <w:r w:rsidRPr="00487F93">
        <w:rPr>
          <w:color w:val="000000"/>
        </w:rPr>
        <w:t>Ahora bien, de las constancias que obran en el expediente electrónico, se advierte que el Sujeto Obligado</w:t>
      </w:r>
      <w:r w:rsidRPr="00487F93">
        <w:rPr>
          <w:color w:val="0D0D0D"/>
        </w:rPr>
        <w:t>, turnó la solicitud de información a la Tesorería Municipal</w:t>
      </w:r>
      <w:r w:rsidRPr="00487F93">
        <w:rPr>
          <w:color w:val="000000"/>
        </w:rPr>
        <w:t xml:space="preserve">; </w:t>
      </w:r>
      <w:r w:rsidRPr="00487F93">
        <w:t xml:space="preserve">por lo que, es oportuno hacer referencia al </w:t>
      </w:r>
      <w:r w:rsidRPr="00487F93">
        <w:rPr>
          <w:b/>
        </w:rPr>
        <w:t>procedimiento de búsqueda que deben de seguir los Sujetos Obligados para localizar la información</w:t>
      </w:r>
      <w:r w:rsidRPr="00487F93">
        <w:t>,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p>
    <w:p w:rsidR="00A97CD7" w:rsidRPr="00487F93" w:rsidRDefault="00A97CD7">
      <w:pPr>
        <w:spacing w:after="0" w:line="360" w:lineRule="auto"/>
        <w:ind w:left="720"/>
      </w:pPr>
    </w:p>
    <w:p w:rsidR="00A97CD7" w:rsidRPr="00487F93" w:rsidRDefault="004C3F0A">
      <w:pPr>
        <w:spacing w:after="0" w:line="360" w:lineRule="auto"/>
        <w:rPr>
          <w:color w:val="000000"/>
        </w:rPr>
      </w:pPr>
      <w:r w:rsidRPr="00487F93">
        <w:rPr>
          <w:color w:val="000000"/>
        </w:rPr>
        <w:lastRenderedPageBreak/>
        <w:t>Así, a efecto de verificar si el Sujeto Obligado cumplió con el procedimiento de búsqueda, es necesario traer a colación el artículo 24, inciso A, fracción II, y 26 del Bando Municipal, dos mil veinticinco, el cual establece que el Sujeto Obligado cuenta con una Tesorería Municipal, encargada de llevar los registros contables, financieros y administrativos de los egresos.</w:t>
      </w:r>
    </w:p>
    <w:p w:rsidR="00A97CD7" w:rsidRPr="00487F93" w:rsidRDefault="00A97CD7">
      <w:pPr>
        <w:spacing w:after="0" w:line="360" w:lineRule="auto"/>
        <w:rPr>
          <w:color w:val="000000"/>
        </w:rPr>
      </w:pPr>
    </w:p>
    <w:p w:rsidR="00A97CD7" w:rsidRPr="00487F93" w:rsidRDefault="004C3F0A">
      <w:pPr>
        <w:spacing w:after="0" w:line="360" w:lineRule="auto"/>
        <w:rPr>
          <w:color w:val="000000"/>
        </w:rPr>
      </w:pPr>
      <w:r w:rsidRPr="00487F93">
        <w:rPr>
          <w:color w:val="000000"/>
        </w:rPr>
        <w:t xml:space="preserve">Así, </w:t>
      </w:r>
      <w:r w:rsidRPr="00487F93">
        <w:t xml:space="preserve">se logra colegir que el Sujeto Obligado cumplió con el procedimiento de búsqueda </w:t>
      </w:r>
      <w:r w:rsidRPr="00487F93">
        <w:rPr>
          <w:color w:val="000000"/>
        </w:rPr>
        <w:t>establecido en el artículo 162 de la Ley de Transparencia y Acceso a la Información Pública del Estado de México y Municipios, toda vez, que gestionó el requerimiento de información al área competente para conocer de lo peticionado.</w:t>
      </w:r>
    </w:p>
    <w:p w:rsidR="00A97CD7" w:rsidRPr="00487F93" w:rsidRDefault="00A97CD7">
      <w:pPr>
        <w:spacing w:after="0" w:line="360" w:lineRule="auto"/>
        <w:rPr>
          <w:color w:val="000000"/>
        </w:rPr>
      </w:pPr>
    </w:p>
    <w:p w:rsidR="00A97CD7" w:rsidRPr="00487F93" w:rsidRDefault="004C3F0A">
      <w:pPr>
        <w:spacing w:after="0" w:line="360" w:lineRule="auto"/>
        <w:rPr>
          <w:color w:val="000000"/>
        </w:rPr>
      </w:pPr>
      <w:r w:rsidRPr="00487F93">
        <w:rPr>
          <w:color w:val="000000"/>
        </w:rPr>
        <w:t xml:space="preserve"> Ahora bien, dicha unidad administrativa señaló que el sueldo de la servidora pública era de diez mil novecientos tres pesos, con ochenta y seis centavos; que si bien, se encuentra relacionado con lo solicitado, este no se puede validar, pues no indicó si se trataba del sueldo bruto o neto, ni precisó si se trataba de la remuneración quincenal, mensual, trimestral, o de otra temporalidad.</w:t>
      </w:r>
    </w:p>
    <w:p w:rsidR="00A97CD7" w:rsidRPr="00487F93" w:rsidRDefault="00A97CD7">
      <w:pPr>
        <w:spacing w:after="0" w:line="360" w:lineRule="auto"/>
        <w:rPr>
          <w:color w:val="000000"/>
        </w:rPr>
      </w:pPr>
    </w:p>
    <w:p w:rsidR="00A97CD7" w:rsidRPr="00487F93" w:rsidRDefault="004C3F0A">
      <w:pPr>
        <w:spacing w:line="360" w:lineRule="auto"/>
        <w:rPr>
          <w:color w:val="000000"/>
        </w:rPr>
      </w:pPr>
      <w:r w:rsidRPr="00487F93">
        <w:t xml:space="preserve">En otras palabras, si bien proporcionó un sueldo, no refirió el tipo, ni la periodicidad del mismo; por lo que, para atender el requerimiento de información la Tesorería Municipal, deberá realizar una búsqueda exhaustiva y razonable en sus archivos, a efecto de que proporcione el sueldo bruto y neto mensual vigente de la Directora de Recursos Humanos; </w:t>
      </w:r>
      <w:r w:rsidRPr="00487F93">
        <w:rPr>
          <w:color w:val="000000"/>
        </w:rPr>
        <w:t>dicha</w:t>
      </w:r>
      <w:r w:rsidRPr="00487F93">
        <w:t xml:space="preserve"> determinación, 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A97CD7" w:rsidRPr="00487F93" w:rsidRDefault="00A97CD7">
      <w:pPr>
        <w:spacing w:after="0" w:line="360" w:lineRule="auto"/>
      </w:pPr>
    </w:p>
    <w:p w:rsidR="00A97CD7" w:rsidRPr="00487F93" w:rsidRDefault="004C3F0A">
      <w:pPr>
        <w:spacing w:after="0" w:line="360" w:lineRule="auto"/>
      </w:pPr>
      <w:r w:rsidRPr="00487F93">
        <w:lastRenderedPageBreak/>
        <w:t xml:space="preserve">De esta manera, el derecho de acceso a la información pública se satisface en aquellos casos en que se entregue el soporte documental en el que conste la información solicitada, sin necesidad de elaborar documentos </w:t>
      </w:r>
      <w:r w:rsidRPr="00487F93">
        <w:rPr>
          <w:i/>
        </w:rPr>
        <w:t>ad hoc</w:t>
      </w:r>
      <w:r w:rsidRPr="00487F93">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rsidR="00A97CD7" w:rsidRPr="00487F93" w:rsidRDefault="00A97CD7">
      <w:pPr>
        <w:spacing w:after="0" w:line="360" w:lineRule="auto"/>
      </w:pPr>
    </w:p>
    <w:p w:rsidR="00A97CD7" w:rsidRPr="00487F93" w:rsidRDefault="004C3F0A">
      <w:pPr>
        <w:spacing w:after="0" w:line="360" w:lineRule="auto"/>
        <w:ind w:right="-28"/>
        <w:rPr>
          <w:color w:val="000000"/>
        </w:rPr>
      </w:pPr>
      <w:r w:rsidRPr="00487F93">
        <w:t>De tales circunstancias, se concluye que los sujetos obligados únicamente se encuentran constreñidos a proporcionar los documentos que den cuenta de la información solicitada, como obren en sus archivos, sin tener que elaborarlos a las necesidades de la persona Recurrente; por lo que, el Sujeto Obligado deberá entregar los datos faltantes</w:t>
      </w:r>
      <w:r w:rsidRPr="00487F93">
        <w:rPr>
          <w:color w:val="000000"/>
        </w:rPr>
        <w:t>.</w:t>
      </w:r>
    </w:p>
    <w:p w:rsidR="00A97CD7" w:rsidRPr="00487F93" w:rsidRDefault="00A97CD7">
      <w:pPr>
        <w:spacing w:after="0" w:line="360" w:lineRule="auto"/>
        <w:ind w:right="-28"/>
        <w:rPr>
          <w:color w:val="000000"/>
        </w:rPr>
      </w:pPr>
    </w:p>
    <w:p w:rsidR="00A97CD7" w:rsidRPr="00487F93" w:rsidRDefault="004C3F0A">
      <w:pPr>
        <w:spacing w:after="0" w:line="360" w:lineRule="auto"/>
        <w:ind w:right="-28"/>
        <w:rPr>
          <w:color w:val="000000"/>
        </w:rPr>
      </w:pPr>
      <w:r w:rsidRPr="00487F93">
        <w:t>Finalmente, es necesario precisar que el documento que dé cuenta de lo peticionado, pudiera contener datos confidenciales, tales como la Clave Única de Registro de Población, el Registro Federal de Contribuyentes, entre otros, por lo que, deberá entregarlo en versión pública;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rsidR="00A97CD7" w:rsidRPr="00487F93" w:rsidRDefault="00A97CD7">
      <w:pPr>
        <w:spacing w:after="0" w:line="360" w:lineRule="auto"/>
      </w:pPr>
    </w:p>
    <w:p w:rsidR="00A97CD7" w:rsidRPr="00487F93" w:rsidRDefault="004C3F0A">
      <w:pPr>
        <w:spacing w:after="0" w:line="360" w:lineRule="auto"/>
      </w:pPr>
      <w:r w:rsidRPr="00487F93">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A97CD7" w:rsidRPr="00487F93" w:rsidRDefault="00A97CD7">
      <w:pPr>
        <w:spacing w:after="0" w:line="360" w:lineRule="auto"/>
      </w:pPr>
    </w:p>
    <w:p w:rsidR="00A97CD7" w:rsidRPr="00487F93" w:rsidRDefault="004C3F0A">
      <w:pPr>
        <w:pStyle w:val="Ttulo2"/>
        <w:spacing w:before="0" w:after="0" w:line="360" w:lineRule="auto"/>
        <w:rPr>
          <w:b w:val="0"/>
          <w:color w:val="000000"/>
          <w:sz w:val="22"/>
          <w:szCs w:val="22"/>
        </w:rPr>
      </w:pPr>
      <w:bookmarkStart w:id="14" w:name="_heading=h.19n17ripnvwy" w:colFirst="0" w:colLast="0"/>
      <w:bookmarkEnd w:id="14"/>
      <w:r w:rsidRPr="00487F93">
        <w:rPr>
          <w:color w:val="000000"/>
          <w:sz w:val="22"/>
          <w:szCs w:val="22"/>
        </w:rPr>
        <w:lastRenderedPageBreak/>
        <w:t>SEXTO. Decisión</w:t>
      </w:r>
    </w:p>
    <w:p w:rsidR="00A97CD7" w:rsidRPr="00487F93" w:rsidRDefault="00A97CD7">
      <w:pPr>
        <w:spacing w:after="0" w:line="360" w:lineRule="auto"/>
        <w:rPr>
          <w:b/>
        </w:rPr>
      </w:pPr>
    </w:p>
    <w:p w:rsidR="00A97CD7" w:rsidRPr="00487F93" w:rsidRDefault="004C3F0A">
      <w:pPr>
        <w:spacing w:after="0" w:line="360" w:lineRule="auto"/>
      </w:pPr>
      <w:r w:rsidRPr="00487F93">
        <w:t xml:space="preserve">Con fundamento en el artículo 186, fracción III, de la Ley de Transparencia y Acceso a la Información Pública del Estado de México y Municipios, este Instituto considera procedente </w:t>
      </w:r>
      <w:r w:rsidRPr="00487F93">
        <w:rPr>
          <w:b/>
        </w:rPr>
        <w:t>MODIFICAR</w:t>
      </w:r>
      <w:r w:rsidRPr="00487F93">
        <w:t xml:space="preserve"> la respuesta otorgada por el Sujeto Obligado a la solicitud de información 00032/OZUMBA/IP/2025, a efecto de que entregue, en versión pública, la información solicitada.</w:t>
      </w:r>
    </w:p>
    <w:p w:rsidR="00A97CD7" w:rsidRPr="00487F93" w:rsidRDefault="00A97CD7">
      <w:pPr>
        <w:spacing w:after="0" w:line="360" w:lineRule="auto"/>
      </w:pPr>
    </w:p>
    <w:p w:rsidR="00A97CD7" w:rsidRPr="00487F93" w:rsidRDefault="004C3F0A">
      <w:pPr>
        <w:spacing w:after="0" w:line="360" w:lineRule="auto"/>
        <w:rPr>
          <w:b/>
        </w:rPr>
      </w:pPr>
      <w:r w:rsidRPr="00487F93">
        <w:rPr>
          <w:b/>
        </w:rPr>
        <w:t>Términos de la Resolución para conocimiento del Particular</w:t>
      </w:r>
    </w:p>
    <w:p w:rsidR="00A97CD7" w:rsidRPr="00487F93" w:rsidRDefault="00A97CD7">
      <w:pPr>
        <w:spacing w:after="0" w:line="360" w:lineRule="auto"/>
        <w:rPr>
          <w:b/>
        </w:rPr>
      </w:pPr>
    </w:p>
    <w:p w:rsidR="00A97CD7" w:rsidRPr="00487F93" w:rsidRDefault="004C3F0A">
      <w:pPr>
        <w:spacing w:after="0" w:line="360" w:lineRule="auto"/>
      </w:pPr>
      <w:bookmarkStart w:id="15" w:name="_heading=h.1fob9te" w:colFirst="0" w:colLast="0"/>
      <w:bookmarkEnd w:id="15"/>
      <w:r w:rsidRPr="00487F93">
        <w:t xml:space="preserve">Se le hace del conocimiento a la persona Recurrente que, en el presente asunto, se le da parcialmente la razón, pues el Sujeto Obligado si bien proporcionó parte de la información solicitada, lo cierto es que no se encuentra completa, por lo que, deberá entregar la información solicitada de manera completa. </w:t>
      </w:r>
      <w:r w:rsidRPr="00487F93">
        <w:rPr>
          <w:color w:val="000000"/>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rsidR="00A97CD7" w:rsidRPr="00487F93" w:rsidRDefault="004C3F0A">
      <w:pPr>
        <w:spacing w:after="0" w:line="360" w:lineRule="auto"/>
      </w:pPr>
      <w:r w:rsidRPr="00487F93">
        <w:t>Por lo expuesto y fundado, este Pleno:</w:t>
      </w:r>
    </w:p>
    <w:p w:rsidR="00A97CD7" w:rsidRPr="00487F93" w:rsidRDefault="00A97CD7">
      <w:pPr>
        <w:spacing w:after="0" w:line="360" w:lineRule="auto"/>
      </w:pPr>
    </w:p>
    <w:p w:rsidR="00A97CD7" w:rsidRPr="00487F93" w:rsidRDefault="004C3F0A">
      <w:pPr>
        <w:pStyle w:val="Ttulo1"/>
        <w:spacing w:before="0" w:after="0" w:line="360" w:lineRule="auto"/>
        <w:jc w:val="center"/>
        <w:rPr>
          <w:b w:val="0"/>
          <w:color w:val="000000"/>
          <w:sz w:val="22"/>
          <w:szCs w:val="22"/>
        </w:rPr>
      </w:pPr>
      <w:bookmarkStart w:id="16" w:name="_heading=h.6x9r6y9tky96" w:colFirst="0" w:colLast="0"/>
      <w:bookmarkEnd w:id="16"/>
      <w:r w:rsidRPr="00487F93">
        <w:rPr>
          <w:color w:val="000000"/>
          <w:sz w:val="22"/>
          <w:szCs w:val="22"/>
        </w:rPr>
        <w:t>R E S U E L V E</w:t>
      </w:r>
    </w:p>
    <w:p w:rsidR="00A97CD7" w:rsidRPr="00487F93" w:rsidRDefault="00A97CD7">
      <w:pPr>
        <w:spacing w:after="0" w:line="360" w:lineRule="auto"/>
      </w:pPr>
    </w:p>
    <w:p w:rsidR="00A97CD7" w:rsidRPr="00487F93" w:rsidRDefault="004C3F0A">
      <w:pPr>
        <w:spacing w:after="0" w:line="360" w:lineRule="auto"/>
      </w:pPr>
      <w:r w:rsidRPr="00487F93">
        <w:rPr>
          <w:b/>
        </w:rPr>
        <w:t xml:space="preserve">PRIMERO. </w:t>
      </w:r>
      <w:r w:rsidRPr="00487F93">
        <w:t xml:space="preserve">Se </w:t>
      </w:r>
      <w:r w:rsidRPr="00487F93">
        <w:rPr>
          <w:b/>
        </w:rPr>
        <w:t xml:space="preserve">MODIFICA </w:t>
      </w:r>
      <w:r w:rsidRPr="00487F93">
        <w:t>la respuesta entregada por el Ayuntamiento de Ozumba, a la solicitud de información 00032/OZUMBA/IP/2025</w:t>
      </w:r>
      <w:r w:rsidRPr="00487F93">
        <w:rPr>
          <w:color w:val="000000"/>
        </w:rPr>
        <w:t>,</w:t>
      </w:r>
      <w:r w:rsidRPr="00487F93">
        <w:t xml:space="preserve"> por resultar </w:t>
      </w:r>
      <w:r w:rsidRPr="00487F93">
        <w:rPr>
          <w:b/>
        </w:rPr>
        <w:t xml:space="preserve">FUNDADAS </w:t>
      </w:r>
      <w:r w:rsidRPr="00487F93">
        <w:t>las razones o motivos de inconformidad hechos valer por la persona Recurrente, en términos de los considerandos QUINTO y SEXTO de la presente Resolución.</w:t>
      </w:r>
    </w:p>
    <w:p w:rsidR="00A97CD7" w:rsidRPr="00487F93" w:rsidRDefault="00A97CD7">
      <w:pPr>
        <w:spacing w:after="0" w:line="360" w:lineRule="auto"/>
      </w:pPr>
    </w:p>
    <w:p w:rsidR="00A97CD7" w:rsidRPr="00487F93" w:rsidRDefault="004C3F0A">
      <w:pPr>
        <w:spacing w:after="0" w:line="360" w:lineRule="auto"/>
        <w:rPr>
          <w:color w:val="000000"/>
        </w:rPr>
      </w:pPr>
      <w:r w:rsidRPr="00487F93">
        <w:rPr>
          <w:b/>
        </w:rPr>
        <w:lastRenderedPageBreak/>
        <w:t xml:space="preserve">SEGUNDO. </w:t>
      </w:r>
      <w:r w:rsidRPr="00487F93">
        <w:t xml:space="preserve">Se </w:t>
      </w:r>
      <w:r w:rsidRPr="00487F93">
        <w:rPr>
          <w:b/>
        </w:rPr>
        <w:t>ORDENA</w:t>
      </w:r>
      <w:r w:rsidRPr="00487F93">
        <w:t xml:space="preserve"> al Sujeto Obligado</w:t>
      </w:r>
      <w:r w:rsidRPr="00487F93">
        <w:rPr>
          <w:b/>
        </w:rPr>
        <w:t xml:space="preserve">, </w:t>
      </w:r>
      <w:r w:rsidRPr="00487F93">
        <w:t xml:space="preserve">a efecto de que previa búsqueda exhaustiva y razonable en los archivos de las unidades administrativas competentes, entregue a través del Sistema de Acceso a la Información Mexiquense (SAIMEX), en su caso, en versión pública, </w:t>
      </w:r>
      <w:r w:rsidRPr="00487F93">
        <w:rPr>
          <w:color w:val="000000"/>
        </w:rPr>
        <w:t>lo siguiente:</w:t>
      </w:r>
    </w:p>
    <w:p w:rsidR="00A97CD7" w:rsidRPr="00487F93" w:rsidRDefault="00A97CD7">
      <w:pPr>
        <w:pBdr>
          <w:top w:val="nil"/>
          <w:left w:val="nil"/>
          <w:bottom w:val="nil"/>
          <w:right w:val="nil"/>
          <w:between w:val="nil"/>
        </w:pBdr>
        <w:spacing w:after="0" w:line="360" w:lineRule="auto"/>
        <w:ind w:right="-30"/>
        <w:rPr>
          <w:color w:val="000000"/>
        </w:rPr>
      </w:pPr>
    </w:p>
    <w:p w:rsidR="00A97CD7" w:rsidRPr="00487F93" w:rsidRDefault="004C3F0A">
      <w:pPr>
        <w:numPr>
          <w:ilvl w:val="0"/>
          <w:numId w:val="2"/>
        </w:numPr>
        <w:pBdr>
          <w:top w:val="nil"/>
          <w:left w:val="nil"/>
          <w:bottom w:val="nil"/>
          <w:right w:val="nil"/>
          <w:between w:val="nil"/>
        </w:pBdr>
        <w:spacing w:after="0" w:line="360" w:lineRule="auto"/>
        <w:rPr>
          <w:color w:val="000000"/>
        </w:rPr>
      </w:pPr>
      <w:r w:rsidRPr="00487F93">
        <w:rPr>
          <w:color w:val="000000"/>
        </w:rPr>
        <w:t>Los documentos donde conste el sueldo bruto y neto mensual vigente al veinticuatro de enero de dos mil veinticinco, de la Directora de Recursos Humanos referida en respuesta.</w:t>
      </w:r>
    </w:p>
    <w:p w:rsidR="00A97CD7" w:rsidRPr="00487F93" w:rsidRDefault="00A97CD7">
      <w:pPr>
        <w:spacing w:after="0" w:line="360" w:lineRule="auto"/>
        <w:ind w:right="-28"/>
      </w:pPr>
    </w:p>
    <w:p w:rsidR="00A97CD7" w:rsidRPr="00487F93" w:rsidRDefault="004C3F0A">
      <w:pPr>
        <w:spacing w:after="0" w:line="360" w:lineRule="auto"/>
      </w:pPr>
      <w:r w:rsidRPr="00487F93">
        <w:t>Además, de ser necesario, deberá proporcionar el Acuerdo de Clasificación donde el Comité de Transparencia, confirme la eliminación de los datos confidenciales, en la versión pública, de conformidad con los artículos 49, fracciones II y VIII y 132, fracción II de la Ley de Transparencia y Acceso a la Información Pública del Estado de México y Municipios.</w:t>
      </w:r>
    </w:p>
    <w:p w:rsidR="00A97CD7" w:rsidRPr="00487F93" w:rsidRDefault="00A97CD7">
      <w:pPr>
        <w:spacing w:after="0" w:line="360" w:lineRule="auto"/>
      </w:pPr>
    </w:p>
    <w:p w:rsidR="00A97CD7" w:rsidRPr="00487F93" w:rsidRDefault="004C3F0A">
      <w:pPr>
        <w:spacing w:after="0" w:line="360" w:lineRule="auto"/>
        <w:ind w:right="-28"/>
        <w:rPr>
          <w:b/>
        </w:rPr>
      </w:pPr>
      <w:r w:rsidRPr="00487F93">
        <w:rPr>
          <w:b/>
        </w:rPr>
        <w:t xml:space="preserve">TERCERO. NOTIFÍQUESE POR SAIMEX </w:t>
      </w:r>
      <w:r w:rsidRPr="00487F93">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A97CD7" w:rsidRPr="00487F93" w:rsidRDefault="00A97CD7">
      <w:pPr>
        <w:spacing w:after="0" w:line="360" w:lineRule="auto"/>
        <w:ind w:right="-28"/>
        <w:rPr>
          <w:color w:val="000000"/>
        </w:rPr>
      </w:pPr>
    </w:p>
    <w:p w:rsidR="00A97CD7" w:rsidRPr="00487F93" w:rsidRDefault="004C3F0A">
      <w:pPr>
        <w:spacing w:after="0" w:line="360" w:lineRule="auto"/>
        <w:rPr>
          <w:color w:val="000000"/>
        </w:rPr>
      </w:pPr>
      <w:r w:rsidRPr="00487F93">
        <w:rPr>
          <w:color w:val="000000"/>
        </w:rPr>
        <w:t>De conformidad con el artículo 198 de la Ley de la materia, de considerarlo procedente, el Sujeto Obligado de manera fundada y motivada, podrá solicitar una ampliación de plazo para el cumplimiento de la presente resolución.</w:t>
      </w:r>
    </w:p>
    <w:p w:rsidR="00A97CD7" w:rsidRPr="00487F93" w:rsidRDefault="00A97CD7">
      <w:pPr>
        <w:spacing w:after="0" w:line="360" w:lineRule="auto"/>
        <w:rPr>
          <w:color w:val="000000"/>
        </w:rPr>
      </w:pPr>
    </w:p>
    <w:p w:rsidR="00A97CD7" w:rsidRPr="00487F93" w:rsidRDefault="004C3F0A">
      <w:pPr>
        <w:spacing w:after="0" w:line="360" w:lineRule="auto"/>
        <w:rPr>
          <w:color w:val="000000"/>
        </w:rPr>
      </w:pPr>
      <w:r w:rsidRPr="00487F93">
        <w:rPr>
          <w:b/>
          <w:color w:val="000000"/>
        </w:rPr>
        <w:t xml:space="preserve">CUARTO. </w:t>
      </w:r>
      <w:r w:rsidRPr="00487F93">
        <w:rPr>
          <w:b/>
        </w:rPr>
        <w:t>NOTIFÍQUESE POR SAIMEX</w:t>
      </w:r>
      <w:r w:rsidRPr="00487F93">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rsidR="00A97CD7" w:rsidRPr="00487F93" w:rsidRDefault="00A97CD7">
      <w:pPr>
        <w:spacing w:after="0" w:line="360" w:lineRule="auto"/>
      </w:pPr>
    </w:p>
    <w:p w:rsidR="00A97CD7" w:rsidRDefault="004C3F0A">
      <w:pPr>
        <w:spacing w:after="0" w:line="360" w:lineRule="auto"/>
      </w:pPr>
      <w:r w:rsidRPr="00487F93">
        <w:t xml:space="preserve">ASÍ LO RESUELVE, POR </w:t>
      </w:r>
      <w:r w:rsidRPr="00487F93">
        <w:rPr>
          <w:b/>
        </w:rPr>
        <w:t>UNANIMIDAD</w:t>
      </w:r>
      <w:r w:rsidRPr="00487F93">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SEGUNDA SESIÓN ORDINARIA, CELEBRADA EL  DOS DE ABRIL DE DOS MIL VEINTICINCO, ANTE EL SECRETARIO TÉCNICO DEL PLENO, ALEXIS TAPIA RAMÍREZ.</w:t>
      </w:r>
    </w:p>
    <w:p w:rsidR="00A97CD7" w:rsidRDefault="00A97CD7">
      <w:pPr>
        <w:spacing w:after="0" w:line="360" w:lineRule="auto"/>
      </w:pPr>
    </w:p>
    <w:p w:rsidR="00A97CD7" w:rsidRDefault="00A97CD7">
      <w:pPr>
        <w:spacing w:after="0" w:line="360" w:lineRule="auto"/>
        <w:rPr>
          <w:color w:val="000000"/>
        </w:rPr>
      </w:pPr>
    </w:p>
    <w:p w:rsidR="00A97CD7" w:rsidRDefault="00A97CD7">
      <w:pPr>
        <w:spacing w:after="0" w:line="360" w:lineRule="auto"/>
      </w:pPr>
    </w:p>
    <w:p w:rsidR="00A97CD7" w:rsidRDefault="00A97CD7">
      <w:pPr>
        <w:spacing w:after="0" w:line="360" w:lineRule="auto"/>
      </w:pPr>
    </w:p>
    <w:p w:rsidR="00A97CD7" w:rsidRDefault="00A97CD7">
      <w:pPr>
        <w:spacing w:after="0" w:line="360" w:lineRule="auto"/>
        <w:rPr>
          <w:color w:val="000000"/>
        </w:rPr>
      </w:pPr>
    </w:p>
    <w:p w:rsidR="00A97CD7" w:rsidRDefault="00A97CD7">
      <w:pPr>
        <w:spacing w:after="0" w:line="360" w:lineRule="auto"/>
        <w:rPr>
          <w:color w:val="000000"/>
        </w:rPr>
      </w:pPr>
    </w:p>
    <w:p w:rsidR="00A97CD7" w:rsidRDefault="00A97CD7">
      <w:pPr>
        <w:tabs>
          <w:tab w:val="right" w:pos="8931"/>
        </w:tabs>
        <w:spacing w:after="0" w:line="360" w:lineRule="auto"/>
      </w:pPr>
    </w:p>
    <w:p w:rsidR="00A97CD7" w:rsidRDefault="00A97CD7">
      <w:pPr>
        <w:tabs>
          <w:tab w:val="right" w:pos="8931"/>
        </w:tabs>
        <w:spacing w:after="0" w:line="360" w:lineRule="auto"/>
      </w:pPr>
    </w:p>
    <w:p w:rsidR="00A97CD7" w:rsidRDefault="00A97CD7">
      <w:pPr>
        <w:spacing w:after="0" w:line="360" w:lineRule="auto"/>
      </w:pPr>
    </w:p>
    <w:p w:rsidR="00A97CD7" w:rsidRDefault="00A97CD7">
      <w:pPr>
        <w:spacing w:after="0" w:line="360" w:lineRule="auto"/>
      </w:pPr>
    </w:p>
    <w:p w:rsidR="00A97CD7" w:rsidRDefault="00A97CD7">
      <w:pPr>
        <w:spacing w:after="0" w:line="360" w:lineRule="auto"/>
      </w:pPr>
    </w:p>
    <w:p w:rsidR="00A97CD7" w:rsidRDefault="00A97CD7">
      <w:pPr>
        <w:spacing w:after="0" w:line="360" w:lineRule="auto"/>
      </w:pPr>
    </w:p>
    <w:p w:rsidR="00A97CD7" w:rsidRDefault="00A97CD7">
      <w:pPr>
        <w:spacing w:after="0" w:line="360" w:lineRule="auto"/>
      </w:pPr>
    </w:p>
    <w:p w:rsidR="00A97CD7" w:rsidRDefault="00A97CD7">
      <w:pPr>
        <w:spacing w:after="0" w:line="360" w:lineRule="auto"/>
      </w:pPr>
    </w:p>
    <w:p w:rsidR="00A97CD7" w:rsidRDefault="00A97CD7">
      <w:pPr>
        <w:spacing w:after="0" w:line="360" w:lineRule="auto"/>
      </w:pPr>
    </w:p>
    <w:p w:rsidR="00A97CD7" w:rsidRDefault="00A97CD7">
      <w:pPr>
        <w:spacing w:after="0" w:line="360" w:lineRule="auto"/>
      </w:pPr>
    </w:p>
    <w:p w:rsidR="00A97CD7" w:rsidRDefault="00A97CD7">
      <w:pPr>
        <w:spacing w:after="0" w:line="360" w:lineRule="auto"/>
      </w:pPr>
    </w:p>
    <w:p w:rsidR="00A97CD7" w:rsidRDefault="00A97CD7">
      <w:pPr>
        <w:spacing w:after="0" w:line="360" w:lineRule="auto"/>
      </w:pPr>
    </w:p>
    <w:p w:rsidR="00A97CD7" w:rsidRDefault="00A97CD7">
      <w:pPr>
        <w:spacing w:after="0" w:line="360" w:lineRule="auto"/>
      </w:pPr>
    </w:p>
    <w:p w:rsidR="00487F93" w:rsidRDefault="00487F93">
      <w:pPr>
        <w:spacing w:after="0" w:line="360" w:lineRule="auto"/>
      </w:pPr>
    </w:p>
    <w:p w:rsidR="00487F93" w:rsidRDefault="00487F93">
      <w:pPr>
        <w:spacing w:after="0" w:line="360" w:lineRule="auto"/>
      </w:pPr>
    </w:p>
    <w:p w:rsidR="00487F93" w:rsidRDefault="00487F93">
      <w:pPr>
        <w:spacing w:after="0" w:line="360" w:lineRule="auto"/>
      </w:pPr>
    </w:p>
    <w:p w:rsidR="00487F93" w:rsidRDefault="00487F93">
      <w:pPr>
        <w:spacing w:after="0" w:line="360" w:lineRule="auto"/>
      </w:pPr>
    </w:p>
    <w:p w:rsidR="00487F93" w:rsidRDefault="00487F93">
      <w:pPr>
        <w:spacing w:after="0" w:line="360" w:lineRule="auto"/>
      </w:pPr>
    </w:p>
    <w:p w:rsidR="00487F93" w:rsidRDefault="00487F93">
      <w:pPr>
        <w:spacing w:after="0" w:line="360" w:lineRule="auto"/>
      </w:pPr>
    </w:p>
    <w:sectPr w:rsidR="00487F93">
      <w:headerReference w:type="even" r:id="rId8"/>
      <w:headerReference w:type="default" r:id="rId9"/>
      <w:footerReference w:type="even" r:id="rId10"/>
      <w:footerReference w:type="default" r:id="rId11"/>
      <w:headerReference w:type="first" r:id="rId12"/>
      <w:footerReference w:type="first" r:id="rId13"/>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C74" w:rsidRDefault="00776C74">
      <w:pPr>
        <w:spacing w:after="0" w:line="240" w:lineRule="auto"/>
      </w:pPr>
      <w:r>
        <w:separator/>
      </w:r>
    </w:p>
  </w:endnote>
  <w:endnote w:type="continuationSeparator" w:id="0">
    <w:p w:rsidR="00776C74" w:rsidRDefault="00776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CD7" w:rsidRDefault="004C3F0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85708">
      <w:rPr>
        <w:b/>
        <w:noProof/>
        <w:color w:val="000000"/>
        <w:sz w:val="24"/>
        <w:szCs w:val="24"/>
      </w:rPr>
      <w:t>19</w:t>
    </w:r>
    <w:r>
      <w:rPr>
        <w:b/>
        <w:color w:val="000000"/>
        <w:sz w:val="24"/>
        <w:szCs w:val="24"/>
      </w:rPr>
      <w:fldChar w:fldCharType="end"/>
    </w:r>
  </w:p>
  <w:p w:rsidR="00A97CD7" w:rsidRDefault="00A97CD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CD7" w:rsidRDefault="004C3F0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85708">
      <w:rPr>
        <w:b/>
        <w:noProof/>
        <w:color w:val="000000"/>
        <w:sz w:val="24"/>
        <w:szCs w:val="24"/>
      </w:rPr>
      <w:t>18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85708">
      <w:rPr>
        <w:b/>
        <w:noProof/>
        <w:color w:val="000000"/>
        <w:sz w:val="24"/>
        <w:szCs w:val="24"/>
      </w:rPr>
      <w:t>19</w:t>
    </w:r>
    <w:r>
      <w:rPr>
        <w:b/>
        <w:color w:val="000000"/>
        <w:sz w:val="24"/>
        <w:szCs w:val="24"/>
      </w:rPr>
      <w:fldChar w:fldCharType="end"/>
    </w:r>
  </w:p>
  <w:p w:rsidR="00A97CD7" w:rsidRDefault="00A97CD7">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CD7" w:rsidRDefault="004C3F0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8570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85708">
      <w:rPr>
        <w:b/>
        <w:noProof/>
        <w:color w:val="000000"/>
        <w:sz w:val="24"/>
        <w:szCs w:val="24"/>
      </w:rPr>
      <w:t>19</w:t>
    </w:r>
    <w:r>
      <w:rPr>
        <w:b/>
        <w:color w:val="000000"/>
        <w:sz w:val="24"/>
        <w:szCs w:val="24"/>
      </w:rPr>
      <w:fldChar w:fldCharType="end"/>
    </w:r>
  </w:p>
  <w:p w:rsidR="00A97CD7" w:rsidRDefault="00A97CD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C74" w:rsidRDefault="00776C74">
      <w:pPr>
        <w:spacing w:after="0" w:line="240" w:lineRule="auto"/>
      </w:pPr>
      <w:r>
        <w:separator/>
      </w:r>
    </w:p>
  </w:footnote>
  <w:footnote w:type="continuationSeparator" w:id="0">
    <w:p w:rsidR="00776C74" w:rsidRDefault="00776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CD7" w:rsidRDefault="00A97CD7">
    <w:pPr>
      <w:widowControl w:val="0"/>
      <w:pBdr>
        <w:top w:val="nil"/>
        <w:left w:val="nil"/>
        <w:bottom w:val="nil"/>
        <w:right w:val="nil"/>
        <w:between w:val="nil"/>
      </w:pBdr>
      <w:spacing w:after="0" w:line="276" w:lineRule="auto"/>
      <w:jc w:val="left"/>
      <w:rPr>
        <w:color w:val="000000"/>
      </w:rPr>
    </w:pPr>
  </w:p>
  <w:tbl>
    <w:tblPr>
      <w:tblStyle w:val="a0"/>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A97CD7">
      <w:trPr>
        <w:trHeight w:val="132"/>
      </w:trPr>
      <w:tc>
        <w:tcPr>
          <w:tcW w:w="0" w:type="auto"/>
        </w:tcPr>
        <w:p w:rsidR="00A97CD7" w:rsidRDefault="004C3F0A">
          <w:pPr>
            <w:tabs>
              <w:tab w:val="right" w:pos="8838"/>
            </w:tabs>
            <w:ind w:right="-105"/>
            <w:rPr>
              <w:b/>
            </w:rPr>
          </w:pPr>
          <w:r>
            <w:rPr>
              <w:b/>
            </w:rPr>
            <w:t>Recurso de Revisión:</w:t>
          </w:r>
        </w:p>
      </w:tc>
      <w:tc>
        <w:tcPr>
          <w:tcW w:w="0" w:type="auto"/>
        </w:tcPr>
        <w:p w:rsidR="00A97CD7" w:rsidRDefault="004C3F0A">
          <w:pPr>
            <w:tabs>
              <w:tab w:val="right" w:pos="8838"/>
            </w:tabs>
            <w:ind w:left="-28" w:right="-32"/>
          </w:pPr>
          <w:r>
            <w:t>03846/INFOEM/IP/RR/2020</w:t>
          </w:r>
        </w:p>
      </w:tc>
    </w:tr>
    <w:tr w:rsidR="00A97CD7">
      <w:trPr>
        <w:trHeight w:val="261"/>
      </w:trPr>
      <w:tc>
        <w:tcPr>
          <w:tcW w:w="0" w:type="auto"/>
        </w:tcPr>
        <w:p w:rsidR="00A97CD7" w:rsidRDefault="004C3F0A">
          <w:pPr>
            <w:tabs>
              <w:tab w:val="right" w:pos="8838"/>
            </w:tabs>
            <w:ind w:right="-105"/>
            <w:rPr>
              <w:b/>
            </w:rPr>
          </w:pPr>
          <w:r>
            <w:rPr>
              <w:b/>
            </w:rPr>
            <w:t>Sujeto Obligado:</w:t>
          </w:r>
        </w:p>
      </w:tc>
      <w:tc>
        <w:tcPr>
          <w:tcW w:w="0" w:type="auto"/>
        </w:tcPr>
        <w:p w:rsidR="00A97CD7" w:rsidRDefault="004C3F0A">
          <w:pPr>
            <w:tabs>
              <w:tab w:val="right" w:pos="8838"/>
            </w:tabs>
            <w:ind w:right="-32"/>
          </w:pPr>
          <w:r>
            <w:t>Ayuntamiento de Temascalcingo</w:t>
          </w:r>
        </w:p>
      </w:tc>
    </w:tr>
    <w:tr w:rsidR="00A97CD7">
      <w:trPr>
        <w:trHeight w:val="261"/>
      </w:trPr>
      <w:tc>
        <w:tcPr>
          <w:tcW w:w="0" w:type="auto"/>
        </w:tcPr>
        <w:p w:rsidR="00A97CD7" w:rsidRDefault="004C3F0A">
          <w:pPr>
            <w:tabs>
              <w:tab w:val="right" w:pos="8838"/>
            </w:tabs>
            <w:ind w:right="-105"/>
            <w:rPr>
              <w:b/>
            </w:rPr>
          </w:pPr>
          <w:r>
            <w:rPr>
              <w:b/>
            </w:rPr>
            <w:t>Comisionado Ponente:</w:t>
          </w:r>
        </w:p>
      </w:tc>
      <w:tc>
        <w:tcPr>
          <w:tcW w:w="0" w:type="auto"/>
        </w:tcPr>
        <w:p w:rsidR="00A97CD7" w:rsidRDefault="004C3F0A">
          <w:pPr>
            <w:tabs>
              <w:tab w:val="right" w:pos="8838"/>
            </w:tabs>
            <w:ind w:right="-32"/>
            <w:rPr>
              <w:b/>
            </w:rPr>
          </w:pPr>
          <w:r>
            <w:t>Luis Gustavo Parra Noriega</w:t>
          </w:r>
        </w:p>
      </w:tc>
    </w:tr>
  </w:tbl>
  <w:p w:rsidR="00A97CD7" w:rsidRDefault="00776C7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CD7" w:rsidRDefault="00776C74">
    <w:pPr>
      <w:widowControl w:val="0"/>
      <w:pBdr>
        <w:top w:val="nil"/>
        <w:left w:val="nil"/>
        <w:bottom w:val="nil"/>
        <w:right w:val="nil"/>
        <w:between w:val="nil"/>
      </w:pBdr>
      <w:spacing w:after="0" w:line="276" w:lineRule="auto"/>
      <w:jc w:val="left"/>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margin-left:-85.35pt;margin-top:-137.45pt;width:663.5pt;height:12in;z-index:-251659776;mso-position-horizontal:absolute;mso-position-horizontal-relative:margin;mso-position-vertical:absolute;mso-position-vertical-relative:margin">
          <v:imagedata r:id="rId1" o:title="image1"/>
          <w10:wrap anchorx="margin" anchory="margin"/>
        </v:shape>
      </w:pict>
    </w:r>
  </w:p>
  <w:tbl>
    <w:tblPr>
      <w:tblStyle w:val="a1"/>
      <w:tblW w:w="6662"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A97CD7">
      <w:trPr>
        <w:trHeight w:val="138"/>
      </w:trPr>
      <w:tc>
        <w:tcPr>
          <w:tcW w:w="2693" w:type="dxa"/>
          <w:vAlign w:val="center"/>
        </w:tcPr>
        <w:p w:rsidR="00A97CD7" w:rsidRDefault="00A97CD7">
          <w:pPr>
            <w:tabs>
              <w:tab w:val="right" w:pos="8838"/>
            </w:tabs>
            <w:ind w:left="-108" w:right="-105"/>
            <w:jc w:val="left"/>
            <w:rPr>
              <w:b/>
            </w:rPr>
          </w:pPr>
        </w:p>
        <w:p w:rsidR="00A97CD7" w:rsidRDefault="004C3F0A">
          <w:pPr>
            <w:tabs>
              <w:tab w:val="right" w:pos="8838"/>
            </w:tabs>
            <w:ind w:left="-108" w:right="-105"/>
            <w:jc w:val="left"/>
            <w:rPr>
              <w:b/>
            </w:rPr>
          </w:pPr>
          <w:r>
            <w:rPr>
              <w:b/>
            </w:rPr>
            <w:t>Recurso de Revisión:</w:t>
          </w:r>
        </w:p>
      </w:tc>
      <w:tc>
        <w:tcPr>
          <w:tcW w:w="3969" w:type="dxa"/>
        </w:tcPr>
        <w:p w:rsidR="00A97CD7" w:rsidRDefault="00A97CD7">
          <w:pPr>
            <w:tabs>
              <w:tab w:val="right" w:pos="8838"/>
            </w:tabs>
            <w:ind w:right="57"/>
          </w:pPr>
        </w:p>
        <w:p w:rsidR="00A97CD7" w:rsidRDefault="004C3F0A">
          <w:pPr>
            <w:tabs>
              <w:tab w:val="right" w:pos="8838"/>
            </w:tabs>
            <w:ind w:right="57"/>
          </w:pPr>
          <w:r>
            <w:t>02256/INFOEM/IP/RR/2025</w:t>
          </w:r>
        </w:p>
      </w:tc>
    </w:tr>
    <w:tr w:rsidR="00A97CD7">
      <w:trPr>
        <w:trHeight w:val="273"/>
      </w:trPr>
      <w:tc>
        <w:tcPr>
          <w:tcW w:w="2693" w:type="dxa"/>
        </w:tcPr>
        <w:p w:rsidR="00A97CD7" w:rsidRDefault="004C3F0A">
          <w:pPr>
            <w:tabs>
              <w:tab w:val="right" w:pos="8838"/>
            </w:tabs>
            <w:ind w:left="-108" w:right="-105"/>
            <w:rPr>
              <w:b/>
            </w:rPr>
          </w:pPr>
          <w:r>
            <w:rPr>
              <w:b/>
            </w:rPr>
            <w:t>Sujeto Obligado:</w:t>
          </w:r>
        </w:p>
      </w:tc>
      <w:tc>
        <w:tcPr>
          <w:tcW w:w="3969" w:type="dxa"/>
        </w:tcPr>
        <w:p w:rsidR="00A97CD7" w:rsidRDefault="004C3F0A">
          <w:pPr>
            <w:tabs>
              <w:tab w:val="right" w:pos="8838"/>
            </w:tabs>
          </w:pPr>
          <w:r>
            <w:t>Ayuntamiento de Ozumba</w:t>
          </w:r>
        </w:p>
      </w:tc>
    </w:tr>
    <w:tr w:rsidR="00A97CD7">
      <w:trPr>
        <w:trHeight w:val="273"/>
      </w:trPr>
      <w:tc>
        <w:tcPr>
          <w:tcW w:w="2693" w:type="dxa"/>
        </w:tcPr>
        <w:p w:rsidR="00A97CD7" w:rsidRDefault="004C3F0A">
          <w:pPr>
            <w:tabs>
              <w:tab w:val="right" w:pos="8838"/>
            </w:tabs>
            <w:ind w:left="-108" w:right="-105"/>
            <w:rPr>
              <w:b/>
            </w:rPr>
          </w:pPr>
          <w:r>
            <w:rPr>
              <w:b/>
            </w:rPr>
            <w:t>Comisionado Ponente:</w:t>
          </w:r>
        </w:p>
      </w:tc>
      <w:tc>
        <w:tcPr>
          <w:tcW w:w="3969" w:type="dxa"/>
        </w:tcPr>
        <w:p w:rsidR="00A97CD7" w:rsidRDefault="004C3F0A">
          <w:pPr>
            <w:tabs>
              <w:tab w:val="right" w:pos="8838"/>
            </w:tabs>
            <w:ind w:right="-170"/>
          </w:pPr>
          <w:r>
            <w:t>Luis Gustavo Parra Noriega</w:t>
          </w:r>
        </w:p>
        <w:p w:rsidR="00A97CD7" w:rsidRDefault="00A97CD7">
          <w:pPr>
            <w:tabs>
              <w:tab w:val="right" w:pos="8838"/>
            </w:tabs>
            <w:ind w:right="-170"/>
            <w:rPr>
              <w:b/>
            </w:rPr>
          </w:pPr>
        </w:p>
      </w:tc>
    </w:tr>
  </w:tbl>
  <w:p w:rsidR="00A97CD7" w:rsidRDefault="00A97CD7">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CD7" w:rsidRDefault="00A97CD7">
    <w:pPr>
      <w:widowControl w:val="0"/>
      <w:pBdr>
        <w:top w:val="nil"/>
        <w:left w:val="nil"/>
        <w:bottom w:val="nil"/>
        <w:right w:val="nil"/>
        <w:between w:val="nil"/>
      </w:pBdr>
      <w:spacing w:after="0" w:line="276" w:lineRule="auto"/>
      <w:jc w:val="left"/>
      <w:rPr>
        <w:color w:val="000000"/>
      </w:rPr>
    </w:pPr>
  </w:p>
  <w:tbl>
    <w:tblPr>
      <w:tblStyle w:val="a2"/>
      <w:tblW w:w="6804"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A97CD7">
      <w:trPr>
        <w:trHeight w:val="132"/>
      </w:trPr>
      <w:tc>
        <w:tcPr>
          <w:tcW w:w="2551" w:type="dxa"/>
        </w:tcPr>
        <w:p w:rsidR="00A97CD7" w:rsidRDefault="004C3F0A">
          <w:pPr>
            <w:tabs>
              <w:tab w:val="right" w:pos="8838"/>
            </w:tabs>
            <w:ind w:right="-105"/>
            <w:rPr>
              <w:b/>
            </w:rPr>
          </w:pPr>
          <w:r>
            <w:rPr>
              <w:b/>
            </w:rPr>
            <w:t>Recurso de Revisión:</w:t>
          </w:r>
        </w:p>
      </w:tc>
      <w:tc>
        <w:tcPr>
          <w:tcW w:w="4253" w:type="dxa"/>
        </w:tcPr>
        <w:p w:rsidR="00A97CD7" w:rsidRDefault="004C3F0A">
          <w:r>
            <w:t>02256/INFOEM/IP/RR/2025</w:t>
          </w:r>
        </w:p>
      </w:tc>
    </w:tr>
    <w:tr w:rsidR="00A97CD7">
      <w:trPr>
        <w:trHeight w:val="132"/>
      </w:trPr>
      <w:tc>
        <w:tcPr>
          <w:tcW w:w="2551" w:type="dxa"/>
          <w:shd w:val="clear" w:color="auto" w:fill="auto"/>
        </w:tcPr>
        <w:p w:rsidR="00A97CD7" w:rsidRDefault="004C3F0A">
          <w:pPr>
            <w:tabs>
              <w:tab w:val="left" w:pos="1875"/>
            </w:tabs>
            <w:ind w:right="-105"/>
            <w:rPr>
              <w:b/>
            </w:rPr>
          </w:pPr>
          <w:r>
            <w:rPr>
              <w:b/>
            </w:rPr>
            <w:t>Recurrente:</w:t>
          </w:r>
          <w:r>
            <w:rPr>
              <w:b/>
            </w:rPr>
            <w:tab/>
          </w:r>
        </w:p>
      </w:tc>
      <w:tc>
        <w:tcPr>
          <w:tcW w:w="4253" w:type="dxa"/>
          <w:shd w:val="clear" w:color="auto" w:fill="auto"/>
        </w:tcPr>
        <w:p w:rsidR="00A97CD7" w:rsidRDefault="0021473F">
          <w:pPr>
            <w:tabs>
              <w:tab w:val="right" w:pos="8838"/>
            </w:tabs>
            <w:ind w:right="-250"/>
          </w:pPr>
          <w:r w:rsidRPr="0021473F">
            <w:rPr>
              <w:highlight w:val="black"/>
            </w:rPr>
            <w:t>XXXXXXXXXX</w:t>
          </w:r>
        </w:p>
      </w:tc>
    </w:tr>
    <w:tr w:rsidR="00A97CD7">
      <w:trPr>
        <w:trHeight w:val="261"/>
      </w:trPr>
      <w:tc>
        <w:tcPr>
          <w:tcW w:w="2551" w:type="dxa"/>
        </w:tcPr>
        <w:p w:rsidR="00A97CD7" w:rsidRDefault="004C3F0A">
          <w:pPr>
            <w:tabs>
              <w:tab w:val="right" w:pos="8838"/>
            </w:tabs>
            <w:ind w:right="-105"/>
            <w:rPr>
              <w:b/>
            </w:rPr>
          </w:pPr>
          <w:r>
            <w:rPr>
              <w:b/>
            </w:rPr>
            <w:t>Sujeto Obligado:</w:t>
          </w:r>
        </w:p>
      </w:tc>
      <w:tc>
        <w:tcPr>
          <w:tcW w:w="4253" w:type="dxa"/>
        </w:tcPr>
        <w:p w:rsidR="00A97CD7" w:rsidRDefault="004C3F0A">
          <w:r>
            <w:t>Ayuntamiento de Ozumba</w:t>
          </w:r>
        </w:p>
      </w:tc>
    </w:tr>
    <w:tr w:rsidR="00A97CD7">
      <w:trPr>
        <w:trHeight w:val="261"/>
      </w:trPr>
      <w:tc>
        <w:tcPr>
          <w:tcW w:w="2551" w:type="dxa"/>
        </w:tcPr>
        <w:p w:rsidR="00A97CD7" w:rsidRDefault="004C3F0A">
          <w:pPr>
            <w:tabs>
              <w:tab w:val="right" w:pos="8838"/>
            </w:tabs>
            <w:ind w:right="-105"/>
            <w:rPr>
              <w:b/>
            </w:rPr>
          </w:pPr>
          <w:r>
            <w:rPr>
              <w:b/>
            </w:rPr>
            <w:t>Comisionado Ponente:</w:t>
          </w:r>
        </w:p>
      </w:tc>
      <w:tc>
        <w:tcPr>
          <w:tcW w:w="4253" w:type="dxa"/>
        </w:tcPr>
        <w:p w:rsidR="00A97CD7" w:rsidRDefault="004C3F0A">
          <w:pPr>
            <w:tabs>
              <w:tab w:val="right" w:pos="8838"/>
            </w:tabs>
            <w:ind w:right="-32"/>
            <w:rPr>
              <w:b/>
            </w:rPr>
          </w:pPr>
          <w:r>
            <w:t>Luis Gustavo Parra Noriega</w:t>
          </w:r>
        </w:p>
      </w:tc>
    </w:tr>
  </w:tbl>
  <w:p w:rsidR="00A97CD7" w:rsidRDefault="00776C74">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B645F"/>
    <w:multiLevelType w:val="multilevel"/>
    <w:tmpl w:val="B648840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230BF8"/>
    <w:multiLevelType w:val="multilevel"/>
    <w:tmpl w:val="CA281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D7"/>
    <w:rsid w:val="00185708"/>
    <w:rsid w:val="0021473F"/>
    <w:rsid w:val="002E3037"/>
    <w:rsid w:val="00487F93"/>
    <w:rsid w:val="004C3F0A"/>
    <w:rsid w:val="00776C74"/>
    <w:rsid w:val="00A97CD7"/>
    <w:rsid w:val="00D569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0D8622"/>
  <w15:docId w15:val="{12B1A7B5-1190-4BF1-8188-7C376889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s-MX" w:eastAsia="es-MX" w:bidi="ar-SA"/>
      </w:rPr>
    </w:rPrDefault>
    <w:pPrDefault>
      <w:pPr>
        <w:spacing w:after="160" w:line="254"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66D"/>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0"/>
    <w:pPr>
      <w:spacing w:after="0" w:line="240" w:lineRule="auto"/>
    </w:pPr>
    <w:tblPr>
      <w:tblStyleRowBandSize w:val="1"/>
      <w:tblStyleColBandSize w:val="1"/>
      <w:tblCellMar>
        <w:left w:w="108" w:type="dxa"/>
        <w:right w:w="108" w:type="dxa"/>
      </w:tblCellMar>
    </w:tblPr>
  </w:style>
  <w:style w:type="table" w:customStyle="1" w:styleId="3">
    <w:name w:val="3"/>
    <w:basedOn w:val="TableNormal0"/>
    <w:pPr>
      <w:spacing w:after="0" w:line="240" w:lineRule="auto"/>
    </w:pPr>
    <w:tblPr>
      <w:tblStyleRowBandSize w:val="1"/>
      <w:tblStyleColBandSize w:val="1"/>
      <w:tblCellMar>
        <w:left w:w="108" w:type="dxa"/>
        <w:right w:w="108" w:type="dxa"/>
      </w:tblCellMar>
    </w:tblPr>
  </w:style>
  <w:style w:type="table" w:customStyle="1" w:styleId="2">
    <w:name w:val="2"/>
    <w:basedOn w:val="TableNormal0"/>
    <w:pPr>
      <w:spacing w:after="0" w:line="240" w:lineRule="auto"/>
    </w:pPr>
    <w:tblPr>
      <w:tblStyleRowBandSize w:val="1"/>
      <w:tblStyleColBandSize w:val="1"/>
      <w:tblCellMar>
        <w:left w:w="108" w:type="dxa"/>
        <w:right w:w="108" w:type="dxa"/>
      </w:tblCellMar>
    </w:tblPr>
  </w:style>
  <w:style w:type="table" w:customStyle="1" w:styleId="1">
    <w:name w:val="1"/>
    <w:basedOn w:val="TableNormal0"/>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 w:type="character" w:styleId="Refdecomentario">
    <w:name w:val="annotation reference"/>
    <w:basedOn w:val="Fuentedeprrafopredeter"/>
    <w:uiPriority w:val="99"/>
    <w:semiHidden/>
    <w:unhideWhenUsed/>
    <w:rsid w:val="00673218"/>
    <w:rPr>
      <w:sz w:val="16"/>
      <w:szCs w:val="16"/>
    </w:rPr>
  </w:style>
  <w:style w:type="paragraph" w:styleId="Textocomentario">
    <w:name w:val="annotation text"/>
    <w:basedOn w:val="Normal"/>
    <w:link w:val="TextocomentarioCar"/>
    <w:uiPriority w:val="99"/>
    <w:semiHidden/>
    <w:unhideWhenUsed/>
    <w:rsid w:val="006732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3218"/>
    <w:rPr>
      <w:color w:val="000000" w:themeColor="text1"/>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73218"/>
    <w:rPr>
      <w:b/>
      <w:bCs/>
    </w:rPr>
  </w:style>
  <w:style w:type="character" w:customStyle="1" w:styleId="AsuntodelcomentarioCar">
    <w:name w:val="Asunto del comentario Car"/>
    <w:basedOn w:val="TextocomentarioCar"/>
    <w:link w:val="Asuntodelcomentario"/>
    <w:uiPriority w:val="99"/>
    <w:semiHidden/>
    <w:rsid w:val="00673218"/>
    <w:rPr>
      <w:b/>
      <w:bCs/>
      <w:color w:val="000000" w:themeColor="text1"/>
      <w:sz w:val="20"/>
      <w:szCs w:val="20"/>
      <w:lang w:eastAsia="es-MX"/>
    </w:rPr>
  </w:style>
  <w:style w:type="paragraph" w:styleId="Textodeglobo">
    <w:name w:val="Balloon Text"/>
    <w:basedOn w:val="Normal"/>
    <w:link w:val="TextodegloboCar"/>
    <w:uiPriority w:val="99"/>
    <w:semiHidden/>
    <w:unhideWhenUsed/>
    <w:rsid w:val="006732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3218"/>
    <w:rPr>
      <w:rFonts w:ascii="Segoe UI" w:hAnsi="Segoe UI" w:cs="Segoe UI"/>
      <w:color w:val="000000" w:themeColor="text1"/>
      <w:sz w:val="18"/>
      <w:szCs w:val="18"/>
      <w:lang w:eastAsia="es-MX"/>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Q64E66MD0OZksZ+l6NwI2kSLcQ==">CgMxLjAyDmgubHR6NWxqcmZibXZ2Mg5oLjI0NHFrNGpuem04NjIOaC4xeTJ5ejZleW94c2EyDmgudjUxOW1lbWMwNnVrMg5oLnh0ajlyZ25wa3J0YjIOaC53Mjh2cDdzOXN5Ym0yDmguN293NDJhZmo1bnA0Mg5oLmo5NG9nMWR2a2p2YjIJaC4zMGowemxsMg5oLjdveWptb3M0YWJsZDIOaC50eWw3NHZsbWIyYzMyDmgubmw5dGF0bGxkaTM0Mg5oLmV0dHloN3lnYWp3YzIOaC4xOW4xN3JpcG52d3kyCWguMWZvYjl0ZTIOaC42eDlyNnk5dGt5OTY4AHIhMUcwVlN2YlFwcjAxdGxWRTNwWGhqRHpTRy1Zd3oxR0s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4436</Words>
  <Characters>24399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HECTOR FABIAN ORDOÑEZ GARCIA</cp:lastModifiedBy>
  <cp:revision>4</cp:revision>
  <cp:lastPrinted>2025-04-04T16:52:00Z</cp:lastPrinted>
  <dcterms:created xsi:type="dcterms:W3CDTF">2025-04-04T16:52:00Z</dcterms:created>
  <dcterms:modified xsi:type="dcterms:W3CDTF">2025-04-28T20:49:00Z</dcterms:modified>
</cp:coreProperties>
</file>