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C2DEF" w14:textId="4682A3F9"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ED06C0" w:rsidRPr="004350CF">
        <w:rPr>
          <w:rFonts w:ascii="Palatino Linotype" w:eastAsia="Palatino Linotype" w:hAnsi="Palatino Linotype" w:cs="Palatino Linotype"/>
        </w:rPr>
        <w:t xml:space="preserve">cinco de noviembre </w:t>
      </w:r>
      <w:r w:rsidRPr="004350CF">
        <w:rPr>
          <w:rFonts w:ascii="Palatino Linotype" w:eastAsia="Palatino Linotype" w:hAnsi="Palatino Linotype" w:cs="Palatino Linotype"/>
        </w:rPr>
        <w:t xml:space="preserve">de dos mil veinticinco. </w:t>
      </w:r>
    </w:p>
    <w:p w14:paraId="419B1951" w14:textId="13C192D5" w:rsidR="002F3595" w:rsidRPr="004350CF" w:rsidRDefault="009669C9">
      <w:pPr>
        <w:spacing w:before="240" w:after="240" w:line="360" w:lineRule="auto"/>
        <w:ind w:right="-112"/>
        <w:jc w:val="both"/>
        <w:rPr>
          <w:rFonts w:ascii="Palatino Linotype" w:eastAsia="Palatino Linotype" w:hAnsi="Palatino Linotype" w:cs="Palatino Linotype"/>
        </w:rPr>
      </w:pPr>
      <w:bookmarkStart w:id="0" w:name="_heading=h.30j0zll" w:colFirst="0" w:colLast="0"/>
      <w:bookmarkEnd w:id="0"/>
      <w:r w:rsidRPr="004350CF">
        <w:rPr>
          <w:rFonts w:ascii="Palatino Linotype" w:eastAsia="Palatino Linotype" w:hAnsi="Palatino Linotype" w:cs="Palatino Linotype"/>
          <w:b/>
        </w:rPr>
        <w:t xml:space="preserve">VISTOS </w:t>
      </w:r>
      <w:r w:rsidRPr="004350CF">
        <w:rPr>
          <w:rFonts w:ascii="Palatino Linotype" w:eastAsia="Palatino Linotype" w:hAnsi="Palatino Linotype" w:cs="Palatino Linotype"/>
        </w:rPr>
        <w:t xml:space="preserve">los expedientes relativos a los recursos de revisión </w:t>
      </w:r>
      <w:r w:rsidRPr="004350CF">
        <w:rPr>
          <w:rFonts w:ascii="Palatino Linotype" w:eastAsia="Palatino Linotype" w:hAnsi="Palatino Linotype" w:cs="Palatino Linotype"/>
          <w:b/>
        </w:rPr>
        <w:t>06454/INFOEM/IP/RR/2025, 06455/INFOEM/IP/RR/2025, 06460/INFOEM/IP/RR/2025, 06461/INFOEM/IP/RR/2025 y 06462/INFOEM/IP/RR/2025, acumulados,</w:t>
      </w:r>
      <w:r w:rsidRPr="004350CF">
        <w:rPr>
          <w:rFonts w:ascii="Palatino Linotype" w:eastAsia="Palatino Linotype" w:hAnsi="Palatino Linotype" w:cs="Palatino Linotype"/>
        </w:rPr>
        <w:t xml:space="preserve"> interpuestos por</w:t>
      </w:r>
      <w:r w:rsidRPr="004350CF">
        <w:rPr>
          <w:rFonts w:ascii="Palatino Linotype" w:eastAsia="Palatino Linotype" w:hAnsi="Palatino Linotype" w:cs="Palatino Linotype"/>
          <w:b/>
        </w:rPr>
        <w:t xml:space="preserve"> </w:t>
      </w:r>
      <w:r w:rsidR="00855BC5">
        <w:rPr>
          <w:rFonts w:ascii="Palatino Linotype" w:eastAsia="Palatino Linotype" w:hAnsi="Palatino Linotype" w:cs="Palatino Linotype"/>
          <w:b/>
        </w:rPr>
        <w:t>XXXX</w:t>
      </w:r>
      <w:bookmarkStart w:id="1" w:name="_GoBack"/>
      <w:bookmarkEnd w:id="1"/>
      <w:r w:rsidRPr="004350CF">
        <w:rPr>
          <w:rFonts w:ascii="Palatino Linotype" w:eastAsia="Palatino Linotype" w:hAnsi="Palatino Linotype" w:cs="Palatino Linotype"/>
          <w:b/>
        </w:rPr>
        <w:t xml:space="preserve">, </w:t>
      </w:r>
      <w:r w:rsidRPr="004350CF">
        <w:rPr>
          <w:rFonts w:ascii="Palatino Linotype" w:eastAsia="Palatino Linotype" w:hAnsi="Palatino Linotype" w:cs="Palatino Linotype"/>
        </w:rPr>
        <w:t xml:space="preserve">en lo sucesivo la parte </w:t>
      </w:r>
      <w:r w:rsidRPr="004350CF">
        <w:rPr>
          <w:rFonts w:ascii="Palatino Linotype" w:eastAsia="Palatino Linotype" w:hAnsi="Palatino Linotype" w:cs="Palatino Linotype"/>
          <w:b/>
        </w:rPr>
        <w:t>Recurrente</w:t>
      </w:r>
      <w:r w:rsidRPr="004350CF">
        <w:rPr>
          <w:rFonts w:ascii="Palatino Linotype" w:eastAsia="Palatino Linotype" w:hAnsi="Palatino Linotype" w:cs="Palatino Linotype"/>
        </w:rPr>
        <w:t xml:space="preserve">, en contra de las respuestas a sus solicitudes de información con números de folio  </w:t>
      </w:r>
      <w:r w:rsidRPr="004350CF">
        <w:rPr>
          <w:rFonts w:ascii="Palatino Linotype" w:eastAsia="Palatino Linotype" w:hAnsi="Palatino Linotype" w:cs="Palatino Linotype"/>
          <w:b/>
        </w:rPr>
        <w:t xml:space="preserve">00194/METEPEC/IP/2025, 00193/METEPEC/IP/2025, 00195/METEPEC/IP/2025,  00197/METEPEC/IP/2025 y 00196/METEPEC/IP/2025, </w:t>
      </w:r>
      <w:r w:rsidRPr="004350CF">
        <w:rPr>
          <w:rFonts w:ascii="Palatino Linotype" w:eastAsia="Palatino Linotype" w:hAnsi="Palatino Linotype" w:cs="Palatino Linotype"/>
        </w:rPr>
        <w:t xml:space="preserve">respectivamente, por parte del </w:t>
      </w:r>
      <w:r w:rsidRPr="004350CF">
        <w:rPr>
          <w:rFonts w:ascii="Palatino Linotype" w:eastAsia="Palatino Linotype" w:hAnsi="Palatino Linotype" w:cs="Palatino Linotype"/>
          <w:b/>
        </w:rPr>
        <w:t xml:space="preserve">Ayuntamiento de Metepec, </w:t>
      </w:r>
      <w:r w:rsidRPr="004350CF">
        <w:rPr>
          <w:rFonts w:ascii="Palatino Linotype" w:eastAsia="Palatino Linotype" w:hAnsi="Palatino Linotype" w:cs="Palatino Linotype"/>
        </w:rPr>
        <w:t xml:space="preserve">en lo sucesivo el </w:t>
      </w:r>
      <w:r w:rsidRPr="004350CF">
        <w:rPr>
          <w:rFonts w:ascii="Palatino Linotype" w:eastAsia="Palatino Linotype" w:hAnsi="Palatino Linotype" w:cs="Palatino Linotype"/>
          <w:b/>
        </w:rPr>
        <w:t xml:space="preserve">Sujeto Obligado; </w:t>
      </w:r>
      <w:r w:rsidRPr="004350CF">
        <w:rPr>
          <w:rFonts w:ascii="Palatino Linotype" w:eastAsia="Palatino Linotype" w:hAnsi="Palatino Linotype" w:cs="Palatino Linotype"/>
        </w:rPr>
        <w:t xml:space="preserve">se procede a dictar la presente resolución, con base en lo siguiente. </w:t>
      </w:r>
    </w:p>
    <w:p w14:paraId="76271D0D" w14:textId="77777777" w:rsidR="002F3595" w:rsidRPr="004350CF" w:rsidRDefault="009669C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350CF">
        <w:rPr>
          <w:rFonts w:ascii="Palatino Linotype" w:eastAsia="Palatino Linotype" w:hAnsi="Palatino Linotype" w:cs="Palatino Linotype"/>
          <w:b/>
        </w:rPr>
        <w:t>I. A N T E C E D E N T E S:</w:t>
      </w:r>
    </w:p>
    <w:p w14:paraId="559279C0" w14:textId="77777777" w:rsidR="002F3595" w:rsidRPr="004350CF" w:rsidRDefault="009669C9">
      <w:p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b/>
        </w:rPr>
        <w:t>1. Solicitudes de acceso a la información.</w:t>
      </w:r>
      <w:r w:rsidRPr="004350CF">
        <w:rPr>
          <w:rFonts w:ascii="Palatino Linotype" w:eastAsia="Palatino Linotype" w:hAnsi="Palatino Linotype" w:cs="Palatino Linotype"/>
        </w:rPr>
        <w:t xml:space="preserve"> Con fecha </w:t>
      </w:r>
      <w:r w:rsidRPr="004350CF">
        <w:rPr>
          <w:rFonts w:ascii="Palatino Linotype" w:eastAsia="Palatino Linotype" w:hAnsi="Palatino Linotype" w:cs="Palatino Linotype"/>
          <w:b/>
        </w:rPr>
        <w:t xml:space="preserve">veintinueve de abril de dos mil veinticinco, </w:t>
      </w:r>
      <w:r w:rsidRPr="004350CF">
        <w:rPr>
          <w:rFonts w:ascii="Palatino Linotype" w:eastAsia="Palatino Linotype" w:hAnsi="Palatino Linotype" w:cs="Palatino Linotype"/>
        </w:rPr>
        <w:t>la persona solicitante</w:t>
      </w:r>
      <w:r w:rsidRPr="004350CF">
        <w:rPr>
          <w:rFonts w:ascii="Palatino Linotype" w:eastAsia="Palatino Linotype" w:hAnsi="Palatino Linotype" w:cs="Palatino Linotype"/>
          <w:b/>
        </w:rPr>
        <w:t xml:space="preserve"> </w:t>
      </w:r>
      <w:r w:rsidRPr="004350CF">
        <w:rPr>
          <w:rFonts w:ascii="Palatino Linotype" w:eastAsia="Palatino Linotype" w:hAnsi="Palatino Linotype" w:cs="Palatino Linotype"/>
        </w:rPr>
        <w:t xml:space="preserve">presentó, a través del Sistema de Acceso a la Información Mexiquense, en lo subsecuente </w:t>
      </w:r>
      <w:r w:rsidRPr="004350CF">
        <w:rPr>
          <w:rFonts w:ascii="Palatino Linotype" w:eastAsia="Palatino Linotype" w:hAnsi="Palatino Linotype" w:cs="Palatino Linotype"/>
          <w:b/>
        </w:rPr>
        <w:t xml:space="preserve">SAIMEX, </w:t>
      </w:r>
      <w:r w:rsidRPr="004350CF">
        <w:rPr>
          <w:rFonts w:ascii="Palatino Linotype" w:eastAsia="Palatino Linotype" w:hAnsi="Palatino Linotype" w:cs="Palatino Linotype"/>
        </w:rPr>
        <w:t xml:space="preserve">ante el </w:t>
      </w:r>
      <w:r w:rsidRPr="004350CF">
        <w:rPr>
          <w:rFonts w:ascii="Palatino Linotype" w:eastAsia="Palatino Linotype" w:hAnsi="Palatino Linotype" w:cs="Palatino Linotype"/>
          <w:b/>
        </w:rPr>
        <w:t>Sujeto Obligado</w:t>
      </w:r>
      <w:r w:rsidRPr="004350CF">
        <w:rPr>
          <w:rFonts w:ascii="Palatino Linotype" w:eastAsia="Palatino Linotype" w:hAnsi="Palatino Linotype" w:cs="Palatino Linotype"/>
        </w:rPr>
        <w:t>, las solicitudes de acceso a la información pública, mediante las cuales requirió la información siguiente:</w:t>
      </w:r>
    </w:p>
    <w:tbl>
      <w:tblPr>
        <w:tblStyle w:val="af6"/>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D261D9" w:rsidRPr="004350CF" w14:paraId="30198D48" w14:textId="77777777">
        <w:trPr>
          <w:jc w:val="center"/>
        </w:trPr>
        <w:tc>
          <w:tcPr>
            <w:tcW w:w="2830" w:type="dxa"/>
            <w:shd w:val="clear" w:color="auto" w:fill="A6A6A6"/>
            <w:vAlign w:val="center"/>
          </w:tcPr>
          <w:p w14:paraId="6F55A8AB" w14:textId="77777777" w:rsidR="002F3595" w:rsidRPr="004350CF" w:rsidRDefault="009669C9">
            <w:pPr>
              <w:spacing w:before="120" w:after="120" w:line="240" w:lineRule="auto"/>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Solicitud</w:t>
            </w:r>
          </w:p>
        </w:tc>
        <w:tc>
          <w:tcPr>
            <w:tcW w:w="5998" w:type="dxa"/>
            <w:shd w:val="clear" w:color="auto" w:fill="A6A6A6"/>
            <w:vAlign w:val="center"/>
          </w:tcPr>
          <w:p w14:paraId="443493DE" w14:textId="77777777" w:rsidR="002F3595" w:rsidRPr="004350CF" w:rsidRDefault="009669C9">
            <w:pPr>
              <w:spacing w:before="120" w:after="120" w:line="240" w:lineRule="auto"/>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Información solicitada</w:t>
            </w:r>
          </w:p>
        </w:tc>
      </w:tr>
      <w:tr w:rsidR="00D261D9" w:rsidRPr="004350CF" w14:paraId="6FFE1420" w14:textId="77777777">
        <w:trPr>
          <w:jc w:val="center"/>
        </w:trPr>
        <w:tc>
          <w:tcPr>
            <w:tcW w:w="2830" w:type="dxa"/>
            <w:vAlign w:val="center"/>
          </w:tcPr>
          <w:p w14:paraId="5F4DD0A1" w14:textId="77777777" w:rsidR="002F3595" w:rsidRPr="004350CF" w:rsidRDefault="009669C9">
            <w:pPr>
              <w:spacing w:before="120" w:after="120" w:line="240" w:lineRule="auto"/>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00193/METEPEC/IP/2025</w:t>
            </w:r>
          </w:p>
        </w:tc>
        <w:tc>
          <w:tcPr>
            <w:tcW w:w="5998" w:type="dxa"/>
            <w:vAlign w:val="center"/>
          </w:tcPr>
          <w:p w14:paraId="4749A9A6" w14:textId="77777777" w:rsidR="002F3595" w:rsidRPr="004350CF" w:rsidRDefault="009669C9">
            <w:pPr>
              <w:spacing w:before="120" w:after="120" w:line="240" w:lineRule="auto"/>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“solicito el numero y monto entregado a través licitaciones en 2022” (sic)</w:t>
            </w:r>
          </w:p>
        </w:tc>
      </w:tr>
      <w:tr w:rsidR="00D261D9" w:rsidRPr="004350CF" w14:paraId="11289164" w14:textId="77777777">
        <w:trPr>
          <w:jc w:val="center"/>
        </w:trPr>
        <w:tc>
          <w:tcPr>
            <w:tcW w:w="2830" w:type="dxa"/>
            <w:vAlign w:val="center"/>
          </w:tcPr>
          <w:p w14:paraId="01571321" w14:textId="77777777" w:rsidR="002F3595" w:rsidRPr="004350CF" w:rsidRDefault="009669C9">
            <w:pPr>
              <w:spacing w:before="120" w:after="120" w:line="240" w:lineRule="auto"/>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00194/METEPEC/IP/2025</w:t>
            </w:r>
          </w:p>
        </w:tc>
        <w:tc>
          <w:tcPr>
            <w:tcW w:w="5998" w:type="dxa"/>
            <w:vAlign w:val="center"/>
          </w:tcPr>
          <w:p w14:paraId="04858413" w14:textId="77777777" w:rsidR="002F3595" w:rsidRPr="004350CF" w:rsidRDefault="009669C9">
            <w:pPr>
              <w:spacing w:before="120" w:after="120" w:line="240" w:lineRule="auto"/>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“solicito el numero y monto entregado a través licitaciones en 2023” (sic)</w:t>
            </w:r>
          </w:p>
        </w:tc>
      </w:tr>
      <w:tr w:rsidR="00D261D9" w:rsidRPr="004350CF" w14:paraId="3135E922" w14:textId="77777777">
        <w:trPr>
          <w:jc w:val="center"/>
        </w:trPr>
        <w:tc>
          <w:tcPr>
            <w:tcW w:w="2830" w:type="dxa"/>
            <w:vAlign w:val="center"/>
          </w:tcPr>
          <w:p w14:paraId="5C5E690C" w14:textId="77777777" w:rsidR="002F3595" w:rsidRPr="004350CF" w:rsidRDefault="009669C9">
            <w:pPr>
              <w:spacing w:before="120" w:after="120" w:line="240" w:lineRule="auto"/>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00195/METEPEC/IP/2025</w:t>
            </w:r>
          </w:p>
        </w:tc>
        <w:tc>
          <w:tcPr>
            <w:tcW w:w="5998" w:type="dxa"/>
            <w:vAlign w:val="center"/>
          </w:tcPr>
          <w:p w14:paraId="2CF0E961" w14:textId="77777777" w:rsidR="002F3595" w:rsidRPr="004350CF" w:rsidRDefault="009669C9">
            <w:pPr>
              <w:spacing w:before="120" w:after="120" w:line="240" w:lineRule="auto"/>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“solicito el numero y monto entregado a través licitaciones en 2024” (sic)</w:t>
            </w:r>
          </w:p>
        </w:tc>
      </w:tr>
      <w:tr w:rsidR="00D261D9" w:rsidRPr="004350CF" w14:paraId="48E9A03F" w14:textId="77777777">
        <w:trPr>
          <w:jc w:val="center"/>
        </w:trPr>
        <w:tc>
          <w:tcPr>
            <w:tcW w:w="2830" w:type="dxa"/>
            <w:vAlign w:val="center"/>
          </w:tcPr>
          <w:p w14:paraId="7C3D8E58" w14:textId="77777777" w:rsidR="002F3595" w:rsidRPr="004350CF" w:rsidRDefault="009669C9">
            <w:pPr>
              <w:spacing w:before="120" w:after="120" w:line="240" w:lineRule="auto"/>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00196/METEPEC/IP/2025</w:t>
            </w:r>
          </w:p>
        </w:tc>
        <w:tc>
          <w:tcPr>
            <w:tcW w:w="5998" w:type="dxa"/>
            <w:vAlign w:val="center"/>
          </w:tcPr>
          <w:p w14:paraId="608AD3BB" w14:textId="77777777" w:rsidR="002F3595" w:rsidRPr="004350CF" w:rsidRDefault="009669C9">
            <w:pPr>
              <w:spacing w:before="120" w:after="120" w:line="240" w:lineRule="auto"/>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“solicito el numero y monto entregado a través licitaciones en 2024” (sic)</w:t>
            </w:r>
          </w:p>
        </w:tc>
      </w:tr>
      <w:tr w:rsidR="00D261D9" w:rsidRPr="004350CF" w14:paraId="72941268" w14:textId="77777777">
        <w:trPr>
          <w:jc w:val="center"/>
        </w:trPr>
        <w:tc>
          <w:tcPr>
            <w:tcW w:w="2830" w:type="dxa"/>
            <w:vAlign w:val="center"/>
          </w:tcPr>
          <w:p w14:paraId="45B57FA1" w14:textId="77777777" w:rsidR="002F3595" w:rsidRPr="004350CF" w:rsidRDefault="009669C9">
            <w:pPr>
              <w:spacing w:before="120" w:after="120" w:line="240" w:lineRule="auto"/>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lastRenderedPageBreak/>
              <w:t>00197/METEPEC/IP/2025</w:t>
            </w:r>
          </w:p>
        </w:tc>
        <w:tc>
          <w:tcPr>
            <w:tcW w:w="5998" w:type="dxa"/>
            <w:vAlign w:val="center"/>
          </w:tcPr>
          <w:p w14:paraId="5EEE2F29" w14:textId="77777777" w:rsidR="002F3595" w:rsidRPr="004350CF" w:rsidRDefault="009669C9">
            <w:pPr>
              <w:spacing w:before="120" w:after="120" w:line="240" w:lineRule="auto"/>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“solicito el numero y monto entregado a través licitaciones en lo que va de 2025” (sic)</w:t>
            </w:r>
          </w:p>
        </w:tc>
      </w:tr>
    </w:tbl>
    <w:p w14:paraId="359309CE" w14:textId="77777777" w:rsidR="002F3595" w:rsidRPr="004350CF" w:rsidRDefault="009669C9">
      <w:pPr>
        <w:spacing w:before="240" w:after="240" w:line="360" w:lineRule="auto"/>
        <w:jc w:val="both"/>
        <w:rPr>
          <w:rFonts w:ascii="Palatino Linotype" w:eastAsia="Palatino Linotype" w:hAnsi="Palatino Linotype" w:cs="Palatino Linotype"/>
        </w:rPr>
      </w:pPr>
      <w:bookmarkStart w:id="2" w:name="_heading=h.2et92p0" w:colFirst="0" w:colLast="0"/>
      <w:bookmarkEnd w:id="2"/>
      <w:r w:rsidRPr="004350CF">
        <w:rPr>
          <w:rFonts w:ascii="Palatino Linotype" w:eastAsia="Palatino Linotype" w:hAnsi="Palatino Linotype" w:cs="Palatino Linotype"/>
          <w:b/>
        </w:rPr>
        <w:t xml:space="preserve">2. Prórroga. </w:t>
      </w:r>
      <w:r w:rsidRPr="004350CF">
        <w:rPr>
          <w:rFonts w:ascii="Palatino Linotype" w:eastAsia="Palatino Linotype" w:hAnsi="Palatino Linotype" w:cs="Palatino Linotype"/>
        </w:rPr>
        <w:t xml:space="preserve">En fecha </w:t>
      </w:r>
      <w:r w:rsidRPr="004350CF">
        <w:rPr>
          <w:rFonts w:ascii="Palatino Linotype" w:eastAsia="Palatino Linotype" w:hAnsi="Palatino Linotype" w:cs="Palatino Linotype"/>
          <w:b/>
        </w:rPr>
        <w:t>veintidós de mayo de dos mil veinticinco</w:t>
      </w:r>
      <w:r w:rsidRPr="004350CF">
        <w:rPr>
          <w:rFonts w:ascii="Palatino Linotype" w:eastAsia="Palatino Linotype" w:hAnsi="Palatino Linotype" w:cs="Palatino Linotype"/>
        </w:rPr>
        <w:t xml:space="preserve">, el </w:t>
      </w:r>
      <w:r w:rsidRPr="004350CF">
        <w:rPr>
          <w:rFonts w:ascii="Palatino Linotype" w:eastAsia="Palatino Linotype" w:hAnsi="Palatino Linotype" w:cs="Palatino Linotype"/>
          <w:b/>
        </w:rPr>
        <w:t>Sujeto Obligado</w:t>
      </w:r>
      <w:r w:rsidRPr="004350CF">
        <w:rPr>
          <w:rFonts w:ascii="Palatino Linotype" w:eastAsia="Palatino Linotype" w:hAnsi="Palatino Linotype" w:cs="Palatino Linotype"/>
        </w:rPr>
        <w:t>, solicito prórroga de la siguiente manera:</w:t>
      </w:r>
    </w:p>
    <w:p w14:paraId="64EBFE92" w14:textId="77777777" w:rsidR="002F3595" w:rsidRPr="004350CF" w:rsidRDefault="009669C9">
      <w:pPr>
        <w:spacing w:before="120" w:after="120" w:line="240" w:lineRule="auto"/>
        <w:ind w:left="851" w:right="1128"/>
        <w:jc w:val="both"/>
        <w:rPr>
          <w:rFonts w:ascii="Palatino Linotype" w:eastAsia="Palatino Linotype" w:hAnsi="Palatino Linotype" w:cs="Palatino Linotype"/>
          <w:i/>
        </w:rPr>
      </w:pPr>
      <w:r w:rsidRPr="004350CF">
        <w:rPr>
          <w:rFonts w:ascii="Palatino Linotype" w:eastAsia="Palatino Linotype" w:hAnsi="Palatino Linotype" w:cs="Palatino Linotype"/>
          <w:i/>
        </w:rPr>
        <w:t>“SERVIDOR PÚBLICO HABILITADO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Décima Segunda Sesión Extraordinaria.” (sic)</w:t>
      </w:r>
    </w:p>
    <w:p w14:paraId="4C9225F8" w14:textId="77777777" w:rsidR="002F3595" w:rsidRPr="004350CF" w:rsidRDefault="009669C9">
      <w:pPr>
        <w:tabs>
          <w:tab w:val="left" w:pos="284"/>
        </w:tabs>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b/>
        </w:rPr>
        <w:t xml:space="preserve">3. Respuestas. </w:t>
      </w:r>
      <w:r w:rsidRPr="004350CF">
        <w:rPr>
          <w:rFonts w:ascii="Palatino Linotype" w:eastAsia="Palatino Linotype" w:hAnsi="Palatino Linotype" w:cs="Palatino Linotype"/>
        </w:rPr>
        <w:t xml:space="preserve">Con fecha </w:t>
      </w:r>
      <w:r w:rsidRPr="004350CF">
        <w:rPr>
          <w:rFonts w:ascii="Palatino Linotype" w:eastAsia="Palatino Linotype" w:hAnsi="Palatino Linotype" w:cs="Palatino Linotype"/>
          <w:b/>
        </w:rPr>
        <w:t>dos de junio de dos mil veinticinco</w:t>
      </w:r>
      <w:r w:rsidRPr="004350CF">
        <w:rPr>
          <w:rFonts w:ascii="Palatino Linotype" w:eastAsia="Palatino Linotype" w:hAnsi="Palatino Linotype" w:cs="Palatino Linotype"/>
        </w:rPr>
        <w:t xml:space="preserve">, el </w:t>
      </w:r>
      <w:r w:rsidRPr="004350CF">
        <w:rPr>
          <w:rFonts w:ascii="Palatino Linotype" w:eastAsia="Palatino Linotype" w:hAnsi="Palatino Linotype" w:cs="Palatino Linotype"/>
          <w:b/>
        </w:rPr>
        <w:t xml:space="preserve">Sujeto Obligado </w:t>
      </w:r>
      <w:r w:rsidRPr="004350CF">
        <w:rPr>
          <w:rFonts w:ascii="Palatino Linotype" w:eastAsia="Palatino Linotype" w:hAnsi="Palatino Linotype" w:cs="Palatino Linotype"/>
        </w:rPr>
        <w:t>envió sus respuestas a las solicitudes de acceso a la información a través de SAIMEX, sustancialmente en los términos siguientes:</w:t>
      </w:r>
    </w:p>
    <w:tbl>
      <w:tblPr>
        <w:tblStyle w:val="af7"/>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D261D9" w:rsidRPr="004350CF" w14:paraId="0BB91C5E" w14:textId="77777777">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6A6A6"/>
          </w:tcPr>
          <w:p w14:paraId="1DC76965" w14:textId="77777777" w:rsidR="002F3595" w:rsidRPr="004350CF" w:rsidRDefault="009669C9">
            <w:pPr>
              <w:spacing w:after="0" w:line="240" w:lineRule="auto"/>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Solicitud</w:t>
            </w:r>
          </w:p>
        </w:tc>
        <w:tc>
          <w:tcPr>
            <w:tcW w:w="5998" w:type="dxa"/>
            <w:tcBorders>
              <w:top w:val="single" w:sz="4" w:space="0" w:color="000000"/>
              <w:left w:val="single" w:sz="4" w:space="0" w:color="000000"/>
              <w:bottom w:val="single" w:sz="4" w:space="0" w:color="000000"/>
              <w:right w:val="single" w:sz="4" w:space="0" w:color="000000"/>
            </w:tcBorders>
            <w:shd w:val="clear" w:color="auto" w:fill="A6A6A6"/>
          </w:tcPr>
          <w:p w14:paraId="06231A6B" w14:textId="77777777" w:rsidR="002F3595" w:rsidRPr="004350CF" w:rsidRDefault="009669C9">
            <w:pPr>
              <w:spacing w:after="0" w:line="240" w:lineRule="auto"/>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Respuesta</w:t>
            </w:r>
          </w:p>
        </w:tc>
      </w:tr>
      <w:tr w:rsidR="00D261D9" w:rsidRPr="004350CF" w14:paraId="043C543E"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5781FD0A" w14:textId="77777777" w:rsidR="002F3595" w:rsidRPr="004350CF" w:rsidRDefault="009669C9">
            <w:pPr>
              <w:spacing w:after="0" w:line="240" w:lineRule="auto"/>
              <w:jc w:val="center"/>
              <w:rPr>
                <w:rFonts w:ascii="Palatino Linotype" w:eastAsia="Palatino Linotype" w:hAnsi="Palatino Linotype" w:cs="Palatino Linotype"/>
                <w:b/>
                <w:sz w:val="20"/>
                <w:szCs w:val="20"/>
                <w:lang w:val="en-US"/>
              </w:rPr>
            </w:pPr>
            <w:r w:rsidRPr="004350CF">
              <w:rPr>
                <w:rFonts w:ascii="Palatino Linotype" w:eastAsia="Palatino Linotype" w:hAnsi="Palatino Linotype" w:cs="Palatino Linotype"/>
                <w:b/>
                <w:sz w:val="20"/>
                <w:szCs w:val="20"/>
                <w:lang w:val="en-US"/>
              </w:rPr>
              <w:t>00193/METEPEC/IP/2025</w:t>
            </w:r>
          </w:p>
          <w:p w14:paraId="30D55FFF" w14:textId="77777777" w:rsidR="002F3595" w:rsidRPr="004350CF" w:rsidRDefault="009669C9">
            <w:pPr>
              <w:spacing w:after="0" w:line="240" w:lineRule="auto"/>
              <w:jc w:val="center"/>
              <w:rPr>
                <w:rFonts w:ascii="Palatino Linotype" w:eastAsia="Palatino Linotype" w:hAnsi="Palatino Linotype" w:cs="Palatino Linotype"/>
                <w:b/>
                <w:sz w:val="20"/>
                <w:szCs w:val="20"/>
                <w:lang w:val="en-US"/>
              </w:rPr>
            </w:pPr>
            <w:r w:rsidRPr="004350CF">
              <w:rPr>
                <w:rFonts w:ascii="Palatino Linotype" w:eastAsia="Palatino Linotype" w:hAnsi="Palatino Linotype" w:cs="Palatino Linotype"/>
                <w:b/>
                <w:sz w:val="20"/>
                <w:szCs w:val="20"/>
                <w:lang w:val="en-US"/>
              </w:rPr>
              <w:t>00194/METEPEC/IP/2025</w:t>
            </w:r>
          </w:p>
          <w:p w14:paraId="04D07AAE" w14:textId="77777777" w:rsidR="002F3595" w:rsidRPr="004350CF" w:rsidRDefault="009669C9">
            <w:pPr>
              <w:spacing w:after="0" w:line="240" w:lineRule="auto"/>
              <w:jc w:val="center"/>
              <w:rPr>
                <w:rFonts w:ascii="Palatino Linotype" w:eastAsia="Palatino Linotype" w:hAnsi="Palatino Linotype" w:cs="Palatino Linotype"/>
                <w:b/>
                <w:sz w:val="20"/>
                <w:szCs w:val="20"/>
                <w:lang w:val="en-US"/>
              </w:rPr>
            </w:pPr>
            <w:r w:rsidRPr="004350CF">
              <w:rPr>
                <w:rFonts w:ascii="Palatino Linotype" w:eastAsia="Palatino Linotype" w:hAnsi="Palatino Linotype" w:cs="Palatino Linotype"/>
                <w:b/>
                <w:sz w:val="20"/>
                <w:szCs w:val="20"/>
                <w:lang w:val="en-US"/>
              </w:rPr>
              <w:t>00195/METEPEC/IP/2025</w:t>
            </w:r>
          </w:p>
          <w:p w14:paraId="4CFF0BCC" w14:textId="77777777" w:rsidR="002F3595" w:rsidRPr="004350CF" w:rsidRDefault="009669C9">
            <w:pPr>
              <w:spacing w:after="0" w:line="240" w:lineRule="auto"/>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00196/METEPEC/IP/2025</w:t>
            </w:r>
          </w:p>
        </w:tc>
        <w:tc>
          <w:tcPr>
            <w:tcW w:w="5998" w:type="dxa"/>
            <w:tcBorders>
              <w:top w:val="single" w:sz="4" w:space="0" w:color="000000"/>
              <w:left w:val="single" w:sz="4" w:space="0" w:color="000000"/>
              <w:bottom w:val="single" w:sz="4" w:space="0" w:color="000000"/>
              <w:right w:val="single" w:sz="4" w:space="0" w:color="000000"/>
            </w:tcBorders>
          </w:tcPr>
          <w:p w14:paraId="6F747FDA" w14:textId="77777777" w:rsidR="002F3595" w:rsidRPr="004350CF" w:rsidRDefault="009669C9">
            <w:pPr>
              <w:numPr>
                <w:ilvl w:val="0"/>
                <w:numId w:val="3"/>
              </w:numPr>
              <w:tabs>
                <w:tab w:val="left" w:pos="297"/>
              </w:tabs>
              <w:spacing w:after="0" w:line="240" w:lineRule="auto"/>
              <w:ind w:left="34" w:firstLine="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Resp. sol. 193-196.pdf:</w:t>
            </w:r>
            <w:r w:rsidRPr="004350CF">
              <w:rPr>
                <w:rFonts w:ascii="Palatino Linotype" w:eastAsia="Palatino Linotype" w:hAnsi="Palatino Linotype" w:cs="Palatino Linotype"/>
                <w:sz w:val="20"/>
                <w:szCs w:val="20"/>
              </w:rPr>
              <w:t xml:space="preserve"> Oficio número DOP/UOP/1147/2025, del dieciséis de mayo de dos mil veinticinco, signado por el Director de Obras Públicas, mediante el cual proporciona una dirección electrónica en formato cerrado, para efectos de la consulta de la información solicitada, publicada en el IPOMEX.</w:t>
            </w:r>
          </w:p>
          <w:p w14:paraId="6359B9DE" w14:textId="77777777" w:rsidR="002F3595" w:rsidRPr="004350CF" w:rsidRDefault="009669C9">
            <w:pPr>
              <w:numPr>
                <w:ilvl w:val="0"/>
                <w:numId w:val="3"/>
              </w:numPr>
              <w:tabs>
                <w:tab w:val="left" w:pos="297"/>
              </w:tabs>
              <w:spacing w:after="0" w:line="240" w:lineRule="auto"/>
              <w:ind w:left="34" w:firstLine="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187 188 189 190 191 193 194 195 196 y 197_2025.pdf:</w:t>
            </w:r>
            <w:r w:rsidRPr="004350CF">
              <w:rPr>
                <w:rFonts w:ascii="Palatino Linotype" w:eastAsia="Palatino Linotype" w:hAnsi="Palatino Linotype" w:cs="Palatino Linotype"/>
                <w:sz w:val="20"/>
                <w:szCs w:val="20"/>
              </w:rPr>
              <w:t xml:space="preserve"> Oficio número DA/2331/2025, del treinta de mayo de dos mil veinticinco, signado por el Director de Administración, mediante el cual proporciona tres direcciones electrónicas en las cuales puede ser consultada la información solicitada, así como el procedimiento a seguir para la consulta.</w:t>
            </w:r>
          </w:p>
        </w:tc>
      </w:tr>
      <w:tr w:rsidR="00D261D9" w:rsidRPr="004350CF" w14:paraId="03942C71"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197872CB" w14:textId="77777777" w:rsidR="002F3595" w:rsidRPr="004350CF" w:rsidRDefault="009669C9">
            <w:pPr>
              <w:spacing w:after="0" w:line="240" w:lineRule="auto"/>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00197/METEPEC/IP/2025</w:t>
            </w:r>
          </w:p>
        </w:tc>
        <w:tc>
          <w:tcPr>
            <w:tcW w:w="5998" w:type="dxa"/>
            <w:tcBorders>
              <w:top w:val="single" w:sz="4" w:space="0" w:color="000000"/>
              <w:left w:val="single" w:sz="4" w:space="0" w:color="000000"/>
              <w:bottom w:val="single" w:sz="4" w:space="0" w:color="000000"/>
              <w:right w:val="single" w:sz="4" w:space="0" w:color="000000"/>
            </w:tcBorders>
          </w:tcPr>
          <w:p w14:paraId="3CD885ED" w14:textId="77777777" w:rsidR="002F3595" w:rsidRPr="004350CF" w:rsidRDefault="009669C9">
            <w:pPr>
              <w:numPr>
                <w:ilvl w:val="0"/>
                <w:numId w:val="3"/>
              </w:numPr>
              <w:tabs>
                <w:tab w:val="left" w:pos="297"/>
              </w:tabs>
              <w:spacing w:after="0" w:line="240" w:lineRule="auto"/>
              <w:ind w:left="34" w:firstLine="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Resp. sol. 197.pdf:</w:t>
            </w:r>
            <w:r w:rsidRPr="004350CF">
              <w:rPr>
                <w:rFonts w:ascii="Palatino Linotype" w:eastAsia="Palatino Linotype" w:hAnsi="Palatino Linotype" w:cs="Palatino Linotype"/>
                <w:sz w:val="20"/>
                <w:szCs w:val="20"/>
              </w:rPr>
              <w:t xml:space="preserve"> Oficio número DOP/UOP/1148/2025, del dieciséis de mayo de dos mil veinticinco, signado por el Director de Obras Públicas, mediante el cual manifiesta que la información solicitada no se encuentra disponible, ya que el Programa Anual de Obra Pública para el ejercicio fiscal 2025 fue aprobado en la Décima Tercera Sesión Ordinaria de Cabildo de fecha veintiocho de marzo.</w:t>
            </w:r>
          </w:p>
          <w:p w14:paraId="5996A711" w14:textId="77777777" w:rsidR="002F3595" w:rsidRPr="004350CF" w:rsidRDefault="009669C9">
            <w:pPr>
              <w:numPr>
                <w:ilvl w:val="0"/>
                <w:numId w:val="3"/>
              </w:numPr>
              <w:tabs>
                <w:tab w:val="left" w:pos="297"/>
              </w:tabs>
              <w:spacing w:after="0" w:line="240" w:lineRule="auto"/>
              <w:ind w:left="34" w:firstLine="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 xml:space="preserve">187 188 189 190 191 193 194 195 196 y 197_2025.pdf: </w:t>
            </w:r>
            <w:r w:rsidRPr="004350CF">
              <w:rPr>
                <w:rFonts w:ascii="Palatino Linotype" w:eastAsia="Palatino Linotype" w:hAnsi="Palatino Linotype" w:cs="Palatino Linotype"/>
                <w:sz w:val="20"/>
                <w:szCs w:val="20"/>
              </w:rPr>
              <w:t xml:space="preserve">Oficio número DA/2331/2025, del treinta de mayo de dos mil </w:t>
            </w:r>
            <w:r w:rsidRPr="004350CF">
              <w:rPr>
                <w:rFonts w:ascii="Palatino Linotype" w:eastAsia="Palatino Linotype" w:hAnsi="Palatino Linotype" w:cs="Palatino Linotype"/>
                <w:sz w:val="20"/>
                <w:szCs w:val="20"/>
              </w:rPr>
              <w:lastRenderedPageBreak/>
              <w:t>veinticinco, signado por el Director de Administración, mediante el cual proporciona tres direcciones electrónicas en las cuales puede ser consultada la información solicitada, así como el procedimiento a seguir para la consulta.</w:t>
            </w:r>
          </w:p>
        </w:tc>
      </w:tr>
    </w:tbl>
    <w:p w14:paraId="6679A8CA" w14:textId="77777777" w:rsidR="002F3595" w:rsidRPr="004350CF" w:rsidRDefault="009669C9">
      <w:pPr>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bookmarkStart w:id="3" w:name="_heading=h.gjdgxs" w:colFirst="0" w:colLast="0"/>
      <w:bookmarkEnd w:id="3"/>
      <w:r w:rsidRPr="004350CF">
        <w:rPr>
          <w:rFonts w:ascii="Palatino Linotype" w:eastAsia="Palatino Linotype" w:hAnsi="Palatino Linotype" w:cs="Palatino Linotype"/>
          <w:b/>
        </w:rPr>
        <w:lastRenderedPageBreak/>
        <w:t xml:space="preserve">4. Interposición de los recursos de revisión. </w:t>
      </w:r>
      <w:r w:rsidRPr="004350CF">
        <w:rPr>
          <w:rFonts w:ascii="Palatino Linotype" w:eastAsia="Palatino Linotype" w:hAnsi="Palatino Linotype" w:cs="Palatino Linotype"/>
        </w:rPr>
        <w:t xml:space="preserve">Inconforme la persona solicitante con las respuestas emitidas por el </w:t>
      </w:r>
      <w:r w:rsidRPr="004350CF">
        <w:rPr>
          <w:rFonts w:ascii="Palatino Linotype" w:eastAsia="Palatino Linotype" w:hAnsi="Palatino Linotype" w:cs="Palatino Linotype"/>
          <w:b/>
        </w:rPr>
        <w:t>Sujeto Obligado</w:t>
      </w:r>
      <w:r w:rsidRPr="004350CF">
        <w:rPr>
          <w:rFonts w:ascii="Palatino Linotype" w:eastAsia="Palatino Linotype" w:hAnsi="Palatino Linotype" w:cs="Palatino Linotype"/>
        </w:rPr>
        <w:t xml:space="preserve"> a sus solicitudes, en fecha </w:t>
      </w:r>
      <w:r w:rsidRPr="004350CF">
        <w:rPr>
          <w:rFonts w:ascii="Palatino Linotype" w:eastAsia="Palatino Linotype" w:hAnsi="Palatino Linotype" w:cs="Palatino Linotype"/>
          <w:b/>
        </w:rPr>
        <w:t>tres de junio de dos mil veinticinco</w:t>
      </w:r>
      <w:r w:rsidRPr="004350CF">
        <w:rPr>
          <w:rFonts w:ascii="Palatino Linotype" w:eastAsia="Palatino Linotype" w:hAnsi="Palatino Linotype" w:cs="Palatino Linotype"/>
        </w:rPr>
        <w:t>, interpuso los recursos de revisión a través del SAIMEX, expresando lo siguiente en todos los casos:</w:t>
      </w:r>
    </w:p>
    <w:tbl>
      <w:tblPr>
        <w:tblStyle w:val="af8"/>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9"/>
        <w:gridCol w:w="3149"/>
        <w:gridCol w:w="2977"/>
      </w:tblGrid>
      <w:tr w:rsidR="00D261D9" w:rsidRPr="004350CF" w14:paraId="00DA4D79" w14:textId="77777777">
        <w:tc>
          <w:tcPr>
            <w:tcW w:w="2929" w:type="dxa"/>
            <w:shd w:val="clear" w:color="auto" w:fill="BFBFBF"/>
          </w:tcPr>
          <w:p w14:paraId="644D40FF" w14:textId="77777777" w:rsidR="002F3595" w:rsidRPr="004350CF" w:rsidRDefault="009669C9">
            <w:pPr>
              <w:tabs>
                <w:tab w:val="left" w:pos="284"/>
              </w:tabs>
              <w:spacing w:before="120" w:after="120"/>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Recurso de Revisión</w:t>
            </w:r>
          </w:p>
        </w:tc>
        <w:tc>
          <w:tcPr>
            <w:tcW w:w="3149" w:type="dxa"/>
            <w:shd w:val="clear" w:color="auto" w:fill="BFBFBF"/>
          </w:tcPr>
          <w:p w14:paraId="02C35AE5" w14:textId="77777777" w:rsidR="002F3595" w:rsidRPr="004350CF" w:rsidRDefault="009669C9">
            <w:pPr>
              <w:tabs>
                <w:tab w:val="left" w:pos="284"/>
              </w:tabs>
              <w:spacing w:before="120" w:after="120"/>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Acto Impugnado</w:t>
            </w:r>
          </w:p>
        </w:tc>
        <w:tc>
          <w:tcPr>
            <w:tcW w:w="2977" w:type="dxa"/>
            <w:shd w:val="clear" w:color="auto" w:fill="BFBFBF"/>
          </w:tcPr>
          <w:p w14:paraId="1B82B805" w14:textId="77777777" w:rsidR="002F3595" w:rsidRPr="004350CF" w:rsidRDefault="009669C9">
            <w:pPr>
              <w:tabs>
                <w:tab w:val="left" w:pos="284"/>
              </w:tabs>
              <w:spacing w:before="120" w:after="120"/>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Motivos de Inconformidad</w:t>
            </w:r>
          </w:p>
        </w:tc>
      </w:tr>
      <w:tr w:rsidR="00D261D9" w:rsidRPr="004350CF" w14:paraId="3D45E147" w14:textId="77777777">
        <w:tc>
          <w:tcPr>
            <w:tcW w:w="2929" w:type="dxa"/>
          </w:tcPr>
          <w:p w14:paraId="51DAC12B" w14:textId="77777777" w:rsidR="002F3595" w:rsidRPr="004350CF" w:rsidRDefault="009669C9">
            <w:pPr>
              <w:tabs>
                <w:tab w:val="left" w:pos="284"/>
              </w:tabs>
              <w:spacing w:before="120" w:after="120"/>
              <w:jc w:val="both"/>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06454/INFOEM/IP/RR/2025</w:t>
            </w:r>
          </w:p>
        </w:tc>
        <w:tc>
          <w:tcPr>
            <w:tcW w:w="3149" w:type="dxa"/>
          </w:tcPr>
          <w:p w14:paraId="503180E3" w14:textId="77777777" w:rsidR="002F3595" w:rsidRPr="004350CF" w:rsidRDefault="009669C9">
            <w:pPr>
              <w:tabs>
                <w:tab w:val="left" w:pos="284"/>
              </w:tabs>
              <w:spacing w:before="120" w:after="120"/>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“no transparentó la información”</w:t>
            </w:r>
          </w:p>
          <w:p w14:paraId="162A69D8" w14:textId="77777777" w:rsidR="002F3595" w:rsidRPr="004350CF" w:rsidRDefault="009669C9">
            <w:pPr>
              <w:tabs>
                <w:tab w:val="left" w:pos="284"/>
              </w:tabs>
              <w:spacing w:before="120" w:after="120"/>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(sic)</w:t>
            </w:r>
          </w:p>
        </w:tc>
        <w:tc>
          <w:tcPr>
            <w:tcW w:w="2977" w:type="dxa"/>
          </w:tcPr>
          <w:p w14:paraId="742B5417" w14:textId="77777777" w:rsidR="002F3595" w:rsidRPr="004350CF" w:rsidRDefault="009669C9">
            <w:pPr>
              <w:tabs>
                <w:tab w:val="left" w:pos="284"/>
              </w:tabs>
              <w:spacing w:before="120" w:after="120"/>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“lo que responde el municipio no responde la solicitud de transparencia enviada” (sic)</w:t>
            </w:r>
          </w:p>
        </w:tc>
      </w:tr>
      <w:tr w:rsidR="00D261D9" w:rsidRPr="004350CF" w14:paraId="1192F056" w14:textId="77777777">
        <w:tc>
          <w:tcPr>
            <w:tcW w:w="2929" w:type="dxa"/>
          </w:tcPr>
          <w:p w14:paraId="3CE0426D" w14:textId="77777777" w:rsidR="002F3595" w:rsidRPr="004350CF" w:rsidRDefault="009669C9">
            <w:pPr>
              <w:tabs>
                <w:tab w:val="left" w:pos="284"/>
              </w:tabs>
              <w:spacing w:before="120" w:after="120"/>
              <w:jc w:val="both"/>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06455/INFOEM/IP/RR/2025</w:t>
            </w:r>
          </w:p>
        </w:tc>
        <w:tc>
          <w:tcPr>
            <w:tcW w:w="3149" w:type="dxa"/>
          </w:tcPr>
          <w:p w14:paraId="02611D14" w14:textId="77777777" w:rsidR="002F3595" w:rsidRPr="004350CF" w:rsidRDefault="009669C9">
            <w:pPr>
              <w:tabs>
                <w:tab w:val="left" w:pos="284"/>
              </w:tabs>
              <w:spacing w:before="120" w:after="120"/>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“no transparentó la información”</w:t>
            </w:r>
          </w:p>
          <w:p w14:paraId="62A534B2" w14:textId="77777777" w:rsidR="002F3595" w:rsidRPr="004350CF" w:rsidRDefault="009669C9">
            <w:pPr>
              <w:tabs>
                <w:tab w:val="left" w:pos="284"/>
              </w:tabs>
              <w:spacing w:before="120" w:after="120"/>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(sic)</w:t>
            </w:r>
          </w:p>
        </w:tc>
        <w:tc>
          <w:tcPr>
            <w:tcW w:w="2977" w:type="dxa"/>
          </w:tcPr>
          <w:p w14:paraId="76E385DA" w14:textId="77777777" w:rsidR="002F3595" w:rsidRPr="004350CF" w:rsidRDefault="009669C9">
            <w:pPr>
              <w:tabs>
                <w:tab w:val="left" w:pos="284"/>
              </w:tabs>
              <w:spacing w:before="120" w:after="120"/>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“el ayuntamiento no transparentó la información solicitada, respondió algo diferentes” (sic)</w:t>
            </w:r>
          </w:p>
        </w:tc>
      </w:tr>
      <w:tr w:rsidR="00D261D9" w:rsidRPr="004350CF" w14:paraId="0C10223D" w14:textId="77777777">
        <w:tc>
          <w:tcPr>
            <w:tcW w:w="2929" w:type="dxa"/>
          </w:tcPr>
          <w:p w14:paraId="4D1ADBB3" w14:textId="77777777" w:rsidR="002F3595" w:rsidRPr="004350CF" w:rsidRDefault="009669C9">
            <w:pPr>
              <w:tabs>
                <w:tab w:val="left" w:pos="284"/>
              </w:tabs>
              <w:spacing w:before="120" w:after="120"/>
              <w:jc w:val="both"/>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06460/INFOEM/IP/RR/2025</w:t>
            </w:r>
          </w:p>
        </w:tc>
        <w:tc>
          <w:tcPr>
            <w:tcW w:w="3149" w:type="dxa"/>
          </w:tcPr>
          <w:p w14:paraId="1A6B2E4F" w14:textId="77777777" w:rsidR="002F3595" w:rsidRPr="004350CF" w:rsidRDefault="009669C9">
            <w:pPr>
              <w:tabs>
                <w:tab w:val="left" w:pos="284"/>
              </w:tabs>
              <w:spacing w:before="120" w:after="120"/>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“no transparentó la información”</w:t>
            </w:r>
          </w:p>
          <w:p w14:paraId="1CDC3CBB" w14:textId="77777777" w:rsidR="002F3595" w:rsidRPr="004350CF" w:rsidRDefault="009669C9">
            <w:pPr>
              <w:tabs>
                <w:tab w:val="left" w:pos="284"/>
              </w:tabs>
              <w:spacing w:before="120" w:after="120"/>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(sic)</w:t>
            </w:r>
          </w:p>
        </w:tc>
        <w:tc>
          <w:tcPr>
            <w:tcW w:w="2977" w:type="dxa"/>
          </w:tcPr>
          <w:p w14:paraId="481295F8" w14:textId="77777777" w:rsidR="002F3595" w:rsidRPr="004350CF" w:rsidRDefault="009669C9">
            <w:pPr>
              <w:tabs>
                <w:tab w:val="left" w:pos="284"/>
              </w:tabs>
              <w:spacing w:before="120" w:after="120"/>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“no entregó los documentos solicitados” (sic)</w:t>
            </w:r>
          </w:p>
        </w:tc>
      </w:tr>
      <w:tr w:rsidR="00D261D9" w:rsidRPr="004350CF" w14:paraId="7E7E41A2" w14:textId="77777777">
        <w:tc>
          <w:tcPr>
            <w:tcW w:w="2929" w:type="dxa"/>
          </w:tcPr>
          <w:p w14:paraId="61FE3B26" w14:textId="77777777" w:rsidR="002F3595" w:rsidRPr="004350CF" w:rsidRDefault="009669C9">
            <w:pPr>
              <w:tabs>
                <w:tab w:val="left" w:pos="284"/>
              </w:tabs>
              <w:spacing w:before="120" w:after="120"/>
              <w:jc w:val="both"/>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06461/INFOEM/IP/RR/2025</w:t>
            </w:r>
          </w:p>
        </w:tc>
        <w:tc>
          <w:tcPr>
            <w:tcW w:w="3149" w:type="dxa"/>
          </w:tcPr>
          <w:p w14:paraId="71301B76" w14:textId="77777777" w:rsidR="002F3595" w:rsidRPr="004350CF" w:rsidRDefault="009669C9">
            <w:pPr>
              <w:tabs>
                <w:tab w:val="left" w:pos="284"/>
              </w:tabs>
              <w:spacing w:before="120" w:after="120"/>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“no transparentó la información”</w:t>
            </w:r>
          </w:p>
          <w:p w14:paraId="5D9A64F8" w14:textId="77777777" w:rsidR="002F3595" w:rsidRPr="004350CF" w:rsidRDefault="009669C9">
            <w:pPr>
              <w:tabs>
                <w:tab w:val="left" w:pos="284"/>
              </w:tabs>
              <w:spacing w:before="120" w:after="120"/>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(sic)</w:t>
            </w:r>
          </w:p>
        </w:tc>
        <w:tc>
          <w:tcPr>
            <w:tcW w:w="2977" w:type="dxa"/>
          </w:tcPr>
          <w:p w14:paraId="0720558A" w14:textId="77777777" w:rsidR="002F3595" w:rsidRPr="004350CF" w:rsidRDefault="009669C9">
            <w:pPr>
              <w:tabs>
                <w:tab w:val="left" w:pos="284"/>
              </w:tabs>
              <w:spacing w:before="120" w:after="120"/>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“no entregó la documentación solicitada” (sic)</w:t>
            </w:r>
          </w:p>
        </w:tc>
      </w:tr>
      <w:tr w:rsidR="00D261D9" w:rsidRPr="004350CF" w14:paraId="0BD0EE28" w14:textId="77777777">
        <w:tc>
          <w:tcPr>
            <w:tcW w:w="2929" w:type="dxa"/>
          </w:tcPr>
          <w:p w14:paraId="4CA8CE06" w14:textId="77777777" w:rsidR="002F3595" w:rsidRPr="004350CF" w:rsidRDefault="009669C9">
            <w:pPr>
              <w:tabs>
                <w:tab w:val="left" w:pos="284"/>
              </w:tabs>
              <w:spacing w:before="120" w:after="120"/>
              <w:jc w:val="both"/>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06462/INFOEM/IP/RR/2025</w:t>
            </w:r>
          </w:p>
        </w:tc>
        <w:tc>
          <w:tcPr>
            <w:tcW w:w="3149" w:type="dxa"/>
          </w:tcPr>
          <w:p w14:paraId="02F4A4DC" w14:textId="77777777" w:rsidR="002F3595" w:rsidRPr="004350CF" w:rsidRDefault="009669C9">
            <w:pPr>
              <w:tabs>
                <w:tab w:val="left" w:pos="284"/>
              </w:tabs>
              <w:spacing w:before="120" w:after="120"/>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“no transparentó la información” (sic)</w:t>
            </w:r>
          </w:p>
        </w:tc>
        <w:tc>
          <w:tcPr>
            <w:tcW w:w="2977" w:type="dxa"/>
          </w:tcPr>
          <w:p w14:paraId="7E6535E1" w14:textId="77777777" w:rsidR="002F3595" w:rsidRPr="004350CF" w:rsidRDefault="009669C9">
            <w:pPr>
              <w:tabs>
                <w:tab w:val="left" w:pos="284"/>
              </w:tabs>
              <w:spacing w:before="120" w:after="120"/>
              <w:jc w:val="both"/>
              <w:rPr>
                <w:rFonts w:ascii="Palatino Linotype" w:eastAsia="Palatino Linotype" w:hAnsi="Palatino Linotype" w:cs="Palatino Linotype"/>
                <w:i/>
                <w:sz w:val="20"/>
                <w:szCs w:val="20"/>
              </w:rPr>
            </w:pPr>
            <w:r w:rsidRPr="004350CF">
              <w:rPr>
                <w:rFonts w:ascii="Palatino Linotype" w:eastAsia="Palatino Linotype" w:hAnsi="Palatino Linotype" w:cs="Palatino Linotype"/>
                <w:i/>
                <w:sz w:val="20"/>
                <w:szCs w:val="20"/>
              </w:rPr>
              <w:t>“No transparentó la documentación solicitada” (sic)</w:t>
            </w:r>
          </w:p>
        </w:tc>
      </w:tr>
    </w:tbl>
    <w:p w14:paraId="694D30D9" w14:textId="77777777" w:rsidR="002F3595" w:rsidRPr="004350CF" w:rsidRDefault="009669C9">
      <w:pPr>
        <w:tabs>
          <w:tab w:val="left" w:pos="284"/>
        </w:tabs>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b/>
        </w:rPr>
        <w:t>5. Turno.</w:t>
      </w:r>
      <w:r w:rsidRPr="004350CF">
        <w:rPr>
          <w:rFonts w:ascii="Palatino Linotype" w:eastAsia="Palatino Linotype" w:hAnsi="Palatino Linotype" w:cs="Palatino Linotype"/>
        </w:rPr>
        <w:t xml:space="preserve"> De conformidad con el artículo 185 fracción I de la Ley Transparencia y Acceso a la Información Pública, el Recurso de Revisión </w:t>
      </w:r>
      <w:r w:rsidRPr="004350CF">
        <w:rPr>
          <w:rFonts w:ascii="Palatino Linotype" w:eastAsia="Palatino Linotype" w:hAnsi="Palatino Linotype" w:cs="Palatino Linotype"/>
          <w:b/>
        </w:rPr>
        <w:t xml:space="preserve">06454/INFOEM/IP/RR/2025, </w:t>
      </w:r>
      <w:r w:rsidRPr="004350CF">
        <w:rPr>
          <w:rFonts w:ascii="Palatino Linotype" w:eastAsia="Palatino Linotype" w:hAnsi="Palatino Linotype" w:cs="Palatino Linotype"/>
        </w:rPr>
        <w:t xml:space="preserve">fue turnado a la Comisionada Guadalupe Ramírez Peña, los Recursos de Revisión </w:t>
      </w:r>
      <w:r w:rsidRPr="004350CF">
        <w:rPr>
          <w:rFonts w:ascii="Palatino Linotype" w:eastAsia="Palatino Linotype" w:hAnsi="Palatino Linotype" w:cs="Palatino Linotype"/>
          <w:b/>
        </w:rPr>
        <w:t xml:space="preserve">06455/INFOEM/IP/RR/2025 y  06460/INFOEM/IP/RR/2025 </w:t>
      </w:r>
      <w:r w:rsidRPr="004350CF">
        <w:rPr>
          <w:rFonts w:ascii="Palatino Linotype" w:eastAsia="Palatino Linotype" w:hAnsi="Palatino Linotype" w:cs="Palatino Linotype"/>
        </w:rPr>
        <w:t xml:space="preserve">al Comisionado Presidente José Martínez Vilchis, el Recurso de Revisión </w:t>
      </w:r>
      <w:r w:rsidRPr="004350CF">
        <w:rPr>
          <w:rFonts w:ascii="Palatino Linotype" w:eastAsia="Palatino Linotype" w:hAnsi="Palatino Linotype" w:cs="Palatino Linotype"/>
          <w:b/>
        </w:rPr>
        <w:t xml:space="preserve">06461/INFOEM/IP/RR/2025, </w:t>
      </w:r>
      <w:r w:rsidRPr="004350CF">
        <w:rPr>
          <w:rFonts w:ascii="Palatino Linotype" w:eastAsia="Palatino Linotype" w:hAnsi="Palatino Linotype" w:cs="Palatino Linotype"/>
        </w:rPr>
        <w:t xml:space="preserve">fue turnado al Comisionado Luis Gustavo Parra Noriega, el Recurso de Revisión </w:t>
      </w:r>
      <w:r w:rsidRPr="004350CF">
        <w:rPr>
          <w:rFonts w:ascii="Palatino Linotype" w:eastAsia="Palatino Linotype" w:hAnsi="Palatino Linotype" w:cs="Palatino Linotype"/>
          <w:b/>
        </w:rPr>
        <w:t xml:space="preserve">06462/INFOEM/IP/RR/2025, </w:t>
      </w:r>
      <w:r w:rsidRPr="004350CF">
        <w:rPr>
          <w:rFonts w:ascii="Palatino Linotype" w:eastAsia="Palatino Linotype" w:hAnsi="Palatino Linotype" w:cs="Palatino Linotype"/>
        </w:rPr>
        <w:t xml:space="preserve">fue turnado a la Comisionada Sharon Cristina Morales Martínez. </w:t>
      </w:r>
    </w:p>
    <w:p w14:paraId="5157D723" w14:textId="77777777" w:rsidR="002F3595" w:rsidRPr="004350CF" w:rsidRDefault="009669C9">
      <w:pPr>
        <w:tabs>
          <w:tab w:val="left" w:pos="284"/>
        </w:tabs>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b/>
        </w:rPr>
        <w:t xml:space="preserve">6. Admisión de los Recursos de Revisión. </w:t>
      </w:r>
      <w:r w:rsidRPr="004350CF">
        <w:rPr>
          <w:rFonts w:ascii="Palatino Linotype" w:eastAsia="Palatino Linotype" w:hAnsi="Palatino Linotype" w:cs="Palatino Linotype"/>
        </w:rPr>
        <w:t xml:space="preserve">En fechas </w:t>
      </w:r>
      <w:r w:rsidRPr="004350CF">
        <w:rPr>
          <w:rFonts w:ascii="Palatino Linotype" w:eastAsia="Palatino Linotype" w:hAnsi="Palatino Linotype" w:cs="Palatino Linotype"/>
          <w:b/>
        </w:rPr>
        <w:t>cuatro, cinco, seis y nueve de junio de dos mil veinticinco</w:t>
      </w:r>
      <w:r w:rsidRPr="004350CF">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31E53F8B" w14:textId="77777777" w:rsidR="002F3595" w:rsidRPr="004350CF" w:rsidRDefault="009669C9">
      <w:pPr>
        <w:tabs>
          <w:tab w:val="left" w:pos="284"/>
        </w:tabs>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b/>
        </w:rPr>
        <w:t xml:space="preserve">7. Manifestaciones. </w:t>
      </w:r>
      <w:r w:rsidRPr="004350CF">
        <w:rPr>
          <w:rFonts w:ascii="Palatino Linotype" w:eastAsia="Palatino Linotype" w:hAnsi="Palatino Linotype" w:cs="Palatino Linotype"/>
        </w:rPr>
        <w:t xml:space="preserve">En fechas </w:t>
      </w:r>
      <w:r w:rsidRPr="004350CF">
        <w:rPr>
          <w:rFonts w:ascii="Palatino Linotype" w:eastAsia="Palatino Linotype" w:hAnsi="Palatino Linotype" w:cs="Palatino Linotype"/>
          <w:b/>
        </w:rPr>
        <w:t>seis, nueve, doce, dieciséis y diecisiete de dos mil veinticinco,</w:t>
      </w:r>
      <w:r w:rsidRPr="004350CF">
        <w:rPr>
          <w:rFonts w:ascii="Palatino Linotype" w:eastAsia="Palatino Linotype" w:hAnsi="Palatino Linotype" w:cs="Palatino Linotype"/>
        </w:rPr>
        <w:t xml:space="preserve"> el </w:t>
      </w:r>
      <w:r w:rsidRPr="004350CF">
        <w:rPr>
          <w:rFonts w:ascii="Palatino Linotype" w:eastAsia="Palatino Linotype" w:hAnsi="Palatino Linotype" w:cs="Palatino Linotype"/>
          <w:b/>
        </w:rPr>
        <w:t>Sujeto Obligado</w:t>
      </w:r>
      <w:r w:rsidRPr="004350CF">
        <w:rPr>
          <w:rFonts w:ascii="Palatino Linotype" w:eastAsia="Palatino Linotype" w:hAnsi="Palatino Linotype" w:cs="Palatino Linotype"/>
        </w:rPr>
        <w:t xml:space="preserve"> rindió su informe Justificado como se advierte a continuación:</w:t>
      </w:r>
    </w:p>
    <w:tbl>
      <w:tblPr>
        <w:tblStyle w:val="af9"/>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799"/>
      </w:tblGrid>
      <w:tr w:rsidR="00D261D9" w:rsidRPr="004350CF" w14:paraId="15AA4DD2" w14:textId="77777777">
        <w:tc>
          <w:tcPr>
            <w:tcW w:w="3256" w:type="dxa"/>
            <w:shd w:val="clear" w:color="auto" w:fill="BFBFBF"/>
            <w:vAlign w:val="center"/>
          </w:tcPr>
          <w:p w14:paraId="42C38B91" w14:textId="77777777" w:rsidR="002F3595" w:rsidRPr="004350CF" w:rsidRDefault="009669C9">
            <w:pPr>
              <w:tabs>
                <w:tab w:val="left" w:pos="284"/>
              </w:tabs>
              <w:spacing w:before="120" w:after="120"/>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Recurso de Revisión</w:t>
            </w:r>
          </w:p>
        </w:tc>
        <w:tc>
          <w:tcPr>
            <w:tcW w:w="5799" w:type="dxa"/>
            <w:shd w:val="clear" w:color="auto" w:fill="BFBFBF"/>
            <w:vAlign w:val="center"/>
          </w:tcPr>
          <w:p w14:paraId="62CE0BDF" w14:textId="77777777" w:rsidR="002F3595" w:rsidRPr="004350CF" w:rsidRDefault="009669C9">
            <w:pPr>
              <w:tabs>
                <w:tab w:val="left" w:pos="284"/>
              </w:tabs>
              <w:spacing w:before="120" w:after="120"/>
              <w:ind w:left="33"/>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Informe Justificado</w:t>
            </w:r>
          </w:p>
        </w:tc>
      </w:tr>
      <w:tr w:rsidR="00D261D9" w:rsidRPr="004350CF" w14:paraId="0A9E9D15" w14:textId="77777777">
        <w:tc>
          <w:tcPr>
            <w:tcW w:w="3256" w:type="dxa"/>
          </w:tcPr>
          <w:p w14:paraId="417822AB" w14:textId="77777777" w:rsidR="002F3595" w:rsidRPr="004350CF" w:rsidRDefault="009669C9">
            <w:pPr>
              <w:tabs>
                <w:tab w:val="left" w:pos="284"/>
              </w:tabs>
              <w:spacing w:before="120" w:after="120"/>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06454/INFOEM/IP/RR/2025</w:t>
            </w:r>
          </w:p>
        </w:tc>
        <w:tc>
          <w:tcPr>
            <w:tcW w:w="5799" w:type="dxa"/>
          </w:tcPr>
          <w:p w14:paraId="38D6C87F"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MANIF. SOL. 194.pdf:</w:t>
            </w:r>
            <w:r w:rsidRPr="004350CF">
              <w:rPr>
                <w:rFonts w:ascii="Palatino Linotype" w:eastAsia="Palatino Linotype" w:hAnsi="Palatino Linotype" w:cs="Palatino Linotype"/>
                <w:sz w:val="20"/>
                <w:szCs w:val="20"/>
              </w:rPr>
              <w:t xml:space="preserve"> Oficio número DOP/UOP/1359/2025, de fecha once de junio de dos mil veinticinco, signado por el Director de Obras Públicas, mediante el cual proporciona un hipervínculo, en el cual puede consultar la información solicitada.</w:t>
            </w:r>
          </w:p>
          <w:p w14:paraId="22D689D4"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194-NM.PDF:</w:t>
            </w:r>
            <w:r w:rsidRPr="004350CF">
              <w:rPr>
                <w:rFonts w:ascii="Palatino Linotype" w:eastAsia="Palatino Linotype" w:hAnsi="Palatino Linotype" w:cs="Palatino Linotype"/>
                <w:sz w:val="20"/>
                <w:szCs w:val="20"/>
              </w:rPr>
              <w:t xml:space="preserve"> Oficio número DTYGA/MET/582/2025, de fecha nueve de junio de dos mil veinticinco, signado por el Director de Transparencia y Gobierno Abierto, mediante el cual solicita a la Dirección de Obras Públicas la información solicitada.</w:t>
            </w:r>
          </w:p>
          <w:p w14:paraId="1B724DC1"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194-NM.PDF:</w:t>
            </w:r>
            <w:r w:rsidRPr="004350CF">
              <w:rPr>
                <w:rFonts w:ascii="Palatino Linotype" w:eastAsia="Palatino Linotype" w:hAnsi="Palatino Linotype" w:cs="Palatino Linotype"/>
                <w:sz w:val="20"/>
                <w:szCs w:val="20"/>
              </w:rPr>
              <w:t xml:space="preserve"> Oficio número DTYGA/MET/581/2025, de fecha nueve de junio de dos mil veinticinco, signado por el Director de Transparencia y Gobierno Abierto, mediante el cual solicita a la Dirección de Administración la información solicitada.</w:t>
            </w:r>
          </w:p>
          <w:p w14:paraId="0B1DA063"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194 MANIF.ADMÓN..pdf:</w:t>
            </w:r>
            <w:r w:rsidRPr="004350CF">
              <w:rPr>
                <w:rFonts w:ascii="Palatino Linotype" w:eastAsia="Palatino Linotype" w:hAnsi="Palatino Linotype" w:cs="Palatino Linotype"/>
                <w:sz w:val="20"/>
                <w:szCs w:val="20"/>
              </w:rPr>
              <w:t xml:space="preserve"> Oficio número DA/2659/2025, de fecha doce de junio de dos mil veinticinco, signado por el Director de Administración, mediante el cual ratifica su respuesta inicial.</w:t>
            </w:r>
          </w:p>
        </w:tc>
      </w:tr>
      <w:tr w:rsidR="00D261D9" w:rsidRPr="004350CF" w14:paraId="1CC3873B" w14:textId="77777777">
        <w:tc>
          <w:tcPr>
            <w:tcW w:w="3256" w:type="dxa"/>
          </w:tcPr>
          <w:p w14:paraId="01FCDB11" w14:textId="77777777" w:rsidR="002F3595" w:rsidRPr="004350CF" w:rsidRDefault="009669C9">
            <w:pPr>
              <w:tabs>
                <w:tab w:val="left" w:pos="284"/>
              </w:tabs>
              <w:spacing w:before="120" w:after="120"/>
              <w:jc w:val="center"/>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06455/INFOEM/IP/RR/2025</w:t>
            </w:r>
          </w:p>
        </w:tc>
        <w:tc>
          <w:tcPr>
            <w:tcW w:w="5799" w:type="dxa"/>
          </w:tcPr>
          <w:p w14:paraId="5C6CC3A3"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 xml:space="preserve">MANIF. SOL. 193.pdf: </w:t>
            </w:r>
            <w:r w:rsidRPr="004350CF">
              <w:rPr>
                <w:rFonts w:ascii="Palatino Linotype" w:eastAsia="Palatino Linotype" w:hAnsi="Palatino Linotype" w:cs="Palatino Linotype"/>
                <w:sz w:val="20"/>
                <w:szCs w:val="20"/>
              </w:rPr>
              <w:t>Oficio número DOP/UOP/1358/2025, de fecha once de junio de dos mil veinticinco, signado por el Director de Obras Públicas, mediante el cual proporciona un hipervínculo, en el cual puede consultar la información solicitada.</w:t>
            </w:r>
          </w:p>
          <w:p w14:paraId="539A215A"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193-NM.PDF:</w:t>
            </w:r>
            <w:r w:rsidRPr="004350CF">
              <w:rPr>
                <w:rFonts w:ascii="Palatino Linotype" w:eastAsia="Palatino Linotype" w:hAnsi="Palatino Linotype" w:cs="Palatino Linotype"/>
                <w:sz w:val="20"/>
                <w:szCs w:val="20"/>
              </w:rPr>
              <w:t xml:space="preserve"> Oficio número DTYGA/MET/590/2025, de fecha nueve de junio de dos mil veinticinco, signado por el Director de Transparencia y Gobierno Abierto, mediante el cual solicita a la Director de Obras Públicas la información solicitada.</w:t>
            </w:r>
          </w:p>
          <w:p w14:paraId="5AFE6212"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193-NM.PDF:</w:t>
            </w:r>
            <w:r w:rsidRPr="004350CF">
              <w:rPr>
                <w:rFonts w:ascii="Palatino Linotype" w:eastAsia="Palatino Linotype" w:hAnsi="Palatino Linotype" w:cs="Palatino Linotype"/>
                <w:sz w:val="20"/>
                <w:szCs w:val="20"/>
              </w:rPr>
              <w:t xml:space="preserve"> Oficio número DTYGA/MET/589/2025, de fecha nueve de junio de dos mil veinticinco, signado por el Director de Transparencia y Gobierno Abierto, mediante el cual solicita a la Dirección de Administración la información solicitada.</w:t>
            </w:r>
          </w:p>
          <w:p w14:paraId="6C05275A"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193 MANIF.ADMÓN..pdf:</w:t>
            </w:r>
            <w:r w:rsidRPr="004350CF">
              <w:rPr>
                <w:rFonts w:ascii="Palatino Linotype" w:eastAsia="Palatino Linotype" w:hAnsi="Palatino Linotype" w:cs="Palatino Linotype"/>
                <w:sz w:val="20"/>
                <w:szCs w:val="20"/>
              </w:rPr>
              <w:t xml:space="preserve"> Oficio número DA/2658/2025, de fecha doce de junio de dos mil veinticinco, signado por el Director de Administración, mediante el cual ratifica su respuesta inicial.</w:t>
            </w:r>
          </w:p>
        </w:tc>
      </w:tr>
      <w:tr w:rsidR="00D261D9" w:rsidRPr="004350CF" w14:paraId="0DBB6ECC" w14:textId="77777777">
        <w:tc>
          <w:tcPr>
            <w:tcW w:w="3256" w:type="dxa"/>
          </w:tcPr>
          <w:p w14:paraId="1427ACB1" w14:textId="77777777" w:rsidR="002F3595" w:rsidRPr="004350CF" w:rsidRDefault="009669C9">
            <w:pPr>
              <w:tabs>
                <w:tab w:val="left" w:pos="284"/>
              </w:tabs>
              <w:spacing w:before="120" w:after="120"/>
              <w:jc w:val="center"/>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06460/INFOEM/IP/RR/2025</w:t>
            </w:r>
          </w:p>
        </w:tc>
        <w:tc>
          <w:tcPr>
            <w:tcW w:w="5799" w:type="dxa"/>
          </w:tcPr>
          <w:p w14:paraId="5118B600"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195-NM.PDF:</w:t>
            </w:r>
            <w:r w:rsidRPr="004350CF">
              <w:rPr>
                <w:rFonts w:ascii="Palatino Linotype" w:eastAsia="Palatino Linotype" w:hAnsi="Palatino Linotype" w:cs="Palatino Linotype"/>
                <w:sz w:val="20"/>
                <w:szCs w:val="20"/>
              </w:rPr>
              <w:t xml:space="preserve"> Oficio número DTYGA/MET/543/2025, de fecha cinco de junio de dos mil veinticinco, signado por el Director de Transparencia y Gobierno Abierto, mediante el cual solicita a la Dirección de Administración la información solicitada.</w:t>
            </w:r>
          </w:p>
          <w:p w14:paraId="3C0B0494"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MANIF.195 ADMIN.pdf:</w:t>
            </w:r>
            <w:r w:rsidRPr="004350CF">
              <w:rPr>
                <w:rFonts w:ascii="Palatino Linotype" w:eastAsia="Palatino Linotype" w:hAnsi="Palatino Linotype" w:cs="Palatino Linotype"/>
                <w:sz w:val="20"/>
                <w:szCs w:val="20"/>
              </w:rPr>
              <w:t xml:space="preserve"> Oficio número DA/2496/2025, de fecha nueve de junio de dos mil veinticinco, signado por el Director de Administración, mediante el cual ratifica su respuesta inicial.</w:t>
            </w:r>
          </w:p>
        </w:tc>
      </w:tr>
      <w:tr w:rsidR="00D261D9" w:rsidRPr="004350CF" w14:paraId="5C3AAFF8" w14:textId="77777777">
        <w:tc>
          <w:tcPr>
            <w:tcW w:w="3256" w:type="dxa"/>
          </w:tcPr>
          <w:p w14:paraId="6A963118" w14:textId="77777777" w:rsidR="002F3595" w:rsidRPr="004350CF" w:rsidRDefault="009669C9">
            <w:pPr>
              <w:tabs>
                <w:tab w:val="left" w:pos="284"/>
              </w:tabs>
              <w:spacing w:before="120" w:after="120"/>
              <w:jc w:val="center"/>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06461/INFOEM/IP/RR/2025</w:t>
            </w:r>
          </w:p>
        </w:tc>
        <w:tc>
          <w:tcPr>
            <w:tcW w:w="5799" w:type="dxa"/>
          </w:tcPr>
          <w:p w14:paraId="1EE64D46"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MANIF. SOL. 197.pdf:</w:t>
            </w:r>
            <w:r w:rsidRPr="004350CF">
              <w:rPr>
                <w:rFonts w:ascii="Palatino Linotype" w:eastAsia="Palatino Linotype" w:hAnsi="Palatino Linotype" w:cs="Palatino Linotype"/>
                <w:sz w:val="20"/>
                <w:szCs w:val="20"/>
              </w:rPr>
              <w:t xml:space="preserve"> Oficio número DOP/UOP/1361/2025, de fecha once de junio de dos mil veinticinco, signado por el Director de Obras Públicas, mediante el cual manifiesta que la información solicitada no ha sido generada.</w:t>
            </w:r>
          </w:p>
          <w:p w14:paraId="042F2AF5"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NM-197.PDF:</w:t>
            </w:r>
            <w:r w:rsidRPr="004350CF">
              <w:rPr>
                <w:rFonts w:ascii="Palatino Linotype" w:eastAsia="Palatino Linotype" w:hAnsi="Palatino Linotype" w:cs="Palatino Linotype"/>
                <w:sz w:val="20"/>
                <w:szCs w:val="20"/>
              </w:rPr>
              <w:t xml:space="preserve"> Oficio número DTYGA/MET/591/2025, de fecha nueve de junio de dos mil veinticinco, signado por el Director de Transparencia y Gobierno Abierto, mediante el cual solicita a la Dirección de Obras Públicas la información solicitada.</w:t>
            </w:r>
          </w:p>
          <w:p w14:paraId="208FB925"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197-NM.PDF:</w:t>
            </w:r>
            <w:r w:rsidRPr="004350CF">
              <w:rPr>
                <w:rFonts w:ascii="Palatino Linotype" w:eastAsia="Palatino Linotype" w:hAnsi="Palatino Linotype" w:cs="Palatino Linotype"/>
                <w:sz w:val="20"/>
                <w:szCs w:val="20"/>
              </w:rPr>
              <w:t xml:space="preserve"> Oficio número DTYGA/MET/592/2025, de fecha nueve de junio de dos mil veinticinco, signado por el Director de Transparencia y Gobierno Abierto, mediante el cual solicita a la Dirección de Administración la información solicitada.</w:t>
            </w:r>
          </w:p>
          <w:p w14:paraId="44BE8680" w14:textId="77777777" w:rsidR="002F3595" w:rsidRPr="004350CF" w:rsidRDefault="009669C9">
            <w:pPr>
              <w:numPr>
                <w:ilvl w:val="0"/>
                <w:numId w:val="1"/>
              </w:numPr>
              <w:pBdr>
                <w:top w:val="nil"/>
                <w:left w:val="nil"/>
                <w:bottom w:val="nil"/>
                <w:right w:val="nil"/>
                <w:between w:val="nil"/>
              </w:pBdr>
              <w:tabs>
                <w:tab w:val="left" w:pos="284"/>
              </w:tabs>
              <w:spacing w:before="120" w:after="120" w:line="259" w:lineRule="auto"/>
              <w:ind w:left="33" w:firstLine="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197 MANIF.ADMÓN.pdf:</w:t>
            </w:r>
            <w:r w:rsidRPr="004350CF">
              <w:rPr>
                <w:rFonts w:ascii="Palatino Linotype" w:eastAsia="Palatino Linotype" w:hAnsi="Palatino Linotype" w:cs="Palatino Linotype"/>
                <w:sz w:val="20"/>
                <w:szCs w:val="20"/>
              </w:rPr>
              <w:t xml:space="preserve"> Oficio número DA/2660/2025, de fecha doce de junio de dos mil veinticinco, signado por el Director de Administración, mediante el cual ratifica su respuesta inicial.</w:t>
            </w:r>
          </w:p>
        </w:tc>
      </w:tr>
      <w:tr w:rsidR="00D261D9" w:rsidRPr="004350CF" w14:paraId="1304B9B1" w14:textId="77777777">
        <w:tc>
          <w:tcPr>
            <w:tcW w:w="3256" w:type="dxa"/>
          </w:tcPr>
          <w:p w14:paraId="527DA445" w14:textId="77777777" w:rsidR="002F3595" w:rsidRPr="004350CF" w:rsidRDefault="009669C9">
            <w:pPr>
              <w:tabs>
                <w:tab w:val="left" w:pos="284"/>
                <w:tab w:val="left" w:pos="645"/>
              </w:tabs>
              <w:spacing w:before="120" w:after="120"/>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06462/INFOEM/IP/RR/2025</w:t>
            </w:r>
          </w:p>
        </w:tc>
        <w:tc>
          <w:tcPr>
            <w:tcW w:w="5799" w:type="dxa"/>
          </w:tcPr>
          <w:p w14:paraId="3913C97A"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196-NM.PDF:</w:t>
            </w:r>
            <w:r w:rsidRPr="004350CF">
              <w:rPr>
                <w:rFonts w:ascii="Palatino Linotype" w:eastAsia="Palatino Linotype" w:hAnsi="Palatino Linotype" w:cs="Palatino Linotype"/>
                <w:sz w:val="20"/>
                <w:szCs w:val="20"/>
              </w:rPr>
              <w:t xml:space="preserve"> Oficio número DTYGA/MET/540/2025, de fecha cinco de junio de dos mil veinticinco, signado por el Director de Transparencia y Gobierno Abierto, mediante el cual solicita a la Dirección Obras Públicas la información solicitada.</w:t>
            </w:r>
          </w:p>
          <w:p w14:paraId="47252210"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sz w:val="20"/>
                <w:szCs w:val="20"/>
              </w:rPr>
              <w:t>196-NM.PDF: Oficio número DTYGA/MET/541/2025, de fecha cinco de junio de dos mil veinticinco, signado por el Director de Transparencia y Gobierno Abierto, mediante el cual solicita a la Dirección de Administración la información solicitada.</w:t>
            </w:r>
          </w:p>
          <w:p w14:paraId="7698AA5C" w14:textId="77777777" w:rsidR="002F3595" w:rsidRPr="004350CF" w:rsidRDefault="009669C9">
            <w:pPr>
              <w:tabs>
                <w:tab w:val="left" w:pos="284"/>
              </w:tabs>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b/>
                <w:sz w:val="20"/>
                <w:szCs w:val="20"/>
              </w:rPr>
              <w:t>MANIF. SOL. 196.pdf:</w:t>
            </w:r>
            <w:r w:rsidRPr="004350CF">
              <w:rPr>
                <w:rFonts w:ascii="Palatino Linotype" w:eastAsia="Palatino Linotype" w:hAnsi="Palatino Linotype" w:cs="Palatino Linotype"/>
                <w:sz w:val="20"/>
                <w:szCs w:val="20"/>
              </w:rPr>
              <w:t xml:space="preserve"> Oficio número DOP/UOP/1360/2025, de fecha once de junio de dos mil veinticinco, signado por el Director de Obras Públicas, mediante el cual proporciona un hipervínculo, en el cual puede consultar la información solicitada.</w:t>
            </w:r>
          </w:p>
          <w:p w14:paraId="59CC7080" w14:textId="77777777" w:rsidR="002F3595" w:rsidRPr="004350CF" w:rsidRDefault="009669C9">
            <w:pPr>
              <w:tabs>
                <w:tab w:val="left" w:pos="284"/>
              </w:tabs>
              <w:spacing w:before="120" w:after="120"/>
              <w:jc w:val="both"/>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196 MANIF.ADMÓN.pdf:</w:t>
            </w:r>
            <w:r w:rsidRPr="004350CF">
              <w:rPr>
                <w:rFonts w:ascii="Palatino Linotype" w:eastAsia="Palatino Linotype" w:hAnsi="Palatino Linotype" w:cs="Palatino Linotype"/>
                <w:sz w:val="20"/>
                <w:szCs w:val="20"/>
              </w:rPr>
              <w:t xml:space="preserve"> Oficio número DA/2497/2025, de fecha nueve de junio de dos mil veinticinco, signado por el Director de Administración, mediante el cual ratifica su respuesta inicial.</w:t>
            </w:r>
          </w:p>
        </w:tc>
      </w:tr>
    </w:tbl>
    <w:p w14:paraId="375470F3" w14:textId="77777777" w:rsidR="002F3595" w:rsidRPr="004350CF" w:rsidRDefault="009669C9">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b/>
        </w:rPr>
        <w:t xml:space="preserve">8. Acumulación de los recursos de revisión. </w:t>
      </w:r>
      <w:r w:rsidRPr="004350CF">
        <w:rPr>
          <w:rFonts w:ascii="Palatino Linotype" w:eastAsia="Palatino Linotype" w:hAnsi="Palatino Linotype" w:cs="Palatino Linotype"/>
        </w:rPr>
        <w:t xml:space="preserve">Al respecto cabe señalar, que el Pleno de este Instituto, mediante acuerdo de fecha </w:t>
      </w:r>
      <w:r w:rsidRPr="004350CF">
        <w:rPr>
          <w:rFonts w:ascii="Palatino Linotype" w:eastAsia="Palatino Linotype" w:hAnsi="Palatino Linotype" w:cs="Palatino Linotype"/>
          <w:b/>
        </w:rPr>
        <w:t>dieciocho de junio  de dos mil veinticinco,</w:t>
      </w:r>
      <w:r w:rsidRPr="004350CF">
        <w:rPr>
          <w:rFonts w:ascii="Palatino Linotype" w:eastAsia="Palatino Linotype" w:hAnsi="Palatino Linotype" w:cs="Palatino Linotype"/>
        </w:rPr>
        <w:t xml:space="preserve"> ordenó la acumulación de los expedientes citados, a efecto de que la </w:t>
      </w:r>
      <w:r w:rsidRPr="004350CF">
        <w:rPr>
          <w:rFonts w:ascii="Palatino Linotype" w:eastAsia="Palatino Linotype" w:hAnsi="Palatino Linotype" w:cs="Palatino Linotype"/>
          <w:b/>
        </w:rPr>
        <w:t xml:space="preserve">Comisionada Guadalupe Ramírez Peña </w:t>
      </w:r>
      <w:r w:rsidRPr="004350CF">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3D7DF637" w14:textId="77777777" w:rsidR="002F3595" w:rsidRPr="004350CF" w:rsidRDefault="009669C9">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rPr>
      </w:pPr>
      <w:r w:rsidRPr="004350CF">
        <w:rPr>
          <w:rFonts w:ascii="Palatino Linotype" w:eastAsia="Palatino Linotype" w:hAnsi="Palatino Linotype" w:cs="Palatino Linotype"/>
          <w:b/>
          <w:i/>
        </w:rPr>
        <w:t>Código de Procedimientos Administrativos del Estado de México</w:t>
      </w:r>
    </w:p>
    <w:p w14:paraId="245B70F3" w14:textId="77777777" w:rsidR="002F3595" w:rsidRPr="004350CF" w:rsidRDefault="009669C9">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rPr>
      </w:pPr>
      <w:r w:rsidRPr="004350CF">
        <w:rPr>
          <w:rFonts w:ascii="Palatino Linotype" w:eastAsia="Palatino Linotype" w:hAnsi="Palatino Linotype" w:cs="Palatino Linotype"/>
          <w:b/>
          <w:i/>
        </w:rPr>
        <w:t>“Artículo 18.-</w:t>
      </w:r>
      <w:r w:rsidRPr="004350CF">
        <w:rPr>
          <w:rFonts w:ascii="Palatino Linotype" w:eastAsia="Palatino Linotype" w:hAnsi="Palatino Linotype" w:cs="Palatino Linotype"/>
          <w:i/>
        </w:rPr>
        <w:t xml:space="preserve"> </w:t>
      </w:r>
      <w:r w:rsidRPr="004350CF">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4350CF">
        <w:rPr>
          <w:rFonts w:ascii="Palatino Linotype" w:eastAsia="Palatino Linotype" w:hAnsi="Palatino Linotype" w:cs="Palatino Linotype"/>
          <w:i/>
        </w:rPr>
        <w:t xml:space="preserve"> o a petición de parte, </w:t>
      </w:r>
      <w:r w:rsidRPr="004350CF">
        <w:rPr>
          <w:rFonts w:ascii="Palatino Linotype" w:eastAsia="Palatino Linotype" w:hAnsi="Palatino Linotype" w:cs="Palatino Linotype"/>
          <w:b/>
          <w:i/>
        </w:rPr>
        <w:t>cuando las partes</w:t>
      </w:r>
      <w:r w:rsidRPr="004350CF">
        <w:rPr>
          <w:rFonts w:ascii="Palatino Linotype" w:eastAsia="Palatino Linotype" w:hAnsi="Palatino Linotype" w:cs="Palatino Linotype"/>
          <w:i/>
        </w:rPr>
        <w:t xml:space="preserve"> o los actos administrativos sean iguales, se trate de actos conexos o </w:t>
      </w:r>
      <w:r w:rsidRPr="004350CF">
        <w:rPr>
          <w:rFonts w:ascii="Palatino Linotype" w:eastAsia="Palatino Linotype" w:hAnsi="Palatino Linotype" w:cs="Palatino Linotype"/>
          <w:b/>
          <w:i/>
        </w:rPr>
        <w:t>resulte conveniente el trámite unificado de los asuntos, para evitar la emisión de resoluciones contradictorias</w:t>
      </w:r>
      <w:r w:rsidRPr="004350CF">
        <w:rPr>
          <w:rFonts w:ascii="Palatino Linotype" w:eastAsia="Palatino Linotype" w:hAnsi="Palatino Linotype" w:cs="Palatino Linotype"/>
          <w:i/>
        </w:rPr>
        <w:t>. La misma regla se aplicará, en lo conducente, para la separación de los expedientes.”</w:t>
      </w:r>
    </w:p>
    <w:p w14:paraId="6308F35E" w14:textId="77777777" w:rsidR="002F3595" w:rsidRPr="004350CF" w:rsidRDefault="009669C9">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rPr>
      </w:pPr>
      <w:r w:rsidRPr="004350CF">
        <w:rPr>
          <w:rFonts w:ascii="Palatino Linotype" w:eastAsia="Palatino Linotype" w:hAnsi="Palatino Linotype" w:cs="Palatino Linotype"/>
          <w:b/>
          <w:i/>
        </w:rPr>
        <w:t>Ley de Transparencia y Acceso a la Información Pública del Estado de México y Municipios</w:t>
      </w:r>
    </w:p>
    <w:p w14:paraId="696D35DD" w14:textId="77777777" w:rsidR="002F3595" w:rsidRPr="004350CF" w:rsidRDefault="009669C9">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rPr>
      </w:pPr>
      <w:r w:rsidRPr="004350CF">
        <w:rPr>
          <w:rFonts w:ascii="Palatino Linotype" w:eastAsia="Palatino Linotype" w:hAnsi="Palatino Linotype" w:cs="Palatino Linotype"/>
          <w:b/>
          <w:i/>
        </w:rPr>
        <w:t>“Artículo 195.-</w:t>
      </w:r>
      <w:r w:rsidRPr="004350CF">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1DB83B86"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4350CF">
        <w:rPr>
          <w:rFonts w:ascii="Palatino Linotype" w:eastAsia="Palatino Linotype" w:hAnsi="Palatino Linotype" w:cs="Palatino Linotype"/>
          <w:b/>
        </w:rPr>
        <w:t>Recurrente</w:t>
      </w:r>
      <w:r w:rsidRPr="004350CF">
        <w:rPr>
          <w:rFonts w:ascii="Palatino Linotype" w:eastAsia="Palatino Linotype" w:hAnsi="Palatino Linotype" w:cs="Palatino Linotype"/>
        </w:rPr>
        <w:t xml:space="preserve"> ante el mismo </w:t>
      </w:r>
      <w:r w:rsidRPr="004350CF">
        <w:rPr>
          <w:rFonts w:ascii="Palatino Linotype" w:eastAsia="Palatino Linotype" w:hAnsi="Palatino Linotype" w:cs="Palatino Linotype"/>
          <w:b/>
        </w:rPr>
        <w:t>Sujeto Obligado</w:t>
      </w:r>
      <w:r w:rsidRPr="004350CF">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3FD04E29"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b/>
        </w:rPr>
        <w:t xml:space="preserve">9. Cierre de Instrucción. </w:t>
      </w:r>
      <w:r w:rsidRPr="004350CF">
        <w:rPr>
          <w:rFonts w:ascii="Palatino Linotype" w:eastAsia="Palatino Linotype" w:hAnsi="Palatino Linotype" w:cs="Palatino Linotype"/>
        </w:rPr>
        <w:t xml:space="preserve">El </w:t>
      </w:r>
      <w:r w:rsidRPr="004350CF">
        <w:rPr>
          <w:rFonts w:ascii="Palatino Linotype" w:eastAsia="Palatino Linotype" w:hAnsi="Palatino Linotype" w:cs="Palatino Linotype"/>
          <w:b/>
        </w:rPr>
        <w:t>veintiuno de octubre de dos mil veinticinco</w:t>
      </w:r>
      <w:r w:rsidRPr="004350CF">
        <w:rPr>
          <w:rFonts w:ascii="Palatino Linotype" w:eastAsia="Palatino Linotype" w:hAnsi="Palatino Linotype" w:cs="Palatino Linotype"/>
        </w:rPr>
        <w:t>, 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14:paraId="35534380"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b/>
        </w:rPr>
        <w:t>10. Ampliación del término para resolver</w:t>
      </w:r>
      <w:r w:rsidRPr="004350CF">
        <w:rPr>
          <w:rFonts w:ascii="Palatino Linotype" w:eastAsia="Palatino Linotype" w:hAnsi="Palatino Linotype" w:cs="Palatino Linotype"/>
        </w:rPr>
        <w:t xml:space="preserve">. El </w:t>
      </w:r>
      <w:r w:rsidRPr="004350CF">
        <w:rPr>
          <w:rFonts w:ascii="Palatino Linotype" w:eastAsia="Palatino Linotype" w:hAnsi="Palatino Linotype" w:cs="Palatino Linotype"/>
          <w:b/>
        </w:rPr>
        <w:t>veintiuno de octubre de dos mil veinticinco</w:t>
      </w:r>
      <w:r w:rsidRPr="004350CF">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56515FB6"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AD1BDA2"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B64B4A3"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72A150"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A35A92"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6D66B14" w14:textId="77777777" w:rsidR="002F3595" w:rsidRPr="004350CF" w:rsidRDefault="009669C9">
      <w:pPr>
        <w:numPr>
          <w:ilvl w:val="0"/>
          <w:numId w:val="2"/>
        </w:numPr>
        <w:tabs>
          <w:tab w:val="left" w:pos="567"/>
        </w:tabs>
        <w:spacing w:before="240" w:after="240" w:line="360" w:lineRule="auto"/>
        <w:ind w:left="284" w:firstLine="0"/>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AD6C883" w14:textId="77777777" w:rsidR="002F3595" w:rsidRPr="004350CF" w:rsidRDefault="009669C9">
      <w:pPr>
        <w:numPr>
          <w:ilvl w:val="0"/>
          <w:numId w:val="2"/>
        </w:numPr>
        <w:tabs>
          <w:tab w:val="left" w:pos="567"/>
        </w:tabs>
        <w:spacing w:before="240" w:after="240" w:line="360" w:lineRule="auto"/>
        <w:ind w:left="284" w:firstLine="0"/>
        <w:jc w:val="both"/>
        <w:rPr>
          <w:rFonts w:ascii="Palatino Linotype" w:eastAsia="Palatino Linotype" w:hAnsi="Palatino Linotype" w:cs="Palatino Linotype"/>
        </w:rPr>
      </w:pPr>
      <w:r w:rsidRPr="004350CF">
        <w:rPr>
          <w:rFonts w:ascii="Palatino Linotype" w:eastAsia="Palatino Linotype" w:hAnsi="Palatino Linotype" w:cs="Palatino Linotype"/>
        </w:rPr>
        <w:t>Actividad Procesal del interesado. Acciones u omisiones del interesado.</w:t>
      </w:r>
    </w:p>
    <w:p w14:paraId="1CD73929" w14:textId="77777777" w:rsidR="002F3595" w:rsidRPr="004350CF" w:rsidRDefault="009669C9">
      <w:pPr>
        <w:numPr>
          <w:ilvl w:val="0"/>
          <w:numId w:val="2"/>
        </w:numPr>
        <w:tabs>
          <w:tab w:val="left" w:pos="567"/>
        </w:tabs>
        <w:spacing w:before="240" w:after="240" w:line="360" w:lineRule="auto"/>
        <w:ind w:left="284" w:firstLine="0"/>
        <w:jc w:val="both"/>
        <w:rPr>
          <w:rFonts w:ascii="Palatino Linotype" w:eastAsia="Palatino Linotype" w:hAnsi="Palatino Linotype" w:cs="Palatino Linotype"/>
        </w:rPr>
      </w:pPr>
      <w:r w:rsidRPr="004350CF">
        <w:rPr>
          <w:rFonts w:ascii="Palatino Linotype" w:eastAsia="Palatino Linotype" w:hAnsi="Palatino Linotype" w:cs="Palatino Linotype"/>
        </w:rPr>
        <w:t>Conducta de la Autoridad: Las Acciones u omisiones realizadas en el procedimiento. Así como si la autoridad actuó con la debida diligencia.</w:t>
      </w:r>
    </w:p>
    <w:p w14:paraId="07B89F35" w14:textId="77777777" w:rsidR="002F3595" w:rsidRPr="004350CF" w:rsidRDefault="009669C9">
      <w:pPr>
        <w:tabs>
          <w:tab w:val="left" w:pos="567"/>
        </w:tabs>
        <w:spacing w:before="240" w:after="240" w:line="360" w:lineRule="auto"/>
        <w:ind w:left="284"/>
        <w:jc w:val="both"/>
        <w:rPr>
          <w:rFonts w:ascii="Palatino Linotype" w:eastAsia="Palatino Linotype" w:hAnsi="Palatino Linotype" w:cs="Palatino Linotype"/>
        </w:rPr>
      </w:pPr>
      <w:r w:rsidRPr="004350CF">
        <w:rPr>
          <w:rFonts w:ascii="Palatino Linotype" w:eastAsia="Palatino Linotype" w:hAnsi="Palatino Linotype" w:cs="Palatino Linotype"/>
        </w:rPr>
        <w:t>d) La afectación generada en la situación jurídica de la persona involucrada en el proceso: Violación a sus derechos humanos.</w:t>
      </w:r>
    </w:p>
    <w:p w14:paraId="50C06867"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722172" w14:textId="77777777" w:rsidR="002F3595" w:rsidRPr="004350CF" w:rsidRDefault="009669C9">
      <w:pPr>
        <w:spacing w:before="240" w:after="240" w:line="360" w:lineRule="auto"/>
        <w:jc w:val="both"/>
        <w:rPr>
          <w:rFonts w:ascii="Palatino Linotype" w:eastAsia="Palatino Linotype" w:hAnsi="Palatino Linotype" w:cs="Palatino Linotype"/>
          <w:b/>
        </w:rPr>
      </w:pPr>
      <w:r w:rsidRPr="004350C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350C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350CF">
        <w:rPr>
          <w:rFonts w:ascii="Palatino Linotype" w:eastAsia="Palatino Linotype" w:hAnsi="Palatino Linotype" w:cs="Palatino Linotype"/>
        </w:rPr>
        <w:t>, visible en la Gaceta del Seminario Judicial de la Federación con el registro digital 205635.</w:t>
      </w:r>
    </w:p>
    <w:p w14:paraId="3579C6B7"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C92C15"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FACD927" w14:textId="77777777" w:rsidR="002F3595" w:rsidRPr="004350CF" w:rsidRDefault="009669C9">
      <w:pPr>
        <w:spacing w:before="120" w:after="120" w:line="240" w:lineRule="auto"/>
        <w:ind w:left="851" w:right="902"/>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 </w:t>
      </w:r>
      <w:r w:rsidRPr="004350CF">
        <w:rPr>
          <w:rFonts w:ascii="Palatino Linotype" w:eastAsia="Palatino Linotype" w:hAnsi="Palatino Linotype" w:cs="Palatino Linotype"/>
          <w:i/>
        </w:rPr>
        <w:t>“</w:t>
      </w:r>
      <w:r w:rsidRPr="004350CF">
        <w:rPr>
          <w:rFonts w:ascii="Palatino Linotype" w:eastAsia="Palatino Linotype" w:hAnsi="Palatino Linotype" w:cs="Palatino Linotype"/>
          <w:b/>
          <w:i/>
        </w:rPr>
        <w:t>PLAZO RAZONABLE PARA RESOLVER. DIMENSIÓN Y EFECTOS DE ESTE CONCEPTO CUANDO SE ADUCE EXCESIVA CARGA DE TRABAJO</w:t>
      </w:r>
      <w:r w:rsidRPr="004350CF">
        <w:rPr>
          <w:rFonts w:ascii="Palatino Linotype" w:eastAsia="Palatino Linotype" w:hAnsi="Palatino Linotype" w:cs="Palatino Linotype"/>
          <w:i/>
        </w:rPr>
        <w:t>.”</w:t>
      </w:r>
      <w:r w:rsidRPr="004350CF">
        <w:rPr>
          <w:rFonts w:ascii="Palatino Linotype" w:eastAsia="Palatino Linotype" w:hAnsi="Palatino Linotype" w:cs="Palatino Linotype"/>
        </w:rPr>
        <w:t xml:space="preserve"> consultable en el Seminario Judicial de la Federación y su gaceta, con el registro digital 2002351.</w:t>
      </w:r>
    </w:p>
    <w:p w14:paraId="7513777E" w14:textId="77777777" w:rsidR="002F3595" w:rsidRPr="004350CF" w:rsidRDefault="009669C9">
      <w:pPr>
        <w:spacing w:before="120" w:after="120" w:line="240" w:lineRule="auto"/>
        <w:ind w:left="851" w:right="902"/>
        <w:jc w:val="both"/>
        <w:rPr>
          <w:rFonts w:ascii="Palatino Linotype" w:eastAsia="Palatino Linotype" w:hAnsi="Palatino Linotype" w:cs="Palatino Linotype"/>
        </w:rPr>
      </w:pPr>
      <w:r w:rsidRPr="004350CF">
        <w:rPr>
          <w:rFonts w:ascii="Palatino Linotype" w:eastAsia="Palatino Linotype" w:hAnsi="Palatino Linotype" w:cs="Palatino Linotype"/>
          <w:i/>
        </w:rPr>
        <w:t>“</w:t>
      </w:r>
      <w:r w:rsidRPr="004350CF">
        <w:rPr>
          <w:rFonts w:ascii="Palatino Linotype" w:eastAsia="Palatino Linotype" w:hAnsi="Palatino Linotype" w:cs="Palatino Linotype"/>
          <w:b/>
          <w:i/>
        </w:rPr>
        <w:t>PLAZO RAZONABLE PARA RESOLVER. CONCEPTO Y ELEMENTOS QUE LO INTEGRAN A LA LUZ DEL DERECHO INTERNACIONAL DE LOS DERECHOS HUMANOS</w:t>
      </w:r>
      <w:r w:rsidRPr="004350CF">
        <w:rPr>
          <w:rFonts w:ascii="Palatino Linotype" w:eastAsia="Palatino Linotype" w:hAnsi="Palatino Linotype" w:cs="Palatino Linotype"/>
          <w:i/>
        </w:rPr>
        <w:t>.”</w:t>
      </w:r>
      <w:r w:rsidRPr="004350CF">
        <w:rPr>
          <w:rFonts w:ascii="Palatino Linotype" w:eastAsia="Palatino Linotype" w:hAnsi="Palatino Linotype" w:cs="Palatino Linotype"/>
        </w:rPr>
        <w:t>, visible en el Seminario Judicial de la Federación y su gaceta, con el registro digital 2002350.</w:t>
      </w:r>
    </w:p>
    <w:p w14:paraId="06DC242C"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6646827"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14FC748A" w14:textId="77777777" w:rsidR="002F3595" w:rsidRPr="004350CF" w:rsidRDefault="009669C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350CF">
        <w:rPr>
          <w:rFonts w:ascii="Palatino Linotype" w:eastAsia="Palatino Linotype" w:hAnsi="Palatino Linotype" w:cs="Palatino Linotype"/>
          <w:b/>
        </w:rPr>
        <w:t>II. C O N S I D E R A N D O S:</w:t>
      </w:r>
    </w:p>
    <w:p w14:paraId="340F99D7" w14:textId="1B9BE229"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b/>
        </w:rPr>
        <w:t>Primero. Competencia.</w:t>
      </w:r>
      <w:r w:rsidRPr="004350C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04364E" w:rsidRPr="004350CF">
        <w:rPr>
          <w:rFonts w:ascii="Palatino Linotype" w:eastAsia="Palatino Linotype" w:hAnsi="Palatino Linotype" w:cs="Palatino Linotype"/>
        </w:rPr>
        <w:t>5 párrafos cuadragésimo cuarto, cuadragésimo quinto y cuadragésimo sexto, fracciones IV y V de la Constitución Política del Estado Libre y Soberano de México; transitorio Cuarto del Decreto número 198 de la “LXII” Legislatura del Estado de México</w:t>
      </w:r>
      <w:r w:rsidRPr="004350CF">
        <w:rPr>
          <w:rFonts w:ascii="Palatino Linotype" w:eastAsia="Palatino Linotype" w:hAnsi="Palatino Linotype" w:cs="Palatino Linotype"/>
        </w:rPr>
        <w:t>;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558DA06D"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b/>
        </w:rPr>
        <w:t>Segundo. Oportunidad y Procedibilidad del Recurso de Revisión</w:t>
      </w:r>
      <w:r w:rsidRPr="004350CF">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35504ED7"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4350CF">
        <w:rPr>
          <w:rFonts w:ascii="Palatino Linotype" w:eastAsia="Palatino Linotype" w:hAnsi="Palatino Linotype" w:cs="Palatino Linotype"/>
          <w:b/>
        </w:rPr>
        <w:t xml:space="preserve">Sujeto Obligado </w:t>
      </w:r>
      <w:r w:rsidRPr="004350CF">
        <w:rPr>
          <w:rFonts w:ascii="Palatino Linotype" w:eastAsia="Palatino Linotype" w:hAnsi="Palatino Linotype" w:cs="Palatino Linotype"/>
        </w:rPr>
        <w:t xml:space="preserve">remitió la respuesta a las solicitudes de información el </w:t>
      </w:r>
      <w:r w:rsidRPr="004350CF">
        <w:rPr>
          <w:rFonts w:ascii="Palatino Linotype" w:eastAsia="Palatino Linotype" w:hAnsi="Palatino Linotype" w:cs="Palatino Linotype"/>
          <w:b/>
        </w:rPr>
        <w:t xml:space="preserve">dos de junio de dos mil veinticinco, </w:t>
      </w:r>
      <w:r w:rsidRPr="004350CF">
        <w:rPr>
          <w:rFonts w:ascii="Palatino Linotype" w:eastAsia="Palatino Linotype" w:hAnsi="Palatino Linotype" w:cs="Palatino Linotype"/>
        </w:rPr>
        <w:t xml:space="preserve">mientras que los recursos de revisión interpuestos por la parte </w:t>
      </w:r>
      <w:r w:rsidRPr="004350CF">
        <w:rPr>
          <w:rFonts w:ascii="Palatino Linotype" w:eastAsia="Palatino Linotype" w:hAnsi="Palatino Linotype" w:cs="Palatino Linotype"/>
          <w:b/>
        </w:rPr>
        <w:t>Recurrente</w:t>
      </w:r>
      <w:r w:rsidRPr="004350CF">
        <w:rPr>
          <w:rFonts w:ascii="Palatino Linotype" w:eastAsia="Palatino Linotype" w:hAnsi="Palatino Linotype" w:cs="Palatino Linotype"/>
        </w:rPr>
        <w:t xml:space="preserve">, se tuvieron por presentados el </w:t>
      </w:r>
      <w:r w:rsidRPr="004350CF">
        <w:rPr>
          <w:rFonts w:ascii="Palatino Linotype" w:eastAsia="Palatino Linotype" w:hAnsi="Palatino Linotype" w:cs="Palatino Linotype"/>
          <w:b/>
        </w:rPr>
        <w:t>tres de junio de dos mil veinticinco,</w:t>
      </w:r>
      <w:r w:rsidRPr="004350CF">
        <w:rPr>
          <w:rFonts w:ascii="Palatino Linotype" w:eastAsia="Palatino Linotype" w:hAnsi="Palatino Linotype" w:cs="Palatino Linotype"/>
        </w:rPr>
        <w:t xml:space="preserve"> esto es al siguiente día hábil posterior a aquel en el que tuvo conocimiento de las respuestas impugnadas. En este sentido, se concluye que los presentes recursos de revisión se encuentran dentro de los márgenes temporales previstos en las disposiciones legales referidas.</w:t>
      </w:r>
    </w:p>
    <w:p w14:paraId="64ED4E64" w14:textId="77777777" w:rsidR="002F3595" w:rsidRPr="004350CF" w:rsidRDefault="009669C9">
      <w:pPr>
        <w:spacing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Además, por cuanto hace a la procedibilidad del recurso de revisión, es de suma importancia señalar que la parte</w:t>
      </w:r>
      <w:r w:rsidRPr="004350CF">
        <w:rPr>
          <w:rFonts w:ascii="Palatino Linotype" w:eastAsia="Palatino Linotype" w:hAnsi="Palatino Linotype" w:cs="Palatino Linotype"/>
          <w:b/>
        </w:rPr>
        <w:t xml:space="preserve"> Recurrente</w:t>
      </w:r>
      <w:r w:rsidRPr="004350CF">
        <w:rPr>
          <w:rFonts w:ascii="Palatino Linotype" w:eastAsia="Palatino Linotype" w:hAnsi="Palatino Linotype" w:cs="Palatino Linotype"/>
        </w:rPr>
        <w:t>, señaló un seudónimo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EE54CAF"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r w:rsidRPr="004350CF">
        <w:rPr>
          <w:rFonts w:ascii="Palatino Linotype" w:eastAsia="Palatino Linotype" w:hAnsi="Palatino Linotype" w:cs="Palatino Linotype"/>
          <w:b/>
          <w:i/>
        </w:rPr>
        <w:t>Las solicitudes anónimas</w:t>
      </w:r>
      <w:r w:rsidRPr="004350CF">
        <w:rPr>
          <w:rFonts w:ascii="Palatino Linotype" w:eastAsia="Palatino Linotype" w:hAnsi="Palatino Linotype" w:cs="Palatino Linotype"/>
          <w:i/>
        </w:rPr>
        <w:t xml:space="preserve">, con nombre incompleto o </w:t>
      </w:r>
      <w:r w:rsidRPr="004350CF">
        <w:rPr>
          <w:rFonts w:ascii="Palatino Linotype" w:eastAsia="Palatino Linotype" w:hAnsi="Palatino Linotype" w:cs="Palatino Linotype"/>
          <w:b/>
          <w:i/>
        </w:rPr>
        <w:t>seudónimo</w:t>
      </w:r>
      <w:r w:rsidRPr="004350CF">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3DBBC72A" w14:textId="77777777" w:rsidR="002F3595" w:rsidRPr="004350CF" w:rsidRDefault="009669C9">
      <w:pPr>
        <w:spacing w:before="240" w:after="240" w:line="360" w:lineRule="auto"/>
        <w:jc w:val="both"/>
        <w:rPr>
          <w:rFonts w:ascii="Palatino Linotype" w:eastAsia="Palatino Linotype" w:hAnsi="Palatino Linotype" w:cs="Palatino Linotype"/>
          <w:b/>
        </w:rPr>
      </w:pPr>
      <w:r w:rsidRPr="004350CF">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4350CF">
        <w:rPr>
          <w:rFonts w:ascii="Palatino Linotype" w:eastAsia="Palatino Linotype" w:hAnsi="Palatino Linotype" w:cs="Palatino Linotype"/>
          <w:b/>
        </w:rPr>
        <w:t xml:space="preserve"> SAIMEX.</w:t>
      </w:r>
    </w:p>
    <w:p w14:paraId="67D47E2E"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Finalmente, se advierte que resulta procedente la interposición de los recursos, según lo manifestado por la parte </w:t>
      </w:r>
      <w:r w:rsidRPr="004350CF">
        <w:rPr>
          <w:rFonts w:ascii="Palatino Linotype" w:eastAsia="Palatino Linotype" w:hAnsi="Palatino Linotype" w:cs="Palatino Linotype"/>
          <w:b/>
        </w:rPr>
        <w:t>Recurrente</w:t>
      </w:r>
      <w:r w:rsidRPr="004350CF">
        <w:rPr>
          <w:rFonts w:ascii="Palatino Linotype" w:eastAsia="Palatino Linotype" w:hAnsi="Palatino Linotype" w:cs="Palatino Linotype"/>
        </w:rPr>
        <w:t xml:space="preserve"> en sus motivos de inconformidad, de acuerdo al artículo 179, fracción I del ordenamiento legal citado, que a la letra dice: </w:t>
      </w:r>
    </w:p>
    <w:p w14:paraId="5DF9A870" w14:textId="77777777" w:rsidR="002F3595" w:rsidRPr="004350CF" w:rsidRDefault="009669C9">
      <w:pPr>
        <w:tabs>
          <w:tab w:val="left" w:pos="7938"/>
        </w:tabs>
        <w:spacing w:before="120" w:after="120" w:line="240" w:lineRule="auto"/>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r w:rsidRPr="004350CF">
        <w:rPr>
          <w:rFonts w:ascii="Palatino Linotype" w:eastAsia="Palatino Linotype" w:hAnsi="Palatino Linotype" w:cs="Palatino Linotype"/>
          <w:b/>
          <w:i/>
        </w:rPr>
        <w:t>Artículo 179.</w:t>
      </w:r>
      <w:r w:rsidRPr="004350CF">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4DBFC8F2" w14:textId="77777777" w:rsidR="002F3595" w:rsidRPr="004350CF" w:rsidRDefault="009669C9">
      <w:pPr>
        <w:tabs>
          <w:tab w:val="left" w:pos="7938"/>
        </w:tabs>
        <w:spacing w:before="120" w:after="120" w:line="240" w:lineRule="auto"/>
        <w:ind w:left="851" w:right="900"/>
        <w:jc w:val="both"/>
        <w:rPr>
          <w:rFonts w:ascii="Palatino Linotype" w:eastAsia="Palatino Linotype" w:hAnsi="Palatino Linotype" w:cs="Palatino Linotype"/>
          <w:i/>
        </w:rPr>
      </w:pPr>
      <w:r w:rsidRPr="004350CF">
        <w:rPr>
          <w:rFonts w:ascii="Palatino Linotype" w:eastAsia="Palatino Linotype" w:hAnsi="Palatino Linotype" w:cs="Palatino Linotype"/>
          <w:b/>
          <w:i/>
        </w:rPr>
        <w:t>I</w:t>
      </w:r>
      <w:r w:rsidRPr="004350CF">
        <w:rPr>
          <w:rFonts w:ascii="Palatino Linotype" w:eastAsia="Palatino Linotype" w:hAnsi="Palatino Linotype" w:cs="Palatino Linotype"/>
          <w:i/>
        </w:rPr>
        <w:t>. La negativa a la información solicitada;”</w:t>
      </w:r>
    </w:p>
    <w:p w14:paraId="518CDA35" w14:textId="77777777" w:rsidR="002F3595" w:rsidRPr="004350CF" w:rsidRDefault="009669C9">
      <w:pPr>
        <w:spacing w:before="240" w:after="240" w:line="360" w:lineRule="auto"/>
        <w:jc w:val="both"/>
        <w:rPr>
          <w:rFonts w:ascii="Palatino Linotype" w:eastAsia="Palatino Linotype" w:hAnsi="Palatino Linotype" w:cs="Palatino Linotype"/>
          <w:b/>
        </w:rPr>
      </w:pPr>
      <w:r w:rsidRPr="004350CF">
        <w:rPr>
          <w:rFonts w:ascii="Palatino Linotype" w:eastAsia="Palatino Linotype" w:hAnsi="Palatino Linotype" w:cs="Palatino Linotype"/>
          <w:b/>
        </w:rPr>
        <w:t xml:space="preserve">Tercero. Materia de la revisión. </w:t>
      </w:r>
      <w:r w:rsidRPr="004350CF">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4350CF">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4350CF">
        <w:rPr>
          <w:rFonts w:ascii="Palatino Linotype" w:eastAsia="Palatino Linotype" w:hAnsi="Palatino Linotype" w:cs="Palatino Linotype"/>
        </w:rPr>
        <w:t xml:space="preserve">de la parte </w:t>
      </w:r>
      <w:r w:rsidRPr="004350CF">
        <w:rPr>
          <w:rFonts w:ascii="Palatino Linotype" w:eastAsia="Palatino Linotype" w:hAnsi="Palatino Linotype" w:cs="Palatino Linotype"/>
          <w:b/>
        </w:rPr>
        <w:t>Recurrente</w:t>
      </w:r>
      <w:r w:rsidRPr="004350CF">
        <w:rPr>
          <w:rFonts w:ascii="Palatino Linotype" w:eastAsia="Palatino Linotype" w:hAnsi="Palatino Linotype" w:cs="Palatino Linotype"/>
        </w:rPr>
        <w:t>, o en su defecto, en caso de ser procedente, ordenar la entrega de información.</w:t>
      </w:r>
    </w:p>
    <w:p w14:paraId="239C0B7B"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b/>
        </w:rPr>
        <w:t xml:space="preserve">Cuarto. Estudio del asunto. </w:t>
      </w:r>
      <w:r w:rsidRPr="004350CF">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4713A90" w14:textId="77777777" w:rsidR="002F3595" w:rsidRPr="004350CF" w:rsidRDefault="009669C9">
      <w:pPr>
        <w:spacing w:before="120" w:after="120" w:line="240" w:lineRule="auto"/>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r w:rsidRPr="004350CF">
        <w:rPr>
          <w:rFonts w:ascii="Palatino Linotype" w:eastAsia="Palatino Linotype" w:hAnsi="Palatino Linotype" w:cs="Palatino Linotype"/>
          <w:b/>
          <w:i/>
        </w:rPr>
        <w:t>Artículo 4</w:t>
      </w:r>
      <w:r w:rsidRPr="004350C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6E067B9" w14:textId="77777777" w:rsidR="002F3595" w:rsidRPr="004350CF" w:rsidRDefault="009669C9">
      <w:pPr>
        <w:spacing w:before="120" w:after="120" w:line="240" w:lineRule="auto"/>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4350CF">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9F81401" w14:textId="77777777" w:rsidR="002F3595" w:rsidRPr="004350CF" w:rsidRDefault="009669C9">
      <w:pPr>
        <w:spacing w:before="120" w:after="120" w:line="240" w:lineRule="auto"/>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4350CF">
        <w:rPr>
          <w:rFonts w:ascii="Palatino Linotype" w:eastAsia="Palatino Linotype" w:hAnsi="Palatino Linotype" w:cs="Palatino Linotype"/>
          <w:i/>
        </w:rPr>
        <w:t>.”</w:t>
      </w:r>
    </w:p>
    <w:p w14:paraId="5D241E23"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DA51242" w14:textId="77777777" w:rsidR="002F3595" w:rsidRPr="004350CF" w:rsidRDefault="009669C9">
      <w:pPr>
        <w:spacing w:before="120" w:after="120" w:line="240" w:lineRule="auto"/>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“Artículo 12.-</w:t>
      </w:r>
      <w:r w:rsidRPr="004350C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0BA5D3F" w14:textId="77777777" w:rsidR="002F3595" w:rsidRPr="004350CF" w:rsidRDefault="009669C9">
      <w:pPr>
        <w:spacing w:before="120" w:after="120" w:line="240" w:lineRule="auto"/>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4350CF">
        <w:rPr>
          <w:rFonts w:ascii="Palatino Linotype" w:eastAsia="Palatino Linotype" w:hAnsi="Palatino Linotype" w:cs="Palatino Linotype"/>
          <w:i/>
        </w:rPr>
        <w:t xml:space="preserve">. </w:t>
      </w:r>
      <w:r w:rsidRPr="004350CF">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p>
    <w:p w14:paraId="1898099D" w14:textId="77777777" w:rsidR="002F3595" w:rsidRPr="004350CF" w:rsidRDefault="009669C9">
      <w:pPr>
        <w:spacing w:before="240" w:after="240" w:line="360" w:lineRule="auto"/>
        <w:ind w:right="-93"/>
        <w:jc w:val="both"/>
        <w:rPr>
          <w:rFonts w:ascii="Palatino Linotype" w:eastAsia="Palatino Linotype" w:hAnsi="Palatino Linotype" w:cs="Palatino Linotype"/>
        </w:rPr>
      </w:pPr>
      <w:r w:rsidRPr="004350CF">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BB589B4" w14:textId="77777777" w:rsidR="002F3595" w:rsidRPr="004350CF" w:rsidRDefault="009669C9">
      <w:pPr>
        <w:spacing w:before="240" w:after="240" w:line="360" w:lineRule="auto"/>
        <w:jc w:val="both"/>
        <w:rPr>
          <w:rFonts w:ascii="Palatino Linotype" w:eastAsia="Palatino Linotype" w:hAnsi="Palatino Linotype" w:cs="Palatino Linotype"/>
          <w:b/>
        </w:rPr>
      </w:pPr>
      <w:r w:rsidRPr="004350CF">
        <w:rPr>
          <w:rFonts w:ascii="Palatino Linotype" w:eastAsia="Palatino Linotype" w:hAnsi="Palatino Linotype" w:cs="Palatino Linotype"/>
        </w:rPr>
        <w:t>Sirve de apoyo a lo anterior, el criterio orientador con clave de control SO/003/2017, emitido por el entonces Instituto Nacional de Transparencia, Acceso a la Información y Protección de Datos Personales, que por rubro y texto, dispone lo siguiente:</w:t>
      </w:r>
      <w:r w:rsidRPr="004350CF">
        <w:rPr>
          <w:rFonts w:ascii="Palatino Linotype" w:eastAsia="Palatino Linotype" w:hAnsi="Palatino Linotype" w:cs="Palatino Linotype"/>
          <w:b/>
        </w:rPr>
        <w:t xml:space="preserve"> </w:t>
      </w:r>
    </w:p>
    <w:p w14:paraId="1E7084AD" w14:textId="77777777" w:rsidR="002F3595" w:rsidRPr="004350CF" w:rsidRDefault="009669C9">
      <w:pPr>
        <w:spacing w:before="120" w:after="120" w:line="240" w:lineRule="auto"/>
        <w:ind w:left="1134"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 xml:space="preserve"> “</w:t>
      </w:r>
      <w:r w:rsidRPr="004350CF">
        <w:rPr>
          <w:rFonts w:ascii="Palatino Linotype" w:eastAsia="Palatino Linotype" w:hAnsi="Palatino Linotype" w:cs="Palatino Linotype"/>
          <w:b/>
          <w:i/>
        </w:rPr>
        <w:t>No existe obligación de elaborar documentos ad hoc para atender las solicitudes de acceso a la información.</w:t>
      </w:r>
      <w:r w:rsidRPr="004350CF">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D9EA2DC"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9DAACBD"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52187D5" w14:textId="77777777" w:rsidR="002F3595" w:rsidRPr="004350CF" w:rsidRDefault="009669C9">
      <w:pPr>
        <w:spacing w:before="120" w:after="120" w:line="240" w:lineRule="auto"/>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r w:rsidRPr="004350CF">
        <w:rPr>
          <w:rFonts w:ascii="Palatino Linotype" w:eastAsia="Palatino Linotype" w:hAnsi="Palatino Linotype" w:cs="Palatino Linotype"/>
          <w:b/>
          <w:i/>
        </w:rPr>
        <w:t xml:space="preserve">Artículo 3. </w:t>
      </w:r>
      <w:r w:rsidRPr="004350CF">
        <w:rPr>
          <w:rFonts w:ascii="Palatino Linotype" w:eastAsia="Palatino Linotype" w:hAnsi="Palatino Linotype" w:cs="Palatino Linotype"/>
          <w:i/>
        </w:rPr>
        <w:t>Para los efectos de la presente Ley se entenderá por:</w:t>
      </w:r>
    </w:p>
    <w:p w14:paraId="3264C08F" w14:textId="77777777" w:rsidR="002F3595" w:rsidRPr="004350CF" w:rsidRDefault="009669C9">
      <w:pPr>
        <w:spacing w:before="120" w:after="120" w:line="240" w:lineRule="auto"/>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p>
    <w:p w14:paraId="5E3C010B" w14:textId="77777777" w:rsidR="002F3595" w:rsidRPr="004350CF" w:rsidRDefault="009669C9">
      <w:pPr>
        <w:spacing w:before="120" w:after="120" w:line="240" w:lineRule="auto"/>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XI. Documento:</w:t>
      </w:r>
      <w:r w:rsidRPr="004350CF">
        <w:rPr>
          <w:rFonts w:ascii="Palatino Linotype" w:eastAsia="Palatino Linotype" w:hAnsi="Palatino Linotype" w:cs="Palatino Linotype"/>
          <w:i/>
        </w:rPr>
        <w:t xml:space="preserve"> Los expedientes, reportes, estudios, actas</w:t>
      </w:r>
      <w:r w:rsidRPr="004350CF">
        <w:rPr>
          <w:rFonts w:ascii="Palatino Linotype" w:eastAsia="Palatino Linotype" w:hAnsi="Palatino Linotype" w:cs="Palatino Linotype"/>
          <w:b/>
          <w:i/>
        </w:rPr>
        <w:t>,</w:t>
      </w:r>
      <w:r w:rsidRPr="004350CF">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F00EDB2"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1AB9251" w14:textId="77777777" w:rsidR="002F3595" w:rsidRPr="004350CF" w:rsidRDefault="009669C9">
      <w:pPr>
        <w:spacing w:before="120" w:after="120" w:line="240" w:lineRule="auto"/>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rPr>
        <w:t>“</w:t>
      </w:r>
      <w:r w:rsidRPr="004350C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4350C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19004C" w14:textId="77777777" w:rsidR="002F3595" w:rsidRPr="004350CF" w:rsidRDefault="009669C9">
      <w:pPr>
        <w:spacing w:before="120" w:after="120" w:line="240" w:lineRule="auto"/>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En consecuencia el acceso a la información se refiere a que se cumplan cualquiera de los siguientes tres supuestos:</w:t>
      </w:r>
    </w:p>
    <w:p w14:paraId="302D3967" w14:textId="77777777" w:rsidR="002F3595" w:rsidRPr="004350CF" w:rsidRDefault="009669C9">
      <w:pPr>
        <w:spacing w:before="120" w:after="120" w:line="240" w:lineRule="auto"/>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1FFFD6F" w14:textId="77777777" w:rsidR="002F3595" w:rsidRPr="004350CF" w:rsidRDefault="009669C9">
      <w:pPr>
        <w:spacing w:before="120" w:after="120" w:line="240" w:lineRule="auto"/>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64AA5D12" w14:textId="77777777" w:rsidR="002F3595" w:rsidRPr="004350CF" w:rsidRDefault="009669C9">
      <w:pPr>
        <w:spacing w:before="120" w:after="120" w:line="240" w:lineRule="auto"/>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76C15BE5" w14:textId="77777777" w:rsidR="002F3595" w:rsidRPr="004350CF" w:rsidRDefault="009669C9">
      <w:pPr>
        <w:spacing w:before="240" w:after="240" w:line="360" w:lineRule="auto"/>
        <w:ind w:right="51"/>
        <w:jc w:val="both"/>
        <w:rPr>
          <w:rFonts w:ascii="Palatino Linotype" w:eastAsia="Palatino Linotype" w:hAnsi="Palatino Linotype" w:cs="Palatino Linotype"/>
        </w:rPr>
      </w:pPr>
      <w:r w:rsidRPr="004350CF">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2EF50A8"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1F62F98" w14:textId="77777777" w:rsidR="002F3595" w:rsidRPr="004350CF" w:rsidRDefault="009669C9">
      <w:pPr>
        <w:spacing w:before="240" w:after="240" w:line="360" w:lineRule="auto"/>
        <w:ind w:right="51"/>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Ahora bien, del análisis de las solicitudes de información, motivo de los recursos de revisión que ahora se resuelven, se advierte que la parte </w:t>
      </w:r>
      <w:r w:rsidRPr="004350CF">
        <w:rPr>
          <w:rFonts w:ascii="Palatino Linotype" w:eastAsia="Palatino Linotype" w:hAnsi="Palatino Linotype" w:cs="Palatino Linotype"/>
          <w:b/>
        </w:rPr>
        <w:t>Recurrente</w:t>
      </w:r>
      <w:r w:rsidRPr="004350CF">
        <w:rPr>
          <w:rFonts w:ascii="Palatino Linotype" w:eastAsia="Palatino Linotype" w:hAnsi="Palatino Linotype" w:cs="Palatino Linotype"/>
        </w:rPr>
        <w:t xml:space="preserve"> requirió al </w:t>
      </w:r>
      <w:r w:rsidRPr="004350CF">
        <w:rPr>
          <w:rFonts w:ascii="Palatino Linotype" w:eastAsia="Palatino Linotype" w:hAnsi="Palatino Linotype" w:cs="Palatino Linotype"/>
          <w:b/>
        </w:rPr>
        <w:t xml:space="preserve">Sujeto Obligado </w:t>
      </w:r>
      <w:r w:rsidRPr="004350CF">
        <w:rPr>
          <w:rFonts w:ascii="Palatino Linotype" w:eastAsia="Palatino Linotype" w:hAnsi="Palatino Linotype" w:cs="Palatino Linotype"/>
        </w:rPr>
        <w:t>le proporcione, información consistente en lo siguiente:</w:t>
      </w:r>
    </w:p>
    <w:p w14:paraId="3C8CD015" w14:textId="2605AF2C" w:rsidR="002F3595" w:rsidRPr="004350CF" w:rsidRDefault="009669C9">
      <w:pPr>
        <w:spacing w:before="240" w:after="240" w:line="360" w:lineRule="auto"/>
        <w:ind w:left="284" w:right="134"/>
        <w:jc w:val="both"/>
        <w:rPr>
          <w:rFonts w:ascii="Palatino Linotype" w:eastAsia="Palatino Linotype" w:hAnsi="Palatino Linotype" w:cs="Palatino Linotype"/>
        </w:rPr>
      </w:pPr>
      <w:r w:rsidRPr="004350CF">
        <w:rPr>
          <w:rFonts w:ascii="Palatino Linotype" w:eastAsia="Palatino Linotype" w:hAnsi="Palatino Linotype" w:cs="Palatino Linotype"/>
        </w:rPr>
        <w:t>1. Número y monto entregado a través licitaciones en los ejercicios 2022, 2023, 2024 y 2025.</w:t>
      </w:r>
    </w:p>
    <w:p w14:paraId="011784C2" w14:textId="77777777" w:rsidR="002F3595" w:rsidRPr="004350CF" w:rsidRDefault="009669C9">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Cabe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7E4CB2C1"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5F72A3BA" w14:textId="77777777" w:rsidR="002F3595" w:rsidRPr="004350CF" w:rsidRDefault="009669C9">
      <w:pPr>
        <w:spacing w:before="240" w:after="240" w:line="360" w:lineRule="auto"/>
        <w:ind w:right="51"/>
        <w:jc w:val="both"/>
        <w:rPr>
          <w:rFonts w:ascii="Palatino Linotype" w:eastAsia="Palatino Linotype" w:hAnsi="Palatino Linotype" w:cs="Palatino Linotype"/>
        </w:rPr>
      </w:pPr>
      <w:r w:rsidRPr="004350CF">
        <w:rPr>
          <w:rFonts w:ascii="Palatino Linotype" w:eastAsia="Palatino Linotype" w:hAnsi="Palatino Linotype" w:cs="Palatino Linotype"/>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4C00077D"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382C15FC"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En el caso particular, es de recordar que la Unidad de Transparencia turnó la solicitud a la Dirección de Administración y a la Dirección de Obras Públicas, como las dependencias competentes para conocer de la información que es del interés de la persona solicitante.</w:t>
      </w:r>
    </w:p>
    <w:p w14:paraId="0E543AA5"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Como sustento a lo anterior, es de mencionar que de conformidad con los artículos 3.97 y 3.98 del Código de Reglamentación Municipal de Metepec, la Dirección de Administración es la encargada de dar soporte material, técnico, humano, administrativo, organizacional e informático, que permita a las y los servidores públicos de la Administración Pública Municipal, atender las demandas ciudadanas y cumplir con sus atribuciones, así como para optimizar las funciones de la misma, entre cuyas atribuciones se encuentran las siguientes en su parte conducente:</w:t>
      </w:r>
    </w:p>
    <w:p w14:paraId="505A741A" w14:textId="77777777" w:rsidR="002F3595" w:rsidRPr="004350CF" w:rsidRDefault="009669C9">
      <w:pPr>
        <w:spacing w:before="240" w:after="240" w:line="360" w:lineRule="auto"/>
        <w:ind w:left="284"/>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 - Llevar a cabo las adquisiciones de bienes, arrendamiento de bienes muebles y la contratación de servicios que requieran las distintas áreas, ajustándose en su caso a las decisiones del Comité de Adquisiciones y Servicios y Comité de Arrendamientos, Adquisiciones de Inmuebles y Enajenaciones, vigilando su cumplimiento, en estricto apego a las disposiciones legales de la materia;</w:t>
      </w:r>
    </w:p>
    <w:p w14:paraId="3924F112" w14:textId="77777777" w:rsidR="002F3595" w:rsidRPr="004350CF" w:rsidRDefault="009669C9">
      <w:pPr>
        <w:spacing w:before="240" w:after="240" w:line="360" w:lineRule="auto"/>
        <w:ind w:left="284"/>
        <w:jc w:val="both"/>
        <w:rPr>
          <w:rFonts w:ascii="Palatino Linotype" w:eastAsia="Palatino Linotype" w:hAnsi="Palatino Linotype" w:cs="Palatino Linotype"/>
        </w:rPr>
      </w:pPr>
      <w:r w:rsidRPr="004350CF">
        <w:rPr>
          <w:rFonts w:ascii="Palatino Linotype" w:eastAsia="Palatino Linotype" w:hAnsi="Palatino Linotype" w:cs="Palatino Linotype"/>
        </w:rPr>
        <w:t>- Programar, organizar, integrar, dirigir, controlar y ejecutar las licitaciones públicas, invitaciones restringidas y las adjudicaciones directas que se requieren para la adquisición y arrendamiento de bienes muebles y la prestación de servicios que requieran las áreas que integran de acuerdo a los requisitos establecidos en las diversas disposiciones legales aplicables;</w:t>
      </w:r>
    </w:p>
    <w:p w14:paraId="59412165" w14:textId="77777777" w:rsidR="002F3595" w:rsidRPr="004350CF" w:rsidRDefault="009669C9">
      <w:pPr>
        <w:spacing w:before="240" w:after="240" w:line="360" w:lineRule="auto"/>
        <w:ind w:left="284"/>
        <w:jc w:val="both"/>
        <w:rPr>
          <w:rFonts w:ascii="Palatino Linotype" w:eastAsia="Palatino Linotype" w:hAnsi="Palatino Linotype" w:cs="Palatino Linotype"/>
        </w:rPr>
      </w:pPr>
      <w:r w:rsidRPr="004350CF">
        <w:rPr>
          <w:rFonts w:ascii="Palatino Linotype" w:eastAsia="Palatino Linotype" w:hAnsi="Palatino Linotype" w:cs="Palatino Linotype"/>
        </w:rPr>
        <w:t>- Suscribir contratos de adquisiciones de bienes muebles y servicios, conforme a los acuerdos tomados en el Comité de Adquisiciones y Servicios;</w:t>
      </w:r>
    </w:p>
    <w:p w14:paraId="32AB0213" w14:textId="007397CC"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Por otro lado, a la Dirección de Obras Públicas, de conformidad con el artículo 3.243 del Código de Reglamentación Municipal de Metepec, se le confieren las siguientes atribuciones en su parte conducente:</w:t>
      </w:r>
    </w:p>
    <w:p w14:paraId="657B5955" w14:textId="77777777" w:rsidR="002F3595" w:rsidRPr="004350CF" w:rsidRDefault="009669C9">
      <w:pPr>
        <w:spacing w:before="240" w:after="240" w:line="360" w:lineRule="auto"/>
        <w:ind w:left="284"/>
        <w:jc w:val="both"/>
        <w:rPr>
          <w:rFonts w:ascii="Palatino Linotype" w:eastAsia="Palatino Linotype" w:hAnsi="Palatino Linotype" w:cs="Palatino Linotype"/>
        </w:rPr>
      </w:pPr>
      <w:r w:rsidRPr="004350CF">
        <w:rPr>
          <w:rFonts w:ascii="Palatino Linotype" w:eastAsia="Palatino Linotype" w:hAnsi="Palatino Linotype" w:cs="Palatino Linotype"/>
        </w:rPr>
        <w:t>- Elaborar los proyectos de inversión y los presupuestos de cada una de las obras públicas que se deban realizar y de los servicios relacionados con las mismas, de conformidad con la experiencia y los conocimientos técnicos en la materia y en estricto apego a la normatividad aplicable, los cuales deberán ser informados al Comité Interno de Obra Pública para su visto bueno y posterior presentación para la aprobación del Ayuntamiento;</w:t>
      </w:r>
    </w:p>
    <w:p w14:paraId="481F0831" w14:textId="77777777" w:rsidR="002F3595" w:rsidRPr="004350CF" w:rsidRDefault="009669C9">
      <w:pPr>
        <w:spacing w:before="240" w:after="240" w:line="360" w:lineRule="auto"/>
        <w:ind w:left="284"/>
        <w:jc w:val="both"/>
        <w:rPr>
          <w:rFonts w:ascii="Palatino Linotype" w:eastAsia="Palatino Linotype" w:hAnsi="Palatino Linotype" w:cs="Palatino Linotype"/>
        </w:rPr>
      </w:pPr>
      <w:r w:rsidRPr="004350CF">
        <w:rPr>
          <w:rFonts w:ascii="Palatino Linotype" w:eastAsia="Palatino Linotype" w:hAnsi="Palatino Linotype" w:cs="Palatino Linotype"/>
        </w:rPr>
        <w:t>- Designar a la o el servidor público que corresponda, para presidir los actos del proceso de licitación;</w:t>
      </w:r>
    </w:p>
    <w:p w14:paraId="698A125F" w14:textId="77777777" w:rsidR="002F3595" w:rsidRPr="004350CF" w:rsidRDefault="009669C9">
      <w:pPr>
        <w:spacing w:before="240" w:after="240" w:line="360" w:lineRule="auto"/>
        <w:ind w:left="284"/>
        <w:jc w:val="both"/>
        <w:rPr>
          <w:rFonts w:ascii="Palatino Linotype" w:eastAsia="Palatino Linotype" w:hAnsi="Palatino Linotype" w:cs="Palatino Linotype"/>
        </w:rPr>
      </w:pPr>
      <w:r w:rsidRPr="004350CF">
        <w:rPr>
          <w:rFonts w:ascii="Palatino Linotype" w:eastAsia="Palatino Linotype" w:hAnsi="Palatino Linotype" w:cs="Palatino Linotype"/>
        </w:rPr>
        <w:t>- Establecer las bases y procedimientos a los que deberán ajustarse los concursos de licitación pública e invitación restringida, así como los de adjudicación directa, para la adjudicación de los contratos de obra pública y servicios relacionados con la misma, para efectos de su adecuada planeación, organización, integración y control, debiendo ajustarse a las especificaciones técnicas de cada obra y con estricto apego a la normatividad aplicable;</w:t>
      </w:r>
    </w:p>
    <w:p w14:paraId="70EFA6CB" w14:textId="77777777" w:rsidR="002F3595" w:rsidRPr="004350CF" w:rsidRDefault="009669C9">
      <w:pPr>
        <w:spacing w:before="240" w:after="240" w:line="360" w:lineRule="auto"/>
        <w:ind w:left="284"/>
        <w:jc w:val="both"/>
        <w:rPr>
          <w:rFonts w:ascii="Palatino Linotype" w:eastAsia="Palatino Linotype" w:hAnsi="Palatino Linotype" w:cs="Palatino Linotype"/>
        </w:rPr>
      </w:pPr>
      <w:r w:rsidRPr="004350CF">
        <w:rPr>
          <w:rFonts w:ascii="Palatino Linotype" w:eastAsia="Palatino Linotype" w:hAnsi="Palatino Linotype" w:cs="Palatino Linotype"/>
        </w:rPr>
        <w:t>- Controlar y vigilar los procedimientos de licitación pública, invitación restringida y adjudicación directa, a fin de adjudicar los contratos de obra pública y servicios relacionados con la misma, con estricto apego a la normatividad aplicable;</w:t>
      </w:r>
    </w:p>
    <w:p w14:paraId="34DEA33F" w14:textId="77777777" w:rsidR="002F3595" w:rsidRPr="004350CF" w:rsidRDefault="009669C9">
      <w:pPr>
        <w:spacing w:before="240" w:after="240" w:line="360" w:lineRule="auto"/>
        <w:ind w:left="284"/>
        <w:jc w:val="both"/>
        <w:rPr>
          <w:rFonts w:ascii="Palatino Linotype" w:eastAsia="Palatino Linotype" w:hAnsi="Palatino Linotype" w:cs="Palatino Linotype"/>
        </w:rPr>
      </w:pPr>
      <w:r w:rsidRPr="004350CF">
        <w:rPr>
          <w:rFonts w:ascii="Palatino Linotype" w:eastAsia="Palatino Linotype" w:hAnsi="Palatino Linotype" w:cs="Palatino Linotype"/>
        </w:rPr>
        <w:t>- Adjudicar, contratar, ejecutar, vigilar, supervisar, controlar, recibir y dar mantenimiento a las obras públicas municipales, con estricto apego a la normatividad aplicable;</w:t>
      </w:r>
    </w:p>
    <w:p w14:paraId="5C297822"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Atento a lo anterior, se considera que en el presente asunto se cumplió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3DF29ECC"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En este tenor, en atención a la solicitud de información, las personas servidoras públicas habilitadas manifestaron lo siguiente:</w:t>
      </w:r>
    </w:p>
    <w:tbl>
      <w:tblPr>
        <w:tblStyle w:val="afa"/>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8"/>
      </w:tblGrid>
      <w:tr w:rsidR="00D261D9" w:rsidRPr="004350CF" w14:paraId="453D5E51" w14:textId="77777777">
        <w:tc>
          <w:tcPr>
            <w:tcW w:w="4527" w:type="dxa"/>
            <w:shd w:val="clear" w:color="auto" w:fill="BFBFBF"/>
          </w:tcPr>
          <w:p w14:paraId="1FC2C7E9" w14:textId="77777777" w:rsidR="002F3595" w:rsidRPr="004350CF" w:rsidRDefault="009669C9">
            <w:pPr>
              <w:spacing w:before="120" w:after="120"/>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DIRECCIÓN DE ADMINISTRACIÓN</w:t>
            </w:r>
          </w:p>
        </w:tc>
        <w:tc>
          <w:tcPr>
            <w:tcW w:w="4528" w:type="dxa"/>
            <w:shd w:val="clear" w:color="auto" w:fill="BFBFBF"/>
          </w:tcPr>
          <w:p w14:paraId="0E7BFA48" w14:textId="77777777" w:rsidR="002F3595" w:rsidRPr="004350CF" w:rsidRDefault="009669C9">
            <w:pPr>
              <w:spacing w:before="120" w:after="120"/>
              <w:jc w:val="center"/>
              <w:rPr>
                <w:rFonts w:ascii="Palatino Linotype" w:eastAsia="Palatino Linotype" w:hAnsi="Palatino Linotype" w:cs="Palatino Linotype"/>
                <w:b/>
                <w:sz w:val="20"/>
                <w:szCs w:val="20"/>
              </w:rPr>
            </w:pPr>
            <w:r w:rsidRPr="004350CF">
              <w:rPr>
                <w:rFonts w:ascii="Palatino Linotype" w:eastAsia="Palatino Linotype" w:hAnsi="Palatino Linotype" w:cs="Palatino Linotype"/>
                <w:b/>
                <w:sz w:val="20"/>
                <w:szCs w:val="20"/>
              </w:rPr>
              <w:t>DIRECCIÓN DE OBRAS PÚBLICAS</w:t>
            </w:r>
          </w:p>
        </w:tc>
      </w:tr>
      <w:tr w:rsidR="00D261D9" w:rsidRPr="004350CF" w14:paraId="2E8B18A0" w14:textId="77777777">
        <w:tc>
          <w:tcPr>
            <w:tcW w:w="4527" w:type="dxa"/>
          </w:tcPr>
          <w:p w14:paraId="5E58322D" w14:textId="77777777" w:rsidR="002F3595" w:rsidRPr="004350CF" w:rsidRDefault="009669C9">
            <w:pPr>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sz w:val="20"/>
                <w:szCs w:val="20"/>
              </w:rPr>
              <w:t>La Subdirección de Adquisiciones y Contratación de Servicios manifiesta que no está dentro de sus atribuciones la de entregar montos.</w:t>
            </w:r>
          </w:p>
          <w:p w14:paraId="7889BFA3" w14:textId="77777777" w:rsidR="002F3595" w:rsidRPr="004350CF" w:rsidRDefault="009669C9">
            <w:pPr>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sz w:val="20"/>
                <w:szCs w:val="20"/>
              </w:rPr>
              <w:t xml:space="preserve">No obstante lo anterior y bajo el principio de máxima publicidad, se pronuncia respecto de la información que compete a la Dirección de Administración, considerando las funciones y atribuciones que la ley vigente le otorga; para lo cual declara que la información relativa a los procesos adquisitivos constituye una obligación de transparencia común, publicada en el portal IPOMEX, y, para efectos de la consulta proporcionó tres ligas electrónicas en formato cerrado, así como el procedimiento para acceder a la información desde la página oficial del </w:t>
            </w:r>
            <w:r w:rsidRPr="004350CF">
              <w:rPr>
                <w:rFonts w:ascii="Palatino Linotype" w:eastAsia="Palatino Linotype" w:hAnsi="Palatino Linotype" w:cs="Palatino Linotype"/>
                <w:b/>
                <w:sz w:val="20"/>
                <w:szCs w:val="20"/>
              </w:rPr>
              <w:t xml:space="preserve">Sujeto Obligado, </w:t>
            </w:r>
            <w:r w:rsidRPr="004350CF">
              <w:rPr>
                <w:rFonts w:ascii="Palatino Linotype" w:eastAsia="Palatino Linotype" w:hAnsi="Palatino Linotype" w:cs="Palatino Linotype"/>
                <w:sz w:val="20"/>
                <w:szCs w:val="20"/>
              </w:rPr>
              <w:t>con la finalidad de no escribir todos los símbolos, números y letras que conforman las direcciones electrónicas.</w:t>
            </w:r>
          </w:p>
          <w:p w14:paraId="5789C181" w14:textId="77777777" w:rsidR="002F3595" w:rsidRPr="004350CF" w:rsidRDefault="009669C9">
            <w:pPr>
              <w:spacing w:before="120" w:after="120"/>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sz w:val="20"/>
                <w:szCs w:val="20"/>
              </w:rPr>
              <w:t>Finalmente, precisó que la información correspondiente a las obligaciones de transparencia deberá actualizarse por lo menos cada tres meses.</w:t>
            </w:r>
          </w:p>
        </w:tc>
        <w:tc>
          <w:tcPr>
            <w:tcW w:w="4528" w:type="dxa"/>
          </w:tcPr>
          <w:p w14:paraId="5AD16447" w14:textId="77777777" w:rsidR="002F3595" w:rsidRPr="004350CF" w:rsidRDefault="009669C9">
            <w:pPr>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sz w:val="20"/>
                <w:szCs w:val="20"/>
              </w:rPr>
              <w:t xml:space="preserve">En respuesta a las solicitudes </w:t>
            </w:r>
            <w:r w:rsidRPr="004350CF">
              <w:rPr>
                <w:rFonts w:ascii="Palatino Linotype" w:eastAsia="Palatino Linotype" w:hAnsi="Palatino Linotype" w:cs="Palatino Linotype"/>
                <w:b/>
                <w:sz w:val="20"/>
                <w:szCs w:val="20"/>
              </w:rPr>
              <w:t xml:space="preserve">00193/METEPEC/IP/2025, 00194/METEPEC/IP/2025, 00195/METEPEC/IP/2025 </w:t>
            </w:r>
            <w:r w:rsidRPr="004350CF">
              <w:rPr>
                <w:rFonts w:ascii="Palatino Linotype" w:eastAsia="Palatino Linotype" w:hAnsi="Palatino Linotype" w:cs="Palatino Linotype"/>
                <w:sz w:val="20"/>
                <w:szCs w:val="20"/>
              </w:rPr>
              <w:t xml:space="preserve">y </w:t>
            </w:r>
            <w:r w:rsidRPr="004350CF">
              <w:rPr>
                <w:rFonts w:ascii="Palatino Linotype" w:eastAsia="Palatino Linotype" w:hAnsi="Palatino Linotype" w:cs="Palatino Linotype"/>
                <w:b/>
                <w:sz w:val="20"/>
                <w:szCs w:val="20"/>
              </w:rPr>
              <w:t xml:space="preserve">00196/METEPEC/IP/2025, </w:t>
            </w:r>
            <w:r w:rsidRPr="004350CF">
              <w:rPr>
                <w:rFonts w:ascii="Palatino Linotype" w:eastAsia="Palatino Linotype" w:hAnsi="Palatino Linotype" w:cs="Palatino Linotype"/>
                <w:sz w:val="20"/>
                <w:szCs w:val="20"/>
              </w:rPr>
              <w:t>indicó que la información se encontraba debidamente publicada en el portal IPOMEX, dentro del rubro correspondiente a la fracción XXIX A, denominada “Resultados de procedimientos de licitación pública e invitación a cuando menos tres personas”, y, para efectos de la consulta proporcionó una liga electrónica en formato cerrado.</w:t>
            </w:r>
          </w:p>
          <w:p w14:paraId="2E00DFA5" w14:textId="77777777" w:rsidR="002F3595" w:rsidRPr="004350CF" w:rsidRDefault="002F3595">
            <w:pPr>
              <w:jc w:val="both"/>
              <w:rPr>
                <w:rFonts w:ascii="Palatino Linotype" w:eastAsia="Palatino Linotype" w:hAnsi="Palatino Linotype" w:cs="Palatino Linotype"/>
                <w:sz w:val="20"/>
                <w:szCs w:val="20"/>
              </w:rPr>
            </w:pPr>
          </w:p>
          <w:p w14:paraId="72908D56" w14:textId="77777777" w:rsidR="002F3595" w:rsidRPr="004350CF" w:rsidRDefault="009669C9">
            <w:pPr>
              <w:jc w:val="both"/>
              <w:rPr>
                <w:rFonts w:ascii="Palatino Linotype" w:eastAsia="Palatino Linotype" w:hAnsi="Palatino Linotype" w:cs="Palatino Linotype"/>
                <w:sz w:val="20"/>
                <w:szCs w:val="20"/>
              </w:rPr>
            </w:pPr>
            <w:r w:rsidRPr="004350CF">
              <w:rPr>
                <w:rFonts w:ascii="Palatino Linotype" w:eastAsia="Palatino Linotype" w:hAnsi="Palatino Linotype" w:cs="Palatino Linotype"/>
                <w:sz w:val="20"/>
                <w:szCs w:val="20"/>
              </w:rPr>
              <w:t xml:space="preserve">En el caso de la solicitud </w:t>
            </w:r>
            <w:r w:rsidRPr="004350CF">
              <w:rPr>
                <w:rFonts w:ascii="Palatino Linotype" w:eastAsia="Palatino Linotype" w:hAnsi="Palatino Linotype" w:cs="Palatino Linotype"/>
                <w:b/>
                <w:sz w:val="20"/>
                <w:szCs w:val="20"/>
              </w:rPr>
              <w:t xml:space="preserve">00196/METEPEC/IP/2025, </w:t>
            </w:r>
            <w:r w:rsidRPr="004350CF">
              <w:rPr>
                <w:rFonts w:ascii="Palatino Linotype" w:eastAsia="Palatino Linotype" w:hAnsi="Palatino Linotype" w:cs="Palatino Linotype"/>
                <w:sz w:val="20"/>
                <w:szCs w:val="20"/>
              </w:rPr>
              <w:t>informó que no cuenta con el número y monto entregado a través de licitaciones en lo que va de 2025, toda vez que el Programa Anual de Obra Pública para el ejercicio 2025 fue aprobado en la Décima Tercera Sesión Ordinaria de Cabildo del 28 de marzo de 2025, razón por la cual la información solicitada no se encuentra disponible.</w:t>
            </w:r>
          </w:p>
        </w:tc>
      </w:tr>
    </w:tbl>
    <w:p w14:paraId="293C79AF"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Al no estar conforme con los términos de la respuesta proporcionada la parte </w:t>
      </w:r>
      <w:r w:rsidRPr="004350CF">
        <w:rPr>
          <w:rFonts w:ascii="Palatino Linotype" w:eastAsia="Palatino Linotype" w:hAnsi="Palatino Linotype" w:cs="Palatino Linotype"/>
          <w:b/>
        </w:rPr>
        <w:t xml:space="preserve">Recurrente </w:t>
      </w:r>
      <w:r w:rsidRPr="004350CF">
        <w:rPr>
          <w:rFonts w:ascii="Palatino Linotype" w:eastAsia="Palatino Linotype" w:hAnsi="Palatino Linotype" w:cs="Palatino Linotype"/>
        </w:rPr>
        <w:t>interpuso los recursos de revisión que nos ocupan, donde manifestó en lo medular que no se hizo entrega de la información solicitada.</w:t>
      </w:r>
    </w:p>
    <w:p w14:paraId="1014F3F6"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Durante la etapa de manifestaciones, el </w:t>
      </w:r>
      <w:r w:rsidRPr="004350CF">
        <w:rPr>
          <w:rFonts w:ascii="Palatino Linotype" w:eastAsia="Palatino Linotype" w:hAnsi="Palatino Linotype" w:cs="Palatino Linotype"/>
          <w:b/>
        </w:rPr>
        <w:t xml:space="preserve">Sujeto Obligado, </w:t>
      </w:r>
      <w:r w:rsidRPr="004350CF">
        <w:rPr>
          <w:rFonts w:ascii="Palatino Linotype" w:eastAsia="Palatino Linotype" w:hAnsi="Palatino Linotype" w:cs="Palatino Linotype"/>
        </w:rPr>
        <w:t>por conducto de la Dirección de Administración y la Dirección de Obras Públicas ratificó la respuesta emitida en primera instancia.</w:t>
      </w:r>
    </w:p>
    <w:p w14:paraId="0EDFDF7D"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4350CF">
        <w:rPr>
          <w:rFonts w:ascii="Palatino Linotype" w:eastAsia="Palatino Linotype" w:hAnsi="Palatino Linotype" w:cs="Palatino Linotype"/>
          <w:b/>
        </w:rPr>
        <w:t xml:space="preserve">Sujeto Obligado, </w:t>
      </w:r>
      <w:r w:rsidRPr="004350CF">
        <w:rPr>
          <w:rFonts w:ascii="Palatino Linotype" w:eastAsia="Palatino Linotype" w:hAnsi="Palatino Linotype" w:cs="Palatino Linotype"/>
        </w:rPr>
        <w:t xml:space="preserve">en contraposición con el motivo de inconformidad alegado por la parte </w:t>
      </w:r>
      <w:r w:rsidRPr="004350CF">
        <w:rPr>
          <w:rFonts w:ascii="Palatino Linotype" w:eastAsia="Palatino Linotype" w:hAnsi="Palatino Linotype" w:cs="Palatino Linotype"/>
          <w:b/>
        </w:rPr>
        <w:t xml:space="preserve">Recurrente, </w:t>
      </w:r>
      <w:r w:rsidRPr="004350CF">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3D8D7DF3" w14:textId="77777777" w:rsidR="002F3595" w:rsidRPr="004350CF" w:rsidRDefault="009669C9">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sz w:val="24"/>
          <w:szCs w:val="24"/>
        </w:rPr>
        <w:t xml:space="preserve">En este tenor, es de precisar </w:t>
      </w:r>
      <w:r w:rsidRPr="004350CF">
        <w:rPr>
          <w:rFonts w:ascii="Palatino Linotype" w:eastAsia="Palatino Linotype" w:hAnsi="Palatino Linotype" w:cs="Palatino Linotype"/>
        </w:rPr>
        <w:t xml:space="preserve">el hecho de que los servidores públicos habilitados de la Dirección de Administración y la Dirección de Obras Pública hayan asumido contar con la información pública solicitada, aceptan que el </w:t>
      </w:r>
      <w:r w:rsidRPr="004350CF">
        <w:rPr>
          <w:rFonts w:ascii="Palatino Linotype" w:eastAsia="Palatino Linotype" w:hAnsi="Palatino Linotype" w:cs="Palatino Linotype"/>
          <w:b/>
        </w:rPr>
        <w:t>Sujeto Obligado</w:t>
      </w:r>
      <w:r w:rsidRPr="004350CF">
        <w:rPr>
          <w:rFonts w:ascii="Palatino Linotype" w:eastAsia="Palatino Linotype" w:hAnsi="Palatino Linotype" w:cs="Palatino Linotype"/>
        </w:rPr>
        <w:t xml:space="preserve"> la generó, posee y/o administra, en ejercicio de sus funciones de derecho público, motivo por el cual se actualiza el supuesto previsto en el artículo 12 de la Ley de Transparencia y Acceso a la Información Pública del Estado de México y Municipios, previamente citado.</w:t>
      </w:r>
    </w:p>
    <w:p w14:paraId="7825AE50" w14:textId="77777777" w:rsidR="002F3595" w:rsidRPr="004350CF" w:rsidRDefault="009669C9">
      <w:pPr>
        <w:pBdr>
          <w:top w:val="nil"/>
          <w:left w:val="nil"/>
          <w:bottom w:val="nil"/>
          <w:right w:val="nil"/>
          <w:between w:val="nil"/>
        </w:pBdr>
        <w:spacing w:before="280" w:after="280" w:line="360" w:lineRule="auto"/>
        <w:jc w:val="both"/>
        <w:rPr>
          <w:rFonts w:ascii="Palatino Linotype" w:eastAsia="Palatino Linotype" w:hAnsi="Palatino Linotype" w:cs="Palatino Linotype"/>
          <w:b/>
        </w:rPr>
      </w:pPr>
      <w:r w:rsidRPr="004350CF">
        <w:rPr>
          <w:rFonts w:ascii="Palatino Linotype" w:eastAsia="Palatino Linotype" w:hAnsi="Palatino Linotype" w:cs="Palatino Linotype"/>
        </w:rPr>
        <w:t xml:space="preserve">Atento a lo anterior, recordemos que en atención a las solicitudes, los servidores públicos habilitados proporcionaron diversas direcciones electrónicas para consultar la información en el portal de Información Pública de Oficio Mexiquense, IPOMEX, del </w:t>
      </w:r>
      <w:r w:rsidRPr="004350CF">
        <w:rPr>
          <w:rFonts w:ascii="Palatino Linotype" w:eastAsia="Palatino Linotype" w:hAnsi="Palatino Linotype" w:cs="Palatino Linotype"/>
          <w:b/>
        </w:rPr>
        <w:t>Sujeto Obligado.</w:t>
      </w:r>
    </w:p>
    <w:p w14:paraId="589D2780"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Lo anterior, al advertir que la  información que es del interés de la persona solicitante, corresponde con la obligación de transparencia prevista en el artículo 92, fracción XIX de la Ley de Transparencia y Acceso a la Información Pública del Estado de México y Municipios, la cual dispone que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por tratarse de una obligación de transparencia, que en su parte conducente dispone lo siguiente, a saber: </w:t>
      </w:r>
    </w:p>
    <w:p w14:paraId="20013DD5" w14:textId="77777777" w:rsidR="002F3595" w:rsidRPr="004350CF" w:rsidRDefault="009669C9">
      <w:pPr>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r w:rsidRPr="004350CF">
        <w:rPr>
          <w:rFonts w:ascii="Palatino Linotype" w:eastAsia="Palatino Linotype" w:hAnsi="Palatino Linotype" w:cs="Palatino Linotype"/>
          <w:b/>
          <w:i/>
        </w:rPr>
        <w:t>Artículo 92</w:t>
      </w:r>
      <w:r w:rsidRPr="004350CF">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AADD02B"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p>
    <w:p w14:paraId="2917FFE1"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XXIX.</w:t>
      </w:r>
      <w:r w:rsidRPr="004350CF">
        <w:rPr>
          <w:rFonts w:ascii="Palatino Linotype" w:eastAsia="Palatino Linotype" w:hAnsi="Palatino Linotype" w:cs="Palatino Linotype"/>
          <w:i/>
        </w:rPr>
        <w:t xml:space="preserve"> La </w:t>
      </w:r>
      <w:r w:rsidRPr="004350CF">
        <w:rPr>
          <w:rFonts w:ascii="Palatino Linotype" w:eastAsia="Palatino Linotype" w:hAnsi="Palatino Linotype" w:cs="Palatino Linotype"/>
          <w:b/>
          <w:i/>
        </w:rPr>
        <w:t xml:space="preserve">información sobre los procesos y resultados </w:t>
      </w:r>
      <w:r w:rsidRPr="004350CF">
        <w:rPr>
          <w:rFonts w:ascii="Palatino Linotype" w:eastAsia="Palatino Linotype" w:hAnsi="Palatino Linotype" w:cs="Palatino Linotype"/>
          <w:b/>
          <w:i/>
          <w:u w:val="single"/>
        </w:rPr>
        <w:t>sobre procedimientos de adjudicación directa, invitación restringida y licitación de cualquier naturaleza</w:t>
      </w:r>
      <w:r w:rsidRPr="004350CF">
        <w:rPr>
          <w:rFonts w:ascii="Palatino Linotype" w:eastAsia="Palatino Linotype" w:hAnsi="Palatino Linotype" w:cs="Palatino Linotype"/>
          <w:i/>
          <w:u w:val="single"/>
        </w:rPr>
        <w:t xml:space="preserve">, </w:t>
      </w:r>
      <w:r w:rsidRPr="004350CF">
        <w:rPr>
          <w:rFonts w:ascii="Palatino Linotype" w:eastAsia="Palatino Linotype" w:hAnsi="Palatino Linotype" w:cs="Palatino Linotype"/>
          <w:b/>
          <w:i/>
        </w:rPr>
        <w:t>incluyendo la versión pública</w:t>
      </w:r>
      <w:r w:rsidRPr="004350CF">
        <w:rPr>
          <w:rFonts w:ascii="Palatino Linotype" w:eastAsia="Palatino Linotype" w:hAnsi="Palatino Linotype" w:cs="Palatino Linotype"/>
          <w:i/>
        </w:rPr>
        <w:t xml:space="preserve"> del expediente respectivo y </w:t>
      </w:r>
      <w:r w:rsidRPr="004350CF">
        <w:rPr>
          <w:rFonts w:ascii="Palatino Linotype" w:eastAsia="Palatino Linotype" w:hAnsi="Palatino Linotype" w:cs="Palatino Linotype"/>
          <w:b/>
          <w:i/>
        </w:rPr>
        <w:t>de los contratos celebrados</w:t>
      </w:r>
      <w:r w:rsidRPr="004350CF">
        <w:rPr>
          <w:rFonts w:ascii="Palatino Linotype" w:eastAsia="Palatino Linotype" w:hAnsi="Palatino Linotype" w:cs="Palatino Linotype"/>
          <w:i/>
        </w:rPr>
        <w:t>, que deberán contener, por los menos, lo siguiente:</w:t>
      </w:r>
    </w:p>
    <w:p w14:paraId="18C010B0"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b/>
          <w:i/>
        </w:rPr>
      </w:pPr>
      <w:r w:rsidRPr="004350CF">
        <w:rPr>
          <w:rFonts w:ascii="Palatino Linotype" w:eastAsia="Palatino Linotype" w:hAnsi="Palatino Linotype" w:cs="Palatino Linotype"/>
          <w:b/>
          <w:i/>
        </w:rPr>
        <w:t>a) De licitaciones públicas o procedimientos de invitación restringida:</w:t>
      </w:r>
    </w:p>
    <w:p w14:paraId="1B4D0163"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1)</w:t>
      </w:r>
      <w:r w:rsidRPr="004350CF">
        <w:rPr>
          <w:rFonts w:ascii="Palatino Linotype" w:eastAsia="Palatino Linotype" w:hAnsi="Palatino Linotype" w:cs="Palatino Linotype"/>
          <w:i/>
        </w:rPr>
        <w:t xml:space="preserve"> La convocatoria o invitación emitida, así como los fundamentos legales aplicados para llevarla a cabo;</w:t>
      </w:r>
    </w:p>
    <w:p w14:paraId="743AF772"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2)</w:t>
      </w:r>
      <w:r w:rsidRPr="004350CF">
        <w:rPr>
          <w:rFonts w:ascii="Palatino Linotype" w:eastAsia="Palatino Linotype" w:hAnsi="Palatino Linotype" w:cs="Palatino Linotype"/>
          <w:i/>
        </w:rPr>
        <w:t xml:space="preserve"> Los nombres de los participantes o invitados;</w:t>
      </w:r>
    </w:p>
    <w:p w14:paraId="1533D15E"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3)</w:t>
      </w:r>
      <w:r w:rsidRPr="004350CF">
        <w:rPr>
          <w:rFonts w:ascii="Palatino Linotype" w:eastAsia="Palatino Linotype" w:hAnsi="Palatino Linotype" w:cs="Palatino Linotype"/>
          <w:i/>
        </w:rPr>
        <w:t xml:space="preserve"> El nombre del ganador y las razones que lo justifican;</w:t>
      </w:r>
    </w:p>
    <w:p w14:paraId="7FF3CDD9"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4)</w:t>
      </w:r>
      <w:r w:rsidRPr="004350CF">
        <w:rPr>
          <w:rFonts w:ascii="Palatino Linotype" w:eastAsia="Palatino Linotype" w:hAnsi="Palatino Linotype" w:cs="Palatino Linotype"/>
          <w:i/>
        </w:rPr>
        <w:t xml:space="preserve"> El área solicitante y la responsable de su ejecución;</w:t>
      </w:r>
    </w:p>
    <w:p w14:paraId="472D01B5"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5)</w:t>
      </w:r>
      <w:r w:rsidRPr="004350CF">
        <w:rPr>
          <w:rFonts w:ascii="Palatino Linotype" w:eastAsia="Palatino Linotype" w:hAnsi="Palatino Linotype" w:cs="Palatino Linotype"/>
          <w:i/>
        </w:rPr>
        <w:t xml:space="preserve"> Las convocatorias e invitaciones emitidas; </w:t>
      </w:r>
    </w:p>
    <w:p w14:paraId="24A74A9B"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6)</w:t>
      </w:r>
      <w:r w:rsidRPr="004350CF">
        <w:rPr>
          <w:rFonts w:ascii="Palatino Linotype" w:eastAsia="Palatino Linotype" w:hAnsi="Palatino Linotype" w:cs="Palatino Linotype"/>
          <w:i/>
        </w:rPr>
        <w:t xml:space="preserve"> Los dictámenes y fallo de adjudicación;</w:t>
      </w:r>
    </w:p>
    <w:p w14:paraId="40E5EB95"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b/>
          <w:i/>
        </w:rPr>
      </w:pPr>
      <w:r w:rsidRPr="004350CF">
        <w:rPr>
          <w:rFonts w:ascii="Palatino Linotype" w:eastAsia="Palatino Linotype" w:hAnsi="Palatino Linotype" w:cs="Palatino Linotype"/>
          <w:b/>
          <w:i/>
        </w:rPr>
        <w:t xml:space="preserve">7) El contrato y, en su caso, sus anexos; </w:t>
      </w:r>
    </w:p>
    <w:p w14:paraId="4F8B93B6"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8)</w:t>
      </w:r>
      <w:r w:rsidRPr="004350CF">
        <w:rPr>
          <w:rFonts w:ascii="Palatino Linotype" w:eastAsia="Palatino Linotype" w:hAnsi="Palatino Linotype" w:cs="Palatino Linotype"/>
          <w:i/>
        </w:rPr>
        <w:t xml:space="preserve"> Los mecanismos de vigilancia y supervisión, incluyendo en su caso, los estudios de impacto urbano y ambiental, según corresponda;</w:t>
      </w:r>
    </w:p>
    <w:p w14:paraId="38AE8C21"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9)</w:t>
      </w:r>
      <w:r w:rsidRPr="004350CF">
        <w:rPr>
          <w:rFonts w:ascii="Palatino Linotype" w:eastAsia="Palatino Linotype" w:hAnsi="Palatino Linotype" w:cs="Palatino Linotype"/>
          <w:i/>
        </w:rPr>
        <w:t xml:space="preserve"> La partida presupuestal, de conformidad con el clasificador por objeto del gasto, en el caso de ser aplicable; </w:t>
      </w:r>
    </w:p>
    <w:p w14:paraId="1B428DC1"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10)</w:t>
      </w:r>
      <w:r w:rsidRPr="004350CF">
        <w:rPr>
          <w:rFonts w:ascii="Palatino Linotype" w:eastAsia="Palatino Linotype" w:hAnsi="Palatino Linotype" w:cs="Palatino Linotype"/>
          <w:i/>
        </w:rPr>
        <w:t xml:space="preserve"> Origen de los recursos especificando si son federales, estatales o municipales, así como el tipo de fondo de participación o aportación respectiva;</w:t>
      </w:r>
    </w:p>
    <w:p w14:paraId="6344EEB1"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11)</w:t>
      </w:r>
      <w:r w:rsidRPr="004350CF">
        <w:rPr>
          <w:rFonts w:ascii="Palatino Linotype" w:eastAsia="Palatino Linotype" w:hAnsi="Palatino Linotype" w:cs="Palatino Linotype"/>
          <w:i/>
        </w:rPr>
        <w:t xml:space="preserve"> Los convenios modificatorios que, en su caso, sean firmados, precisando el objeto y la fecha de celebración;</w:t>
      </w:r>
    </w:p>
    <w:p w14:paraId="6685E460"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12)</w:t>
      </w:r>
      <w:r w:rsidRPr="004350CF">
        <w:rPr>
          <w:rFonts w:ascii="Palatino Linotype" w:eastAsia="Palatino Linotype" w:hAnsi="Palatino Linotype" w:cs="Palatino Linotype"/>
          <w:i/>
        </w:rPr>
        <w:t xml:space="preserve"> Los informes de avance físico y financiero sobre las obras o servicios contratados; </w:t>
      </w:r>
    </w:p>
    <w:p w14:paraId="39971C2E"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13)</w:t>
      </w:r>
      <w:r w:rsidRPr="004350CF">
        <w:rPr>
          <w:rFonts w:ascii="Palatino Linotype" w:eastAsia="Palatino Linotype" w:hAnsi="Palatino Linotype" w:cs="Palatino Linotype"/>
          <w:i/>
        </w:rPr>
        <w:t xml:space="preserve"> El convenio de terminación; </w:t>
      </w:r>
    </w:p>
    <w:p w14:paraId="7520DA5D" w14:textId="77777777" w:rsidR="002F3595" w:rsidRPr="004350CF" w:rsidRDefault="009669C9">
      <w:pPr>
        <w:tabs>
          <w:tab w:val="left" w:pos="42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14)</w:t>
      </w:r>
      <w:r w:rsidRPr="004350CF">
        <w:rPr>
          <w:rFonts w:ascii="Palatino Linotype" w:eastAsia="Palatino Linotype" w:hAnsi="Palatino Linotype" w:cs="Palatino Linotype"/>
          <w:i/>
        </w:rPr>
        <w:t xml:space="preserve"> El finiquito.</w:t>
      </w:r>
    </w:p>
    <w:p w14:paraId="086610D5"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4EA07659" w14:textId="77777777" w:rsidR="002F3595" w:rsidRPr="004350CF" w:rsidRDefault="009669C9">
      <w:pPr>
        <w:tabs>
          <w:tab w:val="left" w:pos="709"/>
        </w:tabs>
        <w:spacing w:before="240" w:after="240" w:line="360" w:lineRule="auto"/>
        <w:ind w:left="284"/>
        <w:jc w:val="both"/>
        <w:rPr>
          <w:rFonts w:ascii="Palatino Linotype" w:eastAsia="Palatino Linotype" w:hAnsi="Palatino Linotype" w:cs="Palatino Linotype"/>
        </w:rPr>
      </w:pPr>
      <w:r w:rsidRPr="004350CF">
        <w:rPr>
          <w:rFonts w:ascii="Palatino Linotype" w:eastAsia="Palatino Linotype" w:hAnsi="Palatino Linotype" w:cs="Palatino Linotype"/>
        </w:rPr>
        <w:t>●</w:t>
      </w:r>
      <w:r w:rsidRPr="004350CF">
        <w:rPr>
          <w:rFonts w:ascii="Palatino Linotype" w:eastAsia="Palatino Linotype" w:hAnsi="Palatino Linotype" w:cs="Palatino Linotype"/>
          <w:sz w:val="16"/>
          <w:szCs w:val="16"/>
        </w:rPr>
        <w:t xml:space="preserve">        </w:t>
      </w:r>
      <w:r w:rsidRPr="004350CF">
        <w:rPr>
          <w:rFonts w:ascii="Palatino Linotype" w:eastAsia="Palatino Linotype" w:hAnsi="Palatino Linotype" w:cs="Palatino Linotype"/>
          <w:b/>
        </w:rPr>
        <w:t xml:space="preserve">Licitación pública: </w:t>
      </w:r>
      <w:r w:rsidRPr="004350CF">
        <w:rPr>
          <w:rFonts w:ascii="Palatino Linotype" w:eastAsia="Palatino Linotype" w:hAnsi="Palatino Linotype" w:cs="Palatino Linotype"/>
        </w:rPr>
        <w:t xml:space="preserve">convocatoria y fundamentos legales aplicables para llevarla a cabo, nombre de los participantes, nombre del ganador y razones, área solicitante y responsable de su ejecución, convocatorias emitidas, dictámenes y fallo de adjudicación, </w:t>
      </w:r>
      <w:r w:rsidRPr="004350CF">
        <w:rPr>
          <w:rFonts w:ascii="Palatino Linotype" w:eastAsia="Palatino Linotype" w:hAnsi="Palatino Linotype" w:cs="Palatino Linotype"/>
          <w:b/>
          <w:u w:val="single"/>
        </w:rPr>
        <w:t>contrato</w:t>
      </w:r>
      <w:r w:rsidRPr="004350CF">
        <w:rPr>
          <w:rFonts w:ascii="Palatino Linotype" w:eastAsia="Palatino Linotype" w:hAnsi="Palatino Linotype" w:cs="Palatino Linotype"/>
        </w:rPr>
        <w:t xml:space="preserve">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7CE90C4B" w14:textId="77777777" w:rsidR="002F3595" w:rsidRPr="004350CF" w:rsidRDefault="009669C9">
      <w:pPr>
        <w:spacing w:before="240" w:after="240" w:line="360" w:lineRule="auto"/>
        <w:ind w:right="51"/>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señalada los sujetos obligados deben publicar información sobre los actos, contratos y convenios celebrados, misma que </w:t>
      </w:r>
      <w:r w:rsidRPr="004350CF">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4350CF">
        <w:rPr>
          <w:rFonts w:ascii="Palatino Linotype" w:eastAsia="Palatino Linotype" w:hAnsi="Palatino Linotype" w:cs="Palatino Linotype"/>
        </w:rPr>
        <w:t xml:space="preserve"> </w:t>
      </w:r>
      <w:r w:rsidRPr="004350CF">
        <w:rPr>
          <w:rFonts w:ascii="Palatino Linotype" w:eastAsia="Palatino Linotype" w:hAnsi="Palatino Linotype" w:cs="Palatino Linotype"/>
          <w:b/>
        </w:rPr>
        <w:t xml:space="preserve">especificando para cada tipo de procedimiento la materia, </w:t>
      </w:r>
      <w:r w:rsidRPr="004350CF">
        <w:rPr>
          <w:rFonts w:ascii="Palatino Linotype" w:eastAsia="Palatino Linotype" w:hAnsi="Palatino Linotype" w:cs="Palatino Linotype"/>
        </w:rPr>
        <w:t>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1389A2E4"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Por otro lado, debemos traer a colación el artículo 161 de la Ley de Transparencia y Acceso a la Información Pública del Estado de México y Municipios</w:t>
      </w:r>
      <w:r w:rsidRPr="004350CF">
        <w:rPr>
          <w:rFonts w:ascii="Palatino Linotype" w:eastAsia="Palatino Linotype" w:hAnsi="Palatino Linotype" w:cs="Palatino Linotype"/>
          <w:i/>
        </w:rPr>
        <w:t xml:space="preserve">, </w:t>
      </w:r>
      <w:r w:rsidRPr="004350CF">
        <w:rPr>
          <w:rFonts w:ascii="Palatino Linotype" w:eastAsia="Palatino Linotype" w:hAnsi="Palatino Linotype" w:cs="Palatino Linotype"/>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23AD23B" w14:textId="77777777" w:rsidR="002F3595" w:rsidRPr="004350CF" w:rsidRDefault="009669C9">
      <w:pPr>
        <w:spacing w:before="120" w:after="120" w:line="276" w:lineRule="auto"/>
        <w:ind w:left="284" w:right="51"/>
        <w:jc w:val="both"/>
        <w:rPr>
          <w:rFonts w:ascii="Palatino Linotype" w:eastAsia="Palatino Linotype" w:hAnsi="Palatino Linotype" w:cs="Palatino Linotype"/>
        </w:rPr>
      </w:pPr>
      <w:r w:rsidRPr="004350CF">
        <w:rPr>
          <w:rFonts w:ascii="Palatino Linotype" w:eastAsia="Palatino Linotype" w:hAnsi="Palatino Linotype" w:cs="Palatino Linotype"/>
        </w:rPr>
        <w:t>a) La fuente</w:t>
      </w:r>
    </w:p>
    <w:p w14:paraId="459FED43" w14:textId="77777777" w:rsidR="002F3595" w:rsidRPr="004350CF" w:rsidRDefault="009669C9">
      <w:pPr>
        <w:spacing w:before="120" w:after="120" w:line="276" w:lineRule="auto"/>
        <w:ind w:left="284" w:right="51"/>
        <w:jc w:val="both"/>
        <w:rPr>
          <w:rFonts w:ascii="Palatino Linotype" w:eastAsia="Palatino Linotype" w:hAnsi="Palatino Linotype" w:cs="Palatino Linotype"/>
        </w:rPr>
      </w:pPr>
      <w:r w:rsidRPr="004350CF">
        <w:rPr>
          <w:rFonts w:ascii="Palatino Linotype" w:eastAsia="Palatino Linotype" w:hAnsi="Palatino Linotype" w:cs="Palatino Linotype"/>
        </w:rPr>
        <w:t>b) El lugar y</w:t>
      </w:r>
    </w:p>
    <w:p w14:paraId="235DF64A" w14:textId="77777777" w:rsidR="002F3595" w:rsidRPr="004350CF" w:rsidRDefault="009669C9">
      <w:pPr>
        <w:spacing w:before="120" w:after="120" w:line="276" w:lineRule="auto"/>
        <w:ind w:left="284" w:right="51"/>
        <w:jc w:val="both"/>
        <w:rPr>
          <w:rFonts w:ascii="Palatino Linotype" w:eastAsia="Palatino Linotype" w:hAnsi="Palatino Linotype" w:cs="Palatino Linotype"/>
        </w:rPr>
      </w:pPr>
      <w:r w:rsidRPr="004350CF">
        <w:rPr>
          <w:rFonts w:ascii="Palatino Linotype" w:eastAsia="Palatino Linotype" w:hAnsi="Palatino Linotype" w:cs="Palatino Linotype"/>
        </w:rPr>
        <w:t>c) La forma</w:t>
      </w:r>
    </w:p>
    <w:p w14:paraId="66BE2B47"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rPr>
        <w:t>Asimismo, se establece que la fuente de la información deberá ser:</w:t>
      </w:r>
    </w:p>
    <w:p w14:paraId="288F3E0D" w14:textId="77777777" w:rsidR="002F3595" w:rsidRPr="004350CF" w:rsidRDefault="009669C9">
      <w:pPr>
        <w:spacing w:before="120" w:after="120" w:line="276" w:lineRule="auto"/>
        <w:ind w:left="284" w:right="51"/>
        <w:jc w:val="both"/>
        <w:rPr>
          <w:rFonts w:ascii="Palatino Linotype" w:eastAsia="Palatino Linotype" w:hAnsi="Palatino Linotype" w:cs="Palatino Linotype"/>
        </w:rPr>
      </w:pPr>
      <w:r w:rsidRPr="004350CF">
        <w:rPr>
          <w:rFonts w:ascii="Palatino Linotype" w:eastAsia="Palatino Linotype" w:hAnsi="Palatino Linotype" w:cs="Palatino Linotype"/>
        </w:rPr>
        <w:t>a) Precisa</w:t>
      </w:r>
    </w:p>
    <w:p w14:paraId="1A4C4AD9" w14:textId="77777777" w:rsidR="002F3595" w:rsidRPr="004350CF" w:rsidRDefault="009669C9">
      <w:pPr>
        <w:spacing w:before="120" w:after="120" w:line="276" w:lineRule="auto"/>
        <w:ind w:left="284" w:right="51"/>
        <w:jc w:val="both"/>
        <w:rPr>
          <w:rFonts w:ascii="Palatino Linotype" w:eastAsia="Palatino Linotype" w:hAnsi="Palatino Linotype" w:cs="Palatino Linotype"/>
        </w:rPr>
      </w:pPr>
      <w:r w:rsidRPr="004350CF">
        <w:rPr>
          <w:rFonts w:ascii="Palatino Linotype" w:eastAsia="Palatino Linotype" w:hAnsi="Palatino Linotype" w:cs="Palatino Linotype"/>
        </w:rPr>
        <w:t>b) Concreta</w:t>
      </w:r>
    </w:p>
    <w:p w14:paraId="7BE01D4D" w14:textId="77777777" w:rsidR="002F3595" w:rsidRPr="004350CF" w:rsidRDefault="009669C9">
      <w:pPr>
        <w:spacing w:before="120" w:after="120" w:line="276" w:lineRule="auto"/>
        <w:ind w:left="284" w:right="51"/>
        <w:jc w:val="both"/>
        <w:rPr>
          <w:rFonts w:ascii="Palatino Linotype" w:eastAsia="Palatino Linotype" w:hAnsi="Palatino Linotype" w:cs="Palatino Linotype"/>
        </w:rPr>
      </w:pPr>
      <w:r w:rsidRPr="004350CF">
        <w:rPr>
          <w:rFonts w:ascii="Palatino Linotype" w:eastAsia="Palatino Linotype" w:hAnsi="Palatino Linotype" w:cs="Palatino Linotype"/>
        </w:rPr>
        <w:t>c) Y no debe implicar que el solicitante realice una búsqueda en toda la información que se encuentre disponible.</w:t>
      </w:r>
    </w:p>
    <w:p w14:paraId="5FD11532"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rPr>
        <w:t>Imperativos legales que establecen el procedimiento que deben seguir los Sujetos Obligados para que pueda tomarse como válida su orientación sobre la forma en que puede consultar la información requerida.</w:t>
      </w:r>
    </w:p>
    <w:p w14:paraId="732713AD" w14:textId="77777777" w:rsidR="002F3595" w:rsidRPr="004350CF" w:rsidRDefault="009669C9">
      <w:pPr>
        <w:spacing w:before="240" w:after="240" w:line="360" w:lineRule="auto"/>
        <w:ind w:right="49"/>
        <w:jc w:val="both"/>
        <w:rPr>
          <w:rFonts w:ascii="Palatino Linotype" w:eastAsia="Palatino Linotype" w:hAnsi="Palatino Linotype" w:cs="Palatino Linotype"/>
        </w:rPr>
      </w:pPr>
      <w:bookmarkStart w:id="4" w:name="_heading=h.xco54zdq6th4" w:colFirst="0" w:colLast="0"/>
      <w:bookmarkEnd w:id="4"/>
      <w:r w:rsidRPr="004350CF">
        <w:rPr>
          <w:rFonts w:ascii="Palatino Linotype" w:eastAsia="Palatino Linotype" w:hAnsi="Palatino Linotype" w:cs="Palatino Linotype"/>
        </w:rPr>
        <w:t xml:space="preserve">En el caso particular, los servidores públicos hicieron entrega de diversas direcciones electrónicas a través de un documento digitalizado en formato cerrado que al no permite editar, modificar o procesar su contenido, es decir, no permite la reutilización de la información o la interoperabilidad de la misma, requiere que la liga electrónica sea capturada carácter por carácter, tarea que se dificulta en gran medida ya que al componerse de diversos caracteres, esto es, letras, números, signos, espacios, etcétera, existe una gran probabilidad de cometer errores en la captura, lo cual implicaría invariablemente la imposibilidad de acceder a la información, por lo que se le insta 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w:t>
      </w:r>
      <w:r w:rsidRPr="004350CF">
        <w:rPr>
          <w:rFonts w:ascii="Palatino Linotype" w:eastAsia="Palatino Linotype" w:hAnsi="Palatino Linotype" w:cs="Palatino Linotype"/>
          <w:b/>
          <w:u w:val="single"/>
        </w:rPr>
        <w:t>preferentemente a través de enlaces o hipervínculos, que permitan la conexión directa a la página o sitio en el que se aloja la información, al dar clic al mismo</w:t>
      </w:r>
      <w:r w:rsidRPr="004350CF">
        <w:rPr>
          <w:rFonts w:ascii="Palatino Linotype" w:eastAsia="Palatino Linotype" w:hAnsi="Palatino Linotype" w:cs="Palatino Linotype"/>
        </w:rPr>
        <w:t>, con la finalidad de asegurar el acceso a la información que es de su interés.</w:t>
      </w:r>
    </w:p>
    <w:p w14:paraId="3D2ABEFF"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Sin embargo, toda vez que la Dirección de Administración hizo referencia al procedimiento para consultar la información a través de la página oficial del </w:t>
      </w:r>
      <w:r w:rsidRPr="004350CF">
        <w:rPr>
          <w:rFonts w:ascii="Palatino Linotype" w:eastAsia="Palatino Linotype" w:hAnsi="Palatino Linotype" w:cs="Palatino Linotype"/>
          <w:b/>
        </w:rPr>
        <w:t>Sujeto Obligado</w:t>
      </w:r>
      <w:r w:rsidRPr="004350CF">
        <w:rPr>
          <w:rFonts w:ascii="Palatino Linotype" w:eastAsia="Palatino Linotype" w:hAnsi="Palatino Linotype" w:cs="Palatino Linotype"/>
        </w:rPr>
        <w:t>, con la finalidad de no estar en la necesidad de escribir todos los símbolos, números y letras, que componen las direcciones electrónicas, como a continuación se ilustra para mejor referencia:</w:t>
      </w:r>
    </w:p>
    <w:p w14:paraId="2BEE0CE3"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noProof/>
        </w:rPr>
        <w:drawing>
          <wp:inline distT="0" distB="0" distL="0" distR="0" wp14:anchorId="2E2CAE07" wp14:editId="031D218E">
            <wp:extent cx="5756275" cy="3303905"/>
            <wp:effectExtent l="0" t="0" r="0" b="0"/>
            <wp:docPr id="21431081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56275" cy="3303905"/>
                    </a:xfrm>
                    <a:prstGeom prst="rect">
                      <a:avLst/>
                    </a:prstGeom>
                    <a:ln/>
                  </pic:spPr>
                </pic:pic>
              </a:graphicData>
            </a:graphic>
          </wp:inline>
        </w:drawing>
      </w:r>
    </w:p>
    <w:p w14:paraId="6671288B" w14:textId="035BF749"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rPr>
        <w:t>Razón por la cual</w:t>
      </w:r>
      <w:r w:rsidR="00C751FC" w:rsidRPr="004350CF">
        <w:rPr>
          <w:rFonts w:ascii="Palatino Linotype" w:eastAsia="Palatino Linotype" w:hAnsi="Palatino Linotype" w:cs="Palatino Linotype"/>
        </w:rPr>
        <w:t xml:space="preserve"> </w:t>
      </w:r>
      <w:r w:rsidRPr="004350CF">
        <w:rPr>
          <w:rFonts w:ascii="Palatino Linotype" w:eastAsia="Palatino Linotype" w:hAnsi="Palatino Linotype" w:cs="Palatino Linotype"/>
        </w:rPr>
        <w:t>se procedió a realizar la consulta de la información, obteniendo como resultado lo siguiente:</w:t>
      </w:r>
      <w:r w:rsidRPr="004350CF">
        <w:rPr>
          <w:noProof/>
        </w:rPr>
        <mc:AlternateContent>
          <mc:Choice Requires="wps">
            <w:drawing>
              <wp:anchor distT="0" distB="0" distL="114300" distR="114300" simplePos="0" relativeHeight="251658240" behindDoc="0" locked="0" layoutInCell="1" hidden="0" allowOverlap="1" wp14:anchorId="0F9D045A" wp14:editId="15BCBA48">
                <wp:simplePos x="0" y="0"/>
                <wp:positionH relativeFrom="column">
                  <wp:posOffset>415290</wp:posOffset>
                </wp:positionH>
                <wp:positionV relativeFrom="paragraph">
                  <wp:posOffset>679450</wp:posOffset>
                </wp:positionV>
                <wp:extent cx="1933575" cy="238125"/>
                <wp:effectExtent l="0" t="0" r="0" b="0"/>
                <wp:wrapNone/>
                <wp:docPr id="2143108179" name="Rectángulo 2143108179"/>
                <wp:cNvGraphicFramePr/>
                <a:graphic xmlns:a="http://schemas.openxmlformats.org/drawingml/2006/main">
                  <a:graphicData uri="http://schemas.microsoft.com/office/word/2010/wordprocessingShape">
                    <wps:wsp>
                      <wps:cNvSpPr/>
                      <wps:spPr>
                        <a:xfrm>
                          <a:off x="4398263" y="3679988"/>
                          <a:ext cx="1895475" cy="200025"/>
                        </a:xfrm>
                        <a:prstGeom prst="rect">
                          <a:avLst/>
                        </a:prstGeom>
                        <a:noFill/>
                        <a:ln w="38100" cap="flat" cmpd="sng">
                          <a:solidFill>
                            <a:srgbClr val="C00000"/>
                          </a:solidFill>
                          <a:prstDash val="solid"/>
                          <a:miter lim="800000"/>
                          <a:headEnd type="none" w="sm" len="sm"/>
                          <a:tailEnd type="none" w="sm" len="sm"/>
                        </a:ln>
                      </wps:spPr>
                      <wps:txbx>
                        <w:txbxContent>
                          <w:p w14:paraId="4B9E26D3" w14:textId="77777777" w:rsidR="002F3595" w:rsidRDefault="002F359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F9D045A" id="Rectángulo 2143108179" o:spid="_x0000_s1026" style="position:absolute;left:0;text-align:left;margin-left:32.7pt;margin-top:53.5pt;width:152.25pt;height:1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F/FgIAACUEAAAOAAAAZHJzL2Uyb0RvYy54bWysU12v0zAMfUfiP0R5Z233dbtp3RXaGEK6&#10;gkkXfoCXpmukfJFka/fvcdKxDXhAQrykduPYx8fHq+deSXLmzgujK1qMckq4ZqYW+ljRb19370pK&#10;fABdgzSaV/TCPX1ev32z6uySj01rZM0dwSTaLztb0TYEu8wyz1quwI+M5RovG+MUBHTdMasddJhd&#10;yWyc5/OsM662zjDuPf7dDpd0nfI3DWfhS9N4HoisKGIL6XTpPMQzW69geXRgW8GuMOAfUCgQGove&#10;Um0hADk58UcqJZgz3jRhxIzKTNMIxlMP2E2R/9bNawuWp16QHG9vNPn/l5Z9Pr/avUMaOuuXHs3Y&#10;Rd84Fb+Ij/QVnU4W5Xg+oeRS0cn8abEoy4E43gfCMKAoF7Pp04wShhE4lnw8iwHZPZN1PnzkRpFo&#10;VNThYBJfcH7xYQj9GRILa7MTUqbhSE06LFsWOc6PAWqkkRDQVLauqNfHlMcbKer4Jr727njYSEfO&#10;gFPfIBx8OtT4JSwW3IJvh7h0NbSlREBRSqEqWt5ew7LlUH/QNQkXi0rWqGcaoXlFieSofjQS4gBC&#10;/j0OyZEaObrzHq3QH3pMEs2DqS97R7xlO4FIX8CHPThUZ4FlUbFY8PsJHIKQnzRKYlFMkXYSHh33&#10;6BweHdCsNbgILDhKBmcT0mIM/L8/BdOINJo7mCtc1GIa7nVvotgf/RR13+71DwAAAP//AwBQSwME&#10;FAAGAAgAAAAhALBXSRDgAAAACgEAAA8AAABkcnMvZG93bnJldi54bWxMj8tOwzAQRfdI/IM1SGwq&#10;6hSSQEKcqipCAnYUJGDnxtMkqh+R7aTh7xlWsJw7R/dRrWej2YQ+9M4KWC0TYGgbp3rbCnh/e7y6&#10;AxaitEpqZ1HANwZY1+dnlSyVO9lXnHaxZWRiQykFdDEOJeeh6dDIsHQDWvodnDcy0ulbrrw8kbnR&#10;/DpJcm5kbymhkwNuO2yOu9EI2B7Hp/ARVw8vm+mzyPTi2S8OX0JcXsybe2AR5/gHw299qg41ddq7&#10;0arAtIA8S4kkPbmlTQTc5EUBbE9KmmbA64r/n1D/AAAA//8DAFBLAQItABQABgAIAAAAIQC2gziS&#10;/gAAAOEBAAATAAAAAAAAAAAAAAAAAAAAAABbQ29udGVudF9UeXBlc10ueG1sUEsBAi0AFAAGAAgA&#10;AAAhADj9If/WAAAAlAEAAAsAAAAAAAAAAAAAAAAALwEAAF9yZWxzLy5yZWxzUEsBAi0AFAAGAAgA&#10;AAAhAAAFQX8WAgAAJQQAAA4AAAAAAAAAAAAAAAAALgIAAGRycy9lMm9Eb2MueG1sUEsBAi0AFAAG&#10;AAgAAAAhALBXSRDgAAAACgEAAA8AAAAAAAAAAAAAAAAAcAQAAGRycy9kb3ducmV2LnhtbFBLBQYA&#10;AAAABAAEAPMAAAB9BQAAAAA=&#10;" filled="f" strokecolor="#c00000" strokeweight="3pt">
                <v:stroke startarrowwidth="narrow" startarrowlength="short" endarrowwidth="narrow" endarrowlength="short"/>
                <v:textbox inset="2.53958mm,2.53958mm,2.53958mm,2.53958mm">
                  <w:txbxContent>
                    <w:p w14:paraId="4B9E26D3" w14:textId="77777777" w:rsidR="002F3595" w:rsidRDefault="002F3595">
                      <w:pPr>
                        <w:spacing w:after="0" w:line="240" w:lineRule="auto"/>
                        <w:textDirection w:val="btLr"/>
                      </w:pPr>
                    </w:p>
                  </w:txbxContent>
                </v:textbox>
              </v:rect>
            </w:pict>
          </mc:Fallback>
        </mc:AlternateContent>
      </w:r>
    </w:p>
    <w:p w14:paraId="1E2D52A9" w14:textId="77777777" w:rsidR="002F3595" w:rsidRPr="004350CF" w:rsidRDefault="009669C9">
      <w:pPr>
        <w:spacing w:before="240" w:after="240" w:line="360" w:lineRule="auto"/>
        <w:ind w:right="49"/>
        <w:jc w:val="center"/>
        <w:rPr>
          <w:rFonts w:ascii="Palatino Linotype" w:eastAsia="Palatino Linotype" w:hAnsi="Palatino Linotype" w:cs="Palatino Linotype"/>
        </w:rPr>
      </w:pPr>
      <w:r w:rsidRPr="004350CF">
        <w:rPr>
          <w:rFonts w:ascii="Palatino Linotype" w:eastAsia="Palatino Linotype" w:hAnsi="Palatino Linotype" w:cs="Palatino Linotype"/>
          <w:noProof/>
        </w:rPr>
        <w:drawing>
          <wp:inline distT="0" distB="0" distL="0" distR="0" wp14:anchorId="04430E83" wp14:editId="1B906D77">
            <wp:extent cx="4680000" cy="2703969"/>
            <wp:effectExtent l="0" t="0" r="0" b="0"/>
            <wp:docPr id="21431081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b="21641"/>
                    <a:stretch>
                      <a:fillRect/>
                    </a:stretch>
                  </pic:blipFill>
                  <pic:spPr>
                    <a:xfrm>
                      <a:off x="0" y="0"/>
                      <a:ext cx="4680000" cy="2703969"/>
                    </a:xfrm>
                    <a:prstGeom prst="rect">
                      <a:avLst/>
                    </a:prstGeom>
                    <a:ln/>
                  </pic:spPr>
                </pic:pic>
              </a:graphicData>
            </a:graphic>
          </wp:inline>
        </w:drawing>
      </w:r>
    </w:p>
    <w:p w14:paraId="4BC8E207" w14:textId="77777777" w:rsidR="002F3595" w:rsidRPr="004350CF" w:rsidRDefault="009669C9">
      <w:pPr>
        <w:spacing w:before="240" w:after="240" w:line="360" w:lineRule="auto"/>
        <w:ind w:right="49"/>
        <w:rPr>
          <w:rFonts w:ascii="Palatino Linotype" w:eastAsia="Palatino Linotype" w:hAnsi="Palatino Linotype" w:cs="Palatino Linotype"/>
        </w:rPr>
      </w:pPr>
      <w:r w:rsidRPr="004350CF">
        <w:rPr>
          <w:rFonts w:ascii="Palatino Linotype" w:eastAsia="Palatino Linotype" w:hAnsi="Palatino Linotype" w:cs="Palatino Linotype"/>
        </w:rPr>
        <w:t>Al final de la página se observa lo siguiente:</w:t>
      </w:r>
      <w:r w:rsidRPr="004350CF">
        <w:t xml:space="preserve"> </w:t>
      </w:r>
      <w:r w:rsidRPr="004350CF">
        <w:rPr>
          <w:rFonts w:ascii="Palatino Linotype" w:eastAsia="Palatino Linotype" w:hAnsi="Palatino Linotype" w:cs="Palatino Linotype"/>
          <w:noProof/>
        </w:rPr>
        <w:drawing>
          <wp:inline distT="0" distB="0" distL="0" distR="0" wp14:anchorId="0EC438B6" wp14:editId="18C066BA">
            <wp:extent cx="5756275" cy="2172335"/>
            <wp:effectExtent l="0" t="0" r="0" b="0"/>
            <wp:docPr id="21431081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56275" cy="2172335"/>
                    </a:xfrm>
                    <a:prstGeom prst="rect">
                      <a:avLst/>
                    </a:prstGeom>
                    <a:ln/>
                  </pic:spPr>
                </pic:pic>
              </a:graphicData>
            </a:graphic>
          </wp:inline>
        </w:drawing>
      </w:r>
    </w:p>
    <w:p w14:paraId="74940F11"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rPr>
        <w:t>Como se logra vislumbrar, al día en el que se resuelve la página oficial del Ayuntamiento se ha actualizado, por lo que no se advierten los hipervínculos que menciona denominados: “IPOMEX” e “INFOEM”.</w:t>
      </w:r>
    </w:p>
    <w:p w14:paraId="6F12E7EC"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A pesar de lo anterior, es de señalar que la orientación proporcionada por el </w:t>
      </w:r>
      <w:r w:rsidRPr="004350CF">
        <w:rPr>
          <w:rFonts w:ascii="Palatino Linotype" w:eastAsia="Palatino Linotype" w:hAnsi="Palatino Linotype" w:cs="Palatino Linotype"/>
          <w:b/>
        </w:rPr>
        <w:t xml:space="preserve">Sujeto Obligado </w:t>
      </w:r>
      <w:r w:rsidRPr="004350CF">
        <w:rPr>
          <w:rFonts w:ascii="Palatino Linotype" w:eastAsia="Palatino Linotype" w:hAnsi="Palatino Linotype" w:cs="Palatino Linotype"/>
        </w:rPr>
        <w:t xml:space="preserve">no cumple con los elementos que señala el artículo 161 de la Ley de la materia previamente citado, ya que si bien se indicó que en los hipervínculos referidos se localizaba la información de los ejercicios 2023 y anteriores, y a partir de 2024, respectivamente, asimismo, se precisó que una vez que se hubiera accedido a dichos hipervínculos se debía localizar la fracción referida, es decir, la fracción XXIX, inciso A del artículo 92, en donde se encuentra publicada la información solicitada, </w:t>
      </w:r>
      <w:r w:rsidRPr="004350CF">
        <w:rPr>
          <w:rFonts w:ascii="Palatino Linotype" w:eastAsia="Palatino Linotype" w:hAnsi="Palatino Linotype" w:cs="Palatino Linotype"/>
          <w:b/>
        </w:rPr>
        <w:t>no se señaló concretamente</w:t>
      </w:r>
      <w:r w:rsidRPr="004350CF">
        <w:rPr>
          <w:rFonts w:ascii="Palatino Linotype" w:eastAsia="Palatino Linotype" w:hAnsi="Palatino Linotype" w:cs="Palatino Linotype"/>
        </w:rPr>
        <w:t xml:space="preserve"> </w:t>
      </w:r>
      <w:r w:rsidRPr="004350CF">
        <w:rPr>
          <w:rFonts w:ascii="Palatino Linotype" w:eastAsia="Palatino Linotype" w:hAnsi="Palatino Linotype" w:cs="Palatino Linotype"/>
          <w:b/>
        </w:rPr>
        <w:t xml:space="preserve">en que apartado se encuentra el número de licitación y el monto entregado derivado de las mismas. </w:t>
      </w:r>
      <w:r w:rsidRPr="004350CF">
        <w:rPr>
          <w:rFonts w:ascii="Palatino Linotype" w:eastAsia="Palatino Linotype" w:hAnsi="Palatino Linotype" w:cs="Palatino Linotype"/>
        </w:rPr>
        <w:t>Por consiguiente, no puede tenerse por satisfecho el Derecho de acceso de la persona solicitante.</w:t>
      </w:r>
    </w:p>
    <w:p w14:paraId="4358468A"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rPr>
        <w:t>En virtud de lo anterior, se estima dable ordenar la entrega del soporte documental que dé cuenta del número de las licitaciones públicas celebradas en los ejercicios referidos en las solicitudes de información, así como el monto erogado por concepto de las mismas, en versión pública de ser procedente, pudiendo ser, de manera enunciativa, más no limitativa, los contratos celebrados.</w:t>
      </w:r>
    </w:p>
    <w:p w14:paraId="041539EF" w14:textId="273F549F" w:rsidR="00FA7AD0" w:rsidRPr="004350CF" w:rsidRDefault="00FA7AD0" w:rsidP="00FA7AD0">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No obstante, si derivado de la búsqueda que se ordena no se llegara a localizar información del uno de enero al veintinueve de abril de dos mil veinticinco</w:t>
      </w:r>
      <w:r w:rsidR="002A6A12" w:rsidRPr="004350CF">
        <w:rPr>
          <w:rFonts w:ascii="Palatino Linotype" w:eastAsia="Palatino Linotype" w:hAnsi="Palatino Linotype" w:cs="Palatino Linotype"/>
        </w:rPr>
        <w:t xml:space="preserve"> </w:t>
      </w:r>
      <w:r w:rsidRPr="004350CF">
        <w:rPr>
          <w:rFonts w:ascii="Palatino Linotype" w:eastAsia="Palatino Linotype" w:hAnsi="Palatino Linotype" w:cs="Palatino Linotype"/>
        </w:rPr>
        <w:t>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3D5C339B" w14:textId="77777777" w:rsidR="00FA7AD0" w:rsidRPr="004350CF" w:rsidRDefault="00FA7AD0" w:rsidP="00FA7AD0">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r w:rsidRPr="004350CF">
        <w:rPr>
          <w:rFonts w:ascii="Palatino Linotype" w:eastAsia="Palatino Linotype" w:hAnsi="Palatino Linotype" w:cs="Palatino Linotype"/>
          <w:b/>
          <w:i/>
        </w:rPr>
        <w:t>Artículo 19</w:t>
      </w:r>
      <w:r w:rsidRPr="004350CF">
        <w:rPr>
          <w:rFonts w:ascii="Palatino Linotype" w:eastAsia="Palatino Linotype" w:hAnsi="Palatino Linotype" w:cs="Palatino Linotype"/>
          <w:i/>
        </w:rPr>
        <w:t>…</w:t>
      </w:r>
    </w:p>
    <w:p w14:paraId="15349A7A" w14:textId="77777777" w:rsidR="00FA7AD0" w:rsidRPr="004350CF" w:rsidRDefault="00FA7AD0" w:rsidP="00FA7AD0">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2C96F513" w14:textId="77777777" w:rsidR="002F3595" w:rsidRPr="004350CF" w:rsidRDefault="009669C9">
      <w:pPr>
        <w:spacing w:before="240" w:after="240" w:line="360" w:lineRule="auto"/>
        <w:ind w:right="51"/>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De lo hasta aquí expuesto, se concluye que los motivos de inconformidad de la parte </w:t>
      </w:r>
      <w:r w:rsidRPr="004350CF">
        <w:rPr>
          <w:rFonts w:ascii="Palatino Linotype" w:eastAsia="Palatino Linotype" w:hAnsi="Palatino Linotype" w:cs="Palatino Linotype"/>
          <w:b/>
        </w:rPr>
        <w:t xml:space="preserve">Recurrente </w:t>
      </w:r>
      <w:r w:rsidRPr="004350CF">
        <w:rPr>
          <w:rFonts w:ascii="Palatino Linotype" w:eastAsia="Palatino Linotype" w:hAnsi="Palatino Linotype" w:cs="Palatino Linotype"/>
        </w:rPr>
        <w:t xml:space="preserve">devienen parcialmente fundados, siendo procedente </w:t>
      </w:r>
      <w:r w:rsidRPr="004350CF">
        <w:rPr>
          <w:rFonts w:ascii="Palatino Linotype" w:eastAsia="Palatino Linotype" w:hAnsi="Palatino Linotype" w:cs="Palatino Linotype"/>
          <w:i/>
        </w:rPr>
        <w:t xml:space="preserve">Revocar </w:t>
      </w:r>
      <w:r w:rsidRPr="004350CF">
        <w:rPr>
          <w:rFonts w:ascii="Palatino Linotype" w:eastAsia="Palatino Linotype" w:hAnsi="Palatino Linotype" w:cs="Palatino Linotype"/>
        </w:rPr>
        <w:t xml:space="preserve">las respuestas proporcionadas por el </w:t>
      </w:r>
      <w:r w:rsidRPr="004350CF">
        <w:rPr>
          <w:rFonts w:ascii="Palatino Linotype" w:eastAsia="Palatino Linotype" w:hAnsi="Palatino Linotype" w:cs="Palatino Linotype"/>
          <w:b/>
        </w:rPr>
        <w:t xml:space="preserve">Sujeto Obligado </w:t>
      </w:r>
      <w:r w:rsidRPr="004350CF">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3644A4AF" w14:textId="77777777" w:rsidR="002F3595" w:rsidRPr="004350CF" w:rsidRDefault="009669C9">
      <w:pPr>
        <w:spacing w:before="240" w:after="240" w:line="360" w:lineRule="auto"/>
        <w:ind w:right="51"/>
        <w:jc w:val="both"/>
        <w:rPr>
          <w:rFonts w:ascii="Palatino Linotype" w:eastAsia="Palatino Linotype" w:hAnsi="Palatino Linotype" w:cs="Palatino Linotype"/>
        </w:rPr>
      </w:pPr>
      <w:r w:rsidRPr="004350CF">
        <w:rPr>
          <w:rFonts w:ascii="Palatino Linotype" w:eastAsia="Palatino Linotype" w:hAnsi="Palatino Linotype" w:cs="Palatino Linotype"/>
          <w:b/>
        </w:rPr>
        <w:t xml:space="preserve">Quinto. Versión Pública. </w:t>
      </w:r>
      <w:r w:rsidRPr="004350CF">
        <w:rPr>
          <w:rFonts w:ascii="Palatino Linotype" w:eastAsia="Palatino Linotype" w:hAnsi="Palatino Linotype" w:cs="Palatino Linotype"/>
        </w:rPr>
        <w:t>Como fue debidamente apuntado, el </w:t>
      </w:r>
      <w:r w:rsidRPr="004350CF">
        <w:rPr>
          <w:rFonts w:ascii="Palatino Linotype" w:eastAsia="Palatino Linotype" w:hAnsi="Palatino Linotype" w:cs="Palatino Linotype"/>
          <w:b/>
        </w:rPr>
        <w:t>Sujeto Obligado</w:t>
      </w:r>
      <w:r w:rsidRPr="004350CF">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26E8BB2"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65F1CF07"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8A03590"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vigente establecen:</w:t>
      </w:r>
    </w:p>
    <w:p w14:paraId="05337CA7"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rPr>
        <w:t> </w:t>
      </w:r>
      <w:r w:rsidRPr="004350CF">
        <w:rPr>
          <w:rFonts w:ascii="Palatino Linotype" w:eastAsia="Palatino Linotype" w:hAnsi="Palatino Linotype" w:cs="Palatino Linotype"/>
          <w:i/>
        </w:rPr>
        <w:t>“</w:t>
      </w:r>
      <w:r w:rsidRPr="004350CF">
        <w:rPr>
          <w:rFonts w:ascii="Palatino Linotype" w:eastAsia="Palatino Linotype" w:hAnsi="Palatino Linotype" w:cs="Palatino Linotype"/>
          <w:b/>
          <w:i/>
        </w:rPr>
        <w:t>Artículo 3.</w:t>
      </w:r>
      <w:r w:rsidRPr="004350CF">
        <w:rPr>
          <w:rFonts w:ascii="Palatino Linotype" w:eastAsia="Palatino Linotype" w:hAnsi="Palatino Linotype" w:cs="Palatino Linotype"/>
          <w:i/>
        </w:rPr>
        <w:t xml:space="preserve"> Para los efectos de la presente Ley se entenderá por:</w:t>
      </w:r>
    </w:p>
    <w:p w14:paraId="2341D402" w14:textId="77777777" w:rsidR="002F3595" w:rsidRPr="004350CF" w:rsidRDefault="009669C9">
      <w:pPr>
        <w:tabs>
          <w:tab w:val="left" w:pos="127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p>
    <w:p w14:paraId="2F6F1330" w14:textId="77777777" w:rsidR="002F3595" w:rsidRPr="004350CF" w:rsidRDefault="009669C9">
      <w:pPr>
        <w:tabs>
          <w:tab w:val="left" w:pos="127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IX. Datos personales</w:t>
      </w:r>
      <w:r w:rsidRPr="004350CF">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533FF6B2" w14:textId="77777777" w:rsidR="002F3595" w:rsidRPr="004350CF" w:rsidRDefault="009669C9">
      <w:pPr>
        <w:tabs>
          <w:tab w:val="left" w:pos="127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p>
    <w:p w14:paraId="57E7F7D5" w14:textId="77777777" w:rsidR="002F3595" w:rsidRPr="004350CF" w:rsidRDefault="009669C9">
      <w:pPr>
        <w:tabs>
          <w:tab w:val="left" w:pos="127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XX. Información clasificada</w:t>
      </w:r>
      <w:r w:rsidRPr="004350CF">
        <w:rPr>
          <w:rFonts w:ascii="Palatino Linotype" w:eastAsia="Palatino Linotype" w:hAnsi="Palatino Linotype" w:cs="Palatino Linotype"/>
          <w:i/>
        </w:rPr>
        <w:t>: Aquella considerada por la presente Ley como reservada o confidencial;</w:t>
      </w:r>
    </w:p>
    <w:p w14:paraId="791B992A" w14:textId="77777777" w:rsidR="002F3595" w:rsidRPr="004350CF" w:rsidRDefault="009669C9">
      <w:pPr>
        <w:tabs>
          <w:tab w:val="left" w:pos="127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XXI. Información confidencial</w:t>
      </w:r>
      <w:r w:rsidRPr="004350CF">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2CFEAF4" w14:textId="77777777" w:rsidR="002F3595" w:rsidRPr="004350CF" w:rsidRDefault="009669C9">
      <w:pPr>
        <w:tabs>
          <w:tab w:val="left" w:pos="127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p>
    <w:p w14:paraId="6D754E82" w14:textId="77777777" w:rsidR="002F3595" w:rsidRPr="004350CF" w:rsidRDefault="009669C9">
      <w:pPr>
        <w:tabs>
          <w:tab w:val="left" w:pos="127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XXXII. Protección de Datos Personales</w:t>
      </w:r>
      <w:r w:rsidRPr="004350CF">
        <w:rPr>
          <w:rFonts w:ascii="Palatino Linotype" w:eastAsia="Palatino Linotype" w:hAnsi="Palatino Linotype" w:cs="Palatino Linotype"/>
          <w:i/>
        </w:rPr>
        <w:t>: Derecho humano que tutela la privacidad de datos personales en poder de los sujetos obligados y sujetos particulares;</w:t>
      </w:r>
    </w:p>
    <w:p w14:paraId="4851B016" w14:textId="77777777" w:rsidR="002F3595" w:rsidRPr="004350CF" w:rsidRDefault="009669C9">
      <w:pPr>
        <w:tabs>
          <w:tab w:val="left" w:pos="127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p>
    <w:p w14:paraId="00DD1456" w14:textId="77777777" w:rsidR="002F3595" w:rsidRPr="004350CF" w:rsidRDefault="009669C9">
      <w:pPr>
        <w:tabs>
          <w:tab w:val="left" w:pos="1276"/>
        </w:tabs>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XLV. Versión pública</w:t>
      </w:r>
      <w:r w:rsidRPr="004350CF">
        <w:rPr>
          <w:rFonts w:ascii="Palatino Linotype" w:eastAsia="Palatino Linotype" w:hAnsi="Palatino Linotype" w:cs="Palatino Linotype"/>
          <w:i/>
        </w:rPr>
        <w:t>: Documento en el que se elimine, suprime o borra la información clasificada como reservada o confidencial para permitir su acceso.</w:t>
      </w:r>
    </w:p>
    <w:p w14:paraId="3C61E0A3"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 Artículo 6</w:t>
      </w:r>
      <w:r w:rsidRPr="004350CF">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1F3AC4E"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p>
    <w:p w14:paraId="4C25D82B"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Artículo 91.</w:t>
      </w:r>
      <w:r w:rsidRPr="004350CF">
        <w:rPr>
          <w:rFonts w:ascii="Palatino Linotype" w:eastAsia="Palatino Linotype" w:hAnsi="Palatino Linotype" w:cs="Palatino Linotype"/>
          <w:i/>
        </w:rPr>
        <w:t xml:space="preserve"> El acceso a la información pública será restringido excepcionalmente, cuando ésta sea clasificada como reservada o confidencial.</w:t>
      </w:r>
      <w:r w:rsidRPr="004350CF">
        <w:rPr>
          <w:rFonts w:ascii="Palatino Linotype" w:eastAsia="Palatino Linotype" w:hAnsi="Palatino Linotype" w:cs="Palatino Linotype"/>
          <w:i/>
        </w:rPr>
        <w:br/>
        <w:t>…</w:t>
      </w:r>
    </w:p>
    <w:p w14:paraId="62E2CD6C"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Artículo 132.</w:t>
      </w:r>
      <w:r w:rsidRPr="004350CF">
        <w:rPr>
          <w:rFonts w:ascii="Palatino Linotype" w:eastAsia="Palatino Linotype" w:hAnsi="Palatino Linotype" w:cs="Palatino Linotype"/>
          <w:i/>
        </w:rPr>
        <w:t xml:space="preserve"> La clasificación de la información se llevará a cabo en el momento en que:</w:t>
      </w:r>
    </w:p>
    <w:p w14:paraId="31EFA657"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w:t>
      </w:r>
      <w:r w:rsidRPr="004350CF">
        <w:rPr>
          <w:rFonts w:ascii="Palatino Linotype" w:eastAsia="Palatino Linotype" w:hAnsi="Palatino Linotype" w:cs="Palatino Linotype"/>
          <w:i/>
        </w:rPr>
        <w:t>. Se reciba una solicitud de acceso a la información;</w:t>
      </w:r>
    </w:p>
    <w:p w14:paraId="51CD25FB"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II.</w:t>
      </w:r>
      <w:r w:rsidRPr="004350CF">
        <w:rPr>
          <w:rFonts w:ascii="Palatino Linotype" w:eastAsia="Palatino Linotype" w:hAnsi="Palatino Linotype" w:cs="Palatino Linotype"/>
          <w:i/>
        </w:rPr>
        <w:t xml:space="preserve"> Se determine mediante resolución de autoridad competente; o</w:t>
      </w:r>
    </w:p>
    <w:p w14:paraId="4636E7DF"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III.</w:t>
      </w:r>
      <w:r w:rsidRPr="004350CF">
        <w:rPr>
          <w:rFonts w:ascii="Palatino Linotype" w:eastAsia="Palatino Linotype" w:hAnsi="Palatino Linotype" w:cs="Palatino Linotype"/>
          <w:i/>
        </w:rPr>
        <w:t xml:space="preserve"> Se generen versiones públicas para dar cumplimiento a las obligaciones de transparencia previstas en esta Ley.</w:t>
      </w:r>
    </w:p>
    <w:p w14:paraId="436A401C"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w:t>
      </w:r>
    </w:p>
    <w:p w14:paraId="5E2A53CD"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Artículo 137.</w:t>
      </w:r>
      <w:r w:rsidRPr="004350CF">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8DDD351"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 Artículo 143.</w:t>
      </w:r>
      <w:r w:rsidRPr="004350CF">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110076DD"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w:t>
      </w:r>
      <w:r w:rsidRPr="004350CF">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59DCA4BF"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4350CF">
        <w:rPr>
          <w:rFonts w:ascii="Palatino Linotype" w:eastAsia="Palatino Linotype" w:hAnsi="Palatino Linotype" w:cs="Palatino Linotype"/>
          <w:b/>
        </w:rPr>
        <w:t>Sujeto Obligado</w:t>
      </w:r>
      <w:r w:rsidRPr="004350CF">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0A91087"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0EBB60D"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1DB3F49B"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La </w:t>
      </w:r>
      <w:r w:rsidRPr="004350CF">
        <w:rPr>
          <w:rFonts w:ascii="Palatino Linotype" w:eastAsia="Palatino Linotype" w:hAnsi="Palatino Linotype" w:cs="Palatino Linotype"/>
          <w:b/>
        </w:rPr>
        <w:t>clave de elector</w:t>
      </w:r>
      <w:r w:rsidRPr="004350CF">
        <w:rPr>
          <w:rFonts w:ascii="Palatino Linotype" w:eastAsia="Palatino Linotype" w:hAnsi="Palatino Linotype" w:cs="Palatino Linotype"/>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1BBBA245"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El </w:t>
      </w:r>
      <w:r w:rsidRPr="004350CF">
        <w:rPr>
          <w:rFonts w:ascii="Palatino Linotype" w:eastAsia="Palatino Linotype" w:hAnsi="Palatino Linotype" w:cs="Palatino Linotype"/>
          <w:b/>
        </w:rPr>
        <w:t>número de OCR,</w:t>
      </w:r>
      <w:r w:rsidRPr="004350CF">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084D013E"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La </w:t>
      </w:r>
      <w:r w:rsidRPr="004350CF">
        <w:rPr>
          <w:rFonts w:ascii="Palatino Linotype" w:eastAsia="Palatino Linotype" w:hAnsi="Palatino Linotype" w:cs="Palatino Linotype"/>
          <w:b/>
        </w:rPr>
        <w:t>clave única del registro de población,</w:t>
      </w:r>
      <w:r w:rsidRPr="004350CF">
        <w:rPr>
          <w:rFonts w:ascii="Palatino Linotype" w:eastAsia="Palatino Linotype" w:hAnsi="Palatino Linotype" w:cs="Palatino Linotype"/>
          <w:i/>
        </w:rPr>
        <w:t xml:space="preserve"> </w:t>
      </w:r>
      <w:r w:rsidRPr="004350CF">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0D3568A4"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Igualmente, resulta importante destacar que el </w:t>
      </w:r>
      <w:r w:rsidRPr="004350CF">
        <w:rPr>
          <w:rFonts w:ascii="Palatino Linotype" w:eastAsia="Palatino Linotype" w:hAnsi="Palatino Linotype" w:cs="Palatino Linotype"/>
          <w:i/>
        </w:rPr>
        <w:t>número de cuenta bancaria</w:t>
      </w:r>
      <w:r w:rsidRPr="004350CF">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4FC0922"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63F747F9"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0910782"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76D9B6DA"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1948C4FB"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17B9875C"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Lo argumentado encuentra sustento en los criterios orientadores 10/17 y 11/17 emitidos por el entonces Instituto Nacional de Transparencia, Acceso a la Información y Protección de Datos Personales, INAI, que llevan por rubro y texto los siguientes:</w:t>
      </w:r>
    </w:p>
    <w:p w14:paraId="438A9469"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“Cuentas bancarias y/o CLABE interbancaria de personas físicas y morales privadas.</w:t>
      </w:r>
      <w:r w:rsidRPr="004350CF">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66C5EA1"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Cuentas bancarias y/o CLABE interbancaria de sujetos obligados que reciben y/o transfieren recursos públicos, son información pública</w:t>
      </w:r>
      <w:r w:rsidRPr="004350CF">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6772233"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Por cuanto hace al </w:t>
      </w:r>
      <w:r w:rsidRPr="004350CF">
        <w:rPr>
          <w:rFonts w:ascii="Palatino Linotype" w:eastAsia="Palatino Linotype" w:hAnsi="Palatino Linotype" w:cs="Palatino Linotype"/>
          <w:b/>
        </w:rPr>
        <w:t xml:space="preserve">Registro Federal de Contribuyentes (RFC) </w:t>
      </w:r>
      <w:r w:rsidRPr="004350CF">
        <w:rPr>
          <w:rFonts w:ascii="Palatino Linotype" w:eastAsia="Palatino Linotype" w:hAnsi="Palatino Linotype" w:cs="Palatino Linotype"/>
        </w:rPr>
        <w:t>y</w:t>
      </w:r>
      <w:r w:rsidRPr="004350CF">
        <w:rPr>
          <w:rFonts w:ascii="Palatino Linotype" w:eastAsia="Palatino Linotype" w:hAnsi="Palatino Linotype" w:cs="Palatino Linotype"/>
          <w:b/>
        </w:rPr>
        <w:t xml:space="preserve"> el domicilio fiscal </w:t>
      </w:r>
      <w:r w:rsidRPr="004350CF">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5367E4F4"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3C74A2B"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4350CF">
        <w:rPr>
          <w:rFonts w:ascii="Palatino Linotype" w:eastAsia="Palatino Linotype" w:hAnsi="Palatino Linotype" w:cs="Palatino Linotype"/>
          <w:b/>
        </w:rPr>
        <w:t>no puede considerarse como información clasificada lo relativo a su nombre, registro federal de contribuyentes y domicilio fiscal</w:t>
      </w:r>
      <w:r w:rsidRPr="004350CF">
        <w:rPr>
          <w:rFonts w:ascii="Palatino Linotype" w:eastAsia="Palatino Linotype" w:hAnsi="Palatino Linotype" w:cs="Palatino Linotype"/>
        </w:rPr>
        <w:t>, atento a que dicha información es la que puede generar certeza en los gobernados en que se está ejerciendo debidamente el presupuesto.</w:t>
      </w:r>
    </w:p>
    <w:p w14:paraId="1F75322F"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Robustece lo anterior el criterio orientador 04/21 emitido por el entonces Instituto Nacional de Transparencia, Acceso a la Información y Protección de Datos Personales, INAI, el cual refiere:</w:t>
      </w:r>
    </w:p>
    <w:p w14:paraId="6E12F164"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 xml:space="preserve">“Registro Federal de Contribuyentes (RFC) de personas físicas proveedoras o contratistas. </w:t>
      </w:r>
      <w:r w:rsidRPr="004350CF">
        <w:rPr>
          <w:rFonts w:ascii="Palatino Linotype" w:eastAsia="Palatino Linotype" w:hAnsi="Palatino Linotype" w:cs="Palatino Linotype"/>
          <w:i/>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67C36BA2"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Relacionado con lo anterior, el </w:t>
      </w:r>
      <w:r w:rsidRPr="004350CF">
        <w:rPr>
          <w:rFonts w:ascii="Palatino Linotype" w:eastAsia="Palatino Linotype" w:hAnsi="Palatino Linotype" w:cs="Palatino Linotype"/>
          <w:b/>
        </w:rPr>
        <w:t>nombre de las personas físicas</w:t>
      </w:r>
      <w:r w:rsidRPr="004350CF">
        <w:rPr>
          <w:rFonts w:ascii="Palatino Linotype" w:eastAsia="Palatino Linotype" w:hAnsi="Palatino Linotype" w:cs="Palatino Linotype"/>
        </w:rPr>
        <w:t xml:space="preserve"> o los </w:t>
      </w:r>
      <w:r w:rsidRPr="004350CF">
        <w:rPr>
          <w:rFonts w:ascii="Palatino Linotype" w:eastAsia="Palatino Linotype" w:hAnsi="Palatino Linotype" w:cs="Palatino Linotype"/>
          <w:b/>
        </w:rPr>
        <w:t>representantes legales de las personas morales</w:t>
      </w:r>
      <w:r w:rsidRPr="004350CF">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4F050BAE"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0F9DE649"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r w:rsidRPr="004350CF">
        <w:rPr>
          <w:rFonts w:ascii="Palatino Linotype" w:eastAsia="Palatino Linotype" w:hAnsi="Palatino Linotype" w:cs="Palatino Linotype"/>
          <w:b/>
          <w:i/>
        </w:rPr>
        <w:t>Artículo 23.</w:t>
      </w:r>
      <w:r w:rsidRPr="004350CF">
        <w:rPr>
          <w:rFonts w:ascii="Palatino Linotype" w:eastAsia="Palatino Linotype" w:hAnsi="Palatino Linotype" w:cs="Palatino Linotype"/>
          <w:i/>
        </w:rPr>
        <w:t xml:space="preserve"> (…)</w:t>
      </w:r>
    </w:p>
    <w:p w14:paraId="37982A5A"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39DA27F" w14:textId="77777777" w:rsidR="002F3595" w:rsidRPr="004350CF" w:rsidRDefault="009669C9">
      <w:pPr>
        <w:spacing w:before="280" w:after="28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Asimismo, resulta aplicable el contenido del criterio orientador 01/19 emitido por el entonces Instituto Nacional de Transparencia, Acceso a la Información, y Protección de Datos Personales, INAI, que lleva por rubro y texto los siguientes;</w:t>
      </w:r>
    </w:p>
    <w:p w14:paraId="316FE03E" w14:textId="77777777" w:rsidR="002F3595" w:rsidRPr="004350CF" w:rsidRDefault="009669C9">
      <w:pPr>
        <w:ind w:left="851" w:right="900"/>
        <w:jc w:val="both"/>
        <w:rPr>
          <w:rFonts w:ascii="Palatino Linotype" w:eastAsia="Palatino Linotype" w:hAnsi="Palatino Linotype" w:cs="Palatino Linotype"/>
          <w:i/>
        </w:rPr>
      </w:pPr>
      <w:r w:rsidRPr="004350CF">
        <w:rPr>
          <w:rFonts w:ascii="Palatino Linotype" w:eastAsia="Palatino Linotype" w:hAnsi="Palatino Linotype" w:cs="Palatino Linotype"/>
          <w:b/>
          <w:i/>
        </w:rPr>
        <w:t>“Datos de identificación del representante o apoderado legal.</w:t>
      </w:r>
      <w:r w:rsidRPr="004350CF">
        <w:rPr>
          <w:rFonts w:ascii="Palatino Linotype" w:eastAsia="Palatino Linotype" w:hAnsi="Palatino Linotype" w:cs="Palatino Linotype"/>
          <w:i/>
        </w:rPr>
        <w:t xml:space="preserve"> </w:t>
      </w:r>
      <w:r w:rsidRPr="004350CF">
        <w:rPr>
          <w:rFonts w:ascii="Palatino Linotype" w:eastAsia="Palatino Linotype" w:hAnsi="Palatino Linotype" w:cs="Palatino Linotype"/>
          <w:b/>
          <w:i/>
        </w:rPr>
        <w:t xml:space="preserve">Naturaleza jurídica. </w:t>
      </w:r>
      <w:r w:rsidRPr="004350CF">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sidRPr="004350CF">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4350CF">
        <w:rPr>
          <w:rFonts w:ascii="Palatino Linotype" w:eastAsia="Palatino Linotype" w:hAnsi="Palatino Linotype" w:cs="Palatino Linotype"/>
          <w:i/>
        </w:rPr>
        <w:t>.”</w:t>
      </w:r>
    </w:p>
    <w:p w14:paraId="2BFA78E6" w14:textId="77777777" w:rsidR="002F3595" w:rsidRPr="004350CF" w:rsidRDefault="009669C9">
      <w:pPr>
        <w:spacing w:before="240" w:after="240" w:line="360" w:lineRule="auto"/>
        <w:ind w:right="50"/>
        <w:jc w:val="both"/>
        <w:rPr>
          <w:rFonts w:ascii="Palatino Linotype" w:eastAsia="Palatino Linotype" w:hAnsi="Palatino Linotype" w:cs="Palatino Linotype"/>
        </w:rPr>
      </w:pPr>
      <w:r w:rsidRPr="004350CF">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2FCE93E"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“Artículo 49.</w:t>
      </w:r>
      <w:r w:rsidRPr="004350CF">
        <w:rPr>
          <w:rFonts w:ascii="Palatino Linotype" w:eastAsia="Palatino Linotype" w:hAnsi="Palatino Linotype" w:cs="Palatino Linotype"/>
          <w:i/>
        </w:rPr>
        <w:t xml:space="preserve"> </w:t>
      </w:r>
      <w:r w:rsidRPr="004350CF">
        <w:rPr>
          <w:rFonts w:ascii="Palatino Linotype" w:eastAsia="Palatino Linotype" w:hAnsi="Palatino Linotype" w:cs="Palatino Linotype"/>
          <w:b/>
          <w:i/>
        </w:rPr>
        <w:t>Los Comités de Transparencia</w:t>
      </w:r>
      <w:r w:rsidRPr="004350CF">
        <w:rPr>
          <w:rFonts w:ascii="Palatino Linotype" w:eastAsia="Palatino Linotype" w:hAnsi="Palatino Linotype" w:cs="Palatino Linotype"/>
          <w:i/>
        </w:rPr>
        <w:t xml:space="preserve"> tendrán las siguientes atribuciones:</w:t>
      </w:r>
    </w:p>
    <w:p w14:paraId="7B8CD99E"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VIII. Aprobar, modificar o revocar la clasificación de la información</w:t>
      </w:r>
      <w:r w:rsidRPr="004350CF">
        <w:rPr>
          <w:rFonts w:ascii="Palatino Linotype" w:eastAsia="Palatino Linotype" w:hAnsi="Palatino Linotype" w:cs="Palatino Linotype"/>
          <w:i/>
        </w:rPr>
        <w:t>…”</w:t>
      </w:r>
    </w:p>
    <w:p w14:paraId="65858A64"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r w:rsidRPr="004350CF">
        <w:rPr>
          <w:rFonts w:ascii="Palatino Linotype" w:eastAsia="Palatino Linotype" w:hAnsi="Palatino Linotype" w:cs="Palatino Linotype"/>
          <w:b/>
          <w:i/>
        </w:rPr>
        <w:t>Artículo 53.</w:t>
      </w:r>
      <w:r w:rsidRPr="004350CF">
        <w:rPr>
          <w:rFonts w:ascii="Palatino Linotype" w:eastAsia="Palatino Linotype" w:hAnsi="Palatino Linotype" w:cs="Palatino Linotype"/>
          <w:i/>
        </w:rPr>
        <w:t xml:space="preserve"> Las </w:t>
      </w:r>
      <w:r w:rsidRPr="004350CF">
        <w:rPr>
          <w:rFonts w:ascii="Palatino Linotype" w:eastAsia="Palatino Linotype" w:hAnsi="Palatino Linotype" w:cs="Palatino Linotype"/>
          <w:b/>
          <w:i/>
        </w:rPr>
        <w:t>Unidades de Transparencia</w:t>
      </w:r>
      <w:r w:rsidRPr="004350CF">
        <w:rPr>
          <w:rFonts w:ascii="Palatino Linotype" w:eastAsia="Palatino Linotype" w:hAnsi="Palatino Linotype" w:cs="Palatino Linotype"/>
          <w:i/>
        </w:rPr>
        <w:t xml:space="preserve"> tendrán las siguientes </w:t>
      </w:r>
      <w:r w:rsidRPr="004350CF">
        <w:rPr>
          <w:rFonts w:ascii="Palatino Linotype" w:eastAsia="Palatino Linotype" w:hAnsi="Palatino Linotype" w:cs="Palatino Linotype"/>
          <w:b/>
          <w:i/>
        </w:rPr>
        <w:t>funciones</w:t>
      </w:r>
      <w:r w:rsidRPr="004350CF">
        <w:rPr>
          <w:rFonts w:ascii="Palatino Linotype" w:eastAsia="Palatino Linotype" w:hAnsi="Palatino Linotype" w:cs="Palatino Linotype"/>
          <w:i/>
        </w:rPr>
        <w:t>:</w:t>
      </w:r>
    </w:p>
    <w:p w14:paraId="4F1B123E"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X. Presentar ante el Comité, el proyecto de clasificación de información</w:t>
      </w:r>
      <w:r w:rsidRPr="004350CF">
        <w:rPr>
          <w:rFonts w:ascii="Palatino Linotype" w:eastAsia="Palatino Linotype" w:hAnsi="Palatino Linotype" w:cs="Palatino Linotype"/>
          <w:i/>
        </w:rPr>
        <w:t xml:space="preserve">…” </w:t>
      </w:r>
    </w:p>
    <w:p w14:paraId="5C97AE49"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“Artículo 59.</w:t>
      </w:r>
      <w:r w:rsidRPr="004350CF">
        <w:rPr>
          <w:rFonts w:ascii="Palatino Linotype" w:eastAsia="Palatino Linotype" w:hAnsi="Palatino Linotype" w:cs="Palatino Linotype"/>
          <w:i/>
        </w:rPr>
        <w:t xml:space="preserve"> Los </w:t>
      </w:r>
      <w:r w:rsidRPr="004350CF">
        <w:rPr>
          <w:rFonts w:ascii="Palatino Linotype" w:eastAsia="Palatino Linotype" w:hAnsi="Palatino Linotype" w:cs="Palatino Linotype"/>
          <w:b/>
          <w:i/>
        </w:rPr>
        <w:t>servidores públicos habilitados</w:t>
      </w:r>
      <w:r w:rsidRPr="004350CF">
        <w:rPr>
          <w:rFonts w:ascii="Palatino Linotype" w:eastAsia="Palatino Linotype" w:hAnsi="Palatino Linotype" w:cs="Palatino Linotype"/>
          <w:i/>
        </w:rPr>
        <w:t xml:space="preserve"> tendrán las </w:t>
      </w:r>
      <w:r w:rsidRPr="004350CF">
        <w:rPr>
          <w:rFonts w:ascii="Palatino Linotype" w:eastAsia="Palatino Linotype" w:hAnsi="Palatino Linotype" w:cs="Palatino Linotype"/>
          <w:b/>
          <w:i/>
        </w:rPr>
        <w:t>funciones</w:t>
      </w:r>
      <w:r w:rsidRPr="004350CF">
        <w:rPr>
          <w:rFonts w:ascii="Palatino Linotype" w:eastAsia="Palatino Linotype" w:hAnsi="Palatino Linotype" w:cs="Palatino Linotype"/>
          <w:i/>
        </w:rPr>
        <w:t xml:space="preserve"> siguientes:</w:t>
      </w:r>
    </w:p>
    <w:p w14:paraId="42061796"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V. Integrar y presentar al responsable de la Unidad de Transparencia la propuesta de clasificación de información</w:t>
      </w:r>
      <w:r w:rsidRPr="004350CF">
        <w:rPr>
          <w:rFonts w:ascii="Palatino Linotype" w:eastAsia="Palatino Linotype" w:hAnsi="Palatino Linotype" w:cs="Palatino Linotype"/>
          <w:i/>
        </w:rPr>
        <w:t>, la cual tendrá los fundamentos y argumentos en que se basa dicha propuesta…”</w:t>
      </w:r>
    </w:p>
    <w:p w14:paraId="7EC3B300"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4B6FB37"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AD03C54"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r w:rsidRPr="004350CF">
        <w:rPr>
          <w:rFonts w:ascii="Palatino Linotype" w:eastAsia="Palatino Linotype" w:hAnsi="Palatino Linotype" w:cs="Palatino Linotype"/>
          <w:b/>
          <w:i/>
        </w:rPr>
        <w:t>Artículo 149.</w:t>
      </w:r>
      <w:r w:rsidRPr="004350CF">
        <w:rPr>
          <w:rFonts w:ascii="Palatino Linotype" w:eastAsia="Palatino Linotype" w:hAnsi="Palatino Linotype" w:cs="Palatino Linotype"/>
          <w:i/>
        </w:rPr>
        <w:t xml:space="preserve"> El </w:t>
      </w:r>
      <w:r w:rsidRPr="004350CF">
        <w:rPr>
          <w:rFonts w:ascii="Palatino Linotype" w:eastAsia="Palatino Linotype" w:hAnsi="Palatino Linotype" w:cs="Palatino Linotype"/>
          <w:b/>
          <w:i/>
        </w:rPr>
        <w:t>acuerdo que clasifique la información como confidencial</w:t>
      </w:r>
      <w:r w:rsidRPr="004350CF">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51A74A11" w14:textId="77777777" w:rsidR="002F3595" w:rsidRPr="004350CF" w:rsidRDefault="009669C9">
      <w:pPr>
        <w:spacing w:before="240" w:after="240" w:line="360" w:lineRule="auto"/>
        <w:ind w:right="51"/>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Es decir, el </w:t>
      </w:r>
      <w:r w:rsidRPr="004350CF">
        <w:rPr>
          <w:rFonts w:ascii="Palatino Linotype" w:eastAsia="Palatino Linotype" w:hAnsi="Palatino Linotype" w:cs="Palatino Linotype"/>
          <w:b/>
        </w:rPr>
        <w:t>Sujeto Obligado</w:t>
      </w:r>
      <w:r w:rsidRPr="004350C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9D14937" w14:textId="77777777" w:rsidR="002F3595" w:rsidRPr="004350CF" w:rsidRDefault="009669C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Asimismo, respecto a las formalidades que deberá llevar el acuerdo de clasificación que deberá emitir el </w:t>
      </w:r>
      <w:r w:rsidRPr="004350CF">
        <w:rPr>
          <w:rFonts w:ascii="Palatino Linotype" w:eastAsia="Palatino Linotype" w:hAnsi="Palatino Linotype" w:cs="Palatino Linotype"/>
          <w:b/>
        </w:rPr>
        <w:t>Sujeto Obligado</w:t>
      </w:r>
      <w:r w:rsidRPr="004350CF">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0CF2910F"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 xml:space="preserve"> “Quincuagésimo. </w:t>
      </w:r>
      <w:r w:rsidRPr="004350CF">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0B3AA44" w14:textId="77777777" w:rsidR="002F3595" w:rsidRPr="004350CF" w:rsidRDefault="009669C9">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 xml:space="preserve">Quincuagésimo primero. </w:t>
      </w:r>
      <w:r w:rsidRPr="004350CF">
        <w:rPr>
          <w:rFonts w:ascii="Palatino Linotype" w:eastAsia="Palatino Linotype" w:hAnsi="Palatino Linotype" w:cs="Palatino Linotype"/>
          <w:i/>
        </w:rPr>
        <w:t xml:space="preserve">Toda acta del Comité de Transparencia deberá contener: </w:t>
      </w:r>
    </w:p>
    <w:p w14:paraId="1797C6ED" w14:textId="77777777" w:rsidR="002F3595" w:rsidRPr="004350CF" w:rsidRDefault="009669C9">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w:t>
      </w:r>
      <w:r w:rsidRPr="004350CF">
        <w:rPr>
          <w:rFonts w:ascii="Palatino Linotype" w:eastAsia="Palatino Linotype" w:hAnsi="Palatino Linotype" w:cs="Palatino Linotype"/>
          <w:i/>
        </w:rPr>
        <w:t xml:space="preserve"> El número de sesión y fecha; </w:t>
      </w:r>
    </w:p>
    <w:p w14:paraId="34B72BDE" w14:textId="77777777" w:rsidR="002F3595" w:rsidRPr="004350CF" w:rsidRDefault="009669C9">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II</w:t>
      </w:r>
      <w:r w:rsidRPr="004350CF">
        <w:rPr>
          <w:rFonts w:ascii="Palatino Linotype" w:eastAsia="Palatino Linotype" w:hAnsi="Palatino Linotype" w:cs="Palatino Linotype"/>
          <w:i/>
        </w:rPr>
        <w:t xml:space="preserve">. El nombre del área que solicitó la clasificación de información; </w:t>
      </w:r>
    </w:p>
    <w:p w14:paraId="721ABF35" w14:textId="77777777" w:rsidR="002F3595" w:rsidRPr="004350CF" w:rsidRDefault="009669C9">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III</w:t>
      </w:r>
      <w:r w:rsidRPr="004350CF">
        <w:rPr>
          <w:rFonts w:ascii="Palatino Linotype" w:eastAsia="Palatino Linotype" w:hAnsi="Palatino Linotype" w:cs="Palatino Linotype"/>
          <w:i/>
        </w:rPr>
        <w:t xml:space="preserve">. La fundamentación legal y motivación correspondiente; </w:t>
      </w:r>
    </w:p>
    <w:p w14:paraId="0726531C" w14:textId="77777777" w:rsidR="002F3595" w:rsidRPr="004350CF" w:rsidRDefault="009669C9">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IV</w:t>
      </w:r>
      <w:r w:rsidRPr="004350CF">
        <w:rPr>
          <w:rFonts w:ascii="Palatino Linotype" w:eastAsia="Palatino Linotype" w:hAnsi="Palatino Linotype" w:cs="Palatino Linotype"/>
          <w:i/>
        </w:rPr>
        <w:t xml:space="preserve">. La resolución o resoluciones aprobadas; y </w:t>
      </w:r>
    </w:p>
    <w:p w14:paraId="644F2094" w14:textId="77777777" w:rsidR="002F3595" w:rsidRPr="004350CF" w:rsidRDefault="009669C9">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V</w:t>
      </w:r>
      <w:r w:rsidRPr="004350CF">
        <w:rPr>
          <w:rFonts w:ascii="Palatino Linotype" w:eastAsia="Palatino Linotype" w:hAnsi="Palatino Linotype" w:cs="Palatino Linotype"/>
          <w:i/>
        </w:rPr>
        <w:t xml:space="preserve">. La rúbrica o firma digital de cada integrante del Comité de Transparencia. </w:t>
      </w:r>
    </w:p>
    <w:p w14:paraId="4AA1AB93" w14:textId="77777777" w:rsidR="002F3595" w:rsidRPr="004350CF" w:rsidRDefault="009669C9">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37401021" w14:textId="77777777" w:rsidR="002F3595" w:rsidRPr="004350CF" w:rsidRDefault="009669C9">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w:t>
      </w:r>
      <w:r w:rsidRPr="004350CF">
        <w:rPr>
          <w:rFonts w:ascii="Palatino Linotype" w:eastAsia="Palatino Linotype" w:hAnsi="Palatino Linotype" w:cs="Palatino Linotype"/>
          <w:i/>
        </w:rPr>
        <w:t xml:space="preserve"> Los motivos y razonamientos que sustenten la confirmación o modificación de la prueba de daño;</w:t>
      </w:r>
    </w:p>
    <w:p w14:paraId="2FB780C8" w14:textId="77777777" w:rsidR="002F3595" w:rsidRPr="004350CF" w:rsidRDefault="009669C9">
      <w:pPr>
        <w:pBdr>
          <w:top w:val="nil"/>
          <w:left w:val="nil"/>
          <w:bottom w:val="nil"/>
          <w:right w:val="nil"/>
          <w:between w:val="nil"/>
        </w:pBdr>
        <w:spacing w:before="120" w:after="120"/>
        <w:ind w:left="851" w:right="902"/>
        <w:jc w:val="both"/>
        <w:rPr>
          <w:rFonts w:ascii="Palatino Linotype" w:eastAsia="Palatino Linotype" w:hAnsi="Palatino Linotype" w:cs="Palatino Linotype"/>
          <w:b/>
          <w:i/>
        </w:rPr>
      </w:pPr>
      <w:r w:rsidRPr="004350CF">
        <w:rPr>
          <w:rFonts w:ascii="Palatino Linotype" w:eastAsia="Palatino Linotype" w:hAnsi="Palatino Linotype" w:cs="Palatino Linotype"/>
          <w:b/>
          <w:i/>
        </w:rPr>
        <w:t>II</w:t>
      </w:r>
      <w:r w:rsidRPr="004350CF">
        <w:rPr>
          <w:rFonts w:ascii="Palatino Linotype" w:eastAsia="Palatino Linotype" w:hAnsi="Palatino Linotype" w:cs="Palatino Linotype"/>
          <w:i/>
        </w:rPr>
        <w:t>. Descripción de las partes o secciones reservadas, en caso de clasificación parcial</w:t>
      </w:r>
      <w:r w:rsidRPr="004350CF">
        <w:rPr>
          <w:rFonts w:ascii="Palatino Linotype" w:eastAsia="Palatino Linotype" w:hAnsi="Palatino Linotype" w:cs="Palatino Linotype"/>
          <w:b/>
          <w:i/>
        </w:rPr>
        <w:t xml:space="preserve">; </w:t>
      </w:r>
    </w:p>
    <w:p w14:paraId="2DD43460" w14:textId="77777777" w:rsidR="002F3595" w:rsidRPr="004350CF" w:rsidRDefault="009669C9">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III.</w:t>
      </w:r>
      <w:r w:rsidRPr="004350CF">
        <w:rPr>
          <w:rFonts w:ascii="Palatino Linotype" w:eastAsia="Palatino Linotype" w:hAnsi="Palatino Linotype" w:cs="Palatino Linotype"/>
          <w:i/>
        </w:rPr>
        <w:t xml:space="preserve"> El periodo por el que mantendrá su clasificación y fecha de expiración; y </w:t>
      </w:r>
    </w:p>
    <w:p w14:paraId="40EA17CC" w14:textId="77777777" w:rsidR="002F3595" w:rsidRPr="004350CF" w:rsidRDefault="009669C9">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IV.</w:t>
      </w:r>
      <w:r w:rsidRPr="004350CF">
        <w:rPr>
          <w:rFonts w:ascii="Palatino Linotype" w:eastAsia="Palatino Linotype" w:hAnsi="Palatino Linotype" w:cs="Palatino Linotype"/>
          <w:i/>
        </w:rPr>
        <w:t xml:space="preserve"> El nombre del titular y área encargada de realizar la versión pública del documento, en su caso. </w:t>
      </w:r>
    </w:p>
    <w:p w14:paraId="6F9FCD8A" w14:textId="77777777" w:rsidR="002F3595" w:rsidRPr="004350CF" w:rsidRDefault="009669C9">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609D1E91" w14:textId="77777777" w:rsidR="002F3595" w:rsidRPr="004350CF" w:rsidRDefault="009669C9">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06AA8F33"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584447EE" w14:textId="77777777" w:rsidR="002F3595" w:rsidRPr="004350CF" w:rsidRDefault="009669C9">
      <w:pPr>
        <w:spacing w:before="120" w:after="120"/>
        <w:ind w:left="851" w:right="900"/>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r w:rsidRPr="004350CF">
        <w:rPr>
          <w:rFonts w:ascii="Palatino Linotype" w:eastAsia="Palatino Linotype" w:hAnsi="Palatino Linotype" w:cs="Palatino Linotype"/>
          <w:b/>
          <w:i/>
        </w:rPr>
        <w:t>Quincuagésimo segundo</w:t>
      </w:r>
      <w:r w:rsidRPr="004350CF">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E885C56" w14:textId="77777777" w:rsidR="002F3595" w:rsidRPr="004350CF" w:rsidRDefault="009669C9">
      <w:pPr>
        <w:spacing w:before="120" w:after="120"/>
        <w:ind w:left="851" w:right="900"/>
        <w:jc w:val="both"/>
        <w:rPr>
          <w:rFonts w:ascii="Palatino Linotype" w:eastAsia="Palatino Linotype" w:hAnsi="Palatino Linotype" w:cs="Palatino Linotype"/>
          <w:i/>
        </w:rPr>
      </w:pPr>
      <w:r w:rsidRPr="004350CF">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604B3824" w14:textId="77777777" w:rsidR="002F3595" w:rsidRPr="004350CF" w:rsidRDefault="009669C9">
      <w:pPr>
        <w:spacing w:before="120" w:after="120"/>
        <w:ind w:left="851" w:right="900"/>
        <w:jc w:val="both"/>
        <w:rPr>
          <w:rFonts w:ascii="Palatino Linotype" w:eastAsia="Palatino Linotype" w:hAnsi="Palatino Linotype" w:cs="Palatino Linotype"/>
          <w:i/>
        </w:rPr>
      </w:pPr>
      <w:r w:rsidRPr="004350CF">
        <w:rPr>
          <w:rFonts w:ascii="Palatino Linotype" w:eastAsia="Palatino Linotype" w:hAnsi="Palatino Linotype" w:cs="Palatino Linotype"/>
          <w:b/>
          <w:i/>
        </w:rPr>
        <w:t>I.</w:t>
      </w:r>
      <w:r w:rsidRPr="004350CF">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40B5A24E" w14:textId="77777777" w:rsidR="002F3595" w:rsidRPr="004350CF" w:rsidRDefault="009669C9">
      <w:pPr>
        <w:spacing w:before="120" w:after="120"/>
        <w:ind w:left="851" w:right="900"/>
        <w:jc w:val="both"/>
        <w:rPr>
          <w:rFonts w:ascii="Palatino Linotype" w:eastAsia="Palatino Linotype" w:hAnsi="Palatino Linotype" w:cs="Palatino Linotype"/>
          <w:i/>
        </w:rPr>
      </w:pPr>
      <w:r w:rsidRPr="004350CF">
        <w:rPr>
          <w:rFonts w:ascii="Palatino Linotype" w:eastAsia="Palatino Linotype" w:hAnsi="Palatino Linotype" w:cs="Palatino Linotype"/>
          <w:b/>
          <w:i/>
        </w:rPr>
        <w:t>II.</w:t>
      </w:r>
      <w:r w:rsidRPr="004350CF">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13207363" w14:textId="77777777" w:rsidR="002F3595" w:rsidRPr="004350CF" w:rsidRDefault="009669C9">
      <w:pPr>
        <w:spacing w:before="120" w:after="120"/>
        <w:ind w:left="851" w:right="900"/>
        <w:jc w:val="both"/>
        <w:rPr>
          <w:rFonts w:ascii="Palatino Linotype" w:eastAsia="Palatino Linotype" w:hAnsi="Palatino Linotype" w:cs="Palatino Linotype"/>
          <w:i/>
        </w:rPr>
      </w:pPr>
      <w:r w:rsidRPr="004350CF">
        <w:rPr>
          <w:rFonts w:ascii="Palatino Linotype" w:eastAsia="Palatino Linotype" w:hAnsi="Palatino Linotype" w:cs="Palatino Linotype"/>
          <w:b/>
          <w:i/>
        </w:rPr>
        <w:t>III.</w:t>
      </w:r>
      <w:r w:rsidRPr="004350CF">
        <w:rPr>
          <w:rFonts w:ascii="Palatino Linotype" w:eastAsia="Palatino Linotype" w:hAnsi="Palatino Linotype" w:cs="Palatino Linotype"/>
          <w:i/>
        </w:rPr>
        <w:t xml:space="preserve"> Señalar las personas o instancias autorizadas a acceder a la información clasificada.</w:t>
      </w:r>
    </w:p>
    <w:p w14:paraId="5EF769C4" w14:textId="77777777" w:rsidR="002F3595" w:rsidRPr="004350CF" w:rsidRDefault="009669C9">
      <w:pPr>
        <w:spacing w:before="120" w:after="120"/>
        <w:ind w:left="851" w:right="900"/>
        <w:jc w:val="both"/>
        <w:rPr>
          <w:rFonts w:ascii="Palatino Linotype" w:eastAsia="Palatino Linotype" w:hAnsi="Palatino Linotype" w:cs="Palatino Linotype"/>
          <w:i/>
        </w:rPr>
      </w:pPr>
      <w:r w:rsidRPr="004350CF">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54A16502" w14:textId="77777777" w:rsidR="002F3595" w:rsidRPr="004350CF" w:rsidRDefault="009669C9">
      <w:pPr>
        <w:pBdr>
          <w:top w:val="nil"/>
          <w:left w:val="nil"/>
          <w:bottom w:val="nil"/>
          <w:right w:val="nil"/>
          <w:between w:val="nil"/>
        </w:pBdr>
        <w:spacing w:before="120" w:after="120"/>
        <w:ind w:left="851" w:right="900"/>
        <w:jc w:val="both"/>
        <w:rPr>
          <w:rFonts w:ascii="Palatino Linotype" w:eastAsia="Palatino Linotype" w:hAnsi="Palatino Linotype" w:cs="Palatino Linotype"/>
          <w:i/>
        </w:rPr>
      </w:pPr>
      <w:r w:rsidRPr="004350CF">
        <w:rPr>
          <w:rFonts w:ascii="Palatino Linotype" w:eastAsia="Palatino Linotype" w:hAnsi="Palatino Linotype" w:cs="Palatino Linotype"/>
          <w:i/>
        </w:rPr>
        <w:t>…</w:t>
      </w:r>
    </w:p>
    <w:p w14:paraId="4EACF1A4" w14:textId="77777777" w:rsidR="002F3595" w:rsidRPr="004350CF" w:rsidRDefault="009669C9">
      <w:pPr>
        <w:pBdr>
          <w:top w:val="nil"/>
          <w:left w:val="nil"/>
          <w:bottom w:val="nil"/>
          <w:right w:val="nil"/>
          <w:between w:val="nil"/>
        </w:pBdr>
        <w:spacing w:before="120" w:after="120"/>
        <w:ind w:left="851" w:right="900"/>
        <w:jc w:val="both"/>
        <w:rPr>
          <w:rFonts w:ascii="Palatino Linotype" w:eastAsia="Palatino Linotype" w:hAnsi="Palatino Linotype" w:cs="Palatino Linotype"/>
          <w:b/>
          <w:i/>
        </w:rPr>
      </w:pPr>
      <w:r w:rsidRPr="004350CF">
        <w:rPr>
          <w:rFonts w:ascii="Palatino Linotype" w:eastAsia="Palatino Linotype" w:hAnsi="Palatino Linotype" w:cs="Palatino Linotype"/>
          <w:b/>
          <w:i/>
        </w:rPr>
        <w:t xml:space="preserve">Quincuagésimo cuarto. </w:t>
      </w:r>
      <w:r w:rsidRPr="004350CF">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4350CF">
        <w:rPr>
          <w:rFonts w:ascii="Palatino Linotype" w:eastAsia="Palatino Linotype" w:hAnsi="Palatino Linotype" w:cs="Palatino Linotype"/>
          <w:b/>
          <w:i/>
        </w:rPr>
        <w:t xml:space="preserve"> </w:t>
      </w:r>
    </w:p>
    <w:p w14:paraId="5BBEFA57"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 xml:space="preserve">Quincuagésimo quinto. </w:t>
      </w:r>
      <w:r w:rsidRPr="004350CF">
        <w:rPr>
          <w:rFonts w:ascii="Palatino Linotype" w:eastAsia="Palatino Linotype" w:hAnsi="Palatino Linotype" w:cs="Palatino Linotype"/>
          <w:i/>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896CCAC" w14:textId="77777777" w:rsidR="002F3595" w:rsidRPr="004350CF" w:rsidRDefault="009669C9">
      <w:pPr>
        <w:spacing w:before="120" w:after="120"/>
        <w:ind w:left="851" w:right="902"/>
        <w:jc w:val="both"/>
        <w:rPr>
          <w:rFonts w:ascii="Palatino Linotype" w:eastAsia="Palatino Linotype" w:hAnsi="Palatino Linotype" w:cs="Palatino Linotype"/>
          <w:b/>
          <w:i/>
        </w:rPr>
      </w:pPr>
      <w:r w:rsidRPr="004350CF">
        <w:rPr>
          <w:rFonts w:ascii="Palatino Linotype" w:eastAsia="Palatino Linotype" w:hAnsi="Palatino Linotype" w:cs="Palatino Linotype"/>
          <w:b/>
          <w:i/>
        </w:rPr>
        <w:t>...</w:t>
      </w:r>
    </w:p>
    <w:p w14:paraId="5C36BFFE"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Quincuagésimo séptimo</w:t>
      </w:r>
      <w:r w:rsidRPr="004350CF">
        <w:rPr>
          <w:rFonts w:ascii="Palatino Linotype" w:eastAsia="Palatino Linotype" w:hAnsi="Palatino Linotype" w:cs="Palatino Linotype"/>
          <w:i/>
        </w:rPr>
        <w:t xml:space="preserve">. Se considera, en principio, como información pública y no podrá omitirse de las versiones públicas la siguiente: </w:t>
      </w:r>
    </w:p>
    <w:p w14:paraId="3B70677D"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w:t>
      </w:r>
      <w:r w:rsidRPr="004350CF">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623EF5AF"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II.</w:t>
      </w:r>
      <w:r w:rsidRPr="004350CF">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24641B29"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III</w:t>
      </w:r>
      <w:r w:rsidRPr="004350CF">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F72AC8B"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5D521042" w14:textId="77777777" w:rsidR="002F3595" w:rsidRPr="004350CF" w:rsidRDefault="009669C9">
      <w:pPr>
        <w:spacing w:before="120" w:after="120"/>
        <w:ind w:left="851" w:right="902"/>
        <w:jc w:val="both"/>
        <w:rPr>
          <w:rFonts w:ascii="Palatino Linotype" w:eastAsia="Palatino Linotype" w:hAnsi="Palatino Linotype" w:cs="Palatino Linotype"/>
          <w:i/>
        </w:rPr>
      </w:pPr>
      <w:r w:rsidRPr="004350CF">
        <w:rPr>
          <w:rFonts w:ascii="Palatino Linotype" w:eastAsia="Palatino Linotype" w:hAnsi="Palatino Linotype" w:cs="Palatino Linotype"/>
          <w:b/>
          <w:i/>
        </w:rPr>
        <w:t>Quincuagésimo octavo</w:t>
      </w:r>
      <w:r w:rsidRPr="004350CF">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3046A3EC" w14:textId="4C72FD48"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Así, con fundamento en lo prescrito en los artículos </w:t>
      </w:r>
      <w:r w:rsidR="0004364E" w:rsidRPr="004350CF">
        <w:rPr>
          <w:rFonts w:ascii="Palatino Linotype" w:eastAsia="Palatino Linotype" w:hAnsi="Palatino Linotype" w:cs="Palatino Linotype"/>
        </w:rPr>
        <w:t>5 párrafos cuadragésimo cuarto, cuadragésimo quinto y cuadragésimo sexto, fracciones IV y V de la Constitución Política del Estado Libre y Soberano de México; transitorio Cuarto del Decreto número 198 de la “LXII” Legislatura del Estado de México</w:t>
      </w:r>
      <w:r w:rsidRPr="004350CF">
        <w:rPr>
          <w:rFonts w:ascii="Palatino Linotype" w:eastAsia="Palatino Linotype" w:hAnsi="Palatino Linotype" w:cs="Palatino Linotype"/>
        </w:rPr>
        <w:t>; 2, fracción II; 29, 36 fracciones I y II; 176, 178, 181, 185 y 186 fracción II de la Ley de Transparencia y Acceso a la Información Pública del Estado de México y Municipios, este Pleno:</w:t>
      </w:r>
    </w:p>
    <w:p w14:paraId="210B5673" w14:textId="77777777" w:rsidR="002F3595" w:rsidRPr="004350CF" w:rsidRDefault="009669C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350CF">
        <w:rPr>
          <w:rFonts w:ascii="Palatino Linotype" w:eastAsia="Palatino Linotype" w:hAnsi="Palatino Linotype" w:cs="Palatino Linotype"/>
          <w:b/>
        </w:rPr>
        <w:t>III. R E S U E L V E</w:t>
      </w:r>
    </w:p>
    <w:p w14:paraId="4B0038B7" w14:textId="77777777" w:rsidR="002F3595" w:rsidRPr="004350CF" w:rsidRDefault="009669C9">
      <w:pPr>
        <w:spacing w:before="240" w:after="240" w:line="360" w:lineRule="auto"/>
        <w:jc w:val="both"/>
        <w:rPr>
          <w:rFonts w:ascii="Palatino Linotype" w:eastAsia="Palatino Linotype" w:hAnsi="Palatino Linotype" w:cs="Palatino Linotype"/>
        </w:rPr>
      </w:pPr>
      <w:bookmarkStart w:id="5" w:name="_heading=h.1t3h5sf" w:colFirst="0" w:colLast="0"/>
      <w:bookmarkEnd w:id="5"/>
      <w:r w:rsidRPr="004350CF">
        <w:rPr>
          <w:rFonts w:ascii="Palatino Linotype" w:eastAsia="Palatino Linotype" w:hAnsi="Palatino Linotype" w:cs="Palatino Linotype"/>
          <w:b/>
        </w:rPr>
        <w:t xml:space="preserve">Primero. </w:t>
      </w:r>
      <w:r w:rsidRPr="004350CF">
        <w:rPr>
          <w:rFonts w:ascii="Palatino Linotype" w:eastAsia="Palatino Linotype" w:hAnsi="Palatino Linotype" w:cs="Palatino Linotype"/>
        </w:rPr>
        <w:t>Resultan</w:t>
      </w:r>
      <w:r w:rsidRPr="004350CF">
        <w:rPr>
          <w:rFonts w:ascii="Palatino Linotype" w:eastAsia="Palatino Linotype" w:hAnsi="Palatino Linotype" w:cs="Palatino Linotype"/>
          <w:b/>
        </w:rPr>
        <w:t xml:space="preserve"> fundadas</w:t>
      </w:r>
      <w:r w:rsidRPr="004350CF">
        <w:rPr>
          <w:rFonts w:ascii="Palatino Linotype" w:eastAsia="Palatino Linotype" w:hAnsi="Palatino Linotype" w:cs="Palatino Linotype"/>
        </w:rPr>
        <w:t xml:space="preserve"> las razones o motivos de inconformidad hechos valer por la parte</w:t>
      </w:r>
      <w:r w:rsidRPr="004350CF">
        <w:rPr>
          <w:rFonts w:ascii="Palatino Linotype" w:eastAsia="Palatino Linotype" w:hAnsi="Palatino Linotype" w:cs="Palatino Linotype"/>
          <w:b/>
        </w:rPr>
        <w:t xml:space="preserve"> Recurrente</w:t>
      </w:r>
      <w:r w:rsidRPr="004350CF">
        <w:rPr>
          <w:rFonts w:ascii="Palatino Linotype" w:eastAsia="Palatino Linotype" w:hAnsi="Palatino Linotype" w:cs="Palatino Linotype"/>
        </w:rPr>
        <w:t xml:space="preserve"> en los recursos de revisión </w:t>
      </w:r>
      <w:r w:rsidRPr="004350CF">
        <w:rPr>
          <w:rFonts w:ascii="Palatino Linotype" w:eastAsia="Palatino Linotype" w:hAnsi="Palatino Linotype" w:cs="Palatino Linotype"/>
          <w:b/>
        </w:rPr>
        <w:t>06454/INFOEM/IP/RR/2025, 06455/INFOEM/IP/RR/2025, 06460/INFOEM/IP/RR/2025, 06461/INFOEM/IP/RR/2025 y 06462/INFOEM/IP/RR/2025</w:t>
      </w:r>
      <w:r w:rsidRPr="004350CF">
        <w:rPr>
          <w:rFonts w:ascii="Palatino Linotype" w:eastAsia="Palatino Linotype" w:hAnsi="Palatino Linotype" w:cs="Palatino Linotype"/>
        </w:rPr>
        <w:t xml:space="preserve">; por lo que, en términos del </w:t>
      </w:r>
      <w:r w:rsidRPr="004350CF">
        <w:rPr>
          <w:rFonts w:ascii="Palatino Linotype" w:eastAsia="Palatino Linotype" w:hAnsi="Palatino Linotype" w:cs="Palatino Linotype"/>
          <w:b/>
        </w:rPr>
        <w:t>Considerando</w:t>
      </w:r>
      <w:r w:rsidRPr="004350CF">
        <w:rPr>
          <w:rFonts w:ascii="Palatino Linotype" w:eastAsia="Palatino Linotype" w:hAnsi="Palatino Linotype" w:cs="Palatino Linotype"/>
        </w:rPr>
        <w:t xml:space="preserve"> </w:t>
      </w:r>
      <w:r w:rsidRPr="004350CF">
        <w:rPr>
          <w:rFonts w:ascii="Palatino Linotype" w:eastAsia="Palatino Linotype" w:hAnsi="Palatino Linotype" w:cs="Palatino Linotype"/>
          <w:b/>
        </w:rPr>
        <w:t xml:space="preserve">Cuarto </w:t>
      </w:r>
      <w:r w:rsidRPr="004350CF">
        <w:rPr>
          <w:rFonts w:ascii="Palatino Linotype" w:eastAsia="Palatino Linotype" w:hAnsi="Palatino Linotype" w:cs="Palatino Linotype"/>
        </w:rPr>
        <w:t xml:space="preserve">de esta resolución, se </w:t>
      </w:r>
      <w:r w:rsidRPr="004350CF">
        <w:rPr>
          <w:rFonts w:ascii="Palatino Linotype" w:eastAsia="Palatino Linotype" w:hAnsi="Palatino Linotype" w:cs="Palatino Linotype"/>
          <w:b/>
        </w:rPr>
        <w:t xml:space="preserve">Revocan </w:t>
      </w:r>
      <w:r w:rsidRPr="004350CF">
        <w:rPr>
          <w:rFonts w:ascii="Palatino Linotype" w:eastAsia="Palatino Linotype" w:hAnsi="Palatino Linotype" w:cs="Palatino Linotype"/>
        </w:rPr>
        <w:t xml:space="preserve">las respuestas emitidas por el </w:t>
      </w:r>
      <w:r w:rsidRPr="004350CF">
        <w:rPr>
          <w:rFonts w:ascii="Palatino Linotype" w:eastAsia="Palatino Linotype" w:hAnsi="Palatino Linotype" w:cs="Palatino Linotype"/>
          <w:b/>
        </w:rPr>
        <w:t xml:space="preserve">Sujeto Obligado. </w:t>
      </w:r>
    </w:p>
    <w:p w14:paraId="628CB47F" w14:textId="77777777" w:rsidR="002F3595" w:rsidRPr="004350CF" w:rsidRDefault="009669C9">
      <w:pPr>
        <w:spacing w:before="240" w:after="240" w:line="360" w:lineRule="auto"/>
        <w:ind w:right="49"/>
        <w:jc w:val="both"/>
        <w:rPr>
          <w:rFonts w:ascii="Palatino Linotype" w:eastAsia="Palatino Linotype" w:hAnsi="Palatino Linotype" w:cs="Palatino Linotype"/>
        </w:rPr>
      </w:pPr>
      <w:r w:rsidRPr="004350CF">
        <w:rPr>
          <w:rFonts w:ascii="Palatino Linotype" w:eastAsia="Palatino Linotype" w:hAnsi="Palatino Linotype" w:cs="Palatino Linotype"/>
          <w:b/>
        </w:rPr>
        <w:t xml:space="preserve">Segundo. </w:t>
      </w:r>
      <w:r w:rsidRPr="004350CF">
        <w:rPr>
          <w:rFonts w:ascii="Palatino Linotype" w:eastAsia="Palatino Linotype" w:hAnsi="Palatino Linotype" w:cs="Palatino Linotype"/>
        </w:rPr>
        <w:t xml:space="preserve">Se </w:t>
      </w:r>
      <w:r w:rsidRPr="004350CF">
        <w:rPr>
          <w:rFonts w:ascii="Palatino Linotype" w:eastAsia="Palatino Linotype" w:hAnsi="Palatino Linotype" w:cs="Palatino Linotype"/>
          <w:b/>
        </w:rPr>
        <w:t xml:space="preserve">Ordena </w:t>
      </w:r>
      <w:r w:rsidRPr="004350CF">
        <w:rPr>
          <w:rFonts w:ascii="Palatino Linotype" w:eastAsia="Palatino Linotype" w:hAnsi="Palatino Linotype" w:cs="Palatino Linotype"/>
        </w:rPr>
        <w:t xml:space="preserve">al </w:t>
      </w:r>
      <w:r w:rsidRPr="004350CF">
        <w:rPr>
          <w:rFonts w:ascii="Palatino Linotype" w:eastAsia="Palatino Linotype" w:hAnsi="Palatino Linotype" w:cs="Palatino Linotype"/>
          <w:b/>
        </w:rPr>
        <w:t xml:space="preserve">Sujeto Obligado, </w:t>
      </w:r>
      <w:r w:rsidRPr="004350CF">
        <w:rPr>
          <w:rFonts w:ascii="Palatino Linotype" w:eastAsia="Palatino Linotype" w:hAnsi="Palatino Linotype" w:cs="Palatino Linotype"/>
        </w:rPr>
        <w:t xml:space="preserve">en términos de los </w:t>
      </w:r>
      <w:r w:rsidRPr="004350CF">
        <w:rPr>
          <w:rFonts w:ascii="Palatino Linotype" w:eastAsia="Palatino Linotype" w:hAnsi="Palatino Linotype" w:cs="Palatino Linotype"/>
          <w:b/>
        </w:rPr>
        <w:t>Considerandos</w:t>
      </w:r>
      <w:r w:rsidRPr="004350CF">
        <w:rPr>
          <w:rFonts w:ascii="Palatino Linotype" w:eastAsia="Palatino Linotype" w:hAnsi="Palatino Linotype" w:cs="Palatino Linotype"/>
        </w:rPr>
        <w:t xml:space="preserve"> </w:t>
      </w:r>
      <w:r w:rsidRPr="004350CF">
        <w:rPr>
          <w:rFonts w:ascii="Palatino Linotype" w:eastAsia="Palatino Linotype" w:hAnsi="Palatino Linotype" w:cs="Palatino Linotype"/>
          <w:b/>
        </w:rPr>
        <w:t xml:space="preserve">Cuarto </w:t>
      </w:r>
      <w:r w:rsidRPr="004350CF">
        <w:rPr>
          <w:rFonts w:ascii="Palatino Linotype" w:eastAsia="Palatino Linotype" w:hAnsi="Palatino Linotype" w:cs="Palatino Linotype"/>
        </w:rPr>
        <w:t xml:space="preserve">y </w:t>
      </w:r>
      <w:r w:rsidRPr="004350CF">
        <w:rPr>
          <w:rFonts w:ascii="Palatino Linotype" w:eastAsia="Palatino Linotype" w:hAnsi="Palatino Linotype" w:cs="Palatino Linotype"/>
          <w:b/>
        </w:rPr>
        <w:t xml:space="preserve">Quinto </w:t>
      </w:r>
      <w:r w:rsidRPr="004350CF">
        <w:rPr>
          <w:rFonts w:ascii="Palatino Linotype" w:eastAsia="Palatino Linotype" w:hAnsi="Palatino Linotype" w:cs="Palatino Linotype"/>
        </w:rPr>
        <w:t xml:space="preserve">de esta resolución, haga entrega, vía </w:t>
      </w:r>
      <w:r w:rsidRPr="004350CF">
        <w:rPr>
          <w:rFonts w:ascii="Palatino Linotype" w:eastAsia="Palatino Linotype" w:hAnsi="Palatino Linotype" w:cs="Palatino Linotype"/>
          <w:b/>
        </w:rPr>
        <w:t>SAIMEX</w:t>
      </w:r>
      <w:r w:rsidRPr="004350CF">
        <w:rPr>
          <w:rFonts w:ascii="Palatino Linotype" w:eastAsia="Palatino Linotype" w:hAnsi="Palatino Linotype" w:cs="Palatino Linotype"/>
        </w:rPr>
        <w:t>, en versión pública de ser procedente, de lo siguiente:</w:t>
      </w:r>
    </w:p>
    <w:p w14:paraId="4AF55B2E" w14:textId="77777777" w:rsidR="002F3595" w:rsidRPr="004350CF" w:rsidRDefault="009669C9">
      <w:pPr>
        <w:spacing w:before="240" w:after="240" w:line="360" w:lineRule="auto"/>
        <w:ind w:left="284" w:right="134"/>
        <w:jc w:val="both"/>
        <w:rPr>
          <w:rFonts w:ascii="Palatino Linotype" w:eastAsia="Palatino Linotype" w:hAnsi="Palatino Linotype" w:cs="Palatino Linotype"/>
        </w:rPr>
      </w:pPr>
      <w:r w:rsidRPr="004350CF">
        <w:rPr>
          <w:rFonts w:ascii="Palatino Linotype" w:eastAsia="Palatino Linotype" w:hAnsi="Palatino Linotype" w:cs="Palatino Linotype"/>
        </w:rPr>
        <w:t>1. El o los documentos que den cuenta del número de licitaciones públicas celebradas del uno de enero de dos mil veintidós, al veintinueve de abril de dos mil veinticinco, así como el monto erogado.</w:t>
      </w:r>
    </w:p>
    <w:p w14:paraId="41B7D4E5" w14:textId="77777777" w:rsidR="002F3595" w:rsidRPr="004350CF" w:rsidRDefault="009669C9">
      <w:pPr>
        <w:spacing w:before="120" w:after="120"/>
        <w:ind w:left="284"/>
        <w:jc w:val="both"/>
        <w:rPr>
          <w:rFonts w:ascii="Palatino Linotype" w:eastAsia="Palatino Linotype" w:hAnsi="Palatino Linotype" w:cs="Palatino Linotype"/>
          <w:b/>
          <w:i/>
          <w:sz w:val="20"/>
          <w:szCs w:val="20"/>
        </w:rPr>
      </w:pPr>
      <w:r w:rsidRPr="004350CF">
        <w:rPr>
          <w:rFonts w:ascii="Palatino Linotype" w:eastAsia="Palatino Linotype" w:hAnsi="Palatino Linotype" w:cs="Palatino Linotype"/>
          <w:i/>
          <w:sz w:val="20"/>
          <w:szCs w:val="20"/>
        </w:rPr>
        <w:t xml:space="preserve">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hará de conocimiento de la parte </w:t>
      </w:r>
      <w:r w:rsidRPr="004350CF">
        <w:rPr>
          <w:rFonts w:ascii="Palatino Linotype" w:eastAsia="Palatino Linotype" w:hAnsi="Palatino Linotype" w:cs="Palatino Linotype"/>
          <w:b/>
          <w:i/>
          <w:sz w:val="20"/>
          <w:szCs w:val="20"/>
        </w:rPr>
        <w:t>Recurrente.</w:t>
      </w:r>
    </w:p>
    <w:p w14:paraId="37FAFA26" w14:textId="239CC4CA" w:rsidR="00635BC0" w:rsidRPr="004350CF" w:rsidRDefault="00635BC0" w:rsidP="00635BC0">
      <w:pPr>
        <w:spacing w:before="120" w:after="120"/>
        <w:ind w:left="284"/>
        <w:jc w:val="both"/>
        <w:rPr>
          <w:rFonts w:ascii="Palatino Linotype" w:eastAsia="Palatino Linotype" w:hAnsi="Palatino Linotype" w:cs="Palatino Linotype"/>
          <w:bCs/>
          <w:i/>
          <w:sz w:val="20"/>
          <w:szCs w:val="20"/>
        </w:rPr>
      </w:pPr>
      <w:r w:rsidRPr="004350CF">
        <w:rPr>
          <w:rFonts w:ascii="Palatino Linotype" w:eastAsia="Palatino Linotype" w:hAnsi="Palatino Linotype" w:cs="Palatino Linotype"/>
          <w:bCs/>
          <w:i/>
          <w:sz w:val="20"/>
          <w:szCs w:val="20"/>
        </w:rPr>
        <w:t>En el supuesto que</w:t>
      </w:r>
      <w:r w:rsidR="00410617" w:rsidRPr="004350CF">
        <w:rPr>
          <w:rFonts w:ascii="Palatino Linotype" w:eastAsia="Palatino Linotype" w:hAnsi="Palatino Linotype" w:cs="Palatino Linotype"/>
          <w:bCs/>
          <w:i/>
          <w:sz w:val="20"/>
          <w:szCs w:val="20"/>
        </w:rPr>
        <w:t xml:space="preserve"> no se llegara a localizar </w:t>
      </w:r>
      <w:r w:rsidRPr="004350CF">
        <w:rPr>
          <w:rFonts w:ascii="Palatino Linotype" w:eastAsia="Palatino Linotype" w:hAnsi="Palatino Linotype" w:cs="Palatino Linotype"/>
          <w:bCs/>
          <w:i/>
          <w:sz w:val="20"/>
          <w:szCs w:val="20"/>
        </w:rPr>
        <w:t xml:space="preserve">la información </w:t>
      </w:r>
      <w:r w:rsidR="00410617" w:rsidRPr="004350CF">
        <w:rPr>
          <w:rFonts w:ascii="Palatino Linotype" w:eastAsia="Palatino Linotype" w:hAnsi="Palatino Linotype" w:cs="Palatino Linotype"/>
          <w:bCs/>
          <w:i/>
          <w:sz w:val="20"/>
          <w:szCs w:val="20"/>
        </w:rPr>
        <w:t xml:space="preserve">del uno de enero al veintinueve de abril de dos mil veinticinco </w:t>
      </w:r>
      <w:r w:rsidRPr="004350CF">
        <w:rPr>
          <w:rFonts w:ascii="Palatino Linotype" w:eastAsia="Palatino Linotype" w:hAnsi="Palatino Linotype" w:cs="Palatino Linotype"/>
          <w:bCs/>
          <w:i/>
          <w:sz w:val="20"/>
          <w:szCs w:val="20"/>
        </w:rPr>
        <w:t xml:space="preserve">por no haberse generado, bastará con que así lo haga del conocimiento de la parte </w:t>
      </w:r>
      <w:r w:rsidRPr="004350CF">
        <w:rPr>
          <w:rFonts w:ascii="Palatino Linotype" w:eastAsia="Palatino Linotype" w:hAnsi="Palatino Linotype" w:cs="Palatino Linotype"/>
          <w:b/>
          <w:i/>
          <w:sz w:val="20"/>
          <w:szCs w:val="20"/>
        </w:rPr>
        <w:t>Recurrente</w:t>
      </w:r>
      <w:r w:rsidRPr="004350CF">
        <w:rPr>
          <w:rFonts w:ascii="Palatino Linotype" w:eastAsia="Palatino Linotype" w:hAnsi="Palatino Linotype" w:cs="Palatino Linotype"/>
          <w:bCs/>
          <w:i/>
          <w:sz w:val="20"/>
          <w:szCs w:val="20"/>
        </w:rPr>
        <w:t>, en términos del artículo 19, párrafo segundo de la Ley de Transparencia y Acceso a la Información Pública del Estado de México y Municipios, para tener por colmado el requerimiento de información.</w:t>
      </w:r>
    </w:p>
    <w:p w14:paraId="74C94C1F" w14:textId="77777777" w:rsidR="002F3595" w:rsidRPr="004350CF" w:rsidRDefault="009669C9">
      <w:pPr>
        <w:spacing w:before="120" w:after="12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b/>
        </w:rPr>
        <w:t xml:space="preserve">Tercero. Notifíquese, </w:t>
      </w:r>
      <w:r w:rsidRPr="004350CF">
        <w:rPr>
          <w:rFonts w:ascii="Palatino Linotype" w:eastAsia="Palatino Linotype" w:hAnsi="Palatino Linotype" w:cs="Palatino Linotype"/>
        </w:rPr>
        <w:t xml:space="preserve">vía </w:t>
      </w:r>
      <w:r w:rsidRPr="004350CF">
        <w:rPr>
          <w:rFonts w:ascii="Palatino Linotype" w:eastAsia="Palatino Linotype" w:hAnsi="Palatino Linotype" w:cs="Palatino Linotype"/>
          <w:b/>
        </w:rPr>
        <w:t>SAIMEX</w:t>
      </w:r>
      <w:r w:rsidRPr="004350CF">
        <w:rPr>
          <w:rFonts w:ascii="Palatino Linotype" w:eastAsia="Palatino Linotype" w:hAnsi="Palatino Linotype" w:cs="Palatino Linotype"/>
        </w:rPr>
        <w:t xml:space="preserve">, al Titular de la Unidad de Transparencia del </w:t>
      </w:r>
      <w:r w:rsidRPr="004350CF">
        <w:rPr>
          <w:rFonts w:ascii="Palatino Linotype" w:eastAsia="Palatino Linotype" w:hAnsi="Palatino Linotype" w:cs="Palatino Linotype"/>
          <w:b/>
        </w:rPr>
        <w:t>Sujeto Obligado,</w:t>
      </w:r>
      <w:r w:rsidRPr="004350CF">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97A291D" w14:textId="77777777" w:rsidR="002F3595" w:rsidRPr="004350CF" w:rsidRDefault="009669C9">
      <w:pPr>
        <w:spacing w:before="240" w:after="240" w:line="360" w:lineRule="auto"/>
        <w:jc w:val="both"/>
        <w:rPr>
          <w:rFonts w:ascii="Palatino Linotype" w:eastAsia="Palatino Linotype" w:hAnsi="Palatino Linotype" w:cs="Palatino Linotype"/>
        </w:rPr>
      </w:pPr>
      <w:r w:rsidRPr="004350C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350CF">
        <w:rPr>
          <w:rFonts w:ascii="Palatino Linotype" w:eastAsia="Palatino Linotype" w:hAnsi="Palatino Linotype" w:cs="Palatino Linotype"/>
          <w:b/>
        </w:rPr>
        <w:t>Sujeto Obligado</w:t>
      </w:r>
      <w:r w:rsidRPr="004350CF">
        <w:rPr>
          <w:rFonts w:ascii="Palatino Linotype" w:eastAsia="Palatino Linotype" w:hAnsi="Palatino Linotype" w:cs="Palatino Linotype"/>
        </w:rPr>
        <w:t xml:space="preserve"> de manera fundada y motivada, podrá solicitar una ampliación de plazo para el cumplimiento de la presente resolución.</w:t>
      </w:r>
    </w:p>
    <w:p w14:paraId="0E882504" w14:textId="77777777" w:rsidR="002F3595" w:rsidRPr="004350CF" w:rsidRDefault="009669C9">
      <w:pPr>
        <w:spacing w:before="240" w:after="240" w:line="360" w:lineRule="auto"/>
        <w:jc w:val="both"/>
        <w:rPr>
          <w:rFonts w:ascii="Palatino Linotype" w:eastAsia="Palatino Linotype" w:hAnsi="Palatino Linotype" w:cs="Palatino Linotype"/>
        </w:rPr>
      </w:pPr>
      <w:bookmarkStart w:id="6" w:name="_heading=h.ot3qq6vxa08f" w:colFirst="0" w:colLast="0"/>
      <w:bookmarkEnd w:id="6"/>
      <w:r w:rsidRPr="004350CF">
        <w:rPr>
          <w:rFonts w:ascii="Palatino Linotype" w:eastAsia="Palatino Linotype" w:hAnsi="Palatino Linotype" w:cs="Palatino Linotype"/>
          <w:b/>
        </w:rPr>
        <w:t xml:space="preserve">Cuarto.  Notifíquese, </w:t>
      </w:r>
      <w:r w:rsidRPr="004350CF">
        <w:rPr>
          <w:rFonts w:ascii="Palatino Linotype" w:eastAsia="Palatino Linotype" w:hAnsi="Palatino Linotype" w:cs="Palatino Linotype"/>
        </w:rPr>
        <w:t xml:space="preserve">vía </w:t>
      </w:r>
      <w:r w:rsidRPr="004350CF">
        <w:rPr>
          <w:rFonts w:ascii="Palatino Linotype" w:eastAsia="Palatino Linotype" w:hAnsi="Palatino Linotype" w:cs="Palatino Linotype"/>
          <w:b/>
        </w:rPr>
        <w:t>SAIMEX</w:t>
      </w:r>
      <w:r w:rsidRPr="004350CF">
        <w:rPr>
          <w:rFonts w:ascii="Palatino Linotype" w:eastAsia="Palatino Linotype" w:hAnsi="Palatino Linotype" w:cs="Palatino Linotype"/>
        </w:rPr>
        <w:t xml:space="preserve"> a la parte </w:t>
      </w:r>
      <w:r w:rsidRPr="004350CF">
        <w:rPr>
          <w:rFonts w:ascii="Palatino Linotype" w:eastAsia="Palatino Linotype" w:hAnsi="Palatino Linotype" w:cs="Palatino Linotype"/>
          <w:b/>
        </w:rPr>
        <w:t>Recurrente</w:t>
      </w:r>
      <w:r w:rsidRPr="004350C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1800B803" w14:textId="7DDEF03A" w:rsidR="002F3595" w:rsidRPr="00D261D9" w:rsidRDefault="009669C9">
      <w:pPr>
        <w:tabs>
          <w:tab w:val="left" w:pos="8647"/>
        </w:tabs>
        <w:spacing w:before="240" w:after="240" w:line="360" w:lineRule="auto"/>
        <w:ind w:right="51"/>
        <w:jc w:val="both"/>
        <w:rPr>
          <w:rFonts w:ascii="Palatino Linotype" w:eastAsia="Palatino Linotype" w:hAnsi="Palatino Linotype" w:cs="Palatino Linotype"/>
        </w:rPr>
      </w:pPr>
      <w:bookmarkStart w:id="7" w:name="_heading=h.lnxbz9" w:colFirst="0" w:colLast="0"/>
      <w:bookmarkEnd w:id="7"/>
      <w:r w:rsidRPr="004350C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04364E" w:rsidRPr="004350CF">
        <w:rPr>
          <w:rFonts w:ascii="Palatino Linotype" w:eastAsia="Palatino Linotype" w:hAnsi="Palatino Linotype" w:cs="Palatino Linotype"/>
        </w:rPr>
        <w:t xml:space="preserve"> (AUSENCIA JUSTIFICADA)</w:t>
      </w:r>
      <w:r w:rsidRPr="004350CF">
        <w:rPr>
          <w:rFonts w:ascii="Palatino Linotype" w:eastAsia="Palatino Linotype" w:hAnsi="Palatino Linotype" w:cs="Palatino Linotype"/>
        </w:rPr>
        <w:t xml:space="preserve">, SHARON CRISTINA MORALES MARTÍNEZ, LUIS GUSTAVO PARRA NORIEGA, Y GUADALUPE RAMÍREZ PEÑA, EN LA TRIGÉSIMA NOVENA SESIÓN ORDINARIA CELEBRADA EL </w:t>
      </w:r>
      <w:r w:rsidR="00ED06C0" w:rsidRPr="004350CF">
        <w:rPr>
          <w:rFonts w:ascii="Palatino Linotype" w:eastAsia="Palatino Linotype" w:hAnsi="Palatino Linotype" w:cs="Palatino Linotype"/>
        </w:rPr>
        <w:t xml:space="preserve">CINCO DE NOVIEMBRE </w:t>
      </w:r>
      <w:r w:rsidRPr="004350CF">
        <w:rPr>
          <w:rFonts w:ascii="Palatino Linotype" w:eastAsia="Palatino Linotype" w:hAnsi="Palatino Linotype" w:cs="Palatino Linotype"/>
        </w:rPr>
        <w:t>DE DOS MIL VEINTICINCO, ANTE EL SECRETARIO TÉCNICO DEL PLENO ALEXIS TAPIA RAMÍREZ.</w:t>
      </w:r>
    </w:p>
    <w:p w14:paraId="6EA00F59"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0D79B562"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11302162"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7E7D6997"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2C48C084"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7E0E48C3"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050A659E"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7AE90CC7"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599C18D7"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5471D555"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2E1206EE"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04A0A544"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21F0DC26"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303A6B5B"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4C355BD3"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3610785B"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30E61892"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064966E5"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p w14:paraId="48FD081A" w14:textId="77777777" w:rsidR="002F3595" w:rsidRPr="00D261D9" w:rsidRDefault="002F3595">
      <w:pPr>
        <w:spacing w:before="240" w:after="240" w:line="360" w:lineRule="auto"/>
        <w:ind w:right="49"/>
        <w:jc w:val="both"/>
        <w:rPr>
          <w:rFonts w:ascii="Palatino Linotype" w:eastAsia="Palatino Linotype" w:hAnsi="Palatino Linotype" w:cs="Palatino Linotype"/>
        </w:rPr>
      </w:pPr>
    </w:p>
    <w:sectPr w:rsidR="002F3595" w:rsidRPr="00D261D9">
      <w:headerReference w:type="default" r:id="rId11"/>
      <w:footerReference w:type="default" r:id="rId12"/>
      <w:headerReference w:type="first" r:id="rId13"/>
      <w:footerReference w:type="first" r:id="rId1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D65EC5" w14:textId="77777777" w:rsidR="00BA1EC7" w:rsidRDefault="00BA1EC7">
      <w:pPr>
        <w:spacing w:after="0" w:line="240" w:lineRule="auto"/>
      </w:pPr>
      <w:r>
        <w:separator/>
      </w:r>
    </w:p>
  </w:endnote>
  <w:endnote w:type="continuationSeparator" w:id="0">
    <w:p w14:paraId="318987E7" w14:textId="77777777" w:rsidR="00BA1EC7" w:rsidRDefault="00BA1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40D5D" w14:textId="26F06694" w:rsidR="002F3595" w:rsidRDefault="009669C9">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55BC5">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55BC5">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23116A80" w14:textId="77777777" w:rsidR="002F3595" w:rsidRDefault="002F359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2C9C2" w14:textId="44F6A711" w:rsidR="002F3595" w:rsidRDefault="009669C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55BC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55BC5">
      <w:rPr>
        <w:b/>
        <w:noProof/>
        <w:color w:val="000000"/>
        <w:sz w:val="24"/>
        <w:szCs w:val="24"/>
      </w:rPr>
      <w:t>43</w:t>
    </w:r>
    <w:r>
      <w:rPr>
        <w:b/>
        <w:color w:val="000000"/>
        <w:sz w:val="24"/>
        <w:szCs w:val="24"/>
      </w:rPr>
      <w:fldChar w:fldCharType="end"/>
    </w:r>
  </w:p>
  <w:p w14:paraId="5132FE34" w14:textId="77777777" w:rsidR="002F3595" w:rsidRDefault="002F359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CE7E8" w14:textId="77777777" w:rsidR="00BA1EC7" w:rsidRDefault="00BA1EC7">
      <w:pPr>
        <w:spacing w:after="0" w:line="240" w:lineRule="auto"/>
      </w:pPr>
      <w:r>
        <w:separator/>
      </w:r>
    </w:p>
  </w:footnote>
  <w:footnote w:type="continuationSeparator" w:id="0">
    <w:p w14:paraId="081BBD7D" w14:textId="77777777" w:rsidR="00BA1EC7" w:rsidRDefault="00BA1E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569B5" w14:textId="77777777" w:rsidR="002F3595" w:rsidRDefault="009669C9">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21BC1D0F" wp14:editId="48B39C4B">
          <wp:simplePos x="0" y="0"/>
          <wp:positionH relativeFrom="column">
            <wp:posOffset>-746118</wp:posOffset>
          </wp:positionH>
          <wp:positionV relativeFrom="paragraph">
            <wp:posOffset>-448303</wp:posOffset>
          </wp:positionV>
          <wp:extent cx="7809876" cy="10165823"/>
          <wp:effectExtent l="0" t="0" r="0" b="0"/>
          <wp:wrapNone/>
          <wp:docPr id="21431081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608" r="609"/>
                  <a:stretch>
                    <a:fillRect/>
                  </a:stretch>
                </pic:blipFill>
                <pic:spPr>
                  <a:xfrm>
                    <a:off x="0" y="0"/>
                    <a:ext cx="7809876" cy="10165823"/>
                  </a:xfrm>
                  <a:prstGeom prst="rect">
                    <a:avLst/>
                  </a:prstGeom>
                  <a:ln/>
                </pic:spPr>
              </pic:pic>
            </a:graphicData>
          </a:graphic>
        </wp:anchor>
      </w:drawing>
    </w:r>
  </w:p>
  <w:tbl>
    <w:tblPr>
      <w:tblStyle w:val="afb"/>
      <w:tblW w:w="5745" w:type="dxa"/>
      <w:tblInd w:w="3611" w:type="dxa"/>
      <w:tblLayout w:type="fixed"/>
      <w:tblLook w:val="0400" w:firstRow="0" w:lastRow="0" w:firstColumn="0" w:lastColumn="0" w:noHBand="0" w:noVBand="1"/>
    </w:tblPr>
    <w:tblGrid>
      <w:gridCol w:w="2551"/>
      <w:gridCol w:w="3194"/>
    </w:tblGrid>
    <w:tr w:rsidR="002F3595" w14:paraId="26B84CA9" w14:textId="77777777">
      <w:tc>
        <w:tcPr>
          <w:tcW w:w="2551" w:type="dxa"/>
          <w:vAlign w:val="center"/>
        </w:tcPr>
        <w:p w14:paraId="3654E9B2" w14:textId="77777777" w:rsidR="002F3595" w:rsidRDefault="009669C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72961A31" w14:textId="77777777" w:rsidR="002F3595" w:rsidRDefault="002F359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194" w:type="dxa"/>
          <w:vAlign w:val="center"/>
        </w:tcPr>
        <w:p w14:paraId="0377D1CD" w14:textId="77777777" w:rsidR="002F3595" w:rsidRDefault="009669C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06454/INFOEM/IP/RR/2025 y acumulados</w:t>
          </w:r>
        </w:p>
      </w:tc>
    </w:tr>
    <w:tr w:rsidR="002F3595" w14:paraId="34AA6F18" w14:textId="77777777">
      <w:trPr>
        <w:trHeight w:val="228"/>
      </w:trPr>
      <w:tc>
        <w:tcPr>
          <w:tcW w:w="2551" w:type="dxa"/>
          <w:vAlign w:val="center"/>
        </w:tcPr>
        <w:p w14:paraId="0761C92A" w14:textId="77777777" w:rsidR="002F3595" w:rsidRDefault="009669C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194" w:type="dxa"/>
          <w:vAlign w:val="center"/>
        </w:tcPr>
        <w:p w14:paraId="4D6EF499" w14:textId="77777777" w:rsidR="002F3595" w:rsidRDefault="009669C9">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Metepec</w:t>
          </w:r>
        </w:p>
      </w:tc>
    </w:tr>
    <w:tr w:rsidR="002F3595" w14:paraId="3D0D0EA5" w14:textId="77777777">
      <w:tc>
        <w:tcPr>
          <w:tcW w:w="2551" w:type="dxa"/>
          <w:vAlign w:val="center"/>
        </w:tcPr>
        <w:p w14:paraId="0974B993" w14:textId="77777777" w:rsidR="002F3595" w:rsidRDefault="009669C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194" w:type="dxa"/>
          <w:vAlign w:val="center"/>
        </w:tcPr>
        <w:p w14:paraId="5DFFE550" w14:textId="77777777" w:rsidR="002F3595" w:rsidRDefault="009669C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38F7AEF4" w14:textId="77777777" w:rsidR="002F3595" w:rsidRDefault="002F359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30BB5" w14:textId="77777777" w:rsidR="002F3595" w:rsidRDefault="009669C9">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2D7FCCE7" wp14:editId="1AE483BA">
          <wp:simplePos x="0" y="0"/>
          <wp:positionH relativeFrom="column">
            <wp:posOffset>-683891</wp:posOffset>
          </wp:positionH>
          <wp:positionV relativeFrom="paragraph">
            <wp:posOffset>-249551</wp:posOffset>
          </wp:positionV>
          <wp:extent cx="7809876" cy="10165823"/>
          <wp:effectExtent l="0" t="0" r="0" b="0"/>
          <wp:wrapNone/>
          <wp:docPr id="21431081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c"/>
      <w:tblW w:w="5745" w:type="dxa"/>
      <w:tblInd w:w="3611" w:type="dxa"/>
      <w:tblLayout w:type="fixed"/>
      <w:tblLook w:val="0400" w:firstRow="0" w:lastRow="0" w:firstColumn="0" w:lastColumn="0" w:noHBand="0" w:noVBand="1"/>
    </w:tblPr>
    <w:tblGrid>
      <w:gridCol w:w="2551"/>
      <w:gridCol w:w="3194"/>
    </w:tblGrid>
    <w:tr w:rsidR="002F3595" w14:paraId="62FD6856" w14:textId="77777777">
      <w:tc>
        <w:tcPr>
          <w:tcW w:w="2551" w:type="dxa"/>
          <w:vAlign w:val="center"/>
        </w:tcPr>
        <w:p w14:paraId="3774E783" w14:textId="77777777" w:rsidR="002F3595" w:rsidRDefault="009669C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1AE24E61" w14:textId="77777777" w:rsidR="002F3595" w:rsidRDefault="002F359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194" w:type="dxa"/>
          <w:vAlign w:val="center"/>
        </w:tcPr>
        <w:p w14:paraId="76E5A525" w14:textId="77777777" w:rsidR="002F3595" w:rsidRDefault="009669C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06454/INFOEM/IP/RR/2025 y acumulados</w:t>
          </w:r>
        </w:p>
      </w:tc>
    </w:tr>
    <w:tr w:rsidR="002F3595" w14:paraId="48B7ABDF" w14:textId="77777777">
      <w:tc>
        <w:tcPr>
          <w:tcW w:w="2551" w:type="dxa"/>
          <w:vAlign w:val="center"/>
        </w:tcPr>
        <w:p w14:paraId="2E989AA9" w14:textId="77777777" w:rsidR="002F3595" w:rsidRDefault="009669C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194" w:type="dxa"/>
          <w:vAlign w:val="center"/>
        </w:tcPr>
        <w:p w14:paraId="2F72230E" w14:textId="0E7454B0" w:rsidR="002F3595" w:rsidRDefault="00855BC5" w:rsidP="00855BC5">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w:t>
          </w:r>
        </w:p>
      </w:tc>
    </w:tr>
    <w:tr w:rsidR="002F3595" w14:paraId="3E9BDA80" w14:textId="77777777">
      <w:trPr>
        <w:trHeight w:val="228"/>
      </w:trPr>
      <w:tc>
        <w:tcPr>
          <w:tcW w:w="2551" w:type="dxa"/>
          <w:vAlign w:val="center"/>
        </w:tcPr>
        <w:p w14:paraId="49497768" w14:textId="77777777" w:rsidR="002F3595" w:rsidRDefault="009669C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194" w:type="dxa"/>
          <w:vAlign w:val="center"/>
        </w:tcPr>
        <w:p w14:paraId="2276B21D" w14:textId="77777777" w:rsidR="002F3595" w:rsidRDefault="009669C9">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Metepec</w:t>
          </w:r>
        </w:p>
      </w:tc>
    </w:tr>
    <w:tr w:rsidR="002F3595" w14:paraId="240FB468" w14:textId="77777777">
      <w:tc>
        <w:tcPr>
          <w:tcW w:w="2551" w:type="dxa"/>
          <w:vAlign w:val="center"/>
        </w:tcPr>
        <w:p w14:paraId="7C1A43C7" w14:textId="77777777" w:rsidR="002F3595" w:rsidRDefault="009669C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194" w:type="dxa"/>
          <w:vAlign w:val="center"/>
        </w:tcPr>
        <w:p w14:paraId="16A71CFC" w14:textId="77777777" w:rsidR="002F3595" w:rsidRDefault="009669C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988D0DA" w14:textId="77777777" w:rsidR="002F3595" w:rsidRDefault="009669C9">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208DF"/>
    <w:multiLevelType w:val="multilevel"/>
    <w:tmpl w:val="F5B6FC0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4A6219"/>
    <w:multiLevelType w:val="multilevel"/>
    <w:tmpl w:val="5EB47300"/>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C1B277F"/>
    <w:multiLevelType w:val="multilevel"/>
    <w:tmpl w:val="BD88B9B8"/>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595"/>
    <w:rsid w:val="0004364E"/>
    <w:rsid w:val="001F5385"/>
    <w:rsid w:val="002A6A12"/>
    <w:rsid w:val="002F3595"/>
    <w:rsid w:val="00410617"/>
    <w:rsid w:val="004350CF"/>
    <w:rsid w:val="00466D32"/>
    <w:rsid w:val="005268EA"/>
    <w:rsid w:val="005D2646"/>
    <w:rsid w:val="00635BC0"/>
    <w:rsid w:val="00855BC5"/>
    <w:rsid w:val="009669C9"/>
    <w:rsid w:val="00982F73"/>
    <w:rsid w:val="00A54FB6"/>
    <w:rsid w:val="00BA1EC7"/>
    <w:rsid w:val="00C751FC"/>
    <w:rsid w:val="00D261D9"/>
    <w:rsid w:val="00D56AED"/>
    <w:rsid w:val="00ED06C0"/>
    <w:rsid w:val="00FA7A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B49A1"/>
  <w15:docId w15:val="{25DB3B24-E7CB-4D56-AF8E-B71C4CBBA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rsid w:val="00FD48C3"/>
    <w:rPr>
      <w:b/>
      <w:sz w:val="48"/>
      <w:szCs w:val="48"/>
    </w:rPr>
  </w:style>
  <w:style w:type="character" w:customStyle="1" w:styleId="Ttulo2Car">
    <w:name w:val="Título 2 Car"/>
    <w:basedOn w:val="Fuentedeprrafopredeter"/>
    <w:rsid w:val="00FD48C3"/>
    <w:rPr>
      <w:b/>
      <w:sz w:val="36"/>
      <w:szCs w:val="36"/>
    </w:rPr>
  </w:style>
  <w:style w:type="character" w:customStyle="1" w:styleId="Ttulo3Car">
    <w:name w:val="Título 3 Car"/>
    <w:basedOn w:val="Fuentedeprrafopredeter"/>
    <w:rsid w:val="00FD48C3"/>
    <w:rPr>
      <w:b/>
      <w:sz w:val="28"/>
      <w:szCs w:val="28"/>
    </w:rPr>
  </w:style>
  <w:style w:type="character" w:customStyle="1" w:styleId="Ttulo4Car">
    <w:name w:val="Título 4 Car"/>
    <w:basedOn w:val="Fuentedeprrafopredeter"/>
    <w:rsid w:val="00FD48C3"/>
    <w:rPr>
      <w:b/>
      <w:sz w:val="24"/>
      <w:szCs w:val="24"/>
    </w:rPr>
  </w:style>
  <w:style w:type="character" w:customStyle="1" w:styleId="Ttulo5Car">
    <w:name w:val="Título 5 Car"/>
    <w:basedOn w:val="Fuentedeprrafopredeter"/>
    <w:rsid w:val="00FD48C3"/>
    <w:rPr>
      <w:b/>
    </w:rPr>
  </w:style>
  <w:style w:type="character" w:customStyle="1" w:styleId="Ttulo6Car">
    <w:name w:val="Título 6 Car"/>
    <w:basedOn w:val="Fuentedeprrafopredeter"/>
    <w:rsid w:val="00FD48C3"/>
    <w:rPr>
      <w:b/>
      <w:sz w:val="20"/>
      <w:szCs w:val="20"/>
    </w:rPr>
  </w:style>
  <w:style w:type="table" w:customStyle="1" w:styleId="TableNormal2">
    <w:name w:val="Table Normal"/>
    <w:tblPr>
      <w:tblCellMar>
        <w:top w:w="0" w:type="dxa"/>
        <w:left w:w="0" w:type="dxa"/>
        <w:bottom w:w="0" w:type="dxa"/>
        <w:right w:w="0" w:type="dxa"/>
      </w:tblCellMar>
    </w:tblPr>
  </w:style>
  <w:style w:type="character" w:customStyle="1" w:styleId="PuestoCar">
    <w:name w:val="Puesto Car"/>
    <w:basedOn w:val="Fuentedeprrafopredeter"/>
    <w:rsid w:val="00FD48C3"/>
    <w:rPr>
      <w:b/>
      <w:sz w:val="72"/>
      <w:szCs w:val="72"/>
    </w:r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tuloCar">
    <w:name w:val="Subtítulo Car"/>
    <w:basedOn w:val="Fuentedeprrafopredeter"/>
    <w:rsid w:val="00FD48C3"/>
    <w:rPr>
      <w:rFonts w:ascii="Georgia" w:eastAsia="Georgia" w:hAnsi="Georgia" w:cs="Georgia"/>
      <w:i/>
      <w:color w:val="666666"/>
      <w:sz w:val="48"/>
      <w:szCs w:val="48"/>
    </w:rPr>
  </w:style>
  <w:style w:type="table" w:customStyle="1" w:styleId="a">
    <w:basedOn w:val="TableNormal5"/>
    <w:tblPr>
      <w:tblStyleRowBandSize w:val="1"/>
      <w:tblStyleColBandSize w:val="1"/>
      <w:tblCellMar>
        <w:top w:w="15" w:type="dxa"/>
        <w:left w:w="15" w:type="dxa"/>
        <w:bottom w:w="15" w:type="dxa"/>
        <w:right w:w="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top w:w="15" w:type="dxa"/>
        <w:left w:w="115" w:type="dxa"/>
        <w:bottom w:w="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3"/>
    <w:pPr>
      <w:spacing w:after="0" w:line="240" w:lineRule="auto"/>
    </w:pPr>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top w:w="15" w:type="dxa"/>
        <w:left w:w="115" w:type="dxa"/>
        <w:bottom w:w="15" w:type="dxa"/>
        <w:right w:w="115" w:type="dxa"/>
      </w:tblCellMar>
    </w:tblPr>
  </w:style>
  <w:style w:type="table" w:customStyle="1" w:styleId="a8">
    <w:basedOn w:val="TableNormal3"/>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INAI"/>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ind w:left="7306"/>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paragraph" w:customStyle="1" w:styleId="INFOEM">
    <w:name w:val="INFOEM"/>
    <w:basedOn w:val="Normal"/>
    <w:qFormat/>
    <w:rsid w:val="00616865"/>
    <w:pPr>
      <w:spacing w:before="240" w:line="360" w:lineRule="auto"/>
      <w:ind w:left="851" w:right="851"/>
      <w:jc w:val="both"/>
    </w:pPr>
    <w:rPr>
      <w:rFonts w:ascii="Palatino Linotype" w:eastAsiaTheme="minorHAnsi" w:hAnsi="Palatino Linotype" w:cstheme="minorBidi"/>
      <w:i/>
      <w:szCs w:val="14"/>
      <w:lang w:eastAsia="en-US"/>
    </w:rPr>
  </w:style>
  <w:style w:type="paragraph" w:customStyle="1" w:styleId="Citas">
    <w:name w:val="Citas"/>
    <w:basedOn w:val="Normal"/>
    <w:qFormat/>
    <w:rsid w:val="00616865"/>
    <w:pPr>
      <w:spacing w:before="240" w:line="360" w:lineRule="auto"/>
      <w:ind w:left="851" w:right="851"/>
      <w:jc w:val="both"/>
    </w:pPr>
    <w:rPr>
      <w:rFonts w:ascii="Palatino Linotype" w:eastAsiaTheme="minorHAnsi" w:hAnsi="Palatino Linotype" w:cs="Arial"/>
      <w:i/>
      <w:lang w:eastAsia="en-US"/>
    </w:r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paragraph" w:styleId="Lista3">
    <w:name w:val="List 3"/>
    <w:basedOn w:val="Normal"/>
    <w:uiPriority w:val="99"/>
    <w:unhideWhenUsed/>
    <w:rsid w:val="00366E43"/>
    <w:pPr>
      <w:ind w:left="849" w:hanging="283"/>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G2LIUKrR7tqTZz0cFoiJnN0Gnw==">CgMxLjAyCWguMzBqMHpsbDIJaC4yZXQ5MnAwMghoLmdqZGd4czIOaC54Y281NHpkcTZ0aDQyCWguMXQzaDVzZjIOaC5vdDNxcTZ2eGEwOGYyCGgubG54Yno5OAByITE3QTlhaE5HZmpjVllhVlJYdC1RM3g2d3JGaWN2bjM5Wg==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12173</Words>
  <Characters>66955</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2025-11-07T16:59:00Z</cp:lastPrinted>
  <dcterms:created xsi:type="dcterms:W3CDTF">2025-12-08T15:57:00Z</dcterms:created>
  <dcterms:modified xsi:type="dcterms:W3CDTF">2025-12-08T15:57:00Z</dcterms:modified>
</cp:coreProperties>
</file>