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6B8" w:rsidRPr="00122CB3" w:rsidRDefault="006476B8">
      <w:pPr>
        <w:widowControl w:val="0"/>
        <w:pBdr>
          <w:top w:val="nil"/>
          <w:left w:val="nil"/>
          <w:bottom w:val="nil"/>
          <w:right w:val="nil"/>
          <w:between w:val="nil"/>
        </w:pBdr>
        <w:spacing w:line="276" w:lineRule="auto"/>
        <w:rPr>
          <w:rFonts w:ascii="Palatino Linotype" w:hAnsi="Palatino Linotype"/>
        </w:rPr>
      </w:pPr>
    </w:p>
    <w:p w:rsidR="006476B8" w:rsidRPr="00D85131" w:rsidRDefault="00E40CA1">
      <w:pPr>
        <w:tabs>
          <w:tab w:val="left" w:pos="3465"/>
        </w:tabs>
        <w:spacing w:line="360" w:lineRule="auto"/>
        <w:ind w:right="-787"/>
        <w:jc w:val="both"/>
        <w:rPr>
          <w:rFonts w:ascii="Palatino Linotype" w:eastAsia="Palatino Linotype" w:hAnsi="Palatino Linotype" w:cs="Palatino Linotype"/>
        </w:rPr>
      </w:pPr>
      <w:r w:rsidRPr="00D8513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(26) de </w:t>
      </w:r>
      <w:r w:rsidR="00A83DEE" w:rsidRPr="00D85131">
        <w:rPr>
          <w:rFonts w:ascii="Palatino Linotype" w:eastAsia="Palatino Linotype" w:hAnsi="Palatino Linotype" w:cs="Palatino Linotype"/>
        </w:rPr>
        <w:t>marzo</w:t>
      </w:r>
      <w:r w:rsidRPr="00D85131">
        <w:rPr>
          <w:rFonts w:ascii="Palatino Linotype" w:eastAsia="Palatino Linotype" w:hAnsi="Palatino Linotype" w:cs="Palatino Linotype"/>
        </w:rPr>
        <w:t xml:space="preserve"> de dos mil veinticinco.</w:t>
      </w:r>
    </w:p>
    <w:p w:rsidR="006476B8" w:rsidRPr="00D85131" w:rsidRDefault="006476B8">
      <w:pPr>
        <w:tabs>
          <w:tab w:val="left" w:pos="3465"/>
        </w:tabs>
        <w:spacing w:line="360" w:lineRule="auto"/>
        <w:ind w:right="-787"/>
        <w:jc w:val="both"/>
        <w:rPr>
          <w:rFonts w:ascii="Palatino Linotype" w:eastAsia="Palatino Linotype" w:hAnsi="Palatino Linotype" w:cs="Palatino Linotype"/>
        </w:rPr>
      </w:pPr>
    </w:p>
    <w:p w:rsidR="006476B8" w:rsidRPr="00D85131" w:rsidRDefault="00E40CA1">
      <w:pPr>
        <w:spacing w:line="360" w:lineRule="auto"/>
        <w:ind w:right="-787"/>
        <w:jc w:val="both"/>
        <w:rPr>
          <w:rFonts w:ascii="Palatino Linotype" w:eastAsia="Palatino Linotype" w:hAnsi="Palatino Linotype" w:cs="Palatino Linotype"/>
        </w:rPr>
      </w:pPr>
      <w:r w:rsidRPr="00D85131">
        <w:rPr>
          <w:rFonts w:ascii="Palatino Linotype" w:eastAsia="Palatino Linotype" w:hAnsi="Palatino Linotype" w:cs="Palatino Linotype"/>
          <w:b/>
        </w:rPr>
        <w:t xml:space="preserve">VISTAS </w:t>
      </w:r>
      <w:r w:rsidRPr="00D85131">
        <w:rPr>
          <w:rFonts w:ascii="Palatino Linotype" w:eastAsia="Palatino Linotype" w:hAnsi="Palatino Linotype" w:cs="Palatino Linotype"/>
        </w:rPr>
        <w:t xml:space="preserve">las constancias para resolver </w:t>
      </w:r>
      <w:r w:rsidRPr="00D85131">
        <w:rPr>
          <w:rFonts w:ascii="Palatino Linotype" w:eastAsia="Palatino Linotype" w:hAnsi="Palatino Linotype" w:cs="Palatino Linotype"/>
          <w:color w:val="000000"/>
        </w:rPr>
        <w:t xml:space="preserve">el Recurso de Revisión </w:t>
      </w:r>
      <w:r w:rsidR="00006546" w:rsidRPr="00D85131">
        <w:rPr>
          <w:rFonts w:ascii="Palatino Linotype" w:eastAsia="Palatino Linotype" w:hAnsi="Palatino Linotype" w:cs="Palatino Linotype"/>
          <w:b/>
          <w:color w:val="000000"/>
        </w:rPr>
        <w:t>00573/INFOEM/IP/RR/2025</w:t>
      </w:r>
      <w:r w:rsidRPr="00D85131">
        <w:rPr>
          <w:rFonts w:ascii="Palatino Linotype" w:eastAsia="Palatino Linotype" w:hAnsi="Palatino Linotype" w:cs="Palatino Linotype"/>
          <w:color w:val="000000"/>
        </w:rPr>
        <w:t xml:space="preserve">, promovido </w:t>
      </w:r>
      <w:r w:rsidRPr="00D85131">
        <w:rPr>
          <w:rFonts w:ascii="Palatino Linotype" w:eastAsia="Palatino Linotype" w:hAnsi="Palatino Linotype" w:cs="Palatino Linotype"/>
          <w:b/>
        </w:rPr>
        <w:t>por un usuario que no registró nombre alguno</w:t>
      </w:r>
      <w:r w:rsidRPr="00D85131">
        <w:rPr>
          <w:rFonts w:ascii="Palatino Linotype" w:eastAsia="Palatino Linotype" w:hAnsi="Palatino Linotype" w:cs="Palatino Linotype"/>
          <w:color w:val="000000"/>
        </w:rPr>
        <w:t>,</w:t>
      </w:r>
      <w:r w:rsidRPr="00D85131">
        <w:rPr>
          <w:rFonts w:ascii="Palatino Linotype" w:eastAsia="Palatino Linotype" w:hAnsi="Palatino Linotype" w:cs="Palatino Linotype"/>
          <w:b/>
        </w:rPr>
        <w:t xml:space="preserve"> </w:t>
      </w:r>
      <w:r w:rsidRPr="00D85131">
        <w:rPr>
          <w:rFonts w:ascii="Palatino Linotype" w:eastAsia="Palatino Linotype" w:hAnsi="Palatino Linotype" w:cs="Palatino Linotype"/>
        </w:rPr>
        <w:t xml:space="preserve">a quien en lo sucesivo se denominará  </w:t>
      </w:r>
      <w:r w:rsidRPr="00D85131">
        <w:rPr>
          <w:rFonts w:ascii="Palatino Linotype" w:eastAsia="Palatino Linotype" w:hAnsi="Palatino Linotype" w:cs="Palatino Linotype"/>
          <w:b/>
        </w:rPr>
        <w:t>EL RECURRENTE</w:t>
      </w:r>
      <w:r w:rsidRPr="00D85131">
        <w:rPr>
          <w:rFonts w:ascii="Palatino Linotype" w:eastAsia="Palatino Linotype" w:hAnsi="Palatino Linotype" w:cs="Palatino Linotype"/>
        </w:rPr>
        <w:t xml:space="preserve">, en contra de la respuesta otorgada a la solicitud de información </w:t>
      </w:r>
      <w:r w:rsidR="00006546" w:rsidRPr="00D85131">
        <w:rPr>
          <w:rFonts w:ascii="Palatino Linotype" w:eastAsia="Palatino Linotype" w:hAnsi="Palatino Linotype" w:cs="Palatino Linotype"/>
          <w:b/>
        </w:rPr>
        <w:t>00015/COCOTIT/IP/2025</w:t>
      </w:r>
      <w:r w:rsidRPr="00D85131">
        <w:rPr>
          <w:rFonts w:ascii="Palatino Linotype" w:eastAsia="Palatino Linotype" w:hAnsi="Palatino Linotype" w:cs="Palatino Linotype"/>
        </w:rPr>
        <w:t xml:space="preserve">, por parte del </w:t>
      </w:r>
      <w:r w:rsidR="00006546" w:rsidRPr="00D85131">
        <w:rPr>
          <w:rFonts w:ascii="Palatino Linotype" w:eastAsia="Palatino Linotype" w:hAnsi="Palatino Linotype" w:cs="Palatino Linotype"/>
          <w:b/>
        </w:rPr>
        <w:t>Ayuntamiento de Cocotitlán</w:t>
      </w:r>
      <w:r w:rsidRPr="00D85131">
        <w:rPr>
          <w:rFonts w:ascii="Palatino Linotype" w:eastAsia="Palatino Linotype" w:hAnsi="Palatino Linotype" w:cs="Palatino Linotype"/>
          <w:b/>
        </w:rPr>
        <w:t xml:space="preserve">, </w:t>
      </w:r>
      <w:r w:rsidRPr="00D85131">
        <w:rPr>
          <w:rFonts w:ascii="Palatino Linotype" w:eastAsia="Palatino Linotype" w:hAnsi="Palatino Linotype" w:cs="Palatino Linotype"/>
        </w:rPr>
        <w:t xml:space="preserve">en adelante el </w:t>
      </w:r>
      <w:r w:rsidRPr="00D85131">
        <w:rPr>
          <w:rFonts w:ascii="Palatino Linotype" w:eastAsia="Palatino Linotype" w:hAnsi="Palatino Linotype" w:cs="Palatino Linotype"/>
          <w:b/>
        </w:rPr>
        <w:t>SUJETO OBLIGADO,</w:t>
      </w:r>
      <w:r w:rsidRPr="00D85131">
        <w:rPr>
          <w:rFonts w:ascii="Palatino Linotype" w:eastAsia="Palatino Linotype" w:hAnsi="Palatino Linotype" w:cs="Palatino Linotype"/>
        </w:rPr>
        <w:t xml:space="preserve"> se emite la presente resolución con base en los siguientes:</w:t>
      </w:r>
    </w:p>
    <w:p w:rsidR="006476B8" w:rsidRPr="00D85131" w:rsidRDefault="006476B8">
      <w:pPr>
        <w:spacing w:line="360" w:lineRule="auto"/>
        <w:ind w:right="-787"/>
        <w:jc w:val="both"/>
        <w:rPr>
          <w:rFonts w:ascii="Palatino Linotype" w:eastAsia="Palatino Linotype" w:hAnsi="Palatino Linotype" w:cs="Palatino Linotype"/>
        </w:rPr>
      </w:pPr>
    </w:p>
    <w:p w:rsidR="006476B8" w:rsidRPr="00D85131" w:rsidRDefault="00E40CA1">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D85131">
        <w:rPr>
          <w:rFonts w:ascii="Palatino Linotype" w:eastAsia="Palatino Linotype" w:hAnsi="Palatino Linotype" w:cs="Palatino Linotype"/>
          <w:b/>
          <w:color w:val="000000"/>
          <w:sz w:val="24"/>
          <w:szCs w:val="24"/>
        </w:rPr>
        <w:t>A N T E C E D E N T E S</w:t>
      </w:r>
    </w:p>
    <w:p w:rsidR="006476B8" w:rsidRPr="00D85131" w:rsidRDefault="006476B8">
      <w:pPr>
        <w:pBdr>
          <w:top w:val="nil"/>
          <w:left w:val="nil"/>
          <w:bottom w:val="nil"/>
          <w:right w:val="nil"/>
          <w:between w:val="nil"/>
        </w:pBdr>
        <w:spacing w:line="360" w:lineRule="auto"/>
        <w:ind w:left="720" w:right="-787"/>
        <w:jc w:val="both"/>
        <w:rPr>
          <w:rFonts w:ascii="Palatino Linotype" w:eastAsia="Palatino Linotype" w:hAnsi="Palatino Linotype" w:cs="Palatino Linotype"/>
          <w:b/>
          <w:color w:val="000000"/>
          <w:u w:val="single"/>
        </w:rPr>
      </w:pPr>
    </w:p>
    <w:p w:rsidR="006476B8" w:rsidRPr="00D85131" w:rsidRDefault="00E40CA1">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 xml:space="preserve">El </w:t>
      </w:r>
      <w:r w:rsidRPr="00D85131">
        <w:rPr>
          <w:rFonts w:ascii="Palatino Linotype" w:eastAsia="Palatino Linotype" w:hAnsi="Palatino Linotype" w:cs="Palatino Linotype"/>
          <w:b/>
          <w:color w:val="000000"/>
        </w:rPr>
        <w:t xml:space="preserve">trece de </w:t>
      </w:r>
      <w:r w:rsidR="00006546" w:rsidRPr="00D85131">
        <w:rPr>
          <w:rFonts w:ascii="Palatino Linotype" w:eastAsia="Palatino Linotype" w:hAnsi="Palatino Linotype" w:cs="Palatino Linotype"/>
          <w:b/>
          <w:color w:val="000000"/>
        </w:rPr>
        <w:t>enero</w:t>
      </w:r>
      <w:r w:rsidRPr="00D85131">
        <w:rPr>
          <w:rFonts w:ascii="Palatino Linotype" w:eastAsia="Palatino Linotype" w:hAnsi="Palatino Linotype" w:cs="Palatino Linotype"/>
          <w:b/>
          <w:color w:val="000000"/>
        </w:rPr>
        <w:t xml:space="preserve"> de dos mil </w:t>
      </w:r>
      <w:r w:rsidR="00006546" w:rsidRPr="00D85131">
        <w:rPr>
          <w:rFonts w:ascii="Palatino Linotype" w:eastAsia="Palatino Linotype" w:hAnsi="Palatino Linotype" w:cs="Palatino Linotype"/>
          <w:b/>
          <w:color w:val="000000"/>
        </w:rPr>
        <w:t>veinticinco</w:t>
      </w:r>
      <w:r w:rsidRPr="00D85131">
        <w:rPr>
          <w:rFonts w:ascii="Palatino Linotype" w:eastAsia="Palatino Linotype" w:hAnsi="Palatino Linotype" w:cs="Palatino Linotype"/>
          <w:color w:val="000000"/>
        </w:rPr>
        <w:t>,</w:t>
      </w:r>
      <w:r w:rsidRPr="00D85131">
        <w:rPr>
          <w:rFonts w:ascii="Palatino Linotype" w:eastAsia="Palatino Linotype" w:hAnsi="Palatino Linotype" w:cs="Palatino Linotype"/>
          <w:b/>
          <w:color w:val="000000"/>
        </w:rPr>
        <w:t xml:space="preserve"> </w:t>
      </w:r>
      <w:r w:rsidRPr="00D85131">
        <w:rPr>
          <w:rFonts w:ascii="Palatino Linotype" w:eastAsia="Palatino Linotype" w:hAnsi="Palatino Linotype" w:cs="Palatino Linotype"/>
          <w:color w:val="000000"/>
        </w:rPr>
        <w:t>se presentó ante el Sujeto Obligado a través del Sistema de Acceso a la Información Mexiquense (SAIMEX), la siguiente solicitud de información pública:</w:t>
      </w:r>
    </w:p>
    <w:p w:rsidR="006476B8" w:rsidRPr="00D85131" w:rsidRDefault="006476B8">
      <w:pPr>
        <w:pBdr>
          <w:top w:val="nil"/>
          <w:left w:val="nil"/>
          <w:bottom w:val="nil"/>
          <w:right w:val="nil"/>
          <w:between w:val="nil"/>
        </w:pBdr>
        <w:ind w:right="-787"/>
        <w:jc w:val="both"/>
        <w:rPr>
          <w:rFonts w:ascii="Palatino Linotype" w:eastAsia="Palatino Linotype" w:hAnsi="Palatino Linotype" w:cs="Palatino Linotype"/>
          <w:color w:val="000000"/>
        </w:rPr>
      </w:pPr>
    </w:p>
    <w:p w:rsidR="006476B8" w:rsidRPr="00D85131" w:rsidRDefault="00E40CA1">
      <w:pPr>
        <w:pBdr>
          <w:top w:val="nil"/>
          <w:left w:val="nil"/>
          <w:bottom w:val="nil"/>
          <w:right w:val="nil"/>
          <w:between w:val="nil"/>
        </w:pBdr>
        <w:ind w:left="567" w:right="-787"/>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w:t>
      </w:r>
      <w:r w:rsidR="00006546" w:rsidRPr="00D85131">
        <w:rPr>
          <w:rFonts w:ascii="Palatino Linotype" w:eastAsia="Palatino Linotype" w:hAnsi="Palatino Linotype" w:cs="Palatino Linotype"/>
          <w:i/>
          <w:color w:val="000000"/>
        </w:rPr>
        <w:t>Solicito la experiencia laboral del titular, encargado o equivalente de la uippe del Municipio de Cocotitlan y sus constancias que le expidieron el secretario y tesorero del municipio de temamatla, que no dejó ningún adeudo en ese municipio</w:t>
      </w:r>
      <w:r w:rsidRPr="00D85131">
        <w:rPr>
          <w:rFonts w:ascii="Palatino Linotype" w:eastAsia="Palatino Linotype" w:hAnsi="Palatino Linotype" w:cs="Palatino Linotype"/>
          <w:i/>
          <w:color w:val="000000"/>
        </w:rPr>
        <w:t>” (Sic)</w:t>
      </w:r>
    </w:p>
    <w:p w:rsidR="006476B8" w:rsidRPr="00D85131" w:rsidRDefault="006476B8">
      <w:pPr>
        <w:spacing w:line="360" w:lineRule="auto"/>
        <w:ind w:right="-787"/>
        <w:jc w:val="both"/>
        <w:rPr>
          <w:rFonts w:ascii="Palatino Linotype" w:eastAsia="Palatino Linotype" w:hAnsi="Palatino Linotype" w:cs="Palatino Linotype"/>
        </w:rPr>
      </w:pPr>
    </w:p>
    <w:p w:rsidR="006476B8" w:rsidRPr="00D85131" w:rsidRDefault="00E40CA1">
      <w:pPr>
        <w:numPr>
          <w:ilvl w:val="0"/>
          <w:numId w:val="13"/>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D85131">
        <w:rPr>
          <w:rFonts w:ascii="Palatino Linotype" w:eastAsia="Palatino Linotype" w:hAnsi="Palatino Linotype" w:cs="Palatino Linotype"/>
          <w:color w:val="000000"/>
        </w:rPr>
        <w:t xml:space="preserve">Se eligió como modalidad de entrega de la información: A través del </w:t>
      </w:r>
      <w:r w:rsidRPr="00D85131">
        <w:rPr>
          <w:rFonts w:ascii="Palatino Linotype" w:eastAsia="Palatino Linotype" w:hAnsi="Palatino Linotype" w:cs="Palatino Linotype"/>
          <w:b/>
          <w:color w:val="000000"/>
        </w:rPr>
        <w:t>SAIMEX.</w:t>
      </w:r>
    </w:p>
    <w:p w:rsidR="006476B8" w:rsidRPr="00D85131" w:rsidRDefault="006476B8">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6476B8" w:rsidRPr="00D85131" w:rsidRDefault="00E40CA1">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El</w:t>
      </w:r>
      <w:r w:rsidRPr="00D85131">
        <w:rPr>
          <w:rFonts w:ascii="Palatino Linotype" w:eastAsia="Palatino Linotype" w:hAnsi="Palatino Linotype" w:cs="Palatino Linotype"/>
          <w:b/>
          <w:color w:val="000000"/>
        </w:rPr>
        <w:t xml:space="preserve"> </w:t>
      </w:r>
      <w:r w:rsidR="009E3D94" w:rsidRPr="00D85131">
        <w:rPr>
          <w:rFonts w:ascii="Palatino Linotype" w:eastAsia="Palatino Linotype" w:hAnsi="Palatino Linotype" w:cs="Palatino Linotype"/>
          <w:b/>
          <w:color w:val="000000"/>
        </w:rPr>
        <w:t>cuatro de febrero de dos mil veinticinco</w:t>
      </w:r>
      <w:r w:rsidRPr="00D85131">
        <w:rPr>
          <w:rFonts w:ascii="Palatino Linotype" w:eastAsia="Palatino Linotype" w:hAnsi="Palatino Linotype" w:cs="Palatino Linotype"/>
          <w:color w:val="000000"/>
        </w:rPr>
        <w:t>, el Sujeto Obligado</w:t>
      </w:r>
      <w:r w:rsidRPr="00D85131">
        <w:rPr>
          <w:rFonts w:ascii="Palatino Linotype" w:eastAsia="Palatino Linotype" w:hAnsi="Palatino Linotype" w:cs="Palatino Linotype"/>
          <w:b/>
          <w:color w:val="000000"/>
        </w:rPr>
        <w:t>,</w:t>
      </w:r>
      <w:r w:rsidRPr="00D85131">
        <w:rPr>
          <w:rFonts w:ascii="Palatino Linotype" w:eastAsia="Palatino Linotype" w:hAnsi="Palatino Linotype" w:cs="Palatino Linotype"/>
          <w:color w:val="000000"/>
        </w:rPr>
        <w:t xml:space="preserve"> dio respuesta a </w:t>
      </w:r>
      <w:r w:rsidR="009E3D94" w:rsidRPr="00D85131">
        <w:rPr>
          <w:rFonts w:ascii="Palatino Linotype" w:eastAsia="Palatino Linotype" w:hAnsi="Palatino Linotype" w:cs="Palatino Linotype"/>
          <w:color w:val="000000"/>
        </w:rPr>
        <w:t>en los siguientes términos</w:t>
      </w:r>
      <w:r w:rsidRPr="00D85131">
        <w:rPr>
          <w:rFonts w:ascii="Palatino Linotype" w:eastAsia="Palatino Linotype" w:hAnsi="Palatino Linotype" w:cs="Palatino Linotype"/>
          <w:color w:val="000000"/>
        </w:rPr>
        <w:t>:</w:t>
      </w:r>
    </w:p>
    <w:p w:rsidR="009E3D94" w:rsidRPr="00D85131" w:rsidRDefault="009E3D94" w:rsidP="009E3D94">
      <w:pPr>
        <w:pBdr>
          <w:top w:val="nil"/>
          <w:left w:val="nil"/>
          <w:bottom w:val="nil"/>
          <w:right w:val="nil"/>
          <w:between w:val="nil"/>
        </w:pBdr>
        <w:ind w:left="993" w:right="49"/>
        <w:jc w:val="right"/>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Cocotitlán, México a 04 de Febrero de 2025</w:t>
      </w:r>
    </w:p>
    <w:p w:rsidR="009E3D94" w:rsidRPr="00D85131" w:rsidRDefault="009E3D94" w:rsidP="009E3D94">
      <w:pPr>
        <w:pBdr>
          <w:top w:val="nil"/>
          <w:left w:val="nil"/>
          <w:bottom w:val="nil"/>
          <w:right w:val="nil"/>
          <w:between w:val="nil"/>
        </w:pBdr>
        <w:ind w:left="993" w:right="49"/>
        <w:jc w:val="right"/>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lastRenderedPageBreak/>
        <w:t>Nombre del solicitante: C. Solicitante</w:t>
      </w:r>
    </w:p>
    <w:p w:rsidR="009E3D94" w:rsidRPr="00D85131" w:rsidRDefault="009E3D94" w:rsidP="009E3D94">
      <w:pPr>
        <w:pBdr>
          <w:top w:val="nil"/>
          <w:left w:val="nil"/>
          <w:bottom w:val="nil"/>
          <w:right w:val="nil"/>
          <w:between w:val="nil"/>
        </w:pBdr>
        <w:ind w:left="993" w:right="49"/>
        <w:jc w:val="right"/>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Folio de la solicitud: 00015/COCOTIT/IP/2025</w:t>
      </w:r>
    </w:p>
    <w:p w:rsidR="009E3D94" w:rsidRPr="00D85131" w:rsidRDefault="009E3D94" w:rsidP="009E3D94">
      <w:pPr>
        <w:pBdr>
          <w:top w:val="nil"/>
          <w:left w:val="nil"/>
          <w:bottom w:val="nil"/>
          <w:right w:val="nil"/>
          <w:between w:val="nil"/>
        </w:pBdr>
        <w:ind w:left="993" w:right="49"/>
        <w:jc w:val="right"/>
        <w:rPr>
          <w:rFonts w:ascii="Palatino Linotype" w:eastAsia="Palatino Linotype" w:hAnsi="Palatino Linotype" w:cs="Palatino Linotype"/>
          <w:i/>
          <w:color w:val="000000"/>
        </w:rPr>
      </w:pPr>
    </w:p>
    <w:p w:rsidR="009E3D94" w:rsidRPr="00D85131" w:rsidRDefault="009E3D94" w:rsidP="009E3D94">
      <w:pPr>
        <w:pBdr>
          <w:top w:val="nil"/>
          <w:left w:val="nil"/>
          <w:bottom w:val="nil"/>
          <w:right w:val="nil"/>
          <w:between w:val="nil"/>
        </w:pBdr>
        <w:ind w:left="993" w:right="49"/>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9E3D94" w:rsidRPr="00D85131" w:rsidRDefault="009E3D94" w:rsidP="009E3D94">
      <w:pPr>
        <w:pBdr>
          <w:top w:val="nil"/>
          <w:left w:val="nil"/>
          <w:bottom w:val="nil"/>
          <w:right w:val="nil"/>
          <w:between w:val="nil"/>
        </w:pBdr>
        <w:ind w:left="993" w:right="49"/>
        <w:jc w:val="both"/>
        <w:rPr>
          <w:rFonts w:ascii="Palatino Linotype" w:eastAsia="Palatino Linotype" w:hAnsi="Palatino Linotype" w:cs="Palatino Linotype"/>
          <w:i/>
          <w:color w:val="000000"/>
        </w:rPr>
      </w:pPr>
    </w:p>
    <w:p w:rsidR="009E3D94" w:rsidRPr="00D85131" w:rsidRDefault="009E3D94" w:rsidP="009E3D94">
      <w:pPr>
        <w:pBdr>
          <w:top w:val="nil"/>
          <w:left w:val="nil"/>
          <w:bottom w:val="nil"/>
          <w:right w:val="nil"/>
          <w:between w:val="nil"/>
        </w:pBdr>
        <w:ind w:left="993" w:right="49"/>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EN RESPUESTA A SU SOLICITU 00015/COCOTIT/IP/2025 LE INFORMO QUE TIENE EXPERIENCIA LABORAL EN CUESTION DE MEJORA REGULATORIA E INFORMACION,PLANEACION, PROGRAMACION Y EVALUACION, DE ACUERDO A SUS CONSTANCIAS SOLICITADAS ESTA ADMINISTRACION NO CUENTA CON LAS MISMAS</w:t>
      </w:r>
    </w:p>
    <w:p w:rsidR="009E3D94" w:rsidRPr="00D85131" w:rsidRDefault="009E3D94" w:rsidP="009E3D94">
      <w:pPr>
        <w:pBdr>
          <w:top w:val="nil"/>
          <w:left w:val="nil"/>
          <w:bottom w:val="nil"/>
          <w:right w:val="nil"/>
          <w:between w:val="nil"/>
        </w:pBdr>
        <w:ind w:left="993" w:right="49"/>
        <w:jc w:val="both"/>
        <w:rPr>
          <w:rFonts w:ascii="Palatino Linotype" w:eastAsia="Palatino Linotype" w:hAnsi="Palatino Linotype" w:cs="Palatino Linotype"/>
          <w:i/>
          <w:color w:val="000000"/>
        </w:rPr>
      </w:pPr>
    </w:p>
    <w:p w:rsidR="009E3D94" w:rsidRPr="00D85131" w:rsidRDefault="009E3D94" w:rsidP="009E3D94">
      <w:pPr>
        <w:pBdr>
          <w:top w:val="nil"/>
          <w:left w:val="nil"/>
          <w:bottom w:val="nil"/>
          <w:right w:val="nil"/>
          <w:between w:val="nil"/>
        </w:pBdr>
        <w:ind w:left="993" w:right="49"/>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ATENTAMENTE</w:t>
      </w:r>
    </w:p>
    <w:p w:rsidR="006476B8" w:rsidRPr="00D85131" w:rsidRDefault="009E3D94" w:rsidP="009E3D94">
      <w:pPr>
        <w:pBdr>
          <w:top w:val="nil"/>
          <w:left w:val="nil"/>
          <w:bottom w:val="nil"/>
          <w:right w:val="nil"/>
          <w:between w:val="nil"/>
        </w:pBdr>
        <w:ind w:left="993" w:right="49"/>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Ing. Juan José Montoya Galicia</w:t>
      </w:r>
    </w:p>
    <w:p w:rsidR="006476B8" w:rsidRPr="00D85131" w:rsidRDefault="006476B8">
      <w:pPr>
        <w:pBdr>
          <w:top w:val="nil"/>
          <w:left w:val="nil"/>
          <w:bottom w:val="nil"/>
          <w:right w:val="nil"/>
          <w:between w:val="nil"/>
        </w:pBdr>
        <w:tabs>
          <w:tab w:val="left" w:pos="567"/>
        </w:tabs>
        <w:ind w:right="-787"/>
        <w:jc w:val="both"/>
        <w:rPr>
          <w:rFonts w:ascii="Palatino Linotype" w:eastAsia="Palatino Linotype" w:hAnsi="Palatino Linotype" w:cs="Palatino Linotype"/>
          <w:color w:val="000000"/>
        </w:rPr>
      </w:pPr>
    </w:p>
    <w:p w:rsidR="006476B8" w:rsidRPr="00D85131" w:rsidRDefault="00E40CA1">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El</w:t>
      </w:r>
      <w:r w:rsidRPr="00D85131">
        <w:rPr>
          <w:rFonts w:ascii="Palatino Linotype" w:eastAsia="Palatino Linotype" w:hAnsi="Palatino Linotype" w:cs="Palatino Linotype"/>
          <w:b/>
          <w:color w:val="000000"/>
        </w:rPr>
        <w:t xml:space="preserve"> </w:t>
      </w:r>
      <w:r w:rsidR="009E3D94" w:rsidRPr="00D85131">
        <w:rPr>
          <w:rFonts w:ascii="Palatino Linotype" w:eastAsia="Palatino Linotype" w:hAnsi="Palatino Linotype" w:cs="Palatino Linotype"/>
          <w:b/>
          <w:color w:val="000000"/>
        </w:rPr>
        <w:t>cuatro de febrero de dos mil veinticinco</w:t>
      </w:r>
      <w:r w:rsidRPr="00D85131">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6476B8" w:rsidRPr="00D85131" w:rsidRDefault="00E40CA1">
      <w:pPr>
        <w:numPr>
          <w:ilvl w:val="0"/>
          <w:numId w:val="12"/>
        </w:numPr>
        <w:pBdr>
          <w:top w:val="nil"/>
          <w:left w:val="nil"/>
          <w:bottom w:val="nil"/>
          <w:right w:val="nil"/>
          <w:between w:val="nil"/>
        </w:pBdr>
        <w:ind w:right="-79"/>
        <w:jc w:val="both"/>
        <w:rPr>
          <w:rFonts w:ascii="Palatino Linotype" w:eastAsia="Palatino Linotype" w:hAnsi="Palatino Linotype" w:cs="Palatino Linotype"/>
          <w:i/>
          <w:color w:val="000000"/>
        </w:rPr>
      </w:pPr>
      <w:bookmarkStart w:id="1" w:name="_heading=h.30j0zll" w:colFirst="0" w:colLast="0"/>
      <w:bookmarkEnd w:id="1"/>
      <w:r w:rsidRPr="00D85131">
        <w:rPr>
          <w:rFonts w:ascii="Palatino Linotype" w:eastAsia="Palatino Linotype" w:hAnsi="Palatino Linotype" w:cs="Palatino Linotype"/>
          <w:b/>
          <w:color w:val="000000"/>
        </w:rPr>
        <w:t xml:space="preserve">Acto impugnado: </w:t>
      </w:r>
    </w:p>
    <w:p w:rsidR="006476B8" w:rsidRPr="00D85131" w:rsidRDefault="00E40CA1">
      <w:pPr>
        <w:pBdr>
          <w:top w:val="nil"/>
          <w:left w:val="nil"/>
          <w:bottom w:val="nil"/>
          <w:right w:val="nil"/>
          <w:between w:val="nil"/>
        </w:pBdr>
        <w:ind w:left="1429" w:right="-79"/>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w:t>
      </w:r>
      <w:r w:rsidR="009E3D94" w:rsidRPr="00D85131">
        <w:rPr>
          <w:rFonts w:ascii="Palatino Linotype" w:eastAsia="Palatino Linotype" w:hAnsi="Palatino Linotype" w:cs="Palatino Linotype"/>
          <w:i/>
          <w:color w:val="000000"/>
        </w:rPr>
        <w:t>No se entrega la información solicitada y solo recibo un texto el cuál no tiene ninguna validez ni como demostrar que la información es verifica</w:t>
      </w:r>
      <w:r w:rsidRPr="00D85131">
        <w:rPr>
          <w:rFonts w:ascii="Palatino Linotype" w:eastAsia="Palatino Linotype" w:hAnsi="Palatino Linotype" w:cs="Palatino Linotype"/>
          <w:i/>
          <w:color w:val="000000"/>
        </w:rPr>
        <w:t>” (Sic)</w:t>
      </w:r>
    </w:p>
    <w:p w:rsidR="009E3D94" w:rsidRPr="00D85131" w:rsidRDefault="009E3D94" w:rsidP="009E3D94">
      <w:pPr>
        <w:pBdr>
          <w:top w:val="nil"/>
          <w:left w:val="nil"/>
          <w:bottom w:val="nil"/>
          <w:right w:val="nil"/>
          <w:between w:val="nil"/>
        </w:pBdr>
        <w:ind w:right="-79"/>
        <w:jc w:val="both"/>
        <w:rPr>
          <w:rFonts w:ascii="Palatino Linotype" w:eastAsia="Palatino Linotype" w:hAnsi="Palatino Linotype" w:cs="Palatino Linotype"/>
          <w:i/>
          <w:color w:val="000000"/>
        </w:rPr>
      </w:pPr>
    </w:p>
    <w:p w:rsidR="006476B8" w:rsidRPr="00D85131" w:rsidRDefault="00E40CA1">
      <w:pPr>
        <w:numPr>
          <w:ilvl w:val="0"/>
          <w:numId w:val="12"/>
        </w:numPr>
        <w:pBdr>
          <w:top w:val="nil"/>
          <w:left w:val="nil"/>
          <w:bottom w:val="nil"/>
          <w:right w:val="nil"/>
          <w:between w:val="nil"/>
        </w:pBdr>
        <w:ind w:right="-79"/>
        <w:jc w:val="both"/>
        <w:rPr>
          <w:rFonts w:ascii="Palatino Linotype" w:eastAsia="Palatino Linotype" w:hAnsi="Palatino Linotype" w:cs="Palatino Linotype"/>
          <w:i/>
          <w:color w:val="000000"/>
        </w:rPr>
      </w:pPr>
      <w:bookmarkStart w:id="2" w:name="_heading=h.1fob9te" w:colFirst="0" w:colLast="0"/>
      <w:bookmarkEnd w:id="2"/>
      <w:r w:rsidRPr="00D85131">
        <w:rPr>
          <w:rFonts w:ascii="Palatino Linotype" w:eastAsia="Palatino Linotype" w:hAnsi="Palatino Linotype" w:cs="Palatino Linotype"/>
          <w:b/>
          <w:color w:val="000000"/>
        </w:rPr>
        <w:t>Razones o Motivos de inconformidad:</w:t>
      </w:r>
    </w:p>
    <w:p w:rsidR="006476B8" w:rsidRPr="00D85131" w:rsidRDefault="00E40CA1">
      <w:pPr>
        <w:pBdr>
          <w:top w:val="nil"/>
          <w:left w:val="nil"/>
          <w:bottom w:val="nil"/>
          <w:right w:val="nil"/>
          <w:between w:val="nil"/>
        </w:pBdr>
        <w:ind w:left="1429" w:right="-79"/>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w:t>
      </w:r>
      <w:r w:rsidR="009E3D94" w:rsidRPr="00D85131">
        <w:rPr>
          <w:rFonts w:ascii="Palatino Linotype" w:eastAsia="Palatino Linotype" w:hAnsi="Palatino Linotype" w:cs="Palatino Linotype"/>
          <w:i/>
          <w:color w:val="000000"/>
        </w:rPr>
        <w:t>No se entrega la información solicitada</w:t>
      </w:r>
      <w:r w:rsidRPr="00D85131">
        <w:rPr>
          <w:rFonts w:ascii="Palatino Linotype" w:eastAsia="Palatino Linotype" w:hAnsi="Palatino Linotype" w:cs="Palatino Linotype"/>
          <w:i/>
          <w:color w:val="000000"/>
        </w:rPr>
        <w:t>” (Sic)</w:t>
      </w:r>
    </w:p>
    <w:p w:rsidR="006476B8" w:rsidRPr="00D85131" w:rsidRDefault="006476B8">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6476B8" w:rsidRPr="00D85131" w:rsidRDefault="00E40CA1">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D85131">
        <w:rPr>
          <w:rFonts w:ascii="Palatino Linotype" w:eastAsia="Palatino Linotype" w:hAnsi="Palatino Linotype" w:cs="Palatino Linotype"/>
          <w:b/>
          <w:color w:val="000000"/>
        </w:rPr>
        <w:t xml:space="preserve">acuerdo de admisión </w:t>
      </w:r>
      <w:r w:rsidRPr="00D85131">
        <w:rPr>
          <w:rFonts w:ascii="Palatino Linotype" w:eastAsia="Palatino Linotype" w:hAnsi="Palatino Linotype" w:cs="Palatino Linotype"/>
          <w:color w:val="000000"/>
        </w:rPr>
        <w:t xml:space="preserve">de fecha </w:t>
      </w:r>
      <w:r w:rsidR="007F700C" w:rsidRPr="00D85131">
        <w:rPr>
          <w:rFonts w:ascii="Palatino Linotype" w:eastAsia="Palatino Linotype" w:hAnsi="Palatino Linotype" w:cs="Palatino Linotype"/>
          <w:b/>
          <w:color w:val="000000"/>
        </w:rPr>
        <w:t>seis de febrero</w:t>
      </w:r>
      <w:r w:rsidRPr="00D85131">
        <w:rPr>
          <w:rFonts w:ascii="Palatino Linotype" w:eastAsia="Palatino Linotype" w:hAnsi="Palatino Linotype" w:cs="Palatino Linotype"/>
          <w:b/>
          <w:color w:val="000000"/>
        </w:rPr>
        <w:t xml:space="preserve"> de dos mil veinticinco, </w:t>
      </w:r>
      <w:r w:rsidRPr="00D85131">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D85131">
        <w:rPr>
          <w:rFonts w:ascii="Palatino Linotype" w:eastAsia="Palatino Linotype" w:hAnsi="Palatino Linotype" w:cs="Palatino Linotype"/>
        </w:rPr>
        <w:t>manifestara</w:t>
      </w:r>
      <w:r w:rsidRPr="00D85131">
        <w:rPr>
          <w:rFonts w:ascii="Palatino Linotype" w:eastAsia="Palatino Linotype" w:hAnsi="Palatino Linotype" w:cs="Palatino Linotype"/>
          <w:color w:val="000000"/>
        </w:rPr>
        <w:t xml:space="preserve"> lo que a su derecho conviniera, </w:t>
      </w:r>
      <w:r w:rsidRPr="00D85131">
        <w:rPr>
          <w:rFonts w:ascii="Palatino Linotype" w:eastAsia="Palatino Linotype" w:hAnsi="Palatino Linotype" w:cs="Palatino Linotype"/>
        </w:rPr>
        <w:lastRenderedPageBreak/>
        <w:t>ofreciera</w:t>
      </w:r>
      <w:r w:rsidRPr="00D85131">
        <w:rPr>
          <w:rFonts w:ascii="Palatino Linotype" w:eastAsia="Palatino Linotype" w:hAnsi="Palatino Linotype" w:cs="Palatino Linotype"/>
          <w:color w:val="000000"/>
        </w:rPr>
        <w:t xml:space="preserve"> pruebas y alegatos según corresponda al caso concreto, de esta forma para que el </w:t>
      </w:r>
      <w:r w:rsidRPr="00D85131">
        <w:rPr>
          <w:rFonts w:ascii="Palatino Linotype" w:eastAsia="Palatino Linotype" w:hAnsi="Palatino Linotype" w:cs="Palatino Linotype"/>
          <w:b/>
          <w:color w:val="000000"/>
        </w:rPr>
        <w:t xml:space="preserve">SUJETO OBLIGADO </w:t>
      </w:r>
      <w:r w:rsidRPr="00D85131">
        <w:rPr>
          <w:rFonts w:ascii="Palatino Linotype" w:eastAsia="Palatino Linotype" w:hAnsi="Palatino Linotype" w:cs="Palatino Linotype"/>
        </w:rPr>
        <w:t>presentará</w:t>
      </w:r>
      <w:r w:rsidRPr="00D85131">
        <w:rPr>
          <w:rFonts w:ascii="Palatino Linotype" w:eastAsia="Palatino Linotype" w:hAnsi="Palatino Linotype" w:cs="Palatino Linotype"/>
          <w:color w:val="000000"/>
        </w:rPr>
        <w:t xml:space="preserve"> el Informe Justificado procedente.</w:t>
      </w:r>
    </w:p>
    <w:p w:rsidR="006476B8" w:rsidRPr="00D85131" w:rsidRDefault="006476B8">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D85131">
        <w:rPr>
          <w:rFonts w:ascii="Palatino Linotype" w:eastAsia="Palatino Linotype" w:hAnsi="Palatino Linotype" w:cs="Palatino Linotype"/>
          <w:color w:val="000000"/>
        </w:rPr>
        <w:t>El Recurrente</w:t>
      </w:r>
      <w:r w:rsidRPr="00D85131">
        <w:rPr>
          <w:rFonts w:ascii="Palatino Linotype" w:eastAsia="Palatino Linotype" w:hAnsi="Palatino Linotype" w:cs="Palatino Linotype"/>
          <w:b/>
          <w:color w:val="000000"/>
        </w:rPr>
        <w:t xml:space="preserve"> </w:t>
      </w:r>
      <w:r w:rsidRPr="00D85131">
        <w:rPr>
          <w:rFonts w:ascii="Palatino Linotype" w:eastAsia="Palatino Linotype" w:hAnsi="Palatino Linotype" w:cs="Palatino Linotype"/>
          <w:color w:val="000000"/>
        </w:rPr>
        <w:t>dejó de realizar manifestaciones que a su derecho conviniera y asistiera. Por su parte, el Sujeto Obligado,</w:t>
      </w:r>
      <w:r w:rsidRPr="00D85131">
        <w:rPr>
          <w:rFonts w:ascii="Palatino Linotype" w:eastAsia="Palatino Linotype" w:hAnsi="Palatino Linotype" w:cs="Palatino Linotype"/>
          <w:b/>
          <w:color w:val="000000"/>
        </w:rPr>
        <w:t xml:space="preserve"> </w:t>
      </w:r>
      <w:r w:rsidR="007F700C" w:rsidRPr="00D85131">
        <w:rPr>
          <w:rFonts w:ascii="Palatino Linotype" w:eastAsia="Palatino Linotype" w:hAnsi="Palatino Linotype" w:cs="Palatino Linotype"/>
          <w:color w:val="000000"/>
        </w:rPr>
        <w:t>no</w:t>
      </w:r>
      <w:r w:rsidRPr="00D85131">
        <w:rPr>
          <w:rFonts w:ascii="Palatino Linotype" w:eastAsia="Palatino Linotype" w:hAnsi="Palatino Linotype" w:cs="Palatino Linotype"/>
          <w:b/>
          <w:color w:val="000000"/>
        </w:rPr>
        <w:t xml:space="preserve"> </w:t>
      </w:r>
      <w:r w:rsidRPr="00D85131">
        <w:rPr>
          <w:rFonts w:ascii="Palatino Linotype" w:eastAsia="Palatino Linotype" w:hAnsi="Palatino Linotype" w:cs="Palatino Linotype"/>
          <w:color w:val="000000"/>
        </w:rPr>
        <w:t xml:space="preserve">presentó informe justificado, </w:t>
      </w:r>
      <w:r w:rsidR="007F700C" w:rsidRPr="00D85131">
        <w:rPr>
          <w:rFonts w:ascii="Palatino Linotype" w:eastAsia="Palatino Linotype" w:hAnsi="Palatino Linotype" w:cs="Palatino Linotype"/>
          <w:color w:val="000000"/>
        </w:rPr>
        <w:t>tal como se muestra en la imagen siguiente:</w:t>
      </w:r>
    </w:p>
    <w:p w:rsidR="006476B8" w:rsidRPr="00D85131" w:rsidRDefault="007F700C" w:rsidP="007F700C">
      <w:pPr>
        <w:pBdr>
          <w:top w:val="nil"/>
          <w:left w:val="nil"/>
          <w:bottom w:val="nil"/>
          <w:right w:val="nil"/>
          <w:between w:val="nil"/>
        </w:pBdr>
        <w:spacing w:line="360" w:lineRule="auto"/>
        <w:ind w:right="-787"/>
        <w:jc w:val="center"/>
        <w:rPr>
          <w:rFonts w:ascii="Palatino Linotype" w:hAnsi="Palatino Linotype"/>
          <w:color w:val="000000"/>
        </w:rPr>
      </w:pPr>
      <w:r w:rsidRPr="00D85131">
        <w:rPr>
          <w:rFonts w:ascii="Palatino Linotype" w:hAnsi="Palatino Linotype"/>
          <w:noProof/>
          <w:color w:val="000000"/>
          <w:lang w:val="es-MX" w:eastAsia="es-MX"/>
        </w:rPr>
        <w:drawing>
          <wp:inline distT="0" distB="0" distL="0" distR="0" wp14:anchorId="24B12F3D" wp14:editId="2A79E3FA">
            <wp:extent cx="4383405" cy="1153632"/>
            <wp:effectExtent l="152400" t="152400" r="360045" b="3708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7775" cy="1160046"/>
                    </a:xfrm>
                    <a:prstGeom prst="rect">
                      <a:avLst/>
                    </a:prstGeom>
                    <a:ln>
                      <a:noFill/>
                    </a:ln>
                    <a:effectLst>
                      <a:outerShdw blurRad="292100" dist="139700" dir="2700000" algn="tl" rotWithShape="0">
                        <a:srgbClr val="333333">
                          <a:alpha val="65000"/>
                        </a:srgbClr>
                      </a:outerShdw>
                    </a:effectLst>
                  </pic:spPr>
                </pic:pic>
              </a:graphicData>
            </a:graphic>
          </wp:inline>
        </w:drawing>
      </w: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D85131">
        <w:rPr>
          <w:rFonts w:ascii="Palatino Linotype" w:eastAsia="Palatino Linotype" w:hAnsi="Palatino Linotype" w:cs="Palatino Linotype"/>
          <w:b/>
          <w:color w:val="000000"/>
        </w:rPr>
        <w:t xml:space="preserve"> </w:t>
      </w:r>
      <w:r w:rsidR="006C1E33" w:rsidRPr="00D85131">
        <w:rPr>
          <w:rFonts w:ascii="Palatino Linotype" w:eastAsia="Palatino Linotype" w:hAnsi="Palatino Linotype" w:cs="Palatino Linotype"/>
          <w:b/>
          <w:color w:val="000000"/>
        </w:rPr>
        <w:t>catorce de marzo</w:t>
      </w:r>
      <w:r w:rsidRPr="00D85131">
        <w:rPr>
          <w:rFonts w:ascii="Palatino Linotype" w:eastAsia="Palatino Linotype" w:hAnsi="Palatino Linotype" w:cs="Palatino Linotype"/>
          <w:b/>
          <w:color w:val="000000"/>
        </w:rPr>
        <w:t xml:space="preserve"> de dos mil veinticinco</w:t>
      </w:r>
      <w:r w:rsidRPr="00D85131">
        <w:rPr>
          <w:rFonts w:ascii="Palatino Linotype" w:eastAsia="Palatino Linotype" w:hAnsi="Palatino Linotype" w:cs="Palatino Linotype"/>
          <w:color w:val="000000"/>
        </w:rPr>
        <w:t xml:space="preserve"> se acordó </w:t>
      </w:r>
      <w:r w:rsidRPr="00D85131">
        <w:rPr>
          <w:rFonts w:ascii="Palatino Linotype" w:eastAsia="Palatino Linotype" w:hAnsi="Palatino Linotype" w:cs="Palatino Linotype"/>
          <w:b/>
          <w:color w:val="000000"/>
        </w:rPr>
        <w:t>ampliar el término para resolver</w:t>
      </w:r>
      <w:r w:rsidRPr="00D85131">
        <w:rPr>
          <w:rFonts w:ascii="Palatino Linotype" w:eastAsia="Palatino Linotype" w:hAnsi="Palatino Linotype" w:cs="Palatino Linotype"/>
          <w:color w:val="000000"/>
        </w:rPr>
        <w:t xml:space="preserve"> el presente asunto.</w:t>
      </w:r>
    </w:p>
    <w:p w:rsidR="006476B8" w:rsidRPr="00D85131"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6476B8" w:rsidRPr="00D85131" w:rsidRDefault="006476B8">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3" w:name="_heading=h.3znysh7" w:colFirst="0" w:colLast="0"/>
      <w:bookmarkEnd w:id="3"/>
      <w:r w:rsidRPr="00D85131">
        <w:rPr>
          <w:rFonts w:ascii="Palatino Linotype" w:eastAsia="Palatino Linotype" w:hAnsi="Palatino Linotype" w:cs="Palatino Linotype"/>
          <w:color w:val="000000"/>
        </w:rPr>
        <w:t xml:space="preserve">Seguidamente, en fecha </w:t>
      </w:r>
      <w:r w:rsidR="00786A4D" w:rsidRPr="00D85131">
        <w:rPr>
          <w:rFonts w:ascii="Palatino Linotype" w:eastAsia="Palatino Linotype" w:hAnsi="Palatino Linotype" w:cs="Palatino Linotype"/>
          <w:b/>
          <w:color w:val="000000"/>
        </w:rPr>
        <w:t>veinte de marzo</w:t>
      </w:r>
      <w:r w:rsidRPr="00D85131">
        <w:rPr>
          <w:rFonts w:ascii="Palatino Linotype" w:eastAsia="Palatino Linotype" w:hAnsi="Palatino Linotype" w:cs="Palatino Linotype"/>
          <w:b/>
          <w:color w:val="000000"/>
        </w:rPr>
        <w:t xml:space="preserve"> de dos mil veinticinco</w:t>
      </w:r>
      <w:r w:rsidRPr="00D85131">
        <w:rPr>
          <w:rFonts w:ascii="Palatino Linotype" w:eastAsia="Palatino Linotype" w:hAnsi="Palatino Linotype" w:cs="Palatino Linotype"/>
          <w:color w:val="000000"/>
        </w:rPr>
        <w:t xml:space="preserve">, la Comisionada Ponente dictó el </w:t>
      </w:r>
      <w:r w:rsidRPr="00D85131">
        <w:rPr>
          <w:rFonts w:ascii="Palatino Linotype" w:eastAsia="Palatino Linotype" w:hAnsi="Palatino Linotype" w:cs="Palatino Linotype"/>
          <w:b/>
          <w:color w:val="000000"/>
        </w:rPr>
        <w:t>cierre del periodo de instrucción</w:t>
      </w:r>
      <w:r w:rsidRPr="00D85131">
        <w:rPr>
          <w:rFonts w:ascii="Palatino Linotype" w:eastAsia="Palatino Linotype" w:hAnsi="Palatino Linotype" w:cs="Palatino Linotype"/>
          <w:color w:val="000000"/>
        </w:rPr>
        <w:t xml:space="preserve"> y, ordenó la resolución que conforme a Derecho proceda.---------------------------------------------------------------------------</w:t>
      </w:r>
      <w:r w:rsidR="00B1234F" w:rsidRPr="00D85131">
        <w:rPr>
          <w:rFonts w:ascii="Palatino Linotype" w:eastAsia="Palatino Linotype" w:hAnsi="Palatino Linotype" w:cs="Palatino Linotype"/>
          <w:color w:val="000000"/>
        </w:rPr>
        <w:t>----------------------</w:t>
      </w:r>
    </w:p>
    <w:p w:rsidR="006476B8" w:rsidRPr="00D85131"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bookmarkStart w:id="4" w:name="_heading=h.r0t3k3jgqo1b" w:colFirst="0" w:colLast="0"/>
      <w:bookmarkStart w:id="5" w:name="_heading=h.125kowosoef2" w:colFirst="0" w:colLast="0"/>
      <w:bookmarkStart w:id="6" w:name="_heading=h.c04asdm0qq3m" w:colFirst="0" w:colLast="0"/>
      <w:bookmarkEnd w:id="4"/>
      <w:bookmarkEnd w:id="5"/>
      <w:bookmarkEnd w:id="6"/>
    </w:p>
    <w:p w:rsidR="006476B8" w:rsidRPr="00D85131" w:rsidRDefault="00E40CA1">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D85131">
        <w:rPr>
          <w:rFonts w:ascii="Palatino Linotype" w:eastAsia="Palatino Linotype" w:hAnsi="Palatino Linotype" w:cs="Palatino Linotype"/>
          <w:b/>
          <w:color w:val="000000"/>
        </w:rPr>
        <w:t>C O N S I D E R A C I O N E S</w:t>
      </w:r>
    </w:p>
    <w:p w:rsidR="006476B8" w:rsidRPr="00D85131" w:rsidRDefault="006476B8">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6476B8" w:rsidRPr="00D85131" w:rsidRDefault="00E40CA1">
      <w:pPr>
        <w:pStyle w:val="Ttulo2"/>
        <w:spacing w:before="0" w:line="360" w:lineRule="auto"/>
        <w:ind w:right="-787"/>
        <w:rPr>
          <w:rFonts w:ascii="Palatino Linotype" w:eastAsia="Palatino Linotype" w:hAnsi="Palatino Linotype" w:cs="Palatino Linotype"/>
          <w:b/>
          <w:color w:val="000000"/>
          <w:sz w:val="24"/>
          <w:szCs w:val="24"/>
        </w:rPr>
      </w:pPr>
      <w:bookmarkStart w:id="7" w:name="_heading=h.2et92p0" w:colFirst="0" w:colLast="0"/>
      <w:bookmarkEnd w:id="7"/>
      <w:r w:rsidRPr="00D85131">
        <w:rPr>
          <w:rFonts w:ascii="Palatino Linotype" w:eastAsia="Palatino Linotype" w:hAnsi="Palatino Linotype" w:cs="Palatino Linotype"/>
          <w:b/>
          <w:color w:val="000000"/>
          <w:sz w:val="24"/>
          <w:szCs w:val="24"/>
        </w:rPr>
        <w:t>PRIMERA. Competencia</w:t>
      </w: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w:t>
      </w:r>
      <w:r w:rsidR="00E4113A" w:rsidRPr="00D85131">
        <w:rPr>
          <w:rFonts w:ascii="Palatino Linotype" w:eastAsia="Palatino Linotype" w:hAnsi="Palatino Linotype" w:cs="Palatino Linotype"/>
          <w:color w:val="000000"/>
        </w:rPr>
        <w:t>, Vigente a la fecha de la solicitud</w:t>
      </w:r>
      <w:r w:rsidRPr="00D85131">
        <w:rPr>
          <w:rFonts w:ascii="Palatino Linotype" w:eastAsia="Palatino Linotype" w:hAnsi="Palatino Linotype" w:cs="Palatino Linotype"/>
          <w:color w:val="000000"/>
        </w:rPr>
        <w:t>;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476B8" w:rsidRPr="00D85131"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6476B8" w:rsidRPr="00D85131" w:rsidRDefault="00E40CA1">
      <w:pPr>
        <w:pStyle w:val="Ttulo2"/>
        <w:spacing w:before="0" w:line="360" w:lineRule="auto"/>
        <w:ind w:right="-787"/>
        <w:rPr>
          <w:rFonts w:ascii="Palatino Linotype" w:eastAsia="Palatino Linotype" w:hAnsi="Palatino Linotype" w:cs="Palatino Linotype"/>
          <w:b/>
          <w:color w:val="000000"/>
          <w:sz w:val="24"/>
          <w:szCs w:val="24"/>
        </w:rPr>
      </w:pPr>
      <w:bookmarkStart w:id="8" w:name="_heading=h.tyjcwt" w:colFirst="0" w:colLast="0"/>
      <w:bookmarkEnd w:id="8"/>
      <w:r w:rsidRPr="00D85131">
        <w:rPr>
          <w:rFonts w:ascii="Palatino Linotype" w:eastAsia="Palatino Linotype" w:hAnsi="Palatino Linotype" w:cs="Palatino Linotype"/>
          <w:b/>
          <w:color w:val="000000"/>
          <w:sz w:val="24"/>
          <w:szCs w:val="24"/>
        </w:rPr>
        <w:t>SEGUNDA. Procedencia</w:t>
      </w:r>
    </w:p>
    <w:p w:rsidR="006476B8" w:rsidRPr="00D85131" w:rsidRDefault="00E40CA1">
      <w:pPr>
        <w:numPr>
          <w:ilvl w:val="0"/>
          <w:numId w:val="1"/>
        </w:numPr>
        <w:spacing w:line="360" w:lineRule="auto"/>
        <w:ind w:left="0" w:right="-787" w:firstLine="0"/>
        <w:jc w:val="both"/>
        <w:rPr>
          <w:rFonts w:ascii="Palatino Linotype" w:hAnsi="Palatino Linotype"/>
        </w:rPr>
      </w:pPr>
      <w:r w:rsidRPr="00D85131">
        <w:rPr>
          <w:rFonts w:ascii="Palatino Linotype" w:eastAsia="Palatino Linotype" w:hAnsi="Palatino Linotype" w:cs="Palatino Linotype"/>
        </w:rPr>
        <w:t xml:space="preserve">Este Órgano Garante considera que el medio de impugnación reúne los requisitos de procedencia </w:t>
      </w:r>
      <w:r w:rsidRPr="00D85131">
        <w:rPr>
          <w:rFonts w:ascii="Palatino Linotype" w:eastAsia="Palatino Linotype" w:hAnsi="Palatino Linotype" w:cs="Palatino Linotype"/>
          <w:color w:val="000000"/>
        </w:rPr>
        <w:t xml:space="preserve">toda vez que: el recurso fue presentado dentro del plazo establecido en el </w:t>
      </w:r>
      <w:r w:rsidRPr="00D85131">
        <w:rPr>
          <w:rFonts w:ascii="Palatino Linotype" w:eastAsia="Palatino Linotype" w:hAnsi="Palatino Linotype" w:cs="Palatino Linotype"/>
          <w:color w:val="000000"/>
        </w:rPr>
        <w:lastRenderedPageBreak/>
        <w:t>artículo 178, de la Ley de Transparencia y Acceso a la Información Pública del Estado de México y Municipios; asimismo no se tiene conocimiento de que se encuentre en trámite algún medio de defensa presentado por el Recurrente ante otra instancia.</w:t>
      </w:r>
    </w:p>
    <w:p w:rsidR="006476B8" w:rsidRPr="00D85131" w:rsidRDefault="006476B8">
      <w:pPr>
        <w:spacing w:line="360" w:lineRule="auto"/>
        <w:ind w:right="-787"/>
        <w:jc w:val="both"/>
        <w:rPr>
          <w:rFonts w:ascii="Palatino Linotype" w:eastAsia="Palatino Linotype" w:hAnsi="Palatino Linotype" w:cs="Palatino Linotype"/>
        </w:rPr>
      </w:pPr>
    </w:p>
    <w:p w:rsidR="006476B8" w:rsidRPr="00D85131" w:rsidRDefault="00E40CA1">
      <w:pPr>
        <w:numPr>
          <w:ilvl w:val="0"/>
          <w:numId w:val="1"/>
        </w:numPr>
        <w:spacing w:line="360" w:lineRule="auto"/>
        <w:ind w:left="0" w:right="-787" w:firstLine="0"/>
        <w:jc w:val="both"/>
        <w:rPr>
          <w:rFonts w:ascii="Palatino Linotype" w:hAnsi="Palatino Linotype"/>
        </w:rPr>
      </w:pPr>
      <w:r w:rsidRPr="00D85131">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6476B8" w:rsidRPr="00D85131" w:rsidRDefault="006476B8">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476B8" w:rsidRPr="00D85131" w:rsidRDefault="00E40CA1">
      <w:pPr>
        <w:pStyle w:val="Ttulo1"/>
        <w:spacing w:before="0" w:line="360" w:lineRule="auto"/>
        <w:ind w:right="-787"/>
        <w:rPr>
          <w:rFonts w:ascii="Palatino Linotype" w:eastAsia="Palatino Linotype" w:hAnsi="Palatino Linotype" w:cs="Palatino Linotype"/>
          <w:b/>
          <w:color w:val="000000"/>
          <w:sz w:val="24"/>
          <w:szCs w:val="24"/>
        </w:rPr>
      </w:pPr>
      <w:bookmarkStart w:id="9" w:name="_heading=h.3dy6vkm" w:colFirst="0" w:colLast="0"/>
      <w:bookmarkEnd w:id="9"/>
      <w:r w:rsidRPr="00D85131">
        <w:rPr>
          <w:rFonts w:ascii="Palatino Linotype" w:eastAsia="Palatino Linotype" w:hAnsi="Palatino Linotype" w:cs="Palatino Linotype"/>
          <w:b/>
          <w:color w:val="000000"/>
          <w:sz w:val="24"/>
          <w:szCs w:val="24"/>
        </w:rPr>
        <w:t>TERCERA. Descripción de hechos y planteamiento de la controversia.</w:t>
      </w: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Se solicitó tener acceso, a la información que a continuación se describe:</w:t>
      </w:r>
    </w:p>
    <w:p w:rsidR="006476B8" w:rsidRPr="00D85131" w:rsidRDefault="003F3254">
      <w:p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Del titular de la Unidad de Información, Planeación, Programación y Evaluación:</w:t>
      </w:r>
    </w:p>
    <w:p w:rsidR="003F3254" w:rsidRPr="00D85131" w:rsidRDefault="003F3254" w:rsidP="003F3254">
      <w:pPr>
        <w:pStyle w:val="Prrafodelista"/>
        <w:numPr>
          <w:ilvl w:val="0"/>
          <w:numId w:val="14"/>
        </w:numPr>
        <w:pBdr>
          <w:top w:val="nil"/>
          <w:left w:val="nil"/>
          <w:bottom w:val="nil"/>
          <w:right w:val="nil"/>
          <w:between w:val="nil"/>
        </w:pBdr>
        <w:spacing w:line="360" w:lineRule="auto"/>
        <w:ind w:right="-220"/>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Experiencia laboral.</w:t>
      </w:r>
    </w:p>
    <w:p w:rsidR="003F3254" w:rsidRPr="00D85131" w:rsidRDefault="003F3254" w:rsidP="003F3254">
      <w:pPr>
        <w:pStyle w:val="Prrafodelista"/>
        <w:numPr>
          <w:ilvl w:val="0"/>
          <w:numId w:val="14"/>
        </w:numPr>
        <w:pBdr>
          <w:top w:val="nil"/>
          <w:left w:val="nil"/>
          <w:bottom w:val="nil"/>
          <w:right w:val="nil"/>
          <w:between w:val="nil"/>
        </w:pBdr>
        <w:spacing w:line="360" w:lineRule="auto"/>
        <w:ind w:right="-220"/>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Constancias de no adeudo, expedidas por el Secretario y Tesorero del municipio de Temamatla, Estado de México.</w:t>
      </w:r>
    </w:p>
    <w:p w:rsidR="006476B8" w:rsidRPr="00D85131" w:rsidRDefault="006476B8">
      <w:p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rPr>
      </w:pPr>
    </w:p>
    <w:p w:rsidR="006476B8" w:rsidRPr="00D85131" w:rsidRDefault="00E40CA1" w:rsidP="009053E3">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rPr>
      </w:pPr>
      <w:r w:rsidRPr="00D85131">
        <w:rPr>
          <w:rFonts w:ascii="Palatino Linotype" w:eastAsia="Palatino Linotype" w:hAnsi="Palatino Linotype" w:cs="Palatino Linotype"/>
        </w:rPr>
        <w:t>En respuesta, el Sujeto Obligado</w:t>
      </w:r>
      <w:r w:rsidRPr="00D85131">
        <w:rPr>
          <w:rFonts w:ascii="Palatino Linotype" w:eastAsia="Palatino Linotype" w:hAnsi="Palatino Linotype" w:cs="Palatino Linotype"/>
          <w:b/>
        </w:rPr>
        <w:t xml:space="preserve"> </w:t>
      </w:r>
      <w:r w:rsidR="009053E3" w:rsidRPr="00D85131">
        <w:rPr>
          <w:rFonts w:ascii="Palatino Linotype" w:eastAsia="Palatino Linotype" w:hAnsi="Palatino Linotype" w:cs="Palatino Linotype"/>
        </w:rPr>
        <w:t xml:space="preserve">que </w:t>
      </w:r>
      <w:r w:rsidR="009053E3" w:rsidRPr="00D85131">
        <w:rPr>
          <w:rFonts w:ascii="Palatino Linotype" w:eastAsia="Palatino Linotype" w:hAnsi="Palatino Linotype" w:cs="Palatino Linotype"/>
          <w:i/>
        </w:rPr>
        <w:t xml:space="preserve">el Servidor Público tiene experiencia laboral en cuestión de mejora regulatoria e información, planeación, programación y evaluación; de acuerdo a sus constancias solicitadas, esta administración no cuenta con las mismas. </w:t>
      </w:r>
      <w:r w:rsidR="009053E3" w:rsidRPr="00D85131">
        <w:rPr>
          <w:rFonts w:ascii="Palatino Linotype" w:eastAsia="Palatino Linotype" w:hAnsi="Palatino Linotype" w:cs="Palatino Linotype"/>
        </w:rPr>
        <w:t xml:space="preserve">Inconforme </w:t>
      </w:r>
      <w:r w:rsidRPr="00D85131">
        <w:rPr>
          <w:rFonts w:ascii="Palatino Linotype" w:eastAsia="Palatino Linotype" w:hAnsi="Palatino Linotype" w:cs="Palatino Linotype"/>
        </w:rPr>
        <w:t xml:space="preserve">con la respuesta, se interpuso Recurso de Revisión argumentando </w:t>
      </w:r>
      <w:r w:rsidR="009053E3" w:rsidRPr="00D85131">
        <w:rPr>
          <w:rFonts w:ascii="Palatino Linotype" w:eastAsia="Palatino Linotype" w:hAnsi="Palatino Linotype" w:cs="Palatino Linotype"/>
        </w:rPr>
        <w:t>la falta de entrega de la información solicitada.</w:t>
      </w:r>
    </w:p>
    <w:p w:rsidR="006476B8" w:rsidRPr="00D85131" w:rsidRDefault="006476B8">
      <w:pPr>
        <w:spacing w:line="360" w:lineRule="auto"/>
        <w:ind w:right="-787"/>
        <w:jc w:val="both"/>
        <w:rPr>
          <w:rFonts w:ascii="Palatino Linotype" w:eastAsia="Palatino Linotype" w:hAnsi="Palatino Linotype" w:cs="Palatino Linotype"/>
          <w:i/>
          <w:color w:val="000000"/>
        </w:rPr>
      </w:pPr>
    </w:p>
    <w:p w:rsidR="006476B8" w:rsidRPr="00D85131" w:rsidRDefault="00E40CA1">
      <w:pPr>
        <w:numPr>
          <w:ilvl w:val="0"/>
          <w:numId w:val="1"/>
        </w:numPr>
        <w:spacing w:line="360" w:lineRule="auto"/>
        <w:ind w:left="0" w:right="-787" w:firstLine="0"/>
        <w:jc w:val="both"/>
        <w:rPr>
          <w:rFonts w:ascii="Palatino Linotype" w:hAnsi="Palatino Linotype"/>
        </w:rPr>
      </w:pPr>
      <w:r w:rsidRPr="00D85131">
        <w:rPr>
          <w:rFonts w:ascii="Palatino Linotype" w:eastAsia="Palatino Linotype" w:hAnsi="Palatino Linotype" w:cs="Palatino Linotype"/>
        </w:rPr>
        <w:t>En dichas condiciones, la controversia a resolver en el presente proveído, corresponde a determinar si se actualiza la causal de procedencia previst</w:t>
      </w:r>
      <w:r w:rsidR="00136A5F" w:rsidRPr="00D85131">
        <w:rPr>
          <w:rFonts w:ascii="Palatino Linotype" w:eastAsia="Palatino Linotype" w:hAnsi="Palatino Linotype" w:cs="Palatino Linotype"/>
        </w:rPr>
        <w:t>a en el artículo 179, fracción I</w:t>
      </w:r>
      <w:r w:rsidRPr="00D85131">
        <w:rPr>
          <w:rFonts w:ascii="Palatino Linotype" w:eastAsia="Palatino Linotype" w:hAnsi="Palatino Linotype" w:cs="Palatino Linotype"/>
        </w:rPr>
        <w:t>,</w:t>
      </w:r>
      <w:r w:rsidRPr="00D85131">
        <w:rPr>
          <w:rFonts w:ascii="Palatino Linotype" w:eastAsia="Palatino Linotype" w:hAnsi="Palatino Linotype" w:cs="Palatino Linotype"/>
          <w:b/>
        </w:rPr>
        <w:t xml:space="preserve"> </w:t>
      </w:r>
      <w:r w:rsidRPr="00D85131">
        <w:rPr>
          <w:rFonts w:ascii="Palatino Linotype" w:eastAsia="Palatino Linotype" w:hAnsi="Palatino Linotype" w:cs="Palatino Linotype"/>
        </w:rPr>
        <w:t>de la Ley de Transparencia y Acceso a la Información Pública del Estado de</w:t>
      </w:r>
      <w:r w:rsidRPr="00D85131">
        <w:rPr>
          <w:rFonts w:ascii="Palatino Linotype" w:eastAsia="Palatino Linotype" w:hAnsi="Palatino Linotype" w:cs="Palatino Linotype"/>
          <w:b/>
        </w:rPr>
        <w:t xml:space="preserve"> </w:t>
      </w:r>
      <w:r w:rsidRPr="00D85131">
        <w:rPr>
          <w:rFonts w:ascii="Palatino Linotype" w:eastAsia="Palatino Linotype" w:hAnsi="Palatino Linotype" w:cs="Palatino Linotype"/>
        </w:rPr>
        <w:lastRenderedPageBreak/>
        <w:t>México</w:t>
      </w:r>
      <w:r w:rsidRPr="00D85131">
        <w:rPr>
          <w:rFonts w:ascii="Palatino Linotype" w:eastAsia="Palatino Linotype" w:hAnsi="Palatino Linotype" w:cs="Palatino Linotype"/>
          <w:b/>
        </w:rPr>
        <w:t xml:space="preserve"> </w:t>
      </w:r>
      <w:r w:rsidRPr="00D85131">
        <w:rPr>
          <w:rFonts w:ascii="Palatino Linotype" w:eastAsia="Palatino Linotype" w:hAnsi="Palatino Linotype" w:cs="Palatino Linotype"/>
        </w:rPr>
        <w:t>y</w:t>
      </w:r>
      <w:r w:rsidRPr="00D85131">
        <w:rPr>
          <w:rFonts w:ascii="Palatino Linotype" w:eastAsia="Palatino Linotype" w:hAnsi="Palatino Linotype" w:cs="Palatino Linotype"/>
          <w:b/>
        </w:rPr>
        <w:t xml:space="preserve"> </w:t>
      </w:r>
      <w:r w:rsidRPr="00D85131">
        <w:rPr>
          <w:rFonts w:ascii="Palatino Linotype" w:eastAsia="Palatino Linotype" w:hAnsi="Palatino Linotype" w:cs="Palatino Linotype"/>
        </w:rPr>
        <w:t xml:space="preserve">Municipios; </w:t>
      </w:r>
      <w:r w:rsidRPr="00D85131">
        <w:rPr>
          <w:rFonts w:ascii="Palatino Linotype" w:eastAsia="Palatino Linotype" w:hAnsi="Palatino Linotype" w:cs="Palatino Linotype"/>
          <w:color w:val="000000"/>
        </w:rPr>
        <w:t xml:space="preserve">fracción que determina la hipótesis relativa a </w:t>
      </w:r>
      <w:r w:rsidR="00136A5F" w:rsidRPr="00D85131">
        <w:rPr>
          <w:rFonts w:ascii="Palatino Linotype" w:eastAsia="Palatino Linotype" w:hAnsi="Palatino Linotype" w:cs="Palatino Linotype"/>
          <w:color w:val="000000"/>
        </w:rPr>
        <w:t>la negativa a la información solicitada</w:t>
      </w:r>
      <w:r w:rsidRPr="00D85131">
        <w:rPr>
          <w:rFonts w:ascii="Palatino Linotype" w:eastAsia="Palatino Linotype" w:hAnsi="Palatino Linotype" w:cs="Palatino Linotype"/>
          <w:color w:val="000000"/>
        </w:rPr>
        <w:t xml:space="preserve">; </w:t>
      </w:r>
      <w:r w:rsidRPr="00D85131">
        <w:rPr>
          <w:rFonts w:ascii="Palatino Linotype" w:eastAsia="Palatino Linotype" w:hAnsi="Palatino Linotype" w:cs="Palatino Linotype"/>
        </w:rPr>
        <w:t>contexto del cual se dolió el Recurrente al momento de impugnar el acto.</w:t>
      </w:r>
      <w:r w:rsidRPr="00D85131">
        <w:rPr>
          <w:rFonts w:ascii="Palatino Linotype" w:eastAsia="Palatino Linotype" w:hAnsi="Palatino Linotype" w:cs="Palatino Linotype"/>
          <w:color w:val="000000"/>
        </w:rPr>
        <w:t xml:space="preserve"> De modo tal que el presente recurso de revisión se </w:t>
      </w:r>
      <w:r w:rsidRPr="00D85131">
        <w:rPr>
          <w:rFonts w:ascii="Palatino Linotype" w:eastAsia="Palatino Linotype" w:hAnsi="Palatino Linotype" w:cs="Palatino Linotype"/>
        </w:rPr>
        <w:t>abocará</w:t>
      </w:r>
      <w:r w:rsidRPr="00D85131">
        <w:rPr>
          <w:rFonts w:ascii="Palatino Linotype" w:eastAsia="Palatino Linotype" w:hAnsi="Palatino Linotype" w:cs="Palatino Linotype"/>
          <w:color w:val="000000"/>
        </w:rPr>
        <w:t xml:space="preserve"> en determinar si el Sujeto Obligado con su respuesta ciertamente actualiza la causal de procedencia</w:t>
      </w:r>
      <w:r w:rsidRPr="00D85131">
        <w:rPr>
          <w:rFonts w:ascii="Palatino Linotype" w:eastAsia="Palatino Linotype" w:hAnsi="Palatino Linotype" w:cs="Palatino Linotype"/>
          <w:b/>
          <w:color w:val="000000"/>
        </w:rPr>
        <w:t xml:space="preserve"> </w:t>
      </w:r>
      <w:r w:rsidRPr="00D85131">
        <w:rPr>
          <w:rFonts w:ascii="Palatino Linotype" w:eastAsia="Palatino Linotype" w:hAnsi="Palatino Linotype" w:cs="Palatino Linotype"/>
          <w:color w:val="000000"/>
        </w:rPr>
        <w:t xml:space="preserve">señalada. </w:t>
      </w:r>
    </w:p>
    <w:p w:rsidR="006476B8" w:rsidRPr="00D85131" w:rsidRDefault="006476B8">
      <w:pPr>
        <w:spacing w:line="360" w:lineRule="auto"/>
        <w:ind w:right="-787"/>
        <w:rPr>
          <w:rFonts w:ascii="Palatino Linotype" w:eastAsia="Palatino Linotype" w:hAnsi="Palatino Linotype" w:cs="Palatino Linotype"/>
        </w:rPr>
      </w:pPr>
    </w:p>
    <w:p w:rsidR="006476B8" w:rsidRPr="00D85131" w:rsidRDefault="00E40CA1">
      <w:pPr>
        <w:pStyle w:val="Ttulo2"/>
        <w:spacing w:before="0" w:line="360" w:lineRule="auto"/>
        <w:ind w:right="-787"/>
        <w:rPr>
          <w:rFonts w:ascii="Palatino Linotype" w:eastAsia="Palatino Linotype" w:hAnsi="Palatino Linotype" w:cs="Palatino Linotype"/>
          <w:b/>
          <w:color w:val="000000"/>
          <w:sz w:val="24"/>
          <w:szCs w:val="24"/>
        </w:rPr>
      </w:pPr>
      <w:bookmarkStart w:id="10" w:name="_heading=h.1t3h5sf" w:colFirst="0" w:colLast="0"/>
      <w:bookmarkEnd w:id="10"/>
      <w:r w:rsidRPr="00D85131">
        <w:rPr>
          <w:rFonts w:ascii="Palatino Linotype" w:eastAsia="Palatino Linotype" w:hAnsi="Palatino Linotype" w:cs="Palatino Linotype"/>
          <w:b/>
          <w:color w:val="000000"/>
          <w:sz w:val="24"/>
          <w:szCs w:val="24"/>
        </w:rPr>
        <w:t>CUARTA. Estudio de la controversia.</w:t>
      </w:r>
    </w:p>
    <w:p w:rsidR="006476B8" w:rsidRPr="00D85131" w:rsidRDefault="00E40CA1">
      <w:pPr>
        <w:numPr>
          <w:ilvl w:val="0"/>
          <w:numId w:val="1"/>
        </w:numPr>
        <w:spacing w:line="360" w:lineRule="auto"/>
        <w:ind w:left="0" w:right="-787" w:firstLine="0"/>
        <w:jc w:val="both"/>
        <w:rPr>
          <w:rFonts w:ascii="Palatino Linotype" w:hAnsi="Palatino Linotype"/>
        </w:rPr>
      </w:pPr>
      <w:r w:rsidRPr="00D85131">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6476B8" w:rsidRPr="00D85131" w:rsidRDefault="006476B8">
      <w:pPr>
        <w:spacing w:line="360" w:lineRule="auto"/>
        <w:ind w:right="-787"/>
        <w:jc w:val="both"/>
        <w:rPr>
          <w:rFonts w:ascii="Palatino Linotype" w:eastAsia="Palatino Linotype" w:hAnsi="Palatino Linotype" w:cs="Palatino Linotype"/>
        </w:rPr>
      </w:pPr>
    </w:p>
    <w:p w:rsidR="006476B8" w:rsidRPr="00D85131" w:rsidRDefault="00E40CA1">
      <w:pPr>
        <w:numPr>
          <w:ilvl w:val="0"/>
          <w:numId w:val="1"/>
        </w:numPr>
        <w:spacing w:line="360" w:lineRule="auto"/>
        <w:ind w:left="0" w:right="-787" w:firstLine="0"/>
        <w:jc w:val="both"/>
        <w:rPr>
          <w:rFonts w:ascii="Palatino Linotype" w:hAnsi="Palatino Linotype"/>
        </w:rPr>
      </w:pPr>
      <w:r w:rsidRPr="00D85131">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476B8" w:rsidRPr="00D85131" w:rsidRDefault="006476B8">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476B8" w:rsidRPr="00D85131" w:rsidRDefault="00E40CA1">
      <w:pPr>
        <w:numPr>
          <w:ilvl w:val="0"/>
          <w:numId w:val="1"/>
        </w:numPr>
        <w:spacing w:line="360" w:lineRule="auto"/>
        <w:ind w:left="0" w:right="-787" w:firstLine="0"/>
        <w:jc w:val="both"/>
        <w:rPr>
          <w:rFonts w:ascii="Palatino Linotype" w:hAnsi="Palatino Linotype"/>
        </w:rPr>
      </w:pPr>
      <w:r w:rsidRPr="00D85131">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w:t>
      </w:r>
      <w:r w:rsidRPr="00D85131">
        <w:rPr>
          <w:rFonts w:ascii="Palatino Linotype" w:eastAsia="Palatino Linotype" w:hAnsi="Palatino Linotype" w:cs="Palatino Linotype"/>
        </w:rPr>
        <w:lastRenderedPageBreak/>
        <w:t>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6476B8" w:rsidRPr="00D85131" w:rsidRDefault="006476B8">
      <w:pPr>
        <w:spacing w:line="360" w:lineRule="auto"/>
        <w:ind w:right="-787"/>
        <w:jc w:val="both"/>
        <w:rPr>
          <w:rFonts w:ascii="Palatino Linotype" w:eastAsia="Palatino Linotype" w:hAnsi="Palatino Linotype" w:cs="Palatino Linotype"/>
        </w:rPr>
      </w:pPr>
    </w:p>
    <w:p w:rsidR="006476B8" w:rsidRPr="00D85131" w:rsidRDefault="00E40CA1">
      <w:pPr>
        <w:numPr>
          <w:ilvl w:val="0"/>
          <w:numId w:val="11"/>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D85131">
        <w:rPr>
          <w:rFonts w:ascii="Palatino Linotype" w:eastAsia="Palatino Linotype" w:hAnsi="Palatino Linotype" w:cs="Palatino Linotype"/>
          <w:b/>
          <w:color w:val="000000"/>
        </w:rPr>
        <w:t>Del Sujeto Obligado.</w:t>
      </w:r>
    </w:p>
    <w:p w:rsidR="006476B8" w:rsidRPr="00D85131" w:rsidRDefault="00605804">
      <w:pPr>
        <w:numPr>
          <w:ilvl w:val="0"/>
          <w:numId w:val="1"/>
        </w:numPr>
        <w:spacing w:line="360" w:lineRule="auto"/>
        <w:ind w:left="0" w:right="-787" w:firstLine="0"/>
        <w:jc w:val="both"/>
        <w:rPr>
          <w:rFonts w:ascii="Palatino Linotype" w:hAnsi="Palatino Linotype"/>
        </w:rPr>
      </w:pPr>
      <w:r w:rsidRPr="00D85131">
        <w:rPr>
          <w:rFonts w:ascii="Palatino Linotype" w:eastAsia="Palatino Linotype" w:hAnsi="Palatino Linotype" w:cs="Palatino Linotype"/>
        </w:rPr>
        <w:t>De conformidad con el Bando Municipal 2024, para el despacho de los asuntos de la administración pública municipal, el ayuntamiento contará con las siguientes dependencias:</w:t>
      </w:r>
    </w:p>
    <w:p w:rsidR="00605804" w:rsidRPr="00D85131" w:rsidRDefault="00605804" w:rsidP="00605804">
      <w:pPr>
        <w:ind w:left="1134" w:right="-220"/>
        <w:jc w:val="center"/>
        <w:rPr>
          <w:rFonts w:ascii="Palatino Linotype" w:eastAsia="Palatino Linotype" w:hAnsi="Palatino Linotype" w:cs="Palatino Linotype"/>
          <w:b/>
          <w:i/>
        </w:rPr>
      </w:pPr>
      <w:r w:rsidRPr="00D85131">
        <w:rPr>
          <w:rFonts w:ascii="Palatino Linotype" w:eastAsia="Palatino Linotype" w:hAnsi="Palatino Linotype" w:cs="Palatino Linotype"/>
          <w:b/>
          <w:i/>
        </w:rPr>
        <w:t>Bando Municipal 2024</w:t>
      </w:r>
    </w:p>
    <w:p w:rsidR="00605804" w:rsidRPr="00D85131" w:rsidRDefault="00605804" w:rsidP="00605804">
      <w:pPr>
        <w:ind w:left="1134" w:right="-220"/>
        <w:jc w:val="center"/>
        <w:rPr>
          <w:rFonts w:ascii="Palatino Linotype" w:eastAsia="Palatino Linotype" w:hAnsi="Palatino Linotype" w:cs="Palatino Linotype"/>
          <w:b/>
          <w:i/>
        </w:rPr>
      </w:pP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b/>
          <w:i/>
        </w:rPr>
        <w:t>Artículo 42</w:t>
      </w:r>
      <w:r w:rsidRPr="00D85131">
        <w:rPr>
          <w:rFonts w:ascii="Palatino Linotype" w:eastAsia="Palatino Linotype" w:hAnsi="Palatino Linotype" w:cs="Palatino Linotype"/>
          <w:i/>
        </w:rPr>
        <w:t>. Para el despacho, estudio y planeación de los diversos asuntos de la administración municipal, el Ayuntamiento cuenta con las siguientes Dependencias:</w:t>
      </w:r>
    </w:p>
    <w:p w:rsidR="00605804" w:rsidRPr="00D85131" w:rsidRDefault="00605804" w:rsidP="00605804">
      <w:pPr>
        <w:ind w:left="1134" w:right="-788"/>
        <w:jc w:val="both"/>
        <w:rPr>
          <w:rFonts w:ascii="Palatino Linotype" w:eastAsia="Palatino Linotype" w:hAnsi="Palatino Linotype" w:cs="Palatino Linotype"/>
          <w:i/>
        </w:rPr>
      </w:pP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I. La Secretaría del Ayuntamiento.</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a. Juzgado Cívico.</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II. Contraloría Interna Municipal.</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a. Unidad de Transparencia y Acceso a la Información.</w:t>
      </w:r>
    </w:p>
    <w:p w:rsidR="00605804" w:rsidRPr="00D85131" w:rsidRDefault="00605804" w:rsidP="00605804">
      <w:pPr>
        <w:ind w:left="1134" w:right="-788"/>
        <w:jc w:val="both"/>
        <w:rPr>
          <w:rFonts w:ascii="Palatino Linotype" w:eastAsia="Palatino Linotype" w:hAnsi="Palatino Linotype" w:cs="Palatino Linotype"/>
          <w:b/>
          <w:i/>
        </w:rPr>
      </w:pPr>
      <w:r w:rsidRPr="00D85131">
        <w:rPr>
          <w:rFonts w:ascii="Palatino Linotype" w:eastAsia="Palatino Linotype" w:hAnsi="Palatino Linotype" w:cs="Palatino Linotype"/>
          <w:b/>
          <w:i/>
        </w:rPr>
        <w:t>III. La Tesorería Municipal.</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a. Catastro.</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b. Jefatura de Ingresos.</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c. Jefatura de Egresos.</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d. Administración y Desarrollo Personal.</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IV. Coordinación Jurídica Municipal.</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V. Secretaría Técnica del Ayuntamiento.</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VI. Oficialía del Registro Civil.</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lastRenderedPageBreak/>
        <w:t>VII. Dirección de Desarrollo Urbano.</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VIII. Dirección de Obras Públicas.</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IX. Dirección de Ecología.</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 Dirección de Servicios Públicos Municipales.</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XI. Dirección de Agua Potable.</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XII. Dirección de Desarrollo Social.</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a. Coordinación del Instituto para la Protección de los Derechos de las Mujeres de Cocotitlán.</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b. Coordinación del Instituto Municipal de la Juventud.</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XIII. Dirección de Gobierno Municipal.</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XIV. Dirección de Desarrollo Económico.</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a. Coordinación de Desarrollo Comercial y de Servicios.</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XV. Dirección de Desarrollo Agropecuario.</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XVI. Dirección de Educación Cultural y Bienestar Social.</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XVII. Comisaría de Seguridad Pública.</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a. Coordinación de Vialidad y Transporte.</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XVIII. Secretaría Técnica del Consejo de Seguridad Pública.</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XIX. Dirección de Casa de Cultura.</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a. Coordinación de Bibliotecas.</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b. Coordinación de Asuntos Indígenas.</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XX. Dirección de Protección Civil.</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a. Antirrábico, Unidad de Control y Bienestar Animal.</w:t>
      </w:r>
    </w:p>
    <w:p w:rsidR="00605804" w:rsidRPr="00D85131" w:rsidRDefault="00605804" w:rsidP="00605804">
      <w:pPr>
        <w:ind w:left="1134" w:right="-788"/>
        <w:jc w:val="both"/>
        <w:rPr>
          <w:rFonts w:ascii="Palatino Linotype" w:eastAsia="Palatino Linotype" w:hAnsi="Palatino Linotype" w:cs="Palatino Linotype"/>
          <w:i/>
        </w:rPr>
      </w:pPr>
      <w:r w:rsidRPr="00D85131">
        <w:rPr>
          <w:rFonts w:ascii="Palatino Linotype" w:eastAsia="Palatino Linotype" w:hAnsi="Palatino Linotype" w:cs="Palatino Linotype"/>
          <w:i/>
        </w:rPr>
        <w:t>XXI. Dirección de Turismo.</w:t>
      </w:r>
    </w:p>
    <w:p w:rsidR="00605804" w:rsidRPr="00D85131" w:rsidRDefault="00605804" w:rsidP="00605804">
      <w:pPr>
        <w:ind w:left="1134" w:right="-788"/>
        <w:jc w:val="both"/>
        <w:rPr>
          <w:rFonts w:ascii="Palatino Linotype" w:eastAsia="Palatino Linotype" w:hAnsi="Palatino Linotype" w:cs="Palatino Linotype"/>
          <w:b/>
          <w:i/>
        </w:rPr>
      </w:pPr>
      <w:r w:rsidRPr="00D85131">
        <w:rPr>
          <w:rFonts w:ascii="Palatino Linotype" w:eastAsia="Palatino Linotype" w:hAnsi="Palatino Linotype" w:cs="Palatino Linotype"/>
          <w:b/>
          <w:i/>
        </w:rPr>
        <w:t>XXII. Unidad de Información, Programación, Planeación y Evaluación.</w:t>
      </w:r>
    </w:p>
    <w:p w:rsidR="00605804" w:rsidRPr="00D85131" w:rsidRDefault="00605804" w:rsidP="00605804">
      <w:pPr>
        <w:ind w:left="1134" w:right="-788"/>
        <w:jc w:val="both"/>
        <w:rPr>
          <w:rFonts w:ascii="Palatino Linotype" w:hAnsi="Palatino Linotype"/>
        </w:rPr>
      </w:pPr>
      <w:r w:rsidRPr="00D85131">
        <w:rPr>
          <w:rFonts w:ascii="Palatino Linotype" w:eastAsia="Palatino Linotype" w:hAnsi="Palatino Linotype" w:cs="Palatino Linotype"/>
          <w:i/>
        </w:rPr>
        <w:t>XXIII. Cronista municipal.</w:t>
      </w:r>
    </w:p>
    <w:p w:rsidR="006476B8" w:rsidRPr="00D85131" w:rsidRDefault="006476B8">
      <w:pPr>
        <w:spacing w:line="360" w:lineRule="auto"/>
        <w:ind w:right="-787"/>
        <w:jc w:val="both"/>
        <w:rPr>
          <w:rFonts w:ascii="Palatino Linotype" w:hAnsi="Palatino Linotype"/>
        </w:rPr>
      </w:pPr>
    </w:p>
    <w:p w:rsidR="003B584A" w:rsidRPr="00D85131" w:rsidRDefault="003B584A" w:rsidP="003B584A">
      <w:pPr>
        <w:numPr>
          <w:ilvl w:val="0"/>
          <w:numId w:val="1"/>
        </w:numPr>
        <w:spacing w:line="360" w:lineRule="auto"/>
        <w:ind w:left="0" w:right="-787" w:firstLine="0"/>
        <w:jc w:val="both"/>
        <w:rPr>
          <w:rFonts w:ascii="Palatino Linotype" w:hAnsi="Palatino Linotype"/>
        </w:rPr>
      </w:pPr>
      <w:r w:rsidRPr="00D85131">
        <w:rPr>
          <w:rFonts w:ascii="Palatino Linotype" w:eastAsia="Palatino Linotype" w:hAnsi="Palatino Linotype" w:cs="Palatino Linotype"/>
        </w:rPr>
        <w:t>La Tesorería Municipal, de conformidad con la Ley Orgánica Municipal del Estado de México, es el órgano encargado de la recaudación de los ingresos municipales y responsable de realizar las erogaciones que haga el ayuntamiento, mismo que tiene dentro de sus atribuciones las siguientes:</w:t>
      </w:r>
    </w:p>
    <w:p w:rsidR="003B584A" w:rsidRPr="00D85131" w:rsidRDefault="003B584A" w:rsidP="006A2E37">
      <w:pPr>
        <w:ind w:right="-787"/>
        <w:jc w:val="both"/>
        <w:rPr>
          <w:rFonts w:ascii="Palatino Linotype" w:hAnsi="Palatino Linotype"/>
        </w:rPr>
      </w:pPr>
    </w:p>
    <w:p w:rsidR="003B584A" w:rsidRPr="00D85131" w:rsidRDefault="003B584A" w:rsidP="006A2E37">
      <w:pPr>
        <w:ind w:left="1134" w:right="-220"/>
        <w:jc w:val="center"/>
        <w:rPr>
          <w:rFonts w:ascii="Palatino Linotype" w:eastAsia="Palatino Linotype" w:hAnsi="Palatino Linotype" w:cs="Palatino Linotype"/>
          <w:b/>
          <w:i/>
        </w:rPr>
      </w:pPr>
      <w:r w:rsidRPr="00D85131">
        <w:rPr>
          <w:rFonts w:ascii="Palatino Linotype" w:eastAsia="Palatino Linotype" w:hAnsi="Palatino Linotype" w:cs="Palatino Linotype"/>
          <w:b/>
          <w:i/>
        </w:rPr>
        <w:t>Ley Orgánica Municipal del Estado de México</w:t>
      </w:r>
    </w:p>
    <w:p w:rsidR="003B584A" w:rsidRPr="00D85131" w:rsidRDefault="003B584A" w:rsidP="006A2E37">
      <w:pPr>
        <w:ind w:left="1134" w:right="-220"/>
        <w:jc w:val="center"/>
        <w:rPr>
          <w:rFonts w:ascii="Palatino Linotype" w:eastAsia="Palatino Linotype" w:hAnsi="Palatino Linotype" w:cs="Palatino Linotype"/>
          <w:b/>
          <w:i/>
        </w:rPr>
      </w:pPr>
    </w:p>
    <w:p w:rsidR="006476B8" w:rsidRPr="00D85131" w:rsidRDefault="003B584A" w:rsidP="006A2E37">
      <w:pPr>
        <w:ind w:left="1134" w:right="-220"/>
        <w:jc w:val="both"/>
        <w:rPr>
          <w:rFonts w:ascii="Palatino Linotype" w:eastAsia="Palatino Linotype" w:hAnsi="Palatino Linotype" w:cs="Palatino Linotype"/>
          <w:b/>
          <w:i/>
        </w:rPr>
      </w:pPr>
      <w:r w:rsidRPr="00D85131">
        <w:rPr>
          <w:rFonts w:ascii="Palatino Linotype" w:eastAsia="Palatino Linotype" w:hAnsi="Palatino Linotype" w:cs="Palatino Linotype"/>
          <w:b/>
          <w:i/>
        </w:rPr>
        <w:t xml:space="preserve">Artículo 95.- </w:t>
      </w:r>
      <w:r w:rsidRPr="00D85131">
        <w:rPr>
          <w:rFonts w:ascii="Palatino Linotype" w:eastAsia="Palatino Linotype" w:hAnsi="Palatino Linotype" w:cs="Palatino Linotype"/>
          <w:i/>
        </w:rPr>
        <w:t>Son atribuciones del tesorero municipal:</w:t>
      </w:r>
    </w:p>
    <w:p w:rsidR="003B584A" w:rsidRPr="00D85131" w:rsidRDefault="003B584A" w:rsidP="006A2E37">
      <w:pPr>
        <w:ind w:left="1134" w:right="-220"/>
        <w:jc w:val="both"/>
        <w:rPr>
          <w:rFonts w:ascii="Palatino Linotype" w:eastAsia="Palatino Linotype" w:hAnsi="Palatino Linotype" w:cs="Palatino Linotype"/>
          <w:i/>
        </w:rPr>
      </w:pPr>
    </w:p>
    <w:p w:rsidR="006476B8" w:rsidRPr="00D85131" w:rsidRDefault="003B584A" w:rsidP="006A2E37">
      <w:pPr>
        <w:ind w:left="1134" w:right="-787"/>
        <w:jc w:val="both"/>
        <w:rPr>
          <w:rFonts w:ascii="Palatino Linotype" w:eastAsia="Palatino Linotype" w:hAnsi="Palatino Linotype" w:cs="Palatino Linotype"/>
          <w:i/>
        </w:rPr>
      </w:pPr>
      <w:r w:rsidRPr="00D85131">
        <w:rPr>
          <w:rFonts w:ascii="Palatino Linotype" w:eastAsia="Palatino Linotype" w:hAnsi="Palatino Linotype" w:cs="Palatino Linotype"/>
          <w:i/>
        </w:rPr>
        <w:t>I. Administrar la hacienda pública municipal, de conformidad con las disposiciones legales aplicables;</w:t>
      </w:r>
    </w:p>
    <w:p w:rsidR="003B584A" w:rsidRPr="00D85131" w:rsidRDefault="003B584A" w:rsidP="006A2E37">
      <w:pPr>
        <w:ind w:left="1134" w:right="-787"/>
        <w:jc w:val="both"/>
        <w:rPr>
          <w:rFonts w:ascii="Palatino Linotype" w:eastAsia="Palatino Linotype" w:hAnsi="Palatino Linotype" w:cs="Palatino Linotype"/>
          <w:i/>
        </w:rPr>
      </w:pPr>
      <w:r w:rsidRPr="00D85131">
        <w:rPr>
          <w:rFonts w:ascii="Palatino Linotype" w:eastAsia="Palatino Linotype" w:hAnsi="Palatino Linotype" w:cs="Palatino Linotype"/>
          <w:i/>
        </w:rPr>
        <w:t>…</w:t>
      </w:r>
    </w:p>
    <w:p w:rsidR="006476B8" w:rsidRPr="00D85131" w:rsidRDefault="006476B8">
      <w:pPr>
        <w:spacing w:line="360" w:lineRule="auto"/>
        <w:ind w:right="-787"/>
        <w:jc w:val="both"/>
        <w:rPr>
          <w:rFonts w:ascii="Palatino Linotype" w:eastAsia="Palatino Linotype" w:hAnsi="Palatino Linotype" w:cs="Palatino Linotype"/>
        </w:rPr>
      </w:pPr>
    </w:p>
    <w:p w:rsidR="00D72FBE" w:rsidRPr="00D85131" w:rsidRDefault="00AE11B5" w:rsidP="00D72FBE">
      <w:pPr>
        <w:numPr>
          <w:ilvl w:val="0"/>
          <w:numId w:val="1"/>
        </w:numPr>
        <w:spacing w:line="360" w:lineRule="auto"/>
        <w:ind w:left="0" w:right="-787" w:firstLine="0"/>
        <w:jc w:val="both"/>
        <w:rPr>
          <w:rFonts w:ascii="Palatino Linotype" w:eastAsia="Palatino Linotype" w:hAnsi="Palatino Linotype" w:cs="Palatino Linotype"/>
        </w:rPr>
      </w:pPr>
      <w:r w:rsidRPr="00D85131">
        <w:rPr>
          <w:rFonts w:ascii="Palatino Linotype" w:eastAsia="Palatino Linotype" w:hAnsi="Palatino Linotype" w:cs="Palatino Linotype"/>
        </w:rPr>
        <w:t xml:space="preserve">Ahora bien, </w:t>
      </w:r>
      <w:r w:rsidR="00D72FBE" w:rsidRPr="00D85131">
        <w:rPr>
          <w:rFonts w:ascii="Palatino Linotype" w:eastAsia="Palatino Linotype" w:hAnsi="Palatino Linotype" w:cs="Palatino Linotype"/>
        </w:rPr>
        <w:t>en el tablero de seguimiento del SAIMEX, en el apartado de Requerimientos, el Titular de la Unidad de Transparencia turnó la solicitud a la Servidora Pública Habilitada Jahel Guzmán Galicia, quien otorgó la respuesta ya descrita en párrafos anteriores, tal como se muestra en la siguiente captura de pantalla.</w:t>
      </w:r>
    </w:p>
    <w:p w:rsidR="00D72FBE" w:rsidRPr="00D85131" w:rsidRDefault="00D72FBE" w:rsidP="00D72FBE">
      <w:pPr>
        <w:spacing w:line="360" w:lineRule="auto"/>
        <w:ind w:left="360" w:right="-787"/>
        <w:jc w:val="both"/>
        <w:rPr>
          <w:rFonts w:ascii="Palatino Linotype" w:eastAsia="Palatino Linotype" w:hAnsi="Palatino Linotype" w:cs="Palatino Linotype"/>
        </w:rPr>
      </w:pPr>
      <w:r w:rsidRPr="00D85131">
        <w:rPr>
          <w:rFonts w:ascii="Palatino Linotype" w:eastAsia="Palatino Linotype" w:hAnsi="Palatino Linotype" w:cs="Palatino Linotype"/>
          <w:noProof/>
          <w:lang w:val="es-MX" w:eastAsia="es-MX"/>
        </w:rPr>
        <w:drawing>
          <wp:inline distT="0" distB="0" distL="0" distR="0" wp14:anchorId="14B8C50E" wp14:editId="228445C6">
            <wp:extent cx="5612130" cy="1800225"/>
            <wp:effectExtent l="152400" t="152400" r="369570" b="3714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800225"/>
                    </a:xfrm>
                    <a:prstGeom prst="rect">
                      <a:avLst/>
                    </a:prstGeom>
                    <a:ln>
                      <a:noFill/>
                    </a:ln>
                    <a:effectLst>
                      <a:outerShdw blurRad="292100" dist="139700" dir="2700000" algn="tl" rotWithShape="0">
                        <a:srgbClr val="333333">
                          <a:alpha val="65000"/>
                        </a:srgbClr>
                      </a:outerShdw>
                    </a:effectLst>
                  </pic:spPr>
                </pic:pic>
              </a:graphicData>
            </a:graphic>
          </wp:inline>
        </w:drawing>
      </w:r>
    </w:p>
    <w:p w:rsidR="00AE11B5" w:rsidRPr="00D85131" w:rsidRDefault="00D72FBE" w:rsidP="00AE11B5">
      <w:pPr>
        <w:numPr>
          <w:ilvl w:val="0"/>
          <w:numId w:val="1"/>
        </w:numPr>
        <w:spacing w:line="360" w:lineRule="auto"/>
        <w:ind w:left="0" w:right="-787" w:firstLine="0"/>
        <w:jc w:val="both"/>
        <w:rPr>
          <w:rFonts w:ascii="Palatino Linotype" w:eastAsia="Palatino Linotype" w:hAnsi="Palatino Linotype" w:cs="Palatino Linotype"/>
        </w:rPr>
      </w:pPr>
      <w:r w:rsidRPr="00D85131">
        <w:rPr>
          <w:rFonts w:ascii="Palatino Linotype" w:eastAsia="Palatino Linotype" w:hAnsi="Palatino Linotype" w:cs="Palatino Linotype"/>
        </w:rPr>
        <w:t>De lo expuesto se</w:t>
      </w:r>
      <w:r w:rsidR="00AE11B5" w:rsidRPr="00D85131">
        <w:rPr>
          <w:rFonts w:ascii="Palatino Linotype" w:eastAsia="Palatino Linotype" w:hAnsi="Palatino Linotype" w:cs="Palatino Linotype"/>
        </w:rPr>
        <w:t xml:space="preserve"> infiere que el Servidor Público Habilitado pertenece a la Tesorería Municipal del Ayuntamiento</w:t>
      </w:r>
      <w:r w:rsidRPr="00D85131">
        <w:rPr>
          <w:rFonts w:ascii="Palatino Linotype" w:eastAsia="Palatino Linotype" w:hAnsi="Palatino Linotype" w:cs="Palatino Linotype"/>
        </w:rPr>
        <w:t xml:space="preserve">; </w:t>
      </w:r>
      <w:r w:rsidR="00AE11B5" w:rsidRPr="00D85131">
        <w:rPr>
          <w:rFonts w:ascii="Palatino Linotype" w:eastAsia="Palatino Linotype" w:hAnsi="Palatino Linotype" w:cs="Palatino Linotype"/>
        </w:rPr>
        <w:t xml:space="preserve">de una investigación realizada en los directorios de los servidores públicos del sujeto obligado, no se encontró a </w:t>
      </w:r>
      <w:r w:rsidR="008A74B9" w:rsidRPr="00D85131">
        <w:rPr>
          <w:rFonts w:ascii="Palatino Linotype" w:eastAsia="Palatino Linotype" w:hAnsi="Palatino Linotype" w:cs="Palatino Linotype"/>
        </w:rPr>
        <w:t>la</w:t>
      </w:r>
      <w:r w:rsidR="00AE11B5" w:rsidRPr="00D85131">
        <w:rPr>
          <w:rFonts w:ascii="Palatino Linotype" w:eastAsia="Palatino Linotype" w:hAnsi="Palatino Linotype" w:cs="Palatino Linotype"/>
        </w:rPr>
        <w:t xml:space="preserve"> servido</w:t>
      </w:r>
      <w:r w:rsidR="008A74B9" w:rsidRPr="00D85131">
        <w:rPr>
          <w:rFonts w:ascii="Palatino Linotype" w:eastAsia="Palatino Linotype" w:hAnsi="Palatino Linotype" w:cs="Palatino Linotype"/>
        </w:rPr>
        <w:t>ra pública Jahel Guzmán Galicia;</w:t>
      </w:r>
      <w:r w:rsidR="00AE11B5" w:rsidRPr="00D85131">
        <w:rPr>
          <w:rFonts w:ascii="Palatino Linotype" w:eastAsia="Palatino Linotype" w:hAnsi="Palatino Linotype" w:cs="Palatino Linotype"/>
        </w:rPr>
        <w:t xml:space="preserve"> </w:t>
      </w:r>
      <w:r w:rsidR="008A74B9" w:rsidRPr="00D85131">
        <w:rPr>
          <w:rFonts w:ascii="Palatino Linotype" w:eastAsia="Palatino Linotype" w:hAnsi="Palatino Linotype" w:cs="Palatino Linotype"/>
        </w:rPr>
        <w:t>no obstante</w:t>
      </w:r>
      <w:r w:rsidRPr="00D85131">
        <w:rPr>
          <w:rFonts w:ascii="Palatino Linotype" w:eastAsia="Palatino Linotype" w:hAnsi="Palatino Linotype" w:cs="Palatino Linotype"/>
        </w:rPr>
        <w:t>,</w:t>
      </w:r>
      <w:r w:rsidR="00AE11B5" w:rsidRPr="00D85131">
        <w:rPr>
          <w:rFonts w:ascii="Palatino Linotype" w:eastAsia="Palatino Linotype" w:hAnsi="Palatino Linotype" w:cs="Palatino Linotype"/>
        </w:rPr>
        <w:t xml:space="preserve"> de la búsqueda realizada en los medios digitales de información, </w:t>
      </w:r>
      <w:r w:rsidR="00BD5F4A" w:rsidRPr="00D85131">
        <w:rPr>
          <w:rFonts w:ascii="Palatino Linotype" w:eastAsia="Palatino Linotype" w:hAnsi="Palatino Linotype" w:cs="Palatino Linotype"/>
        </w:rPr>
        <w:t>se constató que la Servidora Pública ya referida, fue designada como Titular de la Tesorería Municipal de Cocotitlán, de conformidad a lo establecido en la Gaceta Municipal número 001</w:t>
      </w:r>
      <w:r w:rsidR="00EB3D96" w:rsidRPr="00D85131">
        <w:rPr>
          <w:rFonts w:ascii="Palatino Linotype" w:eastAsia="Palatino Linotype" w:hAnsi="Palatino Linotype" w:cs="Palatino Linotype"/>
        </w:rPr>
        <w:t>,</w:t>
      </w:r>
      <w:r w:rsidR="00BD5F4A" w:rsidRPr="00D85131">
        <w:rPr>
          <w:rFonts w:ascii="Palatino Linotype" w:eastAsia="Palatino Linotype" w:hAnsi="Palatino Linotype" w:cs="Palatino Linotype"/>
        </w:rPr>
        <w:t xml:space="preserve"> de fecha 01 de enero de 2025, y como se muestra en la siguiente captura de pantalla:</w:t>
      </w:r>
    </w:p>
    <w:p w:rsidR="00BD5F4A" w:rsidRPr="00D85131" w:rsidRDefault="00BD5F4A" w:rsidP="00BD5F4A">
      <w:pPr>
        <w:spacing w:line="360" w:lineRule="auto"/>
        <w:ind w:right="-787"/>
        <w:jc w:val="both"/>
        <w:rPr>
          <w:rFonts w:ascii="Palatino Linotype" w:eastAsia="Palatino Linotype" w:hAnsi="Palatino Linotype" w:cs="Palatino Linotype"/>
        </w:rPr>
      </w:pPr>
    </w:p>
    <w:p w:rsidR="00BD5F4A" w:rsidRPr="00D85131" w:rsidRDefault="00BD5F4A" w:rsidP="00BD5F4A">
      <w:pPr>
        <w:spacing w:line="360" w:lineRule="auto"/>
        <w:ind w:right="-787"/>
        <w:jc w:val="both"/>
        <w:rPr>
          <w:rFonts w:ascii="Palatino Linotype" w:eastAsia="Palatino Linotype" w:hAnsi="Palatino Linotype" w:cs="Palatino Linotype"/>
        </w:rPr>
      </w:pPr>
      <w:r w:rsidRPr="00D85131">
        <w:rPr>
          <w:rFonts w:ascii="Palatino Linotype" w:eastAsia="Palatino Linotype" w:hAnsi="Palatino Linotype" w:cs="Palatino Linotype"/>
          <w:noProof/>
          <w:lang w:val="es-MX" w:eastAsia="es-MX"/>
        </w:rPr>
        <w:lastRenderedPageBreak/>
        <w:drawing>
          <wp:inline distT="0" distB="0" distL="0" distR="0" wp14:anchorId="4208DB0B" wp14:editId="3F0B01FC">
            <wp:extent cx="5612130" cy="4866640"/>
            <wp:effectExtent l="152400" t="152400" r="369570" b="35306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866640"/>
                    </a:xfrm>
                    <a:prstGeom prst="rect">
                      <a:avLst/>
                    </a:prstGeom>
                    <a:ln>
                      <a:noFill/>
                    </a:ln>
                    <a:effectLst>
                      <a:outerShdw blurRad="292100" dist="139700" dir="2700000" algn="tl" rotWithShape="0">
                        <a:srgbClr val="333333">
                          <a:alpha val="65000"/>
                        </a:srgbClr>
                      </a:outerShdw>
                    </a:effectLst>
                  </pic:spPr>
                </pic:pic>
              </a:graphicData>
            </a:graphic>
          </wp:inline>
        </w:drawing>
      </w:r>
    </w:p>
    <w:p w:rsidR="00D72FBE" w:rsidRPr="00D85131" w:rsidRDefault="00BD5F4A" w:rsidP="00BD5F4A">
      <w:pPr>
        <w:spacing w:line="360" w:lineRule="auto"/>
        <w:ind w:right="-787"/>
        <w:jc w:val="both"/>
        <w:rPr>
          <w:rFonts w:ascii="Palatino Linotype" w:eastAsia="Palatino Linotype" w:hAnsi="Palatino Linotype" w:cs="Palatino Linotype"/>
        </w:rPr>
      </w:pPr>
      <w:r w:rsidRPr="00D85131">
        <w:rPr>
          <w:rFonts w:ascii="Palatino Linotype" w:eastAsia="Palatino Linotype" w:hAnsi="Palatino Linotype" w:cs="Palatino Linotype"/>
          <w:noProof/>
          <w:lang w:val="es-MX" w:eastAsia="es-MX"/>
        </w:rPr>
        <w:drawing>
          <wp:inline distT="0" distB="0" distL="0" distR="0" wp14:anchorId="51DF509A" wp14:editId="3C305308">
            <wp:extent cx="5612130" cy="747395"/>
            <wp:effectExtent l="152400" t="152400" r="369570" b="3575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747395"/>
                    </a:xfrm>
                    <a:prstGeom prst="rect">
                      <a:avLst/>
                    </a:prstGeom>
                    <a:ln>
                      <a:noFill/>
                    </a:ln>
                    <a:effectLst>
                      <a:outerShdw blurRad="292100" dist="139700" dir="2700000" algn="tl" rotWithShape="0">
                        <a:srgbClr val="333333">
                          <a:alpha val="65000"/>
                        </a:srgbClr>
                      </a:outerShdw>
                    </a:effectLst>
                  </pic:spPr>
                </pic:pic>
              </a:graphicData>
            </a:graphic>
          </wp:inline>
        </w:drawing>
      </w:r>
    </w:p>
    <w:p w:rsidR="00AE11B5" w:rsidRPr="00D85131" w:rsidRDefault="00AE11B5" w:rsidP="00AE11B5">
      <w:pPr>
        <w:spacing w:line="360" w:lineRule="auto"/>
        <w:ind w:right="-787"/>
        <w:jc w:val="both"/>
        <w:rPr>
          <w:rFonts w:ascii="Palatino Linotype" w:eastAsia="Palatino Linotype" w:hAnsi="Palatino Linotype" w:cs="Palatino Linotype"/>
        </w:rPr>
      </w:pPr>
    </w:p>
    <w:p w:rsidR="006476B8" w:rsidRPr="00D85131" w:rsidRDefault="00D72FBE">
      <w:pPr>
        <w:numPr>
          <w:ilvl w:val="0"/>
          <w:numId w:val="1"/>
        </w:numPr>
        <w:spacing w:line="360" w:lineRule="auto"/>
        <w:ind w:left="0" w:right="-787" w:firstLine="0"/>
        <w:jc w:val="both"/>
        <w:rPr>
          <w:rFonts w:ascii="Palatino Linotype" w:hAnsi="Palatino Linotype"/>
        </w:rPr>
      </w:pPr>
      <w:r w:rsidRPr="00D85131">
        <w:rPr>
          <w:rFonts w:ascii="Palatino Linotype" w:eastAsia="Palatino Linotype" w:hAnsi="Palatino Linotype" w:cs="Palatino Linotype"/>
        </w:rPr>
        <w:lastRenderedPageBreak/>
        <w:t xml:space="preserve">Por lo </w:t>
      </w:r>
      <w:r w:rsidR="00E40CA1" w:rsidRPr="00D85131">
        <w:rPr>
          <w:rFonts w:ascii="Palatino Linotype" w:eastAsia="Palatino Linotype" w:hAnsi="Palatino Linotype" w:cs="Palatino Linotype"/>
        </w:rPr>
        <w:t xml:space="preserve">que podemos advertir que </w:t>
      </w:r>
      <w:r w:rsidR="00E40CA1" w:rsidRPr="00D85131">
        <w:rPr>
          <w:rFonts w:ascii="Palatino Linotype" w:eastAsia="Palatino Linotype" w:hAnsi="Palatino Linotype" w:cs="Palatino Linotype"/>
          <w:b/>
        </w:rPr>
        <w:t xml:space="preserve">EL SUJETO OBLIGADO </w:t>
      </w:r>
      <w:r w:rsidR="00E40CA1" w:rsidRPr="00D85131">
        <w:rPr>
          <w:rFonts w:ascii="Palatino Linotype" w:eastAsia="Palatino Linotype" w:hAnsi="Palatino Linotype" w:cs="Palatino Linotype"/>
        </w:rPr>
        <w:t xml:space="preserve">siguió el procedimiento inmerso en la normatividad aplicable, ya que turnó </w:t>
      </w:r>
      <w:r w:rsidRPr="00D85131">
        <w:rPr>
          <w:rFonts w:ascii="Palatino Linotype" w:eastAsia="Palatino Linotype" w:hAnsi="Palatino Linotype" w:cs="Palatino Linotype"/>
        </w:rPr>
        <w:t>el requerimiento</w:t>
      </w:r>
      <w:r w:rsidR="00E40CA1" w:rsidRPr="00D85131">
        <w:rPr>
          <w:rFonts w:ascii="Palatino Linotype" w:eastAsia="Palatino Linotype" w:hAnsi="Palatino Linotype" w:cs="Palatino Linotype"/>
        </w:rPr>
        <w:t xml:space="preserve"> de información a </w:t>
      </w:r>
      <w:r w:rsidRPr="00D85131">
        <w:rPr>
          <w:rFonts w:ascii="Palatino Linotype" w:eastAsia="Palatino Linotype" w:hAnsi="Palatino Linotype" w:cs="Palatino Linotype"/>
        </w:rPr>
        <w:t>la unidad administrativa competente</w:t>
      </w:r>
      <w:r w:rsidR="00E40CA1" w:rsidRPr="00D85131">
        <w:rPr>
          <w:rFonts w:ascii="Palatino Linotype" w:eastAsia="Palatino Linotype" w:hAnsi="Palatino Linotype" w:cs="Palatino Linotype"/>
        </w:rPr>
        <w:t xml:space="preserve">, vigilando lo establecido por el artículo 162 de la Ley de Transparencia y Acceso a la Información Pública del Estado de México y Municipios, al turnar la solicitud de información </w:t>
      </w:r>
      <w:r w:rsidRPr="00D85131">
        <w:rPr>
          <w:rFonts w:ascii="Palatino Linotype" w:eastAsia="Palatino Linotype" w:hAnsi="Palatino Linotype" w:cs="Palatino Linotype"/>
        </w:rPr>
        <w:t>al área en la</w:t>
      </w:r>
      <w:r w:rsidR="00E40CA1" w:rsidRPr="00D85131">
        <w:rPr>
          <w:rFonts w:ascii="Palatino Linotype" w:eastAsia="Palatino Linotype" w:hAnsi="Palatino Linotype" w:cs="Palatino Linotype"/>
        </w:rPr>
        <w:t xml:space="preserve"> que pudiera obrar la información de conformidad con la fracción XXXIX del artículo tercero de la legislación local vigente en materia de transparencia:</w:t>
      </w:r>
    </w:p>
    <w:p w:rsidR="006476B8" w:rsidRPr="00D85131" w:rsidRDefault="00E40CA1">
      <w:pPr>
        <w:ind w:left="708" w:right="62"/>
        <w:jc w:val="both"/>
        <w:rPr>
          <w:rFonts w:ascii="Palatino Linotype" w:eastAsia="Palatino Linotype" w:hAnsi="Palatino Linotype" w:cs="Palatino Linotype"/>
          <w:i/>
        </w:rPr>
      </w:pPr>
      <w:r w:rsidRPr="00D85131">
        <w:rPr>
          <w:rFonts w:ascii="Palatino Linotype" w:eastAsia="Palatino Linotype" w:hAnsi="Palatino Linotype" w:cs="Palatino Linotype"/>
          <w:b/>
          <w:i/>
        </w:rPr>
        <w:t>XXXIX.</w:t>
      </w:r>
      <w:r w:rsidRPr="00D85131">
        <w:rPr>
          <w:rFonts w:ascii="Palatino Linotype" w:eastAsia="Palatino Linotype" w:hAnsi="Palatino Linotype" w:cs="Palatino Linotype"/>
          <w:i/>
        </w:rPr>
        <w:t xml:space="preserve"> </w:t>
      </w:r>
      <w:r w:rsidRPr="00D85131">
        <w:rPr>
          <w:rFonts w:ascii="Palatino Linotype" w:eastAsia="Palatino Linotype" w:hAnsi="Palatino Linotype" w:cs="Palatino Linotype"/>
          <w:b/>
          <w:i/>
        </w:rPr>
        <w:t>Servidor público habilitado</w:t>
      </w:r>
      <w:r w:rsidRPr="00D85131">
        <w:rPr>
          <w:rFonts w:ascii="Palatino Linotype" w:eastAsia="Palatino Linotype" w:hAnsi="Palatino Linotype" w:cs="Palatino Linotype"/>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6476B8" w:rsidRPr="00D85131" w:rsidRDefault="006476B8">
      <w:pPr>
        <w:spacing w:line="360" w:lineRule="auto"/>
        <w:ind w:left="708" w:right="62"/>
        <w:jc w:val="both"/>
        <w:rPr>
          <w:rFonts w:ascii="Palatino Linotype" w:eastAsia="Palatino Linotype" w:hAnsi="Palatino Linotype" w:cs="Palatino Linotype"/>
        </w:rPr>
      </w:pPr>
    </w:p>
    <w:p w:rsidR="006476B8" w:rsidRPr="00D85131" w:rsidRDefault="00E40CA1">
      <w:pPr>
        <w:numPr>
          <w:ilvl w:val="0"/>
          <w:numId w:val="1"/>
        </w:numPr>
        <w:spacing w:line="360" w:lineRule="auto"/>
        <w:ind w:left="0" w:right="-787" w:firstLine="0"/>
        <w:jc w:val="both"/>
        <w:rPr>
          <w:rFonts w:ascii="Palatino Linotype" w:hAnsi="Palatino Linotype"/>
        </w:rPr>
      </w:pPr>
      <w:r w:rsidRPr="00D85131">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6476B8" w:rsidRPr="00D85131" w:rsidRDefault="00E40CA1">
      <w:pPr>
        <w:ind w:left="425" w:right="-220"/>
        <w:jc w:val="both"/>
        <w:rPr>
          <w:rFonts w:ascii="Palatino Linotype" w:eastAsia="Palatino Linotype" w:hAnsi="Palatino Linotype" w:cs="Palatino Linotype"/>
          <w:i/>
        </w:rPr>
      </w:pPr>
      <w:r w:rsidRPr="00D85131">
        <w:rPr>
          <w:rFonts w:ascii="Palatino Linotype" w:eastAsia="Palatino Linotype" w:hAnsi="Palatino Linotype" w:cs="Palatino Linotype"/>
          <w:i/>
        </w:rPr>
        <w:t>“</w:t>
      </w:r>
      <w:r w:rsidRPr="00D85131">
        <w:rPr>
          <w:rFonts w:ascii="Palatino Linotype" w:eastAsia="Palatino Linotype" w:hAnsi="Palatino Linotype" w:cs="Palatino Linotype"/>
          <w:b/>
          <w:i/>
        </w:rPr>
        <w:t>Artículo 162.</w:t>
      </w:r>
      <w:r w:rsidRPr="00D85131">
        <w:rPr>
          <w:rFonts w:ascii="Palatino Linotype" w:eastAsia="Palatino Linotype" w:hAnsi="Palatino Linotype" w:cs="Palatino Linotype"/>
          <w:i/>
        </w:rPr>
        <w:t xml:space="preserve"> Las unidades de transparencia deberán garantizar que las solicitudes se turnen a </w:t>
      </w:r>
      <w:r w:rsidRPr="00D85131">
        <w:rPr>
          <w:rFonts w:ascii="Palatino Linotype" w:eastAsia="Palatino Linotype" w:hAnsi="Palatino Linotype" w:cs="Palatino Linotype"/>
          <w:b/>
          <w:i/>
        </w:rPr>
        <w:t>todas las Áreas competentes</w:t>
      </w:r>
      <w:r w:rsidRPr="00D85131">
        <w:rPr>
          <w:rFonts w:ascii="Palatino Linotype" w:eastAsia="Palatino Linotype" w:hAnsi="Palatino Linotype" w:cs="Palatino Linotype"/>
          <w:i/>
        </w:rPr>
        <w:t xml:space="preserve"> que cuenten con la información o deban tenerla de acuerdo a sus facultades, competencias y funciones, con el objeto de que realicen una búsqueda exhaustiva y razonable de la información solicitada.”</w:t>
      </w:r>
    </w:p>
    <w:p w:rsidR="006476B8" w:rsidRPr="00D85131" w:rsidRDefault="006476B8">
      <w:pPr>
        <w:spacing w:line="360" w:lineRule="auto"/>
        <w:ind w:right="-787"/>
        <w:jc w:val="both"/>
        <w:rPr>
          <w:rFonts w:ascii="Palatino Linotype" w:eastAsia="Palatino Linotype" w:hAnsi="Palatino Linotype" w:cs="Palatino Linotype"/>
        </w:rPr>
      </w:pPr>
    </w:p>
    <w:p w:rsidR="006476B8" w:rsidRPr="00D85131" w:rsidRDefault="00E40CA1">
      <w:pPr>
        <w:numPr>
          <w:ilvl w:val="0"/>
          <w:numId w:val="1"/>
        </w:numPr>
        <w:spacing w:line="360" w:lineRule="auto"/>
        <w:ind w:left="0" w:right="-787" w:firstLine="0"/>
        <w:jc w:val="both"/>
        <w:rPr>
          <w:rFonts w:ascii="Palatino Linotype" w:hAnsi="Palatino Linotype"/>
        </w:rPr>
      </w:pPr>
      <w:r w:rsidRPr="00D85131">
        <w:rPr>
          <w:rFonts w:ascii="Palatino Linotype" w:eastAsia="Palatino Linotype" w:hAnsi="Palatino Linotype" w:cs="Palatino Linotype"/>
        </w:rPr>
        <w:t xml:space="preserve">Es de señalar que de la respuesta emitida el particular se dolió argumentando </w:t>
      </w:r>
      <w:r w:rsidR="00D72FBE" w:rsidRPr="00D85131">
        <w:rPr>
          <w:rFonts w:ascii="Palatino Linotype" w:eastAsia="Palatino Linotype" w:hAnsi="Palatino Linotype" w:cs="Palatino Linotype"/>
        </w:rPr>
        <w:t>la falta de entrega de información</w:t>
      </w:r>
      <w:r w:rsidRPr="00D85131">
        <w:rPr>
          <w:rFonts w:ascii="Palatino Linotype" w:eastAsia="Palatino Linotype" w:hAnsi="Palatino Linotype" w:cs="Palatino Linotype"/>
        </w:rPr>
        <w:t xml:space="preserve">, </w:t>
      </w:r>
      <w:r w:rsidR="00D72FBE" w:rsidRPr="00D85131">
        <w:rPr>
          <w:rFonts w:ascii="Palatino Linotype" w:eastAsia="Palatino Linotype" w:hAnsi="Palatino Linotype" w:cs="Palatino Linotype"/>
        </w:rPr>
        <w:t>y sin que obre en el expediente Informe Justificado rendido por el Sujeto Obligado.</w:t>
      </w:r>
    </w:p>
    <w:p w:rsidR="00D72FBE" w:rsidRPr="00D85131" w:rsidRDefault="00D72FBE" w:rsidP="00D72FBE">
      <w:pPr>
        <w:pBdr>
          <w:top w:val="nil"/>
          <w:left w:val="nil"/>
          <w:bottom w:val="nil"/>
          <w:right w:val="nil"/>
          <w:between w:val="nil"/>
        </w:pBdr>
        <w:spacing w:line="360" w:lineRule="auto"/>
        <w:ind w:right="-787"/>
        <w:jc w:val="both"/>
        <w:rPr>
          <w:rFonts w:ascii="Palatino Linotype" w:hAnsi="Palatino Linotype"/>
          <w:color w:val="000000"/>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 xml:space="preserve">Cabe precisar que el Sujeto Obligado no se encuentra forzado normativamente a procesar la información; ello, conforme al artículo 12 de la Ley de Transparencia y Acceso a </w:t>
      </w:r>
      <w:r w:rsidRPr="00D85131">
        <w:rPr>
          <w:rFonts w:ascii="Palatino Linotype" w:eastAsia="Palatino Linotype" w:hAnsi="Palatino Linotype" w:cs="Palatino Linotype"/>
          <w:color w:val="000000"/>
        </w:rPr>
        <w:lastRenderedPageBreak/>
        <w:t xml:space="preserve">la Información Pública del Estado de México y Municipios, que prevé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w:t>
      </w:r>
      <w:r w:rsidRPr="00D85131">
        <w:rPr>
          <w:rFonts w:ascii="Palatino Linotype" w:eastAsia="Palatino Linotype" w:hAnsi="Palatino Linotype" w:cs="Palatino Linotype"/>
        </w:rPr>
        <w:t>resumir</w:t>
      </w:r>
      <w:r w:rsidRPr="00D85131">
        <w:rPr>
          <w:rFonts w:ascii="Palatino Linotype" w:eastAsia="Palatino Linotype" w:hAnsi="Palatino Linotype" w:cs="Palatino Linotype"/>
          <w:color w:val="000000"/>
        </w:rPr>
        <w:t>, efectuar cálculos o practicar investigaciones.</w:t>
      </w:r>
    </w:p>
    <w:p w:rsidR="006476B8" w:rsidRPr="00D85131" w:rsidRDefault="006476B8">
      <w:pPr>
        <w:tabs>
          <w:tab w:val="left" w:pos="4962"/>
        </w:tabs>
        <w:spacing w:line="360" w:lineRule="auto"/>
        <w:ind w:right="-787"/>
        <w:jc w:val="both"/>
        <w:rPr>
          <w:rFonts w:ascii="Palatino Linotype" w:eastAsia="Palatino Linotype" w:hAnsi="Palatino Linotype" w:cs="Palatino Linotype"/>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 xml:space="preserve">De esta manera, el derecho de acceso a la información pública se satisface en aquellos casos en que se entregue el soporte documental en el que conste la información solicitada, sin necesidad de elaborar documentos </w:t>
      </w:r>
      <w:r w:rsidRPr="00D85131">
        <w:rPr>
          <w:rFonts w:ascii="Palatino Linotype" w:eastAsia="Palatino Linotype" w:hAnsi="Palatino Linotype" w:cs="Palatino Linotype"/>
          <w:i/>
          <w:color w:val="000000"/>
        </w:rPr>
        <w:t>ad hoc</w:t>
      </w:r>
      <w:r w:rsidRPr="00D85131">
        <w:rPr>
          <w:rFonts w:ascii="Palatino Linotype" w:eastAsia="Palatino Linotype" w:hAnsi="Palatino Linotype" w:cs="Palatino Linotype"/>
          <w:color w:val="000000"/>
        </w:rPr>
        <w:t>; lo cual, toma sustento en el artículo 160 de la Ley de Transparencia y Acceso a la Información Pública del Estado de México y Municipios, el cual refiere que los sujetos obligados deberán entregar la información que obre en sus archivos. Además, resulta aplicable el Criterio 03/17 del Instituto Nacional de Transparencia, Acceso a la Información y Protección de Datos Personales que a continuación se cita:</w:t>
      </w:r>
    </w:p>
    <w:p w:rsidR="00037D3B" w:rsidRPr="00D85131" w:rsidRDefault="00037D3B" w:rsidP="00037D3B">
      <w:pPr>
        <w:pBdr>
          <w:top w:val="nil"/>
          <w:left w:val="nil"/>
          <w:bottom w:val="nil"/>
          <w:right w:val="nil"/>
          <w:between w:val="nil"/>
        </w:pBdr>
        <w:spacing w:line="360" w:lineRule="auto"/>
        <w:ind w:right="-787"/>
        <w:jc w:val="both"/>
        <w:rPr>
          <w:rFonts w:ascii="Palatino Linotype" w:hAnsi="Palatino Linotype"/>
          <w:color w:val="000000"/>
        </w:rPr>
      </w:pPr>
    </w:p>
    <w:p w:rsidR="006476B8" w:rsidRPr="00D85131" w:rsidRDefault="00E40CA1">
      <w:pPr>
        <w:ind w:left="1134" w:right="-220"/>
        <w:jc w:val="both"/>
        <w:rPr>
          <w:rFonts w:ascii="Palatino Linotype" w:eastAsia="Palatino Linotype" w:hAnsi="Palatino Linotype" w:cs="Palatino Linotype"/>
          <w:i/>
        </w:rPr>
      </w:pPr>
      <w:r w:rsidRPr="00D85131">
        <w:rPr>
          <w:rFonts w:ascii="Palatino Linotype" w:eastAsia="Palatino Linotype" w:hAnsi="Palatino Linotype" w:cs="Palatino Linotype"/>
          <w:b/>
          <w:i/>
        </w:rPr>
        <w:t xml:space="preserve">No existe obligación de elaborar documentos ad hoc para atender las solicitudes de acceso a la información. </w:t>
      </w:r>
      <w:r w:rsidRPr="00D85131">
        <w:rPr>
          <w:rFonts w:ascii="Palatino Linotype" w:eastAsia="Palatino Linotype" w:hAnsi="Palatino Linotype" w:cs="Palatino Linotype"/>
          <w:i/>
        </w:rPr>
        <w:t>Los artículos 129 de la Ley General de Transparencia y Acceso a la Información Pública</w:t>
      </w:r>
      <w:r w:rsidR="00E4113A" w:rsidRPr="00D85131">
        <w:rPr>
          <w:rFonts w:ascii="Palatino Linotype" w:eastAsia="Palatino Linotype" w:hAnsi="Palatino Linotype" w:cs="Palatino Linotype"/>
          <w:i/>
        </w:rPr>
        <w:t xml:space="preserve">, </w:t>
      </w:r>
      <w:r w:rsidRPr="00D85131">
        <w:rPr>
          <w:rFonts w:ascii="Palatino Linotype" w:eastAsia="Palatino Linotype" w:hAnsi="Palatino Linotype" w:cs="Palatino Linotype"/>
          <w:i/>
        </w:rPr>
        <w:t xml:space="preserve"> </w:t>
      </w:r>
      <w:r w:rsidR="00E4113A" w:rsidRPr="00D85131">
        <w:rPr>
          <w:rFonts w:ascii="Palatino Linotype" w:eastAsia="Palatino Linotype" w:hAnsi="Palatino Linotype" w:cs="Palatino Linotype"/>
          <w:i/>
        </w:rPr>
        <w:t xml:space="preserve">Vigente a la fecha de la solicitud, </w:t>
      </w:r>
      <w:r w:rsidRPr="00D85131">
        <w:rPr>
          <w:rFonts w:ascii="Palatino Linotype" w:eastAsia="Palatino Linotype" w:hAnsi="Palatino Linotype" w:cs="Palatino Linotype"/>
          <w:i/>
        </w:rPr>
        <w:t>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6476B8" w:rsidRPr="00D85131" w:rsidRDefault="006476B8">
      <w:pPr>
        <w:spacing w:line="360" w:lineRule="auto"/>
        <w:ind w:right="-787"/>
        <w:jc w:val="both"/>
        <w:rPr>
          <w:rFonts w:ascii="Palatino Linotype" w:eastAsia="Palatino Linotype" w:hAnsi="Palatino Linotype" w:cs="Palatino Linotype"/>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lastRenderedPageBreak/>
        <w:t xml:space="preserve">También lo es que no existe normatividad o precepto legal </w:t>
      </w:r>
      <w:r w:rsidRPr="00D85131">
        <w:rPr>
          <w:rFonts w:ascii="Palatino Linotype" w:eastAsia="Palatino Linotype" w:hAnsi="Palatino Linotype" w:cs="Palatino Linotype"/>
          <w:b/>
          <w:color w:val="000000"/>
        </w:rPr>
        <w:t>que lo impida</w:t>
      </w:r>
      <w:r w:rsidRPr="00D85131">
        <w:rPr>
          <w:rFonts w:ascii="Palatino Linotype" w:eastAsia="Palatino Linotype" w:hAnsi="Palatino Linotype" w:cs="Palatino Linotype"/>
          <w:color w:val="000000"/>
        </w:rPr>
        <w:t xml:space="preserve">, de modo tal que un pronunciamiento que de atención a lo requerido eventualmente puede colmar el cumplimiento de la presente resolución, lo cual no implica que el </w:t>
      </w:r>
      <w:r w:rsidRPr="00D85131">
        <w:rPr>
          <w:rFonts w:ascii="Palatino Linotype" w:eastAsia="Palatino Linotype" w:hAnsi="Palatino Linotype" w:cs="Palatino Linotype"/>
          <w:b/>
          <w:color w:val="000000"/>
        </w:rPr>
        <w:t>SUJETO OBLIGADO</w:t>
      </w:r>
      <w:r w:rsidRPr="00D85131">
        <w:rPr>
          <w:rFonts w:ascii="Palatino Linotype" w:eastAsia="Palatino Linotype" w:hAnsi="Palatino Linotype" w:cs="Palatino Linotype"/>
          <w:color w:val="000000"/>
        </w:rPr>
        <w:t xml:space="preserve"> procese la información.</w:t>
      </w:r>
    </w:p>
    <w:p w:rsidR="006476B8" w:rsidRPr="00D85131"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Así las cosas, 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6476B8" w:rsidRPr="00D85131" w:rsidRDefault="006476B8">
      <w:pPr>
        <w:pBdr>
          <w:top w:val="nil"/>
          <w:left w:val="nil"/>
          <w:bottom w:val="nil"/>
          <w:right w:val="nil"/>
          <w:between w:val="nil"/>
        </w:pBdr>
        <w:spacing w:line="360" w:lineRule="auto"/>
        <w:ind w:left="502" w:right="-787"/>
        <w:jc w:val="both"/>
        <w:rPr>
          <w:rFonts w:ascii="Palatino Linotype" w:eastAsia="Palatino Linotype" w:hAnsi="Palatino Linotype" w:cs="Palatino Linotype"/>
          <w:i/>
          <w:color w:val="000000"/>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w:t>
      </w:r>
      <w:r w:rsidRPr="00D85131">
        <w:rPr>
          <w:rFonts w:ascii="Palatino Linotype" w:eastAsia="Palatino Linotype" w:hAnsi="Palatino Linotype" w:cs="Palatino Linotype"/>
        </w:rPr>
        <w:t>resumir</w:t>
      </w:r>
      <w:r w:rsidRPr="00D85131">
        <w:rPr>
          <w:rFonts w:ascii="Palatino Linotype" w:eastAsia="Palatino Linotype" w:hAnsi="Palatino Linotype" w:cs="Palatino Linotype"/>
          <w:color w:val="000000"/>
        </w:rPr>
        <w:t xml:space="preserve">, efectuar cálculos o practicar investigaciones; tal y como se señala a continuación: </w:t>
      </w:r>
    </w:p>
    <w:p w:rsidR="006476B8" w:rsidRPr="00D85131" w:rsidRDefault="00E40CA1">
      <w:p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w:t>
      </w:r>
      <w:r w:rsidRPr="00D85131">
        <w:rPr>
          <w:rFonts w:ascii="Palatino Linotype" w:eastAsia="Palatino Linotype" w:hAnsi="Palatino Linotype" w:cs="Palatino Linotype"/>
          <w:b/>
          <w:i/>
          <w:color w:val="000000"/>
        </w:rPr>
        <w:t>Artículo 12.</w:t>
      </w:r>
      <w:r w:rsidRPr="00D85131">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w:t>
      </w:r>
    </w:p>
    <w:p w:rsidR="006476B8" w:rsidRPr="00D85131" w:rsidRDefault="006476B8">
      <w:pPr>
        <w:pBdr>
          <w:top w:val="nil"/>
          <w:left w:val="nil"/>
          <w:bottom w:val="nil"/>
          <w:right w:val="nil"/>
          <w:between w:val="nil"/>
        </w:pBdr>
        <w:ind w:left="1134" w:right="-220"/>
        <w:jc w:val="both"/>
        <w:rPr>
          <w:rFonts w:ascii="Palatino Linotype" w:eastAsia="Palatino Linotype" w:hAnsi="Palatino Linotype" w:cs="Palatino Linotype"/>
          <w:i/>
          <w:color w:val="000000"/>
        </w:rPr>
      </w:pPr>
    </w:p>
    <w:p w:rsidR="006476B8" w:rsidRPr="00D85131" w:rsidRDefault="006476B8">
      <w:pPr>
        <w:pBdr>
          <w:top w:val="nil"/>
          <w:left w:val="nil"/>
          <w:bottom w:val="nil"/>
          <w:right w:val="nil"/>
          <w:between w:val="nil"/>
        </w:pBdr>
        <w:ind w:left="1134" w:right="-220"/>
        <w:jc w:val="both"/>
        <w:rPr>
          <w:rFonts w:ascii="Palatino Linotype" w:eastAsia="Palatino Linotype" w:hAnsi="Palatino Linotype" w:cs="Palatino Linotype"/>
          <w:b/>
          <w:i/>
          <w:color w:val="000000"/>
          <w:u w:val="single"/>
        </w:rPr>
      </w:pPr>
    </w:p>
    <w:p w:rsidR="006476B8" w:rsidRPr="00D85131" w:rsidRDefault="00E40CA1">
      <w:p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D85131">
        <w:rPr>
          <w:rFonts w:ascii="Palatino Linotype" w:eastAsia="Palatino Linotype" w:hAnsi="Palatino Linotype" w:cs="Palatino Linotype"/>
          <w:i/>
          <w:color w:val="000000"/>
        </w:rPr>
        <w:t>”</w:t>
      </w:r>
    </w:p>
    <w:p w:rsidR="006476B8" w:rsidRPr="00D85131" w:rsidRDefault="00E40CA1">
      <w:pPr>
        <w:pBdr>
          <w:top w:val="nil"/>
          <w:left w:val="nil"/>
          <w:bottom w:val="nil"/>
          <w:right w:val="nil"/>
          <w:between w:val="nil"/>
        </w:pBdr>
        <w:ind w:left="1134" w:right="-220"/>
        <w:jc w:val="both"/>
        <w:rPr>
          <w:rFonts w:ascii="Palatino Linotype" w:eastAsia="Palatino Linotype" w:hAnsi="Palatino Linotype" w:cs="Palatino Linotype"/>
          <w:color w:val="000000"/>
        </w:rPr>
      </w:pPr>
      <w:r w:rsidRPr="00D85131">
        <w:rPr>
          <w:rFonts w:ascii="Palatino Linotype" w:eastAsia="Palatino Linotype" w:hAnsi="Palatino Linotype" w:cs="Palatino Linotype"/>
          <w:color w:val="000000"/>
        </w:rPr>
        <w:t>(Énfasis añadido)</w:t>
      </w:r>
    </w:p>
    <w:p w:rsidR="006476B8" w:rsidRPr="00D85131" w:rsidRDefault="006476B8">
      <w:pPr>
        <w:pBdr>
          <w:top w:val="nil"/>
          <w:left w:val="nil"/>
          <w:bottom w:val="nil"/>
          <w:right w:val="nil"/>
          <w:between w:val="nil"/>
        </w:pBdr>
        <w:spacing w:line="360" w:lineRule="auto"/>
        <w:ind w:left="505" w:right="-787"/>
        <w:jc w:val="both"/>
        <w:rPr>
          <w:rFonts w:ascii="Palatino Linotype" w:eastAsia="Palatino Linotype" w:hAnsi="Palatino Linotype" w:cs="Palatino Linotype"/>
          <w:color w:val="000000"/>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6476B8" w:rsidRPr="00D85131"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037D3B" w:rsidRPr="00D85131" w:rsidRDefault="00037D3B" w:rsidP="00037D3B">
      <w:pPr>
        <w:pBdr>
          <w:top w:val="nil"/>
          <w:left w:val="nil"/>
          <w:bottom w:val="nil"/>
          <w:right w:val="nil"/>
          <w:between w:val="nil"/>
        </w:pBdr>
        <w:spacing w:line="360" w:lineRule="auto"/>
        <w:ind w:right="-787"/>
        <w:jc w:val="both"/>
        <w:rPr>
          <w:rFonts w:ascii="Palatino Linotype" w:hAnsi="Palatino Linotype"/>
          <w:color w:val="000000"/>
        </w:rPr>
      </w:pPr>
    </w:p>
    <w:p w:rsidR="006476B8" w:rsidRPr="00D85131" w:rsidRDefault="00E40CA1">
      <w:pPr>
        <w:ind w:left="1134" w:right="-79"/>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w:t>
      </w:r>
      <w:r w:rsidRPr="00D85131">
        <w:rPr>
          <w:rFonts w:ascii="Palatino Linotype" w:eastAsia="Palatino Linotype" w:hAnsi="Palatino Linotype" w:cs="Palatino Linotype"/>
          <w:b/>
          <w:i/>
          <w:color w:val="000000"/>
        </w:rPr>
        <w:t xml:space="preserve">Artículo 3. </w:t>
      </w:r>
      <w:r w:rsidRPr="00D85131">
        <w:rPr>
          <w:rFonts w:ascii="Palatino Linotype" w:eastAsia="Palatino Linotype" w:hAnsi="Palatino Linotype" w:cs="Palatino Linotype"/>
          <w:i/>
          <w:color w:val="000000"/>
        </w:rPr>
        <w:t>Para los efectos de la presente Ley se entenderá por:</w:t>
      </w:r>
    </w:p>
    <w:p w:rsidR="006476B8" w:rsidRPr="00D85131" w:rsidRDefault="00E40CA1">
      <w:pPr>
        <w:ind w:left="1134" w:right="-79"/>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w:t>
      </w:r>
    </w:p>
    <w:p w:rsidR="006476B8" w:rsidRPr="00D85131" w:rsidRDefault="00E40CA1">
      <w:pPr>
        <w:ind w:left="1134" w:right="-79"/>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b/>
          <w:i/>
          <w:color w:val="000000"/>
        </w:rPr>
        <w:t>XI. Documento:</w:t>
      </w:r>
      <w:r w:rsidRPr="00D85131">
        <w:rPr>
          <w:rFonts w:ascii="Palatino Linotype" w:eastAsia="Palatino Linotype" w:hAnsi="Palatino Linotype" w:cs="Palatino Linotype"/>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6476B8" w:rsidRPr="00D85131" w:rsidRDefault="00E40CA1">
      <w:pPr>
        <w:spacing w:line="360" w:lineRule="auto"/>
        <w:ind w:left="1134" w:right="-79"/>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lastRenderedPageBreak/>
        <w:t>(…)”</w:t>
      </w:r>
    </w:p>
    <w:p w:rsidR="006476B8" w:rsidRPr="00D85131" w:rsidRDefault="006476B8">
      <w:pPr>
        <w:spacing w:line="360" w:lineRule="auto"/>
        <w:ind w:right="-787"/>
        <w:jc w:val="both"/>
        <w:rPr>
          <w:rFonts w:ascii="Palatino Linotype" w:eastAsia="Palatino Linotype" w:hAnsi="Palatino Linotype" w:cs="Palatino Linotype"/>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037D3B" w:rsidRPr="00D85131" w:rsidRDefault="00037D3B" w:rsidP="00037D3B">
      <w:pPr>
        <w:pBdr>
          <w:top w:val="nil"/>
          <w:left w:val="nil"/>
          <w:bottom w:val="nil"/>
          <w:right w:val="nil"/>
          <w:between w:val="nil"/>
        </w:pBdr>
        <w:spacing w:line="360" w:lineRule="auto"/>
        <w:ind w:right="-787"/>
        <w:jc w:val="both"/>
        <w:rPr>
          <w:rFonts w:ascii="Palatino Linotype" w:hAnsi="Palatino Linotype"/>
          <w:color w:val="000000"/>
        </w:rPr>
      </w:pPr>
    </w:p>
    <w:p w:rsidR="006476B8" w:rsidRPr="00D85131" w:rsidRDefault="00E40CA1">
      <w:pPr>
        <w:ind w:left="850" w:right="-79"/>
        <w:jc w:val="both"/>
        <w:rPr>
          <w:rFonts w:ascii="Palatino Linotype" w:eastAsia="Palatino Linotype" w:hAnsi="Palatino Linotype" w:cs="Palatino Linotype"/>
          <w:b/>
          <w:i/>
        </w:rPr>
      </w:pPr>
      <w:r w:rsidRPr="00D85131">
        <w:rPr>
          <w:rFonts w:ascii="Palatino Linotype" w:eastAsia="Palatino Linotype" w:hAnsi="Palatino Linotype" w:cs="Palatino Linotype"/>
          <w:b/>
        </w:rPr>
        <w:t>“</w:t>
      </w:r>
      <w:r w:rsidRPr="00D85131">
        <w:rPr>
          <w:rFonts w:ascii="Palatino Linotype" w:eastAsia="Palatino Linotype" w:hAnsi="Palatino Linotype" w:cs="Palatino Linotype"/>
          <w:b/>
          <w:i/>
        </w:rPr>
        <w:t>CRITERIO 0002-11</w:t>
      </w:r>
    </w:p>
    <w:p w:rsidR="006476B8" w:rsidRPr="00D85131" w:rsidRDefault="00E40CA1">
      <w:pPr>
        <w:ind w:left="850" w:right="-79"/>
        <w:jc w:val="both"/>
        <w:rPr>
          <w:rFonts w:ascii="Palatino Linotype" w:eastAsia="Palatino Linotype" w:hAnsi="Palatino Linotype" w:cs="Palatino Linotype"/>
          <w:i/>
        </w:rPr>
      </w:pPr>
      <w:r w:rsidRPr="00D85131">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D8513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6476B8" w:rsidRPr="00D85131" w:rsidRDefault="00E40CA1">
      <w:pPr>
        <w:ind w:left="850"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En consecuencia el acceso a la información se refiere a que se cumplan cualquiera de los siguientes tres supuestos:</w:t>
      </w:r>
    </w:p>
    <w:p w:rsidR="006476B8" w:rsidRPr="00D85131" w:rsidRDefault="00E40CA1">
      <w:pPr>
        <w:ind w:left="850" w:right="-79"/>
        <w:jc w:val="both"/>
        <w:rPr>
          <w:rFonts w:ascii="Palatino Linotype" w:eastAsia="Palatino Linotype" w:hAnsi="Palatino Linotype" w:cs="Palatino Linotype"/>
          <w:b/>
          <w:i/>
        </w:rPr>
      </w:pPr>
      <w:r w:rsidRPr="00D85131">
        <w:rPr>
          <w:rFonts w:ascii="Palatino Linotype" w:eastAsia="Palatino Linotype" w:hAnsi="Palatino Linotype" w:cs="Palatino Linotype"/>
          <w:b/>
          <w:i/>
        </w:rPr>
        <w:t xml:space="preserve">1) </w:t>
      </w:r>
      <w:r w:rsidRPr="00D85131">
        <w:rPr>
          <w:rFonts w:ascii="Palatino Linotype" w:eastAsia="Palatino Linotype" w:hAnsi="Palatino Linotype" w:cs="Palatino Linotype"/>
          <w:b/>
          <w:i/>
          <w:u w:val="single"/>
        </w:rPr>
        <w:t>Que se trate de información registrada en cualquier soporte documental, que en ejercicio de las atribuciones conferidas, sea generada por los Sujetos Obligados;</w:t>
      </w:r>
    </w:p>
    <w:p w:rsidR="006476B8" w:rsidRPr="00D85131" w:rsidRDefault="00E40CA1">
      <w:pPr>
        <w:ind w:left="850"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rsidR="006476B8" w:rsidRPr="00D85131" w:rsidRDefault="00E40CA1">
      <w:pPr>
        <w:ind w:left="850"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3) Que se trate de información registrada en cualquier soporte documental, que en ejercicio de las atribuciones conferidas, se encuentre en posesión de los Sujetos Obligados.”</w:t>
      </w:r>
    </w:p>
    <w:p w:rsidR="006476B8" w:rsidRPr="00D85131" w:rsidRDefault="00E40CA1">
      <w:pPr>
        <w:tabs>
          <w:tab w:val="left" w:pos="851"/>
        </w:tabs>
        <w:spacing w:line="360" w:lineRule="auto"/>
        <w:ind w:left="850" w:right="-79"/>
        <w:rPr>
          <w:rFonts w:ascii="Palatino Linotype" w:eastAsia="Palatino Linotype" w:hAnsi="Palatino Linotype" w:cs="Palatino Linotype"/>
        </w:rPr>
      </w:pPr>
      <w:r w:rsidRPr="00D85131">
        <w:rPr>
          <w:rFonts w:ascii="Palatino Linotype" w:eastAsia="Palatino Linotype" w:hAnsi="Palatino Linotype" w:cs="Palatino Linotype"/>
        </w:rPr>
        <w:t>(Énfasis Añadido)</w:t>
      </w:r>
    </w:p>
    <w:p w:rsidR="006476B8" w:rsidRPr="00D85131"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lastRenderedPageBreak/>
        <w:t>Por su parte los artículos 160 y 166, de la Ley local en la materia, que se reproduce de la siguiente forma:</w:t>
      </w:r>
    </w:p>
    <w:p w:rsidR="00037D3B" w:rsidRPr="00D85131" w:rsidRDefault="00037D3B" w:rsidP="00037D3B">
      <w:pPr>
        <w:pBdr>
          <w:top w:val="nil"/>
          <w:left w:val="nil"/>
          <w:bottom w:val="nil"/>
          <w:right w:val="nil"/>
          <w:between w:val="nil"/>
        </w:pBdr>
        <w:spacing w:line="360" w:lineRule="auto"/>
        <w:ind w:right="-787"/>
        <w:jc w:val="both"/>
        <w:rPr>
          <w:rFonts w:ascii="Palatino Linotype" w:hAnsi="Palatino Linotype"/>
          <w:color w:val="000000"/>
        </w:rPr>
      </w:pPr>
    </w:p>
    <w:p w:rsidR="006476B8" w:rsidRPr="00D85131" w:rsidRDefault="00E40CA1">
      <w:pPr>
        <w:ind w:left="566"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w:t>
      </w:r>
      <w:r w:rsidRPr="00D85131">
        <w:rPr>
          <w:rFonts w:ascii="Palatino Linotype" w:eastAsia="Palatino Linotype" w:hAnsi="Palatino Linotype" w:cs="Palatino Linotype"/>
          <w:b/>
          <w:i/>
        </w:rPr>
        <w:t>Artículo 160.</w:t>
      </w:r>
      <w:r w:rsidRPr="00D85131">
        <w:rPr>
          <w:rFonts w:ascii="Palatino Linotype" w:eastAsia="Palatino Linotype" w:hAnsi="Palatino Linotype" w:cs="Palatino Linotype"/>
          <w:i/>
        </w:rPr>
        <w:t xml:space="preserve"> </w:t>
      </w:r>
      <w:r w:rsidRPr="00D85131">
        <w:rPr>
          <w:rFonts w:ascii="Palatino Linotype" w:eastAsia="Palatino Linotype" w:hAnsi="Palatino Linotype" w:cs="Palatino Linotype"/>
          <w:i/>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D85131">
        <w:rPr>
          <w:rFonts w:ascii="Palatino Linotype" w:eastAsia="Palatino Linotype" w:hAnsi="Palatino Linotype" w:cs="Palatino Linotype"/>
          <w:i/>
        </w:rPr>
        <w:t>.</w:t>
      </w:r>
    </w:p>
    <w:p w:rsidR="006476B8" w:rsidRPr="00D85131" w:rsidRDefault="006476B8">
      <w:pPr>
        <w:ind w:left="566" w:right="-79"/>
        <w:jc w:val="both"/>
        <w:rPr>
          <w:rFonts w:ascii="Palatino Linotype" w:eastAsia="Palatino Linotype" w:hAnsi="Palatino Linotype" w:cs="Palatino Linotype"/>
          <w:i/>
        </w:rPr>
      </w:pPr>
    </w:p>
    <w:p w:rsidR="006476B8" w:rsidRPr="00D85131" w:rsidRDefault="00E40CA1">
      <w:pPr>
        <w:ind w:left="566"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En caso que la información solicitada consista en bases de datos se deberá privilegiar la entrega de la misma en formatos abiertos.</w:t>
      </w:r>
    </w:p>
    <w:p w:rsidR="006476B8" w:rsidRPr="00D85131" w:rsidRDefault="00E40CA1">
      <w:pPr>
        <w:ind w:left="566" w:right="-79"/>
        <w:jc w:val="both"/>
        <w:rPr>
          <w:rFonts w:ascii="Palatino Linotype" w:eastAsia="Palatino Linotype" w:hAnsi="Palatino Linotype" w:cs="Palatino Linotype"/>
          <w:i/>
          <w:u w:val="single"/>
        </w:rPr>
      </w:pPr>
      <w:r w:rsidRPr="00D85131">
        <w:rPr>
          <w:rFonts w:ascii="Palatino Linotype" w:eastAsia="Palatino Linotype" w:hAnsi="Palatino Linotype" w:cs="Palatino Linotype"/>
          <w:b/>
          <w:i/>
        </w:rPr>
        <w:t>Artículo 166.</w:t>
      </w:r>
      <w:r w:rsidRPr="00D85131">
        <w:rPr>
          <w:rFonts w:ascii="Palatino Linotype" w:eastAsia="Palatino Linotype" w:hAnsi="Palatino Linotype" w:cs="Palatino Linotype"/>
          <w:i/>
        </w:rPr>
        <w:t xml:space="preserve"> </w:t>
      </w:r>
      <w:r w:rsidRPr="00D85131">
        <w:rPr>
          <w:rFonts w:ascii="Palatino Linotype" w:eastAsia="Palatino Linotype" w:hAnsi="Palatino Linotype" w:cs="Palatino Linotype"/>
          <w:i/>
          <w:u w:val="single"/>
        </w:rPr>
        <w:t>La obligación de acceso a la información pública se tendrá por cumplida cuando el solicitante tenga a su disposición la información requerida, o cuando realice la consulta de la misma en el lugar en el que ésta se localice.</w:t>
      </w:r>
    </w:p>
    <w:p w:rsidR="006476B8" w:rsidRPr="00D85131" w:rsidRDefault="00E40CA1">
      <w:pPr>
        <w:spacing w:line="360" w:lineRule="auto"/>
        <w:ind w:left="566" w:right="-79"/>
        <w:jc w:val="both"/>
        <w:rPr>
          <w:rFonts w:ascii="Palatino Linotype" w:eastAsia="Palatino Linotype" w:hAnsi="Palatino Linotype" w:cs="Palatino Linotype"/>
        </w:rPr>
      </w:pPr>
      <w:r w:rsidRPr="00D85131">
        <w:rPr>
          <w:rFonts w:ascii="Palatino Linotype" w:eastAsia="Palatino Linotype" w:hAnsi="Palatino Linotype" w:cs="Palatino Linotype"/>
        </w:rPr>
        <w:t>(Énfasis añadido)</w:t>
      </w:r>
    </w:p>
    <w:p w:rsidR="006476B8" w:rsidRPr="00D85131" w:rsidRDefault="006476B8">
      <w:pPr>
        <w:spacing w:line="360" w:lineRule="auto"/>
        <w:ind w:right="-787"/>
        <w:jc w:val="both"/>
        <w:rPr>
          <w:rFonts w:ascii="Palatino Linotype" w:eastAsia="Palatino Linotype" w:hAnsi="Palatino Linotype" w:cs="Palatino Linotype"/>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color w:val="000000"/>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6476B8" w:rsidRPr="00D85131"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D85131" w:rsidRDefault="00E40CA1">
      <w:pPr>
        <w:numPr>
          <w:ilvl w:val="0"/>
          <w:numId w:val="1"/>
        </w:numPr>
        <w:pBdr>
          <w:top w:val="nil"/>
          <w:left w:val="nil"/>
          <w:bottom w:val="nil"/>
          <w:right w:val="nil"/>
          <w:between w:val="nil"/>
        </w:pBdr>
        <w:spacing w:line="360" w:lineRule="auto"/>
        <w:ind w:left="0" w:right="-787" w:firstLine="0"/>
        <w:jc w:val="both"/>
        <w:rPr>
          <w:rFonts w:ascii="Palatino Linotype" w:hAnsi="Palatino Linotype"/>
          <w:b/>
          <w:i/>
          <w:color w:val="000000"/>
        </w:rPr>
      </w:pPr>
      <w:r w:rsidRPr="00D85131">
        <w:rPr>
          <w:rFonts w:ascii="Palatino Linotype" w:eastAsia="Palatino Linotype" w:hAnsi="Palatino Linotype" w:cs="Palatino Linotype"/>
          <w:color w:val="000000"/>
        </w:rPr>
        <w:t xml:space="preserve">Ahora bien, </w:t>
      </w:r>
      <w:r w:rsidR="00D72FBE" w:rsidRPr="00D85131">
        <w:rPr>
          <w:rFonts w:ascii="Palatino Linotype" w:eastAsia="Palatino Linotype" w:hAnsi="Palatino Linotype" w:cs="Palatino Linotype"/>
          <w:color w:val="000000"/>
        </w:rPr>
        <w:t xml:space="preserve">en lo que respecta al punto de solicitud relativo a </w:t>
      </w:r>
      <w:r w:rsidR="00831FC9" w:rsidRPr="00D85131">
        <w:rPr>
          <w:rFonts w:ascii="Palatino Linotype" w:eastAsia="Palatino Linotype" w:hAnsi="Palatino Linotype" w:cs="Palatino Linotype"/>
          <w:b/>
          <w:i/>
          <w:color w:val="000000"/>
        </w:rPr>
        <w:t xml:space="preserve">la experiencia laboral del Titular, encargado o equivalente de la </w:t>
      </w:r>
      <w:r w:rsidR="00831FC9" w:rsidRPr="00D85131">
        <w:rPr>
          <w:rFonts w:ascii="Palatino Linotype" w:eastAsia="Palatino Linotype" w:hAnsi="Palatino Linotype" w:cs="Palatino Linotype"/>
          <w:b/>
          <w:i/>
        </w:rPr>
        <w:t>Unidad de Información, Programación, Planeación y Evaluación</w:t>
      </w:r>
      <w:r w:rsidR="00831FC9" w:rsidRPr="00D85131">
        <w:rPr>
          <w:rFonts w:ascii="Palatino Linotype" w:eastAsia="Palatino Linotype" w:hAnsi="Palatino Linotype" w:cs="Palatino Linotype"/>
          <w:i/>
        </w:rPr>
        <w:t xml:space="preserve">, </w:t>
      </w:r>
      <w:r w:rsidR="00831FC9" w:rsidRPr="00D85131">
        <w:rPr>
          <w:rFonts w:ascii="Palatino Linotype" w:eastAsia="Palatino Linotype" w:hAnsi="Palatino Linotype" w:cs="Palatino Linotype"/>
        </w:rPr>
        <w:t xml:space="preserve">el Sujeto Obligado manifestó que </w:t>
      </w:r>
      <w:r w:rsidR="00831FC9" w:rsidRPr="00D85131">
        <w:rPr>
          <w:rFonts w:ascii="Palatino Linotype" w:eastAsia="Palatino Linotype" w:hAnsi="Palatino Linotype" w:cs="Palatino Linotype"/>
          <w:i/>
        </w:rPr>
        <w:t>tiene experiencia laboral en cuestión de mejora regulatoria e información, planeación, programación y evaluación</w:t>
      </w:r>
      <w:r w:rsidR="00831FC9" w:rsidRPr="00D85131">
        <w:rPr>
          <w:rFonts w:ascii="Palatino Linotype" w:eastAsia="Palatino Linotype" w:hAnsi="Palatino Linotype" w:cs="Palatino Linotype"/>
        </w:rPr>
        <w:t>, inconformándose el solicitante al señalar que la respuesta no tiene validez, ni como demostrar que la información es verídica.</w:t>
      </w:r>
    </w:p>
    <w:p w:rsidR="00831FC9" w:rsidRPr="00D85131" w:rsidRDefault="00831FC9" w:rsidP="00831FC9">
      <w:pPr>
        <w:pBdr>
          <w:top w:val="nil"/>
          <w:left w:val="nil"/>
          <w:bottom w:val="nil"/>
          <w:right w:val="nil"/>
          <w:between w:val="nil"/>
        </w:pBdr>
        <w:spacing w:line="360" w:lineRule="auto"/>
        <w:ind w:right="-787"/>
        <w:jc w:val="both"/>
        <w:rPr>
          <w:rFonts w:ascii="Palatino Linotype" w:hAnsi="Palatino Linotype"/>
          <w:b/>
          <w:i/>
          <w:color w:val="000000"/>
        </w:rPr>
      </w:pPr>
    </w:p>
    <w:p w:rsidR="00831FC9" w:rsidRPr="00D85131" w:rsidRDefault="00831FC9">
      <w:pPr>
        <w:numPr>
          <w:ilvl w:val="0"/>
          <w:numId w:val="1"/>
        </w:numPr>
        <w:pBdr>
          <w:top w:val="nil"/>
          <w:left w:val="nil"/>
          <w:bottom w:val="nil"/>
          <w:right w:val="nil"/>
          <w:between w:val="nil"/>
        </w:pBdr>
        <w:spacing w:line="360" w:lineRule="auto"/>
        <w:ind w:left="0" w:right="-787" w:firstLine="0"/>
        <w:jc w:val="both"/>
        <w:rPr>
          <w:rFonts w:ascii="Palatino Linotype" w:hAnsi="Palatino Linotype"/>
          <w:b/>
          <w:i/>
          <w:color w:val="000000"/>
        </w:rPr>
      </w:pPr>
      <w:r w:rsidRPr="00D85131">
        <w:rPr>
          <w:rFonts w:ascii="Palatino Linotype" w:eastAsia="Palatino Linotype" w:hAnsi="Palatino Linotype" w:cs="Palatino Linotype"/>
        </w:rPr>
        <w:lastRenderedPageBreak/>
        <w:t>Sin embargo, se considera que al existir un pronunciamiento que responde a la literalidad de la solicitud, el Sujeto Obligado no se encuentra obligado a entregar un documento en el que conste o se advierta la experiencia profesional del servidor público, toda vez que no fue requerido, y al manifestar en respuesta en la plataforma SAIMEX la experiencia, se considera atendido el punto de solicitud</w:t>
      </w:r>
      <w:r w:rsidR="00C84022" w:rsidRPr="00D85131">
        <w:rPr>
          <w:rFonts w:ascii="Palatino Linotype" w:eastAsia="Palatino Linotype" w:hAnsi="Palatino Linotype" w:cs="Palatino Linotype"/>
        </w:rPr>
        <w:t>.</w:t>
      </w:r>
    </w:p>
    <w:p w:rsidR="00C84022" w:rsidRPr="00D85131" w:rsidRDefault="00C84022" w:rsidP="00C84022">
      <w:pPr>
        <w:pBdr>
          <w:top w:val="nil"/>
          <w:left w:val="nil"/>
          <w:bottom w:val="nil"/>
          <w:right w:val="nil"/>
          <w:between w:val="nil"/>
        </w:pBdr>
        <w:spacing w:line="360" w:lineRule="auto"/>
        <w:ind w:right="-787"/>
        <w:jc w:val="both"/>
        <w:rPr>
          <w:rFonts w:ascii="Palatino Linotype" w:hAnsi="Palatino Linotype"/>
          <w:b/>
          <w:i/>
          <w:color w:val="000000"/>
        </w:rPr>
      </w:pPr>
    </w:p>
    <w:p w:rsidR="00C84022" w:rsidRPr="00D85131" w:rsidRDefault="00C84022">
      <w:pPr>
        <w:numPr>
          <w:ilvl w:val="0"/>
          <w:numId w:val="1"/>
        </w:numPr>
        <w:pBdr>
          <w:top w:val="nil"/>
          <w:left w:val="nil"/>
          <w:bottom w:val="nil"/>
          <w:right w:val="nil"/>
          <w:between w:val="nil"/>
        </w:pBdr>
        <w:spacing w:line="360" w:lineRule="auto"/>
        <w:ind w:left="0" w:right="-787" w:firstLine="0"/>
        <w:jc w:val="both"/>
        <w:rPr>
          <w:rFonts w:ascii="Palatino Linotype" w:hAnsi="Palatino Linotype"/>
          <w:b/>
          <w:i/>
          <w:color w:val="000000"/>
        </w:rPr>
      </w:pPr>
      <w:r w:rsidRPr="00D85131">
        <w:rPr>
          <w:rFonts w:ascii="Palatino Linotype" w:eastAsia="Palatino Linotype" w:hAnsi="Palatino Linotype" w:cs="Palatino Linotype"/>
        </w:rPr>
        <w:t>Lo anterior toda vez que al ingresar la plataforma en el Sistema de Acceso a la Información Mexiquense SAIMEX y solicitar la modalidad de entrega a través del mismo, se acepta que para el caso concreto, la respuesta emitida aún sin contener un documento que acredite la experiencia profesional del servidor público referido, máxime que el mismo no fue requerido, se consider</w:t>
      </w:r>
      <w:r w:rsidR="002D425B" w:rsidRPr="00D85131">
        <w:rPr>
          <w:rFonts w:ascii="Palatino Linotype" w:eastAsia="Palatino Linotype" w:hAnsi="Palatino Linotype" w:cs="Palatino Linotype"/>
        </w:rPr>
        <w:t>a</w:t>
      </w:r>
      <w:r w:rsidRPr="00D85131">
        <w:rPr>
          <w:rFonts w:ascii="Palatino Linotype" w:eastAsia="Palatino Linotype" w:hAnsi="Palatino Linotype" w:cs="Palatino Linotype"/>
        </w:rPr>
        <w:t xml:space="preserve"> como colmado.</w:t>
      </w:r>
    </w:p>
    <w:p w:rsidR="004E6C7F" w:rsidRPr="00D85131" w:rsidRDefault="004E6C7F" w:rsidP="004E6C7F">
      <w:pPr>
        <w:pBdr>
          <w:top w:val="nil"/>
          <w:left w:val="nil"/>
          <w:bottom w:val="nil"/>
          <w:right w:val="nil"/>
          <w:between w:val="nil"/>
        </w:pBdr>
        <w:spacing w:line="360" w:lineRule="auto"/>
        <w:ind w:right="-787"/>
        <w:jc w:val="both"/>
        <w:rPr>
          <w:rFonts w:ascii="Palatino Linotype" w:hAnsi="Palatino Linotype"/>
          <w:b/>
          <w:i/>
          <w:color w:val="000000"/>
        </w:rPr>
      </w:pPr>
    </w:p>
    <w:p w:rsidR="004E6C7F" w:rsidRPr="00D85131" w:rsidRDefault="00C84022" w:rsidP="004E6C7F">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D85131">
        <w:rPr>
          <w:rFonts w:ascii="Palatino Linotype" w:eastAsia="Palatino Linotype" w:hAnsi="Palatino Linotype" w:cs="Palatino Linotype"/>
        </w:rPr>
        <w:t xml:space="preserve">Ahora bien, en lo que respecta al punto de solicitud relativo a </w:t>
      </w:r>
      <w:r w:rsidR="004E6C7F" w:rsidRPr="00D85131">
        <w:rPr>
          <w:rFonts w:ascii="Palatino Linotype" w:eastAsia="Palatino Linotype" w:hAnsi="Palatino Linotype" w:cs="Palatino Linotype"/>
          <w:b/>
          <w:i/>
        </w:rPr>
        <w:t>las Constancias de no adeudo, expedidas por el Secretario y Tesorero del municipio de Temamatla, Estado de México a favor del titular, encargado o equivalente de la Unidad de Información, Planeación, Programación y Evaluación</w:t>
      </w:r>
      <w:r w:rsidR="004E6C7F" w:rsidRPr="00D85131">
        <w:rPr>
          <w:rFonts w:ascii="Palatino Linotype" w:eastAsia="Palatino Linotype" w:hAnsi="Palatino Linotype" w:cs="Palatino Linotype"/>
        </w:rPr>
        <w:t>, del Sujeto Obligado, es de referir los requisitos para ingresar al servicio público establecidos en el artículo 47, de la Ley del Trabajo de los Servidores Públicos del Estado y Municipios:</w:t>
      </w:r>
    </w:p>
    <w:p w:rsidR="006476B8" w:rsidRPr="00D85131"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D85131" w:rsidRDefault="00E40CA1" w:rsidP="004E6C7F">
      <w:pPr>
        <w:pBdr>
          <w:top w:val="nil"/>
          <w:left w:val="nil"/>
          <w:bottom w:val="nil"/>
          <w:right w:val="nil"/>
          <w:between w:val="nil"/>
        </w:pBdr>
        <w:ind w:left="1134" w:right="49"/>
        <w:jc w:val="center"/>
        <w:rPr>
          <w:rFonts w:ascii="Palatino Linotype" w:eastAsia="Palatino Linotype" w:hAnsi="Palatino Linotype" w:cs="Palatino Linotype"/>
          <w:b/>
          <w:i/>
        </w:rPr>
      </w:pPr>
      <w:r w:rsidRPr="00D85131">
        <w:rPr>
          <w:rFonts w:ascii="Palatino Linotype" w:eastAsia="Palatino Linotype" w:hAnsi="Palatino Linotype" w:cs="Palatino Linotype"/>
          <w:b/>
          <w:i/>
        </w:rPr>
        <w:t>Ley del Trabajo de los Servidores Públicos del Estado y Municipios</w:t>
      </w:r>
    </w:p>
    <w:p w:rsidR="006476B8" w:rsidRPr="00D85131" w:rsidRDefault="006476B8" w:rsidP="004E6C7F">
      <w:pPr>
        <w:pBdr>
          <w:top w:val="nil"/>
          <w:left w:val="nil"/>
          <w:bottom w:val="nil"/>
          <w:right w:val="nil"/>
          <w:between w:val="nil"/>
        </w:pBdr>
        <w:ind w:left="1134" w:right="-79"/>
        <w:jc w:val="center"/>
        <w:rPr>
          <w:rFonts w:ascii="Palatino Linotype" w:eastAsia="Palatino Linotype" w:hAnsi="Palatino Linotype" w:cs="Palatino Linotype"/>
          <w:b/>
          <w:i/>
        </w:rPr>
      </w:pPr>
    </w:p>
    <w:p w:rsidR="006476B8" w:rsidRPr="00D85131" w:rsidRDefault="00E40CA1"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b/>
          <w:i/>
        </w:rPr>
        <w:t>ARTÍCULO 47</w:t>
      </w:r>
      <w:r w:rsidRPr="00D85131">
        <w:rPr>
          <w:rFonts w:ascii="Palatino Linotype" w:eastAsia="Palatino Linotype" w:hAnsi="Palatino Linotype" w:cs="Palatino Linotype"/>
          <w:i/>
        </w:rPr>
        <w:t>. Para ingresar al servicio público se requiere:</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I. Presentar una solicitud utilizando la forma oficial que se autorice por la institución pública o dependencia correspondiente, a la cual se le prohíbe incluir la fotografía de quien solicita el empleo;</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lastRenderedPageBreak/>
        <w:t xml:space="preserve">II. Ser de nacionalidad mexicana, con la excepción prevista en el artículo 17 de la presente ley; </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 xml:space="preserve">III. Estar en pleno ejercicio de sus derechos civiles y políticos, en su caso; </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 xml:space="preserve">IV. Acreditar, cuando proceda, el cumplimiento de la Ley del Servicio Militar Nacional; </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 xml:space="preserve">V. Derogada. </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 xml:space="preserve">VI. No haber sido separado anteriormente del servicio por las causas previstas en el artículo 93 de la presente ley; </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 xml:space="preserve">VII. Tener buena salud, lo que se comprobará con los certificados médicos correspondientes, en la forma en que se establezca en cada institución pública; </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 xml:space="preserve">VIII. Cumplir con los requisitos que se establezcan para los diferentes puestos; </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 xml:space="preserve">IX. Acreditar por medio de los exámenes correspondientes los conocimientos y aptitudes necesarios para el desempeño del puesto; y </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 xml:space="preserve">X. No estar inhabilitado para el ejercicio del servicio público. </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 xml:space="preserve">XI. Presentar certificado expedido por la Unidad del Registro de Deudores Alimentarios Morosos en el que conste, si se encuentra inscrito o no en el mismo. </w:t>
      </w:r>
    </w:p>
    <w:p w:rsidR="004E6C7F"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p>
    <w:p w:rsidR="006476B8" w:rsidRPr="00D85131" w:rsidRDefault="004E6C7F" w:rsidP="004E6C7F">
      <w:pPr>
        <w:pBdr>
          <w:top w:val="nil"/>
          <w:left w:val="nil"/>
          <w:bottom w:val="nil"/>
          <w:right w:val="nil"/>
          <w:between w:val="nil"/>
        </w:pBdr>
        <w:ind w:left="1134" w:right="-79"/>
        <w:jc w:val="both"/>
        <w:rPr>
          <w:rFonts w:ascii="Palatino Linotype" w:eastAsia="Palatino Linotype" w:hAnsi="Palatino Linotype" w:cs="Palatino Linotype"/>
          <w:i/>
        </w:rPr>
      </w:pPr>
      <w:r w:rsidRPr="00D85131">
        <w:rPr>
          <w:rFonts w:ascii="Palatino Linotype" w:eastAsia="Palatino Linotype" w:hAnsi="Palatino Linotype" w:cs="Palatino Linotype"/>
          <w:i/>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rsidR="006476B8" w:rsidRPr="00D85131"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4E6C7F" w:rsidRPr="00D85131" w:rsidRDefault="004E6C7F" w:rsidP="004E6C7F">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u w:val="single"/>
        </w:rPr>
      </w:pPr>
      <w:r w:rsidRPr="00D85131">
        <w:rPr>
          <w:rFonts w:ascii="Palatino Linotype" w:eastAsia="Palatino Linotype" w:hAnsi="Palatino Linotype" w:cs="Palatino Linotype"/>
        </w:rPr>
        <w:t xml:space="preserve">Del análisis del ordenamiento citado, </w:t>
      </w:r>
      <w:r w:rsidRPr="00D85131">
        <w:rPr>
          <w:rFonts w:ascii="Palatino Linotype" w:eastAsia="Palatino Linotype" w:hAnsi="Palatino Linotype" w:cs="Palatino Linotype"/>
          <w:b/>
        </w:rPr>
        <w:t>no se advierte la obligación de presentar como requisito para ingresar al servicio público una constancia de no adeudo expedida por alguna autoridad de la fuente laboral anterior</w:t>
      </w:r>
      <w:r w:rsidRPr="00D85131">
        <w:rPr>
          <w:rFonts w:ascii="Palatino Linotype" w:eastAsia="Palatino Linotype" w:hAnsi="Palatino Linotype" w:cs="Palatino Linotype"/>
        </w:rPr>
        <w:t xml:space="preserve">, en consecuencia, no se observan facultades, competencias o funciones que le otorguen el deber al Sujeto Obligado para poseer o administrar tal información, </w:t>
      </w:r>
      <w:r w:rsidRPr="00D85131">
        <w:rPr>
          <w:rFonts w:ascii="Palatino Linotype" w:eastAsia="Palatino Linotype" w:hAnsi="Palatino Linotype" w:cs="Palatino Linotype"/>
          <w:color w:val="000000"/>
        </w:rPr>
        <w:t xml:space="preserve">mismo que como ya fue referido en párrafos anteriores </w:t>
      </w:r>
      <w:r w:rsidRPr="00D85131">
        <w:rPr>
          <w:rFonts w:ascii="Palatino Linotype" w:eastAsia="Palatino Linotype" w:hAnsi="Palatino Linotype" w:cs="Palatino Linotype"/>
          <w:b/>
          <w:color w:val="000000"/>
        </w:rPr>
        <w:t>el Sujeto Obligado manifestó no contar con las mismas</w:t>
      </w:r>
      <w:r w:rsidRPr="00D85131">
        <w:rPr>
          <w:rFonts w:ascii="Palatino Linotype" w:eastAsia="Palatino Linotype" w:hAnsi="Palatino Linotype" w:cs="Palatino Linotype"/>
          <w:color w:val="000000"/>
        </w:rPr>
        <w:t>, por tal razón</w:t>
      </w:r>
      <w:r w:rsidRPr="00D85131">
        <w:rPr>
          <w:rFonts w:ascii="Palatino Linotype" w:eastAsia="Palatino Linotype" w:hAnsi="Palatino Linotype" w:cs="Palatino Linotype"/>
        </w:rPr>
        <w:t xml:space="preserve"> nos encontramos ante un </w:t>
      </w:r>
      <w:r w:rsidRPr="00D85131">
        <w:rPr>
          <w:rFonts w:ascii="Palatino Linotype" w:eastAsia="Palatino Linotype" w:hAnsi="Palatino Linotype" w:cs="Palatino Linotype"/>
          <w:b/>
        </w:rPr>
        <w:t>hecho negativo</w:t>
      </w:r>
      <w:r w:rsidRPr="00D85131">
        <w:rPr>
          <w:rFonts w:ascii="Palatino Linotype" w:eastAsia="Palatino Linotype" w:hAnsi="Palatino Linotype" w:cs="Palatino Linotype"/>
        </w:rPr>
        <w:t xml:space="preserve">, por lo que no resulta aplicable el artículo 19, de la Ley de la materia, que nos constriñe a la emisión de un acuerdo de inexistencia, resultando aplicable la siguiente tesis: </w:t>
      </w:r>
    </w:p>
    <w:p w:rsidR="004E6C7F" w:rsidRPr="00D85131" w:rsidRDefault="004E6C7F" w:rsidP="004E6C7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E6C7F" w:rsidRPr="00D85131" w:rsidRDefault="004E6C7F" w:rsidP="004E6C7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w:t>
      </w:r>
      <w:r w:rsidRPr="00D85131">
        <w:rPr>
          <w:rFonts w:ascii="Palatino Linotype" w:eastAsia="Palatino Linotype" w:hAnsi="Palatino Linotype" w:cs="Palatino Linotype"/>
          <w:b/>
          <w:i/>
          <w:color w:val="000000"/>
        </w:rPr>
        <w:t>HECHOS NEGATIVOS, NO SON SUSCEPTIBLES DE DEMOSTRACIÓN.</w:t>
      </w:r>
    </w:p>
    <w:p w:rsidR="004E6C7F" w:rsidRPr="00D85131" w:rsidRDefault="004E6C7F" w:rsidP="004E6C7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Tratándose de un hecho negativo, el Juez no tiene por qué invocar prueba alguna de la que se desprenda, ya que es bien sabido que esta clase de hechos no son susceptibles de demostración.</w:t>
      </w:r>
    </w:p>
    <w:p w:rsidR="004E6C7F" w:rsidRPr="00D85131" w:rsidRDefault="004E6C7F" w:rsidP="004E6C7F">
      <w:pPr>
        <w:pBdr>
          <w:top w:val="nil"/>
          <w:left w:val="nil"/>
          <w:bottom w:val="nil"/>
          <w:right w:val="nil"/>
          <w:between w:val="nil"/>
        </w:pBdr>
        <w:ind w:left="1134" w:right="900"/>
        <w:jc w:val="both"/>
        <w:rPr>
          <w:rFonts w:ascii="Palatino Linotype" w:eastAsia="Palatino Linotype" w:hAnsi="Palatino Linotype" w:cs="Palatino Linotype"/>
          <w:i/>
          <w:color w:val="000000"/>
        </w:rPr>
      </w:pPr>
    </w:p>
    <w:p w:rsidR="004E6C7F" w:rsidRPr="00D85131" w:rsidRDefault="004E6C7F" w:rsidP="004E6C7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D85131">
        <w:rPr>
          <w:rFonts w:ascii="Palatino Linotype" w:eastAsia="Palatino Linotype" w:hAnsi="Palatino Linotype" w:cs="Palatino Linotype"/>
          <w:i/>
          <w:color w:val="000000"/>
        </w:rPr>
        <w:t>Amparo en revisión 2022/61. José García Florín (Menor). 9 de octubre de 1961. Cinco votos. Ponente: José Rivera Pérez Campos</w:t>
      </w:r>
    </w:p>
    <w:p w:rsidR="004E6C7F" w:rsidRPr="00D85131" w:rsidRDefault="004E6C7F" w:rsidP="004E6C7F">
      <w:pPr>
        <w:spacing w:line="360" w:lineRule="auto"/>
        <w:ind w:right="616"/>
        <w:jc w:val="both"/>
        <w:rPr>
          <w:rFonts w:ascii="Palatino Linotype" w:eastAsia="Palatino Linotype" w:hAnsi="Palatino Linotype" w:cs="Palatino Linotype"/>
        </w:rPr>
      </w:pPr>
    </w:p>
    <w:p w:rsidR="004E6C7F" w:rsidRPr="00D85131" w:rsidRDefault="004E6C7F" w:rsidP="002A12BD">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D85131">
        <w:rPr>
          <w:rFonts w:ascii="Palatino Linotype" w:eastAsia="Palatino Linotype" w:hAnsi="Palatino Linotype" w:cs="Palatino Linotype"/>
        </w:rPr>
        <w:t xml:space="preserve">De lo que se desprende que es materialmente imposible realizar la entrega de alguna documental que no ha generado el </w:t>
      </w:r>
      <w:r w:rsidRPr="00D85131">
        <w:rPr>
          <w:rFonts w:ascii="Palatino Linotype" w:eastAsia="Palatino Linotype" w:hAnsi="Palatino Linotype" w:cs="Palatino Linotype"/>
          <w:b/>
        </w:rPr>
        <w:t>SUJETO OBLIGADO</w:t>
      </w:r>
      <w:r w:rsidRPr="00D85131">
        <w:rPr>
          <w:rFonts w:ascii="Palatino Linotype" w:eastAsia="Palatino Linotype" w:hAnsi="Palatino Linotype" w:cs="Palatino Linotype"/>
        </w:rPr>
        <w:t>.</w:t>
      </w:r>
    </w:p>
    <w:p w:rsidR="004E6C7F" w:rsidRPr="00D85131" w:rsidRDefault="004E6C7F" w:rsidP="004E6C7F">
      <w:pPr>
        <w:tabs>
          <w:tab w:val="left" w:pos="5573"/>
        </w:tabs>
        <w:spacing w:line="360" w:lineRule="auto"/>
        <w:ind w:right="49"/>
        <w:jc w:val="both"/>
        <w:rPr>
          <w:rFonts w:ascii="Palatino Linotype" w:eastAsia="Palatino Linotype" w:hAnsi="Palatino Linotype" w:cs="Palatino Linotype"/>
        </w:rPr>
      </w:pPr>
      <w:r w:rsidRPr="00D85131">
        <w:rPr>
          <w:rFonts w:ascii="Palatino Linotype" w:eastAsia="Palatino Linotype" w:hAnsi="Palatino Linotype" w:cs="Palatino Linotype"/>
        </w:rPr>
        <w:tab/>
      </w:r>
    </w:p>
    <w:p w:rsidR="004E6C7F" w:rsidRPr="00D85131" w:rsidRDefault="004E6C7F" w:rsidP="002A12BD">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D85131">
        <w:rPr>
          <w:rFonts w:ascii="Palatino Linotype" w:eastAsia="Palatino Linotype" w:hAnsi="Palatino Linotype" w:cs="Palatino Linotype"/>
        </w:rPr>
        <w:t>Por lo anterior, 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rsidR="006476B8" w:rsidRPr="00D85131" w:rsidRDefault="006476B8" w:rsidP="002A1491">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C873E8" w:rsidRPr="00D85131" w:rsidRDefault="00C873E8" w:rsidP="00C873E8">
      <w:pPr>
        <w:numPr>
          <w:ilvl w:val="0"/>
          <w:numId w:val="16"/>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D85131">
        <w:rPr>
          <w:rFonts w:ascii="Palatino Linotype" w:eastAsia="Palatino Linotype" w:hAnsi="Palatino Linotype" w:cs="Palatino Linotype"/>
          <w:b/>
          <w:color w:val="000000"/>
          <w:u w:val="single"/>
        </w:rPr>
        <w:t>Conclusión</w:t>
      </w:r>
    </w:p>
    <w:p w:rsidR="00C873E8" w:rsidRPr="00D85131" w:rsidRDefault="00C873E8" w:rsidP="00C873E8">
      <w:pPr>
        <w:pBdr>
          <w:top w:val="nil"/>
          <w:left w:val="nil"/>
          <w:bottom w:val="nil"/>
          <w:right w:val="nil"/>
          <w:between w:val="nil"/>
        </w:pBdr>
        <w:spacing w:line="360" w:lineRule="auto"/>
        <w:ind w:left="1080" w:right="-787"/>
        <w:jc w:val="both"/>
        <w:rPr>
          <w:rFonts w:ascii="Palatino Linotype" w:eastAsia="Palatino Linotype" w:hAnsi="Palatino Linotype" w:cs="Palatino Linotype"/>
          <w:b/>
          <w:color w:val="000000"/>
        </w:rPr>
      </w:pPr>
      <w:r w:rsidRPr="00D85131">
        <w:rPr>
          <w:rFonts w:ascii="Palatino Linotype" w:eastAsia="Palatino Linotype" w:hAnsi="Palatino Linotype" w:cs="Palatino Linotype"/>
          <w:b/>
          <w:color w:val="000000"/>
          <w:u w:val="single"/>
        </w:rPr>
        <w:t xml:space="preserve"> </w:t>
      </w:r>
    </w:p>
    <w:p w:rsidR="00C873E8" w:rsidRPr="00D85131" w:rsidRDefault="00C873E8" w:rsidP="002A12BD">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rPr>
        <w:t>En consecuencia, se consideran infundadas las razones o motivos de inconformidad que plantea el</w:t>
      </w:r>
      <w:r w:rsidRPr="00D85131">
        <w:rPr>
          <w:rFonts w:ascii="Palatino Linotype" w:eastAsia="Palatino Linotype" w:hAnsi="Palatino Linotype" w:cs="Palatino Linotype"/>
          <w:b/>
        </w:rPr>
        <w:t xml:space="preserve"> RECURRENTE</w:t>
      </w:r>
      <w:r w:rsidRPr="00D85131">
        <w:rPr>
          <w:rFonts w:ascii="Palatino Linotype" w:eastAsia="Palatino Linotype" w:hAnsi="Palatino Linotype" w:cs="Palatino Linotype"/>
        </w:rPr>
        <w:t xml:space="preserve">. </w:t>
      </w:r>
    </w:p>
    <w:p w:rsidR="00C873E8" w:rsidRPr="00D85131" w:rsidRDefault="00C873E8" w:rsidP="00C873E8">
      <w:pPr>
        <w:ind w:right="-787"/>
        <w:rPr>
          <w:rFonts w:ascii="Palatino Linotype" w:eastAsia="Palatino Linotype" w:hAnsi="Palatino Linotype" w:cs="Palatino Linotype"/>
          <w:color w:val="000000"/>
        </w:rPr>
      </w:pPr>
    </w:p>
    <w:p w:rsidR="00C873E8" w:rsidRPr="00D85131" w:rsidRDefault="00C873E8" w:rsidP="002A12BD">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D85131">
        <w:rPr>
          <w:rFonts w:ascii="Palatino Linotype" w:eastAsia="Palatino Linotype" w:hAnsi="Palatino Linotype" w:cs="Palatino Linotype"/>
        </w:rPr>
        <w:t xml:space="preserve">Así, conforme a lo analizado a lo largo del presente Considerando, con fundamento </w:t>
      </w:r>
      <w:r w:rsidRPr="00D85131">
        <w:rPr>
          <w:rFonts w:ascii="Palatino Linotype" w:eastAsia="Palatino Linotype" w:hAnsi="Palatino Linotype" w:cs="Palatino Linotype"/>
          <w:color w:val="000000"/>
        </w:rPr>
        <w:t xml:space="preserve">en el artículo 186, fracción II, de la Ley de Transparencia y Acceso a la Información Pública del Estado de </w:t>
      </w:r>
      <w:r w:rsidRPr="00D85131">
        <w:rPr>
          <w:rFonts w:ascii="Palatino Linotype" w:eastAsia="Palatino Linotype" w:hAnsi="Palatino Linotype" w:cs="Palatino Linotype"/>
        </w:rPr>
        <w:t>México</w:t>
      </w:r>
      <w:r w:rsidRPr="00D85131">
        <w:rPr>
          <w:rFonts w:ascii="Palatino Linotype" w:eastAsia="Palatino Linotype" w:hAnsi="Palatino Linotype" w:cs="Palatino Linotype"/>
          <w:color w:val="000000"/>
        </w:rPr>
        <w:t xml:space="preserve"> y Municipios, este Instituto considera procedente </w:t>
      </w:r>
      <w:r w:rsidRPr="00D85131">
        <w:rPr>
          <w:rFonts w:ascii="Palatino Linotype" w:eastAsia="Palatino Linotype" w:hAnsi="Palatino Linotype" w:cs="Palatino Linotype"/>
          <w:b/>
          <w:color w:val="000000"/>
        </w:rPr>
        <w:t>CONFIRMAR</w:t>
      </w:r>
      <w:r w:rsidRPr="00D85131">
        <w:rPr>
          <w:rFonts w:ascii="Palatino Linotype" w:eastAsia="Palatino Linotype" w:hAnsi="Palatino Linotype" w:cs="Palatino Linotype"/>
          <w:color w:val="000000"/>
        </w:rPr>
        <w:t xml:space="preserve"> la </w:t>
      </w:r>
      <w:r w:rsidRPr="00D85131">
        <w:rPr>
          <w:rFonts w:ascii="Palatino Linotype" w:eastAsia="Palatino Linotype" w:hAnsi="Palatino Linotype" w:cs="Palatino Linotype"/>
          <w:color w:val="000000"/>
        </w:rPr>
        <w:lastRenderedPageBreak/>
        <w:t>respuesta otorgada por el Sujeto Obligado, a</w:t>
      </w:r>
      <w:r w:rsidRPr="00D85131">
        <w:rPr>
          <w:rFonts w:ascii="Palatino Linotype" w:eastAsia="Palatino Linotype" w:hAnsi="Palatino Linotype" w:cs="Palatino Linotype"/>
        </w:rPr>
        <w:t xml:space="preserve"> la solicitud de acceso a la información</w:t>
      </w:r>
      <w:r w:rsidRPr="00D85131">
        <w:rPr>
          <w:rFonts w:ascii="Palatino Linotype" w:eastAsia="Palatino Linotype" w:hAnsi="Palatino Linotype" w:cs="Palatino Linotype"/>
          <w:b/>
        </w:rPr>
        <w:t xml:space="preserve"> </w:t>
      </w:r>
      <w:r w:rsidR="00147404" w:rsidRPr="00D85131">
        <w:rPr>
          <w:rFonts w:ascii="Palatino Linotype" w:eastAsia="Palatino Linotype" w:hAnsi="Palatino Linotype" w:cs="Palatino Linotype"/>
          <w:b/>
        </w:rPr>
        <w:t xml:space="preserve">00015/COCOTIT/IP/2025 </w:t>
      </w:r>
      <w:r w:rsidRPr="00D85131">
        <w:rPr>
          <w:rFonts w:ascii="Palatino Linotype" w:eastAsia="Palatino Linotype" w:hAnsi="Palatino Linotype" w:cs="Palatino Linotype"/>
          <w:color w:val="000000"/>
        </w:rPr>
        <w:t>objeto del presente análisis.</w:t>
      </w:r>
    </w:p>
    <w:p w:rsidR="00C873E8" w:rsidRPr="00D85131" w:rsidRDefault="00C873E8" w:rsidP="00C873E8">
      <w:pPr>
        <w:pBdr>
          <w:top w:val="nil"/>
          <w:left w:val="nil"/>
          <w:bottom w:val="nil"/>
          <w:right w:val="nil"/>
          <w:between w:val="nil"/>
        </w:pBdr>
        <w:ind w:right="-787"/>
        <w:rPr>
          <w:rFonts w:ascii="Palatino Linotype" w:eastAsia="Palatino Linotype" w:hAnsi="Palatino Linotype" w:cs="Palatino Linotype"/>
          <w:color w:val="000000"/>
        </w:rPr>
      </w:pPr>
    </w:p>
    <w:p w:rsidR="00C873E8" w:rsidRPr="00D85131" w:rsidRDefault="00C873E8" w:rsidP="002A12BD">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D85131">
        <w:rPr>
          <w:rFonts w:ascii="Palatino Linotype" w:eastAsia="Palatino Linotype" w:hAnsi="Palatino Linotype" w:cs="Palatino Linotype"/>
        </w:rPr>
        <w:t>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rsidR="00C873E8" w:rsidRPr="00D85131" w:rsidRDefault="00C873E8" w:rsidP="00C873E8">
      <w:pPr>
        <w:ind w:right="278"/>
        <w:rPr>
          <w:rFonts w:ascii="Palatino Linotype" w:eastAsia="Palatino Linotype" w:hAnsi="Palatino Linotype" w:cs="Palatino Linotype"/>
        </w:rPr>
      </w:pPr>
    </w:p>
    <w:p w:rsidR="00C873E8" w:rsidRPr="00D85131" w:rsidRDefault="00C873E8" w:rsidP="00C873E8">
      <w:pPr>
        <w:spacing w:line="360" w:lineRule="auto"/>
        <w:ind w:right="276"/>
        <w:jc w:val="center"/>
        <w:rPr>
          <w:rFonts w:ascii="Palatino Linotype" w:eastAsia="Palatino Linotype" w:hAnsi="Palatino Linotype" w:cs="Palatino Linotype"/>
          <w:b/>
        </w:rPr>
      </w:pPr>
      <w:r w:rsidRPr="00D85131">
        <w:rPr>
          <w:rFonts w:ascii="Palatino Linotype" w:eastAsia="Palatino Linotype" w:hAnsi="Palatino Linotype" w:cs="Palatino Linotype"/>
          <w:b/>
        </w:rPr>
        <w:t>R E S U E L V E</w:t>
      </w:r>
    </w:p>
    <w:p w:rsidR="00C873E8" w:rsidRPr="00D85131" w:rsidRDefault="00C873E8" w:rsidP="00C873E8">
      <w:pPr>
        <w:ind w:right="-787"/>
        <w:rPr>
          <w:rFonts w:ascii="Palatino Linotype" w:eastAsia="Palatino Linotype" w:hAnsi="Palatino Linotype" w:cs="Palatino Linotype"/>
          <w:b/>
        </w:rPr>
      </w:pPr>
    </w:p>
    <w:p w:rsidR="00C873E8" w:rsidRPr="00D85131" w:rsidRDefault="00C873E8" w:rsidP="00C873E8">
      <w:pPr>
        <w:spacing w:line="360" w:lineRule="auto"/>
        <w:ind w:right="-787"/>
        <w:jc w:val="both"/>
        <w:rPr>
          <w:rFonts w:ascii="Palatino Linotype" w:eastAsia="Palatino Linotype" w:hAnsi="Palatino Linotype" w:cs="Palatino Linotype"/>
        </w:rPr>
      </w:pPr>
      <w:r w:rsidRPr="00D85131">
        <w:rPr>
          <w:rFonts w:ascii="Palatino Linotype" w:eastAsia="Palatino Linotype" w:hAnsi="Palatino Linotype" w:cs="Palatino Linotype"/>
          <w:b/>
        </w:rPr>
        <w:t>PRIMERO</w:t>
      </w:r>
      <w:r w:rsidRPr="00D85131">
        <w:rPr>
          <w:rFonts w:ascii="Palatino Linotype" w:eastAsia="Palatino Linotype" w:hAnsi="Palatino Linotype" w:cs="Palatino Linotype"/>
        </w:rPr>
        <w:t>. Resultan infundadas las</w:t>
      </w:r>
      <w:r w:rsidRPr="00D85131">
        <w:rPr>
          <w:rFonts w:ascii="Palatino Linotype" w:eastAsia="Palatino Linotype" w:hAnsi="Palatino Linotype" w:cs="Palatino Linotype"/>
          <w:b/>
        </w:rPr>
        <w:t xml:space="preserve"> </w:t>
      </w:r>
      <w:r w:rsidRPr="00D85131">
        <w:rPr>
          <w:rFonts w:ascii="Palatino Linotype" w:eastAsia="Palatino Linotype" w:hAnsi="Palatino Linotype" w:cs="Palatino Linotype"/>
        </w:rPr>
        <w:t xml:space="preserve">razones o motivos de inconformidad hechos valer en el Recurso de Revisión </w:t>
      </w:r>
      <w:r w:rsidR="00147404" w:rsidRPr="00D85131">
        <w:rPr>
          <w:rFonts w:ascii="Palatino Linotype" w:eastAsia="Palatino Linotype" w:hAnsi="Palatino Linotype" w:cs="Palatino Linotype"/>
          <w:b/>
          <w:color w:val="000000"/>
        </w:rPr>
        <w:t>00573/INFOEM/IP/RR/2025</w:t>
      </w:r>
      <w:r w:rsidRPr="00D85131">
        <w:rPr>
          <w:rFonts w:ascii="Palatino Linotype" w:eastAsia="Palatino Linotype" w:hAnsi="Palatino Linotype" w:cs="Palatino Linotype"/>
          <w:color w:val="000000"/>
        </w:rPr>
        <w:t>,</w:t>
      </w:r>
      <w:r w:rsidRPr="00D85131">
        <w:rPr>
          <w:rFonts w:ascii="Palatino Linotype" w:eastAsia="Palatino Linotype" w:hAnsi="Palatino Linotype" w:cs="Palatino Linotype"/>
          <w:b/>
          <w:color w:val="000000"/>
        </w:rPr>
        <w:t xml:space="preserve"> </w:t>
      </w:r>
      <w:r w:rsidRPr="00D85131">
        <w:rPr>
          <w:rFonts w:ascii="Palatino Linotype" w:eastAsia="Palatino Linotype" w:hAnsi="Palatino Linotype" w:cs="Palatino Linotype"/>
        </w:rPr>
        <w:t xml:space="preserve">en términos del </w:t>
      </w:r>
      <w:r w:rsidRPr="00D85131">
        <w:rPr>
          <w:rFonts w:ascii="Palatino Linotype" w:eastAsia="Palatino Linotype" w:hAnsi="Palatino Linotype" w:cs="Palatino Linotype"/>
          <w:b/>
        </w:rPr>
        <w:t>Considerando</w:t>
      </w:r>
      <w:r w:rsidRPr="00D85131">
        <w:rPr>
          <w:rFonts w:ascii="Palatino Linotype" w:eastAsia="Palatino Linotype" w:hAnsi="Palatino Linotype" w:cs="Palatino Linotype"/>
        </w:rPr>
        <w:t xml:space="preserve"> </w:t>
      </w:r>
      <w:r w:rsidRPr="00D85131">
        <w:rPr>
          <w:rFonts w:ascii="Palatino Linotype" w:eastAsia="Palatino Linotype" w:hAnsi="Palatino Linotype" w:cs="Palatino Linotype"/>
          <w:b/>
        </w:rPr>
        <w:t>CUARTO</w:t>
      </w:r>
      <w:r w:rsidRPr="00D85131">
        <w:rPr>
          <w:rFonts w:ascii="Palatino Linotype" w:eastAsia="Palatino Linotype" w:hAnsi="Palatino Linotype" w:cs="Palatino Linotype"/>
        </w:rPr>
        <w:t xml:space="preserve"> de la presente Resolución.</w:t>
      </w:r>
    </w:p>
    <w:p w:rsidR="00C873E8" w:rsidRPr="00D85131" w:rsidRDefault="00C873E8" w:rsidP="00C873E8">
      <w:pPr>
        <w:spacing w:line="360" w:lineRule="auto"/>
        <w:ind w:right="-787"/>
        <w:jc w:val="both"/>
        <w:rPr>
          <w:rFonts w:ascii="Palatino Linotype" w:eastAsia="Palatino Linotype" w:hAnsi="Palatino Linotype" w:cs="Palatino Linotype"/>
        </w:rPr>
      </w:pPr>
    </w:p>
    <w:p w:rsidR="00C873E8" w:rsidRPr="00D85131" w:rsidRDefault="00C873E8" w:rsidP="00C873E8">
      <w:pPr>
        <w:spacing w:line="360" w:lineRule="auto"/>
        <w:ind w:right="-787"/>
        <w:jc w:val="both"/>
        <w:rPr>
          <w:rFonts w:ascii="Palatino Linotype" w:eastAsia="Palatino Linotype" w:hAnsi="Palatino Linotype" w:cs="Palatino Linotype"/>
          <w:b/>
        </w:rPr>
      </w:pPr>
      <w:bookmarkStart w:id="11" w:name="_heading=h.1ksv4uv" w:colFirst="0" w:colLast="0"/>
      <w:bookmarkEnd w:id="11"/>
      <w:r w:rsidRPr="00D85131">
        <w:rPr>
          <w:rFonts w:ascii="Palatino Linotype" w:eastAsia="Palatino Linotype" w:hAnsi="Palatino Linotype" w:cs="Palatino Linotype"/>
          <w:b/>
        </w:rPr>
        <w:t>SEGUNDO</w:t>
      </w:r>
      <w:r w:rsidRPr="00D85131">
        <w:rPr>
          <w:rFonts w:ascii="Palatino Linotype" w:eastAsia="Palatino Linotype" w:hAnsi="Palatino Linotype" w:cs="Palatino Linotype"/>
        </w:rPr>
        <w:t xml:space="preserve">. Se </w:t>
      </w:r>
      <w:r w:rsidRPr="00D85131">
        <w:rPr>
          <w:rFonts w:ascii="Palatino Linotype" w:eastAsia="Palatino Linotype" w:hAnsi="Palatino Linotype" w:cs="Palatino Linotype"/>
          <w:b/>
        </w:rPr>
        <w:t xml:space="preserve">CONFIRMA </w:t>
      </w:r>
      <w:r w:rsidRPr="00D85131">
        <w:rPr>
          <w:rFonts w:ascii="Palatino Linotype" w:eastAsia="Palatino Linotype" w:hAnsi="Palatino Linotype" w:cs="Palatino Linotype"/>
        </w:rPr>
        <w:t xml:space="preserve">la respuesta del </w:t>
      </w:r>
      <w:r w:rsidR="00147404" w:rsidRPr="00D85131">
        <w:rPr>
          <w:rFonts w:ascii="Palatino Linotype" w:eastAsia="Palatino Linotype" w:hAnsi="Palatino Linotype" w:cs="Palatino Linotype"/>
          <w:b/>
        </w:rPr>
        <w:t>Ayuntamiento de Cocotitlán</w:t>
      </w:r>
      <w:r w:rsidR="00147404" w:rsidRPr="00D85131">
        <w:rPr>
          <w:rFonts w:ascii="Palatino Linotype" w:eastAsia="Palatino Linotype" w:hAnsi="Palatino Linotype" w:cs="Palatino Linotype"/>
        </w:rPr>
        <w:t xml:space="preserve"> </w:t>
      </w:r>
      <w:r w:rsidRPr="00D85131">
        <w:rPr>
          <w:rFonts w:ascii="Palatino Linotype" w:eastAsia="Palatino Linotype" w:hAnsi="Palatino Linotype" w:cs="Palatino Linotype"/>
        </w:rPr>
        <w:t>emitida a la solicitud de acceso a la información</w:t>
      </w:r>
      <w:r w:rsidRPr="00D85131">
        <w:rPr>
          <w:rFonts w:ascii="Palatino Linotype" w:eastAsia="Palatino Linotype" w:hAnsi="Palatino Linotype" w:cs="Palatino Linotype"/>
          <w:b/>
        </w:rPr>
        <w:t xml:space="preserve"> </w:t>
      </w:r>
      <w:r w:rsidR="00147404" w:rsidRPr="00D85131">
        <w:rPr>
          <w:rFonts w:ascii="Palatino Linotype" w:eastAsia="Palatino Linotype" w:hAnsi="Palatino Linotype" w:cs="Palatino Linotype"/>
          <w:b/>
        </w:rPr>
        <w:t>00015/COCOTIT/IP/2025</w:t>
      </w:r>
      <w:r w:rsidRPr="00D85131">
        <w:rPr>
          <w:rFonts w:ascii="Palatino Linotype" w:eastAsia="Palatino Linotype" w:hAnsi="Palatino Linotype" w:cs="Palatino Linotype"/>
          <w:b/>
        </w:rPr>
        <w:t>.</w:t>
      </w:r>
    </w:p>
    <w:p w:rsidR="00C873E8" w:rsidRPr="00D85131" w:rsidRDefault="00C873E8" w:rsidP="00C873E8">
      <w:pPr>
        <w:spacing w:line="360" w:lineRule="auto"/>
        <w:ind w:right="-787"/>
        <w:jc w:val="both"/>
        <w:rPr>
          <w:rFonts w:ascii="Palatino Linotype" w:eastAsia="Palatino Linotype" w:hAnsi="Palatino Linotype" w:cs="Palatino Linotype"/>
          <w:b/>
        </w:rPr>
      </w:pPr>
    </w:p>
    <w:p w:rsidR="00C873E8" w:rsidRPr="00D85131" w:rsidRDefault="00C873E8" w:rsidP="00C873E8">
      <w:pPr>
        <w:spacing w:line="360" w:lineRule="auto"/>
        <w:ind w:right="-787"/>
        <w:jc w:val="both"/>
        <w:rPr>
          <w:rFonts w:ascii="Palatino Linotype" w:eastAsia="Palatino Linotype" w:hAnsi="Palatino Linotype" w:cs="Palatino Linotype"/>
        </w:rPr>
      </w:pPr>
      <w:r w:rsidRPr="00D85131">
        <w:rPr>
          <w:rFonts w:ascii="Palatino Linotype" w:eastAsia="Palatino Linotype" w:hAnsi="Palatino Linotype" w:cs="Palatino Linotype"/>
          <w:b/>
        </w:rPr>
        <w:t>TERCERO. Notifíquese</w:t>
      </w:r>
      <w:r w:rsidRPr="00D85131">
        <w:rPr>
          <w:rFonts w:ascii="Palatino Linotype" w:eastAsia="Palatino Linotype" w:hAnsi="Palatino Linotype" w:cs="Palatino Linotype"/>
        </w:rPr>
        <w:t xml:space="preserve"> al Titular de la Unidad de Transparencia del </w:t>
      </w:r>
      <w:r w:rsidRPr="00D85131">
        <w:rPr>
          <w:rFonts w:ascii="Palatino Linotype" w:eastAsia="Palatino Linotype" w:hAnsi="Palatino Linotype" w:cs="Palatino Linotype"/>
          <w:b/>
        </w:rPr>
        <w:t>SUJETO OBLIGADO</w:t>
      </w:r>
      <w:r w:rsidRPr="00D85131">
        <w:rPr>
          <w:rFonts w:ascii="Palatino Linotype" w:eastAsia="Palatino Linotype" w:hAnsi="Palatino Linotype" w:cs="Palatino Linotype"/>
        </w:rPr>
        <w:t xml:space="preserve"> vía SAIMEX, para su conocimiento.</w:t>
      </w:r>
    </w:p>
    <w:p w:rsidR="00C873E8" w:rsidRPr="00D85131" w:rsidRDefault="00C873E8" w:rsidP="00C873E8">
      <w:pPr>
        <w:spacing w:line="360" w:lineRule="auto"/>
        <w:ind w:right="-787"/>
        <w:jc w:val="both"/>
        <w:rPr>
          <w:rFonts w:ascii="Palatino Linotype" w:eastAsia="Palatino Linotype" w:hAnsi="Palatino Linotype" w:cs="Palatino Linotype"/>
        </w:rPr>
      </w:pPr>
    </w:p>
    <w:p w:rsidR="00C873E8" w:rsidRPr="00D85131" w:rsidRDefault="00C873E8" w:rsidP="00C873E8">
      <w:pPr>
        <w:tabs>
          <w:tab w:val="left" w:pos="8080"/>
        </w:tabs>
        <w:spacing w:line="360" w:lineRule="auto"/>
        <w:ind w:right="-787"/>
        <w:jc w:val="both"/>
        <w:rPr>
          <w:rFonts w:ascii="Palatino Linotype" w:eastAsia="Palatino Linotype" w:hAnsi="Palatino Linotype" w:cs="Palatino Linotype"/>
        </w:rPr>
      </w:pPr>
      <w:bookmarkStart w:id="12" w:name="_heading=h.3rdcrjn" w:colFirst="0" w:colLast="0"/>
      <w:bookmarkEnd w:id="12"/>
      <w:r w:rsidRPr="00D85131">
        <w:rPr>
          <w:rFonts w:ascii="Palatino Linotype" w:eastAsia="Palatino Linotype" w:hAnsi="Palatino Linotype" w:cs="Palatino Linotype"/>
          <w:b/>
        </w:rPr>
        <w:t xml:space="preserve">CUARTO. </w:t>
      </w:r>
      <w:r w:rsidRPr="00D85131">
        <w:rPr>
          <w:rFonts w:ascii="Palatino Linotype" w:eastAsia="Palatino Linotype" w:hAnsi="Palatino Linotype" w:cs="Palatino Linotype"/>
          <w:b/>
          <w:color w:val="222222"/>
        </w:rPr>
        <w:t xml:space="preserve">Notifíquese </w:t>
      </w:r>
      <w:r w:rsidRPr="00D85131">
        <w:rPr>
          <w:rFonts w:ascii="Palatino Linotype" w:eastAsia="Palatino Linotype" w:hAnsi="Palatino Linotype" w:cs="Palatino Linotype"/>
          <w:color w:val="222222"/>
        </w:rPr>
        <w:t xml:space="preserve">a </w:t>
      </w:r>
      <w:r w:rsidRPr="00D85131">
        <w:rPr>
          <w:rFonts w:ascii="Palatino Linotype" w:eastAsia="Palatino Linotype" w:hAnsi="Palatino Linotype" w:cs="Palatino Linotype"/>
          <w:b/>
          <w:color w:val="222222"/>
        </w:rPr>
        <w:t>EL RECURRENTE</w:t>
      </w:r>
      <w:r w:rsidRPr="00D85131">
        <w:rPr>
          <w:rFonts w:ascii="Palatino Linotype" w:eastAsia="Palatino Linotype" w:hAnsi="Palatino Linotype" w:cs="Palatino Linotype"/>
          <w:color w:val="222222"/>
        </w:rPr>
        <w:t xml:space="preserve"> la presente resolución vía SAIMEX</w:t>
      </w:r>
      <w:r w:rsidRPr="00D85131">
        <w:rPr>
          <w:rFonts w:ascii="Palatino Linotype" w:eastAsia="Palatino Linotype" w:hAnsi="Palatino Linotype" w:cs="Palatino Linotype"/>
        </w:rPr>
        <w:t>.</w:t>
      </w:r>
    </w:p>
    <w:p w:rsidR="00C873E8" w:rsidRPr="00D85131" w:rsidRDefault="00C873E8" w:rsidP="00C873E8">
      <w:pPr>
        <w:tabs>
          <w:tab w:val="left" w:pos="8080"/>
        </w:tabs>
        <w:spacing w:line="360" w:lineRule="auto"/>
        <w:ind w:right="-787"/>
        <w:jc w:val="both"/>
        <w:rPr>
          <w:rFonts w:ascii="Palatino Linotype" w:eastAsia="Palatino Linotype" w:hAnsi="Palatino Linotype" w:cs="Palatino Linotype"/>
        </w:rPr>
      </w:pPr>
    </w:p>
    <w:p w:rsidR="00C873E8" w:rsidRPr="00D85131" w:rsidRDefault="00C873E8" w:rsidP="00C873E8">
      <w:pPr>
        <w:shd w:val="clear" w:color="auto" w:fill="FFFFFF"/>
        <w:spacing w:line="360" w:lineRule="auto"/>
        <w:ind w:right="-787"/>
        <w:jc w:val="both"/>
        <w:rPr>
          <w:rFonts w:ascii="Palatino Linotype" w:eastAsia="Palatino Linotype" w:hAnsi="Palatino Linotype" w:cs="Palatino Linotype"/>
          <w:color w:val="000000"/>
        </w:rPr>
      </w:pPr>
      <w:r w:rsidRPr="00D85131">
        <w:rPr>
          <w:rFonts w:ascii="Palatino Linotype" w:eastAsia="Palatino Linotype" w:hAnsi="Palatino Linotype" w:cs="Palatino Linotype"/>
          <w:b/>
        </w:rPr>
        <w:t xml:space="preserve">QUINTO. </w:t>
      </w:r>
      <w:r w:rsidRPr="00D85131">
        <w:rPr>
          <w:rFonts w:ascii="Palatino Linotype" w:eastAsia="Palatino Linotype" w:hAnsi="Palatino Linotype" w:cs="Palatino Linotype"/>
          <w:color w:val="000000"/>
        </w:rPr>
        <w:t xml:space="preserve">Se hace del conocimiento de </w:t>
      </w:r>
      <w:r w:rsidRPr="00D85131">
        <w:rPr>
          <w:rFonts w:ascii="Palatino Linotype" w:eastAsia="Palatino Linotype" w:hAnsi="Palatino Linotype" w:cs="Palatino Linotype"/>
          <w:b/>
          <w:color w:val="000000"/>
        </w:rPr>
        <w:t>EL RECURRENTE</w:t>
      </w:r>
      <w:r w:rsidRPr="00D85131">
        <w:rPr>
          <w:rFonts w:ascii="Palatino Linotype" w:eastAsia="Palatino Linotype" w:hAnsi="Palatino Linotype" w:cs="Palatino Linotype"/>
          <w:color w:val="000000"/>
        </w:rPr>
        <w:t xml:space="preserve"> que, de conformidad con lo establecido en el artículo 196 de la Ley de Transparencia y Acceso a la Información Pública </w:t>
      </w:r>
      <w:r w:rsidRPr="00D85131">
        <w:rPr>
          <w:rFonts w:ascii="Palatino Linotype" w:eastAsia="Palatino Linotype" w:hAnsi="Palatino Linotype" w:cs="Palatino Linotype"/>
          <w:color w:val="000000"/>
        </w:rPr>
        <w:lastRenderedPageBreak/>
        <w:t xml:space="preserve">del Estado de México y Municipios, en caso de que considere que la resolución le cause algún perjuicio podrá </w:t>
      </w:r>
      <w:r w:rsidRPr="00D85131">
        <w:rPr>
          <w:rFonts w:ascii="Palatino Linotype" w:eastAsia="Palatino Linotype" w:hAnsi="Palatino Linotype" w:cs="Palatino Linotype"/>
        </w:rPr>
        <w:t>impugnar vía</w:t>
      </w:r>
      <w:r w:rsidRPr="00D85131">
        <w:rPr>
          <w:rFonts w:ascii="Palatino Linotype" w:eastAsia="Palatino Linotype" w:hAnsi="Palatino Linotype" w:cs="Palatino Linotype"/>
          <w:color w:val="000000"/>
        </w:rPr>
        <w:t xml:space="preserve"> juicio de amparo en los términos de las leyes aplicables.</w:t>
      </w:r>
    </w:p>
    <w:p w:rsidR="00C873E8" w:rsidRPr="00D85131" w:rsidRDefault="00C873E8" w:rsidP="00C873E8">
      <w:pPr>
        <w:shd w:val="clear" w:color="auto" w:fill="FFFFFF"/>
        <w:spacing w:line="360" w:lineRule="auto"/>
        <w:ind w:right="-787"/>
        <w:jc w:val="both"/>
        <w:rPr>
          <w:rFonts w:ascii="Palatino Linotype" w:eastAsia="Palatino Linotype" w:hAnsi="Palatino Linotype" w:cs="Palatino Linotype"/>
          <w:color w:val="000000"/>
        </w:rPr>
      </w:pPr>
    </w:p>
    <w:p w:rsidR="00037D3B" w:rsidRPr="00D85131" w:rsidRDefault="00037D3B" w:rsidP="00C873E8">
      <w:pPr>
        <w:shd w:val="clear" w:color="auto" w:fill="FFFFFF"/>
        <w:spacing w:line="360" w:lineRule="auto"/>
        <w:ind w:right="-787"/>
        <w:jc w:val="both"/>
        <w:rPr>
          <w:rFonts w:ascii="Palatino Linotype" w:eastAsia="Palatino Linotype" w:hAnsi="Palatino Linotype" w:cs="Palatino Linotype"/>
          <w:color w:val="000000"/>
        </w:rPr>
      </w:pPr>
    </w:p>
    <w:p w:rsidR="00C873E8" w:rsidRPr="00122CB3" w:rsidRDefault="00122CB3" w:rsidP="00122CB3">
      <w:pPr>
        <w:spacing w:line="360" w:lineRule="auto"/>
        <w:ind w:right="-660"/>
        <w:jc w:val="both"/>
        <w:rPr>
          <w:rFonts w:ascii="Palatino Linotype" w:eastAsia="Palatino Linotype" w:hAnsi="Palatino Linotype" w:cs="Palatino Linotype"/>
        </w:rPr>
      </w:pPr>
      <w:r w:rsidRPr="00D8513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bookmarkStart w:id="13" w:name="_GoBack"/>
      <w:bookmarkEnd w:id="13"/>
    </w:p>
    <w:p w:rsidR="006476B8" w:rsidRDefault="006476B8"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Default="00122CB3" w:rsidP="00122CB3">
      <w:pPr>
        <w:tabs>
          <w:tab w:val="left" w:pos="3374"/>
        </w:tabs>
        <w:spacing w:line="360" w:lineRule="auto"/>
        <w:ind w:right="-787"/>
        <w:rPr>
          <w:rFonts w:ascii="Palatino Linotype" w:eastAsia="Palatino Linotype" w:hAnsi="Palatino Linotype" w:cs="Palatino Linotype"/>
        </w:rPr>
      </w:pPr>
    </w:p>
    <w:p w:rsidR="00122CB3" w:rsidRPr="00122CB3" w:rsidRDefault="00122CB3" w:rsidP="00122CB3">
      <w:pPr>
        <w:tabs>
          <w:tab w:val="left" w:pos="3374"/>
        </w:tabs>
        <w:spacing w:line="360" w:lineRule="auto"/>
        <w:ind w:right="-787"/>
        <w:rPr>
          <w:rFonts w:ascii="Palatino Linotype" w:eastAsia="Palatino Linotype" w:hAnsi="Palatino Linotype" w:cs="Palatino Linotype"/>
        </w:rPr>
      </w:pPr>
    </w:p>
    <w:sectPr w:rsidR="00122CB3" w:rsidRPr="00122CB3">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64A" w:rsidRDefault="00ED564A">
      <w:r>
        <w:separator/>
      </w:r>
    </w:p>
  </w:endnote>
  <w:endnote w:type="continuationSeparator" w:id="0">
    <w:p w:rsidR="00ED564A" w:rsidRDefault="00ED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FBE" w:rsidRDefault="00D72FB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85131">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85131">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D72FBE" w:rsidRDefault="00D72FB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FBE" w:rsidRDefault="00D72FB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8513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85131">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D72FBE" w:rsidRDefault="00D72FB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64A" w:rsidRDefault="00ED564A">
      <w:r>
        <w:separator/>
      </w:r>
    </w:p>
  </w:footnote>
  <w:footnote w:type="continuationSeparator" w:id="0">
    <w:p w:rsidR="00ED564A" w:rsidRDefault="00ED5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FBE" w:rsidRDefault="00ED564A">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FBE" w:rsidRDefault="00D72FBE">
    <w:pPr>
      <w:widowControl w:val="0"/>
      <w:pBdr>
        <w:top w:val="nil"/>
        <w:left w:val="nil"/>
        <w:bottom w:val="nil"/>
        <w:right w:val="nil"/>
        <w:between w:val="nil"/>
      </w:pBdr>
      <w:spacing w:line="276" w:lineRule="auto"/>
      <w:rPr>
        <w:color w:val="000000"/>
      </w:rPr>
    </w:pPr>
  </w:p>
  <w:tbl>
    <w:tblPr>
      <w:tblStyle w:val="ab"/>
      <w:tblW w:w="7890" w:type="dxa"/>
      <w:tblInd w:w="2552" w:type="dxa"/>
      <w:tblLayout w:type="fixed"/>
      <w:tblLook w:val="0400" w:firstRow="0" w:lastRow="0" w:firstColumn="0" w:lastColumn="0" w:noHBand="0" w:noVBand="1"/>
    </w:tblPr>
    <w:tblGrid>
      <w:gridCol w:w="3744"/>
      <w:gridCol w:w="4146"/>
    </w:tblGrid>
    <w:tr w:rsidR="00D72FBE" w:rsidTr="003B584A">
      <w:trPr>
        <w:trHeight w:val="281"/>
      </w:trPr>
      <w:tc>
        <w:tcPr>
          <w:tcW w:w="3744" w:type="dxa"/>
          <w:vAlign w:val="center"/>
        </w:tcPr>
        <w:p w:rsidR="00D72FBE" w:rsidRDefault="00D72FBE" w:rsidP="00EF6BF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D72FBE" w:rsidRDefault="00D72FBE" w:rsidP="00EF6BF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EF6BFA">
            <w:rPr>
              <w:rFonts w:ascii="Palatino Linotype" w:eastAsia="Palatino Linotype" w:hAnsi="Palatino Linotype" w:cs="Palatino Linotype"/>
              <w:color w:val="000000"/>
              <w:sz w:val="22"/>
              <w:szCs w:val="22"/>
            </w:rPr>
            <w:t>00573/INFOEM/IP/RR/2025</w:t>
          </w:r>
        </w:p>
      </w:tc>
    </w:tr>
    <w:tr w:rsidR="00D72FBE" w:rsidTr="003B584A">
      <w:trPr>
        <w:trHeight w:val="342"/>
      </w:trPr>
      <w:tc>
        <w:tcPr>
          <w:tcW w:w="3744" w:type="dxa"/>
        </w:tcPr>
        <w:p w:rsidR="00D72FBE" w:rsidRDefault="00D72FBE" w:rsidP="00EF6BF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D72FBE" w:rsidRDefault="00D72FBE" w:rsidP="00EF6BF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EF6BFA">
            <w:rPr>
              <w:rFonts w:ascii="Palatino Linotype" w:eastAsia="Palatino Linotype" w:hAnsi="Palatino Linotype" w:cs="Palatino Linotype"/>
              <w:color w:val="000000"/>
              <w:sz w:val="22"/>
              <w:szCs w:val="22"/>
            </w:rPr>
            <w:t>Ayuntamiento de Cocotitlán</w:t>
          </w:r>
        </w:p>
      </w:tc>
    </w:tr>
    <w:tr w:rsidR="00D72FBE" w:rsidTr="003B584A">
      <w:trPr>
        <w:trHeight w:val="342"/>
      </w:trPr>
      <w:tc>
        <w:tcPr>
          <w:tcW w:w="3744" w:type="dxa"/>
          <w:vAlign w:val="center"/>
        </w:tcPr>
        <w:p w:rsidR="00D72FBE" w:rsidRDefault="00D72FBE" w:rsidP="00EF6BF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D72FBE" w:rsidRDefault="00D72FBE" w:rsidP="00EF6BF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D72FBE" w:rsidRDefault="00ED564A">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FBE" w:rsidRDefault="00D72FBE">
    <w:pPr>
      <w:widowControl w:val="0"/>
      <w:pBdr>
        <w:top w:val="nil"/>
        <w:left w:val="nil"/>
        <w:bottom w:val="nil"/>
        <w:right w:val="nil"/>
        <w:between w:val="nil"/>
      </w:pBdr>
      <w:spacing w:line="276" w:lineRule="auto"/>
      <w:rPr>
        <w:color w:val="000000"/>
        <w:sz w:val="14"/>
        <w:szCs w:val="14"/>
      </w:rPr>
    </w:pPr>
  </w:p>
  <w:tbl>
    <w:tblPr>
      <w:tblStyle w:val="ab"/>
      <w:tblW w:w="7890" w:type="dxa"/>
      <w:tblInd w:w="2552" w:type="dxa"/>
      <w:tblLayout w:type="fixed"/>
      <w:tblLook w:val="0400" w:firstRow="0" w:lastRow="0" w:firstColumn="0" w:lastColumn="0" w:noHBand="0" w:noVBand="1"/>
    </w:tblPr>
    <w:tblGrid>
      <w:gridCol w:w="3744"/>
      <w:gridCol w:w="4146"/>
    </w:tblGrid>
    <w:tr w:rsidR="00D72FBE">
      <w:trPr>
        <w:trHeight w:val="281"/>
      </w:trPr>
      <w:tc>
        <w:tcPr>
          <w:tcW w:w="3744" w:type="dxa"/>
          <w:vAlign w:val="center"/>
        </w:tcPr>
        <w:p w:rsidR="00D72FBE" w:rsidRDefault="00D72FB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D72FBE" w:rsidRDefault="00D72FB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EF6BFA">
            <w:rPr>
              <w:rFonts w:ascii="Palatino Linotype" w:eastAsia="Palatino Linotype" w:hAnsi="Palatino Linotype" w:cs="Palatino Linotype"/>
              <w:color w:val="000000"/>
              <w:sz w:val="22"/>
              <w:szCs w:val="22"/>
            </w:rPr>
            <w:t>00573/INFOEM/IP/RR/2025</w:t>
          </w:r>
        </w:p>
      </w:tc>
    </w:tr>
    <w:tr w:rsidR="00D72FBE">
      <w:trPr>
        <w:trHeight w:val="242"/>
      </w:trPr>
      <w:tc>
        <w:tcPr>
          <w:tcW w:w="3744" w:type="dxa"/>
          <w:vAlign w:val="center"/>
        </w:tcPr>
        <w:p w:rsidR="00D72FBE" w:rsidRDefault="00D72FB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D72FBE" w:rsidRDefault="00D72FBE">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p>
      </w:tc>
    </w:tr>
    <w:tr w:rsidR="00D72FBE">
      <w:trPr>
        <w:trHeight w:val="342"/>
      </w:trPr>
      <w:tc>
        <w:tcPr>
          <w:tcW w:w="3744" w:type="dxa"/>
        </w:tcPr>
        <w:p w:rsidR="00D72FBE" w:rsidRDefault="00D72FB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D72FBE" w:rsidRDefault="00D72FB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EF6BFA">
            <w:rPr>
              <w:rFonts w:ascii="Palatino Linotype" w:eastAsia="Palatino Linotype" w:hAnsi="Palatino Linotype" w:cs="Palatino Linotype"/>
              <w:color w:val="000000"/>
              <w:sz w:val="22"/>
              <w:szCs w:val="22"/>
            </w:rPr>
            <w:t>Ayuntamiento de Cocotitlán</w:t>
          </w:r>
        </w:p>
      </w:tc>
    </w:tr>
    <w:tr w:rsidR="00D72FBE">
      <w:trPr>
        <w:trHeight w:val="342"/>
      </w:trPr>
      <w:tc>
        <w:tcPr>
          <w:tcW w:w="3744" w:type="dxa"/>
          <w:vAlign w:val="center"/>
        </w:tcPr>
        <w:p w:rsidR="00D72FBE" w:rsidRDefault="00D72FB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D72FBE" w:rsidRDefault="00D72FB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D72FBE" w:rsidRDefault="00ED564A">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284E"/>
    <w:multiLevelType w:val="multilevel"/>
    <w:tmpl w:val="CF9405A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566D64"/>
    <w:multiLevelType w:val="multilevel"/>
    <w:tmpl w:val="DDD6F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EE873DF"/>
    <w:multiLevelType w:val="multilevel"/>
    <w:tmpl w:val="08C0E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5C3561"/>
    <w:multiLevelType w:val="multilevel"/>
    <w:tmpl w:val="15D03C5C"/>
    <w:lvl w:ilvl="0">
      <w:start w:val="1"/>
      <w:numFmt w:val="decimal"/>
      <w:lvlText w:val="%1."/>
      <w:lvlJc w:val="left"/>
      <w:pPr>
        <w:ind w:left="2148" w:hanging="360"/>
      </w:pPr>
      <w:rPr>
        <w:b w:val="0"/>
      </w:r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4">
    <w:nsid w:val="23582782"/>
    <w:multiLevelType w:val="multilevel"/>
    <w:tmpl w:val="D3CCD1A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29915970"/>
    <w:multiLevelType w:val="hybridMultilevel"/>
    <w:tmpl w:val="D00C0C12"/>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
    <w:nsid w:val="39FA74ED"/>
    <w:multiLevelType w:val="multilevel"/>
    <w:tmpl w:val="FC66859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nsid w:val="3A7E2E0D"/>
    <w:multiLevelType w:val="multilevel"/>
    <w:tmpl w:val="DB06EEA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8">
    <w:nsid w:val="416B733E"/>
    <w:multiLevelType w:val="multilevel"/>
    <w:tmpl w:val="BB4039B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61DF6177"/>
    <w:multiLevelType w:val="multilevel"/>
    <w:tmpl w:val="C3F8A35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nsid w:val="6B0C79E8"/>
    <w:multiLevelType w:val="multilevel"/>
    <w:tmpl w:val="13A066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131274F"/>
    <w:multiLevelType w:val="multilevel"/>
    <w:tmpl w:val="51C20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719C32E0"/>
    <w:multiLevelType w:val="multilevel"/>
    <w:tmpl w:val="DA92B22C"/>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82C020B"/>
    <w:multiLevelType w:val="multilevel"/>
    <w:tmpl w:val="31528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261E6C"/>
    <w:multiLevelType w:val="multilevel"/>
    <w:tmpl w:val="773A506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5">
    <w:nsid w:val="7D5D3B83"/>
    <w:multiLevelType w:val="multilevel"/>
    <w:tmpl w:val="87CC450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6"/>
  </w:num>
  <w:num w:numId="4">
    <w:abstractNumId w:val="4"/>
  </w:num>
  <w:num w:numId="5">
    <w:abstractNumId w:val="3"/>
  </w:num>
  <w:num w:numId="6">
    <w:abstractNumId w:val="13"/>
  </w:num>
  <w:num w:numId="7">
    <w:abstractNumId w:val="2"/>
  </w:num>
  <w:num w:numId="8">
    <w:abstractNumId w:val="1"/>
  </w:num>
  <w:num w:numId="9">
    <w:abstractNumId w:val="12"/>
  </w:num>
  <w:num w:numId="10">
    <w:abstractNumId w:val="10"/>
  </w:num>
  <w:num w:numId="11">
    <w:abstractNumId w:val="7"/>
  </w:num>
  <w:num w:numId="12">
    <w:abstractNumId w:val="8"/>
  </w:num>
  <w:num w:numId="13">
    <w:abstractNumId w:val="14"/>
  </w:num>
  <w:num w:numId="14">
    <w:abstractNumId w:val="5"/>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B8"/>
    <w:rsid w:val="00006546"/>
    <w:rsid w:val="00021E50"/>
    <w:rsid w:val="00037D3B"/>
    <w:rsid w:val="00122CB3"/>
    <w:rsid w:val="00136A5F"/>
    <w:rsid w:val="00147404"/>
    <w:rsid w:val="0018077F"/>
    <w:rsid w:val="002A12BD"/>
    <w:rsid w:val="002A1491"/>
    <w:rsid w:val="002B0B5E"/>
    <w:rsid w:val="002D425B"/>
    <w:rsid w:val="003411C1"/>
    <w:rsid w:val="0037549F"/>
    <w:rsid w:val="003B584A"/>
    <w:rsid w:val="003F3254"/>
    <w:rsid w:val="004E3919"/>
    <w:rsid w:val="004E6C7F"/>
    <w:rsid w:val="00605804"/>
    <w:rsid w:val="006476B8"/>
    <w:rsid w:val="006866B3"/>
    <w:rsid w:val="006A2E37"/>
    <w:rsid w:val="006C1E33"/>
    <w:rsid w:val="00727A30"/>
    <w:rsid w:val="00786A4D"/>
    <w:rsid w:val="007B5B80"/>
    <w:rsid w:val="007F700C"/>
    <w:rsid w:val="00831FC9"/>
    <w:rsid w:val="008A74B9"/>
    <w:rsid w:val="009053E3"/>
    <w:rsid w:val="009829E8"/>
    <w:rsid w:val="009D5B59"/>
    <w:rsid w:val="009E3D94"/>
    <w:rsid w:val="009E5F77"/>
    <w:rsid w:val="00A83DEE"/>
    <w:rsid w:val="00AE11B5"/>
    <w:rsid w:val="00B1234F"/>
    <w:rsid w:val="00B27ADD"/>
    <w:rsid w:val="00B97EFA"/>
    <w:rsid w:val="00BA5880"/>
    <w:rsid w:val="00BD5F4A"/>
    <w:rsid w:val="00BF3437"/>
    <w:rsid w:val="00BF6D22"/>
    <w:rsid w:val="00C84022"/>
    <w:rsid w:val="00C873E8"/>
    <w:rsid w:val="00D72FBE"/>
    <w:rsid w:val="00D85131"/>
    <w:rsid w:val="00DC1702"/>
    <w:rsid w:val="00E40CA1"/>
    <w:rsid w:val="00E4113A"/>
    <w:rsid w:val="00E62F92"/>
    <w:rsid w:val="00EB3D96"/>
    <w:rsid w:val="00ED564A"/>
    <w:rsid w:val="00EE7BF0"/>
    <w:rsid w:val="00EF6BFA"/>
    <w:rsid w:val="00F24EA3"/>
    <w:rsid w:val="00FA49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4C47630-E19E-4FA5-B52B-3B1877D3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7F"/>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08" w:type="dxa"/>
        <w:bottom w:w="0" w:type="dxa"/>
        <w:right w:w="108" w:type="dxa"/>
      </w:tblCellMar>
    </w:tblPr>
  </w:style>
  <w:style w:type="table" w:customStyle="1" w:styleId="a0">
    <w:basedOn w:val="TableNormal2"/>
    <w:tblPr>
      <w:tblStyleRowBandSize w:val="1"/>
      <w:tblStyleColBandSize w:val="1"/>
      <w:tblCellMar>
        <w:top w:w="0" w:type="dxa"/>
        <w:left w:w="70" w:type="dxa"/>
        <w:bottom w:w="0" w:type="dxa"/>
        <w:right w:w="70" w:type="dxa"/>
      </w:tblCellMar>
    </w:tblPr>
  </w:style>
  <w:style w:type="table" w:customStyle="1" w:styleId="a1">
    <w:basedOn w:val="TableNormal2"/>
    <w:tblPr>
      <w:tblStyleRowBandSize w:val="1"/>
      <w:tblStyleColBandSize w:val="1"/>
      <w:tblCellMar>
        <w:top w:w="0" w:type="dxa"/>
        <w:left w:w="70" w:type="dxa"/>
        <w:bottom w:w="0" w:type="dxa"/>
        <w:right w:w="70" w:type="dxa"/>
      </w:tblCellMar>
    </w:tblPr>
  </w:style>
  <w:style w:type="table" w:customStyle="1" w:styleId="a2">
    <w:basedOn w:val="TableNormal2"/>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2"/>
    <w:tblPr>
      <w:tblStyleRowBandSize w:val="1"/>
      <w:tblStyleColBandSize w:val="1"/>
      <w:tblCellMar>
        <w:top w:w="0" w:type="dxa"/>
        <w:left w:w="70" w:type="dxa"/>
        <w:bottom w:w="0" w:type="dxa"/>
        <w:right w:w="70" w:type="dxa"/>
      </w:tblCellMar>
    </w:tblPr>
  </w:style>
  <w:style w:type="table" w:customStyle="1" w:styleId="a4">
    <w:basedOn w:val="TableNormal2"/>
    <w:tblPr>
      <w:tblStyleRowBandSize w:val="1"/>
      <w:tblStyleColBandSize w:val="1"/>
      <w:tblCellMar>
        <w:top w:w="0" w:type="dxa"/>
        <w:left w:w="70" w:type="dxa"/>
        <w:bottom w:w="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unhideWhenUsed/>
    <w:rsid w:val="007F0536"/>
    <w:rPr>
      <w:rFonts w:ascii="Times New Roman" w:hAnsi="Times New Roman" w:cs="Times New Roman"/>
    </w:rPr>
  </w:style>
  <w:style w:type="table" w:customStyle="1" w:styleId="a5">
    <w:basedOn w:val="TableNormal1"/>
    <w:tblPr>
      <w:tblStyleRowBandSize w:val="1"/>
      <w:tblStyleColBandSize w:val="1"/>
      <w:tblCellMar>
        <w:top w:w="0" w:type="dxa"/>
        <w:left w:w="115" w:type="dxa"/>
        <w:bottom w:w="0" w:type="dxa"/>
        <w:right w:w="115" w:type="dxa"/>
      </w:tblCellMar>
    </w:tblPr>
  </w:style>
  <w:style w:type="table" w:customStyle="1" w:styleId="a6">
    <w:basedOn w:val="TableNormal1"/>
    <w:tblPr>
      <w:tblStyleRowBandSize w:val="1"/>
      <w:tblStyleColBandSize w:val="1"/>
      <w:tblCellMar>
        <w:top w:w="0" w:type="dxa"/>
        <w:left w:w="70" w:type="dxa"/>
        <w:bottom w:w="0" w:type="dxa"/>
        <w:right w:w="70" w:type="dxa"/>
      </w:tblCellMar>
    </w:tblPr>
  </w:style>
  <w:style w:type="table" w:customStyle="1" w:styleId="a7">
    <w:basedOn w:val="TableNormal1"/>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70" w:type="dxa"/>
        <w:bottom w:w="0" w:type="dxa"/>
        <w:right w:w="70" w:type="dxa"/>
      </w:tblCellMar>
    </w:tblPr>
  </w:style>
  <w:style w:type="table" w:customStyle="1" w:styleId="ab">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18192">
      <w:bodyDiv w:val="1"/>
      <w:marLeft w:val="0"/>
      <w:marRight w:val="0"/>
      <w:marTop w:val="0"/>
      <w:marBottom w:val="0"/>
      <w:divBdr>
        <w:top w:val="none" w:sz="0" w:space="0" w:color="auto"/>
        <w:left w:val="none" w:sz="0" w:space="0" w:color="auto"/>
        <w:bottom w:val="none" w:sz="0" w:space="0" w:color="auto"/>
        <w:right w:val="none" w:sz="0" w:space="0" w:color="auto"/>
      </w:divBdr>
    </w:div>
    <w:div w:id="629240481">
      <w:bodyDiv w:val="1"/>
      <w:marLeft w:val="0"/>
      <w:marRight w:val="0"/>
      <w:marTop w:val="0"/>
      <w:marBottom w:val="0"/>
      <w:divBdr>
        <w:top w:val="none" w:sz="0" w:space="0" w:color="auto"/>
        <w:left w:val="none" w:sz="0" w:space="0" w:color="auto"/>
        <w:bottom w:val="none" w:sz="0" w:space="0" w:color="auto"/>
        <w:right w:val="none" w:sz="0" w:space="0" w:color="auto"/>
      </w:divBdr>
      <w:divsChild>
        <w:div w:id="1749570367">
          <w:marLeft w:val="0"/>
          <w:marRight w:val="0"/>
          <w:marTop w:val="0"/>
          <w:marBottom w:val="0"/>
          <w:divBdr>
            <w:top w:val="none" w:sz="0" w:space="0" w:color="auto"/>
            <w:left w:val="none" w:sz="0" w:space="0" w:color="auto"/>
            <w:bottom w:val="none" w:sz="0" w:space="0" w:color="auto"/>
            <w:right w:val="none" w:sz="0" w:space="0" w:color="auto"/>
          </w:divBdr>
        </w:div>
      </w:divsChild>
    </w:div>
    <w:div w:id="1201283259">
      <w:bodyDiv w:val="1"/>
      <w:marLeft w:val="0"/>
      <w:marRight w:val="0"/>
      <w:marTop w:val="0"/>
      <w:marBottom w:val="0"/>
      <w:divBdr>
        <w:top w:val="none" w:sz="0" w:space="0" w:color="auto"/>
        <w:left w:val="none" w:sz="0" w:space="0" w:color="auto"/>
        <w:bottom w:val="none" w:sz="0" w:space="0" w:color="auto"/>
        <w:right w:val="none" w:sz="0" w:space="0" w:color="auto"/>
      </w:divBdr>
    </w:div>
    <w:div w:id="1220550831">
      <w:bodyDiv w:val="1"/>
      <w:marLeft w:val="0"/>
      <w:marRight w:val="0"/>
      <w:marTop w:val="0"/>
      <w:marBottom w:val="0"/>
      <w:divBdr>
        <w:top w:val="none" w:sz="0" w:space="0" w:color="auto"/>
        <w:left w:val="none" w:sz="0" w:space="0" w:color="auto"/>
        <w:bottom w:val="none" w:sz="0" w:space="0" w:color="auto"/>
        <w:right w:val="none" w:sz="0" w:space="0" w:color="auto"/>
      </w:divBdr>
      <w:divsChild>
        <w:div w:id="146172321">
          <w:marLeft w:val="0"/>
          <w:marRight w:val="0"/>
          <w:marTop w:val="0"/>
          <w:marBottom w:val="0"/>
          <w:divBdr>
            <w:top w:val="none" w:sz="0" w:space="0" w:color="auto"/>
            <w:left w:val="none" w:sz="0" w:space="0" w:color="auto"/>
            <w:bottom w:val="none" w:sz="0" w:space="0" w:color="auto"/>
            <w:right w:val="none" w:sz="0" w:space="0" w:color="auto"/>
          </w:divBdr>
        </w:div>
      </w:divsChild>
    </w:div>
    <w:div w:id="1724939473">
      <w:bodyDiv w:val="1"/>
      <w:marLeft w:val="0"/>
      <w:marRight w:val="0"/>
      <w:marTop w:val="0"/>
      <w:marBottom w:val="0"/>
      <w:divBdr>
        <w:top w:val="none" w:sz="0" w:space="0" w:color="auto"/>
        <w:left w:val="none" w:sz="0" w:space="0" w:color="auto"/>
        <w:bottom w:val="none" w:sz="0" w:space="0" w:color="auto"/>
        <w:right w:val="none" w:sz="0" w:space="0" w:color="auto"/>
      </w:divBdr>
    </w:div>
    <w:div w:id="2035381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otX/hMHyjSQ9+LD46K+ayWJVA==">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BD4328-6A6E-4EF2-8411-51AB792E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22</Pages>
  <Words>4659</Words>
  <Characters>25629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INFOEM416</cp:lastModifiedBy>
  <cp:revision>35</cp:revision>
  <cp:lastPrinted>2025-03-27T16:17:00Z</cp:lastPrinted>
  <dcterms:created xsi:type="dcterms:W3CDTF">2025-03-20T18:30:00Z</dcterms:created>
  <dcterms:modified xsi:type="dcterms:W3CDTF">2025-03-27T16:17:00Z</dcterms:modified>
</cp:coreProperties>
</file>