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657F" w14:textId="5FE1F8A0"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36599" w:rsidRPr="00CB2C73">
        <w:rPr>
          <w:rFonts w:ascii="Palatino Linotype" w:eastAsia="Palatino Linotype" w:hAnsi="Palatino Linotype" w:cs="Palatino Linotype"/>
        </w:rPr>
        <w:t xml:space="preserve">veintisiete de agosto </w:t>
      </w:r>
      <w:r w:rsidRPr="00CB2C73">
        <w:rPr>
          <w:rFonts w:ascii="Palatino Linotype" w:eastAsia="Palatino Linotype" w:hAnsi="Palatino Linotype" w:cs="Palatino Linotype"/>
        </w:rPr>
        <w:t xml:space="preserve">de dos mil veinticinco. </w:t>
      </w:r>
    </w:p>
    <w:p w14:paraId="56248A95"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52E560FA" w14:textId="76D7C959"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Visto el expediente relativo al recurso de revisión </w:t>
      </w:r>
      <w:r w:rsidR="00B36599" w:rsidRPr="00CB2C73">
        <w:rPr>
          <w:rFonts w:ascii="Palatino Linotype" w:eastAsia="Palatino Linotype" w:hAnsi="Palatino Linotype" w:cs="Palatino Linotype"/>
          <w:b/>
        </w:rPr>
        <w:t>05304</w:t>
      </w:r>
      <w:r w:rsidRPr="00CB2C73">
        <w:rPr>
          <w:rFonts w:ascii="Palatino Linotype" w:eastAsia="Palatino Linotype" w:hAnsi="Palatino Linotype" w:cs="Palatino Linotype"/>
          <w:b/>
        </w:rPr>
        <w:t>/INFOEM/IP/RR/2025</w:t>
      </w:r>
      <w:r w:rsidRPr="00CB2C73">
        <w:rPr>
          <w:rFonts w:ascii="Palatino Linotype" w:eastAsia="Palatino Linotype" w:hAnsi="Palatino Linotype" w:cs="Palatino Linotype"/>
        </w:rPr>
        <w:t xml:space="preserve">, interpuesto por </w:t>
      </w:r>
      <w:r w:rsidR="00B36599" w:rsidRPr="00CB2C73">
        <w:rPr>
          <w:rFonts w:ascii="Palatino Linotype" w:eastAsia="Palatino Linotype" w:hAnsi="Palatino Linotype" w:cs="Palatino Linotype"/>
          <w:b/>
        </w:rPr>
        <w:t>una persona usuaria del Sistema de Acceso a la Información Mexiquense</w:t>
      </w:r>
      <w:r w:rsidRPr="00CB2C73">
        <w:rPr>
          <w:rFonts w:ascii="Palatino Linotype" w:eastAsia="Palatino Linotype" w:hAnsi="Palatino Linotype" w:cs="Palatino Linotype"/>
        </w:rPr>
        <w:t xml:space="preserve"> al cual en lo sucesivo se le denominará la parte </w:t>
      </w:r>
      <w:r w:rsidRPr="00CB2C73">
        <w:rPr>
          <w:rFonts w:ascii="Palatino Linotype" w:eastAsia="Palatino Linotype" w:hAnsi="Palatino Linotype" w:cs="Palatino Linotype"/>
          <w:b/>
        </w:rPr>
        <w:t>RECURRENTE</w:t>
      </w:r>
      <w:r w:rsidRPr="00CB2C73">
        <w:rPr>
          <w:rFonts w:ascii="Palatino Linotype" w:eastAsia="Palatino Linotype" w:hAnsi="Palatino Linotype" w:cs="Palatino Linotype"/>
        </w:rPr>
        <w:t xml:space="preserve">, en contra la respuesta a su solicitud de información identificada con número de folio </w:t>
      </w:r>
      <w:r w:rsidR="002D7D8A" w:rsidRPr="00CB2C73">
        <w:rPr>
          <w:rFonts w:ascii="Palatino Linotype" w:eastAsia="Palatino Linotype" w:hAnsi="Palatino Linotype" w:cs="Palatino Linotype"/>
          <w:b/>
        </w:rPr>
        <w:t>01424</w:t>
      </w:r>
      <w:r w:rsidRPr="00CB2C73">
        <w:rPr>
          <w:rFonts w:ascii="Palatino Linotype" w:eastAsia="Palatino Linotype" w:hAnsi="Palatino Linotype" w:cs="Palatino Linotype"/>
          <w:b/>
        </w:rPr>
        <w:t>/</w:t>
      </w:r>
      <w:r w:rsidR="002D7D8A" w:rsidRPr="00CB2C73">
        <w:rPr>
          <w:rFonts w:ascii="Palatino Linotype" w:eastAsia="Palatino Linotype" w:hAnsi="Palatino Linotype" w:cs="Palatino Linotype"/>
          <w:b/>
        </w:rPr>
        <w:t>TOLUCA</w:t>
      </w:r>
      <w:r w:rsidRPr="00CB2C73">
        <w:rPr>
          <w:rFonts w:ascii="Palatino Linotype" w:eastAsia="Palatino Linotype" w:hAnsi="Palatino Linotype" w:cs="Palatino Linotype"/>
          <w:b/>
        </w:rPr>
        <w:t>/IP/2025</w:t>
      </w:r>
      <w:r w:rsidRPr="00CB2C73">
        <w:rPr>
          <w:rFonts w:ascii="Palatino Linotype" w:eastAsia="Palatino Linotype" w:hAnsi="Palatino Linotype" w:cs="Palatino Linotype"/>
        </w:rPr>
        <w:t xml:space="preserve"> proporcionada por parte del Ayuntamiento de </w:t>
      </w:r>
      <w:r w:rsidR="002D7D8A" w:rsidRPr="00CB2C73">
        <w:rPr>
          <w:rFonts w:ascii="Palatino Linotype" w:eastAsia="Palatino Linotype" w:hAnsi="Palatino Linotype" w:cs="Palatino Linotype"/>
        </w:rPr>
        <w:t>Toluca</w:t>
      </w:r>
      <w:r w:rsidRPr="00CB2C73">
        <w:rPr>
          <w:rFonts w:ascii="Palatino Linotype" w:eastAsia="Palatino Linotype" w:hAnsi="Palatino Linotype" w:cs="Palatino Linotype"/>
        </w:rPr>
        <w:t xml:space="preserve"> en lo sucesivo el </w:t>
      </w:r>
      <w:r w:rsidRPr="00CB2C73">
        <w:rPr>
          <w:rFonts w:ascii="Palatino Linotype" w:eastAsia="Palatino Linotype" w:hAnsi="Palatino Linotype" w:cs="Palatino Linotype"/>
          <w:b/>
        </w:rPr>
        <w:t>SUJETO OBLIGADO</w:t>
      </w:r>
      <w:r w:rsidRPr="00CB2C73">
        <w:rPr>
          <w:rFonts w:ascii="Palatino Linotype" w:eastAsia="Palatino Linotype" w:hAnsi="Palatino Linotype" w:cs="Palatino Linotype"/>
        </w:rPr>
        <w:t>; se procede a dictar la presente resolución, con base en los siguientes:</w:t>
      </w:r>
    </w:p>
    <w:p w14:paraId="44C63169"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026253C7" w14:textId="77777777" w:rsidR="00D2631D" w:rsidRPr="00CB2C73" w:rsidRDefault="00032911" w:rsidP="000D447D">
      <w:pPr>
        <w:spacing w:after="0" w:line="360" w:lineRule="auto"/>
        <w:ind w:right="49"/>
        <w:jc w:val="center"/>
        <w:rPr>
          <w:rFonts w:ascii="Palatino Linotype" w:eastAsia="Palatino Linotype" w:hAnsi="Palatino Linotype" w:cs="Palatino Linotype"/>
          <w:b/>
        </w:rPr>
      </w:pPr>
      <w:r w:rsidRPr="00CB2C73">
        <w:rPr>
          <w:rFonts w:ascii="Palatino Linotype" w:eastAsia="Palatino Linotype" w:hAnsi="Palatino Linotype" w:cs="Palatino Linotype"/>
          <w:b/>
        </w:rPr>
        <w:t>I.</w:t>
      </w:r>
      <w:r w:rsidRPr="00CB2C73">
        <w:rPr>
          <w:rFonts w:ascii="Palatino Linotype" w:eastAsia="Palatino Linotype" w:hAnsi="Palatino Linotype" w:cs="Palatino Linotype"/>
          <w:b/>
        </w:rPr>
        <w:tab/>
        <w:t>A N T E C E D E N T E S</w:t>
      </w:r>
    </w:p>
    <w:p w14:paraId="1134A97A"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2C5658EF" w14:textId="0CF64063" w:rsidR="00D2631D" w:rsidRPr="00CB2C73" w:rsidRDefault="00032911" w:rsidP="005D12B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C73">
        <w:rPr>
          <w:rFonts w:ascii="Palatino Linotype" w:eastAsia="Palatino Linotype" w:hAnsi="Palatino Linotype" w:cs="Palatino Linotype"/>
          <w:b/>
        </w:rPr>
        <w:t>Solicitud de acceso a la información.</w:t>
      </w:r>
      <w:r w:rsidRPr="00CB2C73">
        <w:rPr>
          <w:rFonts w:ascii="Palatino Linotype" w:eastAsia="Palatino Linotype" w:hAnsi="Palatino Linotype" w:cs="Palatino Linotype"/>
        </w:rPr>
        <w:t xml:space="preserve"> Con fecha </w:t>
      </w:r>
      <w:r w:rsidR="002D7D8A" w:rsidRPr="00CB2C73">
        <w:rPr>
          <w:rFonts w:ascii="Palatino Linotype" w:eastAsia="Palatino Linotype" w:hAnsi="Palatino Linotype" w:cs="Palatino Linotype"/>
          <w:b/>
        </w:rPr>
        <w:t>siete de marzo</w:t>
      </w:r>
      <w:r w:rsidRPr="00CB2C73">
        <w:rPr>
          <w:rFonts w:ascii="Palatino Linotype" w:eastAsia="Palatino Linotype" w:hAnsi="Palatino Linotype" w:cs="Palatino Linotype"/>
          <w:b/>
        </w:rPr>
        <w:t xml:space="preserve"> de dos mil veinticinco</w:t>
      </w:r>
      <w:r w:rsidRPr="00CB2C73">
        <w:rPr>
          <w:rFonts w:ascii="Palatino Linotype" w:eastAsia="Palatino Linotype" w:hAnsi="Palatino Linotype" w:cs="Palatino Linotype"/>
        </w:rPr>
        <w:t xml:space="preserve">, la parte </w:t>
      </w:r>
      <w:r w:rsidRPr="00CB2C73">
        <w:rPr>
          <w:rFonts w:ascii="Palatino Linotype" w:eastAsia="Palatino Linotype" w:hAnsi="Palatino Linotype" w:cs="Palatino Linotype"/>
          <w:b/>
        </w:rPr>
        <w:t>RECURRENTE</w:t>
      </w:r>
      <w:r w:rsidRPr="00CB2C73">
        <w:rPr>
          <w:rFonts w:ascii="Palatino Linotype" w:eastAsia="Palatino Linotype" w:hAnsi="Palatino Linotype" w:cs="Palatino Linotype"/>
        </w:rPr>
        <w:t xml:space="preserve"> formuló solicitud de acceso a información pública al</w:t>
      </w:r>
      <w:r w:rsidRPr="00CB2C73">
        <w:rPr>
          <w:rFonts w:ascii="Palatino Linotype" w:eastAsia="Palatino Linotype" w:hAnsi="Palatino Linotype" w:cs="Palatino Linotype"/>
          <w:b/>
        </w:rPr>
        <w:t xml:space="preserve"> SUJETO OBLIGADO</w:t>
      </w:r>
      <w:r w:rsidRPr="00CB2C73">
        <w:rPr>
          <w:rFonts w:ascii="Palatino Linotype" w:eastAsia="Palatino Linotype" w:hAnsi="Palatino Linotype" w:cs="Palatino Linotype"/>
        </w:rPr>
        <w:t xml:space="preserve"> a través del Sistema de Acceso a la Información Mexiquense, en adelante SAIMEX, en la que requirió lo siguiente: </w:t>
      </w:r>
    </w:p>
    <w:p w14:paraId="079E885E"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67E232D2" w14:textId="0D68B0CB" w:rsidR="00D2631D" w:rsidRPr="00CB2C73" w:rsidRDefault="00032911" w:rsidP="005D12BC">
      <w:pPr>
        <w:spacing w:after="0" w:line="276" w:lineRule="auto"/>
        <w:ind w:left="567" w:right="560"/>
        <w:jc w:val="both"/>
        <w:rPr>
          <w:rFonts w:ascii="Palatino Linotype" w:eastAsia="Palatino Linotype" w:hAnsi="Palatino Linotype" w:cs="Palatino Linotype"/>
          <w:i/>
        </w:rPr>
      </w:pPr>
      <w:bookmarkStart w:id="0" w:name="_heading=h.6vfkzu7tweko" w:colFirst="0" w:colLast="0"/>
      <w:bookmarkEnd w:id="0"/>
      <w:r w:rsidRPr="00CB2C73">
        <w:rPr>
          <w:rFonts w:ascii="Palatino Linotype" w:eastAsia="Palatino Linotype" w:hAnsi="Palatino Linotype" w:cs="Palatino Linotype"/>
          <w:i/>
        </w:rPr>
        <w:t>“</w:t>
      </w:r>
      <w:r w:rsidR="002D7D8A" w:rsidRPr="00CB2C73">
        <w:rPr>
          <w:rFonts w:ascii="Palatino Linotype" w:eastAsia="Palatino Linotype" w:hAnsi="Palatino Linotype" w:cs="Palatino Linotype"/>
          <w:i/>
        </w:rPr>
        <w:t xml:space="preserve">Solicito me proporciones el PLAN DE Contingencia EN MATERIA PARA LA PROTECCION DE DATOS </w:t>
      </w:r>
      <w:proofErr w:type="spellStart"/>
      <w:r w:rsidR="002D7D8A" w:rsidRPr="00CB2C73">
        <w:rPr>
          <w:rFonts w:ascii="Palatino Linotype" w:eastAsia="Palatino Linotype" w:hAnsi="Palatino Linotype" w:cs="Palatino Linotype"/>
          <w:i/>
        </w:rPr>
        <w:t>PERSONALESde</w:t>
      </w:r>
      <w:proofErr w:type="spellEnd"/>
      <w:r w:rsidR="002D7D8A" w:rsidRPr="00CB2C73">
        <w:rPr>
          <w:rFonts w:ascii="Palatino Linotype" w:eastAsia="Palatino Linotype" w:hAnsi="Palatino Linotype" w:cs="Palatino Linotype"/>
          <w:i/>
        </w:rPr>
        <w:t xml:space="preserve"> su municipio</w:t>
      </w:r>
      <w:r w:rsidRPr="00CB2C73">
        <w:rPr>
          <w:rFonts w:ascii="Palatino Linotype" w:eastAsia="Palatino Linotype" w:hAnsi="Palatino Linotype" w:cs="Palatino Linotype"/>
          <w:i/>
        </w:rPr>
        <w:t xml:space="preserve">”. </w:t>
      </w:r>
    </w:p>
    <w:p w14:paraId="6BC496BA" w14:textId="77777777" w:rsidR="00D2631D" w:rsidRPr="00CB2C73" w:rsidRDefault="00D2631D" w:rsidP="005D12BC">
      <w:pPr>
        <w:spacing w:after="0" w:line="276" w:lineRule="auto"/>
        <w:ind w:left="567" w:right="560"/>
        <w:jc w:val="both"/>
        <w:rPr>
          <w:rFonts w:ascii="Palatino Linotype" w:eastAsia="Palatino Linotype" w:hAnsi="Palatino Linotype" w:cs="Palatino Linotype"/>
          <w:i/>
        </w:rPr>
      </w:pPr>
    </w:p>
    <w:p w14:paraId="6FD741BF"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b/>
        </w:rPr>
        <w:t>Modalidad elegida para la entrega de la información:</w:t>
      </w:r>
      <w:r w:rsidRPr="00CB2C73">
        <w:rPr>
          <w:rFonts w:ascii="Palatino Linotype" w:eastAsia="Palatino Linotype" w:hAnsi="Palatino Linotype" w:cs="Palatino Linotype"/>
        </w:rPr>
        <w:t xml:space="preserve"> a través del Sistema de Acceso a la Información Mexiquense (SAIMEX). </w:t>
      </w:r>
    </w:p>
    <w:p w14:paraId="3002370C"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12A350F7" w14:textId="309D130C" w:rsidR="00D2631D" w:rsidRPr="00CB2C73" w:rsidRDefault="00032911" w:rsidP="005D12BC">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CB2C73">
        <w:rPr>
          <w:rFonts w:ascii="Palatino Linotype" w:eastAsia="Palatino Linotype" w:hAnsi="Palatino Linotype" w:cs="Palatino Linotype"/>
          <w:b/>
        </w:rPr>
        <w:t xml:space="preserve">Ampliación de plazo para emitir respuesta. </w:t>
      </w:r>
      <w:r w:rsidRPr="00CB2C73">
        <w:rPr>
          <w:rFonts w:ascii="Palatino Linotype" w:eastAsia="Palatino Linotype" w:hAnsi="Palatino Linotype" w:cs="Palatino Linotype"/>
        </w:rPr>
        <w:t xml:space="preserve">Con fecha </w:t>
      </w:r>
      <w:r w:rsidR="002D7D8A" w:rsidRPr="00CB2C73">
        <w:rPr>
          <w:rFonts w:ascii="Palatino Linotype" w:eastAsia="Palatino Linotype" w:hAnsi="Palatino Linotype" w:cs="Palatino Linotype"/>
          <w:b/>
        </w:rPr>
        <w:t>dos de abril</w:t>
      </w:r>
      <w:r w:rsidRPr="00CB2C73">
        <w:rPr>
          <w:rFonts w:ascii="Palatino Linotype" w:eastAsia="Palatino Linotype" w:hAnsi="Palatino Linotype" w:cs="Palatino Linotype"/>
          <w:b/>
        </w:rPr>
        <w:t xml:space="preserve"> de dos mil veinticinco</w:t>
      </w:r>
      <w:r w:rsidRPr="00CB2C73">
        <w:rPr>
          <w:rFonts w:ascii="Palatino Linotype" w:eastAsia="Palatino Linotype" w:hAnsi="Palatino Linotype" w:cs="Palatino Linotype"/>
        </w:rPr>
        <w:t xml:space="preserve"> el </w:t>
      </w:r>
      <w:r w:rsidRPr="00CB2C73">
        <w:rPr>
          <w:rFonts w:ascii="Palatino Linotype" w:eastAsia="Palatino Linotype" w:hAnsi="Palatino Linotype" w:cs="Palatino Linotype"/>
          <w:b/>
        </w:rPr>
        <w:t xml:space="preserve">SUJETO OBLIGADO </w:t>
      </w:r>
      <w:r w:rsidRPr="00CB2C73">
        <w:rPr>
          <w:rFonts w:ascii="Palatino Linotype" w:eastAsia="Palatino Linotype" w:hAnsi="Palatino Linotype" w:cs="Palatino Linotype"/>
        </w:rPr>
        <w:t>solicitó la ampliación</w:t>
      </w:r>
      <w:r w:rsidR="002D7D8A" w:rsidRPr="00CB2C73">
        <w:rPr>
          <w:rFonts w:ascii="Palatino Linotype" w:eastAsia="Palatino Linotype" w:hAnsi="Palatino Linotype" w:cs="Palatino Linotype"/>
        </w:rPr>
        <w:t xml:space="preserve"> de plazo para emitir respuesta. </w:t>
      </w:r>
    </w:p>
    <w:p w14:paraId="412AD2D7" w14:textId="77777777" w:rsidR="00D2631D" w:rsidRPr="00CB2C73" w:rsidRDefault="00D2631D" w:rsidP="005D12BC">
      <w:pPr>
        <w:tabs>
          <w:tab w:val="left" w:pos="284"/>
        </w:tabs>
        <w:spacing w:after="0" w:line="360" w:lineRule="auto"/>
        <w:ind w:right="49"/>
        <w:jc w:val="both"/>
        <w:rPr>
          <w:rFonts w:ascii="Palatino Linotype" w:eastAsia="Palatino Linotype" w:hAnsi="Palatino Linotype" w:cs="Palatino Linotype"/>
        </w:rPr>
      </w:pPr>
    </w:p>
    <w:p w14:paraId="4B13068D" w14:textId="1A2C6F52" w:rsidR="00D2631D" w:rsidRPr="00CB2C73" w:rsidRDefault="00032911" w:rsidP="005D12BC">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i/>
        </w:rPr>
      </w:pPr>
      <w:r w:rsidRPr="00CB2C73">
        <w:rPr>
          <w:rFonts w:ascii="Palatino Linotype" w:eastAsia="Palatino Linotype" w:hAnsi="Palatino Linotype" w:cs="Palatino Linotype"/>
          <w:b/>
        </w:rPr>
        <w:lastRenderedPageBreak/>
        <w:t>Respuesta.</w:t>
      </w:r>
      <w:r w:rsidRPr="00CB2C73">
        <w:rPr>
          <w:rFonts w:ascii="Palatino Linotype" w:eastAsia="Palatino Linotype" w:hAnsi="Palatino Linotype" w:cs="Palatino Linotype"/>
        </w:rPr>
        <w:t xml:space="preserve"> Con fecha </w:t>
      </w:r>
      <w:r w:rsidR="007355AD" w:rsidRPr="00CB2C73">
        <w:rPr>
          <w:rFonts w:ascii="Palatino Linotype" w:eastAsia="Palatino Linotype" w:hAnsi="Palatino Linotype" w:cs="Palatino Linotype"/>
          <w:b/>
        </w:rPr>
        <w:t>nueve de abril</w:t>
      </w:r>
      <w:r w:rsidRPr="00CB2C73">
        <w:rPr>
          <w:rFonts w:ascii="Palatino Linotype" w:eastAsia="Palatino Linotype" w:hAnsi="Palatino Linotype" w:cs="Palatino Linotype"/>
          <w:b/>
        </w:rPr>
        <w:t xml:space="preserve"> de dos mil veinticinco</w:t>
      </w:r>
      <w:r w:rsidRPr="00CB2C73">
        <w:rPr>
          <w:rFonts w:ascii="Palatino Linotype" w:eastAsia="Palatino Linotype" w:hAnsi="Palatino Linotype" w:cs="Palatino Linotype"/>
        </w:rPr>
        <w:t xml:space="preserve"> el </w:t>
      </w:r>
      <w:r w:rsidRPr="00CB2C73">
        <w:rPr>
          <w:rFonts w:ascii="Palatino Linotype" w:eastAsia="Palatino Linotype" w:hAnsi="Palatino Linotype" w:cs="Palatino Linotype"/>
          <w:b/>
        </w:rPr>
        <w:t>SUJETO OBLIGADO</w:t>
      </w:r>
      <w:r w:rsidRPr="00CB2C73">
        <w:rPr>
          <w:rFonts w:ascii="Palatino Linotype" w:eastAsia="Palatino Linotype" w:hAnsi="Palatino Linotype" w:cs="Palatino Linotype"/>
        </w:rPr>
        <w:t xml:space="preserve"> envió su respuesta a la solicitud de acceso a la información a través del SAIMEX, </w:t>
      </w:r>
      <w:r w:rsidR="007355AD" w:rsidRPr="00CB2C73">
        <w:rPr>
          <w:rFonts w:ascii="Palatino Linotype" w:eastAsia="Palatino Linotype" w:hAnsi="Palatino Linotype" w:cs="Palatino Linotype"/>
        </w:rPr>
        <w:t xml:space="preserve">la cual es del conocimiento de las partes. </w:t>
      </w:r>
    </w:p>
    <w:p w14:paraId="6D7CAAF4" w14:textId="77777777" w:rsidR="00D2631D" w:rsidRPr="00CB2C73" w:rsidRDefault="00D2631D" w:rsidP="005D12BC">
      <w:pPr>
        <w:pBdr>
          <w:top w:val="nil"/>
          <w:left w:val="nil"/>
          <w:bottom w:val="nil"/>
          <w:right w:val="nil"/>
          <w:between w:val="nil"/>
        </w:pBdr>
        <w:spacing w:after="0" w:line="360" w:lineRule="auto"/>
        <w:ind w:right="843"/>
        <w:jc w:val="both"/>
        <w:rPr>
          <w:rFonts w:ascii="Palatino Linotype" w:eastAsia="Palatino Linotype" w:hAnsi="Palatino Linotype" w:cs="Palatino Linotype"/>
        </w:rPr>
      </w:pPr>
    </w:p>
    <w:p w14:paraId="62B73B50" w14:textId="68B039F7" w:rsidR="00D2631D" w:rsidRPr="00CB2C73" w:rsidRDefault="00032911" w:rsidP="005D12B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C73">
        <w:rPr>
          <w:rFonts w:ascii="Palatino Linotype" w:eastAsia="Palatino Linotype" w:hAnsi="Palatino Linotype" w:cs="Palatino Linotype"/>
          <w:b/>
        </w:rPr>
        <w:t>Interposición del Recurso de Revisión</w:t>
      </w:r>
      <w:r w:rsidRPr="00CB2C73">
        <w:rPr>
          <w:rFonts w:ascii="Palatino Linotype" w:eastAsia="Palatino Linotype" w:hAnsi="Palatino Linotype" w:cs="Palatino Linotype"/>
        </w:rPr>
        <w:t xml:space="preserve">. La parte Solicitante, derivado de la respuesta del </w:t>
      </w:r>
      <w:r w:rsidRPr="00CB2C73">
        <w:rPr>
          <w:rFonts w:ascii="Palatino Linotype" w:eastAsia="Palatino Linotype" w:hAnsi="Palatino Linotype" w:cs="Palatino Linotype"/>
          <w:b/>
        </w:rPr>
        <w:t>SUJETO OBLIGADO</w:t>
      </w:r>
      <w:r w:rsidRPr="00CB2C73">
        <w:rPr>
          <w:rFonts w:ascii="Palatino Linotype" w:eastAsia="Palatino Linotype" w:hAnsi="Palatino Linotype" w:cs="Palatino Linotype"/>
        </w:rPr>
        <w:t xml:space="preserve"> interpuso Recurso de Revisión a través del </w:t>
      </w:r>
      <w:r w:rsidRPr="00CB2C73">
        <w:rPr>
          <w:rFonts w:ascii="Palatino Linotype" w:eastAsia="Palatino Linotype" w:hAnsi="Palatino Linotype" w:cs="Palatino Linotype"/>
          <w:b/>
        </w:rPr>
        <w:t>SAIMEX</w:t>
      </w:r>
      <w:r w:rsidRPr="00CB2C73">
        <w:rPr>
          <w:rFonts w:ascii="Palatino Linotype" w:eastAsia="Palatino Linotype" w:hAnsi="Palatino Linotype" w:cs="Palatino Linotype"/>
        </w:rPr>
        <w:t xml:space="preserve"> en fecha </w:t>
      </w:r>
      <w:r w:rsidR="007355AD" w:rsidRPr="00CB2C73">
        <w:rPr>
          <w:rFonts w:ascii="Palatino Linotype" w:eastAsia="Palatino Linotype" w:hAnsi="Palatino Linotype" w:cs="Palatino Linotype"/>
          <w:b/>
        </w:rPr>
        <w:t>nueve de mayo</w:t>
      </w:r>
      <w:r w:rsidRPr="00CB2C73">
        <w:rPr>
          <w:rFonts w:ascii="Palatino Linotype" w:eastAsia="Palatino Linotype" w:hAnsi="Palatino Linotype" w:cs="Palatino Linotype"/>
          <w:b/>
        </w:rPr>
        <w:t xml:space="preserve"> de dos mil veinticinco</w:t>
      </w:r>
      <w:r w:rsidRPr="00CB2C73">
        <w:rPr>
          <w:rFonts w:ascii="Palatino Linotype" w:eastAsia="Palatino Linotype" w:hAnsi="Palatino Linotype" w:cs="Palatino Linotype"/>
        </w:rPr>
        <w:t>, a través del cual expresó lo siguiente:</w:t>
      </w:r>
    </w:p>
    <w:p w14:paraId="2A6B62D3" w14:textId="77777777" w:rsidR="00D2631D" w:rsidRPr="00CB2C73" w:rsidRDefault="00D2631D" w:rsidP="005D12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4BB0EAB" w14:textId="4C9E932C" w:rsidR="00D2631D" w:rsidRPr="00CB2C73" w:rsidRDefault="00032911" w:rsidP="005D12BC">
      <w:pPr>
        <w:ind w:left="567"/>
        <w:jc w:val="both"/>
        <w:rPr>
          <w:rFonts w:ascii="Times New Roman" w:eastAsia="Times New Roman" w:hAnsi="Times New Roman" w:cs="Times New Roman"/>
          <w:sz w:val="24"/>
          <w:szCs w:val="24"/>
        </w:rPr>
      </w:pPr>
      <w:r w:rsidRPr="00CB2C73">
        <w:rPr>
          <w:rFonts w:ascii="Palatino Linotype" w:eastAsia="Palatino Linotype" w:hAnsi="Palatino Linotype" w:cs="Palatino Linotype"/>
          <w:b/>
        </w:rPr>
        <w:t xml:space="preserve">Acto impugnado. </w:t>
      </w:r>
      <w:r w:rsidRPr="00CB2C73">
        <w:rPr>
          <w:rFonts w:ascii="Palatino Linotype" w:eastAsia="Palatino Linotype" w:hAnsi="Palatino Linotype" w:cs="Palatino Linotype"/>
        </w:rPr>
        <w:t>“</w:t>
      </w:r>
      <w:r w:rsidR="007355AD" w:rsidRPr="00CB2C73">
        <w:rPr>
          <w:rFonts w:ascii="Palatino Linotype" w:eastAsia="Palatino Linotype" w:hAnsi="Palatino Linotype" w:cs="Palatino Linotype"/>
          <w:i/>
        </w:rPr>
        <w:t>La Clasificación de la información</w:t>
      </w:r>
      <w:r w:rsidRPr="00CB2C73">
        <w:rPr>
          <w:rFonts w:ascii="Palatino Linotype" w:eastAsia="Palatino Linotype" w:hAnsi="Palatino Linotype" w:cs="Palatino Linotype"/>
          <w:i/>
        </w:rPr>
        <w:t xml:space="preserve">”. </w:t>
      </w:r>
    </w:p>
    <w:p w14:paraId="472EA40A" w14:textId="0A875C13" w:rsidR="00D2631D" w:rsidRPr="00CB2C73" w:rsidRDefault="00032911" w:rsidP="005D12BC">
      <w:pPr>
        <w:pBdr>
          <w:top w:val="nil"/>
          <w:left w:val="nil"/>
          <w:bottom w:val="nil"/>
          <w:right w:val="nil"/>
          <w:between w:val="nil"/>
        </w:pBdr>
        <w:tabs>
          <w:tab w:val="left" w:pos="1276"/>
        </w:tabs>
        <w:spacing w:after="0" w:line="276" w:lineRule="auto"/>
        <w:ind w:left="567"/>
        <w:jc w:val="both"/>
        <w:rPr>
          <w:rFonts w:ascii="Palatino Linotype" w:eastAsia="Palatino Linotype" w:hAnsi="Palatino Linotype" w:cs="Palatino Linotype"/>
          <w:b/>
          <w:i/>
        </w:rPr>
      </w:pPr>
      <w:r w:rsidRPr="00CB2C73">
        <w:rPr>
          <w:rFonts w:ascii="Palatino Linotype" w:eastAsia="Palatino Linotype" w:hAnsi="Palatino Linotype" w:cs="Palatino Linotype"/>
          <w:b/>
        </w:rPr>
        <w:t xml:space="preserve">Razones o motivos de la inconformidad: </w:t>
      </w:r>
      <w:r w:rsidRPr="00CB2C73">
        <w:rPr>
          <w:rFonts w:ascii="Palatino Linotype" w:eastAsia="Palatino Linotype" w:hAnsi="Palatino Linotype" w:cs="Palatino Linotype"/>
          <w:i/>
        </w:rPr>
        <w:t>“</w:t>
      </w:r>
      <w:r w:rsidR="007355AD" w:rsidRPr="00CB2C73">
        <w:rPr>
          <w:rFonts w:ascii="Palatino Linotype" w:eastAsia="Palatino Linotype" w:hAnsi="Palatino Linotype" w:cs="Palatino Linotype"/>
          <w:i/>
        </w:rPr>
        <w:t>La Unidad de opacidad clasifica la información se nota que los sigue asesorando Normita Pérez señor presiente ponga a trabajar a sus ineficientes servidores de la unidad de transparencia y que entreguen la información</w:t>
      </w:r>
      <w:r w:rsidRPr="00CB2C73">
        <w:rPr>
          <w:rFonts w:ascii="Palatino Linotype" w:eastAsia="Palatino Linotype" w:hAnsi="Palatino Linotype" w:cs="Palatino Linotype"/>
          <w:i/>
        </w:rPr>
        <w:t xml:space="preserve">”. </w:t>
      </w:r>
    </w:p>
    <w:p w14:paraId="6357FF74"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41EFED97" w14:textId="4F34A271" w:rsidR="00D2631D" w:rsidRPr="00CB2C73" w:rsidRDefault="00032911" w:rsidP="005D12BC">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rPr>
      </w:pPr>
      <w:r w:rsidRPr="00CB2C73">
        <w:rPr>
          <w:rFonts w:ascii="Palatino Linotype" w:eastAsia="Palatino Linotype" w:hAnsi="Palatino Linotype" w:cs="Palatino Linotype"/>
          <w:b/>
        </w:rPr>
        <w:t>Turno.</w:t>
      </w:r>
      <w:r w:rsidRPr="00CB2C73">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7355AD" w:rsidRPr="00CB2C73">
        <w:rPr>
          <w:rFonts w:ascii="Palatino Linotype" w:eastAsia="Palatino Linotype" w:hAnsi="Palatino Linotype" w:cs="Palatino Linotype"/>
          <w:b/>
        </w:rPr>
        <w:t>05304</w:t>
      </w:r>
      <w:r w:rsidRPr="00CB2C73">
        <w:rPr>
          <w:rFonts w:ascii="Palatino Linotype" w:eastAsia="Palatino Linotype" w:hAnsi="Palatino Linotype" w:cs="Palatino Linotype"/>
          <w:b/>
        </w:rPr>
        <w:t>/INFOEM/IP/RR/2025</w:t>
      </w:r>
      <w:r w:rsidRPr="00CB2C73">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7A9BA3" w14:textId="77777777" w:rsidR="00D2631D" w:rsidRPr="00CB2C73" w:rsidRDefault="00D2631D" w:rsidP="005D12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6B197A0" w14:textId="62A9D624" w:rsidR="00D2631D" w:rsidRPr="00CB2C73" w:rsidRDefault="00032911" w:rsidP="005D12B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C73">
        <w:rPr>
          <w:rFonts w:ascii="Palatino Linotype" w:eastAsia="Palatino Linotype" w:hAnsi="Palatino Linotype" w:cs="Palatino Linotype"/>
          <w:b/>
        </w:rPr>
        <w:t>Admisión del recurso de revisión</w:t>
      </w:r>
      <w:r w:rsidRPr="00CB2C73">
        <w:rPr>
          <w:rFonts w:ascii="Palatino Linotype" w:eastAsia="Palatino Linotype" w:hAnsi="Palatino Linotype" w:cs="Palatino Linotype"/>
        </w:rPr>
        <w:t xml:space="preserve">: En fecha </w:t>
      </w:r>
      <w:r w:rsidR="007355AD" w:rsidRPr="00CB2C73">
        <w:rPr>
          <w:rFonts w:ascii="Palatino Linotype" w:eastAsia="Palatino Linotype" w:hAnsi="Palatino Linotype" w:cs="Palatino Linotype"/>
          <w:b/>
        </w:rPr>
        <w:t>catorce de mayo</w:t>
      </w:r>
      <w:r w:rsidRPr="00CB2C73">
        <w:rPr>
          <w:rFonts w:ascii="Palatino Linotype" w:eastAsia="Palatino Linotype" w:hAnsi="Palatino Linotype" w:cs="Palatino Linotype"/>
          <w:b/>
        </w:rPr>
        <w:t xml:space="preserve"> de dos mil veinticinco</w:t>
      </w:r>
      <w:r w:rsidRPr="00CB2C7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612C60B" w14:textId="77777777" w:rsidR="00D2631D" w:rsidRPr="00CB2C73" w:rsidRDefault="00D2631D" w:rsidP="005D12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29F548" w14:textId="1775D392" w:rsidR="00D2631D" w:rsidRPr="00CB2C73" w:rsidRDefault="00032911" w:rsidP="005D12B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C73">
        <w:rPr>
          <w:rFonts w:ascii="Palatino Linotype" w:eastAsia="Palatino Linotype" w:hAnsi="Palatino Linotype" w:cs="Palatino Linotype"/>
          <w:b/>
        </w:rPr>
        <w:lastRenderedPageBreak/>
        <w:t xml:space="preserve">Manifestaciones. </w:t>
      </w:r>
      <w:r w:rsidRPr="00CB2C73">
        <w:rPr>
          <w:rFonts w:ascii="Palatino Linotype" w:eastAsia="Palatino Linotype" w:hAnsi="Palatino Linotype" w:cs="Palatino Linotype"/>
        </w:rPr>
        <w:t xml:space="preserve">En fecha </w:t>
      </w:r>
      <w:r w:rsidRPr="00CB2C73">
        <w:rPr>
          <w:rFonts w:ascii="Palatino Linotype" w:eastAsia="Palatino Linotype" w:hAnsi="Palatino Linotype" w:cs="Palatino Linotype"/>
          <w:b/>
        </w:rPr>
        <w:t>catorce de mayo de dos mil veinticinco</w:t>
      </w:r>
      <w:r w:rsidRPr="00CB2C73">
        <w:rPr>
          <w:rFonts w:ascii="Palatino Linotype" w:eastAsia="Palatino Linotype" w:hAnsi="Palatino Linotype" w:cs="Palatino Linotype"/>
        </w:rPr>
        <w:t>, el Sujeto Obligad</w:t>
      </w:r>
      <w:r w:rsidR="007355AD" w:rsidRPr="00CB2C73">
        <w:rPr>
          <w:rFonts w:ascii="Palatino Linotype" w:eastAsia="Palatino Linotype" w:hAnsi="Palatino Linotype" w:cs="Palatino Linotype"/>
        </w:rPr>
        <w:t>o rindió su informe justificado, mediante el cual ratificó su respuesta inicial, este se hizo del conocimiento del particular el vei</w:t>
      </w:r>
      <w:r w:rsidR="007F50A9" w:rsidRPr="00CB2C73">
        <w:rPr>
          <w:rFonts w:ascii="Palatino Linotype" w:eastAsia="Palatino Linotype" w:hAnsi="Palatino Linotype" w:cs="Palatino Linotype"/>
        </w:rPr>
        <w:t xml:space="preserve">nte de agosto de dos mil veinticinco. </w:t>
      </w:r>
    </w:p>
    <w:p w14:paraId="07C5AABE" w14:textId="77777777" w:rsidR="00D2631D" w:rsidRPr="00CB2C73" w:rsidRDefault="00D2631D" w:rsidP="005D12BC">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4533DD57" w14:textId="77777777" w:rsidR="00D2631D" w:rsidRPr="00CB2C73" w:rsidRDefault="00032911" w:rsidP="005D12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La parte Recurrente fue omisa en realizar manifestaciones. </w:t>
      </w:r>
    </w:p>
    <w:p w14:paraId="71BF33C9" w14:textId="77777777" w:rsidR="00D2631D" w:rsidRPr="00CB2C73" w:rsidRDefault="00D2631D" w:rsidP="005D12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F329669" w14:textId="3389D292" w:rsidR="00D2631D" w:rsidRPr="00CB2C73" w:rsidRDefault="00032911" w:rsidP="005D12B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C73">
        <w:rPr>
          <w:rFonts w:ascii="Palatino Linotype" w:eastAsia="Palatino Linotype" w:hAnsi="Palatino Linotype" w:cs="Palatino Linotype"/>
          <w:b/>
        </w:rPr>
        <w:t xml:space="preserve">Ampliación de plazo. </w:t>
      </w:r>
      <w:r w:rsidRPr="00CB2C73">
        <w:rPr>
          <w:rFonts w:ascii="Palatino Linotype" w:eastAsia="Palatino Linotype" w:hAnsi="Palatino Linotype" w:cs="Palatino Linotype"/>
        </w:rPr>
        <w:t xml:space="preserve">El </w:t>
      </w:r>
      <w:r w:rsidR="007F50A9" w:rsidRPr="00CB2C73">
        <w:rPr>
          <w:rFonts w:ascii="Palatino Linotype" w:eastAsia="Palatino Linotype" w:hAnsi="Palatino Linotype" w:cs="Palatino Linotype"/>
          <w:b/>
        </w:rPr>
        <w:t xml:space="preserve">veinte de agosto </w:t>
      </w:r>
      <w:r w:rsidRPr="00CB2C73">
        <w:rPr>
          <w:rFonts w:ascii="Palatino Linotype" w:eastAsia="Palatino Linotype" w:hAnsi="Palatino Linotype" w:cs="Palatino Linotype"/>
          <w:b/>
        </w:rPr>
        <w:t>de dos mil veinticinco</w:t>
      </w:r>
      <w:r w:rsidRPr="00CB2C73">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2C125AA"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26CEDDB3"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91BE7ED"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 </w:t>
      </w:r>
    </w:p>
    <w:p w14:paraId="6E9D6F5F"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C68E84"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6456334B"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FAC02D"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03AB68D3"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1E11E66"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14580E4B"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129018E"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6D2D61CD" w14:textId="77777777" w:rsidR="00D2631D" w:rsidRPr="00CB2C73" w:rsidRDefault="00032911" w:rsidP="005D12BC">
      <w:pPr>
        <w:tabs>
          <w:tab w:val="left" w:pos="709"/>
        </w:tabs>
        <w:spacing w:after="0" w:line="360" w:lineRule="auto"/>
        <w:ind w:left="567" w:right="560"/>
        <w:jc w:val="both"/>
        <w:rPr>
          <w:rFonts w:ascii="Palatino Linotype" w:eastAsia="Palatino Linotype" w:hAnsi="Palatino Linotype" w:cs="Palatino Linotype"/>
        </w:rPr>
      </w:pPr>
      <w:r w:rsidRPr="00CB2C73">
        <w:rPr>
          <w:rFonts w:ascii="Palatino Linotype" w:eastAsia="Palatino Linotype" w:hAnsi="Palatino Linotype" w:cs="Palatino Linotype"/>
          <w:b/>
        </w:rPr>
        <w:t>a)    Complejidad del asunto:</w:t>
      </w:r>
      <w:r w:rsidRPr="00CB2C73">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10DDEAD" w14:textId="77777777" w:rsidR="00D2631D" w:rsidRPr="00CB2C73" w:rsidRDefault="00032911" w:rsidP="005D12BC">
      <w:pPr>
        <w:tabs>
          <w:tab w:val="left" w:pos="709"/>
        </w:tabs>
        <w:spacing w:after="0" w:line="360" w:lineRule="auto"/>
        <w:ind w:left="567" w:right="560"/>
        <w:jc w:val="both"/>
        <w:rPr>
          <w:rFonts w:ascii="Palatino Linotype" w:eastAsia="Palatino Linotype" w:hAnsi="Palatino Linotype" w:cs="Palatino Linotype"/>
        </w:rPr>
      </w:pPr>
      <w:r w:rsidRPr="00CB2C73">
        <w:rPr>
          <w:rFonts w:ascii="Palatino Linotype" w:eastAsia="Palatino Linotype" w:hAnsi="Palatino Linotype" w:cs="Palatino Linotype"/>
          <w:b/>
        </w:rPr>
        <w:t>b)   Actividad Procesal del interesado</w:t>
      </w:r>
      <w:r w:rsidRPr="00CB2C73">
        <w:rPr>
          <w:rFonts w:ascii="Palatino Linotype" w:eastAsia="Palatino Linotype" w:hAnsi="Palatino Linotype" w:cs="Palatino Linotype"/>
        </w:rPr>
        <w:t>: Acciones u omisiones del interesado.</w:t>
      </w:r>
    </w:p>
    <w:p w14:paraId="0C24473A" w14:textId="77777777" w:rsidR="00D2631D" w:rsidRPr="00CB2C73" w:rsidRDefault="00032911" w:rsidP="005D12BC">
      <w:pPr>
        <w:tabs>
          <w:tab w:val="left" w:pos="851"/>
        </w:tabs>
        <w:spacing w:after="0" w:line="360" w:lineRule="auto"/>
        <w:ind w:left="567" w:right="560"/>
        <w:jc w:val="both"/>
        <w:rPr>
          <w:rFonts w:ascii="Palatino Linotype" w:eastAsia="Palatino Linotype" w:hAnsi="Palatino Linotype" w:cs="Palatino Linotype"/>
        </w:rPr>
      </w:pPr>
      <w:r w:rsidRPr="00CB2C73">
        <w:rPr>
          <w:rFonts w:ascii="Palatino Linotype" w:eastAsia="Palatino Linotype" w:hAnsi="Palatino Linotype" w:cs="Palatino Linotype"/>
          <w:b/>
        </w:rPr>
        <w:t>c)  Conducta de la Autoridad:</w:t>
      </w:r>
      <w:r w:rsidRPr="00CB2C73">
        <w:rPr>
          <w:rFonts w:ascii="Palatino Linotype" w:eastAsia="Palatino Linotype" w:hAnsi="Palatino Linotype" w:cs="Palatino Linotype"/>
        </w:rPr>
        <w:t xml:space="preserve"> Las Acciones u omisiones realizadas en el procedimiento. Así como si la autoridad actuó con la debida diligencia.</w:t>
      </w:r>
    </w:p>
    <w:p w14:paraId="66CD2E45" w14:textId="77777777" w:rsidR="00D2631D" w:rsidRPr="00CB2C73" w:rsidRDefault="00032911" w:rsidP="005D12BC">
      <w:pPr>
        <w:tabs>
          <w:tab w:val="left" w:pos="851"/>
        </w:tabs>
        <w:spacing w:after="0" w:line="360" w:lineRule="auto"/>
        <w:ind w:left="567" w:right="560"/>
        <w:jc w:val="both"/>
        <w:rPr>
          <w:rFonts w:ascii="Palatino Linotype" w:eastAsia="Palatino Linotype" w:hAnsi="Palatino Linotype" w:cs="Palatino Linotype"/>
        </w:rPr>
      </w:pPr>
      <w:r w:rsidRPr="00CB2C73">
        <w:rPr>
          <w:rFonts w:ascii="Palatino Linotype" w:eastAsia="Palatino Linotype" w:hAnsi="Palatino Linotype" w:cs="Palatino Linotype"/>
          <w:b/>
        </w:rPr>
        <w:t>d) La afectación generada en la situación jurídica de la persona involucrada en el proceso:</w:t>
      </w:r>
      <w:r w:rsidRPr="00CB2C73">
        <w:rPr>
          <w:rFonts w:ascii="Palatino Linotype" w:eastAsia="Palatino Linotype" w:hAnsi="Palatino Linotype" w:cs="Palatino Linotype"/>
        </w:rPr>
        <w:t xml:space="preserve"> Violación a sus derechos humanos.</w:t>
      </w:r>
    </w:p>
    <w:p w14:paraId="68750D3B"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6D8971D7"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E1240A"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Argumento que encuentra sustento en la jurisprudencia P./J. 32/92 emitida por el Pleno de la Suprema Corte de Justicia de la Nación de rubro “</w:t>
      </w:r>
      <w:r w:rsidRPr="00CB2C73">
        <w:rPr>
          <w:rFonts w:ascii="Palatino Linotype" w:eastAsia="Palatino Linotype" w:hAnsi="Palatino Linotype" w:cs="Palatino Linotype"/>
          <w:b/>
        </w:rPr>
        <w:t xml:space="preserve">TÉRMINOS PROCESALES. PARA DETERMINAR SI UN FUNCIONARIO JUDICIAL ACTUÓ INDEBIDAMENTE POR NO RESPETARLOS SE DEBE ATENDER AL PRESUPUESTO QUE CONSIDERÓ EL </w:t>
      </w:r>
      <w:r w:rsidRPr="00CB2C73">
        <w:rPr>
          <w:rFonts w:ascii="Palatino Linotype" w:eastAsia="Palatino Linotype" w:hAnsi="Palatino Linotype" w:cs="Palatino Linotype"/>
          <w:b/>
        </w:rPr>
        <w:lastRenderedPageBreak/>
        <w:t>LEGISLADOR AL FIJARLOS Y LAS CARACTERÍSTICAS DEL CASO.”</w:t>
      </w:r>
      <w:r w:rsidRPr="00CB2C73">
        <w:rPr>
          <w:rFonts w:ascii="Palatino Linotype" w:eastAsia="Palatino Linotype" w:hAnsi="Palatino Linotype" w:cs="Palatino Linotype"/>
        </w:rPr>
        <w:t>, visible en la Gaceta del Seminario Judicial de la Federación con el registro digital 205635.</w:t>
      </w:r>
    </w:p>
    <w:p w14:paraId="743072DD"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 </w:t>
      </w:r>
    </w:p>
    <w:p w14:paraId="01B38352"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C19E27"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44DD354E"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552DAD5"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06A213FF" w14:textId="77777777" w:rsidR="00D2631D" w:rsidRPr="00CB2C73" w:rsidRDefault="00032911" w:rsidP="005D12BC">
      <w:pPr>
        <w:spacing w:after="0" w:line="360" w:lineRule="auto"/>
        <w:ind w:left="567" w:right="560"/>
        <w:jc w:val="both"/>
        <w:rPr>
          <w:rFonts w:ascii="Palatino Linotype" w:eastAsia="Palatino Linotype" w:hAnsi="Palatino Linotype" w:cs="Palatino Linotype"/>
        </w:rPr>
      </w:pPr>
      <w:r w:rsidRPr="00CB2C73">
        <w:rPr>
          <w:rFonts w:ascii="Palatino Linotype" w:eastAsia="Palatino Linotype" w:hAnsi="Palatino Linotype" w:cs="Palatino Linotype"/>
          <w:b/>
        </w:rPr>
        <w:t xml:space="preserve"> “PLAZO RAZONABLE PARA RESOLVER. DIMENSIÓN Y EFECTOS DE ESTE CONCEPTO CUANDO SE ADUCE EXCESIVA CARGA DE TRABAJO.”</w:t>
      </w:r>
      <w:r w:rsidRPr="00CB2C73">
        <w:rPr>
          <w:rFonts w:ascii="Palatino Linotype" w:eastAsia="Palatino Linotype" w:hAnsi="Palatino Linotype" w:cs="Palatino Linotype"/>
        </w:rPr>
        <w:t xml:space="preserve"> consultable en el Seminario Judicial de la Federación y su gaceta, con el registro digital 2002351.</w:t>
      </w:r>
    </w:p>
    <w:p w14:paraId="12E5BF6F" w14:textId="77777777" w:rsidR="00D2631D" w:rsidRPr="00CB2C73" w:rsidRDefault="00032911" w:rsidP="005D12BC">
      <w:pPr>
        <w:spacing w:after="0" w:line="360" w:lineRule="auto"/>
        <w:ind w:left="567" w:right="560"/>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 </w:t>
      </w:r>
    </w:p>
    <w:p w14:paraId="12EDB5BB" w14:textId="77777777" w:rsidR="00D2631D" w:rsidRPr="00CB2C73" w:rsidRDefault="00032911" w:rsidP="005D12BC">
      <w:pPr>
        <w:spacing w:after="0" w:line="360" w:lineRule="auto"/>
        <w:ind w:left="567" w:right="560"/>
        <w:jc w:val="both"/>
        <w:rPr>
          <w:rFonts w:ascii="Palatino Linotype" w:eastAsia="Palatino Linotype" w:hAnsi="Palatino Linotype" w:cs="Palatino Linotype"/>
        </w:rPr>
      </w:pPr>
      <w:r w:rsidRPr="00CB2C73">
        <w:rPr>
          <w:rFonts w:ascii="Palatino Linotype" w:eastAsia="Palatino Linotype" w:hAnsi="Palatino Linotype" w:cs="Palatino Linotype"/>
          <w:b/>
        </w:rPr>
        <w:t>“PLAZO RAZONABLE PARA RESOLVER. CONCEPTO Y ELEMENTOS QUE LO INTEGRAN A LA LUZ DEL DERECHO INTERNACIONAL DE LOS DERECHOS HUMANOS.”,</w:t>
      </w:r>
      <w:r w:rsidRPr="00CB2C73">
        <w:rPr>
          <w:rFonts w:ascii="Palatino Linotype" w:eastAsia="Palatino Linotype" w:hAnsi="Palatino Linotype" w:cs="Palatino Linotype"/>
        </w:rPr>
        <w:t xml:space="preserve"> visible en el Seminario Judicial de la Federación y su gaceta, con el registro digital 2002350.</w:t>
      </w:r>
    </w:p>
    <w:p w14:paraId="44618772" w14:textId="77777777" w:rsidR="00D2631D" w:rsidRPr="00CB2C73" w:rsidRDefault="00D2631D" w:rsidP="005D12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C960950" w14:textId="77777777" w:rsidR="00D2631D" w:rsidRPr="00CB2C73" w:rsidRDefault="00032911" w:rsidP="005D12BC">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szCs w:val="18"/>
        </w:rPr>
      </w:pPr>
      <w:r w:rsidRPr="00CB2C73">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r w:rsidRPr="00CB2C73">
        <w:rPr>
          <w:rFonts w:ascii="Palatino Linotype" w:eastAsia="Palatino Linotype" w:hAnsi="Palatino Linotype" w:cs="Palatino Linotype"/>
          <w:sz w:val="18"/>
          <w:szCs w:val="18"/>
        </w:rPr>
        <w:t xml:space="preserve"> </w:t>
      </w:r>
    </w:p>
    <w:p w14:paraId="52F0274A" w14:textId="77777777" w:rsidR="00D2631D" w:rsidRPr="00CB2C73" w:rsidRDefault="00D2631D" w:rsidP="005D12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202B01" w14:textId="2AABDCAB" w:rsidR="00D2631D" w:rsidRPr="00CB2C73" w:rsidRDefault="00032911" w:rsidP="005D12B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C73">
        <w:rPr>
          <w:rFonts w:ascii="Palatino Linotype" w:eastAsia="Palatino Linotype" w:hAnsi="Palatino Linotype" w:cs="Palatino Linotype"/>
          <w:b/>
        </w:rPr>
        <w:t>Cierre de instrucción</w:t>
      </w:r>
      <w:r w:rsidRPr="00CB2C73">
        <w:rPr>
          <w:rFonts w:ascii="Palatino Linotype" w:eastAsia="Palatino Linotype" w:hAnsi="Palatino Linotype" w:cs="Palatino Linotype"/>
        </w:rPr>
        <w:t xml:space="preserve">. En fecha </w:t>
      </w:r>
      <w:r w:rsidR="007F50A9" w:rsidRPr="00CB2C73">
        <w:rPr>
          <w:rFonts w:ascii="Palatino Linotype" w:eastAsia="Palatino Linotype" w:hAnsi="Palatino Linotype" w:cs="Palatino Linotype"/>
          <w:b/>
        </w:rPr>
        <w:t>veintiséis de agosto</w:t>
      </w:r>
      <w:r w:rsidRPr="00CB2C73">
        <w:rPr>
          <w:rFonts w:ascii="Palatino Linotype" w:eastAsia="Palatino Linotype" w:hAnsi="Palatino Linotype" w:cs="Palatino Linotype"/>
          <w:b/>
        </w:rPr>
        <w:t xml:space="preserve"> de dos mil veinticinco</w:t>
      </w:r>
      <w:r w:rsidRPr="00CB2C7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71EBF80" w14:textId="77777777" w:rsidR="00D2631D" w:rsidRPr="00CB2C73" w:rsidRDefault="00D2631D" w:rsidP="005D12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1A547D3"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CC13793"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1B7DFF03" w14:textId="77777777" w:rsidR="00D2631D" w:rsidRPr="00CB2C73" w:rsidRDefault="00032911" w:rsidP="000D447D">
      <w:pPr>
        <w:spacing w:after="0" w:line="360" w:lineRule="auto"/>
        <w:ind w:right="49"/>
        <w:jc w:val="center"/>
        <w:rPr>
          <w:rFonts w:ascii="Palatino Linotype" w:eastAsia="Palatino Linotype" w:hAnsi="Palatino Linotype" w:cs="Palatino Linotype"/>
          <w:b/>
        </w:rPr>
      </w:pPr>
      <w:r w:rsidRPr="00CB2C73">
        <w:rPr>
          <w:rFonts w:ascii="Palatino Linotype" w:eastAsia="Palatino Linotype" w:hAnsi="Palatino Linotype" w:cs="Palatino Linotype"/>
          <w:b/>
        </w:rPr>
        <w:t>II.</w:t>
      </w:r>
      <w:r w:rsidRPr="00CB2C73">
        <w:rPr>
          <w:rFonts w:ascii="Palatino Linotype" w:eastAsia="Palatino Linotype" w:hAnsi="Palatino Linotype" w:cs="Palatino Linotype"/>
          <w:b/>
        </w:rPr>
        <w:tab/>
        <w:t>C O N S I D E R A N D O:</w:t>
      </w:r>
    </w:p>
    <w:p w14:paraId="4BACCC43"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1B3DFC5B" w14:textId="77777777" w:rsidR="00E927D8" w:rsidRPr="00CB2C73" w:rsidRDefault="00E927D8" w:rsidP="00E927D8">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b/>
        </w:rPr>
        <w:t>Primero. Competencia.</w:t>
      </w:r>
      <w:r w:rsidRPr="00CB2C7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B64C0CA"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3344BABC" w14:textId="77777777" w:rsidR="00D2631D" w:rsidRPr="00CB2C73" w:rsidRDefault="00032911"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b/>
        </w:rPr>
        <w:lastRenderedPageBreak/>
        <w:t>Segundo. Oportunidad y Procedibilidad del Recurso de Revisión</w:t>
      </w:r>
      <w:r w:rsidRPr="00CB2C7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EBC7E5C" w14:textId="77777777" w:rsidR="00D2631D" w:rsidRPr="00CB2C73" w:rsidRDefault="00D2631D" w:rsidP="005D12BC">
      <w:pPr>
        <w:spacing w:after="0" w:line="360" w:lineRule="auto"/>
        <w:jc w:val="both"/>
        <w:rPr>
          <w:rFonts w:ascii="Palatino Linotype" w:eastAsia="Palatino Linotype" w:hAnsi="Palatino Linotype" w:cs="Palatino Linotype"/>
        </w:rPr>
      </w:pPr>
    </w:p>
    <w:p w14:paraId="06B88D1F" w14:textId="120DD0ED" w:rsidR="00D2631D" w:rsidRPr="00CB2C73" w:rsidRDefault="00032911" w:rsidP="005D12BC">
      <w:pPr>
        <w:spacing w:after="0" w:line="360" w:lineRule="auto"/>
        <w:jc w:val="both"/>
        <w:rPr>
          <w:rFonts w:ascii="Palatino Linotype" w:eastAsia="Palatino Linotype" w:hAnsi="Palatino Linotype" w:cs="Palatino Linotype"/>
        </w:rPr>
      </w:pPr>
      <w:bookmarkStart w:id="1" w:name="_heading=h.3znysh7" w:colFirst="0" w:colLast="0"/>
      <w:bookmarkEnd w:id="1"/>
      <w:r w:rsidRPr="00CB2C7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B2C73">
        <w:rPr>
          <w:rFonts w:ascii="Palatino Linotype" w:eastAsia="Palatino Linotype" w:hAnsi="Palatino Linotype" w:cs="Palatino Linotype"/>
          <w:b/>
        </w:rPr>
        <w:t>SUJETO OBLIGADO</w:t>
      </w:r>
      <w:r w:rsidRPr="00CB2C73">
        <w:rPr>
          <w:rFonts w:ascii="Palatino Linotype" w:eastAsia="Palatino Linotype" w:hAnsi="Palatino Linotype" w:cs="Palatino Linotype"/>
        </w:rPr>
        <w:t xml:space="preserve"> remitió respuesta el </w:t>
      </w:r>
      <w:r w:rsidR="007F50A9" w:rsidRPr="00CB2C73">
        <w:rPr>
          <w:rFonts w:ascii="Palatino Linotype" w:eastAsia="Palatino Linotype" w:hAnsi="Palatino Linotype" w:cs="Palatino Linotype"/>
          <w:b/>
        </w:rPr>
        <w:t>nueve de abril</w:t>
      </w:r>
      <w:r w:rsidRPr="00CB2C73">
        <w:rPr>
          <w:rFonts w:ascii="Palatino Linotype" w:eastAsia="Palatino Linotype" w:hAnsi="Palatino Linotype" w:cs="Palatino Linotype"/>
          <w:b/>
        </w:rPr>
        <w:t xml:space="preserve"> de dos mil veinticinco</w:t>
      </w:r>
      <w:r w:rsidRPr="00CB2C73">
        <w:rPr>
          <w:rFonts w:ascii="Palatino Linotype" w:eastAsia="Palatino Linotype" w:hAnsi="Palatino Linotype" w:cs="Palatino Linotype"/>
        </w:rPr>
        <w:t>,</w:t>
      </w:r>
      <w:r w:rsidRPr="00CB2C73">
        <w:rPr>
          <w:rFonts w:ascii="Palatino Linotype" w:eastAsia="Palatino Linotype" w:hAnsi="Palatino Linotype" w:cs="Palatino Linotype"/>
          <w:b/>
        </w:rPr>
        <w:t xml:space="preserve"> </w:t>
      </w:r>
      <w:r w:rsidRPr="00CB2C73">
        <w:rPr>
          <w:rFonts w:ascii="Palatino Linotype" w:eastAsia="Palatino Linotype" w:hAnsi="Palatino Linotype" w:cs="Palatino Linotype"/>
        </w:rPr>
        <w:t xml:space="preserve">mientras que el recurso de revisión interpuesto por </w:t>
      </w:r>
      <w:r w:rsidRPr="00CB2C73">
        <w:rPr>
          <w:rFonts w:ascii="Palatino Linotype" w:eastAsia="Palatino Linotype" w:hAnsi="Palatino Linotype" w:cs="Palatino Linotype"/>
          <w:b/>
        </w:rPr>
        <w:t>la parte</w:t>
      </w:r>
      <w:r w:rsidRPr="00CB2C73">
        <w:rPr>
          <w:rFonts w:ascii="Palatino Linotype" w:eastAsia="Palatino Linotype" w:hAnsi="Palatino Linotype" w:cs="Palatino Linotype"/>
        </w:rPr>
        <w:t xml:space="preserve"> </w:t>
      </w:r>
      <w:r w:rsidRPr="00CB2C73">
        <w:rPr>
          <w:rFonts w:ascii="Palatino Linotype" w:eastAsia="Palatino Linotype" w:hAnsi="Palatino Linotype" w:cs="Palatino Linotype"/>
          <w:b/>
        </w:rPr>
        <w:t>RECURRENTE</w:t>
      </w:r>
      <w:r w:rsidRPr="00CB2C73">
        <w:rPr>
          <w:rFonts w:ascii="Palatino Linotype" w:eastAsia="Palatino Linotype" w:hAnsi="Palatino Linotype" w:cs="Palatino Linotype"/>
        </w:rPr>
        <w:t>, se tuvo por presentado el</w:t>
      </w:r>
      <w:r w:rsidRPr="00CB2C73">
        <w:rPr>
          <w:rFonts w:ascii="Palatino Linotype" w:eastAsia="Palatino Linotype" w:hAnsi="Palatino Linotype" w:cs="Palatino Linotype"/>
          <w:b/>
        </w:rPr>
        <w:t xml:space="preserve"> </w:t>
      </w:r>
      <w:r w:rsidR="007F50A9" w:rsidRPr="00CB2C73">
        <w:rPr>
          <w:rFonts w:ascii="Palatino Linotype" w:eastAsia="Palatino Linotype" w:hAnsi="Palatino Linotype" w:cs="Palatino Linotype"/>
          <w:b/>
        </w:rPr>
        <w:t>nueve de mayo de dos mil veinticinco</w:t>
      </w:r>
      <w:r w:rsidR="007F50A9" w:rsidRPr="00CB2C73">
        <w:rPr>
          <w:rFonts w:ascii="Palatino Linotype" w:eastAsia="Palatino Linotype" w:hAnsi="Palatino Linotype" w:cs="Palatino Linotype"/>
        </w:rPr>
        <w:t xml:space="preserve">, esto es al </w:t>
      </w:r>
      <w:r w:rsidR="00321801" w:rsidRPr="00CB2C73">
        <w:rPr>
          <w:rFonts w:ascii="Palatino Linotype" w:eastAsia="Palatino Linotype" w:hAnsi="Palatino Linotype" w:cs="Palatino Linotype"/>
        </w:rPr>
        <w:t xml:space="preserve">décimo quinto día en que se tuvo conocimiento de la respuesta. </w:t>
      </w:r>
    </w:p>
    <w:p w14:paraId="6AF247F8" w14:textId="77777777" w:rsidR="007F50A9" w:rsidRPr="00CB2C73" w:rsidRDefault="007F50A9" w:rsidP="005D12BC">
      <w:pPr>
        <w:spacing w:after="0" w:line="360" w:lineRule="auto"/>
        <w:jc w:val="both"/>
        <w:rPr>
          <w:rFonts w:ascii="Palatino Linotype" w:eastAsia="Palatino Linotype" w:hAnsi="Palatino Linotype" w:cs="Palatino Linotype"/>
        </w:rPr>
      </w:pPr>
    </w:p>
    <w:p w14:paraId="710A8645" w14:textId="77777777" w:rsidR="00D2631D" w:rsidRPr="00CB2C73" w:rsidRDefault="00032911" w:rsidP="005D12BC">
      <w:pPr>
        <w:spacing w:after="0" w:line="360" w:lineRule="auto"/>
        <w:jc w:val="both"/>
        <w:rPr>
          <w:rFonts w:ascii="Palatino Linotype" w:eastAsia="Palatino Linotype" w:hAnsi="Palatino Linotype" w:cs="Palatino Linotype"/>
          <w:b/>
        </w:rPr>
      </w:pPr>
      <w:r w:rsidRPr="00CB2C73">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CB2C73">
        <w:rPr>
          <w:rFonts w:ascii="Palatino Linotype" w:eastAsia="Palatino Linotype" w:hAnsi="Palatino Linotype" w:cs="Palatino Linotype"/>
          <w:b/>
        </w:rPr>
        <w:t>SAIMEX.</w:t>
      </w:r>
    </w:p>
    <w:p w14:paraId="10D0007F" w14:textId="77777777" w:rsidR="00D2631D" w:rsidRPr="00CB2C73" w:rsidRDefault="00D2631D" w:rsidP="005D12BC">
      <w:pPr>
        <w:spacing w:after="0" w:line="360" w:lineRule="auto"/>
        <w:jc w:val="both"/>
        <w:rPr>
          <w:rFonts w:ascii="Palatino Linotype" w:eastAsia="Palatino Linotype" w:hAnsi="Palatino Linotype" w:cs="Palatino Linotype"/>
          <w:b/>
        </w:rPr>
      </w:pPr>
    </w:p>
    <w:p w14:paraId="16AFD398" w14:textId="37FD8F97" w:rsidR="00D2631D" w:rsidRPr="00CB2C73" w:rsidRDefault="00032911"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fracción </w:t>
      </w:r>
      <w:r w:rsidR="00321801" w:rsidRPr="00CB2C73">
        <w:rPr>
          <w:rFonts w:ascii="Palatino Linotype" w:eastAsia="Palatino Linotype" w:hAnsi="Palatino Linotype" w:cs="Palatino Linotype"/>
        </w:rPr>
        <w:t>II</w:t>
      </w:r>
      <w:r w:rsidRPr="00CB2C73">
        <w:rPr>
          <w:rFonts w:ascii="Palatino Linotype" w:eastAsia="Palatino Linotype" w:hAnsi="Palatino Linotype" w:cs="Palatino Linotype"/>
        </w:rPr>
        <w:t xml:space="preserve"> del ordenamiento legal citado, que a la letra dice: </w:t>
      </w:r>
    </w:p>
    <w:p w14:paraId="72551E52" w14:textId="77777777" w:rsidR="00D2631D" w:rsidRPr="00CB2C73" w:rsidRDefault="00D2631D" w:rsidP="005D12BC">
      <w:pPr>
        <w:spacing w:after="0" w:line="360" w:lineRule="auto"/>
        <w:jc w:val="both"/>
        <w:rPr>
          <w:rFonts w:ascii="Palatino Linotype" w:eastAsia="Palatino Linotype" w:hAnsi="Palatino Linotype" w:cs="Palatino Linotype"/>
        </w:rPr>
      </w:pPr>
    </w:p>
    <w:p w14:paraId="46792128" w14:textId="77777777" w:rsidR="00D2631D" w:rsidRPr="00CB2C73" w:rsidRDefault="00032911" w:rsidP="005D12BC">
      <w:pPr>
        <w:spacing w:after="0" w:line="276" w:lineRule="auto"/>
        <w:ind w:left="567" w:right="902"/>
        <w:jc w:val="both"/>
        <w:rPr>
          <w:rFonts w:ascii="Palatino Linotype" w:eastAsia="Palatino Linotype" w:hAnsi="Palatino Linotype" w:cs="Palatino Linotype"/>
          <w:i/>
        </w:rPr>
      </w:pPr>
      <w:r w:rsidRPr="00CB2C73">
        <w:rPr>
          <w:rFonts w:ascii="Palatino Linotype" w:eastAsia="Palatino Linotype" w:hAnsi="Palatino Linotype" w:cs="Palatino Linotype"/>
          <w:i/>
        </w:rPr>
        <w:t>“</w:t>
      </w:r>
      <w:r w:rsidRPr="00CB2C73">
        <w:rPr>
          <w:rFonts w:ascii="Palatino Linotype" w:eastAsia="Palatino Linotype" w:hAnsi="Palatino Linotype" w:cs="Palatino Linotype"/>
          <w:b/>
          <w:i/>
        </w:rPr>
        <w:t>Artículo 179.</w:t>
      </w:r>
      <w:r w:rsidRPr="00CB2C7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FF9CEA1" w14:textId="77777777" w:rsidR="00D2631D" w:rsidRPr="00CB2C73" w:rsidRDefault="00032911" w:rsidP="005D12B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CB2C73">
        <w:rPr>
          <w:rFonts w:ascii="Palatino Linotype" w:eastAsia="Palatino Linotype" w:hAnsi="Palatino Linotype" w:cs="Palatino Linotype"/>
          <w:i/>
        </w:rPr>
        <w:t>…</w:t>
      </w:r>
    </w:p>
    <w:p w14:paraId="32916A3B" w14:textId="0E82D248" w:rsidR="00321801" w:rsidRPr="00CB2C73" w:rsidRDefault="00321801" w:rsidP="005D12B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CB2C73">
        <w:rPr>
          <w:rFonts w:ascii="Palatino Linotype" w:eastAsia="Palatino Linotype" w:hAnsi="Palatino Linotype" w:cs="Palatino Linotype"/>
          <w:i/>
        </w:rPr>
        <w:t>II. La clasificación de la información;</w:t>
      </w:r>
      <w:r w:rsidRPr="00CB2C73">
        <w:rPr>
          <w:rFonts w:ascii="Palatino Linotype" w:eastAsia="Palatino Linotype" w:hAnsi="Palatino Linotype" w:cs="Palatino Linotype"/>
          <w:i/>
        </w:rPr>
        <w:cr/>
      </w:r>
    </w:p>
    <w:p w14:paraId="0FA53646" w14:textId="15637D8D" w:rsidR="00321801" w:rsidRPr="00CB2C73" w:rsidRDefault="00321801"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b/>
        </w:rPr>
        <w:lastRenderedPageBreak/>
        <w:t>Tercero. Materia de Revisión</w:t>
      </w:r>
      <w:r w:rsidRPr="00CB2C73">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II del artículo 179 de la Ley de Transparencia y Acceso a la Información Pública del Estado de México y Municipios.  </w:t>
      </w:r>
    </w:p>
    <w:p w14:paraId="501FD0EE" w14:textId="77777777" w:rsidR="00321801" w:rsidRPr="00CB2C73" w:rsidRDefault="00321801" w:rsidP="005D12BC">
      <w:pPr>
        <w:spacing w:after="0" w:line="360" w:lineRule="auto"/>
        <w:jc w:val="both"/>
        <w:rPr>
          <w:rFonts w:ascii="Palatino Linotype" w:eastAsia="Palatino Linotype" w:hAnsi="Palatino Linotype" w:cs="Palatino Linotype"/>
        </w:rPr>
      </w:pPr>
    </w:p>
    <w:p w14:paraId="6F9F0875" w14:textId="77777777" w:rsidR="00321801" w:rsidRPr="00CB2C73" w:rsidRDefault="00321801"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b/>
        </w:rPr>
        <w:t xml:space="preserve">Cuarto. Estudio de fondo del asunto. </w:t>
      </w:r>
      <w:r w:rsidRPr="00CB2C73">
        <w:rPr>
          <w:rFonts w:ascii="Palatino Linotype" w:eastAsia="Palatino Linotype" w:hAnsi="Palatino Linotype" w:cs="Palatino Linotype"/>
        </w:rPr>
        <w:t>Es conveniente analizar si la respuesta del Sujeto Obligado</w:t>
      </w:r>
      <w:r w:rsidRPr="00CB2C73">
        <w:rPr>
          <w:rFonts w:ascii="Palatino Linotype" w:eastAsia="Palatino Linotype" w:hAnsi="Palatino Linotype" w:cs="Palatino Linotype"/>
          <w:b/>
        </w:rPr>
        <w:t xml:space="preserve"> </w:t>
      </w:r>
      <w:r w:rsidRPr="00CB2C73">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3147414" w14:textId="77777777" w:rsidR="00321801" w:rsidRPr="00CB2C73" w:rsidRDefault="00321801" w:rsidP="005D12BC">
      <w:pPr>
        <w:spacing w:after="0" w:line="360" w:lineRule="auto"/>
        <w:jc w:val="both"/>
        <w:rPr>
          <w:rFonts w:ascii="Palatino Linotype" w:eastAsia="Palatino Linotype" w:hAnsi="Palatino Linotype" w:cs="Palatino Linotype"/>
        </w:rPr>
      </w:pPr>
    </w:p>
    <w:p w14:paraId="02B5FB9C" w14:textId="77777777" w:rsidR="00321801" w:rsidRPr="00CB2C73" w:rsidRDefault="00321801" w:rsidP="005D12BC">
      <w:pPr>
        <w:tabs>
          <w:tab w:val="left" w:pos="851"/>
        </w:tabs>
        <w:spacing w:after="0" w:line="276" w:lineRule="auto"/>
        <w:ind w:left="567" w:right="616"/>
        <w:jc w:val="both"/>
        <w:rPr>
          <w:rFonts w:ascii="Palatino Linotype" w:eastAsia="Palatino Linotype" w:hAnsi="Palatino Linotype" w:cs="Palatino Linotype"/>
          <w:i/>
        </w:rPr>
      </w:pPr>
      <w:r w:rsidRPr="00CB2C73">
        <w:rPr>
          <w:rFonts w:ascii="Palatino Linotype" w:eastAsia="Palatino Linotype" w:hAnsi="Palatino Linotype" w:cs="Palatino Linotype"/>
          <w:i/>
        </w:rPr>
        <w:t>“</w:t>
      </w:r>
      <w:r w:rsidRPr="00CB2C73">
        <w:rPr>
          <w:rFonts w:ascii="Palatino Linotype" w:eastAsia="Palatino Linotype" w:hAnsi="Palatino Linotype" w:cs="Palatino Linotype"/>
          <w:b/>
          <w:i/>
        </w:rPr>
        <w:t>Artículo 4</w:t>
      </w:r>
      <w:r w:rsidRPr="00CB2C7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824912" w14:textId="77777777" w:rsidR="00321801" w:rsidRPr="00CB2C73" w:rsidRDefault="00321801" w:rsidP="005D12BC">
      <w:pPr>
        <w:tabs>
          <w:tab w:val="left" w:pos="851"/>
        </w:tabs>
        <w:spacing w:after="0" w:line="276" w:lineRule="auto"/>
        <w:ind w:left="567" w:right="616"/>
        <w:jc w:val="both"/>
        <w:rPr>
          <w:rFonts w:ascii="Palatino Linotype" w:eastAsia="Palatino Linotype" w:hAnsi="Palatino Linotype" w:cs="Palatino Linotype"/>
          <w:i/>
        </w:rPr>
      </w:pPr>
      <w:r w:rsidRPr="00CB2C7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B2C7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39F044" w14:textId="77777777" w:rsidR="00321801" w:rsidRPr="00CB2C73" w:rsidRDefault="00321801" w:rsidP="005D12BC">
      <w:pPr>
        <w:tabs>
          <w:tab w:val="left" w:pos="851"/>
        </w:tabs>
        <w:spacing w:after="0" w:line="276" w:lineRule="auto"/>
        <w:ind w:left="567" w:right="616"/>
        <w:jc w:val="both"/>
        <w:rPr>
          <w:rFonts w:ascii="Palatino Linotype" w:eastAsia="Palatino Linotype" w:hAnsi="Palatino Linotype" w:cs="Palatino Linotype"/>
          <w:i/>
        </w:rPr>
      </w:pPr>
      <w:r w:rsidRPr="00CB2C7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CB2C73">
        <w:rPr>
          <w:rFonts w:ascii="Palatino Linotype" w:eastAsia="Palatino Linotype" w:hAnsi="Palatino Linotype" w:cs="Palatino Linotype"/>
          <w:i/>
        </w:rPr>
        <w:t>.”</w:t>
      </w:r>
    </w:p>
    <w:p w14:paraId="30C31814" w14:textId="77777777" w:rsidR="00321801" w:rsidRPr="00CB2C73" w:rsidRDefault="00321801" w:rsidP="005D12BC">
      <w:pPr>
        <w:spacing w:after="0" w:line="360" w:lineRule="auto"/>
        <w:jc w:val="both"/>
        <w:rPr>
          <w:rFonts w:ascii="Palatino Linotype" w:eastAsia="Palatino Linotype" w:hAnsi="Palatino Linotype" w:cs="Palatino Linotype"/>
        </w:rPr>
      </w:pPr>
    </w:p>
    <w:p w14:paraId="477F73A8" w14:textId="77777777" w:rsidR="00321801" w:rsidRPr="00CB2C73" w:rsidRDefault="00321801"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F84DD4D" w14:textId="77777777" w:rsidR="00321801" w:rsidRPr="00CB2C73" w:rsidRDefault="00321801" w:rsidP="005D12BC">
      <w:pPr>
        <w:spacing w:after="0" w:line="276" w:lineRule="auto"/>
        <w:ind w:left="567" w:right="616"/>
        <w:jc w:val="both"/>
        <w:rPr>
          <w:rFonts w:ascii="Palatino Linotype" w:eastAsia="Palatino Linotype" w:hAnsi="Palatino Linotype" w:cs="Palatino Linotype"/>
        </w:rPr>
      </w:pPr>
    </w:p>
    <w:p w14:paraId="272ADB0B" w14:textId="77777777" w:rsidR="00321801" w:rsidRPr="00CB2C73" w:rsidRDefault="00321801" w:rsidP="005D12BC">
      <w:pPr>
        <w:spacing w:after="0" w:line="276" w:lineRule="auto"/>
        <w:ind w:left="567" w:right="616"/>
        <w:jc w:val="both"/>
        <w:rPr>
          <w:rFonts w:ascii="Palatino Linotype" w:eastAsia="Palatino Linotype" w:hAnsi="Palatino Linotype" w:cs="Palatino Linotype"/>
          <w:i/>
        </w:rPr>
      </w:pPr>
      <w:r w:rsidRPr="00CB2C73">
        <w:rPr>
          <w:rFonts w:ascii="Palatino Linotype" w:eastAsia="Palatino Linotype" w:hAnsi="Palatino Linotype" w:cs="Palatino Linotype"/>
          <w:i/>
        </w:rPr>
        <w:t>“</w:t>
      </w:r>
      <w:r w:rsidRPr="00CB2C73">
        <w:rPr>
          <w:rFonts w:ascii="Palatino Linotype" w:eastAsia="Palatino Linotype" w:hAnsi="Palatino Linotype" w:cs="Palatino Linotype"/>
          <w:b/>
          <w:i/>
        </w:rPr>
        <w:t>Artículo 12.-</w:t>
      </w:r>
      <w:r w:rsidRPr="00CB2C7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2220971" w14:textId="77777777" w:rsidR="00321801" w:rsidRPr="00CB2C73" w:rsidRDefault="00321801" w:rsidP="005D12BC">
      <w:pPr>
        <w:spacing w:after="0" w:line="276" w:lineRule="auto"/>
        <w:ind w:left="567" w:right="616"/>
        <w:jc w:val="both"/>
        <w:rPr>
          <w:rFonts w:ascii="Palatino Linotype" w:eastAsia="Palatino Linotype" w:hAnsi="Palatino Linotype" w:cs="Palatino Linotype"/>
          <w:i/>
        </w:rPr>
      </w:pPr>
    </w:p>
    <w:p w14:paraId="5ED102B9" w14:textId="77777777" w:rsidR="00321801" w:rsidRPr="00CB2C73" w:rsidRDefault="00321801" w:rsidP="005D12BC">
      <w:pPr>
        <w:spacing w:after="0" w:line="276" w:lineRule="auto"/>
        <w:ind w:left="567" w:right="616"/>
        <w:jc w:val="both"/>
        <w:rPr>
          <w:rFonts w:ascii="Palatino Linotype" w:eastAsia="Palatino Linotype" w:hAnsi="Palatino Linotype" w:cs="Palatino Linotype"/>
          <w:i/>
        </w:rPr>
      </w:pPr>
      <w:r w:rsidRPr="00CB2C7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B2C73">
        <w:rPr>
          <w:rFonts w:ascii="Palatino Linotype" w:eastAsia="Palatino Linotype" w:hAnsi="Palatino Linotype" w:cs="Palatino Linotype"/>
          <w:i/>
        </w:rPr>
        <w:t xml:space="preserve">. </w:t>
      </w:r>
      <w:r w:rsidRPr="00CB2C7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CB2C73">
        <w:rPr>
          <w:rFonts w:ascii="Palatino Linotype" w:eastAsia="Palatino Linotype" w:hAnsi="Palatino Linotype" w:cs="Palatino Linotype"/>
          <w:i/>
        </w:rPr>
        <w:t xml:space="preserve">.” </w:t>
      </w:r>
    </w:p>
    <w:p w14:paraId="136268C6" w14:textId="77777777" w:rsidR="00321801" w:rsidRPr="00CB2C73" w:rsidRDefault="00321801" w:rsidP="005D12BC">
      <w:pPr>
        <w:spacing w:after="0" w:line="276" w:lineRule="auto"/>
        <w:ind w:left="567" w:right="616"/>
        <w:jc w:val="both"/>
        <w:rPr>
          <w:rFonts w:ascii="Palatino Linotype" w:eastAsia="Palatino Linotype" w:hAnsi="Palatino Linotype" w:cs="Palatino Linotype"/>
          <w:i/>
        </w:rPr>
      </w:pPr>
    </w:p>
    <w:p w14:paraId="415A272E" w14:textId="77777777" w:rsidR="00321801" w:rsidRPr="00CB2C73" w:rsidRDefault="00321801" w:rsidP="005D12BC">
      <w:pPr>
        <w:spacing w:after="0" w:line="360" w:lineRule="auto"/>
        <w:ind w:right="-93"/>
        <w:jc w:val="both"/>
        <w:rPr>
          <w:rFonts w:ascii="Palatino Linotype" w:eastAsia="Palatino Linotype" w:hAnsi="Palatino Linotype" w:cs="Palatino Linotype"/>
        </w:rPr>
      </w:pPr>
      <w:r w:rsidRPr="00CB2C7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A9DF2D7" w14:textId="77777777" w:rsidR="00321801" w:rsidRPr="00CB2C73" w:rsidRDefault="00321801" w:rsidP="005D12BC">
      <w:pPr>
        <w:spacing w:after="0" w:line="360" w:lineRule="auto"/>
        <w:ind w:right="-93"/>
        <w:jc w:val="both"/>
        <w:rPr>
          <w:rFonts w:ascii="Palatino Linotype" w:eastAsia="Palatino Linotype" w:hAnsi="Palatino Linotype" w:cs="Palatino Linotype"/>
        </w:rPr>
      </w:pPr>
    </w:p>
    <w:p w14:paraId="587A07DB" w14:textId="77777777" w:rsidR="00321801" w:rsidRPr="00CB2C73" w:rsidRDefault="00321801" w:rsidP="005D12BC">
      <w:pPr>
        <w:spacing w:after="0" w:line="360" w:lineRule="auto"/>
        <w:jc w:val="both"/>
        <w:rPr>
          <w:rFonts w:ascii="Palatino Linotype" w:eastAsia="Palatino Linotype" w:hAnsi="Palatino Linotype" w:cs="Palatino Linotype"/>
          <w:b/>
        </w:rPr>
      </w:pPr>
      <w:r w:rsidRPr="00CB2C73">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CB2C73">
        <w:rPr>
          <w:rFonts w:ascii="Palatino Linotype" w:eastAsia="Palatino Linotype" w:hAnsi="Palatino Linotype" w:cs="Palatino Linotype"/>
          <w:b/>
        </w:rPr>
        <w:t xml:space="preserve"> </w:t>
      </w:r>
    </w:p>
    <w:p w14:paraId="5C8C5006" w14:textId="77777777" w:rsidR="00321801" w:rsidRPr="00CB2C73" w:rsidRDefault="00321801" w:rsidP="005D12BC">
      <w:pPr>
        <w:spacing w:after="0" w:line="276" w:lineRule="auto"/>
        <w:ind w:left="851" w:right="850"/>
        <w:jc w:val="both"/>
        <w:rPr>
          <w:rFonts w:ascii="Palatino Linotype" w:eastAsia="Palatino Linotype" w:hAnsi="Palatino Linotype" w:cs="Palatino Linotype"/>
        </w:rPr>
      </w:pPr>
    </w:p>
    <w:p w14:paraId="0DE6CC80" w14:textId="77777777" w:rsidR="00321801" w:rsidRPr="00CB2C73" w:rsidRDefault="00321801" w:rsidP="005D12BC">
      <w:pPr>
        <w:spacing w:after="0" w:line="276" w:lineRule="auto"/>
        <w:ind w:left="567" w:right="616"/>
        <w:jc w:val="both"/>
        <w:rPr>
          <w:rFonts w:ascii="Palatino Linotype" w:eastAsia="Palatino Linotype" w:hAnsi="Palatino Linotype" w:cs="Palatino Linotype"/>
          <w:i/>
        </w:rPr>
      </w:pPr>
      <w:r w:rsidRPr="00CB2C73">
        <w:rPr>
          <w:rFonts w:ascii="Palatino Linotype" w:eastAsia="Palatino Linotype" w:hAnsi="Palatino Linotype" w:cs="Palatino Linotype"/>
          <w:i/>
        </w:rPr>
        <w:t>“</w:t>
      </w:r>
      <w:r w:rsidRPr="00CB2C73">
        <w:rPr>
          <w:rFonts w:ascii="Palatino Linotype" w:eastAsia="Palatino Linotype" w:hAnsi="Palatino Linotype" w:cs="Palatino Linotype"/>
          <w:b/>
          <w:i/>
        </w:rPr>
        <w:t>No existe obligación de elaborar documentos ad hoc para atender las solicitudes de acceso a la información.</w:t>
      </w:r>
      <w:r w:rsidRPr="00CB2C73">
        <w:rPr>
          <w:rFonts w:ascii="Palatino Linotype" w:eastAsia="Palatino Linotype" w:hAnsi="Palatino Linotype" w:cs="Palatino Linotype"/>
          <w:i/>
        </w:rPr>
        <w:t xml:space="preserve"> Los artículos 129 de la Ley General de Transparencia y </w:t>
      </w:r>
      <w:r w:rsidRPr="00CB2C73">
        <w:rPr>
          <w:rFonts w:ascii="Palatino Linotype" w:eastAsia="Palatino Linotype" w:hAnsi="Palatino Linotype" w:cs="Palatino Linotype"/>
          <w:i/>
        </w:rPr>
        <w:lastRenderedPageBreak/>
        <w:t xml:space="preserve">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A400790" w14:textId="77777777" w:rsidR="00321801" w:rsidRPr="00CB2C73" w:rsidRDefault="00321801" w:rsidP="005D12BC">
      <w:pPr>
        <w:spacing w:after="0" w:line="276" w:lineRule="auto"/>
        <w:ind w:left="567" w:right="616"/>
        <w:jc w:val="both"/>
        <w:rPr>
          <w:rFonts w:ascii="Palatino Linotype" w:eastAsia="Palatino Linotype" w:hAnsi="Palatino Linotype" w:cs="Palatino Linotype"/>
          <w:i/>
        </w:rPr>
      </w:pPr>
    </w:p>
    <w:p w14:paraId="356F20F0" w14:textId="77777777" w:rsidR="00321801" w:rsidRPr="00CB2C73" w:rsidRDefault="00321801"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4F7A2C" w14:textId="77777777" w:rsidR="00321801" w:rsidRPr="00CB2C73" w:rsidRDefault="00321801" w:rsidP="005D12BC">
      <w:pPr>
        <w:spacing w:after="0" w:line="360" w:lineRule="auto"/>
        <w:jc w:val="both"/>
        <w:rPr>
          <w:rFonts w:ascii="Palatino Linotype" w:eastAsia="Palatino Linotype" w:hAnsi="Palatino Linotype" w:cs="Palatino Linotype"/>
        </w:rPr>
      </w:pPr>
    </w:p>
    <w:p w14:paraId="1B0E9B71" w14:textId="77777777" w:rsidR="00321801" w:rsidRPr="00CB2C73" w:rsidRDefault="0032180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A6DED09" w14:textId="77777777" w:rsidR="00321801" w:rsidRPr="00CB2C73" w:rsidRDefault="00321801" w:rsidP="005D12BC">
      <w:pPr>
        <w:spacing w:after="0" w:line="360" w:lineRule="auto"/>
        <w:ind w:right="49"/>
        <w:jc w:val="both"/>
        <w:rPr>
          <w:rFonts w:ascii="Palatino Linotype" w:eastAsia="Palatino Linotype" w:hAnsi="Palatino Linotype" w:cs="Palatino Linotype"/>
        </w:rPr>
      </w:pPr>
    </w:p>
    <w:p w14:paraId="062B387B" w14:textId="77777777" w:rsidR="00321801" w:rsidRPr="00CB2C73" w:rsidRDefault="00321801"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w:t>
      </w:r>
      <w:r w:rsidRPr="00CB2C73">
        <w:rPr>
          <w:rFonts w:ascii="Palatino Linotype" w:eastAsia="Palatino Linotype" w:hAnsi="Palatino Linotype" w:cs="Palatino Linotype"/>
        </w:rPr>
        <w:lastRenderedPageBreak/>
        <w:t xml:space="preserve">sonoro, visual, electrónico, informático u holográfico de conformidad con el artículo 3, fracción XI de la Ley de la materia, el cual señala lo siguiente: </w:t>
      </w:r>
    </w:p>
    <w:p w14:paraId="432281BA" w14:textId="77777777" w:rsidR="00321801" w:rsidRPr="00CB2C73" w:rsidRDefault="00321801" w:rsidP="005D12BC">
      <w:pPr>
        <w:spacing w:after="0" w:line="360" w:lineRule="auto"/>
        <w:jc w:val="both"/>
        <w:rPr>
          <w:rFonts w:ascii="Palatino Linotype" w:eastAsia="Palatino Linotype" w:hAnsi="Palatino Linotype" w:cs="Palatino Linotype"/>
        </w:rPr>
      </w:pPr>
    </w:p>
    <w:p w14:paraId="1DD79B82" w14:textId="77777777" w:rsidR="00321801" w:rsidRPr="00CB2C73" w:rsidRDefault="00321801" w:rsidP="005D12BC">
      <w:pPr>
        <w:spacing w:after="0" w:line="276" w:lineRule="auto"/>
        <w:ind w:left="567" w:right="616"/>
        <w:jc w:val="both"/>
        <w:rPr>
          <w:rFonts w:ascii="Palatino Linotype" w:eastAsia="Palatino Linotype" w:hAnsi="Palatino Linotype" w:cs="Palatino Linotype"/>
          <w:i/>
        </w:rPr>
      </w:pPr>
      <w:r w:rsidRPr="00CB2C73">
        <w:rPr>
          <w:rFonts w:ascii="Palatino Linotype" w:eastAsia="Palatino Linotype" w:hAnsi="Palatino Linotype" w:cs="Palatino Linotype"/>
          <w:i/>
        </w:rPr>
        <w:t>“</w:t>
      </w:r>
      <w:r w:rsidRPr="00CB2C73">
        <w:rPr>
          <w:rFonts w:ascii="Palatino Linotype" w:eastAsia="Palatino Linotype" w:hAnsi="Palatino Linotype" w:cs="Palatino Linotype"/>
          <w:b/>
          <w:i/>
        </w:rPr>
        <w:t xml:space="preserve">Artículo 3. </w:t>
      </w:r>
      <w:r w:rsidRPr="00CB2C73">
        <w:rPr>
          <w:rFonts w:ascii="Palatino Linotype" w:eastAsia="Palatino Linotype" w:hAnsi="Palatino Linotype" w:cs="Palatino Linotype"/>
          <w:i/>
        </w:rPr>
        <w:t>Para los efectos de la presente Ley se entenderá por:</w:t>
      </w:r>
    </w:p>
    <w:p w14:paraId="73758305" w14:textId="77777777" w:rsidR="00321801" w:rsidRPr="00CB2C73" w:rsidRDefault="00321801" w:rsidP="005D12BC">
      <w:pPr>
        <w:spacing w:after="0" w:line="276" w:lineRule="auto"/>
        <w:ind w:left="567" w:right="616"/>
        <w:jc w:val="both"/>
        <w:rPr>
          <w:rFonts w:ascii="Palatino Linotype" w:eastAsia="Palatino Linotype" w:hAnsi="Palatino Linotype" w:cs="Palatino Linotype"/>
          <w:i/>
        </w:rPr>
      </w:pPr>
      <w:r w:rsidRPr="00CB2C73">
        <w:rPr>
          <w:rFonts w:ascii="Palatino Linotype" w:eastAsia="Palatino Linotype" w:hAnsi="Palatino Linotype" w:cs="Palatino Linotype"/>
          <w:i/>
        </w:rPr>
        <w:t>…</w:t>
      </w:r>
    </w:p>
    <w:p w14:paraId="7E304AE0" w14:textId="77777777" w:rsidR="00321801" w:rsidRPr="00CB2C73" w:rsidRDefault="00321801" w:rsidP="005D12BC">
      <w:pPr>
        <w:spacing w:after="0" w:line="276" w:lineRule="auto"/>
        <w:ind w:left="567" w:right="616"/>
        <w:jc w:val="both"/>
        <w:rPr>
          <w:rFonts w:ascii="Palatino Linotype" w:eastAsia="Palatino Linotype" w:hAnsi="Palatino Linotype" w:cs="Palatino Linotype"/>
          <w:i/>
        </w:rPr>
      </w:pPr>
      <w:r w:rsidRPr="00CB2C73">
        <w:rPr>
          <w:rFonts w:ascii="Palatino Linotype" w:eastAsia="Palatino Linotype" w:hAnsi="Palatino Linotype" w:cs="Palatino Linotype"/>
          <w:b/>
          <w:i/>
        </w:rPr>
        <w:t>XI. Documento:</w:t>
      </w:r>
      <w:r w:rsidRPr="00CB2C73">
        <w:rPr>
          <w:rFonts w:ascii="Palatino Linotype" w:eastAsia="Palatino Linotype" w:hAnsi="Palatino Linotype" w:cs="Palatino Linotype"/>
          <w:i/>
        </w:rPr>
        <w:t xml:space="preserve"> Los expedientes, reportes, estudios, actas</w:t>
      </w:r>
      <w:r w:rsidRPr="00CB2C73">
        <w:rPr>
          <w:rFonts w:ascii="Palatino Linotype" w:eastAsia="Palatino Linotype" w:hAnsi="Palatino Linotype" w:cs="Palatino Linotype"/>
          <w:b/>
          <w:i/>
        </w:rPr>
        <w:t>,</w:t>
      </w:r>
      <w:r w:rsidRPr="00CB2C7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B58184" w14:textId="77777777" w:rsidR="00321801" w:rsidRPr="00CB2C73" w:rsidRDefault="00321801" w:rsidP="005D12BC">
      <w:pPr>
        <w:spacing w:after="0" w:line="360" w:lineRule="auto"/>
        <w:ind w:left="851" w:right="899"/>
        <w:jc w:val="both"/>
        <w:rPr>
          <w:rFonts w:ascii="Palatino Linotype" w:eastAsia="Palatino Linotype" w:hAnsi="Palatino Linotype" w:cs="Palatino Linotype"/>
        </w:rPr>
      </w:pPr>
    </w:p>
    <w:p w14:paraId="57366E75" w14:textId="77777777" w:rsidR="00321801" w:rsidRPr="00CB2C73" w:rsidRDefault="00321801"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385F9C" w14:textId="77777777" w:rsidR="00321801" w:rsidRPr="00CB2C73" w:rsidRDefault="00321801" w:rsidP="005D12BC">
      <w:pPr>
        <w:spacing w:after="0" w:line="360" w:lineRule="auto"/>
        <w:ind w:left="851" w:right="899"/>
        <w:jc w:val="both"/>
        <w:rPr>
          <w:rFonts w:ascii="Palatino Linotype" w:eastAsia="Palatino Linotype" w:hAnsi="Palatino Linotype" w:cs="Palatino Linotype"/>
        </w:rPr>
      </w:pPr>
    </w:p>
    <w:p w14:paraId="33B8CD19" w14:textId="77777777" w:rsidR="00321801" w:rsidRPr="00CB2C73" w:rsidRDefault="00321801" w:rsidP="005D12BC">
      <w:pPr>
        <w:tabs>
          <w:tab w:val="left" w:pos="7797"/>
        </w:tabs>
        <w:spacing w:after="0" w:line="276" w:lineRule="auto"/>
        <w:ind w:left="709" w:right="616"/>
        <w:jc w:val="both"/>
        <w:rPr>
          <w:rFonts w:ascii="Palatino Linotype" w:eastAsia="Palatino Linotype" w:hAnsi="Palatino Linotype" w:cs="Palatino Linotype"/>
          <w:b/>
          <w:i/>
        </w:rPr>
      </w:pPr>
      <w:r w:rsidRPr="00CB2C73">
        <w:rPr>
          <w:rFonts w:ascii="Palatino Linotype" w:eastAsia="Palatino Linotype" w:hAnsi="Palatino Linotype" w:cs="Palatino Linotype"/>
          <w:b/>
        </w:rPr>
        <w:t>“</w:t>
      </w:r>
      <w:r w:rsidRPr="00CB2C73">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CB2C7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3A1015C" w14:textId="77777777" w:rsidR="00321801" w:rsidRPr="00CB2C73" w:rsidRDefault="00321801" w:rsidP="005D12BC">
      <w:pPr>
        <w:tabs>
          <w:tab w:val="left" w:pos="7797"/>
        </w:tabs>
        <w:spacing w:after="0" w:line="276" w:lineRule="auto"/>
        <w:ind w:left="709" w:right="616"/>
        <w:jc w:val="both"/>
        <w:rPr>
          <w:rFonts w:ascii="Palatino Linotype" w:eastAsia="Palatino Linotype" w:hAnsi="Palatino Linotype" w:cs="Palatino Linotype"/>
          <w:i/>
        </w:rPr>
      </w:pPr>
      <w:r w:rsidRPr="00CB2C73">
        <w:rPr>
          <w:rFonts w:ascii="Palatino Linotype" w:eastAsia="Palatino Linotype" w:hAnsi="Palatino Linotype" w:cs="Palatino Linotype"/>
          <w:i/>
        </w:rPr>
        <w:t>En consecuencia el acceso a la información se refiere a que se cumplan cualquiera de los siguientes tres supuestos:</w:t>
      </w:r>
    </w:p>
    <w:p w14:paraId="62BE18FC" w14:textId="77777777" w:rsidR="00321801" w:rsidRPr="00CB2C73" w:rsidRDefault="00321801" w:rsidP="005D12BC">
      <w:pPr>
        <w:tabs>
          <w:tab w:val="left" w:pos="7797"/>
        </w:tabs>
        <w:spacing w:after="0" w:line="276" w:lineRule="auto"/>
        <w:ind w:left="709" w:right="616"/>
        <w:jc w:val="both"/>
        <w:rPr>
          <w:rFonts w:ascii="Palatino Linotype" w:eastAsia="Palatino Linotype" w:hAnsi="Palatino Linotype" w:cs="Palatino Linotype"/>
          <w:i/>
        </w:rPr>
      </w:pPr>
      <w:r w:rsidRPr="00CB2C7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1D17156" w14:textId="77777777" w:rsidR="00321801" w:rsidRPr="00CB2C73" w:rsidRDefault="00321801" w:rsidP="005D12BC">
      <w:pPr>
        <w:tabs>
          <w:tab w:val="left" w:pos="7797"/>
        </w:tabs>
        <w:spacing w:after="0" w:line="276" w:lineRule="auto"/>
        <w:ind w:left="709" w:right="616"/>
        <w:jc w:val="both"/>
        <w:rPr>
          <w:rFonts w:ascii="Palatino Linotype" w:eastAsia="Palatino Linotype" w:hAnsi="Palatino Linotype" w:cs="Palatino Linotype"/>
          <w:b/>
          <w:i/>
        </w:rPr>
      </w:pPr>
      <w:r w:rsidRPr="00CB2C73">
        <w:rPr>
          <w:rFonts w:ascii="Palatino Linotype" w:eastAsia="Palatino Linotype" w:hAnsi="Palatino Linotype" w:cs="Palatino Linotype"/>
          <w:b/>
          <w:i/>
        </w:rPr>
        <w:lastRenderedPageBreak/>
        <w:t>2) Que se trate de información registrada en cualquier soporte documental, que en ejercicio de las atribuciones conferidas, sea administrada por los Sujetos Obligados, y</w:t>
      </w:r>
    </w:p>
    <w:p w14:paraId="4AF5B866" w14:textId="77777777" w:rsidR="00321801" w:rsidRPr="00CB2C73" w:rsidRDefault="00321801" w:rsidP="005D12BC">
      <w:pPr>
        <w:tabs>
          <w:tab w:val="left" w:pos="7797"/>
        </w:tabs>
        <w:spacing w:after="0" w:line="276" w:lineRule="auto"/>
        <w:ind w:left="709" w:right="616"/>
        <w:jc w:val="both"/>
        <w:rPr>
          <w:rFonts w:ascii="Palatino Linotype" w:eastAsia="Palatino Linotype" w:hAnsi="Palatino Linotype" w:cs="Palatino Linotype"/>
          <w:b/>
          <w:i/>
        </w:rPr>
      </w:pPr>
      <w:r w:rsidRPr="00CB2C73">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4FAFF7D2" w14:textId="77777777" w:rsidR="00321801" w:rsidRPr="00CB2C73" w:rsidRDefault="00321801" w:rsidP="005D12BC">
      <w:pPr>
        <w:spacing w:after="0" w:line="360" w:lineRule="auto"/>
        <w:jc w:val="both"/>
        <w:rPr>
          <w:rFonts w:ascii="Palatino Linotype" w:eastAsia="Palatino Linotype" w:hAnsi="Palatino Linotype" w:cs="Palatino Linotype"/>
        </w:rPr>
      </w:pPr>
    </w:p>
    <w:p w14:paraId="2CC31A2B" w14:textId="47D9C9C6" w:rsidR="00321801" w:rsidRPr="00CB2C73" w:rsidRDefault="00321801" w:rsidP="005D12BC">
      <w:pPr>
        <w:spacing w:after="0" w:line="360" w:lineRule="auto"/>
        <w:jc w:val="both"/>
        <w:rPr>
          <w:rFonts w:ascii="Palatino Linotype" w:eastAsia="Palatino Linotype" w:hAnsi="Palatino Linotype" w:cs="Palatino Linotype"/>
          <w:b/>
        </w:rPr>
      </w:pPr>
      <w:r w:rsidRPr="00CB2C73">
        <w:rPr>
          <w:rFonts w:ascii="Palatino Linotype" w:eastAsia="Palatino Linotype" w:hAnsi="Palatino Linotype" w:cs="Palatino Linotype"/>
        </w:rPr>
        <w:t xml:space="preserve">Dicho lo anterior, es de recordar que la parte Solicitante requirió </w:t>
      </w:r>
      <w:r w:rsidR="009829AB" w:rsidRPr="00CB2C73">
        <w:rPr>
          <w:rFonts w:ascii="Palatino Linotype" w:eastAsia="Palatino Linotype" w:hAnsi="Palatino Linotype" w:cs="Palatino Linotype"/>
          <w:b/>
        </w:rPr>
        <w:t xml:space="preserve">el Plan de Contingencia para la Protección de Datos Personales. </w:t>
      </w:r>
    </w:p>
    <w:p w14:paraId="4088FEEE" w14:textId="091E9D21" w:rsidR="00D2631D" w:rsidRPr="00CB2C73" w:rsidRDefault="00D2631D" w:rsidP="005D12BC">
      <w:pPr>
        <w:spacing w:after="0" w:line="360" w:lineRule="auto"/>
        <w:jc w:val="both"/>
        <w:rPr>
          <w:rFonts w:ascii="Palatino Linotype" w:eastAsia="Palatino Linotype" w:hAnsi="Palatino Linotype" w:cs="Palatino Linotype"/>
        </w:rPr>
      </w:pPr>
    </w:p>
    <w:p w14:paraId="767EB98D" w14:textId="475825C5" w:rsidR="009829AB" w:rsidRPr="00CB2C73" w:rsidRDefault="009829AB"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En respuesta, el Sujeto Obligado informó que derivado de una búsqueda exhaustiva y razonable, la información solicitada se encuentra clasificada por acuerdo que consta en el Acta de la Cuadrigentésima Décima Séptima Sesión Extraordinaria de fecha ocho de abril de dos mil veinticinco, en donde se aprobó la clasificación de la información como confidencial de manera total. </w:t>
      </w:r>
    </w:p>
    <w:p w14:paraId="7BFB2DA3" w14:textId="77777777" w:rsidR="009829AB" w:rsidRPr="00CB2C73" w:rsidRDefault="009829AB" w:rsidP="005D12BC">
      <w:pPr>
        <w:spacing w:after="0" w:line="360" w:lineRule="auto"/>
        <w:jc w:val="both"/>
        <w:rPr>
          <w:rFonts w:ascii="Palatino Linotype" w:eastAsia="Palatino Linotype" w:hAnsi="Palatino Linotype" w:cs="Palatino Linotype"/>
        </w:rPr>
      </w:pPr>
    </w:p>
    <w:p w14:paraId="6E12C045" w14:textId="3983243D" w:rsidR="009829AB" w:rsidRPr="00CB2C73" w:rsidRDefault="009829AB"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Asimismo, se remitió el Acta de la Cuadrigentésima Décima Séptima Sesión Extraordinaria de fecha ocho de abril de dos mil veinticinco mediante la cual se aprueba la clasificación como confidencial de lo contenido en el Plan de Contingencia en Materia de Protección de Datos Personales. </w:t>
      </w:r>
    </w:p>
    <w:p w14:paraId="24979B47" w14:textId="77777777" w:rsidR="009829AB" w:rsidRPr="00CB2C73" w:rsidRDefault="009829AB" w:rsidP="005D12BC">
      <w:pPr>
        <w:spacing w:after="0" w:line="360" w:lineRule="auto"/>
        <w:jc w:val="both"/>
        <w:rPr>
          <w:rFonts w:ascii="Palatino Linotype" w:eastAsia="Palatino Linotype" w:hAnsi="Palatino Linotype" w:cs="Palatino Linotype"/>
        </w:rPr>
      </w:pPr>
    </w:p>
    <w:p w14:paraId="62A8D264" w14:textId="502B9DA1" w:rsidR="00D2631D" w:rsidRPr="00CB2C73" w:rsidRDefault="00032911" w:rsidP="005D12BC">
      <w:pPr>
        <w:spacing w:after="0" w:line="360" w:lineRule="auto"/>
        <w:ind w:right="-93"/>
        <w:jc w:val="both"/>
        <w:rPr>
          <w:rFonts w:ascii="Palatino Linotype" w:eastAsia="Palatino Linotype" w:hAnsi="Palatino Linotype" w:cs="Palatino Linotype"/>
        </w:rPr>
      </w:pPr>
      <w:r w:rsidRPr="00CB2C73">
        <w:rPr>
          <w:rFonts w:ascii="Palatino Linotype" w:eastAsia="Palatino Linotype" w:hAnsi="Palatino Linotype" w:cs="Palatino Linotype"/>
        </w:rPr>
        <w:t>Correlativo a lo anterior, es necesario precisar que de las constancias que obran en el expediente se logra vislumbrar que el Sujeto Obligado, tu</w:t>
      </w:r>
      <w:r w:rsidR="00110AB6" w:rsidRPr="00CB2C73">
        <w:rPr>
          <w:rFonts w:ascii="Palatino Linotype" w:eastAsia="Palatino Linotype" w:hAnsi="Palatino Linotype" w:cs="Palatino Linotype"/>
        </w:rPr>
        <w:t xml:space="preserve">rnó la solicitud de información a la Defensoría Municipal de Derechos Humanos, Tesorería Municipal, Contraloría Municipal, Dirección General de Administración, Dirección General de Gobierno, Dirección General de Seguridad y Protección, </w:t>
      </w:r>
      <w:r w:rsidR="005D12BC" w:rsidRPr="00CB2C73">
        <w:rPr>
          <w:rFonts w:ascii="Palatino Linotype" w:eastAsia="Palatino Linotype" w:hAnsi="Palatino Linotype" w:cs="Palatino Linotype"/>
        </w:rPr>
        <w:t xml:space="preserve">Dirección General de Seguridad y Protección, Dirección General de Obras Públicas, Dirección General de Innovación, Planeación y Gestión Urbana, Coordinación General de Comunicación Social, Secretaría Técnica del Consejo Municipal de Seguridad Pública, </w:t>
      </w:r>
      <w:r w:rsidR="005D12BC" w:rsidRPr="00CB2C73">
        <w:rPr>
          <w:rFonts w:ascii="Palatino Linotype" w:eastAsia="Palatino Linotype" w:hAnsi="Palatino Linotype" w:cs="Palatino Linotype"/>
        </w:rPr>
        <w:lastRenderedPageBreak/>
        <w:t xml:space="preserve">Dirección General de Medio Ambiente, Dirección General de Bienestar, Dirección General de Educación, Cultura y Turismo, Primera Sindicatura, Quinta Regiduría, Sexta Regiduría, Séptima Regiduría, UIPPE, Décima Segunda Regiduría, </w:t>
      </w:r>
      <w:r w:rsidRPr="00CB2C73">
        <w:rPr>
          <w:rFonts w:ascii="Palatino Linotype" w:eastAsia="Palatino Linotype" w:hAnsi="Palatino Linotype" w:cs="Palatino Linotype"/>
        </w:rPr>
        <w:t>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19C2FAE" w14:textId="77777777" w:rsidR="00D2631D" w:rsidRPr="00CB2C73" w:rsidRDefault="00D2631D" w:rsidP="005D12BC">
      <w:pPr>
        <w:spacing w:after="0" w:line="360" w:lineRule="auto"/>
        <w:ind w:right="560"/>
        <w:jc w:val="both"/>
        <w:rPr>
          <w:rFonts w:ascii="Palatino Linotype" w:eastAsia="Palatino Linotype" w:hAnsi="Palatino Linotype" w:cs="Palatino Linotype"/>
        </w:rPr>
      </w:pPr>
    </w:p>
    <w:p w14:paraId="5FDDE885" w14:textId="77777777" w:rsidR="00D2631D" w:rsidRPr="00CB2C73" w:rsidRDefault="00032911" w:rsidP="005D12BC">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CB2C73">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F2E2D01" w14:textId="77777777" w:rsidR="00D2631D" w:rsidRPr="00CB2C73" w:rsidRDefault="00D2631D" w:rsidP="005D12BC">
      <w:pPr>
        <w:spacing w:after="0" w:line="360" w:lineRule="auto"/>
        <w:ind w:left="567" w:right="560"/>
        <w:jc w:val="both"/>
        <w:rPr>
          <w:rFonts w:ascii="Palatino Linotype" w:eastAsia="Palatino Linotype" w:hAnsi="Palatino Linotype" w:cs="Palatino Linotype"/>
        </w:rPr>
      </w:pPr>
    </w:p>
    <w:p w14:paraId="098159E1" w14:textId="77777777" w:rsidR="00D2631D" w:rsidRPr="00CB2C73" w:rsidRDefault="00032911" w:rsidP="005D12BC">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CB2C73">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261D066" w14:textId="77777777" w:rsidR="00D2631D" w:rsidRPr="00CB2C73" w:rsidRDefault="00D2631D" w:rsidP="005D12BC">
      <w:pPr>
        <w:spacing w:after="0" w:line="360" w:lineRule="auto"/>
        <w:ind w:right="560"/>
        <w:jc w:val="both"/>
        <w:rPr>
          <w:rFonts w:ascii="Palatino Linotype" w:eastAsia="Palatino Linotype" w:hAnsi="Palatino Linotype" w:cs="Palatino Linotype"/>
        </w:rPr>
      </w:pPr>
    </w:p>
    <w:p w14:paraId="3D84B3B8"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26EF6B71" w14:textId="77777777" w:rsidR="00D2631D" w:rsidRPr="00CB2C73" w:rsidRDefault="00D2631D" w:rsidP="005D12BC">
      <w:pPr>
        <w:spacing w:after="0" w:line="360" w:lineRule="auto"/>
        <w:jc w:val="both"/>
        <w:rPr>
          <w:rFonts w:ascii="Palatino Linotype" w:eastAsia="Palatino Linotype" w:hAnsi="Palatino Linotype" w:cs="Palatino Linotype"/>
        </w:rPr>
      </w:pPr>
    </w:p>
    <w:p w14:paraId="57BE4976" w14:textId="65292F26" w:rsidR="005D12BC" w:rsidRPr="00CB2C73" w:rsidRDefault="00032911" w:rsidP="00A039E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 xml:space="preserve">Dicho lo anterior, resulta procedente contextualizar la información solicitada, </w:t>
      </w:r>
      <w:r w:rsidR="005D12BC" w:rsidRPr="00CB2C73">
        <w:rPr>
          <w:rFonts w:ascii="Palatino Linotype" w:eastAsia="Palatino Linotype" w:hAnsi="Palatino Linotype" w:cs="Palatino Linotype"/>
        </w:rPr>
        <w:t xml:space="preserve">para ello, en principio es de referir que, </w:t>
      </w:r>
      <w:r w:rsidR="005D12BC" w:rsidRPr="00CB2C73">
        <w:rPr>
          <w:rFonts w:ascii="Palatino Linotype" w:hAnsi="Palatino Linotype" w:cs="Tahoma"/>
          <w:bCs/>
          <w:lang w:eastAsia="es-ES"/>
        </w:rPr>
        <w:t xml:space="preserve">la Ley General de Protección de Datos Personales en Posesión de Sujetos Obligados, establece sobre la protección de </w:t>
      </w:r>
      <w:r w:rsidR="00A039EC" w:rsidRPr="00CB2C73">
        <w:rPr>
          <w:rFonts w:ascii="Palatino Linotype" w:hAnsi="Palatino Linotype" w:cs="Tahoma"/>
          <w:bCs/>
          <w:lang w:eastAsia="es-ES"/>
        </w:rPr>
        <w:t>los datos personales</w:t>
      </w:r>
      <w:r w:rsidR="005D12BC" w:rsidRPr="00CB2C73">
        <w:rPr>
          <w:rFonts w:ascii="Palatino Linotype" w:hAnsi="Palatino Linotype" w:cs="Tahoma"/>
          <w:bCs/>
          <w:lang w:eastAsia="es-ES"/>
        </w:rPr>
        <w:t xml:space="preserve"> lo siguiente: </w:t>
      </w:r>
    </w:p>
    <w:p w14:paraId="3A15253C" w14:textId="77777777" w:rsidR="005D12BC" w:rsidRPr="00CB2C73" w:rsidRDefault="005D12BC" w:rsidP="005D12BC">
      <w:pPr>
        <w:spacing w:after="0" w:line="360" w:lineRule="auto"/>
        <w:ind w:right="-93"/>
        <w:jc w:val="both"/>
        <w:rPr>
          <w:rFonts w:ascii="Palatino Linotype" w:hAnsi="Palatino Linotype" w:cs="Tahoma"/>
          <w:bCs/>
          <w:lang w:eastAsia="es-ES"/>
        </w:rPr>
      </w:pPr>
      <w:r w:rsidRPr="00CB2C73">
        <w:rPr>
          <w:rFonts w:ascii="Palatino Linotype" w:hAnsi="Palatino Linotype" w:cs="Tahoma"/>
          <w:bCs/>
          <w:lang w:eastAsia="es-ES"/>
        </w:rPr>
        <w:lastRenderedPageBreak/>
        <w:t>El artículo 1°, dispone que es una ley de observancia general en toda la República, reglamentaria de los artículos 6o., Base A y 16, segundo párrafo, de la Constitución Política de los Estados Unidos Mexicanos, en materia de protección de datos personales en posesión de sujetos obligados.</w:t>
      </w:r>
    </w:p>
    <w:p w14:paraId="584241D1" w14:textId="77777777" w:rsidR="005D12BC" w:rsidRPr="00CB2C73" w:rsidRDefault="005D12BC" w:rsidP="005D12BC">
      <w:pPr>
        <w:spacing w:after="0" w:line="360" w:lineRule="auto"/>
        <w:ind w:right="-93"/>
        <w:jc w:val="both"/>
        <w:rPr>
          <w:rFonts w:ascii="Palatino Linotype" w:hAnsi="Palatino Linotype" w:cs="Tahoma"/>
          <w:bCs/>
          <w:lang w:eastAsia="es-ES"/>
        </w:rPr>
      </w:pPr>
    </w:p>
    <w:p w14:paraId="00E3D2A9" w14:textId="77777777" w:rsidR="005D12BC" w:rsidRPr="00CB2C73" w:rsidRDefault="005D12BC" w:rsidP="005D12BC">
      <w:pPr>
        <w:spacing w:after="0" w:line="360" w:lineRule="auto"/>
        <w:ind w:right="-93"/>
        <w:jc w:val="both"/>
        <w:rPr>
          <w:rFonts w:ascii="Palatino Linotype" w:hAnsi="Palatino Linotype" w:cs="Tahoma"/>
          <w:bCs/>
          <w:lang w:eastAsia="es-ES"/>
        </w:rPr>
      </w:pPr>
      <w:r w:rsidRPr="00CB2C73">
        <w:rPr>
          <w:rFonts w:ascii="Palatino Linotype" w:hAnsi="Palatino Linotype" w:cs="Tahoma"/>
          <w:bCs/>
          <w:lang w:eastAsia="es-ES"/>
        </w:rPr>
        <w:t>En los artículos 31 y 32 de este ordenamiento, se establece que el responsable del tratamiento de datos personales deberá establecer y mantener las medidas de seguridad de carácter administrativo, físico y técnico para la protección de los datos personales, con el objetivo de protegerlos contra daño, pérdida, alteración, destrucción o su uso, acceso o tratamiento no autorizado, así como garantizar su confidencialidad, integridad y disponibilidad.</w:t>
      </w:r>
      <w:r w:rsidRPr="00CB2C73">
        <w:rPr>
          <w:rFonts w:ascii="Palatino Linotype" w:hAnsi="Palatino Linotype" w:cs="Tahoma"/>
          <w:bCs/>
          <w:lang w:eastAsia="es-ES"/>
        </w:rPr>
        <w:cr/>
      </w:r>
    </w:p>
    <w:p w14:paraId="3F1547CE" w14:textId="77777777" w:rsidR="005D12BC" w:rsidRPr="00CB2C73" w:rsidRDefault="005D12BC" w:rsidP="005D12BC">
      <w:pPr>
        <w:spacing w:after="0" w:line="360" w:lineRule="auto"/>
        <w:ind w:right="-93"/>
        <w:jc w:val="both"/>
        <w:rPr>
          <w:rFonts w:ascii="Palatino Linotype" w:hAnsi="Palatino Linotype" w:cs="Tahoma"/>
          <w:bCs/>
          <w:lang w:eastAsia="es-ES"/>
        </w:rPr>
      </w:pPr>
      <w:r w:rsidRPr="00CB2C73">
        <w:rPr>
          <w:rFonts w:ascii="Palatino Linotype" w:hAnsi="Palatino Linotype" w:cs="Tahoma"/>
          <w:bCs/>
          <w:lang w:eastAsia="es-ES"/>
        </w:rPr>
        <w:t>Dichas medidas deben considerar el riesgo inherente a los datos personales tratados; su sensibilidad; el desarrollo tecnológico; las posibles consecuencias de una vulneración para los titulares; las transferencias que se realicen; el número de titulares; las vulneraciones previas ocurridas en los sistemas de tratamiento, y el riesgo por el valor potencial cuantitativo o cualitativo que pudieran tener los datos personales tratados para una tercera persona no autorizada para su posesión.</w:t>
      </w:r>
    </w:p>
    <w:p w14:paraId="2E707C56" w14:textId="77777777" w:rsidR="005D12BC" w:rsidRPr="00CB2C73" w:rsidRDefault="005D12BC" w:rsidP="005D12BC">
      <w:pPr>
        <w:spacing w:after="0" w:line="360" w:lineRule="auto"/>
        <w:ind w:right="-93"/>
        <w:jc w:val="both"/>
        <w:rPr>
          <w:rFonts w:ascii="Palatino Linotype" w:hAnsi="Palatino Linotype" w:cs="Tahoma"/>
          <w:bCs/>
          <w:lang w:eastAsia="es-ES"/>
        </w:rPr>
      </w:pPr>
    </w:p>
    <w:p w14:paraId="2C5EADA9" w14:textId="77777777" w:rsidR="005D12BC" w:rsidRPr="00CB2C73" w:rsidRDefault="005D12BC" w:rsidP="005D12BC">
      <w:pPr>
        <w:spacing w:after="0" w:line="360" w:lineRule="auto"/>
        <w:ind w:right="-93"/>
        <w:jc w:val="both"/>
        <w:rPr>
          <w:rFonts w:ascii="Palatino Linotype" w:hAnsi="Palatino Linotype" w:cs="Tahoma"/>
          <w:bCs/>
          <w:lang w:eastAsia="es-ES"/>
        </w:rPr>
      </w:pPr>
      <w:r w:rsidRPr="00CB2C73">
        <w:rPr>
          <w:rFonts w:ascii="Palatino Linotype" w:hAnsi="Palatino Linotype" w:cs="Tahoma"/>
          <w:bCs/>
          <w:lang w:eastAsia="es-ES"/>
        </w:rPr>
        <w:t>Para cumplir con lo anterior el artículo 33 de la Ley en cita refiere, los sujetos obligados deben:</w:t>
      </w:r>
    </w:p>
    <w:p w14:paraId="4738EBA2" w14:textId="77777777" w:rsidR="005D12BC" w:rsidRPr="00CB2C73" w:rsidRDefault="005D12BC" w:rsidP="005D12BC">
      <w:pPr>
        <w:spacing w:after="0" w:line="360" w:lineRule="auto"/>
        <w:ind w:right="-93"/>
        <w:jc w:val="both"/>
        <w:rPr>
          <w:rFonts w:ascii="Palatino Linotype" w:hAnsi="Palatino Linotype" w:cs="Tahoma"/>
          <w:bCs/>
          <w:lang w:eastAsia="es-ES"/>
        </w:rPr>
      </w:pPr>
    </w:p>
    <w:p w14:paraId="6DB48B60" w14:textId="77777777" w:rsidR="005D12BC" w:rsidRPr="00CB2C73" w:rsidRDefault="005D12BC" w:rsidP="005D12BC">
      <w:pPr>
        <w:numPr>
          <w:ilvl w:val="0"/>
          <w:numId w:val="11"/>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Crear políticas internas para la gestión y tratamiento de los datos personales, que tomen en cuenta el contexto en el que ocurren los tratamientos y el ciclo de vida de los datos personales, es decir, su obtención, uso y posterior supresión;</w:t>
      </w:r>
    </w:p>
    <w:p w14:paraId="4253E6CC" w14:textId="77777777" w:rsidR="005D12BC" w:rsidRPr="00CB2C73" w:rsidRDefault="005D12BC" w:rsidP="005D12BC">
      <w:pPr>
        <w:numPr>
          <w:ilvl w:val="0"/>
          <w:numId w:val="11"/>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Definir las funciones y obligaciones del personal involucrado en el tratamiento de datos personales;</w:t>
      </w:r>
    </w:p>
    <w:p w14:paraId="27CA02F1" w14:textId="77777777" w:rsidR="005D12BC" w:rsidRPr="00CB2C73" w:rsidRDefault="005D12BC" w:rsidP="005D12BC">
      <w:pPr>
        <w:numPr>
          <w:ilvl w:val="0"/>
          <w:numId w:val="11"/>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Elaborar un inventario de datos personales y de los sistemas de tratamiento;</w:t>
      </w:r>
    </w:p>
    <w:p w14:paraId="0BDFA16F" w14:textId="77777777" w:rsidR="005D12BC" w:rsidRPr="00CB2C73" w:rsidRDefault="005D12BC" w:rsidP="005D12BC">
      <w:pPr>
        <w:numPr>
          <w:ilvl w:val="0"/>
          <w:numId w:val="11"/>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lastRenderedPageBreak/>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1D40D68C" w14:textId="77777777" w:rsidR="005D12BC" w:rsidRPr="00CB2C73" w:rsidRDefault="005D12BC" w:rsidP="005D12BC">
      <w:pPr>
        <w:numPr>
          <w:ilvl w:val="0"/>
          <w:numId w:val="11"/>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Realizar un análisis de brecha, comparando las medidas de seguridad existentes contra las faltantes en la organización del responsable;</w:t>
      </w:r>
    </w:p>
    <w:p w14:paraId="5B738DAD" w14:textId="77777777" w:rsidR="005D12BC" w:rsidRPr="00CB2C73" w:rsidRDefault="005D12BC" w:rsidP="005D12BC">
      <w:pPr>
        <w:numPr>
          <w:ilvl w:val="0"/>
          <w:numId w:val="11"/>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Elaborar un plan de trabajo para la implementación de las medidas de seguridad faltantes, así como las medidas para el cumplimiento cotidiano de las políticas de gestión y tratamiento de los datos personales;</w:t>
      </w:r>
    </w:p>
    <w:p w14:paraId="7B0F175C" w14:textId="77777777" w:rsidR="005D12BC" w:rsidRPr="00CB2C73" w:rsidRDefault="005D12BC" w:rsidP="005D12BC">
      <w:pPr>
        <w:numPr>
          <w:ilvl w:val="0"/>
          <w:numId w:val="11"/>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Monitorear y revisar de manera periódica las medidas de seguridad implementadas, así como las amenazas y vulneraciones a las que están sujetos los datos personales, y</w:t>
      </w:r>
    </w:p>
    <w:p w14:paraId="0D002BBF" w14:textId="77777777" w:rsidR="005D12BC" w:rsidRPr="00CB2C73" w:rsidRDefault="005D12BC" w:rsidP="005D12BC">
      <w:pPr>
        <w:numPr>
          <w:ilvl w:val="0"/>
          <w:numId w:val="11"/>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Diseñar y aplicar diferentes niveles de capacitación del personal bajo su mando, dependiendo de sus roles y responsabilidades respecto del tratamiento de los datos personales.</w:t>
      </w:r>
    </w:p>
    <w:p w14:paraId="5A9AF3A9" w14:textId="77777777" w:rsidR="005D12BC" w:rsidRPr="00CB2C73" w:rsidRDefault="005D12BC" w:rsidP="005D12BC">
      <w:pPr>
        <w:spacing w:after="0" w:line="360" w:lineRule="auto"/>
        <w:ind w:right="-93"/>
        <w:jc w:val="both"/>
        <w:rPr>
          <w:rFonts w:ascii="Palatino Linotype" w:hAnsi="Palatino Linotype" w:cs="Tahoma"/>
          <w:bCs/>
          <w:lang w:eastAsia="es-ES"/>
        </w:rPr>
      </w:pPr>
    </w:p>
    <w:p w14:paraId="058279DB" w14:textId="77777777" w:rsidR="005D12BC" w:rsidRPr="00CB2C73" w:rsidRDefault="005D12BC" w:rsidP="005D12BC">
      <w:pPr>
        <w:spacing w:after="0" w:line="360" w:lineRule="auto"/>
        <w:ind w:right="-93"/>
        <w:jc w:val="both"/>
        <w:rPr>
          <w:rFonts w:ascii="Palatino Linotype" w:hAnsi="Palatino Linotype" w:cs="Tahoma"/>
          <w:bCs/>
          <w:lang w:eastAsia="es-ES"/>
        </w:rPr>
      </w:pPr>
      <w:r w:rsidRPr="00CB2C73">
        <w:rPr>
          <w:rFonts w:ascii="Palatino Linotype" w:hAnsi="Palatino Linotype" w:cs="Tahoma"/>
          <w:bCs/>
          <w:lang w:eastAsia="es-ES"/>
        </w:rPr>
        <w:t xml:space="preserve">Ahora bien, la Ley General dispone en el artículo 35 la obligación de generar un </w:t>
      </w:r>
      <w:r w:rsidRPr="00CB2C73">
        <w:rPr>
          <w:rFonts w:ascii="Palatino Linotype" w:hAnsi="Palatino Linotype" w:cs="Tahoma"/>
          <w:b/>
          <w:bCs/>
          <w:lang w:eastAsia="es-ES"/>
        </w:rPr>
        <w:t xml:space="preserve">documento de seguridad </w:t>
      </w:r>
      <w:r w:rsidRPr="00CB2C73">
        <w:rPr>
          <w:rFonts w:ascii="Palatino Linotype" w:hAnsi="Palatino Linotype" w:cs="Tahoma"/>
          <w:bCs/>
          <w:lang w:eastAsia="es-ES"/>
        </w:rPr>
        <w:t>que entre otros aspectos contenga el análisis de riesgos, el análisis de brecha; el plan de trabajo; los mecanismos de monitoreo y revisión de las medidas de seguridad, y el programa general de capacitación; información que son de interés del ahora Recurrente.</w:t>
      </w:r>
    </w:p>
    <w:p w14:paraId="798989C4" w14:textId="77777777" w:rsidR="005D12BC" w:rsidRPr="00CB2C73" w:rsidRDefault="005D12BC" w:rsidP="005D12BC">
      <w:pPr>
        <w:spacing w:after="0" w:line="360" w:lineRule="auto"/>
        <w:ind w:right="-93"/>
        <w:jc w:val="both"/>
        <w:rPr>
          <w:rFonts w:ascii="Palatino Linotype" w:hAnsi="Palatino Linotype" w:cs="Tahoma"/>
          <w:bCs/>
          <w:lang w:eastAsia="es-ES"/>
        </w:rPr>
      </w:pPr>
    </w:p>
    <w:p w14:paraId="2C7721C9" w14:textId="77777777" w:rsidR="005D12BC" w:rsidRPr="00CB2C73" w:rsidRDefault="005D12BC" w:rsidP="005D12BC">
      <w:pPr>
        <w:spacing w:after="0" w:line="360" w:lineRule="auto"/>
        <w:ind w:right="-93"/>
        <w:jc w:val="both"/>
        <w:rPr>
          <w:rFonts w:ascii="Palatino Linotype" w:hAnsi="Palatino Linotype" w:cs="Tahoma"/>
          <w:bCs/>
          <w:lang w:eastAsia="es-ES"/>
        </w:rPr>
      </w:pPr>
      <w:r w:rsidRPr="00CB2C73">
        <w:rPr>
          <w:rFonts w:ascii="Palatino Linotype" w:hAnsi="Palatino Linotype" w:cs="Tahoma"/>
          <w:bCs/>
          <w:lang w:eastAsia="es-ES"/>
        </w:rPr>
        <w:t>En competencia local, la Ley de Protección de Datos Personales en Posesión de Sujetos Obligados del Estado de México y Municipios, sobre nuestro tema de interés refiere lo siguiente:</w:t>
      </w:r>
    </w:p>
    <w:p w14:paraId="7157DFFA" w14:textId="77777777" w:rsidR="005D12BC" w:rsidRPr="00CB2C73" w:rsidRDefault="005D12BC" w:rsidP="005D12BC">
      <w:pPr>
        <w:spacing w:after="0" w:line="360" w:lineRule="auto"/>
        <w:ind w:right="-93"/>
        <w:jc w:val="both"/>
        <w:rPr>
          <w:rFonts w:ascii="Palatino Linotype" w:hAnsi="Palatino Linotype" w:cs="Tahoma"/>
          <w:bCs/>
          <w:lang w:eastAsia="es-ES"/>
        </w:rPr>
      </w:pPr>
    </w:p>
    <w:p w14:paraId="5338705B" w14:textId="77777777" w:rsidR="005D12BC" w:rsidRPr="00CB2C73" w:rsidRDefault="005D12BC" w:rsidP="00A039EC">
      <w:pPr>
        <w:spacing w:after="0" w:line="276" w:lineRule="auto"/>
        <w:ind w:left="567" w:right="567"/>
        <w:jc w:val="both"/>
        <w:rPr>
          <w:rFonts w:ascii="Palatino Linotype" w:hAnsi="Palatino Linotype" w:cs="Tahoma"/>
          <w:b/>
          <w:bCs/>
          <w:i/>
          <w:lang w:eastAsia="es-ES"/>
        </w:rPr>
      </w:pPr>
      <w:r w:rsidRPr="00CB2C73">
        <w:rPr>
          <w:rFonts w:ascii="Palatino Linotype" w:hAnsi="Palatino Linotype" w:cs="Tahoma"/>
          <w:b/>
          <w:bCs/>
          <w:i/>
          <w:lang w:eastAsia="es-ES"/>
        </w:rPr>
        <w:t xml:space="preserve">Del objeto de la Ley </w:t>
      </w:r>
    </w:p>
    <w:p w14:paraId="373B3AAF"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
          <w:bCs/>
          <w:i/>
          <w:lang w:eastAsia="es-ES"/>
        </w:rPr>
        <w:t>Artículo 1</w:t>
      </w:r>
      <w:r w:rsidRPr="00CB2C73">
        <w:rPr>
          <w:rFonts w:ascii="Palatino Linotype" w:hAnsi="Palatino Linotype" w:cs="Tahoma"/>
          <w:bCs/>
          <w:i/>
          <w:lang w:eastAsia="es-ES"/>
        </w:rPr>
        <w:t xml:space="preserve">. La presente Ley es de orden público, interés social y observancia obligatoria en el Estado de México y sus Municipios. Es reglamentaria de las disposiciones en materia de </w:t>
      </w:r>
      <w:r w:rsidRPr="00CB2C73">
        <w:rPr>
          <w:rFonts w:ascii="Palatino Linotype" w:hAnsi="Palatino Linotype" w:cs="Tahoma"/>
          <w:bCs/>
          <w:i/>
          <w:lang w:eastAsia="es-ES"/>
        </w:rPr>
        <w:lastRenderedPageBreak/>
        <w:t>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14:paraId="76472D6D"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23A6B758" w14:textId="77777777" w:rsidR="005D12BC" w:rsidRPr="00CB2C73" w:rsidRDefault="005D12BC" w:rsidP="00A039EC">
      <w:pPr>
        <w:spacing w:after="0" w:line="276" w:lineRule="auto"/>
        <w:ind w:left="567" w:right="567"/>
        <w:jc w:val="both"/>
        <w:rPr>
          <w:rFonts w:ascii="Palatino Linotype" w:hAnsi="Palatino Linotype" w:cs="Tahoma"/>
          <w:b/>
          <w:bCs/>
          <w:i/>
          <w:lang w:eastAsia="es-ES"/>
        </w:rPr>
      </w:pPr>
      <w:r w:rsidRPr="00CB2C73">
        <w:rPr>
          <w:rFonts w:ascii="Palatino Linotype" w:hAnsi="Palatino Linotype" w:cs="Tahoma"/>
          <w:b/>
          <w:bCs/>
          <w:i/>
          <w:lang w:eastAsia="es-ES"/>
        </w:rPr>
        <w:t xml:space="preserve">De las finalidades de la Ley </w:t>
      </w:r>
    </w:p>
    <w:p w14:paraId="4DD4717A"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
          <w:bCs/>
          <w:i/>
          <w:lang w:eastAsia="es-ES"/>
        </w:rPr>
        <w:t>Artículo 2.</w:t>
      </w:r>
      <w:r w:rsidRPr="00CB2C73">
        <w:rPr>
          <w:rFonts w:ascii="Palatino Linotype" w:hAnsi="Palatino Linotype" w:cs="Tahoma"/>
          <w:bCs/>
          <w:i/>
          <w:lang w:eastAsia="es-ES"/>
        </w:rPr>
        <w:t xml:space="preserve"> Son finalidades de la presente Ley:</w:t>
      </w:r>
    </w:p>
    <w:p w14:paraId="6A122C3C"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 a III. …</w:t>
      </w:r>
    </w:p>
    <w:p w14:paraId="5637EE9C"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IV. Proteger los datos personales en posesión de los sujetos obligados del Estado de México y municipios a los que se refiere esta Ley, con la finalidad de regular su debido tratamiento.</w:t>
      </w:r>
    </w:p>
    <w:p w14:paraId="3AC9B754"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V. Promover la adopción de medidas de seguridad que garanticen, la integridad, disponibilidad y confidencialidad de los datos personales en posesión de los sujetos obligados, estableciendo los mecanismos para asegurar su cumplimiento.</w:t>
      </w:r>
    </w:p>
    <w:p w14:paraId="678AF77E"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VI. a X. …</w:t>
      </w:r>
    </w:p>
    <w:p w14:paraId="59457EC7"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5A1D889C" w14:textId="77777777" w:rsidR="005D12BC" w:rsidRPr="00CB2C73" w:rsidRDefault="005D12BC" w:rsidP="00A039EC">
      <w:pPr>
        <w:spacing w:after="0" w:line="276" w:lineRule="auto"/>
        <w:ind w:left="567" w:right="567"/>
        <w:jc w:val="both"/>
        <w:rPr>
          <w:rFonts w:ascii="Palatino Linotype" w:hAnsi="Palatino Linotype" w:cs="Tahoma"/>
          <w:b/>
          <w:bCs/>
          <w:i/>
          <w:lang w:eastAsia="es-ES"/>
        </w:rPr>
      </w:pPr>
      <w:r w:rsidRPr="00CB2C73">
        <w:rPr>
          <w:rFonts w:ascii="Palatino Linotype" w:hAnsi="Palatino Linotype" w:cs="Tahoma"/>
          <w:b/>
          <w:bCs/>
          <w:i/>
          <w:lang w:eastAsia="es-ES"/>
        </w:rPr>
        <w:t>Glosario</w:t>
      </w:r>
    </w:p>
    <w:p w14:paraId="3A0EAD3A"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Artículo 4. Para los efectos de esta Ley se entenderá por:</w:t>
      </w:r>
    </w:p>
    <w:p w14:paraId="60185AC4"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 a XVII. …</w:t>
      </w:r>
    </w:p>
    <w:p w14:paraId="215F0319"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XVIII. Documento de seguridad: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 XIX. a XXX. …</w:t>
      </w:r>
    </w:p>
    <w:p w14:paraId="55068D27"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XXXI. Medidas de seguridad administrativas: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7761FE69"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XXXII. Medidas de seguridad físicas: a las acciones y mecanismos para proteger el entorno físico de los datos personales y de los recursos involucrados en su tratamiento. De manera enunciativa más no limitativa, se considerarán las actividades siguientes:</w:t>
      </w:r>
    </w:p>
    <w:p w14:paraId="0569FBE8"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a) Prevenir el acceso no autorizado al perímetro de la organización, sus instalaciones físicas, áreas críticas, recursos e información.</w:t>
      </w:r>
    </w:p>
    <w:p w14:paraId="4DF1AD33"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b) Prevenir el daño o interferencia a las instalaciones físicas, áreas críticas de la organización, recursos e información.</w:t>
      </w:r>
    </w:p>
    <w:p w14:paraId="4B8E6707"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c) Proteger los recursos móviles, portátiles y cualquier soporte físico o electrónico que pueda salir de la organización.</w:t>
      </w:r>
    </w:p>
    <w:p w14:paraId="311347CB"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lastRenderedPageBreak/>
        <w:t>d) Proveer a los equipos que contienen o almacenan datos personales de un mantenimiento eficaz que asegure su disponibilidad e integridad.</w:t>
      </w:r>
    </w:p>
    <w:p w14:paraId="4BB5FED4"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XXXIII. Medidas de seguridad técnicas: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1FFDDAD1"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a) Prevenir que el acceso a los sistemas y bases de datos o a la información, así como a los recursos, sea por usuarios identificados y autorizados.</w:t>
      </w:r>
    </w:p>
    <w:p w14:paraId="68C0488F"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b) Generar un esquema de privilegios para que el usuario lleve a cabo las actividades que requiere con motivo de sus funciones.</w:t>
      </w:r>
    </w:p>
    <w:p w14:paraId="33AC7E7A"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c) Revisar la configuración de seguridad en la adquisición, operación, desarrollo y mantenimiento del software y hardware.</w:t>
      </w:r>
    </w:p>
    <w:p w14:paraId="7B7CD0B4"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d) Gestionar las comunicaciones, operaciones y medios de almacenamiento de los recursos informáticos en el tratamiento de datos personales.</w:t>
      </w:r>
    </w:p>
    <w:p w14:paraId="7E5F870B"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XXXIII. a LI. …</w:t>
      </w:r>
    </w:p>
    <w:p w14:paraId="31CCA25D"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127D9CE2"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LII. Violación de la seguridad de los datos personales: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comprendidas dentro de este concepto las vulneraciones a las que hace referencia la Ley General de Protección de Datos Personales en Posesión de Sujetos Obligados. </w:t>
      </w:r>
    </w:p>
    <w:p w14:paraId="77F84E6F"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0BE5EB58" w14:textId="77777777" w:rsidR="005D12BC" w:rsidRPr="00CB2C73" w:rsidRDefault="005D12BC" w:rsidP="00A039EC">
      <w:pPr>
        <w:spacing w:after="0" w:line="276" w:lineRule="auto"/>
        <w:ind w:left="567" w:right="567"/>
        <w:jc w:val="center"/>
        <w:rPr>
          <w:rFonts w:ascii="Palatino Linotype" w:hAnsi="Palatino Linotype" w:cs="Tahoma"/>
          <w:b/>
          <w:bCs/>
          <w:i/>
          <w:lang w:eastAsia="es-ES"/>
        </w:rPr>
      </w:pPr>
      <w:r w:rsidRPr="00CB2C73">
        <w:rPr>
          <w:rFonts w:ascii="Palatino Linotype" w:hAnsi="Palatino Linotype" w:cs="Tahoma"/>
          <w:b/>
          <w:bCs/>
          <w:i/>
          <w:lang w:eastAsia="es-ES"/>
        </w:rPr>
        <w:t>CAPÍTULO PRIMERO</w:t>
      </w:r>
    </w:p>
    <w:p w14:paraId="0E823B8E" w14:textId="77777777" w:rsidR="005D12BC" w:rsidRPr="00CB2C73" w:rsidRDefault="005D12BC" w:rsidP="00A039EC">
      <w:pPr>
        <w:spacing w:after="0" w:line="276" w:lineRule="auto"/>
        <w:ind w:left="567" w:right="567"/>
        <w:jc w:val="center"/>
        <w:rPr>
          <w:rFonts w:ascii="Palatino Linotype" w:hAnsi="Palatino Linotype" w:cs="Tahoma"/>
          <w:b/>
          <w:bCs/>
          <w:i/>
          <w:lang w:eastAsia="es-ES"/>
        </w:rPr>
      </w:pPr>
      <w:r w:rsidRPr="00CB2C73">
        <w:rPr>
          <w:rFonts w:ascii="Palatino Linotype" w:hAnsi="Palatino Linotype" w:cs="Tahoma"/>
          <w:b/>
          <w:bCs/>
          <w:i/>
          <w:lang w:eastAsia="es-ES"/>
        </w:rPr>
        <w:t>DE LOS PRINCIPIOS EN MATERIA DE PROTECCIÓN</w:t>
      </w:r>
    </w:p>
    <w:p w14:paraId="35336CFC" w14:textId="77777777" w:rsidR="005D12BC" w:rsidRPr="00CB2C73" w:rsidRDefault="005D12BC" w:rsidP="00A039EC">
      <w:pPr>
        <w:spacing w:after="0" w:line="276" w:lineRule="auto"/>
        <w:ind w:left="567" w:right="567"/>
        <w:jc w:val="center"/>
        <w:rPr>
          <w:rFonts w:ascii="Palatino Linotype" w:hAnsi="Palatino Linotype" w:cs="Tahoma"/>
          <w:b/>
          <w:bCs/>
          <w:i/>
          <w:lang w:eastAsia="es-ES"/>
        </w:rPr>
      </w:pPr>
      <w:r w:rsidRPr="00CB2C73">
        <w:rPr>
          <w:rFonts w:ascii="Palatino Linotype" w:hAnsi="Palatino Linotype" w:cs="Tahoma"/>
          <w:b/>
          <w:bCs/>
          <w:i/>
          <w:lang w:eastAsia="es-ES"/>
        </w:rPr>
        <w:t>DE DATOS PERSONALES</w:t>
      </w:r>
    </w:p>
    <w:p w14:paraId="10E8D472"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4F2AC52C" w14:textId="77777777" w:rsidR="005D12BC" w:rsidRPr="00CB2C73" w:rsidRDefault="005D12BC" w:rsidP="00A039EC">
      <w:pPr>
        <w:spacing w:after="0" w:line="276" w:lineRule="auto"/>
        <w:ind w:left="567" w:right="567"/>
        <w:jc w:val="both"/>
        <w:rPr>
          <w:rFonts w:ascii="Palatino Linotype" w:hAnsi="Palatino Linotype" w:cs="Tahoma"/>
          <w:b/>
          <w:bCs/>
          <w:i/>
          <w:lang w:eastAsia="es-ES"/>
        </w:rPr>
      </w:pPr>
      <w:r w:rsidRPr="00CB2C73">
        <w:rPr>
          <w:rFonts w:ascii="Palatino Linotype" w:hAnsi="Palatino Linotype" w:cs="Tahoma"/>
          <w:b/>
          <w:bCs/>
          <w:i/>
          <w:lang w:eastAsia="es-ES"/>
        </w:rPr>
        <w:t>Principio de Calidad</w:t>
      </w:r>
    </w:p>
    <w:p w14:paraId="36DB05D2"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
          <w:bCs/>
          <w:i/>
          <w:lang w:eastAsia="es-ES"/>
        </w:rPr>
        <w:t>Artículo 16.</w:t>
      </w:r>
      <w:r w:rsidRPr="00CB2C73">
        <w:rPr>
          <w:rFonts w:ascii="Palatino Linotype" w:hAnsi="Palatino Linotype" w:cs="Tahoma"/>
          <w:bCs/>
          <w:i/>
          <w:lang w:eastAsia="es-ES"/>
        </w:rPr>
        <w:t xml:space="preserve"> Los responsables adoptarán las medidas para mantener exactos, completos, correctos y actualizados los datos personales en su posesión, para no alterar su veracidad.</w:t>
      </w:r>
    </w:p>
    <w:p w14:paraId="0B7B2528"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Se presume que se cumple con la calidad en los datos personales cuando éstos son proporcionados directamente por la o el titular y hasta que éste no manifieste y acredite lo contrario.</w:t>
      </w:r>
    </w:p>
    <w:p w14:paraId="0E4D172C"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lastRenderedPageBreak/>
        <w:t>Cuando los datos personales hayan dejado de ser necesarios para el cumplimiento de las finalidades previstas en el aviso de privacidad y que motivaron su tratamiento conforme a las disposiciones que resulten aplicables, serán suprimidos previo bloqueo y concluido su plazo de conservación.</w:t>
      </w:r>
    </w:p>
    <w:p w14:paraId="3E7EA9D5"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Los plazos de conservación de los datos personales no excederán los necesarios para el cumplimiento de las finalidades que justificaron su tratamiento, atendiendo a las disposiciones legales aplicables en la materia de que se trate y considerar los aspectos administrativos, contables, fiscales, jurídicos e históricos de los datos personales, en términos de su catálogo de disposición documental.</w:t>
      </w:r>
    </w:p>
    <w:p w14:paraId="1C4628B9"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Con el objeto de preservar la veracidad de la información, el responsable llevará una bitácora de las modificaciones que ha realizado a los registros de las usuarias y los usuarios de los sistemas y bases de datos personales, pudiendo conservar, los datos que se han referido inexactos, incompletos, incorrectos o desactualizados, los cuales inclusive podrán ser utilizados para efecto de responsabilidades.</w:t>
      </w:r>
    </w:p>
    <w:p w14:paraId="4A94FA9A"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505EC507"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Mecanismos para demostrar el cumplimiento del principio de responsabilidad</w:t>
      </w:r>
    </w:p>
    <w:p w14:paraId="5EB98AA3"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Artículo 28. Entre los mecanismos que deberá adoptar el responsable para cumplir con el principio de responsabilidad establecido en la presente Ley están, al menos, los siguientes:</w:t>
      </w:r>
    </w:p>
    <w:p w14:paraId="0F087B0A"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 a II. …</w:t>
      </w:r>
    </w:p>
    <w:p w14:paraId="5364F0B8"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III. Poner en práctica un programa de capacitación y actualización del personal sobre las obligaciones y demás deberes en materia de protección de datos personales.</w:t>
      </w:r>
    </w:p>
    <w:p w14:paraId="6273A4A0"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IV. Revisar periódicamente las políticas y programas de seguridad de datos personales para determinar las modificaciones que se requieran.</w:t>
      </w:r>
    </w:p>
    <w:p w14:paraId="097F698B"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V. Establecer un sistema de supervisión y vigilancia interna y/o externas, incluyendo auditorías, para comprobar el cumplimiento de las políticas de protección de datos personales.</w:t>
      </w:r>
    </w:p>
    <w:p w14:paraId="78009DAF" w14:textId="77777777" w:rsidR="005D12BC" w:rsidRPr="00CB2C73" w:rsidRDefault="005D12BC" w:rsidP="00A039EC">
      <w:pPr>
        <w:spacing w:after="0" w:line="276" w:lineRule="auto"/>
        <w:ind w:left="567" w:right="567"/>
        <w:jc w:val="center"/>
        <w:rPr>
          <w:rFonts w:ascii="Palatino Linotype" w:hAnsi="Palatino Linotype" w:cs="Tahoma"/>
          <w:b/>
          <w:bCs/>
          <w:i/>
          <w:lang w:eastAsia="es-ES"/>
        </w:rPr>
      </w:pPr>
    </w:p>
    <w:p w14:paraId="4AAE3883" w14:textId="77777777" w:rsidR="005D12BC" w:rsidRPr="00CB2C73" w:rsidRDefault="005D12BC" w:rsidP="00A039EC">
      <w:pPr>
        <w:spacing w:after="0" w:line="276" w:lineRule="auto"/>
        <w:ind w:left="567" w:right="567"/>
        <w:jc w:val="center"/>
        <w:rPr>
          <w:rFonts w:ascii="Palatino Linotype" w:hAnsi="Palatino Linotype" w:cs="Tahoma"/>
          <w:b/>
          <w:bCs/>
          <w:i/>
          <w:lang w:eastAsia="es-ES"/>
        </w:rPr>
      </w:pPr>
      <w:r w:rsidRPr="00CB2C73">
        <w:rPr>
          <w:rFonts w:ascii="Palatino Linotype" w:hAnsi="Palatino Linotype" w:cs="Tahoma"/>
          <w:b/>
          <w:bCs/>
          <w:i/>
          <w:lang w:eastAsia="es-ES"/>
        </w:rPr>
        <w:t>CAPÍTULO SEGUNDO</w:t>
      </w:r>
    </w:p>
    <w:p w14:paraId="18BACFD6" w14:textId="77777777" w:rsidR="005D12BC" w:rsidRPr="00CB2C73" w:rsidRDefault="005D12BC" w:rsidP="00A039EC">
      <w:pPr>
        <w:spacing w:after="0" w:line="276" w:lineRule="auto"/>
        <w:ind w:left="567" w:right="567"/>
        <w:jc w:val="center"/>
        <w:rPr>
          <w:rFonts w:ascii="Palatino Linotype" w:hAnsi="Palatino Linotype" w:cs="Tahoma"/>
          <w:b/>
          <w:bCs/>
          <w:i/>
          <w:lang w:eastAsia="es-ES"/>
        </w:rPr>
      </w:pPr>
      <w:r w:rsidRPr="00CB2C73">
        <w:rPr>
          <w:rFonts w:ascii="Palatino Linotype" w:hAnsi="Palatino Linotype" w:cs="Tahoma"/>
          <w:b/>
          <w:bCs/>
          <w:i/>
          <w:lang w:eastAsia="es-ES"/>
        </w:rPr>
        <w:t>DE LAS MEDIDAS DE SEGURIDAD</w:t>
      </w:r>
    </w:p>
    <w:p w14:paraId="51C3FAD7"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667AE97D" w14:textId="77777777" w:rsidR="005D12BC" w:rsidRPr="00CB2C73" w:rsidRDefault="005D12BC" w:rsidP="00A039EC">
      <w:pPr>
        <w:spacing w:after="0" w:line="276" w:lineRule="auto"/>
        <w:ind w:left="567" w:right="567"/>
        <w:jc w:val="both"/>
        <w:rPr>
          <w:rFonts w:ascii="Palatino Linotype" w:hAnsi="Palatino Linotype" w:cs="Tahoma"/>
          <w:b/>
          <w:bCs/>
          <w:i/>
          <w:lang w:eastAsia="es-ES"/>
        </w:rPr>
      </w:pPr>
      <w:r w:rsidRPr="00CB2C73">
        <w:rPr>
          <w:rFonts w:ascii="Palatino Linotype" w:hAnsi="Palatino Linotype" w:cs="Tahoma"/>
          <w:b/>
          <w:bCs/>
          <w:i/>
          <w:lang w:eastAsia="es-ES"/>
        </w:rPr>
        <w:t xml:space="preserve">Naturaleza de las medidas de seguridad y registro del nivel de seguridad. </w:t>
      </w:r>
    </w:p>
    <w:p w14:paraId="145C4305"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
          <w:bCs/>
          <w:i/>
          <w:lang w:eastAsia="es-ES"/>
        </w:rPr>
        <w:t>Artículo 43.</w:t>
      </w:r>
      <w:r w:rsidRPr="00CB2C73">
        <w:rPr>
          <w:rFonts w:ascii="Palatino Linotype" w:hAnsi="Palatino Linotype" w:cs="Tahoma"/>
          <w:bCs/>
          <w:i/>
          <w:lang w:eastAsia="es-E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w:t>
      </w:r>
      <w:r w:rsidRPr="00CB2C73">
        <w:rPr>
          <w:rFonts w:ascii="Palatino Linotype" w:hAnsi="Palatino Linotype" w:cs="Tahoma"/>
          <w:bCs/>
          <w:i/>
          <w:lang w:eastAsia="es-ES"/>
        </w:rPr>
        <w:lastRenderedPageBreak/>
        <w:t>adopten serán consideradas confidenciales y únicamente se comunicará al Instituto, para su registro, el nivel de seguridad aplicable.</w:t>
      </w:r>
    </w:p>
    <w:p w14:paraId="3283CBCB"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052DEE56"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4E1D0693"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En el supuesto de actualización de estos datos, la modificación respectiva se notificará al Instituto en sus oficinas o en el portal que para tal efecto se cree, dentro de los treinta días hábiles siguientes a la fecha en que se efectuó.</w:t>
      </w:r>
    </w:p>
    <w:p w14:paraId="4A920B1F"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El responsable o el encargado, designarán a una o un administrador, quien tendrá bajo su responsabilidad directa la base y sistema de datos personales.</w:t>
      </w:r>
    </w:p>
    <w:p w14:paraId="5FC1764E"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1BE48A92"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Elementos a considerar para la adopción de medidas de seguridad y su naturaleza</w:t>
      </w:r>
    </w:p>
    <w:p w14:paraId="29A4BCA9"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
          <w:bCs/>
          <w:i/>
          <w:lang w:eastAsia="es-ES"/>
        </w:rPr>
        <w:t>Artículo 45.</w:t>
      </w:r>
      <w:r w:rsidRPr="00CB2C73">
        <w:rPr>
          <w:rFonts w:ascii="Palatino Linotype" w:hAnsi="Palatino Linotype" w:cs="Tahoma"/>
          <w:bCs/>
          <w:i/>
          <w:lang w:eastAsia="es-ES"/>
        </w:rPr>
        <w:t xml:space="preserve"> Las medidas de seguridad adoptadas por el responsable considerarán:</w:t>
      </w:r>
    </w:p>
    <w:p w14:paraId="2FE66D06"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 El riesgo inherente a los datos personales tratados.</w:t>
      </w:r>
    </w:p>
    <w:p w14:paraId="35F1398D"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II. La sensibilidad de los datos personales tratados.</w:t>
      </w:r>
    </w:p>
    <w:p w14:paraId="02399CCF"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III. El desarrollo tecnológico.</w:t>
      </w:r>
    </w:p>
    <w:p w14:paraId="774168B8"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IV. Las posibles consecuencias de una vulneración para las y los titulares.</w:t>
      </w:r>
    </w:p>
    <w:p w14:paraId="235B4B8A"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V. Las transferencias de datos personales que se realicen.</w:t>
      </w:r>
    </w:p>
    <w:p w14:paraId="006DBEE2"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VI. El número de titulares.</w:t>
      </w:r>
    </w:p>
    <w:p w14:paraId="0D409E19"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VII. Las violaciones a la seguridad previas ocurridas en los sistemas de tratamiento.</w:t>
      </w:r>
    </w:p>
    <w:p w14:paraId="02FDEF31"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VIII. El riesgo por el valor potencial cuantitativo o cualitativo que pudieran tener los datos personales tratados para una tercera persona no autorizada para su posesión.</w:t>
      </w:r>
    </w:p>
    <w:p w14:paraId="62CDDC10"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Actividades interrelacionadas para establecer y mantener las medidas de seguridad</w:t>
      </w:r>
    </w:p>
    <w:p w14:paraId="0E804F49"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6B6E60CF"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
          <w:bCs/>
          <w:i/>
          <w:lang w:eastAsia="es-ES"/>
        </w:rPr>
        <w:t>Artículo 46.</w:t>
      </w:r>
      <w:r w:rsidRPr="00CB2C73">
        <w:rPr>
          <w:rFonts w:ascii="Palatino Linotype" w:hAnsi="Palatino Linotype" w:cs="Tahoma"/>
          <w:bCs/>
          <w:i/>
          <w:lang w:eastAsia="es-ES"/>
        </w:rPr>
        <w:t xml:space="preserve"> Para establecer y mantener las medidas de seguridad para la protección de los datos personales, el responsable realizará, al menos, las actividades interrelacionadas siguientes:</w:t>
      </w:r>
    </w:p>
    <w:p w14:paraId="0484D55F"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 Crear políticas internas para la gestión y tratamiento de los datos personales, que tomen en cuenta el contexto en el que ocurren los tratamientos y el ciclo de vida de los datos personales, es decir, su obtención, uso y posterior supresión.</w:t>
      </w:r>
    </w:p>
    <w:p w14:paraId="76FA4DD6"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lastRenderedPageBreak/>
        <w:t>II. Definir las funciones y obligaciones del personal involucrado en el tratamiento de datos personales.</w:t>
      </w:r>
    </w:p>
    <w:p w14:paraId="7B891103"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III. Elaborar un inventario de datos personales y de las bases y o sistemas de tratamiento.</w:t>
      </w:r>
    </w:p>
    <w:p w14:paraId="545E8D1C"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4A58501A"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V. Realizar un análisis de brecha, comparando las medidas de seguridad existentes contra las faltantes en la organización del responsable.</w:t>
      </w:r>
    </w:p>
    <w:p w14:paraId="3905C29F" w14:textId="77777777" w:rsidR="005D12BC" w:rsidRPr="00CB2C73" w:rsidRDefault="005D12BC" w:rsidP="00A039EC">
      <w:pPr>
        <w:spacing w:after="0" w:line="276" w:lineRule="auto"/>
        <w:ind w:left="567" w:right="567"/>
        <w:jc w:val="both"/>
        <w:rPr>
          <w:rFonts w:ascii="Palatino Linotype" w:hAnsi="Palatino Linotype" w:cs="Tahoma"/>
          <w:b/>
          <w:i/>
          <w:lang w:eastAsia="es-ES"/>
        </w:rPr>
      </w:pPr>
      <w:r w:rsidRPr="00CB2C73">
        <w:rPr>
          <w:rFonts w:ascii="Palatino Linotype" w:hAnsi="Palatino Linotype" w:cs="Tahoma"/>
          <w:b/>
          <w:i/>
          <w:lang w:eastAsia="es-ES"/>
        </w:rPr>
        <w:t>VI. Elaborar un plan de trabajo para la implementación de las medidas de seguridad faltantes, así como las medidas para el cumplimiento cotidiano de las políticas de gestión y tratamiento de los datos personales.</w:t>
      </w:r>
    </w:p>
    <w:p w14:paraId="2D082B0D"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VII. Monitorear y revisar de manera periódica las medidas de seguridad implementadas, así como las amenazas y vulnerabilidades a las que están sujetos los datos personales.</w:t>
      </w:r>
    </w:p>
    <w:p w14:paraId="2D684AAB"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VIII. Diseñar y aplicar diferentes niveles de capacitación del personal bajo su mando, dependiendo de sus roles y responsabilidades respecto del tratamiento de los datos personales</w:t>
      </w:r>
    </w:p>
    <w:p w14:paraId="15055DC3"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09EABAF0" w14:textId="77777777" w:rsidR="005D12BC" w:rsidRPr="00CB2C73" w:rsidRDefault="005D12BC" w:rsidP="00A039EC">
      <w:pPr>
        <w:spacing w:after="0" w:line="276" w:lineRule="auto"/>
        <w:ind w:left="567" w:right="567"/>
        <w:jc w:val="both"/>
        <w:rPr>
          <w:rFonts w:ascii="Palatino Linotype" w:hAnsi="Palatino Linotype" w:cs="Tahoma"/>
          <w:b/>
          <w:bCs/>
          <w:i/>
          <w:lang w:eastAsia="es-ES"/>
        </w:rPr>
      </w:pPr>
      <w:r w:rsidRPr="00CB2C73">
        <w:rPr>
          <w:rFonts w:ascii="Palatino Linotype" w:hAnsi="Palatino Linotype" w:cs="Tahoma"/>
          <w:b/>
          <w:bCs/>
          <w:i/>
          <w:lang w:eastAsia="es-ES"/>
        </w:rPr>
        <w:t>Contenido del Documento de Seguridad</w:t>
      </w:r>
    </w:p>
    <w:p w14:paraId="0D124C67"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Artículo 49. El documento de seguridad deberá contener como mínimo lo siguiente:</w:t>
      </w:r>
    </w:p>
    <w:p w14:paraId="1209BC46"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I. Respecto de los sistemas de datos personales:</w:t>
      </w:r>
    </w:p>
    <w:p w14:paraId="1A888D64"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a) El nombre.</w:t>
      </w:r>
    </w:p>
    <w:p w14:paraId="03A50581"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b) El nombre, cargo y adscripción del administrador de cada sistema y base de datos.</w:t>
      </w:r>
    </w:p>
    <w:p w14:paraId="6CD0E6F9"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c) Las funciones y obligaciones del responsable, encargado o encargados y todas las personas que traten datos personales. </w:t>
      </w:r>
    </w:p>
    <w:p w14:paraId="2539D8BE"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d) El folio del registro del sistema y base de datos. </w:t>
      </w:r>
    </w:p>
    <w:p w14:paraId="373CB549"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e) El inventario o la especificación detallada del tipo de datos personales contenidos. </w:t>
      </w:r>
    </w:p>
    <w:p w14:paraId="2F037734"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f) La estructura y descripción de los sistemas y bases de datos personales, lo cual consiste en precisar y describir el tipo de soporte, así como las características del lugar donde se resguardan.</w:t>
      </w:r>
    </w:p>
    <w:p w14:paraId="3300DCE2"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II. Respecto de las medidas de seguridad implementadas deberá incluir lo siguiente: </w:t>
      </w:r>
    </w:p>
    <w:p w14:paraId="43269F85"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a) Transferencia y remisiones. </w:t>
      </w:r>
    </w:p>
    <w:p w14:paraId="3BC28DDA"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b) Resguardo de soportes físicos y electrónicos. </w:t>
      </w:r>
    </w:p>
    <w:p w14:paraId="31C8CA8C"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c) Bitácoras para accesos, operación cotidiana y violaciones a la seguridad de los datos personales. </w:t>
      </w:r>
    </w:p>
    <w:p w14:paraId="7F0F3B57"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lastRenderedPageBreak/>
        <w:t xml:space="preserve">d) El análisis de riesgos. </w:t>
      </w:r>
    </w:p>
    <w:p w14:paraId="06647AAF"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e) El análisis de brecha. </w:t>
      </w:r>
    </w:p>
    <w:p w14:paraId="57C34BA3"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f) Gestión de incidentes. </w:t>
      </w:r>
    </w:p>
    <w:p w14:paraId="7A3991AA"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g) Acceso a las instalaciones. </w:t>
      </w:r>
    </w:p>
    <w:p w14:paraId="0D9624B7"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h) Identificación y autenticación. </w:t>
      </w:r>
    </w:p>
    <w:p w14:paraId="540B40FE"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i) Procedimientos de respaldo y recuperación de datos. </w:t>
      </w:r>
    </w:p>
    <w:p w14:paraId="4EC9392C" w14:textId="77777777" w:rsidR="005D12BC" w:rsidRPr="00CB2C73" w:rsidRDefault="005D12BC" w:rsidP="00A039EC">
      <w:pPr>
        <w:spacing w:after="0" w:line="276" w:lineRule="auto"/>
        <w:ind w:left="567" w:right="567"/>
        <w:jc w:val="both"/>
        <w:rPr>
          <w:rFonts w:ascii="Palatino Linotype" w:hAnsi="Palatino Linotype" w:cs="Tahoma"/>
          <w:b/>
          <w:bCs/>
          <w:i/>
          <w:u w:val="single"/>
          <w:lang w:eastAsia="es-ES"/>
        </w:rPr>
      </w:pPr>
      <w:r w:rsidRPr="00CB2C73">
        <w:rPr>
          <w:rFonts w:ascii="Palatino Linotype" w:hAnsi="Palatino Linotype" w:cs="Tahoma"/>
          <w:b/>
          <w:bCs/>
          <w:i/>
          <w:u w:val="single"/>
          <w:lang w:eastAsia="es-ES"/>
        </w:rPr>
        <w:t xml:space="preserve">j) Plan de contingencia. </w:t>
      </w:r>
    </w:p>
    <w:p w14:paraId="18A33237"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k) Auditorías. </w:t>
      </w:r>
    </w:p>
    <w:p w14:paraId="47CA2AAB"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l) Supresión y borrado seguro de datos.</w:t>
      </w:r>
    </w:p>
    <w:p w14:paraId="31D3AEEC" w14:textId="77777777" w:rsidR="005D12BC" w:rsidRPr="00CB2C73" w:rsidRDefault="005D12BC" w:rsidP="00A039EC">
      <w:pPr>
        <w:spacing w:after="0" w:line="276" w:lineRule="auto"/>
        <w:ind w:left="567" w:right="567"/>
        <w:jc w:val="both"/>
        <w:rPr>
          <w:rFonts w:ascii="Palatino Linotype" w:hAnsi="Palatino Linotype" w:cs="Tahoma"/>
          <w:i/>
          <w:lang w:eastAsia="es-ES"/>
        </w:rPr>
      </w:pPr>
      <w:r w:rsidRPr="00CB2C73">
        <w:rPr>
          <w:rFonts w:ascii="Palatino Linotype" w:hAnsi="Palatino Linotype" w:cs="Tahoma"/>
          <w:i/>
          <w:lang w:eastAsia="es-ES"/>
        </w:rPr>
        <w:t>m) El plan de trabajo.</w:t>
      </w:r>
    </w:p>
    <w:p w14:paraId="20EA748B"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n) Los mecanismos de monitoreo y revisión de las medidas de seguridad.</w:t>
      </w:r>
    </w:p>
    <w:p w14:paraId="5D85C60C"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o) El programa general de capacitación.</w:t>
      </w:r>
    </w:p>
    <w:p w14:paraId="700B941F"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073E5A55" w14:textId="77777777" w:rsidR="005D12BC" w:rsidRPr="00CB2C73" w:rsidRDefault="005D12BC" w:rsidP="00A039EC">
      <w:pPr>
        <w:spacing w:after="0" w:line="276" w:lineRule="auto"/>
        <w:ind w:left="567" w:right="567"/>
        <w:jc w:val="center"/>
        <w:rPr>
          <w:rFonts w:ascii="Palatino Linotype" w:hAnsi="Palatino Linotype" w:cs="Tahoma"/>
          <w:b/>
          <w:bCs/>
          <w:i/>
          <w:lang w:eastAsia="es-ES"/>
        </w:rPr>
      </w:pPr>
      <w:r w:rsidRPr="00CB2C73">
        <w:rPr>
          <w:rFonts w:ascii="Palatino Linotype" w:hAnsi="Palatino Linotype" w:cs="Tahoma"/>
          <w:b/>
          <w:bCs/>
          <w:i/>
          <w:lang w:eastAsia="es-ES"/>
        </w:rPr>
        <w:t>CAPÍTULO TERCERO DE LAS VIOLACIONES A LA SEGURIDAD DE LOS DATOS PERSONALES</w:t>
      </w:r>
    </w:p>
    <w:p w14:paraId="7E1C2619"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18EE8844"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Plan de Contingencia y </w:t>
      </w:r>
      <w:r w:rsidRPr="00CB2C73">
        <w:rPr>
          <w:rFonts w:ascii="Palatino Linotype" w:hAnsi="Palatino Linotype" w:cs="Tahoma"/>
          <w:i/>
          <w:lang w:eastAsia="es-ES"/>
        </w:rPr>
        <w:t>Plan de Trabajo</w:t>
      </w:r>
      <w:r w:rsidRPr="00CB2C73">
        <w:rPr>
          <w:rFonts w:ascii="Palatino Linotype" w:hAnsi="Palatino Linotype" w:cs="Tahoma"/>
          <w:bCs/>
          <w:i/>
          <w:lang w:eastAsia="es-ES"/>
        </w:rPr>
        <w:t xml:space="preserve"> </w:t>
      </w:r>
    </w:p>
    <w:p w14:paraId="11EE63DC"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Artículo 51. En caso de que ocurra una violación a la seguridad de los datos personales, el responsable implementará las acciones definidas en su plan de contingencia. </w:t>
      </w:r>
    </w:p>
    <w:p w14:paraId="0179A985"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p>
    <w:p w14:paraId="33690871" w14:textId="77777777" w:rsidR="005D12BC" w:rsidRPr="00CB2C73" w:rsidRDefault="005D12BC" w:rsidP="00A039EC">
      <w:pPr>
        <w:spacing w:after="0" w:line="276" w:lineRule="auto"/>
        <w:ind w:left="567" w:right="567"/>
        <w:jc w:val="both"/>
        <w:rPr>
          <w:rFonts w:ascii="Palatino Linotype" w:hAnsi="Palatino Linotype" w:cs="Tahoma"/>
          <w:bCs/>
          <w:i/>
          <w:lang w:eastAsia="es-ES"/>
        </w:rPr>
      </w:pPr>
      <w:r w:rsidRPr="00CB2C73">
        <w:rPr>
          <w:rFonts w:ascii="Palatino Linotype" w:hAnsi="Palatino Linotype" w:cs="Tahoma"/>
          <w:bCs/>
          <w:i/>
          <w:lang w:eastAsia="es-ES"/>
        </w:rPr>
        <w:t xml:space="preserve">De manera posterior y durante la ocurrencia de los efectos de la violación a la seguridad de los datos personales, el responsable analizará las causas por las cuales se presentó e </w:t>
      </w:r>
      <w:r w:rsidRPr="00CB2C73">
        <w:rPr>
          <w:rFonts w:ascii="Palatino Linotype" w:hAnsi="Palatino Linotype" w:cs="Tahoma"/>
          <w:b/>
          <w:i/>
          <w:lang w:eastAsia="es-ES"/>
        </w:rPr>
        <w:t>implementar en su plan de trabajo las acciones preventivas y correctivas para adecuar las medidas de seguridad</w:t>
      </w:r>
      <w:r w:rsidRPr="00CB2C73">
        <w:rPr>
          <w:rFonts w:ascii="Palatino Linotype" w:hAnsi="Palatino Linotype" w:cs="Tahoma"/>
          <w:bCs/>
          <w:i/>
          <w:lang w:eastAsia="es-ES"/>
        </w:rPr>
        <w:t xml:space="preserve"> </w:t>
      </w:r>
      <w:r w:rsidRPr="00CB2C73">
        <w:rPr>
          <w:rFonts w:ascii="Palatino Linotype" w:hAnsi="Palatino Linotype" w:cs="Tahoma"/>
          <w:b/>
          <w:bCs/>
          <w:i/>
          <w:lang w:eastAsia="es-ES"/>
        </w:rPr>
        <w:t>y el tratamiento de los datos personales si fuese el caso, a efecto de evitar que la violación se repita.</w:t>
      </w:r>
    </w:p>
    <w:p w14:paraId="5F75A893" w14:textId="77777777" w:rsidR="005D12BC" w:rsidRPr="00CB2C73" w:rsidRDefault="005D12BC" w:rsidP="005D12BC">
      <w:pPr>
        <w:spacing w:after="0" w:line="360" w:lineRule="auto"/>
        <w:ind w:left="567" w:right="567"/>
        <w:jc w:val="both"/>
        <w:rPr>
          <w:rFonts w:ascii="Palatino Linotype" w:hAnsi="Palatino Linotype" w:cs="Tahoma"/>
          <w:bCs/>
          <w:i/>
          <w:lang w:eastAsia="es-ES"/>
        </w:rPr>
      </w:pPr>
    </w:p>
    <w:p w14:paraId="3FD0E65B" w14:textId="77777777" w:rsidR="005D12BC" w:rsidRPr="00CB2C73" w:rsidRDefault="005D12BC" w:rsidP="005D12BC">
      <w:pPr>
        <w:spacing w:after="0" w:line="360" w:lineRule="auto"/>
        <w:ind w:right="-93"/>
        <w:jc w:val="both"/>
        <w:rPr>
          <w:rFonts w:ascii="Palatino Linotype" w:hAnsi="Palatino Linotype" w:cs="Tahoma"/>
          <w:bCs/>
          <w:lang w:eastAsia="es-ES"/>
        </w:rPr>
      </w:pPr>
      <w:r w:rsidRPr="00CB2C73">
        <w:rPr>
          <w:rFonts w:ascii="Palatino Linotype" w:hAnsi="Palatino Linotype" w:cs="Tahoma"/>
          <w:bCs/>
          <w:lang w:eastAsia="es-ES"/>
        </w:rPr>
        <w:t>De las disposiciones anteriores es importante resaltar que, para dar cumplimiento a la ley de la materia específicamente aplicable a nuestra Entidad, pero plenamente correspondiente con la Ley General, toda las instituciones públicas tienen la obligación de proteger los sistemas de datos personas que administran y para ello, debe cumplir con estándares mínimos que garanticen que los datos no serán alterados, sustraídos, incompletos, inexactos, destruidos, etc., para ello las instituciones públicas deben:</w:t>
      </w:r>
    </w:p>
    <w:p w14:paraId="4C221636" w14:textId="77777777" w:rsidR="005D12BC" w:rsidRPr="00CB2C73" w:rsidRDefault="005D12BC" w:rsidP="005D12BC">
      <w:pPr>
        <w:spacing w:after="0" w:line="360" w:lineRule="auto"/>
        <w:ind w:right="-93"/>
        <w:jc w:val="both"/>
        <w:rPr>
          <w:rFonts w:ascii="Palatino Linotype" w:hAnsi="Palatino Linotype" w:cs="Tahoma"/>
          <w:bCs/>
          <w:lang w:eastAsia="es-ES"/>
        </w:rPr>
      </w:pPr>
    </w:p>
    <w:p w14:paraId="52BAF7B3" w14:textId="77777777" w:rsidR="005D12BC" w:rsidRPr="00CB2C73" w:rsidRDefault="005D12BC" w:rsidP="005D12BC">
      <w:pPr>
        <w:numPr>
          <w:ilvl w:val="0"/>
          <w:numId w:val="12"/>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lastRenderedPageBreak/>
        <w:t>Proteger los datos personales y promover la adopción de medidas de seguridad en sus sistemas de datos.</w:t>
      </w:r>
    </w:p>
    <w:p w14:paraId="69BD5EF3" w14:textId="77777777" w:rsidR="005D12BC" w:rsidRPr="00CB2C73" w:rsidRDefault="005D12BC" w:rsidP="005D12BC">
      <w:pPr>
        <w:numPr>
          <w:ilvl w:val="0"/>
          <w:numId w:val="12"/>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Las medidas de seguridad deben garantizar que los datos personales se mantengan exactos, completos, correctos y actualizados, en atención al principio de calidad.</w:t>
      </w:r>
    </w:p>
    <w:p w14:paraId="20F070B6" w14:textId="77777777" w:rsidR="005D12BC" w:rsidRPr="00CB2C73" w:rsidRDefault="005D12BC" w:rsidP="005D12BC">
      <w:pPr>
        <w:numPr>
          <w:ilvl w:val="0"/>
          <w:numId w:val="12"/>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Poner en práctica un programa de capacitación y actualización de su personal, para que conozcan las obligaciones que implica el tratamiento de datos personales.</w:t>
      </w:r>
    </w:p>
    <w:p w14:paraId="4320C731" w14:textId="77777777" w:rsidR="005D12BC" w:rsidRPr="00CB2C73" w:rsidRDefault="005D12BC" w:rsidP="005D12BC">
      <w:pPr>
        <w:numPr>
          <w:ilvl w:val="0"/>
          <w:numId w:val="12"/>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Implementar políticas y programas de seguridad de los datos personales, los cuales requieren una revisión continua para realizar las mejoras que se requieran.</w:t>
      </w:r>
    </w:p>
    <w:p w14:paraId="5B866ACE" w14:textId="77777777" w:rsidR="005D12BC" w:rsidRPr="00CB2C73" w:rsidRDefault="005D12BC" w:rsidP="005D12BC">
      <w:pPr>
        <w:numPr>
          <w:ilvl w:val="0"/>
          <w:numId w:val="12"/>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Las medidas de seguridad que se pueden implementar son técnicas, administrativas y físicas y para determinar las que se deben aplicar es necesario tomar en consideración el riesgo inherente, así como el riesgo por el valor potencial de los datos, la sensibilidad de los datos, el desarrollo tecnológico, las posibles consecuencias de vulneración, si se realizan transferencias de los datos, el número de personas de quienes se tratan los datos, así como en su caso, si existieron anteriormente vulneraciones.</w:t>
      </w:r>
    </w:p>
    <w:p w14:paraId="4EBC5007" w14:textId="77777777" w:rsidR="005D12BC" w:rsidRPr="00CB2C73" w:rsidRDefault="005D12BC" w:rsidP="005D12BC">
      <w:pPr>
        <w:numPr>
          <w:ilvl w:val="0"/>
          <w:numId w:val="12"/>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Para establecer las medidas de seguridad es necesario realizar análisis de riesgo de los datos personales, así como análisis de brecha.</w:t>
      </w:r>
      <w:r w:rsidRPr="00CB2C73">
        <w:rPr>
          <w:rFonts w:ascii="Palatino Linotype" w:hAnsi="Palatino Linotype" w:cs="Tahoma"/>
          <w:b/>
          <w:bCs/>
          <w:lang w:eastAsia="es-ES"/>
        </w:rPr>
        <w:t xml:space="preserve"> </w:t>
      </w:r>
      <w:r w:rsidRPr="00CB2C73">
        <w:rPr>
          <w:rFonts w:ascii="Palatino Linotype" w:hAnsi="Palatino Linotype" w:cs="Tahoma"/>
          <w:bCs/>
          <w:lang w:eastAsia="es-ES"/>
        </w:rPr>
        <w:t xml:space="preserve"> No se deja de lado que la Ley no establece una temporalidad en la que se deben realizar estar actividades.</w:t>
      </w:r>
    </w:p>
    <w:p w14:paraId="29570BAA" w14:textId="77777777" w:rsidR="005D12BC" w:rsidRPr="00CB2C73" w:rsidRDefault="005D12BC" w:rsidP="005D12BC">
      <w:pPr>
        <w:numPr>
          <w:ilvl w:val="0"/>
          <w:numId w:val="12"/>
        </w:numPr>
        <w:spacing w:after="0" w:line="360" w:lineRule="auto"/>
        <w:ind w:right="-93"/>
        <w:contextualSpacing/>
        <w:jc w:val="both"/>
        <w:rPr>
          <w:rFonts w:ascii="Palatino Linotype" w:hAnsi="Palatino Linotype" w:cs="Tahoma"/>
          <w:bCs/>
          <w:lang w:eastAsia="es-ES"/>
        </w:rPr>
      </w:pPr>
      <w:r w:rsidRPr="00CB2C73">
        <w:rPr>
          <w:rFonts w:ascii="Palatino Linotype" w:hAnsi="Palatino Linotype" w:cs="Tahoma"/>
          <w:bCs/>
          <w:lang w:eastAsia="es-ES"/>
        </w:rPr>
        <w:t>Además se requiere elaborar un plan de trabajo para la implementación de medidas de seguridad, este se entiende que es trabajo complementario, pues derivado de los análisis la mejora de la protección debe basarse en dicho plan.</w:t>
      </w:r>
    </w:p>
    <w:p w14:paraId="0B673A8C" w14:textId="77777777" w:rsidR="005D12BC" w:rsidRPr="00CB2C73" w:rsidRDefault="005D12BC" w:rsidP="005D12BC">
      <w:pPr>
        <w:numPr>
          <w:ilvl w:val="0"/>
          <w:numId w:val="12"/>
        </w:numPr>
        <w:spacing w:after="0" w:line="360" w:lineRule="auto"/>
        <w:ind w:right="-93"/>
        <w:contextualSpacing/>
        <w:jc w:val="both"/>
        <w:rPr>
          <w:rFonts w:ascii="Palatino Linotype" w:hAnsi="Palatino Linotype" w:cs="Tahoma"/>
          <w:lang w:eastAsia="es-ES"/>
        </w:rPr>
      </w:pPr>
      <w:r w:rsidRPr="00CB2C73">
        <w:rPr>
          <w:rFonts w:ascii="Palatino Linotype" w:hAnsi="Palatino Linotype" w:cs="Tahoma"/>
          <w:lang w:eastAsia="es-ES"/>
        </w:rPr>
        <w:t>El documento de seguridad debe componerse de diversos apartados y todos ellos, están encaminados a resguardar los datos en posesión de los Sujetos Obligados, que a su vez debe integrarse por bitácoras de acceso, operación cotidiana y violaciones a la seguridad de los datos.</w:t>
      </w:r>
    </w:p>
    <w:p w14:paraId="123DD2C5" w14:textId="77777777" w:rsidR="005D12BC" w:rsidRPr="00CB2C73" w:rsidRDefault="005D12BC" w:rsidP="005D12BC">
      <w:pPr>
        <w:spacing w:after="0" w:line="360" w:lineRule="auto"/>
        <w:ind w:right="-93"/>
        <w:jc w:val="both"/>
        <w:rPr>
          <w:rFonts w:ascii="Palatino Linotype" w:hAnsi="Palatino Linotype" w:cs="Tahoma"/>
          <w:bCs/>
          <w:lang w:eastAsia="es-ES"/>
        </w:rPr>
      </w:pPr>
    </w:p>
    <w:p w14:paraId="68CB9519" w14:textId="1CD04CAF" w:rsidR="005D12BC" w:rsidRPr="00CB2C73" w:rsidRDefault="005D12BC" w:rsidP="005D12BC">
      <w:pPr>
        <w:spacing w:after="0" w:line="360" w:lineRule="auto"/>
        <w:ind w:right="-93"/>
        <w:jc w:val="both"/>
        <w:rPr>
          <w:rFonts w:ascii="Palatino Linotype" w:eastAsia="Times New Roman" w:hAnsi="Palatino Linotype" w:cs="Tahoma"/>
          <w:bCs/>
          <w:iCs/>
          <w:lang w:eastAsia="es-ES"/>
        </w:rPr>
      </w:pPr>
      <w:r w:rsidRPr="00CB2C73">
        <w:rPr>
          <w:rFonts w:ascii="Palatino Linotype" w:hAnsi="Palatino Linotype" w:cs="Tahoma"/>
          <w:bCs/>
          <w:lang w:eastAsia="es-ES"/>
        </w:rPr>
        <w:t xml:space="preserve">En este punto, se puede afirmar que el </w:t>
      </w:r>
      <w:r w:rsidR="00A039EC" w:rsidRPr="00CB2C73">
        <w:rPr>
          <w:rFonts w:ascii="Palatino Linotype" w:hAnsi="Palatino Linotype" w:cs="Tahoma"/>
          <w:bCs/>
          <w:lang w:eastAsia="es-ES"/>
        </w:rPr>
        <w:t xml:space="preserve">Plan de Contingencia </w:t>
      </w:r>
      <w:r w:rsidRPr="00CB2C73">
        <w:rPr>
          <w:rFonts w:ascii="Palatino Linotype" w:hAnsi="Palatino Linotype" w:cs="Tahoma"/>
          <w:bCs/>
          <w:lang w:eastAsia="es-ES"/>
        </w:rPr>
        <w:t xml:space="preserve">debe ser incluido en los documentos que dan cuenta de las medidas de seguridad. El contexto de la protección de los </w:t>
      </w:r>
      <w:r w:rsidRPr="00CB2C73">
        <w:rPr>
          <w:rFonts w:ascii="Palatino Linotype" w:hAnsi="Palatino Linotype" w:cs="Tahoma"/>
          <w:bCs/>
          <w:lang w:eastAsia="es-ES"/>
        </w:rPr>
        <w:lastRenderedPageBreak/>
        <w:t>datos personales, constriñe a gobierno a resguardar de manera más escrupulosa esta información cuando obra en los archivos de los Sujetos Obligados ya sea en bases o sistemas de datos personales, debido a que estos, se han vuelto de mayor relevancia por incremento de la velocidad en el tráfico de los mismo en virtud de que</w:t>
      </w:r>
      <w:r w:rsidRPr="00CB2C73">
        <w:rPr>
          <w:rFonts w:ascii="Palatino Linotype" w:eastAsia="Times New Roman" w:hAnsi="Palatino Linotype" w:cs="Tahoma"/>
          <w:bCs/>
          <w:iCs/>
          <w:lang w:eastAsia="es-ES"/>
        </w:rPr>
        <w:t xml:space="preserve"> están sistematizados, debido al vertiginoso avance de las tecnologías, motivo por el cual incluso, se  les ha denominado como “el nuevo oro negro”; en tal sentido el objeto de la Ley de Protección de Datos, busca que en todo momento las instituciones públicas lleven a cabo acciones que impidan un acceso o tratamiento fuera del marco de la ley, pues dado el valor que han cobrado, existen muchos individuos que buscan acceder a los sistemas de datos con fines ilícitos, lo que ocasiona también una vulneración a los derechos humanos de las personas.</w:t>
      </w:r>
    </w:p>
    <w:p w14:paraId="6523CF80" w14:textId="77777777" w:rsidR="005D12BC" w:rsidRPr="00CB2C73" w:rsidRDefault="005D12BC" w:rsidP="005D12BC">
      <w:pPr>
        <w:spacing w:after="0" w:line="360" w:lineRule="auto"/>
        <w:ind w:right="-93"/>
        <w:jc w:val="both"/>
        <w:rPr>
          <w:rFonts w:ascii="Palatino Linotype" w:eastAsia="Times New Roman" w:hAnsi="Palatino Linotype" w:cs="Tahoma"/>
          <w:bCs/>
          <w:iCs/>
          <w:lang w:eastAsia="es-ES"/>
        </w:rPr>
      </w:pPr>
    </w:p>
    <w:p w14:paraId="29DC3F29" w14:textId="77777777" w:rsidR="005D12BC" w:rsidRPr="00CB2C73" w:rsidRDefault="005D12BC" w:rsidP="005D12BC">
      <w:pPr>
        <w:spacing w:after="0" w:line="360" w:lineRule="auto"/>
        <w:ind w:right="-93"/>
        <w:jc w:val="both"/>
        <w:rPr>
          <w:rFonts w:ascii="Palatino Linotype" w:eastAsia="Times New Roman" w:hAnsi="Palatino Linotype" w:cs="Tahoma"/>
          <w:bCs/>
          <w:iCs/>
          <w:lang w:eastAsia="es-ES"/>
        </w:rPr>
      </w:pPr>
      <w:r w:rsidRPr="00CB2C73">
        <w:rPr>
          <w:rFonts w:ascii="Palatino Linotype" w:eastAsia="Times New Roman" w:hAnsi="Palatino Linotype" w:cs="Tahoma"/>
          <w:bCs/>
          <w:iCs/>
          <w:lang w:eastAsia="es-ES"/>
        </w:rPr>
        <w:t xml:space="preserve">En tal sentido, el artículo 39, fracción IV, de la Ley en comento señala que se deberán observar deberes para garantizar un nivel de seguridad adecuado al riesgo de los datos personales, pues no es lo mismo tener un sistema de datos personales en donde se contenga el directorio de servidores públicos, con nombre, cargo y extensión telefónica de, centro de trabajo, que uno que contenga el nombre y sueldo sumado al nombre del banco y número de cuenta al que se deposita, incluso no es lo mismo esta información bancaria que los expedientes clínicos que constituyen datos sensibles y que el riesgo que representan es mucho mayor; para ello, parte de esos deberes es realizar un proceso de verificación, evaluación y valoración regulares de la eficacia de las medidas técnicas y organizativas para garantizar la seguridad del tratamiento. </w:t>
      </w:r>
    </w:p>
    <w:p w14:paraId="7E1AA778" w14:textId="77777777" w:rsidR="00A039EC" w:rsidRPr="00CB2C73" w:rsidRDefault="00A039EC" w:rsidP="005D12BC">
      <w:pPr>
        <w:spacing w:after="0" w:line="360" w:lineRule="auto"/>
        <w:ind w:right="-93"/>
        <w:jc w:val="both"/>
        <w:rPr>
          <w:rFonts w:ascii="Palatino Linotype" w:eastAsia="Times New Roman" w:hAnsi="Palatino Linotype" w:cs="Tahoma"/>
          <w:bCs/>
          <w:iCs/>
          <w:lang w:eastAsia="es-ES"/>
        </w:rPr>
      </w:pPr>
    </w:p>
    <w:p w14:paraId="016FE3B0" w14:textId="77777777" w:rsidR="005D12BC" w:rsidRPr="00CB2C73" w:rsidRDefault="005D12BC" w:rsidP="005D12BC">
      <w:pPr>
        <w:spacing w:after="0" w:line="360" w:lineRule="auto"/>
        <w:ind w:right="-93"/>
        <w:jc w:val="both"/>
        <w:rPr>
          <w:rFonts w:ascii="Palatino Linotype" w:eastAsia="Times New Roman" w:hAnsi="Palatino Linotype" w:cs="Tahoma"/>
          <w:bCs/>
          <w:iCs/>
          <w:lang w:eastAsia="es-ES"/>
        </w:rPr>
      </w:pPr>
      <w:r w:rsidRPr="00CB2C73">
        <w:rPr>
          <w:rFonts w:ascii="Palatino Linotype" w:eastAsia="Times New Roman" w:hAnsi="Palatino Linotype" w:cs="Tahoma"/>
          <w:bCs/>
          <w:iCs/>
          <w:lang w:eastAsia="es-ES"/>
        </w:rPr>
        <w:t>Refuerza lo anterior, lo establecido en el artículo 45, fracciones I y VIII, de la Ley de Protección de Datos, vigente en la entidad, ya que refiere que dentro de los elementos que se deben considerar está el riesgo inherente a los datos personales tratados, así como el riesgo por el valor potencial cuantitativo o cualitativo que pudieran tener los datos personales tratados para una tercera persona no autorizada para su posesión.</w:t>
      </w:r>
    </w:p>
    <w:p w14:paraId="3C7E779B" w14:textId="77777777" w:rsidR="005D12BC" w:rsidRPr="00CB2C73" w:rsidRDefault="005D12BC" w:rsidP="005D12BC">
      <w:pPr>
        <w:spacing w:after="0" w:line="360" w:lineRule="auto"/>
        <w:ind w:right="-93"/>
        <w:jc w:val="both"/>
        <w:rPr>
          <w:rFonts w:ascii="Palatino Linotype" w:eastAsia="Times New Roman" w:hAnsi="Palatino Linotype" w:cs="Tahoma"/>
          <w:bCs/>
          <w:iCs/>
          <w:lang w:eastAsia="es-ES"/>
        </w:rPr>
      </w:pPr>
    </w:p>
    <w:p w14:paraId="5ABF56A4" w14:textId="7D0A6547" w:rsidR="005D12BC" w:rsidRPr="00CB2C73" w:rsidRDefault="005D12BC" w:rsidP="005D12BC">
      <w:pPr>
        <w:spacing w:after="0" w:line="360" w:lineRule="auto"/>
        <w:ind w:right="-93"/>
        <w:jc w:val="both"/>
        <w:rPr>
          <w:rFonts w:ascii="Palatino Linotype" w:eastAsia="Times New Roman" w:hAnsi="Palatino Linotype" w:cs="Tahoma"/>
          <w:bCs/>
          <w:iCs/>
          <w:lang w:eastAsia="es-ES"/>
        </w:rPr>
      </w:pPr>
      <w:r w:rsidRPr="00CB2C73">
        <w:rPr>
          <w:rFonts w:ascii="Palatino Linotype" w:eastAsia="Times New Roman" w:hAnsi="Palatino Linotype" w:cs="Tahoma"/>
          <w:bCs/>
          <w:iCs/>
          <w:lang w:eastAsia="es-ES"/>
        </w:rPr>
        <w:lastRenderedPageBreak/>
        <w:t xml:space="preserve">De acuerdo con lo expuesto, el artículo 49, fracción II, inciso m) de la Ley local de datos invocada, determina que entre los contenidos que el documento de seguridad debe incluir, se identifica el </w:t>
      </w:r>
      <w:r w:rsidR="00A039EC" w:rsidRPr="00CB2C73">
        <w:rPr>
          <w:rFonts w:ascii="Palatino Linotype" w:eastAsia="Times New Roman" w:hAnsi="Palatino Linotype" w:cs="Tahoma"/>
          <w:bCs/>
          <w:iCs/>
          <w:lang w:eastAsia="es-ES"/>
        </w:rPr>
        <w:t xml:space="preserve">plan de contingencia. </w:t>
      </w:r>
    </w:p>
    <w:p w14:paraId="7ACE3E26" w14:textId="77777777" w:rsidR="005D12BC" w:rsidRPr="00CB2C73" w:rsidRDefault="005D12BC" w:rsidP="005D12BC">
      <w:pPr>
        <w:spacing w:after="0" w:line="360" w:lineRule="auto"/>
        <w:ind w:right="-93"/>
        <w:jc w:val="both"/>
        <w:rPr>
          <w:rFonts w:ascii="Palatino Linotype" w:eastAsia="Times New Roman" w:hAnsi="Palatino Linotype" w:cs="Tahoma"/>
          <w:bCs/>
          <w:iCs/>
          <w:lang w:eastAsia="es-ES"/>
        </w:rPr>
      </w:pPr>
    </w:p>
    <w:p w14:paraId="425A3C37" w14:textId="54A7B6D3" w:rsidR="00244C76" w:rsidRPr="00CB2C73" w:rsidRDefault="00A039EC" w:rsidP="005D12BC">
      <w:pPr>
        <w:spacing w:after="0" w:line="360" w:lineRule="auto"/>
        <w:ind w:right="-93"/>
        <w:jc w:val="both"/>
        <w:rPr>
          <w:rFonts w:ascii="Palatino Linotype" w:eastAsia="Times New Roman" w:hAnsi="Palatino Linotype" w:cs="Tahoma"/>
          <w:bCs/>
          <w:iCs/>
          <w:lang w:eastAsia="es-ES"/>
        </w:rPr>
      </w:pPr>
      <w:r w:rsidRPr="00CB2C73">
        <w:rPr>
          <w:rFonts w:ascii="Palatino Linotype" w:eastAsia="Times New Roman" w:hAnsi="Palatino Linotype" w:cs="Tahoma"/>
          <w:bCs/>
          <w:iCs/>
          <w:lang w:eastAsia="es-ES"/>
        </w:rPr>
        <w:t xml:space="preserve">Como se advierte, el plan de contingencia </w:t>
      </w:r>
      <w:r w:rsidR="005D12BC" w:rsidRPr="00CB2C73">
        <w:rPr>
          <w:rFonts w:ascii="Palatino Linotype" w:eastAsia="Times New Roman" w:hAnsi="Palatino Linotype" w:cs="Tahoma"/>
          <w:bCs/>
          <w:iCs/>
          <w:lang w:eastAsia="es-ES"/>
        </w:rPr>
        <w:t xml:space="preserve">forma parte del documento de seguridad y justamente considera las </w:t>
      </w:r>
      <w:r w:rsidRPr="00CB2C73">
        <w:rPr>
          <w:rFonts w:ascii="Palatino Linotype" w:eastAsia="Times New Roman" w:hAnsi="Palatino Linotype" w:cs="Tahoma"/>
          <w:bCs/>
          <w:iCs/>
          <w:lang w:eastAsia="es-ES"/>
        </w:rPr>
        <w:t xml:space="preserve">medidas y procedimientos diseñados para responder a incidentes que puedan afectar la seguridad y privacidad de la información personal que una institución maneja, siendo su principal objetivo el </w:t>
      </w:r>
      <w:r w:rsidR="00244C76" w:rsidRPr="00CB2C73">
        <w:rPr>
          <w:rFonts w:ascii="Palatino Linotype" w:eastAsia="Times New Roman" w:hAnsi="Palatino Linotype" w:cs="Tahoma"/>
          <w:bCs/>
          <w:iCs/>
          <w:lang w:eastAsia="es-ES"/>
        </w:rPr>
        <w:t xml:space="preserve">minimizar el impacto de posibles riesgos como figas de datos, accesos no autorizados o fallos técnicos y, por ende, </w:t>
      </w:r>
      <w:r w:rsidR="005D12BC" w:rsidRPr="00CB2C73">
        <w:rPr>
          <w:rFonts w:ascii="Palatino Linotype" w:eastAsia="Times New Roman" w:hAnsi="Palatino Linotype" w:cs="Tahoma"/>
          <w:bCs/>
          <w:iCs/>
          <w:lang w:eastAsia="es-ES"/>
        </w:rPr>
        <w:t xml:space="preserve">constituye información que en manos expertas puede ser utilizada para vulnerar los sistemas de datos personales, por lo que aplica lo dispuesto en el artículo 43 de la Ley de Protección de Datos Personales en Posesión de Sujetos Obligados del Estado de México y Municipios, ya que si bien, no son formalmente las medidas de seguridad implementadas, se trata </w:t>
      </w:r>
      <w:r w:rsidR="00244C76" w:rsidRPr="00CB2C73">
        <w:rPr>
          <w:rFonts w:ascii="Palatino Linotype" w:eastAsia="Times New Roman" w:hAnsi="Palatino Linotype" w:cs="Tahoma"/>
          <w:bCs/>
          <w:iCs/>
          <w:lang w:eastAsia="es-ES"/>
        </w:rPr>
        <w:t xml:space="preserve">de la respuesta a incidentes que afecten la seguridad y la privacidad de información personal. </w:t>
      </w:r>
    </w:p>
    <w:p w14:paraId="411D96F1" w14:textId="77777777" w:rsidR="00244C76" w:rsidRPr="00CB2C73" w:rsidRDefault="00244C76" w:rsidP="005D12BC">
      <w:pPr>
        <w:spacing w:after="0" w:line="360" w:lineRule="auto"/>
        <w:ind w:right="-93"/>
        <w:jc w:val="both"/>
        <w:rPr>
          <w:rFonts w:ascii="Palatino Linotype" w:eastAsia="Times New Roman" w:hAnsi="Palatino Linotype" w:cs="Tahoma"/>
          <w:bCs/>
          <w:iCs/>
          <w:lang w:eastAsia="es-ES"/>
        </w:rPr>
      </w:pPr>
    </w:p>
    <w:p w14:paraId="273470AC" w14:textId="70267507" w:rsidR="00244C76" w:rsidRPr="00CB2C73" w:rsidRDefault="00244C76" w:rsidP="005D12BC">
      <w:pPr>
        <w:spacing w:after="0" w:line="360" w:lineRule="auto"/>
        <w:ind w:right="-93"/>
        <w:jc w:val="both"/>
        <w:rPr>
          <w:rFonts w:ascii="Palatino Linotype" w:eastAsia="Times New Roman" w:hAnsi="Palatino Linotype" w:cs="Tahoma"/>
          <w:bCs/>
          <w:iCs/>
          <w:lang w:eastAsia="es-ES"/>
        </w:rPr>
      </w:pPr>
      <w:r w:rsidRPr="00CB2C73">
        <w:rPr>
          <w:rFonts w:ascii="Palatino Linotype" w:eastAsia="Times New Roman" w:hAnsi="Palatino Linotype" w:cs="Tahoma"/>
          <w:bCs/>
          <w:iCs/>
          <w:lang w:eastAsia="es-ES"/>
        </w:rPr>
        <w:t xml:space="preserve">Por lo que, se considera que la información relacionada con el Plan de Contingencia en materia de datos personales es información que es susceptible de ser clasificada como confidencial, en términos de la fracción I del artículo 143 de la Ley de Transparencia y Acceso a la Información Pública del Estado de México y Municipios. </w:t>
      </w:r>
    </w:p>
    <w:p w14:paraId="2E493E2E" w14:textId="77777777" w:rsidR="00244C76" w:rsidRPr="00CB2C73" w:rsidRDefault="00244C76" w:rsidP="005D12BC">
      <w:pPr>
        <w:spacing w:after="0" w:line="360" w:lineRule="auto"/>
        <w:ind w:right="-93"/>
        <w:jc w:val="both"/>
        <w:rPr>
          <w:rFonts w:ascii="Palatino Linotype" w:eastAsia="Times New Roman" w:hAnsi="Palatino Linotype" w:cs="Tahoma"/>
          <w:bCs/>
          <w:iCs/>
          <w:lang w:eastAsia="es-ES"/>
        </w:rPr>
      </w:pPr>
    </w:p>
    <w:p w14:paraId="08A4CB1C" w14:textId="1C4EB1C7" w:rsidR="00244C76" w:rsidRPr="00CB2C73" w:rsidRDefault="00244C76" w:rsidP="00244C76">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rPr>
        <w:t>Ahora bien, se tiene que, en respuesta, el Sujeto Obligado refirió que la información se encontraba clasificada y remitió el Acta de la Cuadragésima Décima Séptima Sesión Extraordinaria 2025 del Comité de Transparencia de fecha ocho de abril de dos mil veinticinco, mediante el cual aprobó la clasificación de la información como confidencial, por lo que, se procede a analizar el acuerdo proporcionado por el Sujeto Obligado, al tenor de lo siguiente:</w:t>
      </w:r>
    </w:p>
    <w:p w14:paraId="3510A732" w14:textId="77777777" w:rsidR="00244C76" w:rsidRPr="00CB2C73" w:rsidRDefault="00244C76" w:rsidP="00244C76">
      <w:pPr>
        <w:spacing w:after="0" w:line="360" w:lineRule="auto"/>
        <w:jc w:val="both"/>
        <w:rPr>
          <w:rFonts w:ascii="Palatino Linotype" w:eastAsia="Palatino Linotype" w:hAnsi="Palatino Linotype" w:cs="Palatino Linotype"/>
          <w:sz w:val="24"/>
        </w:rPr>
      </w:pPr>
    </w:p>
    <w:tbl>
      <w:tblPr>
        <w:tblStyle w:val="Tablaconcuadrcula1"/>
        <w:tblW w:w="9067" w:type="dxa"/>
        <w:tblLayout w:type="fixed"/>
        <w:tblLook w:val="04A0" w:firstRow="1" w:lastRow="0" w:firstColumn="1" w:lastColumn="0" w:noHBand="0" w:noVBand="1"/>
      </w:tblPr>
      <w:tblGrid>
        <w:gridCol w:w="1548"/>
        <w:gridCol w:w="7"/>
        <w:gridCol w:w="6013"/>
        <w:gridCol w:w="1499"/>
      </w:tblGrid>
      <w:tr w:rsidR="00A94965" w:rsidRPr="00CB2C73" w14:paraId="7E461EC3" w14:textId="77777777" w:rsidTr="00C10300">
        <w:trPr>
          <w:trHeight w:val="569"/>
        </w:trPr>
        <w:tc>
          <w:tcPr>
            <w:tcW w:w="1548" w:type="dxa"/>
            <w:shd w:val="clear" w:color="auto" w:fill="E7E6E6" w:themeFill="background2"/>
          </w:tcPr>
          <w:p w14:paraId="5AEB0194" w14:textId="77777777" w:rsidR="00244C76" w:rsidRPr="00CB2C73" w:rsidRDefault="00244C76" w:rsidP="00C10300">
            <w:pPr>
              <w:spacing w:before="100"/>
              <w:jc w:val="center"/>
              <w:rPr>
                <w:rFonts w:ascii="Palatino Linotype" w:hAnsi="Palatino Linotype"/>
                <w:b/>
                <w:sz w:val="18"/>
                <w:szCs w:val="18"/>
              </w:rPr>
            </w:pPr>
            <w:r w:rsidRPr="00CB2C73">
              <w:rPr>
                <w:rFonts w:ascii="Palatino Linotype" w:hAnsi="Palatino Linotype"/>
                <w:b/>
                <w:sz w:val="18"/>
                <w:szCs w:val="18"/>
              </w:rPr>
              <w:lastRenderedPageBreak/>
              <w:t>Elementos del acuerdo de clasificación</w:t>
            </w:r>
          </w:p>
        </w:tc>
        <w:tc>
          <w:tcPr>
            <w:tcW w:w="6020" w:type="dxa"/>
            <w:gridSpan w:val="2"/>
            <w:shd w:val="clear" w:color="auto" w:fill="E7E6E6" w:themeFill="background2"/>
          </w:tcPr>
          <w:p w14:paraId="04A8717F" w14:textId="77777777" w:rsidR="00244C76" w:rsidRPr="00CB2C73" w:rsidRDefault="00244C76" w:rsidP="00C10300">
            <w:pPr>
              <w:spacing w:before="100"/>
              <w:jc w:val="center"/>
              <w:rPr>
                <w:rFonts w:ascii="Palatino Linotype" w:hAnsi="Palatino Linotype"/>
                <w:b/>
                <w:sz w:val="18"/>
                <w:szCs w:val="18"/>
              </w:rPr>
            </w:pPr>
            <w:r w:rsidRPr="00CB2C73">
              <w:rPr>
                <w:rFonts w:ascii="Palatino Linotype" w:hAnsi="Palatino Linotype"/>
                <w:b/>
                <w:sz w:val="18"/>
                <w:szCs w:val="18"/>
              </w:rPr>
              <w:t>Contenido</w:t>
            </w:r>
          </w:p>
        </w:tc>
        <w:tc>
          <w:tcPr>
            <w:tcW w:w="1499" w:type="dxa"/>
            <w:shd w:val="clear" w:color="auto" w:fill="E7E6E6" w:themeFill="background2"/>
          </w:tcPr>
          <w:p w14:paraId="4D16C9BC" w14:textId="77777777" w:rsidR="00244C76" w:rsidRPr="00CB2C73" w:rsidRDefault="00244C76" w:rsidP="00C10300">
            <w:pPr>
              <w:spacing w:before="100"/>
              <w:jc w:val="center"/>
              <w:rPr>
                <w:rFonts w:ascii="Palatino Linotype" w:hAnsi="Palatino Linotype"/>
                <w:b/>
                <w:sz w:val="18"/>
                <w:szCs w:val="18"/>
              </w:rPr>
            </w:pPr>
            <w:r w:rsidRPr="00CB2C73">
              <w:rPr>
                <w:rFonts w:ascii="Palatino Linotype" w:hAnsi="Palatino Linotype"/>
                <w:b/>
                <w:sz w:val="18"/>
                <w:szCs w:val="18"/>
              </w:rPr>
              <w:t>¿Cumple?</w:t>
            </w:r>
          </w:p>
        </w:tc>
      </w:tr>
      <w:tr w:rsidR="00A94965" w:rsidRPr="00CB2C73" w14:paraId="6C7AE5F2" w14:textId="77777777" w:rsidTr="00C10300">
        <w:tc>
          <w:tcPr>
            <w:tcW w:w="1548" w:type="dxa"/>
          </w:tcPr>
          <w:p w14:paraId="63172D80" w14:textId="77777777" w:rsidR="00244C76" w:rsidRPr="00CB2C73" w:rsidRDefault="00244C76" w:rsidP="00C10300">
            <w:pPr>
              <w:spacing w:before="100"/>
              <w:jc w:val="center"/>
              <w:rPr>
                <w:rFonts w:ascii="Palatino Linotype" w:hAnsi="Palatino Linotype"/>
                <w:sz w:val="18"/>
                <w:szCs w:val="18"/>
              </w:rPr>
            </w:pPr>
            <w:r w:rsidRPr="00CB2C73">
              <w:rPr>
                <w:rFonts w:ascii="Palatino Linotype" w:hAnsi="Palatino Linotype"/>
                <w:b/>
                <w:sz w:val="18"/>
                <w:szCs w:val="18"/>
              </w:rPr>
              <w:t>Número de folio de la solicitud</w:t>
            </w:r>
          </w:p>
        </w:tc>
        <w:tc>
          <w:tcPr>
            <w:tcW w:w="6020" w:type="dxa"/>
            <w:gridSpan w:val="2"/>
          </w:tcPr>
          <w:p w14:paraId="0B3981B6" w14:textId="652A6644" w:rsidR="00244C76" w:rsidRPr="00CB2C73" w:rsidRDefault="00244C76" w:rsidP="00C10300">
            <w:pPr>
              <w:spacing w:before="100"/>
              <w:rPr>
                <w:rFonts w:ascii="Calibri" w:hAnsi="Calibri"/>
                <w:sz w:val="20"/>
                <w:szCs w:val="20"/>
              </w:rPr>
            </w:pPr>
            <w:r w:rsidRPr="00CB2C73">
              <w:rPr>
                <w:noProof/>
                <w:sz w:val="20"/>
                <w:szCs w:val="20"/>
              </w:rPr>
              <w:drawing>
                <wp:inline distT="0" distB="0" distL="0" distR="0" wp14:anchorId="26A236AA" wp14:editId="3817EA2E">
                  <wp:extent cx="3685540" cy="6489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85540" cy="648970"/>
                          </a:xfrm>
                          <a:prstGeom prst="rect">
                            <a:avLst/>
                          </a:prstGeom>
                        </pic:spPr>
                      </pic:pic>
                    </a:graphicData>
                  </a:graphic>
                </wp:inline>
              </w:drawing>
            </w:r>
          </w:p>
        </w:tc>
        <w:tc>
          <w:tcPr>
            <w:tcW w:w="1499" w:type="dxa"/>
          </w:tcPr>
          <w:p w14:paraId="3831E069" w14:textId="77777777" w:rsidR="00244C76" w:rsidRPr="00CB2C73" w:rsidRDefault="00244C76" w:rsidP="00C10300">
            <w:pPr>
              <w:spacing w:before="100"/>
              <w:jc w:val="center"/>
              <w:rPr>
                <w:rFonts w:ascii="Palatino Linotype" w:hAnsi="Palatino Linotype"/>
                <w:b/>
                <w:sz w:val="22"/>
                <w:szCs w:val="22"/>
              </w:rPr>
            </w:pPr>
            <w:r w:rsidRPr="00CB2C73">
              <w:rPr>
                <w:rFonts w:ascii="Palatino Linotype" w:hAnsi="Palatino Linotype"/>
                <w:b/>
                <w:sz w:val="22"/>
                <w:szCs w:val="22"/>
              </w:rPr>
              <w:t>Sí</w:t>
            </w:r>
          </w:p>
        </w:tc>
      </w:tr>
      <w:tr w:rsidR="00A94965" w:rsidRPr="00CB2C73" w14:paraId="7CBB7C77" w14:textId="77777777" w:rsidTr="00C10300">
        <w:tc>
          <w:tcPr>
            <w:tcW w:w="1548" w:type="dxa"/>
          </w:tcPr>
          <w:p w14:paraId="41D471E5" w14:textId="77777777" w:rsidR="00244C76" w:rsidRPr="00CB2C73" w:rsidRDefault="00244C76" w:rsidP="00C10300">
            <w:pPr>
              <w:spacing w:before="100"/>
              <w:jc w:val="center"/>
              <w:rPr>
                <w:rFonts w:ascii="Palatino Linotype" w:hAnsi="Palatino Linotype"/>
                <w:sz w:val="18"/>
                <w:szCs w:val="18"/>
              </w:rPr>
            </w:pPr>
            <w:r w:rsidRPr="00CB2C73">
              <w:rPr>
                <w:rFonts w:ascii="Palatino Linotype" w:hAnsi="Palatino Linotype"/>
                <w:b/>
                <w:sz w:val="18"/>
                <w:szCs w:val="18"/>
              </w:rPr>
              <w:t>Referencia de la información solicitada</w:t>
            </w:r>
          </w:p>
        </w:tc>
        <w:tc>
          <w:tcPr>
            <w:tcW w:w="6020" w:type="dxa"/>
            <w:gridSpan w:val="2"/>
          </w:tcPr>
          <w:p w14:paraId="0E223722" w14:textId="36A53C48" w:rsidR="00244C76" w:rsidRPr="00CB2C73" w:rsidRDefault="00244C76" w:rsidP="00C10300">
            <w:pPr>
              <w:spacing w:before="100"/>
              <w:jc w:val="center"/>
              <w:rPr>
                <w:rFonts w:ascii="Palatino Linotype" w:hAnsi="Palatino Linotype"/>
              </w:rPr>
            </w:pPr>
            <w:r w:rsidRPr="00CB2C73">
              <w:rPr>
                <w:rFonts w:ascii="Palatino Linotype" w:hAnsi="Palatino Linotype"/>
                <w:noProof/>
              </w:rPr>
              <w:drawing>
                <wp:inline distT="0" distB="0" distL="0" distR="0" wp14:anchorId="7C066CFF" wp14:editId="1D90607C">
                  <wp:extent cx="3685540" cy="2216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5540" cy="221615"/>
                          </a:xfrm>
                          <a:prstGeom prst="rect">
                            <a:avLst/>
                          </a:prstGeom>
                        </pic:spPr>
                      </pic:pic>
                    </a:graphicData>
                  </a:graphic>
                </wp:inline>
              </w:drawing>
            </w:r>
          </w:p>
        </w:tc>
        <w:tc>
          <w:tcPr>
            <w:tcW w:w="1499" w:type="dxa"/>
          </w:tcPr>
          <w:p w14:paraId="51A9DE21" w14:textId="77777777" w:rsidR="00244C76" w:rsidRPr="00CB2C73" w:rsidRDefault="00244C76" w:rsidP="00C10300">
            <w:pPr>
              <w:spacing w:before="100"/>
              <w:jc w:val="center"/>
              <w:rPr>
                <w:rFonts w:ascii="Palatino Linotype" w:hAnsi="Palatino Linotype"/>
                <w:b/>
                <w:sz w:val="22"/>
                <w:szCs w:val="22"/>
              </w:rPr>
            </w:pPr>
            <w:r w:rsidRPr="00CB2C73">
              <w:rPr>
                <w:rFonts w:ascii="Palatino Linotype" w:hAnsi="Palatino Linotype"/>
                <w:b/>
                <w:sz w:val="22"/>
                <w:szCs w:val="22"/>
              </w:rPr>
              <w:t>Sí</w:t>
            </w:r>
          </w:p>
        </w:tc>
      </w:tr>
      <w:tr w:rsidR="00A94965" w:rsidRPr="00CB2C73" w14:paraId="11DFFF2D" w14:textId="77777777" w:rsidTr="00C10300">
        <w:tc>
          <w:tcPr>
            <w:tcW w:w="1548" w:type="dxa"/>
          </w:tcPr>
          <w:p w14:paraId="3FA2D153" w14:textId="77777777" w:rsidR="00244C76" w:rsidRPr="00CB2C73" w:rsidRDefault="00244C76" w:rsidP="00C10300">
            <w:pPr>
              <w:spacing w:before="100"/>
              <w:jc w:val="center"/>
              <w:rPr>
                <w:rFonts w:ascii="Palatino Linotype" w:hAnsi="Palatino Linotype"/>
                <w:b/>
                <w:sz w:val="18"/>
                <w:szCs w:val="18"/>
              </w:rPr>
            </w:pPr>
            <w:r w:rsidRPr="00CB2C73">
              <w:rPr>
                <w:rFonts w:ascii="Palatino Linotype" w:hAnsi="Palatino Linotype"/>
                <w:b/>
                <w:sz w:val="18"/>
                <w:szCs w:val="18"/>
              </w:rPr>
              <w:t>Artículo, fracción, inciso, párrafo o numeral de la ley que le otorga el carácter de confidencial.</w:t>
            </w:r>
          </w:p>
        </w:tc>
        <w:tc>
          <w:tcPr>
            <w:tcW w:w="6020" w:type="dxa"/>
            <w:gridSpan w:val="2"/>
          </w:tcPr>
          <w:p w14:paraId="64452CCD" w14:textId="33FE7AFB" w:rsidR="00244C76" w:rsidRPr="00CB2C73" w:rsidRDefault="00244C76" w:rsidP="00C10300">
            <w:pPr>
              <w:spacing w:before="100"/>
              <w:jc w:val="center"/>
              <w:rPr>
                <w:rFonts w:ascii="Calibri" w:hAnsi="Calibri"/>
                <w:sz w:val="20"/>
                <w:szCs w:val="20"/>
              </w:rPr>
            </w:pPr>
            <w:r w:rsidRPr="00CB2C73">
              <w:rPr>
                <w:noProof/>
                <w:sz w:val="20"/>
                <w:szCs w:val="20"/>
              </w:rPr>
              <w:drawing>
                <wp:inline distT="0" distB="0" distL="0" distR="0" wp14:anchorId="44C0BBD6" wp14:editId="30F2D39D">
                  <wp:extent cx="3685540" cy="10864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5540" cy="1086485"/>
                          </a:xfrm>
                          <a:prstGeom prst="rect">
                            <a:avLst/>
                          </a:prstGeom>
                        </pic:spPr>
                      </pic:pic>
                    </a:graphicData>
                  </a:graphic>
                </wp:inline>
              </w:drawing>
            </w:r>
          </w:p>
        </w:tc>
        <w:tc>
          <w:tcPr>
            <w:tcW w:w="1499" w:type="dxa"/>
          </w:tcPr>
          <w:p w14:paraId="4CD49188" w14:textId="70C2551B" w:rsidR="00244C76" w:rsidRPr="00CB2C73" w:rsidRDefault="00244C76" w:rsidP="00C10300">
            <w:pPr>
              <w:spacing w:before="100"/>
              <w:jc w:val="center"/>
              <w:rPr>
                <w:rFonts w:ascii="Palatino Linotype" w:hAnsi="Palatino Linotype"/>
                <w:b/>
                <w:sz w:val="22"/>
                <w:szCs w:val="22"/>
              </w:rPr>
            </w:pPr>
            <w:r w:rsidRPr="00CB2C73">
              <w:rPr>
                <w:rFonts w:ascii="Palatino Linotype" w:hAnsi="Palatino Linotype"/>
                <w:b/>
                <w:sz w:val="22"/>
                <w:szCs w:val="22"/>
              </w:rPr>
              <w:t xml:space="preserve">No, no se fundamentó adecuadamente. Se clasifica como reservado. </w:t>
            </w:r>
          </w:p>
        </w:tc>
      </w:tr>
      <w:tr w:rsidR="00A94965" w:rsidRPr="00CB2C73" w14:paraId="2F7C4951" w14:textId="77777777" w:rsidTr="00C10300">
        <w:tc>
          <w:tcPr>
            <w:tcW w:w="1548" w:type="dxa"/>
          </w:tcPr>
          <w:p w14:paraId="594D22FC" w14:textId="77777777" w:rsidR="00244C76" w:rsidRPr="00CB2C73" w:rsidRDefault="00244C76" w:rsidP="00C10300">
            <w:pPr>
              <w:spacing w:before="100"/>
              <w:jc w:val="center"/>
              <w:rPr>
                <w:rFonts w:ascii="Palatino Linotype" w:hAnsi="Palatino Linotype"/>
                <w:sz w:val="18"/>
                <w:szCs w:val="18"/>
              </w:rPr>
            </w:pPr>
            <w:r w:rsidRPr="00CB2C73">
              <w:rPr>
                <w:rFonts w:ascii="Palatino Linotype" w:hAnsi="Palatino Linotype" w:cs="Palatino Linotype"/>
                <w:b/>
                <w:sz w:val="18"/>
                <w:szCs w:val="18"/>
              </w:rPr>
              <w:t>Motivación Legal</w:t>
            </w:r>
          </w:p>
        </w:tc>
        <w:tc>
          <w:tcPr>
            <w:tcW w:w="6020" w:type="dxa"/>
            <w:gridSpan w:val="2"/>
          </w:tcPr>
          <w:p w14:paraId="7F43FBE1" w14:textId="65D60CDF" w:rsidR="00244C76" w:rsidRPr="00CB2C73" w:rsidRDefault="00244C76" w:rsidP="00C10300">
            <w:pPr>
              <w:spacing w:before="100"/>
              <w:rPr>
                <w:rFonts w:ascii="Calibri" w:hAnsi="Calibri"/>
                <w:sz w:val="20"/>
                <w:szCs w:val="20"/>
              </w:rPr>
            </w:pPr>
            <w:r w:rsidRPr="00CB2C73">
              <w:rPr>
                <w:noProof/>
                <w:sz w:val="20"/>
                <w:szCs w:val="20"/>
              </w:rPr>
              <w:drawing>
                <wp:inline distT="0" distB="0" distL="0" distR="0" wp14:anchorId="5FB8B00F" wp14:editId="4B47229D">
                  <wp:extent cx="3685540" cy="9347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85540" cy="934720"/>
                          </a:xfrm>
                          <a:prstGeom prst="rect">
                            <a:avLst/>
                          </a:prstGeom>
                        </pic:spPr>
                      </pic:pic>
                    </a:graphicData>
                  </a:graphic>
                </wp:inline>
              </w:drawing>
            </w:r>
          </w:p>
          <w:p w14:paraId="4A33B232" w14:textId="5BA44905" w:rsidR="00244C76" w:rsidRPr="00CB2C73" w:rsidRDefault="00244C76" w:rsidP="00C10300">
            <w:pPr>
              <w:spacing w:before="100"/>
              <w:rPr>
                <w:rFonts w:ascii="Calibri" w:hAnsi="Calibri"/>
                <w:sz w:val="20"/>
                <w:szCs w:val="20"/>
              </w:rPr>
            </w:pPr>
          </w:p>
        </w:tc>
        <w:tc>
          <w:tcPr>
            <w:tcW w:w="1499" w:type="dxa"/>
          </w:tcPr>
          <w:p w14:paraId="3C47F484" w14:textId="56A00298" w:rsidR="00244C76" w:rsidRPr="00CB2C73" w:rsidRDefault="00244C76" w:rsidP="00244C76">
            <w:pPr>
              <w:spacing w:before="100"/>
              <w:jc w:val="center"/>
              <w:rPr>
                <w:rFonts w:ascii="Palatino Linotype" w:hAnsi="Palatino Linotype"/>
                <w:b/>
                <w:sz w:val="20"/>
                <w:szCs w:val="20"/>
              </w:rPr>
            </w:pPr>
            <w:r w:rsidRPr="00CB2C73">
              <w:rPr>
                <w:rFonts w:ascii="Palatino Linotype" w:hAnsi="Palatino Linotype"/>
                <w:b/>
                <w:sz w:val="20"/>
                <w:szCs w:val="20"/>
              </w:rPr>
              <w:t>No</w:t>
            </w:r>
          </w:p>
        </w:tc>
      </w:tr>
      <w:tr w:rsidR="00244C76" w:rsidRPr="00CB2C73" w14:paraId="434580C5" w14:textId="77777777" w:rsidTr="00C10300">
        <w:tc>
          <w:tcPr>
            <w:tcW w:w="1555" w:type="dxa"/>
            <w:gridSpan w:val="2"/>
            <w:shd w:val="clear" w:color="auto" w:fill="auto"/>
          </w:tcPr>
          <w:p w14:paraId="4E156857" w14:textId="77777777" w:rsidR="00244C76" w:rsidRPr="00CB2C73" w:rsidRDefault="00244C76" w:rsidP="00C10300">
            <w:pPr>
              <w:spacing w:before="100"/>
              <w:jc w:val="center"/>
              <w:rPr>
                <w:rFonts w:ascii="Palatino Linotype" w:hAnsi="Palatino Linotype"/>
                <w:b/>
                <w:sz w:val="22"/>
                <w:szCs w:val="20"/>
              </w:rPr>
            </w:pPr>
            <w:r w:rsidRPr="00CB2C73">
              <w:rPr>
                <w:rFonts w:ascii="Palatino Linotype" w:hAnsi="Palatino Linotype" w:cs="Palatino Linotype"/>
                <w:b/>
                <w:sz w:val="18"/>
                <w:szCs w:val="16"/>
              </w:rPr>
              <w:t>Autoridades competentes.</w:t>
            </w:r>
          </w:p>
        </w:tc>
        <w:tc>
          <w:tcPr>
            <w:tcW w:w="6013" w:type="dxa"/>
            <w:shd w:val="clear" w:color="auto" w:fill="auto"/>
          </w:tcPr>
          <w:p w14:paraId="2650A920" w14:textId="6E72F4C4" w:rsidR="00244C76" w:rsidRPr="00CB2C73" w:rsidRDefault="00244C76" w:rsidP="00C10300">
            <w:pPr>
              <w:spacing w:before="100"/>
              <w:jc w:val="center"/>
            </w:pPr>
            <w:r w:rsidRPr="00CB2C73">
              <w:rPr>
                <w:noProof/>
              </w:rPr>
              <w:drawing>
                <wp:inline distT="0" distB="0" distL="0" distR="0" wp14:anchorId="4B24E4D6" wp14:editId="15C487D5">
                  <wp:extent cx="2485897" cy="2857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03066" cy="2877235"/>
                          </a:xfrm>
                          <a:prstGeom prst="rect">
                            <a:avLst/>
                          </a:prstGeom>
                        </pic:spPr>
                      </pic:pic>
                    </a:graphicData>
                  </a:graphic>
                </wp:inline>
              </w:drawing>
            </w:r>
          </w:p>
        </w:tc>
        <w:tc>
          <w:tcPr>
            <w:tcW w:w="1499" w:type="dxa"/>
            <w:shd w:val="clear" w:color="auto" w:fill="auto"/>
          </w:tcPr>
          <w:p w14:paraId="7F74EA17" w14:textId="2FFECF7B" w:rsidR="00244C76" w:rsidRPr="00CB2C73" w:rsidRDefault="00244C76" w:rsidP="00C10300">
            <w:pPr>
              <w:spacing w:before="100"/>
              <w:jc w:val="center"/>
              <w:rPr>
                <w:rFonts w:ascii="Palatino Linotype" w:hAnsi="Palatino Linotype"/>
                <w:b/>
                <w:sz w:val="22"/>
                <w:szCs w:val="20"/>
              </w:rPr>
            </w:pPr>
            <w:r w:rsidRPr="00CB2C73">
              <w:rPr>
                <w:rFonts w:ascii="Palatino Linotype" w:hAnsi="Palatino Linotype"/>
                <w:b/>
                <w:sz w:val="18"/>
                <w:szCs w:val="20"/>
              </w:rPr>
              <w:t>Si</w:t>
            </w:r>
          </w:p>
        </w:tc>
      </w:tr>
    </w:tbl>
    <w:p w14:paraId="5C69EEB0" w14:textId="77777777" w:rsidR="00244C76" w:rsidRPr="00CB2C73" w:rsidRDefault="00244C76" w:rsidP="00244C76">
      <w:pPr>
        <w:spacing w:after="0" w:line="360" w:lineRule="auto"/>
        <w:jc w:val="both"/>
        <w:rPr>
          <w:rFonts w:ascii="Palatino Linotype" w:eastAsia="Palatino Linotype" w:hAnsi="Palatino Linotype" w:cs="Palatino Linotype"/>
          <w:sz w:val="24"/>
        </w:rPr>
      </w:pPr>
    </w:p>
    <w:p w14:paraId="4AE32F92" w14:textId="2C0F35A5" w:rsidR="00244C76" w:rsidRPr="00CB2C73" w:rsidRDefault="00244C76" w:rsidP="00244C76">
      <w:pPr>
        <w:spacing w:after="0" w:line="360" w:lineRule="auto"/>
        <w:jc w:val="both"/>
        <w:rPr>
          <w:rFonts w:ascii="Palatino Linotype" w:eastAsia="Palatino Linotype" w:hAnsi="Palatino Linotype" w:cs="Palatino Linotype"/>
          <w:b/>
        </w:rPr>
      </w:pPr>
      <w:r w:rsidRPr="00CB2C73">
        <w:rPr>
          <w:rFonts w:ascii="Palatino Linotype" w:eastAsia="Palatino Linotype" w:hAnsi="Palatino Linotype" w:cs="Palatino Linotype"/>
          <w:b/>
        </w:rPr>
        <w:lastRenderedPageBreak/>
        <w:t xml:space="preserve">Es por lo anterior, que se concluye que el acuerdo de clasificación remitido en respuesta, no cumple con las formalidades previstas por la Ley en la materia y, por consiguiente, resulta dable ordenar nuevamente su entrega de manera fundada y motivada. </w:t>
      </w:r>
    </w:p>
    <w:p w14:paraId="244F1A33" w14:textId="77777777" w:rsidR="005D12BC" w:rsidRPr="00CB2C73" w:rsidRDefault="005D12BC" w:rsidP="005D12BC">
      <w:pPr>
        <w:spacing w:after="0" w:line="360" w:lineRule="auto"/>
        <w:ind w:right="49"/>
        <w:jc w:val="both"/>
        <w:rPr>
          <w:rFonts w:ascii="Palatino Linotype" w:eastAsia="Palatino Linotype" w:hAnsi="Palatino Linotype" w:cs="Palatino Linotype"/>
          <w:b/>
        </w:rPr>
      </w:pPr>
    </w:p>
    <w:p w14:paraId="3DE77C22" w14:textId="77777777" w:rsidR="00985ED3" w:rsidRPr="00CB2C73" w:rsidRDefault="00985ED3" w:rsidP="00985ED3">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C08AAAC" w14:textId="77777777" w:rsidR="00326173" w:rsidRPr="00CB2C73" w:rsidRDefault="00326173" w:rsidP="005D12BC">
      <w:pPr>
        <w:spacing w:after="0" w:line="360" w:lineRule="auto"/>
        <w:ind w:right="49"/>
        <w:jc w:val="both"/>
        <w:rPr>
          <w:rFonts w:ascii="Palatino Linotype" w:eastAsia="Palatino Linotype" w:hAnsi="Palatino Linotype" w:cs="Palatino Linotype"/>
        </w:rPr>
      </w:pPr>
    </w:p>
    <w:p w14:paraId="5E30E9FD" w14:textId="77777777" w:rsidR="00D2631D" w:rsidRPr="00CB2C73" w:rsidRDefault="00032911" w:rsidP="00244C76">
      <w:pPr>
        <w:spacing w:after="0" w:line="360" w:lineRule="auto"/>
        <w:ind w:right="49"/>
        <w:jc w:val="center"/>
        <w:rPr>
          <w:rFonts w:ascii="Palatino Linotype" w:eastAsia="Palatino Linotype" w:hAnsi="Palatino Linotype" w:cs="Palatino Linotype"/>
          <w:b/>
        </w:rPr>
      </w:pPr>
      <w:r w:rsidRPr="00CB2C73">
        <w:rPr>
          <w:rFonts w:ascii="Palatino Linotype" w:eastAsia="Palatino Linotype" w:hAnsi="Palatino Linotype" w:cs="Palatino Linotype"/>
          <w:b/>
        </w:rPr>
        <w:t>III.</w:t>
      </w:r>
      <w:r w:rsidRPr="00CB2C73">
        <w:rPr>
          <w:rFonts w:ascii="Palatino Linotype" w:eastAsia="Palatino Linotype" w:hAnsi="Palatino Linotype" w:cs="Palatino Linotype"/>
          <w:b/>
        </w:rPr>
        <w:tab/>
        <w:t>R E S U E L V E:</w:t>
      </w:r>
    </w:p>
    <w:p w14:paraId="158D6CF3"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6D99582D" w14:textId="5727EFAA"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b/>
        </w:rPr>
        <w:t xml:space="preserve">PRIMERO. </w:t>
      </w:r>
      <w:r w:rsidRPr="00CB2C73">
        <w:rPr>
          <w:rFonts w:ascii="Palatino Linotype" w:eastAsia="Palatino Linotype" w:hAnsi="Palatino Linotype" w:cs="Palatino Linotype"/>
        </w:rPr>
        <w:t>Se</w:t>
      </w:r>
      <w:r w:rsidRPr="00CB2C73">
        <w:rPr>
          <w:rFonts w:ascii="Palatino Linotype" w:eastAsia="Palatino Linotype" w:hAnsi="Palatino Linotype" w:cs="Palatino Linotype"/>
          <w:b/>
        </w:rPr>
        <w:t xml:space="preserve"> MODIFICA </w:t>
      </w:r>
      <w:r w:rsidRPr="00CB2C73">
        <w:rPr>
          <w:rFonts w:ascii="Palatino Linotype" w:eastAsia="Palatino Linotype" w:hAnsi="Palatino Linotype" w:cs="Palatino Linotype"/>
        </w:rPr>
        <w:t xml:space="preserve">la respuesta entregada por </w:t>
      </w:r>
      <w:r w:rsidRPr="00CB2C73">
        <w:rPr>
          <w:rFonts w:ascii="Palatino Linotype" w:eastAsia="Palatino Linotype" w:hAnsi="Palatino Linotype" w:cs="Palatino Linotype"/>
          <w:b/>
        </w:rPr>
        <w:t xml:space="preserve">EL SUJETO OBLIGADO </w:t>
      </w:r>
      <w:r w:rsidRPr="00CB2C73">
        <w:rPr>
          <w:rFonts w:ascii="Palatino Linotype" w:eastAsia="Palatino Linotype" w:hAnsi="Palatino Linotype" w:cs="Palatino Linotype"/>
        </w:rPr>
        <w:t xml:space="preserve">a la solicitud de información </w:t>
      </w:r>
      <w:r w:rsidR="00244C76" w:rsidRPr="00CB2C73">
        <w:rPr>
          <w:rFonts w:ascii="Palatino Linotype" w:eastAsia="Palatino Linotype" w:hAnsi="Palatino Linotype" w:cs="Palatino Linotype"/>
          <w:b/>
        </w:rPr>
        <w:t>01424</w:t>
      </w:r>
      <w:r w:rsidRPr="00CB2C73">
        <w:rPr>
          <w:rFonts w:ascii="Palatino Linotype" w:eastAsia="Palatino Linotype" w:hAnsi="Palatino Linotype" w:cs="Palatino Linotype"/>
          <w:b/>
        </w:rPr>
        <w:t>/</w:t>
      </w:r>
      <w:r w:rsidR="00244C76" w:rsidRPr="00CB2C73">
        <w:rPr>
          <w:rFonts w:ascii="Palatino Linotype" w:eastAsia="Palatino Linotype" w:hAnsi="Palatino Linotype" w:cs="Palatino Linotype"/>
          <w:b/>
        </w:rPr>
        <w:t>TOLUCA</w:t>
      </w:r>
      <w:r w:rsidRPr="00CB2C73">
        <w:rPr>
          <w:rFonts w:ascii="Palatino Linotype" w:eastAsia="Palatino Linotype" w:hAnsi="Palatino Linotype" w:cs="Palatino Linotype"/>
          <w:b/>
        </w:rPr>
        <w:t xml:space="preserve">/IP/2025, </w:t>
      </w:r>
      <w:r w:rsidRPr="00CB2C73">
        <w:rPr>
          <w:rFonts w:ascii="Palatino Linotype" w:eastAsia="Palatino Linotype" w:hAnsi="Palatino Linotype" w:cs="Palatino Linotype"/>
        </w:rPr>
        <w:t xml:space="preserve">por resultar parcialmente fundadas las razones o motivos de inconformidad hechos valer por la parte </w:t>
      </w:r>
      <w:r w:rsidRPr="00CB2C73">
        <w:rPr>
          <w:rFonts w:ascii="Palatino Linotype" w:eastAsia="Palatino Linotype" w:hAnsi="Palatino Linotype" w:cs="Palatino Linotype"/>
          <w:b/>
        </w:rPr>
        <w:t xml:space="preserve">RECURRENTE, </w:t>
      </w:r>
      <w:r w:rsidRPr="00CB2C73">
        <w:rPr>
          <w:rFonts w:ascii="Palatino Linotype" w:eastAsia="Palatino Linotype" w:hAnsi="Palatino Linotype" w:cs="Palatino Linotype"/>
        </w:rPr>
        <w:t xml:space="preserve">en el Recurso de Revisión </w:t>
      </w:r>
      <w:r w:rsidR="00C10300" w:rsidRPr="00CB2C73">
        <w:rPr>
          <w:rFonts w:ascii="Palatino Linotype" w:eastAsia="Palatino Linotype" w:hAnsi="Palatino Linotype" w:cs="Palatino Linotype"/>
          <w:b/>
        </w:rPr>
        <w:t>05304</w:t>
      </w:r>
      <w:r w:rsidRPr="00CB2C73">
        <w:rPr>
          <w:rFonts w:ascii="Palatino Linotype" w:eastAsia="Palatino Linotype" w:hAnsi="Palatino Linotype" w:cs="Palatino Linotype"/>
          <w:b/>
        </w:rPr>
        <w:t>/INFOEM/IP/RR/2025,</w:t>
      </w:r>
      <w:r w:rsidRPr="00CB2C73">
        <w:rPr>
          <w:rFonts w:ascii="Palatino Linotype" w:eastAsia="Palatino Linotype" w:hAnsi="Palatino Linotype" w:cs="Palatino Linotype"/>
        </w:rPr>
        <w:t xml:space="preserve"> en términos del considerando </w:t>
      </w:r>
      <w:r w:rsidRPr="00CB2C73">
        <w:rPr>
          <w:rFonts w:ascii="Palatino Linotype" w:eastAsia="Palatino Linotype" w:hAnsi="Palatino Linotype" w:cs="Palatino Linotype"/>
          <w:b/>
        </w:rPr>
        <w:t>Cuarto</w:t>
      </w:r>
      <w:r w:rsidRPr="00CB2C73">
        <w:rPr>
          <w:rFonts w:ascii="Palatino Linotype" w:eastAsia="Palatino Linotype" w:hAnsi="Palatino Linotype" w:cs="Palatino Linotype"/>
        </w:rPr>
        <w:t xml:space="preserve"> de la presente Resolución.</w:t>
      </w:r>
    </w:p>
    <w:p w14:paraId="2ED8B581"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4AB7D2C8" w14:textId="77777777" w:rsidR="00D2631D" w:rsidRPr="00CB2C73" w:rsidRDefault="00032911" w:rsidP="005D12BC">
      <w:pPr>
        <w:pBdr>
          <w:top w:val="nil"/>
          <w:left w:val="nil"/>
          <w:bottom w:val="nil"/>
          <w:right w:val="nil"/>
          <w:between w:val="nil"/>
        </w:pBd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b/>
        </w:rPr>
        <w:t xml:space="preserve">SEGUNDO. </w:t>
      </w:r>
      <w:r w:rsidRPr="00CB2C73">
        <w:rPr>
          <w:rFonts w:ascii="Palatino Linotype" w:eastAsia="Palatino Linotype" w:hAnsi="Palatino Linotype" w:cs="Palatino Linotype"/>
        </w:rPr>
        <w:t>Se</w:t>
      </w:r>
      <w:r w:rsidRPr="00CB2C73">
        <w:rPr>
          <w:rFonts w:ascii="Palatino Linotype" w:eastAsia="Palatino Linotype" w:hAnsi="Palatino Linotype" w:cs="Palatino Linotype"/>
          <w:b/>
        </w:rPr>
        <w:t xml:space="preserve"> ORDENA </w:t>
      </w:r>
      <w:r w:rsidRPr="00CB2C73">
        <w:rPr>
          <w:rFonts w:ascii="Palatino Linotype" w:eastAsia="Palatino Linotype" w:hAnsi="Palatino Linotype" w:cs="Palatino Linotype"/>
        </w:rPr>
        <w:t xml:space="preserve">al </w:t>
      </w:r>
      <w:r w:rsidRPr="00CB2C73">
        <w:rPr>
          <w:rFonts w:ascii="Palatino Linotype" w:eastAsia="Palatino Linotype" w:hAnsi="Palatino Linotype" w:cs="Palatino Linotype"/>
          <w:b/>
        </w:rPr>
        <w:t>SUJETO OBLIGADO</w:t>
      </w:r>
      <w:r w:rsidRPr="00CB2C73">
        <w:rPr>
          <w:rFonts w:ascii="Palatino Linotype" w:eastAsia="Palatino Linotype" w:hAnsi="Palatino Linotype" w:cs="Palatino Linotype"/>
        </w:rPr>
        <w:t xml:space="preserve"> a que,</w:t>
      </w:r>
      <w:r w:rsidRPr="00CB2C73">
        <w:rPr>
          <w:rFonts w:ascii="Palatino Linotype" w:eastAsia="Palatino Linotype" w:hAnsi="Palatino Linotype" w:cs="Palatino Linotype"/>
          <w:b/>
        </w:rPr>
        <w:t xml:space="preserve"> </w:t>
      </w:r>
      <w:r w:rsidRPr="00CB2C73">
        <w:rPr>
          <w:rFonts w:ascii="Palatino Linotype" w:eastAsia="Palatino Linotype" w:hAnsi="Palatino Linotype" w:cs="Palatino Linotype"/>
        </w:rPr>
        <w:t xml:space="preserve">en términos del Considerando Cuarto, haga entrega, vía Sistema de Acceso a la Información Mexiquense (SAIMEX), de lo siguiente: </w:t>
      </w:r>
    </w:p>
    <w:p w14:paraId="091E0FFC" w14:textId="77777777" w:rsidR="00D2631D" w:rsidRPr="00CB2C73" w:rsidRDefault="00D2631D" w:rsidP="005D12BC">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157FB67" w14:textId="7ADD711D" w:rsidR="00D2631D" w:rsidRPr="00CB2C73" w:rsidRDefault="00032911" w:rsidP="005D12BC">
      <w:pPr>
        <w:numPr>
          <w:ilvl w:val="0"/>
          <w:numId w:val="8"/>
        </w:numPr>
        <w:pBdr>
          <w:top w:val="nil"/>
          <w:left w:val="nil"/>
          <w:bottom w:val="nil"/>
          <w:right w:val="nil"/>
          <w:between w:val="nil"/>
        </w:pBdr>
        <w:tabs>
          <w:tab w:val="left" w:pos="4962"/>
        </w:tabs>
        <w:spacing w:after="0" w:line="360" w:lineRule="auto"/>
        <w:ind w:left="567" w:right="616" w:hanging="425"/>
        <w:jc w:val="both"/>
        <w:rPr>
          <w:rFonts w:ascii="Palatino Linotype" w:eastAsia="Palatino Linotype" w:hAnsi="Palatino Linotype" w:cs="Palatino Linotype"/>
        </w:rPr>
      </w:pPr>
      <w:r w:rsidRPr="00CB2C73">
        <w:rPr>
          <w:rFonts w:ascii="Palatino Linotype" w:eastAsia="Palatino Linotype" w:hAnsi="Palatino Linotype" w:cs="Palatino Linotype"/>
        </w:rPr>
        <w:t>El Acuerdo emitido por el Comité de Transparencia donde confirme la clasificación, de manera fundada y motivada</w:t>
      </w:r>
      <w:r w:rsidR="002165C6" w:rsidRPr="00CB2C73">
        <w:rPr>
          <w:rFonts w:ascii="Palatino Linotype" w:eastAsia="Palatino Linotype" w:hAnsi="Palatino Linotype" w:cs="Palatino Linotype"/>
        </w:rPr>
        <w:t xml:space="preserve"> del Plan de Contingencia en materia de datos personales,</w:t>
      </w:r>
      <w:r w:rsidRPr="00CB2C73">
        <w:rPr>
          <w:rFonts w:ascii="Palatino Linotype" w:eastAsia="Palatino Linotype" w:hAnsi="Palatino Linotype" w:cs="Palatino Linotype"/>
        </w:rPr>
        <w:t xml:space="preserve"> en términos del artículo 143, fracción I, de la Ley de Transparencia y Acceso a la Información Pública del</w:t>
      </w:r>
      <w:r w:rsidR="002165C6" w:rsidRPr="00CB2C73">
        <w:rPr>
          <w:rFonts w:ascii="Palatino Linotype" w:eastAsia="Palatino Linotype" w:hAnsi="Palatino Linotype" w:cs="Palatino Linotype"/>
        </w:rPr>
        <w:t xml:space="preserve"> Estado de México y </w:t>
      </w:r>
      <w:r w:rsidR="002165C6" w:rsidRPr="00CB2C73">
        <w:rPr>
          <w:rFonts w:ascii="Palatino Linotype" w:eastAsia="Palatino Linotype" w:hAnsi="Palatino Linotype" w:cs="Palatino Linotype"/>
        </w:rPr>
        <w:lastRenderedPageBreak/>
        <w:t xml:space="preserve">Municipios y del 43 de la Ley de Protección de Datos Personales en Posesión de Sujetos Obligados del Estado de México y Municipios. </w:t>
      </w:r>
    </w:p>
    <w:p w14:paraId="07549BDA" w14:textId="77777777" w:rsidR="00D2631D" w:rsidRPr="00CB2C73" w:rsidRDefault="00D2631D" w:rsidP="005D12BC">
      <w:pPr>
        <w:pBdr>
          <w:top w:val="nil"/>
          <w:left w:val="nil"/>
          <w:bottom w:val="nil"/>
          <w:right w:val="nil"/>
          <w:between w:val="nil"/>
        </w:pBdr>
        <w:tabs>
          <w:tab w:val="left" w:pos="4962"/>
        </w:tabs>
        <w:spacing w:after="0" w:line="360" w:lineRule="auto"/>
        <w:ind w:left="567" w:right="616"/>
        <w:jc w:val="both"/>
        <w:rPr>
          <w:rFonts w:ascii="Palatino Linotype" w:eastAsia="Palatino Linotype" w:hAnsi="Palatino Linotype" w:cs="Palatino Linotype"/>
        </w:rPr>
      </w:pPr>
    </w:p>
    <w:p w14:paraId="53EBB038" w14:textId="77777777" w:rsidR="00D2631D" w:rsidRPr="00CB2C73" w:rsidRDefault="00032911" w:rsidP="005D12BC">
      <w:pPr>
        <w:spacing w:after="0" w:line="360" w:lineRule="auto"/>
        <w:ind w:right="49"/>
        <w:jc w:val="both"/>
        <w:rPr>
          <w:rFonts w:ascii="Palatino Linotype" w:eastAsia="Palatino Linotype" w:hAnsi="Palatino Linotype" w:cs="Palatino Linotype"/>
        </w:rPr>
      </w:pPr>
      <w:r w:rsidRPr="00CB2C73">
        <w:rPr>
          <w:rFonts w:ascii="Palatino Linotype" w:eastAsia="Palatino Linotype" w:hAnsi="Palatino Linotype" w:cs="Palatino Linotype"/>
          <w:b/>
        </w:rPr>
        <w:t>Tercero.</w:t>
      </w:r>
      <w:r w:rsidRPr="00CB2C73">
        <w:rPr>
          <w:rFonts w:ascii="Palatino Linotype" w:eastAsia="Palatino Linotype" w:hAnsi="Palatino Linotype" w:cs="Palatino Linotype"/>
        </w:rPr>
        <w:t xml:space="preserve"> </w:t>
      </w:r>
      <w:r w:rsidRPr="00CB2C73">
        <w:rPr>
          <w:rFonts w:ascii="Palatino Linotype" w:eastAsia="Palatino Linotype" w:hAnsi="Palatino Linotype" w:cs="Palatino Linotype"/>
          <w:b/>
        </w:rPr>
        <w:t xml:space="preserve">Notifíquese vía SAIMEX </w:t>
      </w:r>
      <w:r w:rsidRPr="00CB2C73">
        <w:rPr>
          <w:rFonts w:ascii="Palatino Linotype" w:eastAsia="Palatino Linotype" w:hAnsi="Palatino Linotype" w:cs="Palatino Linotype"/>
        </w:rPr>
        <w:t>la presente resolución al T</w:t>
      </w:r>
      <w:r w:rsidRPr="00CB2C73">
        <w:rPr>
          <w:rFonts w:ascii="Palatino Linotype" w:eastAsia="Palatino Linotype" w:hAnsi="Palatino Linotype" w:cs="Palatino Linotype"/>
          <w:b/>
        </w:rPr>
        <w:t xml:space="preserve">itular de la Unidad de Transparencia </w:t>
      </w:r>
      <w:r w:rsidRPr="00CB2C73">
        <w:rPr>
          <w:rFonts w:ascii="Palatino Linotype" w:eastAsia="Palatino Linotype" w:hAnsi="Palatino Linotype" w:cs="Palatino Linotype"/>
        </w:rPr>
        <w:t xml:space="preserve">del </w:t>
      </w:r>
      <w:r w:rsidRPr="00CB2C73">
        <w:rPr>
          <w:rFonts w:ascii="Palatino Linotype" w:eastAsia="Palatino Linotype" w:hAnsi="Palatino Linotype" w:cs="Palatino Linotype"/>
          <w:b/>
        </w:rPr>
        <w:t>SUJETO OBLIGADO</w:t>
      </w:r>
      <w:r w:rsidRPr="00CB2C73">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D42CC3"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4DC5F534" w14:textId="77777777" w:rsidR="00D2631D" w:rsidRPr="00CB2C73" w:rsidRDefault="00032911"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b/>
        </w:rPr>
        <w:t xml:space="preserve">Cuarto. Notifíquese vía SAIMEX, </w:t>
      </w:r>
      <w:r w:rsidRPr="00CB2C73">
        <w:rPr>
          <w:rFonts w:ascii="Palatino Linotype" w:eastAsia="Palatino Linotype" w:hAnsi="Palatino Linotype" w:cs="Palatino Linotype"/>
        </w:rPr>
        <w:t xml:space="preserve">a la parte </w:t>
      </w:r>
      <w:r w:rsidRPr="00CB2C73">
        <w:rPr>
          <w:rFonts w:ascii="Palatino Linotype" w:eastAsia="Palatino Linotype" w:hAnsi="Palatino Linotype" w:cs="Palatino Linotype"/>
          <w:b/>
        </w:rPr>
        <w:t xml:space="preserve">Recurrente </w:t>
      </w:r>
      <w:r w:rsidRPr="00CB2C7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E5CA6DB" w14:textId="77777777" w:rsidR="00D2631D" w:rsidRPr="00CB2C73" w:rsidRDefault="00D2631D" w:rsidP="005D12BC">
      <w:pPr>
        <w:spacing w:after="0" w:line="360" w:lineRule="auto"/>
        <w:jc w:val="both"/>
        <w:rPr>
          <w:rFonts w:ascii="Palatino Linotype" w:eastAsia="Palatino Linotype" w:hAnsi="Palatino Linotype" w:cs="Palatino Linotype"/>
        </w:rPr>
      </w:pPr>
    </w:p>
    <w:p w14:paraId="0379E6AB" w14:textId="77777777" w:rsidR="00D2631D" w:rsidRPr="00CB2C73" w:rsidRDefault="00032911" w:rsidP="005D12BC">
      <w:pPr>
        <w:spacing w:after="0" w:line="360" w:lineRule="auto"/>
        <w:jc w:val="both"/>
        <w:rPr>
          <w:rFonts w:ascii="Palatino Linotype" w:eastAsia="Palatino Linotype" w:hAnsi="Palatino Linotype" w:cs="Palatino Linotype"/>
        </w:rPr>
      </w:pPr>
      <w:r w:rsidRPr="00CB2C73">
        <w:rPr>
          <w:rFonts w:ascii="Palatino Linotype" w:eastAsia="Palatino Linotype" w:hAnsi="Palatino Linotype" w:cs="Palatino Linotype"/>
          <w:b/>
        </w:rPr>
        <w:t xml:space="preserve">Quinto. Notifíquese vía SAIMEX </w:t>
      </w:r>
      <w:r w:rsidRPr="00CB2C73">
        <w:rPr>
          <w:rFonts w:ascii="Palatino Linotype" w:eastAsia="Palatino Linotype" w:hAnsi="Palatino Linotype" w:cs="Palatino Linotype"/>
        </w:rPr>
        <w:t>la presente resolución al T</w:t>
      </w:r>
      <w:r w:rsidRPr="00CB2C73">
        <w:rPr>
          <w:rFonts w:ascii="Palatino Linotype" w:eastAsia="Palatino Linotype" w:hAnsi="Palatino Linotype" w:cs="Palatino Linotype"/>
          <w:b/>
        </w:rPr>
        <w:t xml:space="preserve">itular de la Unidad de Transparencia </w:t>
      </w:r>
      <w:r w:rsidRPr="00CB2C73">
        <w:rPr>
          <w:rFonts w:ascii="Palatino Linotype" w:eastAsia="Palatino Linotype" w:hAnsi="Palatino Linotype" w:cs="Palatino Linotype"/>
        </w:rPr>
        <w:t xml:space="preserve">del </w:t>
      </w:r>
      <w:r w:rsidRPr="00CB2C73">
        <w:rPr>
          <w:rFonts w:ascii="Palatino Linotype" w:eastAsia="Palatino Linotype" w:hAnsi="Palatino Linotype" w:cs="Palatino Linotype"/>
          <w:b/>
        </w:rPr>
        <w:t xml:space="preserve">SUJETO OBLIGADO </w:t>
      </w:r>
      <w:r w:rsidRPr="00CB2C73">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0F277FA" w14:textId="77777777" w:rsidR="00D2631D" w:rsidRPr="00CB2C73" w:rsidRDefault="00D2631D" w:rsidP="005D12BC">
      <w:pPr>
        <w:spacing w:after="0" w:line="360" w:lineRule="auto"/>
        <w:ind w:right="49"/>
        <w:jc w:val="both"/>
        <w:rPr>
          <w:rFonts w:ascii="Palatino Linotype" w:eastAsia="Palatino Linotype" w:hAnsi="Palatino Linotype" w:cs="Palatino Linotype"/>
        </w:rPr>
      </w:pPr>
    </w:p>
    <w:p w14:paraId="00F182AC" w14:textId="1FB23CA7" w:rsidR="00D2631D" w:rsidRPr="00A94965" w:rsidRDefault="00032911" w:rsidP="005D12BC">
      <w:pPr>
        <w:spacing w:after="0" w:line="360" w:lineRule="auto"/>
        <w:ind w:right="-93"/>
        <w:jc w:val="both"/>
        <w:rPr>
          <w:rFonts w:ascii="Palatino Linotype" w:eastAsia="Palatino Linotype" w:hAnsi="Palatino Linotype" w:cs="Palatino Linotype"/>
        </w:rPr>
      </w:pPr>
      <w:bookmarkStart w:id="2" w:name="_heading=h.vwp640olbyv8" w:colFirst="0" w:colLast="0"/>
      <w:bookmarkEnd w:id="2"/>
      <w:r w:rsidRPr="00CB2C7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w:t>
      </w:r>
      <w:r w:rsidRPr="00CB2C73">
        <w:rPr>
          <w:rFonts w:ascii="Palatino Linotype" w:eastAsia="Palatino Linotype" w:hAnsi="Palatino Linotype" w:cs="Palatino Linotype"/>
        </w:rPr>
        <w:lastRenderedPageBreak/>
        <w:t>COMISIONADOS JOSÉ MARTÍNEZ VILCHIS, MARÍA DEL ROSARIO MEJÍA AYALA, SHARON CRISTINA MORALES MARTÍNEZ, LUIS GUSTAVO PARRA NORIEGA Y GUADALUPE RAM</w:t>
      </w:r>
      <w:r w:rsidR="002165C6" w:rsidRPr="00CB2C73">
        <w:rPr>
          <w:rFonts w:ascii="Palatino Linotype" w:eastAsia="Palatino Linotype" w:hAnsi="Palatino Linotype" w:cs="Palatino Linotype"/>
        </w:rPr>
        <w:t>ÍREZ PEÑA; EN LA TRIGÉSIMA</w:t>
      </w:r>
      <w:r w:rsidRPr="00CB2C73">
        <w:rPr>
          <w:rFonts w:ascii="Palatino Linotype" w:eastAsia="Palatino Linotype" w:hAnsi="Palatino Linotype" w:cs="Palatino Linotype"/>
        </w:rPr>
        <w:t xml:space="preserve"> SESIÓN ORDINARIA CELEBRADA EL </w:t>
      </w:r>
      <w:r w:rsidR="002165C6" w:rsidRPr="00CB2C73">
        <w:rPr>
          <w:rFonts w:ascii="Palatino Linotype" w:eastAsia="Palatino Linotype" w:hAnsi="Palatino Linotype" w:cs="Palatino Linotype"/>
        </w:rPr>
        <w:t>VEINTISIETE DE AGOSTO</w:t>
      </w:r>
      <w:r w:rsidRPr="00CB2C73">
        <w:rPr>
          <w:rFonts w:ascii="Palatino Linotype" w:eastAsia="Palatino Linotype" w:hAnsi="Palatino Linotype" w:cs="Palatino Linotype"/>
        </w:rPr>
        <w:t xml:space="preserve"> DE DOS MIL VEINTICINCO, ANTE EL SECRETARIO TÉCNICO DEL PLENO ALEXIS TAPIA RAMÍREZ.</w:t>
      </w:r>
    </w:p>
    <w:p w14:paraId="4C2EB396" w14:textId="77777777" w:rsidR="00D2631D" w:rsidRPr="00A94965" w:rsidRDefault="00D2631D" w:rsidP="005D12BC">
      <w:pPr>
        <w:spacing w:after="0" w:line="360" w:lineRule="auto"/>
        <w:ind w:right="49"/>
        <w:jc w:val="both"/>
        <w:rPr>
          <w:rFonts w:ascii="Palatino Linotype" w:eastAsia="Palatino Linotype" w:hAnsi="Palatino Linotype" w:cs="Palatino Linotype"/>
        </w:rPr>
      </w:pPr>
    </w:p>
    <w:p w14:paraId="36AC56B0" w14:textId="77777777" w:rsidR="00D2631D" w:rsidRPr="00A94965" w:rsidRDefault="00D2631D" w:rsidP="005D12BC">
      <w:pPr>
        <w:spacing w:after="0" w:line="360" w:lineRule="auto"/>
        <w:ind w:right="49"/>
        <w:jc w:val="both"/>
        <w:rPr>
          <w:rFonts w:ascii="Palatino Linotype" w:eastAsia="Palatino Linotype" w:hAnsi="Palatino Linotype" w:cs="Palatino Linotype"/>
        </w:rPr>
      </w:pPr>
    </w:p>
    <w:p w14:paraId="0C867109" w14:textId="77777777" w:rsidR="00D2631D" w:rsidRPr="00A94965" w:rsidRDefault="00D2631D" w:rsidP="005D12BC">
      <w:pPr>
        <w:spacing w:after="0" w:line="360" w:lineRule="auto"/>
        <w:ind w:right="49"/>
        <w:jc w:val="both"/>
        <w:rPr>
          <w:rFonts w:ascii="Palatino Linotype" w:eastAsia="Palatino Linotype" w:hAnsi="Palatino Linotype" w:cs="Palatino Linotype"/>
        </w:rPr>
      </w:pPr>
    </w:p>
    <w:p w14:paraId="1CAB2A9B" w14:textId="77777777" w:rsidR="00D2631D" w:rsidRPr="00A94965" w:rsidRDefault="00D2631D" w:rsidP="005D12BC">
      <w:pPr>
        <w:spacing w:after="0" w:line="360" w:lineRule="auto"/>
        <w:ind w:right="49"/>
        <w:jc w:val="both"/>
        <w:rPr>
          <w:rFonts w:ascii="Palatino Linotype" w:eastAsia="Palatino Linotype" w:hAnsi="Palatino Linotype" w:cs="Palatino Linotype"/>
        </w:rPr>
      </w:pPr>
    </w:p>
    <w:p w14:paraId="6D8E48F5" w14:textId="77777777" w:rsidR="00D2631D" w:rsidRPr="00A94965" w:rsidRDefault="00D2631D" w:rsidP="005D12BC">
      <w:pPr>
        <w:spacing w:after="0" w:line="360" w:lineRule="auto"/>
        <w:ind w:right="49"/>
        <w:jc w:val="both"/>
        <w:rPr>
          <w:rFonts w:ascii="Palatino Linotype" w:eastAsia="Palatino Linotype" w:hAnsi="Palatino Linotype" w:cs="Palatino Linotype"/>
        </w:rPr>
      </w:pPr>
    </w:p>
    <w:p w14:paraId="0691D83E" w14:textId="77777777" w:rsidR="00D2631D" w:rsidRPr="00A94965" w:rsidRDefault="00D2631D" w:rsidP="005D12BC">
      <w:pPr>
        <w:spacing w:after="0" w:line="360" w:lineRule="auto"/>
        <w:ind w:right="49"/>
        <w:jc w:val="both"/>
        <w:rPr>
          <w:rFonts w:ascii="Palatino Linotype" w:eastAsia="Palatino Linotype" w:hAnsi="Palatino Linotype" w:cs="Palatino Linotype"/>
        </w:rPr>
      </w:pPr>
    </w:p>
    <w:p w14:paraId="2421721B" w14:textId="77777777" w:rsidR="00D2631D" w:rsidRPr="00A94965" w:rsidRDefault="00D2631D" w:rsidP="005D12BC">
      <w:pPr>
        <w:spacing w:after="0" w:line="360" w:lineRule="auto"/>
        <w:ind w:right="49"/>
        <w:jc w:val="both"/>
        <w:rPr>
          <w:rFonts w:ascii="Palatino Linotype" w:eastAsia="Palatino Linotype" w:hAnsi="Palatino Linotype" w:cs="Palatino Linotype"/>
        </w:rPr>
      </w:pPr>
    </w:p>
    <w:p w14:paraId="32233666" w14:textId="77777777" w:rsidR="00D2631D" w:rsidRPr="00A94965" w:rsidRDefault="00D2631D" w:rsidP="005D12BC">
      <w:pPr>
        <w:spacing w:after="0" w:line="360" w:lineRule="auto"/>
        <w:ind w:right="49"/>
        <w:jc w:val="both"/>
        <w:rPr>
          <w:rFonts w:ascii="Palatino Linotype" w:eastAsia="Palatino Linotype" w:hAnsi="Palatino Linotype" w:cs="Palatino Linotype"/>
        </w:rPr>
      </w:pPr>
    </w:p>
    <w:p w14:paraId="0BEAB090" w14:textId="77777777" w:rsidR="00D2631D" w:rsidRPr="00A94965" w:rsidRDefault="00D2631D" w:rsidP="005D12BC">
      <w:pPr>
        <w:spacing w:after="0" w:line="360" w:lineRule="auto"/>
        <w:ind w:right="49"/>
        <w:jc w:val="both"/>
        <w:rPr>
          <w:rFonts w:ascii="Palatino Linotype" w:eastAsia="Palatino Linotype" w:hAnsi="Palatino Linotype" w:cs="Palatino Linotype"/>
        </w:rPr>
      </w:pPr>
    </w:p>
    <w:p w14:paraId="546531D1"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4934F325"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0F60B294"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0BAF8CF8"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68BFB838"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1E0B2A0B"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2D58987A"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3ADE47CD"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7C75683F"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3F2D44DA"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46B744B9"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7FD44BC3"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0E6B80E3"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4D3C407B"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1B829B7B"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7C938DA1" w14:textId="77777777" w:rsidR="00A94965" w:rsidRPr="00A94965" w:rsidRDefault="00A94965" w:rsidP="005D12BC">
      <w:pPr>
        <w:spacing w:after="0" w:line="360" w:lineRule="auto"/>
        <w:ind w:right="49"/>
        <w:jc w:val="both"/>
        <w:rPr>
          <w:rFonts w:ascii="Palatino Linotype" w:eastAsia="Palatino Linotype" w:hAnsi="Palatino Linotype" w:cs="Palatino Linotype"/>
        </w:rPr>
      </w:pPr>
    </w:p>
    <w:p w14:paraId="45843F0E" w14:textId="77777777" w:rsidR="00D2631D" w:rsidRPr="00A94965" w:rsidRDefault="00D2631D" w:rsidP="005D12BC">
      <w:pPr>
        <w:spacing w:after="0" w:line="360" w:lineRule="auto"/>
        <w:ind w:right="49"/>
        <w:jc w:val="both"/>
        <w:rPr>
          <w:rFonts w:ascii="Palatino Linotype" w:eastAsia="Palatino Linotype" w:hAnsi="Palatino Linotype" w:cs="Palatino Linotype"/>
        </w:rPr>
      </w:pPr>
    </w:p>
    <w:sectPr w:rsidR="00D2631D" w:rsidRPr="00A94965">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63D2" w14:textId="77777777" w:rsidR="00CE66D6" w:rsidRDefault="00CE66D6">
      <w:pPr>
        <w:spacing w:after="0" w:line="240" w:lineRule="auto"/>
      </w:pPr>
      <w:r>
        <w:separator/>
      </w:r>
    </w:p>
  </w:endnote>
  <w:endnote w:type="continuationSeparator" w:id="0">
    <w:p w14:paraId="130F82E7" w14:textId="77777777" w:rsidR="00CE66D6" w:rsidRDefault="00CE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3FFD" w14:textId="77777777" w:rsidR="00C10300" w:rsidRDefault="00C103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2C73">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2C73">
      <w:rPr>
        <w:b/>
        <w:noProof/>
        <w:color w:val="000000"/>
        <w:sz w:val="24"/>
        <w:szCs w:val="24"/>
      </w:rPr>
      <w:t>29</w:t>
    </w:r>
    <w:r>
      <w:rPr>
        <w:b/>
        <w:color w:val="000000"/>
        <w:sz w:val="24"/>
        <w:szCs w:val="24"/>
      </w:rPr>
      <w:fldChar w:fldCharType="end"/>
    </w:r>
  </w:p>
  <w:p w14:paraId="2F95B91C" w14:textId="77777777" w:rsidR="00C10300" w:rsidRDefault="00C1030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FF59" w14:textId="77777777" w:rsidR="00C10300" w:rsidRDefault="00C103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2C7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2C73">
      <w:rPr>
        <w:b/>
        <w:noProof/>
        <w:color w:val="000000"/>
        <w:sz w:val="24"/>
        <w:szCs w:val="24"/>
      </w:rPr>
      <w:t>29</w:t>
    </w:r>
    <w:r>
      <w:rPr>
        <w:b/>
        <w:color w:val="000000"/>
        <w:sz w:val="24"/>
        <w:szCs w:val="24"/>
      </w:rPr>
      <w:fldChar w:fldCharType="end"/>
    </w:r>
  </w:p>
  <w:p w14:paraId="1394E8C1" w14:textId="77777777" w:rsidR="00C10300" w:rsidRDefault="00C1030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8E01" w14:textId="77777777" w:rsidR="00CE66D6" w:rsidRDefault="00CE66D6">
      <w:pPr>
        <w:spacing w:after="0" w:line="240" w:lineRule="auto"/>
      </w:pPr>
      <w:r>
        <w:separator/>
      </w:r>
    </w:p>
  </w:footnote>
  <w:footnote w:type="continuationSeparator" w:id="0">
    <w:p w14:paraId="198BBC61" w14:textId="77777777" w:rsidR="00CE66D6" w:rsidRDefault="00CE6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7984" w14:textId="77777777" w:rsidR="00C10300" w:rsidRDefault="00C1030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E745FBF" wp14:editId="155C7553">
          <wp:simplePos x="0" y="0"/>
          <wp:positionH relativeFrom="column">
            <wp:posOffset>-755015</wp:posOffset>
          </wp:positionH>
          <wp:positionV relativeFrom="paragraph">
            <wp:posOffset>-563880</wp:posOffset>
          </wp:positionV>
          <wp:extent cx="7809876" cy="10165823"/>
          <wp:effectExtent l="0" t="0" r="0" b="0"/>
          <wp:wrapNone/>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C10300" w14:paraId="5EBD0A69" w14:textId="77777777">
      <w:tc>
        <w:tcPr>
          <w:tcW w:w="2551" w:type="dxa"/>
          <w:vAlign w:val="center"/>
        </w:tcPr>
        <w:p w14:paraId="3F3F6E42" w14:textId="77777777" w:rsidR="00C10300" w:rsidRDefault="00C103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F75A161" w14:textId="0EC7E46E" w:rsidR="00C10300" w:rsidRDefault="00C103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05304/INFOEM/IP/RR/2025</w:t>
          </w:r>
        </w:p>
      </w:tc>
    </w:tr>
    <w:tr w:rsidR="00C10300" w14:paraId="042A9E83" w14:textId="77777777">
      <w:trPr>
        <w:trHeight w:val="228"/>
      </w:trPr>
      <w:tc>
        <w:tcPr>
          <w:tcW w:w="2551" w:type="dxa"/>
          <w:vAlign w:val="center"/>
        </w:tcPr>
        <w:p w14:paraId="1DE2F4CE" w14:textId="2FE86048" w:rsidR="00C10300" w:rsidRDefault="00C103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6D63E8E" w14:textId="5A70AEA2" w:rsidR="00C10300" w:rsidRDefault="00C10300" w:rsidP="00B36599">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C10300" w14:paraId="502D60C0" w14:textId="77777777">
      <w:tc>
        <w:tcPr>
          <w:tcW w:w="2551" w:type="dxa"/>
          <w:vAlign w:val="center"/>
        </w:tcPr>
        <w:p w14:paraId="720FC1A8" w14:textId="77777777" w:rsidR="00C10300" w:rsidRDefault="00C103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1854177" w14:textId="77777777" w:rsidR="00C10300" w:rsidRDefault="00C103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7E57C84" w14:textId="77777777" w:rsidR="00C10300" w:rsidRDefault="00C1030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90D6" w14:textId="77777777" w:rsidR="00C10300" w:rsidRDefault="00C1030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CBE129" wp14:editId="0689D6F0">
          <wp:simplePos x="0" y="0"/>
          <wp:positionH relativeFrom="column">
            <wp:posOffset>-761292</wp:posOffset>
          </wp:positionH>
          <wp:positionV relativeFrom="paragraph">
            <wp:posOffset>-183514</wp:posOffset>
          </wp:positionV>
          <wp:extent cx="7809876" cy="10165823"/>
          <wp:effectExtent l="0" t="0" r="0" b="0"/>
          <wp:wrapNone/>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C10300" w14:paraId="31BA5CD5" w14:textId="77777777">
      <w:tc>
        <w:tcPr>
          <w:tcW w:w="2551" w:type="dxa"/>
          <w:vAlign w:val="center"/>
        </w:tcPr>
        <w:p w14:paraId="46A83F07" w14:textId="77777777" w:rsidR="00C10300" w:rsidRDefault="00C103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F86CEDA" w14:textId="61A8BD8D" w:rsidR="00C10300" w:rsidRDefault="00C10300">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05304/INFOEM/IP/RR/2025</w:t>
          </w:r>
        </w:p>
      </w:tc>
    </w:tr>
    <w:tr w:rsidR="00C10300" w14:paraId="10CD70E8" w14:textId="77777777">
      <w:tc>
        <w:tcPr>
          <w:tcW w:w="2551" w:type="dxa"/>
          <w:vAlign w:val="center"/>
        </w:tcPr>
        <w:p w14:paraId="65AC9950" w14:textId="6945731A" w:rsidR="00C10300" w:rsidRDefault="00C103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9828FA5" w14:textId="217CC748" w:rsidR="00C10300" w:rsidRDefault="00C10300">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C10300" w14:paraId="76E4283B" w14:textId="77777777">
      <w:trPr>
        <w:trHeight w:val="228"/>
      </w:trPr>
      <w:tc>
        <w:tcPr>
          <w:tcW w:w="2551" w:type="dxa"/>
          <w:vAlign w:val="center"/>
        </w:tcPr>
        <w:p w14:paraId="729C3FD4" w14:textId="5BF95777" w:rsidR="00C10300" w:rsidRDefault="00C103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F49A24C" w14:textId="76920C93" w:rsidR="00C10300" w:rsidRDefault="00C10300" w:rsidP="00B3659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C10300" w14:paraId="63CC0006" w14:textId="77777777">
      <w:tc>
        <w:tcPr>
          <w:tcW w:w="2551" w:type="dxa"/>
          <w:vAlign w:val="center"/>
        </w:tcPr>
        <w:p w14:paraId="29E84B8F" w14:textId="77777777" w:rsidR="00C10300" w:rsidRDefault="00C103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FA7649F" w14:textId="77777777" w:rsidR="00C10300" w:rsidRDefault="00C103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429E556" w14:textId="77777777" w:rsidR="00C10300" w:rsidRDefault="00C1030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F1C"/>
    <w:multiLevelType w:val="multilevel"/>
    <w:tmpl w:val="A3463232"/>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CF239D"/>
    <w:multiLevelType w:val="multilevel"/>
    <w:tmpl w:val="DE341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251B7D"/>
    <w:multiLevelType w:val="multilevel"/>
    <w:tmpl w:val="840E8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6E1EF6"/>
    <w:multiLevelType w:val="hybridMultilevel"/>
    <w:tmpl w:val="D1009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2125FC"/>
    <w:multiLevelType w:val="hybridMultilevel"/>
    <w:tmpl w:val="CC6AA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DB599E"/>
    <w:multiLevelType w:val="multilevel"/>
    <w:tmpl w:val="8A181AB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CF7B00"/>
    <w:multiLevelType w:val="multilevel"/>
    <w:tmpl w:val="0A56F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CB370C"/>
    <w:multiLevelType w:val="multilevel"/>
    <w:tmpl w:val="F066FF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596DE1"/>
    <w:multiLevelType w:val="multilevel"/>
    <w:tmpl w:val="24508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EA64AF"/>
    <w:multiLevelType w:val="multilevel"/>
    <w:tmpl w:val="961679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CD409A"/>
    <w:multiLevelType w:val="hybridMultilevel"/>
    <w:tmpl w:val="37E84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65100E"/>
    <w:multiLevelType w:val="multilevel"/>
    <w:tmpl w:val="49721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9"/>
  </w:num>
  <w:num w:numId="3">
    <w:abstractNumId w:val="7"/>
  </w:num>
  <w:num w:numId="4">
    <w:abstractNumId w:val="0"/>
  </w:num>
  <w:num w:numId="5">
    <w:abstractNumId w:val="11"/>
  </w:num>
  <w:num w:numId="6">
    <w:abstractNumId w:val="2"/>
  </w:num>
  <w:num w:numId="7">
    <w:abstractNumId w:val="5"/>
  </w:num>
  <w:num w:numId="8">
    <w:abstractNumId w:val="8"/>
  </w:num>
  <w:num w:numId="9">
    <w:abstractNumId w:val="6"/>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1D"/>
    <w:rsid w:val="00032911"/>
    <w:rsid w:val="000D447D"/>
    <w:rsid w:val="00110AB6"/>
    <w:rsid w:val="002165C6"/>
    <w:rsid w:val="00244C76"/>
    <w:rsid w:val="002D7D8A"/>
    <w:rsid w:val="00321801"/>
    <w:rsid w:val="00326173"/>
    <w:rsid w:val="00375EAF"/>
    <w:rsid w:val="00443FA0"/>
    <w:rsid w:val="005D12BC"/>
    <w:rsid w:val="00681252"/>
    <w:rsid w:val="007355AD"/>
    <w:rsid w:val="007F50A9"/>
    <w:rsid w:val="00850369"/>
    <w:rsid w:val="009829AB"/>
    <w:rsid w:val="00985ED3"/>
    <w:rsid w:val="00A039EC"/>
    <w:rsid w:val="00A2676B"/>
    <w:rsid w:val="00A94965"/>
    <w:rsid w:val="00B36599"/>
    <w:rsid w:val="00C10300"/>
    <w:rsid w:val="00CB2C73"/>
    <w:rsid w:val="00CE66D6"/>
    <w:rsid w:val="00D2631D"/>
    <w:rsid w:val="00E927D8"/>
    <w:rsid w:val="00F524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F9F6"/>
  <w15:docId w15:val="{F93D52BD-8164-452A-A255-0B20A85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167A3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167A3B"/>
    <w:rPr>
      <w:rFonts w:ascii="Times New Roman" w:eastAsia="Times New Roman" w:hAnsi="Times New Roman" w:cs="Times New Roman"/>
      <w:sz w:val="24"/>
      <w:szCs w:val="24"/>
      <w:lang w:val="es-ES" w:eastAsia="es-ES"/>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244C76"/>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5365">
      <w:bodyDiv w:val="1"/>
      <w:marLeft w:val="0"/>
      <w:marRight w:val="0"/>
      <w:marTop w:val="0"/>
      <w:marBottom w:val="0"/>
      <w:divBdr>
        <w:top w:val="none" w:sz="0" w:space="0" w:color="auto"/>
        <w:left w:val="none" w:sz="0" w:space="0" w:color="auto"/>
        <w:bottom w:val="none" w:sz="0" w:space="0" w:color="auto"/>
        <w:right w:val="none" w:sz="0" w:space="0" w:color="auto"/>
      </w:divBdr>
    </w:div>
    <w:div w:id="1387800643">
      <w:bodyDiv w:val="1"/>
      <w:marLeft w:val="0"/>
      <w:marRight w:val="0"/>
      <w:marTop w:val="0"/>
      <w:marBottom w:val="0"/>
      <w:divBdr>
        <w:top w:val="none" w:sz="0" w:space="0" w:color="auto"/>
        <w:left w:val="none" w:sz="0" w:space="0" w:color="auto"/>
        <w:bottom w:val="none" w:sz="0" w:space="0" w:color="auto"/>
        <w:right w:val="none" w:sz="0" w:space="0" w:color="auto"/>
      </w:divBdr>
    </w:div>
    <w:div w:id="1443181363">
      <w:bodyDiv w:val="1"/>
      <w:marLeft w:val="0"/>
      <w:marRight w:val="0"/>
      <w:marTop w:val="0"/>
      <w:marBottom w:val="0"/>
      <w:divBdr>
        <w:top w:val="none" w:sz="0" w:space="0" w:color="auto"/>
        <w:left w:val="none" w:sz="0" w:space="0" w:color="auto"/>
        <w:bottom w:val="none" w:sz="0" w:space="0" w:color="auto"/>
        <w:right w:val="none" w:sz="0" w:space="0" w:color="auto"/>
      </w:divBdr>
    </w:div>
    <w:div w:id="1848056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9wZ2K8UObKHPl4IpOn9YN67Q==">CgMxLjAyDmguNnZma3p1N3R3ZWtvMgloLjN6bnlzaDcyDmgudndwNjQwb2xieXY4OAByITFDUjdZNWEtam5xNHk1ek1QdGMycFFZczhQbnB3cG9wZQ==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7694</Words>
  <Characters>42322</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2025-08-29T20:28:00Z</cp:lastPrinted>
  <dcterms:created xsi:type="dcterms:W3CDTF">2025-09-05T20:52:00Z</dcterms:created>
  <dcterms:modified xsi:type="dcterms:W3CDTF">2025-09-05T20:52:00Z</dcterms:modified>
</cp:coreProperties>
</file>