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BA" w:rsidRDefault="008C6FBA">
      <w:pPr>
        <w:widowControl w:val="0"/>
        <w:pBdr>
          <w:top w:val="nil"/>
          <w:left w:val="nil"/>
          <w:bottom w:val="nil"/>
          <w:right w:val="nil"/>
          <w:between w:val="nil"/>
        </w:pBdr>
        <w:spacing w:line="276" w:lineRule="auto"/>
      </w:pPr>
      <w:bookmarkStart w:id="0" w:name="_GoBack"/>
      <w:bookmarkEnd w:id="0"/>
    </w:p>
    <w:sdt>
      <w:sdtPr>
        <w:id w:val="1806353090"/>
        <w:docPartObj>
          <w:docPartGallery w:val="Table of Contents"/>
          <w:docPartUnique/>
        </w:docPartObj>
      </w:sdtPr>
      <w:sdtEndPr>
        <w:rPr>
          <w:b/>
          <w:bCs/>
        </w:rPr>
      </w:sdtEndPr>
      <w:sdtContent>
        <w:p w:rsidR="0089310C" w:rsidRDefault="0089310C" w:rsidP="0089310C">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01826/INFOEM/IP/RR/2025</w:t>
          </w:r>
        </w:p>
        <w:p w:rsidR="0089310C" w:rsidRPr="0089310C" w:rsidRDefault="0089310C" w:rsidP="0089310C">
          <w:pPr>
            <w:pStyle w:val="TtulodeTDC"/>
          </w:pPr>
        </w:p>
        <w:p w:rsidR="0089310C" w:rsidRPr="002648C9" w:rsidRDefault="0089310C">
          <w:pPr>
            <w:pStyle w:val="TDC1"/>
            <w:tabs>
              <w:tab w:val="right" w:leader="dot" w:pos="9034"/>
            </w:tabs>
            <w:rPr>
              <w:rFonts w:cstheme="minorBidi"/>
              <w:noProof/>
              <w:lang w:val="es-MX"/>
            </w:rPr>
          </w:pPr>
          <w:r w:rsidRPr="002648C9">
            <w:rPr>
              <w:bCs/>
            </w:rPr>
            <w:fldChar w:fldCharType="begin"/>
          </w:r>
          <w:r w:rsidRPr="002648C9">
            <w:rPr>
              <w:bCs/>
            </w:rPr>
            <w:instrText xml:space="preserve"> TOC \o "1-3" \h \z \u </w:instrText>
          </w:r>
          <w:r w:rsidRPr="002648C9">
            <w:rPr>
              <w:bCs/>
            </w:rPr>
            <w:fldChar w:fldCharType="separate"/>
          </w:r>
          <w:hyperlink w:anchor="_Toc193974452" w:history="1">
            <w:r w:rsidRPr="002648C9">
              <w:rPr>
                <w:rStyle w:val="Hipervnculo"/>
                <w:rFonts w:ascii="Palatino Linotype" w:eastAsia="Palatino Linotype" w:hAnsi="Palatino Linotype" w:cs="Palatino Linotype"/>
                <w:noProof/>
              </w:rPr>
              <w:t>A N T E C E D E N T E S</w:t>
            </w:r>
            <w:r w:rsidRPr="002648C9">
              <w:rPr>
                <w:noProof/>
                <w:webHidden/>
              </w:rPr>
              <w:tab/>
            </w:r>
            <w:r w:rsidRPr="002648C9">
              <w:rPr>
                <w:noProof/>
                <w:webHidden/>
              </w:rPr>
              <w:fldChar w:fldCharType="begin"/>
            </w:r>
            <w:r w:rsidRPr="002648C9">
              <w:rPr>
                <w:noProof/>
                <w:webHidden/>
              </w:rPr>
              <w:instrText xml:space="preserve"> PAGEREF _Toc193974452 \h </w:instrText>
            </w:r>
            <w:r w:rsidRPr="002648C9">
              <w:rPr>
                <w:noProof/>
                <w:webHidden/>
              </w:rPr>
            </w:r>
            <w:r w:rsidRPr="002648C9">
              <w:rPr>
                <w:noProof/>
                <w:webHidden/>
              </w:rPr>
              <w:fldChar w:fldCharType="separate"/>
            </w:r>
            <w:r w:rsidR="008A4A1E">
              <w:rPr>
                <w:noProof/>
                <w:webHidden/>
              </w:rPr>
              <w:t>2</w:t>
            </w:r>
            <w:r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53" w:history="1">
            <w:r w:rsidR="0089310C" w:rsidRPr="002648C9">
              <w:rPr>
                <w:rStyle w:val="Hipervnculo"/>
                <w:rFonts w:ascii="Palatino Linotype" w:hAnsi="Palatino Linotype"/>
                <w:noProof/>
              </w:rPr>
              <w:t>I. Presentación de la solicitud de información</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_Toc193974453 \h </w:instrText>
            </w:r>
            <w:r w:rsidR="0089310C" w:rsidRPr="002648C9">
              <w:rPr>
                <w:noProof/>
                <w:webHidden/>
              </w:rPr>
            </w:r>
            <w:r w:rsidR="0089310C" w:rsidRPr="002648C9">
              <w:rPr>
                <w:noProof/>
                <w:webHidden/>
              </w:rPr>
              <w:fldChar w:fldCharType="separate"/>
            </w:r>
            <w:r w:rsidR="008A4A1E">
              <w:rPr>
                <w:noProof/>
                <w:webHidden/>
              </w:rPr>
              <w:t>2</w:t>
            </w:r>
            <w:r w:rsidR="0089310C"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54" w:history="1">
            <w:r w:rsidR="0089310C" w:rsidRPr="002648C9">
              <w:rPr>
                <w:rStyle w:val="Hipervnculo"/>
                <w:rFonts w:ascii="Palatino Linotype" w:eastAsia="Palatino Linotype" w:hAnsi="Palatino Linotype" w:cs="Palatino Linotype"/>
                <w:noProof/>
              </w:rPr>
              <w:t>II. Respuesta del Sujeto Obligado</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_Toc193974454 \h </w:instrText>
            </w:r>
            <w:r w:rsidR="0089310C" w:rsidRPr="002648C9">
              <w:rPr>
                <w:noProof/>
                <w:webHidden/>
              </w:rPr>
            </w:r>
            <w:r w:rsidR="0089310C" w:rsidRPr="002648C9">
              <w:rPr>
                <w:noProof/>
                <w:webHidden/>
              </w:rPr>
              <w:fldChar w:fldCharType="separate"/>
            </w:r>
            <w:r w:rsidR="008A4A1E">
              <w:rPr>
                <w:noProof/>
                <w:webHidden/>
              </w:rPr>
              <w:t>3</w:t>
            </w:r>
            <w:r w:rsidR="0089310C"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55" w:history="1">
            <w:r w:rsidR="0089310C" w:rsidRPr="002648C9">
              <w:rPr>
                <w:rStyle w:val="Hipervnculo"/>
                <w:rFonts w:ascii="Palatino Linotype" w:eastAsia="Palatino Linotype" w:hAnsi="Palatino Linotype" w:cs="Palatino Linotype"/>
                <w:noProof/>
              </w:rPr>
              <w:t>III. Interposición del Recurso de Revisión</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_Toc193974455 \h </w:instrText>
            </w:r>
            <w:r w:rsidR="0089310C" w:rsidRPr="002648C9">
              <w:rPr>
                <w:noProof/>
                <w:webHidden/>
              </w:rPr>
            </w:r>
            <w:r w:rsidR="0089310C" w:rsidRPr="002648C9">
              <w:rPr>
                <w:noProof/>
                <w:webHidden/>
              </w:rPr>
              <w:fldChar w:fldCharType="separate"/>
            </w:r>
            <w:r w:rsidR="008A4A1E">
              <w:rPr>
                <w:noProof/>
                <w:webHidden/>
              </w:rPr>
              <w:t>3</w:t>
            </w:r>
            <w:r w:rsidR="0089310C"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56" w:history="1">
            <w:r w:rsidR="0089310C" w:rsidRPr="002648C9">
              <w:rPr>
                <w:rStyle w:val="Hipervnculo"/>
                <w:rFonts w:ascii="Palatino Linotype" w:eastAsia="Palatino Linotype" w:hAnsi="Palatino Linotype" w:cs="Palatino Linotype"/>
                <w:noProof/>
              </w:rPr>
              <w:t>IV. Trámite del Recurso de Revisión ante el Instituto</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_Toc193974456 \h </w:instrText>
            </w:r>
            <w:r w:rsidR="0089310C" w:rsidRPr="002648C9">
              <w:rPr>
                <w:noProof/>
                <w:webHidden/>
              </w:rPr>
            </w:r>
            <w:r w:rsidR="0089310C" w:rsidRPr="002648C9">
              <w:rPr>
                <w:noProof/>
                <w:webHidden/>
              </w:rPr>
              <w:fldChar w:fldCharType="separate"/>
            </w:r>
            <w:r w:rsidR="008A4A1E">
              <w:rPr>
                <w:noProof/>
                <w:webHidden/>
              </w:rPr>
              <w:t>4</w:t>
            </w:r>
            <w:r w:rsidR="0089310C" w:rsidRPr="002648C9">
              <w:rPr>
                <w:noProof/>
                <w:webHidden/>
              </w:rPr>
              <w:fldChar w:fldCharType="end"/>
            </w:r>
          </w:hyperlink>
        </w:p>
        <w:p w:rsidR="0089310C" w:rsidRPr="002648C9" w:rsidRDefault="00B0743B">
          <w:pPr>
            <w:pStyle w:val="TDC1"/>
            <w:tabs>
              <w:tab w:val="right" w:leader="dot" w:pos="9034"/>
            </w:tabs>
            <w:rPr>
              <w:rFonts w:cstheme="minorBidi"/>
              <w:noProof/>
              <w:lang w:val="es-MX"/>
            </w:rPr>
          </w:pPr>
          <w:hyperlink w:anchor="_Toc193974457" w:history="1">
            <w:r w:rsidR="0089310C" w:rsidRPr="002648C9">
              <w:rPr>
                <w:rStyle w:val="Hipervnculo"/>
                <w:rFonts w:ascii="Palatino Linotype" w:eastAsia="Palatino Linotype" w:hAnsi="Palatino Linotype" w:cs="Palatino Linotype"/>
                <w:noProof/>
              </w:rPr>
              <w:t>C O N S I D E R A N D O S</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_Toc193974457 \h </w:instrText>
            </w:r>
            <w:r w:rsidR="0089310C" w:rsidRPr="002648C9">
              <w:rPr>
                <w:noProof/>
                <w:webHidden/>
              </w:rPr>
            </w:r>
            <w:r w:rsidR="0089310C" w:rsidRPr="002648C9">
              <w:rPr>
                <w:noProof/>
                <w:webHidden/>
              </w:rPr>
              <w:fldChar w:fldCharType="separate"/>
            </w:r>
            <w:r w:rsidR="008A4A1E">
              <w:rPr>
                <w:noProof/>
                <w:webHidden/>
              </w:rPr>
              <w:t>6</w:t>
            </w:r>
            <w:r w:rsidR="0089310C"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58" w:history="1">
            <w:r w:rsidR="0089310C" w:rsidRPr="002648C9">
              <w:rPr>
                <w:rStyle w:val="Hipervnculo"/>
                <w:rFonts w:ascii="Palatino Linotype" w:eastAsia="Palatino Linotype" w:hAnsi="Palatino Linotype" w:cs="Palatino Linotype"/>
                <w:noProof/>
              </w:rPr>
              <w:t>PRIMERO. Competencia</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_Toc193974458 \h </w:instrText>
            </w:r>
            <w:r w:rsidR="0089310C" w:rsidRPr="002648C9">
              <w:rPr>
                <w:noProof/>
                <w:webHidden/>
              </w:rPr>
            </w:r>
            <w:r w:rsidR="0089310C" w:rsidRPr="002648C9">
              <w:rPr>
                <w:noProof/>
                <w:webHidden/>
              </w:rPr>
              <w:fldChar w:fldCharType="separate"/>
            </w:r>
            <w:r w:rsidR="008A4A1E">
              <w:rPr>
                <w:noProof/>
                <w:webHidden/>
              </w:rPr>
              <w:t>6</w:t>
            </w:r>
            <w:r w:rsidR="0089310C"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59" w:history="1">
            <w:r w:rsidR="0089310C" w:rsidRPr="002648C9">
              <w:rPr>
                <w:rStyle w:val="Hipervnculo"/>
                <w:rFonts w:ascii="Palatino Linotype" w:eastAsia="Palatino Linotype" w:hAnsi="Palatino Linotype" w:cs="Palatino Linotype"/>
                <w:noProof/>
              </w:rPr>
              <w:t>SEGUNDO. Causales de improcedencia y sobreseimiento</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_Toc193974459 \h </w:instrText>
            </w:r>
            <w:r w:rsidR="0089310C" w:rsidRPr="002648C9">
              <w:rPr>
                <w:noProof/>
                <w:webHidden/>
              </w:rPr>
            </w:r>
            <w:r w:rsidR="0089310C" w:rsidRPr="002648C9">
              <w:rPr>
                <w:noProof/>
                <w:webHidden/>
              </w:rPr>
              <w:fldChar w:fldCharType="separate"/>
            </w:r>
            <w:r w:rsidR="008A4A1E">
              <w:rPr>
                <w:noProof/>
                <w:webHidden/>
              </w:rPr>
              <w:t>6</w:t>
            </w:r>
            <w:r w:rsidR="0089310C"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60" w:history="1">
            <w:r w:rsidR="0089310C" w:rsidRPr="002648C9">
              <w:rPr>
                <w:rStyle w:val="Hipervnculo"/>
                <w:rFonts w:ascii="Palatino Linotype" w:eastAsia="Palatino Linotype" w:hAnsi="Palatino Linotype" w:cs="Palatino Linotype"/>
                <w:noProof/>
              </w:rPr>
              <w:t>TERCERO. Determinación de la Controversia</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_Toc193974460 \h </w:instrText>
            </w:r>
            <w:r w:rsidR="0089310C" w:rsidRPr="002648C9">
              <w:rPr>
                <w:noProof/>
                <w:webHidden/>
              </w:rPr>
            </w:r>
            <w:r w:rsidR="0089310C" w:rsidRPr="002648C9">
              <w:rPr>
                <w:noProof/>
                <w:webHidden/>
              </w:rPr>
              <w:fldChar w:fldCharType="separate"/>
            </w:r>
            <w:r w:rsidR="008A4A1E">
              <w:rPr>
                <w:noProof/>
                <w:webHidden/>
              </w:rPr>
              <w:t>8</w:t>
            </w:r>
            <w:r w:rsidR="0089310C"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61" w:history="1">
            <w:r w:rsidR="0089310C" w:rsidRPr="002648C9">
              <w:rPr>
                <w:rStyle w:val="Hipervnculo"/>
                <w:rFonts w:ascii="Palatino Linotype" w:eastAsia="Palatino Linotype" w:hAnsi="Palatino Linotype" w:cs="Palatino Linotype"/>
                <w:noProof/>
              </w:rPr>
              <w:t>QUINTO. Estudio de Fondo</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_Toc193974461 \h </w:instrText>
            </w:r>
            <w:r w:rsidR="0089310C" w:rsidRPr="002648C9">
              <w:rPr>
                <w:noProof/>
                <w:webHidden/>
              </w:rPr>
            </w:r>
            <w:r w:rsidR="0089310C" w:rsidRPr="002648C9">
              <w:rPr>
                <w:noProof/>
                <w:webHidden/>
              </w:rPr>
              <w:fldChar w:fldCharType="separate"/>
            </w:r>
            <w:r w:rsidR="008A4A1E">
              <w:rPr>
                <w:noProof/>
                <w:webHidden/>
              </w:rPr>
              <w:t>11</w:t>
            </w:r>
            <w:r w:rsidR="0089310C"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62" w:history="1">
            <w:r w:rsidR="0089310C" w:rsidRPr="002648C9">
              <w:rPr>
                <w:rStyle w:val="Hipervnculo"/>
                <w:rFonts w:ascii="Palatino Linotype" w:eastAsia="Palatino Linotype" w:hAnsi="Palatino Linotype" w:cs="Palatino Linotype"/>
                <w:noProof/>
              </w:rPr>
              <w:t>SEXTO. Decisión</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_Toc193974462 \h </w:instrText>
            </w:r>
            <w:r w:rsidR="0089310C" w:rsidRPr="002648C9">
              <w:rPr>
                <w:noProof/>
                <w:webHidden/>
              </w:rPr>
            </w:r>
            <w:r w:rsidR="0089310C" w:rsidRPr="002648C9">
              <w:rPr>
                <w:noProof/>
                <w:webHidden/>
              </w:rPr>
              <w:fldChar w:fldCharType="separate"/>
            </w:r>
            <w:r w:rsidR="008A4A1E">
              <w:rPr>
                <w:noProof/>
                <w:webHidden/>
              </w:rPr>
              <w:t>22</w:t>
            </w:r>
            <w:r w:rsidR="0089310C" w:rsidRPr="002648C9">
              <w:rPr>
                <w:noProof/>
                <w:webHidden/>
              </w:rPr>
              <w:fldChar w:fldCharType="end"/>
            </w:r>
          </w:hyperlink>
        </w:p>
        <w:p w:rsidR="0089310C" w:rsidRPr="002648C9" w:rsidRDefault="00B0743B">
          <w:pPr>
            <w:pStyle w:val="TDC2"/>
            <w:tabs>
              <w:tab w:val="right" w:leader="dot" w:pos="9034"/>
            </w:tabs>
            <w:rPr>
              <w:rFonts w:cstheme="minorBidi"/>
              <w:noProof/>
              <w:lang w:val="es-MX"/>
            </w:rPr>
          </w:pPr>
          <w:hyperlink w:anchor="_Toc193974463" w:history="1">
            <w:r w:rsidR="0089310C" w:rsidRPr="002648C9">
              <w:rPr>
                <w:rStyle w:val="Hipervnculo"/>
                <w:rFonts w:ascii="Palatino Linotype" w:eastAsia="Palatino Linotype" w:hAnsi="Palatino Linotype" w:cs="Palatino Linotype"/>
                <w:noProof/>
              </w:rPr>
              <w:t>SÉPTIMO. Vista a la Secretaría Técnica del Pleno</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_Toc193974463 \h </w:instrText>
            </w:r>
            <w:r w:rsidR="0089310C" w:rsidRPr="002648C9">
              <w:rPr>
                <w:noProof/>
                <w:webHidden/>
              </w:rPr>
            </w:r>
            <w:r w:rsidR="0089310C" w:rsidRPr="002648C9">
              <w:rPr>
                <w:noProof/>
                <w:webHidden/>
              </w:rPr>
              <w:fldChar w:fldCharType="separate"/>
            </w:r>
            <w:r w:rsidR="008A4A1E">
              <w:rPr>
                <w:noProof/>
                <w:webHidden/>
              </w:rPr>
              <w:t>22</w:t>
            </w:r>
            <w:r w:rsidR="0089310C" w:rsidRPr="002648C9">
              <w:rPr>
                <w:noProof/>
                <w:webHidden/>
              </w:rPr>
              <w:fldChar w:fldCharType="end"/>
            </w:r>
          </w:hyperlink>
        </w:p>
        <w:p w:rsidR="0089310C" w:rsidRPr="002648C9" w:rsidRDefault="00B0743B">
          <w:pPr>
            <w:pStyle w:val="TDC1"/>
            <w:tabs>
              <w:tab w:val="right" w:leader="dot" w:pos="9034"/>
            </w:tabs>
            <w:rPr>
              <w:rFonts w:cstheme="minorBidi"/>
              <w:noProof/>
              <w:lang w:val="es-MX"/>
            </w:rPr>
          </w:pPr>
          <w:hyperlink w:anchor="_Toc193974464" w:history="1">
            <w:r w:rsidR="0089310C" w:rsidRPr="002648C9">
              <w:rPr>
                <w:rStyle w:val="Hipervnculo"/>
                <w:rFonts w:ascii="Palatino Linotype" w:eastAsia="Palatino Linotype" w:hAnsi="Palatino Linotype" w:cs="Palatino Linotype"/>
                <w:noProof/>
              </w:rPr>
              <w:t>R E S U E L V E</w:t>
            </w:r>
            <w:r w:rsidR="0089310C" w:rsidRPr="002648C9">
              <w:rPr>
                <w:noProof/>
                <w:webHidden/>
              </w:rPr>
              <w:tab/>
            </w:r>
            <w:r w:rsidR="0089310C" w:rsidRPr="002648C9">
              <w:rPr>
                <w:noProof/>
                <w:webHidden/>
              </w:rPr>
              <w:fldChar w:fldCharType="begin"/>
            </w:r>
            <w:r w:rsidR="0089310C" w:rsidRPr="002648C9">
              <w:rPr>
                <w:noProof/>
                <w:webHidden/>
              </w:rPr>
              <w:instrText xml:space="preserve"> PAGEREF _Toc193974464 \h </w:instrText>
            </w:r>
            <w:r w:rsidR="0089310C" w:rsidRPr="002648C9">
              <w:rPr>
                <w:noProof/>
                <w:webHidden/>
              </w:rPr>
            </w:r>
            <w:r w:rsidR="0089310C" w:rsidRPr="002648C9">
              <w:rPr>
                <w:noProof/>
                <w:webHidden/>
              </w:rPr>
              <w:fldChar w:fldCharType="separate"/>
            </w:r>
            <w:r w:rsidR="008A4A1E">
              <w:rPr>
                <w:noProof/>
                <w:webHidden/>
              </w:rPr>
              <w:t>24</w:t>
            </w:r>
            <w:r w:rsidR="0089310C" w:rsidRPr="002648C9">
              <w:rPr>
                <w:noProof/>
                <w:webHidden/>
              </w:rPr>
              <w:fldChar w:fldCharType="end"/>
            </w:r>
          </w:hyperlink>
        </w:p>
        <w:p w:rsidR="0089310C" w:rsidRDefault="0089310C">
          <w:r w:rsidRPr="002648C9">
            <w:rPr>
              <w:bCs/>
            </w:rPr>
            <w:fldChar w:fldCharType="end"/>
          </w:r>
        </w:p>
      </w:sdtContent>
    </w:sdt>
    <w:p w:rsidR="008C6FBA" w:rsidRDefault="008C6FBA">
      <w:pPr>
        <w:tabs>
          <w:tab w:val="left" w:pos="3660"/>
        </w:tabs>
        <w:spacing w:line="360" w:lineRule="auto"/>
        <w:jc w:val="both"/>
        <w:rPr>
          <w:rFonts w:ascii="Palatino Linotype" w:eastAsia="Palatino Linotype" w:hAnsi="Palatino Linotype" w:cs="Palatino Linotype"/>
          <w:color w:val="000000"/>
          <w:sz w:val="22"/>
          <w:szCs w:val="22"/>
        </w:rPr>
      </w:pPr>
    </w:p>
    <w:p w:rsidR="008C6FBA" w:rsidRDefault="008C6FBA">
      <w:pPr>
        <w:keepNext/>
        <w:keepLines/>
        <w:pBdr>
          <w:top w:val="nil"/>
          <w:left w:val="nil"/>
          <w:bottom w:val="nil"/>
          <w:right w:val="nil"/>
          <w:between w:val="nil"/>
        </w:pBdr>
        <w:spacing w:line="360" w:lineRule="auto"/>
        <w:jc w:val="center"/>
        <w:rPr>
          <w:rFonts w:ascii="Calibri" w:eastAsia="Calibri" w:hAnsi="Calibri" w:cs="Calibri"/>
          <w:color w:val="2F5496"/>
          <w:sz w:val="32"/>
          <w:szCs w:val="32"/>
        </w:rPr>
      </w:pPr>
    </w:p>
    <w:p w:rsidR="0089310C" w:rsidRDefault="0089310C" w:rsidP="0089310C">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p>
    <w:p w:rsidR="0089310C" w:rsidRDefault="0089310C" w:rsidP="0089310C">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p>
    <w:p w:rsidR="0089310C" w:rsidRDefault="0089310C" w:rsidP="0089310C">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p>
    <w:p w:rsidR="0089310C" w:rsidRDefault="0089310C" w:rsidP="0089310C">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p>
    <w:p w:rsidR="0089310C" w:rsidRDefault="0089310C" w:rsidP="0089310C">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p>
    <w:p w:rsidR="0089310C" w:rsidRDefault="0089310C" w:rsidP="0089310C">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p>
    <w:p w:rsidR="0089310C" w:rsidRDefault="0089310C" w:rsidP="0089310C">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w:t>
      </w:r>
      <w:r w:rsidR="0089310C">
        <w:rPr>
          <w:rFonts w:ascii="Palatino Linotype" w:eastAsia="Palatino Linotype" w:hAnsi="Palatino Linotype" w:cs="Palatino Linotype"/>
          <w:sz w:val="22"/>
          <w:szCs w:val="22"/>
        </w:rPr>
        <w:t>veintiséis</w:t>
      </w:r>
      <w:r>
        <w:rPr>
          <w:rFonts w:ascii="Palatino Linotype" w:eastAsia="Palatino Linotype" w:hAnsi="Palatino Linotype" w:cs="Palatino Linotype"/>
          <w:sz w:val="22"/>
          <w:szCs w:val="22"/>
        </w:rPr>
        <w:t xml:space="preserve"> de marzo de dos mil veinticinco. </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sidRPr="00277AFD">
        <w:rPr>
          <w:rFonts w:ascii="Palatino Linotype" w:eastAsia="Palatino Linotype" w:hAnsi="Palatino Linotype" w:cs="Palatino Linotype"/>
          <w:b/>
          <w:color w:val="000000"/>
          <w:sz w:val="22"/>
          <w:szCs w:val="22"/>
        </w:rPr>
        <w:t>01826/INFOEM/IP/RR/2025</w:t>
      </w:r>
      <w:r>
        <w:rPr>
          <w:rFonts w:ascii="Palatino Linotype" w:eastAsia="Palatino Linotype" w:hAnsi="Palatino Linotype" w:cs="Palatino Linotype"/>
          <w:color w:val="000000"/>
          <w:sz w:val="22"/>
          <w:szCs w:val="22"/>
        </w:rPr>
        <w:t xml:space="preserve">, interpuesto por Anónimo en lo sucesivo la persona </w:t>
      </w:r>
      <w:r>
        <w:rPr>
          <w:rFonts w:ascii="Palatino Linotype" w:eastAsia="Palatino Linotype" w:hAnsi="Palatino Linotype" w:cs="Palatino Linotype"/>
          <w:color w:val="0D0D0D"/>
          <w:sz w:val="22"/>
          <w:szCs w:val="22"/>
        </w:rPr>
        <w:t xml:space="preserve"> Recurrente o Particular</w:t>
      </w:r>
      <w:r>
        <w:rPr>
          <w:rFonts w:ascii="Palatino Linotype" w:eastAsia="Palatino Linotype" w:hAnsi="Palatino Linotype" w:cs="Palatino Linotype"/>
          <w:color w:val="000000"/>
          <w:sz w:val="22"/>
          <w:szCs w:val="22"/>
        </w:rPr>
        <w:t>, en contra de la</w:t>
      </w:r>
      <w:r w:rsidR="00277AFD">
        <w:rPr>
          <w:rFonts w:ascii="Palatino Linotype" w:eastAsia="Palatino Linotype" w:hAnsi="Palatino Linotype" w:cs="Palatino Linotype"/>
          <w:color w:val="000000"/>
          <w:sz w:val="22"/>
          <w:szCs w:val="22"/>
        </w:rPr>
        <w:t xml:space="preserve"> falta de </w:t>
      </w:r>
      <w:r>
        <w:rPr>
          <w:rFonts w:ascii="Palatino Linotype" w:eastAsia="Palatino Linotype" w:hAnsi="Palatino Linotype" w:cs="Palatino Linotype"/>
          <w:color w:val="000000"/>
          <w:sz w:val="22"/>
          <w:szCs w:val="22"/>
        </w:rPr>
        <w:t xml:space="preserve">respuesta del Sujeto Obligado, </w:t>
      </w:r>
      <w:r w:rsidRPr="00277AFD">
        <w:rPr>
          <w:rFonts w:ascii="Palatino Linotype" w:eastAsia="Palatino Linotype" w:hAnsi="Palatino Linotype" w:cs="Palatino Linotype"/>
          <w:b/>
          <w:sz w:val="22"/>
          <w:szCs w:val="22"/>
        </w:rPr>
        <w:t>Ayuntamiento de Ecatepec de Morelos</w:t>
      </w:r>
      <w:r w:rsidRPr="00277AFD">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a la solicitud de acceso a la información pública 00091/ECATEPEC/IP/2025, se emite la presente Resolución, con base en los Antecedentes y Considerandos que a continuación se exponen:</w:t>
      </w:r>
    </w:p>
    <w:p w:rsidR="008C6FBA" w:rsidRDefault="008C6FBA">
      <w:pPr>
        <w:tabs>
          <w:tab w:val="left" w:pos="2835"/>
        </w:tabs>
        <w:spacing w:line="360" w:lineRule="auto"/>
        <w:ind w:right="-93"/>
        <w:jc w:val="both"/>
        <w:rPr>
          <w:rFonts w:ascii="Palatino Linotype" w:eastAsia="Palatino Linotype" w:hAnsi="Palatino Linotype" w:cs="Palatino Linotype"/>
          <w:sz w:val="22"/>
          <w:szCs w:val="22"/>
        </w:rPr>
      </w:pPr>
    </w:p>
    <w:p w:rsidR="008C6FBA" w:rsidRDefault="00783F62">
      <w:pPr>
        <w:pStyle w:val="Ttulo1"/>
        <w:spacing w:before="0" w:line="360" w:lineRule="auto"/>
        <w:jc w:val="center"/>
        <w:rPr>
          <w:rFonts w:ascii="Palatino Linotype" w:eastAsia="Palatino Linotype" w:hAnsi="Palatino Linotype" w:cs="Palatino Linotype"/>
          <w:b/>
          <w:color w:val="000000"/>
          <w:sz w:val="22"/>
          <w:szCs w:val="22"/>
        </w:rPr>
      </w:pPr>
      <w:bookmarkStart w:id="1" w:name="_heading=h.r3c5jwtes8d0" w:colFirst="0" w:colLast="0"/>
      <w:bookmarkStart w:id="2" w:name="_Toc193974452"/>
      <w:bookmarkEnd w:id="1"/>
      <w:r>
        <w:rPr>
          <w:rFonts w:ascii="Palatino Linotype" w:eastAsia="Palatino Linotype" w:hAnsi="Palatino Linotype" w:cs="Palatino Linotype"/>
          <w:b/>
          <w:color w:val="000000"/>
          <w:sz w:val="22"/>
          <w:szCs w:val="22"/>
        </w:rPr>
        <w:t>A N T E C E D E N T E S</w:t>
      </w:r>
      <w:bookmarkEnd w:id="2"/>
    </w:p>
    <w:p w:rsidR="008C6FBA" w:rsidRDefault="008C6FBA">
      <w:pPr>
        <w:spacing w:line="360" w:lineRule="auto"/>
        <w:ind w:right="-93"/>
        <w:jc w:val="both"/>
        <w:rPr>
          <w:rFonts w:ascii="Palatino Linotype" w:eastAsia="Palatino Linotype" w:hAnsi="Palatino Linotype" w:cs="Palatino Linotype"/>
          <w:sz w:val="22"/>
          <w:szCs w:val="22"/>
        </w:rPr>
      </w:pPr>
    </w:p>
    <w:p w:rsidR="008C6FBA" w:rsidRPr="0089310C" w:rsidRDefault="00783F62" w:rsidP="0089310C">
      <w:pPr>
        <w:pStyle w:val="Ttulo2"/>
        <w:rPr>
          <w:rFonts w:ascii="Palatino Linotype" w:hAnsi="Palatino Linotype"/>
          <w:b/>
          <w:color w:val="auto"/>
          <w:sz w:val="22"/>
        </w:rPr>
      </w:pPr>
      <w:bookmarkStart w:id="3" w:name="_heading=h.lys3aznclte0" w:colFirst="0" w:colLast="0"/>
      <w:bookmarkStart w:id="4" w:name="_Toc193974453"/>
      <w:bookmarkEnd w:id="3"/>
      <w:r w:rsidRPr="0089310C">
        <w:rPr>
          <w:rFonts w:ascii="Palatino Linotype" w:hAnsi="Palatino Linotype"/>
          <w:b/>
          <w:color w:val="auto"/>
          <w:sz w:val="22"/>
        </w:rPr>
        <w:t>I. Presentación de la solicitud de información</w:t>
      </w:r>
      <w:bookmarkEnd w:id="4"/>
    </w:p>
    <w:p w:rsidR="008C6FBA" w:rsidRDefault="008C6FBA">
      <w:pPr>
        <w:tabs>
          <w:tab w:val="left" w:pos="567"/>
        </w:tabs>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Con fecha veintinueve de enero de dos mil veinticinco, el Particular presentó una solicitud de acceso a la información pública, a través del Sistema de Acceso a la Información Mexiquense (SAIMEX), ante el </w:t>
      </w:r>
      <w:r>
        <w:rPr>
          <w:rFonts w:ascii="Palatino Linotype" w:eastAsia="Palatino Linotype" w:hAnsi="Palatino Linotype" w:cs="Palatino Linotype"/>
          <w:sz w:val="22"/>
          <w:szCs w:val="22"/>
        </w:rPr>
        <w:t>Ayuntamiento de Ecatepec de Morelos</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mediante la cual requirió:</w:t>
      </w:r>
    </w:p>
    <w:p w:rsidR="008C6FBA" w:rsidRDefault="008C6FBA">
      <w:pPr>
        <w:tabs>
          <w:tab w:val="left" w:pos="567"/>
        </w:tabs>
        <w:spacing w:line="360" w:lineRule="auto"/>
        <w:jc w:val="both"/>
        <w:rPr>
          <w:rFonts w:ascii="Palatino Linotype" w:eastAsia="Palatino Linotype" w:hAnsi="Palatino Linotype" w:cs="Palatino Linotype"/>
          <w:sz w:val="22"/>
          <w:szCs w:val="22"/>
        </w:rPr>
      </w:pPr>
    </w:p>
    <w:p w:rsidR="008C6FBA" w:rsidRDefault="00783F62">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8C6FBA" w:rsidRDefault="00783F62">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REQUIERO CONOCER LA INTEGRACIÓN Y SUELDOS DE LOS QUE CONFORMAN LAS UNIDADES TERRITORIALES COMUNITARIAS DEL GOBIERNO MUNICIPAL DE ECATEPEC DE MORELOS, ESTADO DE MÉXICO 2025-2027”</w:t>
      </w:r>
    </w:p>
    <w:p w:rsidR="008C6FBA" w:rsidRDefault="008C6FBA">
      <w:pPr>
        <w:tabs>
          <w:tab w:val="left" w:pos="4667"/>
        </w:tabs>
        <w:spacing w:line="360" w:lineRule="auto"/>
        <w:ind w:left="567" w:right="567"/>
        <w:jc w:val="both"/>
        <w:rPr>
          <w:rFonts w:ascii="Palatino Linotype" w:eastAsia="Palatino Linotype" w:hAnsi="Palatino Linotype" w:cs="Palatino Linotype"/>
          <w:i/>
        </w:rPr>
      </w:pPr>
    </w:p>
    <w:p w:rsidR="008C6FBA" w:rsidRDefault="00783F62">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“MODALIDAD DE ENTREGA</w:t>
      </w:r>
    </w:p>
    <w:p w:rsidR="008C6FBA" w:rsidRDefault="00783F6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 través del SAIMEX”</w:t>
      </w:r>
    </w:p>
    <w:p w:rsidR="008C6FBA" w:rsidRDefault="00783F62">
      <w:pPr>
        <w:pStyle w:val="Ttulo2"/>
        <w:spacing w:before="0" w:line="360" w:lineRule="auto"/>
        <w:rPr>
          <w:rFonts w:ascii="Palatino Linotype" w:eastAsia="Palatino Linotype" w:hAnsi="Palatino Linotype" w:cs="Palatino Linotype"/>
          <w:b/>
          <w:color w:val="000000"/>
          <w:sz w:val="22"/>
          <w:szCs w:val="22"/>
        </w:rPr>
      </w:pPr>
      <w:bookmarkStart w:id="5" w:name="_heading=h.7pad7xvwd7hf" w:colFirst="0" w:colLast="0"/>
      <w:bookmarkStart w:id="6" w:name="_Toc193974454"/>
      <w:bookmarkEnd w:id="5"/>
      <w:r>
        <w:rPr>
          <w:rFonts w:ascii="Palatino Linotype" w:eastAsia="Palatino Linotype" w:hAnsi="Palatino Linotype" w:cs="Palatino Linotype"/>
          <w:b/>
          <w:color w:val="000000"/>
          <w:sz w:val="22"/>
          <w:szCs w:val="22"/>
        </w:rPr>
        <w:t>II. Respuesta del Sujeto Obligado</w:t>
      </w:r>
      <w:bookmarkEnd w:id="6"/>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163, párrafo primero de la Ley de Transparencia y Acceso a</w:t>
      </w: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Pr>
          <w:rFonts w:ascii="Palatino Linotype" w:eastAsia="Palatino Linotype" w:hAnsi="Palatino Linotype" w:cs="Palatino Linotype"/>
          <w:b/>
          <w:color w:val="000000"/>
          <w:sz w:val="22"/>
          <w:szCs w:val="22"/>
        </w:rPr>
        <w:t>Ayuntamiento de Ecatepec de Morelos</w:t>
      </w:r>
      <w:r>
        <w:rPr>
          <w:rFonts w:ascii="Palatino Linotype" w:eastAsia="Palatino Linotype" w:hAnsi="Palatino Linotype" w:cs="Palatino Linotype"/>
          <w:color w:val="000000"/>
          <w:sz w:val="22"/>
          <w:szCs w:val="22"/>
        </w:rPr>
        <w:t xml:space="preserve">, omitió dar respuesta a la solicitud de información, por lo que se </w:t>
      </w:r>
      <w:r>
        <w:rPr>
          <w:rFonts w:ascii="Palatino Linotype" w:eastAsia="Palatino Linotype" w:hAnsi="Palatino Linotype" w:cs="Palatino Linotype"/>
          <w:b/>
          <w:color w:val="000000"/>
          <w:sz w:val="22"/>
          <w:szCs w:val="22"/>
        </w:rPr>
        <w:t>configura la negativa ficta</w:t>
      </w:r>
      <w:r>
        <w:rPr>
          <w:rFonts w:ascii="Palatino Linotype" w:eastAsia="Palatino Linotype" w:hAnsi="Palatino Linotype" w:cs="Palatino Linotype"/>
          <w:color w:val="000000"/>
          <w:sz w:val="22"/>
          <w:szCs w:val="22"/>
        </w:rPr>
        <w:t xml:space="preserve"> a entregar información, prevista, en los artículos 166, párrafo cuarto y 178, párrafo segundo de la Ley de Transparencia y Acceso a la Información Pública del Estado de México y Municipios.</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pStyle w:val="Ttulo2"/>
        <w:spacing w:before="0" w:line="360" w:lineRule="auto"/>
        <w:rPr>
          <w:rFonts w:ascii="Palatino Linotype" w:eastAsia="Palatino Linotype" w:hAnsi="Palatino Linotype" w:cs="Palatino Linotype"/>
          <w:b/>
          <w:color w:val="000000"/>
          <w:sz w:val="22"/>
          <w:szCs w:val="22"/>
        </w:rPr>
      </w:pPr>
      <w:bookmarkStart w:id="7" w:name="_heading=h.760j8pqpcvnq" w:colFirst="0" w:colLast="0"/>
      <w:bookmarkStart w:id="8" w:name="_Toc193974455"/>
      <w:bookmarkEnd w:id="7"/>
      <w:r>
        <w:rPr>
          <w:rFonts w:ascii="Palatino Linotype" w:eastAsia="Palatino Linotype" w:hAnsi="Palatino Linotype" w:cs="Palatino Linotype"/>
          <w:b/>
          <w:color w:val="000000"/>
          <w:sz w:val="22"/>
          <w:szCs w:val="22"/>
        </w:rPr>
        <w:t>III. Interposición del Recurso de Revisión</w:t>
      </w:r>
      <w:bookmarkEnd w:id="8"/>
    </w:p>
    <w:p w:rsidR="008C6FBA" w:rsidRDefault="008C6FBA">
      <w:pPr>
        <w:spacing w:line="360" w:lineRule="auto"/>
        <w:jc w:val="both"/>
        <w:rPr>
          <w:rFonts w:ascii="Palatino Linotype" w:eastAsia="Palatino Linotype" w:hAnsi="Palatino Linotype" w:cs="Palatino Linotype"/>
          <w:b/>
          <w:color w:val="000000"/>
          <w:sz w:val="22"/>
          <w:szCs w:val="22"/>
        </w:rPr>
      </w:pPr>
    </w:p>
    <w:p w:rsidR="008C6FBA" w:rsidRDefault="00783F62">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Con fecha veintiuno de febrero de dos mil veinticinco, el Particular interpuso un Recurso de Revisión ante este Instituto, a través del Sistema de Acceso a la Información Mexiquense (SAIMEX), en contra de la falta de  respuesta otorgada por el  </w:t>
      </w:r>
      <w:r>
        <w:rPr>
          <w:rFonts w:ascii="Palatino Linotype" w:eastAsia="Palatino Linotype" w:hAnsi="Palatino Linotype" w:cs="Palatino Linotype"/>
          <w:sz w:val="22"/>
          <w:szCs w:val="22"/>
        </w:rPr>
        <w:t>Ayuntamiento de Ecatepec de Morelos</w:t>
      </w:r>
      <w:r>
        <w:rPr>
          <w:rFonts w:ascii="Palatino Linotype" w:eastAsia="Palatino Linotype" w:hAnsi="Palatino Linotype" w:cs="Palatino Linotype"/>
          <w:color w:val="000000"/>
          <w:sz w:val="22"/>
          <w:szCs w:val="22"/>
        </w:rPr>
        <w:t xml:space="preserve">, a la solicitud de información, en los siguientes términos: </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“ACTO IMPUGNADO</w:t>
      </w:r>
    </w:p>
    <w:p w:rsidR="008C6FBA" w:rsidRDefault="00783F62">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 la fecha no se ha brindado información.” (Sic.)</w:t>
      </w:r>
    </w:p>
    <w:p w:rsidR="008C6FBA" w:rsidRDefault="008C6FBA">
      <w:pPr>
        <w:spacing w:line="360" w:lineRule="auto"/>
        <w:ind w:right="567"/>
        <w:jc w:val="both"/>
        <w:rPr>
          <w:rFonts w:ascii="Palatino Linotype" w:eastAsia="Palatino Linotype" w:hAnsi="Palatino Linotype" w:cs="Palatino Linotype"/>
          <w:i/>
          <w:color w:val="000000"/>
        </w:rPr>
      </w:pPr>
    </w:p>
    <w:p w:rsidR="008C6FBA" w:rsidRDefault="00783F62">
      <w:pPr>
        <w:spacing w:line="360"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“RAZONES O MOTIVOS DE LA INCONFORMIDAD</w:t>
      </w:r>
    </w:p>
    <w:p w:rsidR="008C6FBA" w:rsidRDefault="00783F62">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 la fecha no se ha brindado información.” (Sic)</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pStyle w:val="Ttulo2"/>
        <w:spacing w:before="0" w:line="360" w:lineRule="auto"/>
        <w:rPr>
          <w:rFonts w:ascii="Palatino Linotype" w:eastAsia="Palatino Linotype" w:hAnsi="Palatino Linotype" w:cs="Palatino Linotype"/>
          <w:b/>
          <w:color w:val="000000"/>
          <w:sz w:val="22"/>
          <w:szCs w:val="22"/>
        </w:rPr>
      </w:pPr>
      <w:bookmarkStart w:id="9" w:name="_heading=h.gunjtdfz93yz" w:colFirst="0" w:colLast="0"/>
      <w:bookmarkStart w:id="10" w:name="_Toc193974456"/>
      <w:bookmarkEnd w:id="9"/>
      <w:r>
        <w:rPr>
          <w:rFonts w:ascii="Palatino Linotype" w:eastAsia="Palatino Linotype" w:hAnsi="Palatino Linotype" w:cs="Palatino Linotype"/>
          <w:b/>
          <w:color w:val="000000"/>
          <w:sz w:val="22"/>
          <w:szCs w:val="22"/>
        </w:rPr>
        <w:lastRenderedPageBreak/>
        <w:t>IV. Trámite del Recurso de Revisión ante el Instituto</w:t>
      </w:r>
      <w:bookmarkEnd w:id="10"/>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Recurso de Revisión. </w:t>
      </w:r>
      <w:r>
        <w:rPr>
          <w:rFonts w:ascii="Palatino Linotype" w:eastAsia="Palatino Linotype" w:hAnsi="Palatino Linotype" w:cs="Palatino Linotype"/>
          <w:color w:val="000000"/>
          <w:sz w:val="22"/>
          <w:szCs w:val="22"/>
        </w:rPr>
        <w:t xml:space="preserve">El veintiuno de febrero de dos mil veinticinco, el Sistema de Acceso a la Información Mexiquense (SAIMEX), asignó el número de expediente </w:t>
      </w:r>
      <w:r>
        <w:rPr>
          <w:rFonts w:ascii="Palatino Linotype" w:eastAsia="Palatino Linotype" w:hAnsi="Palatino Linotype" w:cs="Palatino Linotype"/>
          <w:b/>
          <w:color w:val="000000"/>
          <w:sz w:val="22"/>
          <w:szCs w:val="22"/>
        </w:rPr>
        <w:t>01826/INFOEM/IP/RR/2025</w:t>
      </w:r>
      <w:r>
        <w:rPr>
          <w:rFonts w:ascii="Palatino Linotype" w:eastAsia="Palatino Linotype" w:hAnsi="Palatino Linotype" w:cs="Palatino Linotype"/>
          <w:color w:val="000000"/>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del Recurso de Revisión. </w:t>
      </w:r>
      <w:r>
        <w:rPr>
          <w:rFonts w:ascii="Palatino Linotype" w:eastAsia="Palatino Linotype" w:hAnsi="Palatino Linotype" w:cs="Palatino Linotype"/>
          <w:color w:val="000000"/>
          <w:sz w:val="22"/>
          <w:szCs w:val="22"/>
        </w:rPr>
        <w:t>El veintiséis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del mes y año, a través del Sistema de Acceso a la Información Mexiquense (SAIMEX), en el que se les otorgó un plazo de siete días hábiles posteriores a la misma, para que manifestaran lo que a su derecho conviniera y formularan alegatos.</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Informe Justificado. </w:t>
      </w:r>
      <w:r>
        <w:rPr>
          <w:rFonts w:ascii="Palatino Linotype" w:eastAsia="Palatino Linotype" w:hAnsi="Palatino Linotype" w:cs="Palatino Linotype"/>
          <w:color w:val="000000"/>
          <w:sz w:val="22"/>
          <w:szCs w:val="22"/>
        </w:rPr>
        <w:t>El catorce de marzo de dos mil veinticinco, se recibió, a través del Sistema de Acceso a la Información Mexiquense (SAIMEX), el Informe Justificado del Sujeto Obligado, por medio del oficio número DA/ECA/1143/2025 del trece de marzo de dos mil veinticinco, suscrito por la Directora de Administración y dirigido al Titular de la Unidad de Transparencia por medio del cual mencionó lo siguiente:</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rPr>
        <w:t>“</w:t>
      </w:r>
    </w:p>
    <w:p w:rsidR="008C6FBA" w:rsidRDefault="00783F6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Referente a su solicitud donde requiere conocer la integración y sueldos de los que conforman las unidades territoriales comunitarias del gobierno municipal de Ecatepec de Morelos, Estado de México 2025-2027</w:t>
      </w:r>
    </w:p>
    <w:p w:rsidR="008C6FBA" w:rsidRDefault="008C6FBA">
      <w:pPr>
        <w:spacing w:line="360" w:lineRule="auto"/>
        <w:ind w:left="567" w:right="567"/>
        <w:rPr>
          <w:rFonts w:ascii="Palatino Linotype" w:eastAsia="Palatino Linotype" w:hAnsi="Palatino Linotype" w:cs="Palatino Linotype"/>
          <w:i/>
        </w:rPr>
      </w:pPr>
    </w:p>
    <w:p w:rsidR="008C6FBA" w:rsidRDefault="00783F62">
      <w:pPr>
        <w:spacing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rPr>
        <w:t>En referencia a su solicitud, anexo al presente le remito la información requerida que contiene: listado, la integración y sueldos que conforman las Unidades Territoriales Comunitarias</w:t>
      </w:r>
    </w:p>
    <w:p w:rsidR="008C6FBA" w:rsidRDefault="00783F62">
      <w:pPr>
        <w:spacing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rPr>
        <w:t>…”</w:t>
      </w:r>
    </w:p>
    <w:p w:rsidR="008C6FBA" w:rsidRDefault="008C6FBA">
      <w:pPr>
        <w:spacing w:line="360" w:lineRule="auto"/>
        <w:jc w:val="both"/>
        <w:rPr>
          <w:rFonts w:ascii="Palatino Linotype" w:eastAsia="Palatino Linotype" w:hAnsi="Palatino Linotype" w:cs="Palatino Linotype"/>
          <w:b/>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Sujeto Obligado adjuntó la digitalización de una relación con el nombre, número de la Unidad Territorial Comunitaria y sueldo neto.</w:t>
      </w:r>
    </w:p>
    <w:p w:rsidR="008C6FBA" w:rsidRDefault="008C6FBA">
      <w:pPr>
        <w:spacing w:line="360" w:lineRule="auto"/>
        <w:jc w:val="both"/>
        <w:rPr>
          <w:rFonts w:ascii="Palatino Linotype" w:eastAsia="Palatino Linotype" w:hAnsi="Palatino Linotype" w:cs="Palatino Linotype"/>
          <w:b/>
          <w:color w:val="000000"/>
          <w:sz w:val="22"/>
          <w:szCs w:val="22"/>
        </w:rPr>
      </w:pPr>
    </w:p>
    <w:p w:rsidR="008C6FBA" w:rsidRDefault="00783F62">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d) Vista del Informe Justificado. </w:t>
      </w:r>
      <w:r>
        <w:rPr>
          <w:rFonts w:ascii="Palatino Linotype" w:eastAsia="Palatino Linotype" w:hAnsi="Palatino Linotype" w:cs="Palatino Linotype"/>
          <w:sz w:val="22"/>
          <w:szCs w:val="22"/>
        </w:rPr>
        <w:t xml:space="preserve">El dieciocho de marzo de dos mil veinticinco, se dictó acuerdo mediante el cual se puso a la vista del Particular el Informe Justificado, entregado por el Sujeto Obligado, así como el documento adjunto, el cual fue notificado a las partes, a través del Sistema de Acceso a la Información Mexiquense (SAIMEX. </w:t>
      </w:r>
    </w:p>
    <w:p w:rsidR="008C6FBA" w:rsidRDefault="008C6FBA">
      <w:pPr>
        <w:spacing w:line="360" w:lineRule="auto"/>
        <w:jc w:val="both"/>
        <w:rPr>
          <w:rFonts w:ascii="Palatino Linotype" w:eastAsia="Palatino Linotype" w:hAnsi="Palatino Linotype" w:cs="Palatino Linotype"/>
          <w:b/>
          <w:sz w:val="18"/>
          <w:szCs w:val="18"/>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 Cierre de instrucción. </w:t>
      </w:r>
      <w:r>
        <w:rPr>
          <w:rFonts w:ascii="Palatino Linotype" w:eastAsia="Palatino Linotype" w:hAnsi="Palatino Linotype" w:cs="Palatino Linotype"/>
          <w:sz w:val="22"/>
          <w:szCs w:val="22"/>
        </w:rPr>
        <w:t xml:space="preserve">El veintisiete de marzo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rsidR="008C6FBA" w:rsidRDefault="008C6FBA">
      <w:pPr>
        <w:spacing w:line="360" w:lineRule="auto"/>
        <w:jc w:val="both"/>
        <w:rPr>
          <w:rFonts w:ascii="Palatino Linotype" w:eastAsia="Palatino Linotype" w:hAnsi="Palatino Linotype" w:cs="Palatino Linotype"/>
          <w:b/>
          <w:sz w:val="18"/>
          <w:szCs w:val="18"/>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pStyle w:val="Ttulo1"/>
        <w:spacing w:before="0" w:line="360" w:lineRule="auto"/>
        <w:jc w:val="center"/>
        <w:rPr>
          <w:rFonts w:ascii="Palatino Linotype" w:eastAsia="Palatino Linotype" w:hAnsi="Palatino Linotype" w:cs="Palatino Linotype"/>
          <w:b/>
          <w:color w:val="000000"/>
          <w:sz w:val="22"/>
          <w:szCs w:val="22"/>
        </w:rPr>
      </w:pPr>
      <w:bookmarkStart w:id="11" w:name="_heading=h.qg9f1ltz4a1m" w:colFirst="0" w:colLast="0"/>
      <w:bookmarkStart w:id="12" w:name="_Toc193974457"/>
      <w:bookmarkEnd w:id="11"/>
      <w:r>
        <w:rPr>
          <w:rFonts w:ascii="Palatino Linotype" w:eastAsia="Palatino Linotype" w:hAnsi="Palatino Linotype" w:cs="Palatino Linotype"/>
          <w:b/>
          <w:color w:val="000000"/>
          <w:sz w:val="22"/>
          <w:szCs w:val="22"/>
        </w:rPr>
        <w:t>C O N S I D E R A N D O S</w:t>
      </w:r>
      <w:bookmarkEnd w:id="12"/>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pStyle w:val="Ttulo2"/>
        <w:spacing w:before="0" w:line="360" w:lineRule="auto"/>
        <w:rPr>
          <w:rFonts w:ascii="Palatino Linotype" w:eastAsia="Palatino Linotype" w:hAnsi="Palatino Linotype" w:cs="Palatino Linotype"/>
          <w:b/>
          <w:color w:val="000000"/>
          <w:sz w:val="22"/>
          <w:szCs w:val="22"/>
        </w:rPr>
      </w:pPr>
      <w:bookmarkStart w:id="13" w:name="_heading=h.swjdjc3jv6xk" w:colFirst="0" w:colLast="0"/>
      <w:bookmarkStart w:id="14" w:name="_Toc193974458"/>
      <w:bookmarkEnd w:id="13"/>
      <w:r>
        <w:rPr>
          <w:rFonts w:ascii="Palatino Linotype" w:eastAsia="Palatino Linotype" w:hAnsi="Palatino Linotype" w:cs="Palatino Linotype"/>
          <w:b/>
          <w:color w:val="000000"/>
          <w:sz w:val="22"/>
          <w:szCs w:val="22"/>
        </w:rPr>
        <w:t>PRIMERO. Competencia</w:t>
      </w:r>
      <w:bookmarkEnd w:id="14"/>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w:t>
      </w:r>
      <w:proofErr w:type="spellStart"/>
      <w:r>
        <w:rPr>
          <w:rFonts w:ascii="Palatino Linotype" w:eastAsia="Palatino Linotype" w:hAnsi="Palatino Linotype" w:cs="Palatino Linotype"/>
          <w:sz w:val="22"/>
          <w:szCs w:val="22"/>
        </w:rPr>
        <w:t>trigesimo</w:t>
      </w:r>
      <w:proofErr w:type="spellEnd"/>
      <w:r>
        <w:rPr>
          <w:rFonts w:ascii="Palatino Linotype" w:eastAsia="Palatino Linotype" w:hAnsi="Palatino Linotype" w:cs="Palatino Linotype"/>
          <w:sz w:val="22"/>
          <w:szCs w:val="22"/>
        </w:rPr>
        <w:t xml:space="preserve"> noveno, fracciones I, II, III, IV y V de la Constitución Política del Estado Libre y Soberano de México;</w:t>
      </w: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8C6FBA" w:rsidRDefault="008C6FBA">
      <w:pPr>
        <w:spacing w:line="360" w:lineRule="auto"/>
        <w:jc w:val="both"/>
        <w:rPr>
          <w:rFonts w:ascii="Palatino Linotype" w:eastAsia="Palatino Linotype" w:hAnsi="Palatino Linotype" w:cs="Palatino Linotype"/>
          <w:sz w:val="22"/>
          <w:szCs w:val="22"/>
        </w:rPr>
      </w:pPr>
      <w:bookmarkStart w:id="15" w:name="_heading=h.8yv8gt10o73h" w:colFirst="0" w:colLast="0"/>
      <w:bookmarkEnd w:id="15"/>
    </w:p>
    <w:p w:rsidR="008C6FBA" w:rsidRDefault="008C6FBA">
      <w:pPr>
        <w:spacing w:line="360" w:lineRule="auto"/>
      </w:pPr>
    </w:p>
    <w:p w:rsidR="008C6FBA" w:rsidRDefault="00783F62">
      <w:pPr>
        <w:pStyle w:val="Ttulo2"/>
        <w:spacing w:before="0" w:line="360" w:lineRule="auto"/>
        <w:rPr>
          <w:rFonts w:ascii="Palatino Linotype" w:eastAsia="Palatino Linotype" w:hAnsi="Palatino Linotype" w:cs="Palatino Linotype"/>
          <w:b/>
          <w:color w:val="000000"/>
          <w:sz w:val="22"/>
          <w:szCs w:val="22"/>
        </w:rPr>
      </w:pPr>
      <w:bookmarkStart w:id="16" w:name="_heading=h.uvwxl2eb7x4z" w:colFirst="0" w:colLast="0"/>
      <w:bookmarkStart w:id="17" w:name="_Toc193974459"/>
      <w:bookmarkEnd w:id="16"/>
      <w:r>
        <w:rPr>
          <w:rFonts w:ascii="Palatino Linotype" w:eastAsia="Palatino Linotype" w:hAnsi="Palatino Linotype" w:cs="Palatino Linotype"/>
          <w:b/>
          <w:color w:val="000000"/>
          <w:sz w:val="22"/>
          <w:szCs w:val="22"/>
        </w:rPr>
        <w:t>SEGUNDO. Causales de improcedencia y sobreseimiento</w:t>
      </w:r>
      <w:bookmarkEnd w:id="17"/>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sz w:val="22"/>
          <w:szCs w:val="22"/>
        </w:rPr>
        <w:t>litis</w:t>
      </w:r>
      <w:proofErr w:type="spellEnd"/>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de que el Medios de Impugnación fue presentado en tiempo, toda vez que ante la ausencia de la respuesta del Ente Recurrido, se constituyó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que genera la posibilidad de los particulares de interponer un recurso de revisión ante tal omisión, </w:t>
      </w:r>
      <w:r>
        <w:rPr>
          <w:rFonts w:ascii="Palatino Linotype" w:eastAsia="Palatino Linotype" w:hAnsi="Palatino Linotype" w:cs="Palatino Linotype"/>
          <w:sz w:val="22"/>
          <w:szCs w:val="22"/>
          <w:u w:val="single"/>
        </w:rPr>
        <w:t>en cualquier momento</w:t>
      </w:r>
      <w:r>
        <w:rPr>
          <w:rFonts w:ascii="Palatino Linotype" w:eastAsia="Palatino Linotype" w:hAnsi="Palatino Linotype" w:cs="Palatino Linotype"/>
          <w:sz w:val="22"/>
          <w:szCs w:val="22"/>
        </w:rPr>
        <w:t xml:space="preserve">; por lo que, no es necesario determinar una temporalidad respecto del momento de presentación, conforme a lo establecido en los artículos 166 y 178, párrafo </w:t>
      </w:r>
      <w:r>
        <w:rPr>
          <w:rFonts w:ascii="Palatino Linotype" w:eastAsia="Palatino Linotype" w:hAnsi="Palatino Linotype" w:cs="Palatino Linotype"/>
          <w:sz w:val="22"/>
          <w:szCs w:val="22"/>
        </w:rPr>
        <w:lastRenderedPageBreak/>
        <w:t>segundo de la Ley de Transparencia y Acceso a la Información Pública del Estado de México y los Municipios.</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actualiza la causal de procedencia señalada en el artículo 179, fracción VII, de la Ley de la materia, toda vez que el Solicitante se inconformó con la falta de respuesta a su solicitud de acceso a información pública.</w:t>
      </w:r>
    </w:p>
    <w:p w:rsidR="008C6FBA" w:rsidRDefault="008C6FBA">
      <w:pPr>
        <w:spacing w:line="360" w:lineRule="auto"/>
        <w:jc w:val="both"/>
        <w:rPr>
          <w:rFonts w:ascii="Palatino Linotype" w:eastAsia="Palatino Linotype" w:hAnsi="Palatino Linotype" w:cs="Palatino Linotype"/>
          <w:b/>
          <w:color w:val="0D0D0D"/>
          <w:sz w:val="22"/>
          <w:szCs w:val="22"/>
        </w:rPr>
      </w:pPr>
    </w:p>
    <w:p w:rsidR="008C6FBA" w:rsidRDefault="00783F62">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Causales de sobreseimiento</w:t>
      </w:r>
    </w:p>
    <w:p w:rsidR="008C6FBA" w:rsidRDefault="008C6FBA">
      <w:pPr>
        <w:spacing w:line="360" w:lineRule="auto"/>
        <w:jc w:val="both"/>
        <w:rPr>
          <w:rFonts w:ascii="Palatino Linotype" w:eastAsia="Palatino Linotype" w:hAnsi="Palatino Linotype" w:cs="Palatino Linotype"/>
          <w:b/>
          <w:color w:val="0D0D0D"/>
          <w:sz w:val="22"/>
          <w:szCs w:val="22"/>
        </w:rPr>
      </w:pPr>
    </w:p>
    <w:p w:rsidR="008C6FBA" w:rsidRDefault="00783F62">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ser de previo y especial pronunciamiento, este Instituto analiza si se actualiza alguna causal de sobreseimiento. </w:t>
      </w:r>
    </w:p>
    <w:p w:rsidR="008C6FBA" w:rsidRDefault="008C6FBA">
      <w:pPr>
        <w:spacing w:line="360" w:lineRule="auto"/>
        <w:jc w:val="both"/>
        <w:rPr>
          <w:rFonts w:ascii="Palatino Linotype" w:eastAsia="Palatino Linotype" w:hAnsi="Palatino Linotype" w:cs="Palatino Linotype"/>
          <w:color w:val="0D0D0D"/>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Sobre el tema, e</w:t>
      </w:r>
      <w:r>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rsidR="008C6FBA" w:rsidRDefault="008C6FBA">
      <w:pPr>
        <w:spacing w:line="360" w:lineRule="auto"/>
        <w:jc w:val="both"/>
        <w:rPr>
          <w:rFonts w:ascii="Palatino Linotype" w:eastAsia="Palatino Linotype" w:hAnsi="Palatino Linotype" w:cs="Palatino Linotype"/>
          <w:color w:val="0D0D0D"/>
          <w:sz w:val="22"/>
          <w:szCs w:val="22"/>
        </w:rPr>
      </w:pPr>
    </w:p>
    <w:p w:rsidR="008C6FBA" w:rsidRDefault="00783F62">
      <w:pPr>
        <w:pStyle w:val="Ttulo2"/>
        <w:spacing w:before="0" w:line="360" w:lineRule="auto"/>
        <w:rPr>
          <w:rFonts w:ascii="Palatino Linotype" w:eastAsia="Palatino Linotype" w:hAnsi="Palatino Linotype" w:cs="Palatino Linotype"/>
          <w:b/>
          <w:color w:val="000000"/>
          <w:sz w:val="22"/>
          <w:szCs w:val="22"/>
        </w:rPr>
      </w:pPr>
      <w:bookmarkStart w:id="18" w:name="_heading=h.r9mz1yzgptfr" w:colFirst="0" w:colLast="0"/>
      <w:bookmarkStart w:id="19" w:name="_Toc193974460"/>
      <w:bookmarkEnd w:id="18"/>
      <w:r>
        <w:rPr>
          <w:rFonts w:ascii="Palatino Linotype" w:eastAsia="Palatino Linotype" w:hAnsi="Palatino Linotype" w:cs="Palatino Linotype"/>
          <w:b/>
          <w:color w:val="000000"/>
          <w:sz w:val="22"/>
          <w:szCs w:val="22"/>
        </w:rPr>
        <w:t>TERCERO. Determinación de la Controversia</w:t>
      </w:r>
      <w:bookmarkEnd w:id="19"/>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 el objetivo de ilustrar la controversia planteada, resulta conveniente precisar, que una vez realizado el estudio de las constancias que integran el expediente en el que se actúa, se desprende que el Particular requirió el nombre y sueldo de las personas que conforman las Unidades Territoriales Comunitarias del Municipio de Ecatepec de Morelos.</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Pr>
          <w:rFonts w:ascii="Palatino Linotype" w:eastAsia="Palatino Linotype" w:hAnsi="Palatino Linotype" w:cs="Palatino Linotype"/>
          <w:color w:val="000000"/>
          <w:sz w:val="22"/>
          <w:szCs w:val="22"/>
          <w:highlight w:val="white"/>
        </w:rPr>
        <w:t xml:space="preserve">. </w:t>
      </w:r>
      <w:r>
        <w:rPr>
          <w:rFonts w:ascii="Palatino Linotype" w:eastAsia="Palatino Linotype" w:hAnsi="Palatino Linotype" w:cs="Palatino Linotype"/>
          <w:color w:val="000000"/>
          <w:sz w:val="22"/>
          <w:szCs w:val="22"/>
        </w:rPr>
        <w:t>Así las cosas, una vez admitido y notificado el Recurso de Revisión a las partes, el Sujeto Obligado, por medio de la Dirección de Administración, proporcionó una relación con el nombre de los miembros de las diferentes Unidades Territoriales Comunitarias de la administración 2025-2027.</w:t>
      </w:r>
    </w:p>
    <w:p w:rsidR="008C6FBA" w:rsidRDefault="008C6FBA">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rsidR="008C6FBA" w:rsidRDefault="00783F62">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2A54E1" w:rsidRDefault="002A54E1">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C6FBA" w:rsidRDefault="008C6FBA">
      <w:pPr>
        <w:spacing w:line="360" w:lineRule="auto"/>
        <w:jc w:val="both"/>
        <w:rPr>
          <w:rFonts w:ascii="Palatino Linotype" w:eastAsia="Palatino Linotype" w:hAnsi="Palatino Linotype" w:cs="Palatino Linotype"/>
          <w:sz w:val="22"/>
          <w:szCs w:val="22"/>
        </w:rPr>
      </w:pP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pStyle w:val="Ttulo2"/>
        <w:spacing w:before="0" w:line="360" w:lineRule="auto"/>
        <w:rPr>
          <w:rFonts w:ascii="Palatino Linotype" w:eastAsia="Palatino Linotype" w:hAnsi="Palatino Linotype" w:cs="Palatino Linotype"/>
          <w:b/>
          <w:color w:val="000000"/>
          <w:sz w:val="22"/>
          <w:szCs w:val="22"/>
        </w:rPr>
      </w:pPr>
      <w:bookmarkStart w:id="20" w:name="_heading=h.b35fnd4ng11c" w:colFirst="0" w:colLast="0"/>
      <w:bookmarkStart w:id="21" w:name="_Toc193974461"/>
      <w:bookmarkEnd w:id="20"/>
      <w:r>
        <w:rPr>
          <w:rFonts w:ascii="Palatino Linotype" w:eastAsia="Palatino Linotype" w:hAnsi="Palatino Linotype" w:cs="Palatino Linotype"/>
          <w:b/>
          <w:color w:val="000000"/>
          <w:sz w:val="22"/>
          <w:szCs w:val="22"/>
        </w:rPr>
        <w:t>QUINTO. Estudio de Fondo</w:t>
      </w:r>
      <w:bookmarkEnd w:id="21"/>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Expuestas las posturas de las partes, se procede al análisis del agravio hecho valer por la persona Recurrente, concerniente a la falta de respuesta del Ayuntamiento de Ecatepec de Morelos, a la solicitud de información presentada. </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Proveer lo necesario para garantizar a toda persona el derecho de acceso a la información pública, a través de procedimientos sencillos, expeditos, oportunos y gratuitos;</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Transparentar la gestión pública, mediante la difusión de la información generada por los Sujetos Obligados, y</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Promover, fomentar y difundir la cultura de la transparencia en el ejercicio de la función pública, el acceso a la información y la participación ciudadana, así como, la rendición de cuentas.</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Conforme a lo anterior, se desprende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establecido lo anterior, es de indicar que el agravio del Particular consistió en que, a la fecha de interposición del Recurso de Revisión, el Ayuntamiento de Ecatepec de Morelos, no había registrado respuesta al requerimiento de acceso a la información, el cual se presentó, el veintinueve de enero de dos mil veinticinco.</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el plazo con el que contaba el Sujeto Obligado para emitir contestación al requerimiento informativo, </w:t>
      </w:r>
      <w:r>
        <w:rPr>
          <w:rFonts w:ascii="Palatino Linotype" w:eastAsia="Palatino Linotype" w:hAnsi="Palatino Linotype" w:cs="Palatino Linotype"/>
          <w:b/>
          <w:sz w:val="22"/>
          <w:szCs w:val="22"/>
        </w:rPr>
        <w:t>comenzó a correr el treinta de enero y feneció el veinte de febrero, ambos de dos mil veinticinco</w:t>
      </w:r>
      <w:r>
        <w:rPr>
          <w:rFonts w:ascii="Palatino Linotype" w:eastAsia="Palatino Linotype" w:hAnsi="Palatino Linotype" w:cs="Palatino Linotype"/>
          <w:sz w:val="22"/>
          <w:szCs w:val="22"/>
        </w:rPr>
        <w:t>; lo anterior, sin contar los días, uno, dos, ocho, nueve, quince y dieciséis de febrero, del año en curso,  de conformidad con los artículos 3°, fracción X, y el Calendario Oficial en Materia de Transparencia, Acceso a la Información Pública y Protección de Datos Personales del Estado de México y Municipios, así como de laborales de este Instituto, para el año dos mil veinticinco.</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este Instituto verificó que, en efecto, no se registró una respuesta a la solicitud de la persona Recurrente, en el Sistema de Acceso a la Información Mexiquense (SAIMEX), tal como se observa a continuación:</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lastRenderedPageBreak/>
        <w:drawing>
          <wp:inline distT="0" distB="0" distL="0" distR="0">
            <wp:extent cx="2753109" cy="1552792"/>
            <wp:effectExtent l="0" t="0" r="0" b="0"/>
            <wp:docPr id="1243629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34538"/>
                    <a:stretch>
                      <a:fillRect/>
                    </a:stretch>
                  </pic:blipFill>
                  <pic:spPr>
                    <a:xfrm>
                      <a:off x="0" y="0"/>
                      <a:ext cx="2753109" cy="1552792"/>
                    </a:xfrm>
                    <a:prstGeom prst="rect">
                      <a:avLst/>
                    </a:prstGeom>
                    <a:ln/>
                  </pic:spPr>
                </pic:pic>
              </a:graphicData>
            </a:graphic>
          </wp:inline>
        </w:drawing>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Así, se colige que, tal como lo precisó el Particular, el </w:t>
      </w:r>
      <w:r>
        <w:rPr>
          <w:rFonts w:ascii="Palatino Linotype" w:eastAsia="Palatino Linotype" w:hAnsi="Palatino Linotype" w:cs="Palatino Linotype"/>
          <w:b/>
          <w:sz w:val="22"/>
          <w:szCs w:val="22"/>
        </w:rPr>
        <w:t>Ayuntamiento de Ecatepec de Morelos</w:t>
      </w:r>
      <w:r>
        <w:rPr>
          <w:rFonts w:ascii="Palatino Linotype" w:eastAsia="Palatino Linotype" w:hAnsi="Palatino Linotype" w:cs="Palatino Linotype"/>
          <w:sz w:val="22"/>
          <w:szCs w:val="22"/>
        </w:rPr>
        <w:t xml:space="preserve">, no emitió respuesta para dar contestación a la solicitud de información, dentro de los plazos establecidos en el artículo 163, de la Ley de la materia, pues tenía hasta el veinte de febrero de dos mil veinticinco, para realizar dicha situación, inclusive a la presente fecha, dicho ente no ha emitido contestación alguna; por lo que, resulta evidente que el agravio hecho valer por la persona Recurrente resulta </w:t>
      </w:r>
      <w:r>
        <w:rPr>
          <w:rFonts w:ascii="Palatino Linotype" w:eastAsia="Palatino Linotype" w:hAnsi="Palatino Linotype" w:cs="Palatino Linotype"/>
          <w:b/>
          <w:sz w:val="22"/>
          <w:szCs w:val="22"/>
        </w:rPr>
        <w:t xml:space="preserve">FUNDADO. </w:t>
      </w: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lo anterior, durante la sustanciación del Medio de Impugnación el Sujeto Obligado dio contestación al requerimiento de información, por lo que se procede a su análisis, para lo cual es necesario contextualizar la solicitud de información.</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Al respecto, 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rsidR="008C6FBA" w:rsidRDefault="008C6FBA">
      <w:pPr>
        <w:widowControl w:val="0"/>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En ese orden de ideas, 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 De la misma manera, el artículo 130 de la Constitución Política del Estado Libre y Soberano de México, precisa que son servidores públicos a todas las personas que desempeñen un empleo, cargo o comisión en los Municipios.</w:t>
      </w:r>
    </w:p>
    <w:p w:rsidR="008C6FBA" w:rsidRDefault="008C6FBA">
      <w:pPr>
        <w:widowControl w:val="0"/>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el artículo 4°, fracción VI, de la Ley del Trabajo de los servidores públicos del Estado y Municipios, precisa que son </w:t>
      </w:r>
      <w:r>
        <w:rPr>
          <w:rFonts w:ascii="Palatino Linotype" w:eastAsia="Palatino Linotype" w:hAnsi="Palatino Linotype" w:cs="Palatino Linotype"/>
          <w:b/>
          <w:color w:val="000000"/>
          <w:sz w:val="22"/>
          <w:szCs w:val="22"/>
        </w:rPr>
        <w:t>servidores públicos</w:t>
      </w:r>
      <w:r>
        <w:rPr>
          <w:rFonts w:ascii="Palatino Linotype" w:eastAsia="Palatino Linotype" w:hAnsi="Palatino Linotype" w:cs="Palatino Linotype"/>
          <w:color w:val="000000"/>
          <w:sz w:val="22"/>
          <w:szCs w:val="22"/>
        </w:rPr>
        <w:t>, todas las personas físicas que presten a una institución pública un trabajo personal subordinado, mediante el pago de un sueldo.</w:t>
      </w:r>
    </w:p>
    <w:p w:rsidR="008C6FBA" w:rsidRDefault="008C6FBA">
      <w:pPr>
        <w:spacing w:line="360" w:lineRule="auto"/>
        <w:ind w:right="-28"/>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 la misma manera, el Anexo Glosario de Términos, del Manual para la Planeación, Programación y Presupuesto de Egresos Municipal para el ejercicio fiscal dos mil veinticinco, establece que la remuneración es la percepción de un trabajador o retribución monetaria que se da en pago por su servicio o actividad desarrollada.</w:t>
      </w:r>
    </w:p>
    <w:p w:rsidR="008C6FBA" w:rsidRDefault="008C6FBA">
      <w:pPr>
        <w:widowControl w:val="0"/>
        <w:spacing w:line="360" w:lineRule="auto"/>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Además, el Anexo Clasificación por objeto del gasto, del Manual para la Planeación, Programación y Presupuesto de Egresos Municipal para el ejercicio fiscal dos mil veintitrés, </w:t>
      </w:r>
      <w:r>
        <w:rPr>
          <w:rFonts w:ascii="Palatino Linotype" w:eastAsia="Palatino Linotype" w:hAnsi="Palatino Linotype" w:cs="Palatino Linotype"/>
          <w:color w:val="000000"/>
          <w:sz w:val="22"/>
          <w:szCs w:val="22"/>
        </w:rPr>
        <w:lastRenderedPageBreak/>
        <w:t>establece que los Presupuestos de Egresos Municipales, se tendrán que generar, conforme al “Clasificador por Objeto del Gasto”, el cual se conforma de diversos capítulos, entre los cuales, se encuentra el 1000 Servicios Personales, que agrupa las remuneraciones del personal al servicio de los entes públicos, tales como el sueldo, salarios, dietas, honorarios, prestaciones, obligaciones laborales, entre otras, y define al sueldo base como una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remuneración al servidor público de base o de confianza que preste sus servicios a la Administración Pública Municipal.</w:t>
      </w:r>
    </w:p>
    <w:p w:rsidR="008C6FBA" w:rsidRDefault="008C6FBA">
      <w:pPr>
        <w:spacing w:line="360" w:lineRule="auto"/>
        <w:jc w:val="both"/>
        <w:rPr>
          <w:rFonts w:ascii="Palatino Linotype" w:eastAsia="Palatino Linotype" w:hAnsi="Palatino Linotype" w:cs="Palatino Linotype"/>
          <w:b/>
          <w:color w:val="000000"/>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8C6FBA" w:rsidRDefault="00783F62">
      <w:pPr>
        <w:tabs>
          <w:tab w:val="left" w:pos="155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precisa que los Sujetos Obligados deben de publicar de todos los servidores públicos de base, de confianza, integrantes, miembros de la institución y toda personal que desempeñe un empleo, cargo o comisión o realice actos de autoridad, la remuneración bruta y neta, así como, todas las percepciones en efectivo o en especie, que incluya sueldos, prestaciones, gratificaciones, primas, comisiones, dietas, bonos, </w:t>
      </w:r>
      <w:r>
        <w:rPr>
          <w:rFonts w:ascii="Palatino Linotype" w:eastAsia="Palatino Linotype" w:hAnsi="Palatino Linotype" w:cs="Palatino Linotype"/>
          <w:sz w:val="22"/>
          <w:szCs w:val="22"/>
        </w:rPr>
        <w:lastRenderedPageBreak/>
        <w:t>estímulos, apoyos económicos, ingresos de sistemas de compensación, entre otros, que incluya la periodicidad de la remuneración.</w:t>
      </w:r>
    </w:p>
    <w:p w:rsidR="008C6FBA" w:rsidRDefault="008C6FBA">
      <w:pPr>
        <w:tabs>
          <w:tab w:val="left" w:pos="1557"/>
        </w:tabs>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respecto a los servidores públicos solicitados, el artículo 30 del Bando Municipal de Ecatepec de Morelos dos mil veinticinco, el cual refiere que con el propósito de fomentar la participación ciudadana y realizando un esfuerzo conjunto con los ciudadanos y demás agentes sociales, el gobierno municipal, para la más eficaz atención y eficiente cumplimiento de los asuntos de su competencia, contará con </w:t>
      </w:r>
      <w:r>
        <w:rPr>
          <w:rFonts w:ascii="Palatino Linotype" w:eastAsia="Palatino Linotype" w:hAnsi="Palatino Linotype" w:cs="Palatino Linotype"/>
          <w:b/>
          <w:sz w:val="22"/>
          <w:szCs w:val="22"/>
        </w:rPr>
        <w:t>Unidades Territoriales Comunitarias</w:t>
      </w:r>
      <w:r>
        <w:rPr>
          <w:rFonts w:ascii="Palatino Linotype" w:eastAsia="Palatino Linotype" w:hAnsi="Palatino Linotype" w:cs="Palatino Linotype"/>
          <w:sz w:val="22"/>
          <w:szCs w:val="22"/>
        </w:rPr>
        <w:t>, que estarán jerárquicamente subordinadas a este, en las que las dependencias, entidades y órganos descentralizados de la administración pública municipal tendrán facultades específicas para atender a la ciudadanía para prestar servicios o realizar trámites en cumplimiento de los programas y atribuciones a su cargo, dentro del ámbito territorial municipal.</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misma consecución de ideas, el artículo 82 del Bando en comento señala que Dirección de Servicios Públicos se coordinará con las Unidades Territoriales Comunitarias, con la finalidad de ejecutar y vigilar el cumplimiento de los diferentes planes y programas que en materia de servicios públicos se formulen. </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la pretensión del ahora Recurrente, es conocer el nombre de aquellos que conformen las Unidades Territoriales Comunitarias, así como, su sueldo mensual bruto y neto vigente al veintinueve de enero de dos mil veinticinco.</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Establecido lo anterior, se procede analizar la respuesta entregada por el Ente Recurrido para atender la solicitud, para lo cual, es necesario precisar que de las constancias que obran en el </w:t>
      </w:r>
      <w:r>
        <w:rPr>
          <w:rFonts w:ascii="Palatino Linotype" w:eastAsia="Palatino Linotype" w:hAnsi="Palatino Linotype" w:cs="Palatino Linotype"/>
          <w:color w:val="000000"/>
          <w:sz w:val="22"/>
          <w:szCs w:val="22"/>
        </w:rPr>
        <w:lastRenderedPageBreak/>
        <w:t xml:space="preserve">expediente, se advierte que turno la solicitud en respuesta, a la Dirección de Administración; por lo que, resulta necesario hacer </w:t>
      </w:r>
      <w:proofErr w:type="spellStart"/>
      <w:r>
        <w:rPr>
          <w:rFonts w:ascii="Palatino Linotype" w:eastAsia="Palatino Linotype" w:hAnsi="Palatino Linotype" w:cs="Palatino Linotype"/>
          <w:color w:val="000000"/>
          <w:sz w:val="22"/>
          <w:szCs w:val="22"/>
        </w:rPr>
        <w:t>hacer</w:t>
      </w:r>
      <w:proofErr w:type="spellEnd"/>
      <w:r>
        <w:rPr>
          <w:rFonts w:ascii="Palatino Linotype" w:eastAsia="Palatino Linotype" w:hAnsi="Palatino Linotype" w:cs="Palatino Linotype"/>
          <w:color w:val="000000"/>
          <w:sz w:val="22"/>
          <w:szCs w:val="22"/>
        </w:rPr>
        <w:t xml:space="preserve"> referencia al </w:t>
      </w:r>
      <w:r>
        <w:rPr>
          <w:rFonts w:ascii="Palatino Linotype" w:eastAsia="Palatino Linotype" w:hAnsi="Palatino Linotype" w:cs="Palatino Linotype"/>
          <w:b/>
          <w:color w:val="000000"/>
          <w:sz w:val="22"/>
          <w:szCs w:val="22"/>
        </w:rPr>
        <w:t>procedimiento de búsqueda que deben de seguir los Sujetos Obligados para localizar la información</w:t>
      </w:r>
      <w:r>
        <w:rPr>
          <w:rFonts w:ascii="Palatino Linotype" w:eastAsia="Palatino Linotype" w:hAnsi="Palatino Linotype" w:cs="Palatino Linotype"/>
          <w:color w:val="000000"/>
          <w:sz w:val="22"/>
          <w:szCs w:val="22"/>
        </w:rP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8C6FBA" w:rsidRDefault="008C6FBA">
      <w:pPr>
        <w:spacing w:line="360" w:lineRule="auto"/>
        <w:ind w:left="720"/>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50 del Bando en comento señala que la Dirección de Administración calculará el monto de los salarios, establecerá sus programas de capacitación y asignara a estas los recursos humanos, materiales y servicio a las diversas áreas que conforman la Administración Pública Municipal previa autorización de la Presidenta Municipal Constitucional.</w:t>
      </w:r>
    </w:p>
    <w:p w:rsidR="008C6FBA" w:rsidRDefault="008C6FBA">
      <w:pPr>
        <w:spacing w:line="360" w:lineRule="auto"/>
        <w:ind w:left="720"/>
        <w:jc w:val="both"/>
        <w:rPr>
          <w:rFonts w:ascii="Palatino Linotype" w:eastAsia="Palatino Linotype" w:hAnsi="Palatino Linotype" w:cs="Palatino Linotype"/>
          <w:color w:val="000000"/>
          <w:sz w:val="22"/>
          <w:szCs w:val="22"/>
        </w:rPr>
      </w:pPr>
    </w:p>
    <w:p w:rsidR="008C6FBA" w:rsidRDefault="00783F6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se logra colegir que el Sujeto Obligado cumplió con el procedimiento de búsqueda establecido en el artículo 162 de la Ley de Transparencia y Acceso a la Información Pública del Estado de México y Municipios, pues gestionó el requerimiento de información a las áreas competentes para conocer de lo peticionado. </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783F62">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dicha unidad administrativa, adjuntó un listado con el nombre de aquellos servidores públicos que se encontraban adscritos a cada una de las Unidades Territoriales Comunitarias y su sueldo neto, tal como se muestra en el siguiente extracto:</w:t>
      </w:r>
    </w:p>
    <w:p w:rsidR="008C6FBA" w:rsidRDefault="008C6FBA">
      <w:pPr>
        <w:widowControl w:val="0"/>
        <w:spacing w:line="360" w:lineRule="auto"/>
        <w:jc w:val="both"/>
        <w:rPr>
          <w:rFonts w:ascii="Palatino Linotype" w:eastAsia="Palatino Linotype" w:hAnsi="Palatino Linotype" w:cs="Palatino Linotype"/>
          <w:color w:val="000000"/>
          <w:sz w:val="22"/>
          <w:szCs w:val="22"/>
        </w:rPr>
      </w:pPr>
    </w:p>
    <w:p w:rsidR="008C6FBA" w:rsidRDefault="00783F62">
      <w:pPr>
        <w:widowControl w:val="0"/>
        <w:spacing w:line="360" w:lineRule="auto"/>
        <w:jc w:val="center"/>
        <w:rPr>
          <w:rFonts w:ascii="Palatino Linotype" w:eastAsia="Palatino Linotype" w:hAnsi="Palatino Linotype" w:cs="Palatino Linotype"/>
          <w:color w:val="0D0D0D"/>
          <w:sz w:val="22"/>
          <w:szCs w:val="22"/>
        </w:rPr>
      </w:pPr>
      <w:r>
        <w:rPr>
          <w:rFonts w:ascii="Palatino Linotype" w:eastAsia="Palatino Linotype" w:hAnsi="Palatino Linotype" w:cs="Palatino Linotype"/>
          <w:noProof/>
          <w:color w:val="0D0D0D"/>
          <w:sz w:val="22"/>
          <w:szCs w:val="22"/>
          <w:lang w:val="es-MX" w:eastAsia="es-MX"/>
        </w:rPr>
        <w:drawing>
          <wp:inline distT="0" distB="0" distL="0" distR="0">
            <wp:extent cx="2895600" cy="2562447"/>
            <wp:effectExtent l="0" t="0" r="0" b="0"/>
            <wp:docPr id="12436291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b="17981"/>
                    <a:stretch>
                      <a:fillRect/>
                    </a:stretch>
                  </pic:blipFill>
                  <pic:spPr>
                    <a:xfrm>
                      <a:off x="0" y="0"/>
                      <a:ext cx="2895600" cy="2562447"/>
                    </a:xfrm>
                    <a:prstGeom prst="rect">
                      <a:avLst/>
                    </a:prstGeom>
                    <a:ln/>
                  </pic:spPr>
                </pic:pic>
              </a:graphicData>
            </a:graphic>
          </wp:inline>
        </w:drawing>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revisión de dicha documental, se logra vislumbrar que el Sujeto Obligado proporcionó el nombre y número de la Unidad Territorial Comunitaria a la que pertenecen dichos servidores, es decir, parte de la información solicitada;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rsidR="008C6FBA" w:rsidRDefault="008C6FBA">
      <w:pPr>
        <w:spacing w:line="360" w:lineRule="auto"/>
        <w:jc w:val="both"/>
        <w:rPr>
          <w:rFonts w:ascii="Palatino Linotype" w:eastAsia="Palatino Linotype" w:hAnsi="Palatino Linotype" w:cs="Palatino Linotype"/>
          <w:sz w:val="22"/>
          <w:szCs w:val="22"/>
          <w:highlight w:val="yellow"/>
        </w:rPr>
      </w:pPr>
    </w:p>
    <w:p w:rsidR="008C6FBA" w:rsidRDefault="00783F62">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lo cual, de conformidad con en el artículo 160 de la Ley de </w:t>
      </w:r>
      <w:r>
        <w:rPr>
          <w:rFonts w:ascii="Palatino Linotype" w:eastAsia="Palatino Linotype" w:hAnsi="Palatino Linotype" w:cs="Palatino Linotype"/>
          <w:sz w:val="22"/>
          <w:szCs w:val="22"/>
        </w:rPr>
        <w:lastRenderedPageBreak/>
        <w:t xml:space="preserve">Transparencia y Acceso a la Información Pública del Estado de México y Municipios, el cual refiere que los sujetos obligados deberán entregar la información que obre en sus archivos. </w:t>
      </w:r>
    </w:p>
    <w:p w:rsidR="008C6FBA" w:rsidRDefault="008C6FBA">
      <w:pPr>
        <w:tabs>
          <w:tab w:val="left" w:pos="4962"/>
        </w:tabs>
        <w:spacing w:line="360" w:lineRule="auto"/>
        <w:jc w:val="both"/>
        <w:rPr>
          <w:rFonts w:ascii="Palatino Linotype" w:eastAsia="Palatino Linotype" w:hAnsi="Palatino Linotype" w:cs="Palatino Linotype"/>
          <w:i/>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una relación con el nombre y Unidad Territorial Comunitaria de adscripción, por lo que, se tienen por atendidos dichos requerimientos.</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por lo que hace al otro dato solicitado, es necesario precisar que lo entregado este no se puede validar pues el Sujeto Obligado no proporcionó sueldo bruto, ni precisó si se trataba de información quincenal, mensual u de otra temporalidad.</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otras palabras, si bien proporcionó un sueldo neto, no refirió la periodicidad del mismo, ni indico el salario bruto de aquellos adscritos a las Unidades Territoriales Comunitarias; por lo que, para atender el requerimiento de información la Dirección de Administración, deberá realizar una búsqueda exhaustiva y razonable en sus archivos, a efecto de que proporcione el sueldo bruto y neto mensual vigente de los servidores públicos referidos en Informe Justificado,  y así, dar cumplimiento a los artículos 12 y 160 de la Ley de Transparencia y Acceso a la Información Pública del Estado de México y Municipios.</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pasa desapercibido para este Instituto que los documentos que den cuenta de lo solicitado, pudieran contener datos o información clasificada; al respecto, conforme al artículo 3°, fracción XLV, relacionado con el 137, ambos de la Ley de Transparencia y Acceso a la </w:t>
      </w:r>
      <w:r>
        <w:rPr>
          <w:rFonts w:ascii="Palatino Linotype" w:eastAsia="Palatino Linotype" w:hAnsi="Palatino Linotype" w:cs="Palatino Linotype"/>
          <w:sz w:val="22"/>
          <w:szCs w:val="22"/>
        </w:rPr>
        <w:lastRenderedPageBreak/>
        <w:t>Información Pública del Estado de México y Municipios, cuando un documento contenga información pública y reservada o confidencial, la Unidad de Transparencia para efectos de atender al requerimiento informativo, deberá elaborar una versión Pública en la que s</w:t>
      </w:r>
      <w:r>
        <w:rPr>
          <w:rFonts w:ascii="Palatino Linotype" w:eastAsia="Palatino Linotype" w:hAnsi="Palatino Linotype" w:cs="Palatino Linotype"/>
          <w:b/>
          <w:sz w:val="22"/>
          <w:szCs w:val="22"/>
        </w:rPr>
        <w:t xml:space="preserve">e </w:t>
      </w:r>
      <w:r>
        <w:rPr>
          <w:rFonts w:ascii="Palatino Linotype" w:eastAsia="Palatino Linotype" w:hAnsi="Palatino Linotype" w:cs="Palatino Linotype"/>
          <w:sz w:val="22"/>
          <w:szCs w:val="22"/>
        </w:rPr>
        <w:t xml:space="preserve">testen las partes o secciones clasificadas, indicando su contenido de manera genérica y fundando y motivando su clasificación. </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Pr>
          <w:rFonts w:ascii="Palatino Linotype" w:eastAsia="Palatino Linotype" w:hAnsi="Palatino Linotype" w:cs="Palatino Linotype"/>
          <w:b/>
          <w:sz w:val="22"/>
          <w:szCs w:val="22"/>
        </w:rPr>
        <w:t>.</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pStyle w:val="Ttulo2"/>
        <w:spacing w:before="0" w:line="360" w:lineRule="auto"/>
        <w:rPr>
          <w:rFonts w:ascii="Palatino Linotype" w:eastAsia="Palatino Linotype" w:hAnsi="Palatino Linotype" w:cs="Palatino Linotype"/>
          <w:b/>
          <w:color w:val="000000"/>
          <w:sz w:val="22"/>
          <w:szCs w:val="22"/>
        </w:rPr>
      </w:pPr>
      <w:bookmarkStart w:id="22" w:name="_heading=h.euorl7yzbz0c" w:colFirst="0" w:colLast="0"/>
      <w:bookmarkStart w:id="23" w:name="_Toc193974462"/>
      <w:bookmarkEnd w:id="22"/>
      <w:r>
        <w:rPr>
          <w:rFonts w:ascii="Palatino Linotype" w:eastAsia="Palatino Linotype" w:hAnsi="Palatino Linotype" w:cs="Palatino Linotype"/>
          <w:b/>
          <w:color w:val="000000"/>
          <w:sz w:val="22"/>
          <w:szCs w:val="22"/>
        </w:rPr>
        <w:t>SEXTO. Decisión</w:t>
      </w:r>
      <w:bookmarkEnd w:id="23"/>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IV,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a que dé atención y respuesta a la solicitud de información pública con número 00091/ECATEPEC/IP/2025.</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pStyle w:val="Ttulo2"/>
        <w:spacing w:before="0" w:line="360" w:lineRule="auto"/>
        <w:rPr>
          <w:rFonts w:ascii="Palatino Linotype" w:eastAsia="Palatino Linotype" w:hAnsi="Palatino Linotype" w:cs="Palatino Linotype"/>
          <w:b/>
          <w:color w:val="000000"/>
          <w:sz w:val="22"/>
          <w:szCs w:val="22"/>
        </w:rPr>
      </w:pPr>
      <w:bookmarkStart w:id="24" w:name="_heading=h.vf5h5zbqxx1d" w:colFirst="0" w:colLast="0"/>
      <w:bookmarkStart w:id="25" w:name="_Toc193974463"/>
      <w:bookmarkEnd w:id="24"/>
      <w:r>
        <w:rPr>
          <w:rFonts w:ascii="Palatino Linotype" w:eastAsia="Palatino Linotype" w:hAnsi="Palatino Linotype" w:cs="Palatino Linotype"/>
          <w:b/>
          <w:color w:val="000000"/>
          <w:sz w:val="22"/>
          <w:szCs w:val="22"/>
        </w:rPr>
        <w:t>SÉPTIMO. Vista a la Secretaría Técnica del Pleno</w:t>
      </w:r>
      <w:bookmarkEnd w:id="25"/>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En el caso en estudio, ha quedado acreditado que el Ayuntamiento de Ecatepec de Morelos,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w:t>
      </w:r>
      <w:r>
        <w:rPr>
          <w:rFonts w:ascii="Palatino Linotype" w:eastAsia="Palatino Linotype" w:hAnsi="Palatino Linotype" w:cs="Palatino Linotype"/>
          <w:sz w:val="22"/>
          <w:szCs w:val="22"/>
        </w:rPr>
        <w:lastRenderedPageBreak/>
        <w:t>hacer del conocimiento del Órgano Interno de Control o equivalente de cada Sujeto Obligado las infracciones a esta Ley</w:t>
      </w:r>
      <w:r>
        <w:rPr>
          <w:rFonts w:ascii="Palatino Linotype" w:eastAsia="Palatino Linotype" w:hAnsi="Palatino Linotype" w:cs="Palatino Linotype"/>
          <w:b/>
          <w:sz w:val="22"/>
          <w:szCs w:val="22"/>
        </w:rPr>
        <w:t xml:space="preserve">. </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Términos de la Resolución para conocimiento del Particular</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le hace del conocimiento al Particular, que, en el presente caso, se le da la razón, pues el Ayuntamiento de Ecatepec de Morelos, no emitió contestación en tiempo y si bien, durante la sustanciación emitió respuesta, no entregó toda la información solicitada, por lo que, deberá hacer entrega lo faltante. 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La labor del Instituto, es apoyar a la población a acceder a la información pública y garantizar la protección de los datos personales.</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8C6FBA" w:rsidRDefault="008C6FBA">
      <w:pPr>
        <w:spacing w:line="360" w:lineRule="auto"/>
        <w:jc w:val="both"/>
        <w:rPr>
          <w:rFonts w:ascii="Palatino Linotype" w:eastAsia="Palatino Linotype" w:hAnsi="Palatino Linotype" w:cs="Palatino Linotype"/>
          <w:sz w:val="22"/>
          <w:szCs w:val="22"/>
        </w:rPr>
      </w:pPr>
    </w:p>
    <w:p w:rsidR="008C6FBA" w:rsidRDefault="00783F62">
      <w:pPr>
        <w:pStyle w:val="Ttulo1"/>
        <w:spacing w:before="0" w:line="360" w:lineRule="auto"/>
        <w:jc w:val="center"/>
        <w:rPr>
          <w:rFonts w:ascii="Palatino Linotype" w:eastAsia="Palatino Linotype" w:hAnsi="Palatino Linotype" w:cs="Palatino Linotype"/>
          <w:b/>
          <w:color w:val="000000"/>
          <w:sz w:val="22"/>
          <w:szCs w:val="22"/>
        </w:rPr>
      </w:pPr>
      <w:bookmarkStart w:id="26" w:name="_heading=h.l74rogtq31yz" w:colFirst="0" w:colLast="0"/>
      <w:bookmarkStart w:id="27" w:name="_Toc193974464"/>
      <w:bookmarkEnd w:id="26"/>
      <w:r>
        <w:rPr>
          <w:rFonts w:ascii="Palatino Linotype" w:eastAsia="Palatino Linotype" w:hAnsi="Palatino Linotype" w:cs="Palatino Linotype"/>
          <w:b/>
          <w:color w:val="000000"/>
          <w:sz w:val="22"/>
          <w:szCs w:val="22"/>
        </w:rPr>
        <w:t>R E S U E L V E</w:t>
      </w:r>
      <w:bookmarkEnd w:id="27"/>
    </w:p>
    <w:p w:rsidR="008C6FBA" w:rsidRDefault="008C6FBA"/>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Resultan</w:t>
      </w:r>
      <w:r>
        <w:rPr>
          <w:rFonts w:ascii="Palatino Linotype" w:eastAsia="Palatino Linotype" w:hAnsi="Palatino Linotype" w:cs="Palatino Linotype"/>
          <w:b/>
          <w:sz w:val="22"/>
          <w:szCs w:val="22"/>
        </w:rPr>
        <w:t xml:space="preserve"> FUNDADAS </w:t>
      </w:r>
      <w:r>
        <w:rPr>
          <w:rFonts w:ascii="Palatino Linotype" w:eastAsia="Palatino Linotype" w:hAnsi="Palatino Linotype" w:cs="Palatino Linotype"/>
          <w:sz w:val="22"/>
          <w:szCs w:val="22"/>
        </w:rPr>
        <w:t xml:space="preserve">las razones o motivos de inconformidad hechos valer por el Particular en el Recurso de Revisión </w:t>
      </w:r>
      <w:r>
        <w:rPr>
          <w:rFonts w:ascii="Palatino Linotype" w:eastAsia="Palatino Linotype" w:hAnsi="Palatino Linotype" w:cs="Palatino Linotype"/>
          <w:b/>
          <w:sz w:val="22"/>
          <w:szCs w:val="22"/>
        </w:rPr>
        <w:t>01826/INFOEM/IP/RR/2025</w:t>
      </w:r>
      <w:r>
        <w:rPr>
          <w:rFonts w:ascii="Palatino Linotype" w:eastAsia="Palatino Linotype" w:hAnsi="Palatino Linotype" w:cs="Palatino Linotype"/>
          <w:sz w:val="22"/>
          <w:szCs w:val="22"/>
        </w:rPr>
        <w:t xml:space="preserve">, en términos del considerando </w:t>
      </w:r>
      <w:r>
        <w:rPr>
          <w:rFonts w:ascii="Palatino Linotype" w:eastAsia="Palatino Linotype" w:hAnsi="Palatino Linotype" w:cs="Palatino Linotype"/>
          <w:b/>
          <w:sz w:val="22"/>
          <w:szCs w:val="22"/>
        </w:rPr>
        <w:t>QUINTO</w:t>
      </w:r>
      <w:r>
        <w:rPr>
          <w:rFonts w:ascii="Palatino Linotype" w:eastAsia="Palatino Linotype" w:hAnsi="Palatino Linotype" w:cs="Palatino Linotype"/>
          <w:sz w:val="22"/>
          <w:szCs w:val="22"/>
        </w:rPr>
        <w:t xml:space="preserve"> y </w:t>
      </w:r>
      <w:r>
        <w:rPr>
          <w:rFonts w:ascii="Palatino Linotype" w:eastAsia="Palatino Linotype" w:hAnsi="Palatino Linotype" w:cs="Palatino Linotype"/>
          <w:b/>
          <w:sz w:val="22"/>
          <w:szCs w:val="22"/>
        </w:rPr>
        <w:t xml:space="preserve">SEXTO </w:t>
      </w:r>
      <w:r>
        <w:rPr>
          <w:rFonts w:ascii="Palatino Linotype" w:eastAsia="Palatino Linotype" w:hAnsi="Palatino Linotype" w:cs="Palatino Linotype"/>
          <w:sz w:val="22"/>
          <w:szCs w:val="22"/>
        </w:rPr>
        <w:t>de la presente Resolución</w:t>
      </w:r>
      <w:r>
        <w:rPr>
          <w:rFonts w:ascii="Palatino Linotype" w:eastAsia="Palatino Linotype" w:hAnsi="Palatino Linotype" w:cs="Palatino Linotype"/>
          <w:b/>
          <w:sz w:val="22"/>
          <w:szCs w:val="22"/>
        </w:rPr>
        <w:t>.</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 xml:space="preserve">al Sujeto Obligado, a efecto </w:t>
      </w:r>
      <w:r>
        <w:rPr>
          <w:rFonts w:ascii="Palatino Linotype" w:eastAsia="Palatino Linotype" w:hAnsi="Palatino Linotype" w:cs="Palatino Linotype"/>
          <w:color w:val="000000"/>
          <w:sz w:val="22"/>
          <w:szCs w:val="22"/>
        </w:rPr>
        <w:t xml:space="preserve">a efecto de que previa búsqueda exhaustiva y razonable en los archivos de las unidades administrativas competentes, entregue a través del Sistema de Acceso a la Información Mexiquense (SAIMEX), en su caso, en versión pública, los documentos donde conste </w:t>
      </w:r>
      <w:r>
        <w:rPr>
          <w:rFonts w:ascii="Palatino Linotype" w:eastAsia="Palatino Linotype" w:hAnsi="Palatino Linotype" w:cs="Palatino Linotype"/>
          <w:sz w:val="22"/>
          <w:szCs w:val="22"/>
        </w:rPr>
        <w:t>lo siguiente:</w:t>
      </w:r>
    </w:p>
    <w:p w:rsidR="008C6FBA" w:rsidRDefault="008C6FBA">
      <w:pPr>
        <w:spacing w:line="360" w:lineRule="auto"/>
        <w:ind w:left="1440"/>
        <w:jc w:val="both"/>
        <w:rPr>
          <w:rFonts w:ascii="Palatino Linotype" w:eastAsia="Palatino Linotype" w:hAnsi="Palatino Linotype" w:cs="Palatino Linotype"/>
          <w:color w:val="000000"/>
          <w:sz w:val="22"/>
          <w:szCs w:val="22"/>
        </w:rPr>
      </w:pPr>
    </w:p>
    <w:p w:rsidR="008C6FBA" w:rsidRDefault="00783F62">
      <w:pPr>
        <w:numPr>
          <w:ilvl w:val="0"/>
          <w:numId w:val="3"/>
        </w:numPr>
        <w:spacing w:line="360" w:lineRule="auto"/>
        <w:ind w:lef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El sueldo bruto y neto mensual vigente al veintinueve de enero de dos mil veinticinco, de los servidores públicos referidos en Informe Justificado, adscritos a las Unidades Territoriales Comunitarias.</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sz w:val="22"/>
          <w:szCs w:val="22"/>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Pr>
          <w:rFonts w:ascii="Palatino Linotype" w:eastAsia="Palatino Linotype" w:hAnsi="Palatino Linotype" w:cs="Palatino Linotype"/>
          <w:b/>
          <w:sz w:val="22"/>
          <w:szCs w:val="22"/>
        </w:rPr>
        <w:t xml:space="preserve">.  </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NOTIFÍQUESE</w:t>
      </w:r>
      <w:r w:rsidR="002B176B">
        <w:rPr>
          <w:rFonts w:ascii="Palatino Linotype" w:eastAsia="Palatino Linotype" w:hAnsi="Palatino Linotype" w:cs="Palatino Linotype"/>
          <w:b/>
          <w:sz w:val="22"/>
          <w:szCs w:val="22"/>
        </w:rPr>
        <w:t xml:space="preserve"> POR SAIMEX</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NOTIFÍQUESE </w:t>
      </w:r>
      <w:r w:rsidR="002B176B">
        <w:rPr>
          <w:rFonts w:ascii="Palatino Linotype" w:eastAsia="Palatino Linotype" w:hAnsi="Palatino Linotype" w:cs="Palatino Linotype"/>
          <w:b/>
          <w:sz w:val="22"/>
          <w:szCs w:val="22"/>
        </w:rPr>
        <w:t xml:space="preserve">POR SAIMEX </w:t>
      </w:r>
      <w:r>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w:t>
      </w:r>
      <w:r>
        <w:rPr>
          <w:rFonts w:ascii="Palatino Linotype" w:eastAsia="Palatino Linotype" w:hAnsi="Palatino Linotype" w:cs="Palatino Linotype"/>
          <w:sz w:val="22"/>
          <w:szCs w:val="22"/>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Pr>
          <w:rFonts w:ascii="Palatino Linotype" w:eastAsia="Palatino Linotype" w:hAnsi="Palatino Linotype" w:cs="Palatino Linotype"/>
          <w:b/>
          <w:sz w:val="22"/>
          <w:szCs w:val="22"/>
        </w:rPr>
        <w:t>SÉPTIMO</w:t>
      </w:r>
      <w:r>
        <w:rPr>
          <w:rFonts w:ascii="Palatino Linotype" w:eastAsia="Palatino Linotype" w:hAnsi="Palatino Linotype" w:cs="Palatino Linotype"/>
          <w:sz w:val="22"/>
          <w:szCs w:val="22"/>
        </w:rPr>
        <w:t xml:space="preserve"> de la presente Resolución.</w:t>
      </w:r>
    </w:p>
    <w:p w:rsidR="008C6FBA" w:rsidRDefault="008C6FBA">
      <w:pPr>
        <w:spacing w:line="360" w:lineRule="auto"/>
        <w:jc w:val="both"/>
        <w:rPr>
          <w:rFonts w:ascii="Palatino Linotype" w:eastAsia="Palatino Linotype" w:hAnsi="Palatino Linotype" w:cs="Palatino Linotype"/>
          <w:b/>
          <w:sz w:val="22"/>
          <w:szCs w:val="22"/>
        </w:rPr>
      </w:pPr>
    </w:p>
    <w:p w:rsidR="008C6FBA" w:rsidRDefault="00783F6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w:t>
      </w:r>
      <w:r w:rsidR="002648C9">
        <w:rPr>
          <w:rFonts w:ascii="Palatino Linotype" w:eastAsia="Palatino Linotype" w:hAnsi="Palatino Linotype" w:cs="Palatino Linotype"/>
          <w:sz w:val="22"/>
          <w:szCs w:val="22"/>
        </w:rPr>
        <w:t>RDINARIA, CELEBRADA EL VEINTISÉIS</w:t>
      </w:r>
      <w:r>
        <w:rPr>
          <w:rFonts w:ascii="Palatino Linotype" w:eastAsia="Palatino Linotype" w:hAnsi="Palatino Linotype" w:cs="Palatino Linotype"/>
          <w:sz w:val="22"/>
          <w:szCs w:val="22"/>
        </w:rPr>
        <w:t xml:space="preserve"> DE MARZO DE DOS MIL VEINTICINCO, ANTE EL SECRETARIO TÉCNICO DEL PLENO, ALEXIS TAPIA RAMÍREZ.</w:t>
      </w: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p w:rsidR="008C6FBA" w:rsidRDefault="008C6FBA">
      <w:pPr>
        <w:spacing w:line="360" w:lineRule="auto"/>
        <w:jc w:val="both"/>
        <w:rPr>
          <w:rFonts w:ascii="Palatino Linotype" w:eastAsia="Palatino Linotype" w:hAnsi="Palatino Linotype" w:cs="Palatino Linotype"/>
          <w:color w:val="000000"/>
          <w:sz w:val="22"/>
          <w:szCs w:val="22"/>
        </w:rPr>
      </w:pPr>
    </w:p>
    <w:sectPr w:rsidR="008C6FBA">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28" w:rsidRDefault="00871528">
      <w:r>
        <w:separator/>
      </w:r>
    </w:p>
  </w:endnote>
  <w:endnote w:type="continuationSeparator" w:id="0">
    <w:p w:rsidR="00871528" w:rsidRDefault="0087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BA" w:rsidRDefault="008C6FBA">
    <w:pPr>
      <w:pBdr>
        <w:top w:val="nil"/>
        <w:left w:val="nil"/>
        <w:bottom w:val="nil"/>
        <w:right w:val="nil"/>
        <w:between w:val="nil"/>
      </w:pBdr>
      <w:tabs>
        <w:tab w:val="center" w:pos="4419"/>
        <w:tab w:val="right" w:pos="8838"/>
      </w:tabs>
      <w:jc w:val="right"/>
      <w:rPr>
        <w:color w:val="000000"/>
        <w:sz w:val="26"/>
        <w:szCs w:val="26"/>
      </w:rPr>
    </w:pPr>
  </w:p>
  <w:p w:rsidR="008C6FBA" w:rsidRDefault="00783F6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0743B">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0743B">
      <w:rPr>
        <w:b/>
        <w:noProof/>
        <w:color w:val="000000"/>
        <w:sz w:val="24"/>
        <w:szCs w:val="24"/>
      </w:rPr>
      <w:t>27</w:t>
    </w:r>
    <w:r>
      <w:rPr>
        <w:b/>
        <w:color w:val="000000"/>
        <w:sz w:val="24"/>
        <w:szCs w:val="24"/>
      </w:rPr>
      <w:fldChar w:fldCharType="end"/>
    </w:r>
  </w:p>
  <w:p w:rsidR="008C6FBA" w:rsidRDefault="008C6FB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BA" w:rsidRDefault="008C6FBA">
    <w:pPr>
      <w:pBdr>
        <w:top w:val="nil"/>
        <w:left w:val="nil"/>
        <w:bottom w:val="nil"/>
        <w:right w:val="nil"/>
        <w:between w:val="nil"/>
      </w:pBdr>
      <w:tabs>
        <w:tab w:val="center" w:pos="4419"/>
        <w:tab w:val="right" w:pos="8838"/>
      </w:tabs>
      <w:jc w:val="right"/>
      <w:rPr>
        <w:color w:val="000000"/>
      </w:rPr>
    </w:pPr>
  </w:p>
  <w:p w:rsidR="008C6FBA" w:rsidRDefault="00783F6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0743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0743B">
      <w:rPr>
        <w:b/>
        <w:noProof/>
        <w:color w:val="000000"/>
        <w:sz w:val="24"/>
        <w:szCs w:val="24"/>
      </w:rPr>
      <w:t>27</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28" w:rsidRDefault="00871528">
      <w:r>
        <w:separator/>
      </w:r>
    </w:p>
  </w:footnote>
  <w:footnote w:type="continuationSeparator" w:id="0">
    <w:p w:rsidR="00871528" w:rsidRDefault="00871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BA" w:rsidRDefault="008C6FB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9568" w:type="dxa"/>
      <w:tblInd w:w="0" w:type="dxa"/>
      <w:tblLayout w:type="fixed"/>
      <w:tblLook w:val="0400" w:firstRow="0" w:lastRow="0" w:firstColumn="0" w:lastColumn="0" w:noHBand="0" w:noVBand="1"/>
    </w:tblPr>
    <w:tblGrid>
      <w:gridCol w:w="2835"/>
      <w:gridCol w:w="6733"/>
    </w:tblGrid>
    <w:tr w:rsidR="008C6FBA">
      <w:trPr>
        <w:trHeight w:val="1412"/>
      </w:trPr>
      <w:tc>
        <w:tcPr>
          <w:tcW w:w="2835" w:type="dxa"/>
          <w:shd w:val="clear" w:color="auto" w:fill="auto"/>
        </w:tcPr>
        <w:p w:rsidR="008C6FBA" w:rsidRDefault="008C6FBA">
          <w:pPr>
            <w:tabs>
              <w:tab w:val="right" w:pos="4273"/>
            </w:tabs>
            <w:rPr>
              <w:rFonts w:ascii="Garamond" w:eastAsia="Garamond" w:hAnsi="Garamond" w:cs="Garamond"/>
              <w:sz w:val="16"/>
              <w:szCs w:val="16"/>
            </w:rPr>
          </w:pPr>
        </w:p>
      </w:tc>
      <w:tc>
        <w:tcPr>
          <w:tcW w:w="6733" w:type="dxa"/>
          <w:shd w:val="clear" w:color="auto" w:fill="auto"/>
        </w:tcPr>
        <w:p w:rsidR="008C6FBA" w:rsidRDefault="008C6FBA"/>
        <w:tbl>
          <w:tblPr>
            <w:tblStyle w:val="a0"/>
            <w:tblW w:w="6094"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2126"/>
            <w:gridCol w:w="426"/>
            <w:gridCol w:w="3048"/>
            <w:gridCol w:w="494"/>
          </w:tblGrid>
          <w:tr w:rsidR="008C6FBA">
            <w:trPr>
              <w:trHeight w:val="144"/>
            </w:trPr>
            <w:tc>
              <w:tcPr>
                <w:tcW w:w="2552" w:type="dxa"/>
                <w:gridSpan w:val="2"/>
              </w:tcPr>
              <w:p w:rsidR="008C6FBA" w:rsidRDefault="00783F62">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gridSpan w:val="2"/>
              </w:tcPr>
              <w:p w:rsidR="008C6FBA" w:rsidRDefault="00783F62">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01826/INFOEM/IP/RR/2025</w:t>
                </w:r>
              </w:p>
            </w:tc>
          </w:tr>
          <w:tr w:rsidR="008C6FBA">
            <w:trPr>
              <w:trHeight w:val="144"/>
            </w:trPr>
            <w:tc>
              <w:tcPr>
                <w:tcW w:w="2552" w:type="dxa"/>
                <w:gridSpan w:val="2"/>
              </w:tcPr>
              <w:p w:rsidR="008C6FBA" w:rsidRDefault="00783F62">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gridSpan w:val="2"/>
              </w:tcPr>
              <w:p w:rsidR="008C6FBA" w:rsidRDefault="00783F62">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8C6FBA">
            <w:trPr>
              <w:trHeight w:val="138"/>
            </w:trPr>
            <w:tc>
              <w:tcPr>
                <w:tcW w:w="2552" w:type="dxa"/>
                <w:gridSpan w:val="2"/>
              </w:tcPr>
              <w:p w:rsidR="008C6FBA" w:rsidRDefault="00783F62">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gridSpan w:val="2"/>
              </w:tcPr>
              <w:p w:rsidR="008C6FBA" w:rsidRDefault="00783F62">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8C6FBA" w:rsidRDefault="008C6FBA">
                <w:pPr>
                  <w:tabs>
                    <w:tab w:val="right" w:pos="8838"/>
                  </w:tabs>
                  <w:ind w:left="-108"/>
                  <w:jc w:val="both"/>
                  <w:rPr>
                    <w:rFonts w:ascii="Palatino Linotype" w:eastAsia="Palatino Linotype" w:hAnsi="Palatino Linotype" w:cs="Palatino Linotype"/>
                    <w:b/>
                    <w:sz w:val="22"/>
                    <w:szCs w:val="22"/>
                  </w:rPr>
                </w:pPr>
              </w:p>
            </w:tc>
          </w:tr>
          <w:tr w:rsidR="008C6FBA">
            <w:trPr>
              <w:gridAfter w:val="1"/>
              <w:wAfter w:w="494" w:type="dxa"/>
              <w:trHeight w:val="283"/>
            </w:trPr>
            <w:tc>
              <w:tcPr>
                <w:tcW w:w="2126" w:type="dxa"/>
              </w:tcPr>
              <w:p w:rsidR="008C6FBA" w:rsidRDefault="008C6FBA">
                <w:pPr>
                  <w:tabs>
                    <w:tab w:val="right" w:pos="8838"/>
                  </w:tabs>
                  <w:rPr>
                    <w:rFonts w:ascii="Tahoma" w:eastAsia="Tahoma" w:hAnsi="Tahoma" w:cs="Tahoma"/>
                    <w:b/>
                    <w:sz w:val="22"/>
                    <w:szCs w:val="22"/>
                  </w:rPr>
                </w:pPr>
              </w:p>
            </w:tc>
            <w:tc>
              <w:tcPr>
                <w:tcW w:w="3475" w:type="dxa"/>
                <w:gridSpan w:val="2"/>
              </w:tcPr>
              <w:p w:rsidR="008C6FBA" w:rsidRDefault="008C6FBA">
                <w:pPr>
                  <w:tabs>
                    <w:tab w:val="right" w:pos="8838"/>
                  </w:tabs>
                  <w:jc w:val="both"/>
                  <w:rPr>
                    <w:rFonts w:ascii="Tahoma" w:eastAsia="Tahoma" w:hAnsi="Tahoma" w:cs="Tahoma"/>
                    <w:b/>
                    <w:sz w:val="22"/>
                    <w:szCs w:val="22"/>
                  </w:rPr>
                </w:pPr>
              </w:p>
            </w:tc>
          </w:tr>
        </w:tbl>
        <w:p w:rsidR="008C6FBA" w:rsidRDefault="008C6FBA">
          <w:pPr>
            <w:tabs>
              <w:tab w:val="right" w:pos="8838"/>
            </w:tabs>
            <w:ind w:left="-28"/>
            <w:jc w:val="both"/>
            <w:rPr>
              <w:rFonts w:ascii="Arial" w:eastAsia="Arial" w:hAnsi="Arial" w:cs="Arial"/>
              <w:b/>
              <w:sz w:val="22"/>
              <w:szCs w:val="22"/>
            </w:rPr>
          </w:pPr>
        </w:p>
      </w:tc>
    </w:tr>
  </w:tbl>
  <w:p w:rsidR="008C6FBA" w:rsidRDefault="00B0743B">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88.4pt;margin-top:-144.2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BA" w:rsidRDefault="00B0743B">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99.65pt;margin-top:-137.75pt;width:663.5pt;height:12in;z-index:-251659264;mso-position-horizontal:absolute;mso-position-horizontal-relative:margin;mso-position-vertical:absolute;mso-position-vertical-relative:margin">
          <v:imagedata r:id="rId1" o:title="image2"/>
          <w10:wrap anchorx="margin" anchory="margin"/>
        </v:shape>
      </w:pict>
    </w:r>
  </w:p>
  <w:tbl>
    <w:tblPr>
      <w:tblStyle w:val="a1"/>
      <w:tblpPr w:leftFromText="141" w:rightFromText="141" w:vertAnchor="page" w:horzAnchor="margin" w:tblpY="556"/>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9"/>
      <w:gridCol w:w="2405"/>
      <w:gridCol w:w="3690"/>
    </w:tblGrid>
    <w:tr w:rsidR="008C6FBA">
      <w:trPr>
        <w:trHeight w:val="466"/>
      </w:trPr>
      <w:tc>
        <w:tcPr>
          <w:tcW w:w="3119" w:type="dxa"/>
          <w:vAlign w:val="bottom"/>
        </w:tcPr>
        <w:p w:rsidR="008C6FBA" w:rsidRDefault="008C6FBA">
          <w:pPr>
            <w:tabs>
              <w:tab w:val="right" w:pos="8838"/>
            </w:tabs>
            <w:ind w:right="-105"/>
            <w:rPr>
              <w:rFonts w:ascii="Palatino Linotype" w:eastAsia="Palatino Linotype" w:hAnsi="Palatino Linotype" w:cs="Palatino Linotype"/>
              <w:b/>
              <w:sz w:val="22"/>
              <w:szCs w:val="22"/>
            </w:rPr>
          </w:pPr>
        </w:p>
      </w:tc>
      <w:tc>
        <w:tcPr>
          <w:tcW w:w="2405" w:type="dxa"/>
          <w:vAlign w:val="bottom"/>
        </w:tcPr>
        <w:p w:rsidR="008C6FBA" w:rsidRDefault="00783F62">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bottom"/>
        </w:tcPr>
        <w:p w:rsidR="008C6FBA" w:rsidRDefault="00783F62">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01826/INFOEM/IP/RR/2025</w:t>
          </w:r>
        </w:p>
      </w:tc>
    </w:tr>
    <w:tr w:rsidR="008C6FBA">
      <w:trPr>
        <w:trHeight w:val="119"/>
      </w:trPr>
      <w:tc>
        <w:tcPr>
          <w:tcW w:w="3119" w:type="dxa"/>
        </w:tcPr>
        <w:p w:rsidR="008C6FBA" w:rsidRDefault="008C6FBA">
          <w:pPr>
            <w:tabs>
              <w:tab w:val="right" w:pos="8838"/>
            </w:tabs>
            <w:ind w:right="-105"/>
            <w:rPr>
              <w:rFonts w:ascii="Palatino Linotype" w:eastAsia="Palatino Linotype" w:hAnsi="Palatino Linotype" w:cs="Palatino Linotype"/>
              <w:b/>
              <w:sz w:val="22"/>
              <w:szCs w:val="22"/>
            </w:rPr>
          </w:pPr>
        </w:p>
      </w:tc>
      <w:tc>
        <w:tcPr>
          <w:tcW w:w="2405" w:type="dxa"/>
        </w:tcPr>
        <w:p w:rsidR="008C6FBA" w:rsidRDefault="00783F62">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690" w:type="dxa"/>
        </w:tcPr>
        <w:p w:rsidR="008C6FBA" w:rsidRDefault="00B0743B">
          <w:pPr>
            <w:tabs>
              <w:tab w:val="right" w:pos="8838"/>
            </w:tabs>
            <w:spacing w:line="276" w:lineRule="auto"/>
            <w:ind w:right="171"/>
            <w:jc w:val="both"/>
            <w:rPr>
              <w:rFonts w:ascii="Palatino Linotype" w:eastAsia="Palatino Linotype" w:hAnsi="Palatino Linotype" w:cs="Palatino Linotype"/>
              <w:sz w:val="22"/>
              <w:szCs w:val="22"/>
            </w:rPr>
          </w:pPr>
          <w:r w:rsidRPr="00B0743B">
            <w:rPr>
              <w:rFonts w:ascii="Palatino Linotype" w:eastAsia="Palatino Linotype" w:hAnsi="Palatino Linotype" w:cs="Palatino Linotype"/>
              <w:sz w:val="22"/>
              <w:szCs w:val="22"/>
              <w:highlight w:val="black"/>
            </w:rPr>
            <w:t>XXXXXX</w:t>
          </w:r>
        </w:p>
      </w:tc>
    </w:tr>
    <w:tr w:rsidR="008C6FBA">
      <w:trPr>
        <w:trHeight w:val="234"/>
      </w:trPr>
      <w:tc>
        <w:tcPr>
          <w:tcW w:w="3119" w:type="dxa"/>
        </w:tcPr>
        <w:p w:rsidR="008C6FBA" w:rsidRDefault="008C6FBA">
          <w:pPr>
            <w:tabs>
              <w:tab w:val="right" w:pos="8838"/>
            </w:tabs>
            <w:ind w:right="-105"/>
            <w:rPr>
              <w:rFonts w:ascii="Palatino Linotype" w:eastAsia="Palatino Linotype" w:hAnsi="Palatino Linotype" w:cs="Palatino Linotype"/>
              <w:b/>
              <w:sz w:val="22"/>
              <w:szCs w:val="22"/>
            </w:rPr>
          </w:pPr>
        </w:p>
      </w:tc>
      <w:tc>
        <w:tcPr>
          <w:tcW w:w="2405" w:type="dxa"/>
        </w:tcPr>
        <w:p w:rsidR="008C6FBA" w:rsidRDefault="00783F62">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tcPr>
        <w:p w:rsidR="008C6FBA" w:rsidRDefault="00783F62">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8C6FBA">
      <w:trPr>
        <w:trHeight w:val="234"/>
      </w:trPr>
      <w:tc>
        <w:tcPr>
          <w:tcW w:w="3119" w:type="dxa"/>
        </w:tcPr>
        <w:p w:rsidR="008C6FBA" w:rsidRDefault="008C6FBA">
          <w:pPr>
            <w:tabs>
              <w:tab w:val="right" w:pos="8838"/>
            </w:tabs>
            <w:ind w:right="-105"/>
            <w:rPr>
              <w:rFonts w:ascii="Palatino Linotype" w:eastAsia="Palatino Linotype" w:hAnsi="Palatino Linotype" w:cs="Palatino Linotype"/>
              <w:b/>
              <w:sz w:val="22"/>
              <w:szCs w:val="22"/>
            </w:rPr>
          </w:pPr>
        </w:p>
      </w:tc>
      <w:tc>
        <w:tcPr>
          <w:tcW w:w="2405" w:type="dxa"/>
        </w:tcPr>
        <w:p w:rsidR="008C6FBA" w:rsidRDefault="00783F62">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90" w:type="dxa"/>
        </w:tcPr>
        <w:p w:rsidR="008C6FBA" w:rsidRDefault="00783F62">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8C6FBA" w:rsidRDefault="008C6F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04567"/>
    <w:multiLevelType w:val="multilevel"/>
    <w:tmpl w:val="810ACA3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264934"/>
    <w:multiLevelType w:val="multilevel"/>
    <w:tmpl w:val="2DE2C5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9BF4D33"/>
    <w:multiLevelType w:val="multilevel"/>
    <w:tmpl w:val="A532E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BA"/>
    <w:rsid w:val="002648C9"/>
    <w:rsid w:val="00277AFD"/>
    <w:rsid w:val="002A54E1"/>
    <w:rsid w:val="002B176B"/>
    <w:rsid w:val="00783F62"/>
    <w:rsid w:val="007A7B11"/>
    <w:rsid w:val="00841084"/>
    <w:rsid w:val="00871528"/>
    <w:rsid w:val="0089310C"/>
    <w:rsid w:val="008A4A1E"/>
    <w:rsid w:val="008C6FBA"/>
    <w:rsid w:val="00B0743B"/>
    <w:rsid w:val="00C81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20796FB-53B3-4829-B561-511A1C94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C6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 w:type="paragraph" w:styleId="TtulodeTDC">
    <w:name w:val="TOC Heading"/>
    <w:basedOn w:val="Ttulo1"/>
    <w:next w:val="Normal"/>
    <w:uiPriority w:val="39"/>
    <w:unhideWhenUsed/>
    <w:qFormat/>
    <w:rsid w:val="00FC63BF"/>
    <w:pPr>
      <w:spacing w:line="259" w:lineRule="auto"/>
      <w:outlineLvl w:val="9"/>
    </w:pPr>
    <w:rPr>
      <w:lang w:eastAsia="es-MX"/>
    </w:rPr>
  </w:style>
  <w:style w:type="paragraph" w:styleId="TDC2">
    <w:name w:val="toc 2"/>
    <w:basedOn w:val="Normal"/>
    <w:next w:val="Normal"/>
    <w:autoRedefine/>
    <w:uiPriority w:val="39"/>
    <w:unhideWhenUsed/>
    <w:rsid w:val="00FC63BF"/>
    <w:pPr>
      <w:spacing w:after="100" w:line="259" w:lineRule="auto"/>
      <w:ind w:left="220"/>
    </w:pPr>
    <w:rPr>
      <w:rFonts w:asciiTheme="minorHAnsi" w:eastAsiaTheme="minorEastAsia" w:hAnsiTheme="minorHAnsi"/>
      <w:sz w:val="22"/>
      <w:szCs w:val="22"/>
      <w:lang w:eastAsia="es-MX"/>
    </w:rPr>
  </w:style>
  <w:style w:type="paragraph" w:styleId="TDC1">
    <w:name w:val="toc 1"/>
    <w:basedOn w:val="Normal"/>
    <w:next w:val="Normal"/>
    <w:autoRedefine/>
    <w:uiPriority w:val="39"/>
    <w:unhideWhenUsed/>
    <w:rsid w:val="00FC63BF"/>
    <w:pPr>
      <w:spacing w:after="100" w:line="259" w:lineRule="auto"/>
    </w:pPr>
    <w:rPr>
      <w:rFonts w:asciiTheme="minorHAnsi" w:eastAsiaTheme="minorEastAsia" w:hAnsiTheme="minorHAnsi"/>
      <w:sz w:val="22"/>
      <w:szCs w:val="22"/>
      <w:lang w:eastAsia="es-MX"/>
    </w:rPr>
  </w:style>
  <w:style w:type="paragraph" w:styleId="TDC3">
    <w:name w:val="toc 3"/>
    <w:basedOn w:val="Normal"/>
    <w:next w:val="Normal"/>
    <w:autoRedefine/>
    <w:uiPriority w:val="39"/>
    <w:unhideWhenUsed/>
    <w:rsid w:val="00FC63BF"/>
    <w:pPr>
      <w:spacing w:after="100" w:line="259" w:lineRule="auto"/>
      <w:ind w:left="440"/>
    </w:pPr>
    <w:rPr>
      <w:rFonts w:asciiTheme="minorHAnsi" w:eastAsiaTheme="minorEastAsia" w:hAnsiTheme="minorHAnsi"/>
      <w:sz w:val="22"/>
      <w:szCs w:val="22"/>
      <w:lang w:eastAsia="es-MX"/>
    </w:rPr>
  </w:style>
  <w:style w:type="character" w:customStyle="1" w:styleId="Ttulo2Car">
    <w:name w:val="Título 2 Car"/>
    <w:basedOn w:val="Fuentedeprrafopredeter"/>
    <w:link w:val="Ttulo2"/>
    <w:uiPriority w:val="9"/>
    <w:rsid w:val="008C65C3"/>
    <w:rPr>
      <w:rFonts w:asciiTheme="majorHAnsi" w:eastAsiaTheme="majorEastAsia" w:hAnsiTheme="majorHAnsi" w:cstheme="majorBidi"/>
      <w:color w:val="2F5496" w:themeColor="accent1" w:themeShade="BF"/>
      <w:sz w:val="26"/>
      <w:szCs w:val="2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PsSeySSX3tKWnGUXYPr8mAzPw==">CgMxLjAyDmgucjNjNWp3dGVzOGQwMg5oLmx5czNhem5jbHRlMDIOaC43cGFkN3h2d2Q3aGYyDmguNzYwajhwcXBjdm5xMg5oLmd1bmp0ZGZ6OTN5ejIOaC5xZzlmMWx0ejRhMW0yDmguc3dqZGpjM2p2NnhrMg5oLjh5djhndDEwbzczaDIOaC44eXY4Z3QxMG83M2gyDmguOHl2OGd0MTBvNzNoMg5oLnV2d3hsMmViN3g0ejIOaC5yOW16MXl6Z3B0ZnIyDmguYjM1Zm5kNG5nMTFjMg5oLmV1b3JsN3l6YnowYzIOaC52ZjVoNXpicXh4MWQyDmgubDc0cm9ndHEzMXl6OAByITFSUTFqaEFTTWZ0ZC1HVnhZbGNWamxZVmkydjhpOWVl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2E9372-A734-4941-91D6-404AA615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5994</Words>
  <Characters>32972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4</cp:revision>
  <cp:lastPrinted>2025-03-28T17:42:00Z</cp:lastPrinted>
  <dcterms:created xsi:type="dcterms:W3CDTF">2025-03-28T17:41:00Z</dcterms:created>
  <dcterms:modified xsi:type="dcterms:W3CDTF">2025-04-09T19:00:00Z</dcterms:modified>
</cp:coreProperties>
</file>