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Default="00EC7CBF" w:rsidP="00A467BC">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321C922" w:rsidR="00C4052B" w:rsidRPr="00641E80" w:rsidRDefault="00C4052B" w:rsidP="00A467BC">
          <w:pPr>
            <w:pStyle w:val="TtulodeTDC"/>
            <w:spacing w:before="0" w:line="360" w:lineRule="auto"/>
            <w:jc w:val="center"/>
            <w:rPr>
              <w:rFonts w:ascii="Palatino Linotype" w:hAnsi="Palatino Linotype"/>
              <w:color w:val="auto"/>
              <w:sz w:val="22"/>
              <w:szCs w:val="22"/>
            </w:rPr>
          </w:pPr>
          <w:r w:rsidRPr="00641E80">
            <w:rPr>
              <w:rFonts w:ascii="Palatino Linotype" w:hAnsi="Palatino Linotype"/>
              <w:color w:val="auto"/>
              <w:sz w:val="22"/>
              <w:szCs w:val="22"/>
              <w:lang w:val="es-ES"/>
            </w:rPr>
            <w:t xml:space="preserve">RESOLUCIÓN DEL RECURSO DE REVISIÓN </w:t>
          </w:r>
          <w:r w:rsidR="006C1E67" w:rsidRPr="00641E80">
            <w:rPr>
              <w:rFonts w:ascii="Palatino Linotype" w:hAnsi="Palatino Linotype"/>
              <w:color w:val="auto"/>
              <w:sz w:val="22"/>
              <w:szCs w:val="22"/>
            </w:rPr>
            <w:t>0</w:t>
          </w:r>
          <w:r w:rsidR="001140E2" w:rsidRPr="00641E80">
            <w:rPr>
              <w:rFonts w:ascii="Palatino Linotype" w:hAnsi="Palatino Linotype"/>
              <w:color w:val="auto"/>
              <w:sz w:val="22"/>
              <w:szCs w:val="22"/>
            </w:rPr>
            <w:t>6091</w:t>
          </w:r>
          <w:r w:rsidR="000D392E" w:rsidRPr="00641E80">
            <w:rPr>
              <w:rFonts w:ascii="Palatino Linotype" w:hAnsi="Palatino Linotype"/>
              <w:color w:val="auto"/>
              <w:sz w:val="22"/>
              <w:szCs w:val="22"/>
            </w:rPr>
            <w:t>/INFOEM/IP/RR/2025</w:t>
          </w:r>
        </w:p>
        <w:p w14:paraId="73933EFA" w14:textId="77777777" w:rsidR="00C4052B" w:rsidRPr="00641E80" w:rsidRDefault="00C4052B" w:rsidP="00A467BC">
          <w:pPr>
            <w:spacing w:after="0" w:line="360" w:lineRule="auto"/>
          </w:pPr>
        </w:p>
        <w:p w14:paraId="74D64B70" w14:textId="77777777" w:rsidR="006516F3" w:rsidRDefault="00C4052B">
          <w:pPr>
            <w:pStyle w:val="TDC1"/>
            <w:tabs>
              <w:tab w:val="right" w:leader="dot" w:pos="8921"/>
            </w:tabs>
            <w:rPr>
              <w:rFonts w:asciiTheme="minorHAnsi" w:eastAsiaTheme="minorEastAsia" w:hAnsiTheme="minorHAnsi" w:cstheme="minorBidi"/>
              <w:noProof/>
              <w:color w:val="auto"/>
            </w:rPr>
          </w:pPr>
          <w:r w:rsidRPr="00641E80">
            <w:fldChar w:fldCharType="begin"/>
          </w:r>
          <w:r w:rsidRPr="00641E80">
            <w:instrText xml:space="preserve"> TOC \o "1-3" \h \z \u </w:instrText>
          </w:r>
          <w:r w:rsidRPr="00641E80">
            <w:fldChar w:fldCharType="separate"/>
          </w:r>
          <w:hyperlink w:anchor="_Toc206684888" w:history="1">
            <w:r w:rsidR="006516F3" w:rsidRPr="00FF0DFD">
              <w:rPr>
                <w:rStyle w:val="Hipervnculo"/>
                <w:noProof/>
              </w:rPr>
              <w:t>A N T E C E D E N T E S</w:t>
            </w:r>
            <w:r w:rsidR="006516F3">
              <w:rPr>
                <w:noProof/>
                <w:webHidden/>
              </w:rPr>
              <w:tab/>
            </w:r>
            <w:r w:rsidR="006516F3">
              <w:rPr>
                <w:noProof/>
                <w:webHidden/>
              </w:rPr>
              <w:fldChar w:fldCharType="begin"/>
            </w:r>
            <w:r w:rsidR="006516F3">
              <w:rPr>
                <w:noProof/>
                <w:webHidden/>
              </w:rPr>
              <w:instrText xml:space="preserve"> PAGEREF _Toc206684888 \h </w:instrText>
            </w:r>
            <w:r w:rsidR="006516F3">
              <w:rPr>
                <w:noProof/>
                <w:webHidden/>
              </w:rPr>
            </w:r>
            <w:r w:rsidR="006516F3">
              <w:rPr>
                <w:noProof/>
                <w:webHidden/>
              </w:rPr>
              <w:fldChar w:fldCharType="separate"/>
            </w:r>
            <w:r w:rsidR="00A15E03">
              <w:rPr>
                <w:noProof/>
                <w:webHidden/>
              </w:rPr>
              <w:t>2</w:t>
            </w:r>
            <w:r w:rsidR="006516F3">
              <w:rPr>
                <w:noProof/>
                <w:webHidden/>
              </w:rPr>
              <w:fldChar w:fldCharType="end"/>
            </w:r>
          </w:hyperlink>
        </w:p>
        <w:p w14:paraId="5C190DE2"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89" w:history="1">
            <w:r w:rsidR="006516F3" w:rsidRPr="00FF0DFD">
              <w:rPr>
                <w:rStyle w:val="Hipervnculo"/>
                <w:noProof/>
                <w:lang w:eastAsia="es-ES"/>
              </w:rPr>
              <w:t>I. Presentación de la solicitud de información</w:t>
            </w:r>
            <w:r w:rsidR="006516F3">
              <w:rPr>
                <w:noProof/>
                <w:webHidden/>
              </w:rPr>
              <w:tab/>
            </w:r>
            <w:r w:rsidR="006516F3">
              <w:rPr>
                <w:noProof/>
                <w:webHidden/>
              </w:rPr>
              <w:fldChar w:fldCharType="begin"/>
            </w:r>
            <w:r w:rsidR="006516F3">
              <w:rPr>
                <w:noProof/>
                <w:webHidden/>
              </w:rPr>
              <w:instrText xml:space="preserve"> PAGEREF _Toc206684889 \h </w:instrText>
            </w:r>
            <w:r w:rsidR="006516F3">
              <w:rPr>
                <w:noProof/>
                <w:webHidden/>
              </w:rPr>
            </w:r>
            <w:r w:rsidR="006516F3">
              <w:rPr>
                <w:noProof/>
                <w:webHidden/>
              </w:rPr>
              <w:fldChar w:fldCharType="separate"/>
            </w:r>
            <w:r w:rsidR="00A15E03">
              <w:rPr>
                <w:noProof/>
                <w:webHidden/>
              </w:rPr>
              <w:t>2</w:t>
            </w:r>
            <w:r w:rsidR="006516F3">
              <w:rPr>
                <w:noProof/>
                <w:webHidden/>
              </w:rPr>
              <w:fldChar w:fldCharType="end"/>
            </w:r>
          </w:hyperlink>
        </w:p>
        <w:p w14:paraId="48367D3B"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0" w:history="1">
            <w:r w:rsidR="006516F3" w:rsidRPr="00FF0DFD">
              <w:rPr>
                <w:rStyle w:val="Hipervnculo"/>
                <w:rFonts w:cs="Tahoma"/>
                <w:noProof/>
              </w:rPr>
              <w:t>II. Prórroga para atender la solicitud de información</w:t>
            </w:r>
            <w:r w:rsidR="006516F3">
              <w:rPr>
                <w:noProof/>
                <w:webHidden/>
              </w:rPr>
              <w:tab/>
            </w:r>
            <w:r w:rsidR="006516F3">
              <w:rPr>
                <w:noProof/>
                <w:webHidden/>
              </w:rPr>
              <w:fldChar w:fldCharType="begin"/>
            </w:r>
            <w:r w:rsidR="006516F3">
              <w:rPr>
                <w:noProof/>
                <w:webHidden/>
              </w:rPr>
              <w:instrText xml:space="preserve"> PAGEREF _Toc206684890 \h </w:instrText>
            </w:r>
            <w:r w:rsidR="006516F3">
              <w:rPr>
                <w:noProof/>
                <w:webHidden/>
              </w:rPr>
            </w:r>
            <w:r w:rsidR="006516F3">
              <w:rPr>
                <w:noProof/>
                <w:webHidden/>
              </w:rPr>
              <w:fldChar w:fldCharType="separate"/>
            </w:r>
            <w:r w:rsidR="00A15E03">
              <w:rPr>
                <w:noProof/>
                <w:webHidden/>
              </w:rPr>
              <w:t>3</w:t>
            </w:r>
            <w:r w:rsidR="006516F3">
              <w:rPr>
                <w:noProof/>
                <w:webHidden/>
              </w:rPr>
              <w:fldChar w:fldCharType="end"/>
            </w:r>
          </w:hyperlink>
        </w:p>
        <w:p w14:paraId="6D6F0A03"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1" w:history="1">
            <w:r w:rsidR="006516F3" w:rsidRPr="00FF0DFD">
              <w:rPr>
                <w:rStyle w:val="Hipervnculo"/>
                <w:rFonts w:cs="Tahoma"/>
                <w:noProof/>
              </w:rPr>
              <w:t>II.</w:t>
            </w:r>
            <w:r w:rsidR="006516F3" w:rsidRPr="00FF0DFD">
              <w:rPr>
                <w:rStyle w:val="Hipervnculo"/>
                <w:noProof/>
              </w:rPr>
              <w:t xml:space="preserve"> Respuesta del Sujeto Obligado</w:t>
            </w:r>
            <w:r w:rsidR="006516F3">
              <w:rPr>
                <w:noProof/>
                <w:webHidden/>
              </w:rPr>
              <w:tab/>
            </w:r>
            <w:r w:rsidR="006516F3">
              <w:rPr>
                <w:noProof/>
                <w:webHidden/>
              </w:rPr>
              <w:fldChar w:fldCharType="begin"/>
            </w:r>
            <w:r w:rsidR="006516F3">
              <w:rPr>
                <w:noProof/>
                <w:webHidden/>
              </w:rPr>
              <w:instrText xml:space="preserve"> PAGEREF _Toc206684891 \h </w:instrText>
            </w:r>
            <w:r w:rsidR="006516F3">
              <w:rPr>
                <w:noProof/>
                <w:webHidden/>
              </w:rPr>
            </w:r>
            <w:r w:rsidR="006516F3">
              <w:rPr>
                <w:noProof/>
                <w:webHidden/>
              </w:rPr>
              <w:fldChar w:fldCharType="separate"/>
            </w:r>
            <w:r w:rsidR="00A15E03">
              <w:rPr>
                <w:noProof/>
                <w:webHidden/>
              </w:rPr>
              <w:t>3</w:t>
            </w:r>
            <w:r w:rsidR="006516F3">
              <w:rPr>
                <w:noProof/>
                <w:webHidden/>
              </w:rPr>
              <w:fldChar w:fldCharType="end"/>
            </w:r>
          </w:hyperlink>
        </w:p>
        <w:p w14:paraId="57DFFD2A"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2" w:history="1">
            <w:r w:rsidR="006516F3" w:rsidRPr="00FF0DFD">
              <w:rPr>
                <w:rStyle w:val="Hipervnculo"/>
                <w:noProof/>
              </w:rPr>
              <w:t>III. Interposición del Recurso de Revisión</w:t>
            </w:r>
            <w:r w:rsidR="006516F3">
              <w:rPr>
                <w:noProof/>
                <w:webHidden/>
              </w:rPr>
              <w:tab/>
            </w:r>
            <w:r w:rsidR="006516F3">
              <w:rPr>
                <w:noProof/>
                <w:webHidden/>
              </w:rPr>
              <w:fldChar w:fldCharType="begin"/>
            </w:r>
            <w:r w:rsidR="006516F3">
              <w:rPr>
                <w:noProof/>
                <w:webHidden/>
              </w:rPr>
              <w:instrText xml:space="preserve"> PAGEREF _Toc206684892 \h </w:instrText>
            </w:r>
            <w:r w:rsidR="006516F3">
              <w:rPr>
                <w:noProof/>
                <w:webHidden/>
              </w:rPr>
            </w:r>
            <w:r w:rsidR="006516F3">
              <w:rPr>
                <w:noProof/>
                <w:webHidden/>
              </w:rPr>
              <w:fldChar w:fldCharType="separate"/>
            </w:r>
            <w:r w:rsidR="00A15E03">
              <w:rPr>
                <w:noProof/>
                <w:webHidden/>
              </w:rPr>
              <w:t>4</w:t>
            </w:r>
            <w:r w:rsidR="006516F3">
              <w:rPr>
                <w:noProof/>
                <w:webHidden/>
              </w:rPr>
              <w:fldChar w:fldCharType="end"/>
            </w:r>
          </w:hyperlink>
        </w:p>
        <w:p w14:paraId="470019A3"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3" w:history="1">
            <w:r w:rsidR="006516F3" w:rsidRPr="00FF0DFD">
              <w:rPr>
                <w:rStyle w:val="Hipervnculo"/>
                <w:noProof/>
              </w:rPr>
              <w:t>IV. Trámite del Recurso de Revisión ante este Instituto</w:t>
            </w:r>
            <w:r w:rsidR="006516F3">
              <w:rPr>
                <w:noProof/>
                <w:webHidden/>
              </w:rPr>
              <w:tab/>
            </w:r>
            <w:r w:rsidR="006516F3">
              <w:rPr>
                <w:noProof/>
                <w:webHidden/>
              </w:rPr>
              <w:fldChar w:fldCharType="begin"/>
            </w:r>
            <w:r w:rsidR="006516F3">
              <w:rPr>
                <w:noProof/>
                <w:webHidden/>
              </w:rPr>
              <w:instrText xml:space="preserve"> PAGEREF _Toc206684893 \h </w:instrText>
            </w:r>
            <w:r w:rsidR="006516F3">
              <w:rPr>
                <w:noProof/>
                <w:webHidden/>
              </w:rPr>
            </w:r>
            <w:r w:rsidR="006516F3">
              <w:rPr>
                <w:noProof/>
                <w:webHidden/>
              </w:rPr>
              <w:fldChar w:fldCharType="separate"/>
            </w:r>
            <w:r w:rsidR="00A15E03">
              <w:rPr>
                <w:noProof/>
                <w:webHidden/>
              </w:rPr>
              <w:t>5</w:t>
            </w:r>
            <w:r w:rsidR="006516F3">
              <w:rPr>
                <w:noProof/>
                <w:webHidden/>
              </w:rPr>
              <w:fldChar w:fldCharType="end"/>
            </w:r>
          </w:hyperlink>
        </w:p>
        <w:p w14:paraId="69E452D6" w14:textId="77777777" w:rsidR="006516F3" w:rsidRDefault="009A420B">
          <w:pPr>
            <w:pStyle w:val="TDC1"/>
            <w:tabs>
              <w:tab w:val="right" w:leader="dot" w:pos="8921"/>
            </w:tabs>
            <w:rPr>
              <w:rFonts w:asciiTheme="minorHAnsi" w:eastAsiaTheme="minorEastAsia" w:hAnsiTheme="minorHAnsi" w:cstheme="minorBidi"/>
              <w:noProof/>
              <w:color w:val="auto"/>
            </w:rPr>
          </w:pPr>
          <w:hyperlink w:anchor="_Toc206684894" w:history="1">
            <w:r w:rsidR="006516F3" w:rsidRPr="00FF0DFD">
              <w:rPr>
                <w:rStyle w:val="Hipervnculo"/>
                <w:noProof/>
              </w:rPr>
              <w:t>C O N S I D E R A N D O S</w:t>
            </w:r>
            <w:r w:rsidR="006516F3">
              <w:rPr>
                <w:noProof/>
                <w:webHidden/>
              </w:rPr>
              <w:tab/>
            </w:r>
            <w:r w:rsidR="006516F3">
              <w:rPr>
                <w:noProof/>
                <w:webHidden/>
              </w:rPr>
              <w:fldChar w:fldCharType="begin"/>
            </w:r>
            <w:r w:rsidR="006516F3">
              <w:rPr>
                <w:noProof/>
                <w:webHidden/>
              </w:rPr>
              <w:instrText xml:space="preserve"> PAGEREF _Toc206684894 \h </w:instrText>
            </w:r>
            <w:r w:rsidR="006516F3">
              <w:rPr>
                <w:noProof/>
                <w:webHidden/>
              </w:rPr>
            </w:r>
            <w:r w:rsidR="006516F3">
              <w:rPr>
                <w:noProof/>
                <w:webHidden/>
              </w:rPr>
              <w:fldChar w:fldCharType="separate"/>
            </w:r>
            <w:r w:rsidR="00A15E03">
              <w:rPr>
                <w:noProof/>
                <w:webHidden/>
              </w:rPr>
              <w:t>7</w:t>
            </w:r>
            <w:r w:rsidR="006516F3">
              <w:rPr>
                <w:noProof/>
                <w:webHidden/>
              </w:rPr>
              <w:fldChar w:fldCharType="end"/>
            </w:r>
          </w:hyperlink>
        </w:p>
        <w:p w14:paraId="774AC6A9"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5" w:history="1">
            <w:r w:rsidR="006516F3" w:rsidRPr="00FF0DFD">
              <w:rPr>
                <w:rStyle w:val="Hipervnculo"/>
                <w:noProof/>
              </w:rPr>
              <w:t>PRIMERO. Competencia</w:t>
            </w:r>
            <w:r w:rsidR="006516F3">
              <w:rPr>
                <w:noProof/>
                <w:webHidden/>
              </w:rPr>
              <w:tab/>
            </w:r>
            <w:r w:rsidR="006516F3">
              <w:rPr>
                <w:noProof/>
                <w:webHidden/>
              </w:rPr>
              <w:fldChar w:fldCharType="begin"/>
            </w:r>
            <w:r w:rsidR="006516F3">
              <w:rPr>
                <w:noProof/>
                <w:webHidden/>
              </w:rPr>
              <w:instrText xml:space="preserve"> PAGEREF _Toc206684895 \h </w:instrText>
            </w:r>
            <w:r w:rsidR="006516F3">
              <w:rPr>
                <w:noProof/>
                <w:webHidden/>
              </w:rPr>
            </w:r>
            <w:r w:rsidR="006516F3">
              <w:rPr>
                <w:noProof/>
                <w:webHidden/>
              </w:rPr>
              <w:fldChar w:fldCharType="separate"/>
            </w:r>
            <w:r w:rsidR="00A15E03">
              <w:rPr>
                <w:noProof/>
                <w:webHidden/>
              </w:rPr>
              <w:t>7</w:t>
            </w:r>
            <w:r w:rsidR="006516F3">
              <w:rPr>
                <w:noProof/>
                <w:webHidden/>
              </w:rPr>
              <w:fldChar w:fldCharType="end"/>
            </w:r>
          </w:hyperlink>
        </w:p>
        <w:p w14:paraId="0AB44951"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6" w:history="1">
            <w:r w:rsidR="006516F3" w:rsidRPr="00FF0DFD">
              <w:rPr>
                <w:rStyle w:val="Hipervnculo"/>
                <w:noProof/>
              </w:rPr>
              <w:t>SEGUNDO. Causales de improcedencia y sobreseimiento</w:t>
            </w:r>
            <w:r w:rsidR="006516F3">
              <w:rPr>
                <w:noProof/>
                <w:webHidden/>
              </w:rPr>
              <w:tab/>
            </w:r>
            <w:r w:rsidR="006516F3">
              <w:rPr>
                <w:noProof/>
                <w:webHidden/>
              </w:rPr>
              <w:fldChar w:fldCharType="begin"/>
            </w:r>
            <w:r w:rsidR="006516F3">
              <w:rPr>
                <w:noProof/>
                <w:webHidden/>
              </w:rPr>
              <w:instrText xml:space="preserve"> PAGEREF _Toc206684896 \h </w:instrText>
            </w:r>
            <w:r w:rsidR="006516F3">
              <w:rPr>
                <w:noProof/>
                <w:webHidden/>
              </w:rPr>
            </w:r>
            <w:r w:rsidR="006516F3">
              <w:rPr>
                <w:noProof/>
                <w:webHidden/>
              </w:rPr>
              <w:fldChar w:fldCharType="separate"/>
            </w:r>
            <w:r w:rsidR="00A15E03">
              <w:rPr>
                <w:noProof/>
                <w:webHidden/>
              </w:rPr>
              <w:t>8</w:t>
            </w:r>
            <w:r w:rsidR="006516F3">
              <w:rPr>
                <w:noProof/>
                <w:webHidden/>
              </w:rPr>
              <w:fldChar w:fldCharType="end"/>
            </w:r>
          </w:hyperlink>
        </w:p>
        <w:p w14:paraId="416D6F15"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7" w:history="1">
            <w:r w:rsidR="006516F3" w:rsidRPr="00FF0DFD">
              <w:rPr>
                <w:rStyle w:val="Hipervnculo"/>
                <w:noProof/>
              </w:rPr>
              <w:t>TERCERO. Determinación de la Controversia</w:t>
            </w:r>
            <w:r w:rsidR="006516F3">
              <w:rPr>
                <w:noProof/>
                <w:webHidden/>
              </w:rPr>
              <w:tab/>
            </w:r>
            <w:r w:rsidR="006516F3">
              <w:rPr>
                <w:noProof/>
                <w:webHidden/>
              </w:rPr>
              <w:fldChar w:fldCharType="begin"/>
            </w:r>
            <w:r w:rsidR="006516F3">
              <w:rPr>
                <w:noProof/>
                <w:webHidden/>
              </w:rPr>
              <w:instrText xml:space="preserve"> PAGEREF _Toc206684897 \h </w:instrText>
            </w:r>
            <w:r w:rsidR="006516F3">
              <w:rPr>
                <w:noProof/>
                <w:webHidden/>
              </w:rPr>
            </w:r>
            <w:r w:rsidR="006516F3">
              <w:rPr>
                <w:noProof/>
                <w:webHidden/>
              </w:rPr>
              <w:fldChar w:fldCharType="separate"/>
            </w:r>
            <w:r w:rsidR="00A15E03">
              <w:rPr>
                <w:noProof/>
                <w:webHidden/>
              </w:rPr>
              <w:t>10</w:t>
            </w:r>
            <w:r w:rsidR="006516F3">
              <w:rPr>
                <w:noProof/>
                <w:webHidden/>
              </w:rPr>
              <w:fldChar w:fldCharType="end"/>
            </w:r>
          </w:hyperlink>
        </w:p>
        <w:p w14:paraId="1E4B5D7C"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8" w:history="1">
            <w:r w:rsidR="006516F3" w:rsidRPr="00FF0DFD">
              <w:rPr>
                <w:rStyle w:val="Hipervnculo"/>
                <w:noProof/>
              </w:rPr>
              <w:t>CUARTO. Marco normativo aplicable en materia de transparencia y acceso a la información pública</w:t>
            </w:r>
            <w:r w:rsidR="006516F3">
              <w:rPr>
                <w:noProof/>
                <w:webHidden/>
              </w:rPr>
              <w:tab/>
            </w:r>
            <w:r w:rsidR="006516F3">
              <w:rPr>
                <w:noProof/>
                <w:webHidden/>
              </w:rPr>
              <w:fldChar w:fldCharType="begin"/>
            </w:r>
            <w:r w:rsidR="006516F3">
              <w:rPr>
                <w:noProof/>
                <w:webHidden/>
              </w:rPr>
              <w:instrText xml:space="preserve"> PAGEREF _Toc206684898 \h </w:instrText>
            </w:r>
            <w:r w:rsidR="006516F3">
              <w:rPr>
                <w:noProof/>
                <w:webHidden/>
              </w:rPr>
            </w:r>
            <w:r w:rsidR="006516F3">
              <w:rPr>
                <w:noProof/>
                <w:webHidden/>
              </w:rPr>
              <w:fldChar w:fldCharType="separate"/>
            </w:r>
            <w:r w:rsidR="00A15E03">
              <w:rPr>
                <w:noProof/>
                <w:webHidden/>
              </w:rPr>
              <w:t>11</w:t>
            </w:r>
            <w:r w:rsidR="006516F3">
              <w:rPr>
                <w:noProof/>
                <w:webHidden/>
              </w:rPr>
              <w:fldChar w:fldCharType="end"/>
            </w:r>
          </w:hyperlink>
        </w:p>
        <w:p w14:paraId="4C4E2441"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899" w:history="1">
            <w:r w:rsidR="006516F3" w:rsidRPr="00FF0DFD">
              <w:rPr>
                <w:rStyle w:val="Hipervnculo"/>
                <w:noProof/>
              </w:rPr>
              <w:t>QUINTO. Estudio de Fondo</w:t>
            </w:r>
            <w:r w:rsidR="006516F3">
              <w:rPr>
                <w:noProof/>
                <w:webHidden/>
              </w:rPr>
              <w:tab/>
            </w:r>
            <w:r w:rsidR="006516F3">
              <w:rPr>
                <w:noProof/>
                <w:webHidden/>
              </w:rPr>
              <w:fldChar w:fldCharType="begin"/>
            </w:r>
            <w:r w:rsidR="006516F3">
              <w:rPr>
                <w:noProof/>
                <w:webHidden/>
              </w:rPr>
              <w:instrText xml:space="preserve"> PAGEREF _Toc206684899 \h </w:instrText>
            </w:r>
            <w:r w:rsidR="006516F3">
              <w:rPr>
                <w:noProof/>
                <w:webHidden/>
              </w:rPr>
            </w:r>
            <w:r w:rsidR="006516F3">
              <w:rPr>
                <w:noProof/>
                <w:webHidden/>
              </w:rPr>
              <w:fldChar w:fldCharType="separate"/>
            </w:r>
            <w:r w:rsidR="00A15E03">
              <w:rPr>
                <w:noProof/>
                <w:webHidden/>
              </w:rPr>
              <w:t>12</w:t>
            </w:r>
            <w:r w:rsidR="006516F3">
              <w:rPr>
                <w:noProof/>
                <w:webHidden/>
              </w:rPr>
              <w:fldChar w:fldCharType="end"/>
            </w:r>
          </w:hyperlink>
        </w:p>
        <w:p w14:paraId="6CD1B305" w14:textId="77777777" w:rsidR="006516F3" w:rsidRDefault="009A420B">
          <w:pPr>
            <w:pStyle w:val="TDC2"/>
            <w:tabs>
              <w:tab w:val="right" w:leader="dot" w:pos="8921"/>
            </w:tabs>
            <w:rPr>
              <w:rFonts w:asciiTheme="minorHAnsi" w:eastAsiaTheme="minorEastAsia" w:hAnsiTheme="minorHAnsi" w:cstheme="minorBidi"/>
              <w:noProof/>
              <w:color w:val="auto"/>
            </w:rPr>
          </w:pPr>
          <w:hyperlink w:anchor="_Toc206684900" w:history="1">
            <w:r w:rsidR="006516F3" w:rsidRPr="00FF0DFD">
              <w:rPr>
                <w:rStyle w:val="Hipervnculo"/>
                <w:noProof/>
              </w:rPr>
              <w:t>SEXTO. Decisión</w:t>
            </w:r>
            <w:r w:rsidR="006516F3">
              <w:rPr>
                <w:noProof/>
                <w:webHidden/>
              </w:rPr>
              <w:tab/>
            </w:r>
            <w:r w:rsidR="006516F3">
              <w:rPr>
                <w:noProof/>
                <w:webHidden/>
              </w:rPr>
              <w:fldChar w:fldCharType="begin"/>
            </w:r>
            <w:r w:rsidR="006516F3">
              <w:rPr>
                <w:noProof/>
                <w:webHidden/>
              </w:rPr>
              <w:instrText xml:space="preserve"> PAGEREF _Toc206684900 \h </w:instrText>
            </w:r>
            <w:r w:rsidR="006516F3">
              <w:rPr>
                <w:noProof/>
                <w:webHidden/>
              </w:rPr>
            </w:r>
            <w:r w:rsidR="006516F3">
              <w:rPr>
                <w:noProof/>
                <w:webHidden/>
              </w:rPr>
              <w:fldChar w:fldCharType="separate"/>
            </w:r>
            <w:r w:rsidR="00A15E03">
              <w:rPr>
                <w:noProof/>
                <w:webHidden/>
              </w:rPr>
              <w:t>26</w:t>
            </w:r>
            <w:r w:rsidR="006516F3">
              <w:rPr>
                <w:noProof/>
                <w:webHidden/>
              </w:rPr>
              <w:fldChar w:fldCharType="end"/>
            </w:r>
          </w:hyperlink>
        </w:p>
        <w:p w14:paraId="43CDA5C0" w14:textId="77777777" w:rsidR="006516F3" w:rsidRDefault="009A420B">
          <w:pPr>
            <w:pStyle w:val="TDC1"/>
            <w:tabs>
              <w:tab w:val="right" w:leader="dot" w:pos="8921"/>
            </w:tabs>
            <w:rPr>
              <w:rFonts w:asciiTheme="minorHAnsi" w:eastAsiaTheme="minorEastAsia" w:hAnsiTheme="minorHAnsi" w:cstheme="minorBidi"/>
              <w:noProof/>
              <w:color w:val="auto"/>
            </w:rPr>
          </w:pPr>
          <w:hyperlink w:anchor="_Toc206684901" w:history="1">
            <w:r w:rsidR="006516F3" w:rsidRPr="00FF0DFD">
              <w:rPr>
                <w:rStyle w:val="Hipervnculo"/>
                <w:noProof/>
              </w:rPr>
              <w:t>R E S U E L V E</w:t>
            </w:r>
            <w:r w:rsidR="006516F3">
              <w:rPr>
                <w:noProof/>
                <w:webHidden/>
              </w:rPr>
              <w:tab/>
            </w:r>
            <w:r w:rsidR="006516F3">
              <w:rPr>
                <w:noProof/>
                <w:webHidden/>
              </w:rPr>
              <w:fldChar w:fldCharType="begin"/>
            </w:r>
            <w:r w:rsidR="006516F3">
              <w:rPr>
                <w:noProof/>
                <w:webHidden/>
              </w:rPr>
              <w:instrText xml:space="preserve"> PAGEREF _Toc206684901 \h </w:instrText>
            </w:r>
            <w:r w:rsidR="006516F3">
              <w:rPr>
                <w:noProof/>
                <w:webHidden/>
              </w:rPr>
            </w:r>
            <w:r w:rsidR="006516F3">
              <w:rPr>
                <w:noProof/>
                <w:webHidden/>
              </w:rPr>
              <w:fldChar w:fldCharType="separate"/>
            </w:r>
            <w:r w:rsidR="00A15E03">
              <w:rPr>
                <w:noProof/>
                <w:webHidden/>
              </w:rPr>
              <w:t>27</w:t>
            </w:r>
            <w:r w:rsidR="006516F3">
              <w:rPr>
                <w:noProof/>
                <w:webHidden/>
              </w:rPr>
              <w:fldChar w:fldCharType="end"/>
            </w:r>
          </w:hyperlink>
        </w:p>
        <w:p w14:paraId="5B9D6C11" w14:textId="5B96AD40" w:rsidR="00C4052B" w:rsidRPr="00641E80" w:rsidRDefault="00C4052B" w:rsidP="00A467BC">
          <w:pPr>
            <w:spacing w:after="0" w:line="360" w:lineRule="auto"/>
          </w:pPr>
          <w:r w:rsidRPr="00641E80">
            <w:rPr>
              <w:b/>
              <w:bCs/>
              <w:lang w:val="es-ES"/>
            </w:rPr>
            <w:fldChar w:fldCharType="end"/>
          </w:r>
        </w:p>
      </w:sdtContent>
    </w:sdt>
    <w:p w14:paraId="57481942" w14:textId="77777777" w:rsidR="00C4052B" w:rsidRPr="00641E80" w:rsidRDefault="00C4052B" w:rsidP="00A467BC">
      <w:pPr>
        <w:tabs>
          <w:tab w:val="left" w:pos="8931"/>
        </w:tabs>
        <w:spacing w:after="0" w:line="360" w:lineRule="auto"/>
      </w:pPr>
    </w:p>
    <w:p w14:paraId="411B5995" w14:textId="77777777" w:rsidR="00C4052B" w:rsidRPr="00641E80" w:rsidRDefault="00C4052B" w:rsidP="00A467BC">
      <w:pPr>
        <w:tabs>
          <w:tab w:val="left" w:pos="8931"/>
        </w:tabs>
        <w:spacing w:after="0" w:line="360" w:lineRule="auto"/>
      </w:pPr>
    </w:p>
    <w:p w14:paraId="6784625D" w14:textId="77777777" w:rsidR="00C4052B" w:rsidRPr="00641E80" w:rsidRDefault="00C4052B" w:rsidP="00A467BC">
      <w:pPr>
        <w:tabs>
          <w:tab w:val="left" w:pos="8931"/>
        </w:tabs>
        <w:spacing w:after="0" w:line="360" w:lineRule="auto"/>
      </w:pPr>
    </w:p>
    <w:p w14:paraId="140888DD" w14:textId="77777777" w:rsidR="00C4052B" w:rsidRPr="00641E80" w:rsidRDefault="00C4052B" w:rsidP="00A467BC">
      <w:pPr>
        <w:tabs>
          <w:tab w:val="left" w:pos="8931"/>
        </w:tabs>
        <w:spacing w:after="0" w:line="360" w:lineRule="auto"/>
      </w:pPr>
    </w:p>
    <w:p w14:paraId="46268890" w14:textId="77777777" w:rsidR="00C4052B" w:rsidRPr="00641E80" w:rsidRDefault="00C4052B" w:rsidP="00A467BC">
      <w:pPr>
        <w:tabs>
          <w:tab w:val="left" w:pos="8931"/>
        </w:tabs>
        <w:spacing w:after="0" w:line="360" w:lineRule="auto"/>
      </w:pPr>
    </w:p>
    <w:p w14:paraId="147CC638" w14:textId="77777777" w:rsidR="00C4052B" w:rsidRPr="00641E80" w:rsidRDefault="00C4052B" w:rsidP="00A467BC">
      <w:pPr>
        <w:tabs>
          <w:tab w:val="left" w:pos="8931"/>
        </w:tabs>
        <w:spacing w:after="0" w:line="360" w:lineRule="auto"/>
      </w:pPr>
    </w:p>
    <w:p w14:paraId="6E6C2561" w14:textId="77777777" w:rsidR="00D61CB8" w:rsidRPr="00641E80" w:rsidRDefault="00D61CB8" w:rsidP="00A467BC">
      <w:pPr>
        <w:tabs>
          <w:tab w:val="left" w:pos="8931"/>
        </w:tabs>
        <w:spacing w:after="0" w:line="360" w:lineRule="auto"/>
      </w:pPr>
    </w:p>
    <w:p w14:paraId="03497FD6" w14:textId="77777777" w:rsidR="001140E2" w:rsidRPr="00641E80" w:rsidRDefault="001140E2" w:rsidP="00A467BC">
      <w:pPr>
        <w:tabs>
          <w:tab w:val="left" w:pos="8931"/>
        </w:tabs>
        <w:spacing w:after="0" w:line="360" w:lineRule="auto"/>
      </w:pPr>
    </w:p>
    <w:p w14:paraId="3FB7EB5E" w14:textId="1D41C5AB" w:rsidR="005C690F" w:rsidRPr="00641E80" w:rsidRDefault="007D6307" w:rsidP="00A467BC">
      <w:pPr>
        <w:tabs>
          <w:tab w:val="left" w:pos="8931"/>
        </w:tabs>
        <w:spacing w:after="0" w:line="360" w:lineRule="auto"/>
      </w:pPr>
      <w:r w:rsidRPr="00641E80">
        <w:t xml:space="preserve">Resolución del Pleno del Instituto de Transparencia, Acceso a la Información Pública y Protección de Datos Personales del Estado de México y Municipios, con domicilio en Metepec, Estado de México, de </w:t>
      </w:r>
      <w:r w:rsidR="00EF0C39" w:rsidRPr="00641E80">
        <w:t xml:space="preserve">fecha </w:t>
      </w:r>
      <w:r w:rsidR="001140E2" w:rsidRPr="00641E80">
        <w:t>veinte</w:t>
      </w:r>
      <w:r w:rsidR="000B40C7" w:rsidRPr="00641E80">
        <w:t xml:space="preserve"> de agosto</w:t>
      </w:r>
      <w:r w:rsidR="00CF7AA5" w:rsidRPr="00641E80">
        <w:t xml:space="preserve"> </w:t>
      </w:r>
      <w:r w:rsidR="00945CB8" w:rsidRPr="00641E80">
        <w:t>de dos mil veintic</w:t>
      </w:r>
      <w:r w:rsidR="00C11A18" w:rsidRPr="00641E80">
        <w:t>inco</w:t>
      </w:r>
      <w:r w:rsidRPr="00641E80">
        <w:t xml:space="preserve">. </w:t>
      </w:r>
    </w:p>
    <w:p w14:paraId="0DCD3B82" w14:textId="77777777" w:rsidR="005C690F" w:rsidRPr="00641E80" w:rsidRDefault="005C690F" w:rsidP="00A467BC">
      <w:pPr>
        <w:spacing w:after="0" w:line="360" w:lineRule="auto"/>
        <w:rPr>
          <w:b/>
        </w:rPr>
      </w:pPr>
    </w:p>
    <w:p w14:paraId="1570B336" w14:textId="15E60A68" w:rsidR="005C690F" w:rsidRPr="00641E80" w:rsidRDefault="007D6307" w:rsidP="00A467BC">
      <w:pPr>
        <w:spacing w:after="0" w:line="360" w:lineRule="auto"/>
        <w:rPr>
          <w:color w:val="0D0D0D"/>
        </w:rPr>
      </w:pPr>
      <w:r w:rsidRPr="00641E80">
        <w:rPr>
          <w:b/>
        </w:rPr>
        <w:t xml:space="preserve">VISTO </w:t>
      </w:r>
      <w:r w:rsidRPr="00641E80">
        <w:t xml:space="preserve">el expediente electrónico conformado con motivo del Recurso de Revisión </w:t>
      </w:r>
      <w:r w:rsidR="00EE1006" w:rsidRPr="00CA20B5">
        <w:rPr>
          <w:b/>
          <w:bCs/>
        </w:rPr>
        <w:t>0</w:t>
      </w:r>
      <w:r w:rsidR="001140E2" w:rsidRPr="00CA20B5">
        <w:rPr>
          <w:b/>
          <w:bCs/>
        </w:rPr>
        <w:t>6091</w:t>
      </w:r>
      <w:r w:rsidR="000D392E" w:rsidRPr="00CA20B5">
        <w:rPr>
          <w:b/>
          <w:bCs/>
        </w:rPr>
        <w:t>/INFOEM/IP/RR/2025</w:t>
      </w:r>
      <w:r w:rsidRPr="00641E80">
        <w:rPr>
          <w:bCs/>
        </w:rPr>
        <w:t xml:space="preserve">, interpuesto </w:t>
      </w:r>
      <w:r w:rsidR="008415EA" w:rsidRPr="00641E80">
        <w:rPr>
          <w:bCs/>
        </w:rPr>
        <w:t>por</w:t>
      </w:r>
      <w:r w:rsidR="00787965">
        <w:rPr>
          <w:b/>
        </w:rPr>
        <w:t xml:space="preserve"> </w:t>
      </w:r>
      <w:r w:rsidR="00787965" w:rsidRPr="00787965">
        <w:rPr>
          <w:b/>
          <w:highlight w:val="black"/>
        </w:rPr>
        <w:t>XXXXXXXXXXXXXXX</w:t>
      </w:r>
      <w:bookmarkStart w:id="0" w:name="_GoBack"/>
      <w:bookmarkEnd w:id="0"/>
      <w:r w:rsidR="001140E2" w:rsidRPr="00641E80">
        <w:rPr>
          <w:bCs/>
        </w:rPr>
        <w:t xml:space="preserve">, quien será </w:t>
      </w:r>
      <w:r w:rsidR="00D906B2" w:rsidRPr="00641E80">
        <w:rPr>
          <w:bCs/>
        </w:rPr>
        <w:t>la persona</w:t>
      </w:r>
      <w:r w:rsidRPr="00641E80">
        <w:rPr>
          <w:bCs/>
        </w:rPr>
        <w:t xml:space="preserve"> </w:t>
      </w:r>
      <w:r w:rsidRPr="00641E80">
        <w:rPr>
          <w:bCs/>
          <w:color w:val="0D0D0D"/>
        </w:rPr>
        <w:t>Recurrente o Particular, en contra de la respuesta del Sujeto Obligado</w:t>
      </w:r>
      <w:r w:rsidR="00705FBB" w:rsidRPr="00641E80">
        <w:rPr>
          <w:bCs/>
          <w:color w:val="0D0D0D"/>
        </w:rPr>
        <w:t xml:space="preserve">, </w:t>
      </w:r>
      <w:r w:rsidR="001140E2" w:rsidRPr="00CA20B5">
        <w:rPr>
          <w:b/>
        </w:rPr>
        <w:t>Organismo Público Descentralizado para la Prestación de Los Servicios de Agua Potable Alcantarillado y Saneamiento del Municipio de Tlalnepantla de Baz</w:t>
      </w:r>
      <w:r w:rsidR="00EF0C39" w:rsidRPr="00641E80">
        <w:rPr>
          <w:bCs/>
        </w:rPr>
        <w:t>,</w:t>
      </w:r>
      <w:r w:rsidRPr="00641E80">
        <w:rPr>
          <w:bCs/>
          <w:color w:val="0D0D0D"/>
        </w:rPr>
        <w:t xml:space="preserve"> </w:t>
      </w:r>
      <w:r w:rsidRPr="00641E80">
        <w:rPr>
          <w:color w:val="0D0D0D"/>
        </w:rPr>
        <w:t>a la solicitud de acceso a la información pública</w:t>
      </w:r>
      <w:r w:rsidR="00800641" w:rsidRPr="00641E80">
        <w:rPr>
          <w:color w:val="0D0D0D"/>
        </w:rPr>
        <w:t xml:space="preserve"> </w:t>
      </w:r>
      <w:r w:rsidR="00981EF5" w:rsidRPr="00641E80">
        <w:t>0</w:t>
      </w:r>
      <w:r w:rsidR="001140E2" w:rsidRPr="00641E80">
        <w:t>0147</w:t>
      </w:r>
      <w:r w:rsidR="00EE1006" w:rsidRPr="00641E80">
        <w:t>/</w:t>
      </w:r>
      <w:r w:rsidR="001140E2" w:rsidRPr="00641E80">
        <w:t>OASTLALNE</w:t>
      </w:r>
      <w:r w:rsidR="000D392E" w:rsidRPr="00641E80">
        <w:t>/IP/2025</w:t>
      </w:r>
      <w:r w:rsidRPr="00641E80">
        <w:rPr>
          <w:color w:val="000000"/>
        </w:rPr>
        <w:t xml:space="preserve">, </w:t>
      </w:r>
      <w:r w:rsidRPr="00641E80">
        <w:rPr>
          <w:color w:val="0D0D0D"/>
        </w:rPr>
        <w:t>se emite la presente Resolución, con base en los Antecedentes y Considerandos que se exponen a continuación:</w:t>
      </w:r>
    </w:p>
    <w:p w14:paraId="1F97CEF3" w14:textId="77777777" w:rsidR="005C690F" w:rsidRPr="00641E80" w:rsidRDefault="005C690F" w:rsidP="00A467BC">
      <w:pPr>
        <w:spacing w:after="0" w:line="360" w:lineRule="auto"/>
        <w:rPr>
          <w:b/>
        </w:rPr>
      </w:pPr>
    </w:p>
    <w:p w14:paraId="1DEAF9D3" w14:textId="24D35555" w:rsidR="005C690F" w:rsidRPr="00641E80" w:rsidRDefault="00CD6238" w:rsidP="00A467BC">
      <w:pPr>
        <w:pStyle w:val="Ttulo1"/>
        <w:spacing w:before="0" w:after="0" w:line="360" w:lineRule="auto"/>
        <w:jc w:val="center"/>
        <w:rPr>
          <w:sz w:val="22"/>
          <w:szCs w:val="22"/>
        </w:rPr>
      </w:pPr>
      <w:bookmarkStart w:id="1" w:name="_Toc206684888"/>
      <w:r w:rsidRPr="00641E80">
        <w:rPr>
          <w:sz w:val="22"/>
          <w:szCs w:val="22"/>
        </w:rPr>
        <w:t>A N T E C E D E N T E S</w:t>
      </w:r>
      <w:bookmarkEnd w:id="1"/>
    </w:p>
    <w:p w14:paraId="5A7EDA4F" w14:textId="77777777" w:rsidR="005C690F" w:rsidRPr="00641E80" w:rsidRDefault="005C690F" w:rsidP="00A467BC">
      <w:pPr>
        <w:spacing w:after="0" w:line="360" w:lineRule="auto"/>
        <w:jc w:val="center"/>
        <w:rPr>
          <w:b/>
        </w:rPr>
      </w:pPr>
    </w:p>
    <w:p w14:paraId="4930DAB9" w14:textId="701611A7" w:rsidR="00E22EA8" w:rsidRPr="00641E80" w:rsidRDefault="009215C2" w:rsidP="00A467BC">
      <w:pPr>
        <w:pStyle w:val="Ttulo2"/>
        <w:spacing w:before="0" w:after="0" w:line="360" w:lineRule="auto"/>
        <w:rPr>
          <w:sz w:val="22"/>
          <w:szCs w:val="22"/>
          <w:lang w:eastAsia="es-ES"/>
        </w:rPr>
      </w:pPr>
      <w:bookmarkStart w:id="2" w:name="_Toc206684889"/>
      <w:r w:rsidRPr="00641E80">
        <w:rPr>
          <w:sz w:val="22"/>
          <w:szCs w:val="22"/>
          <w:lang w:eastAsia="es-ES"/>
        </w:rPr>
        <w:t xml:space="preserve">I. </w:t>
      </w:r>
      <w:r w:rsidR="00E22EA8" w:rsidRPr="00641E80">
        <w:rPr>
          <w:sz w:val="22"/>
          <w:szCs w:val="22"/>
          <w:lang w:eastAsia="es-ES"/>
        </w:rPr>
        <w:t>Presentación de la solicitud de información</w:t>
      </w:r>
      <w:bookmarkEnd w:id="2"/>
    </w:p>
    <w:p w14:paraId="63A20E25" w14:textId="77777777" w:rsidR="009215C2" w:rsidRPr="00641E80" w:rsidRDefault="009215C2" w:rsidP="00A467BC">
      <w:pPr>
        <w:tabs>
          <w:tab w:val="left" w:pos="567"/>
        </w:tabs>
        <w:spacing w:after="0" w:line="360" w:lineRule="auto"/>
        <w:rPr>
          <w:rFonts w:eastAsia="Times New Roman" w:cs="Tahoma"/>
          <w:lang w:eastAsia="es-ES"/>
        </w:rPr>
      </w:pPr>
    </w:p>
    <w:p w14:paraId="301B8A4E" w14:textId="1323469D" w:rsidR="00E22EA8" w:rsidRPr="00641E80" w:rsidRDefault="00D906B2" w:rsidP="00A467BC">
      <w:pPr>
        <w:spacing w:after="0" w:line="360" w:lineRule="auto"/>
        <w:rPr>
          <w:rFonts w:eastAsia="Times New Roman" w:cs="Tahoma"/>
          <w:lang w:eastAsia="es-ES"/>
        </w:rPr>
      </w:pPr>
      <w:r w:rsidRPr="00641E80">
        <w:rPr>
          <w:rFonts w:eastAsia="Times New Roman" w:cs="Tahoma"/>
          <w:lang w:eastAsia="es-ES"/>
        </w:rPr>
        <w:t>El</w:t>
      </w:r>
      <w:r w:rsidR="00D52EC1" w:rsidRPr="00641E80">
        <w:rPr>
          <w:rFonts w:eastAsia="Times New Roman" w:cs="Tahoma"/>
          <w:lang w:eastAsia="es-ES"/>
        </w:rPr>
        <w:t xml:space="preserve"> </w:t>
      </w:r>
      <w:r w:rsidR="00981EF5" w:rsidRPr="00641E80">
        <w:rPr>
          <w:rFonts w:eastAsia="Times New Roman" w:cs="Tahoma"/>
          <w:lang w:eastAsia="es-ES"/>
        </w:rPr>
        <w:t>veinti</w:t>
      </w:r>
      <w:r w:rsidR="00444279" w:rsidRPr="00641E80">
        <w:rPr>
          <w:rFonts w:eastAsia="Times New Roman" w:cs="Tahoma"/>
          <w:lang w:eastAsia="es-ES"/>
        </w:rPr>
        <w:t>tré</w:t>
      </w:r>
      <w:r w:rsidR="00475BC9" w:rsidRPr="00641E80">
        <w:rPr>
          <w:rFonts w:eastAsia="Times New Roman" w:cs="Tahoma"/>
          <w:lang w:eastAsia="es-ES"/>
        </w:rPr>
        <w:t>s</w:t>
      </w:r>
      <w:r w:rsidR="00A41789" w:rsidRPr="00641E80">
        <w:rPr>
          <w:rFonts w:eastAsia="Times New Roman" w:cs="Tahoma"/>
          <w:lang w:eastAsia="es-ES"/>
        </w:rPr>
        <w:t xml:space="preserve"> </w:t>
      </w:r>
      <w:r w:rsidR="00475BC9" w:rsidRPr="00641E80">
        <w:rPr>
          <w:rFonts w:eastAsia="Times New Roman" w:cs="Tahoma"/>
          <w:lang w:eastAsia="es-ES"/>
        </w:rPr>
        <w:t xml:space="preserve">de abril </w:t>
      </w:r>
      <w:r w:rsidR="008E0DC4" w:rsidRPr="00641E80">
        <w:rPr>
          <w:rFonts w:eastAsia="Times New Roman" w:cs="Tahoma"/>
          <w:lang w:eastAsia="es-ES"/>
        </w:rPr>
        <w:t>de dos mil veinticinco</w:t>
      </w:r>
      <w:r w:rsidR="00BF362A" w:rsidRPr="00641E80">
        <w:rPr>
          <w:rFonts w:eastAsia="Times New Roman" w:cs="Tahoma"/>
          <w:lang w:eastAsia="es-ES"/>
        </w:rPr>
        <w:t xml:space="preserve">, </w:t>
      </w:r>
      <w:r w:rsidR="00E22EA8" w:rsidRPr="00641E80">
        <w:rPr>
          <w:rFonts w:eastAsia="Times New Roman" w:cs="Tahoma"/>
          <w:lang w:eastAsia="es-ES"/>
        </w:rPr>
        <w:t>el Particular presentó una solicitud de acceso a la información pública, a través del Sistema de Acceso a la Información Mexiquense (SAIMEX), ante</w:t>
      </w:r>
      <w:r w:rsidR="000B3C56" w:rsidRPr="00641E80">
        <w:rPr>
          <w:rFonts w:eastAsia="Times New Roman" w:cs="Tahoma"/>
          <w:lang w:eastAsia="es-ES"/>
        </w:rPr>
        <w:t xml:space="preserve"> </w:t>
      </w:r>
      <w:r w:rsidR="00DC175C" w:rsidRPr="00641E80">
        <w:rPr>
          <w:rFonts w:eastAsia="Times New Roman" w:cs="Tahoma"/>
          <w:lang w:eastAsia="es-ES"/>
        </w:rPr>
        <w:t>el</w:t>
      </w:r>
      <w:r w:rsidR="00475BC9" w:rsidRPr="00641E80">
        <w:t xml:space="preserve"> Organismo Público Descentralizado para la Prestación de Los Servicios de Agua Potable Alcantarillado y Saneamiento del Municipio de Tlalnepantla de Baz</w:t>
      </w:r>
      <w:r w:rsidR="008E0DC4" w:rsidRPr="00641E80">
        <w:rPr>
          <w:rFonts w:eastAsia="Calibri" w:cs="Times New Roman"/>
          <w:color w:val="000000"/>
        </w:rPr>
        <w:t>,</w:t>
      </w:r>
      <w:r w:rsidR="00DC175C" w:rsidRPr="00641E80">
        <w:rPr>
          <w:rFonts w:eastAsia="Calibri" w:cs="Tahoma"/>
        </w:rPr>
        <w:t xml:space="preserve"> </w:t>
      </w:r>
      <w:r w:rsidR="00E22EA8" w:rsidRPr="00641E80">
        <w:rPr>
          <w:rFonts w:eastAsia="Calibri" w:cs="Tahoma"/>
        </w:rPr>
        <w:t xml:space="preserve">en los siguientes términos: </w:t>
      </w:r>
    </w:p>
    <w:p w14:paraId="2B959865" w14:textId="77777777" w:rsidR="00E22EA8" w:rsidRPr="00641E80" w:rsidRDefault="00E22EA8" w:rsidP="00A467BC">
      <w:pPr>
        <w:spacing w:after="0" w:line="360" w:lineRule="auto"/>
        <w:rPr>
          <w:rFonts w:eastAsia="Calibri" w:cs="Tahoma"/>
        </w:rPr>
      </w:pPr>
    </w:p>
    <w:p w14:paraId="55F1BB44" w14:textId="77777777" w:rsidR="00654DDF" w:rsidRPr="00641E80" w:rsidRDefault="00654DDF" w:rsidP="00A467BC">
      <w:pPr>
        <w:spacing w:after="0" w:line="360" w:lineRule="auto"/>
        <w:rPr>
          <w:rFonts w:eastAsia="Calibri" w:cs="Tahoma"/>
        </w:rPr>
      </w:pPr>
    </w:p>
    <w:p w14:paraId="3FBC9D66" w14:textId="0F26255C" w:rsidR="00A41789" w:rsidRPr="00641E80" w:rsidRDefault="00125F26" w:rsidP="00A467BC">
      <w:pPr>
        <w:tabs>
          <w:tab w:val="left" w:pos="4667"/>
        </w:tabs>
        <w:spacing w:after="0" w:line="360" w:lineRule="auto"/>
        <w:ind w:left="567" w:right="567"/>
        <w:rPr>
          <w:rFonts w:eastAsia="Times New Roman" w:cs="Tahoma"/>
          <w:b/>
          <w:i/>
          <w:iCs/>
          <w:sz w:val="20"/>
          <w:szCs w:val="20"/>
          <w:lang w:eastAsia="es-ES"/>
        </w:rPr>
      </w:pPr>
      <w:r w:rsidRPr="00641E80">
        <w:rPr>
          <w:rFonts w:eastAsia="Times New Roman" w:cs="Tahoma"/>
          <w:b/>
          <w:i/>
          <w:iCs/>
          <w:sz w:val="20"/>
          <w:szCs w:val="20"/>
          <w:lang w:eastAsia="es-ES"/>
        </w:rPr>
        <w:lastRenderedPageBreak/>
        <w:t>“</w:t>
      </w:r>
      <w:r w:rsidR="00E22EA8" w:rsidRPr="00641E80">
        <w:rPr>
          <w:rFonts w:eastAsia="Times New Roman" w:cs="Tahoma"/>
          <w:b/>
          <w:i/>
          <w:iCs/>
          <w:sz w:val="20"/>
          <w:szCs w:val="20"/>
          <w:lang w:eastAsia="es-ES"/>
        </w:rPr>
        <w:t>DESCRIPCIÓN CLARA Y PRECI</w:t>
      </w:r>
      <w:r w:rsidR="0084143D" w:rsidRPr="00641E80">
        <w:rPr>
          <w:rFonts w:eastAsia="Times New Roman" w:cs="Tahoma"/>
          <w:b/>
          <w:i/>
          <w:iCs/>
          <w:sz w:val="20"/>
          <w:szCs w:val="20"/>
          <w:lang w:eastAsia="es-ES"/>
        </w:rPr>
        <w:t xml:space="preserve">SA DE LA </w:t>
      </w:r>
      <w:r w:rsidR="00A41789" w:rsidRPr="00641E80">
        <w:rPr>
          <w:rFonts w:eastAsia="Times New Roman" w:cs="Tahoma"/>
          <w:b/>
          <w:i/>
          <w:iCs/>
          <w:sz w:val="20"/>
          <w:szCs w:val="20"/>
          <w:lang w:eastAsia="es-ES"/>
        </w:rPr>
        <w:t>INFORMACIÓN SOLICITADA</w:t>
      </w:r>
    </w:p>
    <w:p w14:paraId="2C6BC213" w14:textId="749CFF92" w:rsidR="00E22EA8" w:rsidRPr="00641E80" w:rsidRDefault="00475BC9" w:rsidP="00A467BC">
      <w:pPr>
        <w:tabs>
          <w:tab w:val="left" w:pos="4667"/>
        </w:tabs>
        <w:spacing w:after="0" w:line="360" w:lineRule="auto"/>
        <w:ind w:left="567" w:right="567"/>
        <w:rPr>
          <w:rFonts w:eastAsia="Times New Roman" w:cs="Tahoma"/>
          <w:bCs/>
          <w:i/>
          <w:iCs/>
          <w:sz w:val="20"/>
          <w:szCs w:val="20"/>
          <w:lang w:eastAsia="es-ES"/>
        </w:rPr>
      </w:pPr>
      <w:r w:rsidRPr="00641E80">
        <w:rPr>
          <w:i/>
          <w:iCs/>
          <w:sz w:val="20"/>
          <w:szCs w:val="20"/>
        </w:rPr>
        <w:t>SOLICITO LOS ESTADOS DE CUENTA DONDE SE REFLEJE LA DISPERSION DE LA NOMINA DE LA PRIMERA QUINCENA DE ABRIL DE 2025</w:t>
      </w:r>
      <w:r w:rsidR="009215C2" w:rsidRPr="00641E80">
        <w:rPr>
          <w:i/>
          <w:iCs/>
          <w:sz w:val="20"/>
          <w:szCs w:val="20"/>
        </w:rPr>
        <w:t>”</w:t>
      </w:r>
      <w:r w:rsidRPr="00641E80">
        <w:rPr>
          <w:i/>
          <w:iCs/>
          <w:sz w:val="20"/>
          <w:szCs w:val="20"/>
        </w:rPr>
        <w:t xml:space="preserve"> (Sic.)</w:t>
      </w:r>
    </w:p>
    <w:p w14:paraId="5E88ED39" w14:textId="77777777" w:rsidR="00BF362A" w:rsidRPr="00641E80" w:rsidRDefault="00BF362A" w:rsidP="00A467BC">
      <w:pPr>
        <w:tabs>
          <w:tab w:val="left" w:pos="4667"/>
        </w:tabs>
        <w:spacing w:after="0" w:line="360" w:lineRule="auto"/>
        <w:ind w:left="567" w:right="567"/>
        <w:rPr>
          <w:rFonts w:eastAsia="Times New Roman" w:cs="Tahoma"/>
          <w:b/>
          <w:bCs/>
          <w:i/>
          <w:iCs/>
          <w:sz w:val="20"/>
          <w:lang w:eastAsia="es-ES"/>
        </w:rPr>
      </w:pPr>
    </w:p>
    <w:p w14:paraId="6C0DE105" w14:textId="3FEE2196" w:rsidR="00E22EA8" w:rsidRPr="00641E80" w:rsidRDefault="00125F26" w:rsidP="00A467BC">
      <w:pPr>
        <w:tabs>
          <w:tab w:val="left" w:pos="4667"/>
        </w:tabs>
        <w:spacing w:after="0" w:line="360" w:lineRule="auto"/>
        <w:ind w:left="567" w:right="567"/>
        <w:rPr>
          <w:rFonts w:eastAsia="Times New Roman" w:cs="Tahoma"/>
          <w:b/>
          <w:bCs/>
          <w:i/>
          <w:iCs/>
          <w:sz w:val="20"/>
          <w:lang w:eastAsia="es-ES"/>
        </w:rPr>
      </w:pPr>
      <w:r w:rsidRPr="00641E80">
        <w:rPr>
          <w:rFonts w:eastAsia="Times New Roman" w:cs="Tahoma"/>
          <w:b/>
          <w:bCs/>
          <w:i/>
          <w:iCs/>
          <w:sz w:val="20"/>
          <w:lang w:eastAsia="es-ES"/>
        </w:rPr>
        <w:t>“</w:t>
      </w:r>
      <w:r w:rsidR="00E22EA8" w:rsidRPr="00641E80">
        <w:rPr>
          <w:rFonts w:eastAsia="Times New Roman" w:cs="Tahoma"/>
          <w:b/>
          <w:bCs/>
          <w:i/>
          <w:iCs/>
          <w:sz w:val="20"/>
          <w:lang w:eastAsia="es-ES"/>
        </w:rPr>
        <w:t>MODALIDAD DE ENTREGA</w:t>
      </w:r>
    </w:p>
    <w:p w14:paraId="5244C9E1" w14:textId="46056E5D" w:rsidR="00981EF5" w:rsidRPr="00641E80" w:rsidRDefault="00BB6693" w:rsidP="00A467BC">
      <w:pPr>
        <w:spacing w:after="0" w:line="360" w:lineRule="auto"/>
        <w:ind w:left="567" w:right="567"/>
        <w:rPr>
          <w:rFonts w:eastAsia="Times New Roman" w:cs="Arial"/>
          <w:bCs/>
          <w:i/>
          <w:iCs/>
          <w:sz w:val="20"/>
          <w:lang w:eastAsia="es-ES"/>
        </w:rPr>
      </w:pPr>
      <w:r w:rsidRPr="00641E80">
        <w:rPr>
          <w:rFonts w:eastAsia="Times New Roman" w:cs="Arial"/>
          <w:bCs/>
          <w:i/>
          <w:iCs/>
          <w:sz w:val="20"/>
          <w:lang w:eastAsia="es-ES"/>
        </w:rPr>
        <w:t>A través del SAIMEX</w:t>
      </w:r>
      <w:r w:rsidR="00E22EA8" w:rsidRPr="00641E80">
        <w:rPr>
          <w:rFonts w:eastAsia="Times New Roman" w:cs="Arial"/>
          <w:bCs/>
          <w:i/>
          <w:iCs/>
          <w:sz w:val="20"/>
          <w:lang w:eastAsia="es-ES"/>
        </w:rPr>
        <w:t>”</w:t>
      </w:r>
    </w:p>
    <w:p w14:paraId="34019B86" w14:textId="77777777" w:rsidR="00981EF5" w:rsidRPr="00641E80" w:rsidRDefault="00981EF5" w:rsidP="00A467BC">
      <w:pPr>
        <w:spacing w:after="0" w:line="360" w:lineRule="auto"/>
        <w:ind w:right="567"/>
        <w:rPr>
          <w:rFonts w:eastAsia="Times New Roman" w:cs="Arial"/>
          <w:bCs/>
          <w:i/>
          <w:iCs/>
          <w:sz w:val="20"/>
          <w:lang w:eastAsia="es-ES"/>
        </w:rPr>
      </w:pPr>
    </w:p>
    <w:p w14:paraId="3BA08BAE" w14:textId="02A01526" w:rsidR="00981EF5" w:rsidRPr="00641E80" w:rsidRDefault="00981EF5" w:rsidP="00A467BC">
      <w:pPr>
        <w:pStyle w:val="Ttulo2"/>
        <w:spacing w:before="0" w:after="0" w:line="360" w:lineRule="auto"/>
        <w:rPr>
          <w:rFonts w:cs="Tahoma"/>
          <w:sz w:val="22"/>
          <w:szCs w:val="22"/>
        </w:rPr>
      </w:pPr>
      <w:bookmarkStart w:id="3" w:name="_Toc206684890"/>
      <w:r w:rsidRPr="00641E80">
        <w:rPr>
          <w:rFonts w:cs="Tahoma"/>
          <w:sz w:val="22"/>
          <w:szCs w:val="22"/>
        </w:rPr>
        <w:t>II. Prórroga para atender la solicitud de información</w:t>
      </w:r>
      <w:bookmarkEnd w:id="3"/>
    </w:p>
    <w:p w14:paraId="52580801" w14:textId="77777777" w:rsidR="00981EF5" w:rsidRPr="00641E80" w:rsidRDefault="00981EF5" w:rsidP="00A467BC">
      <w:pPr>
        <w:spacing w:after="0" w:line="360" w:lineRule="auto"/>
      </w:pPr>
    </w:p>
    <w:p w14:paraId="7D8179DF" w14:textId="796F89B7" w:rsidR="00981EF5" w:rsidRPr="00641E80" w:rsidRDefault="00981EF5" w:rsidP="00A467BC">
      <w:pPr>
        <w:spacing w:after="0" w:line="360" w:lineRule="auto"/>
      </w:pPr>
      <w:r w:rsidRPr="00641E80">
        <w:t xml:space="preserve">El </w:t>
      </w:r>
      <w:r w:rsidR="00475BC9" w:rsidRPr="00641E80">
        <w:t>dieciséis de mayo</w:t>
      </w:r>
      <w:r w:rsidRPr="00641E80">
        <w:t xml:space="preserve"> de dos mil veinticinco, el Sujeto Obligado, a través del Sistema de Acceso a la Información Mexiquense (SAIMEX), notificó una prórroga, mediante la cual aprueba la ampliación de término para atender la solicitud de información</w:t>
      </w:r>
      <w:r w:rsidR="00475BC9" w:rsidRPr="00641E80">
        <w:t>.</w:t>
      </w:r>
    </w:p>
    <w:p w14:paraId="552D0834" w14:textId="77777777" w:rsidR="00981EF5" w:rsidRPr="00641E80" w:rsidRDefault="00981EF5" w:rsidP="00A467BC">
      <w:pPr>
        <w:spacing w:after="0" w:line="360" w:lineRule="auto"/>
      </w:pPr>
    </w:p>
    <w:p w14:paraId="0A604AAC" w14:textId="5EBA114E" w:rsidR="00E22EA8" w:rsidRPr="00641E80" w:rsidRDefault="000B3C56" w:rsidP="00A467BC">
      <w:pPr>
        <w:pStyle w:val="Ttulo2"/>
        <w:spacing w:before="0" w:after="0" w:line="360" w:lineRule="auto"/>
        <w:rPr>
          <w:sz w:val="22"/>
          <w:szCs w:val="22"/>
        </w:rPr>
      </w:pPr>
      <w:bookmarkStart w:id="4" w:name="_Toc206684891"/>
      <w:r w:rsidRPr="00641E80">
        <w:rPr>
          <w:rFonts w:cs="Tahoma"/>
          <w:sz w:val="22"/>
          <w:szCs w:val="22"/>
        </w:rPr>
        <w:t>I</w:t>
      </w:r>
      <w:r w:rsidR="002207FA" w:rsidRPr="00641E80">
        <w:rPr>
          <w:rFonts w:cs="Tahoma"/>
          <w:sz w:val="22"/>
          <w:szCs w:val="22"/>
        </w:rPr>
        <w:t>I</w:t>
      </w:r>
      <w:r w:rsidR="00E22EA8" w:rsidRPr="00641E80">
        <w:rPr>
          <w:rFonts w:cs="Tahoma"/>
          <w:sz w:val="22"/>
          <w:szCs w:val="22"/>
        </w:rPr>
        <w:t>.</w:t>
      </w:r>
      <w:r w:rsidR="00E22EA8" w:rsidRPr="00641E80">
        <w:rPr>
          <w:sz w:val="22"/>
          <w:szCs w:val="22"/>
        </w:rPr>
        <w:t xml:space="preserve"> Respuesta del Sujeto Obligado</w:t>
      </w:r>
      <w:bookmarkEnd w:id="4"/>
    </w:p>
    <w:p w14:paraId="10CE94A9" w14:textId="77777777" w:rsidR="00C06004" w:rsidRPr="00641E80" w:rsidRDefault="00C06004" w:rsidP="00A467BC">
      <w:pPr>
        <w:autoSpaceDE w:val="0"/>
        <w:autoSpaceDN w:val="0"/>
        <w:adjustRightInd w:val="0"/>
        <w:spacing w:after="0" w:line="360" w:lineRule="auto"/>
        <w:rPr>
          <w:b/>
          <w:bCs/>
        </w:rPr>
      </w:pPr>
    </w:p>
    <w:p w14:paraId="141C58C2" w14:textId="441E3C1C" w:rsidR="00C56F59" w:rsidRPr="00641E80" w:rsidRDefault="00EB386A" w:rsidP="00A467BC">
      <w:pPr>
        <w:spacing w:after="0" w:line="360" w:lineRule="auto"/>
      </w:pPr>
      <w:r w:rsidRPr="00641E80">
        <w:t xml:space="preserve">El </w:t>
      </w:r>
      <w:r w:rsidR="00C56F59" w:rsidRPr="00641E80">
        <w:t>veinti</w:t>
      </w:r>
      <w:r w:rsidR="00475BC9" w:rsidRPr="00641E80">
        <w:t>siete de mayo</w:t>
      </w:r>
      <w:r w:rsidR="00CD4DE8" w:rsidRPr="00641E80">
        <w:t xml:space="preserve"> de dos mil veinticinco</w:t>
      </w:r>
      <w:r w:rsidR="00E22EA8" w:rsidRPr="00641E80">
        <w:t xml:space="preserve">, el Sujeto Obligado notificó, a través del Sistema de Acceso a la Información Mexiquense (SAIMEX), la respuesta a la solicitud de acceso a la información pública, </w:t>
      </w:r>
      <w:r w:rsidR="00C56F59" w:rsidRPr="00641E80">
        <w:t>a través de los documentos siguientes:</w:t>
      </w:r>
    </w:p>
    <w:p w14:paraId="3C8E3A80" w14:textId="77777777" w:rsidR="00C56F59" w:rsidRPr="00641E80" w:rsidRDefault="00C56F59" w:rsidP="00A467BC">
      <w:pPr>
        <w:spacing w:after="0" w:line="360" w:lineRule="auto"/>
      </w:pPr>
    </w:p>
    <w:p w14:paraId="079FF8D4" w14:textId="70490791" w:rsidR="00475BC9" w:rsidRPr="00641E80" w:rsidRDefault="00C56F59" w:rsidP="00A467BC">
      <w:pPr>
        <w:spacing w:after="0" w:line="360" w:lineRule="auto"/>
      </w:pPr>
      <w:r w:rsidRPr="00641E80">
        <w:t xml:space="preserve">i. Oficio número </w:t>
      </w:r>
      <w:r w:rsidR="00B60530" w:rsidRPr="00641E80">
        <w:t>OPDM/OM/SF/0545/2025, del veinte de mayo de dos mil veinticinco, suscrito por el Subdirector de Finanzas y dirigido a la Titular de la Unidad de Transparencia, por medio del cual mencionó lo siguiente:</w:t>
      </w:r>
    </w:p>
    <w:p w14:paraId="6A570101" w14:textId="77777777" w:rsidR="00B60530" w:rsidRPr="00641E80" w:rsidRDefault="00B60530" w:rsidP="00A467BC">
      <w:pPr>
        <w:spacing w:after="0" w:line="360" w:lineRule="auto"/>
      </w:pPr>
    </w:p>
    <w:p w14:paraId="588966A7" w14:textId="76833269" w:rsidR="00B60530" w:rsidRPr="00641E80" w:rsidRDefault="00B60530" w:rsidP="00A467BC">
      <w:pPr>
        <w:spacing w:after="0" w:line="360" w:lineRule="auto"/>
        <w:ind w:left="720"/>
        <w:rPr>
          <w:i/>
          <w:iCs/>
          <w:sz w:val="20"/>
          <w:szCs w:val="20"/>
        </w:rPr>
      </w:pPr>
      <w:r w:rsidRPr="00641E80">
        <w:rPr>
          <w:i/>
          <w:iCs/>
          <w:sz w:val="20"/>
          <w:szCs w:val="20"/>
        </w:rPr>
        <w:lastRenderedPageBreak/>
        <w:t>“…</w:t>
      </w:r>
      <w:r w:rsidR="00CE116A" w:rsidRPr="00641E80">
        <w:rPr>
          <w:i/>
          <w:iCs/>
          <w:sz w:val="20"/>
          <w:szCs w:val="20"/>
        </w:rPr>
        <w:t xml:space="preserve">después de haber realizado una búsqueda exhaustiva y minuciosa en los archivos físicos y digitales para localizar los documentos que contengan la información materia de la solicitud de información citada anteriormente y tras la aprobación de la clasificación de información durante el desarrollo de la Octava Sesión Extraordinaria del Comité de Trasparencia del Organismo Público Descentralizado para la Prestación de los Servicios de Agua Potable, Alcantarillado y Saneamiento del Municipio de Tlalnepantla, México, mediante acuerdo OPDM/ACUERDO-04/CT/08SE/2025, se anexan al presente tres diferentes estados de cuenta en copia simple del mes de abril del presente año, pertenecientes a las Instituciones denominadas: Banco Mercantil del Norte, S.A., BBVA México, S.A. y Banco Santander México, S.A., </w:t>
      </w:r>
      <w:proofErr w:type="spellStart"/>
      <w:r w:rsidR="00CE116A" w:rsidRPr="00641E80">
        <w:rPr>
          <w:i/>
          <w:iCs/>
          <w:sz w:val="20"/>
          <w:szCs w:val="20"/>
        </w:rPr>
        <w:t>mediate</w:t>
      </w:r>
      <w:proofErr w:type="spellEnd"/>
      <w:r w:rsidR="00CE116A" w:rsidRPr="00641E80">
        <w:rPr>
          <w:i/>
          <w:iCs/>
          <w:sz w:val="20"/>
          <w:szCs w:val="20"/>
        </w:rPr>
        <w:t xml:space="preserve"> los cuales este</w:t>
      </w:r>
    </w:p>
    <w:p w14:paraId="6024FE61" w14:textId="1CC923BE" w:rsidR="00CE116A" w:rsidRPr="00641E80" w:rsidRDefault="00CE116A" w:rsidP="00A467BC">
      <w:pPr>
        <w:spacing w:after="0" w:line="360" w:lineRule="auto"/>
        <w:ind w:left="720"/>
        <w:rPr>
          <w:i/>
          <w:iCs/>
          <w:sz w:val="20"/>
          <w:szCs w:val="20"/>
        </w:rPr>
      </w:pPr>
      <w:r w:rsidRPr="00641E80">
        <w:rPr>
          <w:i/>
          <w:iCs/>
          <w:sz w:val="20"/>
          <w:szCs w:val="20"/>
        </w:rPr>
        <w:t>…”</w:t>
      </w:r>
    </w:p>
    <w:p w14:paraId="0A33C518" w14:textId="77777777" w:rsidR="00475BC9" w:rsidRPr="00641E80" w:rsidRDefault="00475BC9" w:rsidP="00A467BC">
      <w:pPr>
        <w:spacing w:after="0" w:line="360" w:lineRule="auto"/>
      </w:pPr>
    </w:p>
    <w:p w14:paraId="4BBC7308" w14:textId="206BA10D" w:rsidR="00CE116A" w:rsidRPr="00641E80" w:rsidRDefault="00CE116A" w:rsidP="00A467BC">
      <w:pPr>
        <w:spacing w:after="0" w:line="360" w:lineRule="auto"/>
      </w:pPr>
      <w:r w:rsidRPr="00641E80">
        <w:t>ii. Diez hojas que contienen los estados de cuenta bancarios.</w:t>
      </w:r>
    </w:p>
    <w:p w14:paraId="070821B0" w14:textId="77777777" w:rsidR="00CE116A" w:rsidRPr="00641E80" w:rsidRDefault="00CE116A" w:rsidP="00A467BC">
      <w:pPr>
        <w:spacing w:after="0" w:line="360" w:lineRule="auto"/>
      </w:pPr>
    </w:p>
    <w:p w14:paraId="6C57E7BA" w14:textId="59EC9E15" w:rsidR="00CE116A" w:rsidRPr="00641E80" w:rsidRDefault="00CE116A" w:rsidP="00A467BC">
      <w:pPr>
        <w:spacing w:after="0" w:line="360" w:lineRule="auto"/>
      </w:pPr>
      <w:r w:rsidRPr="00641E80">
        <w:t>iii. Acta de la Octava Sesión Extraordinaria del Comité de Transparencia, del trece de mayo de dos mil veinticinco, donde</w:t>
      </w:r>
      <w:r w:rsidR="00151ED9" w:rsidRPr="00641E80">
        <w:t xml:space="preserve"> se confirma la clasificación de la información como confidencial del número de cuenta bancaria.</w:t>
      </w:r>
    </w:p>
    <w:p w14:paraId="6021B3C5" w14:textId="77777777" w:rsidR="00262C5B" w:rsidRPr="00641E80" w:rsidRDefault="00262C5B" w:rsidP="00A467BC">
      <w:pPr>
        <w:spacing w:after="0" w:line="360" w:lineRule="auto"/>
      </w:pPr>
    </w:p>
    <w:p w14:paraId="7E7FBB31" w14:textId="68020061" w:rsidR="00E22EA8" w:rsidRPr="00641E80" w:rsidRDefault="002207FA" w:rsidP="00A467BC">
      <w:pPr>
        <w:pStyle w:val="Ttulo2"/>
        <w:spacing w:before="0" w:after="0" w:line="360" w:lineRule="auto"/>
        <w:rPr>
          <w:sz w:val="22"/>
          <w:szCs w:val="22"/>
        </w:rPr>
      </w:pPr>
      <w:bookmarkStart w:id="5" w:name="_Toc206684892"/>
      <w:r w:rsidRPr="00641E80">
        <w:rPr>
          <w:sz w:val="22"/>
          <w:szCs w:val="22"/>
        </w:rPr>
        <w:t>III</w:t>
      </w:r>
      <w:r w:rsidR="00E22EA8" w:rsidRPr="00641E80">
        <w:rPr>
          <w:sz w:val="22"/>
          <w:szCs w:val="22"/>
        </w:rPr>
        <w:t>. Interposición del Recurso de Revisión</w:t>
      </w:r>
      <w:bookmarkEnd w:id="5"/>
    </w:p>
    <w:p w14:paraId="053D45CF" w14:textId="77777777" w:rsidR="00E22EA8" w:rsidRPr="00641E80" w:rsidRDefault="00E22EA8" w:rsidP="00A467BC">
      <w:pPr>
        <w:spacing w:after="0" w:line="360" w:lineRule="auto"/>
        <w:rPr>
          <w:b/>
        </w:rPr>
      </w:pPr>
    </w:p>
    <w:p w14:paraId="355C8CC6" w14:textId="176E3174" w:rsidR="009C5A71" w:rsidRPr="00641E80" w:rsidRDefault="00083169" w:rsidP="00A467BC">
      <w:pPr>
        <w:spacing w:after="0" w:line="360" w:lineRule="auto"/>
        <w:rPr>
          <w:bCs/>
        </w:rPr>
      </w:pPr>
      <w:r w:rsidRPr="00641E80">
        <w:rPr>
          <w:bCs/>
        </w:rPr>
        <w:t>El</w:t>
      </w:r>
      <w:r w:rsidR="008E5E71" w:rsidRPr="00641E80">
        <w:rPr>
          <w:bCs/>
        </w:rPr>
        <w:t xml:space="preserve"> </w:t>
      </w:r>
      <w:r w:rsidR="00227F8B" w:rsidRPr="00641E80">
        <w:t>veinti</w:t>
      </w:r>
      <w:r w:rsidR="00F44350" w:rsidRPr="00641E80">
        <w:t>siete</w:t>
      </w:r>
      <w:r w:rsidR="00227F8B" w:rsidRPr="00641E80">
        <w:t xml:space="preserve"> de mayo</w:t>
      </w:r>
      <w:r w:rsidR="00C2045C" w:rsidRPr="00641E80">
        <w:t xml:space="preserve"> </w:t>
      </w:r>
      <w:r w:rsidR="008E5E71" w:rsidRPr="00641E80">
        <w:t>de dos mil veinticinco</w:t>
      </w:r>
      <w:r w:rsidR="00E22EA8" w:rsidRPr="00641E80">
        <w:rPr>
          <w:bCs/>
        </w:rPr>
        <w:t xml:space="preserve">, se recibió en este Instituto, a través del </w:t>
      </w:r>
      <w:r w:rsidR="00E22EA8" w:rsidRPr="00641E80">
        <w:rPr>
          <w:bCs/>
          <w:lang w:val="es-ES"/>
        </w:rPr>
        <w:t>Sistema de Acceso a la Información Mexiquense (SAIMEX)</w:t>
      </w:r>
      <w:r w:rsidR="00E22EA8" w:rsidRPr="00641E80">
        <w:rPr>
          <w:bCs/>
        </w:rPr>
        <w:t xml:space="preserve">, </w:t>
      </w:r>
      <w:r w:rsidR="009019A8" w:rsidRPr="00641E80">
        <w:rPr>
          <w:bCs/>
        </w:rPr>
        <w:t xml:space="preserve">el </w:t>
      </w:r>
      <w:r w:rsidR="00E22EA8" w:rsidRPr="00641E80">
        <w:rPr>
          <w:bCs/>
        </w:rPr>
        <w:t>Recurso de Revisión interpuesto por la p</w:t>
      </w:r>
      <w:r w:rsidRPr="00641E80">
        <w:rPr>
          <w:bCs/>
        </w:rPr>
        <w:t>ersona</w:t>
      </w:r>
      <w:r w:rsidR="00E22EA8" w:rsidRPr="00641E80">
        <w:rPr>
          <w:bCs/>
        </w:rPr>
        <w:t xml:space="preserve"> Recurrente, en contra de la respuesta por el Sujeto Obligado, a la solicitud de información</w:t>
      </w:r>
      <w:r w:rsidR="00F43789" w:rsidRPr="00641E80">
        <w:rPr>
          <w:rFonts w:eastAsia="Calibri" w:cs="Times New Roman"/>
        </w:rPr>
        <w:t xml:space="preserve">, </w:t>
      </w:r>
      <w:r w:rsidR="00E22EA8" w:rsidRPr="00641E80">
        <w:rPr>
          <w:bCs/>
        </w:rPr>
        <w:t>en los siguientes términos:</w:t>
      </w:r>
    </w:p>
    <w:p w14:paraId="499DDBDB" w14:textId="77777777" w:rsidR="008E5E71" w:rsidRPr="00641E80" w:rsidRDefault="008E5E71" w:rsidP="00A467BC">
      <w:pPr>
        <w:spacing w:after="0" w:line="360" w:lineRule="auto"/>
        <w:ind w:left="567" w:right="567"/>
        <w:rPr>
          <w:b/>
          <w:bCs/>
          <w:i/>
          <w:sz w:val="20"/>
          <w:szCs w:val="20"/>
        </w:rPr>
      </w:pPr>
    </w:p>
    <w:p w14:paraId="550AD8D7" w14:textId="77777777" w:rsidR="00654DDF" w:rsidRPr="00641E80" w:rsidRDefault="00654DDF" w:rsidP="00A467BC">
      <w:pPr>
        <w:spacing w:after="0" w:line="360" w:lineRule="auto"/>
        <w:ind w:left="567" w:right="567"/>
        <w:rPr>
          <w:b/>
          <w:bCs/>
          <w:i/>
          <w:sz w:val="20"/>
          <w:szCs w:val="20"/>
        </w:rPr>
      </w:pPr>
    </w:p>
    <w:p w14:paraId="1B2CCD45" w14:textId="1F34B3A9" w:rsidR="00E22EA8" w:rsidRPr="00641E80" w:rsidRDefault="00E12804" w:rsidP="00A467BC">
      <w:pPr>
        <w:spacing w:after="0" w:line="360" w:lineRule="auto"/>
        <w:ind w:left="567" w:right="567"/>
        <w:rPr>
          <w:bCs/>
          <w:i/>
          <w:sz w:val="20"/>
          <w:szCs w:val="20"/>
        </w:rPr>
      </w:pPr>
      <w:r w:rsidRPr="00641E80">
        <w:rPr>
          <w:b/>
          <w:bCs/>
          <w:i/>
          <w:sz w:val="20"/>
          <w:szCs w:val="20"/>
        </w:rPr>
        <w:lastRenderedPageBreak/>
        <w:t>‘’</w:t>
      </w:r>
      <w:r w:rsidR="00E22EA8" w:rsidRPr="00641E80">
        <w:rPr>
          <w:b/>
          <w:bCs/>
          <w:i/>
          <w:sz w:val="20"/>
          <w:szCs w:val="20"/>
        </w:rPr>
        <w:t>ACTO IMPUGNADO</w:t>
      </w:r>
    </w:p>
    <w:p w14:paraId="20CB87D1" w14:textId="60B022A4" w:rsidR="00E22EA8" w:rsidRPr="00641E80" w:rsidRDefault="00F44350" w:rsidP="00A467BC">
      <w:pPr>
        <w:spacing w:after="0" w:line="360" w:lineRule="auto"/>
        <w:ind w:left="567" w:right="567"/>
        <w:rPr>
          <w:i/>
          <w:sz w:val="20"/>
          <w:szCs w:val="20"/>
        </w:rPr>
      </w:pPr>
      <w:proofErr w:type="gramStart"/>
      <w:r w:rsidRPr="00641E80">
        <w:rPr>
          <w:i/>
          <w:iCs/>
          <w:sz w:val="20"/>
          <w:szCs w:val="20"/>
        </w:rPr>
        <w:t>información</w:t>
      </w:r>
      <w:proofErr w:type="gramEnd"/>
      <w:r w:rsidRPr="00641E80">
        <w:rPr>
          <w:i/>
          <w:iCs/>
          <w:sz w:val="20"/>
          <w:szCs w:val="20"/>
        </w:rPr>
        <w:t xml:space="preserve"> incompleta</w:t>
      </w:r>
      <w:r w:rsidR="00E22EA8" w:rsidRPr="00641E80">
        <w:rPr>
          <w:i/>
          <w:iCs/>
          <w:sz w:val="20"/>
          <w:szCs w:val="20"/>
        </w:rPr>
        <w:t>”</w:t>
      </w:r>
      <w:r w:rsidR="002D6CA6" w:rsidRPr="00641E80">
        <w:rPr>
          <w:i/>
          <w:iCs/>
          <w:sz w:val="20"/>
          <w:szCs w:val="20"/>
        </w:rPr>
        <w:t xml:space="preserve"> (Sic.)</w:t>
      </w:r>
    </w:p>
    <w:p w14:paraId="3B2615CC" w14:textId="77777777" w:rsidR="00E22EA8" w:rsidRPr="00641E80" w:rsidRDefault="00E22EA8" w:rsidP="00A467BC">
      <w:pPr>
        <w:spacing w:after="0" w:line="360" w:lineRule="auto"/>
        <w:ind w:left="567" w:right="567"/>
        <w:rPr>
          <w:i/>
          <w:sz w:val="20"/>
          <w:szCs w:val="20"/>
        </w:rPr>
      </w:pPr>
    </w:p>
    <w:p w14:paraId="3F1F07C7" w14:textId="49F2AE96" w:rsidR="00E22EA8" w:rsidRPr="00641E80" w:rsidRDefault="00E12804" w:rsidP="00A467BC">
      <w:pPr>
        <w:spacing w:after="0" w:line="360" w:lineRule="auto"/>
        <w:ind w:left="567" w:right="567"/>
        <w:rPr>
          <w:b/>
          <w:i/>
          <w:sz w:val="20"/>
          <w:szCs w:val="20"/>
        </w:rPr>
      </w:pPr>
      <w:r w:rsidRPr="00641E80">
        <w:rPr>
          <w:b/>
          <w:i/>
          <w:sz w:val="20"/>
          <w:szCs w:val="20"/>
        </w:rPr>
        <w:t>‘’</w:t>
      </w:r>
      <w:r w:rsidR="00E22EA8" w:rsidRPr="00641E80">
        <w:rPr>
          <w:b/>
          <w:i/>
          <w:sz w:val="20"/>
          <w:szCs w:val="20"/>
        </w:rPr>
        <w:t>RAZONES O MOTIVOS DE LA INCONFORMIDAD</w:t>
      </w:r>
    </w:p>
    <w:p w14:paraId="31B716B5" w14:textId="03087634" w:rsidR="00E12804" w:rsidRPr="00641E80" w:rsidRDefault="00F44350" w:rsidP="00A467BC">
      <w:pPr>
        <w:spacing w:after="0" w:line="360" w:lineRule="auto"/>
        <w:ind w:left="567" w:right="567"/>
        <w:rPr>
          <w:i/>
          <w:sz w:val="20"/>
          <w:szCs w:val="20"/>
        </w:rPr>
      </w:pPr>
      <w:proofErr w:type="gramStart"/>
      <w:r w:rsidRPr="00641E80">
        <w:rPr>
          <w:i/>
          <w:iCs/>
          <w:sz w:val="20"/>
          <w:szCs w:val="20"/>
        </w:rPr>
        <w:t>el</w:t>
      </w:r>
      <w:proofErr w:type="gramEnd"/>
      <w:r w:rsidRPr="00641E80">
        <w:rPr>
          <w:i/>
          <w:iCs/>
          <w:sz w:val="20"/>
          <w:szCs w:val="20"/>
        </w:rPr>
        <w:t xml:space="preserve"> escrito de respuesta </w:t>
      </w:r>
      <w:proofErr w:type="spellStart"/>
      <w:r w:rsidRPr="00641E80">
        <w:rPr>
          <w:i/>
          <w:iCs/>
          <w:sz w:val="20"/>
          <w:szCs w:val="20"/>
        </w:rPr>
        <w:t>esta</w:t>
      </w:r>
      <w:proofErr w:type="spellEnd"/>
      <w:r w:rsidRPr="00641E80">
        <w:rPr>
          <w:i/>
          <w:iCs/>
          <w:sz w:val="20"/>
          <w:szCs w:val="20"/>
        </w:rPr>
        <w:t xml:space="preserve"> incompleto, suponemos le falta la segunda hoja en la que parece ser explica la procedencia de la información que entrega y por ende no se aprecia o no se entiende como o cuales fueron las dispersiones de la </w:t>
      </w:r>
      <w:proofErr w:type="spellStart"/>
      <w:r w:rsidRPr="00641E80">
        <w:rPr>
          <w:i/>
          <w:iCs/>
          <w:sz w:val="20"/>
          <w:szCs w:val="20"/>
        </w:rPr>
        <w:t>nomina</w:t>
      </w:r>
      <w:proofErr w:type="spellEnd"/>
      <w:r w:rsidRPr="00641E80">
        <w:rPr>
          <w:i/>
          <w:iCs/>
          <w:sz w:val="20"/>
          <w:szCs w:val="20"/>
        </w:rPr>
        <w:t xml:space="preserve"> solicitada.</w:t>
      </w:r>
      <w:r w:rsidR="003C5F59" w:rsidRPr="00641E80">
        <w:rPr>
          <w:i/>
          <w:iCs/>
          <w:sz w:val="20"/>
          <w:szCs w:val="20"/>
        </w:rPr>
        <w:t>”</w:t>
      </w:r>
      <w:r w:rsidR="002D6CA6" w:rsidRPr="00641E80">
        <w:rPr>
          <w:i/>
          <w:iCs/>
          <w:sz w:val="20"/>
          <w:szCs w:val="20"/>
        </w:rPr>
        <w:t xml:space="preserve"> (Sic.)</w:t>
      </w:r>
    </w:p>
    <w:p w14:paraId="333C81B3" w14:textId="77777777" w:rsidR="003E4CFD" w:rsidRPr="00641E80" w:rsidRDefault="003E4CFD" w:rsidP="00A467BC">
      <w:pPr>
        <w:spacing w:after="0" w:line="360" w:lineRule="auto"/>
        <w:ind w:right="567"/>
        <w:rPr>
          <w:iCs/>
        </w:rPr>
      </w:pPr>
    </w:p>
    <w:p w14:paraId="009DB65C" w14:textId="2D236FF1" w:rsidR="00E22EA8" w:rsidRPr="00641E80" w:rsidRDefault="002207FA" w:rsidP="00A467BC">
      <w:pPr>
        <w:pStyle w:val="Ttulo2"/>
        <w:spacing w:before="0" w:after="0" w:line="360" w:lineRule="auto"/>
        <w:rPr>
          <w:sz w:val="22"/>
          <w:szCs w:val="22"/>
        </w:rPr>
      </w:pPr>
      <w:bookmarkStart w:id="6" w:name="_Toc206684893"/>
      <w:r w:rsidRPr="00641E80">
        <w:rPr>
          <w:sz w:val="22"/>
          <w:szCs w:val="22"/>
        </w:rPr>
        <w:t>I</w:t>
      </w:r>
      <w:r w:rsidR="00E22EA8" w:rsidRPr="00641E80">
        <w:rPr>
          <w:sz w:val="22"/>
          <w:szCs w:val="22"/>
        </w:rPr>
        <w:t>V. Trámite del Recurso de Revisión ante este Instituto</w:t>
      </w:r>
      <w:bookmarkEnd w:id="6"/>
    </w:p>
    <w:p w14:paraId="5C9B63F8" w14:textId="77777777" w:rsidR="009B2DAB" w:rsidRPr="00641E80" w:rsidRDefault="009B2DAB" w:rsidP="00A467BC">
      <w:pPr>
        <w:spacing w:after="0" w:line="360" w:lineRule="auto"/>
        <w:rPr>
          <w:b/>
          <w:bCs/>
        </w:rPr>
      </w:pPr>
    </w:p>
    <w:p w14:paraId="173768ED" w14:textId="34CA1363" w:rsidR="00E22EA8" w:rsidRPr="00641E80" w:rsidRDefault="00E22EA8" w:rsidP="00A467BC">
      <w:pPr>
        <w:spacing w:after="0" w:line="360" w:lineRule="auto"/>
        <w:rPr>
          <w:bCs/>
        </w:rPr>
      </w:pPr>
      <w:r w:rsidRPr="00641E80">
        <w:rPr>
          <w:b/>
          <w:bCs/>
        </w:rPr>
        <w:t>a) Turno del Medio de Impugnación.</w:t>
      </w:r>
      <w:r w:rsidR="000A706F" w:rsidRPr="00641E80">
        <w:rPr>
          <w:bCs/>
        </w:rPr>
        <w:t xml:space="preserve"> </w:t>
      </w:r>
      <w:r w:rsidR="003C5F59" w:rsidRPr="00641E80">
        <w:rPr>
          <w:bCs/>
        </w:rPr>
        <w:t xml:space="preserve">El </w:t>
      </w:r>
      <w:r w:rsidR="00BF6569" w:rsidRPr="00641E80">
        <w:rPr>
          <w:bCs/>
        </w:rPr>
        <w:t>veinti</w:t>
      </w:r>
      <w:r w:rsidR="00B021E5" w:rsidRPr="00641E80">
        <w:rPr>
          <w:bCs/>
        </w:rPr>
        <w:t>siete</w:t>
      </w:r>
      <w:r w:rsidR="00BF6569" w:rsidRPr="00641E80">
        <w:rPr>
          <w:bCs/>
        </w:rPr>
        <w:t xml:space="preserve"> de mayo</w:t>
      </w:r>
      <w:r w:rsidR="00E64E18" w:rsidRPr="00641E80">
        <w:t xml:space="preserve"> de dos mil veinticinco</w:t>
      </w:r>
      <w:r w:rsidRPr="00641E80">
        <w:rPr>
          <w:bCs/>
        </w:rPr>
        <w:t xml:space="preserve">, el </w:t>
      </w:r>
      <w:r w:rsidRPr="00641E80">
        <w:rPr>
          <w:lang w:val="es-ES"/>
        </w:rPr>
        <w:t>Sistema de Acceso a la Información Mexiquense (SAIMEX),</w:t>
      </w:r>
      <w:r w:rsidRPr="00641E80">
        <w:rPr>
          <w:bCs/>
        </w:rPr>
        <w:t xml:space="preserve"> asignó el número de expediente </w:t>
      </w:r>
      <w:r w:rsidR="002D6CA6" w:rsidRPr="00641E80">
        <w:rPr>
          <w:b/>
          <w:bCs/>
        </w:rPr>
        <w:t>0</w:t>
      </w:r>
      <w:r w:rsidR="00B021E5" w:rsidRPr="00641E80">
        <w:rPr>
          <w:b/>
          <w:bCs/>
        </w:rPr>
        <w:t>6091</w:t>
      </w:r>
      <w:r w:rsidR="000D392E" w:rsidRPr="00641E80">
        <w:rPr>
          <w:b/>
          <w:bCs/>
        </w:rPr>
        <w:t>/INFOEM/IP/RR/2025</w:t>
      </w:r>
      <w:r w:rsidRPr="00641E80">
        <w:rPr>
          <w:bCs/>
        </w:rPr>
        <w:t xml:space="preserve">, al medio de impugnación que nos ocupa, con base en el sistema aprobado por el Pleno de este </w:t>
      </w:r>
      <w:r w:rsidR="00B65BCA" w:rsidRPr="00641E80">
        <w:rPr>
          <w:bCs/>
        </w:rPr>
        <w:t>Organismo</w:t>
      </w:r>
      <w:r w:rsidRPr="00641E80">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41E80" w:rsidRDefault="005914EE" w:rsidP="00A467BC">
      <w:pPr>
        <w:spacing w:after="0" w:line="360" w:lineRule="auto"/>
        <w:rPr>
          <w:b/>
          <w:bCs/>
        </w:rPr>
      </w:pPr>
    </w:p>
    <w:p w14:paraId="61891480" w14:textId="0EDF8D7D" w:rsidR="00E22EA8" w:rsidRPr="00641E80" w:rsidRDefault="00E22EA8" w:rsidP="00A467BC">
      <w:pPr>
        <w:spacing w:after="0" w:line="360" w:lineRule="auto"/>
      </w:pPr>
      <w:r w:rsidRPr="00641E80">
        <w:rPr>
          <w:b/>
          <w:bCs/>
        </w:rPr>
        <w:t>b) Admisión del Recurso de Revisión</w:t>
      </w:r>
      <w:r w:rsidRPr="00641E80">
        <w:rPr>
          <w:b/>
          <w:bCs/>
          <w:lang w:val="es-ES_tradnl"/>
        </w:rPr>
        <w:t xml:space="preserve">. </w:t>
      </w:r>
      <w:r w:rsidR="003C5F59" w:rsidRPr="00641E80">
        <w:t xml:space="preserve">El </w:t>
      </w:r>
      <w:r w:rsidR="00B021E5" w:rsidRPr="00641E80">
        <w:t>treinta</w:t>
      </w:r>
      <w:r w:rsidR="00BF6569" w:rsidRPr="00641E80">
        <w:t xml:space="preserve"> de mayo</w:t>
      </w:r>
      <w:r w:rsidR="00E64E18" w:rsidRPr="00641E80">
        <w:t xml:space="preserve"> de dos mil veinticinco</w:t>
      </w:r>
      <w:r w:rsidRPr="00641E80">
        <w:rPr>
          <w:bCs/>
          <w:lang w:val="es-ES_tradnl"/>
        </w:rPr>
        <w:t xml:space="preserve">, se acordó la admisión del Recurso de Revisión interpuesto por </w:t>
      </w:r>
      <w:r w:rsidR="00261B92" w:rsidRPr="00641E80">
        <w:rPr>
          <w:bCs/>
          <w:lang w:val="es-ES_tradnl"/>
        </w:rPr>
        <w:t>la persona</w:t>
      </w:r>
      <w:r w:rsidRPr="00641E8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41E80">
        <w:rPr>
          <w:bCs/>
          <w:lang w:val="es-ES_tradnl"/>
        </w:rPr>
        <w:t>el</w:t>
      </w:r>
      <w:r w:rsidR="00BF381B" w:rsidRPr="00641E80">
        <w:rPr>
          <w:bCs/>
          <w:lang w:val="es-ES_tradnl"/>
        </w:rPr>
        <w:t xml:space="preserve"> </w:t>
      </w:r>
      <w:r w:rsidR="00B021E5" w:rsidRPr="00641E80">
        <w:rPr>
          <w:bCs/>
          <w:lang w:val="es-ES_tradnl"/>
        </w:rPr>
        <w:t xml:space="preserve">dos de junio del </w:t>
      </w:r>
      <w:r w:rsidR="00BF381B" w:rsidRPr="00641E80">
        <w:rPr>
          <w:bCs/>
          <w:lang w:val="es-ES_tradnl"/>
        </w:rPr>
        <w:t xml:space="preserve">mismo </w:t>
      </w:r>
      <w:r w:rsidR="00B021E5" w:rsidRPr="00641E80">
        <w:rPr>
          <w:bCs/>
          <w:lang w:val="es-ES_tradnl"/>
        </w:rPr>
        <w:t>año</w:t>
      </w:r>
      <w:r w:rsidRPr="00641E8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416C1B87" w14:textId="339DC484" w:rsidR="00A7749F" w:rsidRPr="00641E80" w:rsidRDefault="000410E6" w:rsidP="00A467BC">
      <w:pPr>
        <w:spacing w:after="0" w:line="360" w:lineRule="auto"/>
      </w:pPr>
      <w:r w:rsidRPr="00641E80">
        <w:rPr>
          <w:b/>
        </w:rPr>
        <w:lastRenderedPageBreak/>
        <w:t>c) Informe Justificado</w:t>
      </w:r>
      <w:r w:rsidR="00463218" w:rsidRPr="00641E80">
        <w:rPr>
          <w:b/>
        </w:rPr>
        <w:t xml:space="preserve">. </w:t>
      </w:r>
      <w:r w:rsidR="00BF6569" w:rsidRPr="00641E80">
        <w:t>El cinco</w:t>
      </w:r>
      <w:r w:rsidR="00463218" w:rsidRPr="00641E80">
        <w:t xml:space="preserve"> de junio de dos mil veinticinco, se recibió, a través del Sistema de Acceso a la Información Mexiquense (SAIMEX), el Informe Justificado d</w:t>
      </w:r>
      <w:r w:rsidR="00A7749F" w:rsidRPr="00641E80">
        <w:t>el Sujeto Obligado, a través de</w:t>
      </w:r>
      <w:r w:rsidR="00AA07B4" w:rsidRPr="00641E80">
        <w:t xml:space="preserve">l oficio número OPDM/OM/SF/602/2025, del tres de junio de dos mil veinticinco, suscrito por el Subdirector de Finanzas y dirigido a la Titular de la Unidad de Transparencia, por medio del cual </w:t>
      </w:r>
      <w:r w:rsidR="00151A25" w:rsidRPr="00641E80">
        <w:t xml:space="preserve">ratificó la respuesta y </w:t>
      </w:r>
      <w:r w:rsidR="00AA07B4" w:rsidRPr="00641E80">
        <w:t>mencionó lo siguiente:</w:t>
      </w:r>
    </w:p>
    <w:p w14:paraId="73F31D2A" w14:textId="77777777" w:rsidR="00AA07B4" w:rsidRPr="00641E80" w:rsidRDefault="00AA07B4" w:rsidP="00A467BC">
      <w:pPr>
        <w:spacing w:after="0" w:line="360" w:lineRule="auto"/>
      </w:pPr>
    </w:p>
    <w:p w14:paraId="77F4FFF5" w14:textId="58BD68FA" w:rsidR="00AA07B4" w:rsidRPr="00641E80" w:rsidRDefault="00AA07B4" w:rsidP="00A467BC">
      <w:pPr>
        <w:spacing w:after="0" w:line="360" w:lineRule="auto"/>
        <w:ind w:left="720"/>
        <w:rPr>
          <w:i/>
          <w:iCs/>
          <w:sz w:val="20"/>
          <w:szCs w:val="20"/>
        </w:rPr>
      </w:pPr>
      <w:r w:rsidRPr="00641E80">
        <w:rPr>
          <w:i/>
          <w:iCs/>
          <w:sz w:val="20"/>
          <w:szCs w:val="20"/>
        </w:rPr>
        <w:t>“…</w:t>
      </w:r>
      <w:r w:rsidR="00151A25" w:rsidRPr="00641E80">
        <w:rPr>
          <w:i/>
          <w:iCs/>
          <w:sz w:val="20"/>
          <w:szCs w:val="20"/>
        </w:rPr>
        <w:t xml:space="preserve">Si bien es cierto que los estados de cuenta contienen </w:t>
      </w:r>
      <w:proofErr w:type="spellStart"/>
      <w:r w:rsidR="00151A25" w:rsidRPr="00641E80">
        <w:rPr>
          <w:i/>
          <w:iCs/>
          <w:sz w:val="20"/>
          <w:szCs w:val="20"/>
        </w:rPr>
        <w:t>mas</w:t>
      </w:r>
      <w:proofErr w:type="spellEnd"/>
      <w:r w:rsidR="00151A25" w:rsidRPr="00641E80">
        <w:rPr>
          <w:i/>
          <w:iCs/>
          <w:sz w:val="20"/>
          <w:szCs w:val="20"/>
        </w:rPr>
        <w:t xml:space="preserve"> fojas, las cuales no se remitieron, obedece a que pertenecen y datan a otro periodo, sin embargo, se muestra con los estados de cuenta remitidos únicamente el periodo solicitado, de lo anterior, si requiere de alguna otra información tendría que solicitarlo nuevamente detallando puntualmente la información requerida.</w:t>
      </w:r>
    </w:p>
    <w:p w14:paraId="148D59CF" w14:textId="7C6AAB50" w:rsidR="007A5BF6" w:rsidRPr="00641E80" w:rsidRDefault="00151A25" w:rsidP="00A467BC">
      <w:pPr>
        <w:spacing w:after="0" w:line="360" w:lineRule="auto"/>
        <w:ind w:left="720"/>
        <w:rPr>
          <w:i/>
          <w:iCs/>
          <w:sz w:val="20"/>
          <w:szCs w:val="20"/>
        </w:rPr>
      </w:pPr>
      <w:r w:rsidRPr="00641E80">
        <w:rPr>
          <w:i/>
          <w:iCs/>
          <w:sz w:val="20"/>
          <w:szCs w:val="20"/>
        </w:rPr>
        <w:t>…”</w:t>
      </w:r>
      <w:r w:rsidR="00A7749F" w:rsidRPr="00641E80">
        <w:t xml:space="preserve"> </w:t>
      </w:r>
    </w:p>
    <w:p w14:paraId="717FAB35" w14:textId="130B9F10" w:rsidR="00D55A56" w:rsidRPr="00641E80" w:rsidRDefault="00D55A56" w:rsidP="00A467BC">
      <w:pPr>
        <w:spacing w:after="0" w:line="360" w:lineRule="auto"/>
      </w:pPr>
    </w:p>
    <w:p w14:paraId="5C110289" w14:textId="511ED67B" w:rsidR="005673D1" w:rsidRPr="00641E80" w:rsidRDefault="00463218" w:rsidP="00A467BC">
      <w:pPr>
        <w:spacing w:after="0" w:line="360" w:lineRule="auto"/>
        <w:rPr>
          <w:rFonts w:cs="Tahoma"/>
          <w:bCs/>
          <w:i/>
          <w:lang w:val="es-ES"/>
        </w:rPr>
      </w:pPr>
      <w:r w:rsidRPr="00641E80">
        <w:rPr>
          <w:b/>
        </w:rPr>
        <w:t>d) Vista del Informe Justificado.</w:t>
      </w:r>
      <w:r w:rsidR="00995223" w:rsidRPr="00641E80">
        <w:t xml:space="preserve"> El </w:t>
      </w:r>
      <w:r w:rsidR="00E66733" w:rsidRPr="00641E80">
        <w:t>diez de julio</w:t>
      </w:r>
      <w:r w:rsidRPr="00641E80">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641E80" w:rsidRDefault="00B37A6D" w:rsidP="00A467BC">
      <w:pPr>
        <w:spacing w:after="0" w:line="360" w:lineRule="auto"/>
        <w:rPr>
          <w:b/>
          <w:color w:val="000000"/>
        </w:rPr>
      </w:pPr>
      <w:bookmarkStart w:id="7" w:name="_Hlk182976945"/>
    </w:p>
    <w:p w14:paraId="0E56F2A7" w14:textId="26ABE159" w:rsidR="00B37A6D" w:rsidRPr="00641E80" w:rsidRDefault="00D55A56" w:rsidP="00A467BC">
      <w:pPr>
        <w:spacing w:after="0" w:line="360" w:lineRule="auto"/>
        <w:rPr>
          <w:b/>
          <w:color w:val="000000"/>
        </w:rPr>
      </w:pPr>
      <w:r w:rsidRPr="00641E80">
        <w:rPr>
          <w:b/>
          <w:color w:val="000000"/>
        </w:rPr>
        <w:t>e</w:t>
      </w:r>
      <w:r w:rsidR="00B37A6D" w:rsidRPr="00641E80">
        <w:rPr>
          <w:b/>
          <w:color w:val="000000"/>
        </w:rPr>
        <w:t xml:space="preserve">) Ampliación de plazo para resolver. </w:t>
      </w:r>
      <w:r w:rsidR="00B37A6D" w:rsidRPr="00641E80">
        <w:rPr>
          <w:color w:val="000000"/>
        </w:rPr>
        <w:t xml:space="preserve">El </w:t>
      </w:r>
      <w:r w:rsidR="00E66733" w:rsidRPr="00641E80">
        <w:rPr>
          <w:color w:val="000000"/>
        </w:rPr>
        <w:t>diez de julio</w:t>
      </w:r>
      <w:r w:rsidR="00B37A6D" w:rsidRPr="00641E80">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FE3404" w:rsidRPr="00641E80">
        <w:rPr>
          <w:color w:val="000000"/>
        </w:rPr>
        <w:t xml:space="preserve"> razonable</w:t>
      </w:r>
      <w:r w:rsidR="00B37A6D" w:rsidRPr="00641E80">
        <w:rPr>
          <w:color w:val="000000"/>
        </w:rPr>
        <w:t>, el plazo para resolver el Recurso de Revisión que nos ocupa; acto que fue notificado a las partes el mismo día, mediante el Sistema de Acceso a la Información Mexiquense (SAIMEX).</w:t>
      </w:r>
    </w:p>
    <w:p w14:paraId="1220E37C" w14:textId="662E33A3" w:rsidR="003C5FE0" w:rsidRPr="00641E80" w:rsidRDefault="00D55A56" w:rsidP="00A467BC">
      <w:pPr>
        <w:spacing w:after="0" w:line="360" w:lineRule="auto"/>
        <w:contextualSpacing/>
      </w:pPr>
      <w:r w:rsidRPr="00641E80">
        <w:rPr>
          <w:rFonts w:eastAsia="Batang" w:cs="Tahoma"/>
          <w:b/>
        </w:rPr>
        <w:lastRenderedPageBreak/>
        <w:t>f</w:t>
      </w:r>
      <w:r w:rsidR="003C5FE0" w:rsidRPr="00641E80">
        <w:rPr>
          <w:rFonts w:eastAsia="Batang" w:cs="Tahoma"/>
          <w:b/>
        </w:rPr>
        <w:t xml:space="preserve">) </w:t>
      </w:r>
      <w:r w:rsidR="00002B20" w:rsidRPr="00641E80">
        <w:rPr>
          <w:rFonts w:eastAsia="Times New Roman" w:cs="Tahoma"/>
          <w:b/>
          <w:szCs w:val="24"/>
          <w:lang w:eastAsia="es-ES"/>
        </w:rPr>
        <w:t>Cierre de instrucción.</w:t>
      </w:r>
      <w:r w:rsidR="00C06C06" w:rsidRPr="00641E80">
        <w:rPr>
          <w:rFonts w:eastAsia="Times New Roman" w:cs="Tahoma"/>
          <w:szCs w:val="24"/>
          <w:lang w:eastAsia="es-ES"/>
        </w:rPr>
        <w:t xml:space="preserve"> El </w:t>
      </w:r>
      <w:r w:rsidR="00DB1D8F">
        <w:rPr>
          <w:rFonts w:eastAsia="Times New Roman" w:cs="Tahoma"/>
          <w:szCs w:val="24"/>
          <w:lang w:eastAsia="es-ES"/>
        </w:rPr>
        <w:t>catorce</w:t>
      </w:r>
      <w:r w:rsidRPr="00641E80">
        <w:rPr>
          <w:rFonts w:eastAsia="Times New Roman" w:cs="Tahoma"/>
          <w:szCs w:val="24"/>
          <w:lang w:eastAsia="es-ES"/>
        </w:rPr>
        <w:t xml:space="preserve"> de agosto</w:t>
      </w:r>
      <w:r w:rsidR="00002B20" w:rsidRPr="00641E8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41E80">
        <w:rPr>
          <w:lang w:val="es-ES"/>
        </w:rPr>
        <w:t>acto que fue notificado a las partes, mediante el Sistema de Acceso a la Información M</w:t>
      </w:r>
      <w:r w:rsidR="00DB1D8F">
        <w:rPr>
          <w:lang w:val="es-ES"/>
        </w:rPr>
        <w:t>exiquense (SAIMEX), el dieciocho del mismo mes y año</w:t>
      </w:r>
      <w:r w:rsidR="00002B20" w:rsidRPr="00641E80">
        <w:rPr>
          <w:lang w:val="es-ES"/>
        </w:rPr>
        <w:t>.</w:t>
      </w:r>
    </w:p>
    <w:bookmarkEnd w:id="7"/>
    <w:p w14:paraId="08D98E1D" w14:textId="77777777" w:rsidR="000410E6" w:rsidRPr="00641E80" w:rsidRDefault="000410E6" w:rsidP="00A467BC">
      <w:pPr>
        <w:spacing w:after="0" w:line="360" w:lineRule="auto"/>
        <w:rPr>
          <w:b/>
          <w:bCs/>
          <w:lang w:val="es-ES"/>
        </w:rPr>
      </w:pPr>
    </w:p>
    <w:p w14:paraId="1D2DAFCD" w14:textId="77777777" w:rsidR="000410E6" w:rsidRPr="00641E80" w:rsidRDefault="000410E6" w:rsidP="00A467BC">
      <w:pPr>
        <w:spacing w:after="0" w:line="360" w:lineRule="auto"/>
        <w:rPr>
          <w:color w:val="000000"/>
        </w:rPr>
      </w:pPr>
      <w:r w:rsidRPr="00641E8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41E80" w:rsidRDefault="00674DAF" w:rsidP="00A467BC">
      <w:pPr>
        <w:spacing w:after="0" w:line="360" w:lineRule="auto"/>
        <w:rPr>
          <w:color w:val="000000"/>
        </w:rPr>
      </w:pPr>
    </w:p>
    <w:p w14:paraId="250F6589" w14:textId="3F880C72" w:rsidR="005C690F" w:rsidRPr="00641E80" w:rsidRDefault="00CD6238" w:rsidP="00A467BC">
      <w:pPr>
        <w:pStyle w:val="Ttulo1"/>
        <w:spacing w:before="0" w:after="0" w:line="360" w:lineRule="auto"/>
        <w:jc w:val="center"/>
        <w:rPr>
          <w:sz w:val="22"/>
          <w:szCs w:val="22"/>
        </w:rPr>
      </w:pPr>
      <w:bookmarkStart w:id="8" w:name="_Toc206684894"/>
      <w:r w:rsidRPr="00641E80">
        <w:rPr>
          <w:sz w:val="22"/>
          <w:szCs w:val="22"/>
        </w:rPr>
        <w:t>C O N S I D E R A N D O S</w:t>
      </w:r>
      <w:bookmarkEnd w:id="8"/>
    </w:p>
    <w:p w14:paraId="5AB6ED71" w14:textId="77777777" w:rsidR="005C690F" w:rsidRPr="00641E80" w:rsidRDefault="005C690F" w:rsidP="00A467BC">
      <w:pPr>
        <w:spacing w:after="0" w:line="360" w:lineRule="auto"/>
        <w:jc w:val="center"/>
        <w:rPr>
          <w:b/>
          <w:color w:val="000000"/>
        </w:rPr>
      </w:pPr>
    </w:p>
    <w:p w14:paraId="36BFFC7E" w14:textId="2F0F17EA" w:rsidR="005C690F" w:rsidRPr="00641E80" w:rsidRDefault="007D6307" w:rsidP="00A467BC">
      <w:pPr>
        <w:pStyle w:val="Ttulo2"/>
        <w:spacing w:before="0" w:after="0" w:line="360" w:lineRule="auto"/>
        <w:rPr>
          <w:sz w:val="22"/>
          <w:szCs w:val="22"/>
        </w:rPr>
      </w:pPr>
      <w:bookmarkStart w:id="9" w:name="_Toc206684895"/>
      <w:r w:rsidRPr="00641E80">
        <w:rPr>
          <w:sz w:val="22"/>
          <w:szCs w:val="22"/>
        </w:rPr>
        <w:t xml:space="preserve">PRIMERO. </w:t>
      </w:r>
      <w:r w:rsidR="00CD6238" w:rsidRPr="00641E80">
        <w:rPr>
          <w:sz w:val="22"/>
          <w:szCs w:val="22"/>
        </w:rPr>
        <w:t>Competencia</w:t>
      </w:r>
      <w:bookmarkEnd w:id="9"/>
    </w:p>
    <w:p w14:paraId="34E42005" w14:textId="77777777" w:rsidR="0084143D" w:rsidRPr="00641E80" w:rsidRDefault="0084143D" w:rsidP="00A467BC">
      <w:pPr>
        <w:spacing w:after="0" w:line="360" w:lineRule="auto"/>
        <w:contextualSpacing/>
        <w:rPr>
          <w:rFonts w:eastAsia="Times New Roman" w:cs="Tahoma"/>
          <w:bCs/>
          <w:lang w:eastAsia="es-ES"/>
        </w:rPr>
      </w:pPr>
      <w:bookmarkStart w:id="10" w:name="_heading=h.30j0zll" w:colFirst="0" w:colLast="0"/>
      <w:bookmarkEnd w:id="10"/>
    </w:p>
    <w:p w14:paraId="7B44FF8F" w14:textId="18E44BE8" w:rsidR="00A576F9" w:rsidRPr="00641E80" w:rsidRDefault="00A576F9" w:rsidP="00A467BC">
      <w:pPr>
        <w:spacing w:after="0" w:line="360" w:lineRule="auto"/>
        <w:contextualSpacing/>
        <w:rPr>
          <w:rFonts w:eastAsia="Times New Roman" w:cs="Tahoma"/>
          <w:bCs/>
          <w:lang w:eastAsia="es-ES"/>
        </w:rPr>
      </w:pPr>
      <w:r w:rsidRPr="00641E80">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641E80">
        <w:rPr>
          <w:rFonts w:eastAsia="Times New Roman" w:cs="Tahoma"/>
          <w:bCs/>
          <w:lang w:eastAsia="es-ES"/>
        </w:rPr>
        <w:t>, cuadragésimo y cuadragésimo primero</w:t>
      </w:r>
      <w:r w:rsidRPr="00641E80">
        <w:rPr>
          <w:rFonts w:eastAsia="Times New Roman" w:cs="Tahoma"/>
          <w:bCs/>
          <w:lang w:eastAsia="es-ES"/>
        </w:rPr>
        <w:t>, fracciones I, II, III, IV y V de la Constitución Política del Estado Libre y Soberano de México;</w:t>
      </w:r>
    </w:p>
    <w:p w14:paraId="6DB5C24B" w14:textId="210CF7E7" w:rsidR="00A576F9" w:rsidRPr="00641E80" w:rsidRDefault="00A576F9" w:rsidP="00A467BC">
      <w:pPr>
        <w:spacing w:after="0" w:line="360" w:lineRule="auto"/>
        <w:contextualSpacing/>
        <w:rPr>
          <w:rFonts w:eastAsia="Times New Roman" w:cs="Tahoma"/>
          <w:bCs/>
          <w:lang w:eastAsia="es-ES"/>
        </w:rPr>
      </w:pPr>
      <w:r w:rsidRPr="00641E80">
        <w:rPr>
          <w:rFonts w:eastAsia="Times New Roman" w:cs="Tahoma"/>
          <w:bCs/>
          <w:lang w:eastAsia="es-ES"/>
        </w:rPr>
        <w:t xml:space="preserve">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641E80">
        <w:rPr>
          <w:rFonts w:eastAsia="Times New Roman" w:cs="Tahoma"/>
          <w:bCs/>
          <w:lang w:eastAsia="es-ES"/>
        </w:rPr>
        <w:lastRenderedPageBreak/>
        <w:t>Transparencia, Acceso a la Información Pública y Protección de Datos Personales del Estado de México y Municipios.</w:t>
      </w:r>
    </w:p>
    <w:p w14:paraId="4225FD09" w14:textId="77777777" w:rsidR="005C690F" w:rsidRPr="00641E80" w:rsidRDefault="005C690F" w:rsidP="00A467BC">
      <w:pPr>
        <w:spacing w:after="0" w:line="360" w:lineRule="auto"/>
        <w:rPr>
          <w:b/>
          <w:color w:val="000000"/>
        </w:rPr>
      </w:pPr>
    </w:p>
    <w:p w14:paraId="46691DD5" w14:textId="4C1C70AD" w:rsidR="005C690F" w:rsidRPr="00641E80" w:rsidRDefault="007D6307" w:rsidP="00A467BC">
      <w:pPr>
        <w:pStyle w:val="Ttulo2"/>
        <w:spacing w:before="0" w:after="0" w:line="360" w:lineRule="auto"/>
        <w:rPr>
          <w:sz w:val="22"/>
          <w:szCs w:val="22"/>
        </w:rPr>
      </w:pPr>
      <w:bookmarkStart w:id="11" w:name="_Toc206684896"/>
      <w:r w:rsidRPr="00641E80">
        <w:rPr>
          <w:sz w:val="22"/>
          <w:szCs w:val="22"/>
        </w:rPr>
        <w:t>SEGUNDO. Causales de</w:t>
      </w:r>
      <w:r w:rsidR="00CD6238" w:rsidRPr="00641E80">
        <w:rPr>
          <w:sz w:val="22"/>
          <w:szCs w:val="22"/>
        </w:rPr>
        <w:t xml:space="preserve"> improcedencia y sobreseimiento</w:t>
      </w:r>
      <w:bookmarkEnd w:id="11"/>
    </w:p>
    <w:p w14:paraId="49AA4CDE" w14:textId="77777777" w:rsidR="005C690F" w:rsidRPr="00641E80" w:rsidRDefault="005C690F" w:rsidP="00A467BC">
      <w:pPr>
        <w:spacing w:after="0" w:line="360" w:lineRule="auto"/>
        <w:rPr>
          <w:color w:val="000000"/>
        </w:rPr>
      </w:pPr>
    </w:p>
    <w:p w14:paraId="2553CE58" w14:textId="77777777" w:rsidR="005C690F" w:rsidRPr="00641E80" w:rsidRDefault="007D6307" w:rsidP="00A467BC">
      <w:pPr>
        <w:spacing w:after="0" w:line="360" w:lineRule="auto"/>
        <w:rPr>
          <w:color w:val="000000"/>
        </w:rPr>
      </w:pPr>
      <w:r w:rsidRPr="00641E80">
        <w:rPr>
          <w:color w:val="000000"/>
        </w:rPr>
        <w:t xml:space="preserve">De las constancias que forma parte del Recurso de Revisión que se analiza, se advierte que previo al estudio del fondo de la </w:t>
      </w:r>
      <w:proofErr w:type="spellStart"/>
      <w:r w:rsidRPr="00641E80">
        <w:rPr>
          <w:i/>
          <w:color w:val="000000"/>
        </w:rPr>
        <w:t>litis</w:t>
      </w:r>
      <w:proofErr w:type="spellEnd"/>
      <w:r w:rsidRPr="00641E80">
        <w:rPr>
          <w:color w:val="000000"/>
        </w:rPr>
        <w:t>, es necesario estudiar las causales de improcedencia y sobreseimiento que se adviertan, para determinar lo que en Derecho proceda.</w:t>
      </w:r>
    </w:p>
    <w:p w14:paraId="35A30074" w14:textId="77777777" w:rsidR="009B2DAB" w:rsidRPr="00641E80" w:rsidRDefault="009B2DAB" w:rsidP="00A467BC">
      <w:pPr>
        <w:spacing w:after="0" w:line="360" w:lineRule="auto"/>
        <w:rPr>
          <w:color w:val="000000"/>
        </w:rPr>
      </w:pPr>
    </w:p>
    <w:p w14:paraId="3066DF0C" w14:textId="77777777" w:rsidR="005C690F" w:rsidRPr="00641E80" w:rsidRDefault="007D6307" w:rsidP="00A467BC">
      <w:pPr>
        <w:spacing w:after="0" w:line="360" w:lineRule="auto"/>
        <w:rPr>
          <w:b/>
        </w:rPr>
      </w:pPr>
      <w:r w:rsidRPr="00641E80">
        <w:rPr>
          <w:b/>
        </w:rPr>
        <w:t>Causales de improcedencia</w:t>
      </w:r>
    </w:p>
    <w:p w14:paraId="706394D4" w14:textId="77777777" w:rsidR="00304DE6" w:rsidRPr="00641E80" w:rsidRDefault="00304DE6" w:rsidP="00A467BC">
      <w:pPr>
        <w:spacing w:after="0" w:line="360" w:lineRule="auto"/>
        <w:rPr>
          <w:b/>
        </w:rPr>
      </w:pPr>
    </w:p>
    <w:p w14:paraId="6C56CA88" w14:textId="77777777" w:rsidR="005C690F" w:rsidRPr="00641E80" w:rsidRDefault="007D6307" w:rsidP="00A467BC">
      <w:pPr>
        <w:spacing w:after="0" w:line="360" w:lineRule="auto"/>
        <w:rPr>
          <w:color w:val="000000"/>
        </w:rPr>
      </w:pPr>
      <w:r w:rsidRPr="00641E8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41E80" w:rsidRDefault="005C690F" w:rsidP="00A467BC">
      <w:pPr>
        <w:spacing w:after="0" w:line="360" w:lineRule="auto"/>
        <w:rPr>
          <w:color w:val="000000"/>
        </w:rPr>
      </w:pPr>
    </w:p>
    <w:p w14:paraId="22563DDB" w14:textId="33D3D011" w:rsidR="008D3B3F" w:rsidRPr="00641E80" w:rsidRDefault="007D6307" w:rsidP="00A467BC">
      <w:pPr>
        <w:spacing w:after="0" w:line="360" w:lineRule="auto"/>
        <w:rPr>
          <w:color w:val="000000"/>
        </w:rPr>
      </w:pPr>
      <w:r w:rsidRPr="00641E80">
        <w:rPr>
          <w:color w:val="000000"/>
        </w:rPr>
        <w:t>En el presente caso, </w:t>
      </w:r>
      <w:r w:rsidRPr="00641E80">
        <w:rPr>
          <w:b/>
          <w:color w:val="000000"/>
        </w:rPr>
        <w:t>no se actualiza ninguna de las causales de improcedencia</w:t>
      </w:r>
      <w:r w:rsidRPr="00641E80">
        <w:rPr>
          <w:color w:val="000000"/>
        </w:rPr>
        <w:t> establecidas en el ordenamiento jurídico previamente señalado, toda vez que: este Instituto no tiene conocimiento de que se encuentre en trámite algún medio de defensa presentado por la</w:t>
      </w:r>
      <w:r w:rsidR="00261B92" w:rsidRPr="00641E80">
        <w:rPr>
          <w:color w:val="000000"/>
        </w:rPr>
        <w:t xml:space="preserve"> persona</w:t>
      </w:r>
      <w:r w:rsidRPr="00641E80">
        <w:rPr>
          <w:color w:val="000000"/>
        </w:rPr>
        <w:t xml:space="preserve"> Recurrente ante otra instancia; no existió prevención alguna; la veracidad de la </w:t>
      </w:r>
      <w:r w:rsidRPr="00641E80">
        <w:rPr>
          <w:color w:val="000000"/>
        </w:rPr>
        <w:lastRenderedPageBreak/>
        <w:t>respuesta no formó parte del agravio; ni se realizó una consulta o ampliación a los alcances del requerimiento informativo.</w:t>
      </w:r>
    </w:p>
    <w:p w14:paraId="21CC7CEB" w14:textId="77777777" w:rsidR="00874D8A" w:rsidRPr="00641E80" w:rsidRDefault="00874D8A" w:rsidP="00A467BC">
      <w:pPr>
        <w:spacing w:after="0" w:line="360" w:lineRule="auto"/>
        <w:rPr>
          <w:color w:val="000000"/>
        </w:rPr>
      </w:pPr>
    </w:p>
    <w:p w14:paraId="1593A12B" w14:textId="73A47975" w:rsidR="00304DE6" w:rsidRPr="00641E80" w:rsidRDefault="007D6307" w:rsidP="00A467BC">
      <w:pPr>
        <w:spacing w:after="0" w:line="360" w:lineRule="auto"/>
      </w:pPr>
      <w:r w:rsidRPr="00641E80">
        <w:t>Por lo cual, se actualiza la causal de procedencia del Recurso de Revisión señal</w:t>
      </w:r>
      <w:r w:rsidR="00261DF6" w:rsidRPr="00641E80">
        <w:t>ada en el artículo 179, fracci</w:t>
      </w:r>
      <w:r w:rsidR="00995223" w:rsidRPr="00641E80">
        <w:t>ón V</w:t>
      </w:r>
      <w:r w:rsidRPr="00641E80">
        <w:t>, de la Ley en cita, pues la p</w:t>
      </w:r>
      <w:r w:rsidR="00261B92" w:rsidRPr="00641E80">
        <w:t>ersona</w:t>
      </w:r>
      <w:r w:rsidRPr="00641E80">
        <w:t xml:space="preserve"> Recurrente se inconformó </w:t>
      </w:r>
      <w:r w:rsidR="00304DE6" w:rsidRPr="00641E80">
        <w:t xml:space="preserve">de la </w:t>
      </w:r>
      <w:r w:rsidR="00995223" w:rsidRPr="00641E80">
        <w:t>entrega de información incompleta.</w:t>
      </w:r>
    </w:p>
    <w:p w14:paraId="7B59B025" w14:textId="77777777" w:rsidR="00712ED6" w:rsidRPr="00641E80" w:rsidRDefault="00712ED6" w:rsidP="00A467BC">
      <w:pPr>
        <w:spacing w:after="0" w:line="360" w:lineRule="auto"/>
      </w:pPr>
    </w:p>
    <w:p w14:paraId="55FF691A" w14:textId="6D373E30" w:rsidR="005C690F" w:rsidRPr="00641E80" w:rsidRDefault="007D6307" w:rsidP="00A467BC">
      <w:pPr>
        <w:spacing w:after="0" w:line="360" w:lineRule="auto"/>
        <w:rPr>
          <w:color w:val="0D0D0D"/>
        </w:rPr>
      </w:pPr>
      <w:r w:rsidRPr="00641E80">
        <w:rPr>
          <w:b/>
          <w:color w:val="0D0D0D"/>
        </w:rPr>
        <w:t>Ca</w:t>
      </w:r>
      <w:r w:rsidR="00CD6238" w:rsidRPr="00641E80">
        <w:rPr>
          <w:b/>
          <w:color w:val="0D0D0D"/>
        </w:rPr>
        <w:t>usales de sobreseimiento</w:t>
      </w:r>
    </w:p>
    <w:p w14:paraId="426FEE7A" w14:textId="77777777" w:rsidR="005C690F" w:rsidRPr="00641E80" w:rsidRDefault="005C690F" w:rsidP="00A467BC">
      <w:pPr>
        <w:spacing w:after="0" w:line="360" w:lineRule="auto"/>
        <w:rPr>
          <w:color w:val="0D0D0D"/>
        </w:rPr>
      </w:pPr>
    </w:p>
    <w:p w14:paraId="5B1C849A" w14:textId="77777777" w:rsidR="005C690F" w:rsidRPr="00641E80" w:rsidRDefault="007D6307" w:rsidP="00A467BC">
      <w:pPr>
        <w:spacing w:after="0" w:line="360" w:lineRule="auto"/>
        <w:rPr>
          <w:color w:val="0D0D0D"/>
        </w:rPr>
      </w:pPr>
      <w:r w:rsidRPr="00641E80">
        <w:rPr>
          <w:color w:val="0D0D0D"/>
        </w:rPr>
        <w:t>Por ser de previo y especial pronunciamiento, este Instituto analiza si se actualiza alguna causal de sobreseimiento.</w:t>
      </w:r>
    </w:p>
    <w:p w14:paraId="5CEDF034" w14:textId="77777777" w:rsidR="00A96A4E" w:rsidRPr="00641E80" w:rsidRDefault="00A96A4E" w:rsidP="00A467BC">
      <w:pPr>
        <w:spacing w:after="0" w:line="360" w:lineRule="auto"/>
        <w:rPr>
          <w:color w:val="0D0D0D"/>
        </w:rPr>
      </w:pPr>
    </w:p>
    <w:p w14:paraId="766AB72D" w14:textId="77777777" w:rsidR="00BC038B" w:rsidRPr="00641E80" w:rsidRDefault="00BC038B" w:rsidP="00A467BC">
      <w:pPr>
        <w:spacing w:after="0" w:line="360" w:lineRule="auto"/>
        <w:rPr>
          <w:color w:val="000000"/>
        </w:rPr>
      </w:pPr>
      <w:r w:rsidRPr="00641E80">
        <w:rPr>
          <w:color w:val="0D0D0D"/>
        </w:rPr>
        <w:t>Sobre el tema, e</w:t>
      </w:r>
      <w:r w:rsidRPr="00641E8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641E80" w:rsidRDefault="00BC038B" w:rsidP="00A467BC">
      <w:pPr>
        <w:spacing w:after="0" w:line="360" w:lineRule="auto"/>
        <w:rPr>
          <w:color w:val="000000"/>
        </w:rPr>
      </w:pPr>
    </w:p>
    <w:p w14:paraId="5BDF3BB4" w14:textId="2A80B251" w:rsidR="00BC038B" w:rsidRPr="00641E80" w:rsidRDefault="00BC038B" w:rsidP="00A467BC">
      <w:pPr>
        <w:spacing w:after="0" w:line="360" w:lineRule="auto"/>
        <w:rPr>
          <w:color w:val="0D0D0D"/>
        </w:rPr>
      </w:pPr>
      <w:r w:rsidRPr="00641E80">
        <w:rPr>
          <w:color w:val="0D0D0D"/>
        </w:rPr>
        <w:t>Por tales motivos, se considera procedente entrar al fondo del presente asunto.</w:t>
      </w:r>
    </w:p>
    <w:p w14:paraId="37D96F69" w14:textId="77777777" w:rsidR="006E7A1B" w:rsidRPr="00641E80" w:rsidRDefault="006E7A1B" w:rsidP="00A467BC">
      <w:pPr>
        <w:spacing w:after="0" w:line="360" w:lineRule="auto"/>
        <w:rPr>
          <w:color w:val="0D0D0D"/>
        </w:rPr>
      </w:pPr>
    </w:p>
    <w:p w14:paraId="0A6A0BAE" w14:textId="184EF292" w:rsidR="005C690F" w:rsidRPr="00641E80" w:rsidRDefault="007D6307" w:rsidP="00A467BC">
      <w:pPr>
        <w:pStyle w:val="Ttulo2"/>
        <w:spacing w:before="0" w:after="0" w:line="360" w:lineRule="auto"/>
        <w:rPr>
          <w:sz w:val="22"/>
          <w:szCs w:val="22"/>
        </w:rPr>
      </w:pPr>
      <w:bookmarkStart w:id="12" w:name="_Toc206684897"/>
      <w:r w:rsidRPr="00641E80">
        <w:rPr>
          <w:sz w:val="22"/>
          <w:szCs w:val="22"/>
        </w:rPr>
        <w:lastRenderedPageBreak/>
        <w:t>TERCERO. De</w:t>
      </w:r>
      <w:r w:rsidR="00CD6238" w:rsidRPr="00641E80">
        <w:rPr>
          <w:sz w:val="22"/>
          <w:szCs w:val="22"/>
        </w:rPr>
        <w:t>terminación de la Controversia</w:t>
      </w:r>
      <w:bookmarkEnd w:id="12"/>
    </w:p>
    <w:p w14:paraId="4A0739CB" w14:textId="77777777" w:rsidR="00897A05" w:rsidRPr="00641E80" w:rsidRDefault="00897A05" w:rsidP="00A467BC">
      <w:pPr>
        <w:spacing w:after="0" w:line="360" w:lineRule="auto"/>
        <w:rPr>
          <w:b/>
          <w:color w:val="000000"/>
        </w:rPr>
      </w:pPr>
    </w:p>
    <w:p w14:paraId="44CD53B8" w14:textId="4B6057F5" w:rsidR="009859CE" w:rsidRPr="00641E80" w:rsidRDefault="007C7BAF" w:rsidP="00A467BC">
      <w:pPr>
        <w:spacing w:after="0" w:line="360" w:lineRule="auto"/>
        <w:rPr>
          <w:rFonts w:cs="Tahoma"/>
        </w:rPr>
      </w:pPr>
      <w:r w:rsidRPr="00641E80">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641E80">
        <w:rPr>
          <w:rFonts w:cs="Tahoma"/>
        </w:rPr>
        <w:t>requirió</w:t>
      </w:r>
      <w:r w:rsidR="00C8729E" w:rsidRPr="00641E80">
        <w:rPr>
          <w:rFonts w:cs="Tahoma"/>
        </w:rPr>
        <w:t xml:space="preserve"> </w:t>
      </w:r>
      <w:r w:rsidR="00875639" w:rsidRPr="00641E80">
        <w:rPr>
          <w:rFonts w:cs="Tahoma"/>
        </w:rPr>
        <w:t>los estados de cuenta de la dispersión de nómina de la primera quincena de abril de dos mil veinticinco.</w:t>
      </w:r>
    </w:p>
    <w:p w14:paraId="25847767" w14:textId="77777777" w:rsidR="001260CE" w:rsidRPr="00641E80" w:rsidRDefault="001260CE" w:rsidP="00A467BC">
      <w:pPr>
        <w:spacing w:after="0" w:line="360" w:lineRule="auto"/>
        <w:rPr>
          <w:rFonts w:cs="Tahoma"/>
        </w:rPr>
      </w:pPr>
    </w:p>
    <w:p w14:paraId="28F82416" w14:textId="24AC9D78" w:rsidR="00972243" w:rsidRPr="00641E80" w:rsidRDefault="007C7BAF" w:rsidP="00A467BC">
      <w:pPr>
        <w:spacing w:after="0" w:line="360" w:lineRule="auto"/>
        <w:rPr>
          <w:color w:val="000000"/>
          <w:sz w:val="24"/>
        </w:rPr>
      </w:pPr>
      <w:r w:rsidRPr="00641E80">
        <w:rPr>
          <w:color w:val="000000"/>
        </w:rPr>
        <w:t>En respuesta, el Sujeto Obligado,</w:t>
      </w:r>
      <w:r w:rsidR="00644832" w:rsidRPr="00641E80">
        <w:rPr>
          <w:color w:val="000000"/>
        </w:rPr>
        <w:t xml:space="preserve"> </w:t>
      </w:r>
      <w:r w:rsidR="00C672CD" w:rsidRPr="00641E80">
        <w:rPr>
          <w:color w:val="000000"/>
        </w:rPr>
        <w:t>a través de</w:t>
      </w:r>
      <w:r w:rsidR="004D2CB0" w:rsidRPr="00641E80">
        <w:rPr>
          <w:color w:val="000000"/>
        </w:rPr>
        <w:t xml:space="preserve">l Subdirector de Finanzas mencionó que entrega tres estados de cuenta del mes de abril de dos mil veinticinco, en versión pública, </w:t>
      </w:r>
      <w:r w:rsidR="0006707A" w:rsidRPr="00641E80">
        <w:rPr>
          <w:color w:val="000000"/>
        </w:rPr>
        <w:t xml:space="preserve">y adjuntó los estados de cuenta, </w:t>
      </w:r>
      <w:r w:rsidR="004D2CB0" w:rsidRPr="00641E80">
        <w:rPr>
          <w:color w:val="000000"/>
        </w:rPr>
        <w:t>así como, el acuerdo de clasificación de la información como confidencia</w:t>
      </w:r>
      <w:r w:rsidR="0006707A" w:rsidRPr="00641E80">
        <w:rPr>
          <w:color w:val="000000"/>
        </w:rPr>
        <w:t>l</w:t>
      </w:r>
      <w:r w:rsidR="00C672CD" w:rsidRPr="00641E80">
        <w:rPr>
          <w:color w:val="000000"/>
          <w:sz w:val="24"/>
        </w:rPr>
        <w:t>;</w:t>
      </w:r>
      <w:r w:rsidRPr="00641E80">
        <w:t xml:space="preserve"> </w:t>
      </w:r>
      <w:r w:rsidRPr="00641E80">
        <w:rPr>
          <w:rFonts w:cs="Tahoma"/>
          <w:lang w:val="es-ES"/>
        </w:rPr>
        <w:t>ante dicha circunstancia, el Particular se inconformó</w:t>
      </w:r>
      <w:r w:rsidR="00644832" w:rsidRPr="00641E80">
        <w:rPr>
          <w:rFonts w:cs="Tahoma"/>
          <w:lang w:val="es-ES"/>
        </w:rPr>
        <w:t xml:space="preserve"> </w:t>
      </w:r>
      <w:r w:rsidR="00966BF0" w:rsidRPr="00641E80">
        <w:rPr>
          <w:rFonts w:cs="Tahoma"/>
          <w:lang w:val="es-ES"/>
        </w:rPr>
        <w:t>de</w:t>
      </w:r>
      <w:r w:rsidR="001260CE" w:rsidRPr="00641E80">
        <w:rPr>
          <w:rFonts w:cs="Tahoma"/>
          <w:lang w:val="es-ES"/>
        </w:rPr>
        <w:t xml:space="preserve"> </w:t>
      </w:r>
      <w:r w:rsidR="00C672CD" w:rsidRPr="00641E80">
        <w:rPr>
          <w:rFonts w:cs="Tahoma"/>
          <w:lang w:val="es-ES"/>
        </w:rPr>
        <w:t>la</w:t>
      </w:r>
      <w:r w:rsidR="0076190F" w:rsidRPr="00641E80">
        <w:rPr>
          <w:rFonts w:cs="Tahoma"/>
          <w:lang w:val="es-ES"/>
        </w:rPr>
        <w:t xml:space="preserve"> </w:t>
      </w:r>
      <w:r w:rsidR="00EC52C1" w:rsidRPr="00641E80">
        <w:rPr>
          <w:rFonts w:cs="Tahoma"/>
          <w:lang w:val="es-ES"/>
        </w:rPr>
        <w:t>entrega de información incompleta</w:t>
      </w:r>
      <w:r w:rsidR="001A7F04" w:rsidRPr="00641E80">
        <w:rPr>
          <w:rFonts w:cs="Tahoma"/>
          <w:lang w:val="es-ES"/>
        </w:rPr>
        <w:t xml:space="preserve">, </w:t>
      </w:r>
      <w:r w:rsidRPr="00641E80">
        <w:rPr>
          <w:rFonts w:cs="Tahoma"/>
          <w:lang w:val="es-ES"/>
        </w:rPr>
        <w:t xml:space="preserve">lo cual </w:t>
      </w:r>
      <w:r w:rsidRPr="00641E80">
        <w:rPr>
          <w:rFonts w:eastAsia="Calibri" w:cs="Tahoma"/>
        </w:rPr>
        <w:t>actualiza la causal de proce</w:t>
      </w:r>
      <w:r w:rsidR="00413093" w:rsidRPr="00641E80">
        <w:rPr>
          <w:rFonts w:eastAsia="Calibri" w:cs="Tahoma"/>
        </w:rPr>
        <w:t>dencia prevista en la fracción V</w:t>
      </w:r>
      <w:r w:rsidRPr="00641E80">
        <w:rPr>
          <w:rFonts w:eastAsia="Calibri" w:cs="Tahoma"/>
        </w:rPr>
        <w:t>, del artículo 179 de la Ley de Transparencia y Acceso a la Información Pública del Estado de México y Municipios</w:t>
      </w:r>
      <w:r w:rsidRPr="00641E80">
        <w:rPr>
          <w:color w:val="0D0D0D"/>
        </w:rPr>
        <w:t xml:space="preserve">. </w:t>
      </w:r>
      <w:r w:rsidRPr="00641E80">
        <w:rPr>
          <w:rFonts w:eastAsia="Calibri" w:cs="Tahoma"/>
        </w:rPr>
        <w:t>Así, las cosas, una vez admitido y notificado el Recurso de Revisión</w:t>
      </w:r>
      <w:r w:rsidR="00522A47" w:rsidRPr="00641E80">
        <w:rPr>
          <w:rFonts w:eastAsia="Calibri" w:cs="Tahoma"/>
        </w:rPr>
        <w:t xml:space="preserve"> a las partes,</w:t>
      </w:r>
      <w:r w:rsidR="001A7F04" w:rsidRPr="00641E80">
        <w:rPr>
          <w:rFonts w:eastAsia="Calibri" w:cs="Tahoma"/>
        </w:rPr>
        <w:t xml:space="preserve"> </w:t>
      </w:r>
      <w:r w:rsidR="00916C99" w:rsidRPr="00641E80">
        <w:rPr>
          <w:rFonts w:eastAsia="Calibri" w:cs="Tahoma"/>
        </w:rPr>
        <w:t>el Sujeto Obligado ratificó su respuesta.</w:t>
      </w:r>
    </w:p>
    <w:p w14:paraId="137DA036" w14:textId="77777777" w:rsidR="00AB4AC2" w:rsidRPr="00641E80" w:rsidRDefault="00AB4AC2" w:rsidP="00A467BC">
      <w:pPr>
        <w:spacing w:after="0" w:line="360" w:lineRule="auto"/>
        <w:ind w:right="567"/>
        <w:rPr>
          <w:i/>
          <w:iCs/>
          <w:sz w:val="20"/>
          <w:szCs w:val="20"/>
        </w:rPr>
      </w:pPr>
    </w:p>
    <w:p w14:paraId="22C5958E" w14:textId="59D1D3B7" w:rsidR="007C7BAF" w:rsidRPr="00641E80" w:rsidRDefault="007C7BAF" w:rsidP="00A467BC">
      <w:pPr>
        <w:tabs>
          <w:tab w:val="left" w:pos="4962"/>
        </w:tabs>
        <w:spacing w:after="0" w:line="360" w:lineRule="auto"/>
        <w:rPr>
          <w:rFonts w:eastAsia="Calibri" w:cs="Tahoma"/>
          <w:bCs/>
        </w:rPr>
      </w:pPr>
      <w:r w:rsidRPr="00641E80">
        <w:rPr>
          <w:rFonts w:eastAsia="Calibri" w:cs="Tahoma"/>
          <w:iCs/>
          <w:lang w:val="es-ES" w:eastAsia="es-ES_tradnl"/>
        </w:rPr>
        <w:t>Lo anterior, se desprende de las documentales que obran en el expediente de referencia, materia de la presente resolución, consistente en: la solic</w:t>
      </w:r>
      <w:r w:rsidR="00BB3F28" w:rsidRPr="00641E80">
        <w:rPr>
          <w:rFonts w:eastAsia="Calibri" w:cs="Tahoma"/>
          <w:iCs/>
          <w:lang w:val="es-ES" w:eastAsia="es-ES_tradnl"/>
        </w:rPr>
        <w:t>i</w:t>
      </w:r>
      <w:r w:rsidR="0076190F" w:rsidRPr="00641E80">
        <w:rPr>
          <w:rFonts w:eastAsia="Calibri" w:cs="Tahoma"/>
          <w:iCs/>
          <w:lang w:val="es-ES" w:eastAsia="es-ES_tradnl"/>
        </w:rPr>
        <w:t xml:space="preserve">tud de acceso a </w:t>
      </w:r>
      <w:r w:rsidR="00916C99" w:rsidRPr="00641E80">
        <w:rPr>
          <w:rFonts w:eastAsia="Calibri" w:cs="Tahoma"/>
          <w:iCs/>
          <w:lang w:val="es-ES" w:eastAsia="es-ES_tradnl"/>
        </w:rPr>
        <w:t>la información,</w:t>
      </w:r>
      <w:r w:rsidR="0076190F" w:rsidRPr="00641E80">
        <w:rPr>
          <w:rFonts w:eastAsia="Calibri" w:cs="Tahoma"/>
          <w:iCs/>
          <w:lang w:val="es-ES" w:eastAsia="es-ES_tradnl"/>
        </w:rPr>
        <w:t xml:space="preserve"> </w:t>
      </w:r>
      <w:r w:rsidRPr="00641E80">
        <w:rPr>
          <w:rFonts w:eastAsia="Calibri" w:cs="Tahoma"/>
          <w:iCs/>
          <w:lang w:eastAsia="es-ES_tradnl"/>
        </w:rPr>
        <w:t xml:space="preserve">el escrito </w:t>
      </w:r>
      <w:proofErr w:type="spellStart"/>
      <w:r w:rsidRPr="00641E80">
        <w:rPr>
          <w:rFonts w:eastAsia="Calibri" w:cs="Tahoma"/>
          <w:iCs/>
          <w:lang w:eastAsia="es-ES_tradnl"/>
        </w:rPr>
        <w:t>recursal</w:t>
      </w:r>
      <w:proofErr w:type="spellEnd"/>
      <w:r w:rsidR="00916C99" w:rsidRPr="00641E80">
        <w:rPr>
          <w:rFonts w:eastAsia="Calibri" w:cs="Tahoma"/>
          <w:iCs/>
          <w:lang w:eastAsia="es-ES_tradnl"/>
        </w:rPr>
        <w:t xml:space="preserve"> y el Informe Justificado</w:t>
      </w:r>
      <w:r w:rsidRPr="00641E80">
        <w:rPr>
          <w:rFonts w:eastAsia="Calibri" w:cs="Tahoma"/>
          <w:iCs/>
          <w:lang w:eastAsia="es-ES_tradnl"/>
        </w:rPr>
        <w:t xml:space="preserve">; </w:t>
      </w:r>
      <w:r w:rsidRPr="00641E8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641E80" w:rsidRDefault="007D6307" w:rsidP="00A467BC">
      <w:pPr>
        <w:pStyle w:val="Ttulo2"/>
        <w:spacing w:before="0" w:after="0" w:line="360" w:lineRule="auto"/>
        <w:rPr>
          <w:sz w:val="22"/>
          <w:szCs w:val="22"/>
        </w:rPr>
      </w:pPr>
      <w:bookmarkStart w:id="13" w:name="_Toc206684898"/>
      <w:r w:rsidRPr="00641E80">
        <w:rPr>
          <w:sz w:val="22"/>
          <w:szCs w:val="22"/>
        </w:rPr>
        <w:lastRenderedPageBreak/>
        <w:t xml:space="preserve">CUARTO. Marco normativo aplicable en materia de transparencia y </w:t>
      </w:r>
      <w:r w:rsidR="00CD6238" w:rsidRPr="00641E80">
        <w:rPr>
          <w:sz w:val="22"/>
          <w:szCs w:val="22"/>
        </w:rPr>
        <w:t>acceso a la información pública</w:t>
      </w:r>
      <w:bookmarkEnd w:id="13"/>
    </w:p>
    <w:p w14:paraId="4D62F8F1" w14:textId="77777777" w:rsidR="005C690F" w:rsidRPr="00641E80" w:rsidRDefault="005C690F" w:rsidP="00A467BC">
      <w:pPr>
        <w:spacing w:after="0" w:line="360" w:lineRule="auto"/>
        <w:rPr>
          <w:color w:val="000000"/>
        </w:rPr>
      </w:pPr>
    </w:p>
    <w:p w14:paraId="68F50546" w14:textId="77777777" w:rsidR="005C690F" w:rsidRPr="00641E80" w:rsidRDefault="007D6307" w:rsidP="00A467BC">
      <w:pPr>
        <w:spacing w:after="0" w:line="360" w:lineRule="auto"/>
        <w:rPr>
          <w:color w:val="000000"/>
        </w:rPr>
      </w:pPr>
      <w:r w:rsidRPr="00641E8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41E80" w:rsidRDefault="005C690F" w:rsidP="00A467BC">
      <w:pPr>
        <w:spacing w:after="0" w:line="360" w:lineRule="auto"/>
        <w:rPr>
          <w:color w:val="000000"/>
        </w:rPr>
      </w:pPr>
    </w:p>
    <w:p w14:paraId="69458899" w14:textId="77777777" w:rsidR="005C690F" w:rsidRPr="00641E80" w:rsidRDefault="007D6307" w:rsidP="00A467BC">
      <w:pPr>
        <w:spacing w:after="0" w:line="360" w:lineRule="auto"/>
        <w:rPr>
          <w:color w:val="000000"/>
        </w:rPr>
      </w:pPr>
      <w:r w:rsidRPr="00641E8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41E80" w:rsidRDefault="005C690F" w:rsidP="00A467BC">
      <w:pPr>
        <w:spacing w:after="0" w:line="360" w:lineRule="auto"/>
        <w:rPr>
          <w:color w:val="000000"/>
        </w:rPr>
      </w:pPr>
    </w:p>
    <w:p w14:paraId="3D8EBDEC" w14:textId="77777777" w:rsidR="005C690F" w:rsidRPr="00641E80" w:rsidRDefault="007D6307" w:rsidP="00A467BC">
      <w:pPr>
        <w:spacing w:after="0" w:line="360" w:lineRule="auto"/>
        <w:rPr>
          <w:color w:val="000000"/>
        </w:rPr>
      </w:pPr>
      <w:r w:rsidRPr="00641E8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41E80" w:rsidRDefault="005C690F" w:rsidP="00A467BC">
      <w:pPr>
        <w:spacing w:after="0" w:line="360" w:lineRule="auto"/>
        <w:rPr>
          <w:color w:val="000000"/>
        </w:rPr>
      </w:pPr>
    </w:p>
    <w:p w14:paraId="5BD9CB2E" w14:textId="77777777" w:rsidR="005C690F" w:rsidRPr="00641E80" w:rsidRDefault="007D6307" w:rsidP="00A467BC">
      <w:pPr>
        <w:spacing w:after="0" w:line="360" w:lineRule="auto"/>
        <w:rPr>
          <w:color w:val="000000"/>
        </w:rPr>
      </w:pPr>
      <w:r w:rsidRPr="00641E80">
        <w:rPr>
          <w:color w:val="000000"/>
        </w:rPr>
        <w:t>El artículo 12, que, quienes generen, recopilen, administren, manejen, procesen, archiven o conserven información pública serán responsables de la misma.</w:t>
      </w:r>
    </w:p>
    <w:p w14:paraId="6BD1FFBB" w14:textId="77777777" w:rsidR="007C02D1" w:rsidRPr="00641E80" w:rsidRDefault="007C02D1" w:rsidP="00A467BC">
      <w:pPr>
        <w:spacing w:after="0" w:line="360" w:lineRule="auto"/>
        <w:rPr>
          <w:color w:val="000000"/>
        </w:rPr>
      </w:pPr>
    </w:p>
    <w:p w14:paraId="3D899A16" w14:textId="77777777" w:rsidR="005C690F" w:rsidRPr="00641E80" w:rsidRDefault="007D6307" w:rsidP="00A467BC">
      <w:pPr>
        <w:widowControl w:val="0"/>
        <w:spacing w:after="0" w:line="360" w:lineRule="auto"/>
        <w:rPr>
          <w:color w:val="000000"/>
        </w:rPr>
      </w:pPr>
      <w:r w:rsidRPr="00641E8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41E80" w:rsidRDefault="00B153FA" w:rsidP="00A467BC">
      <w:pPr>
        <w:widowControl w:val="0"/>
        <w:spacing w:after="0" w:line="360" w:lineRule="auto"/>
        <w:rPr>
          <w:color w:val="000000"/>
        </w:rPr>
      </w:pPr>
    </w:p>
    <w:p w14:paraId="70E5B643" w14:textId="378E2A57" w:rsidR="00B04A35" w:rsidRPr="00641E80" w:rsidRDefault="007D6307" w:rsidP="00A467BC">
      <w:pPr>
        <w:spacing w:after="0" w:line="360" w:lineRule="auto"/>
        <w:rPr>
          <w:color w:val="000000"/>
        </w:rPr>
      </w:pPr>
      <w:r w:rsidRPr="00641E80">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41E80" w:rsidRDefault="005C690F" w:rsidP="00A467BC">
      <w:pPr>
        <w:spacing w:after="0" w:line="360" w:lineRule="auto"/>
      </w:pPr>
    </w:p>
    <w:p w14:paraId="3AF871E5" w14:textId="6FEB966D" w:rsidR="005C690F" w:rsidRPr="00641E80" w:rsidRDefault="00CD6238" w:rsidP="00A467BC">
      <w:pPr>
        <w:pStyle w:val="Ttulo2"/>
        <w:spacing w:before="0" w:after="0" w:line="360" w:lineRule="auto"/>
        <w:rPr>
          <w:sz w:val="22"/>
          <w:szCs w:val="22"/>
        </w:rPr>
      </w:pPr>
      <w:bookmarkStart w:id="14" w:name="_Toc206684899"/>
      <w:r w:rsidRPr="00641E80">
        <w:rPr>
          <w:sz w:val="22"/>
          <w:szCs w:val="22"/>
        </w:rPr>
        <w:t>Q</w:t>
      </w:r>
      <w:r w:rsidR="0044017B" w:rsidRPr="00641E80">
        <w:rPr>
          <w:sz w:val="22"/>
          <w:szCs w:val="22"/>
        </w:rPr>
        <w:t>UINTO</w:t>
      </w:r>
      <w:r w:rsidRPr="00641E80">
        <w:rPr>
          <w:sz w:val="22"/>
          <w:szCs w:val="22"/>
        </w:rPr>
        <w:t>. Estudio de Fondo</w:t>
      </w:r>
      <w:bookmarkEnd w:id="14"/>
    </w:p>
    <w:p w14:paraId="2596B212" w14:textId="77777777" w:rsidR="00A56228" w:rsidRPr="00641E80" w:rsidRDefault="00A56228" w:rsidP="00A467BC">
      <w:pPr>
        <w:spacing w:after="0" w:line="360" w:lineRule="auto"/>
        <w:rPr>
          <w:b/>
          <w:color w:val="000000"/>
        </w:rPr>
      </w:pPr>
    </w:p>
    <w:p w14:paraId="5F490A49" w14:textId="71CC9B98" w:rsidR="007F4407" w:rsidRPr="00641E80" w:rsidRDefault="0064067B" w:rsidP="00A467BC">
      <w:pPr>
        <w:spacing w:after="0" w:line="360" w:lineRule="auto"/>
        <w:rPr>
          <w:rFonts w:eastAsia="Times New Roman" w:cs="Tahoma"/>
          <w:bCs/>
          <w:iCs/>
          <w:lang w:eastAsia="es-ES"/>
        </w:rPr>
      </w:pPr>
      <w:r w:rsidRPr="00641E80">
        <w:rPr>
          <w:color w:val="000000"/>
        </w:rPr>
        <w:t>Expuestas las posturas de las partes, se procede al análisis de los agravios hechos valer por la persona Recurrente</w:t>
      </w:r>
      <w:r w:rsidR="00731FB9" w:rsidRPr="00641E80">
        <w:t xml:space="preserve">, </w:t>
      </w:r>
      <w:r w:rsidR="007F4407" w:rsidRPr="00641E80">
        <w:rPr>
          <w:rFonts w:eastAsia="Times New Roman" w:cs="Tahoma"/>
          <w:bCs/>
          <w:iCs/>
          <w:lang w:eastAsia="es-ES"/>
        </w:rPr>
        <w:t>por lo que, en principio es necesario contextualizar la solicitud de información.</w:t>
      </w:r>
    </w:p>
    <w:p w14:paraId="2EDD345B" w14:textId="77777777" w:rsidR="002D0B29" w:rsidRPr="00641E80" w:rsidRDefault="002D0B29" w:rsidP="00A467BC">
      <w:pPr>
        <w:spacing w:after="0" w:line="360" w:lineRule="auto"/>
        <w:rPr>
          <w:rFonts w:eastAsia="Times New Roman" w:cs="Tahoma"/>
          <w:bCs/>
          <w:iCs/>
          <w:lang w:eastAsia="es-ES"/>
        </w:rPr>
      </w:pPr>
    </w:p>
    <w:p w14:paraId="772E526F" w14:textId="4677AACD" w:rsidR="002D0B29" w:rsidRPr="00641E80" w:rsidRDefault="002663C1" w:rsidP="00A467BC">
      <w:pPr>
        <w:spacing w:after="0" w:line="360" w:lineRule="auto"/>
        <w:rPr>
          <w:rFonts w:eastAsia="Times New Roman" w:cs="Tahoma"/>
          <w:bCs/>
          <w:iCs/>
          <w:lang w:eastAsia="es-ES"/>
        </w:rPr>
      </w:pPr>
      <w:r w:rsidRPr="00641E80">
        <w:rPr>
          <w:rFonts w:eastAsia="Times New Roman" w:cs="Tahoma"/>
          <w:bCs/>
          <w:iCs/>
          <w:lang w:eastAsia="es-ES"/>
        </w:rPr>
        <w:t>Al respecto</w:t>
      </w:r>
      <w:r w:rsidR="002D0B29" w:rsidRPr="00641E80">
        <w:rPr>
          <w:rFonts w:eastAsia="Times New Roman" w:cs="Tahoma"/>
          <w:bCs/>
          <w:iCs/>
          <w:lang w:eastAsia="es-ES"/>
        </w:rPr>
        <w:t>,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471D6230" w14:textId="77777777" w:rsidR="002D0B29" w:rsidRPr="00641E80" w:rsidRDefault="002D0B29" w:rsidP="00A467BC">
      <w:pPr>
        <w:spacing w:after="0" w:line="360" w:lineRule="auto"/>
        <w:rPr>
          <w:rFonts w:eastAsia="Times New Roman" w:cs="Tahoma"/>
          <w:bCs/>
          <w:iCs/>
          <w:lang w:eastAsia="es-ES"/>
        </w:rPr>
      </w:pPr>
    </w:p>
    <w:p w14:paraId="4D4C9AA3" w14:textId="77777777"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0ED538D5" w14:textId="77777777" w:rsidR="002D0B29" w:rsidRPr="00641E80" w:rsidRDefault="002D0B29" w:rsidP="00A467BC">
      <w:pPr>
        <w:spacing w:after="0" w:line="360" w:lineRule="auto"/>
        <w:rPr>
          <w:rFonts w:eastAsia="Times New Roman" w:cs="Tahoma"/>
          <w:bCs/>
          <w:iCs/>
          <w:lang w:eastAsia="es-ES"/>
        </w:rPr>
      </w:pPr>
    </w:p>
    <w:p w14:paraId="24F20026" w14:textId="77777777"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2FC7131" w14:textId="77777777" w:rsidR="002D0B29" w:rsidRPr="00641E80" w:rsidRDefault="002D0B29" w:rsidP="00A467BC">
      <w:pPr>
        <w:spacing w:after="0" w:line="360" w:lineRule="auto"/>
        <w:rPr>
          <w:rFonts w:eastAsia="Times New Roman" w:cs="Tahoma"/>
          <w:bCs/>
          <w:iCs/>
          <w:lang w:eastAsia="es-ES"/>
        </w:rPr>
      </w:pPr>
    </w:p>
    <w:p w14:paraId="598F5844" w14:textId="0AE61879"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t>Da la misma manera, el Anexo IV.5 Glosario de Términos, del Manual para la Planeación, Programación y Presupuesto de Egresos Municipal para el eje</w:t>
      </w:r>
      <w:r w:rsidR="00B10B27" w:rsidRPr="00641E80">
        <w:rPr>
          <w:rFonts w:eastAsia="Times New Roman" w:cs="Tahoma"/>
          <w:bCs/>
          <w:iCs/>
          <w:lang w:eastAsia="es-ES"/>
        </w:rPr>
        <w:t>rcicio fiscal dos mil veinticinco</w:t>
      </w:r>
      <w:r w:rsidRPr="00641E80">
        <w:rPr>
          <w:rFonts w:eastAsia="Times New Roman" w:cs="Tahoma"/>
          <w:bCs/>
          <w:iCs/>
          <w:lang w:eastAsia="es-ES"/>
        </w:rPr>
        <w:t>, establece que la remuneración es la percepción de un trabajador o retribución monetaria que se da en pago por su servicio o actividad desarrollada.</w:t>
      </w:r>
    </w:p>
    <w:p w14:paraId="6B39FF18" w14:textId="77777777" w:rsidR="002D0B29" w:rsidRPr="00641E80" w:rsidRDefault="002D0B29" w:rsidP="00A467BC">
      <w:pPr>
        <w:spacing w:after="0" w:line="360" w:lineRule="auto"/>
        <w:rPr>
          <w:rFonts w:eastAsia="Times New Roman" w:cs="Tahoma"/>
          <w:bCs/>
          <w:iCs/>
          <w:lang w:eastAsia="es-ES"/>
        </w:rPr>
      </w:pPr>
    </w:p>
    <w:p w14:paraId="2AFC261E" w14:textId="38458770"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FAF9C34" w14:textId="77777777" w:rsidR="002D0B29" w:rsidRPr="00641E80" w:rsidRDefault="002D0B29" w:rsidP="00A467BC">
      <w:pPr>
        <w:spacing w:after="0" w:line="360" w:lineRule="auto"/>
        <w:rPr>
          <w:rFonts w:eastAsia="Times New Roman" w:cs="Tahoma"/>
          <w:bCs/>
          <w:iCs/>
          <w:lang w:eastAsia="es-ES"/>
        </w:rPr>
      </w:pPr>
    </w:p>
    <w:p w14:paraId="3F085DFE" w14:textId="7F3FC6E1" w:rsidR="002D0B29" w:rsidRPr="00641E80" w:rsidRDefault="00B10B27" w:rsidP="00A467BC">
      <w:pPr>
        <w:spacing w:after="0" w:line="360" w:lineRule="auto"/>
        <w:rPr>
          <w:rFonts w:eastAsia="Times New Roman" w:cs="Tahoma"/>
          <w:bCs/>
          <w:iCs/>
          <w:lang w:eastAsia="es-ES"/>
        </w:rPr>
      </w:pPr>
      <w:r w:rsidRPr="00641E80">
        <w:rPr>
          <w:rFonts w:eastAsia="Times New Roman" w:cs="Tahoma"/>
          <w:bCs/>
          <w:iCs/>
          <w:lang w:eastAsia="es-ES"/>
        </w:rPr>
        <w:t>Ahora bien, respecto de los</w:t>
      </w:r>
      <w:r w:rsidR="002D0B29" w:rsidRPr="00641E80">
        <w:rPr>
          <w:rFonts w:eastAsia="Times New Roman" w:cs="Tahoma"/>
          <w:bCs/>
          <w:iCs/>
          <w:lang w:eastAsia="es-ES"/>
        </w:rPr>
        <w:t xml:space="preserve"> documento</w:t>
      </w:r>
      <w:r w:rsidRPr="00641E80">
        <w:rPr>
          <w:rFonts w:eastAsia="Times New Roman" w:cs="Tahoma"/>
          <w:bCs/>
          <w:iCs/>
          <w:lang w:eastAsia="es-ES"/>
        </w:rPr>
        <w:t>s</w:t>
      </w:r>
      <w:r w:rsidR="002D0B29" w:rsidRPr="00641E80">
        <w:rPr>
          <w:rFonts w:eastAsia="Times New Roman" w:cs="Tahoma"/>
          <w:bCs/>
          <w:iCs/>
          <w:lang w:eastAsia="es-ES"/>
        </w:rPr>
        <w:t xml:space="preserve"> requerido</w:t>
      </w:r>
      <w:r w:rsidRPr="00641E80">
        <w:rPr>
          <w:rFonts w:eastAsia="Times New Roman" w:cs="Tahoma"/>
          <w:bCs/>
          <w:iCs/>
          <w:lang w:eastAsia="es-ES"/>
        </w:rPr>
        <w:t>s</w:t>
      </w:r>
      <w:r w:rsidR="002D0B29" w:rsidRPr="00641E80">
        <w:rPr>
          <w:rFonts w:eastAsia="Times New Roman" w:cs="Tahoma"/>
          <w:bCs/>
          <w:iCs/>
          <w:lang w:eastAsia="es-ES"/>
        </w:rPr>
        <w:t>, el Glosario localizado en la página de Transparencia Presupuestaria de la Secretaría de Hacienda y Crédito Público (http://www.transparenciapresupuestaria.gob.mx/es/PTP/Glosario),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82A3559" w14:textId="77777777"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lastRenderedPageBreak/>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03F8DFFF" w14:textId="77777777" w:rsidR="002D0B29" w:rsidRPr="00641E80" w:rsidRDefault="002D0B29" w:rsidP="00A467BC">
      <w:pPr>
        <w:spacing w:after="0" w:line="360" w:lineRule="auto"/>
        <w:rPr>
          <w:rFonts w:eastAsia="Times New Roman" w:cs="Tahoma"/>
          <w:bCs/>
          <w:iCs/>
          <w:lang w:eastAsia="es-ES"/>
        </w:rPr>
      </w:pPr>
    </w:p>
    <w:p w14:paraId="7DB5E012" w14:textId="005DD7F7" w:rsidR="002D0B29" w:rsidRPr="00641E80" w:rsidRDefault="002D0B29" w:rsidP="00A467BC">
      <w:pPr>
        <w:spacing w:after="0" w:line="360" w:lineRule="auto"/>
        <w:rPr>
          <w:rFonts w:eastAsia="Times New Roman" w:cs="Tahoma"/>
          <w:bCs/>
          <w:iCs/>
          <w:lang w:eastAsia="es-ES"/>
        </w:rPr>
      </w:pPr>
      <w:r w:rsidRPr="00641E80">
        <w:rPr>
          <w:rFonts w:eastAsia="Times New Roman" w:cs="Tahoma"/>
          <w:bCs/>
          <w:iCs/>
          <w:lang w:eastAsia="es-ES"/>
        </w:rPr>
        <w:t>En ese contexto, los Lineamientos para la Integración y Entrega del Informe Trimestr</w:t>
      </w:r>
      <w:r w:rsidR="001E0F23" w:rsidRPr="00641E80">
        <w:rPr>
          <w:rFonts w:eastAsia="Times New Roman" w:cs="Tahoma"/>
          <w:bCs/>
          <w:iCs/>
          <w:lang w:eastAsia="es-ES"/>
        </w:rPr>
        <w:t>al Municipal, dos mil veinticinco</w:t>
      </w:r>
      <w:r w:rsidRPr="00641E80">
        <w:rPr>
          <w:rFonts w:eastAsia="Times New Roman" w:cs="Tahoma"/>
          <w:bCs/>
          <w:iCs/>
          <w:lang w:eastAsia="es-ES"/>
        </w:rPr>
        <w:t xml:space="preserve">, emitidos por el Órgano Superior de Fiscalización del Estado de México, el cual precisa que los </w:t>
      </w:r>
      <w:r w:rsidR="001E0F23" w:rsidRPr="00641E80">
        <w:rPr>
          <w:rFonts w:eastAsia="Times New Roman" w:cs="Tahoma"/>
          <w:bCs/>
          <w:iCs/>
          <w:lang w:eastAsia="es-ES"/>
        </w:rPr>
        <w:t xml:space="preserve">Sujetos Obligados </w:t>
      </w:r>
      <w:r w:rsidRPr="00641E80">
        <w:rPr>
          <w:rFonts w:eastAsia="Times New Roman" w:cs="Tahoma"/>
          <w:bCs/>
          <w:iCs/>
          <w:lang w:eastAsia="es-ES"/>
        </w:rPr>
        <w:t>deben de proporcionar, para su fiscalización, diversos documentos, entre los cuales se encuentran aquellos del Módulo 4, que contienen el Comprobante Bancario de Dispersión de Nómina</w:t>
      </w:r>
      <w:r w:rsidR="00654DDF" w:rsidRPr="00641E80">
        <w:rPr>
          <w:rFonts w:eastAsia="Times New Roman" w:cs="Tahoma"/>
          <w:bCs/>
          <w:iCs/>
          <w:lang w:eastAsia="es-ES"/>
        </w:rPr>
        <w:t>.</w:t>
      </w:r>
    </w:p>
    <w:p w14:paraId="456219B6" w14:textId="77777777" w:rsidR="002D0B29" w:rsidRPr="00641E80" w:rsidRDefault="002D0B29" w:rsidP="00A467BC">
      <w:pPr>
        <w:spacing w:after="0" w:line="360" w:lineRule="auto"/>
        <w:rPr>
          <w:rFonts w:eastAsia="Times New Roman" w:cs="Tahoma"/>
          <w:bCs/>
          <w:iCs/>
          <w:lang w:eastAsia="es-ES"/>
        </w:rPr>
      </w:pPr>
    </w:p>
    <w:p w14:paraId="65641FA9" w14:textId="56195184" w:rsidR="002D0B29" w:rsidRPr="00641E80" w:rsidRDefault="001E0F23" w:rsidP="00A467BC">
      <w:pPr>
        <w:spacing w:after="0" w:line="360" w:lineRule="auto"/>
        <w:rPr>
          <w:rFonts w:eastAsia="Times New Roman" w:cs="Tahoma"/>
          <w:bCs/>
          <w:iCs/>
          <w:lang w:eastAsia="es-ES"/>
        </w:rPr>
      </w:pPr>
      <w:r w:rsidRPr="00641E80">
        <w:rPr>
          <w:rFonts w:eastAsia="Times New Roman" w:cs="Tahoma"/>
          <w:bCs/>
          <w:iCs/>
          <w:lang w:eastAsia="es-ES"/>
        </w:rPr>
        <w:t>Asimismo</w:t>
      </w:r>
      <w:r w:rsidR="002D0B29" w:rsidRPr="00641E80">
        <w:rPr>
          <w:rFonts w:eastAsia="Times New Roman" w:cs="Tahoma"/>
          <w:bCs/>
          <w:iCs/>
          <w:lang w:eastAsia="es-ES"/>
        </w:rPr>
        <w:t>, los Lineamientos para la Integración y Entrega del Informe Trimestr</w:t>
      </w:r>
      <w:r w:rsidRPr="00641E80">
        <w:rPr>
          <w:rFonts w:eastAsia="Times New Roman" w:cs="Tahoma"/>
          <w:bCs/>
          <w:iCs/>
          <w:lang w:eastAsia="es-ES"/>
        </w:rPr>
        <w:t>al Municipal, dos mil veinticinco</w:t>
      </w:r>
      <w:r w:rsidR="002D0B29" w:rsidRPr="00641E80">
        <w:rPr>
          <w:rFonts w:eastAsia="Times New Roman" w:cs="Tahoma"/>
          <w:bCs/>
          <w:iCs/>
          <w:lang w:eastAsia="es-ES"/>
        </w:rPr>
        <w:t>, emitidos por el Órgano Superior de Fiscalización del Estado de Méxic</w:t>
      </w:r>
      <w:r w:rsidRPr="00641E80">
        <w:rPr>
          <w:rFonts w:eastAsia="Times New Roman" w:cs="Tahoma"/>
          <w:bCs/>
          <w:iCs/>
          <w:lang w:eastAsia="es-ES"/>
        </w:rPr>
        <w:t>o, precisa que los Sujetos Obligados</w:t>
      </w:r>
      <w:r w:rsidR="002D0B29" w:rsidRPr="00641E80">
        <w:rPr>
          <w:rFonts w:eastAsia="Times New Roman" w:cs="Tahoma"/>
          <w:bCs/>
          <w:iCs/>
          <w:lang w:eastAsia="es-ES"/>
        </w:rPr>
        <w:t xml:space="preserve"> deben de proporcionar en el Módulo 1</w:t>
      </w:r>
      <w:r w:rsidR="00571CF6" w:rsidRPr="00641E80">
        <w:rPr>
          <w:rFonts w:eastAsia="Times New Roman" w:cs="Tahoma"/>
          <w:bCs/>
          <w:iCs/>
          <w:lang w:eastAsia="es-ES"/>
        </w:rPr>
        <w:t xml:space="preserve"> “Información Contable y Financiera”</w:t>
      </w:r>
      <w:r w:rsidR="002D0B29" w:rsidRPr="00641E80">
        <w:rPr>
          <w:rFonts w:eastAsia="Times New Roman" w:cs="Tahoma"/>
          <w:bCs/>
          <w:iCs/>
          <w:lang w:eastAsia="es-ES"/>
        </w:rPr>
        <w:t>, las Conciliaciones Bancarias</w:t>
      </w:r>
      <w:r w:rsidR="00571CF6" w:rsidRPr="00641E80">
        <w:rPr>
          <w:rFonts w:eastAsia="Times New Roman" w:cs="Tahoma"/>
          <w:bCs/>
          <w:iCs/>
          <w:lang w:eastAsia="es-ES"/>
        </w:rPr>
        <w:t xml:space="preserve"> de manera mensual</w:t>
      </w:r>
      <w:r w:rsidR="002D0B29" w:rsidRPr="00641E80">
        <w:rPr>
          <w:rFonts w:eastAsia="Times New Roman" w:cs="Tahoma"/>
          <w:bCs/>
          <w:iCs/>
          <w:lang w:eastAsia="es-ES"/>
        </w:rPr>
        <w:t xml:space="preserve">, cuya finalidad es emitir información de los movimientos </w:t>
      </w:r>
      <w:r w:rsidR="00571CF6" w:rsidRPr="00641E80">
        <w:rPr>
          <w:rFonts w:eastAsia="Times New Roman" w:cs="Tahoma"/>
          <w:bCs/>
          <w:iCs/>
          <w:lang w:eastAsia="es-ES"/>
        </w:rPr>
        <w:t>bancarios realizados a detalle</w:t>
      </w:r>
      <w:r w:rsidR="002D0B29" w:rsidRPr="00641E80">
        <w:rPr>
          <w:rFonts w:eastAsia="Times New Roman" w:cs="Tahoma"/>
          <w:bCs/>
          <w:iCs/>
          <w:lang w:eastAsia="es-ES"/>
        </w:rPr>
        <w:t>, por lo que, se deberán remitir los estados de cuenta bancarios y de inversión digitalizados en todas y cada una de las páginas.</w:t>
      </w:r>
    </w:p>
    <w:p w14:paraId="3F9CBFA6" w14:textId="77777777" w:rsidR="00A63A10" w:rsidRPr="00641E80" w:rsidRDefault="00A63A10" w:rsidP="00A467BC">
      <w:pPr>
        <w:spacing w:after="0" w:line="360" w:lineRule="auto"/>
        <w:rPr>
          <w:rFonts w:eastAsia="Times New Roman" w:cs="Tahoma"/>
          <w:bCs/>
          <w:iCs/>
          <w:lang w:eastAsia="es-ES"/>
        </w:rPr>
      </w:pPr>
    </w:p>
    <w:p w14:paraId="7B710B62" w14:textId="42A75D17" w:rsidR="00A63A10" w:rsidRPr="00641E80" w:rsidRDefault="00A63A10" w:rsidP="00A467BC">
      <w:pPr>
        <w:spacing w:after="0" w:line="360" w:lineRule="auto"/>
        <w:rPr>
          <w:rFonts w:eastAsia="Times New Roman" w:cs="Tahoma"/>
          <w:bCs/>
          <w:iCs/>
          <w:lang w:eastAsia="es-ES"/>
        </w:rPr>
      </w:pPr>
      <w:r w:rsidRPr="00641E80">
        <w:rPr>
          <w:rFonts w:eastAsia="Times New Roman" w:cs="Tahoma"/>
          <w:bCs/>
          <w:iCs/>
          <w:lang w:eastAsia="es-ES"/>
        </w:rPr>
        <w:t>Ahora bien, los artículos 40, 41 y 42, del Reglamento Interno del Organismo Público Descentralizado para la Prestación de los Servicios de Agua Potable, Alcantarillado y Saneamiento del Municipio de Tlalnepantla</w:t>
      </w:r>
      <w:r w:rsidR="00B47E6F" w:rsidRPr="00641E80">
        <w:rPr>
          <w:rFonts w:eastAsia="Times New Roman" w:cs="Tahoma"/>
          <w:bCs/>
          <w:iCs/>
          <w:lang w:eastAsia="es-ES"/>
        </w:rPr>
        <w:t xml:space="preserve">, vigente, precisa que, la Oficialía Mayor a través </w:t>
      </w:r>
      <w:r w:rsidR="00B47E6F" w:rsidRPr="00641E80">
        <w:rPr>
          <w:rFonts w:eastAsia="Times New Roman" w:cs="Tahoma"/>
          <w:bCs/>
          <w:iCs/>
          <w:lang w:eastAsia="es-ES"/>
        </w:rPr>
        <w:lastRenderedPageBreak/>
        <w:t>de la Subdirección de Finanzas, se encargará de establecer e implementar el sistema y los procedimientos para llevar a cabo la contabilidad financiera, patrimonial y presupuestal e integrar y custodiar la documentación comprobatoria de los registros y controles contables y presupuestales para la integración de los informes financieros mensuales y de las cuentas públicas anuales.</w:t>
      </w:r>
    </w:p>
    <w:p w14:paraId="43D0D424" w14:textId="77777777" w:rsidR="007C36AE" w:rsidRPr="00641E80" w:rsidRDefault="007C36AE" w:rsidP="00A467BC">
      <w:pPr>
        <w:spacing w:after="0" w:line="360" w:lineRule="auto"/>
        <w:rPr>
          <w:rFonts w:cs="Tahoma"/>
          <w:bCs/>
          <w:iCs/>
        </w:rPr>
      </w:pPr>
    </w:p>
    <w:p w14:paraId="34DFB318" w14:textId="42D55792" w:rsidR="007179C4" w:rsidRPr="00641E80" w:rsidRDefault="007179C4" w:rsidP="00A467BC">
      <w:pPr>
        <w:spacing w:after="0" w:line="360" w:lineRule="auto"/>
        <w:rPr>
          <w:rFonts w:eastAsia="Times New Roman" w:cs="Tahoma"/>
          <w:bCs/>
          <w:color w:val="auto"/>
          <w:lang w:val="es-ES_tradnl" w:eastAsia="es-ES"/>
        </w:rPr>
      </w:pPr>
      <w:r w:rsidRPr="00641E80">
        <w:rPr>
          <w:rFonts w:eastAsia="Times New Roman" w:cs="Tahoma"/>
          <w:bCs/>
          <w:color w:val="auto"/>
          <w:lang w:val="es-ES_tradnl" w:eastAsia="es-ES"/>
        </w:rPr>
        <w:t xml:space="preserve">De tales circunstancias, se logra vislumbrar que la pretensión de la persona </w:t>
      </w:r>
      <w:r w:rsidR="00D43A3A" w:rsidRPr="00641E80">
        <w:rPr>
          <w:rFonts w:eastAsia="Times New Roman" w:cs="Tahoma"/>
          <w:bCs/>
          <w:color w:val="auto"/>
          <w:lang w:val="es-ES_tradnl" w:eastAsia="es-ES"/>
        </w:rPr>
        <w:t>Recurrente</w:t>
      </w:r>
      <w:r w:rsidRPr="00641E80">
        <w:rPr>
          <w:rFonts w:eastAsia="Times New Roman" w:cs="Tahoma"/>
          <w:bCs/>
          <w:color w:val="auto"/>
          <w:lang w:val="es-ES_tradnl" w:eastAsia="es-ES"/>
        </w:rPr>
        <w:t xml:space="preserve"> es obtener</w:t>
      </w:r>
      <w:r w:rsidR="00D43A3A" w:rsidRPr="00641E80">
        <w:rPr>
          <w:rFonts w:eastAsia="Times New Roman" w:cs="Tahoma"/>
          <w:bCs/>
          <w:color w:val="auto"/>
          <w:lang w:val="es-ES_tradnl" w:eastAsia="es-ES"/>
        </w:rPr>
        <w:t xml:space="preserve">, </w:t>
      </w:r>
      <w:r w:rsidR="00B47E6F" w:rsidRPr="00641E80">
        <w:rPr>
          <w:rFonts w:eastAsia="Times New Roman" w:cs="Tahoma"/>
          <w:bCs/>
          <w:color w:val="auto"/>
          <w:lang w:val="es-ES_tradnl" w:eastAsia="es-ES"/>
        </w:rPr>
        <w:t xml:space="preserve">los estados de cuenta </w:t>
      </w:r>
      <w:r w:rsidR="00654DDF" w:rsidRPr="00641E80">
        <w:rPr>
          <w:rFonts w:eastAsia="Times New Roman" w:cs="Tahoma"/>
          <w:bCs/>
          <w:color w:val="auto"/>
          <w:lang w:val="es-ES_tradnl" w:eastAsia="es-ES"/>
        </w:rPr>
        <w:t>que contengan la</w:t>
      </w:r>
      <w:r w:rsidR="00B47E6F" w:rsidRPr="00641E80">
        <w:rPr>
          <w:rFonts w:eastAsia="Times New Roman" w:cs="Tahoma"/>
          <w:bCs/>
          <w:color w:val="auto"/>
          <w:lang w:val="es-ES_tradnl" w:eastAsia="es-ES"/>
        </w:rPr>
        <w:t xml:space="preserve"> dispersión de nómina de la primera quincena de abril de dos mil veinticinco.</w:t>
      </w:r>
    </w:p>
    <w:p w14:paraId="5B5C2CDC" w14:textId="77777777" w:rsidR="001805A9" w:rsidRPr="00641E80" w:rsidRDefault="001805A9" w:rsidP="00A467BC">
      <w:pPr>
        <w:spacing w:after="0" w:line="360" w:lineRule="auto"/>
        <w:rPr>
          <w:color w:val="000000"/>
          <w:lang w:eastAsia="es-ES_tradnl"/>
        </w:rPr>
      </w:pPr>
    </w:p>
    <w:p w14:paraId="0D03BE58" w14:textId="181E1FA9" w:rsidR="00B47E6F" w:rsidRPr="00641E80" w:rsidRDefault="00B47E6F" w:rsidP="00A467BC">
      <w:pPr>
        <w:spacing w:after="0" w:line="360" w:lineRule="auto"/>
        <w:rPr>
          <w:color w:val="000000"/>
          <w:lang w:eastAsia="es-ES_tradnl"/>
        </w:rPr>
      </w:pPr>
      <w:r w:rsidRPr="00641E80">
        <w:rPr>
          <w:color w:val="000000"/>
          <w:lang w:eastAsia="es-ES_tradnl"/>
        </w:rPr>
        <w:t>Establecida dicha circunstancia, de las constancias que obran en el expediente electrónico, se advierte que el Sujeto Obligado turno la solicitud de información a la Subdirección de Finanzas;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3A9EE63" w14:textId="77777777" w:rsidR="00B47E6F" w:rsidRPr="00641E80" w:rsidRDefault="00B47E6F" w:rsidP="00A467BC">
      <w:pPr>
        <w:spacing w:after="0" w:line="360" w:lineRule="auto"/>
        <w:rPr>
          <w:color w:val="000000"/>
          <w:lang w:eastAsia="es-ES_tradnl"/>
        </w:rPr>
      </w:pPr>
    </w:p>
    <w:p w14:paraId="0724A9AD" w14:textId="4ACEE2C8" w:rsidR="00B47E6F" w:rsidRPr="00641E80" w:rsidRDefault="00B47E6F" w:rsidP="00A467BC">
      <w:pPr>
        <w:spacing w:after="0" w:line="360" w:lineRule="auto"/>
        <w:rPr>
          <w:color w:val="000000"/>
          <w:lang w:eastAsia="es-ES_tradnl"/>
        </w:rPr>
      </w:pPr>
      <w:r w:rsidRPr="00641E80">
        <w:rPr>
          <w:color w:val="000000"/>
          <w:lang w:eastAsia="es-ES_tradnl"/>
        </w:rPr>
        <w:t xml:space="preserve">Así y de lo plasmado en párrafos anteriores, se logra colegir que el Sujeto Obligado cumplió con el procedimiento de búsqueda establecido en el artículo 162 de la Ley de Transparencia </w:t>
      </w:r>
      <w:r w:rsidRPr="00641E80">
        <w:rPr>
          <w:color w:val="000000"/>
          <w:lang w:eastAsia="es-ES_tradnl"/>
        </w:rPr>
        <w:lastRenderedPageBreak/>
        <w:t>y Acceso a la Información Pública del Estado de México y Municipios, toda vez, que gestionó el requerimiento de información al área competente para conocer de los estados de cuenta.</w:t>
      </w:r>
    </w:p>
    <w:p w14:paraId="2EE38665" w14:textId="77777777" w:rsidR="00B47E6F" w:rsidRPr="00641E80" w:rsidRDefault="00B47E6F" w:rsidP="00A467BC">
      <w:pPr>
        <w:spacing w:after="0" w:line="360" w:lineRule="auto"/>
        <w:rPr>
          <w:color w:val="000000"/>
          <w:lang w:eastAsia="es-ES_tradnl"/>
        </w:rPr>
      </w:pPr>
    </w:p>
    <w:p w14:paraId="0F3F4E87" w14:textId="3034A0BB" w:rsidR="002B48B1" w:rsidRPr="00641E80" w:rsidRDefault="009351D9" w:rsidP="00A467BC">
      <w:pPr>
        <w:spacing w:after="0" w:line="360" w:lineRule="auto"/>
        <w:rPr>
          <w:color w:val="000000"/>
          <w:lang w:eastAsia="es-ES_tradnl"/>
        </w:rPr>
      </w:pPr>
      <w:r w:rsidRPr="00641E80">
        <w:rPr>
          <w:color w:val="000000"/>
          <w:lang w:eastAsia="es-ES_tradnl"/>
        </w:rPr>
        <w:t xml:space="preserve">En ese sentido, </w:t>
      </w:r>
      <w:r w:rsidR="00654DDF" w:rsidRPr="00641E80">
        <w:rPr>
          <w:color w:val="000000"/>
          <w:lang w:eastAsia="es-ES_tradnl"/>
        </w:rPr>
        <w:t xml:space="preserve">tanto </w:t>
      </w:r>
      <w:r w:rsidRPr="00641E80">
        <w:rPr>
          <w:color w:val="000000"/>
          <w:lang w:eastAsia="es-ES_tradnl"/>
        </w:rPr>
        <w:t>en respuesta</w:t>
      </w:r>
      <w:r w:rsidR="00654DDF" w:rsidRPr="00641E80">
        <w:rPr>
          <w:color w:val="000000"/>
          <w:lang w:eastAsia="es-ES_tradnl"/>
        </w:rPr>
        <w:t>,</w:t>
      </w:r>
      <w:r w:rsidRPr="00641E80">
        <w:rPr>
          <w:color w:val="000000"/>
          <w:lang w:eastAsia="es-ES_tradnl"/>
        </w:rPr>
        <w:t xml:space="preserve"> como en Informe Justificado, el Subdirector de Finanzas</w:t>
      </w:r>
      <w:r w:rsidR="002B48B1" w:rsidRPr="00641E80">
        <w:rPr>
          <w:color w:val="000000"/>
          <w:lang w:eastAsia="es-ES_tradnl"/>
        </w:rPr>
        <w:t xml:space="preserve"> adjuntó tres</w:t>
      </w:r>
      <w:r w:rsidR="00654DDF" w:rsidRPr="00641E80">
        <w:rPr>
          <w:color w:val="000000"/>
          <w:lang w:eastAsia="es-ES_tradnl"/>
        </w:rPr>
        <w:t xml:space="preserve"> extractos de</w:t>
      </w:r>
      <w:r w:rsidR="002B48B1" w:rsidRPr="00641E80">
        <w:rPr>
          <w:color w:val="000000"/>
          <w:lang w:eastAsia="es-ES_tradnl"/>
        </w:rPr>
        <w:t xml:space="preserve"> estados de cuenta de distintos Bancos, correspondientes al mes de abril de dos mil veinticinco, en versión pública, y mencionó que se entregaron incompletos ya que las hojas faltantes correspond</w:t>
      </w:r>
      <w:r w:rsidR="00654DDF" w:rsidRPr="00641E80">
        <w:rPr>
          <w:color w:val="000000"/>
          <w:lang w:eastAsia="es-ES_tradnl"/>
        </w:rPr>
        <w:t>ía</w:t>
      </w:r>
      <w:r w:rsidR="002B48B1" w:rsidRPr="00641E80">
        <w:rPr>
          <w:color w:val="000000"/>
          <w:lang w:eastAsia="es-ES_tradnl"/>
        </w:rPr>
        <w:t>n a otro periodo, como se muestra en los extractos siguientes:</w:t>
      </w:r>
    </w:p>
    <w:p w14:paraId="3FDDDDB0" w14:textId="77777777" w:rsidR="002B48B1" w:rsidRPr="00641E80" w:rsidRDefault="002B48B1" w:rsidP="00A467BC">
      <w:pPr>
        <w:spacing w:after="0" w:line="360" w:lineRule="auto"/>
        <w:rPr>
          <w:color w:val="000000"/>
          <w:lang w:eastAsia="es-ES_tradnl"/>
        </w:rPr>
      </w:pPr>
    </w:p>
    <w:p w14:paraId="69A79506" w14:textId="4B66D9AB" w:rsidR="00B47E6F" w:rsidRPr="00641E80" w:rsidRDefault="002B48B1" w:rsidP="00A467BC">
      <w:pPr>
        <w:spacing w:after="0" w:line="360" w:lineRule="auto"/>
        <w:jc w:val="center"/>
        <w:rPr>
          <w:color w:val="000000"/>
          <w:lang w:eastAsia="es-ES_tradnl"/>
        </w:rPr>
      </w:pPr>
      <w:r w:rsidRPr="00641E80">
        <w:rPr>
          <w:noProof/>
          <w:color w:val="000000"/>
        </w:rPr>
        <w:drawing>
          <wp:inline distT="0" distB="0" distL="0" distR="0" wp14:anchorId="3F12A99B" wp14:editId="1DB5A069">
            <wp:extent cx="4914900" cy="176267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5430D5.tmp"/>
                    <pic:cNvPicPr/>
                  </pic:nvPicPr>
                  <pic:blipFill>
                    <a:blip r:embed="rId9">
                      <a:extLst>
                        <a:ext uri="{28A0092B-C50C-407E-A947-70E740481C1C}">
                          <a14:useLocalDpi xmlns:a14="http://schemas.microsoft.com/office/drawing/2010/main" val="0"/>
                        </a:ext>
                      </a:extLst>
                    </a:blip>
                    <a:stretch>
                      <a:fillRect/>
                    </a:stretch>
                  </pic:blipFill>
                  <pic:spPr>
                    <a:xfrm>
                      <a:off x="0" y="0"/>
                      <a:ext cx="4925173" cy="1766356"/>
                    </a:xfrm>
                    <a:prstGeom prst="rect">
                      <a:avLst/>
                    </a:prstGeom>
                  </pic:spPr>
                </pic:pic>
              </a:graphicData>
            </a:graphic>
          </wp:inline>
        </w:drawing>
      </w:r>
    </w:p>
    <w:p w14:paraId="1E3E78B7" w14:textId="77777777" w:rsidR="00654DDF" w:rsidRPr="00641E80" w:rsidRDefault="00654DDF" w:rsidP="00A467BC">
      <w:pPr>
        <w:spacing w:after="0" w:line="360" w:lineRule="auto"/>
        <w:jc w:val="center"/>
        <w:rPr>
          <w:color w:val="000000"/>
          <w:lang w:eastAsia="es-ES_tradnl"/>
        </w:rPr>
      </w:pPr>
    </w:p>
    <w:p w14:paraId="61E4D9F6" w14:textId="15E6B6C8" w:rsidR="002B48B1" w:rsidRPr="00641E80" w:rsidRDefault="002B48B1" w:rsidP="00A467BC">
      <w:pPr>
        <w:spacing w:after="0" w:line="360" w:lineRule="auto"/>
        <w:jc w:val="center"/>
        <w:rPr>
          <w:color w:val="000000"/>
          <w:lang w:eastAsia="es-ES_tradnl"/>
        </w:rPr>
      </w:pPr>
      <w:r w:rsidRPr="00641E80">
        <w:rPr>
          <w:noProof/>
          <w:color w:val="000000"/>
        </w:rPr>
        <w:drawing>
          <wp:inline distT="0" distB="0" distL="0" distR="0" wp14:anchorId="4EFED299" wp14:editId="27B42D89">
            <wp:extent cx="4857750" cy="127984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5475FD.tmp"/>
                    <pic:cNvPicPr/>
                  </pic:nvPicPr>
                  <pic:blipFill>
                    <a:blip r:embed="rId10">
                      <a:extLst>
                        <a:ext uri="{28A0092B-C50C-407E-A947-70E740481C1C}">
                          <a14:useLocalDpi xmlns:a14="http://schemas.microsoft.com/office/drawing/2010/main" val="0"/>
                        </a:ext>
                      </a:extLst>
                    </a:blip>
                    <a:stretch>
                      <a:fillRect/>
                    </a:stretch>
                  </pic:blipFill>
                  <pic:spPr>
                    <a:xfrm>
                      <a:off x="0" y="0"/>
                      <a:ext cx="4880066" cy="1285723"/>
                    </a:xfrm>
                    <a:prstGeom prst="rect">
                      <a:avLst/>
                    </a:prstGeom>
                  </pic:spPr>
                </pic:pic>
              </a:graphicData>
            </a:graphic>
          </wp:inline>
        </w:drawing>
      </w:r>
    </w:p>
    <w:p w14:paraId="15ED96E9" w14:textId="3CDCC27A" w:rsidR="002B48B1" w:rsidRPr="00641E80" w:rsidRDefault="002B48B1" w:rsidP="00A467BC">
      <w:pPr>
        <w:spacing w:after="0" w:line="360" w:lineRule="auto"/>
        <w:jc w:val="center"/>
        <w:rPr>
          <w:color w:val="000000"/>
          <w:lang w:eastAsia="es-ES_tradnl"/>
        </w:rPr>
      </w:pPr>
      <w:r w:rsidRPr="00641E80">
        <w:rPr>
          <w:noProof/>
          <w:color w:val="000000"/>
        </w:rPr>
        <w:lastRenderedPageBreak/>
        <w:drawing>
          <wp:inline distT="0" distB="0" distL="0" distR="0" wp14:anchorId="7C1D951D" wp14:editId="7C51062D">
            <wp:extent cx="4819650" cy="213918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54C680.tmp"/>
                    <pic:cNvPicPr/>
                  </pic:nvPicPr>
                  <pic:blipFill>
                    <a:blip r:embed="rId11">
                      <a:extLst>
                        <a:ext uri="{28A0092B-C50C-407E-A947-70E740481C1C}">
                          <a14:useLocalDpi xmlns:a14="http://schemas.microsoft.com/office/drawing/2010/main" val="0"/>
                        </a:ext>
                      </a:extLst>
                    </a:blip>
                    <a:stretch>
                      <a:fillRect/>
                    </a:stretch>
                  </pic:blipFill>
                  <pic:spPr>
                    <a:xfrm>
                      <a:off x="0" y="0"/>
                      <a:ext cx="4834560" cy="2145807"/>
                    </a:xfrm>
                    <a:prstGeom prst="rect">
                      <a:avLst/>
                    </a:prstGeom>
                  </pic:spPr>
                </pic:pic>
              </a:graphicData>
            </a:graphic>
          </wp:inline>
        </w:drawing>
      </w:r>
    </w:p>
    <w:p w14:paraId="70FB02B2" w14:textId="77777777" w:rsidR="009351D9" w:rsidRPr="00641E80" w:rsidRDefault="009351D9" w:rsidP="00A467BC">
      <w:pPr>
        <w:spacing w:after="0" w:line="360" w:lineRule="auto"/>
        <w:rPr>
          <w:color w:val="000000"/>
          <w:lang w:eastAsia="es-ES_tradnl"/>
        </w:rPr>
      </w:pPr>
    </w:p>
    <w:p w14:paraId="5586E6B5" w14:textId="772EDCA6" w:rsidR="00654DDF" w:rsidRPr="00641E80" w:rsidRDefault="005B25A0" w:rsidP="00A467BC">
      <w:pPr>
        <w:spacing w:after="0" w:line="360" w:lineRule="auto"/>
        <w:rPr>
          <w:color w:val="000000"/>
          <w:lang w:eastAsia="es-ES_tradnl"/>
        </w:rPr>
      </w:pPr>
      <w:r w:rsidRPr="00641E80">
        <w:rPr>
          <w:color w:val="000000"/>
          <w:lang w:eastAsia="es-ES_tradnl"/>
        </w:rPr>
        <w:t>En ese sentido, si bien el Sujeto Obligado mencionó que se entregaron incompletos ya que las hojas faltantes corresponden a otro periodo,</w:t>
      </w:r>
      <w:r w:rsidR="00654DDF" w:rsidRPr="00641E80">
        <w:rPr>
          <w:color w:val="000000"/>
          <w:lang w:eastAsia="es-ES_tradnl"/>
        </w:rPr>
        <w:t xml:space="preserve"> también lo es que el Particular no requirió una parte de la documental, sino solicitó los Estados de Cuenta Bancarios completos en donde se advierta la dispersión de nómina de la primera quincena de abril de dos mil veinticinco.</w:t>
      </w:r>
    </w:p>
    <w:p w14:paraId="3FEA68CE" w14:textId="77777777" w:rsidR="00654DDF" w:rsidRPr="00641E80" w:rsidRDefault="00654DDF" w:rsidP="00A467BC">
      <w:pPr>
        <w:spacing w:after="0" w:line="360" w:lineRule="auto"/>
        <w:rPr>
          <w:color w:val="000000"/>
          <w:lang w:eastAsia="es-ES_tradnl"/>
        </w:rPr>
      </w:pPr>
    </w:p>
    <w:p w14:paraId="76902163" w14:textId="64EA9F0B" w:rsidR="00654DDF" w:rsidRPr="00641E80" w:rsidRDefault="00654DDF" w:rsidP="00A467BC">
      <w:pPr>
        <w:spacing w:after="0" w:line="360" w:lineRule="auto"/>
        <w:rPr>
          <w:color w:val="000000"/>
          <w:lang w:eastAsia="es-ES_tradnl"/>
        </w:rPr>
      </w:pPr>
      <w:r w:rsidRPr="00641E80">
        <w:rPr>
          <w:color w:val="000000"/>
          <w:lang w:eastAsia="es-ES_tradnl"/>
        </w:rPr>
        <w:t xml:space="preserve">Es decir, si bien </w:t>
      </w:r>
      <w:r w:rsidR="005B25A0" w:rsidRPr="00641E80">
        <w:rPr>
          <w:color w:val="000000"/>
          <w:lang w:eastAsia="es-ES_tradnl"/>
        </w:rPr>
        <w:t>los tres estados de cuenta</w:t>
      </w:r>
      <w:r w:rsidRPr="00641E80">
        <w:rPr>
          <w:color w:val="000000"/>
          <w:lang w:eastAsia="es-ES_tradnl"/>
        </w:rPr>
        <w:t xml:space="preserve"> proporcionados, son aquellos que dan cuenta de lo peticionado, al contener los movimientos bancarios</w:t>
      </w:r>
      <w:r w:rsidR="005B25A0" w:rsidRPr="00641E80">
        <w:rPr>
          <w:color w:val="000000"/>
          <w:lang w:eastAsia="es-ES_tradnl"/>
        </w:rPr>
        <w:t xml:space="preserve"> del primero al treinta de abril de dos mil veinticinco, </w:t>
      </w:r>
      <w:r w:rsidR="009E5763" w:rsidRPr="00641E80">
        <w:rPr>
          <w:color w:val="000000"/>
          <w:lang w:eastAsia="es-ES_tradnl"/>
        </w:rPr>
        <w:t xml:space="preserve">que constan de diez hojas Banorte, ocho hojas BBVA y siete hojas Santander, </w:t>
      </w:r>
      <w:r w:rsidRPr="00641E80">
        <w:rPr>
          <w:color w:val="000000"/>
          <w:lang w:eastAsia="es-ES_tradnl"/>
        </w:rPr>
        <w:t>lo cierto es al proporcionar parte de estos, se advierte que se encuentran incompletos.</w:t>
      </w:r>
    </w:p>
    <w:p w14:paraId="35B71C25" w14:textId="77777777" w:rsidR="00654DDF" w:rsidRPr="00641E80" w:rsidRDefault="00654DDF" w:rsidP="00A467BC">
      <w:pPr>
        <w:spacing w:after="0" w:line="360" w:lineRule="auto"/>
        <w:rPr>
          <w:color w:val="000000"/>
          <w:lang w:eastAsia="es-ES_tradnl"/>
        </w:rPr>
      </w:pPr>
    </w:p>
    <w:p w14:paraId="295E9113" w14:textId="7C4F781D" w:rsidR="00654DDF" w:rsidRPr="00641E80" w:rsidRDefault="009E5763" w:rsidP="00A467BC">
      <w:pPr>
        <w:spacing w:after="0" w:line="360" w:lineRule="auto"/>
        <w:rPr>
          <w:color w:val="000000"/>
          <w:lang w:eastAsia="es-ES_tradnl"/>
        </w:rPr>
      </w:pPr>
      <w:r w:rsidRPr="00641E80">
        <w:rPr>
          <w:color w:val="000000"/>
          <w:lang w:eastAsia="es-ES_tradnl"/>
        </w:rPr>
        <w:t xml:space="preserve">En esa tesitura, se concluye que el Sujeto Obligado no satisfizo el derecho de acceso a la información del Solicitante, al no </w:t>
      </w:r>
      <w:r w:rsidR="0080685F" w:rsidRPr="00641E80">
        <w:rPr>
          <w:color w:val="000000"/>
          <w:lang w:eastAsia="es-ES_tradnl"/>
        </w:rPr>
        <w:t>entregar la información de manera completa</w:t>
      </w:r>
      <w:r w:rsidRPr="00641E80">
        <w:rPr>
          <w:color w:val="000000"/>
          <w:lang w:eastAsia="es-ES_tradnl"/>
        </w:rPr>
        <w:t xml:space="preserve">, lo cual da como resultado que el agravio sea </w:t>
      </w:r>
      <w:r w:rsidRPr="00641E80">
        <w:rPr>
          <w:b/>
          <w:color w:val="000000"/>
          <w:lang w:eastAsia="es-ES_tradnl"/>
        </w:rPr>
        <w:t>FUNDADO</w:t>
      </w:r>
      <w:r w:rsidRPr="00641E80">
        <w:rPr>
          <w:color w:val="000000"/>
          <w:lang w:eastAsia="es-ES_tradnl"/>
        </w:rPr>
        <w:t xml:space="preserve">; por lo que, para atender el requerimiento de </w:t>
      </w:r>
      <w:r w:rsidRPr="00641E80">
        <w:rPr>
          <w:color w:val="000000"/>
          <w:lang w:eastAsia="es-ES_tradnl"/>
        </w:rPr>
        <w:lastRenderedPageBreak/>
        <w:t xml:space="preserve">la información, el Sujeto Obligado deberá </w:t>
      </w:r>
      <w:r w:rsidR="00654DDF" w:rsidRPr="00641E80">
        <w:rPr>
          <w:color w:val="000000"/>
          <w:lang w:eastAsia="es-ES_tradnl"/>
        </w:rPr>
        <w:t>proporcionar los estados entregados en respuesta, de manera completa, es decir, con todas las hojas que lo conforman.</w:t>
      </w:r>
    </w:p>
    <w:p w14:paraId="505B41A7" w14:textId="77777777" w:rsidR="00654DDF" w:rsidRPr="00641E80" w:rsidRDefault="00654DDF" w:rsidP="00A467BC">
      <w:pPr>
        <w:spacing w:after="0" w:line="360" w:lineRule="auto"/>
        <w:rPr>
          <w:color w:val="000000"/>
          <w:lang w:eastAsia="es-ES_tradnl"/>
        </w:rPr>
      </w:pPr>
    </w:p>
    <w:p w14:paraId="7C3101EE" w14:textId="77777777" w:rsidR="00BD5326" w:rsidRPr="00641E80" w:rsidRDefault="00BD5326" w:rsidP="00A467BC">
      <w:pPr>
        <w:spacing w:after="0" w:line="360" w:lineRule="auto"/>
        <w:rPr>
          <w:color w:val="000000"/>
          <w:lang w:eastAsia="es-ES_tradnl"/>
        </w:rPr>
      </w:pPr>
      <w:r w:rsidRPr="00641E80">
        <w:rPr>
          <w:color w:val="000000"/>
          <w:lang w:eastAsia="es-ES_tradnl"/>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F23FB72" w14:textId="77777777" w:rsidR="00BD5326" w:rsidRPr="00641E80" w:rsidRDefault="00BD5326" w:rsidP="00A467BC">
      <w:pPr>
        <w:spacing w:after="0" w:line="360" w:lineRule="auto"/>
        <w:rPr>
          <w:color w:val="000000"/>
          <w:lang w:eastAsia="es-ES_tradnl"/>
        </w:rPr>
      </w:pPr>
    </w:p>
    <w:p w14:paraId="22724B83" w14:textId="77777777" w:rsidR="00BD5326" w:rsidRPr="00641E80" w:rsidRDefault="00BD5326" w:rsidP="00A467BC">
      <w:pPr>
        <w:spacing w:after="0" w:line="360" w:lineRule="auto"/>
        <w:rPr>
          <w:color w:val="000000"/>
          <w:lang w:eastAsia="es-ES_tradnl"/>
        </w:rPr>
      </w:pPr>
      <w:r w:rsidRPr="00641E80">
        <w:rPr>
          <w:color w:val="000000"/>
          <w:lang w:eastAsia="es-ES_tradnl"/>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5C7A740" w14:textId="77777777" w:rsidR="00BD5326" w:rsidRPr="00641E80" w:rsidRDefault="00BD5326" w:rsidP="00A467BC">
      <w:pPr>
        <w:spacing w:after="0" w:line="360" w:lineRule="auto"/>
        <w:rPr>
          <w:color w:val="000000"/>
          <w:lang w:eastAsia="es-ES_tradnl"/>
        </w:rPr>
      </w:pPr>
    </w:p>
    <w:p w14:paraId="76D3EE28" w14:textId="394D3CFE" w:rsidR="00BF026B" w:rsidRPr="00641E80" w:rsidRDefault="00BD5326" w:rsidP="00A467BC">
      <w:pPr>
        <w:spacing w:after="0" w:line="360" w:lineRule="auto"/>
        <w:rPr>
          <w:color w:val="0D0D0D"/>
        </w:rPr>
      </w:pPr>
      <w:r w:rsidRPr="00641E80">
        <w:rPr>
          <w:color w:val="000000"/>
          <w:lang w:eastAsia="es-ES_tradnl"/>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estados de cuenta bancarios en todas y cada una de sus páginas.</w:t>
      </w:r>
      <w:r w:rsidR="00654DDF" w:rsidRPr="00641E80">
        <w:rPr>
          <w:color w:val="000000"/>
          <w:lang w:eastAsia="es-ES_tradnl"/>
        </w:rPr>
        <w:t xml:space="preserve"> </w:t>
      </w:r>
      <w:r w:rsidR="00C948E6" w:rsidRPr="00641E80">
        <w:rPr>
          <w:color w:val="0D0D0D"/>
        </w:rPr>
        <w:t xml:space="preserve">Ahora bien, de la revisión de dichos documentos </w:t>
      </w:r>
      <w:r w:rsidR="00BF026B" w:rsidRPr="00641E80">
        <w:rPr>
          <w:color w:val="0D0D0D"/>
        </w:rPr>
        <w:t>se testaron los datos siguientes:</w:t>
      </w:r>
    </w:p>
    <w:p w14:paraId="7A7CFFBD" w14:textId="77777777" w:rsidR="00BF026B" w:rsidRPr="00641E80" w:rsidRDefault="00BF026B" w:rsidP="00A467BC">
      <w:pPr>
        <w:spacing w:after="0" w:line="360" w:lineRule="auto"/>
        <w:rPr>
          <w:color w:val="0D0D0D"/>
        </w:rPr>
      </w:pPr>
    </w:p>
    <w:p w14:paraId="1AB28ECF" w14:textId="2129B2B8" w:rsidR="005C222C" w:rsidRPr="00641E80" w:rsidRDefault="00BD5326" w:rsidP="00A467BC">
      <w:pPr>
        <w:pStyle w:val="Prrafodelista"/>
        <w:numPr>
          <w:ilvl w:val="0"/>
          <w:numId w:val="30"/>
        </w:numPr>
        <w:spacing w:line="360" w:lineRule="auto"/>
        <w:rPr>
          <w:color w:val="0D0D0D"/>
        </w:rPr>
      </w:pPr>
      <w:r w:rsidRPr="00641E80">
        <w:rPr>
          <w:color w:val="0D0D0D"/>
        </w:rPr>
        <w:lastRenderedPageBreak/>
        <w:t>Clave y cuenta interbancario, y</w:t>
      </w:r>
    </w:p>
    <w:p w14:paraId="57BA09DE" w14:textId="4D8C481C" w:rsidR="00BD5326" w:rsidRPr="00641E80" w:rsidRDefault="00BD5326" w:rsidP="00A467BC">
      <w:pPr>
        <w:pStyle w:val="Prrafodelista"/>
        <w:numPr>
          <w:ilvl w:val="0"/>
          <w:numId w:val="30"/>
        </w:numPr>
        <w:spacing w:line="360" w:lineRule="auto"/>
        <w:rPr>
          <w:color w:val="0D0D0D"/>
        </w:rPr>
      </w:pPr>
      <w:r w:rsidRPr="00641E80">
        <w:rPr>
          <w:color w:val="0D0D0D"/>
        </w:rPr>
        <w:t>Nombre de beneficiarios.</w:t>
      </w:r>
    </w:p>
    <w:p w14:paraId="16300C60" w14:textId="6ACE4BB5" w:rsidR="00BF026B" w:rsidRPr="00641E80" w:rsidRDefault="00BF026B" w:rsidP="00A467BC">
      <w:pPr>
        <w:spacing w:after="0" w:line="360" w:lineRule="auto"/>
        <w:rPr>
          <w:color w:val="0D0D0D"/>
        </w:rPr>
      </w:pPr>
    </w:p>
    <w:p w14:paraId="3CCCF085" w14:textId="0C8A2C5D" w:rsidR="005C222C" w:rsidRPr="00641E80" w:rsidRDefault="005C222C" w:rsidP="00A467BC">
      <w:pPr>
        <w:spacing w:after="0" w:line="360" w:lineRule="auto"/>
        <w:rPr>
          <w:color w:val="0D0D0D"/>
        </w:rPr>
      </w:pPr>
      <w:r w:rsidRPr="00641E80">
        <w:rPr>
          <w:color w:val="0D0D0D"/>
        </w:rPr>
        <w:t>De lo anterior, resulta procedente analizar si dichos datos son públicos o privados; al respecto, cabe mencionar que el artículo 143, fracción I, de la Ley previamente citada, establece que la información privada y los datos personales, concernientes a una persona física o jurídica colectiva identificada o identificable son confidenciales.</w:t>
      </w:r>
    </w:p>
    <w:p w14:paraId="1D33F0AA" w14:textId="77777777" w:rsidR="005C222C" w:rsidRPr="00641E80" w:rsidRDefault="005C222C" w:rsidP="00A467BC">
      <w:pPr>
        <w:spacing w:after="0" w:line="360" w:lineRule="auto"/>
        <w:rPr>
          <w:color w:val="0D0D0D"/>
        </w:rPr>
      </w:pPr>
    </w:p>
    <w:p w14:paraId="6CA47522" w14:textId="77777777" w:rsidR="005C222C" w:rsidRPr="00641E80" w:rsidRDefault="005C222C" w:rsidP="00A467BC">
      <w:pPr>
        <w:spacing w:after="0" w:line="360" w:lineRule="auto"/>
        <w:rPr>
          <w:color w:val="0D0D0D"/>
        </w:rPr>
      </w:pPr>
      <w:r w:rsidRPr="00641E80">
        <w:rPr>
          <w:color w:val="0D0D0D"/>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C2E8F36" w14:textId="77777777" w:rsidR="005C222C" w:rsidRPr="00641E80" w:rsidRDefault="005C222C" w:rsidP="00A467BC">
      <w:pPr>
        <w:spacing w:after="0" w:line="360" w:lineRule="auto"/>
        <w:rPr>
          <w:color w:val="0D0D0D"/>
        </w:rPr>
      </w:pPr>
    </w:p>
    <w:p w14:paraId="2139002F" w14:textId="77777777" w:rsidR="005C222C" w:rsidRPr="00641E80" w:rsidRDefault="005C222C" w:rsidP="00A467BC">
      <w:pPr>
        <w:spacing w:after="0" w:line="360" w:lineRule="auto"/>
        <w:rPr>
          <w:color w:val="0D0D0D"/>
        </w:rPr>
      </w:pPr>
      <w:r w:rsidRPr="00641E80">
        <w:rPr>
          <w:color w:val="0D0D0D"/>
        </w:rPr>
        <w:t>En términos de lo expuesto, la documentación y aquellos datos que se consideren confidenciales, serán una limitante del derecho de acceso a la información, siempre y cuando:</w:t>
      </w:r>
    </w:p>
    <w:p w14:paraId="22C8BE67" w14:textId="77777777" w:rsidR="005C222C" w:rsidRPr="00641E80" w:rsidRDefault="005C222C" w:rsidP="00A467BC">
      <w:pPr>
        <w:spacing w:after="0" w:line="360" w:lineRule="auto"/>
        <w:rPr>
          <w:color w:val="0D0D0D"/>
        </w:rPr>
      </w:pPr>
    </w:p>
    <w:p w14:paraId="0A3D3928" w14:textId="77777777" w:rsidR="005C222C" w:rsidRPr="00641E80" w:rsidRDefault="005C222C" w:rsidP="00A467BC">
      <w:pPr>
        <w:spacing w:after="0" w:line="360" w:lineRule="auto"/>
        <w:rPr>
          <w:color w:val="0D0D0D"/>
        </w:rPr>
      </w:pPr>
      <w:r w:rsidRPr="00641E80">
        <w:rPr>
          <w:color w:val="0D0D0D"/>
        </w:rPr>
        <w:t xml:space="preserve">A. Se trate de datos personales o información privada; esto es, información concerniente a una persona física o jurídico colectiva y que esta sea identificada o identificable. </w:t>
      </w:r>
    </w:p>
    <w:p w14:paraId="69C66ECC" w14:textId="77777777" w:rsidR="005C222C" w:rsidRPr="00641E80" w:rsidRDefault="005C222C" w:rsidP="00A467BC">
      <w:pPr>
        <w:spacing w:after="0" w:line="360" w:lineRule="auto"/>
        <w:rPr>
          <w:color w:val="0D0D0D"/>
        </w:rPr>
      </w:pPr>
      <w:r w:rsidRPr="00641E80">
        <w:rPr>
          <w:color w:val="0D0D0D"/>
        </w:rPr>
        <w:t xml:space="preserve">B. Para la difusión de los datos, se requiera el consentimiento del titular. </w:t>
      </w:r>
    </w:p>
    <w:p w14:paraId="7C957BF2" w14:textId="77777777" w:rsidR="005C222C" w:rsidRPr="00641E80" w:rsidRDefault="005C222C" w:rsidP="00A467BC">
      <w:pPr>
        <w:spacing w:after="0" w:line="360" w:lineRule="auto"/>
        <w:rPr>
          <w:color w:val="0D0D0D"/>
        </w:rPr>
      </w:pPr>
    </w:p>
    <w:p w14:paraId="0DC0EC14" w14:textId="77777777" w:rsidR="005C222C" w:rsidRPr="00641E80" w:rsidRDefault="005C222C" w:rsidP="00A467BC">
      <w:pPr>
        <w:spacing w:after="0" w:line="360" w:lineRule="auto"/>
        <w:rPr>
          <w:color w:val="0D0D0D"/>
        </w:rPr>
      </w:pPr>
      <w:r w:rsidRPr="00641E80">
        <w:rPr>
          <w:color w:val="0D0D0D"/>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D2D63CD" w14:textId="77777777" w:rsidR="005C222C" w:rsidRPr="00641E80" w:rsidRDefault="005C222C" w:rsidP="00A467BC">
      <w:pPr>
        <w:spacing w:after="0" w:line="360" w:lineRule="auto"/>
        <w:rPr>
          <w:color w:val="0D0D0D"/>
        </w:rPr>
      </w:pPr>
    </w:p>
    <w:p w14:paraId="115A9394" w14:textId="77777777" w:rsidR="005C222C" w:rsidRPr="00641E80" w:rsidRDefault="005C222C" w:rsidP="00A467BC">
      <w:pPr>
        <w:spacing w:after="0" w:line="360" w:lineRule="auto"/>
        <w:rPr>
          <w:color w:val="0D0D0D"/>
        </w:rPr>
      </w:pPr>
      <w:r w:rsidRPr="00641E80">
        <w:rPr>
          <w:color w:val="0D0D0D"/>
        </w:rPr>
        <w:t>Además, en el artículo 5° de dicho ordenamiento jurídico, establece que es la Ley aplicable para todo tratamiento de datos personales.</w:t>
      </w:r>
    </w:p>
    <w:p w14:paraId="5ADC6204" w14:textId="77777777" w:rsidR="005C222C" w:rsidRPr="00641E80" w:rsidRDefault="005C222C" w:rsidP="00A467BC">
      <w:pPr>
        <w:spacing w:after="0" w:line="360" w:lineRule="auto"/>
        <w:rPr>
          <w:color w:val="0D0D0D"/>
        </w:rPr>
      </w:pPr>
    </w:p>
    <w:p w14:paraId="272CAFD9" w14:textId="53A917B5" w:rsidR="005C222C" w:rsidRPr="00641E80" w:rsidRDefault="005C222C" w:rsidP="00A467BC">
      <w:pPr>
        <w:spacing w:after="0" w:line="360" w:lineRule="auto"/>
        <w:rPr>
          <w:color w:val="0D0D0D"/>
        </w:rPr>
      </w:pPr>
      <w:r w:rsidRPr="00641E80">
        <w:rPr>
          <w:color w:val="0D0D0D"/>
        </w:rPr>
        <w:t>Bajo ese contexto, se analizarán los datos personales encontrados en el documento entregado; esto es, verificar si actualizan la causal de clasificación establecida en el artículo 143, fracción I, de la Ley de Transparencia y Acceso a la Información Pública del Estado de México y Municipios.</w:t>
      </w:r>
    </w:p>
    <w:p w14:paraId="57DDB42E" w14:textId="77777777" w:rsidR="00EE1EF0" w:rsidRPr="00641E80" w:rsidRDefault="00EE1EF0" w:rsidP="00A467BC">
      <w:pPr>
        <w:spacing w:after="0" w:line="360" w:lineRule="auto"/>
        <w:rPr>
          <w:color w:val="0D0D0D"/>
        </w:rPr>
      </w:pPr>
    </w:p>
    <w:p w14:paraId="53C21759" w14:textId="61ADEF5D" w:rsidR="00EE1EF0" w:rsidRPr="00641E80" w:rsidRDefault="00EE1EF0" w:rsidP="00A467BC">
      <w:pPr>
        <w:pStyle w:val="Prrafodelista"/>
        <w:numPr>
          <w:ilvl w:val="0"/>
          <w:numId w:val="34"/>
        </w:numPr>
        <w:spacing w:line="360" w:lineRule="auto"/>
        <w:rPr>
          <w:b/>
          <w:color w:val="0D0D0D"/>
        </w:rPr>
      </w:pPr>
      <w:r w:rsidRPr="00641E80">
        <w:rPr>
          <w:b/>
          <w:color w:val="0D0D0D"/>
        </w:rPr>
        <w:t>Nombre de personas físicas empleados, proveedores</w:t>
      </w:r>
      <w:r w:rsidR="004F16EC" w:rsidRPr="00641E80">
        <w:rPr>
          <w:b/>
          <w:color w:val="0D0D0D"/>
        </w:rPr>
        <w:t>, contratistas y que</w:t>
      </w:r>
      <w:r w:rsidRPr="00641E80">
        <w:rPr>
          <w:b/>
          <w:color w:val="0D0D0D"/>
        </w:rPr>
        <w:t xml:space="preserve"> recibieron recursos públicos por cual</w:t>
      </w:r>
      <w:r w:rsidR="004F16EC" w:rsidRPr="00641E80">
        <w:rPr>
          <w:b/>
          <w:color w:val="0D0D0D"/>
        </w:rPr>
        <w:t>quier motivo (beneficiarios)</w:t>
      </w:r>
      <w:r w:rsidR="00A467BC" w:rsidRPr="00641E80">
        <w:rPr>
          <w:b/>
          <w:color w:val="0D0D0D"/>
        </w:rPr>
        <w:t>.</w:t>
      </w:r>
    </w:p>
    <w:p w14:paraId="580696DC" w14:textId="77777777" w:rsidR="00EE1EF0" w:rsidRPr="00641E80" w:rsidRDefault="00EE1EF0" w:rsidP="00A467BC">
      <w:pPr>
        <w:spacing w:after="0" w:line="360" w:lineRule="auto"/>
        <w:rPr>
          <w:color w:val="0D0D0D"/>
        </w:rPr>
      </w:pPr>
    </w:p>
    <w:p w14:paraId="0FD6547C" w14:textId="77777777" w:rsidR="00EE1EF0" w:rsidRPr="00641E80" w:rsidRDefault="00EE1EF0" w:rsidP="00A467BC">
      <w:pPr>
        <w:spacing w:after="0" w:line="360" w:lineRule="auto"/>
        <w:rPr>
          <w:color w:val="0D0D0D"/>
        </w:rPr>
      </w:pPr>
      <w:r w:rsidRPr="00641E80">
        <w:rPr>
          <w:color w:val="0D0D0D"/>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w:t>
      </w:r>
      <w:r w:rsidRPr="00641E80">
        <w:rPr>
          <w:color w:val="0D0D0D"/>
        </w:rPr>
        <w:lastRenderedPageBreak/>
        <w:t>del artículo 2.3 del Código Civil del Estado de México, de tal suerte, el nombre per se es un elemento que hace a una persona física identificada o identificable.</w:t>
      </w:r>
    </w:p>
    <w:p w14:paraId="2C73D55E" w14:textId="77777777" w:rsidR="00EE1EF0" w:rsidRPr="00641E80" w:rsidRDefault="00EE1EF0" w:rsidP="00A467BC">
      <w:pPr>
        <w:spacing w:after="0" w:line="360" w:lineRule="auto"/>
        <w:rPr>
          <w:color w:val="0D0D0D"/>
        </w:rPr>
      </w:pPr>
    </w:p>
    <w:p w14:paraId="72CD3317" w14:textId="77777777" w:rsidR="00EE1EF0" w:rsidRPr="00641E80" w:rsidRDefault="00EE1EF0" w:rsidP="00A467BC">
      <w:pPr>
        <w:spacing w:after="0" w:line="360" w:lineRule="auto"/>
        <w:rPr>
          <w:color w:val="0D0D0D"/>
        </w:rPr>
      </w:pPr>
      <w:r w:rsidRPr="00641E80">
        <w:rPr>
          <w:color w:val="0D0D0D"/>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452DDF2F" w14:textId="77777777" w:rsidR="00EE1EF0" w:rsidRPr="00641E80" w:rsidRDefault="00EE1EF0" w:rsidP="00A467BC">
      <w:pPr>
        <w:spacing w:after="0" w:line="360" w:lineRule="auto"/>
        <w:rPr>
          <w:color w:val="0D0D0D"/>
        </w:rPr>
      </w:pPr>
    </w:p>
    <w:p w14:paraId="0BD7E239" w14:textId="77777777" w:rsidR="00EE1EF0" w:rsidRPr="00641E80" w:rsidRDefault="00EE1EF0" w:rsidP="00A467BC">
      <w:pPr>
        <w:spacing w:after="0" w:line="360" w:lineRule="auto"/>
        <w:rPr>
          <w:color w:val="0D0D0D"/>
        </w:rPr>
      </w:pPr>
      <w:r w:rsidRPr="00641E80">
        <w:rPr>
          <w:color w:val="0D0D0D"/>
        </w:rPr>
        <w:t>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740E5781" w14:textId="77777777" w:rsidR="00EE1EF0" w:rsidRPr="00641E80" w:rsidRDefault="00EE1EF0" w:rsidP="00A467BC">
      <w:pPr>
        <w:spacing w:after="0" w:line="360" w:lineRule="auto"/>
        <w:rPr>
          <w:color w:val="0D0D0D"/>
        </w:rPr>
      </w:pPr>
    </w:p>
    <w:p w14:paraId="653FF5E8" w14:textId="596A95FF" w:rsidR="00EE1EF0" w:rsidRPr="00641E80" w:rsidRDefault="00EE1EF0" w:rsidP="00A467BC">
      <w:pPr>
        <w:spacing w:after="0" w:line="360" w:lineRule="auto"/>
        <w:rPr>
          <w:color w:val="0D0D0D"/>
        </w:rPr>
      </w:pPr>
      <w:r w:rsidRPr="00641E80">
        <w:rPr>
          <w:color w:val="0D0D0D"/>
        </w:rPr>
        <w:t xml:space="preserve">Además, se robustece </w:t>
      </w:r>
      <w:r w:rsidR="004F16EC" w:rsidRPr="00641E80">
        <w:rPr>
          <w:color w:val="0D0D0D"/>
        </w:rPr>
        <w:t xml:space="preserve">a manera de analogía </w:t>
      </w:r>
      <w:r w:rsidRPr="00641E80">
        <w:rPr>
          <w:color w:val="0D0D0D"/>
        </w:rPr>
        <w:t>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4F16EC" w:rsidRPr="00641E80">
        <w:rPr>
          <w:color w:val="0D0D0D"/>
        </w:rPr>
        <w:t>, vigente a la fecha de la solicitud</w:t>
      </w:r>
      <w:r w:rsidRPr="00641E80">
        <w:rPr>
          <w:color w:val="0D0D0D"/>
        </w:rPr>
        <w:t xml:space="preserve">, </w:t>
      </w:r>
      <w:r w:rsidRPr="00641E80">
        <w:rPr>
          <w:color w:val="0D0D0D"/>
        </w:rPr>
        <w:lastRenderedPageBreak/>
        <w:t>que deben de difundir los sujetos obligados en los portales de Internet y en la Plataforma Nacional de Transparencia, tal como se muestran a continuación:</w:t>
      </w:r>
    </w:p>
    <w:p w14:paraId="61C9C3D5" w14:textId="77777777" w:rsidR="00EE1EF0" w:rsidRPr="00641E80" w:rsidRDefault="00EE1EF0" w:rsidP="00A467BC">
      <w:pPr>
        <w:spacing w:after="0" w:line="360" w:lineRule="auto"/>
        <w:rPr>
          <w:color w:val="0D0D0D"/>
        </w:rPr>
      </w:pPr>
    </w:p>
    <w:p w14:paraId="42BAF5B3" w14:textId="52A5755C" w:rsidR="00EE1EF0" w:rsidRPr="00641E80" w:rsidRDefault="00EE1EF0" w:rsidP="00A467BC">
      <w:pPr>
        <w:spacing w:after="0" w:line="360" w:lineRule="auto"/>
        <w:jc w:val="center"/>
        <w:rPr>
          <w:color w:val="0D0D0D"/>
        </w:rPr>
      </w:pPr>
      <w:r w:rsidRPr="00641E80">
        <w:rPr>
          <w:noProof/>
        </w:rPr>
        <w:drawing>
          <wp:inline distT="0" distB="0" distL="0" distR="0" wp14:anchorId="309428C2" wp14:editId="255CB664">
            <wp:extent cx="5353050" cy="1120447"/>
            <wp:effectExtent l="0" t="0" r="0" b="381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rotWithShape="1">
                    <a:blip r:embed="rId12"/>
                    <a:srcRect t="4538"/>
                    <a:stretch/>
                  </pic:blipFill>
                  <pic:spPr bwMode="auto">
                    <a:xfrm>
                      <a:off x="0" y="0"/>
                      <a:ext cx="5382646" cy="1126642"/>
                    </a:xfrm>
                    <a:prstGeom prst="rect">
                      <a:avLst/>
                    </a:prstGeom>
                    <a:ln>
                      <a:noFill/>
                    </a:ln>
                    <a:extLst>
                      <a:ext uri="{53640926-AAD7-44D8-BBD7-CCE9431645EC}">
                        <a14:shadowObscured xmlns:a14="http://schemas.microsoft.com/office/drawing/2010/main"/>
                      </a:ext>
                    </a:extLst>
                  </pic:spPr>
                </pic:pic>
              </a:graphicData>
            </a:graphic>
          </wp:inline>
        </w:drawing>
      </w:r>
    </w:p>
    <w:p w14:paraId="5B6D0C0E" w14:textId="77777777" w:rsidR="00EE1EF0" w:rsidRPr="00641E80" w:rsidRDefault="00EE1EF0" w:rsidP="00A467BC">
      <w:pPr>
        <w:spacing w:after="0" w:line="360" w:lineRule="auto"/>
        <w:rPr>
          <w:color w:val="0D0D0D"/>
        </w:rPr>
      </w:pPr>
    </w:p>
    <w:p w14:paraId="04A2AB27" w14:textId="00F9FB53" w:rsidR="00EE1EF0" w:rsidRPr="00641E80" w:rsidRDefault="00EE1EF0" w:rsidP="00A467BC">
      <w:pPr>
        <w:spacing w:after="0" w:line="360" w:lineRule="auto"/>
        <w:jc w:val="center"/>
        <w:rPr>
          <w:color w:val="0D0D0D"/>
        </w:rPr>
      </w:pPr>
      <w:r w:rsidRPr="00641E80">
        <w:rPr>
          <w:noProof/>
        </w:rPr>
        <w:drawing>
          <wp:inline distT="0" distB="0" distL="0" distR="0" wp14:anchorId="112B5EB2" wp14:editId="2119CC10">
            <wp:extent cx="5486400" cy="718861"/>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84504"/>
                    <a:stretch/>
                  </pic:blipFill>
                  <pic:spPr bwMode="auto">
                    <a:xfrm>
                      <a:off x="0" y="0"/>
                      <a:ext cx="5503482" cy="721099"/>
                    </a:xfrm>
                    <a:prstGeom prst="rect">
                      <a:avLst/>
                    </a:prstGeom>
                    <a:ln>
                      <a:noFill/>
                    </a:ln>
                    <a:extLst>
                      <a:ext uri="{53640926-AAD7-44D8-BBD7-CCE9431645EC}">
                        <a14:shadowObscured xmlns:a14="http://schemas.microsoft.com/office/drawing/2010/main"/>
                      </a:ext>
                    </a:extLst>
                  </pic:spPr>
                </pic:pic>
              </a:graphicData>
            </a:graphic>
          </wp:inline>
        </w:drawing>
      </w:r>
    </w:p>
    <w:p w14:paraId="65ADBDE0" w14:textId="4B57C81E" w:rsidR="00EE1EF0" w:rsidRPr="00641E80" w:rsidRDefault="00EE1EF0" w:rsidP="00A467BC">
      <w:pPr>
        <w:spacing w:after="0" w:line="360" w:lineRule="auto"/>
        <w:jc w:val="center"/>
        <w:rPr>
          <w:color w:val="0D0D0D"/>
        </w:rPr>
      </w:pPr>
      <w:r w:rsidRPr="00641E80">
        <w:rPr>
          <w:noProof/>
        </w:rPr>
        <w:drawing>
          <wp:inline distT="0" distB="0" distL="0" distR="0" wp14:anchorId="01A5083C" wp14:editId="6F2E8A3E">
            <wp:extent cx="5400675" cy="46578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9838" b="-38"/>
                    <a:stretch/>
                  </pic:blipFill>
                  <pic:spPr bwMode="auto">
                    <a:xfrm>
                      <a:off x="0" y="0"/>
                      <a:ext cx="5435461" cy="468781"/>
                    </a:xfrm>
                    <a:prstGeom prst="rect">
                      <a:avLst/>
                    </a:prstGeom>
                    <a:ln>
                      <a:noFill/>
                    </a:ln>
                    <a:extLst>
                      <a:ext uri="{53640926-AAD7-44D8-BBD7-CCE9431645EC}">
                        <a14:shadowObscured xmlns:a14="http://schemas.microsoft.com/office/drawing/2010/main"/>
                      </a:ext>
                    </a:extLst>
                  </pic:spPr>
                </pic:pic>
              </a:graphicData>
            </a:graphic>
          </wp:inline>
        </w:drawing>
      </w:r>
    </w:p>
    <w:p w14:paraId="7AF49C53" w14:textId="77777777" w:rsidR="00EE1EF0" w:rsidRPr="00641E80" w:rsidRDefault="00EE1EF0" w:rsidP="00A467BC">
      <w:pPr>
        <w:spacing w:after="0" w:line="360" w:lineRule="auto"/>
        <w:rPr>
          <w:color w:val="0D0D0D"/>
        </w:rPr>
      </w:pPr>
    </w:p>
    <w:p w14:paraId="76ECFD7A" w14:textId="3F336E37" w:rsidR="00EE1EF0" w:rsidRPr="00641E80" w:rsidRDefault="00EE1EF0" w:rsidP="00A467BC">
      <w:pPr>
        <w:spacing w:after="0" w:line="360" w:lineRule="auto"/>
        <w:jc w:val="center"/>
        <w:rPr>
          <w:color w:val="0D0D0D"/>
        </w:rPr>
      </w:pPr>
      <w:r w:rsidRPr="00641E80">
        <w:rPr>
          <w:noProof/>
        </w:rPr>
        <w:drawing>
          <wp:inline distT="0" distB="0" distL="0" distR="0" wp14:anchorId="33181AC8" wp14:editId="6F229B82">
            <wp:extent cx="5372100" cy="1596067"/>
            <wp:effectExtent l="0" t="0" r="0" b="4445"/>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pic:nvPicPr>
                  <pic:blipFill>
                    <a:blip r:embed="rId14"/>
                    <a:stretch>
                      <a:fillRect/>
                    </a:stretch>
                  </pic:blipFill>
                  <pic:spPr>
                    <a:xfrm>
                      <a:off x="0" y="0"/>
                      <a:ext cx="5390269" cy="1601465"/>
                    </a:xfrm>
                    <a:prstGeom prst="rect">
                      <a:avLst/>
                    </a:prstGeom>
                  </pic:spPr>
                </pic:pic>
              </a:graphicData>
            </a:graphic>
          </wp:inline>
        </w:drawing>
      </w:r>
    </w:p>
    <w:p w14:paraId="4A15C845" w14:textId="63CE0ADB" w:rsidR="00EE1EF0" w:rsidRPr="00641E80" w:rsidRDefault="00EE1EF0" w:rsidP="00A467BC">
      <w:pPr>
        <w:spacing w:after="0" w:line="360" w:lineRule="auto"/>
        <w:rPr>
          <w:color w:val="0D0D0D"/>
        </w:rPr>
      </w:pPr>
      <w:r w:rsidRPr="00641E80">
        <w:rPr>
          <w:color w:val="0D0D0D"/>
        </w:rPr>
        <w:t xml:space="preserve"> </w:t>
      </w:r>
    </w:p>
    <w:p w14:paraId="40B0D802" w14:textId="77777777" w:rsidR="00EE1EF0" w:rsidRPr="00641E80" w:rsidRDefault="00EE1EF0" w:rsidP="00A467BC">
      <w:pPr>
        <w:spacing w:after="0" w:line="360" w:lineRule="auto"/>
        <w:rPr>
          <w:color w:val="0D0D0D"/>
        </w:rPr>
      </w:pPr>
      <w:r w:rsidRPr="00641E80">
        <w:rPr>
          <w:color w:val="0D0D0D"/>
        </w:rPr>
        <w:t xml:space="preserve">Por lo tanto, la Ley de Transparencia y Acceso a la Información Pública del Estado de México y Municipios, considera que los datos de servidores públicos y de aquellas personas que </w:t>
      </w:r>
      <w:r w:rsidRPr="00641E80">
        <w:rPr>
          <w:color w:val="0D0D0D"/>
        </w:rPr>
        <w:lastRenderedPageBreak/>
        <w:t>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5B5B8F81" w14:textId="77777777" w:rsidR="00EE1EF0" w:rsidRPr="00641E80" w:rsidRDefault="00EE1EF0" w:rsidP="00A467BC">
      <w:pPr>
        <w:spacing w:after="0" w:line="360" w:lineRule="auto"/>
        <w:rPr>
          <w:color w:val="0D0D0D"/>
        </w:rPr>
      </w:pPr>
    </w:p>
    <w:p w14:paraId="6F563AE6" w14:textId="4EDDC518" w:rsidR="00EE1EF0" w:rsidRPr="00641E80" w:rsidRDefault="00EE1EF0" w:rsidP="00A467BC">
      <w:pPr>
        <w:spacing w:after="0" w:line="360" w:lineRule="auto"/>
        <w:rPr>
          <w:color w:val="0D0D0D"/>
        </w:rPr>
      </w:pPr>
      <w:r w:rsidRPr="00641E80">
        <w:rPr>
          <w:color w:val="0D0D0D"/>
        </w:rPr>
        <w:t xml:space="preserve">Por lo que, se considera que no procede la clasificación del nombre de los proveedores, </w:t>
      </w:r>
      <w:r w:rsidR="004F16EC" w:rsidRPr="00641E80">
        <w:rPr>
          <w:color w:val="0D0D0D"/>
        </w:rPr>
        <w:t xml:space="preserve">contratistas, </w:t>
      </w:r>
      <w:r w:rsidRPr="00641E80">
        <w:rPr>
          <w:color w:val="0D0D0D"/>
        </w:rPr>
        <w:t>empleados y personas que reci</w:t>
      </w:r>
      <w:r w:rsidR="004F16EC" w:rsidRPr="00641E80">
        <w:rPr>
          <w:color w:val="0D0D0D"/>
        </w:rPr>
        <w:t>bieron recursos públicos (beneficiarios</w:t>
      </w:r>
      <w:r w:rsidRPr="00641E80">
        <w:rPr>
          <w:color w:val="0D0D0D"/>
        </w:rPr>
        <w:t>), en términos del artículo 143, fracción I de la Ley de Transparencia y Acceso a la Información Pública del Estado de México y Municipios.</w:t>
      </w:r>
    </w:p>
    <w:p w14:paraId="6D013629" w14:textId="77777777" w:rsidR="00A13848" w:rsidRPr="00641E80" w:rsidRDefault="00A13848" w:rsidP="00A467BC">
      <w:pPr>
        <w:spacing w:after="0" w:line="360" w:lineRule="auto"/>
        <w:rPr>
          <w:color w:val="0D0D0D"/>
        </w:rPr>
      </w:pPr>
    </w:p>
    <w:p w14:paraId="703F54BA" w14:textId="4752D851" w:rsidR="00A13848" w:rsidRPr="00641E80" w:rsidRDefault="00A13848" w:rsidP="00A467BC">
      <w:pPr>
        <w:pStyle w:val="Prrafodelista"/>
        <w:numPr>
          <w:ilvl w:val="0"/>
          <w:numId w:val="35"/>
        </w:numPr>
        <w:spacing w:line="360" w:lineRule="auto"/>
        <w:rPr>
          <w:b/>
          <w:color w:val="0D0D0D"/>
        </w:rPr>
      </w:pPr>
      <w:r w:rsidRPr="00641E80">
        <w:rPr>
          <w:b/>
          <w:color w:val="0D0D0D"/>
        </w:rPr>
        <w:t>Cuenta bancaria y clave interbancaria de personas físicas o morales (particulares, servidores públicos, proveedores, contratistas, entre otros)</w:t>
      </w:r>
    </w:p>
    <w:p w14:paraId="48A25683" w14:textId="77777777" w:rsidR="00A13848" w:rsidRPr="00641E80" w:rsidRDefault="00A13848" w:rsidP="00A467BC">
      <w:pPr>
        <w:spacing w:after="0" w:line="360" w:lineRule="auto"/>
        <w:rPr>
          <w:color w:val="0D0D0D"/>
        </w:rPr>
      </w:pPr>
    </w:p>
    <w:p w14:paraId="16DDABA5" w14:textId="77777777" w:rsidR="00A13848" w:rsidRPr="00641E80" w:rsidRDefault="00A13848" w:rsidP="00A467BC">
      <w:pPr>
        <w:spacing w:after="0" w:line="360" w:lineRule="auto"/>
        <w:rPr>
          <w:color w:val="0D0D0D"/>
        </w:rPr>
      </w:pPr>
      <w:r w:rsidRPr="00641E80">
        <w:rPr>
          <w:color w:val="0D0D0D"/>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10E9A6E" w14:textId="77777777" w:rsidR="00A13848" w:rsidRPr="00641E80" w:rsidRDefault="00A13848" w:rsidP="00A467BC">
      <w:pPr>
        <w:spacing w:after="0" w:line="360" w:lineRule="auto"/>
        <w:rPr>
          <w:color w:val="0D0D0D"/>
        </w:rPr>
      </w:pPr>
      <w:r w:rsidRPr="00641E80">
        <w:rPr>
          <w:color w:val="0D0D0D"/>
        </w:rPr>
        <w:t xml:space="preserve"> </w:t>
      </w:r>
    </w:p>
    <w:p w14:paraId="38473E5C" w14:textId="77777777" w:rsidR="00A13848" w:rsidRPr="00641E80" w:rsidRDefault="00A13848" w:rsidP="00A467BC">
      <w:pPr>
        <w:spacing w:after="0" w:line="360" w:lineRule="auto"/>
        <w:rPr>
          <w:color w:val="0D0D0D"/>
        </w:rPr>
      </w:pPr>
      <w:r w:rsidRPr="00641E80">
        <w:rPr>
          <w:color w:val="0D0D0D"/>
        </w:rPr>
        <w:t xml:space="preserve">A mayor abundamiento, resulta necesario traer a colación el Criterio Orientador, de la Segunda Época, con número de registro SO/010/2017, emitido por el Instituto Nacional de </w:t>
      </w:r>
      <w:r w:rsidRPr="00641E80">
        <w:rPr>
          <w:color w:val="0D0D0D"/>
        </w:rPr>
        <w:lastRenderedPageBreak/>
        <w:t>Transparencia, Acceso a la Información y Protección de Datos Personales, mismo que establece lo siguiente:</w:t>
      </w:r>
    </w:p>
    <w:p w14:paraId="20302571" w14:textId="77777777" w:rsidR="00A13848" w:rsidRPr="00641E80" w:rsidRDefault="00A13848" w:rsidP="00A467BC">
      <w:pPr>
        <w:spacing w:after="0" w:line="360" w:lineRule="auto"/>
        <w:rPr>
          <w:b/>
          <w:bCs/>
          <w:color w:val="0D0D0D"/>
        </w:rPr>
      </w:pPr>
    </w:p>
    <w:p w14:paraId="7219279B" w14:textId="77777777" w:rsidR="00A13848" w:rsidRPr="00641E80" w:rsidRDefault="00A13848" w:rsidP="00A467BC">
      <w:pPr>
        <w:spacing w:after="0" w:line="360" w:lineRule="auto"/>
        <w:ind w:left="720"/>
        <w:rPr>
          <w:i/>
          <w:color w:val="0D0D0D"/>
          <w:sz w:val="20"/>
        </w:rPr>
      </w:pPr>
      <w:r w:rsidRPr="00641E80">
        <w:rPr>
          <w:b/>
          <w:bCs/>
          <w:i/>
          <w:color w:val="0D0D0D"/>
          <w:sz w:val="20"/>
        </w:rPr>
        <w:t>“Cuentas bancarias y/o CLABE interbancaria de personas físicas y morales privadas.</w:t>
      </w:r>
      <w:r w:rsidRPr="00641E80">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11510E" w14:textId="77777777" w:rsidR="00A13848" w:rsidRPr="00641E80" w:rsidRDefault="00A13848" w:rsidP="00A467BC">
      <w:pPr>
        <w:spacing w:after="0" w:line="360" w:lineRule="auto"/>
        <w:rPr>
          <w:color w:val="0D0D0D"/>
        </w:rPr>
      </w:pPr>
      <w:r w:rsidRPr="00641E80">
        <w:rPr>
          <w:color w:val="0D0D0D"/>
        </w:rPr>
        <w:t xml:space="preserve"> </w:t>
      </w:r>
    </w:p>
    <w:p w14:paraId="6287B815" w14:textId="155F67B8" w:rsidR="00A13848" w:rsidRPr="00641E80" w:rsidRDefault="00A13848" w:rsidP="00A467BC">
      <w:pPr>
        <w:spacing w:after="0" w:line="360" w:lineRule="auto"/>
        <w:rPr>
          <w:color w:val="0D0D0D"/>
        </w:rPr>
      </w:pPr>
      <w:r w:rsidRPr="00641E80">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641617F0" w14:textId="77777777" w:rsidR="00F603DA" w:rsidRPr="00641E80" w:rsidRDefault="00F603DA" w:rsidP="00A467BC">
      <w:pPr>
        <w:spacing w:after="0" w:line="360" w:lineRule="auto"/>
        <w:rPr>
          <w:color w:val="0D0D0D"/>
        </w:rPr>
      </w:pPr>
    </w:p>
    <w:p w14:paraId="3EA13BD6" w14:textId="61877DAE" w:rsidR="00F603DA" w:rsidRPr="00641E80" w:rsidRDefault="000906DA" w:rsidP="00A467BC">
      <w:pPr>
        <w:pStyle w:val="Prrafodelista"/>
        <w:numPr>
          <w:ilvl w:val="0"/>
          <w:numId w:val="35"/>
        </w:numPr>
        <w:spacing w:line="360" w:lineRule="auto"/>
        <w:rPr>
          <w:b/>
          <w:color w:val="0D0D0D"/>
        </w:rPr>
      </w:pPr>
      <w:r w:rsidRPr="00641E80">
        <w:rPr>
          <w:b/>
          <w:color w:val="0D0D0D"/>
        </w:rPr>
        <w:t xml:space="preserve">Cuenta bancaria y clave interbancaria de </w:t>
      </w:r>
      <w:r w:rsidR="009E2E63" w:rsidRPr="00641E80">
        <w:rPr>
          <w:b/>
          <w:color w:val="0D0D0D"/>
        </w:rPr>
        <w:t>instituciones públicas</w:t>
      </w:r>
    </w:p>
    <w:p w14:paraId="0FC3C71F" w14:textId="3BC1DFE0" w:rsidR="000906DA" w:rsidRPr="00641E80" w:rsidRDefault="000906DA" w:rsidP="00A467BC">
      <w:pPr>
        <w:spacing w:after="0" w:line="360" w:lineRule="auto"/>
        <w:ind w:right="-28"/>
        <w:rPr>
          <w:color w:val="auto"/>
        </w:rPr>
      </w:pPr>
    </w:p>
    <w:p w14:paraId="4D7C1ECA" w14:textId="136FF01B" w:rsidR="00A467BC" w:rsidRPr="00641E80" w:rsidRDefault="00A467BC" w:rsidP="00A467BC">
      <w:pPr>
        <w:spacing w:after="0" w:line="360" w:lineRule="auto"/>
        <w:contextualSpacing/>
        <w:rPr>
          <w:rFonts w:eastAsia="Calibri" w:cs="Tahoma"/>
          <w:bCs/>
          <w:color w:val="auto"/>
          <w:lang w:eastAsia="es-ES"/>
        </w:rPr>
      </w:pPr>
      <w:r w:rsidRPr="00641E80">
        <w:rPr>
          <w:rFonts w:eastAsia="Calibri" w:cs="Tahoma"/>
          <w:bCs/>
          <w:color w:val="auto"/>
          <w:lang w:eastAsia="es-ES"/>
        </w:rPr>
        <w:t xml:space="preserve">En relación con el número de cuenta </w:t>
      </w:r>
      <w:r w:rsidR="009E2E63" w:rsidRPr="00641E80">
        <w:rPr>
          <w:rFonts w:eastAsia="Calibri" w:cs="Tahoma"/>
          <w:bCs/>
          <w:color w:val="auto"/>
          <w:lang w:eastAsia="es-ES"/>
        </w:rPr>
        <w:t>de instituciones públicas</w:t>
      </w:r>
      <w:r w:rsidRPr="00641E80">
        <w:rPr>
          <w:rFonts w:eastAsia="Calibri" w:cs="Tahoma"/>
          <w:bCs/>
          <w:color w:val="auto"/>
          <w:lang w:eastAsia="es-ES"/>
        </w:rPr>
        <w:t xml:space="preserve">,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w:t>
      </w:r>
      <w:r w:rsidRPr="00641E80">
        <w:rPr>
          <w:rFonts w:eastAsia="Calibri" w:cs="Tahoma"/>
          <w:bCs/>
          <w:color w:val="auto"/>
          <w:lang w:eastAsia="es-ES"/>
        </w:rPr>
        <w:lastRenderedPageBreak/>
        <w:t>información clasificada. Lo anterior se robustece con el Criterio SO/011/2017, emitido por el Instituto Nacional de Transparencia, Acceso a la Información y Protección de Datos Personales, mismo que a la letra señala:</w:t>
      </w:r>
    </w:p>
    <w:p w14:paraId="2DB5F9FC" w14:textId="77777777" w:rsidR="00A467BC" w:rsidRPr="00641E80" w:rsidRDefault="00A467BC" w:rsidP="00A467BC">
      <w:pPr>
        <w:spacing w:after="0" w:line="360" w:lineRule="auto"/>
        <w:contextualSpacing/>
        <w:rPr>
          <w:rFonts w:eastAsia="Calibri" w:cs="Tahoma"/>
          <w:bCs/>
          <w:i/>
          <w:color w:val="auto"/>
          <w:lang w:eastAsia="es-ES"/>
        </w:rPr>
      </w:pPr>
    </w:p>
    <w:p w14:paraId="394400C7" w14:textId="77777777" w:rsidR="00A467BC" w:rsidRPr="00641E80" w:rsidRDefault="00A467BC" w:rsidP="00A467BC">
      <w:pPr>
        <w:spacing w:after="0" w:line="360" w:lineRule="auto"/>
        <w:ind w:left="567" w:right="567"/>
        <w:contextualSpacing/>
        <w:rPr>
          <w:rFonts w:eastAsia="Calibri" w:cs="Tahoma"/>
          <w:bCs/>
          <w:i/>
          <w:color w:val="auto"/>
          <w:sz w:val="20"/>
          <w:szCs w:val="20"/>
          <w:lang w:eastAsia="es-ES"/>
        </w:rPr>
      </w:pPr>
      <w:r w:rsidRPr="00641E80">
        <w:rPr>
          <w:rFonts w:eastAsia="Calibri" w:cs="Tahoma"/>
          <w:b/>
          <w:bCs/>
          <w:i/>
          <w:color w:val="auto"/>
          <w:sz w:val="20"/>
          <w:szCs w:val="20"/>
          <w:lang w:eastAsia="es-ES"/>
        </w:rPr>
        <w:t>“Cuentas bancarias y/o CLABE interbancaria de sujetos obligados que reciben y/o transfieren recursos públicos, son información pública.</w:t>
      </w:r>
      <w:r w:rsidRPr="00641E80">
        <w:rPr>
          <w:rFonts w:eastAsia="Calibri" w:cs="Tahoma"/>
          <w:bCs/>
          <w:i/>
          <w:color w:val="auto"/>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641E80">
        <w:rPr>
          <w:rFonts w:eastAsia="Calibri" w:cs="Tahoma"/>
          <w:bCs/>
          <w:i/>
          <w:color w:val="auto"/>
          <w:sz w:val="20"/>
          <w:szCs w:val="20"/>
          <w:u w:val="single"/>
          <w:lang w:eastAsia="es-ES"/>
        </w:rPr>
        <w:t>razón por la cual no pueden considerarse como información clasificada.</w:t>
      </w:r>
      <w:r w:rsidRPr="00641E80">
        <w:rPr>
          <w:rFonts w:eastAsia="Calibri" w:cs="Tahoma"/>
          <w:bCs/>
          <w:i/>
          <w:color w:val="auto"/>
          <w:sz w:val="20"/>
          <w:szCs w:val="20"/>
          <w:lang w:eastAsia="es-ES"/>
        </w:rPr>
        <w:t>”</w:t>
      </w:r>
    </w:p>
    <w:p w14:paraId="00DEB008" w14:textId="77777777" w:rsidR="00A467BC" w:rsidRPr="00641E80" w:rsidRDefault="00A467BC" w:rsidP="00A467BC">
      <w:pPr>
        <w:spacing w:after="0" w:line="360" w:lineRule="auto"/>
        <w:contextualSpacing/>
        <w:rPr>
          <w:rFonts w:eastAsia="Calibri" w:cs="Tahoma"/>
          <w:b/>
          <w:bCs/>
          <w:color w:val="auto"/>
          <w:lang w:eastAsia="es-ES"/>
        </w:rPr>
      </w:pPr>
    </w:p>
    <w:p w14:paraId="7A13DF4C" w14:textId="2A573959" w:rsidR="00A467BC" w:rsidRPr="00641E80" w:rsidRDefault="00A467BC" w:rsidP="00A467BC">
      <w:pPr>
        <w:spacing w:after="0" w:line="360" w:lineRule="auto"/>
        <w:contextualSpacing/>
        <w:rPr>
          <w:rFonts w:eastAsia="Calibri" w:cs="Tahoma"/>
          <w:bCs/>
          <w:color w:val="auto"/>
          <w:lang w:eastAsia="es-ES"/>
        </w:rPr>
      </w:pPr>
      <w:r w:rsidRPr="00641E80">
        <w:rPr>
          <w:rFonts w:eastAsia="Calibri" w:cs="Tahoma"/>
          <w:bCs/>
          <w:color w:val="auto"/>
          <w:lang w:eastAsia="es-ES"/>
        </w:rPr>
        <w:t xml:space="preserve">Por tales circunstancias, no puede ser considera como información confidencial el número de cuenta </w:t>
      </w:r>
      <w:r w:rsidR="00807C99" w:rsidRPr="00641E80">
        <w:rPr>
          <w:rFonts w:eastAsia="Calibri" w:cs="Tahoma"/>
          <w:bCs/>
          <w:color w:val="auto"/>
          <w:lang w:eastAsia="es-ES"/>
        </w:rPr>
        <w:t>de las instituciones públicas</w:t>
      </w:r>
      <w:r w:rsidRPr="00641E80">
        <w:rPr>
          <w:rFonts w:eastAsia="Calibri" w:cs="Tahoma"/>
          <w:bCs/>
          <w:color w:val="auto"/>
          <w:lang w:eastAsia="es-ES"/>
        </w:rPr>
        <w:t xml:space="preserve"> y, por lo tanto, no procede su clasificación en términos del artículo 143, fracción I, de la Ley de Transparencia y Acceso a la Información Pública del Estado de México y Municipios.</w:t>
      </w:r>
    </w:p>
    <w:p w14:paraId="5DE952C7" w14:textId="77777777" w:rsidR="000906DA" w:rsidRPr="00641E80" w:rsidRDefault="000906DA" w:rsidP="00A467BC">
      <w:pPr>
        <w:spacing w:after="0" w:line="360" w:lineRule="auto"/>
        <w:ind w:right="-28"/>
        <w:rPr>
          <w:color w:val="auto"/>
        </w:rPr>
      </w:pPr>
    </w:p>
    <w:p w14:paraId="5CECCF0C" w14:textId="0CF7A944" w:rsidR="000906DA" w:rsidRPr="00641E80" w:rsidRDefault="00A467BC" w:rsidP="00A467BC">
      <w:pPr>
        <w:spacing w:after="0" w:line="360" w:lineRule="auto"/>
        <w:ind w:right="-28"/>
        <w:rPr>
          <w:color w:val="auto"/>
        </w:rPr>
      </w:pPr>
      <w:r w:rsidRPr="00641E80">
        <w:rPr>
          <w:color w:val="auto"/>
        </w:rPr>
        <w:t>Conforme a lo anterior</w:t>
      </w:r>
      <w:r w:rsidR="000906DA" w:rsidRPr="00641E80">
        <w:rPr>
          <w:color w:val="auto"/>
        </w:rPr>
        <w:t xml:space="preserv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3CFF8E6" w14:textId="77777777" w:rsidR="000906DA" w:rsidRPr="00641E80" w:rsidRDefault="000906DA" w:rsidP="00A467BC">
      <w:pPr>
        <w:spacing w:after="0" w:line="360" w:lineRule="auto"/>
        <w:ind w:right="-28"/>
        <w:rPr>
          <w:color w:val="auto"/>
        </w:rPr>
      </w:pPr>
    </w:p>
    <w:p w14:paraId="5B19959A" w14:textId="5C8C347E" w:rsidR="000906DA" w:rsidRPr="00641E80" w:rsidRDefault="000906DA" w:rsidP="00A467BC">
      <w:pPr>
        <w:spacing w:after="0" w:line="360" w:lineRule="auto"/>
        <w:ind w:right="-28"/>
        <w:rPr>
          <w:color w:val="auto"/>
        </w:rPr>
      </w:pPr>
      <w:r w:rsidRPr="00641E80">
        <w:rPr>
          <w:color w:val="auto"/>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60130B4" w14:textId="77777777" w:rsidR="000906DA" w:rsidRPr="00641E80" w:rsidRDefault="000906DA" w:rsidP="00A467BC">
      <w:pPr>
        <w:spacing w:after="0" w:line="360" w:lineRule="auto"/>
        <w:ind w:right="-28"/>
        <w:rPr>
          <w:color w:val="auto"/>
        </w:rPr>
      </w:pPr>
    </w:p>
    <w:p w14:paraId="0CCF70E8" w14:textId="77777777" w:rsidR="00D1318A" w:rsidRPr="00641E80" w:rsidRDefault="00D1318A" w:rsidP="00A467BC">
      <w:pPr>
        <w:pStyle w:val="Ttulo2"/>
        <w:spacing w:before="0" w:after="0" w:line="360" w:lineRule="auto"/>
        <w:rPr>
          <w:sz w:val="22"/>
          <w:szCs w:val="22"/>
        </w:rPr>
      </w:pPr>
      <w:bookmarkStart w:id="15" w:name="_Toc206684900"/>
      <w:r w:rsidRPr="00641E80">
        <w:rPr>
          <w:sz w:val="22"/>
          <w:szCs w:val="22"/>
        </w:rPr>
        <w:t>SEXTO. Decisión</w:t>
      </w:r>
      <w:bookmarkEnd w:id="15"/>
    </w:p>
    <w:p w14:paraId="0D2B29DC" w14:textId="77777777" w:rsidR="00D1318A" w:rsidRPr="00641E80" w:rsidRDefault="00D1318A" w:rsidP="00A467BC">
      <w:pPr>
        <w:spacing w:after="0" w:line="360" w:lineRule="auto"/>
        <w:contextualSpacing/>
        <w:rPr>
          <w:rFonts w:eastAsia="Calibri" w:cs="Tahoma"/>
          <w:b/>
        </w:rPr>
      </w:pPr>
    </w:p>
    <w:p w14:paraId="4BF18B87" w14:textId="4C5E42AB" w:rsidR="00D1318A" w:rsidRPr="00641E80" w:rsidRDefault="00D1318A" w:rsidP="00A467BC">
      <w:pPr>
        <w:spacing w:after="0" w:line="360" w:lineRule="auto"/>
      </w:pPr>
      <w:r w:rsidRPr="00641E80">
        <w:t xml:space="preserve">De acuerdo con lo expuesto y, con fundamento en el artículo 186, fracción III, de la Ley de Transparencia y Acceso a la Información Pública del Estado de México y Municipios, este Instituto considera procedente </w:t>
      </w:r>
      <w:r w:rsidR="00F66940" w:rsidRPr="00641E80">
        <w:rPr>
          <w:b/>
        </w:rPr>
        <w:t>MODIFICAR</w:t>
      </w:r>
      <w:r w:rsidRPr="00641E80">
        <w:rPr>
          <w:b/>
        </w:rPr>
        <w:t xml:space="preserve"> </w:t>
      </w:r>
      <w:r w:rsidRPr="00641E80">
        <w:t>la resp</w:t>
      </w:r>
      <w:r w:rsidR="00655068" w:rsidRPr="00641E80">
        <w:t>uesta del</w:t>
      </w:r>
      <w:r w:rsidR="0060196A" w:rsidRPr="00641E80">
        <w:t xml:space="preserve"> Organismo Público Descentralizado para la Prestación de Los Servicios de Agua Potable Alcantarillado y Saneamiento del Municipio de Tlalnepantla de Baz</w:t>
      </w:r>
      <w:r w:rsidRPr="00641E80">
        <w:rPr>
          <w:b/>
        </w:rPr>
        <w:t xml:space="preserve">, </w:t>
      </w:r>
      <w:r w:rsidRPr="00641E80">
        <w:t xml:space="preserve">a efecto de que </w:t>
      </w:r>
      <w:r w:rsidR="00017D0E" w:rsidRPr="00641E80">
        <w:t>entregue l</w:t>
      </w:r>
      <w:r w:rsidR="0060196A" w:rsidRPr="00641E80">
        <w:t>a información solicitada</w:t>
      </w:r>
      <w:r w:rsidR="00715343" w:rsidRPr="00641E80">
        <w:t>.</w:t>
      </w:r>
    </w:p>
    <w:p w14:paraId="13D4A44D" w14:textId="77777777" w:rsidR="004306AC" w:rsidRPr="00641E80" w:rsidRDefault="004306AC" w:rsidP="00A467BC">
      <w:pPr>
        <w:spacing w:after="0" w:line="360" w:lineRule="auto"/>
      </w:pPr>
    </w:p>
    <w:p w14:paraId="0C829323" w14:textId="77777777" w:rsidR="00D1318A" w:rsidRPr="00641E80" w:rsidRDefault="00D1318A" w:rsidP="00A467BC">
      <w:pPr>
        <w:spacing w:after="0" w:line="360" w:lineRule="auto"/>
        <w:contextualSpacing/>
        <w:rPr>
          <w:rFonts w:eastAsia="Calibri" w:cs="Tahoma"/>
          <w:b/>
          <w:bCs/>
        </w:rPr>
      </w:pPr>
      <w:r w:rsidRPr="00641E80">
        <w:rPr>
          <w:rFonts w:eastAsia="Calibri" w:cs="Tahoma"/>
          <w:b/>
          <w:bCs/>
        </w:rPr>
        <w:t>Términos de la Resolución para conocimiento del Particular</w:t>
      </w:r>
    </w:p>
    <w:p w14:paraId="08535812" w14:textId="77777777" w:rsidR="00D1318A" w:rsidRPr="00641E80" w:rsidRDefault="00D1318A" w:rsidP="00A467BC">
      <w:pPr>
        <w:spacing w:after="0" w:line="360" w:lineRule="auto"/>
        <w:contextualSpacing/>
        <w:rPr>
          <w:rFonts w:eastAsia="Calibri" w:cs="Tahoma"/>
          <w:b/>
          <w:bCs/>
        </w:rPr>
      </w:pPr>
    </w:p>
    <w:p w14:paraId="3B668E85" w14:textId="09362F41" w:rsidR="00D1318A" w:rsidRPr="00641E80" w:rsidRDefault="00D1318A" w:rsidP="00A467BC">
      <w:pPr>
        <w:spacing w:after="0" w:line="360" w:lineRule="auto"/>
      </w:pPr>
      <w:r w:rsidRPr="00641E80">
        <w:t xml:space="preserve">Se le hace del conocimiento a la persona Recurrente que, en el presente asunto, se le da la razón, pues </w:t>
      </w:r>
      <w:r w:rsidR="00715343" w:rsidRPr="00641E80">
        <w:t xml:space="preserve">si bien </w:t>
      </w:r>
      <w:r w:rsidR="004076BD" w:rsidRPr="00641E80">
        <w:t xml:space="preserve">el Sujeto Obligado entregó </w:t>
      </w:r>
      <w:r w:rsidR="006B2D65" w:rsidRPr="00641E80">
        <w:t xml:space="preserve">parte de </w:t>
      </w:r>
      <w:r w:rsidR="00017D0E" w:rsidRPr="00641E80">
        <w:t>la información</w:t>
      </w:r>
      <w:r w:rsidR="006B2D65" w:rsidRPr="00641E80">
        <w:t xml:space="preserve"> no lo hizo de manera completa y en versión pública correcta</w:t>
      </w:r>
      <w:r w:rsidR="00017D0E" w:rsidRPr="00641E80">
        <w:t xml:space="preserve">, </w:t>
      </w:r>
      <w:r w:rsidRPr="00641E80">
        <w:t>por lo que, deberá hacer la entre</w:t>
      </w:r>
      <w:r w:rsidR="00655068" w:rsidRPr="00641E80">
        <w:t>ga de la información</w:t>
      </w:r>
      <w:r w:rsidR="006B2D65" w:rsidRPr="00641E80">
        <w:t xml:space="preserve"> de completa y</w:t>
      </w:r>
      <w:r w:rsidR="00017D0E" w:rsidRPr="00641E80">
        <w:t xml:space="preserve"> correcta</w:t>
      </w:r>
      <w:r w:rsidR="00655068" w:rsidRPr="00641E80">
        <w:t>.</w:t>
      </w:r>
      <w:r w:rsidR="00D1305D" w:rsidRPr="00641E80">
        <w:t xml:space="preserve"> </w:t>
      </w:r>
      <w:r w:rsidRPr="00641E80">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641E80" w:rsidRDefault="00D1318A" w:rsidP="00A467BC">
      <w:pPr>
        <w:spacing w:after="0" w:line="360" w:lineRule="auto"/>
      </w:pPr>
    </w:p>
    <w:p w14:paraId="1C805ED0" w14:textId="77777777" w:rsidR="00D1318A" w:rsidRPr="00641E80" w:rsidRDefault="00D1318A" w:rsidP="00A467BC">
      <w:pPr>
        <w:spacing w:after="0" w:line="360" w:lineRule="auto"/>
        <w:contextualSpacing/>
        <w:rPr>
          <w:rFonts w:eastAsia="Calibri"/>
        </w:rPr>
      </w:pPr>
      <w:r w:rsidRPr="00641E80">
        <w:rPr>
          <w:rFonts w:eastAsia="Calibri"/>
        </w:rPr>
        <w:lastRenderedPageBreak/>
        <w:t>Por lo expuesto y fundado, este Pleno:</w:t>
      </w:r>
    </w:p>
    <w:p w14:paraId="7E4B6E8F" w14:textId="77777777" w:rsidR="00057905" w:rsidRPr="00641E80" w:rsidRDefault="00057905" w:rsidP="00A467BC">
      <w:pPr>
        <w:spacing w:after="0" w:line="360" w:lineRule="auto"/>
        <w:contextualSpacing/>
        <w:rPr>
          <w:rFonts w:eastAsia="Calibri"/>
        </w:rPr>
      </w:pPr>
    </w:p>
    <w:p w14:paraId="4969F2B6" w14:textId="77777777" w:rsidR="00D1318A" w:rsidRPr="00641E80" w:rsidRDefault="00D1318A" w:rsidP="00A467BC">
      <w:pPr>
        <w:pStyle w:val="Ttulo1"/>
        <w:spacing w:before="0" w:after="0" w:line="360" w:lineRule="auto"/>
        <w:jc w:val="center"/>
        <w:rPr>
          <w:sz w:val="22"/>
          <w:szCs w:val="22"/>
        </w:rPr>
      </w:pPr>
      <w:bookmarkStart w:id="16" w:name="_Toc206684901"/>
      <w:r w:rsidRPr="00641E80">
        <w:rPr>
          <w:sz w:val="22"/>
          <w:szCs w:val="22"/>
        </w:rPr>
        <w:t>R E S U E L V E</w:t>
      </w:r>
      <w:bookmarkEnd w:id="16"/>
    </w:p>
    <w:p w14:paraId="00911B7E" w14:textId="77777777" w:rsidR="00D1318A" w:rsidRPr="00641E80" w:rsidRDefault="00D1318A" w:rsidP="00A467BC">
      <w:pPr>
        <w:spacing w:after="0" w:line="360" w:lineRule="auto"/>
        <w:contextualSpacing/>
        <w:rPr>
          <w:rFonts w:eastAsia="Calibri"/>
          <w:b/>
          <w:bCs/>
        </w:rPr>
      </w:pPr>
    </w:p>
    <w:p w14:paraId="59D86F6A" w14:textId="5167A406" w:rsidR="00D1318A" w:rsidRPr="00641E80" w:rsidRDefault="00D1318A" w:rsidP="00A467BC">
      <w:pPr>
        <w:spacing w:after="0" w:line="360" w:lineRule="auto"/>
        <w:contextualSpacing/>
        <w:rPr>
          <w:bCs/>
        </w:rPr>
      </w:pPr>
      <w:r w:rsidRPr="00641E80">
        <w:rPr>
          <w:rFonts w:cs="Tahoma"/>
          <w:b/>
          <w:bCs/>
        </w:rPr>
        <w:t xml:space="preserve">PRIMERO. </w:t>
      </w:r>
      <w:r w:rsidRPr="00641E80">
        <w:rPr>
          <w:rFonts w:cs="Tahoma"/>
          <w:bCs/>
        </w:rPr>
        <w:t xml:space="preserve">Se </w:t>
      </w:r>
      <w:r w:rsidR="004076BD" w:rsidRPr="00641E80">
        <w:rPr>
          <w:rFonts w:cs="Tahoma"/>
          <w:b/>
          <w:bCs/>
        </w:rPr>
        <w:t>MODIFICA</w:t>
      </w:r>
      <w:r w:rsidRPr="00641E80">
        <w:rPr>
          <w:rFonts w:cs="Tahoma"/>
          <w:b/>
          <w:bCs/>
        </w:rPr>
        <w:t xml:space="preserve"> </w:t>
      </w:r>
      <w:r w:rsidRPr="00641E80">
        <w:rPr>
          <w:rFonts w:cs="Tahoma"/>
          <w:bCs/>
        </w:rPr>
        <w:t>la respuesta entrega</w:t>
      </w:r>
      <w:r w:rsidR="00655068" w:rsidRPr="00641E80">
        <w:rPr>
          <w:rFonts w:cs="Tahoma"/>
          <w:bCs/>
        </w:rPr>
        <w:t>da por el</w:t>
      </w:r>
      <w:r w:rsidR="006B2D65" w:rsidRPr="00641E80">
        <w:rPr>
          <w:rFonts w:cs="Tahoma"/>
          <w:bCs/>
        </w:rPr>
        <w:t xml:space="preserve"> Organismo Público Descentralizado para la Prestación de Los Servicios de Agua Potable Alcantarillado y Saneamiento del Municipio de Tlalnepantla de Baz</w:t>
      </w:r>
      <w:r w:rsidRPr="00641E80">
        <w:rPr>
          <w:rFonts w:cs="Tahoma"/>
          <w:bCs/>
        </w:rPr>
        <w:t>, a la solicitud de información</w:t>
      </w:r>
      <w:r w:rsidR="00655068" w:rsidRPr="00641E80">
        <w:t xml:space="preserve"> </w:t>
      </w:r>
      <w:r w:rsidR="006B2D65" w:rsidRPr="00641E80">
        <w:t>00147</w:t>
      </w:r>
      <w:r w:rsidR="004068E7" w:rsidRPr="00641E80">
        <w:t>/</w:t>
      </w:r>
      <w:r w:rsidR="006B2D65" w:rsidRPr="00641E80">
        <w:t>OASTLALNE</w:t>
      </w:r>
      <w:r w:rsidR="000D392E" w:rsidRPr="00641E80">
        <w:t>/IP/2025</w:t>
      </w:r>
      <w:r w:rsidRPr="00641E80">
        <w:rPr>
          <w:bCs/>
        </w:rPr>
        <w:t xml:space="preserve">, por resultar </w:t>
      </w:r>
      <w:r w:rsidRPr="00641E80">
        <w:rPr>
          <w:b/>
          <w:bCs/>
        </w:rPr>
        <w:t>FUNDADAS</w:t>
      </w:r>
      <w:r w:rsidRPr="00641E80">
        <w:rPr>
          <w:rFonts w:cs="Tahoma"/>
          <w:b/>
          <w:bCs/>
        </w:rPr>
        <w:t xml:space="preserve"> </w:t>
      </w:r>
      <w:r w:rsidRPr="00641E80">
        <w:rPr>
          <w:rFonts w:eastAsia="Calibri" w:cs="Tahoma"/>
          <w:bCs/>
        </w:rPr>
        <w:t>las razones o motivos de inconformidad hechos valer por el Recurrente</w:t>
      </w:r>
      <w:r w:rsidRPr="00641E80">
        <w:rPr>
          <w:rFonts w:cs="Tahoma"/>
          <w:bCs/>
        </w:rPr>
        <w:t xml:space="preserve">, </w:t>
      </w:r>
      <w:r w:rsidRPr="00641E80">
        <w:rPr>
          <w:rFonts w:eastAsia="Calibri" w:cs="Tahoma"/>
          <w:bCs/>
        </w:rPr>
        <w:t>en términos de los considerandos QUINTO y SEXTO de la presente Resolución.</w:t>
      </w:r>
    </w:p>
    <w:p w14:paraId="5F3709A7" w14:textId="77777777" w:rsidR="00D1318A" w:rsidRPr="00641E80" w:rsidRDefault="00D1318A" w:rsidP="00A467BC">
      <w:pPr>
        <w:spacing w:after="0" w:line="360" w:lineRule="auto"/>
        <w:contextualSpacing/>
        <w:rPr>
          <w:rFonts w:eastAsia="Times New Roman" w:cs="Tahoma"/>
          <w:bCs/>
          <w:lang w:eastAsia="es-ES"/>
        </w:rPr>
      </w:pPr>
    </w:p>
    <w:p w14:paraId="402B3360" w14:textId="4F3244D0" w:rsidR="00655068" w:rsidRPr="00641E80" w:rsidRDefault="00D1318A" w:rsidP="00A467BC">
      <w:pPr>
        <w:spacing w:after="0" w:line="360" w:lineRule="auto"/>
      </w:pPr>
      <w:r w:rsidRPr="00641E80">
        <w:rPr>
          <w:rFonts w:cs="Tahoma"/>
          <w:b/>
          <w:bCs/>
        </w:rPr>
        <w:t xml:space="preserve">SEGUNDO. </w:t>
      </w:r>
      <w:r w:rsidRPr="00641E80">
        <w:t xml:space="preserve">Se </w:t>
      </w:r>
      <w:r w:rsidRPr="00641E80">
        <w:rPr>
          <w:b/>
        </w:rPr>
        <w:t>ORDENA</w:t>
      </w:r>
      <w:r w:rsidRPr="00641E80">
        <w:t xml:space="preserve"> al Ente Recurrido</w:t>
      </w:r>
      <w:r w:rsidRPr="00641E80">
        <w:rPr>
          <w:b/>
        </w:rPr>
        <w:t xml:space="preserve">, </w:t>
      </w:r>
      <w:r w:rsidR="004068E7" w:rsidRPr="00641E80">
        <w:t>a e</w:t>
      </w:r>
      <w:r w:rsidR="00017D0E" w:rsidRPr="00641E80">
        <w:t xml:space="preserve">fecto </w:t>
      </w:r>
      <w:r w:rsidRPr="00641E80">
        <w:t>entregue a través del Sistema de Acceso a la I</w:t>
      </w:r>
      <w:r w:rsidR="00715343" w:rsidRPr="00641E80">
        <w:t>nformación Mexiquense (SAIMEX)</w:t>
      </w:r>
      <w:r w:rsidR="004068E7" w:rsidRPr="00641E80">
        <w:t xml:space="preserve">, </w:t>
      </w:r>
      <w:r w:rsidR="006B2D65" w:rsidRPr="00641E80">
        <w:t>en versión pública</w:t>
      </w:r>
      <w:r w:rsidR="00B17B55" w:rsidRPr="00641E80">
        <w:t xml:space="preserve">, </w:t>
      </w:r>
      <w:r w:rsidR="00655068" w:rsidRPr="00641E80">
        <w:t>lo siguiente:</w:t>
      </w:r>
    </w:p>
    <w:p w14:paraId="545EC5E3" w14:textId="77777777" w:rsidR="00655068" w:rsidRPr="00641E80" w:rsidRDefault="00655068" w:rsidP="00A467BC">
      <w:pPr>
        <w:spacing w:after="0" w:line="360" w:lineRule="auto"/>
        <w:rPr>
          <w:rFonts w:cs="Tahoma"/>
        </w:rPr>
      </w:pPr>
    </w:p>
    <w:p w14:paraId="5B734820" w14:textId="585D8A6C" w:rsidR="00D1318A" w:rsidRPr="00641E80" w:rsidRDefault="006B2D65" w:rsidP="00A467BC">
      <w:pPr>
        <w:pStyle w:val="Prrafodelista"/>
        <w:numPr>
          <w:ilvl w:val="0"/>
          <w:numId w:val="4"/>
        </w:numPr>
        <w:spacing w:line="360" w:lineRule="auto"/>
        <w:ind w:right="-91"/>
        <w:rPr>
          <w:rFonts w:eastAsia="Calibri" w:cs="Tahoma"/>
          <w:bCs/>
        </w:rPr>
      </w:pPr>
      <w:r w:rsidRPr="00641E80">
        <w:rPr>
          <w:rFonts w:eastAsia="Calibri" w:cs="Tahoma"/>
          <w:bCs/>
        </w:rPr>
        <w:t>Los estados de cuenta</w:t>
      </w:r>
      <w:r w:rsidR="00A467BC" w:rsidRPr="00641E80">
        <w:rPr>
          <w:rFonts w:eastAsia="Calibri" w:cs="Tahoma"/>
          <w:bCs/>
        </w:rPr>
        <w:t xml:space="preserve"> proporcionados</w:t>
      </w:r>
      <w:r w:rsidRPr="00641E80">
        <w:rPr>
          <w:rFonts w:eastAsia="Calibri" w:cs="Tahoma"/>
          <w:bCs/>
        </w:rPr>
        <w:t xml:space="preserve"> en respuesta</w:t>
      </w:r>
      <w:r w:rsidR="00A467BC" w:rsidRPr="00641E80">
        <w:rPr>
          <w:rFonts w:eastAsia="Calibri" w:cs="Tahoma"/>
          <w:bCs/>
        </w:rPr>
        <w:t xml:space="preserve"> (de manera completa)</w:t>
      </w:r>
      <w:r w:rsidR="00017D0E" w:rsidRPr="00641E80">
        <w:rPr>
          <w:rFonts w:eastAsia="Calibri" w:cs="Tahoma"/>
          <w:bCs/>
        </w:rPr>
        <w:t>.</w:t>
      </w:r>
    </w:p>
    <w:p w14:paraId="7786B45E" w14:textId="77777777" w:rsidR="00B17B55" w:rsidRPr="00641E80" w:rsidRDefault="00B17B55" w:rsidP="00A467BC">
      <w:pPr>
        <w:spacing w:after="0" w:line="360" w:lineRule="auto"/>
        <w:rPr>
          <w:rFonts w:cs="Tahoma"/>
          <w:bCs/>
          <w:iCs/>
          <w:lang w:eastAsia="es-ES"/>
        </w:rPr>
      </w:pPr>
    </w:p>
    <w:p w14:paraId="2EC8D596" w14:textId="77777777" w:rsidR="00A467BC" w:rsidRPr="00641E80" w:rsidRDefault="00D1318A" w:rsidP="00A467BC">
      <w:pPr>
        <w:spacing w:after="0" w:line="360" w:lineRule="auto"/>
        <w:ind w:right="-28"/>
        <w:contextualSpacing/>
        <w:rPr>
          <w:rFonts w:cs="Tahoma"/>
          <w:bCs/>
          <w:iCs/>
        </w:rPr>
      </w:pPr>
      <w:r w:rsidRPr="00641E80">
        <w:rPr>
          <w:rFonts w:eastAsia="Calibri" w:cs="Tahoma"/>
          <w:b/>
          <w:bCs/>
        </w:rPr>
        <w:t xml:space="preserve">TERCERO. </w:t>
      </w:r>
      <w:r w:rsidRPr="00641E80">
        <w:rPr>
          <w:rFonts w:cs="Tahoma"/>
          <w:b/>
          <w:bCs/>
          <w:iCs/>
        </w:rPr>
        <w:t xml:space="preserve">NOTIFÍQUESE POR SAIMEX </w:t>
      </w:r>
      <w:r w:rsidRPr="00641E80">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641E80">
        <w:rPr>
          <w:rFonts w:cs="Tahoma"/>
          <w:bCs/>
          <w:iCs/>
        </w:rPr>
        <w:lastRenderedPageBreak/>
        <w:t>conformidad con lo previsto en los artículos 198, 200, fracción III, 214, 215 y 216 de la Ley referida.</w:t>
      </w:r>
      <w:r w:rsidR="00D1305D" w:rsidRPr="00641E80">
        <w:rPr>
          <w:rFonts w:cs="Tahoma"/>
          <w:bCs/>
          <w:iCs/>
        </w:rPr>
        <w:t xml:space="preserve"> </w:t>
      </w:r>
    </w:p>
    <w:p w14:paraId="2037DC7C" w14:textId="77777777" w:rsidR="00A467BC" w:rsidRPr="00641E80" w:rsidRDefault="00A467BC" w:rsidP="00A467BC">
      <w:pPr>
        <w:spacing w:after="0" w:line="360" w:lineRule="auto"/>
        <w:ind w:right="-28"/>
        <w:contextualSpacing/>
        <w:rPr>
          <w:rFonts w:cs="Tahoma"/>
          <w:bCs/>
          <w:iCs/>
        </w:rPr>
      </w:pPr>
    </w:p>
    <w:p w14:paraId="3EAE0142" w14:textId="69B6ADD6" w:rsidR="00D1318A" w:rsidRPr="00641E80" w:rsidRDefault="00D1318A" w:rsidP="00A467BC">
      <w:pPr>
        <w:spacing w:after="0" w:line="360" w:lineRule="auto"/>
        <w:ind w:right="-28"/>
        <w:contextualSpacing/>
        <w:rPr>
          <w:rFonts w:eastAsia="Calibri" w:cs="Tahoma"/>
          <w:iCs/>
          <w:color w:val="000000"/>
        </w:rPr>
      </w:pPr>
      <w:r w:rsidRPr="00641E80">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641E80" w:rsidRDefault="00D1318A" w:rsidP="00A467BC">
      <w:pPr>
        <w:spacing w:after="0" w:line="360" w:lineRule="auto"/>
        <w:contextualSpacing/>
        <w:rPr>
          <w:rFonts w:eastAsia="Calibri" w:cs="Tahoma"/>
          <w:color w:val="000000"/>
          <w:lang w:val="es-ES"/>
        </w:rPr>
      </w:pPr>
    </w:p>
    <w:p w14:paraId="3F59EFC7" w14:textId="77777777" w:rsidR="00D1318A" w:rsidRPr="00641E80" w:rsidRDefault="00D1318A" w:rsidP="00A467BC">
      <w:pPr>
        <w:spacing w:after="0" w:line="360" w:lineRule="auto"/>
        <w:contextualSpacing/>
        <w:rPr>
          <w:rFonts w:cs="Tahoma"/>
        </w:rPr>
      </w:pPr>
      <w:r w:rsidRPr="00641E80">
        <w:rPr>
          <w:rFonts w:eastAsia="Calibri" w:cs="Tahoma"/>
          <w:b/>
        </w:rPr>
        <w:t>CUARTO</w:t>
      </w:r>
      <w:r w:rsidRPr="00641E80">
        <w:rPr>
          <w:rFonts w:eastAsia="Calibri" w:cs="Tahoma"/>
          <w:b/>
          <w:bCs/>
        </w:rPr>
        <w:t xml:space="preserve">. </w:t>
      </w:r>
      <w:r w:rsidRPr="00641E80">
        <w:rPr>
          <w:rFonts w:cs="Tahoma"/>
          <w:b/>
        </w:rPr>
        <w:t>NOTIFÍQUESE POR SAIMEX</w:t>
      </w:r>
      <w:r w:rsidRPr="00641E8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41E80" w:rsidRDefault="00D1318A" w:rsidP="00A467BC">
      <w:pPr>
        <w:spacing w:after="0" w:line="360" w:lineRule="auto"/>
        <w:contextualSpacing/>
        <w:rPr>
          <w:rFonts w:cs="Arial"/>
          <w:b/>
          <w:bCs/>
        </w:rPr>
      </w:pPr>
    </w:p>
    <w:p w14:paraId="440D22CF" w14:textId="61F05328" w:rsidR="00D1318A" w:rsidRDefault="00D1318A" w:rsidP="00A467BC">
      <w:pPr>
        <w:spacing w:after="0" w:line="360" w:lineRule="auto"/>
        <w:contextualSpacing/>
        <w:rPr>
          <w:rFonts w:cs="Tahoma"/>
          <w:b/>
          <w:bCs/>
        </w:rPr>
      </w:pPr>
      <w:r w:rsidRPr="00641E80">
        <w:rPr>
          <w:rFonts w:eastAsia="Calibri" w:cs="Tahoma"/>
          <w:bCs/>
        </w:rPr>
        <w:t>ASÍ LO RESUELVE, POR </w:t>
      </w:r>
      <w:r w:rsidRPr="00641E80">
        <w:rPr>
          <w:rFonts w:eastAsia="Calibri" w:cs="Tahoma"/>
          <w:b/>
          <w:bCs/>
        </w:rPr>
        <w:t>UNANIMIDAD</w:t>
      </w:r>
      <w:r w:rsidRPr="00641E80">
        <w:rPr>
          <w:rFonts w:eastAsia="Calibri" w:cs="Tahoma"/>
          <w:bCs/>
        </w:rPr>
        <w:t> DE VOTOS EL PLENO DEL INSTITUTO DE TRANSPARENCIA, ACCESO A LA INFORMACIÓN PÚBLICA Y PROTECCIÓN DE DATOS PERSONALES DEL ESTADO DE MÉXICO Y MUNICIPIOS, CONFORMADO POR LOS COMISIONADOS JOSÉ MARTÍNEZ VILCHIS</w:t>
      </w:r>
      <w:r w:rsidR="00CA20B5">
        <w:rPr>
          <w:rFonts w:eastAsia="Calibri" w:cs="Tahoma"/>
          <w:bCs/>
        </w:rPr>
        <w:t xml:space="preserve"> (</w:t>
      </w:r>
      <w:r w:rsidR="00641E80">
        <w:rPr>
          <w:rFonts w:eastAsia="Calibri" w:cs="Tahoma"/>
          <w:bCs/>
        </w:rPr>
        <w:t>AUSENCIA JUSTIFICADA)</w:t>
      </w:r>
      <w:r w:rsidRPr="00641E80">
        <w:rPr>
          <w:rFonts w:eastAsia="Calibri" w:cs="Tahoma"/>
          <w:bCs/>
        </w:rPr>
        <w:t>, MARÍA DEL ROSARIO MEJÍA AYALA, SHARON CRISTINA MORALES MARTÍNEZ, LUIS GUSTAVO PARRA NORIEGA Y GUADALUPE RAMÍREZ PEÑA</w:t>
      </w:r>
      <w:r w:rsidR="00CF7AA5" w:rsidRPr="00641E80">
        <w:rPr>
          <w:rFonts w:eastAsia="Calibri" w:cs="Tahoma"/>
          <w:bCs/>
        </w:rPr>
        <w:t xml:space="preserve">, EN LA </w:t>
      </w:r>
      <w:r w:rsidR="006B2D65" w:rsidRPr="00641E80">
        <w:rPr>
          <w:rFonts w:eastAsia="Calibri" w:cs="Tahoma"/>
          <w:bCs/>
        </w:rPr>
        <w:t>VIGÉSIMA NOVENA</w:t>
      </w:r>
      <w:r w:rsidR="00715343" w:rsidRPr="00641E80">
        <w:rPr>
          <w:rFonts w:eastAsia="Calibri" w:cs="Tahoma"/>
          <w:bCs/>
        </w:rPr>
        <w:t xml:space="preserve"> </w:t>
      </w:r>
      <w:r w:rsidRPr="00641E80">
        <w:rPr>
          <w:rFonts w:eastAsia="Calibri" w:cs="Tahoma"/>
          <w:bCs/>
        </w:rPr>
        <w:t>SESIÓN ORDINA</w:t>
      </w:r>
      <w:r w:rsidR="00715343" w:rsidRPr="00641E80">
        <w:rPr>
          <w:rFonts w:eastAsia="Calibri" w:cs="Tahoma"/>
          <w:bCs/>
        </w:rPr>
        <w:t>RIA, C</w:t>
      </w:r>
      <w:r w:rsidR="0052714E" w:rsidRPr="00641E80">
        <w:rPr>
          <w:rFonts w:eastAsia="Calibri" w:cs="Tahoma"/>
          <w:bCs/>
        </w:rPr>
        <w:t xml:space="preserve">ELEBRADA EL </w:t>
      </w:r>
      <w:r w:rsidR="006B2D65" w:rsidRPr="00641E80">
        <w:rPr>
          <w:rFonts w:eastAsia="Calibri" w:cs="Tahoma"/>
          <w:bCs/>
        </w:rPr>
        <w:t>VEINTE</w:t>
      </w:r>
      <w:r w:rsidR="007E56C0" w:rsidRPr="00641E80">
        <w:rPr>
          <w:rFonts w:eastAsia="Calibri" w:cs="Tahoma"/>
          <w:bCs/>
        </w:rPr>
        <w:t xml:space="preserve"> DE AGOSTO</w:t>
      </w:r>
      <w:r w:rsidR="00655068" w:rsidRPr="00641E80">
        <w:rPr>
          <w:rFonts w:eastAsia="Calibri" w:cs="Tahoma"/>
          <w:bCs/>
        </w:rPr>
        <w:t xml:space="preserve"> </w:t>
      </w:r>
      <w:r w:rsidRPr="00641E80">
        <w:rPr>
          <w:rFonts w:eastAsia="Calibri" w:cs="Tahoma"/>
          <w:bCs/>
        </w:rPr>
        <w:t>DE DOS MIL VEINTICINCO, ANTE EL SECRETARIO TÉCNICO DEL PLENO, ALEXIS TAPIA RAMÍREZ.</w:t>
      </w:r>
    </w:p>
    <w:p w14:paraId="2BA380C7" w14:textId="77777777" w:rsidR="00D1318A" w:rsidRPr="00D1318A" w:rsidRDefault="00D1318A" w:rsidP="00A467BC">
      <w:pPr>
        <w:spacing w:after="0" w:line="360" w:lineRule="auto"/>
        <w:ind w:right="-28"/>
        <w:rPr>
          <w:color w:val="auto"/>
        </w:rPr>
      </w:pPr>
    </w:p>
    <w:p w14:paraId="1FFCF4F3" w14:textId="77777777" w:rsidR="00B02499" w:rsidRDefault="00B02499" w:rsidP="00A467BC">
      <w:pPr>
        <w:spacing w:after="0" w:line="360" w:lineRule="auto"/>
        <w:rPr>
          <w:rFonts w:eastAsia="Calibri" w:cs="Times New Roman"/>
          <w:b/>
          <w:bCs/>
        </w:rPr>
      </w:pPr>
    </w:p>
    <w:p w14:paraId="654C889D" w14:textId="77777777" w:rsidR="00B02499" w:rsidRPr="00681B34" w:rsidRDefault="00B02499" w:rsidP="00A467BC">
      <w:pPr>
        <w:spacing w:after="0" w:line="360" w:lineRule="auto"/>
        <w:rPr>
          <w:rFonts w:eastAsia="Calibri" w:cs="Times New Roman"/>
          <w:b/>
          <w:bCs/>
        </w:rPr>
      </w:pPr>
    </w:p>
    <w:p w14:paraId="097C707A" w14:textId="77777777" w:rsidR="004A10B0" w:rsidRDefault="004A10B0" w:rsidP="00A467BC">
      <w:pPr>
        <w:spacing w:after="0" w:line="360" w:lineRule="auto"/>
        <w:contextualSpacing/>
        <w:rPr>
          <w:rFonts w:eastAsia="Calibri" w:cs="Times New Roman"/>
          <w:color w:val="000000"/>
        </w:rPr>
      </w:pPr>
    </w:p>
    <w:p w14:paraId="3677DBED" w14:textId="77777777" w:rsidR="004A10B0" w:rsidRDefault="004A10B0" w:rsidP="00A467BC">
      <w:pPr>
        <w:spacing w:after="0" w:line="360" w:lineRule="auto"/>
        <w:contextualSpacing/>
        <w:rPr>
          <w:color w:val="000000"/>
        </w:rPr>
      </w:pPr>
    </w:p>
    <w:p w14:paraId="74E8DB3F" w14:textId="77777777" w:rsidR="00C556AB" w:rsidRDefault="00C556AB" w:rsidP="00A467BC">
      <w:pPr>
        <w:spacing w:after="0" w:line="360" w:lineRule="auto"/>
      </w:pPr>
    </w:p>
    <w:p w14:paraId="1A555613" w14:textId="77777777" w:rsidR="00023BBD" w:rsidRPr="00E64957" w:rsidRDefault="00023BBD" w:rsidP="00A467BC">
      <w:pPr>
        <w:spacing w:after="0" w:line="360" w:lineRule="auto"/>
      </w:pPr>
    </w:p>
    <w:p w14:paraId="2DB71CAF" w14:textId="49BEE08C" w:rsidR="001D4F21" w:rsidRDefault="001D4F21" w:rsidP="00A467BC">
      <w:pPr>
        <w:spacing w:after="0" w:line="360" w:lineRule="auto"/>
        <w:rPr>
          <w:color w:val="000000"/>
        </w:rPr>
      </w:pPr>
    </w:p>
    <w:p w14:paraId="38B4EF2E" w14:textId="77777777" w:rsidR="001D4F21" w:rsidRDefault="001D4F21" w:rsidP="00A467BC">
      <w:pPr>
        <w:spacing w:after="0" w:line="360" w:lineRule="auto"/>
        <w:rPr>
          <w:color w:val="000000"/>
        </w:rPr>
      </w:pPr>
    </w:p>
    <w:p w14:paraId="4201A0A0" w14:textId="77777777" w:rsidR="00E864E9" w:rsidRDefault="00E864E9" w:rsidP="00A467BC">
      <w:pPr>
        <w:tabs>
          <w:tab w:val="right" w:pos="8931"/>
        </w:tabs>
        <w:spacing w:after="0" w:line="360" w:lineRule="auto"/>
      </w:pPr>
    </w:p>
    <w:p w14:paraId="543728D1" w14:textId="77777777" w:rsidR="00E864E9" w:rsidRDefault="00E864E9" w:rsidP="00A467BC">
      <w:pPr>
        <w:tabs>
          <w:tab w:val="right" w:pos="8931"/>
        </w:tabs>
        <w:spacing w:after="0" w:line="360" w:lineRule="auto"/>
      </w:pPr>
    </w:p>
    <w:p w14:paraId="0E4439D0" w14:textId="5248D3C9" w:rsidR="007B58B9" w:rsidRDefault="007B58B9" w:rsidP="00A467BC">
      <w:pPr>
        <w:spacing w:after="0" w:line="360" w:lineRule="auto"/>
      </w:pPr>
    </w:p>
    <w:p w14:paraId="26916C77" w14:textId="77777777" w:rsidR="00A37EDE" w:rsidRPr="007B58B9" w:rsidRDefault="00A37EDE" w:rsidP="00A467BC">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20F8F" w14:textId="77777777" w:rsidR="00AB5976" w:rsidRDefault="00AB5976">
      <w:pPr>
        <w:spacing w:after="0" w:line="240" w:lineRule="auto"/>
      </w:pPr>
      <w:r>
        <w:separator/>
      </w:r>
    </w:p>
  </w:endnote>
  <w:endnote w:type="continuationSeparator" w:id="0">
    <w:p w14:paraId="1686722B" w14:textId="77777777" w:rsidR="00AB5976" w:rsidRDefault="00AB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0906DA" w:rsidRDefault="000906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E03">
      <w:rPr>
        <w:b/>
        <w:noProof/>
        <w:color w:val="000000"/>
        <w:sz w:val="24"/>
        <w:szCs w:val="24"/>
      </w:rPr>
      <w:t>29</w:t>
    </w:r>
    <w:r>
      <w:rPr>
        <w:b/>
        <w:color w:val="000000"/>
        <w:sz w:val="24"/>
        <w:szCs w:val="24"/>
      </w:rPr>
      <w:fldChar w:fldCharType="end"/>
    </w:r>
  </w:p>
  <w:p w14:paraId="7EB9860B" w14:textId="77777777" w:rsidR="000906DA" w:rsidRDefault="000906D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906DA" w:rsidRDefault="000906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20B">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20B">
      <w:rPr>
        <w:b/>
        <w:noProof/>
        <w:color w:val="000000"/>
        <w:sz w:val="24"/>
        <w:szCs w:val="24"/>
      </w:rPr>
      <w:t>29</w:t>
    </w:r>
    <w:r>
      <w:rPr>
        <w:b/>
        <w:color w:val="000000"/>
        <w:sz w:val="24"/>
        <w:szCs w:val="24"/>
      </w:rPr>
      <w:fldChar w:fldCharType="end"/>
    </w:r>
  </w:p>
  <w:p w14:paraId="0D7FA8D9" w14:textId="77777777" w:rsidR="000906DA" w:rsidRDefault="000906D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906DA" w:rsidRDefault="000906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20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20B">
      <w:rPr>
        <w:b/>
        <w:noProof/>
        <w:color w:val="000000"/>
        <w:sz w:val="24"/>
        <w:szCs w:val="24"/>
      </w:rPr>
      <w:t>29</w:t>
    </w:r>
    <w:r>
      <w:rPr>
        <w:b/>
        <w:color w:val="000000"/>
        <w:sz w:val="24"/>
        <w:szCs w:val="24"/>
      </w:rPr>
      <w:fldChar w:fldCharType="end"/>
    </w:r>
  </w:p>
  <w:p w14:paraId="6796AF5F" w14:textId="77777777" w:rsidR="000906DA" w:rsidRDefault="000906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2DE83" w14:textId="77777777" w:rsidR="00AB5976" w:rsidRDefault="00AB5976">
      <w:pPr>
        <w:spacing w:after="0" w:line="240" w:lineRule="auto"/>
      </w:pPr>
      <w:r>
        <w:separator/>
      </w:r>
    </w:p>
  </w:footnote>
  <w:footnote w:type="continuationSeparator" w:id="0">
    <w:p w14:paraId="448D8E0D" w14:textId="77777777" w:rsidR="00AB5976" w:rsidRDefault="00AB5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906DA" w:rsidRDefault="000906D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906DA" w14:paraId="10C29E94" w14:textId="77777777">
      <w:trPr>
        <w:trHeight w:val="132"/>
      </w:trPr>
      <w:tc>
        <w:tcPr>
          <w:tcW w:w="2691" w:type="dxa"/>
        </w:tcPr>
        <w:p w14:paraId="7D85A4B8" w14:textId="77777777" w:rsidR="000906DA" w:rsidRDefault="000906DA">
          <w:pPr>
            <w:tabs>
              <w:tab w:val="right" w:pos="8838"/>
            </w:tabs>
            <w:ind w:right="-105"/>
            <w:rPr>
              <w:b/>
            </w:rPr>
          </w:pPr>
          <w:r>
            <w:rPr>
              <w:b/>
            </w:rPr>
            <w:t>Recurso de Revisión:</w:t>
          </w:r>
        </w:p>
      </w:tc>
      <w:tc>
        <w:tcPr>
          <w:tcW w:w="3405" w:type="dxa"/>
        </w:tcPr>
        <w:p w14:paraId="0B0D1A9D" w14:textId="77777777" w:rsidR="000906DA" w:rsidRDefault="000906DA">
          <w:pPr>
            <w:tabs>
              <w:tab w:val="right" w:pos="8838"/>
            </w:tabs>
            <w:ind w:left="-28" w:right="-32"/>
          </w:pPr>
          <w:r>
            <w:t>03846/INFOEM/IP/RR/2020</w:t>
          </w:r>
        </w:p>
      </w:tc>
    </w:tr>
    <w:tr w:rsidR="000906DA" w14:paraId="2F47AC72" w14:textId="77777777">
      <w:trPr>
        <w:trHeight w:val="261"/>
      </w:trPr>
      <w:tc>
        <w:tcPr>
          <w:tcW w:w="2691" w:type="dxa"/>
        </w:tcPr>
        <w:p w14:paraId="154A4752" w14:textId="77777777" w:rsidR="000906DA" w:rsidRDefault="000906DA">
          <w:pPr>
            <w:tabs>
              <w:tab w:val="right" w:pos="8838"/>
            </w:tabs>
            <w:ind w:right="-105"/>
            <w:rPr>
              <w:b/>
            </w:rPr>
          </w:pPr>
          <w:r>
            <w:rPr>
              <w:b/>
            </w:rPr>
            <w:t>Sujeto Obligado:</w:t>
          </w:r>
        </w:p>
      </w:tc>
      <w:tc>
        <w:tcPr>
          <w:tcW w:w="3405" w:type="dxa"/>
        </w:tcPr>
        <w:p w14:paraId="5D9EC711" w14:textId="77777777" w:rsidR="000906DA" w:rsidRDefault="000906DA">
          <w:pPr>
            <w:tabs>
              <w:tab w:val="right" w:pos="8838"/>
            </w:tabs>
            <w:ind w:right="-32"/>
          </w:pPr>
          <w:r>
            <w:t xml:space="preserve">Ayuntamiento de </w:t>
          </w:r>
          <w:proofErr w:type="spellStart"/>
          <w:r>
            <w:t>Temascalcingo</w:t>
          </w:r>
          <w:proofErr w:type="spellEnd"/>
        </w:p>
      </w:tc>
    </w:tr>
    <w:tr w:rsidR="000906DA" w14:paraId="11FBB450" w14:textId="77777777">
      <w:trPr>
        <w:trHeight w:val="261"/>
      </w:trPr>
      <w:tc>
        <w:tcPr>
          <w:tcW w:w="2691" w:type="dxa"/>
        </w:tcPr>
        <w:p w14:paraId="6BAF6003" w14:textId="77777777" w:rsidR="000906DA" w:rsidRDefault="000906DA">
          <w:pPr>
            <w:tabs>
              <w:tab w:val="right" w:pos="8838"/>
            </w:tabs>
            <w:ind w:right="-105"/>
            <w:rPr>
              <w:b/>
            </w:rPr>
          </w:pPr>
          <w:r>
            <w:rPr>
              <w:b/>
            </w:rPr>
            <w:t>Comisionado Ponente:</w:t>
          </w:r>
        </w:p>
      </w:tc>
      <w:tc>
        <w:tcPr>
          <w:tcW w:w="3405" w:type="dxa"/>
        </w:tcPr>
        <w:p w14:paraId="420341AF" w14:textId="77777777" w:rsidR="000906DA" w:rsidRDefault="000906DA">
          <w:pPr>
            <w:tabs>
              <w:tab w:val="right" w:pos="8838"/>
            </w:tabs>
            <w:ind w:right="-32"/>
            <w:rPr>
              <w:b/>
            </w:rPr>
          </w:pPr>
          <w:r>
            <w:t>Luis Gustavo Parra Noriega</w:t>
          </w:r>
        </w:p>
      </w:tc>
    </w:tr>
  </w:tbl>
  <w:p w14:paraId="00411D75" w14:textId="77777777" w:rsidR="000906DA" w:rsidRDefault="009A420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906DA" w:rsidRDefault="009A420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0906DA" w14:paraId="40D5D5A3" w14:textId="77777777" w:rsidTr="00A467BC">
      <w:trPr>
        <w:trHeight w:val="138"/>
      </w:trPr>
      <w:tc>
        <w:tcPr>
          <w:tcW w:w="2268" w:type="dxa"/>
          <w:vAlign w:val="center"/>
        </w:tcPr>
        <w:p w14:paraId="43377EBE" w14:textId="77777777" w:rsidR="000906DA" w:rsidRDefault="000906DA" w:rsidP="008C266D">
          <w:pPr>
            <w:tabs>
              <w:tab w:val="right" w:pos="8838"/>
            </w:tabs>
            <w:ind w:left="-108" w:right="-105"/>
            <w:jc w:val="left"/>
            <w:rPr>
              <w:b/>
            </w:rPr>
          </w:pPr>
        </w:p>
        <w:p w14:paraId="1DB5C8D0" w14:textId="7E98B3D2" w:rsidR="000906DA" w:rsidRDefault="000906DA" w:rsidP="008C266D">
          <w:pPr>
            <w:tabs>
              <w:tab w:val="right" w:pos="8838"/>
            </w:tabs>
            <w:ind w:left="-108" w:right="-105"/>
            <w:jc w:val="left"/>
            <w:rPr>
              <w:b/>
            </w:rPr>
          </w:pPr>
          <w:r>
            <w:rPr>
              <w:b/>
            </w:rPr>
            <w:t>Recurso de Revisión:</w:t>
          </w:r>
        </w:p>
      </w:tc>
      <w:tc>
        <w:tcPr>
          <w:tcW w:w="3969" w:type="dxa"/>
        </w:tcPr>
        <w:p w14:paraId="5BCC69C4" w14:textId="77777777" w:rsidR="000906DA" w:rsidRPr="00EF0C39" w:rsidRDefault="000906DA" w:rsidP="008C266D">
          <w:pPr>
            <w:tabs>
              <w:tab w:val="right" w:pos="8838"/>
            </w:tabs>
            <w:ind w:right="57"/>
          </w:pPr>
        </w:p>
        <w:p w14:paraId="61E59D71" w14:textId="01E01EE9" w:rsidR="000906DA" w:rsidRPr="00EF0C39" w:rsidRDefault="000906DA" w:rsidP="008C266D">
          <w:pPr>
            <w:tabs>
              <w:tab w:val="right" w:pos="8838"/>
            </w:tabs>
            <w:ind w:right="57"/>
          </w:pPr>
          <w:r>
            <w:t>06091/INFOEM/IP/RR/2025</w:t>
          </w:r>
        </w:p>
      </w:tc>
    </w:tr>
    <w:tr w:rsidR="000906DA" w14:paraId="7A281F30" w14:textId="77777777" w:rsidTr="00A467BC">
      <w:trPr>
        <w:trHeight w:val="273"/>
      </w:trPr>
      <w:tc>
        <w:tcPr>
          <w:tcW w:w="2268" w:type="dxa"/>
        </w:tcPr>
        <w:p w14:paraId="6671A308" w14:textId="77777777" w:rsidR="000906DA" w:rsidRDefault="000906DA" w:rsidP="008C266D">
          <w:pPr>
            <w:tabs>
              <w:tab w:val="right" w:pos="8838"/>
            </w:tabs>
            <w:ind w:left="-108" w:right="-105"/>
            <w:rPr>
              <w:b/>
            </w:rPr>
          </w:pPr>
          <w:r>
            <w:rPr>
              <w:b/>
            </w:rPr>
            <w:t>Sujeto Obligado:</w:t>
          </w:r>
        </w:p>
      </w:tc>
      <w:tc>
        <w:tcPr>
          <w:tcW w:w="3969" w:type="dxa"/>
        </w:tcPr>
        <w:p w14:paraId="30885B6D" w14:textId="6D8F6310" w:rsidR="000906DA" w:rsidRPr="00EF0C39" w:rsidRDefault="000906DA" w:rsidP="007B4717">
          <w:pPr>
            <w:tabs>
              <w:tab w:val="right" w:pos="8838"/>
            </w:tabs>
            <w:ind w:right="180"/>
          </w:pPr>
          <w:r w:rsidRPr="001140E2">
            <w:t>Organismo Público Descentralizado para la Prestación de Los Servicios de Agua Potable Alcantarillado y Saneamiento del Municipio de Tlalnepantla de Baz</w:t>
          </w:r>
        </w:p>
      </w:tc>
    </w:tr>
    <w:tr w:rsidR="000906DA" w14:paraId="00C22F2F" w14:textId="77777777" w:rsidTr="00A467BC">
      <w:trPr>
        <w:trHeight w:val="273"/>
      </w:trPr>
      <w:tc>
        <w:tcPr>
          <w:tcW w:w="2268" w:type="dxa"/>
        </w:tcPr>
        <w:p w14:paraId="70417649" w14:textId="77777777" w:rsidR="000906DA" w:rsidRDefault="000906DA" w:rsidP="008C266D">
          <w:pPr>
            <w:tabs>
              <w:tab w:val="right" w:pos="8838"/>
            </w:tabs>
            <w:ind w:left="-108" w:right="-105"/>
            <w:rPr>
              <w:b/>
            </w:rPr>
          </w:pPr>
          <w:r>
            <w:rPr>
              <w:b/>
            </w:rPr>
            <w:t>Comisionado Ponente:</w:t>
          </w:r>
        </w:p>
      </w:tc>
      <w:tc>
        <w:tcPr>
          <w:tcW w:w="3969" w:type="dxa"/>
        </w:tcPr>
        <w:p w14:paraId="5E6EB38B" w14:textId="77777777" w:rsidR="000906DA" w:rsidRPr="00EF0C39" w:rsidRDefault="000906DA" w:rsidP="008C266D">
          <w:pPr>
            <w:tabs>
              <w:tab w:val="right" w:pos="8838"/>
            </w:tabs>
            <w:ind w:right="-170"/>
          </w:pPr>
          <w:r w:rsidRPr="00EF0C39">
            <w:t>Luis Gustavo Parra Noriega</w:t>
          </w:r>
        </w:p>
        <w:p w14:paraId="1A63C67B" w14:textId="77777777" w:rsidR="000906DA" w:rsidRPr="00EF0C39" w:rsidRDefault="000906DA" w:rsidP="008C266D">
          <w:pPr>
            <w:tabs>
              <w:tab w:val="right" w:pos="8838"/>
            </w:tabs>
            <w:ind w:right="-170"/>
            <w:rPr>
              <w:b/>
            </w:rPr>
          </w:pPr>
        </w:p>
      </w:tc>
    </w:tr>
  </w:tbl>
  <w:p w14:paraId="3498D107" w14:textId="7E17876C" w:rsidR="000906DA" w:rsidRDefault="000906D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906DA" w:rsidRDefault="000906DA">
    <w:pPr>
      <w:widowControl w:val="0"/>
      <w:pBdr>
        <w:top w:val="nil"/>
        <w:left w:val="nil"/>
        <w:bottom w:val="nil"/>
        <w:right w:val="nil"/>
        <w:between w:val="nil"/>
      </w:pBdr>
      <w:spacing w:after="0" w:line="276" w:lineRule="auto"/>
      <w:jc w:val="left"/>
      <w:rPr>
        <w:color w:val="000000"/>
      </w:rPr>
    </w:pP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906DA" w14:paraId="6B3232BD" w14:textId="77777777" w:rsidTr="001140E2">
      <w:trPr>
        <w:trHeight w:val="132"/>
      </w:trPr>
      <w:tc>
        <w:tcPr>
          <w:tcW w:w="2551" w:type="dxa"/>
        </w:tcPr>
        <w:p w14:paraId="38F16E2F" w14:textId="77777777" w:rsidR="000906DA" w:rsidRDefault="000906DA">
          <w:pPr>
            <w:tabs>
              <w:tab w:val="right" w:pos="8838"/>
            </w:tabs>
            <w:ind w:right="-105"/>
            <w:rPr>
              <w:b/>
            </w:rPr>
          </w:pPr>
          <w:r>
            <w:rPr>
              <w:b/>
            </w:rPr>
            <w:t>Recurso de Revisión:</w:t>
          </w:r>
        </w:p>
      </w:tc>
      <w:tc>
        <w:tcPr>
          <w:tcW w:w="4253" w:type="dxa"/>
        </w:tcPr>
        <w:p w14:paraId="211CDC0A" w14:textId="7104DCE4" w:rsidR="000906DA" w:rsidRPr="00026C6B" w:rsidRDefault="000906DA" w:rsidP="00026C6B">
          <w:r>
            <w:t>06091/INFOEM/IP/RR/2025</w:t>
          </w:r>
        </w:p>
      </w:tc>
    </w:tr>
    <w:tr w:rsidR="000906DA" w14:paraId="6AA3CC58" w14:textId="77777777" w:rsidTr="001140E2">
      <w:trPr>
        <w:trHeight w:val="132"/>
      </w:trPr>
      <w:tc>
        <w:tcPr>
          <w:tcW w:w="2551" w:type="dxa"/>
        </w:tcPr>
        <w:p w14:paraId="7FD164F5" w14:textId="77777777" w:rsidR="000906DA" w:rsidRDefault="000906DA">
          <w:pPr>
            <w:tabs>
              <w:tab w:val="left" w:pos="1875"/>
            </w:tabs>
            <w:ind w:right="-105"/>
            <w:rPr>
              <w:b/>
            </w:rPr>
          </w:pPr>
          <w:r>
            <w:rPr>
              <w:b/>
            </w:rPr>
            <w:t>Recurrente:</w:t>
          </w:r>
          <w:r>
            <w:rPr>
              <w:b/>
            </w:rPr>
            <w:tab/>
          </w:r>
        </w:p>
      </w:tc>
      <w:tc>
        <w:tcPr>
          <w:tcW w:w="4253" w:type="dxa"/>
        </w:tcPr>
        <w:p w14:paraId="1F1B0537" w14:textId="6CF97F7E" w:rsidR="000906DA" w:rsidRPr="00EF0C39" w:rsidRDefault="00787965" w:rsidP="006D7FDA">
          <w:pPr>
            <w:tabs>
              <w:tab w:val="right" w:pos="8838"/>
            </w:tabs>
            <w:ind w:right="-250"/>
          </w:pPr>
          <w:r w:rsidRPr="00787965">
            <w:rPr>
              <w:highlight w:val="black"/>
            </w:rPr>
            <w:t>XXXXXXXXXXXXXX</w:t>
          </w:r>
        </w:p>
      </w:tc>
    </w:tr>
    <w:tr w:rsidR="000906DA" w14:paraId="5113CAA6" w14:textId="77777777" w:rsidTr="001140E2">
      <w:trPr>
        <w:trHeight w:val="261"/>
      </w:trPr>
      <w:tc>
        <w:tcPr>
          <w:tcW w:w="2551" w:type="dxa"/>
        </w:tcPr>
        <w:p w14:paraId="28E3431B" w14:textId="30EC7C18" w:rsidR="000906DA" w:rsidRDefault="000906DA">
          <w:pPr>
            <w:tabs>
              <w:tab w:val="right" w:pos="8838"/>
            </w:tabs>
            <w:ind w:right="-105"/>
            <w:rPr>
              <w:b/>
            </w:rPr>
          </w:pPr>
          <w:r>
            <w:rPr>
              <w:b/>
            </w:rPr>
            <w:t>Sujeto Obligado:</w:t>
          </w:r>
        </w:p>
      </w:tc>
      <w:tc>
        <w:tcPr>
          <w:tcW w:w="4253" w:type="dxa"/>
        </w:tcPr>
        <w:p w14:paraId="3192354E" w14:textId="7A5177D9" w:rsidR="000906DA" w:rsidRPr="001140E2" w:rsidRDefault="000906DA" w:rsidP="00026C6B">
          <w:r w:rsidRPr="001140E2">
            <w:t>Organismo Público Descentralizado para la Prestación de Los Servicios de Agua Potable Alcantarillado y Saneamiento del Municipio de Tlalnepantla de Baz</w:t>
          </w:r>
        </w:p>
      </w:tc>
    </w:tr>
    <w:tr w:rsidR="000906DA" w14:paraId="5D4C2A35" w14:textId="77777777" w:rsidTr="001140E2">
      <w:trPr>
        <w:trHeight w:val="261"/>
      </w:trPr>
      <w:tc>
        <w:tcPr>
          <w:tcW w:w="2551" w:type="dxa"/>
        </w:tcPr>
        <w:p w14:paraId="7F522FEC" w14:textId="77777777" w:rsidR="000906DA" w:rsidRDefault="000906DA">
          <w:pPr>
            <w:tabs>
              <w:tab w:val="right" w:pos="8838"/>
            </w:tabs>
            <w:ind w:right="-105"/>
            <w:rPr>
              <w:b/>
            </w:rPr>
          </w:pPr>
          <w:r>
            <w:rPr>
              <w:b/>
            </w:rPr>
            <w:t>Comisionado Ponente:</w:t>
          </w:r>
        </w:p>
      </w:tc>
      <w:tc>
        <w:tcPr>
          <w:tcW w:w="4253" w:type="dxa"/>
        </w:tcPr>
        <w:p w14:paraId="0F0566F9" w14:textId="77777777" w:rsidR="000906DA" w:rsidRPr="00EF0C39" w:rsidRDefault="000906DA" w:rsidP="00C46A25">
          <w:pPr>
            <w:tabs>
              <w:tab w:val="right" w:pos="8838"/>
            </w:tabs>
            <w:ind w:right="-32"/>
            <w:rPr>
              <w:b/>
            </w:rPr>
          </w:pPr>
          <w:r w:rsidRPr="00EF0C39">
            <w:t>Luis Gustavo Parra Noriega</w:t>
          </w:r>
        </w:p>
      </w:tc>
    </w:tr>
  </w:tbl>
  <w:p w14:paraId="4DFC2598" w14:textId="77777777" w:rsidR="000906DA" w:rsidRDefault="009A420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A3BF6"/>
    <w:multiLevelType w:val="hybridMultilevel"/>
    <w:tmpl w:val="3D729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A7ED5"/>
    <w:multiLevelType w:val="hybridMultilevel"/>
    <w:tmpl w:val="EC7E4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90020D"/>
    <w:multiLevelType w:val="hybridMultilevel"/>
    <w:tmpl w:val="9C26E098"/>
    <w:lvl w:ilvl="0" w:tplc="7AA0B6C0">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8C05C1"/>
    <w:multiLevelType w:val="hybridMultilevel"/>
    <w:tmpl w:val="C4EC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CF309B"/>
    <w:multiLevelType w:val="hybridMultilevel"/>
    <w:tmpl w:val="B114DD0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0B67A8"/>
    <w:multiLevelType w:val="hybridMultilevel"/>
    <w:tmpl w:val="E8826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25"/>
  </w:num>
  <w:num w:numId="6">
    <w:abstractNumId w:val="9"/>
  </w:num>
  <w:num w:numId="7">
    <w:abstractNumId w:val="22"/>
  </w:num>
  <w:num w:numId="8">
    <w:abstractNumId w:val="29"/>
  </w:num>
  <w:num w:numId="9">
    <w:abstractNumId w:val="7"/>
  </w:num>
  <w:num w:numId="10">
    <w:abstractNumId w:val="18"/>
  </w:num>
  <w:num w:numId="11">
    <w:abstractNumId w:val="4"/>
  </w:num>
  <w:num w:numId="12">
    <w:abstractNumId w:val="34"/>
  </w:num>
  <w:num w:numId="13">
    <w:abstractNumId w:val="30"/>
  </w:num>
  <w:num w:numId="14">
    <w:abstractNumId w:val="33"/>
  </w:num>
  <w:num w:numId="15">
    <w:abstractNumId w:val="0"/>
  </w:num>
  <w:num w:numId="16">
    <w:abstractNumId w:val="0"/>
  </w:num>
  <w:num w:numId="17">
    <w:abstractNumId w:val="28"/>
  </w:num>
  <w:num w:numId="18">
    <w:abstractNumId w:val="13"/>
  </w:num>
  <w:num w:numId="19">
    <w:abstractNumId w:val="11"/>
  </w:num>
  <w:num w:numId="20">
    <w:abstractNumId w:val="10"/>
  </w:num>
  <w:num w:numId="21">
    <w:abstractNumId w:val="1"/>
  </w:num>
  <w:num w:numId="22">
    <w:abstractNumId w:val="32"/>
  </w:num>
  <w:num w:numId="23">
    <w:abstractNumId w:val="12"/>
  </w:num>
  <w:num w:numId="24">
    <w:abstractNumId w:val="16"/>
  </w:num>
  <w:num w:numId="25">
    <w:abstractNumId w:val="26"/>
  </w:num>
  <w:num w:numId="26">
    <w:abstractNumId w:val="35"/>
  </w:num>
  <w:num w:numId="27">
    <w:abstractNumId w:val="14"/>
  </w:num>
  <w:num w:numId="28">
    <w:abstractNumId w:val="21"/>
  </w:num>
  <w:num w:numId="29">
    <w:abstractNumId w:val="31"/>
  </w:num>
  <w:num w:numId="30">
    <w:abstractNumId w:val="23"/>
  </w:num>
  <w:num w:numId="31">
    <w:abstractNumId w:val="27"/>
  </w:num>
  <w:num w:numId="32">
    <w:abstractNumId w:val="19"/>
  </w:num>
  <w:num w:numId="33">
    <w:abstractNumId w:val="3"/>
  </w:num>
  <w:num w:numId="34">
    <w:abstractNumId w:val="17"/>
  </w:num>
  <w:num w:numId="35">
    <w:abstractNumId w:val="20"/>
  </w:num>
  <w:num w:numId="36">
    <w:abstractNumId w:val="15"/>
  </w:num>
  <w:num w:numId="37">
    <w:abstractNumId w:val="5"/>
  </w:num>
  <w:num w:numId="3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7D0E"/>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6707A"/>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06DA"/>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1A25"/>
    <w:rsid w:val="00151ED9"/>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7EFB"/>
    <w:rsid w:val="001C638A"/>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27F8B"/>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7114"/>
    <w:rsid w:val="002B2FEA"/>
    <w:rsid w:val="002B48B1"/>
    <w:rsid w:val="002B5A2D"/>
    <w:rsid w:val="002B772B"/>
    <w:rsid w:val="002C061B"/>
    <w:rsid w:val="002C0C3A"/>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3996"/>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4793"/>
    <w:rsid w:val="00475BC9"/>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2CB0"/>
    <w:rsid w:val="004D63D9"/>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5A8D"/>
    <w:rsid w:val="00536382"/>
    <w:rsid w:val="00536941"/>
    <w:rsid w:val="00536F11"/>
    <w:rsid w:val="00537BF8"/>
    <w:rsid w:val="00537C32"/>
    <w:rsid w:val="00545D04"/>
    <w:rsid w:val="005501BA"/>
    <w:rsid w:val="00550C0B"/>
    <w:rsid w:val="005520E3"/>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25A0"/>
    <w:rsid w:val="005B6BFA"/>
    <w:rsid w:val="005C03D2"/>
    <w:rsid w:val="005C20B7"/>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745"/>
    <w:rsid w:val="005F4B93"/>
    <w:rsid w:val="005F5498"/>
    <w:rsid w:val="005F773E"/>
    <w:rsid w:val="005F785A"/>
    <w:rsid w:val="00600A20"/>
    <w:rsid w:val="0060196A"/>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1E80"/>
    <w:rsid w:val="006430B1"/>
    <w:rsid w:val="00644832"/>
    <w:rsid w:val="00644B2E"/>
    <w:rsid w:val="006516F3"/>
    <w:rsid w:val="00654DDF"/>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B0607"/>
    <w:rsid w:val="006B083B"/>
    <w:rsid w:val="006B218E"/>
    <w:rsid w:val="006B2D65"/>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C4E"/>
    <w:rsid w:val="006E7CFC"/>
    <w:rsid w:val="006F134A"/>
    <w:rsid w:val="006F1838"/>
    <w:rsid w:val="006F272D"/>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7965"/>
    <w:rsid w:val="00792220"/>
    <w:rsid w:val="00792309"/>
    <w:rsid w:val="00794774"/>
    <w:rsid w:val="00794B3F"/>
    <w:rsid w:val="00796030"/>
    <w:rsid w:val="007962A6"/>
    <w:rsid w:val="00796712"/>
    <w:rsid w:val="007A097D"/>
    <w:rsid w:val="007A0BC3"/>
    <w:rsid w:val="007A1ACB"/>
    <w:rsid w:val="007A2872"/>
    <w:rsid w:val="007A3334"/>
    <w:rsid w:val="007A540E"/>
    <w:rsid w:val="007A5BF6"/>
    <w:rsid w:val="007A6A27"/>
    <w:rsid w:val="007B0293"/>
    <w:rsid w:val="007B2883"/>
    <w:rsid w:val="007B38A7"/>
    <w:rsid w:val="007B4143"/>
    <w:rsid w:val="007B4717"/>
    <w:rsid w:val="007B4E28"/>
    <w:rsid w:val="007B58B9"/>
    <w:rsid w:val="007B5B46"/>
    <w:rsid w:val="007B5CE4"/>
    <w:rsid w:val="007B65AB"/>
    <w:rsid w:val="007B6891"/>
    <w:rsid w:val="007B6F45"/>
    <w:rsid w:val="007C02D1"/>
    <w:rsid w:val="007C36AE"/>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9B6"/>
    <w:rsid w:val="00802C8A"/>
    <w:rsid w:val="00803119"/>
    <w:rsid w:val="00803884"/>
    <w:rsid w:val="0080685F"/>
    <w:rsid w:val="00807C99"/>
    <w:rsid w:val="0081186D"/>
    <w:rsid w:val="00812FF1"/>
    <w:rsid w:val="0081681D"/>
    <w:rsid w:val="0081756A"/>
    <w:rsid w:val="008201FA"/>
    <w:rsid w:val="00820596"/>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639"/>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15C2"/>
    <w:rsid w:val="00922F61"/>
    <w:rsid w:val="00922F8C"/>
    <w:rsid w:val="00926758"/>
    <w:rsid w:val="00927131"/>
    <w:rsid w:val="00927D6B"/>
    <w:rsid w:val="009319F4"/>
    <w:rsid w:val="00933E27"/>
    <w:rsid w:val="00934D26"/>
    <w:rsid w:val="009351D9"/>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F77"/>
    <w:rsid w:val="009859CE"/>
    <w:rsid w:val="00986D91"/>
    <w:rsid w:val="00992901"/>
    <w:rsid w:val="009948FA"/>
    <w:rsid w:val="00995223"/>
    <w:rsid w:val="00996BDA"/>
    <w:rsid w:val="0099716B"/>
    <w:rsid w:val="009973CB"/>
    <w:rsid w:val="009A08E5"/>
    <w:rsid w:val="009A420B"/>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2E63"/>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5E03"/>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4817"/>
    <w:rsid w:val="00A45EE8"/>
    <w:rsid w:val="00A462A9"/>
    <w:rsid w:val="00A467BC"/>
    <w:rsid w:val="00A46FFB"/>
    <w:rsid w:val="00A47A50"/>
    <w:rsid w:val="00A51D86"/>
    <w:rsid w:val="00A52408"/>
    <w:rsid w:val="00A538A9"/>
    <w:rsid w:val="00A54AEE"/>
    <w:rsid w:val="00A55E82"/>
    <w:rsid w:val="00A56228"/>
    <w:rsid w:val="00A576F9"/>
    <w:rsid w:val="00A60433"/>
    <w:rsid w:val="00A60BDF"/>
    <w:rsid w:val="00A620E2"/>
    <w:rsid w:val="00A63444"/>
    <w:rsid w:val="00A63A10"/>
    <w:rsid w:val="00A63E30"/>
    <w:rsid w:val="00A6488A"/>
    <w:rsid w:val="00A660B5"/>
    <w:rsid w:val="00A71C66"/>
    <w:rsid w:val="00A73E9A"/>
    <w:rsid w:val="00A7487F"/>
    <w:rsid w:val="00A753B3"/>
    <w:rsid w:val="00A75C5D"/>
    <w:rsid w:val="00A7749F"/>
    <w:rsid w:val="00A805B7"/>
    <w:rsid w:val="00A8342D"/>
    <w:rsid w:val="00A84E9B"/>
    <w:rsid w:val="00A85D07"/>
    <w:rsid w:val="00A915DD"/>
    <w:rsid w:val="00A9286C"/>
    <w:rsid w:val="00A94490"/>
    <w:rsid w:val="00A95E07"/>
    <w:rsid w:val="00A96A4E"/>
    <w:rsid w:val="00AA07B4"/>
    <w:rsid w:val="00AA21E0"/>
    <w:rsid w:val="00AA345B"/>
    <w:rsid w:val="00AA3CD8"/>
    <w:rsid w:val="00AA556D"/>
    <w:rsid w:val="00AA6BA1"/>
    <w:rsid w:val="00AB0BA1"/>
    <w:rsid w:val="00AB1C9F"/>
    <w:rsid w:val="00AB328F"/>
    <w:rsid w:val="00AB4AC2"/>
    <w:rsid w:val="00AB4F34"/>
    <w:rsid w:val="00AB51A8"/>
    <w:rsid w:val="00AB5976"/>
    <w:rsid w:val="00AC0AE0"/>
    <w:rsid w:val="00AC45E1"/>
    <w:rsid w:val="00AC4EC9"/>
    <w:rsid w:val="00AC5582"/>
    <w:rsid w:val="00AC5D01"/>
    <w:rsid w:val="00AC70CA"/>
    <w:rsid w:val="00AC7111"/>
    <w:rsid w:val="00AD3E0D"/>
    <w:rsid w:val="00AD468B"/>
    <w:rsid w:val="00AD4F7B"/>
    <w:rsid w:val="00AD7046"/>
    <w:rsid w:val="00AD7954"/>
    <w:rsid w:val="00AE23FB"/>
    <w:rsid w:val="00AE256C"/>
    <w:rsid w:val="00AE5058"/>
    <w:rsid w:val="00AE6691"/>
    <w:rsid w:val="00AF2EA1"/>
    <w:rsid w:val="00AF4BF2"/>
    <w:rsid w:val="00AF4DA4"/>
    <w:rsid w:val="00AF592A"/>
    <w:rsid w:val="00AF7546"/>
    <w:rsid w:val="00B00C4E"/>
    <w:rsid w:val="00B021E5"/>
    <w:rsid w:val="00B02499"/>
    <w:rsid w:val="00B02796"/>
    <w:rsid w:val="00B02A3F"/>
    <w:rsid w:val="00B03235"/>
    <w:rsid w:val="00B03A57"/>
    <w:rsid w:val="00B04A35"/>
    <w:rsid w:val="00B04BE1"/>
    <w:rsid w:val="00B050D9"/>
    <w:rsid w:val="00B10B27"/>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47E6F"/>
    <w:rsid w:val="00B51050"/>
    <w:rsid w:val="00B52CAD"/>
    <w:rsid w:val="00B53EAF"/>
    <w:rsid w:val="00B554D6"/>
    <w:rsid w:val="00B60530"/>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0EFB"/>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505"/>
    <w:rsid w:val="00BE288A"/>
    <w:rsid w:val="00BE3B4D"/>
    <w:rsid w:val="00BE5634"/>
    <w:rsid w:val="00BE57BB"/>
    <w:rsid w:val="00BE7092"/>
    <w:rsid w:val="00BE7118"/>
    <w:rsid w:val="00BF026B"/>
    <w:rsid w:val="00BF0C25"/>
    <w:rsid w:val="00BF362A"/>
    <w:rsid w:val="00BF381B"/>
    <w:rsid w:val="00BF40A8"/>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2045C"/>
    <w:rsid w:val="00C218B8"/>
    <w:rsid w:val="00C231AA"/>
    <w:rsid w:val="00C231EB"/>
    <w:rsid w:val="00C24C7D"/>
    <w:rsid w:val="00C24DAF"/>
    <w:rsid w:val="00C26633"/>
    <w:rsid w:val="00C27AAC"/>
    <w:rsid w:val="00C335A8"/>
    <w:rsid w:val="00C34810"/>
    <w:rsid w:val="00C362E2"/>
    <w:rsid w:val="00C4052B"/>
    <w:rsid w:val="00C409B6"/>
    <w:rsid w:val="00C40CD5"/>
    <w:rsid w:val="00C40DD3"/>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48E6"/>
    <w:rsid w:val="00C95611"/>
    <w:rsid w:val="00C97FC1"/>
    <w:rsid w:val="00CA20B5"/>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116A"/>
    <w:rsid w:val="00CE2494"/>
    <w:rsid w:val="00CE2973"/>
    <w:rsid w:val="00CE3BC3"/>
    <w:rsid w:val="00CE4073"/>
    <w:rsid w:val="00CE526C"/>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0D5B"/>
    <w:rsid w:val="00D61CB8"/>
    <w:rsid w:val="00D61FF9"/>
    <w:rsid w:val="00D62480"/>
    <w:rsid w:val="00D629E3"/>
    <w:rsid w:val="00D64273"/>
    <w:rsid w:val="00D64C4F"/>
    <w:rsid w:val="00D66DDB"/>
    <w:rsid w:val="00D70766"/>
    <w:rsid w:val="00D72175"/>
    <w:rsid w:val="00D7252C"/>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1D8F"/>
    <w:rsid w:val="00DB271D"/>
    <w:rsid w:val="00DB277C"/>
    <w:rsid w:val="00DB3FB8"/>
    <w:rsid w:val="00DB5A7F"/>
    <w:rsid w:val="00DB6746"/>
    <w:rsid w:val="00DB7DC5"/>
    <w:rsid w:val="00DC0C32"/>
    <w:rsid w:val="00DC175C"/>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7902"/>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B70"/>
    <w:rsid w:val="00EE1EF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3404"/>
    <w:rsid w:val="00FE58DC"/>
    <w:rsid w:val="00FE609B"/>
    <w:rsid w:val="00FE62B8"/>
    <w:rsid w:val="00FE7308"/>
    <w:rsid w:val="00FE7D3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tm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5A0857-8685-4737-9182-890ABAC7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6077</Words>
  <Characters>33425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2025-08-22T18:31:00Z</cp:lastPrinted>
  <dcterms:created xsi:type="dcterms:W3CDTF">2025-08-22T18:31:00Z</dcterms:created>
  <dcterms:modified xsi:type="dcterms:W3CDTF">2025-08-28T19:30:00Z</dcterms:modified>
</cp:coreProperties>
</file>