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33" w:rsidRDefault="00E53A33" w:rsidP="0058299E">
      <w:pPr>
        <w:spacing w:line="360" w:lineRule="auto"/>
        <w:jc w:val="both"/>
        <w:rPr>
          <w:rFonts w:ascii="Palatino Linotype" w:eastAsiaTheme="minorEastAsia" w:hAnsi="Palatino Linotype"/>
          <w:color w:val="000000" w:themeColor="text1"/>
          <w:lang w:val="es-ES_tradnl" w:eastAsia="es-ES"/>
        </w:rPr>
      </w:pPr>
      <w:r w:rsidRPr="0058299E">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D4677C">
        <w:rPr>
          <w:rFonts w:ascii="Palatino Linotype" w:eastAsia="Palatino Linotype" w:hAnsi="Palatino Linotype" w:cs="Palatino Linotype"/>
          <w:b/>
          <w:color w:val="000000" w:themeColor="text1"/>
        </w:rPr>
        <w:t xml:space="preserve">de fecha doce (12) </w:t>
      </w:r>
      <w:r w:rsidR="00D4677C" w:rsidRPr="00157555">
        <w:rPr>
          <w:rFonts w:ascii="Palatino Linotype" w:eastAsia="Palatino Linotype" w:hAnsi="Palatino Linotype" w:cs="Palatino Linotype"/>
          <w:b/>
          <w:color w:val="000000" w:themeColor="text1"/>
        </w:rPr>
        <w:t xml:space="preserve">de </w:t>
      </w:r>
      <w:r w:rsidR="00D4677C">
        <w:rPr>
          <w:rFonts w:ascii="Palatino Linotype" w:eastAsia="Palatino Linotype" w:hAnsi="Palatino Linotype" w:cs="Palatino Linotype"/>
          <w:b/>
          <w:color w:val="000000" w:themeColor="text1"/>
        </w:rPr>
        <w:t xml:space="preserve">noviembre </w:t>
      </w:r>
      <w:r w:rsidR="00D4677C" w:rsidRPr="00157555">
        <w:rPr>
          <w:rFonts w:ascii="Palatino Linotype" w:eastAsia="Palatino Linotype" w:hAnsi="Palatino Linotype" w:cs="Palatino Linotype"/>
          <w:b/>
          <w:color w:val="000000" w:themeColor="text1"/>
        </w:rPr>
        <w:t>de dos mil veinticinco</w:t>
      </w:r>
      <w:r w:rsidRPr="0058299E">
        <w:rPr>
          <w:rFonts w:ascii="Palatino Linotype" w:eastAsiaTheme="minorEastAsia" w:hAnsi="Palatino Linotype"/>
          <w:color w:val="000000" w:themeColor="text1"/>
          <w:lang w:val="es-ES_tradnl" w:eastAsia="es-ES"/>
        </w:rPr>
        <w:t xml:space="preserve">. </w:t>
      </w:r>
    </w:p>
    <w:p w:rsidR="008C202E" w:rsidRPr="0058299E" w:rsidRDefault="008C202E" w:rsidP="0058299E">
      <w:pPr>
        <w:spacing w:line="360" w:lineRule="auto"/>
        <w:jc w:val="both"/>
        <w:rPr>
          <w:rFonts w:ascii="Palatino Linotype" w:eastAsiaTheme="minorEastAsia" w:hAnsi="Palatino Linotype"/>
          <w:color w:val="000000" w:themeColor="text1"/>
          <w:lang w:val="es-ES_tradnl" w:eastAsia="es-ES"/>
        </w:rPr>
      </w:pPr>
    </w:p>
    <w:p w:rsidR="00E53A33" w:rsidRPr="0058299E" w:rsidRDefault="00E53A33" w:rsidP="0058299E">
      <w:pPr>
        <w:spacing w:line="360" w:lineRule="auto"/>
        <w:jc w:val="both"/>
        <w:rPr>
          <w:rFonts w:ascii="Palatino Linotype" w:hAnsi="Palatino Linotype"/>
          <w:b/>
          <w:color w:val="000000" w:themeColor="text1"/>
        </w:rPr>
      </w:pPr>
      <w:r w:rsidRPr="0058299E">
        <w:rPr>
          <w:rFonts w:ascii="Palatino Linotype" w:hAnsi="Palatino Linotype"/>
          <w:b/>
          <w:color w:val="000000" w:themeColor="text1"/>
        </w:rPr>
        <w:t>VISTO</w:t>
      </w:r>
      <w:r w:rsidRPr="0058299E">
        <w:rPr>
          <w:rFonts w:ascii="Palatino Linotype" w:hAnsi="Palatino Linotype"/>
          <w:color w:val="000000" w:themeColor="text1"/>
        </w:rPr>
        <w:t xml:space="preserve"> el expediente electrónico formado con motivo del recurso de revisión </w:t>
      </w:r>
      <w:r w:rsidRPr="0058299E">
        <w:rPr>
          <w:rFonts w:ascii="Palatino Linotype" w:hAnsi="Palatino Linotype"/>
          <w:b/>
          <w:color w:val="000000" w:themeColor="text1"/>
        </w:rPr>
        <w:t>08758/INFOEM/IP/RR/2025,</w:t>
      </w:r>
      <w:r w:rsidRPr="0058299E">
        <w:rPr>
          <w:rFonts w:ascii="Palatino Linotype" w:hAnsi="Palatino Linotype" w:cs="Arial"/>
          <w:b/>
          <w:bCs/>
          <w:color w:val="000000" w:themeColor="text1"/>
        </w:rPr>
        <w:t xml:space="preserve"> </w:t>
      </w:r>
      <w:r w:rsidRPr="0058299E">
        <w:rPr>
          <w:rFonts w:ascii="Palatino Linotype" w:eastAsiaTheme="minorEastAsia" w:hAnsi="Palatino Linotype"/>
          <w:color w:val="000000" w:themeColor="text1"/>
          <w:lang w:val="es-ES_tradnl" w:eastAsia="es-ES"/>
        </w:rPr>
        <w:t xml:space="preserve">promovido por </w:t>
      </w:r>
      <w:r w:rsidR="00D533C7">
        <w:rPr>
          <w:rFonts w:ascii="Palatino Linotype" w:eastAsiaTheme="minorEastAsia" w:hAnsi="Palatino Linotype"/>
          <w:b/>
          <w:bCs/>
          <w:color w:val="000000" w:themeColor="text1"/>
          <w:lang w:eastAsia="es-ES"/>
        </w:rPr>
        <w:t>XXX</w:t>
      </w:r>
      <w:r w:rsidRPr="0058299E">
        <w:rPr>
          <w:rFonts w:ascii="Palatino Linotype" w:eastAsiaTheme="minorEastAsia" w:hAnsi="Palatino Linotype"/>
          <w:color w:val="000000" w:themeColor="text1"/>
          <w:lang w:val="es-ES" w:eastAsia="es-ES"/>
        </w:rPr>
        <w:t>,</w:t>
      </w:r>
      <w:r w:rsidRPr="0058299E">
        <w:rPr>
          <w:rFonts w:ascii="Palatino Linotype" w:eastAsiaTheme="minorEastAsia" w:hAnsi="Palatino Linotype"/>
          <w:color w:val="000000" w:themeColor="text1"/>
          <w:lang w:eastAsia="es-ES"/>
        </w:rPr>
        <w:t xml:space="preserve"> quien </w:t>
      </w:r>
      <w:r w:rsidRPr="0058299E">
        <w:rPr>
          <w:rFonts w:ascii="Palatino Linotype" w:hAnsi="Palatino Linotype"/>
          <w:color w:val="000000" w:themeColor="text1"/>
        </w:rPr>
        <w:t xml:space="preserve">en lo sucesivo se identificará como </w:t>
      </w:r>
      <w:r w:rsidRPr="0058299E">
        <w:rPr>
          <w:rFonts w:ascii="Palatino Linotype" w:hAnsi="Palatino Linotype"/>
          <w:b/>
          <w:color w:val="000000" w:themeColor="text1"/>
        </w:rPr>
        <w:t xml:space="preserve">EL </w:t>
      </w:r>
      <w:r w:rsidRPr="0058299E">
        <w:rPr>
          <w:rFonts w:ascii="Palatino Linotype" w:hAnsi="Palatino Linotype" w:cs="Arial"/>
          <w:b/>
          <w:color w:val="000000" w:themeColor="text1"/>
        </w:rPr>
        <w:t>RECURRENTE</w:t>
      </w:r>
      <w:r w:rsidRPr="0058299E">
        <w:rPr>
          <w:rFonts w:ascii="Palatino Linotype" w:hAnsi="Palatino Linotype" w:cs="Arial"/>
          <w:color w:val="000000" w:themeColor="text1"/>
        </w:rPr>
        <w:t xml:space="preserve">, en contra de la respuesta de </w:t>
      </w:r>
      <w:r w:rsidRPr="0058299E">
        <w:rPr>
          <w:rFonts w:ascii="Palatino Linotype" w:hAnsi="Palatino Linotype" w:cs="Arial"/>
          <w:b/>
          <w:bCs/>
          <w:color w:val="000000" w:themeColor="text1"/>
        </w:rPr>
        <w:t>Oficialía Mayor</w:t>
      </w:r>
      <w:r w:rsidRPr="0058299E">
        <w:rPr>
          <w:rFonts w:ascii="Palatino Linotype" w:hAnsi="Palatino Linotype" w:cs="Arial"/>
          <w:b/>
          <w:color w:val="000000" w:themeColor="text1"/>
        </w:rPr>
        <w:t>,</w:t>
      </w:r>
      <w:r w:rsidRPr="0058299E">
        <w:rPr>
          <w:rFonts w:ascii="Palatino Linotype" w:hAnsi="Palatino Linotype"/>
          <w:b/>
          <w:color w:val="000000" w:themeColor="text1"/>
        </w:rPr>
        <w:t xml:space="preserve"> </w:t>
      </w:r>
      <w:r w:rsidRPr="0058299E">
        <w:rPr>
          <w:rFonts w:ascii="Palatino Linotype" w:hAnsi="Palatino Linotype"/>
          <w:color w:val="000000" w:themeColor="text1"/>
        </w:rPr>
        <w:t>en lo sucesivo el</w:t>
      </w:r>
      <w:r w:rsidRPr="0058299E">
        <w:rPr>
          <w:rFonts w:ascii="Palatino Linotype" w:hAnsi="Palatino Linotype"/>
          <w:b/>
          <w:color w:val="000000" w:themeColor="text1"/>
        </w:rPr>
        <w:t xml:space="preserve"> SUJETO OBLIGADO</w:t>
      </w:r>
      <w:r w:rsidRPr="0058299E">
        <w:rPr>
          <w:rFonts w:ascii="Palatino Linotype" w:hAnsi="Palatino Linotype"/>
          <w:color w:val="000000" w:themeColor="text1"/>
        </w:rPr>
        <w:t>, por lo que se procede a dictar la presente resolución, con base en los siguientes:</w:t>
      </w:r>
    </w:p>
    <w:p w:rsidR="00E53A33" w:rsidRPr="0058299E" w:rsidRDefault="00E53A33" w:rsidP="0058299E">
      <w:pPr>
        <w:spacing w:line="360" w:lineRule="auto"/>
        <w:jc w:val="both"/>
        <w:rPr>
          <w:rFonts w:ascii="Palatino Linotype" w:hAnsi="Palatino Linotype"/>
          <w:color w:val="000000" w:themeColor="text1"/>
        </w:rPr>
      </w:pPr>
    </w:p>
    <w:p w:rsidR="00E53A33" w:rsidRPr="0058299E" w:rsidRDefault="00E53A33" w:rsidP="0058299E">
      <w:pPr>
        <w:keepNext/>
        <w:keepLines/>
        <w:spacing w:line="360" w:lineRule="auto"/>
        <w:jc w:val="center"/>
        <w:outlineLvl w:val="0"/>
        <w:rPr>
          <w:rFonts w:ascii="Palatino Linotype" w:eastAsiaTheme="majorEastAsia" w:hAnsi="Palatino Linotype" w:cstheme="majorBidi"/>
          <w:b/>
          <w:color w:val="000000" w:themeColor="text1"/>
        </w:rPr>
      </w:pPr>
      <w:bookmarkStart w:id="0" w:name="_Toc83301633"/>
      <w:r w:rsidRPr="0058299E">
        <w:rPr>
          <w:rFonts w:ascii="Palatino Linotype" w:eastAsiaTheme="majorEastAsia" w:hAnsi="Palatino Linotype" w:cstheme="majorBidi"/>
          <w:b/>
          <w:color w:val="000000" w:themeColor="text1"/>
        </w:rPr>
        <w:t>A</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N</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T</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E</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C</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E</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D</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E</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N</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T</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E</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S</w:t>
      </w:r>
      <w:bookmarkEnd w:id="0"/>
    </w:p>
    <w:p w:rsidR="00E53A33" w:rsidRPr="0058299E" w:rsidRDefault="00E53A33" w:rsidP="0058299E">
      <w:pPr>
        <w:spacing w:line="360" w:lineRule="auto"/>
        <w:rPr>
          <w:rFonts w:ascii="Palatino Linotype" w:eastAsiaTheme="minorEastAsia" w:hAnsi="Palatino Linotype"/>
          <w:color w:val="000000" w:themeColor="text1"/>
        </w:rPr>
      </w:pPr>
    </w:p>
    <w:p w:rsidR="00E53A33" w:rsidRPr="0058299E" w:rsidRDefault="00E53A33" w:rsidP="0058299E">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58299E">
        <w:rPr>
          <w:rFonts w:ascii="Palatino Linotype" w:eastAsia="Calibri" w:hAnsi="Palatino Linotype" w:cs="Arial"/>
          <w:color w:val="000000" w:themeColor="text1"/>
          <w:lang w:val="es-ES" w:eastAsia="es-ES"/>
        </w:rPr>
        <w:t xml:space="preserve">El </w:t>
      </w:r>
      <w:r w:rsidRPr="0058299E">
        <w:rPr>
          <w:rFonts w:ascii="Palatino Linotype" w:eastAsia="Calibri" w:hAnsi="Palatino Linotype" w:cs="Arial"/>
          <w:b/>
          <w:color w:val="000000" w:themeColor="text1"/>
          <w:lang w:val="es-ES" w:eastAsia="es-ES"/>
        </w:rPr>
        <w:t>veintitrés de junio mil veinticinco</w:t>
      </w:r>
      <w:r w:rsidRPr="0058299E">
        <w:rPr>
          <w:rFonts w:ascii="Palatino Linotype" w:eastAsia="Calibri" w:hAnsi="Palatino Linotype" w:cs="Arial"/>
          <w:color w:val="000000" w:themeColor="text1"/>
          <w:lang w:val="es-ES" w:eastAsia="es-ES"/>
        </w:rPr>
        <w:t>,</w:t>
      </w:r>
      <w:r w:rsidRPr="0058299E">
        <w:rPr>
          <w:rFonts w:ascii="Palatino Linotype" w:eastAsia="Calibri" w:hAnsi="Palatino Linotype"/>
          <w:color w:val="000000" w:themeColor="text1"/>
          <w:lang w:val="es-ES" w:eastAsia="es-ES"/>
        </w:rPr>
        <w:t xml:space="preserve"> </w:t>
      </w:r>
      <w:r w:rsidRPr="0058299E">
        <w:rPr>
          <w:rFonts w:ascii="Palatino Linotype" w:eastAsia="Calibri" w:hAnsi="Palatino Linotype"/>
          <w:b/>
          <w:color w:val="000000" w:themeColor="text1"/>
          <w:lang w:val="es-ES" w:eastAsia="es-ES"/>
        </w:rPr>
        <w:t>EL RECURRENTE</w:t>
      </w:r>
      <w:r w:rsidRPr="0058299E">
        <w:rPr>
          <w:rFonts w:ascii="Palatino Linotype" w:eastAsiaTheme="minorEastAsia" w:hAnsi="Palatino Linotype"/>
          <w:b/>
          <w:color w:val="000000" w:themeColor="text1"/>
          <w:lang w:val="es-ES_tradnl" w:eastAsia="es-ES"/>
        </w:rPr>
        <w:t>,</w:t>
      </w:r>
      <w:r w:rsidRPr="0058299E">
        <w:rPr>
          <w:rFonts w:ascii="Palatino Linotype" w:eastAsia="Calibri" w:hAnsi="Palatino Linotype" w:cs="Arial"/>
          <w:color w:val="000000" w:themeColor="text1"/>
          <w:lang w:val="es-ES" w:eastAsia="es-ES"/>
        </w:rPr>
        <w:t xml:space="preserve"> ante el </w:t>
      </w:r>
      <w:r w:rsidRPr="0058299E">
        <w:rPr>
          <w:rFonts w:ascii="Palatino Linotype" w:eastAsia="Calibri" w:hAnsi="Palatino Linotype" w:cs="Arial"/>
          <w:b/>
          <w:color w:val="000000" w:themeColor="text1"/>
          <w:lang w:val="es-ES" w:eastAsia="es-ES"/>
        </w:rPr>
        <w:t>SUJETO OBLIGADO</w:t>
      </w:r>
      <w:r w:rsidRPr="0058299E">
        <w:rPr>
          <w:rFonts w:ascii="Palatino Linotype" w:eastAsia="Calibri" w:hAnsi="Palatino Linotype" w:cs="Arial"/>
          <w:color w:val="000000" w:themeColor="text1"/>
          <w:lang w:val="es-ES_tradnl" w:eastAsia="es-ES"/>
        </w:rPr>
        <w:t xml:space="preserve"> vía </w:t>
      </w:r>
      <w:r w:rsidRPr="0058299E">
        <w:rPr>
          <w:rFonts w:ascii="Palatino Linotype" w:eastAsia="Calibri" w:hAnsi="Palatino Linotype" w:cs="Arial"/>
          <w:color w:val="000000" w:themeColor="text1"/>
          <w:lang w:val="es-ES" w:eastAsia="es-ES"/>
        </w:rPr>
        <w:t>Sistema de Acceso a la Información Mexiquense (</w:t>
      </w:r>
      <w:r w:rsidRPr="0058299E">
        <w:rPr>
          <w:rFonts w:ascii="Palatino Linotype" w:eastAsia="Calibri" w:hAnsi="Palatino Linotype" w:cs="Arial"/>
          <w:b/>
          <w:color w:val="000000" w:themeColor="text1"/>
          <w:lang w:val="es-ES" w:eastAsia="es-ES"/>
        </w:rPr>
        <w:t>SAIMEX)</w:t>
      </w:r>
      <w:r w:rsidRPr="0058299E">
        <w:rPr>
          <w:rFonts w:ascii="Palatino Linotype" w:eastAsia="Calibri" w:hAnsi="Palatino Linotype" w:cs="Arial"/>
          <w:color w:val="000000" w:themeColor="text1"/>
          <w:lang w:val="es-ES" w:eastAsia="es-ES"/>
        </w:rPr>
        <w:t xml:space="preserve">, presentó una solicitud de información registrada con el número </w:t>
      </w:r>
      <w:r w:rsidRPr="0058299E">
        <w:rPr>
          <w:rFonts w:ascii="Palatino Linotype" w:hAnsi="Palatino Linotype"/>
          <w:b/>
          <w:bCs/>
          <w:color w:val="000000" w:themeColor="text1"/>
        </w:rPr>
        <w:t>00186/OFICIALIA/IP/2025</w:t>
      </w:r>
      <w:r w:rsidRPr="0058299E">
        <w:rPr>
          <w:rFonts w:ascii="Palatino Linotype" w:eastAsiaTheme="minorEastAsia" w:hAnsi="Palatino Linotype"/>
          <w:b/>
          <w:color w:val="000000" w:themeColor="text1"/>
          <w:lang w:val="es-ES_tradnl" w:eastAsia="es-ES"/>
        </w:rPr>
        <w:t xml:space="preserve">, </w:t>
      </w:r>
      <w:r w:rsidR="004775BD">
        <w:rPr>
          <w:rFonts w:ascii="Palatino Linotype" w:eastAsia="Calibri" w:hAnsi="Palatino Linotype" w:cs="Arial"/>
          <w:color w:val="000000" w:themeColor="text1"/>
          <w:lang w:val="es-ES" w:eastAsia="es-ES"/>
        </w:rPr>
        <w:t xml:space="preserve">en la que se </w:t>
      </w:r>
      <w:r w:rsidRPr="0058299E">
        <w:rPr>
          <w:rFonts w:ascii="Palatino Linotype" w:eastAsia="Calibri" w:hAnsi="Palatino Linotype" w:cs="Arial"/>
          <w:color w:val="000000" w:themeColor="text1"/>
          <w:lang w:val="es-ES" w:eastAsia="es-ES"/>
        </w:rPr>
        <w:t>solicitó lo siguiente:</w:t>
      </w:r>
    </w:p>
    <w:p w:rsidR="00E53A33" w:rsidRPr="0058299E" w:rsidRDefault="00E53A33" w:rsidP="0058299E">
      <w:pPr>
        <w:spacing w:line="360" w:lineRule="auto"/>
        <w:contextualSpacing/>
        <w:jc w:val="both"/>
        <w:rPr>
          <w:rFonts w:ascii="Palatino Linotype" w:hAnsi="Palatino Linotype" w:cs="Arial"/>
          <w:color w:val="000000" w:themeColor="text1"/>
          <w:lang w:val="es-ES" w:eastAsia="es-ES"/>
        </w:rPr>
      </w:pPr>
    </w:p>
    <w:p w:rsidR="00E53A33" w:rsidRPr="0058299E" w:rsidRDefault="00E53A33" w:rsidP="0058299E">
      <w:pPr>
        <w:tabs>
          <w:tab w:val="left" w:pos="8222"/>
        </w:tabs>
        <w:spacing w:line="360" w:lineRule="auto"/>
        <w:jc w:val="both"/>
        <w:rPr>
          <w:rFonts w:ascii="Palatino Linotype" w:hAnsi="Palatino Linotype"/>
          <w:i/>
          <w:color w:val="000000" w:themeColor="text1"/>
        </w:rPr>
      </w:pPr>
      <w:r w:rsidRPr="0058299E">
        <w:rPr>
          <w:rFonts w:ascii="Palatino Linotype" w:hAnsi="Palatino Linotype"/>
          <w:i/>
          <w:color w:val="000000" w:themeColor="text1"/>
        </w:rPr>
        <w:t>“solicito copia simple digitalizada a través del sistema electrónico saimex de los contratos para la adquisicion de bienes y servicios por un monto mayor a 10 millones de pesos correspondientes al ejercicio fiscal 2024.” (Sic)</w:t>
      </w:r>
    </w:p>
    <w:p w:rsidR="00E53A33" w:rsidRPr="0058299E" w:rsidRDefault="00E53A33" w:rsidP="0058299E">
      <w:pPr>
        <w:spacing w:line="360" w:lineRule="auto"/>
        <w:jc w:val="both"/>
        <w:rPr>
          <w:rFonts w:ascii="Palatino Linotype" w:hAnsi="Palatino Linotype"/>
          <w:i/>
          <w:color w:val="000000" w:themeColor="text1"/>
        </w:rPr>
      </w:pPr>
    </w:p>
    <w:p w:rsidR="00E53A33" w:rsidRPr="0058299E" w:rsidRDefault="00E53A33" w:rsidP="0058299E">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58299E">
        <w:rPr>
          <w:rFonts w:ascii="Palatino Linotype" w:eastAsia="Calibri" w:hAnsi="Palatino Linotype"/>
          <w:color w:val="000000" w:themeColor="text1"/>
          <w:lang w:val="es-ES" w:eastAsia="es-ES"/>
        </w:rPr>
        <w:t>Se eligió como modalidad de entrega a través de la plataforma digital Sistema de Acceso a la Información Mexiquense (SAIMEX).</w:t>
      </w:r>
    </w:p>
    <w:p w:rsidR="00E53A33" w:rsidRPr="0058299E" w:rsidRDefault="00E53A33" w:rsidP="0058299E">
      <w:pPr>
        <w:spacing w:line="360" w:lineRule="auto"/>
        <w:contextualSpacing/>
        <w:jc w:val="both"/>
        <w:rPr>
          <w:rFonts w:ascii="Palatino Linotype" w:eastAsia="Calibri" w:hAnsi="Palatino Linotype"/>
          <w:color w:val="000000" w:themeColor="text1"/>
          <w:lang w:val="es-ES" w:eastAsia="es-ES"/>
        </w:rPr>
      </w:pPr>
    </w:p>
    <w:p w:rsidR="00E53A33" w:rsidRPr="0058299E" w:rsidRDefault="00E53A33" w:rsidP="0058299E">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58299E">
        <w:rPr>
          <w:rFonts w:ascii="Palatino Linotype" w:eastAsia="Calibri" w:hAnsi="Palatino Linotype"/>
          <w:color w:val="000000" w:themeColor="text1"/>
          <w:lang w:val="es-ES" w:eastAsia="es-ES"/>
        </w:rPr>
        <w:lastRenderedPageBreak/>
        <w:t>El veintitrés de junio de dos mil veinticinco, se realizó un requerimiento de información al servidor público habilitado.</w:t>
      </w:r>
    </w:p>
    <w:p w:rsidR="00E53A33" w:rsidRPr="0058299E" w:rsidRDefault="00E53A33" w:rsidP="0058299E">
      <w:pPr>
        <w:spacing w:line="360" w:lineRule="auto"/>
        <w:contextualSpacing/>
        <w:jc w:val="both"/>
        <w:rPr>
          <w:rFonts w:ascii="Palatino Linotype" w:eastAsia="Calibri" w:hAnsi="Palatino Linotype"/>
          <w:color w:val="000000" w:themeColor="text1"/>
          <w:lang w:val="es-ES" w:eastAsia="es-ES"/>
        </w:rPr>
      </w:pPr>
    </w:p>
    <w:p w:rsidR="00E53A33" w:rsidRPr="0058299E" w:rsidRDefault="00E53A33" w:rsidP="0058299E">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58299E">
        <w:rPr>
          <w:rFonts w:ascii="Palatino Linotype" w:eastAsiaTheme="minorEastAsia" w:hAnsi="Palatino Linotype"/>
          <w:color w:val="000000" w:themeColor="text1"/>
          <w:lang w:val="es-ES_tradnl" w:eastAsia="es-ES"/>
        </w:rPr>
        <w:t xml:space="preserve">El </w:t>
      </w:r>
      <w:r w:rsidRPr="0058299E">
        <w:rPr>
          <w:rFonts w:ascii="Palatino Linotype" w:eastAsiaTheme="minorEastAsia" w:hAnsi="Palatino Linotype"/>
          <w:b/>
          <w:color w:val="000000" w:themeColor="text1"/>
          <w:lang w:val="es-ES_tradnl" w:eastAsia="es-ES"/>
        </w:rPr>
        <w:t>catorce de julio de dos mil veinticinco</w:t>
      </w:r>
      <w:r w:rsidRPr="0058299E">
        <w:rPr>
          <w:rFonts w:ascii="Palatino Linotype" w:eastAsiaTheme="minorEastAsia" w:hAnsi="Palatino Linotype"/>
          <w:color w:val="000000" w:themeColor="text1"/>
          <w:lang w:val="es-ES_tradnl" w:eastAsia="es-ES"/>
        </w:rPr>
        <w:t xml:space="preserve">, </w:t>
      </w:r>
      <w:r w:rsidRPr="0058299E">
        <w:rPr>
          <w:rFonts w:ascii="Palatino Linotype" w:eastAsia="Calibri" w:hAnsi="Palatino Linotype"/>
          <w:color w:val="000000" w:themeColor="text1"/>
          <w:lang w:val="es-ES" w:eastAsia="es-ES"/>
        </w:rPr>
        <w:t xml:space="preserve">el </w:t>
      </w:r>
      <w:r w:rsidRPr="0058299E">
        <w:rPr>
          <w:rFonts w:ascii="Palatino Linotype" w:eastAsia="Calibri" w:hAnsi="Palatino Linotype" w:cs="Arial"/>
          <w:b/>
          <w:color w:val="000000" w:themeColor="text1"/>
          <w:lang w:val="es-AR" w:eastAsia="es-ES"/>
        </w:rPr>
        <w:t>SUJETO OBLIGADO</w:t>
      </w:r>
      <w:r w:rsidRPr="0058299E">
        <w:rPr>
          <w:rFonts w:ascii="Palatino Linotype" w:eastAsia="Calibri" w:hAnsi="Palatino Linotype" w:cs="Arial"/>
          <w:b/>
          <w:i/>
          <w:color w:val="000000" w:themeColor="text1"/>
          <w:lang w:val="es-AR" w:eastAsia="es-ES"/>
        </w:rPr>
        <w:t xml:space="preserve"> </w:t>
      </w:r>
      <w:r w:rsidRPr="0058299E">
        <w:rPr>
          <w:rFonts w:ascii="Palatino Linotype" w:hAnsi="Palatino Linotype" w:cs="Arial"/>
          <w:color w:val="000000" w:themeColor="text1"/>
          <w:lang w:val="es-ES" w:eastAsia="es-ES"/>
        </w:rPr>
        <w:t>dio respuesta a la solicitud de información en los siguientes términos:</w:t>
      </w:r>
    </w:p>
    <w:p w:rsidR="00E53A33" w:rsidRPr="0058299E" w:rsidRDefault="00E53A33" w:rsidP="0058299E">
      <w:pPr>
        <w:spacing w:line="360" w:lineRule="auto"/>
        <w:contextualSpacing/>
        <w:jc w:val="both"/>
        <w:rPr>
          <w:rFonts w:ascii="Palatino Linotype" w:eastAsia="Calibri" w:hAnsi="Palatino Linotype"/>
          <w:color w:val="000000" w:themeColor="text1"/>
          <w:lang w:val="es-ES" w:eastAsia="es-ES"/>
        </w:rPr>
      </w:pPr>
    </w:p>
    <w:tbl>
      <w:tblPr>
        <w:tblW w:w="7594" w:type="dxa"/>
        <w:jc w:val="center"/>
        <w:tblCellSpacing w:w="0" w:type="dxa"/>
        <w:tblCellMar>
          <w:left w:w="0" w:type="dxa"/>
          <w:right w:w="0" w:type="dxa"/>
        </w:tblCellMar>
        <w:tblLook w:val="04A0" w:firstRow="1" w:lastRow="0" w:firstColumn="1" w:lastColumn="0" w:noHBand="0" w:noVBand="1"/>
      </w:tblPr>
      <w:tblGrid>
        <w:gridCol w:w="7594"/>
      </w:tblGrid>
      <w:tr w:rsidR="0058299E" w:rsidRPr="0058299E" w:rsidTr="00E53A33">
        <w:trPr>
          <w:trHeight w:val="326"/>
          <w:tblCellSpacing w:w="0" w:type="dxa"/>
          <w:jc w:val="center"/>
        </w:trPr>
        <w:tc>
          <w:tcPr>
            <w:tcW w:w="0" w:type="auto"/>
            <w:vAlign w:val="center"/>
            <w:hideMark/>
          </w:tcPr>
          <w:p w:rsidR="00E53A33" w:rsidRPr="0058299E" w:rsidRDefault="00E53A33" w:rsidP="0058299E">
            <w:pPr>
              <w:jc w:val="right"/>
              <w:rPr>
                <w:rFonts w:ascii="Palatino Linotype" w:hAnsi="Palatino Linotype"/>
                <w:i/>
                <w:color w:val="000000" w:themeColor="text1"/>
              </w:rPr>
            </w:pPr>
            <w:r w:rsidRPr="0058299E">
              <w:rPr>
                <w:rFonts w:ascii="Palatino Linotype" w:hAnsi="Palatino Linotype"/>
                <w:i/>
                <w:color w:val="000000" w:themeColor="text1"/>
              </w:rPr>
              <w:t>Metepec, México a 14 de Julio de 2025</w:t>
            </w:r>
          </w:p>
        </w:tc>
      </w:tr>
      <w:tr w:rsidR="0058299E" w:rsidRPr="0058299E" w:rsidTr="00E53A33">
        <w:trPr>
          <w:trHeight w:val="326"/>
          <w:tblCellSpacing w:w="0" w:type="dxa"/>
          <w:jc w:val="center"/>
        </w:trPr>
        <w:tc>
          <w:tcPr>
            <w:tcW w:w="0" w:type="auto"/>
            <w:vAlign w:val="center"/>
            <w:hideMark/>
          </w:tcPr>
          <w:p w:rsidR="00E53A33" w:rsidRPr="0058299E" w:rsidRDefault="00E53A33" w:rsidP="0058299E">
            <w:pPr>
              <w:jc w:val="right"/>
              <w:rPr>
                <w:rFonts w:ascii="Palatino Linotype" w:hAnsi="Palatino Linotype"/>
                <w:i/>
                <w:color w:val="000000" w:themeColor="text1"/>
              </w:rPr>
            </w:pPr>
            <w:r w:rsidRPr="0058299E">
              <w:rPr>
                <w:rFonts w:ascii="Palatino Linotype" w:hAnsi="Palatino Linotype"/>
                <w:i/>
                <w:color w:val="000000" w:themeColor="text1"/>
              </w:rPr>
              <w:t>Nombre del solicitante: C. Solicitante</w:t>
            </w:r>
          </w:p>
        </w:tc>
      </w:tr>
      <w:tr w:rsidR="0058299E" w:rsidRPr="0058299E" w:rsidTr="00E53A33">
        <w:trPr>
          <w:trHeight w:val="326"/>
          <w:tblCellSpacing w:w="0" w:type="dxa"/>
          <w:jc w:val="center"/>
        </w:trPr>
        <w:tc>
          <w:tcPr>
            <w:tcW w:w="0" w:type="auto"/>
            <w:vAlign w:val="center"/>
            <w:hideMark/>
          </w:tcPr>
          <w:p w:rsidR="00E53A33" w:rsidRPr="0058299E" w:rsidRDefault="00E53A33" w:rsidP="0058299E">
            <w:pPr>
              <w:jc w:val="right"/>
              <w:rPr>
                <w:rFonts w:ascii="Palatino Linotype" w:hAnsi="Palatino Linotype"/>
                <w:i/>
                <w:color w:val="000000" w:themeColor="text1"/>
              </w:rPr>
            </w:pPr>
            <w:r w:rsidRPr="0058299E">
              <w:rPr>
                <w:rFonts w:ascii="Palatino Linotype" w:hAnsi="Palatino Linotype"/>
                <w:i/>
                <w:color w:val="000000" w:themeColor="text1"/>
              </w:rPr>
              <w:t>Folio de la solicitud: 00186/OFICIALIA/IP/2025</w:t>
            </w:r>
          </w:p>
        </w:tc>
      </w:tr>
      <w:tr w:rsidR="0058299E" w:rsidRPr="0058299E" w:rsidTr="00E53A33">
        <w:trPr>
          <w:trHeight w:val="490"/>
          <w:tblCellSpacing w:w="0" w:type="dxa"/>
          <w:jc w:val="center"/>
        </w:trPr>
        <w:tc>
          <w:tcPr>
            <w:tcW w:w="0" w:type="auto"/>
            <w:vAlign w:val="center"/>
            <w:hideMark/>
          </w:tcPr>
          <w:p w:rsidR="00E53A33" w:rsidRPr="0058299E" w:rsidRDefault="00E53A33" w:rsidP="0058299E">
            <w:pPr>
              <w:jc w:val="right"/>
              <w:rPr>
                <w:rFonts w:ascii="Palatino Linotype" w:hAnsi="Palatino Linotype"/>
                <w:i/>
                <w:color w:val="000000" w:themeColor="text1"/>
              </w:rPr>
            </w:pPr>
          </w:p>
        </w:tc>
      </w:tr>
      <w:tr w:rsidR="0058299E" w:rsidRPr="0058299E" w:rsidTr="00E53A33">
        <w:trPr>
          <w:trHeight w:val="162"/>
          <w:tblCellSpacing w:w="0" w:type="dxa"/>
          <w:jc w:val="center"/>
        </w:trPr>
        <w:tc>
          <w:tcPr>
            <w:tcW w:w="0" w:type="auto"/>
            <w:vAlign w:val="center"/>
            <w:hideMark/>
          </w:tcPr>
          <w:p w:rsidR="00E53A33" w:rsidRPr="0058299E" w:rsidRDefault="00E53A33" w:rsidP="0058299E">
            <w:pPr>
              <w:jc w:val="both"/>
              <w:rPr>
                <w:rFonts w:ascii="Palatino Linotype" w:hAnsi="Palatino Linotype"/>
                <w:i/>
                <w:color w:val="000000" w:themeColor="text1"/>
              </w:rPr>
            </w:pPr>
            <w:r w:rsidRPr="0058299E">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8299E" w:rsidRPr="0058299E" w:rsidTr="00E53A33">
        <w:trPr>
          <w:trHeight w:val="408"/>
          <w:tblCellSpacing w:w="0" w:type="dxa"/>
          <w:jc w:val="center"/>
        </w:trPr>
        <w:tc>
          <w:tcPr>
            <w:tcW w:w="0" w:type="auto"/>
            <w:vAlign w:val="center"/>
            <w:hideMark/>
          </w:tcPr>
          <w:p w:rsidR="00E53A33" w:rsidRPr="0058299E" w:rsidRDefault="00E53A33" w:rsidP="0058299E">
            <w:pPr>
              <w:rPr>
                <w:rFonts w:ascii="Palatino Linotype" w:hAnsi="Palatino Linotype"/>
                <w:i/>
                <w:color w:val="000000" w:themeColor="text1"/>
              </w:rPr>
            </w:pPr>
          </w:p>
        </w:tc>
      </w:tr>
      <w:tr w:rsidR="0058299E" w:rsidRPr="0058299E" w:rsidTr="00E53A33">
        <w:trPr>
          <w:trHeight w:val="162"/>
          <w:tblCellSpacing w:w="0" w:type="dxa"/>
          <w:jc w:val="center"/>
        </w:trPr>
        <w:tc>
          <w:tcPr>
            <w:tcW w:w="0" w:type="auto"/>
            <w:vAlign w:val="center"/>
            <w:hideMark/>
          </w:tcPr>
          <w:p w:rsidR="00E53A33" w:rsidRPr="0058299E" w:rsidRDefault="00E53A33" w:rsidP="0058299E">
            <w:pPr>
              <w:rPr>
                <w:rFonts w:ascii="Palatino Linotype" w:hAnsi="Palatino Linotype"/>
                <w:i/>
                <w:color w:val="000000" w:themeColor="text1"/>
              </w:rPr>
            </w:pPr>
            <w:r w:rsidRPr="0058299E">
              <w:rPr>
                <w:rFonts w:ascii="Palatino Linotype" w:hAnsi="Palatino Linotype"/>
                <w:i/>
                <w:color w:val="000000" w:themeColor="text1"/>
              </w:rPr>
              <w:t>Se adjunta la respuesta de la solicitud 00186/OFICIALIA/IP/2025.</w:t>
            </w:r>
          </w:p>
        </w:tc>
      </w:tr>
      <w:tr w:rsidR="0058299E" w:rsidRPr="0058299E" w:rsidTr="00E53A33">
        <w:trPr>
          <w:trHeight w:val="408"/>
          <w:tblCellSpacing w:w="0" w:type="dxa"/>
          <w:jc w:val="center"/>
        </w:trPr>
        <w:tc>
          <w:tcPr>
            <w:tcW w:w="0" w:type="auto"/>
            <w:vAlign w:val="center"/>
            <w:hideMark/>
          </w:tcPr>
          <w:p w:rsidR="00E53A33" w:rsidRPr="0058299E" w:rsidRDefault="00E53A33" w:rsidP="0058299E">
            <w:pPr>
              <w:rPr>
                <w:rFonts w:ascii="Palatino Linotype" w:hAnsi="Palatino Linotype"/>
                <w:i/>
                <w:color w:val="000000" w:themeColor="text1"/>
              </w:rPr>
            </w:pPr>
          </w:p>
        </w:tc>
      </w:tr>
      <w:tr w:rsidR="0058299E" w:rsidRPr="0058299E" w:rsidTr="00E53A33">
        <w:trPr>
          <w:trHeight w:val="162"/>
          <w:tblCellSpacing w:w="0" w:type="dxa"/>
          <w:jc w:val="center"/>
        </w:trPr>
        <w:tc>
          <w:tcPr>
            <w:tcW w:w="0" w:type="auto"/>
            <w:vAlign w:val="center"/>
            <w:hideMark/>
          </w:tcPr>
          <w:p w:rsidR="00E53A33" w:rsidRPr="0058299E" w:rsidRDefault="00E53A33" w:rsidP="0058299E">
            <w:pPr>
              <w:jc w:val="center"/>
              <w:rPr>
                <w:rFonts w:ascii="Palatino Linotype" w:hAnsi="Palatino Linotype"/>
                <w:i/>
                <w:color w:val="000000" w:themeColor="text1"/>
              </w:rPr>
            </w:pPr>
          </w:p>
        </w:tc>
      </w:tr>
      <w:tr w:rsidR="0058299E" w:rsidRPr="0058299E" w:rsidTr="00E53A33">
        <w:trPr>
          <w:trHeight w:val="162"/>
          <w:tblCellSpacing w:w="0" w:type="dxa"/>
          <w:jc w:val="center"/>
        </w:trPr>
        <w:tc>
          <w:tcPr>
            <w:tcW w:w="0" w:type="auto"/>
            <w:vAlign w:val="center"/>
            <w:hideMark/>
          </w:tcPr>
          <w:p w:rsidR="00E53A33" w:rsidRPr="0058299E" w:rsidRDefault="00E53A33" w:rsidP="0058299E">
            <w:pPr>
              <w:rPr>
                <w:rFonts w:ascii="Palatino Linotype" w:hAnsi="Palatino Linotype"/>
                <w:i/>
                <w:color w:val="000000" w:themeColor="text1"/>
              </w:rPr>
            </w:pPr>
          </w:p>
        </w:tc>
      </w:tr>
      <w:tr w:rsidR="0058299E" w:rsidRPr="0058299E" w:rsidTr="00E53A33">
        <w:trPr>
          <w:trHeight w:val="162"/>
          <w:tblCellSpacing w:w="0" w:type="dxa"/>
          <w:jc w:val="center"/>
        </w:trPr>
        <w:tc>
          <w:tcPr>
            <w:tcW w:w="0" w:type="auto"/>
            <w:vAlign w:val="center"/>
            <w:hideMark/>
          </w:tcPr>
          <w:p w:rsidR="00E53A33" w:rsidRPr="0058299E" w:rsidRDefault="00E53A33" w:rsidP="0058299E">
            <w:pPr>
              <w:rPr>
                <w:rFonts w:ascii="Palatino Linotype" w:hAnsi="Palatino Linotype"/>
                <w:i/>
                <w:color w:val="000000" w:themeColor="text1"/>
              </w:rPr>
            </w:pPr>
            <w:r w:rsidRPr="0058299E">
              <w:rPr>
                <w:rFonts w:ascii="Palatino Linotype" w:hAnsi="Palatino Linotype"/>
                <w:i/>
                <w:color w:val="000000" w:themeColor="text1"/>
              </w:rPr>
              <w:t>ATENTAMENTE</w:t>
            </w:r>
          </w:p>
        </w:tc>
      </w:tr>
      <w:tr w:rsidR="0058299E" w:rsidRPr="0058299E" w:rsidTr="00E53A33">
        <w:trPr>
          <w:trHeight w:val="245"/>
          <w:tblCellSpacing w:w="0" w:type="dxa"/>
          <w:jc w:val="center"/>
        </w:trPr>
        <w:tc>
          <w:tcPr>
            <w:tcW w:w="0" w:type="auto"/>
            <w:vAlign w:val="center"/>
            <w:hideMark/>
          </w:tcPr>
          <w:p w:rsidR="00E53A33" w:rsidRPr="0058299E" w:rsidRDefault="00E53A33" w:rsidP="0058299E">
            <w:pPr>
              <w:rPr>
                <w:rFonts w:ascii="Palatino Linotype" w:hAnsi="Palatino Linotype"/>
                <w:i/>
                <w:color w:val="000000" w:themeColor="text1"/>
              </w:rPr>
            </w:pPr>
          </w:p>
        </w:tc>
      </w:tr>
      <w:tr w:rsidR="00E53A33" w:rsidRPr="0058299E" w:rsidTr="00E53A33">
        <w:trPr>
          <w:trHeight w:val="162"/>
          <w:tblCellSpacing w:w="0" w:type="dxa"/>
          <w:jc w:val="center"/>
        </w:trPr>
        <w:tc>
          <w:tcPr>
            <w:tcW w:w="0" w:type="auto"/>
            <w:vAlign w:val="center"/>
            <w:hideMark/>
          </w:tcPr>
          <w:p w:rsidR="00E53A33" w:rsidRPr="0058299E" w:rsidRDefault="00E53A33" w:rsidP="0058299E">
            <w:pPr>
              <w:rPr>
                <w:rFonts w:ascii="Palatino Linotype" w:hAnsi="Palatino Linotype"/>
                <w:i/>
                <w:color w:val="000000" w:themeColor="text1"/>
              </w:rPr>
            </w:pPr>
            <w:r w:rsidRPr="0058299E">
              <w:rPr>
                <w:rFonts w:ascii="Palatino Linotype" w:hAnsi="Palatino Linotype"/>
                <w:i/>
                <w:color w:val="000000" w:themeColor="text1"/>
              </w:rPr>
              <w:t>Lic en Derecho Rafael Alejandro Contreras Carmona</w:t>
            </w:r>
          </w:p>
        </w:tc>
      </w:tr>
    </w:tbl>
    <w:p w:rsidR="00E53A33" w:rsidRPr="0058299E" w:rsidRDefault="00E53A33" w:rsidP="0058299E">
      <w:pPr>
        <w:spacing w:line="360" w:lineRule="auto"/>
        <w:jc w:val="both"/>
        <w:rPr>
          <w:rFonts w:ascii="Palatino Linotype" w:hAnsi="Palatino Linotype"/>
          <w:i/>
          <w:color w:val="000000" w:themeColor="text1"/>
        </w:rPr>
      </w:pPr>
    </w:p>
    <w:p w:rsidR="00E53A33" w:rsidRPr="0058299E" w:rsidRDefault="00E53A33" w:rsidP="0058299E">
      <w:pPr>
        <w:pStyle w:val="Prrafodelista"/>
        <w:numPr>
          <w:ilvl w:val="0"/>
          <w:numId w:val="2"/>
        </w:numPr>
        <w:spacing w:line="360" w:lineRule="auto"/>
        <w:ind w:left="0" w:firstLine="0"/>
        <w:jc w:val="both"/>
        <w:rPr>
          <w:rFonts w:ascii="Palatino Linotype" w:hAnsi="Palatino Linotype"/>
          <w:b/>
          <w:color w:val="000000" w:themeColor="text1"/>
          <w:sz w:val="24"/>
        </w:rPr>
      </w:pPr>
      <w:r w:rsidRPr="0058299E">
        <w:rPr>
          <w:rFonts w:ascii="Palatino Linotype" w:hAnsi="Palatino Linotype"/>
          <w:color w:val="000000" w:themeColor="text1"/>
          <w:sz w:val="24"/>
        </w:rPr>
        <w:t>A la respuesta, el Sujeto Obligado adjuntó los archivos que se describen enseguida:</w:t>
      </w:r>
    </w:p>
    <w:p w:rsidR="00E53A33" w:rsidRPr="0058299E" w:rsidRDefault="00E53A33" w:rsidP="0058299E">
      <w:pPr>
        <w:pStyle w:val="Prrafodelista"/>
        <w:numPr>
          <w:ilvl w:val="0"/>
          <w:numId w:val="6"/>
        </w:numPr>
        <w:spacing w:line="360" w:lineRule="auto"/>
        <w:ind w:left="0" w:firstLine="0"/>
        <w:jc w:val="both"/>
        <w:rPr>
          <w:rFonts w:ascii="Palatino Linotype" w:hAnsi="Palatino Linotype"/>
          <w:b/>
          <w:color w:val="000000" w:themeColor="text1"/>
          <w:sz w:val="24"/>
        </w:rPr>
      </w:pPr>
      <w:r w:rsidRPr="0058299E">
        <w:rPr>
          <w:rFonts w:ascii="Palatino Linotype" w:hAnsi="Palatino Linotype"/>
          <w:color w:val="000000" w:themeColor="text1"/>
          <w:sz w:val="24"/>
        </w:rPr>
        <w:t xml:space="preserve"> </w:t>
      </w:r>
      <w:hyperlink r:id="rId7" w:tgtFrame="_blank" w:history="1">
        <w:r w:rsidRPr="0058299E">
          <w:rPr>
            <w:rStyle w:val="Hipervnculo"/>
            <w:rFonts w:ascii="Palatino Linotype" w:hAnsi="Palatino Linotype"/>
            <w:b/>
            <w:bCs/>
            <w:color w:val="000000" w:themeColor="text1"/>
            <w:sz w:val="24"/>
          </w:rPr>
          <w:t>Respuesta a la solicitud 00186-2025.pdf</w:t>
        </w:r>
      </w:hyperlink>
      <w:r w:rsidRPr="0058299E">
        <w:rPr>
          <w:rFonts w:ascii="Palatino Linotype" w:hAnsi="Palatino Linotype"/>
          <w:color w:val="000000" w:themeColor="text1"/>
          <w:sz w:val="24"/>
        </w:rPr>
        <w:t xml:space="preserve">: oficio número 23400005000200S-0454/2025 de fecha once de julio de dos mil veinticinco, suscrito por la Directora General de Recursos Materiales, quien señaló dos ligas electrónicas en las que se puede localizar la información referente a los procedimientos de adquisición de bienes o contratación de servicios. </w:t>
      </w:r>
    </w:p>
    <w:p w:rsidR="00E53A33" w:rsidRPr="0058299E" w:rsidRDefault="00574129" w:rsidP="0058299E">
      <w:pPr>
        <w:pStyle w:val="Prrafodelista"/>
        <w:numPr>
          <w:ilvl w:val="0"/>
          <w:numId w:val="6"/>
        </w:numPr>
        <w:spacing w:line="360" w:lineRule="auto"/>
        <w:ind w:left="0" w:firstLine="0"/>
        <w:jc w:val="both"/>
        <w:rPr>
          <w:rStyle w:val="Hipervnculo"/>
          <w:rFonts w:ascii="Palatino Linotype" w:hAnsi="Palatino Linotype"/>
          <w:b/>
          <w:color w:val="000000" w:themeColor="text1"/>
          <w:sz w:val="24"/>
          <w:u w:val="none"/>
        </w:rPr>
      </w:pPr>
      <w:hyperlink r:id="rId8" w:tgtFrame="_blank" w:history="1">
        <w:r w:rsidR="00E53A33" w:rsidRPr="0058299E">
          <w:rPr>
            <w:rStyle w:val="Hipervnculo"/>
            <w:rFonts w:ascii="Palatino Linotype" w:hAnsi="Palatino Linotype"/>
            <w:b/>
            <w:bCs/>
            <w:color w:val="000000" w:themeColor="text1"/>
            <w:sz w:val="24"/>
          </w:rPr>
          <w:t>186.pdf</w:t>
        </w:r>
      </w:hyperlink>
      <w:r w:rsidR="00E53A33" w:rsidRPr="0058299E">
        <w:rPr>
          <w:rFonts w:ascii="Palatino Linotype" w:hAnsi="Palatino Linotype"/>
          <w:color w:val="000000" w:themeColor="text1"/>
          <w:sz w:val="24"/>
        </w:rPr>
        <w:t xml:space="preserve">: oficio número 234A00000/UT-0552-2025 de fecha catorce de julio de dos mil veinticinco, suscrito por el Titular de la Unidad de Transparencia, quien señaló que se da </w:t>
      </w:r>
      <w:r w:rsidR="00E53A33" w:rsidRPr="0058299E">
        <w:rPr>
          <w:rFonts w:ascii="Palatino Linotype" w:hAnsi="Palatino Linotype"/>
          <w:color w:val="000000" w:themeColor="text1"/>
          <w:sz w:val="24"/>
        </w:rPr>
        <w:lastRenderedPageBreak/>
        <w:t xml:space="preserve">contestación emitida por la Servidora Pública Habilitada de la Dirección General de Recursos Materiales. </w:t>
      </w:r>
    </w:p>
    <w:p w:rsidR="00E53A33" w:rsidRPr="0058299E" w:rsidRDefault="00E53A33" w:rsidP="0058299E">
      <w:pPr>
        <w:pStyle w:val="Prrafodelista"/>
        <w:spacing w:line="360" w:lineRule="auto"/>
        <w:ind w:left="0"/>
        <w:jc w:val="both"/>
        <w:rPr>
          <w:rFonts w:ascii="Palatino Linotype" w:hAnsi="Palatino Linotype"/>
          <w:b/>
          <w:color w:val="000000" w:themeColor="text1"/>
          <w:sz w:val="24"/>
        </w:rPr>
      </w:pPr>
    </w:p>
    <w:p w:rsidR="00E53A33" w:rsidRPr="0058299E" w:rsidRDefault="00E53A33" w:rsidP="0058299E">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58299E">
        <w:rPr>
          <w:rFonts w:ascii="Palatino Linotype" w:eastAsia="Calibri" w:hAnsi="Palatino Linotype" w:cs="Arial"/>
          <w:color w:val="000000" w:themeColor="text1"/>
          <w:lang w:val="es-AR" w:eastAsia="es-ES"/>
        </w:rPr>
        <w:t xml:space="preserve">El </w:t>
      </w:r>
      <w:r w:rsidRPr="0058299E">
        <w:rPr>
          <w:rFonts w:ascii="Palatino Linotype" w:eastAsia="Calibri" w:hAnsi="Palatino Linotype" w:cs="Arial"/>
          <w:b/>
          <w:color w:val="000000" w:themeColor="text1"/>
          <w:lang w:val="es-AR" w:eastAsia="es-ES"/>
        </w:rPr>
        <w:t>dieciocho de julio de dos mil veinticinco</w:t>
      </w:r>
      <w:r w:rsidRPr="0058299E">
        <w:rPr>
          <w:rFonts w:ascii="Palatino Linotype" w:hAnsi="Palatino Linotype" w:cs="Arial"/>
          <w:b/>
          <w:color w:val="000000" w:themeColor="text1"/>
          <w:lang w:val="es-ES" w:eastAsia="es-ES"/>
        </w:rPr>
        <w:t>,</w:t>
      </w:r>
      <w:r w:rsidRPr="0058299E">
        <w:rPr>
          <w:rFonts w:ascii="Palatino Linotype" w:hAnsi="Palatino Linotype" w:cs="Arial"/>
          <w:color w:val="000000" w:themeColor="text1"/>
          <w:lang w:val="es-ES" w:eastAsia="es-ES"/>
        </w:rPr>
        <w:t xml:space="preserve"> </w:t>
      </w:r>
      <w:r w:rsidRPr="0058299E">
        <w:rPr>
          <w:rFonts w:ascii="Palatino Linotype" w:eastAsiaTheme="minorEastAsia" w:hAnsi="Palatino Linotype"/>
          <w:b/>
          <w:color w:val="000000" w:themeColor="text1"/>
          <w:lang w:val="es-ES_tradnl" w:eastAsia="es-ES"/>
        </w:rPr>
        <w:t>EL RECURRENTE</w:t>
      </w:r>
      <w:r w:rsidRPr="0058299E">
        <w:rPr>
          <w:rFonts w:ascii="Palatino Linotype" w:hAnsi="Palatino Linotype" w:cs="Arial"/>
          <w:color w:val="000000" w:themeColor="text1"/>
          <w:lang w:val="es-ES" w:eastAsia="es-ES"/>
        </w:rPr>
        <w:t xml:space="preserve"> interpuso el recurso de revisión, en contra de la respuesta, señalando como:</w:t>
      </w:r>
      <w:bookmarkStart w:id="1" w:name="_Toc462307683"/>
      <w:bookmarkStart w:id="2" w:name="_Toc472427085"/>
      <w:bookmarkStart w:id="3" w:name="_Toc472500652"/>
    </w:p>
    <w:p w:rsidR="00E53A33" w:rsidRPr="0058299E" w:rsidRDefault="00E53A33" w:rsidP="0058299E">
      <w:pPr>
        <w:spacing w:line="360" w:lineRule="auto"/>
        <w:contextualSpacing/>
        <w:rPr>
          <w:rFonts w:ascii="Palatino Linotype" w:eastAsiaTheme="minorEastAsia" w:hAnsi="Palatino Linotype" w:cs="Arial"/>
          <w:i/>
          <w:color w:val="000000" w:themeColor="text1"/>
          <w:lang w:val="es-ES_tradnl" w:eastAsia="es-ES"/>
        </w:rPr>
      </w:pPr>
    </w:p>
    <w:p w:rsidR="00E53A33" w:rsidRPr="004775BD" w:rsidRDefault="004775BD" w:rsidP="004775BD">
      <w:pPr>
        <w:pStyle w:val="Prrafodelista"/>
        <w:numPr>
          <w:ilvl w:val="0"/>
          <w:numId w:val="2"/>
        </w:numPr>
        <w:spacing w:line="360" w:lineRule="auto"/>
        <w:jc w:val="both"/>
        <w:rPr>
          <w:rFonts w:ascii="Palatino Linotype" w:eastAsia="Calibri" w:hAnsi="Palatino Linotype" w:cs="Arial"/>
          <w:i/>
          <w:color w:val="000000" w:themeColor="text1"/>
          <w:sz w:val="24"/>
          <w:lang w:val="es-ES" w:eastAsia="es-ES"/>
        </w:rPr>
      </w:pPr>
      <w:r w:rsidRPr="004775BD">
        <w:rPr>
          <w:rFonts w:ascii="Palatino Linotype" w:eastAsiaTheme="minorEastAsia" w:hAnsi="Palatino Linotype"/>
          <w:b/>
          <w:color w:val="000000" w:themeColor="text1"/>
          <w:sz w:val="24"/>
          <w:lang w:val="es-ES_tradnl" w:eastAsia="es-ES"/>
        </w:rPr>
        <w:t>ACTO IMPUGNADO</w:t>
      </w:r>
      <w:r w:rsidR="00E53A33" w:rsidRPr="004775BD">
        <w:rPr>
          <w:rFonts w:ascii="Palatino Linotype" w:eastAsiaTheme="minorEastAsia" w:hAnsi="Palatino Linotype"/>
          <w:b/>
          <w:i/>
          <w:color w:val="000000" w:themeColor="text1"/>
          <w:sz w:val="24"/>
          <w:lang w:val="es-ES_tradnl" w:eastAsia="es-ES"/>
        </w:rPr>
        <w:t>:</w:t>
      </w:r>
      <w:r w:rsidR="00E53A33" w:rsidRPr="004775BD">
        <w:rPr>
          <w:rFonts w:ascii="Palatino Linotype" w:hAnsi="Palatino Linotype"/>
          <w:i/>
          <w:color w:val="000000" w:themeColor="text1"/>
          <w:sz w:val="24"/>
        </w:rPr>
        <w:t xml:space="preserve"> “RESPUESTA A LA SOLICITUD 00186/OFICIALIA/IP/2025” (Sic)</w:t>
      </w:r>
    </w:p>
    <w:p w:rsidR="00E53A33" w:rsidRPr="0058299E" w:rsidRDefault="00E53A33" w:rsidP="0058299E">
      <w:pPr>
        <w:spacing w:line="360" w:lineRule="auto"/>
        <w:contextualSpacing/>
        <w:jc w:val="both"/>
        <w:rPr>
          <w:rFonts w:ascii="Palatino Linotype" w:eastAsia="Calibri" w:hAnsi="Palatino Linotype" w:cs="Arial"/>
          <w:color w:val="000000" w:themeColor="text1"/>
          <w:lang w:val="es-ES" w:eastAsia="es-ES"/>
        </w:rPr>
      </w:pPr>
    </w:p>
    <w:p w:rsidR="00E53A33" w:rsidRPr="004775BD" w:rsidRDefault="004775BD" w:rsidP="004775BD">
      <w:pPr>
        <w:pStyle w:val="Prrafodelista"/>
        <w:numPr>
          <w:ilvl w:val="0"/>
          <w:numId w:val="2"/>
        </w:numPr>
        <w:spacing w:line="360" w:lineRule="auto"/>
        <w:jc w:val="both"/>
        <w:rPr>
          <w:rFonts w:ascii="Palatino Linotype" w:hAnsi="Palatino Linotype"/>
          <w:i/>
          <w:color w:val="000000" w:themeColor="text1"/>
          <w:sz w:val="24"/>
        </w:rPr>
      </w:pPr>
      <w:r w:rsidRPr="004775BD">
        <w:rPr>
          <w:rFonts w:ascii="Palatino Linotype" w:eastAsiaTheme="minorEastAsia" w:hAnsi="Palatino Linotype"/>
          <w:b/>
          <w:color w:val="000000" w:themeColor="text1"/>
          <w:sz w:val="24"/>
          <w:lang w:val="es-ES_tradnl" w:eastAsia="es-ES"/>
        </w:rPr>
        <w:t>RAZONES O MOTIVOS DE INCONFORMIDAD</w:t>
      </w:r>
      <w:r w:rsidR="00E53A33" w:rsidRPr="004775BD">
        <w:rPr>
          <w:rFonts w:ascii="Palatino Linotype" w:eastAsiaTheme="minorEastAsia" w:hAnsi="Palatino Linotype"/>
          <w:b/>
          <w:color w:val="000000" w:themeColor="text1"/>
          <w:sz w:val="24"/>
          <w:lang w:val="es-ES_tradnl" w:eastAsia="es-ES"/>
        </w:rPr>
        <w:t>:</w:t>
      </w:r>
      <w:r w:rsidR="00E53A33" w:rsidRPr="004775BD">
        <w:rPr>
          <w:rFonts w:ascii="Palatino Linotype" w:eastAsiaTheme="majorEastAsia" w:hAnsi="Palatino Linotype" w:cstheme="majorBidi"/>
          <w:b/>
          <w:color w:val="000000" w:themeColor="text1"/>
          <w:sz w:val="24"/>
          <w:lang w:val="es-ES" w:eastAsia="es-ES"/>
        </w:rPr>
        <w:t xml:space="preserve"> </w:t>
      </w:r>
      <w:r w:rsidR="00E53A33" w:rsidRPr="004775BD">
        <w:rPr>
          <w:rFonts w:ascii="Palatino Linotype" w:eastAsiaTheme="majorEastAsia" w:hAnsi="Palatino Linotype" w:cstheme="majorBidi"/>
          <w:i/>
          <w:color w:val="000000" w:themeColor="text1"/>
          <w:sz w:val="24"/>
          <w:lang w:val="es-ES" w:eastAsia="es-ES"/>
        </w:rPr>
        <w:t>“</w:t>
      </w:r>
      <w:r w:rsidR="00E53A33" w:rsidRPr="004775BD">
        <w:rPr>
          <w:rFonts w:ascii="Palatino Linotype" w:hAnsi="Palatino Linotype"/>
          <w:i/>
          <w:color w:val="000000" w:themeColor="text1"/>
          <w:sz w:val="24"/>
        </w:rPr>
        <w:t>LAS LIGAS ELECTRÓNICAS PROPORCIONADAS POR EL SUJETO OBLIGADO EN SU DOCUMENTO DE RESPUESTA A LA PRESENTE SOLUCITUD, DE NIN GUN MODO DAN RESPUESTA A LA INFORMACIÓN SOLICITADA. LA SOLICITUD ESTABLECE LA PETICIÓN DE COPIA SIMPLE DIGITALIZADA DE CADA CONTRATO Y LOS LINKS NO CONTIENEN DICHOS DOCUMENTOS, ADEMÁS DE QUE SE OMITE INFORMACIÓN PÚBLICA BÁSICA COMO ES E NOMBRE O RAZÓN SOCIAL DE LOS BENEFICIAROS DE DICHOS CONTRATOS. POR TAL MOTIVO, EL SUJETO OBLIGADO NO DA ATENCIÓN A LA SOLICITUD PRESENTADA POR ESTE RECURRENTE, POR LO QUE SOLICITO SE REVOQUE LA RESPUESTA DEL SUJETO OBLIGADO Y SE ORDENE LA ENTREGA DE LA INFORMACIÓN SOLICITADA EN LOS MISMOS TÉRMINOS EXPRESADOS EN LA PETICIÓN PRESENTADA A TRAVÉS DE ESTE SISTEMA ELECTRÓNICO.” (Sic).</w:t>
      </w:r>
    </w:p>
    <w:bookmarkEnd w:id="1"/>
    <w:bookmarkEnd w:id="2"/>
    <w:bookmarkEnd w:id="3"/>
    <w:p w:rsidR="00E53A33" w:rsidRPr="0058299E" w:rsidRDefault="00E53A33" w:rsidP="0058299E">
      <w:pPr>
        <w:tabs>
          <w:tab w:val="left" w:pos="6197"/>
        </w:tabs>
        <w:spacing w:line="360" w:lineRule="auto"/>
        <w:jc w:val="both"/>
        <w:rPr>
          <w:rFonts w:ascii="Palatino Linotype" w:eastAsia="Calibri" w:hAnsi="Palatino Linotype" w:cs="Arial"/>
          <w:color w:val="000000" w:themeColor="text1"/>
          <w:lang w:val="es-AR" w:eastAsia="es-ES"/>
        </w:rPr>
      </w:pPr>
    </w:p>
    <w:p w:rsidR="00E53A33" w:rsidRPr="0058299E" w:rsidRDefault="00E53A33" w:rsidP="0058299E">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58299E">
        <w:rPr>
          <w:rFonts w:ascii="Palatino Linotype" w:hAnsi="Palatino Linotype" w:cs="Arial"/>
          <w:color w:val="000000" w:themeColor="text1"/>
          <w:lang w:val="es-ES" w:eastAsia="es-ES"/>
        </w:rPr>
        <w:t xml:space="preserve">Se registró el recurso de revisión bajo el número de expediente </w:t>
      </w:r>
      <w:r w:rsidRPr="0058299E">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58299E">
        <w:rPr>
          <w:rFonts w:ascii="Palatino Linotype" w:eastAsia="Calibri" w:hAnsi="Palatino Linotype" w:cs="Arial"/>
          <w:color w:val="000000" w:themeColor="text1"/>
          <w:lang w:val="es-ES" w:eastAsia="es-ES"/>
        </w:rPr>
        <w:t xml:space="preserve">artículo 185 fracción I de la </w:t>
      </w:r>
      <w:r w:rsidRPr="0058299E">
        <w:rPr>
          <w:rFonts w:ascii="Palatino Linotype" w:eastAsia="Calibri" w:hAnsi="Palatino Linotype" w:cs="Arial"/>
          <w:b/>
          <w:color w:val="000000" w:themeColor="text1"/>
          <w:lang w:val="es-ES" w:eastAsia="es-ES"/>
        </w:rPr>
        <w:t xml:space="preserve">Ley de </w:t>
      </w:r>
      <w:r w:rsidRPr="0058299E">
        <w:rPr>
          <w:rFonts w:ascii="Palatino Linotype" w:eastAsia="Calibri" w:hAnsi="Palatino Linotype" w:cs="Arial"/>
          <w:b/>
          <w:color w:val="000000" w:themeColor="text1"/>
          <w:lang w:val="es-ES" w:eastAsia="es-ES"/>
        </w:rPr>
        <w:lastRenderedPageBreak/>
        <w:t xml:space="preserve">Transparencia y Acceso a la Información Pública del Estado de México y Municipios </w:t>
      </w:r>
      <w:r w:rsidRPr="0058299E">
        <w:rPr>
          <w:rFonts w:ascii="Palatino Linotype" w:hAnsi="Palatino Linotype" w:cs="Arial"/>
          <w:color w:val="000000" w:themeColor="text1"/>
          <w:lang w:val="es-ES" w:eastAsia="es-ES"/>
        </w:rPr>
        <w:t xml:space="preserve">se turnó a la </w:t>
      </w:r>
      <w:r w:rsidRPr="0058299E">
        <w:rPr>
          <w:rFonts w:ascii="Palatino Linotype" w:hAnsi="Palatino Linotype" w:cs="Arial"/>
          <w:b/>
          <w:color w:val="000000" w:themeColor="text1"/>
          <w:lang w:val="es-ES" w:eastAsia="es-ES"/>
        </w:rPr>
        <w:t xml:space="preserve">Comisionada María del Rosario Mejía Ayala, </w:t>
      </w:r>
      <w:r w:rsidR="004775BD">
        <w:rPr>
          <w:rFonts w:ascii="Palatino Linotype" w:hAnsi="Palatino Linotype" w:cs="Arial"/>
          <w:color w:val="000000" w:themeColor="text1"/>
          <w:lang w:val="es-ES" w:eastAsia="es-ES"/>
        </w:rPr>
        <w:t>para</w:t>
      </w:r>
      <w:r w:rsidRPr="0058299E">
        <w:rPr>
          <w:rFonts w:ascii="Palatino Linotype" w:hAnsi="Palatino Linotype" w:cs="Arial"/>
          <w:color w:val="000000" w:themeColor="text1"/>
          <w:lang w:val="es-ES" w:eastAsia="es-ES"/>
        </w:rPr>
        <w:t xml:space="preserve"> </w:t>
      </w:r>
      <w:r w:rsidRPr="0058299E">
        <w:rPr>
          <w:rFonts w:ascii="Palatino Linotype" w:hAnsi="Palatino Linotype" w:cs="Arial"/>
          <w:color w:val="000000" w:themeColor="text1"/>
          <w:lang w:eastAsia="es-ES"/>
        </w:rPr>
        <w:t xml:space="preserve">su análisis. </w:t>
      </w:r>
    </w:p>
    <w:p w:rsidR="00E53A33" w:rsidRPr="0058299E" w:rsidRDefault="00E53A33" w:rsidP="0058299E">
      <w:pPr>
        <w:spacing w:line="360" w:lineRule="auto"/>
        <w:contextualSpacing/>
        <w:jc w:val="both"/>
        <w:rPr>
          <w:rFonts w:ascii="Palatino Linotype" w:eastAsia="Calibri" w:hAnsi="Palatino Linotype" w:cs="Arial"/>
          <w:color w:val="000000" w:themeColor="text1"/>
          <w:lang w:val="es-AR" w:eastAsia="es-ES"/>
        </w:rPr>
      </w:pPr>
    </w:p>
    <w:p w:rsidR="00E53A33" w:rsidRPr="0058299E" w:rsidRDefault="004775BD" w:rsidP="0058299E">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E53A33" w:rsidRPr="0058299E">
        <w:rPr>
          <w:rFonts w:ascii="Palatino Linotype" w:eastAsia="Calibri" w:hAnsi="Palatino Linotype" w:cs="Arial"/>
          <w:color w:val="000000" w:themeColor="text1"/>
          <w:lang w:val="es-ES" w:eastAsia="es-ES"/>
        </w:rPr>
        <w:t xml:space="preserve"> </w:t>
      </w:r>
      <w:r>
        <w:rPr>
          <w:rFonts w:ascii="Palatino Linotype" w:eastAsia="Calibri" w:hAnsi="Palatino Linotype" w:cs="Arial"/>
          <w:color w:val="000000" w:themeColor="text1"/>
          <w:lang w:val="es-ES" w:eastAsia="es-ES"/>
        </w:rPr>
        <w:t>p</w:t>
      </w:r>
      <w:r w:rsidR="00E53A33" w:rsidRPr="0058299E">
        <w:rPr>
          <w:rFonts w:ascii="Palatino Linotype" w:eastAsia="Calibri" w:hAnsi="Palatino Linotype" w:cs="Arial"/>
          <w:color w:val="000000" w:themeColor="text1"/>
          <w:lang w:val="es-ES" w:eastAsia="es-ES"/>
        </w:rPr>
        <w:t xml:space="preserve">onente con fundamento en lo dispuesto por el artículo 185 fracción II de la ley de la materia, a través del acuerdo de admisión del </w:t>
      </w:r>
      <w:r w:rsidR="00936ABE" w:rsidRPr="0058299E">
        <w:rPr>
          <w:rFonts w:ascii="Palatino Linotype" w:eastAsia="Calibri" w:hAnsi="Palatino Linotype" w:cs="Arial"/>
          <w:b/>
          <w:color w:val="000000" w:themeColor="text1"/>
          <w:lang w:val="es-ES" w:eastAsia="es-ES"/>
        </w:rPr>
        <w:t>cinco de agosto</w:t>
      </w:r>
      <w:r w:rsidR="00E53A33" w:rsidRPr="0058299E">
        <w:rPr>
          <w:rFonts w:ascii="Palatino Linotype" w:eastAsia="Calibri" w:hAnsi="Palatino Linotype" w:cs="Arial"/>
          <w:b/>
          <w:color w:val="000000" w:themeColor="text1"/>
          <w:lang w:val="es-ES" w:eastAsia="es-ES"/>
        </w:rPr>
        <w:t xml:space="preserve"> de dos mil veinticinco</w:t>
      </w:r>
      <w:r w:rsidR="00E53A33" w:rsidRPr="0058299E">
        <w:rPr>
          <w:rFonts w:ascii="Palatino Linotype" w:eastAsia="Calibri" w:hAnsi="Palatino Linotype" w:cs="Arial"/>
          <w:color w:val="000000" w:themeColor="text1"/>
          <w:lang w:val="es-ES" w:eastAsia="es-ES"/>
        </w:rPr>
        <w:t xml:space="preserve">, puso a disposición de las partes el expediente electrónico </w:t>
      </w:r>
      <w:r w:rsidR="00E53A33" w:rsidRPr="0058299E">
        <w:rPr>
          <w:rFonts w:ascii="Palatino Linotype" w:eastAsia="Calibri" w:hAnsi="Palatino Linotype" w:cs="Arial"/>
          <w:color w:val="000000" w:themeColor="text1"/>
          <w:lang w:val="es-ES_tradnl" w:eastAsia="es-ES"/>
        </w:rPr>
        <w:t xml:space="preserve">vía </w:t>
      </w:r>
      <w:r w:rsidR="00E53A33" w:rsidRPr="0058299E">
        <w:rPr>
          <w:rFonts w:ascii="Palatino Linotype" w:eastAsia="Calibri" w:hAnsi="Palatino Linotype" w:cs="Arial"/>
          <w:b/>
          <w:color w:val="000000" w:themeColor="text1"/>
          <w:lang w:val="es-ES" w:eastAsia="es-ES"/>
        </w:rPr>
        <w:t xml:space="preserve">SAIMEX </w:t>
      </w:r>
      <w:r w:rsidR="00E53A33" w:rsidRPr="0058299E">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E53A33" w:rsidRPr="0058299E">
        <w:rPr>
          <w:rFonts w:ascii="Palatino Linotype" w:eastAsia="Calibri" w:hAnsi="Palatino Linotype" w:cs="Arial"/>
          <w:b/>
          <w:color w:val="000000" w:themeColor="text1"/>
          <w:lang w:val="es-ES" w:eastAsia="es-ES"/>
        </w:rPr>
        <w:t>SUJETO OBLIGADO</w:t>
      </w:r>
      <w:r w:rsidR="00E53A33" w:rsidRPr="0058299E">
        <w:rPr>
          <w:rFonts w:ascii="Palatino Linotype" w:eastAsia="Calibri" w:hAnsi="Palatino Linotype" w:cs="Arial"/>
          <w:color w:val="000000" w:themeColor="text1"/>
          <w:lang w:val="es-ES" w:eastAsia="es-ES"/>
        </w:rPr>
        <w:t xml:space="preserve"> presentara el informe justificado procedente. </w:t>
      </w:r>
    </w:p>
    <w:p w:rsidR="00E53A33" w:rsidRPr="0058299E" w:rsidRDefault="00E53A33" w:rsidP="0058299E">
      <w:pPr>
        <w:spacing w:line="360" w:lineRule="auto"/>
        <w:contextualSpacing/>
        <w:jc w:val="both"/>
        <w:rPr>
          <w:rFonts w:ascii="Palatino Linotype" w:eastAsiaTheme="minorEastAsia" w:hAnsi="Palatino Linotype" w:cstheme="minorBidi"/>
          <w:i/>
          <w:color w:val="000000" w:themeColor="text1"/>
          <w:lang w:val="es-ES_tradnl" w:eastAsia="es-ES"/>
        </w:rPr>
      </w:pPr>
    </w:p>
    <w:p w:rsidR="00E53A33" w:rsidRPr="0058299E" w:rsidRDefault="00E53A33" w:rsidP="0058299E">
      <w:pPr>
        <w:numPr>
          <w:ilvl w:val="0"/>
          <w:numId w:val="1"/>
        </w:numPr>
        <w:spacing w:line="360" w:lineRule="auto"/>
        <w:ind w:left="0" w:firstLine="0"/>
        <w:contextualSpacing/>
        <w:jc w:val="both"/>
        <w:rPr>
          <w:rFonts w:ascii="Palatino Linotype" w:eastAsiaTheme="minorEastAsia" w:hAnsi="Palatino Linotype"/>
          <w:b/>
          <w:color w:val="000000" w:themeColor="text1"/>
          <w:u w:val="single"/>
          <w:lang w:val="es-ES_tradnl" w:eastAsia="es-ES"/>
        </w:rPr>
      </w:pPr>
      <w:r w:rsidRPr="0058299E">
        <w:rPr>
          <w:rFonts w:ascii="Palatino Linotype" w:eastAsia="Calibri" w:hAnsi="Palatino Linotype" w:cs="Arial"/>
          <w:color w:val="000000" w:themeColor="text1"/>
          <w:lang w:val="es-ES" w:eastAsia="es-ES"/>
        </w:rPr>
        <w:t xml:space="preserve">De las constancias en el expediente electrónico SAIMEX, se advierte que el particular  no realizó manifestaciones que a su derecho convinieran; por su parte, el Sujeto Obligado entregó informe justificado el </w:t>
      </w:r>
      <w:r w:rsidR="00936ABE" w:rsidRPr="0058299E">
        <w:rPr>
          <w:rFonts w:ascii="Palatino Linotype" w:eastAsia="Calibri" w:hAnsi="Palatino Linotype" w:cs="Arial"/>
          <w:b/>
          <w:color w:val="000000" w:themeColor="text1"/>
          <w:lang w:val="es-ES" w:eastAsia="es-ES"/>
        </w:rPr>
        <w:t>doce de agosto</w:t>
      </w:r>
      <w:r w:rsidRPr="0058299E">
        <w:rPr>
          <w:rFonts w:ascii="Palatino Linotype" w:eastAsia="Calibri" w:hAnsi="Palatino Linotype" w:cs="Arial"/>
          <w:b/>
          <w:color w:val="000000" w:themeColor="text1"/>
          <w:lang w:val="es-ES" w:eastAsia="es-ES"/>
        </w:rPr>
        <w:t xml:space="preserve"> de dos mil veinticinco, </w:t>
      </w:r>
      <w:r w:rsidRPr="0058299E">
        <w:rPr>
          <w:rFonts w:ascii="Palatino Linotype" w:eastAsia="Calibri" w:hAnsi="Palatino Linotype" w:cs="Arial"/>
          <w:color w:val="000000" w:themeColor="text1"/>
          <w:lang w:val="es-ES" w:eastAsia="es-ES"/>
        </w:rPr>
        <w:t>mismo que fue puesto a la v</w:t>
      </w:r>
      <w:r w:rsidR="00936ABE" w:rsidRPr="0058299E">
        <w:rPr>
          <w:rFonts w:ascii="Palatino Linotype" w:eastAsia="Calibri" w:hAnsi="Palatino Linotype" w:cs="Arial"/>
          <w:color w:val="000000" w:themeColor="text1"/>
          <w:lang w:val="es-ES" w:eastAsia="es-ES"/>
        </w:rPr>
        <w:t xml:space="preserve">ista del Recurrente el </w:t>
      </w:r>
      <w:r w:rsidR="00936ABE" w:rsidRPr="0058299E">
        <w:rPr>
          <w:rFonts w:ascii="Palatino Linotype" w:eastAsia="Calibri" w:hAnsi="Palatino Linotype" w:cs="Arial"/>
          <w:b/>
          <w:color w:val="000000" w:themeColor="text1"/>
          <w:lang w:val="es-ES" w:eastAsia="es-ES"/>
        </w:rPr>
        <w:t>veintitrés</w:t>
      </w:r>
      <w:r w:rsidRPr="0058299E">
        <w:rPr>
          <w:rFonts w:ascii="Palatino Linotype" w:eastAsia="Calibri" w:hAnsi="Palatino Linotype" w:cs="Arial"/>
          <w:b/>
          <w:color w:val="000000" w:themeColor="text1"/>
          <w:lang w:val="es-ES" w:eastAsia="es-ES"/>
        </w:rPr>
        <w:t xml:space="preserve"> de octubre del mismo año</w:t>
      </w:r>
      <w:r w:rsidRPr="0058299E">
        <w:rPr>
          <w:rFonts w:ascii="Palatino Linotype" w:eastAsia="Calibri" w:hAnsi="Palatino Linotype" w:cs="Arial"/>
          <w:color w:val="000000" w:themeColor="text1"/>
          <w:lang w:val="es-ES" w:eastAsia="es-ES"/>
        </w:rPr>
        <w:t xml:space="preserve"> y </w:t>
      </w:r>
      <w:r w:rsidR="00936ABE" w:rsidRPr="0058299E">
        <w:rPr>
          <w:rFonts w:ascii="Palatino Linotype" w:eastAsia="Calibri" w:hAnsi="Palatino Linotype" w:cs="Arial"/>
          <w:color w:val="000000" w:themeColor="text1"/>
          <w:lang w:val="es-ES" w:eastAsia="es-ES"/>
        </w:rPr>
        <w:t xml:space="preserve">que consta de los archivo electrónico denominado </w:t>
      </w:r>
      <w:hyperlink r:id="rId9" w:history="1">
        <w:r w:rsidR="00936ABE" w:rsidRPr="0058299E">
          <w:rPr>
            <w:rStyle w:val="Hipervnculo"/>
            <w:rFonts w:ascii="Palatino Linotype" w:eastAsia="Calibri" w:hAnsi="Palatino Linotype" w:cs="Arial"/>
            <w:b/>
            <w:bCs/>
            <w:color w:val="000000" w:themeColor="text1"/>
            <w:lang w:eastAsia="es-ES"/>
          </w:rPr>
          <w:t>informe justificado 186.pdf</w:t>
        </w:r>
      </w:hyperlink>
      <w:r w:rsidR="00936ABE" w:rsidRPr="0058299E">
        <w:rPr>
          <w:rFonts w:ascii="Palatino Linotype" w:eastAsia="Calibri" w:hAnsi="Palatino Linotype" w:cs="Arial"/>
          <w:color w:val="000000" w:themeColor="text1"/>
          <w:lang w:val="es-ES" w:eastAsia="es-ES"/>
        </w:rPr>
        <w:t xml:space="preserve">, en el que de forma medular, se ratificó la respuesta. </w:t>
      </w:r>
    </w:p>
    <w:p w:rsidR="00E53A33" w:rsidRPr="0058299E" w:rsidRDefault="00E53A33" w:rsidP="0058299E">
      <w:pPr>
        <w:spacing w:line="360" w:lineRule="auto"/>
        <w:jc w:val="both"/>
        <w:rPr>
          <w:rFonts w:ascii="Palatino Linotype" w:eastAsiaTheme="minorEastAsia" w:hAnsi="Palatino Linotype"/>
          <w:color w:val="000000" w:themeColor="text1"/>
          <w:lang w:val="es-ES_tradnl" w:eastAsia="es-ES"/>
        </w:rPr>
      </w:pPr>
    </w:p>
    <w:p w:rsidR="00E53A33" w:rsidRPr="0058299E" w:rsidRDefault="00E53A33" w:rsidP="0058299E">
      <w:pPr>
        <w:pStyle w:val="Prrafodelista"/>
        <w:numPr>
          <w:ilvl w:val="0"/>
          <w:numId w:val="1"/>
        </w:numPr>
        <w:spacing w:line="360" w:lineRule="auto"/>
        <w:ind w:left="0" w:firstLine="0"/>
        <w:jc w:val="both"/>
        <w:rPr>
          <w:rFonts w:ascii="Palatino Linotype" w:hAnsi="Palatino Linotype"/>
          <w:color w:val="000000" w:themeColor="text1"/>
          <w:sz w:val="24"/>
        </w:rPr>
      </w:pPr>
      <w:r w:rsidRPr="0058299E">
        <w:rPr>
          <w:rFonts w:ascii="Palatino Linotype" w:hAnsi="Palatino Linotype"/>
          <w:color w:val="000000" w:themeColor="text1"/>
          <w:sz w:val="24"/>
        </w:rPr>
        <w:t xml:space="preserve">El </w:t>
      </w:r>
      <w:r w:rsidR="00936ABE" w:rsidRPr="0058299E">
        <w:rPr>
          <w:rFonts w:ascii="Palatino Linotype" w:hAnsi="Palatino Linotype"/>
          <w:b/>
          <w:color w:val="000000" w:themeColor="text1"/>
          <w:sz w:val="24"/>
        </w:rPr>
        <w:t>veintitrés de octubre</w:t>
      </w:r>
      <w:r w:rsidRPr="0058299E">
        <w:rPr>
          <w:rFonts w:ascii="Palatino Linotype" w:hAnsi="Palatino Linotype"/>
          <w:b/>
          <w:color w:val="000000" w:themeColor="text1"/>
          <w:sz w:val="24"/>
        </w:rPr>
        <w:t xml:space="preserve"> de dos mil veinticinco</w:t>
      </w:r>
      <w:r w:rsidRPr="0058299E">
        <w:rPr>
          <w:rFonts w:ascii="Palatino Linotype" w:hAnsi="Palatino Linotype"/>
          <w:color w:val="000000" w:themeColor="text1"/>
          <w:sz w:val="24"/>
        </w:rPr>
        <w:t xml:space="preserve">, se notificó el acuerdo mediante el cual se aprobó la ampliación de plazo para emitir resolución. </w:t>
      </w:r>
    </w:p>
    <w:p w:rsidR="00E53A33" w:rsidRPr="0058299E" w:rsidRDefault="00E53A33" w:rsidP="0058299E">
      <w:pPr>
        <w:pStyle w:val="Prrafodelista"/>
        <w:ind w:left="0"/>
        <w:rPr>
          <w:rFonts w:ascii="Palatino Linotype" w:hAnsi="Palatino Linotype"/>
          <w:color w:val="000000" w:themeColor="text1"/>
          <w:sz w:val="24"/>
        </w:rPr>
      </w:pPr>
    </w:p>
    <w:p w:rsidR="00E53A33" w:rsidRDefault="00E53A33" w:rsidP="0058299E">
      <w:pPr>
        <w:pStyle w:val="Prrafodelista"/>
        <w:numPr>
          <w:ilvl w:val="0"/>
          <w:numId w:val="1"/>
        </w:numPr>
        <w:spacing w:line="360" w:lineRule="auto"/>
        <w:ind w:left="0" w:firstLine="0"/>
        <w:jc w:val="both"/>
        <w:rPr>
          <w:rFonts w:ascii="Palatino Linotype" w:hAnsi="Palatino Linotype"/>
          <w:color w:val="000000" w:themeColor="text1"/>
          <w:sz w:val="24"/>
        </w:rPr>
      </w:pPr>
      <w:r w:rsidRPr="0058299E">
        <w:rPr>
          <w:rFonts w:ascii="Palatino Linotype" w:hAnsi="Palatino Linotype"/>
          <w:color w:val="000000" w:themeColor="text1"/>
          <w:sz w:val="24"/>
        </w:rPr>
        <w:t xml:space="preserve">El </w:t>
      </w:r>
      <w:r w:rsidR="00936ABE" w:rsidRPr="0058299E">
        <w:rPr>
          <w:rFonts w:ascii="Palatino Linotype" w:hAnsi="Palatino Linotype"/>
          <w:b/>
          <w:color w:val="000000" w:themeColor="text1"/>
          <w:sz w:val="24"/>
        </w:rPr>
        <w:t>veintinueve</w:t>
      </w:r>
      <w:r w:rsidRPr="0058299E">
        <w:rPr>
          <w:rFonts w:ascii="Palatino Linotype" w:hAnsi="Palatino Linotype"/>
          <w:b/>
          <w:color w:val="000000" w:themeColor="text1"/>
          <w:sz w:val="24"/>
        </w:rPr>
        <w:t xml:space="preserve"> de octubre de dos mil veinticinco</w:t>
      </w:r>
      <w:r w:rsidRPr="0058299E">
        <w:rPr>
          <w:rFonts w:ascii="Palatino Linotype" w:hAnsi="Palatino Linotype"/>
          <w:color w:val="000000" w:themeColor="text1"/>
          <w:sz w:val="24"/>
        </w:rPr>
        <w:t xml:space="preserve">, se notificó el acuerdo a través de cual se decretó el cierre de instrucción. </w:t>
      </w:r>
      <w:r w:rsidR="004775BD">
        <w:rPr>
          <w:rFonts w:ascii="Palatino Linotype" w:hAnsi="Palatino Linotype"/>
          <w:color w:val="000000" w:themeColor="text1"/>
          <w:sz w:val="24"/>
        </w:rPr>
        <w:t>----------------------------------------------------------------------</w:t>
      </w:r>
    </w:p>
    <w:p w:rsidR="004775BD" w:rsidRPr="004775BD" w:rsidRDefault="004775BD" w:rsidP="004775BD">
      <w:pPr>
        <w:pStyle w:val="Prrafodelista"/>
        <w:rPr>
          <w:rFonts w:ascii="Palatino Linotype" w:hAnsi="Palatino Linotype"/>
          <w:color w:val="000000" w:themeColor="text1"/>
          <w:sz w:val="24"/>
        </w:rPr>
      </w:pPr>
    </w:p>
    <w:p w:rsidR="004775BD" w:rsidRPr="004775BD" w:rsidRDefault="004775BD" w:rsidP="004775BD">
      <w:pPr>
        <w:spacing w:line="360" w:lineRule="auto"/>
        <w:jc w:val="both"/>
        <w:rPr>
          <w:rFonts w:ascii="Palatino Linotype" w:hAnsi="Palatino Linotype"/>
          <w:color w:val="000000" w:themeColor="text1"/>
        </w:rPr>
      </w:pPr>
    </w:p>
    <w:p w:rsidR="00E53A33" w:rsidRPr="0058299E" w:rsidRDefault="00E53A33" w:rsidP="0058299E">
      <w:pPr>
        <w:spacing w:line="360" w:lineRule="auto"/>
        <w:contextualSpacing/>
        <w:jc w:val="both"/>
        <w:rPr>
          <w:rFonts w:ascii="Palatino Linotype" w:eastAsiaTheme="minorEastAsia" w:hAnsi="Palatino Linotype"/>
          <w:b/>
          <w:color w:val="000000" w:themeColor="text1"/>
          <w:u w:val="single"/>
          <w:lang w:val="es-ES_tradnl" w:eastAsia="es-ES"/>
        </w:rPr>
      </w:pPr>
    </w:p>
    <w:p w:rsidR="00E53A33" w:rsidRPr="0058299E" w:rsidRDefault="00E53A33" w:rsidP="0058299E">
      <w:pPr>
        <w:keepNext/>
        <w:keepLines/>
        <w:spacing w:line="360" w:lineRule="auto"/>
        <w:jc w:val="center"/>
        <w:outlineLvl w:val="0"/>
        <w:rPr>
          <w:rFonts w:ascii="Palatino Linotype" w:eastAsiaTheme="majorEastAsia" w:hAnsi="Palatino Linotype" w:cstheme="majorBidi"/>
          <w:color w:val="000000" w:themeColor="text1"/>
        </w:rPr>
      </w:pPr>
      <w:bookmarkStart w:id="4" w:name="_Toc83301634"/>
      <w:r w:rsidRPr="0058299E">
        <w:rPr>
          <w:rFonts w:ascii="Palatino Linotype" w:eastAsiaTheme="majorEastAsia" w:hAnsi="Palatino Linotype" w:cstheme="majorBidi"/>
          <w:b/>
          <w:color w:val="000000" w:themeColor="text1"/>
        </w:rPr>
        <w:lastRenderedPageBreak/>
        <w:t>C</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O</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N</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S</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I</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D</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E</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R</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A</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N</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D</w:t>
      </w:r>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O</w:t>
      </w:r>
      <w:bookmarkEnd w:id="4"/>
      <w:r w:rsidR="004775BD">
        <w:rPr>
          <w:rFonts w:ascii="Palatino Linotype" w:eastAsiaTheme="majorEastAsia" w:hAnsi="Palatino Linotype" w:cstheme="majorBidi"/>
          <w:b/>
          <w:color w:val="000000" w:themeColor="text1"/>
        </w:rPr>
        <w:t xml:space="preserve"> </w:t>
      </w:r>
      <w:r w:rsidRPr="0058299E">
        <w:rPr>
          <w:rFonts w:ascii="Palatino Linotype" w:eastAsiaTheme="majorEastAsia" w:hAnsi="Palatino Linotype" w:cstheme="majorBidi"/>
          <w:b/>
          <w:color w:val="000000" w:themeColor="text1"/>
        </w:rPr>
        <w:t xml:space="preserve"> </w:t>
      </w:r>
    </w:p>
    <w:p w:rsidR="00E53A33" w:rsidRPr="0058299E" w:rsidRDefault="00E53A33" w:rsidP="0058299E">
      <w:pPr>
        <w:spacing w:line="360" w:lineRule="auto"/>
        <w:rPr>
          <w:rFonts w:ascii="Palatino Linotype" w:eastAsiaTheme="minorEastAsia" w:hAnsi="Palatino Linotype"/>
          <w:color w:val="000000" w:themeColor="text1"/>
        </w:rPr>
      </w:pPr>
    </w:p>
    <w:p w:rsidR="00E53A33" w:rsidRPr="0058299E" w:rsidRDefault="00E53A33" w:rsidP="0058299E">
      <w:pPr>
        <w:keepNext/>
        <w:keepLines/>
        <w:spacing w:line="360" w:lineRule="auto"/>
        <w:outlineLvl w:val="1"/>
        <w:rPr>
          <w:rFonts w:ascii="Palatino Linotype" w:eastAsiaTheme="majorEastAsia" w:hAnsi="Palatino Linotype" w:cstheme="majorBidi"/>
          <w:b/>
          <w:color w:val="000000" w:themeColor="text1"/>
        </w:rPr>
      </w:pPr>
      <w:bookmarkStart w:id="5" w:name="_Toc83301635"/>
      <w:r w:rsidRPr="0058299E">
        <w:rPr>
          <w:rFonts w:ascii="Palatino Linotype" w:eastAsiaTheme="majorEastAsia" w:hAnsi="Palatino Linotype" w:cstheme="majorBidi"/>
          <w:b/>
          <w:color w:val="000000" w:themeColor="text1"/>
        </w:rPr>
        <w:t>PRIMERO. De la competencia</w:t>
      </w:r>
      <w:bookmarkEnd w:id="5"/>
    </w:p>
    <w:p w:rsidR="00E53A33" w:rsidRPr="0058299E" w:rsidRDefault="00E53A33" w:rsidP="0058299E">
      <w:pPr>
        <w:numPr>
          <w:ilvl w:val="0"/>
          <w:numId w:val="1"/>
        </w:numPr>
        <w:spacing w:line="360" w:lineRule="auto"/>
        <w:ind w:left="0" w:firstLine="0"/>
        <w:contextualSpacing/>
        <w:jc w:val="both"/>
        <w:rPr>
          <w:rFonts w:ascii="Palatino Linotype" w:eastAsia="Calibri" w:hAnsi="Palatino Linotype"/>
          <w:color w:val="000000" w:themeColor="text1"/>
          <w:lang w:eastAsia="es-ES"/>
        </w:rPr>
      </w:pPr>
      <w:r w:rsidRPr="0058299E">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53A33" w:rsidRPr="0058299E" w:rsidRDefault="00E53A33" w:rsidP="0058299E">
      <w:pPr>
        <w:spacing w:line="360" w:lineRule="auto"/>
        <w:contextualSpacing/>
        <w:jc w:val="both"/>
        <w:rPr>
          <w:rFonts w:ascii="Palatino Linotype" w:eastAsiaTheme="minorEastAsia" w:hAnsi="Palatino Linotype"/>
          <w:color w:val="000000" w:themeColor="text1"/>
          <w:lang w:val="es-ES_tradnl" w:eastAsia="es-ES"/>
        </w:rPr>
      </w:pPr>
    </w:p>
    <w:p w:rsidR="00E53A33" w:rsidRPr="0058299E" w:rsidRDefault="00E53A33" w:rsidP="0058299E">
      <w:pPr>
        <w:keepNext/>
        <w:keepLines/>
        <w:spacing w:line="360" w:lineRule="auto"/>
        <w:outlineLvl w:val="1"/>
        <w:rPr>
          <w:rFonts w:ascii="Palatino Linotype" w:eastAsiaTheme="majorEastAsia" w:hAnsi="Palatino Linotype" w:cstheme="majorBidi"/>
          <w:b/>
          <w:color w:val="000000" w:themeColor="text1"/>
        </w:rPr>
      </w:pPr>
      <w:bookmarkStart w:id="6" w:name="_Toc83301636"/>
      <w:r w:rsidRPr="0058299E">
        <w:rPr>
          <w:rFonts w:ascii="Palatino Linotype" w:eastAsiaTheme="majorEastAsia" w:hAnsi="Palatino Linotype" w:cstheme="majorBidi"/>
          <w:b/>
          <w:color w:val="000000" w:themeColor="text1"/>
        </w:rPr>
        <w:t>SEGUNDO. De la oportunidad y procedencia.</w:t>
      </w:r>
      <w:bookmarkEnd w:id="6"/>
    </w:p>
    <w:p w:rsidR="00E53A33" w:rsidRPr="0058299E" w:rsidRDefault="00E53A33" w:rsidP="0058299E">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58299E">
        <w:rPr>
          <w:rFonts w:ascii="Palatino Linotype" w:eastAsia="Calibri" w:hAnsi="Palatino Linotype" w:cs="Arial"/>
          <w:color w:val="000000" w:themeColor="text1"/>
          <w:lang w:val="es-ES_tradnl" w:eastAsia="es-ES"/>
        </w:rPr>
        <w:t xml:space="preserve">El medio de impugnación fue presentado a través del </w:t>
      </w:r>
      <w:r w:rsidRPr="0058299E">
        <w:rPr>
          <w:rFonts w:ascii="Palatino Linotype" w:eastAsia="Calibri" w:hAnsi="Palatino Linotype" w:cs="Arial"/>
          <w:b/>
          <w:color w:val="000000" w:themeColor="text1"/>
          <w:lang w:val="es-ES_tradnl" w:eastAsia="es-ES"/>
        </w:rPr>
        <w:t>SAIMEX,</w:t>
      </w:r>
      <w:r w:rsidRPr="0058299E">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siendo así que el </w:t>
      </w:r>
      <w:r w:rsidRPr="0058299E">
        <w:rPr>
          <w:rFonts w:ascii="Palatino Linotype" w:eastAsia="Calibri" w:hAnsi="Palatino Linotype" w:cs="Arial"/>
          <w:b/>
          <w:color w:val="000000" w:themeColor="text1"/>
          <w:lang w:val="es-ES_tradnl" w:eastAsia="es-ES"/>
        </w:rPr>
        <w:t>SUJETO OBLIGADO</w:t>
      </w:r>
      <w:r w:rsidRPr="0058299E">
        <w:rPr>
          <w:rFonts w:ascii="Palatino Linotype" w:eastAsia="Calibri" w:hAnsi="Palatino Linotype" w:cs="Arial"/>
          <w:color w:val="000000" w:themeColor="text1"/>
          <w:lang w:val="es-ES_tradnl" w:eastAsia="es-ES"/>
        </w:rPr>
        <w:t xml:space="preserve"> entregó respuesta a la solicitud el día </w:t>
      </w:r>
      <w:r w:rsidR="00936ABE" w:rsidRPr="0058299E">
        <w:rPr>
          <w:rFonts w:ascii="Palatino Linotype" w:eastAsia="Calibri" w:hAnsi="Palatino Linotype" w:cs="Arial"/>
          <w:b/>
          <w:color w:val="000000" w:themeColor="text1"/>
          <w:lang w:val="es-ES_tradnl" w:eastAsia="es-ES"/>
        </w:rPr>
        <w:t>catorce de julio</w:t>
      </w:r>
      <w:r w:rsidRPr="0058299E">
        <w:rPr>
          <w:rFonts w:ascii="Palatino Linotype" w:eastAsia="Calibri" w:hAnsi="Palatino Linotype" w:cs="Arial"/>
          <w:b/>
          <w:color w:val="000000" w:themeColor="text1"/>
          <w:lang w:val="es-ES_tradnl" w:eastAsia="es-ES"/>
        </w:rPr>
        <w:t xml:space="preserve"> de dos mil veinticinco</w:t>
      </w:r>
      <w:r w:rsidRPr="0058299E">
        <w:rPr>
          <w:rFonts w:ascii="Palatino Linotype" w:eastAsia="Calibri" w:hAnsi="Palatino Linotype" w:cs="Arial"/>
          <w:color w:val="000000" w:themeColor="text1"/>
          <w:lang w:val="es-ES_tradnl" w:eastAsia="es-ES"/>
        </w:rPr>
        <w:t xml:space="preserve">, </w:t>
      </w:r>
      <w:r w:rsidRPr="0058299E">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936ABE" w:rsidRPr="0058299E">
        <w:rPr>
          <w:rFonts w:ascii="Palatino Linotype" w:eastAsiaTheme="minorEastAsia" w:hAnsi="Palatino Linotype" w:cs="Arial"/>
          <w:b/>
          <w:color w:val="000000" w:themeColor="text1"/>
          <w:lang w:val="es-ES_tradnl" w:eastAsia="es-ES"/>
        </w:rPr>
        <w:t>quince de julio al dieciocho de agosto</w:t>
      </w:r>
      <w:r w:rsidRPr="0058299E">
        <w:rPr>
          <w:rFonts w:ascii="Palatino Linotype" w:eastAsiaTheme="minorEastAsia" w:hAnsi="Palatino Linotype" w:cs="Arial"/>
          <w:b/>
          <w:color w:val="000000" w:themeColor="text1"/>
          <w:lang w:val="es-ES_tradnl" w:eastAsia="es-ES"/>
        </w:rPr>
        <w:t xml:space="preserve"> de dos mil veinticinco</w:t>
      </w:r>
      <w:r w:rsidRPr="0058299E">
        <w:rPr>
          <w:rFonts w:ascii="Palatino Linotype" w:eastAsiaTheme="minorEastAsia" w:hAnsi="Palatino Linotype" w:cs="Arial"/>
          <w:color w:val="000000" w:themeColor="text1"/>
          <w:lang w:val="es-ES_tradnl" w:eastAsia="es-ES"/>
        </w:rPr>
        <w:t xml:space="preserve">; en consecuencia, presentó su inconformidad el día </w:t>
      </w:r>
      <w:r w:rsidR="00936ABE" w:rsidRPr="0058299E">
        <w:rPr>
          <w:rFonts w:ascii="Palatino Linotype" w:eastAsiaTheme="minorEastAsia" w:hAnsi="Palatino Linotype" w:cs="Arial"/>
          <w:b/>
          <w:color w:val="000000" w:themeColor="text1"/>
          <w:lang w:val="es-ES_tradnl" w:eastAsia="es-ES"/>
        </w:rPr>
        <w:t>dieciocho de julio</w:t>
      </w:r>
      <w:r w:rsidRPr="0058299E">
        <w:rPr>
          <w:rFonts w:ascii="Palatino Linotype" w:eastAsiaTheme="minorEastAsia" w:hAnsi="Palatino Linotype" w:cs="Arial"/>
          <w:b/>
          <w:color w:val="000000" w:themeColor="text1"/>
          <w:lang w:val="es-ES_tradnl" w:eastAsia="es-ES"/>
        </w:rPr>
        <w:t xml:space="preserve"> de dos mil veinticinco</w:t>
      </w:r>
      <w:r w:rsidRPr="0058299E">
        <w:rPr>
          <w:rFonts w:ascii="Palatino Linotype" w:eastAsiaTheme="minorEastAsia" w:hAnsi="Palatino Linotype" w:cs="Arial"/>
          <w:color w:val="000000" w:themeColor="text1"/>
          <w:lang w:val="es-ES_tradnl" w:eastAsia="es-ES"/>
        </w:rPr>
        <w:t xml:space="preserve">, por lo que se encuentra dentro de los márgenes temporales previstos en el artículo 178 de la </w:t>
      </w:r>
      <w:r w:rsidRPr="0058299E">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58299E">
        <w:rPr>
          <w:rFonts w:ascii="Palatino Linotype" w:eastAsiaTheme="minorEastAsia" w:hAnsi="Palatino Linotype" w:cs="Arial"/>
          <w:color w:val="000000" w:themeColor="text1"/>
          <w:lang w:val="es-ES_tradnl" w:eastAsia="es-ES"/>
        </w:rPr>
        <w:t>vigente.</w:t>
      </w:r>
    </w:p>
    <w:p w:rsidR="00E53A33" w:rsidRPr="0058299E" w:rsidRDefault="00E53A33" w:rsidP="0058299E">
      <w:pPr>
        <w:spacing w:line="360" w:lineRule="auto"/>
        <w:contextualSpacing/>
        <w:jc w:val="both"/>
        <w:rPr>
          <w:rFonts w:ascii="Palatino Linotype" w:eastAsiaTheme="minorEastAsia" w:hAnsi="Palatino Linotype"/>
          <w:color w:val="000000" w:themeColor="text1"/>
          <w:lang w:val="es-ES_tradnl" w:eastAsia="es-ES"/>
        </w:rPr>
      </w:pPr>
    </w:p>
    <w:p w:rsidR="00E53A33" w:rsidRPr="0058299E" w:rsidRDefault="00E53A33" w:rsidP="0058299E">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58299E">
        <w:rPr>
          <w:rFonts w:ascii="Palatino Linotype" w:eastAsia="Calibri" w:hAnsi="Palatino Linotype" w:cs="Arial"/>
          <w:color w:val="000000" w:themeColor="text1"/>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E53A33" w:rsidRPr="0058299E" w:rsidRDefault="00E53A33" w:rsidP="0058299E">
      <w:pPr>
        <w:spacing w:line="360" w:lineRule="auto"/>
        <w:contextualSpacing/>
        <w:jc w:val="both"/>
        <w:rPr>
          <w:rFonts w:ascii="Palatino Linotype" w:eastAsia="MS Gothic" w:hAnsi="Palatino Linotype" w:cstheme="majorBidi"/>
          <w:color w:val="000000" w:themeColor="text1"/>
          <w:lang w:eastAsia="es-ES"/>
        </w:rPr>
      </w:pPr>
      <w:bookmarkStart w:id="10" w:name="_Toc65713731"/>
      <w:bookmarkStart w:id="11" w:name="_Toc94119614"/>
    </w:p>
    <w:p w:rsidR="00E53A33" w:rsidRPr="0058299E" w:rsidRDefault="00E53A33" w:rsidP="0058299E">
      <w:pPr>
        <w:spacing w:line="360" w:lineRule="auto"/>
        <w:contextualSpacing/>
        <w:jc w:val="both"/>
        <w:rPr>
          <w:rFonts w:ascii="Palatino Linotype" w:eastAsia="MS Gothic" w:hAnsi="Palatino Linotype" w:cstheme="majorBidi"/>
          <w:b/>
          <w:color w:val="000000" w:themeColor="text1"/>
          <w:lang w:eastAsia="es-ES"/>
        </w:rPr>
      </w:pPr>
      <w:r w:rsidRPr="0058299E">
        <w:rPr>
          <w:rFonts w:ascii="Palatino Linotype" w:eastAsia="MS Gothic" w:hAnsi="Palatino Linotype" w:cstheme="majorBidi"/>
          <w:b/>
          <w:color w:val="000000" w:themeColor="text1"/>
          <w:lang w:val="es-ES_tradnl" w:eastAsia="es-ES"/>
        </w:rPr>
        <w:t>TERCERO. Planteamiento de la Litis</w:t>
      </w:r>
      <w:r w:rsidRPr="0058299E">
        <w:rPr>
          <w:rFonts w:ascii="Palatino Linotype" w:eastAsia="MS Gothic" w:hAnsi="Palatino Linotype" w:cstheme="majorBidi"/>
          <w:b/>
          <w:color w:val="000000" w:themeColor="text1"/>
          <w:lang w:eastAsia="es-ES"/>
        </w:rPr>
        <w:t>.</w:t>
      </w:r>
      <w:bookmarkEnd w:id="10"/>
      <w:bookmarkEnd w:id="11"/>
    </w:p>
    <w:p w:rsidR="00E53A33" w:rsidRPr="0058299E" w:rsidRDefault="00E53A33" w:rsidP="0058299E">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58299E">
        <w:rPr>
          <w:rFonts w:ascii="Palatino Linotype" w:eastAsia="MS Gothic" w:hAnsi="Palatino Linotype" w:cstheme="majorBidi"/>
          <w:color w:val="000000" w:themeColor="text1"/>
          <w:lang w:eastAsia="es-ES"/>
        </w:rPr>
        <w:t xml:space="preserve">El particular solicitó </w:t>
      </w:r>
      <w:r w:rsidR="00936ABE" w:rsidRPr="0058299E">
        <w:rPr>
          <w:rFonts w:ascii="Palatino Linotype" w:eastAsia="MS Gothic" w:hAnsi="Palatino Linotype" w:cstheme="majorBidi"/>
          <w:color w:val="000000" w:themeColor="text1"/>
          <w:lang w:eastAsia="es-ES"/>
        </w:rPr>
        <w:t xml:space="preserve">copia digitalizada a través de SAIMEX de los contratos para la adquisición de bienes y servicios por un monto mayor a 10 millones de pesos correspondientes al ejercicio fiscal 2024. </w:t>
      </w:r>
    </w:p>
    <w:p w:rsidR="00E53A33" w:rsidRPr="0058299E" w:rsidRDefault="00E53A33" w:rsidP="0058299E">
      <w:pPr>
        <w:spacing w:line="360" w:lineRule="auto"/>
        <w:contextualSpacing/>
        <w:jc w:val="both"/>
        <w:rPr>
          <w:rFonts w:ascii="Palatino Linotype" w:eastAsia="MS Gothic" w:hAnsi="Palatino Linotype" w:cstheme="majorBidi"/>
          <w:i/>
          <w:color w:val="000000" w:themeColor="text1"/>
          <w:lang w:val="es-ES_tradnl" w:eastAsia="es-ES"/>
        </w:rPr>
      </w:pPr>
    </w:p>
    <w:p w:rsidR="00E53A33" w:rsidRPr="0058299E" w:rsidRDefault="00E53A33" w:rsidP="0058299E">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58299E">
        <w:rPr>
          <w:rFonts w:ascii="Palatino Linotype" w:eastAsia="MS Gothic" w:hAnsi="Palatino Linotype" w:cstheme="majorBidi"/>
          <w:color w:val="000000" w:themeColor="text1"/>
          <w:lang w:eastAsia="es-ES"/>
        </w:rPr>
        <w:t xml:space="preserve">En respuesta, el Sujeto Obligado </w:t>
      </w:r>
      <w:r w:rsidR="00936ABE" w:rsidRPr="0058299E">
        <w:rPr>
          <w:rFonts w:ascii="Palatino Linotype" w:eastAsia="MS Gothic" w:hAnsi="Palatino Linotype" w:cstheme="majorBidi"/>
          <w:color w:val="000000" w:themeColor="text1"/>
          <w:lang w:eastAsia="es-ES"/>
        </w:rPr>
        <w:t>a través de la Dirección General de Recursos Materiales señaló que la información podía consultarse en dos ligas electrónicas que adjuntó</w:t>
      </w:r>
      <w:r w:rsidR="0082424B" w:rsidRPr="0058299E">
        <w:rPr>
          <w:rFonts w:ascii="Palatino Linotype" w:eastAsia="MS Gothic" w:hAnsi="Palatino Linotype" w:cstheme="majorBidi"/>
          <w:color w:val="000000" w:themeColor="text1"/>
          <w:lang w:eastAsia="es-ES"/>
        </w:rPr>
        <w:t>.</w:t>
      </w:r>
      <w:r w:rsidR="00936ABE" w:rsidRPr="0058299E">
        <w:rPr>
          <w:rFonts w:ascii="Palatino Linotype" w:eastAsia="MS Gothic" w:hAnsi="Palatino Linotype" w:cstheme="majorBidi"/>
          <w:color w:val="000000" w:themeColor="text1"/>
          <w:lang w:eastAsia="es-ES"/>
        </w:rPr>
        <w:t xml:space="preserve"> Posteriormente, el Recurrente se inconformó</w:t>
      </w:r>
      <w:r w:rsidR="0082424B" w:rsidRPr="0058299E">
        <w:rPr>
          <w:rFonts w:ascii="Palatino Linotype" w:eastAsia="MS Gothic" w:hAnsi="Palatino Linotype" w:cstheme="majorBidi"/>
          <w:color w:val="000000" w:themeColor="text1"/>
          <w:lang w:eastAsia="es-ES"/>
        </w:rPr>
        <w:t xml:space="preserve">, de forma medular, por la negativa de la información. </w:t>
      </w:r>
      <w:r w:rsidRPr="0058299E">
        <w:rPr>
          <w:rFonts w:ascii="Palatino Linotype" w:eastAsia="MS Gothic" w:hAnsi="Palatino Linotype" w:cstheme="majorBidi"/>
          <w:color w:val="000000" w:themeColor="text1"/>
          <w:lang w:eastAsia="es-ES"/>
        </w:rPr>
        <w:t xml:space="preserve">  </w:t>
      </w:r>
    </w:p>
    <w:p w:rsidR="00E53A33" w:rsidRPr="0058299E" w:rsidRDefault="00E53A33" w:rsidP="0058299E">
      <w:pPr>
        <w:spacing w:line="360" w:lineRule="auto"/>
        <w:contextualSpacing/>
        <w:jc w:val="both"/>
        <w:rPr>
          <w:rFonts w:ascii="Palatino Linotype" w:eastAsia="MS Gothic" w:hAnsi="Palatino Linotype" w:cstheme="majorBidi"/>
          <w:i/>
          <w:color w:val="000000" w:themeColor="text1"/>
          <w:lang w:val="es-ES_tradnl" w:eastAsia="es-ES"/>
        </w:rPr>
      </w:pPr>
    </w:p>
    <w:p w:rsidR="00E53A33" w:rsidRPr="0058299E" w:rsidRDefault="00E53A33" w:rsidP="0058299E">
      <w:pPr>
        <w:numPr>
          <w:ilvl w:val="0"/>
          <w:numId w:val="1"/>
        </w:numPr>
        <w:spacing w:line="360" w:lineRule="auto"/>
        <w:ind w:left="0" w:firstLine="0"/>
        <w:contextualSpacing/>
        <w:jc w:val="both"/>
        <w:rPr>
          <w:rFonts w:ascii="Palatino Linotype" w:eastAsia="MS Gothic" w:hAnsi="Palatino Linotype" w:cstheme="majorBidi"/>
          <w:b/>
          <w:color w:val="000000" w:themeColor="text1"/>
          <w:lang w:eastAsia="es-ES"/>
        </w:rPr>
      </w:pPr>
      <w:r w:rsidRPr="0058299E">
        <w:rPr>
          <w:rFonts w:ascii="Palatino Linotype" w:eastAsia="MS Gothic" w:hAnsi="Palatino Linotype" w:cstheme="majorBidi"/>
          <w:color w:val="000000" w:themeColor="text1"/>
          <w:lang w:eastAsia="es-ES"/>
        </w:rPr>
        <w:t xml:space="preserve">En consecuencia, la Litis a resolver en este recurso, se circunscribe a determinar si la respuesta colma con lo solicitado o si se actualiza las causales de procedencia previstas en el artículo 179, fracción I  de la Ley de Transparencia y Acceso a la Información Pública del Estado de México y Municipios; que establece la negativa de la información.   </w:t>
      </w:r>
    </w:p>
    <w:p w:rsidR="00E53A33" w:rsidRPr="0058299E" w:rsidRDefault="00E53A33" w:rsidP="0058299E">
      <w:pPr>
        <w:spacing w:line="360" w:lineRule="auto"/>
        <w:contextualSpacing/>
        <w:jc w:val="both"/>
        <w:rPr>
          <w:rFonts w:ascii="Palatino Linotype" w:eastAsia="MS Gothic" w:hAnsi="Palatino Linotype" w:cstheme="majorBidi"/>
          <w:b/>
          <w:color w:val="000000" w:themeColor="text1"/>
          <w:lang w:eastAsia="es-ES"/>
        </w:rPr>
      </w:pPr>
    </w:p>
    <w:p w:rsidR="00E53A33" w:rsidRPr="0058299E" w:rsidRDefault="00E53A33" w:rsidP="0058299E">
      <w:pPr>
        <w:keepNext/>
        <w:keepLines/>
        <w:spacing w:line="360" w:lineRule="auto"/>
        <w:outlineLvl w:val="0"/>
        <w:rPr>
          <w:rFonts w:ascii="Palatino Linotype" w:eastAsia="MS Gothic" w:hAnsi="Palatino Linotype" w:cstheme="majorBidi"/>
          <w:b/>
          <w:color w:val="000000" w:themeColor="text1"/>
          <w:lang w:val="es-ES_tradnl" w:eastAsia="es-ES"/>
        </w:rPr>
      </w:pPr>
      <w:bookmarkStart w:id="12" w:name="_Toc70417466"/>
      <w:bookmarkStart w:id="13" w:name="_Toc80812775"/>
      <w:bookmarkStart w:id="14" w:name="_Toc83301638"/>
      <w:r w:rsidRPr="0058299E">
        <w:rPr>
          <w:rFonts w:ascii="Palatino Linotype" w:eastAsia="MS Gothic" w:hAnsi="Palatino Linotype" w:cstheme="majorBidi"/>
          <w:b/>
          <w:color w:val="000000" w:themeColor="text1"/>
          <w:lang w:val="es-ES_tradnl" w:eastAsia="es-ES"/>
        </w:rPr>
        <w:t>CUARTO. Del estudio y resolución del recurso de revisión.</w:t>
      </w:r>
      <w:bookmarkEnd w:id="12"/>
      <w:bookmarkEnd w:id="13"/>
      <w:bookmarkEnd w:id="14"/>
    </w:p>
    <w:p w:rsidR="00E53A33" w:rsidRPr="0058299E" w:rsidRDefault="00E53A33" w:rsidP="0058299E">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58299E">
        <w:rPr>
          <w:rFonts w:ascii="Palatino Linotype" w:eastAsia="Cambria" w:hAnsi="Palatino Linotype" w:cs="Arial"/>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w:t>
      </w:r>
      <w:r w:rsidRPr="0058299E">
        <w:rPr>
          <w:rFonts w:ascii="Palatino Linotype" w:eastAsia="Cambria" w:hAnsi="Palatino Linotype" w:cs="Arial"/>
          <w:color w:val="000000" w:themeColor="text1"/>
        </w:rPr>
        <w:lastRenderedPageBreak/>
        <w:t xml:space="preserve">8 de la </w:t>
      </w:r>
      <w:r w:rsidRPr="0058299E">
        <w:rPr>
          <w:rFonts w:ascii="Palatino Linotype" w:eastAsia="Calibri" w:hAnsi="Palatino Linotype" w:cs="Arial"/>
          <w:color w:val="000000" w:themeColor="text1"/>
          <w:lang w:val="es-ES"/>
        </w:rPr>
        <w:t>Ley de Transparencia y Acceso a la Información Pública del Estado de México y Municipios</w:t>
      </w:r>
      <w:r w:rsidRPr="0058299E">
        <w:rPr>
          <w:rFonts w:ascii="Palatino Linotype" w:hAnsi="Palatino Linotype" w:cs="Arial"/>
          <w:color w:val="000000" w:themeColor="text1"/>
          <w:lang w:val="es-ES"/>
        </w:rPr>
        <w:t>.</w:t>
      </w:r>
    </w:p>
    <w:p w:rsidR="00E53A33" w:rsidRPr="0058299E" w:rsidRDefault="00E53A33" w:rsidP="0058299E">
      <w:pPr>
        <w:spacing w:line="360" w:lineRule="auto"/>
        <w:contextualSpacing/>
        <w:jc w:val="both"/>
        <w:rPr>
          <w:rFonts w:ascii="Palatino Linotype" w:eastAsiaTheme="minorEastAsia" w:hAnsi="Palatino Linotype"/>
          <w:color w:val="000000" w:themeColor="text1"/>
          <w:lang w:val="es-ES_tradnl" w:eastAsia="es-ES"/>
        </w:rPr>
      </w:pPr>
    </w:p>
    <w:p w:rsidR="0082424B" w:rsidRPr="0058299E" w:rsidRDefault="00E53A33" w:rsidP="0058299E">
      <w:pPr>
        <w:numPr>
          <w:ilvl w:val="0"/>
          <w:numId w:val="1"/>
        </w:numPr>
        <w:spacing w:line="360" w:lineRule="auto"/>
        <w:ind w:left="0" w:firstLine="0"/>
        <w:contextualSpacing/>
        <w:jc w:val="both"/>
        <w:rPr>
          <w:rFonts w:ascii="Palatino Linotype" w:hAnsi="Palatino Linotype"/>
          <w:color w:val="000000" w:themeColor="text1"/>
        </w:rPr>
      </w:pPr>
      <w:r w:rsidRPr="0058299E">
        <w:rPr>
          <w:rFonts w:ascii="Palatino Linotype" w:hAnsi="Palatino Linotype" w:cs="Arial"/>
          <w:color w:val="000000" w:themeColor="text1"/>
          <w:lang w:val="es-ES"/>
        </w:rPr>
        <w:t xml:space="preserve">En este caso, el particular </w:t>
      </w:r>
      <w:r w:rsidRPr="0058299E">
        <w:rPr>
          <w:rFonts w:ascii="Palatino Linotype" w:eastAsia="MS Gothic" w:hAnsi="Palatino Linotype" w:cstheme="majorBidi"/>
          <w:color w:val="000000" w:themeColor="text1"/>
          <w:lang w:eastAsia="es-ES"/>
        </w:rPr>
        <w:t xml:space="preserve">solicitó </w:t>
      </w:r>
      <w:r w:rsidR="0082424B" w:rsidRPr="0058299E">
        <w:rPr>
          <w:rFonts w:ascii="Palatino Linotype" w:eastAsia="MS Gothic" w:hAnsi="Palatino Linotype" w:cstheme="majorBidi"/>
          <w:color w:val="000000" w:themeColor="text1"/>
          <w:lang w:eastAsia="es-ES"/>
        </w:rPr>
        <w:t xml:space="preserve">copia digitalizada a través de SAIMEX de los contratos para la adquisición de bienes y servicios por un monto mayor a 10 millones de pesos correspondientes al ejercicio fiscal 2024. En respuesta, el Sujeto Obligado a través de la Dirección General de Recursos Materiales señaló que la información podía consultarse en dos ligas electrónicas que adjuntó. </w:t>
      </w:r>
    </w:p>
    <w:p w:rsidR="0082424B" w:rsidRPr="0058299E" w:rsidRDefault="0082424B" w:rsidP="0058299E">
      <w:pPr>
        <w:pStyle w:val="Prrafodelista"/>
        <w:ind w:left="0"/>
        <w:rPr>
          <w:rFonts w:ascii="Palatino Linotype" w:hAnsi="Palatino Linotype"/>
          <w:color w:val="000000" w:themeColor="text1"/>
          <w:sz w:val="24"/>
        </w:rPr>
      </w:pPr>
    </w:p>
    <w:p w:rsidR="0082424B" w:rsidRPr="0058299E" w:rsidRDefault="0082424B" w:rsidP="0058299E">
      <w:pPr>
        <w:numPr>
          <w:ilvl w:val="0"/>
          <w:numId w:val="1"/>
        </w:numPr>
        <w:spacing w:line="360" w:lineRule="auto"/>
        <w:ind w:left="0" w:firstLine="0"/>
        <w:contextualSpacing/>
        <w:jc w:val="both"/>
        <w:rPr>
          <w:rFonts w:ascii="Palatino Linotype" w:hAnsi="Palatino Linotype"/>
          <w:color w:val="000000" w:themeColor="text1"/>
        </w:rPr>
      </w:pPr>
      <w:r w:rsidRPr="0058299E">
        <w:rPr>
          <w:rFonts w:ascii="Palatino Linotype" w:hAnsi="Palatino Linotype"/>
          <w:color w:val="000000" w:themeColor="text1"/>
        </w:rPr>
        <w:t xml:space="preserve">Primeramente, se precisa que se obvia el análisis de la competencia por parte del </w:t>
      </w:r>
      <w:r w:rsidRPr="0058299E">
        <w:rPr>
          <w:rFonts w:ascii="Palatino Linotype" w:hAnsi="Palatino Linotype"/>
          <w:b/>
          <w:bCs/>
          <w:color w:val="000000" w:themeColor="text1"/>
        </w:rPr>
        <w:t>SUJETO OBLIGADO</w:t>
      </w:r>
      <w:r w:rsidRPr="0058299E">
        <w:rPr>
          <w:rFonts w:ascii="Palatino Linotype" w:hAnsi="Palatino Linotype"/>
          <w:color w:val="000000" w:themeColor="text1"/>
        </w:rPr>
        <w:t>, para generar, administrar o poseer la información solicitada, dado que éste ha asumido la misma, en razón de que en su respuesta admitió contar con dicha información.</w:t>
      </w:r>
    </w:p>
    <w:p w:rsidR="0082424B" w:rsidRPr="0058299E" w:rsidRDefault="0082424B" w:rsidP="0058299E">
      <w:pPr>
        <w:pStyle w:val="Prrafodelista"/>
        <w:ind w:left="0"/>
        <w:rPr>
          <w:rFonts w:ascii="Palatino Linotype" w:hAnsi="Palatino Linotype"/>
          <w:color w:val="000000" w:themeColor="text1"/>
          <w:sz w:val="24"/>
        </w:rPr>
      </w:pPr>
    </w:p>
    <w:p w:rsidR="0082424B" w:rsidRPr="0058299E" w:rsidRDefault="0082424B" w:rsidP="0058299E">
      <w:pPr>
        <w:numPr>
          <w:ilvl w:val="0"/>
          <w:numId w:val="1"/>
        </w:numPr>
        <w:spacing w:line="360" w:lineRule="auto"/>
        <w:ind w:left="0" w:firstLine="0"/>
        <w:contextualSpacing/>
        <w:jc w:val="both"/>
        <w:rPr>
          <w:rFonts w:ascii="Palatino Linotype" w:hAnsi="Palatino Linotype"/>
          <w:color w:val="000000" w:themeColor="text1"/>
        </w:rPr>
      </w:pPr>
      <w:r w:rsidRPr="0058299E">
        <w:rPr>
          <w:rFonts w:ascii="Palatino Linotype" w:hAnsi="Palatino Linotype"/>
          <w:color w:val="000000" w:themeColor="text1"/>
        </w:rPr>
        <w:t xml:space="preserve">En efecto, el hecho de que </w:t>
      </w:r>
      <w:r w:rsidRPr="0058299E">
        <w:rPr>
          <w:rFonts w:ascii="Palatino Linotype" w:hAnsi="Palatino Linotype"/>
          <w:b/>
          <w:bCs/>
          <w:color w:val="000000" w:themeColor="text1"/>
        </w:rPr>
        <w:t>EL SUJETO OBLIGADO</w:t>
      </w:r>
      <w:r w:rsidRPr="0058299E">
        <w:rPr>
          <w:rFonts w:ascii="Palatino Linotype" w:hAnsi="Palatino Linotype"/>
          <w:color w:val="000000" w:themeColor="text1"/>
        </w:rPr>
        <w:t xml:space="preserve"> haya admitido contar con la información pública solicitada, acepta que l</w:t>
      </w:r>
      <w:bookmarkStart w:id="15" w:name="_Hlk94787977"/>
      <w:r w:rsidRPr="0058299E">
        <w:rPr>
          <w:rFonts w:ascii="Palatino Linotype" w:hAnsi="Palatino Linotype"/>
          <w:color w:val="000000" w:themeColor="text1"/>
        </w:rPr>
        <w:t>a genera, posee y administra, en ejercicio de sus funciones</w:t>
      </w:r>
      <w:bookmarkEnd w:id="15"/>
      <w:r w:rsidRPr="0058299E">
        <w:rPr>
          <w:rFonts w:ascii="Palatino Linotype" w:hAnsi="Palatino Linotype"/>
          <w:color w:val="000000" w:themeColor="text1"/>
        </w:rPr>
        <w:t xml:space="preserve"> de derecho público, motivo por el cual se actualiza el supuesto jurídico, previsto en el artículo 12 de la Ley de Transparencia y Acceso a la Información Pública del Estado de México y Municipios:</w:t>
      </w:r>
    </w:p>
    <w:p w:rsidR="0082424B" w:rsidRPr="0058299E" w:rsidRDefault="0082424B" w:rsidP="0058299E">
      <w:pPr>
        <w:pStyle w:val="Prrafodelista"/>
        <w:ind w:left="0"/>
        <w:jc w:val="both"/>
        <w:rPr>
          <w:rFonts w:ascii="Palatino Linotype" w:hAnsi="Palatino Linotype"/>
          <w:i/>
          <w:iCs/>
          <w:color w:val="000000" w:themeColor="text1"/>
          <w:sz w:val="24"/>
        </w:rPr>
      </w:pPr>
      <w:r w:rsidRPr="0058299E">
        <w:rPr>
          <w:rFonts w:ascii="Palatino Linotype" w:hAnsi="Palatino Linotype"/>
          <w:i/>
          <w:iCs/>
          <w:color w:val="000000" w:themeColor="text1"/>
          <w:sz w:val="24"/>
        </w:rPr>
        <w:t>“</w:t>
      </w:r>
      <w:r w:rsidRPr="0058299E">
        <w:rPr>
          <w:rFonts w:ascii="Palatino Linotype" w:hAnsi="Palatino Linotype"/>
          <w:b/>
          <w:bCs/>
          <w:i/>
          <w:iCs/>
          <w:color w:val="000000" w:themeColor="text1"/>
          <w:sz w:val="24"/>
        </w:rPr>
        <w:t>Artículo 12.</w:t>
      </w:r>
      <w:r w:rsidRPr="0058299E">
        <w:rPr>
          <w:rFonts w:ascii="Palatino Linotype" w:hAnsi="Palatino Linotype"/>
          <w:i/>
          <w:iCs/>
          <w:color w:val="000000" w:themeColor="text1"/>
          <w:sz w:val="24"/>
        </w:rPr>
        <w:t> Quienes generen, recopilen, administren, manejen, procesen, archiven o conserven información pública serán responsables de la misma en los términos de las disposiciones jurídicas aplicables.</w:t>
      </w:r>
    </w:p>
    <w:p w:rsidR="0082424B" w:rsidRPr="0058299E" w:rsidRDefault="0082424B" w:rsidP="0058299E">
      <w:pPr>
        <w:pStyle w:val="Prrafodelista"/>
        <w:ind w:left="0"/>
        <w:jc w:val="both"/>
        <w:rPr>
          <w:rFonts w:ascii="Palatino Linotype" w:hAnsi="Palatino Linotype"/>
          <w:i/>
          <w:iCs/>
          <w:color w:val="000000" w:themeColor="text1"/>
          <w:sz w:val="24"/>
        </w:rPr>
      </w:pPr>
    </w:p>
    <w:p w:rsidR="0082424B" w:rsidRPr="0058299E" w:rsidRDefault="0082424B" w:rsidP="0058299E">
      <w:pPr>
        <w:pStyle w:val="Prrafodelista"/>
        <w:ind w:left="0"/>
        <w:jc w:val="both"/>
        <w:rPr>
          <w:rFonts w:ascii="Palatino Linotype" w:hAnsi="Palatino Linotype"/>
          <w:i/>
          <w:iCs/>
          <w:color w:val="000000" w:themeColor="text1"/>
          <w:sz w:val="24"/>
        </w:rPr>
      </w:pPr>
      <w:r w:rsidRPr="0058299E">
        <w:rPr>
          <w:rFonts w:ascii="Palatino Linotype" w:hAnsi="Palatino Linotype"/>
          <w:i/>
          <w:iCs/>
          <w:color w:val="000000" w:themeColor="text1"/>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2424B" w:rsidRPr="0058299E" w:rsidRDefault="0082424B" w:rsidP="0058299E">
      <w:pPr>
        <w:pStyle w:val="Prrafodelista"/>
        <w:ind w:left="0"/>
        <w:jc w:val="both"/>
        <w:rPr>
          <w:rFonts w:ascii="Palatino Linotype" w:hAnsi="Palatino Linotype"/>
          <w:color w:val="000000" w:themeColor="text1"/>
          <w:sz w:val="24"/>
        </w:rPr>
      </w:pPr>
    </w:p>
    <w:p w:rsidR="0082424B" w:rsidRPr="0058299E" w:rsidRDefault="0082424B" w:rsidP="0058299E">
      <w:pPr>
        <w:pStyle w:val="Prrafodelista"/>
        <w:numPr>
          <w:ilvl w:val="0"/>
          <w:numId w:val="1"/>
        </w:numPr>
        <w:spacing w:line="360" w:lineRule="auto"/>
        <w:ind w:left="0" w:firstLine="0"/>
        <w:jc w:val="both"/>
        <w:rPr>
          <w:rFonts w:ascii="Palatino Linotype" w:hAnsi="Palatino Linotype"/>
          <w:color w:val="000000" w:themeColor="text1"/>
          <w:sz w:val="24"/>
        </w:rPr>
      </w:pPr>
      <w:r w:rsidRPr="0058299E">
        <w:rPr>
          <w:rFonts w:ascii="Palatino Linotype" w:hAnsi="Palatino Linotype"/>
          <w:color w:val="000000" w:themeColor="text1"/>
          <w:sz w:val="24"/>
        </w:rPr>
        <w:lastRenderedPageBreak/>
        <w:t>Así, el estudio de la naturaleza jurídica de la información pública solicitada, tiene por objeto determinar si ésta la genera, posee o administra </w:t>
      </w:r>
      <w:r w:rsidRPr="0058299E">
        <w:rPr>
          <w:rFonts w:ascii="Palatino Linotype" w:hAnsi="Palatino Linotype"/>
          <w:b/>
          <w:bCs/>
          <w:color w:val="000000" w:themeColor="text1"/>
          <w:sz w:val="24"/>
        </w:rPr>
        <w:t>EL SUJETO OBLIGADO</w:t>
      </w:r>
      <w:r w:rsidRPr="0058299E">
        <w:rPr>
          <w:rFonts w:ascii="Palatino Linotype" w:hAnsi="Palatino Linotype"/>
          <w:color w:val="000000" w:themeColor="text1"/>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2424B" w:rsidRPr="0058299E" w:rsidRDefault="0082424B" w:rsidP="0058299E">
      <w:pPr>
        <w:pStyle w:val="Prrafodelista"/>
        <w:spacing w:line="360" w:lineRule="auto"/>
        <w:ind w:left="0"/>
        <w:jc w:val="both"/>
        <w:rPr>
          <w:rFonts w:ascii="Palatino Linotype" w:hAnsi="Palatino Linotype"/>
          <w:color w:val="000000" w:themeColor="text1"/>
          <w:sz w:val="24"/>
        </w:rPr>
      </w:pPr>
    </w:p>
    <w:p w:rsidR="0082424B" w:rsidRPr="0058299E" w:rsidRDefault="0082424B" w:rsidP="0058299E">
      <w:pPr>
        <w:numPr>
          <w:ilvl w:val="0"/>
          <w:numId w:val="1"/>
        </w:numPr>
        <w:spacing w:line="360" w:lineRule="auto"/>
        <w:ind w:left="0" w:firstLine="0"/>
        <w:contextualSpacing/>
        <w:jc w:val="both"/>
        <w:rPr>
          <w:rFonts w:ascii="Palatino Linotype" w:eastAsiaTheme="minorEastAsia" w:hAnsi="Palatino Linotype"/>
          <w:color w:val="000000" w:themeColor="text1"/>
          <w:lang w:eastAsia="es-ES"/>
        </w:rPr>
      </w:pPr>
      <w:r w:rsidRPr="0058299E">
        <w:rPr>
          <w:rFonts w:ascii="Palatino Linotype" w:eastAsia="MS Mincho" w:hAnsi="Palatino Linotype"/>
          <w:color w:val="000000" w:themeColor="text1"/>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58299E">
        <w:rPr>
          <w:rFonts w:ascii="Palatino Linotype" w:eastAsia="MS Mincho" w:hAnsi="Palatino Linotype"/>
          <w:b/>
          <w:color w:val="000000" w:themeColor="text1"/>
          <w:lang w:val="es-ES_tradnl" w:eastAsia="es-ES"/>
        </w:rPr>
        <w:t>sencilla</w:t>
      </w:r>
      <w:r w:rsidRPr="0058299E">
        <w:rPr>
          <w:rFonts w:ascii="Palatino Linotype" w:eastAsia="MS Mincho" w:hAnsi="Palatino Linotype"/>
          <w:color w:val="000000" w:themeColor="text1"/>
          <w:lang w:val="es-ES_tradnl" w:eastAsia="es-ES"/>
        </w:rPr>
        <w:t xml:space="preserve">, expeditos, </w:t>
      </w:r>
      <w:r w:rsidRPr="0058299E">
        <w:rPr>
          <w:rFonts w:ascii="Palatino Linotype" w:eastAsia="MS Mincho" w:hAnsi="Palatino Linotype"/>
          <w:b/>
          <w:color w:val="000000" w:themeColor="text1"/>
          <w:lang w:val="es-ES_tradnl" w:eastAsia="es-ES"/>
        </w:rPr>
        <w:t>oportunos</w:t>
      </w:r>
      <w:r w:rsidRPr="0058299E">
        <w:rPr>
          <w:rFonts w:ascii="Palatino Linotype" w:eastAsia="MS Mincho" w:hAnsi="Palatino Linotype"/>
          <w:color w:val="000000" w:themeColor="text1"/>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82424B" w:rsidRPr="0058299E" w:rsidRDefault="0082424B" w:rsidP="0058299E">
      <w:pPr>
        <w:spacing w:line="360" w:lineRule="auto"/>
        <w:contextualSpacing/>
        <w:jc w:val="both"/>
        <w:rPr>
          <w:rFonts w:ascii="Palatino Linotype" w:eastAsiaTheme="minorEastAsia" w:hAnsi="Palatino Linotype"/>
          <w:color w:val="000000" w:themeColor="text1"/>
          <w:lang w:eastAsia="es-ES"/>
        </w:rPr>
      </w:pPr>
    </w:p>
    <w:p w:rsidR="0082424B" w:rsidRPr="0058299E" w:rsidRDefault="0082424B" w:rsidP="0058299E">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58299E">
        <w:rPr>
          <w:rFonts w:ascii="Palatino Linotype" w:hAnsi="Palatino Linotype"/>
          <w:color w:val="000000" w:themeColor="text1"/>
          <w:sz w:val="24"/>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58299E">
        <w:rPr>
          <w:rFonts w:ascii="Palatino Linotype" w:hAnsi="Palatino Linotype"/>
          <w:b/>
          <w:color w:val="000000" w:themeColor="text1"/>
          <w:sz w:val="24"/>
          <w:lang w:val="es-ES"/>
        </w:rPr>
        <w:t xml:space="preserve"> </w:t>
      </w:r>
      <w:r w:rsidRPr="0058299E">
        <w:rPr>
          <w:rFonts w:ascii="Palatino Linotype" w:hAnsi="Palatino Linotype"/>
          <w:color w:val="000000" w:themeColor="text1"/>
          <w:sz w:val="24"/>
          <w:lang w:val="es-ES"/>
        </w:rPr>
        <w:t>a la Información Pública del Estado de México y Municipios establece dos puntos importantes que impactan sobre la modalidad de entrega de la información.</w:t>
      </w:r>
    </w:p>
    <w:p w:rsidR="0082424B" w:rsidRPr="0058299E" w:rsidRDefault="0082424B" w:rsidP="0058299E">
      <w:pPr>
        <w:pStyle w:val="Prrafodelista"/>
        <w:tabs>
          <w:tab w:val="left" w:pos="851"/>
        </w:tabs>
        <w:spacing w:before="240" w:after="240" w:line="360" w:lineRule="auto"/>
        <w:ind w:left="0"/>
        <w:jc w:val="both"/>
        <w:rPr>
          <w:rFonts w:ascii="Palatino Linotype" w:hAnsi="Palatino Linotype"/>
          <w:color w:val="000000" w:themeColor="text1"/>
          <w:sz w:val="24"/>
          <w:lang w:val="es-ES"/>
        </w:rPr>
      </w:pPr>
    </w:p>
    <w:p w:rsidR="0082424B" w:rsidRPr="0058299E" w:rsidRDefault="0082424B" w:rsidP="0058299E">
      <w:pPr>
        <w:pStyle w:val="Prrafodelista"/>
        <w:numPr>
          <w:ilvl w:val="0"/>
          <w:numId w:val="1"/>
        </w:numPr>
        <w:tabs>
          <w:tab w:val="left" w:pos="851"/>
        </w:tabs>
        <w:spacing w:before="240" w:after="240" w:line="360" w:lineRule="auto"/>
        <w:ind w:left="0" w:firstLine="0"/>
        <w:jc w:val="both"/>
        <w:rPr>
          <w:rFonts w:ascii="Palatino Linotype" w:hAnsi="Palatino Linotype"/>
          <w:color w:val="000000" w:themeColor="text1"/>
          <w:sz w:val="24"/>
          <w:lang w:val="es-ES"/>
        </w:rPr>
      </w:pPr>
      <w:r w:rsidRPr="0058299E">
        <w:rPr>
          <w:rFonts w:ascii="Palatino Linotype" w:hAnsi="Palatino Linotype"/>
          <w:color w:val="000000" w:themeColor="text1"/>
          <w:sz w:val="24"/>
          <w:lang w:val="es-ES"/>
        </w:rPr>
        <w:t xml:space="preserve">El primer punto a analizar es que la ley en materia contempla </w:t>
      </w:r>
      <w:r w:rsidRPr="0058299E">
        <w:rPr>
          <w:rFonts w:ascii="Palatino Linotype" w:hAnsi="Palatino Linotype"/>
          <w:b/>
          <w:color w:val="000000" w:themeColor="text1"/>
          <w:sz w:val="24"/>
          <w:lang w:val="es-ES"/>
        </w:rPr>
        <w:t>información pública de oficio</w:t>
      </w:r>
      <w:r w:rsidRPr="0058299E">
        <w:rPr>
          <w:rFonts w:ascii="Palatino Linotype" w:hAnsi="Palatino Linotype"/>
          <w:color w:val="000000" w:themeColor="text1"/>
          <w:sz w:val="24"/>
          <w:lang w:val="es-ES"/>
        </w:rPr>
        <w:t xml:space="preserve"> que los Sujetos Obligados deben poner a disposición del público de manera </w:t>
      </w:r>
      <w:r w:rsidRPr="0058299E">
        <w:rPr>
          <w:rFonts w:ascii="Palatino Linotype" w:hAnsi="Palatino Linotype"/>
          <w:color w:val="000000" w:themeColor="text1"/>
          <w:sz w:val="24"/>
          <w:lang w:val="es-ES"/>
        </w:rPr>
        <w:lastRenderedPageBreak/>
        <w:t>permanente y actualizada de forma sencilla, precisa y entendible, en los respectivos medios electrónicos la información pública que generen, administren o posean.</w:t>
      </w:r>
    </w:p>
    <w:p w:rsidR="0082424B" w:rsidRPr="0058299E" w:rsidRDefault="0082424B" w:rsidP="0058299E">
      <w:pPr>
        <w:pStyle w:val="Prrafodelista"/>
        <w:tabs>
          <w:tab w:val="left" w:pos="851"/>
        </w:tabs>
        <w:spacing w:before="240" w:after="240" w:line="360" w:lineRule="auto"/>
        <w:ind w:left="0"/>
        <w:jc w:val="both"/>
        <w:rPr>
          <w:rFonts w:ascii="Palatino Linotype" w:hAnsi="Palatino Linotype"/>
          <w:color w:val="000000" w:themeColor="text1"/>
          <w:sz w:val="24"/>
          <w:lang w:val="es-ES"/>
        </w:rPr>
      </w:pPr>
    </w:p>
    <w:p w:rsidR="0082424B" w:rsidRPr="0058299E" w:rsidRDefault="0082424B" w:rsidP="0058299E">
      <w:pPr>
        <w:pStyle w:val="Prrafodelista"/>
        <w:numPr>
          <w:ilvl w:val="0"/>
          <w:numId w:val="1"/>
        </w:numPr>
        <w:tabs>
          <w:tab w:val="left" w:pos="851"/>
        </w:tabs>
        <w:spacing w:before="240" w:after="240" w:line="360" w:lineRule="auto"/>
        <w:ind w:left="0" w:firstLine="0"/>
        <w:jc w:val="both"/>
        <w:rPr>
          <w:rFonts w:ascii="Palatino Linotype" w:hAnsi="Palatino Linotype"/>
          <w:color w:val="000000" w:themeColor="text1"/>
          <w:sz w:val="24"/>
          <w:lang w:val="es-ES"/>
        </w:rPr>
      </w:pPr>
      <w:r w:rsidRPr="0058299E">
        <w:rPr>
          <w:rFonts w:ascii="Palatino Linotype" w:hAnsi="Palatino Linotype"/>
          <w:color w:val="000000" w:themeColor="text1"/>
          <w:sz w:val="24"/>
          <w:lang w:val="es-ES"/>
        </w:rPr>
        <w:t>El segundo punto a analizar y que guarda estricta relación con el punto anterior, se encuentra en el artículo 161 de la citada Ley de Transparencia Local:</w:t>
      </w:r>
    </w:p>
    <w:p w:rsidR="0082424B" w:rsidRPr="0058299E" w:rsidRDefault="0082424B" w:rsidP="0058299E">
      <w:pPr>
        <w:autoSpaceDE w:val="0"/>
        <w:autoSpaceDN w:val="0"/>
        <w:adjustRightInd w:val="0"/>
        <w:spacing w:line="360" w:lineRule="auto"/>
        <w:jc w:val="both"/>
        <w:rPr>
          <w:rFonts w:ascii="Palatino Linotype" w:hAnsi="Palatino Linotype"/>
          <w:i/>
          <w:color w:val="000000" w:themeColor="text1"/>
          <w:lang w:val="es-ES"/>
        </w:rPr>
      </w:pPr>
      <w:r w:rsidRPr="0058299E">
        <w:rPr>
          <w:rFonts w:ascii="Palatino Linotype" w:hAnsi="Palatino Linotype" w:cs="Bookman Old Style,Bold"/>
          <w:b/>
          <w:bCs/>
          <w:i/>
          <w:color w:val="000000" w:themeColor="text1"/>
        </w:rPr>
        <w:t xml:space="preserve">Artículo 161. </w:t>
      </w:r>
      <w:r w:rsidRPr="0058299E">
        <w:rPr>
          <w:rFonts w:ascii="Palatino Linotype" w:hAnsi="Palatino Linotype" w:cs="Bookman Old Style"/>
          <w:b/>
          <w:i/>
          <w:color w:val="000000" w:themeColor="text1"/>
        </w:rPr>
        <w:t>Cuando la información requerida por el solicitante ya esté disponible</w:t>
      </w:r>
      <w:r w:rsidRPr="0058299E">
        <w:rPr>
          <w:rFonts w:ascii="Palatino Linotype" w:hAnsi="Palatino Linotype" w:cs="Bookman Old Style"/>
          <w:i/>
          <w:color w:val="000000" w:themeColor="text1"/>
        </w:rPr>
        <w:t xml:space="preserve"> al público en medios impresos, tales como libros, compendios, trípticos, registros públicos, </w:t>
      </w:r>
      <w:r w:rsidRPr="0058299E">
        <w:rPr>
          <w:rFonts w:ascii="Palatino Linotype" w:hAnsi="Palatino Linotype" w:cs="Bookman Old Style"/>
          <w:b/>
          <w:i/>
          <w:color w:val="000000" w:themeColor="text1"/>
        </w:rPr>
        <w:t xml:space="preserve">en formatos electrónicos disponibles en Internet </w:t>
      </w:r>
      <w:r w:rsidRPr="0058299E">
        <w:rPr>
          <w:rFonts w:ascii="Palatino Linotype" w:hAnsi="Palatino Linotype" w:cs="Bookman Old Style"/>
          <w:i/>
          <w:color w:val="000000" w:themeColor="text1"/>
        </w:rPr>
        <w:t xml:space="preserve">o en cualquier otro medio, se le hará saber por el medio requerido por el solicitante la fuente, el lugar y la forma en que puede consultar, reproducir o adquirir dicha información </w:t>
      </w:r>
      <w:r w:rsidRPr="0058299E">
        <w:rPr>
          <w:rFonts w:ascii="Palatino Linotype" w:hAnsi="Palatino Linotype" w:cs="Bookman Old Style"/>
          <w:b/>
          <w:i/>
          <w:color w:val="000000" w:themeColor="text1"/>
        </w:rPr>
        <w:t>en un plazo no mayor a cinco días hábiles</w:t>
      </w:r>
      <w:r w:rsidRPr="0058299E">
        <w:rPr>
          <w:rFonts w:ascii="Palatino Linotype" w:hAnsi="Palatino Linotype" w:cs="Bookman Old Style"/>
          <w:i/>
          <w:color w:val="000000" w:themeColor="text1"/>
        </w:rPr>
        <w:t xml:space="preserve">. </w:t>
      </w:r>
      <w:r w:rsidRPr="0058299E">
        <w:rPr>
          <w:rFonts w:ascii="Palatino Linotype" w:hAnsi="Palatino Linotype" w:cs="Bookman Old Style"/>
          <w:b/>
          <w:i/>
          <w:color w:val="000000" w:themeColor="text1"/>
        </w:rPr>
        <w:t>La fuente deberá ser precisa y concreta y no debe implicar que el solicitante realice una búsqueda en toda la información que se encuentre disponible</w:t>
      </w:r>
      <w:r w:rsidRPr="0058299E">
        <w:rPr>
          <w:rFonts w:ascii="Palatino Linotype" w:hAnsi="Palatino Linotype" w:cs="Bookman Old Style"/>
          <w:i/>
          <w:color w:val="000000" w:themeColor="text1"/>
        </w:rPr>
        <w:t>.</w:t>
      </w:r>
    </w:p>
    <w:p w:rsidR="0082424B" w:rsidRPr="0058299E" w:rsidRDefault="0082424B" w:rsidP="0058299E">
      <w:pPr>
        <w:pStyle w:val="Prrafodelista"/>
        <w:numPr>
          <w:ilvl w:val="0"/>
          <w:numId w:val="1"/>
        </w:numPr>
        <w:tabs>
          <w:tab w:val="left" w:pos="851"/>
        </w:tabs>
        <w:spacing w:before="240" w:after="240" w:line="360" w:lineRule="auto"/>
        <w:ind w:left="0" w:firstLine="0"/>
        <w:jc w:val="both"/>
        <w:rPr>
          <w:rFonts w:ascii="Palatino Linotype" w:hAnsi="Palatino Linotype"/>
          <w:i/>
          <w:color w:val="000000" w:themeColor="text1"/>
          <w:sz w:val="24"/>
          <w:lang w:val="es-ES"/>
        </w:rPr>
      </w:pPr>
      <w:r w:rsidRPr="0058299E">
        <w:rPr>
          <w:rFonts w:ascii="Palatino Linotype" w:hAnsi="Palatino Linotype"/>
          <w:color w:val="000000" w:themeColor="text1"/>
          <w:sz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82424B" w:rsidRPr="0058299E" w:rsidRDefault="0082424B" w:rsidP="0058299E">
      <w:pPr>
        <w:pStyle w:val="Prrafodelista"/>
        <w:tabs>
          <w:tab w:val="left" w:pos="851"/>
        </w:tabs>
        <w:spacing w:before="240" w:after="240" w:line="360" w:lineRule="auto"/>
        <w:ind w:left="0"/>
        <w:jc w:val="both"/>
        <w:rPr>
          <w:rFonts w:ascii="Palatino Linotype" w:hAnsi="Palatino Linotype"/>
          <w:i/>
          <w:color w:val="000000" w:themeColor="text1"/>
          <w:sz w:val="24"/>
          <w:lang w:val="es-ES"/>
        </w:rPr>
      </w:pPr>
    </w:p>
    <w:p w:rsidR="0082424B" w:rsidRPr="0058299E" w:rsidRDefault="0082424B" w:rsidP="0058299E">
      <w:pPr>
        <w:pStyle w:val="Prrafodelista"/>
        <w:numPr>
          <w:ilvl w:val="0"/>
          <w:numId w:val="1"/>
        </w:numPr>
        <w:tabs>
          <w:tab w:val="left" w:pos="851"/>
        </w:tabs>
        <w:spacing w:before="240" w:after="240" w:line="360" w:lineRule="auto"/>
        <w:ind w:left="0" w:firstLine="0"/>
        <w:jc w:val="both"/>
        <w:rPr>
          <w:rFonts w:ascii="Palatino Linotype" w:hAnsi="Palatino Linotype"/>
          <w:i/>
          <w:color w:val="000000" w:themeColor="text1"/>
          <w:sz w:val="24"/>
          <w:lang w:val="es-ES"/>
        </w:rPr>
      </w:pPr>
      <w:r w:rsidRPr="0058299E">
        <w:rPr>
          <w:rFonts w:ascii="Palatino Linotype" w:hAnsi="Palatino Linotype"/>
          <w:b/>
          <w:color w:val="000000" w:themeColor="text1"/>
          <w:sz w:val="24"/>
          <w:lang w:val="es-ES"/>
        </w:rPr>
        <w:t>La orientación</w:t>
      </w:r>
      <w:r w:rsidRPr="0058299E">
        <w:rPr>
          <w:rFonts w:ascii="Palatino Linotype" w:hAnsi="Palatino Linotype"/>
          <w:color w:val="000000" w:themeColor="text1"/>
          <w:sz w:val="24"/>
          <w:lang w:val="es-ES"/>
        </w:rPr>
        <w:t xml:space="preserve"> que realicen los Sujetos Obligados a los sitios electrónicos para la consulta de la información </w:t>
      </w:r>
      <w:r w:rsidRPr="0058299E">
        <w:rPr>
          <w:rFonts w:ascii="Palatino Linotype" w:hAnsi="Palatino Linotype"/>
          <w:b/>
          <w:color w:val="000000" w:themeColor="text1"/>
          <w:sz w:val="24"/>
          <w:lang w:val="es-ES"/>
        </w:rPr>
        <w:t>debe cumplir con las características de tiempo y forma.</w:t>
      </w:r>
    </w:p>
    <w:p w:rsidR="0082424B" w:rsidRPr="0058299E" w:rsidRDefault="0082424B" w:rsidP="0058299E">
      <w:pPr>
        <w:pStyle w:val="Prrafodelista"/>
        <w:ind w:left="0"/>
        <w:rPr>
          <w:rFonts w:ascii="Palatino Linotype" w:hAnsi="Palatino Linotype"/>
          <w:color w:val="000000" w:themeColor="text1"/>
          <w:sz w:val="24"/>
          <w:lang w:val="es-ES"/>
        </w:rPr>
      </w:pPr>
    </w:p>
    <w:p w:rsidR="0082424B" w:rsidRPr="0058299E" w:rsidRDefault="0082424B" w:rsidP="0058299E">
      <w:pPr>
        <w:pStyle w:val="Prrafodelista"/>
        <w:numPr>
          <w:ilvl w:val="0"/>
          <w:numId w:val="1"/>
        </w:numPr>
        <w:tabs>
          <w:tab w:val="left" w:pos="851"/>
        </w:tabs>
        <w:spacing w:before="240" w:after="240" w:line="360" w:lineRule="auto"/>
        <w:ind w:left="0" w:firstLine="0"/>
        <w:jc w:val="both"/>
        <w:rPr>
          <w:rFonts w:ascii="Palatino Linotype" w:hAnsi="Palatino Linotype"/>
          <w:i/>
          <w:color w:val="000000" w:themeColor="text1"/>
          <w:sz w:val="24"/>
          <w:lang w:val="es-ES"/>
        </w:rPr>
      </w:pPr>
      <w:r w:rsidRPr="0058299E">
        <w:rPr>
          <w:rFonts w:ascii="Palatino Linotype" w:hAnsi="Palatino Linotype"/>
          <w:color w:val="000000" w:themeColor="text1"/>
          <w:sz w:val="24"/>
          <w:lang w:val="es-ES"/>
        </w:rPr>
        <w:lastRenderedPageBreak/>
        <w:t xml:space="preserve">Para que la orientación se encuentre en tiempo, debe realizarse en un plazo no mayor a cinco días hábiles, situación que no ocurrió en el presente caso, ya que la solicitud se realizó el veintitrés de junio de dos mil veinticinco y la respuesta del Sujeto Obligado fue el catorce de julio de dos mil veinticinco, por lo que evidentemente se encuentra fuera del plazo que señala la normatividad en materia, lo que trae como consecuencia que </w:t>
      </w:r>
      <w:r w:rsidRPr="0058299E">
        <w:rPr>
          <w:rFonts w:ascii="Palatino Linotype" w:hAnsi="Palatino Linotype"/>
          <w:b/>
          <w:color w:val="000000" w:themeColor="text1"/>
          <w:sz w:val="24"/>
          <w:lang w:val="es-ES"/>
        </w:rPr>
        <w:t>la orientación no se encuentre en tiempo</w:t>
      </w:r>
      <w:r w:rsidRPr="0058299E">
        <w:rPr>
          <w:rFonts w:ascii="Palatino Linotype" w:hAnsi="Palatino Linotype"/>
          <w:color w:val="000000" w:themeColor="text1"/>
          <w:sz w:val="24"/>
          <w:lang w:val="es-ES"/>
        </w:rPr>
        <w:t>.</w:t>
      </w:r>
    </w:p>
    <w:p w:rsidR="0082424B" w:rsidRPr="0058299E" w:rsidRDefault="0082424B" w:rsidP="0058299E">
      <w:pPr>
        <w:pStyle w:val="Prrafodelista"/>
        <w:ind w:left="0"/>
        <w:rPr>
          <w:rFonts w:ascii="Palatino Linotype" w:hAnsi="Palatino Linotype"/>
          <w:color w:val="000000" w:themeColor="text1"/>
          <w:sz w:val="24"/>
          <w:lang w:val="es-ES"/>
        </w:rPr>
      </w:pPr>
    </w:p>
    <w:p w:rsidR="005B0EE8" w:rsidRPr="0058299E" w:rsidRDefault="0082424B" w:rsidP="0058299E">
      <w:pPr>
        <w:pStyle w:val="Prrafodelista"/>
        <w:numPr>
          <w:ilvl w:val="0"/>
          <w:numId w:val="1"/>
        </w:numPr>
        <w:tabs>
          <w:tab w:val="left" w:pos="851"/>
        </w:tabs>
        <w:spacing w:before="240" w:after="240" w:line="360" w:lineRule="auto"/>
        <w:ind w:left="0" w:firstLine="0"/>
        <w:jc w:val="both"/>
        <w:rPr>
          <w:rFonts w:ascii="Palatino Linotype" w:hAnsi="Palatino Linotype"/>
          <w:color w:val="000000" w:themeColor="text1"/>
          <w:sz w:val="24"/>
          <w:lang w:val="es-ES"/>
        </w:rPr>
      </w:pPr>
      <w:r w:rsidRPr="0058299E">
        <w:rPr>
          <w:rFonts w:ascii="Palatino Linotype" w:hAnsi="Palatino Linotype"/>
          <w:color w:val="000000" w:themeColor="text1"/>
          <w:sz w:val="24"/>
          <w:lang w:val="es-ES"/>
        </w:rPr>
        <w:t xml:space="preserve">Ahora bien, la normatividad en materia establece que las direcciones electrónicas deben ser precisas, de tal modo que no implique que el Recurrente deba de realizar una búsqueda dentro de </w:t>
      </w:r>
      <w:r w:rsidR="005B0EE8" w:rsidRPr="0058299E">
        <w:rPr>
          <w:rFonts w:ascii="Palatino Linotype" w:hAnsi="Palatino Linotype"/>
          <w:color w:val="000000" w:themeColor="text1"/>
          <w:sz w:val="24"/>
          <w:lang w:val="es-ES"/>
        </w:rPr>
        <w:t xml:space="preserve">toda la información disponible, </w:t>
      </w:r>
      <w:r w:rsidR="005B0EE8" w:rsidRPr="0058299E">
        <w:rPr>
          <w:rFonts w:ascii="Palatino Linotype" w:eastAsia="Palatino Linotype" w:hAnsi="Palatino Linotype" w:cs="Palatino Linotype"/>
          <w:color w:val="000000" w:themeColor="text1"/>
          <w:sz w:val="24"/>
        </w:rPr>
        <w:t xml:space="preserve">además de que deben estar </w:t>
      </w:r>
      <w:r w:rsidR="005B0EE8" w:rsidRPr="0058299E">
        <w:rPr>
          <w:rFonts w:ascii="Palatino Linotype" w:eastAsia="Palatino Linotype" w:hAnsi="Palatino Linotype" w:cs="Palatino Linotype"/>
          <w:b/>
          <w:color w:val="000000" w:themeColor="text1"/>
          <w:sz w:val="24"/>
        </w:rPr>
        <w:t>en datos abiertos</w:t>
      </w:r>
      <w:r w:rsidR="005B0EE8" w:rsidRPr="0058299E">
        <w:rPr>
          <w:rFonts w:ascii="Palatino Linotype" w:eastAsia="Palatino Linotype" w:hAnsi="Palatino Linotype" w:cs="Palatino Linotype"/>
          <w:color w:val="000000" w:themeColor="text1"/>
          <w:sz w:val="24"/>
        </w:rPr>
        <w:t xml:space="preserve">, situación que no ocurrió en el presente caso,  ya que emitió dos ligas electrónicas que no se encuentran en datos abiertos, razón por la cual, el Recurrente tendría que transcribirla, lo que implica que al momento de hacerlo pueda cometer algún error y no pueda acceder a la información, situación que puedo ocurrir en el presente caso, ya que el Recurrente manifestó en sus motivos de inconformidad la negativa de la información.  </w:t>
      </w:r>
    </w:p>
    <w:p w:rsidR="005B0EE8" w:rsidRPr="0058299E" w:rsidRDefault="005B0EE8" w:rsidP="0058299E">
      <w:pPr>
        <w:pStyle w:val="Prrafodelista"/>
        <w:ind w:left="0"/>
        <w:rPr>
          <w:rFonts w:ascii="Palatino Linotype" w:eastAsia="Palatino Linotype" w:hAnsi="Palatino Linotype" w:cs="Palatino Linotype"/>
          <w:color w:val="000000" w:themeColor="text1"/>
          <w:sz w:val="24"/>
        </w:rPr>
      </w:pPr>
    </w:p>
    <w:p w:rsidR="005B0EE8" w:rsidRPr="0058299E" w:rsidRDefault="005B0EE8" w:rsidP="0058299E">
      <w:pPr>
        <w:pStyle w:val="Prrafodelista"/>
        <w:numPr>
          <w:ilvl w:val="0"/>
          <w:numId w:val="1"/>
        </w:numPr>
        <w:tabs>
          <w:tab w:val="left" w:pos="851"/>
        </w:tabs>
        <w:spacing w:before="240" w:after="240" w:line="360" w:lineRule="auto"/>
        <w:ind w:left="0" w:firstLine="0"/>
        <w:jc w:val="both"/>
        <w:rPr>
          <w:rFonts w:ascii="Palatino Linotype" w:hAnsi="Palatino Linotype"/>
          <w:color w:val="000000" w:themeColor="text1"/>
          <w:sz w:val="24"/>
          <w:lang w:val="es-ES"/>
        </w:rPr>
      </w:pPr>
      <w:r w:rsidRPr="0058299E">
        <w:rPr>
          <w:rFonts w:ascii="Palatino Linotype" w:eastAsia="Palatino Linotype" w:hAnsi="Palatino Linotype" w:cs="Palatino Linotype"/>
          <w:color w:val="000000" w:themeColor="text1"/>
          <w:sz w:val="24"/>
        </w:rPr>
        <w:t>En ese sentido,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En este mismo sentido, nuestra Ley de Transparencia y Acceso a la Información Pública del Estado de México y Municipios, expresa en su artículo 3, de manera textual lo siguiente:</w:t>
      </w:r>
    </w:p>
    <w:p w:rsidR="005B0EE8" w:rsidRPr="0058299E" w:rsidRDefault="005B0EE8" w:rsidP="0058299E">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b/>
          <w:i/>
          <w:color w:val="000000" w:themeColor="text1"/>
        </w:rPr>
        <w:lastRenderedPageBreak/>
        <w:t>“VIII. Datos abiertos: Los datos digitales de carácter público que son accesibles en línea que pueden ser usados, reutilizados y redistribuidos por cualquier interesado y que tienen las siguientes características:</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a) Accesibles: Los datos están disponibles para la gama más amplia de usuarios, para cualquier propósito;</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b) Integrales: Contienen el tema que describen a detalle y con los metadatos necesarios;</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c) Gratuitos: Se obtienen sin entregar a cambio contraprestación alguna;</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d) No discriminatorios: Los datos están disponibles para cualquier persona, sin necesidad de registro;</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e) Oportunos: Son actualizados, periódicamente, conforme se generen;</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f) Permanentes: Se conservan en el tiempo, para lo cual, las versiones históricas relevantes para uso público se mantendrán disponibles con identificadores adecuados al efecto;</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g) Primarios: Provienen de la fuente de origen con el máximo nivel de desagregación posible;</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h) Legibles por máquinas: Deberán estar estructurados, total o parcialmente, para ser procesados e interpretados por equipos electrónicos de manera automática;</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b/>
          <w:i/>
          <w:color w:val="000000" w:themeColor="text1"/>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58299E">
        <w:rPr>
          <w:rFonts w:ascii="Palatino Linotype" w:eastAsia="Palatino Linotype" w:hAnsi="Palatino Linotype" w:cs="Palatino Linotype"/>
          <w:i/>
          <w:color w:val="000000" w:themeColor="text1"/>
        </w:rPr>
        <w:t>; y</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i/>
          <w:color w:val="000000" w:themeColor="text1"/>
        </w:rPr>
        <w:t>j) De libre uso: Citan la fuente de origen como único requerimiento para ser utilizados libremente.</w:t>
      </w:r>
    </w:p>
    <w:p w:rsidR="005B0EE8" w:rsidRPr="0058299E" w:rsidRDefault="005B0EE8" w:rsidP="0058299E">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i/>
          <w:color w:val="000000" w:themeColor="text1"/>
        </w:rPr>
      </w:pPr>
      <w:r w:rsidRPr="0058299E">
        <w:rPr>
          <w:rFonts w:ascii="Palatino Linotype" w:eastAsia="Palatino Linotype" w:hAnsi="Palatino Linotype" w:cs="Palatino Linotype"/>
          <w:i/>
          <w:color w:val="000000" w:themeColor="text1"/>
        </w:rPr>
        <w:t>(Énfasis añadido)</w:t>
      </w:r>
    </w:p>
    <w:p w:rsidR="005B0EE8" w:rsidRPr="0058299E" w:rsidRDefault="005B0EE8" w:rsidP="0058299E">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p>
    <w:p w:rsidR="005B0EE8" w:rsidRPr="0058299E" w:rsidRDefault="005B0EE8" w:rsidP="0058299E">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p>
    <w:p w:rsidR="005B0EE8" w:rsidRPr="0058299E" w:rsidRDefault="005B0EE8" w:rsidP="0058299E">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El dispositivo legal estatal aplicable a la materia, establece en su artículo 41 que el Instituto promoverá la publicación de la información en datos abiertos y accesibles, de tal manera que este Órgano Garante se encuentra en posibilidades de ordenar al </w:t>
      </w:r>
      <w:r w:rsidRPr="0058299E">
        <w:rPr>
          <w:rFonts w:ascii="Palatino Linotype" w:eastAsia="Palatino Linotype" w:hAnsi="Palatino Linotype" w:cs="Palatino Linotype"/>
          <w:b/>
          <w:color w:val="000000" w:themeColor="text1"/>
        </w:rPr>
        <w:t>Sujeto Obligado, en caso de tener la información en formatos abiertos </w:t>
      </w:r>
      <w:r w:rsidRPr="0058299E">
        <w:rPr>
          <w:rFonts w:ascii="Palatino Linotype" w:eastAsia="Palatino Linotype" w:hAnsi="Palatino Linotype" w:cs="Palatino Linotype"/>
          <w:color w:val="000000" w:themeColor="text1"/>
        </w:rPr>
        <w:t xml:space="preserve">entregar la misma en el formato solicitado. </w:t>
      </w:r>
    </w:p>
    <w:p w:rsidR="005B0EE8" w:rsidRPr="0058299E" w:rsidRDefault="005B0EE8" w:rsidP="0058299E">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p>
    <w:p w:rsidR="005B0EE8" w:rsidRPr="0058299E" w:rsidRDefault="005B0EE8" w:rsidP="0058299E">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lastRenderedPageBreak/>
        <w:t xml:space="preserve">Por lo tanto, con la información entrega por la Dirección General de Recursos Materiales, tanto en respuesta como en informe justificado, no se colma la solicitud de información del Recurrente, por ello, es procedente ordenar la entrega de la información.   </w:t>
      </w:r>
    </w:p>
    <w:p w:rsidR="005B0EE8" w:rsidRPr="0058299E" w:rsidRDefault="005B0EE8" w:rsidP="0058299E">
      <w:pPr>
        <w:spacing w:line="360" w:lineRule="auto"/>
        <w:jc w:val="both"/>
        <w:rPr>
          <w:rFonts w:ascii="Palatino Linotype" w:eastAsia="Palatino Linotype" w:hAnsi="Palatino Linotype" w:cs="Palatino Linotype"/>
          <w:color w:val="000000" w:themeColor="text1"/>
        </w:rPr>
      </w:pPr>
    </w:p>
    <w:p w:rsidR="005B0EE8" w:rsidRPr="0058299E" w:rsidRDefault="005B0EE8" w:rsidP="0058299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Por lo anteriormente señalado, se puede concluir que el Sujeto Obligado no entregó la información solicitada, por lo tanto,  en mérito de lo expuesto en líneas anteriores, resultan  fundadas las razones o motivos de inconformidad hechos valer por el </w:t>
      </w:r>
      <w:r w:rsidRPr="0058299E">
        <w:rPr>
          <w:rFonts w:ascii="Palatino Linotype" w:eastAsia="Palatino Linotype" w:hAnsi="Palatino Linotype" w:cs="Palatino Linotype"/>
          <w:b/>
          <w:color w:val="000000" w:themeColor="text1"/>
        </w:rPr>
        <w:t>RECURRENTE</w:t>
      </w:r>
      <w:r w:rsidRPr="0058299E">
        <w:rPr>
          <w:rFonts w:ascii="Palatino Linotype" w:eastAsia="Palatino Linotype" w:hAnsi="Palatino Linotype" w:cs="Palatino Linotype"/>
          <w:color w:val="000000" w:themeColor="text1"/>
        </w:rPr>
        <w:t xml:space="preserve"> dentro del recurso de revisión </w:t>
      </w:r>
      <w:r w:rsidRPr="0058299E">
        <w:rPr>
          <w:rFonts w:ascii="Palatino Linotype" w:eastAsia="Palatino Linotype" w:hAnsi="Palatino Linotype" w:cs="Palatino Linotype"/>
          <w:b/>
          <w:color w:val="000000" w:themeColor="text1"/>
        </w:rPr>
        <w:t>08758/INFOEM/IP/RR/2025</w:t>
      </w:r>
      <w:r w:rsidRPr="0058299E">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58299E">
        <w:rPr>
          <w:rFonts w:ascii="Palatino Linotype" w:eastAsia="Palatino Linotype" w:hAnsi="Palatino Linotype" w:cs="Palatino Linotype"/>
          <w:b/>
          <w:color w:val="000000" w:themeColor="text1"/>
        </w:rPr>
        <w:t>REVOCA</w:t>
      </w:r>
      <w:r w:rsidRPr="0058299E">
        <w:rPr>
          <w:rFonts w:ascii="Palatino Linotype" w:eastAsia="Palatino Linotype" w:hAnsi="Palatino Linotype" w:cs="Palatino Linotype"/>
          <w:color w:val="000000" w:themeColor="text1"/>
        </w:rPr>
        <w:t xml:space="preserve"> la respuesta del Sujeto Obligado.</w:t>
      </w:r>
    </w:p>
    <w:p w:rsidR="00E53A33" w:rsidRPr="0058299E" w:rsidRDefault="00E53A33" w:rsidP="0058299E">
      <w:pPr>
        <w:pStyle w:val="Prrafodelista"/>
        <w:spacing w:line="360" w:lineRule="auto"/>
        <w:ind w:left="0"/>
        <w:jc w:val="both"/>
        <w:rPr>
          <w:rFonts w:ascii="Palatino Linotype" w:eastAsia="Palatino Linotype" w:hAnsi="Palatino Linotype" w:cs="Palatino Linotype"/>
          <w:b/>
          <w:color w:val="000000" w:themeColor="text1"/>
          <w:sz w:val="24"/>
        </w:rPr>
      </w:pPr>
    </w:p>
    <w:p w:rsidR="00E53A33" w:rsidRPr="0058299E" w:rsidRDefault="00E53A33" w:rsidP="0058299E">
      <w:pPr>
        <w:keepNext/>
        <w:keepLines/>
        <w:rPr>
          <w:rFonts w:ascii="Palatino Linotype" w:eastAsia="Palatino Linotype" w:hAnsi="Palatino Linotype" w:cs="Palatino Linotype"/>
          <w:b/>
          <w:color w:val="000000" w:themeColor="text1"/>
        </w:rPr>
      </w:pPr>
      <w:r w:rsidRPr="0058299E">
        <w:rPr>
          <w:rFonts w:ascii="Palatino Linotype" w:eastAsia="Palatino Linotype" w:hAnsi="Palatino Linotype" w:cs="Palatino Linotype"/>
          <w:b/>
          <w:color w:val="000000" w:themeColor="text1"/>
        </w:rPr>
        <w:t>QUINTO. De la versión pública.</w:t>
      </w:r>
    </w:p>
    <w:p w:rsidR="00E53A33" w:rsidRPr="0058299E" w:rsidRDefault="00E53A33" w:rsidP="0058299E">
      <w:pPr>
        <w:pStyle w:val="Prrafodelista"/>
        <w:keepNext/>
        <w:keepLines/>
        <w:numPr>
          <w:ilvl w:val="0"/>
          <w:numId w:val="1"/>
        </w:numPr>
        <w:tabs>
          <w:tab w:val="left" w:pos="284"/>
        </w:tabs>
        <w:spacing w:line="360" w:lineRule="auto"/>
        <w:ind w:left="0" w:firstLine="0"/>
        <w:rPr>
          <w:rFonts w:ascii="Palatino Linotype" w:eastAsia="Palatino Linotype" w:hAnsi="Palatino Linotype" w:cs="Palatino Linotype"/>
          <w:b/>
          <w:color w:val="000000" w:themeColor="text1"/>
          <w:sz w:val="24"/>
        </w:rPr>
      </w:pPr>
      <w:bookmarkStart w:id="16" w:name="_heading=h.4d34og8" w:colFirst="0" w:colLast="0"/>
      <w:bookmarkEnd w:id="16"/>
      <w:r w:rsidRPr="0058299E">
        <w:rPr>
          <w:rFonts w:ascii="Palatino Linotype" w:eastAsia="Palatino Linotype" w:hAnsi="Palatino Linotype" w:cs="Palatino Linotype"/>
          <w:color w:val="000000" w:themeColor="text1"/>
          <w:sz w:val="24"/>
        </w:rPr>
        <w:t>Debe destacarse que, debido a la naturaleza de la información solicitada</w:t>
      </w:r>
      <w:r w:rsidRPr="0058299E">
        <w:rPr>
          <w:rFonts w:ascii="Palatino Linotype" w:eastAsia="Palatino Linotype" w:hAnsi="Palatino Linotype" w:cs="Palatino Linotype"/>
          <w:b/>
          <w:color w:val="000000" w:themeColor="text1"/>
          <w:sz w:val="24"/>
        </w:rPr>
        <w:t xml:space="preserve">, </w:t>
      </w:r>
      <w:r w:rsidRPr="0058299E">
        <w:rPr>
          <w:rFonts w:ascii="Palatino Linotype" w:eastAsia="Palatino Linotype" w:hAnsi="Palatino Linotype" w:cs="Palatino Linotype"/>
          <w:color w:val="000000" w:themeColor="text1"/>
          <w:sz w:val="24"/>
        </w:rPr>
        <w:t xml:space="preserve">eventualmente pudiera obrar datos personales susceptibles de protegerse, así como información susceptible de clasificarse como reservada, el </w:t>
      </w:r>
      <w:r w:rsidRPr="0058299E">
        <w:rPr>
          <w:rFonts w:ascii="Palatino Linotype" w:eastAsia="Palatino Linotype" w:hAnsi="Palatino Linotype" w:cs="Palatino Linotype"/>
          <w:b/>
          <w:color w:val="000000" w:themeColor="text1"/>
          <w:sz w:val="24"/>
        </w:rPr>
        <w:t xml:space="preserve">Sujeto Obligado </w:t>
      </w:r>
      <w:r w:rsidRPr="0058299E">
        <w:rPr>
          <w:rFonts w:ascii="Palatino Linotype" w:eastAsia="Palatino Linotype" w:hAnsi="Palatino Linotype" w:cs="Palatino Linotype"/>
          <w:color w:val="000000" w:themeColor="text1"/>
          <w:sz w:val="24"/>
        </w:rPr>
        <w:t>deberá de hacer la adecuada versión pública, protegiendo los datos que no son susceptibles de ser proporcionados.</w:t>
      </w: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bookmarkStart w:id="17" w:name="_heading=h.gjdgxs" w:colFirst="0" w:colLast="0"/>
      <w:bookmarkEnd w:id="17"/>
    </w:p>
    <w:tbl>
      <w:tblPr>
        <w:tblW w:w="975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7229"/>
      </w:tblGrid>
      <w:tr w:rsidR="0058299E" w:rsidRPr="0058299E" w:rsidTr="004775BD">
        <w:tc>
          <w:tcPr>
            <w:tcW w:w="2525" w:type="dxa"/>
          </w:tcPr>
          <w:p w:rsidR="00E53A33" w:rsidRPr="0058299E" w:rsidRDefault="00E53A33" w:rsidP="0058299E">
            <w:pPr>
              <w:tabs>
                <w:tab w:val="left" w:pos="284"/>
              </w:tabs>
              <w:spacing w:line="360" w:lineRule="auto"/>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a) Requisitos previos.</w:t>
            </w:r>
          </w:p>
        </w:tc>
        <w:tc>
          <w:tcPr>
            <w:tcW w:w="7229" w:type="dxa"/>
          </w:tcPr>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8299E">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58299E">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58299E" w:rsidRPr="0058299E" w:rsidTr="004775BD">
        <w:tc>
          <w:tcPr>
            <w:tcW w:w="2525" w:type="dxa"/>
          </w:tcPr>
          <w:p w:rsidR="00E53A33" w:rsidRPr="0058299E" w:rsidRDefault="00E53A33" w:rsidP="0058299E">
            <w:pPr>
              <w:tabs>
                <w:tab w:val="left" w:pos="284"/>
              </w:tabs>
              <w:spacing w:line="360" w:lineRule="auto"/>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lastRenderedPageBreak/>
              <w:t>b) Supuestos de clasificación.</w:t>
            </w:r>
          </w:p>
        </w:tc>
        <w:tc>
          <w:tcPr>
            <w:tcW w:w="7229" w:type="dxa"/>
          </w:tcPr>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El </w:t>
            </w:r>
            <w:r w:rsidRPr="0058299E">
              <w:rPr>
                <w:rFonts w:ascii="Palatino Linotype" w:eastAsia="Palatino Linotype" w:hAnsi="Palatino Linotype" w:cs="Palatino Linotype"/>
                <w:b/>
                <w:color w:val="000000" w:themeColor="text1"/>
              </w:rPr>
              <w:t>Sujeto Obligado</w:t>
            </w:r>
            <w:r w:rsidRPr="0058299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w:t>
            </w:r>
            <w:r w:rsidRPr="0058299E">
              <w:rPr>
                <w:rFonts w:ascii="Palatino Linotype" w:eastAsia="Palatino Linotype" w:hAnsi="Palatino Linotype" w:cs="Palatino Linotype"/>
                <w:color w:val="000000" w:themeColor="text1"/>
              </w:rPr>
              <w:lastRenderedPageBreak/>
              <w:t>que el supuesto de hecho corresponde estrictamente con la hipótesis jurídica. Esto también lo debe de realizar el servidor público habilitado y el titular del área que administra la información.</w:t>
            </w:r>
          </w:p>
        </w:tc>
      </w:tr>
      <w:tr w:rsidR="0058299E" w:rsidRPr="0058299E" w:rsidTr="004775BD">
        <w:tc>
          <w:tcPr>
            <w:tcW w:w="2525" w:type="dxa"/>
          </w:tcPr>
          <w:p w:rsidR="00E53A33" w:rsidRPr="0058299E" w:rsidRDefault="00E53A33" w:rsidP="0058299E">
            <w:pPr>
              <w:tabs>
                <w:tab w:val="left" w:pos="284"/>
              </w:tabs>
              <w:spacing w:line="360" w:lineRule="auto"/>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Es necesario que </w:t>
            </w:r>
            <w:r w:rsidRPr="0058299E">
              <w:rPr>
                <w:rFonts w:ascii="Palatino Linotype" w:eastAsia="Palatino Linotype" w:hAnsi="Palatino Linotype" w:cs="Palatino Linotype"/>
                <w:b/>
                <w:color w:val="000000" w:themeColor="text1"/>
                <w:u w:val="single"/>
              </w:rPr>
              <w:t>el acto reúna con los requisitos elementales</w:t>
            </w:r>
            <w:r w:rsidRPr="0058299E">
              <w:rPr>
                <w:rFonts w:ascii="Palatino Linotype" w:eastAsia="Palatino Linotype" w:hAnsi="Palatino Linotype" w:cs="Palatino Linotype"/>
                <w:color w:val="000000" w:themeColor="text1"/>
              </w:rPr>
              <w:t>, entre ellos, que la autoridad que va a emitir el acto de autoridad sea la legalmente facultada para ello.</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8299E" w:rsidRPr="0058299E" w:rsidTr="004775BD">
        <w:tc>
          <w:tcPr>
            <w:tcW w:w="2525" w:type="dxa"/>
          </w:tcPr>
          <w:p w:rsidR="00E53A33" w:rsidRPr="0058299E" w:rsidRDefault="00E53A33" w:rsidP="0058299E">
            <w:pPr>
              <w:tabs>
                <w:tab w:val="left" w:pos="284"/>
              </w:tabs>
              <w:spacing w:line="360" w:lineRule="auto"/>
              <w:rPr>
                <w:rFonts w:ascii="Palatino Linotype" w:eastAsia="Palatino Linotype" w:hAnsi="Palatino Linotype" w:cs="Palatino Linotype"/>
                <w:color w:val="000000" w:themeColor="text1"/>
              </w:rPr>
            </w:pP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w:t>
            </w:r>
            <w:r w:rsidRPr="0058299E">
              <w:rPr>
                <w:rFonts w:ascii="Palatino Linotype" w:eastAsia="Palatino Linotype" w:hAnsi="Palatino Linotype" w:cs="Palatino Linotype"/>
                <w:color w:val="000000" w:themeColor="text1"/>
              </w:rPr>
              <w:lastRenderedPageBreak/>
              <w:t xml:space="preserve">justificar las restricciones, corresponde a los </w:t>
            </w:r>
            <w:r w:rsidRPr="0058299E">
              <w:rPr>
                <w:rFonts w:ascii="Palatino Linotype" w:eastAsia="Palatino Linotype" w:hAnsi="Palatino Linotype" w:cs="Palatino Linotype"/>
                <w:b/>
                <w:color w:val="000000" w:themeColor="text1"/>
              </w:rPr>
              <w:t>Sujetos Obligados</w:t>
            </w:r>
            <w:r w:rsidRPr="0058299E">
              <w:rPr>
                <w:rFonts w:ascii="Palatino Linotype" w:eastAsia="Palatino Linotype" w:hAnsi="Palatino Linotype" w:cs="Palatino Linotype"/>
                <w:color w:val="000000" w:themeColor="text1"/>
              </w:rPr>
              <w:t xml:space="preserve">, por lo que deberán fundar y motivar debidamente la clasificación. </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De lo anterior, se desprende que para una correcta </w:t>
            </w:r>
            <w:r w:rsidRPr="0058299E">
              <w:rPr>
                <w:rFonts w:ascii="Palatino Linotype" w:eastAsia="Palatino Linotype" w:hAnsi="Palatino Linotype" w:cs="Palatino Linotype"/>
                <w:b/>
                <w:color w:val="000000" w:themeColor="text1"/>
              </w:rPr>
              <w:t>clasificación total o parcial</w:t>
            </w:r>
            <w:r w:rsidRPr="0058299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Ahora bien, </w:t>
            </w:r>
            <w:r w:rsidRPr="0058299E">
              <w:rPr>
                <w:rFonts w:ascii="Palatino Linotype" w:eastAsia="Palatino Linotype" w:hAnsi="Palatino Linotype" w:cs="Palatino Linotype"/>
                <w:b/>
                <w:color w:val="000000" w:themeColor="text1"/>
                <w:u w:val="single"/>
              </w:rPr>
              <w:t>para cada caso además de fundar y motivar</w:t>
            </w:r>
            <w:r w:rsidRPr="0058299E">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w:t>
            </w:r>
            <w:r w:rsidRPr="0058299E">
              <w:rPr>
                <w:rFonts w:ascii="Palatino Linotype" w:eastAsia="Palatino Linotype" w:hAnsi="Palatino Linotype" w:cs="Palatino Linotype"/>
                <w:color w:val="000000" w:themeColor="text1"/>
              </w:rPr>
              <w:lastRenderedPageBreak/>
              <w:t>(R.F.C.), claves de seguros, préstamos o descuentos personales, secretos bancario, fiduciario, industrial, comercial, fiscal, bursátil y postal, cuya titularidad corresponda a particulares, entre otros.</w:t>
            </w:r>
          </w:p>
        </w:tc>
      </w:tr>
      <w:tr w:rsidR="0058299E" w:rsidRPr="0058299E" w:rsidTr="004775BD">
        <w:tc>
          <w:tcPr>
            <w:tcW w:w="2525" w:type="dxa"/>
          </w:tcPr>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53A33" w:rsidRPr="0058299E" w:rsidRDefault="00E53A33" w:rsidP="0058299E">
            <w:pPr>
              <w:tabs>
                <w:tab w:val="left" w:pos="284"/>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53A33" w:rsidRPr="0058299E" w:rsidRDefault="00E53A33" w:rsidP="0058299E">
            <w:pPr>
              <w:tabs>
                <w:tab w:val="left" w:pos="284"/>
              </w:tabs>
              <w:spacing w:line="360" w:lineRule="auto"/>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bookmarkEnd w:id="7"/>
      <w:bookmarkEnd w:id="8"/>
      <w:bookmarkEnd w:id="9"/>
    </w:tbl>
    <w:p w:rsidR="00E53A33" w:rsidRPr="0058299E" w:rsidRDefault="00E53A33" w:rsidP="0058299E">
      <w:pPr>
        <w:pStyle w:val="Prrafodelista"/>
        <w:spacing w:line="360" w:lineRule="auto"/>
        <w:ind w:left="0"/>
        <w:jc w:val="both"/>
        <w:rPr>
          <w:rFonts w:ascii="Palatino Linotype" w:eastAsia="Arial Unicode MS" w:hAnsi="Palatino Linotype" w:cs="Arial"/>
          <w:color w:val="000000" w:themeColor="text1"/>
          <w:sz w:val="24"/>
          <w:lang w:eastAsia="en-US"/>
        </w:rPr>
      </w:pPr>
    </w:p>
    <w:p w:rsidR="00E53A33" w:rsidRPr="0058299E" w:rsidRDefault="00E53A33" w:rsidP="00283564">
      <w:pPr>
        <w:pStyle w:val="Prrafodelista"/>
        <w:numPr>
          <w:ilvl w:val="0"/>
          <w:numId w:val="1"/>
        </w:numPr>
        <w:spacing w:line="360" w:lineRule="auto"/>
        <w:ind w:left="0" w:firstLine="0"/>
        <w:jc w:val="both"/>
        <w:rPr>
          <w:rFonts w:ascii="Palatino Linotype" w:eastAsia="Calibri" w:hAnsi="Palatino Linotype"/>
          <w:color w:val="000000" w:themeColor="text1"/>
          <w:sz w:val="24"/>
        </w:rPr>
      </w:pPr>
      <w:r w:rsidRPr="0058299E">
        <w:rPr>
          <w:rFonts w:ascii="Palatino Linotype" w:eastAsia="Calibri" w:hAnsi="Palatino Linotype"/>
          <w:color w:val="000000" w:themeColor="text1"/>
          <w:sz w:val="24"/>
        </w:rPr>
        <w:t xml:space="preserve">Por lo anteriormente expuesto y fundado, este </w:t>
      </w:r>
      <w:r w:rsidRPr="0058299E">
        <w:rPr>
          <w:rFonts w:ascii="Palatino Linotype" w:eastAsia="Calibri" w:hAnsi="Palatino Linotype"/>
          <w:b/>
          <w:bCs/>
          <w:color w:val="000000" w:themeColor="text1"/>
          <w:sz w:val="24"/>
        </w:rPr>
        <w:t>ÓRGANO GARANTE</w:t>
      </w:r>
      <w:r w:rsidRPr="0058299E">
        <w:rPr>
          <w:rFonts w:ascii="Palatino Linotype" w:eastAsia="Calibri" w:hAnsi="Palatino Linotype"/>
          <w:color w:val="000000" w:themeColor="text1"/>
          <w:sz w:val="24"/>
        </w:rPr>
        <w:t xml:space="preserve"> emite los siguientes:</w:t>
      </w:r>
    </w:p>
    <w:p w:rsidR="00E53A33" w:rsidRPr="0058299E" w:rsidRDefault="00E53A33" w:rsidP="0058299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83301643"/>
      <w:r w:rsidRPr="0058299E">
        <w:rPr>
          <w:rFonts w:ascii="Palatino Linotype" w:eastAsiaTheme="majorEastAsia" w:hAnsi="Palatino Linotype" w:cstheme="majorBidi"/>
          <w:b/>
          <w:color w:val="000000" w:themeColor="text1"/>
          <w:lang w:eastAsia="en-US"/>
        </w:rPr>
        <w:t>R E S O L U T I V O S</w:t>
      </w:r>
      <w:bookmarkEnd w:id="18"/>
      <w:bookmarkEnd w:id="19"/>
      <w:bookmarkEnd w:id="20"/>
    </w:p>
    <w:p w:rsidR="00E53A33" w:rsidRPr="0058299E" w:rsidRDefault="00E53A33" w:rsidP="0058299E">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b/>
          <w:color w:val="000000" w:themeColor="text1"/>
        </w:rPr>
        <w:t xml:space="preserve">PRIMERO. </w:t>
      </w:r>
      <w:r w:rsidRPr="0058299E">
        <w:rPr>
          <w:rFonts w:ascii="Palatino Linotype" w:eastAsia="Palatino Linotype" w:hAnsi="Palatino Linotype" w:cs="Palatino Linotype"/>
          <w:color w:val="000000" w:themeColor="text1"/>
        </w:rPr>
        <w:t>Resultan fundadas las</w:t>
      </w:r>
      <w:r w:rsidRPr="0058299E">
        <w:rPr>
          <w:rFonts w:ascii="Palatino Linotype" w:eastAsia="Palatino Linotype" w:hAnsi="Palatino Linotype" w:cs="Palatino Linotype"/>
          <w:b/>
          <w:color w:val="000000" w:themeColor="text1"/>
        </w:rPr>
        <w:t xml:space="preserve"> </w:t>
      </w:r>
      <w:r w:rsidRPr="0058299E">
        <w:rPr>
          <w:rFonts w:ascii="Palatino Linotype" w:eastAsia="Palatino Linotype" w:hAnsi="Palatino Linotype" w:cs="Palatino Linotype"/>
          <w:color w:val="000000" w:themeColor="text1"/>
        </w:rPr>
        <w:t xml:space="preserve">razones o motivos de inconformidad hechos valer en el recurso de revisión </w:t>
      </w:r>
      <w:r w:rsidR="005B0EE8" w:rsidRPr="0058299E">
        <w:rPr>
          <w:rFonts w:ascii="Palatino Linotype" w:eastAsia="Palatino Linotype" w:hAnsi="Palatino Linotype" w:cs="Palatino Linotype"/>
          <w:b/>
          <w:color w:val="000000" w:themeColor="text1"/>
        </w:rPr>
        <w:t xml:space="preserve"> 08758</w:t>
      </w:r>
      <w:r w:rsidRPr="0058299E">
        <w:rPr>
          <w:rFonts w:ascii="Palatino Linotype" w:eastAsia="Palatino Linotype" w:hAnsi="Palatino Linotype" w:cs="Palatino Linotype"/>
          <w:b/>
          <w:color w:val="000000" w:themeColor="text1"/>
        </w:rPr>
        <w:t xml:space="preserve">/INFOEM/IP/RR/2025 </w:t>
      </w:r>
      <w:r w:rsidRPr="0058299E">
        <w:rPr>
          <w:rFonts w:ascii="Palatino Linotype" w:eastAsia="Palatino Linotype" w:hAnsi="Palatino Linotype" w:cs="Palatino Linotype"/>
          <w:color w:val="000000" w:themeColor="text1"/>
        </w:rPr>
        <w:t>en términos del</w:t>
      </w:r>
      <w:r w:rsidRPr="0058299E">
        <w:rPr>
          <w:rFonts w:ascii="Palatino Linotype" w:eastAsia="Palatino Linotype" w:hAnsi="Palatino Linotype" w:cs="Palatino Linotype"/>
          <w:b/>
          <w:color w:val="000000" w:themeColor="text1"/>
        </w:rPr>
        <w:t xml:space="preserve"> Considerando</w:t>
      </w:r>
      <w:r w:rsidRPr="0058299E">
        <w:rPr>
          <w:rFonts w:ascii="Palatino Linotype" w:eastAsia="Palatino Linotype" w:hAnsi="Palatino Linotype" w:cs="Palatino Linotype"/>
          <w:color w:val="000000" w:themeColor="text1"/>
        </w:rPr>
        <w:t xml:space="preserve"> </w:t>
      </w:r>
      <w:r w:rsidRPr="0058299E">
        <w:rPr>
          <w:rFonts w:ascii="Palatino Linotype" w:eastAsia="Palatino Linotype" w:hAnsi="Palatino Linotype" w:cs="Palatino Linotype"/>
          <w:b/>
          <w:color w:val="000000" w:themeColor="text1"/>
        </w:rPr>
        <w:t xml:space="preserve">CUARTO y QUINTO </w:t>
      </w:r>
      <w:r w:rsidRPr="0058299E">
        <w:rPr>
          <w:rFonts w:ascii="Palatino Linotype" w:eastAsia="Palatino Linotype" w:hAnsi="Palatino Linotype" w:cs="Palatino Linotype"/>
          <w:color w:val="000000" w:themeColor="text1"/>
        </w:rPr>
        <w:t>de la presente Resolución.</w:t>
      </w: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bookmarkStart w:id="21" w:name="_heading=h.17dp8vu" w:colFirst="0" w:colLast="0"/>
      <w:bookmarkEnd w:id="21"/>
      <w:r w:rsidRPr="0058299E">
        <w:rPr>
          <w:rFonts w:ascii="Palatino Linotype" w:eastAsia="Palatino Linotype" w:hAnsi="Palatino Linotype" w:cs="Palatino Linotype"/>
          <w:b/>
          <w:color w:val="000000" w:themeColor="text1"/>
        </w:rPr>
        <w:lastRenderedPageBreak/>
        <w:t xml:space="preserve">SEGUNDO. </w:t>
      </w:r>
      <w:r w:rsidRPr="0058299E">
        <w:rPr>
          <w:rFonts w:ascii="Palatino Linotype" w:eastAsia="Palatino Linotype" w:hAnsi="Palatino Linotype" w:cs="Palatino Linotype"/>
          <w:color w:val="000000" w:themeColor="text1"/>
        </w:rPr>
        <w:t xml:space="preserve">Se </w:t>
      </w:r>
      <w:r w:rsidRPr="0058299E">
        <w:rPr>
          <w:rFonts w:ascii="Palatino Linotype" w:eastAsia="Palatino Linotype" w:hAnsi="Palatino Linotype" w:cs="Palatino Linotype"/>
          <w:b/>
          <w:color w:val="000000" w:themeColor="text1"/>
        </w:rPr>
        <w:t>REVOCA</w:t>
      </w:r>
      <w:r w:rsidRPr="0058299E">
        <w:rPr>
          <w:rFonts w:ascii="Palatino Linotype" w:eastAsia="Palatino Linotype" w:hAnsi="Palatino Linotype" w:cs="Palatino Linotype"/>
          <w:color w:val="000000" w:themeColor="text1"/>
        </w:rPr>
        <w:t xml:space="preserve"> la respuesta emiti</w:t>
      </w:r>
      <w:r w:rsidR="005B0EE8" w:rsidRPr="0058299E">
        <w:rPr>
          <w:rFonts w:ascii="Palatino Linotype" w:eastAsia="Palatino Linotype" w:hAnsi="Palatino Linotype" w:cs="Palatino Linotype"/>
          <w:color w:val="000000" w:themeColor="text1"/>
        </w:rPr>
        <w:t>da por</w:t>
      </w:r>
      <w:r w:rsidRPr="0058299E">
        <w:rPr>
          <w:rFonts w:ascii="Palatino Linotype" w:eastAsia="Palatino Linotype" w:hAnsi="Palatino Linotype" w:cs="Palatino Linotype"/>
          <w:color w:val="000000" w:themeColor="text1"/>
        </w:rPr>
        <w:t xml:space="preserve"> </w:t>
      </w:r>
      <w:r w:rsidR="005B0EE8" w:rsidRPr="0058299E">
        <w:rPr>
          <w:rFonts w:ascii="Palatino Linotype" w:eastAsia="Palatino Linotype" w:hAnsi="Palatino Linotype" w:cs="Palatino Linotype"/>
          <w:b/>
          <w:color w:val="000000" w:themeColor="text1"/>
        </w:rPr>
        <w:t>Oficialía Mayor</w:t>
      </w:r>
      <w:r w:rsidRPr="0058299E">
        <w:rPr>
          <w:rFonts w:ascii="Palatino Linotype" w:eastAsia="Palatino Linotype" w:hAnsi="Palatino Linotype" w:cs="Palatino Linotype"/>
          <w:color w:val="000000" w:themeColor="text1"/>
        </w:rPr>
        <w:t xml:space="preserve"> y se </w:t>
      </w:r>
      <w:r w:rsidRPr="0058299E">
        <w:rPr>
          <w:rFonts w:ascii="Palatino Linotype" w:eastAsia="Palatino Linotype" w:hAnsi="Palatino Linotype" w:cs="Palatino Linotype"/>
          <w:b/>
          <w:color w:val="000000" w:themeColor="text1"/>
        </w:rPr>
        <w:t>ORDENA</w:t>
      </w:r>
      <w:r w:rsidRPr="0058299E">
        <w:rPr>
          <w:rFonts w:ascii="Palatino Linotype" w:eastAsia="Palatino Linotype" w:hAnsi="Palatino Linotype" w:cs="Palatino Linotype"/>
          <w:color w:val="000000" w:themeColor="text1"/>
        </w:rPr>
        <w:t xml:space="preserve"> entregar vía Sistema de Acceso a la Información Mexiquense (SAIMEX), de ser procedente en versión pública, </w:t>
      </w:r>
      <w:r w:rsidR="005B0EE8" w:rsidRPr="0058299E">
        <w:rPr>
          <w:rFonts w:ascii="Palatino Linotype" w:eastAsia="Palatino Linotype" w:hAnsi="Palatino Linotype" w:cs="Palatino Linotype"/>
          <w:color w:val="000000" w:themeColor="text1"/>
        </w:rPr>
        <w:t>la siguiente información</w:t>
      </w:r>
      <w:r w:rsidRPr="0058299E">
        <w:rPr>
          <w:rFonts w:ascii="Palatino Linotype" w:eastAsia="Palatino Linotype" w:hAnsi="Palatino Linotype" w:cs="Palatino Linotype"/>
          <w:color w:val="000000" w:themeColor="text1"/>
        </w:rPr>
        <w:t>:</w:t>
      </w: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p>
    <w:p w:rsidR="00E53A33" w:rsidRPr="0058299E" w:rsidRDefault="005B0EE8" w:rsidP="0058299E">
      <w:pPr>
        <w:pStyle w:val="Prrafodelista"/>
        <w:numPr>
          <w:ilvl w:val="1"/>
          <w:numId w:val="4"/>
        </w:numPr>
        <w:spacing w:line="360" w:lineRule="auto"/>
        <w:ind w:left="0" w:firstLine="0"/>
        <w:jc w:val="both"/>
        <w:rPr>
          <w:rFonts w:ascii="Palatino Linotype" w:eastAsia="Palatino Linotype" w:hAnsi="Palatino Linotype" w:cs="Palatino Linotype"/>
          <w:b/>
          <w:color w:val="000000" w:themeColor="text1"/>
          <w:sz w:val="24"/>
        </w:rPr>
      </w:pPr>
      <w:r w:rsidRPr="0058299E">
        <w:rPr>
          <w:rFonts w:ascii="Palatino Linotype" w:eastAsia="Palatino Linotype" w:hAnsi="Palatino Linotype" w:cs="Palatino Linotype"/>
          <w:b/>
          <w:color w:val="000000" w:themeColor="text1"/>
          <w:sz w:val="24"/>
        </w:rPr>
        <w:t xml:space="preserve">Contratos para la adquisición de bienes y servicios por un monto mayor a diez millones de pesos, correspondientes al ejercicio fiscal 2024. </w:t>
      </w: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p>
    <w:p w:rsidR="00E53A33" w:rsidRPr="0058299E" w:rsidRDefault="00E53A33" w:rsidP="0058299E">
      <w:pPr>
        <w:tabs>
          <w:tab w:val="left" w:pos="0"/>
        </w:tabs>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8299E">
        <w:rPr>
          <w:rFonts w:ascii="Palatino Linotype" w:eastAsia="Palatino Linotype" w:hAnsi="Palatino Linotype" w:cs="Palatino Linotype"/>
          <w:b/>
          <w:color w:val="000000" w:themeColor="text1"/>
        </w:rPr>
        <w:t>LA RECURRENTE</w:t>
      </w:r>
      <w:r w:rsidRPr="0058299E">
        <w:rPr>
          <w:rFonts w:ascii="Palatino Linotype" w:eastAsia="Palatino Linotype" w:hAnsi="Palatino Linotype" w:cs="Palatino Linotype"/>
          <w:color w:val="000000" w:themeColor="text1"/>
        </w:rPr>
        <w:t>.</w:t>
      </w: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color w:val="000000" w:themeColor="text1"/>
        </w:rPr>
        <w:t xml:space="preserve"> </w:t>
      </w:r>
    </w:p>
    <w:p w:rsidR="00E53A33" w:rsidRPr="0058299E" w:rsidRDefault="00E53A33" w:rsidP="0058299E">
      <w:pPr>
        <w:tabs>
          <w:tab w:val="left" w:pos="8080"/>
        </w:tabs>
        <w:spacing w:line="360" w:lineRule="auto"/>
        <w:jc w:val="both"/>
        <w:rPr>
          <w:rFonts w:ascii="Palatino Linotype" w:eastAsia="Palatino Linotype" w:hAnsi="Palatino Linotype" w:cs="Palatino Linotype"/>
          <w:b/>
          <w:color w:val="000000" w:themeColor="text1"/>
        </w:rPr>
      </w:pPr>
      <w:r w:rsidRPr="0058299E">
        <w:rPr>
          <w:rFonts w:ascii="Palatino Linotype" w:eastAsia="Palatino Linotype" w:hAnsi="Palatino Linotype" w:cs="Palatino Linotype"/>
          <w:b/>
          <w:color w:val="000000" w:themeColor="text1"/>
        </w:rPr>
        <w:t>TERCERO.</w:t>
      </w:r>
      <w:r w:rsidRPr="0058299E">
        <w:rPr>
          <w:rFonts w:ascii="Palatino Linotype" w:eastAsia="Palatino Linotype" w:hAnsi="Palatino Linotype" w:cs="Palatino Linotype"/>
          <w:color w:val="000000" w:themeColor="text1"/>
        </w:rPr>
        <w:t xml:space="preserve"> </w:t>
      </w:r>
      <w:r w:rsidRPr="0058299E">
        <w:rPr>
          <w:rFonts w:ascii="Palatino Linotype" w:eastAsia="Palatino Linotype" w:hAnsi="Palatino Linotype" w:cs="Palatino Linotype"/>
          <w:b/>
          <w:color w:val="000000" w:themeColor="text1"/>
        </w:rPr>
        <w:t xml:space="preserve">Notifíquese </w:t>
      </w:r>
      <w:r w:rsidRPr="0058299E">
        <w:rPr>
          <w:rFonts w:ascii="Palatino Linotype" w:eastAsia="Palatino Linotype" w:hAnsi="Palatino Linotype" w:cs="Palatino Linotype"/>
          <w:color w:val="000000" w:themeColor="text1"/>
        </w:rPr>
        <w:t xml:space="preserve">la presente resolución al Titular de la Unidad de Transparencia del Sujeto Obligado vía </w:t>
      </w:r>
      <w:r w:rsidRPr="0058299E">
        <w:rPr>
          <w:rFonts w:ascii="Palatino Linotype" w:eastAsia="Palatino Linotype" w:hAnsi="Palatino Linotype" w:cs="Palatino Linotype"/>
          <w:b/>
          <w:color w:val="000000" w:themeColor="text1"/>
        </w:rPr>
        <w:t>SAIMEX</w:t>
      </w:r>
      <w:r w:rsidRPr="0058299E">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58299E">
        <w:rPr>
          <w:rFonts w:ascii="Palatino Linotype" w:eastAsia="Palatino Linotype" w:hAnsi="Palatino Linotype" w:cs="Palatino Linotype"/>
          <w:b/>
          <w:color w:val="000000" w:themeColor="text1"/>
        </w:rPr>
        <w:t>dé cumplimiento a lo ordenado dentro del plazo de diez días hábiles,</w:t>
      </w:r>
      <w:r w:rsidRPr="0058299E">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53A33" w:rsidRPr="0058299E" w:rsidRDefault="00E53A33" w:rsidP="0058299E">
      <w:pPr>
        <w:tabs>
          <w:tab w:val="left" w:pos="8080"/>
        </w:tabs>
        <w:spacing w:line="360" w:lineRule="auto"/>
        <w:jc w:val="both"/>
        <w:rPr>
          <w:rFonts w:ascii="Palatino Linotype" w:eastAsia="Palatino Linotype" w:hAnsi="Palatino Linotype" w:cs="Palatino Linotype"/>
          <w:b/>
          <w:color w:val="000000" w:themeColor="text1"/>
        </w:rPr>
      </w:pPr>
      <w:bookmarkStart w:id="22" w:name="_GoBack"/>
      <w:bookmarkEnd w:id="22"/>
    </w:p>
    <w:p w:rsidR="00E53A33" w:rsidRPr="0058299E" w:rsidRDefault="00E53A33" w:rsidP="0058299E">
      <w:pPr>
        <w:shd w:val="clear" w:color="auto" w:fill="FFFFFF"/>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b/>
          <w:color w:val="000000" w:themeColor="text1"/>
        </w:rPr>
        <w:lastRenderedPageBreak/>
        <w:t>CUARTO. Notifíquese al RECURRENTE</w:t>
      </w:r>
      <w:r w:rsidRPr="0058299E">
        <w:rPr>
          <w:rFonts w:ascii="Palatino Linotype" w:eastAsia="Palatino Linotype" w:hAnsi="Palatino Linotype" w:cs="Palatino Linotype"/>
          <w:color w:val="000000" w:themeColor="text1"/>
        </w:rPr>
        <w:t xml:space="preserve"> la presente resolución, vía Sistema de Acceso a la Información Mexiquense (SAIMEX).</w:t>
      </w:r>
    </w:p>
    <w:p w:rsidR="00E53A33" w:rsidRPr="0058299E" w:rsidRDefault="00E53A33" w:rsidP="0058299E">
      <w:pPr>
        <w:shd w:val="clear" w:color="auto" w:fill="FFFFFF"/>
        <w:spacing w:line="360" w:lineRule="auto"/>
        <w:jc w:val="both"/>
        <w:rPr>
          <w:rFonts w:ascii="Palatino Linotype" w:eastAsia="Palatino Linotype" w:hAnsi="Palatino Linotype" w:cs="Palatino Linotype"/>
          <w:color w:val="000000" w:themeColor="text1"/>
        </w:rPr>
      </w:pP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b/>
          <w:color w:val="000000" w:themeColor="text1"/>
        </w:rPr>
        <w:t>QUINTO.</w:t>
      </w:r>
      <w:r w:rsidRPr="0058299E">
        <w:rPr>
          <w:rFonts w:ascii="Palatino Linotype" w:eastAsia="Palatino Linotype" w:hAnsi="Palatino Linotype" w:cs="Palatino Linotype"/>
          <w:color w:val="000000" w:themeColor="text1"/>
        </w:rPr>
        <w:t xml:space="preserve"> Se hace del conocimiento del</w:t>
      </w:r>
      <w:r w:rsidRPr="0058299E">
        <w:rPr>
          <w:rFonts w:ascii="Palatino Linotype" w:eastAsia="Palatino Linotype" w:hAnsi="Palatino Linotype" w:cs="Palatino Linotype"/>
          <w:b/>
          <w:color w:val="000000" w:themeColor="text1"/>
        </w:rPr>
        <w:t xml:space="preserve"> Recurrente </w:t>
      </w:r>
      <w:r w:rsidRPr="0058299E">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a través del juicio de amparo en los términos de las leyes aplicables.</w:t>
      </w: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p>
    <w:p w:rsidR="00E53A33" w:rsidRPr="0058299E" w:rsidRDefault="00E53A33" w:rsidP="0058299E">
      <w:pPr>
        <w:spacing w:line="360" w:lineRule="auto"/>
        <w:jc w:val="both"/>
        <w:rPr>
          <w:rFonts w:ascii="Palatino Linotype" w:eastAsia="Palatino Linotype" w:hAnsi="Palatino Linotype" w:cs="Palatino Linotype"/>
          <w:color w:val="000000" w:themeColor="text1"/>
        </w:rPr>
      </w:pPr>
      <w:r w:rsidRPr="0058299E">
        <w:rPr>
          <w:rFonts w:ascii="Palatino Linotype" w:eastAsia="Palatino Linotype" w:hAnsi="Palatino Linotype" w:cs="Palatino Linotype"/>
          <w:b/>
          <w:color w:val="000000" w:themeColor="text1"/>
        </w:rPr>
        <w:t>SEXTO.-</w:t>
      </w:r>
      <w:r w:rsidRPr="0058299E">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53A33" w:rsidRDefault="00E53A33" w:rsidP="0058299E">
      <w:pPr>
        <w:spacing w:line="360" w:lineRule="auto"/>
        <w:jc w:val="both"/>
        <w:rPr>
          <w:rFonts w:ascii="Palatino Linotype" w:eastAsia="Palatino Linotype" w:hAnsi="Palatino Linotype" w:cs="Palatino Linotype"/>
          <w:color w:val="000000" w:themeColor="text1"/>
        </w:rPr>
      </w:pPr>
    </w:p>
    <w:p w:rsidR="00E53A33" w:rsidRPr="0058299E" w:rsidRDefault="008C202E" w:rsidP="008C202E">
      <w:pPr>
        <w:spacing w:line="360" w:lineRule="auto"/>
        <w:jc w:val="both"/>
        <w:rPr>
          <w:rFonts w:ascii="Palatino Linotype" w:hAnsi="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254580" w:rsidRPr="00575AE2">
        <w:rPr>
          <w:rFonts w:ascii="Palatino Linotype" w:eastAsia="Palatino Linotype" w:hAnsi="Palatino Linotype" w:cs="Palatino Linotype"/>
        </w:rPr>
        <w:t xml:space="preserve">EN LA </w:t>
      </w:r>
      <w:r w:rsidR="00254580">
        <w:rPr>
          <w:rFonts w:ascii="Palatino Linotype" w:eastAsia="Palatino Linotype" w:hAnsi="Palatino Linotype" w:cs="Palatino Linotype"/>
        </w:rPr>
        <w:t xml:space="preserve">CUADRAGÉSIMA </w:t>
      </w:r>
      <w:r w:rsidR="00254580" w:rsidRPr="00575AE2">
        <w:rPr>
          <w:rFonts w:ascii="Palatino Linotype" w:eastAsia="Palatino Linotype" w:hAnsi="Palatino Linotype" w:cs="Palatino Linotype"/>
        </w:rPr>
        <w:t>SESIÓN ORDINARIA, CELEBRADA EL</w:t>
      </w:r>
      <w:r w:rsidR="00254580">
        <w:rPr>
          <w:rFonts w:ascii="Palatino Linotype" w:eastAsia="Palatino Linotype" w:hAnsi="Palatino Linotype" w:cs="Palatino Linotype"/>
        </w:rPr>
        <w:t xml:space="preserve"> DOCE (12</w:t>
      </w:r>
      <w:r w:rsidR="00254580" w:rsidRPr="00575AE2">
        <w:rPr>
          <w:rFonts w:ascii="Palatino Linotype" w:eastAsia="Palatino Linotype" w:hAnsi="Palatino Linotype" w:cs="Palatino Linotype"/>
        </w:rPr>
        <w:t xml:space="preserve">) DE </w:t>
      </w:r>
      <w:r w:rsidR="00254580">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Pr="0058299E"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E53A33" w:rsidRDefault="00E53A33" w:rsidP="0058299E">
      <w:pPr>
        <w:spacing w:line="360" w:lineRule="auto"/>
        <w:jc w:val="both"/>
        <w:rPr>
          <w:rFonts w:ascii="Palatino Linotype" w:eastAsiaTheme="minorEastAsia" w:hAnsi="Palatino Linotype" w:cs="Arial"/>
          <w:color w:val="000000" w:themeColor="text1"/>
          <w:lang w:val="es-ES_tradnl" w:eastAsia="es-ES"/>
        </w:rPr>
      </w:pPr>
    </w:p>
    <w:p w:rsidR="008C202E" w:rsidRDefault="008C202E" w:rsidP="0058299E">
      <w:pPr>
        <w:spacing w:line="360" w:lineRule="auto"/>
        <w:jc w:val="both"/>
        <w:rPr>
          <w:rFonts w:ascii="Palatino Linotype" w:eastAsiaTheme="minorEastAsia" w:hAnsi="Palatino Linotype" w:cs="Arial"/>
          <w:color w:val="000000" w:themeColor="text1"/>
          <w:lang w:val="es-ES_tradnl" w:eastAsia="es-ES"/>
        </w:rPr>
      </w:pPr>
    </w:p>
    <w:p w:rsidR="008C202E" w:rsidRDefault="008C202E" w:rsidP="0058299E">
      <w:pPr>
        <w:spacing w:line="360" w:lineRule="auto"/>
        <w:jc w:val="both"/>
        <w:rPr>
          <w:rFonts w:ascii="Palatino Linotype" w:eastAsiaTheme="minorEastAsia" w:hAnsi="Palatino Linotype" w:cs="Arial"/>
          <w:color w:val="000000" w:themeColor="text1"/>
          <w:lang w:val="es-ES_tradnl" w:eastAsia="es-ES"/>
        </w:rPr>
      </w:pPr>
    </w:p>
    <w:p w:rsidR="008C202E" w:rsidRDefault="008C202E" w:rsidP="0058299E">
      <w:pPr>
        <w:spacing w:line="360" w:lineRule="auto"/>
        <w:jc w:val="both"/>
        <w:rPr>
          <w:rFonts w:ascii="Palatino Linotype" w:eastAsiaTheme="minorEastAsia" w:hAnsi="Palatino Linotype" w:cs="Arial"/>
          <w:color w:val="000000" w:themeColor="text1"/>
          <w:lang w:val="es-ES_tradnl" w:eastAsia="es-ES"/>
        </w:rPr>
      </w:pPr>
    </w:p>
    <w:p w:rsidR="008C202E" w:rsidRDefault="008C202E" w:rsidP="0058299E">
      <w:pPr>
        <w:spacing w:line="360" w:lineRule="auto"/>
        <w:jc w:val="both"/>
        <w:rPr>
          <w:rFonts w:ascii="Palatino Linotype" w:eastAsiaTheme="minorEastAsia" w:hAnsi="Palatino Linotype" w:cs="Arial"/>
          <w:color w:val="000000" w:themeColor="text1"/>
          <w:lang w:val="es-ES_tradnl" w:eastAsia="es-ES"/>
        </w:rPr>
      </w:pPr>
    </w:p>
    <w:p w:rsidR="008C202E" w:rsidRDefault="008C202E" w:rsidP="0058299E">
      <w:pPr>
        <w:spacing w:line="360" w:lineRule="auto"/>
        <w:jc w:val="both"/>
        <w:rPr>
          <w:rFonts w:ascii="Palatino Linotype" w:eastAsiaTheme="minorEastAsia" w:hAnsi="Palatino Linotype" w:cs="Arial"/>
          <w:color w:val="000000" w:themeColor="text1"/>
          <w:lang w:val="es-ES_tradnl" w:eastAsia="es-ES"/>
        </w:rPr>
      </w:pPr>
    </w:p>
    <w:p w:rsidR="008C202E" w:rsidRDefault="008C202E" w:rsidP="0058299E">
      <w:pPr>
        <w:spacing w:line="360" w:lineRule="auto"/>
        <w:jc w:val="both"/>
        <w:rPr>
          <w:rFonts w:ascii="Palatino Linotype" w:eastAsiaTheme="minorEastAsia" w:hAnsi="Palatino Linotype" w:cs="Arial"/>
          <w:color w:val="000000" w:themeColor="text1"/>
          <w:lang w:val="es-ES_tradnl" w:eastAsia="es-ES"/>
        </w:rPr>
      </w:pPr>
    </w:p>
    <w:p w:rsidR="008C202E" w:rsidRDefault="008C202E" w:rsidP="0058299E">
      <w:pPr>
        <w:spacing w:line="360" w:lineRule="auto"/>
        <w:jc w:val="both"/>
        <w:rPr>
          <w:rFonts w:ascii="Palatino Linotype" w:eastAsiaTheme="minorEastAsia" w:hAnsi="Palatino Linotype" w:cs="Arial"/>
          <w:color w:val="000000" w:themeColor="text1"/>
          <w:lang w:val="es-ES_tradnl" w:eastAsia="es-ES"/>
        </w:rPr>
      </w:pPr>
    </w:p>
    <w:p w:rsidR="008C202E" w:rsidRDefault="008C202E" w:rsidP="0058299E">
      <w:pPr>
        <w:spacing w:line="360" w:lineRule="auto"/>
        <w:jc w:val="both"/>
        <w:rPr>
          <w:rFonts w:ascii="Palatino Linotype" w:eastAsiaTheme="minorEastAsia" w:hAnsi="Palatino Linotype" w:cs="Arial"/>
          <w:color w:val="000000" w:themeColor="text1"/>
          <w:lang w:val="es-ES_tradnl" w:eastAsia="es-ES"/>
        </w:rPr>
      </w:pPr>
    </w:p>
    <w:p w:rsidR="008C202E" w:rsidRPr="0058299E" w:rsidRDefault="008C202E" w:rsidP="0058299E">
      <w:pPr>
        <w:spacing w:line="360" w:lineRule="auto"/>
        <w:jc w:val="both"/>
        <w:rPr>
          <w:rFonts w:ascii="Palatino Linotype" w:eastAsiaTheme="minorEastAsia" w:hAnsi="Palatino Linotype" w:cs="Arial"/>
          <w:color w:val="000000" w:themeColor="text1"/>
          <w:lang w:val="es-ES_tradnl" w:eastAsia="es-ES"/>
        </w:rPr>
      </w:pPr>
    </w:p>
    <w:sectPr w:rsidR="008C202E" w:rsidRPr="0058299E" w:rsidSect="004775BD">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129" w:rsidRDefault="00574129" w:rsidP="00E53A33">
      <w:r>
        <w:separator/>
      </w:r>
    </w:p>
  </w:endnote>
  <w:endnote w:type="continuationSeparator" w:id="0">
    <w:p w:rsidR="00574129" w:rsidRDefault="00574129" w:rsidP="00E5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4B" w:rsidRPr="004775BD" w:rsidRDefault="0082424B">
    <w:pPr>
      <w:pStyle w:val="Piedepgina"/>
      <w:jc w:val="right"/>
      <w:rPr>
        <w:rFonts w:ascii="Palatino Linotype" w:hAnsi="Palatino Linotype"/>
      </w:rPr>
    </w:pPr>
    <w:r w:rsidRPr="004775BD">
      <w:rPr>
        <w:rFonts w:ascii="Palatino Linotype" w:hAnsi="Palatino Linotype"/>
        <w:lang w:val="es-ES"/>
      </w:rPr>
      <w:t xml:space="preserve">Página </w:t>
    </w:r>
    <w:r w:rsidRPr="004775BD">
      <w:rPr>
        <w:rFonts w:ascii="Palatino Linotype" w:hAnsi="Palatino Linotype"/>
        <w:b/>
        <w:bCs/>
      </w:rPr>
      <w:fldChar w:fldCharType="begin"/>
    </w:r>
    <w:r w:rsidRPr="004775BD">
      <w:rPr>
        <w:rFonts w:ascii="Palatino Linotype" w:hAnsi="Palatino Linotype"/>
        <w:b/>
        <w:bCs/>
      </w:rPr>
      <w:instrText>PAGE</w:instrText>
    </w:r>
    <w:r w:rsidRPr="004775BD">
      <w:rPr>
        <w:rFonts w:ascii="Palatino Linotype" w:hAnsi="Palatino Linotype"/>
        <w:b/>
        <w:bCs/>
      </w:rPr>
      <w:fldChar w:fldCharType="separate"/>
    </w:r>
    <w:r w:rsidR="00B41181">
      <w:rPr>
        <w:rFonts w:ascii="Palatino Linotype" w:hAnsi="Palatino Linotype"/>
        <w:b/>
        <w:bCs/>
        <w:noProof/>
      </w:rPr>
      <w:t>19</w:t>
    </w:r>
    <w:r w:rsidRPr="004775BD">
      <w:rPr>
        <w:rFonts w:ascii="Palatino Linotype" w:hAnsi="Palatino Linotype"/>
        <w:b/>
        <w:bCs/>
      </w:rPr>
      <w:fldChar w:fldCharType="end"/>
    </w:r>
    <w:r w:rsidRPr="004775BD">
      <w:rPr>
        <w:rFonts w:ascii="Palatino Linotype" w:hAnsi="Palatino Linotype"/>
        <w:lang w:val="es-ES"/>
      </w:rPr>
      <w:t xml:space="preserve"> de </w:t>
    </w:r>
    <w:r w:rsidRPr="004775BD">
      <w:rPr>
        <w:rFonts w:ascii="Palatino Linotype" w:hAnsi="Palatino Linotype"/>
        <w:b/>
        <w:bCs/>
      </w:rPr>
      <w:fldChar w:fldCharType="begin"/>
    </w:r>
    <w:r w:rsidRPr="004775BD">
      <w:rPr>
        <w:rFonts w:ascii="Palatino Linotype" w:hAnsi="Palatino Linotype"/>
        <w:b/>
        <w:bCs/>
      </w:rPr>
      <w:instrText>NUMPAGES</w:instrText>
    </w:r>
    <w:r w:rsidRPr="004775BD">
      <w:rPr>
        <w:rFonts w:ascii="Palatino Linotype" w:hAnsi="Palatino Linotype"/>
        <w:b/>
        <w:bCs/>
      </w:rPr>
      <w:fldChar w:fldCharType="separate"/>
    </w:r>
    <w:r w:rsidR="00B41181">
      <w:rPr>
        <w:rFonts w:ascii="Palatino Linotype" w:hAnsi="Palatino Linotype"/>
        <w:b/>
        <w:bCs/>
        <w:noProof/>
      </w:rPr>
      <w:t>19</w:t>
    </w:r>
    <w:r w:rsidRPr="004775BD">
      <w:rPr>
        <w:rFonts w:ascii="Palatino Linotype" w:hAnsi="Palatino Linotype"/>
        <w:b/>
        <w:bCs/>
      </w:rPr>
      <w:fldChar w:fldCharType="end"/>
    </w:r>
  </w:p>
  <w:p w:rsidR="0082424B" w:rsidRDefault="008242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4B" w:rsidRPr="004775BD" w:rsidRDefault="0082424B">
    <w:pPr>
      <w:pStyle w:val="Piedepgina"/>
      <w:jc w:val="right"/>
      <w:rPr>
        <w:rFonts w:ascii="Palatino Linotype" w:hAnsi="Palatino Linotype"/>
      </w:rPr>
    </w:pPr>
    <w:r w:rsidRPr="004775BD">
      <w:rPr>
        <w:rFonts w:ascii="Palatino Linotype" w:hAnsi="Palatino Linotype"/>
        <w:lang w:val="es-ES"/>
      </w:rPr>
      <w:t xml:space="preserve">Página </w:t>
    </w:r>
    <w:r w:rsidRPr="004775BD">
      <w:rPr>
        <w:rFonts w:ascii="Palatino Linotype" w:hAnsi="Palatino Linotype"/>
        <w:b/>
        <w:bCs/>
      </w:rPr>
      <w:fldChar w:fldCharType="begin"/>
    </w:r>
    <w:r w:rsidRPr="004775BD">
      <w:rPr>
        <w:rFonts w:ascii="Palatino Linotype" w:hAnsi="Palatino Linotype"/>
        <w:b/>
        <w:bCs/>
      </w:rPr>
      <w:instrText>PAGE</w:instrText>
    </w:r>
    <w:r w:rsidRPr="004775BD">
      <w:rPr>
        <w:rFonts w:ascii="Palatino Linotype" w:hAnsi="Palatino Linotype"/>
        <w:b/>
        <w:bCs/>
      </w:rPr>
      <w:fldChar w:fldCharType="separate"/>
    </w:r>
    <w:r w:rsidR="00D533C7">
      <w:rPr>
        <w:rFonts w:ascii="Palatino Linotype" w:hAnsi="Palatino Linotype"/>
        <w:b/>
        <w:bCs/>
        <w:noProof/>
      </w:rPr>
      <w:t>1</w:t>
    </w:r>
    <w:r w:rsidRPr="004775BD">
      <w:rPr>
        <w:rFonts w:ascii="Palatino Linotype" w:hAnsi="Palatino Linotype"/>
        <w:b/>
        <w:bCs/>
      </w:rPr>
      <w:fldChar w:fldCharType="end"/>
    </w:r>
    <w:r w:rsidRPr="004775BD">
      <w:rPr>
        <w:rFonts w:ascii="Palatino Linotype" w:hAnsi="Palatino Linotype"/>
        <w:lang w:val="es-ES"/>
      </w:rPr>
      <w:t xml:space="preserve"> de </w:t>
    </w:r>
    <w:r w:rsidRPr="004775BD">
      <w:rPr>
        <w:rFonts w:ascii="Palatino Linotype" w:hAnsi="Palatino Linotype"/>
        <w:b/>
        <w:bCs/>
      </w:rPr>
      <w:fldChar w:fldCharType="begin"/>
    </w:r>
    <w:r w:rsidRPr="004775BD">
      <w:rPr>
        <w:rFonts w:ascii="Palatino Linotype" w:hAnsi="Palatino Linotype"/>
        <w:b/>
        <w:bCs/>
      </w:rPr>
      <w:instrText>NUMPAGES</w:instrText>
    </w:r>
    <w:r w:rsidRPr="004775BD">
      <w:rPr>
        <w:rFonts w:ascii="Palatino Linotype" w:hAnsi="Palatino Linotype"/>
        <w:b/>
        <w:bCs/>
      </w:rPr>
      <w:fldChar w:fldCharType="separate"/>
    </w:r>
    <w:r w:rsidR="00D533C7">
      <w:rPr>
        <w:rFonts w:ascii="Palatino Linotype" w:hAnsi="Palatino Linotype"/>
        <w:b/>
        <w:bCs/>
        <w:noProof/>
      </w:rPr>
      <w:t>19</w:t>
    </w:r>
    <w:r w:rsidRPr="004775BD">
      <w:rPr>
        <w:rFonts w:ascii="Palatino Linotype" w:hAnsi="Palatino Linotype"/>
        <w:b/>
        <w:bCs/>
      </w:rPr>
      <w:fldChar w:fldCharType="end"/>
    </w:r>
  </w:p>
  <w:p w:rsidR="0082424B" w:rsidRDefault="008242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129" w:rsidRDefault="00574129" w:rsidP="00E53A33">
      <w:r>
        <w:separator/>
      </w:r>
    </w:p>
  </w:footnote>
  <w:footnote w:type="continuationSeparator" w:id="0">
    <w:p w:rsidR="00574129" w:rsidRDefault="00574129" w:rsidP="00E53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24B" w:rsidRDefault="005741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82424B" w:rsidRPr="005C106F" w:rsidTr="004775BD">
      <w:trPr>
        <w:trHeight w:val="1435"/>
      </w:trPr>
      <w:tc>
        <w:tcPr>
          <w:tcW w:w="2268" w:type="dxa"/>
          <w:shd w:val="clear" w:color="auto" w:fill="auto"/>
        </w:tcPr>
        <w:p w:rsidR="0082424B" w:rsidRPr="005C106F" w:rsidRDefault="0082424B" w:rsidP="00E53A33">
          <w:pPr>
            <w:tabs>
              <w:tab w:val="right" w:pos="4273"/>
            </w:tabs>
            <w:rPr>
              <w:rFonts w:ascii="Garamond" w:eastAsia="Calibri" w:hAnsi="Garamond"/>
              <w:sz w:val="16"/>
              <w:szCs w:val="16"/>
              <w:lang w:eastAsia="en-US"/>
            </w:rPr>
          </w:pPr>
        </w:p>
      </w:tc>
      <w:tc>
        <w:tcPr>
          <w:tcW w:w="7797" w:type="dxa"/>
          <w:shd w:val="clear" w:color="auto" w:fill="auto"/>
        </w:tcPr>
        <w:tbl>
          <w:tblPr>
            <w:tblW w:w="6798" w:type="dxa"/>
            <w:tblInd w:w="1452" w:type="dxa"/>
            <w:tblLayout w:type="fixed"/>
            <w:tblLook w:val="0420" w:firstRow="1" w:lastRow="0" w:firstColumn="0" w:lastColumn="0" w:noHBand="0" w:noVBand="1"/>
          </w:tblPr>
          <w:tblGrid>
            <w:gridCol w:w="2687"/>
            <w:gridCol w:w="4111"/>
          </w:tblGrid>
          <w:tr w:rsidR="0082424B" w:rsidTr="004775BD">
            <w:trPr>
              <w:trHeight w:val="150"/>
            </w:trPr>
            <w:tc>
              <w:tcPr>
                <w:tcW w:w="2687" w:type="dxa"/>
                <w:shd w:val="clear" w:color="auto" w:fill="auto"/>
              </w:tcPr>
              <w:p w:rsidR="0082424B" w:rsidRPr="0058299E" w:rsidRDefault="0082424B" w:rsidP="0058299E">
                <w:pPr>
                  <w:tabs>
                    <w:tab w:val="right" w:pos="8838"/>
                  </w:tabs>
                  <w:ind w:right="-105"/>
                  <w:rPr>
                    <w:rFonts w:ascii="Palatino Linotype" w:eastAsia="Calibri" w:hAnsi="Palatino Linotype" w:cs="Tahoma"/>
                    <w:b/>
                    <w:color w:val="000000" w:themeColor="text1"/>
                    <w:lang w:val="es-ES" w:eastAsia="en-US"/>
                  </w:rPr>
                </w:pPr>
                <w:r w:rsidRPr="0058299E">
                  <w:rPr>
                    <w:rFonts w:ascii="Palatino Linotype" w:eastAsia="Calibri" w:hAnsi="Palatino Linotype" w:cs="Tahoma"/>
                    <w:b/>
                    <w:color w:val="000000" w:themeColor="text1"/>
                    <w:lang w:val="es-ES" w:eastAsia="en-US"/>
                  </w:rPr>
                  <w:t>Recurso de Revisión:</w:t>
                </w:r>
              </w:p>
            </w:tc>
            <w:tc>
              <w:tcPr>
                <w:tcW w:w="4111" w:type="dxa"/>
                <w:shd w:val="clear" w:color="auto" w:fill="auto"/>
              </w:tcPr>
              <w:p w:rsidR="0082424B" w:rsidRPr="0058299E" w:rsidRDefault="0082424B" w:rsidP="0058299E">
                <w:pPr>
                  <w:tabs>
                    <w:tab w:val="right" w:pos="8838"/>
                  </w:tabs>
                  <w:ind w:left="-108" w:right="-102"/>
                  <w:jc w:val="both"/>
                  <w:rPr>
                    <w:rFonts w:ascii="Palatino Linotype" w:eastAsia="Calibri" w:hAnsi="Palatino Linotype" w:cs="Tahoma"/>
                    <w:bCs/>
                    <w:color w:val="000000" w:themeColor="text1"/>
                    <w:lang w:val="es-ES" w:eastAsia="en-US"/>
                  </w:rPr>
                </w:pPr>
                <w:r w:rsidRPr="0058299E">
                  <w:rPr>
                    <w:rFonts w:ascii="Palatino Linotype" w:eastAsia="Calibri" w:hAnsi="Palatino Linotype" w:cs="Tahoma"/>
                    <w:bCs/>
                    <w:color w:val="000000" w:themeColor="text1"/>
                    <w:lang w:eastAsia="en-US"/>
                  </w:rPr>
                  <w:t>08758/INFOEM/IP/RR/2025</w:t>
                </w:r>
              </w:p>
            </w:tc>
          </w:tr>
          <w:tr w:rsidR="0082424B" w:rsidTr="004775BD">
            <w:trPr>
              <w:trHeight w:val="295"/>
            </w:trPr>
            <w:tc>
              <w:tcPr>
                <w:tcW w:w="2687" w:type="dxa"/>
                <w:shd w:val="clear" w:color="auto" w:fill="auto"/>
              </w:tcPr>
              <w:p w:rsidR="0082424B" w:rsidRPr="0058299E" w:rsidRDefault="0082424B" w:rsidP="0058299E">
                <w:pPr>
                  <w:tabs>
                    <w:tab w:val="right" w:pos="8838"/>
                  </w:tabs>
                  <w:ind w:right="-105"/>
                  <w:rPr>
                    <w:rFonts w:ascii="Palatino Linotype" w:eastAsia="Calibri" w:hAnsi="Palatino Linotype" w:cs="Tahoma"/>
                    <w:b/>
                    <w:color w:val="000000" w:themeColor="text1"/>
                    <w:lang w:val="es-ES" w:eastAsia="en-US"/>
                  </w:rPr>
                </w:pPr>
                <w:r w:rsidRPr="0058299E">
                  <w:rPr>
                    <w:rFonts w:ascii="Palatino Linotype" w:eastAsia="Calibri" w:hAnsi="Palatino Linotype" w:cs="Tahoma"/>
                    <w:b/>
                    <w:color w:val="000000" w:themeColor="text1"/>
                    <w:lang w:val="es-ES" w:eastAsia="en-US"/>
                  </w:rPr>
                  <w:t>Sujeto Obligado:</w:t>
                </w:r>
              </w:p>
            </w:tc>
            <w:tc>
              <w:tcPr>
                <w:tcW w:w="4111" w:type="dxa"/>
                <w:shd w:val="clear" w:color="auto" w:fill="auto"/>
              </w:tcPr>
              <w:p w:rsidR="0082424B" w:rsidRPr="0058299E" w:rsidRDefault="0082424B" w:rsidP="0058299E">
                <w:pPr>
                  <w:tabs>
                    <w:tab w:val="left" w:pos="2834"/>
                    <w:tab w:val="right" w:pos="8838"/>
                  </w:tabs>
                  <w:ind w:left="-108" w:right="-102"/>
                  <w:jc w:val="both"/>
                  <w:rPr>
                    <w:rFonts w:ascii="Palatino Linotype" w:eastAsia="Calibri" w:hAnsi="Palatino Linotype" w:cs="Tahoma"/>
                    <w:color w:val="000000" w:themeColor="text1"/>
                    <w:lang w:val="es-ES" w:eastAsia="en-US"/>
                  </w:rPr>
                </w:pPr>
                <w:r w:rsidRPr="0058299E">
                  <w:rPr>
                    <w:rFonts w:ascii="Palatino Linotype" w:eastAsia="Calibri" w:hAnsi="Palatino Linotype" w:cs="Tahoma"/>
                    <w:bCs/>
                    <w:color w:val="000000" w:themeColor="text1"/>
                    <w:lang w:eastAsia="en-US"/>
                  </w:rPr>
                  <w:t>Oficialía Mayor</w:t>
                </w:r>
              </w:p>
            </w:tc>
          </w:tr>
          <w:tr w:rsidR="0082424B" w:rsidTr="004775BD">
            <w:trPr>
              <w:trHeight w:val="295"/>
            </w:trPr>
            <w:tc>
              <w:tcPr>
                <w:tcW w:w="2687" w:type="dxa"/>
                <w:shd w:val="clear" w:color="auto" w:fill="auto"/>
              </w:tcPr>
              <w:p w:rsidR="0082424B" w:rsidRPr="0058299E" w:rsidRDefault="0082424B" w:rsidP="0058299E">
                <w:pPr>
                  <w:tabs>
                    <w:tab w:val="right" w:pos="8838"/>
                  </w:tabs>
                  <w:ind w:right="-105"/>
                  <w:rPr>
                    <w:rFonts w:ascii="Palatino Linotype" w:eastAsia="Calibri" w:hAnsi="Palatino Linotype" w:cs="Tahoma"/>
                    <w:b/>
                    <w:color w:val="000000" w:themeColor="text1"/>
                    <w:lang w:val="es-ES" w:eastAsia="en-US"/>
                  </w:rPr>
                </w:pPr>
                <w:r w:rsidRPr="0058299E">
                  <w:rPr>
                    <w:rFonts w:ascii="Palatino Linotype" w:eastAsia="Calibri" w:hAnsi="Palatino Linotype" w:cs="Tahoma"/>
                    <w:b/>
                    <w:color w:val="000000" w:themeColor="text1"/>
                    <w:lang w:val="es-ES" w:eastAsia="en-US"/>
                  </w:rPr>
                  <w:t>Comisionada ponente:</w:t>
                </w:r>
              </w:p>
            </w:tc>
            <w:tc>
              <w:tcPr>
                <w:tcW w:w="4111" w:type="dxa"/>
                <w:shd w:val="clear" w:color="auto" w:fill="auto"/>
              </w:tcPr>
              <w:p w:rsidR="0082424B" w:rsidRPr="0058299E" w:rsidRDefault="0082424B" w:rsidP="0058299E">
                <w:pPr>
                  <w:tabs>
                    <w:tab w:val="right" w:pos="8838"/>
                  </w:tabs>
                  <w:ind w:left="-108" w:right="171"/>
                  <w:jc w:val="both"/>
                  <w:rPr>
                    <w:rFonts w:ascii="Palatino Linotype" w:eastAsia="Calibri" w:hAnsi="Palatino Linotype" w:cs="Tahoma"/>
                    <w:color w:val="000000" w:themeColor="text1"/>
                    <w:lang w:val="es-ES" w:eastAsia="en-US"/>
                  </w:rPr>
                </w:pPr>
                <w:r w:rsidRPr="0058299E">
                  <w:rPr>
                    <w:rFonts w:ascii="Palatino Linotype" w:eastAsia="Calibri" w:hAnsi="Palatino Linotype" w:cs="Tahoma"/>
                    <w:color w:val="000000" w:themeColor="text1"/>
                    <w:lang w:val="es-ES" w:eastAsia="en-US"/>
                  </w:rPr>
                  <w:t>María del Rosario Mejía Ayala</w:t>
                </w:r>
              </w:p>
              <w:p w:rsidR="0082424B" w:rsidRPr="0058299E" w:rsidRDefault="0082424B" w:rsidP="0058299E">
                <w:pPr>
                  <w:tabs>
                    <w:tab w:val="right" w:pos="8838"/>
                  </w:tabs>
                  <w:ind w:left="-108" w:right="171"/>
                  <w:jc w:val="both"/>
                  <w:rPr>
                    <w:rFonts w:ascii="Palatino Linotype" w:eastAsia="Calibri" w:hAnsi="Palatino Linotype" w:cs="Tahoma"/>
                    <w:b/>
                    <w:color w:val="000000" w:themeColor="text1"/>
                    <w:lang w:val="es-ES" w:eastAsia="en-US"/>
                  </w:rPr>
                </w:pPr>
              </w:p>
            </w:tc>
          </w:tr>
        </w:tbl>
        <w:p w:rsidR="0082424B" w:rsidRPr="005C106F" w:rsidRDefault="0082424B" w:rsidP="00E53A33">
          <w:pPr>
            <w:tabs>
              <w:tab w:val="right" w:pos="8838"/>
            </w:tabs>
            <w:ind w:left="-28"/>
            <w:jc w:val="both"/>
            <w:rPr>
              <w:rFonts w:ascii="Arial" w:eastAsia="Calibri" w:hAnsi="Arial" w:cs="Arial"/>
              <w:b/>
              <w:sz w:val="22"/>
              <w:szCs w:val="22"/>
              <w:lang w:eastAsia="en-US"/>
            </w:rPr>
          </w:pPr>
        </w:p>
      </w:tc>
    </w:tr>
  </w:tbl>
  <w:p w:rsidR="0082424B" w:rsidRPr="00443C6B" w:rsidRDefault="00574129" w:rsidP="00E53A3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82424B" w:rsidRPr="00330DA7" w:rsidTr="004775BD">
      <w:trPr>
        <w:trHeight w:val="1435"/>
      </w:trPr>
      <w:tc>
        <w:tcPr>
          <w:tcW w:w="2268" w:type="dxa"/>
          <w:shd w:val="clear" w:color="auto" w:fill="auto"/>
        </w:tcPr>
        <w:p w:rsidR="0082424B" w:rsidRPr="00330DA7" w:rsidRDefault="0082424B" w:rsidP="00E53A33">
          <w:pPr>
            <w:tabs>
              <w:tab w:val="right" w:pos="4273"/>
            </w:tabs>
            <w:rPr>
              <w:rFonts w:ascii="Garamond" w:eastAsia="Calibri" w:hAnsi="Garamond"/>
              <w:sz w:val="22"/>
              <w:szCs w:val="22"/>
              <w:lang w:eastAsia="en-US"/>
            </w:rPr>
          </w:pPr>
        </w:p>
      </w:tc>
      <w:tc>
        <w:tcPr>
          <w:tcW w:w="7797" w:type="dxa"/>
          <w:shd w:val="clear" w:color="auto" w:fill="auto"/>
        </w:tcPr>
        <w:tbl>
          <w:tblPr>
            <w:tblW w:w="7223" w:type="dxa"/>
            <w:tblInd w:w="1452" w:type="dxa"/>
            <w:tblLayout w:type="fixed"/>
            <w:tblLook w:val="0420" w:firstRow="1" w:lastRow="0" w:firstColumn="0" w:lastColumn="0" w:noHBand="0" w:noVBand="1"/>
          </w:tblPr>
          <w:tblGrid>
            <w:gridCol w:w="2687"/>
            <w:gridCol w:w="4536"/>
          </w:tblGrid>
          <w:tr w:rsidR="0082424B" w:rsidRPr="00330DA7" w:rsidTr="004775BD">
            <w:trPr>
              <w:trHeight w:val="144"/>
            </w:trPr>
            <w:tc>
              <w:tcPr>
                <w:tcW w:w="2687" w:type="dxa"/>
                <w:shd w:val="clear" w:color="auto" w:fill="auto"/>
              </w:tcPr>
              <w:p w:rsidR="0082424B" w:rsidRPr="0058299E" w:rsidRDefault="0082424B" w:rsidP="0058299E">
                <w:pPr>
                  <w:tabs>
                    <w:tab w:val="right" w:pos="8838"/>
                  </w:tabs>
                  <w:ind w:left="-264" w:right="-105" w:firstLine="195"/>
                  <w:rPr>
                    <w:rFonts w:ascii="Palatino Linotype" w:eastAsia="Calibri" w:hAnsi="Palatino Linotype" w:cs="Tahoma"/>
                    <w:b/>
                    <w:color w:val="000000" w:themeColor="text1"/>
                    <w:lang w:val="es-ES" w:eastAsia="en-US"/>
                  </w:rPr>
                </w:pPr>
                <w:r w:rsidRPr="0058299E">
                  <w:rPr>
                    <w:rFonts w:ascii="Palatino Linotype" w:eastAsia="Calibri" w:hAnsi="Palatino Linotype" w:cs="Tahoma"/>
                    <w:b/>
                    <w:color w:val="000000" w:themeColor="text1"/>
                    <w:lang w:val="es-ES" w:eastAsia="en-US"/>
                  </w:rPr>
                  <w:t>Recurso de Revisión:</w:t>
                </w:r>
              </w:p>
            </w:tc>
            <w:tc>
              <w:tcPr>
                <w:tcW w:w="4536" w:type="dxa"/>
                <w:shd w:val="clear" w:color="auto" w:fill="auto"/>
              </w:tcPr>
              <w:p w:rsidR="0082424B" w:rsidRPr="0058299E" w:rsidRDefault="0082424B" w:rsidP="0058299E">
                <w:pPr>
                  <w:tabs>
                    <w:tab w:val="right" w:pos="8838"/>
                  </w:tabs>
                  <w:ind w:left="-74" w:right="-105"/>
                  <w:jc w:val="both"/>
                  <w:rPr>
                    <w:rFonts w:ascii="Palatino Linotype" w:eastAsia="Calibri" w:hAnsi="Palatino Linotype" w:cs="Tahoma"/>
                    <w:bCs/>
                    <w:color w:val="000000" w:themeColor="text1"/>
                    <w:lang w:val="es-ES" w:eastAsia="en-US"/>
                  </w:rPr>
                </w:pPr>
                <w:r w:rsidRPr="0058299E">
                  <w:rPr>
                    <w:rFonts w:ascii="Palatino Linotype" w:eastAsia="Calibri" w:hAnsi="Palatino Linotype" w:cs="Tahoma"/>
                    <w:color w:val="000000" w:themeColor="text1"/>
                    <w:lang w:eastAsia="en-US"/>
                  </w:rPr>
                  <w:t>08758/INFOEM/IP/RR/2025</w:t>
                </w:r>
                <w:r w:rsidRPr="0058299E">
                  <w:rPr>
                    <w:rFonts w:ascii="Palatino Linotype" w:eastAsia="Calibri" w:hAnsi="Palatino Linotype" w:cs="Tahoma"/>
                    <w:b/>
                    <w:bCs/>
                    <w:color w:val="000000" w:themeColor="text1"/>
                    <w:lang w:eastAsia="en-US"/>
                  </w:rPr>
                  <w:t xml:space="preserve"> </w:t>
                </w:r>
              </w:p>
            </w:tc>
          </w:tr>
          <w:tr w:rsidR="0082424B" w:rsidRPr="00330DA7" w:rsidTr="004775BD">
            <w:trPr>
              <w:trHeight w:val="144"/>
            </w:trPr>
            <w:tc>
              <w:tcPr>
                <w:tcW w:w="2687" w:type="dxa"/>
                <w:shd w:val="clear" w:color="auto" w:fill="auto"/>
              </w:tcPr>
              <w:p w:rsidR="0082424B" w:rsidRPr="0058299E" w:rsidRDefault="0082424B" w:rsidP="0058299E">
                <w:pPr>
                  <w:tabs>
                    <w:tab w:val="right" w:pos="8838"/>
                  </w:tabs>
                  <w:ind w:left="-74" w:right="-105"/>
                  <w:rPr>
                    <w:rFonts w:ascii="Palatino Linotype" w:eastAsia="Calibri" w:hAnsi="Palatino Linotype" w:cs="Tahoma"/>
                    <w:b/>
                    <w:color w:val="000000" w:themeColor="text1"/>
                    <w:lang w:val="es-ES" w:eastAsia="en-US"/>
                  </w:rPr>
                </w:pPr>
                <w:r w:rsidRPr="0058299E">
                  <w:rPr>
                    <w:rFonts w:ascii="Palatino Linotype" w:eastAsia="Calibri" w:hAnsi="Palatino Linotype" w:cs="Tahoma"/>
                    <w:b/>
                    <w:color w:val="000000" w:themeColor="text1"/>
                    <w:lang w:val="es-ES" w:eastAsia="en-US"/>
                  </w:rPr>
                  <w:t>Recurrente:</w:t>
                </w:r>
              </w:p>
            </w:tc>
            <w:tc>
              <w:tcPr>
                <w:tcW w:w="4536" w:type="dxa"/>
                <w:shd w:val="clear" w:color="auto" w:fill="auto"/>
              </w:tcPr>
              <w:p w:rsidR="0082424B" w:rsidRPr="0058299E" w:rsidRDefault="00D533C7" w:rsidP="0058299E">
                <w:pPr>
                  <w:tabs>
                    <w:tab w:val="left" w:pos="3122"/>
                    <w:tab w:val="right" w:pos="8838"/>
                  </w:tabs>
                  <w:ind w:left="-74" w:right="-105"/>
                  <w:jc w:val="both"/>
                  <w:rPr>
                    <w:rFonts w:ascii="Palatino Linotype" w:eastAsia="Calibri" w:hAnsi="Palatino Linotype" w:cs="Tahoma"/>
                    <w:color w:val="000000" w:themeColor="text1"/>
                    <w:lang w:val="es-ES" w:eastAsia="en-US"/>
                  </w:rPr>
                </w:pPr>
                <w:r>
                  <w:rPr>
                    <w:rFonts w:ascii="Palatino Linotype" w:eastAsia="Calibri" w:hAnsi="Palatino Linotype" w:cs="Tahoma"/>
                    <w:bCs/>
                    <w:color w:val="000000" w:themeColor="text1"/>
                    <w:lang w:eastAsia="en-US"/>
                  </w:rPr>
                  <w:t>XXXX</w:t>
                </w:r>
              </w:p>
            </w:tc>
          </w:tr>
          <w:tr w:rsidR="0082424B" w:rsidRPr="00330DA7" w:rsidTr="004775BD">
            <w:trPr>
              <w:trHeight w:val="283"/>
            </w:trPr>
            <w:tc>
              <w:tcPr>
                <w:tcW w:w="2687" w:type="dxa"/>
                <w:shd w:val="clear" w:color="auto" w:fill="auto"/>
              </w:tcPr>
              <w:p w:rsidR="0082424B" w:rsidRPr="0058299E" w:rsidRDefault="0082424B" w:rsidP="0058299E">
                <w:pPr>
                  <w:tabs>
                    <w:tab w:val="right" w:pos="8838"/>
                  </w:tabs>
                  <w:ind w:left="-74" w:right="-105"/>
                  <w:rPr>
                    <w:rFonts w:ascii="Palatino Linotype" w:eastAsia="Calibri" w:hAnsi="Palatino Linotype" w:cs="Tahoma"/>
                    <w:b/>
                    <w:color w:val="000000" w:themeColor="text1"/>
                    <w:lang w:val="es-ES" w:eastAsia="en-US"/>
                  </w:rPr>
                </w:pPr>
                <w:r w:rsidRPr="0058299E">
                  <w:rPr>
                    <w:rFonts w:ascii="Palatino Linotype" w:eastAsia="Calibri" w:hAnsi="Palatino Linotype" w:cs="Tahoma"/>
                    <w:b/>
                    <w:color w:val="000000" w:themeColor="text1"/>
                    <w:lang w:val="es-ES" w:eastAsia="en-US"/>
                  </w:rPr>
                  <w:t>Sujeto Obligado:</w:t>
                </w:r>
              </w:p>
            </w:tc>
            <w:tc>
              <w:tcPr>
                <w:tcW w:w="4536" w:type="dxa"/>
                <w:shd w:val="clear" w:color="auto" w:fill="auto"/>
              </w:tcPr>
              <w:p w:rsidR="0082424B" w:rsidRPr="0058299E" w:rsidRDefault="0082424B" w:rsidP="0058299E">
                <w:pPr>
                  <w:tabs>
                    <w:tab w:val="left" w:pos="2834"/>
                    <w:tab w:val="right" w:pos="8838"/>
                  </w:tabs>
                  <w:ind w:left="-74" w:right="-105"/>
                  <w:jc w:val="both"/>
                  <w:rPr>
                    <w:rFonts w:ascii="Palatino Linotype" w:eastAsia="Calibri" w:hAnsi="Palatino Linotype" w:cs="Tahoma"/>
                    <w:color w:val="000000" w:themeColor="text1"/>
                    <w:lang w:val="es-ES" w:eastAsia="en-US"/>
                  </w:rPr>
                </w:pPr>
                <w:r w:rsidRPr="0058299E">
                  <w:rPr>
                    <w:rFonts w:ascii="Palatino Linotype" w:eastAsia="Calibri" w:hAnsi="Palatino Linotype" w:cs="Tahoma"/>
                    <w:bCs/>
                    <w:color w:val="000000" w:themeColor="text1"/>
                    <w:lang w:eastAsia="en-US"/>
                  </w:rPr>
                  <w:t>Oficialía Mayor</w:t>
                </w:r>
              </w:p>
            </w:tc>
          </w:tr>
          <w:tr w:rsidR="0082424B" w:rsidRPr="00330DA7" w:rsidTr="004775BD">
            <w:trPr>
              <w:trHeight w:val="283"/>
            </w:trPr>
            <w:tc>
              <w:tcPr>
                <w:tcW w:w="2687" w:type="dxa"/>
                <w:shd w:val="clear" w:color="auto" w:fill="auto"/>
              </w:tcPr>
              <w:p w:rsidR="0082424B" w:rsidRPr="0058299E" w:rsidRDefault="0082424B" w:rsidP="0058299E">
                <w:pPr>
                  <w:tabs>
                    <w:tab w:val="right" w:pos="8838"/>
                  </w:tabs>
                  <w:ind w:left="-74" w:right="-105"/>
                  <w:rPr>
                    <w:rFonts w:ascii="Palatino Linotype" w:eastAsia="Calibri" w:hAnsi="Palatino Linotype" w:cs="Tahoma"/>
                    <w:b/>
                    <w:color w:val="000000" w:themeColor="text1"/>
                    <w:lang w:val="es-ES" w:eastAsia="en-US"/>
                  </w:rPr>
                </w:pPr>
                <w:r w:rsidRPr="0058299E">
                  <w:rPr>
                    <w:rFonts w:ascii="Palatino Linotype" w:eastAsia="Calibri" w:hAnsi="Palatino Linotype" w:cs="Tahoma"/>
                    <w:b/>
                    <w:color w:val="000000" w:themeColor="text1"/>
                    <w:lang w:val="es-ES" w:eastAsia="en-US"/>
                  </w:rPr>
                  <w:t>Comisionada ponente:</w:t>
                </w:r>
              </w:p>
            </w:tc>
            <w:tc>
              <w:tcPr>
                <w:tcW w:w="4536" w:type="dxa"/>
                <w:shd w:val="clear" w:color="auto" w:fill="auto"/>
              </w:tcPr>
              <w:p w:rsidR="0082424B" w:rsidRPr="0058299E" w:rsidRDefault="0082424B" w:rsidP="0058299E">
                <w:pPr>
                  <w:tabs>
                    <w:tab w:val="right" w:pos="8838"/>
                  </w:tabs>
                  <w:ind w:left="-74" w:right="-105"/>
                  <w:jc w:val="both"/>
                  <w:rPr>
                    <w:rFonts w:ascii="Palatino Linotype" w:eastAsia="Calibri" w:hAnsi="Palatino Linotype" w:cs="Tahoma"/>
                    <w:color w:val="000000" w:themeColor="text1"/>
                    <w:lang w:val="es-ES" w:eastAsia="en-US"/>
                  </w:rPr>
                </w:pPr>
                <w:r w:rsidRPr="0058299E">
                  <w:rPr>
                    <w:rFonts w:ascii="Palatino Linotype" w:eastAsia="Calibri" w:hAnsi="Palatino Linotype" w:cs="Tahoma"/>
                    <w:color w:val="000000" w:themeColor="text1"/>
                    <w:lang w:val="es-ES" w:eastAsia="en-US"/>
                  </w:rPr>
                  <w:t>María del Rosario Mejía Ayala</w:t>
                </w:r>
              </w:p>
              <w:p w:rsidR="0082424B" w:rsidRPr="0058299E" w:rsidRDefault="0082424B" w:rsidP="0058299E">
                <w:pPr>
                  <w:tabs>
                    <w:tab w:val="right" w:pos="8838"/>
                  </w:tabs>
                  <w:ind w:left="-74" w:right="-105"/>
                  <w:jc w:val="both"/>
                  <w:rPr>
                    <w:rFonts w:ascii="Palatino Linotype" w:eastAsia="Calibri" w:hAnsi="Palatino Linotype" w:cs="Tahoma"/>
                    <w:b/>
                    <w:color w:val="000000" w:themeColor="text1"/>
                    <w:lang w:val="es-ES" w:eastAsia="en-US"/>
                  </w:rPr>
                </w:pPr>
              </w:p>
            </w:tc>
          </w:tr>
        </w:tbl>
        <w:p w:rsidR="0082424B" w:rsidRPr="00330DA7" w:rsidRDefault="0082424B" w:rsidP="00E53A33">
          <w:pPr>
            <w:tabs>
              <w:tab w:val="right" w:pos="8838"/>
            </w:tabs>
            <w:ind w:left="-28"/>
            <w:jc w:val="both"/>
            <w:rPr>
              <w:rFonts w:ascii="Arial" w:eastAsia="Calibri" w:hAnsi="Arial" w:cs="Arial"/>
              <w:b/>
              <w:sz w:val="22"/>
              <w:szCs w:val="22"/>
              <w:lang w:eastAsia="en-US"/>
            </w:rPr>
          </w:pPr>
        </w:p>
      </w:tc>
    </w:tr>
  </w:tbl>
  <w:p w:rsidR="0082424B" w:rsidRPr="00827FA0" w:rsidRDefault="00574129" w:rsidP="00E53A3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F3632"/>
    <w:multiLevelType w:val="multilevel"/>
    <w:tmpl w:val="9E50E2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A47560"/>
    <w:multiLevelType w:val="hybridMultilevel"/>
    <w:tmpl w:val="85129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042793"/>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EB32A5"/>
    <w:multiLevelType w:val="hybridMultilevel"/>
    <w:tmpl w:val="82BA7D28"/>
    <w:lvl w:ilvl="0" w:tplc="01380D2A">
      <w:start w:val="1"/>
      <w:numFmt w:val="bullet"/>
      <w:lvlText w:val="-"/>
      <w:lvlJc w:val="left"/>
      <w:pPr>
        <w:ind w:left="1080" w:hanging="360"/>
      </w:pPr>
      <w:rPr>
        <w:rFonts w:ascii="Palatino Linotype" w:eastAsiaTheme="minorEastAsia" w:hAnsi="Palatino Linotype" w:cs="Times New Roman" w:hint="default"/>
        <w:b w:val="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FC0060"/>
    <w:multiLevelType w:val="hybridMultilevel"/>
    <w:tmpl w:val="C5B06D76"/>
    <w:lvl w:ilvl="0" w:tplc="479C931A">
      <w:numFmt w:val="bullet"/>
      <w:lvlText w:val="-"/>
      <w:lvlJc w:val="left"/>
      <w:pPr>
        <w:ind w:left="1080" w:hanging="360"/>
      </w:pPr>
      <w:rPr>
        <w:rFonts w:ascii="Palatino Linotype" w:eastAsia="Times New Roman" w:hAnsi="Palatino Linotype" w:cs="Times New Roman"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33"/>
    <w:rsid w:val="000D1621"/>
    <w:rsid w:val="00215CB8"/>
    <w:rsid w:val="00254580"/>
    <w:rsid w:val="004775BD"/>
    <w:rsid w:val="00574129"/>
    <w:rsid w:val="0058299E"/>
    <w:rsid w:val="005B0EE8"/>
    <w:rsid w:val="00800368"/>
    <w:rsid w:val="0082424B"/>
    <w:rsid w:val="008C202E"/>
    <w:rsid w:val="00936ABE"/>
    <w:rsid w:val="00A72C42"/>
    <w:rsid w:val="00B41181"/>
    <w:rsid w:val="00BE7E09"/>
    <w:rsid w:val="00D4677C"/>
    <w:rsid w:val="00D533C7"/>
    <w:rsid w:val="00DB44C3"/>
    <w:rsid w:val="00E53A33"/>
    <w:rsid w:val="00F07A0A"/>
    <w:rsid w:val="00F2191F"/>
    <w:rsid w:val="00FB1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8EAA3F-0E81-483F-A46C-CF1EC0DF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A33"/>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A33"/>
    <w:pPr>
      <w:tabs>
        <w:tab w:val="center" w:pos="4419"/>
        <w:tab w:val="right" w:pos="8838"/>
      </w:tabs>
    </w:pPr>
  </w:style>
  <w:style w:type="character" w:customStyle="1" w:styleId="EncabezadoCar">
    <w:name w:val="Encabezado Car"/>
    <w:basedOn w:val="Fuentedeprrafopredeter"/>
    <w:link w:val="Encabezado"/>
    <w:uiPriority w:val="99"/>
    <w:rsid w:val="00E53A3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53A33"/>
    <w:pPr>
      <w:tabs>
        <w:tab w:val="center" w:pos="4419"/>
        <w:tab w:val="right" w:pos="8838"/>
      </w:tabs>
    </w:pPr>
  </w:style>
  <w:style w:type="character" w:customStyle="1" w:styleId="PiedepginaCar">
    <w:name w:val="Pie de página Car"/>
    <w:basedOn w:val="Fuentedeprrafopredeter"/>
    <w:link w:val="Piedepgina"/>
    <w:uiPriority w:val="99"/>
    <w:rsid w:val="00E53A3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53A3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53A3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E53A33"/>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53A33"/>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53A33"/>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3A33"/>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E53A33"/>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6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8754.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506548.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528215.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4336</Words>
  <Characters>23853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dcterms:created xsi:type="dcterms:W3CDTF">2025-10-23T19:12:00Z</dcterms:created>
  <dcterms:modified xsi:type="dcterms:W3CDTF">2026-01-14T18:06:00Z</dcterms:modified>
</cp:coreProperties>
</file>