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diez de septiembre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VISTOS </w:t>
      </w:r>
      <w:r w:rsidDel="00000000" w:rsidR="00000000" w:rsidRPr="00000000">
        <w:rPr>
          <w:rFonts w:ascii="Palatino Linotype" w:cs="Palatino Linotype" w:eastAsia="Palatino Linotype" w:hAnsi="Palatino Linotype"/>
          <w:rtl w:val="0"/>
        </w:rPr>
        <w:t xml:space="preserve">el expediente relativo al recurso de revisión </w:t>
      </w:r>
      <w:r w:rsidDel="00000000" w:rsidR="00000000" w:rsidRPr="00000000">
        <w:rPr>
          <w:rFonts w:ascii="Palatino Linotype" w:cs="Palatino Linotype" w:eastAsia="Palatino Linotype" w:hAnsi="Palatino Linotype"/>
          <w:b w:val="1"/>
          <w:rtl w:val="0"/>
        </w:rPr>
        <w:t xml:space="preserve">07669/INFOEM/IP/RR/20225 </w:t>
      </w:r>
      <w:r w:rsidDel="00000000" w:rsidR="00000000" w:rsidRPr="00000000">
        <w:rPr>
          <w:rFonts w:ascii="Palatino Linotype" w:cs="Palatino Linotype" w:eastAsia="Palatino Linotype" w:hAnsi="Palatino Linotype"/>
          <w:rtl w:val="0"/>
        </w:rPr>
        <w:t xml:space="preserve">interpuesto por </w:t>
      </w:r>
      <w:r w:rsidDel="00000000" w:rsidR="00000000" w:rsidRPr="00000000">
        <w:rPr>
          <w:rFonts w:ascii="Palatino Linotype" w:cs="Palatino Linotype" w:eastAsia="Palatino Linotype" w:hAnsi="Palatino Linotype"/>
          <w:b w:val="1"/>
          <w:rtl w:val="0"/>
        </w:rPr>
        <w:t xml:space="preserve">una persona usuaria del Sistema de Acceso a la Información Mexiquense</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sus solicitudes de información por parte del </w:t>
      </w:r>
      <w:r w:rsidDel="00000000" w:rsidR="00000000" w:rsidRPr="00000000">
        <w:rPr>
          <w:rFonts w:ascii="Palatino Linotype" w:cs="Palatino Linotype" w:eastAsia="Palatino Linotype" w:hAnsi="Palatino Linotype"/>
          <w:b w:val="1"/>
          <w:rtl w:val="0"/>
        </w:rPr>
        <w:t xml:space="preserve">Ayuntamiento de Toluca</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Solicitudes de Acceso a la Información.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once de mayo de dos mil veinticinco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misma que se tuvo por presentada el doce de mayo del mismo año, las que requirió lo siguiente:</w:t>
      </w:r>
    </w:p>
    <w:p w:rsidR="00000000" w:rsidDel="00000000" w:rsidP="00000000" w:rsidRDefault="00000000" w:rsidRPr="00000000" w14:paraId="00000008">
      <w:pPr>
        <w:spacing w:after="0" w:line="360" w:lineRule="auto"/>
        <w:ind w:right="49"/>
        <w:jc w:val="both"/>
        <w:rPr>
          <w:rFonts w:ascii="Palatino Linotype" w:cs="Palatino Linotype" w:eastAsia="Palatino Linotype" w:hAnsi="Palatino Linotype"/>
        </w:rPr>
      </w:pPr>
      <w:bookmarkStart w:colFirst="0" w:colLast="0" w:name="_heading=h.1fob9te" w:id="0"/>
      <w:bookmarkEnd w:id="0"/>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“Todas la peticiones ciudadanas recibidas y su respuesta del 1 de enero al 8 de mayo de 2025”.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widowControl w:val="0"/>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dos de junio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dio respuesta a la solicitud de información, la cual fue previamente del conocimiento de las partes. </w:t>
      </w:r>
    </w:p>
    <w:p w:rsidR="00000000" w:rsidDel="00000000" w:rsidP="00000000" w:rsidRDefault="00000000" w:rsidRPr="00000000" w14:paraId="0000000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Del Recurso de Revisión. </w:t>
      </w:r>
      <w:r w:rsidDel="00000000" w:rsidR="00000000" w:rsidRPr="00000000">
        <w:rPr>
          <w:rFonts w:ascii="Palatino Linotype" w:cs="Palatino Linotype" w:eastAsia="Palatino Linotype" w:hAnsi="Palatino Linotype"/>
          <w:rtl w:val="0"/>
        </w:rPr>
        <w:t xml:space="preserve">Inconforme con las respuestas del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veintitrés de junio de dos mil veinticinco, LA PARTE RECURRENTE </w:t>
      </w:r>
      <w:r w:rsidDel="00000000" w:rsidR="00000000" w:rsidRPr="00000000">
        <w:rPr>
          <w:rFonts w:ascii="Palatino Linotype" w:cs="Palatino Linotype" w:eastAsia="Palatino Linotype" w:hAnsi="Palatino Linotype"/>
          <w:rtl w:val="0"/>
        </w:rPr>
        <w:t xml:space="preserve">interpuso el recurso de revisión, en el cual manifiesta, lo siguiente: </w:t>
      </w:r>
    </w:p>
    <w:p w:rsidR="00000000" w:rsidDel="00000000" w:rsidP="00000000" w:rsidRDefault="00000000" w:rsidRPr="00000000" w14:paraId="0000000F">
      <w:pPr>
        <w:spacing w:after="0" w:lineRule="auto"/>
        <w:ind w:right="56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1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Acto Impugnado:</w:t>
      </w:r>
      <w:r w:rsidDel="00000000" w:rsidR="00000000" w:rsidRPr="00000000">
        <w:rPr>
          <w:rFonts w:ascii="Palatino Linotype" w:cs="Palatino Linotype" w:eastAsia="Palatino Linotype" w:hAnsi="Palatino Linotype"/>
          <w:i w:val="1"/>
          <w:rtl w:val="0"/>
        </w:rPr>
        <w:t xml:space="preserve"> No entrega la informaicón si tienen una areas de atención ciudadana y lo niegan.</w:t>
      </w:r>
    </w:p>
    <w:p w:rsidR="00000000" w:rsidDel="00000000" w:rsidP="00000000" w:rsidRDefault="00000000" w:rsidRPr="00000000" w14:paraId="00000011">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Motivo de inconformidad:</w:t>
      </w:r>
      <w:r w:rsidDel="00000000" w:rsidR="00000000" w:rsidRPr="00000000">
        <w:rPr>
          <w:rFonts w:ascii="Palatino Linotype" w:cs="Palatino Linotype" w:eastAsia="Palatino Linotype" w:hAnsi="Palatino Linotype"/>
          <w:i w:val="1"/>
          <w:rtl w:val="0"/>
        </w:rPr>
        <w:t xml:space="preserve"> niegan la informaicón quedeben tener en su poder pues tiene una aras de atención ciudadana que facil es ocultar</w:t>
      </w:r>
    </w:p>
    <w:p w:rsidR="00000000" w:rsidDel="00000000" w:rsidP="00000000" w:rsidRDefault="00000000" w:rsidRPr="00000000" w14:paraId="00000013">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Transparencia y Acceso a la Información Pública, el recurso de revisión fue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turnado de la siguiente manera a efecto de presentar al Pleno los proyectos de resolución correspondientes: </w:t>
      </w:r>
    </w:p>
    <w:p w:rsidR="00000000" w:rsidDel="00000000" w:rsidP="00000000" w:rsidRDefault="00000000" w:rsidRPr="00000000" w14:paraId="00000015">
      <w:pPr>
        <w:spacing w:after="0" w:line="360" w:lineRule="auto"/>
        <w:rPr/>
      </w:pPr>
      <w:r w:rsidDel="00000000" w:rsidR="00000000" w:rsidRPr="00000000">
        <w:rPr>
          <w:rtl w:val="0"/>
        </w:rPr>
      </w:r>
    </w:p>
    <w:p w:rsidR="00000000" w:rsidDel="00000000" w:rsidP="00000000" w:rsidRDefault="00000000" w:rsidRPr="00000000" w14:paraId="00000016">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veintiséis de junio de dos mil veinticinco</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admitió a trámite el recurso de revisión</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17">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Informe Justificado.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cuatro de julio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proporcionó su informe justificado, mediante el cual ratificó medularmente su respuesta.</w:t>
      </w:r>
    </w:p>
    <w:p w:rsidR="00000000" w:rsidDel="00000000" w:rsidP="00000000" w:rsidRDefault="00000000" w:rsidRPr="00000000" w14:paraId="0000001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 que se le hizo del conocimiento al Particular en fecha tres de septiembre de dos mil veinticinco. </w:t>
      </w:r>
    </w:p>
    <w:p w:rsidR="00000000" w:rsidDel="00000000" w:rsidP="00000000" w:rsidRDefault="00000000" w:rsidRPr="00000000" w14:paraId="0000001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Recurrente fue omisa en rendir manifestaciones.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Ampliación de plazo: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tres de septiembre de dos mil veinticinco</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2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2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2B">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2C">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2D">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2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7">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38">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9">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nueve de septiembre de dos mil veinticinco</w:t>
      </w:r>
      <w:r w:rsidDel="00000000" w:rsidR="00000000" w:rsidRPr="00000000">
        <w:rPr>
          <w:rFonts w:ascii="Palatino Linotype" w:cs="Palatino Linotype" w:eastAsia="Palatino Linotype" w:hAnsi="Palatino Linotype"/>
          <w:rtl w:val="0"/>
        </w:rPr>
        <w:t xml:space="preserve"> se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4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su respuesta el </w:t>
      </w:r>
      <w:r w:rsidDel="00000000" w:rsidR="00000000" w:rsidRPr="00000000">
        <w:rPr>
          <w:rFonts w:ascii="Palatino Linotype" w:cs="Palatino Linotype" w:eastAsia="Palatino Linotype" w:hAnsi="Palatino Linotype"/>
          <w:b w:val="1"/>
          <w:rtl w:val="0"/>
        </w:rPr>
        <w:t xml:space="preserve">dos de junio de dos mil veinticinco </w:t>
      </w:r>
      <w:r w:rsidDel="00000000" w:rsidR="00000000" w:rsidRPr="00000000">
        <w:rPr>
          <w:rFonts w:ascii="Palatino Linotype" w:cs="Palatino Linotype" w:eastAsia="Palatino Linotype" w:hAnsi="Palatino Linotype"/>
          <w:rtl w:val="0"/>
        </w:rPr>
        <w:t xml:space="preserve">y el </w:t>
      </w:r>
      <w:r w:rsidDel="00000000" w:rsidR="00000000" w:rsidRPr="00000000">
        <w:rPr>
          <w:rFonts w:ascii="Palatino Linotype" w:cs="Palatino Linotype" w:eastAsia="Palatino Linotype" w:hAnsi="Palatino Linotype"/>
          <w:b w:val="1"/>
          <w:rtl w:val="0"/>
        </w:rPr>
        <w:t xml:space="preserve">PARTICULAR </w:t>
      </w:r>
      <w:r w:rsidDel="00000000" w:rsidR="00000000" w:rsidRPr="00000000">
        <w:rPr>
          <w:rFonts w:ascii="Palatino Linotype" w:cs="Palatino Linotype" w:eastAsia="Palatino Linotype" w:hAnsi="Palatino Linotype"/>
          <w:rtl w:val="0"/>
        </w:rPr>
        <w:t xml:space="preserve">interpuso su recurso de revisión el </w:t>
      </w:r>
      <w:r w:rsidDel="00000000" w:rsidR="00000000" w:rsidRPr="00000000">
        <w:rPr>
          <w:rFonts w:ascii="Palatino Linotype" w:cs="Palatino Linotype" w:eastAsia="Palatino Linotype" w:hAnsi="Palatino Linotype"/>
          <w:b w:val="1"/>
          <w:rtl w:val="0"/>
        </w:rPr>
        <w:t xml:space="preserve">veintitrés de junio de dos mil veinticinco</w:t>
      </w:r>
      <w:r w:rsidDel="00000000" w:rsidR="00000000" w:rsidRPr="00000000">
        <w:rPr>
          <w:rFonts w:ascii="Palatino Linotype" w:cs="Palatino Linotype" w:eastAsia="Palatino Linotype" w:hAnsi="Palatino Linotype"/>
          <w:rtl w:val="0"/>
        </w:rPr>
        <w:t xml:space="preserve">, esto es al décimo quinto día hábil en que se tuvo conocimiento de la respuesta.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 los recursos de revisión al rubro anotado, toda vez que se actualizan las hipótesis de procedencia previstas en el artículo 179, fracción I de la Ley de la materia, que a la letra dice:</w:t>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negativa de entrega de la información;</w:t>
      </w:r>
    </w:p>
    <w:p w:rsidR="00000000" w:rsidDel="00000000" w:rsidP="00000000" w:rsidRDefault="00000000" w:rsidRPr="00000000" w14:paraId="0000005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1">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los expedientes electrónicos se advierte, que el tema sobre el que este Organismo Garante de Transparencia y Acceso a la Información se pronunciará será  determinar, si se actualiza la hipótesis prevista en la fracción I del artículo 179 de la Ley en la materia. </w:t>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 fondo del asunto. </w:t>
      </w:r>
      <w:r w:rsidDel="00000000" w:rsidR="00000000" w:rsidRPr="00000000">
        <w:rPr>
          <w:rFonts w:ascii="Palatino Linotype" w:cs="Palatino Linotype" w:eastAsia="Palatino Linotype" w:hAnsi="Palatino Linotype"/>
          <w:rtl w:val="0"/>
        </w:rPr>
        <w:t xml:space="preserve">Es conveniente analizar si la respuesta del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tabs>
          <w:tab w:val="left" w:leader="none" w:pos="851"/>
        </w:tabs>
        <w:spacing w:after="0" w:lineRule="auto"/>
        <w:ind w:left="426"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7">
      <w:pPr>
        <w:tabs>
          <w:tab w:val="left" w:leader="none" w:pos="851"/>
        </w:tabs>
        <w:spacing w:after="0" w:lineRule="auto"/>
        <w:ind w:left="426"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8">
      <w:pPr>
        <w:tabs>
          <w:tab w:val="left" w:leader="none" w:pos="851"/>
        </w:tabs>
        <w:spacing w:after="0" w:lineRule="auto"/>
        <w:ind w:left="426"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A">
      <w:pPr>
        <w:spacing w:after="0"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C">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5E">
      <w:pPr>
        <w:spacing w:after="0" w:line="360" w:lineRule="auto"/>
        <w:ind w:left="567" w:right="-9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0">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62">
      <w:pPr>
        <w:spacing w:after="0" w:lineRule="auto"/>
        <w:ind w:left="851" w:right="85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4">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6A">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B">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C">
      <w:pPr>
        <w:spacing w:after="0"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E">
      <w:pPr>
        <w:spacing w:after="0"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after="0" w:lineRule="auto"/>
        <w:ind w:left="851"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0">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1">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2">
      <w:pPr>
        <w:spacing w:after="0" w:lineRule="auto"/>
        <w:ind w:left="851"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3">
      <w:pPr>
        <w:spacing w:after="0" w:lineRule="auto"/>
        <w:ind w:left="851"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es de recordar que la parte Recurrente solicitó todas las peticiones ciudadanas recibidas y su respuesta del uno de enero al ocho de mayo de dos mil veinticinco. </w:t>
      </w:r>
    </w:p>
    <w:p w:rsidR="00000000" w:rsidDel="00000000" w:rsidP="00000000" w:rsidRDefault="00000000" w:rsidRPr="00000000" w14:paraId="0000007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a través de la Secretaría del Ayuntamiento informó que, se había realizado una búsqueda exhaustiva y razonable en los archivos que obraban en la Coordinación de Atención Ciudadana y Correspondencia de la Secretaría del Ayuntamiento y, remitían las peticiones ciudadanas recibidas y sus respuestas. </w:t>
      </w:r>
    </w:p>
    <w:p w:rsidR="00000000" w:rsidDel="00000000" w:rsidP="00000000" w:rsidRDefault="00000000" w:rsidRPr="00000000" w14:paraId="0000007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adjuntó 224 fojas relacionadas a peticiones ciudadanas y 167 fojas de respuesta, en versión pública. </w:t>
      </w:r>
    </w:p>
    <w:p w:rsidR="00000000" w:rsidDel="00000000" w:rsidP="00000000" w:rsidRDefault="00000000" w:rsidRPr="00000000" w14:paraId="0000007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arguyendo la negativa de entrega de la información. </w:t>
      </w:r>
    </w:p>
    <w:p w:rsidR="00000000" w:rsidDel="00000000" w:rsidP="00000000" w:rsidRDefault="00000000" w:rsidRPr="00000000" w14:paraId="0000007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se procede a contextualizar la información solicitada, para ello es menester traer a colación lo que establece Luis René Guerrero Galván</w:t>
      </w:r>
      <w:r w:rsidDel="00000000" w:rsidR="00000000" w:rsidRPr="00000000">
        <w:rPr>
          <w:rFonts w:ascii="Palatino Linotype" w:cs="Palatino Linotype" w:eastAsia="Palatino Linotype" w:hAnsi="Palatino Linotype"/>
          <w:vertAlign w:val="superscript"/>
          <w:rtl w:val="0"/>
        </w:rPr>
        <w:t xml:space="preserve"> </w:t>
      </w:r>
      <w:r w:rsidDel="00000000" w:rsidR="00000000" w:rsidRPr="00000000">
        <w:rPr>
          <w:rFonts w:ascii="Palatino Linotype" w:cs="Palatino Linotype" w:eastAsia="Palatino Linotype" w:hAnsi="Palatino Linotype"/>
          <w:rtl w:val="0"/>
        </w:rPr>
        <w:t xml:space="preserve">respecto al derecho de petición, el cual, es considerado como el derecho de toda persona de dirigir peticiones a cualquier órgano de gobierno, el cual jurídicamente se entiende como el derecho relacionado con la obligación que tiene el Estado de permitir al ciudadano elevar ante los diversos órganos de gobierno una solicitud y que se encuentra establecido en el artículo 8 de la Constitución Política de los Estados Unidos Mexicanos el cual a la literalidad refiere que: </w:t>
      </w:r>
    </w:p>
    <w:p w:rsidR="00000000" w:rsidDel="00000000" w:rsidP="00000000" w:rsidRDefault="00000000" w:rsidRPr="00000000" w14:paraId="00000081">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 8o.-</w:t>
      </w:r>
      <w:r w:rsidDel="00000000" w:rsidR="00000000" w:rsidRPr="00000000">
        <w:rPr>
          <w:rFonts w:ascii="Palatino Linotype" w:cs="Palatino Linotype" w:eastAsia="Palatino Linotype" w:hAnsi="Palatino Linotype"/>
          <w:i w:val="1"/>
          <w:rtl w:val="0"/>
        </w:rPr>
        <w:t xml:space="preserve"> Los funcionarios y empleados públicos respetarán el ejercicio del derecho de petición, siempre que ésta se formule por escrito, de manera pacífica y respetuosa; pero en materia política sólo podrán hacer uso de ese derecho los ciudadanos de la República.</w:t>
      </w:r>
    </w:p>
    <w:p w:rsidR="00000000" w:rsidDel="00000000" w:rsidP="00000000" w:rsidRDefault="00000000" w:rsidRPr="00000000" w14:paraId="00000083">
      <w:pPr>
        <w:spacing w:after="0" w:lineRule="auto"/>
        <w:ind w:left="567" w:right="5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A toda petición deberá recaer un acuerdo escrito de la autoridad a quien se haya dirigido, la cual tiene obligación de hacerlo conocer en breve término al peticionario.</w:t>
      </w:r>
    </w:p>
    <w:p w:rsidR="00000000" w:rsidDel="00000000" w:rsidP="00000000" w:rsidRDefault="00000000" w:rsidRPr="00000000" w14:paraId="0000008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citado, se tiene que, por una parte, se establece el respeto al derecho de petición de los ciudadanos, y por otra, precisa la garantía otorgada en virtud de la cual </w:t>
      </w:r>
      <w:r w:rsidDel="00000000" w:rsidR="00000000" w:rsidRPr="00000000">
        <w:rPr>
          <w:rFonts w:ascii="Palatino Linotype" w:cs="Palatino Linotype" w:eastAsia="Palatino Linotype" w:hAnsi="Palatino Linotype"/>
          <w:b w:val="1"/>
          <w:rtl w:val="0"/>
        </w:rPr>
        <w:t xml:space="preserve">se exige a la autoridad haga recaer un acuerdo escrito que se dé a conocer en breve término al peticionario</w:t>
      </w:r>
      <w:r w:rsidDel="00000000" w:rsidR="00000000" w:rsidRPr="00000000">
        <w:rPr>
          <w:rFonts w:ascii="Palatino Linotype" w:cs="Palatino Linotype" w:eastAsia="Palatino Linotype" w:hAnsi="Palatino Linotype"/>
          <w:rtl w:val="0"/>
        </w:rPr>
        <w:t xml:space="preserve">, robustece lo anterior:</w:t>
      </w:r>
    </w:p>
    <w:p w:rsidR="00000000" w:rsidDel="00000000" w:rsidP="00000000" w:rsidRDefault="00000000" w:rsidRPr="00000000" w14:paraId="0000008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PETICIÓN, DERECHO DE.</w:t>
      </w:r>
      <w:r w:rsidDel="00000000" w:rsidR="00000000" w:rsidRPr="00000000">
        <w:rPr>
          <w:rFonts w:ascii="Palatino Linotype" w:cs="Palatino Linotype" w:eastAsia="Palatino Linotype" w:hAnsi="Palatino Linotype"/>
          <w:i w:val="1"/>
          <w:rtl w:val="0"/>
        </w:rPr>
        <w:t xml:space="preserve"> El artículo 8° constitucional protege en principio la garantía de seguridad legal de los ciudadanos relativa a que sus peticiones serán resueltas, pero ello incluye también la protección del derecho de los particulares a ser informados del estado que guardan sus instancias cuando éstas deban sujetarse a un trámite prolongado, pues el precepto constitucional que se analiza, expresamente </w:t>
      </w:r>
      <w:r w:rsidDel="00000000" w:rsidR="00000000" w:rsidRPr="00000000">
        <w:rPr>
          <w:rFonts w:ascii="Palatino Linotype" w:cs="Palatino Linotype" w:eastAsia="Palatino Linotype" w:hAnsi="Palatino Linotype"/>
          <w:b w:val="1"/>
          <w:i w:val="1"/>
          <w:u w:val="single"/>
          <w:rtl w:val="0"/>
        </w:rPr>
        <w:t xml:space="preserve">establece que a toda petición deberá recaer un acuerdo escrito de la autoridad a la que se haya dirigido, la cual tiene la obligación de hacerlo conocer en breve término al peticionario</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ese sentido, se entiende que la prerrogativa constitucional precisa como un requisito recíproco que, para el correcto ejercicio del derecho de petición, por un lado, que este debe ser formulado por escrito, es decir, la petición que se pretenda debe constar en un documento, y por otro, que a cada petición debe recaer un acuerdo también por escrito, el cual debe hacerse de conocimiento en un </w:t>
      </w:r>
      <w:r w:rsidDel="00000000" w:rsidR="00000000" w:rsidRPr="00000000">
        <w:rPr>
          <w:rFonts w:ascii="Palatino Linotype" w:cs="Palatino Linotype" w:eastAsia="Palatino Linotype" w:hAnsi="Palatino Linotype"/>
          <w:b w:val="1"/>
          <w:rtl w:val="0"/>
        </w:rPr>
        <w:t xml:space="preserve">breve término. </w:t>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Del mismo modo, resulta necesario referir que </w:t>
      </w:r>
      <w:r w:rsidDel="00000000" w:rsidR="00000000" w:rsidRPr="00000000">
        <w:rPr>
          <w:rFonts w:ascii="Palatino Linotype" w:cs="Palatino Linotype" w:eastAsia="Palatino Linotype" w:hAnsi="Palatino Linotype"/>
          <w:i w:val="1"/>
          <w:rtl w:val="0"/>
        </w:rPr>
        <w:t xml:space="preserve">la Jurisprudencia XXI.1o.P.A. J/27, de los Tribunales Colegiados de Circuito, localizada en la página 1406, del Semanario Judicial de la Federación y su Gaceta, Tomo XXXIII, marzo 2011, Novena Época, establece lo siguiente: </w:t>
      </w:r>
    </w:p>
    <w:p w:rsidR="00000000" w:rsidDel="00000000" w:rsidP="00000000" w:rsidRDefault="00000000" w:rsidRPr="00000000" w14:paraId="0000008C">
      <w:pP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D">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DERECHO DE PETICIÓN. SUS ELEMENTOS</w:t>
      </w:r>
      <w:r w:rsidDel="00000000" w:rsidR="00000000" w:rsidRPr="00000000">
        <w:rPr>
          <w:rFonts w:ascii="Palatino Linotype" w:cs="Palatino Linotype" w:eastAsia="Palatino Linotype" w:hAnsi="Palatino Linotype"/>
          <w:i w:val="1"/>
          <w:rtl w:val="0"/>
        </w:rPr>
        <w:t xml:space="preserve">. El denominado "derecho de petición", acorde con los criterios de los tribunales del Poder Judicial de la Federación, es la garantía individual consagrada en el artículo 8o. de la Constitución Política de los Estados Unidos Mexicanos, </w:t>
      </w:r>
      <w:r w:rsidDel="00000000" w:rsidR="00000000" w:rsidRPr="00000000">
        <w:rPr>
          <w:rFonts w:ascii="Palatino Linotype" w:cs="Palatino Linotype" w:eastAsia="Palatino Linotype" w:hAnsi="Palatino Linotype"/>
          <w:b w:val="1"/>
          <w:i w:val="1"/>
          <w:rtl w:val="0"/>
        </w:rPr>
        <w:t xml:space="preserve">en función de la cual cualquier gobernado que presente una petición ante una autoridad, tiene derecho a recibir una respuesta</w:t>
      </w:r>
      <w:r w:rsidDel="00000000" w:rsidR="00000000" w:rsidRPr="00000000">
        <w:rPr>
          <w:rFonts w:ascii="Palatino Linotype" w:cs="Palatino Linotype" w:eastAsia="Palatino Linotype" w:hAnsi="Palatino Linotype"/>
          <w:i w:val="1"/>
          <w:rtl w:val="0"/>
        </w:rPr>
        <w:t xml:space="preserve">.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w:t>
      </w:r>
      <w:r w:rsidDel="00000000" w:rsidR="00000000" w:rsidRPr="00000000">
        <w:rPr>
          <w:rFonts w:ascii="Palatino Linotype" w:cs="Palatino Linotype" w:eastAsia="Palatino Linotype" w:hAnsi="Palatino Linotype"/>
          <w:b w:val="1"/>
          <w:i w:val="1"/>
          <w:u w:val="single"/>
          <w:rtl w:val="0"/>
        </w:rPr>
        <w:t xml:space="preserve">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w:t>
      </w:r>
      <w:r w:rsidDel="00000000" w:rsidR="00000000" w:rsidRPr="00000000">
        <w:rPr>
          <w:rFonts w:ascii="Palatino Linotype" w:cs="Palatino Linotype" w:eastAsia="Palatino Linotype" w:hAnsi="Palatino Linotype"/>
          <w:i w:val="1"/>
          <w:rtl w:val="0"/>
        </w:rPr>
        <w:t xml:space="preserve">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w:t>
      </w:r>
      <w:r w:rsidDel="00000000" w:rsidR="00000000" w:rsidRPr="00000000">
        <w:rPr>
          <w:rFonts w:ascii="Palatino Linotype" w:cs="Palatino Linotype" w:eastAsia="Palatino Linotype" w:hAnsi="Palatino Linotype"/>
          <w:b w:val="1"/>
          <w:i w:val="1"/>
          <w:u w:val="single"/>
          <w:rtl w:val="0"/>
        </w:rPr>
        <w:t xml:space="preserve">la respuesta o trámite que se dé a la petición debe ser comunicada precisamente por la autoridad ante quien se ejercitó el derecho, y no por otra diversa.”</w:t>
      </w: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en atención a los agravios hechos valer por la parte Recurrente relacionados con la negativa de entrega de la información, del análisis a las documentales enviadas por el Sujeto Obligado, se observa lo siguiente: </w:t>
      </w:r>
    </w:p>
    <w:p w:rsidR="00000000" w:rsidDel="00000000" w:rsidP="00000000" w:rsidRDefault="00000000" w:rsidRPr="00000000" w14:paraId="0000009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Sujeto Obligado proporcionó diversos oficios de petición </w:t>
      </w:r>
      <w:r w:rsidDel="00000000" w:rsidR="00000000" w:rsidRPr="00000000">
        <w:rPr>
          <w:rFonts w:ascii="Palatino Linotype" w:cs="Palatino Linotype" w:eastAsia="Palatino Linotype" w:hAnsi="Palatino Linotype"/>
          <w:rtl w:val="0"/>
        </w:rPr>
        <w:t xml:space="preserve">de los años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dos mil veintiuno, dos mil veinticuatro y del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año dos mil veinticinco.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Las respuestas a las peticiones corresponden al año dos mil veinticinco. </w:t>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Tanto las peticiones como sus respuestas corresponden a la temporalidad solicitada por la parte Recurrente. </w:t>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documentos remitidos se entregaron en versión pública. </w:t>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las peticiones se clasificó información relacionada a nombres y firmas de particulares, nombres y firmas de delegados y subdelegados, domicilios, números y correos particulares. </w:t>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las respuestas a las peticiones se clasificó nombres de particulares, secciones de fotografía de eventos. </w:t>
      </w:r>
    </w:p>
    <w:p w:rsidR="00000000" w:rsidDel="00000000" w:rsidP="00000000" w:rsidRDefault="00000000" w:rsidRPr="00000000" w14:paraId="0000009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procede a analizar la versión pública de los documentos proporcionados en respuesta al tenor de lo siguiente:</w:t>
      </w:r>
    </w:p>
    <w:p w:rsidR="00000000" w:rsidDel="00000000" w:rsidP="00000000" w:rsidRDefault="00000000" w:rsidRPr="00000000" w14:paraId="0000009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Nombre de autoridades auxiliares.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 lo que respecta a este punto, es menester precisar que es información de naturaleza pública, es razón de que, se entiende como autoridad auxiliar a aquellos que tienen facultad o derecho de actuar, mandar o de exigir y que sirve como apoyo a las actividades gubernamentales.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el presente caso,  la Ley Orgánica Municipal del Estado de México establece que, son autoridades auxiliares municipales, los delgados, los subdelegados, los jefes de sector o de sección y jefes de manzana.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ese sentido, se desprende que, el Ayuntamiento de Toluca ejecuta acciones de autoridad a través de sus autoridades auxiliares, por lo que, se considera que estos realizan actos de autoridad, de tal manera que, no es procedente su clasificación en términos de la fracción I del artículo 143 de la Ley de Transparencia de la Entidad.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Datos concernientes a particulares que no son servidores públicos, no realizan actos de autoridad y no reciben ni ejercen recursos públicos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Los datos relacionados con un particular que no es servidor público, no realiza actos de autoridad y no ejerce ni recibe recursos públicos, es información que debe ser clasificada en términos de lo dispuesto en la fracción I del artículo 143 de la Ley de Transparencia y Acceso a la Información Pública del Estado de México, en razón de que, no se trata de información de naturaleza pública ni de interés social, por el contrario, su entrega infringiría en la esfera más íntima.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 puede advertir que el Sujeto Obligado clasificó información de naturaleza pública como lo es el nombre y firma de autoridades auxiliares –delegados y subdelegados-, por lo que, el Ayuntamiento de Toluca, deberá proporcionar la información proporcionada en una versión pública correcta. </w:t>
      </w:r>
    </w:p>
    <w:p w:rsidR="00000000" w:rsidDel="00000000" w:rsidP="00000000" w:rsidRDefault="00000000" w:rsidRPr="00000000" w14:paraId="000000A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dable recordar que, de las constancias que obran en el expediente se logra vislumbrar que el Sujeto Obligado, turnó la solicitud de información a la unidad administrativa competente, a saber la Secretaría del Ayuntamiento, específicamente, en la Coordinación de Atención Ciudadana y Correspondencia,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A5">
      <w:pP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0A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 advierte que el Sujeto Obligado cumplió con el procedimiento de búsqueda establecido en el artículo 162 de la Ley de Transparencia y Acceso a la Información Pública del Estado de México y Municipios, al haber gestionado la solicitud de información a la unidad administrativa competente. </w:t>
      </w:r>
    </w:p>
    <w:p w:rsidR="00000000" w:rsidDel="00000000" w:rsidP="00000000" w:rsidRDefault="00000000" w:rsidRPr="00000000" w14:paraId="000000A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debido a que el Sujeto Obligado proporcionó la información requerida clasificando datos de naturaleza pública, se colige que los agravios hechos valer por la parte Recurrente son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y, por ende, este Organismo Garante determina </w:t>
      </w:r>
      <w:r w:rsidDel="00000000" w:rsidR="00000000" w:rsidRPr="00000000">
        <w:rPr>
          <w:rFonts w:ascii="Palatino Linotype" w:cs="Palatino Linotype" w:eastAsia="Palatino Linotype" w:hAnsi="Palatino Linotype"/>
          <w:b w:val="1"/>
          <w:rtl w:val="0"/>
        </w:rPr>
        <w:t xml:space="preserve">MODIFICAR</w:t>
      </w:r>
      <w:r w:rsidDel="00000000" w:rsidR="00000000" w:rsidRPr="00000000">
        <w:rPr>
          <w:rFonts w:ascii="Palatino Linotype" w:cs="Palatino Linotype" w:eastAsia="Palatino Linotype" w:hAnsi="Palatino Linotype"/>
          <w:rtl w:val="0"/>
        </w:rPr>
        <w:t xml:space="preserve"> la respuesta del Sujeto Obligado y;</w:t>
      </w:r>
      <w:r w:rsidDel="00000000" w:rsidR="00000000" w:rsidRPr="00000000">
        <w:rPr>
          <w:rFonts w:ascii="Palatino Linotype" w:cs="Palatino Linotype" w:eastAsia="Palatino Linotype" w:hAnsi="Palatino Linotype"/>
          <w:b w:val="1"/>
          <w:rtl w:val="0"/>
        </w:rPr>
        <w:t xml:space="preserve"> ORDENAR</w:t>
      </w:r>
      <w:r w:rsidDel="00000000" w:rsidR="00000000" w:rsidRPr="00000000">
        <w:rPr>
          <w:rFonts w:ascii="Palatino Linotype" w:cs="Palatino Linotype" w:eastAsia="Palatino Linotype" w:hAnsi="Palatino Linotype"/>
          <w:rtl w:val="0"/>
        </w:rPr>
        <w:t xml:space="preserve">, en versión pública correcta, los documentos donde conste lo siguiente:</w:t>
      </w:r>
    </w:p>
    <w:p w:rsidR="00000000" w:rsidDel="00000000" w:rsidP="00000000" w:rsidRDefault="00000000" w:rsidRPr="00000000" w14:paraId="000000A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spacing w:after="0" w:line="360" w:lineRule="auto"/>
        <w:ind w:left="567"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peticiones ciudadanas y su respuesta del uno de enero al ocho de mayo de dos mil veinticinco.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360" w:lineRule="auto"/>
        <w:ind w:right="56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ser el caso,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0A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rtl w:val="0"/>
        </w:rPr>
        <w:t xml:space="preserve">.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en el asunto que ahora nos ocupa, es conveniente señalar respecto al</w:t>
      </w:r>
      <w:r w:rsidDel="00000000" w:rsidR="00000000" w:rsidRPr="00000000">
        <w:rPr>
          <w:rFonts w:ascii="Palatino Linotype" w:cs="Palatino Linotype" w:eastAsia="Palatino Linotype" w:hAnsi="Palatino Linotype"/>
          <w:b w:val="1"/>
          <w:rtl w:val="0"/>
        </w:rPr>
        <w:t xml:space="preserve"> nombre del peticionario</w:t>
      </w:r>
      <w:r w:rsidDel="00000000" w:rsidR="00000000" w:rsidRPr="00000000">
        <w:rPr>
          <w:rFonts w:ascii="Palatino Linotype" w:cs="Palatino Linotype" w:eastAsia="Palatino Linotype" w:hAnsi="Palatino Linotype"/>
          <w:rtl w:val="0"/>
        </w:rPr>
        <w:t xml:space="preserve">, del cual es de mencionar que el nombre es un atributo de la personalidad, esto en términos de los artículos 2.3, 2.13 y 2.14 del Código civil del Estado de México, el nombre es un atributo de la personalidad que designa e individualiza a una persona, conformado por el sustantivo propio y el primer apellido del padre y el primer apellido de la madre, en el orden que, de común acuerdo determinen.</w:t>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nombre permite identificar a una persona y conocer su filiación, ya que mediante los apellidos puede determinarse su parentesco. Razones por las cuales se considera un dato persona susceptible de clasificarse como dato personal en términos del artículo 143, fracción I, de la Ley de Transparencia y Acceso a la Información Pública del Estado de México y Municipios.</w:t>
      </w:r>
    </w:p>
    <w:p w:rsidR="00000000" w:rsidDel="00000000" w:rsidP="00000000" w:rsidRDefault="00000000" w:rsidRPr="00000000" w14:paraId="000000B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0B7">
      <w:pPr>
        <w:spacing w:after="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B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0B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0B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B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0B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C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0C1">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0C2">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0C3">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0C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C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0C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C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0C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C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CB">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C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0C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D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D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0E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0E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0E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0E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0E4">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0E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0E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0E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0E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0E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0E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0E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0E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0F0">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0F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3">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07669//INFOEM/IP/RR/2024</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02716/TOLUCA/IP/2025.</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F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F5">
      <w:pPr>
        <w:widowControl w:val="0"/>
        <w:spacing w:after="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F6">
      <w:pPr>
        <w:widowControl w:val="0"/>
        <w:spacing w:after="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rPr>
      </w:pPr>
      <w:bookmarkStart w:colFirst="0" w:colLast="0" w:name="_heading=h.2et92p0" w:id="1"/>
      <w:bookmarkEnd w:id="1"/>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Se</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entregada por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02716/TOLUCA/IP/2025</w:t>
      </w:r>
      <w:r w:rsidDel="00000000" w:rsidR="00000000" w:rsidRPr="00000000">
        <w:rPr>
          <w:rFonts w:ascii="Palatino Linotype" w:cs="Palatino Linotype" w:eastAsia="Palatino Linotype" w:hAnsi="Palatino Linotype"/>
          <w:rtl w:val="0"/>
        </w:rPr>
        <w:t xml:space="preserve">, por resultar fundadas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07669/INFOEM/IP/RR/2024,</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0F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del Considerando Cuarto y Quinto, haga entrega, vía Sistema de Acceso a la Información Mexiquense, en versión pública correcta, de lo siguiente: </w:t>
      </w:r>
    </w:p>
    <w:p w:rsidR="00000000" w:rsidDel="00000000" w:rsidP="00000000" w:rsidRDefault="00000000" w:rsidRPr="00000000" w14:paraId="000000F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474"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Las peticiones ciudadanas recibidas y su respuesta del uno de enero al ocho de mayo de dos mil veinticinco.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7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5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leader="none" w:pos="567"/>
          <w:tab w:val="left" w:leader="none" w:pos="993"/>
        </w:tabs>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0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sidDel="00000000" w:rsidR="00000000" w:rsidRPr="00000000">
        <w:rPr>
          <w:rtl w:val="0"/>
        </w:rPr>
      </w:r>
    </w:p>
    <w:p w:rsidR="00000000" w:rsidDel="00000000" w:rsidP="00000000" w:rsidRDefault="00000000" w:rsidRPr="00000000" w14:paraId="0000010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5">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DE SEPTIEMBRE DE DOS MIL VEINTICUATRO, ANTE EL SECRETARIO TÉCNICO DEL PLENO ALEXIS TAPIA RAMÍREZ.</w:t>
      </w:r>
    </w:p>
    <w:p w:rsidR="00000000" w:rsidDel="00000000" w:rsidP="00000000" w:rsidRDefault="00000000" w:rsidRPr="00000000" w14:paraId="000001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-678814</wp:posOffset>
          </wp:positionH>
          <wp:positionV relativeFrom="paragraph">
            <wp:posOffset>-401954</wp:posOffset>
          </wp:positionV>
          <wp:extent cx="7809876" cy="10165823"/>
          <wp:effectExtent b="0" l="0" r="0" t="0"/>
          <wp:wrapNone/>
          <wp:docPr id="195938010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07669/INFOEM/IP/RR/2025 </w:t>
          </w:r>
        </w:p>
      </w:tc>
    </w:tr>
    <w:tr>
      <w:trPr>
        <w:cantSplit w:val="0"/>
        <w:trHeight w:val="217" w:hRule="atLeast"/>
        <w:tblHeader w:val="0"/>
      </w:trPr>
      <w:tc>
        <w:tcPr>
          <w:vAlign w:val="center"/>
        </w:tcPr>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07669/INFOEM/IP/RR/2025 </w:t>
          </w:r>
        </w:p>
      </w:tc>
    </w:tr>
    <w:tr>
      <w:trPr>
        <w:cantSplit w:val="0"/>
        <w:tblHeader w:val="0"/>
      </w:trPr>
      <w:tc>
        <w:tcPr>
          <w:vAlign w:val="center"/>
        </w:tcPr>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119">
          <w:pP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drawing>
              <wp:anchor allowOverlap="1" behindDoc="1" distB="0" distT="0" distL="0" distR="0" hidden="0" layoutInCell="1" locked="0" relativeHeight="0" simplePos="0">
                <wp:simplePos x="0" y="0"/>
                <wp:positionH relativeFrom="column">
                  <wp:posOffset>-3065143</wp:posOffset>
                </wp:positionH>
                <wp:positionV relativeFrom="paragraph">
                  <wp:posOffset>-1162047</wp:posOffset>
                </wp:positionV>
                <wp:extent cx="7809865" cy="10165715"/>
                <wp:effectExtent b="0" l="0" r="0" t="0"/>
                <wp:wrapNone/>
                <wp:docPr id="19593801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c>
        <w:tcPr>
          <w:vAlign w:val="center"/>
        </w:tcPr>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rPr>
          </w:pPr>
          <w:bookmarkStart w:colFirst="0" w:colLast="0" w:name="_heading=h.tyjcwt" w:id="2"/>
          <w:bookmarkEnd w:id="2"/>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1D">
    <w:pPr>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8"/>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table" w:styleId="6" w:customStyle="1">
    <w:name w:val="6"/>
    <w:basedOn w:val="TableNormal1"/>
    <w:tblPr>
      <w:tblStyleRowBandSize w:val="1"/>
      <w:tblStyleColBandSize w:val="1"/>
      <w:tblCellMar>
        <w:top w:w="15.0" w:type="dxa"/>
        <w:left w:w="15.0" w:type="dxa"/>
        <w:bottom w:w="15.0" w:type="dxa"/>
        <w:right w:w="15.0" w:type="dxa"/>
      </w:tblCellMar>
    </w:tblPr>
  </w:style>
  <w:style w:type="table" w:styleId="5" w:customStyle="1">
    <w:name w:val="5"/>
    <w:basedOn w:val="TableNormal1"/>
    <w:tblPr>
      <w:tblStyleRowBandSize w:val="1"/>
      <w:tblStyleColBandSize w:val="1"/>
      <w:tblCellMar>
        <w:left w:w="115.0" w:type="dxa"/>
        <w:right w:w="115.0" w:type="dxa"/>
      </w:tblCellMar>
    </w:tblPr>
  </w:style>
  <w:style w:type="table" w:styleId="4" w:customStyle="1">
    <w:name w:val="4"/>
    <w:basedOn w:val="TableNormal1"/>
    <w:tblPr>
      <w:tblStyleRowBandSize w:val="1"/>
      <w:tblStyleColBandSize w:val="1"/>
      <w:tblCellMar>
        <w:left w:w="115.0" w:type="dxa"/>
        <w:right w:w="115.0" w:type="dxa"/>
      </w:tblCellMar>
    </w:tblPr>
  </w:style>
  <w:style w:type="table" w:styleId="3" w:customStyle="1">
    <w:name w:val="3"/>
    <w:basedOn w:val="TableNormal1"/>
    <w:tblPr>
      <w:tblStyleRowBandSize w:val="1"/>
      <w:tblStyleColBandSize w:val="1"/>
      <w:tblCellMar>
        <w:top w:w="15.0" w:type="dxa"/>
        <w:left w:w="115.0" w:type="dxa"/>
        <w:bottom w:w="15.0" w:type="dxa"/>
        <w:right w:w="115.0" w:type="dxa"/>
      </w:tblCellMar>
    </w:tblPr>
  </w:style>
  <w:style w:type="table" w:styleId="2" w:customStyle="1">
    <w:name w:val="2"/>
    <w:basedOn w:val="TableNormal1"/>
    <w:tblPr>
      <w:tblStyleRowBandSize w:val="1"/>
      <w:tblStyleColBandSize w:val="1"/>
      <w:tblCellMar>
        <w:top w:w="15.0" w:type="dxa"/>
        <w:left w:w="115.0" w:type="dxa"/>
        <w:bottom w:w="15.0" w:type="dxa"/>
        <w:right w:w="115.0" w:type="dxa"/>
      </w:tblCellMar>
    </w:tblPr>
  </w:style>
  <w:style w:type="table" w:styleId="1" w:customStyle="1">
    <w:name w:val="1"/>
    <w:basedOn w:val="TableNormal1"/>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spacing w:after="0" w:line="240" w:lineRule="auto"/>
    </w:pPr>
    <w:rPr>
      <w:rFonts w:ascii="Arial" w:cs="Arial" w:hAnsi="Arial"/>
      <w:color w:val="000000"/>
      <w:sz w:val="24"/>
      <w:szCs w:val="24"/>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table" w:styleId="9" w:customStyle="1">
    <w:name w:val="9"/>
    <w:basedOn w:val="TableNormal2"/>
    <w:pPr>
      <w:spacing w:after="0" w:line="240" w:lineRule="auto"/>
    </w:pPr>
    <w:tblPr>
      <w:tblStyleRowBandSize w:val="1"/>
      <w:tblStyleColBandSize w:val="1"/>
      <w:tblCellMar>
        <w:left w:w="108.0" w:type="dxa"/>
        <w:right w:w="108.0" w:type="dxa"/>
      </w:tblCellMar>
    </w:tblPr>
  </w:style>
  <w:style w:type="table" w:styleId="8" w:customStyle="1">
    <w:name w:val="8"/>
    <w:basedOn w:val="TableNormal2"/>
    <w:tblPr>
      <w:tblStyleRowBandSize w:val="1"/>
      <w:tblStyleColBandSize w:val="1"/>
      <w:tblCellMar>
        <w:top w:w="15.0" w:type="dxa"/>
        <w:left w:w="115.0" w:type="dxa"/>
        <w:bottom w:w="15.0" w:type="dxa"/>
        <w:right w:w="115.0" w:type="dxa"/>
      </w:tblCellMar>
    </w:tblPr>
  </w:style>
  <w:style w:type="table" w:styleId="7" w:customStyle="1">
    <w:name w:val="7"/>
    <w:basedOn w:val="TableNormal2"/>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91EC4"/>
    <w:rPr>
      <w:color w:val="605e5c"/>
      <w:shd w:color="auto" w:fill="e1dfdd" w:val="clear"/>
    </w:rPr>
  </w:style>
  <w:style w:type="character" w:styleId="Refdecomentario">
    <w:name w:val="annotation reference"/>
    <w:basedOn w:val="Fuentedeprrafopredeter"/>
    <w:uiPriority w:val="99"/>
    <w:semiHidden w:val="1"/>
    <w:unhideWhenUsed w:val="1"/>
    <w:rsid w:val="007266CA"/>
    <w:rPr>
      <w:sz w:val="16"/>
      <w:szCs w:val="16"/>
    </w:rPr>
  </w:style>
  <w:style w:type="paragraph" w:styleId="Textocomentario">
    <w:name w:val="annotation text"/>
    <w:basedOn w:val="Normal"/>
    <w:link w:val="TextocomentarioCar"/>
    <w:uiPriority w:val="99"/>
    <w:semiHidden w:val="1"/>
    <w:unhideWhenUsed w:val="1"/>
    <w:rsid w:val="007266CA"/>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7266CA"/>
    <w:rPr>
      <w:rFonts w:cs="Times New Roman" w:eastAsia="Times New Roman"/>
      <w:sz w:val="20"/>
      <w:szCs w:val="20"/>
      <w:lang w:eastAsia="en-US"/>
    </w:rPr>
  </w:style>
  <w:style w:type="paragraph" w:styleId="Asuntodelcomentario">
    <w:name w:val="annotation subject"/>
    <w:basedOn w:val="Textocomentario"/>
    <w:next w:val="Textocomentario"/>
    <w:link w:val="AsuntodelcomentarioCar"/>
    <w:uiPriority w:val="99"/>
    <w:semiHidden w:val="1"/>
    <w:unhideWhenUsed w:val="1"/>
    <w:rsid w:val="007266CA"/>
    <w:rPr>
      <w:b w:val="1"/>
      <w:bCs w:val="1"/>
    </w:rPr>
  </w:style>
  <w:style w:type="character" w:styleId="AsuntodelcomentarioCar" w:customStyle="1">
    <w:name w:val="Asunto del comentario Car"/>
    <w:basedOn w:val="TextocomentarioCar"/>
    <w:link w:val="Asuntodelcomentario"/>
    <w:uiPriority w:val="99"/>
    <w:semiHidden w:val="1"/>
    <w:rsid w:val="007266CA"/>
    <w:rPr>
      <w:rFonts w:cs="Times New Roman" w:eastAsia="Times New Roman"/>
      <w:b w:val="1"/>
      <w:bCs w:val="1"/>
      <w:sz w:val="20"/>
      <w:szCs w:val="20"/>
      <w:lang w:eastAsia="en-US"/>
    </w:rPr>
  </w:style>
  <w:style w:type="character" w:styleId="Textodelmarcadordeposicin">
    <w:name w:val="Placeholder Text"/>
    <w:basedOn w:val="Fuentedeprrafopredeter"/>
    <w:uiPriority w:val="99"/>
    <w:semiHidden w:val="1"/>
    <w:rsid w:val="007266CA"/>
    <w:rPr>
      <w:color w:val="808080"/>
    </w:rPr>
  </w:style>
  <w:style w:type="character" w:styleId="Hipervnculovisitado">
    <w:name w:val="FollowedHyperlink"/>
    <w:basedOn w:val="Fuentedeprrafopredeter"/>
    <w:uiPriority w:val="99"/>
    <w:semiHidden w:val="1"/>
    <w:unhideWhenUsed w:val="1"/>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FC1F2B"/>
    <w:pPr>
      <w:spacing w:after="0" w:line="240" w:lineRule="auto"/>
    </w:pPr>
    <w:rPr>
      <w:rFonts w:asciiTheme="minorHAnsi" w:cstheme="minorBidi" w:eastAsiaTheme="minorHAnsi" w:hAnsiTheme="minorHAnsi"/>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FC1F2B"/>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FC1F2B"/>
    <w:rPr>
      <w:vertAlign w:val="superscript"/>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pPr>
      <w:spacing w:after="0" w:line="240" w:lineRule="auto"/>
    </w:pPr>
    <w:tblPr>
      <w:tblStyleRowBandSize w:val="1"/>
      <w:tblStyleColBandSize w:val="1"/>
      <w:tblCellMar>
        <w:left w:w="108.0" w:type="dxa"/>
        <w:right w:w="108.0" w:type="dxa"/>
      </w:tblCellMar>
    </w:tblPr>
  </w:style>
  <w:style w:type="table" w:styleId="a3"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4"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IkuKBdjufUNBAddqew3CRniw4Q==">CgMxLjAyCWguMWZvYjl0ZTIJaC4yZXQ5MnAwMghoLnR5amN3dDgAciExQXpnUlpZd2VvR0JING96Q3lGMUo4anVxQmJDenh1UkI=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2025-10-06T17:50:00Z</dcterms:created>
  <dc:creator>Cuenta Microsoft</dc:creator>
</cp:coreProperties>
</file>