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34AB" w14:textId="3444FA4E" w:rsidR="009338B5"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5E16E7" w:rsidRPr="000C6A42">
        <w:rPr>
          <w:rFonts w:ascii="Palatino Linotype" w:eastAsia="Palatino Linotype" w:hAnsi="Palatino Linotype" w:cs="Palatino Linotype"/>
        </w:rPr>
        <w:t>doce de marzo</w:t>
      </w:r>
      <w:r w:rsidR="005A5FFF" w:rsidRPr="000C6A42">
        <w:rPr>
          <w:rFonts w:ascii="Palatino Linotype" w:eastAsia="Palatino Linotype" w:hAnsi="Palatino Linotype" w:cs="Palatino Linotype"/>
        </w:rPr>
        <w:t xml:space="preserve"> de dos mil veinticinco</w:t>
      </w:r>
      <w:r w:rsidRPr="000C6A42">
        <w:rPr>
          <w:rFonts w:ascii="Palatino Linotype" w:eastAsia="Palatino Linotype" w:hAnsi="Palatino Linotype" w:cs="Palatino Linotype"/>
        </w:rPr>
        <w:t xml:space="preserve">. </w:t>
      </w:r>
    </w:p>
    <w:p w14:paraId="732E6F57" w14:textId="77777777" w:rsidR="009338B5" w:rsidRPr="000C6A42" w:rsidRDefault="009338B5" w:rsidP="00CC2B3B">
      <w:pPr>
        <w:spacing w:after="0" w:line="360" w:lineRule="auto"/>
        <w:ind w:right="49"/>
        <w:jc w:val="center"/>
        <w:rPr>
          <w:rFonts w:ascii="Palatino Linotype" w:eastAsia="Palatino Linotype" w:hAnsi="Palatino Linotype" w:cs="Palatino Linotype"/>
        </w:rPr>
      </w:pPr>
    </w:p>
    <w:p w14:paraId="57725A1C" w14:textId="351B3244" w:rsidR="009338B5"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 xml:space="preserve">Visto el expediente relativo al recurso de revisión </w:t>
      </w:r>
      <w:r w:rsidR="005E16E7" w:rsidRPr="000C6A42">
        <w:rPr>
          <w:rFonts w:ascii="Palatino Linotype" w:eastAsia="Palatino Linotype" w:hAnsi="Palatino Linotype" w:cs="Palatino Linotype"/>
          <w:b/>
        </w:rPr>
        <w:t>00649</w:t>
      </w:r>
      <w:r w:rsidR="005A5FFF" w:rsidRPr="000C6A42">
        <w:rPr>
          <w:rFonts w:ascii="Palatino Linotype" w:eastAsia="Palatino Linotype" w:hAnsi="Palatino Linotype" w:cs="Palatino Linotype"/>
          <w:b/>
        </w:rPr>
        <w:t>/INFOEM/IP/RR/2025</w:t>
      </w:r>
      <w:r w:rsidRPr="000C6A42">
        <w:rPr>
          <w:rFonts w:ascii="Palatino Linotype" w:eastAsia="Palatino Linotype" w:hAnsi="Palatino Linotype" w:cs="Palatino Linotype"/>
        </w:rPr>
        <w:t xml:space="preserve">, interpuesto por </w:t>
      </w:r>
      <w:r w:rsidR="005A5FFF" w:rsidRPr="000C6A42">
        <w:rPr>
          <w:rFonts w:ascii="Palatino Linotype" w:eastAsia="Palatino Linotype" w:hAnsi="Palatino Linotype" w:cs="Palatino Linotype"/>
          <w:b/>
        </w:rPr>
        <w:t>una persona usuaria del Sistema de Acceso a la Información Mexiquense</w:t>
      </w:r>
      <w:r w:rsidRPr="000C6A42">
        <w:rPr>
          <w:rFonts w:ascii="Palatino Linotype" w:eastAsia="Palatino Linotype" w:hAnsi="Palatino Linotype" w:cs="Palatino Linotype"/>
        </w:rPr>
        <w:t xml:space="preserve">, al cual en lo sucesivo se le denominará la parte </w:t>
      </w:r>
      <w:r w:rsidRPr="000C6A42">
        <w:rPr>
          <w:rFonts w:ascii="Palatino Linotype" w:eastAsia="Palatino Linotype" w:hAnsi="Palatino Linotype" w:cs="Palatino Linotype"/>
          <w:b/>
        </w:rPr>
        <w:t>RECURRENTE</w:t>
      </w:r>
      <w:r w:rsidRPr="000C6A42">
        <w:rPr>
          <w:rFonts w:ascii="Palatino Linotype" w:eastAsia="Palatino Linotype" w:hAnsi="Palatino Linotype" w:cs="Palatino Linotype"/>
        </w:rPr>
        <w:t xml:space="preserve">, en contra de la </w:t>
      </w:r>
      <w:r w:rsidR="009A351A" w:rsidRPr="000C6A42">
        <w:rPr>
          <w:rFonts w:ascii="Palatino Linotype" w:eastAsia="Palatino Linotype" w:hAnsi="Palatino Linotype" w:cs="Palatino Linotype"/>
        </w:rPr>
        <w:t xml:space="preserve">falta de </w:t>
      </w:r>
      <w:r w:rsidRPr="000C6A42">
        <w:rPr>
          <w:rFonts w:ascii="Palatino Linotype" w:eastAsia="Palatino Linotype" w:hAnsi="Palatino Linotype" w:cs="Palatino Linotype"/>
        </w:rPr>
        <w:t xml:space="preserve">respuesta a su solicitud de información identificada con número de folio </w:t>
      </w:r>
      <w:r w:rsidR="005E16E7" w:rsidRPr="000C6A42">
        <w:rPr>
          <w:rFonts w:ascii="Palatino Linotype" w:eastAsia="Palatino Linotype" w:hAnsi="Palatino Linotype" w:cs="Palatino Linotype"/>
          <w:b/>
        </w:rPr>
        <w:t>00065</w:t>
      </w:r>
      <w:r w:rsidRPr="000C6A42">
        <w:rPr>
          <w:rFonts w:ascii="Palatino Linotype" w:eastAsia="Palatino Linotype" w:hAnsi="Palatino Linotype" w:cs="Palatino Linotype"/>
          <w:b/>
        </w:rPr>
        <w:t>/</w:t>
      </w:r>
      <w:r w:rsidR="005E16E7" w:rsidRPr="000C6A42">
        <w:rPr>
          <w:rFonts w:ascii="Palatino Linotype" w:eastAsia="Palatino Linotype" w:hAnsi="Palatino Linotype" w:cs="Palatino Linotype"/>
          <w:b/>
        </w:rPr>
        <w:t>TOLUCA/IP/2025</w:t>
      </w:r>
      <w:r w:rsidR="005E16E7" w:rsidRPr="000C6A42">
        <w:rPr>
          <w:rFonts w:ascii="Palatino Linotype" w:eastAsia="Palatino Linotype" w:hAnsi="Palatino Linotype" w:cs="Palatino Linotype"/>
        </w:rPr>
        <w:t xml:space="preserve"> proporcionada por parte del Ayuntamiento de Toluca</w:t>
      </w:r>
      <w:r w:rsidRPr="000C6A42">
        <w:rPr>
          <w:rFonts w:ascii="Palatino Linotype" w:eastAsia="Palatino Linotype" w:hAnsi="Palatino Linotype" w:cs="Palatino Linotype"/>
        </w:rPr>
        <w:t xml:space="preserve">, en lo sucesivo el </w:t>
      </w:r>
      <w:r w:rsidRPr="000C6A42">
        <w:rPr>
          <w:rFonts w:ascii="Palatino Linotype" w:eastAsia="Palatino Linotype" w:hAnsi="Palatino Linotype" w:cs="Palatino Linotype"/>
          <w:b/>
        </w:rPr>
        <w:t>SUJETO OBLIGADO</w:t>
      </w:r>
      <w:r w:rsidRPr="000C6A42">
        <w:rPr>
          <w:rFonts w:ascii="Palatino Linotype" w:eastAsia="Palatino Linotype" w:hAnsi="Palatino Linotype" w:cs="Palatino Linotype"/>
        </w:rPr>
        <w:t>; se procede a dictar la presente resolución, con base en los siguientes:</w:t>
      </w:r>
    </w:p>
    <w:p w14:paraId="58F7C79A" w14:textId="77777777" w:rsidR="009338B5" w:rsidRPr="000C6A42" w:rsidRDefault="009338B5" w:rsidP="00CC2B3B">
      <w:pPr>
        <w:spacing w:after="0" w:line="360" w:lineRule="auto"/>
        <w:ind w:right="49"/>
        <w:jc w:val="both"/>
        <w:rPr>
          <w:rFonts w:ascii="Palatino Linotype" w:eastAsia="Palatino Linotype" w:hAnsi="Palatino Linotype" w:cs="Palatino Linotype"/>
        </w:rPr>
      </w:pPr>
    </w:p>
    <w:p w14:paraId="34B13A36" w14:textId="77777777" w:rsidR="009338B5" w:rsidRPr="000C6A42" w:rsidRDefault="00E0628C" w:rsidP="00CC2B3B">
      <w:pPr>
        <w:spacing w:after="0" w:line="360" w:lineRule="auto"/>
        <w:ind w:right="49"/>
        <w:jc w:val="center"/>
        <w:rPr>
          <w:rFonts w:ascii="Palatino Linotype" w:eastAsia="Palatino Linotype" w:hAnsi="Palatino Linotype" w:cs="Palatino Linotype"/>
          <w:b/>
        </w:rPr>
      </w:pPr>
      <w:r w:rsidRPr="000C6A42">
        <w:rPr>
          <w:rFonts w:ascii="Palatino Linotype" w:eastAsia="Palatino Linotype" w:hAnsi="Palatino Linotype" w:cs="Palatino Linotype"/>
          <w:b/>
        </w:rPr>
        <w:t>I.</w:t>
      </w:r>
      <w:r w:rsidRPr="000C6A42">
        <w:rPr>
          <w:rFonts w:ascii="Palatino Linotype" w:eastAsia="Palatino Linotype" w:hAnsi="Palatino Linotype" w:cs="Palatino Linotype"/>
          <w:b/>
        </w:rPr>
        <w:tab/>
        <w:t>A N T E C E D E N T E S</w:t>
      </w:r>
    </w:p>
    <w:p w14:paraId="0E12E63D" w14:textId="77777777" w:rsidR="009338B5" w:rsidRPr="000C6A42" w:rsidRDefault="009338B5" w:rsidP="00CC2B3B">
      <w:pPr>
        <w:spacing w:after="0" w:line="360" w:lineRule="auto"/>
        <w:ind w:right="49"/>
        <w:jc w:val="both"/>
        <w:rPr>
          <w:rFonts w:ascii="Palatino Linotype" w:eastAsia="Palatino Linotype" w:hAnsi="Palatino Linotype" w:cs="Palatino Linotype"/>
        </w:rPr>
      </w:pPr>
    </w:p>
    <w:p w14:paraId="0617639E" w14:textId="59B1E9C5" w:rsidR="009338B5" w:rsidRPr="000C6A42" w:rsidRDefault="00E0628C" w:rsidP="00182F1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C6A42">
        <w:rPr>
          <w:rFonts w:ascii="Palatino Linotype" w:eastAsia="Palatino Linotype" w:hAnsi="Palatino Linotype" w:cs="Palatino Linotype"/>
          <w:b/>
        </w:rPr>
        <w:t>Solicitud de acceso a la información.</w:t>
      </w:r>
      <w:r w:rsidR="00182F1C" w:rsidRPr="000C6A42">
        <w:rPr>
          <w:rFonts w:ascii="Palatino Linotype" w:eastAsia="Palatino Linotype" w:hAnsi="Palatino Linotype" w:cs="Palatino Linotype"/>
        </w:rPr>
        <w:t xml:space="preserve"> Con fecha </w:t>
      </w:r>
      <w:r w:rsidR="00182F1C" w:rsidRPr="000C6A42">
        <w:rPr>
          <w:rFonts w:ascii="Palatino Linotype" w:eastAsia="Palatino Linotype" w:hAnsi="Palatino Linotype" w:cs="Palatino Linotype"/>
          <w:b/>
        </w:rPr>
        <w:t>treinta de diciembre de dos mil veinticuatro,</w:t>
      </w:r>
      <w:r w:rsidR="00182F1C" w:rsidRPr="000C6A42">
        <w:rPr>
          <w:rFonts w:ascii="Palatino Linotype" w:eastAsia="Palatino Linotype" w:hAnsi="Palatino Linotype" w:cs="Palatino Linotype"/>
        </w:rPr>
        <w:t xml:space="preserve"> el Recurrente formuló una solicitud; sin embargo, al corresponder a día inhábil se tuvo por presentada el día </w:t>
      </w:r>
      <w:r w:rsidR="00182F1C" w:rsidRPr="000C6A42">
        <w:rPr>
          <w:rFonts w:ascii="Palatino Linotype" w:eastAsia="Palatino Linotype" w:hAnsi="Palatino Linotype" w:cs="Palatino Linotype"/>
          <w:b/>
        </w:rPr>
        <w:t>trece de enero de dos mil veinticinco</w:t>
      </w:r>
      <w:r w:rsidR="00182F1C" w:rsidRPr="000C6A42">
        <w:rPr>
          <w:rFonts w:ascii="Palatino Linotype" w:eastAsia="Palatino Linotype" w:hAnsi="Palatino Linotype" w:cs="Palatino Linotype"/>
        </w:rPr>
        <w:t xml:space="preserve">, través del Sistema de Acceso a la Información Mexiquense, en lo subsecuente el SAIMEX, ante el SUJETO OBLIGADO, la solicitud de acceso a la información pública, a la que se le asignó el número </w:t>
      </w:r>
      <w:r w:rsidR="00182F1C" w:rsidRPr="000C6A42">
        <w:rPr>
          <w:rFonts w:ascii="Palatino Linotype" w:eastAsia="Palatino Linotype" w:hAnsi="Palatino Linotype" w:cs="Palatino Linotype"/>
          <w:b/>
        </w:rPr>
        <w:t>00065/TOLUCA/IP/2025</w:t>
      </w:r>
      <w:r w:rsidR="00182F1C" w:rsidRPr="000C6A42">
        <w:rPr>
          <w:rFonts w:ascii="Palatino Linotype" w:eastAsia="Palatino Linotype" w:hAnsi="Palatino Linotype" w:cs="Palatino Linotype"/>
        </w:rPr>
        <w:t>, mediante la cual requirió la información siguiente:</w:t>
      </w:r>
      <w:r w:rsidRPr="000C6A42">
        <w:rPr>
          <w:rFonts w:ascii="Palatino Linotype" w:eastAsia="Palatino Linotype" w:hAnsi="Palatino Linotype" w:cs="Palatino Linotype"/>
        </w:rPr>
        <w:t xml:space="preserve"> </w:t>
      </w:r>
    </w:p>
    <w:p w14:paraId="4A555361" w14:textId="77777777" w:rsidR="009338B5" w:rsidRPr="000C6A42" w:rsidRDefault="009338B5" w:rsidP="00CC2B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66C85CE" w14:textId="4589395C" w:rsidR="009338B5" w:rsidRPr="000C6A42" w:rsidRDefault="005A5FFF" w:rsidP="00CC2B3B">
      <w:pPr>
        <w:spacing w:after="0" w:line="360" w:lineRule="auto"/>
        <w:ind w:left="567" w:right="560"/>
        <w:jc w:val="both"/>
        <w:rPr>
          <w:rFonts w:ascii="Palatino Linotype" w:eastAsia="Palatino Linotype" w:hAnsi="Palatino Linotype" w:cs="Palatino Linotype"/>
          <w:i/>
        </w:rPr>
      </w:pPr>
      <w:bookmarkStart w:id="0" w:name="_heading=h.30j0zll" w:colFirst="0" w:colLast="0"/>
      <w:bookmarkEnd w:id="0"/>
      <w:r w:rsidRPr="000C6A42">
        <w:rPr>
          <w:rFonts w:ascii="Palatino Linotype" w:eastAsia="Palatino Linotype" w:hAnsi="Palatino Linotype" w:cs="Palatino Linotype"/>
          <w:i/>
        </w:rPr>
        <w:t>“</w:t>
      </w:r>
      <w:r w:rsidR="005E16E7" w:rsidRPr="000C6A42">
        <w:rPr>
          <w:rFonts w:ascii="Palatino Linotype" w:eastAsia="Palatino Linotype" w:hAnsi="Palatino Linotype" w:cs="Palatino Linotype"/>
          <w:i/>
        </w:rPr>
        <w:t>Se solicita los estados de cuenta de las cuentas bancarias del ayuntamiento al 31 de diciembre de 2024</w:t>
      </w:r>
      <w:r w:rsidR="00E0628C" w:rsidRPr="000C6A42">
        <w:rPr>
          <w:rFonts w:ascii="Palatino Linotype" w:eastAsia="Palatino Linotype" w:hAnsi="Palatino Linotype" w:cs="Palatino Linotype"/>
          <w:i/>
        </w:rPr>
        <w:t>”</w:t>
      </w:r>
    </w:p>
    <w:p w14:paraId="4C561A4F" w14:textId="77777777" w:rsidR="009338B5" w:rsidRPr="000C6A42" w:rsidRDefault="009338B5" w:rsidP="00CC2B3B">
      <w:pPr>
        <w:spacing w:after="0" w:line="360" w:lineRule="auto"/>
        <w:ind w:left="567" w:right="560"/>
        <w:jc w:val="both"/>
        <w:rPr>
          <w:rFonts w:ascii="Palatino Linotype" w:eastAsia="Palatino Linotype" w:hAnsi="Palatino Linotype" w:cs="Palatino Linotype"/>
          <w:i/>
        </w:rPr>
      </w:pPr>
    </w:p>
    <w:p w14:paraId="2BECFED4" w14:textId="19620023" w:rsidR="005E16E7"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b/>
        </w:rPr>
        <w:t>Modalidad elegida para la entrega de la información:</w:t>
      </w:r>
      <w:r w:rsidRPr="000C6A42">
        <w:rPr>
          <w:rFonts w:ascii="Palatino Linotype" w:eastAsia="Palatino Linotype" w:hAnsi="Palatino Linotype" w:cs="Palatino Linotype"/>
        </w:rPr>
        <w:t xml:space="preserve"> a través del Sistema de Acceso a la Información Mexiquense (SAIMEX). </w:t>
      </w:r>
    </w:p>
    <w:p w14:paraId="38A8E71F" w14:textId="13A49684" w:rsidR="009338B5" w:rsidRPr="000C6A42" w:rsidRDefault="00E0628C" w:rsidP="00CC2B3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C6A42">
        <w:rPr>
          <w:rFonts w:ascii="Palatino Linotype" w:eastAsia="Palatino Linotype" w:hAnsi="Palatino Linotype" w:cs="Palatino Linotype"/>
          <w:b/>
        </w:rPr>
        <w:lastRenderedPageBreak/>
        <w:t>Respuesta.</w:t>
      </w:r>
      <w:r w:rsidRPr="000C6A42">
        <w:rPr>
          <w:rFonts w:ascii="Palatino Linotype" w:eastAsia="Palatino Linotype" w:hAnsi="Palatino Linotype" w:cs="Palatino Linotype"/>
        </w:rPr>
        <w:t xml:space="preserve"> </w:t>
      </w:r>
      <w:r w:rsidR="005E16E7" w:rsidRPr="000C6A42">
        <w:rPr>
          <w:rFonts w:ascii="Palatino Linotype" w:eastAsia="Palatino Linotype" w:hAnsi="Palatino Linotype" w:cs="Palatino Linotype"/>
        </w:rPr>
        <w:t xml:space="preserve">El </w:t>
      </w:r>
      <w:r w:rsidR="005E16E7" w:rsidRPr="000C6A42">
        <w:rPr>
          <w:rFonts w:ascii="Palatino Linotype" w:eastAsia="Palatino Linotype" w:hAnsi="Palatino Linotype" w:cs="Palatino Linotype"/>
          <w:b/>
        </w:rPr>
        <w:t xml:space="preserve">SUJETO OBLIGADO </w:t>
      </w:r>
      <w:r w:rsidR="005E16E7" w:rsidRPr="000C6A42">
        <w:rPr>
          <w:rFonts w:ascii="Palatino Linotype" w:eastAsia="Palatino Linotype" w:hAnsi="Palatino Linotype" w:cs="Palatino Linotype"/>
        </w:rPr>
        <w:t xml:space="preserve">fue omiso en remitir una respuesta. </w:t>
      </w:r>
    </w:p>
    <w:p w14:paraId="5FAC02D3" w14:textId="77777777" w:rsidR="00182F1C" w:rsidRPr="000C6A42" w:rsidRDefault="00182F1C" w:rsidP="00182F1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2B77258" w14:textId="00C4ECDA" w:rsidR="009338B5" w:rsidRPr="000C6A42" w:rsidRDefault="00E0628C" w:rsidP="00CC2B3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C6A42">
        <w:rPr>
          <w:rFonts w:ascii="Palatino Linotype" w:eastAsia="Palatino Linotype" w:hAnsi="Palatino Linotype" w:cs="Palatino Linotype"/>
          <w:b/>
        </w:rPr>
        <w:t xml:space="preserve">Recurso de Revisión. </w:t>
      </w:r>
      <w:r w:rsidRPr="000C6A42">
        <w:rPr>
          <w:rFonts w:ascii="Palatino Linotype" w:eastAsia="Palatino Linotype" w:hAnsi="Palatino Linotype" w:cs="Palatino Linotype"/>
        </w:rPr>
        <w:t xml:space="preserve">La persona solicitante, derivado de la </w:t>
      </w:r>
      <w:r w:rsidR="009A351A" w:rsidRPr="000C6A42">
        <w:rPr>
          <w:rFonts w:ascii="Palatino Linotype" w:eastAsia="Palatino Linotype" w:hAnsi="Palatino Linotype" w:cs="Palatino Linotype"/>
        </w:rPr>
        <w:t xml:space="preserve">falta de </w:t>
      </w:r>
      <w:r w:rsidRPr="000C6A42">
        <w:rPr>
          <w:rFonts w:ascii="Palatino Linotype" w:eastAsia="Palatino Linotype" w:hAnsi="Palatino Linotype" w:cs="Palatino Linotype"/>
        </w:rPr>
        <w:t xml:space="preserve">respuesta del </w:t>
      </w:r>
      <w:r w:rsidRPr="000C6A42">
        <w:rPr>
          <w:rFonts w:ascii="Palatino Linotype" w:eastAsia="Palatino Linotype" w:hAnsi="Palatino Linotype" w:cs="Palatino Linotype"/>
          <w:b/>
        </w:rPr>
        <w:t>SUJETO OBLIGADO</w:t>
      </w:r>
      <w:r w:rsidRPr="000C6A42">
        <w:rPr>
          <w:rFonts w:ascii="Palatino Linotype" w:eastAsia="Palatino Linotype" w:hAnsi="Palatino Linotype" w:cs="Palatino Linotype"/>
        </w:rPr>
        <w:t xml:space="preserve"> interpuso Recurso de Revisión a través del </w:t>
      </w:r>
      <w:r w:rsidRPr="000C6A42">
        <w:rPr>
          <w:rFonts w:ascii="Palatino Linotype" w:eastAsia="Palatino Linotype" w:hAnsi="Palatino Linotype" w:cs="Palatino Linotype"/>
          <w:b/>
        </w:rPr>
        <w:t>SAIMEX</w:t>
      </w:r>
      <w:r w:rsidRPr="000C6A42">
        <w:rPr>
          <w:rFonts w:ascii="Palatino Linotype" w:eastAsia="Palatino Linotype" w:hAnsi="Palatino Linotype" w:cs="Palatino Linotype"/>
        </w:rPr>
        <w:t xml:space="preserve"> en fecha </w:t>
      </w:r>
      <w:r w:rsidR="005E16E7" w:rsidRPr="000C6A42">
        <w:rPr>
          <w:rFonts w:ascii="Palatino Linotype" w:eastAsia="Palatino Linotype" w:hAnsi="Palatino Linotype" w:cs="Palatino Linotype"/>
          <w:b/>
        </w:rPr>
        <w:t>cinco de febrero de dos mil veinticinco</w:t>
      </w:r>
      <w:r w:rsidRPr="000C6A42">
        <w:rPr>
          <w:rFonts w:ascii="Palatino Linotype" w:eastAsia="Palatino Linotype" w:hAnsi="Palatino Linotype" w:cs="Palatino Linotype"/>
        </w:rPr>
        <w:t>, a través del cual expresó lo siguiente:</w:t>
      </w:r>
    </w:p>
    <w:p w14:paraId="12AA6AE5" w14:textId="77777777" w:rsidR="0004412B" w:rsidRPr="000C6A42" w:rsidRDefault="0004412B" w:rsidP="00CC2B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ED38D43" w14:textId="3D4399D5" w:rsidR="009338B5" w:rsidRPr="000C6A42" w:rsidRDefault="00E0628C" w:rsidP="00CC2B3B">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rPr>
      </w:pPr>
      <w:r w:rsidRPr="000C6A42">
        <w:rPr>
          <w:rFonts w:ascii="Palatino Linotype" w:eastAsia="Palatino Linotype" w:hAnsi="Palatino Linotype" w:cs="Palatino Linotype"/>
          <w:b/>
        </w:rPr>
        <w:t xml:space="preserve">Acto impugnado. </w:t>
      </w:r>
      <w:r w:rsidRPr="000C6A42">
        <w:rPr>
          <w:rFonts w:ascii="Palatino Linotype" w:eastAsia="Palatino Linotype" w:hAnsi="Palatino Linotype" w:cs="Palatino Linotype"/>
          <w:i/>
        </w:rPr>
        <w:t>“</w:t>
      </w:r>
      <w:r w:rsidR="005E16E7" w:rsidRPr="000C6A42">
        <w:rPr>
          <w:rFonts w:ascii="Palatino Linotype" w:eastAsia="Palatino Linotype" w:hAnsi="Palatino Linotype" w:cs="Palatino Linotype"/>
          <w:i/>
        </w:rPr>
        <w:t>Falta de respuesta a mi solicitud</w:t>
      </w:r>
      <w:r w:rsidRPr="000C6A42">
        <w:rPr>
          <w:rFonts w:ascii="Palatino Linotype" w:eastAsia="Palatino Linotype" w:hAnsi="Palatino Linotype" w:cs="Palatino Linotype"/>
          <w:i/>
        </w:rPr>
        <w:t>”.</w:t>
      </w:r>
    </w:p>
    <w:p w14:paraId="04DF146B" w14:textId="77777777" w:rsidR="009338B5" w:rsidRPr="000C6A42" w:rsidRDefault="009338B5" w:rsidP="00CC2B3B">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rPr>
      </w:pPr>
    </w:p>
    <w:p w14:paraId="7D1EEE83" w14:textId="15F2E4CA" w:rsidR="009338B5" w:rsidRPr="000C6A42" w:rsidRDefault="00E0628C" w:rsidP="00CC2B3B">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i/>
        </w:rPr>
      </w:pPr>
      <w:r w:rsidRPr="000C6A42">
        <w:rPr>
          <w:rFonts w:ascii="Palatino Linotype" w:eastAsia="Palatino Linotype" w:hAnsi="Palatino Linotype" w:cs="Palatino Linotype"/>
          <w:b/>
        </w:rPr>
        <w:t xml:space="preserve">Razones o motivos de la inconformidad: </w:t>
      </w:r>
      <w:r w:rsidRPr="000C6A42">
        <w:rPr>
          <w:rFonts w:ascii="Palatino Linotype" w:eastAsia="Palatino Linotype" w:hAnsi="Palatino Linotype" w:cs="Palatino Linotype"/>
          <w:i/>
        </w:rPr>
        <w:t>“</w:t>
      </w:r>
      <w:r w:rsidR="005E16E7" w:rsidRPr="000C6A42">
        <w:rPr>
          <w:rFonts w:ascii="Palatino Linotype" w:eastAsia="Palatino Linotype" w:hAnsi="Palatino Linotype" w:cs="Palatino Linotype"/>
          <w:i/>
        </w:rPr>
        <w:t>Falta de respuesta a mi solicitud</w:t>
      </w:r>
      <w:r w:rsidRPr="000C6A42">
        <w:rPr>
          <w:rFonts w:ascii="Palatino Linotype" w:eastAsia="Palatino Linotype" w:hAnsi="Palatino Linotype" w:cs="Palatino Linotype"/>
          <w:i/>
        </w:rPr>
        <w:t>”.</w:t>
      </w:r>
    </w:p>
    <w:p w14:paraId="26B106C9" w14:textId="77777777" w:rsidR="009338B5" w:rsidRPr="000C6A42" w:rsidRDefault="009338B5" w:rsidP="00CC2B3B">
      <w:pPr>
        <w:spacing w:after="0" w:line="360" w:lineRule="auto"/>
        <w:ind w:right="49"/>
        <w:jc w:val="both"/>
        <w:rPr>
          <w:rFonts w:ascii="Palatino Linotype" w:eastAsia="Palatino Linotype" w:hAnsi="Palatino Linotype" w:cs="Palatino Linotype"/>
        </w:rPr>
      </w:pPr>
    </w:p>
    <w:p w14:paraId="705E15C6" w14:textId="54AEC7DA" w:rsidR="009338B5" w:rsidRPr="000C6A42" w:rsidRDefault="00E0628C" w:rsidP="00CC2B3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C6A42">
        <w:rPr>
          <w:rFonts w:ascii="Palatino Linotype" w:eastAsia="Palatino Linotype" w:hAnsi="Palatino Linotype" w:cs="Palatino Linotype"/>
          <w:b/>
        </w:rPr>
        <w:t>Turno.</w:t>
      </w:r>
      <w:r w:rsidRPr="000C6A42">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5E16E7" w:rsidRPr="000C6A42">
        <w:rPr>
          <w:rFonts w:ascii="Palatino Linotype" w:eastAsia="Palatino Linotype" w:hAnsi="Palatino Linotype" w:cs="Palatino Linotype"/>
          <w:b/>
        </w:rPr>
        <w:t>00649</w:t>
      </w:r>
      <w:r w:rsidR="005A5FFF" w:rsidRPr="000C6A42">
        <w:rPr>
          <w:rFonts w:ascii="Palatino Linotype" w:eastAsia="Palatino Linotype" w:hAnsi="Palatino Linotype" w:cs="Palatino Linotype"/>
          <w:b/>
        </w:rPr>
        <w:t>/INFOEM/IP/RR/2025</w:t>
      </w:r>
      <w:r w:rsidRPr="000C6A42">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64763514" w14:textId="77777777" w:rsidR="009338B5" w:rsidRPr="000C6A42" w:rsidRDefault="009338B5" w:rsidP="00CC2B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5DF2CB0" w14:textId="432EB158" w:rsidR="009338B5" w:rsidRPr="000C6A42" w:rsidRDefault="00E0628C" w:rsidP="00CC2B3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C6A42">
        <w:rPr>
          <w:rFonts w:ascii="Palatino Linotype" w:eastAsia="Palatino Linotype" w:hAnsi="Palatino Linotype" w:cs="Palatino Linotype"/>
          <w:b/>
        </w:rPr>
        <w:t>Admisión del recurso de revisión</w:t>
      </w:r>
      <w:r w:rsidRPr="000C6A42">
        <w:rPr>
          <w:rFonts w:ascii="Palatino Linotype" w:eastAsia="Palatino Linotype" w:hAnsi="Palatino Linotype" w:cs="Palatino Linotype"/>
        </w:rPr>
        <w:t xml:space="preserve">: En fecha </w:t>
      </w:r>
      <w:r w:rsidR="005E16E7" w:rsidRPr="000C6A42">
        <w:rPr>
          <w:rFonts w:ascii="Palatino Linotype" w:eastAsia="Palatino Linotype" w:hAnsi="Palatino Linotype" w:cs="Palatino Linotype"/>
          <w:b/>
        </w:rPr>
        <w:t>diez de febrero</w:t>
      </w:r>
      <w:r w:rsidR="005A5FFF" w:rsidRPr="000C6A42">
        <w:rPr>
          <w:rFonts w:ascii="Palatino Linotype" w:eastAsia="Palatino Linotype" w:hAnsi="Palatino Linotype" w:cs="Palatino Linotype"/>
          <w:b/>
        </w:rPr>
        <w:t xml:space="preserve"> de dos mil veinticinco</w:t>
      </w:r>
      <w:r w:rsidRPr="000C6A42">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DC22F67" w14:textId="77777777" w:rsidR="005A5FFF" w:rsidRPr="000C6A42" w:rsidRDefault="005A5FFF" w:rsidP="00CC2B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DA18FF6" w14:textId="5DDAD323" w:rsidR="00363513" w:rsidRPr="000C6A42" w:rsidRDefault="005A5FFF" w:rsidP="00CC2B3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C6A42">
        <w:rPr>
          <w:rFonts w:ascii="Palatino Linotype" w:eastAsia="Palatino Linotype" w:hAnsi="Palatino Linotype" w:cs="Palatino Linotype"/>
          <w:b/>
        </w:rPr>
        <w:t>Manifestaciones</w:t>
      </w:r>
      <w:r w:rsidRPr="000C6A42">
        <w:rPr>
          <w:rFonts w:ascii="Palatino Linotype" w:eastAsia="Palatino Linotype" w:hAnsi="Palatino Linotype" w:cs="Palatino Linotype"/>
        </w:rPr>
        <w:t xml:space="preserve">. </w:t>
      </w:r>
      <w:r w:rsidR="00363513" w:rsidRPr="000C6A42">
        <w:rPr>
          <w:rFonts w:ascii="Palatino Linotype" w:eastAsia="Palatino Linotype" w:hAnsi="Palatino Linotype" w:cs="Palatino Linotype"/>
        </w:rPr>
        <w:t xml:space="preserve">En fecha </w:t>
      </w:r>
      <w:r w:rsidR="005E16E7" w:rsidRPr="000C6A42">
        <w:rPr>
          <w:rFonts w:ascii="Palatino Linotype" w:eastAsia="Palatino Linotype" w:hAnsi="Palatino Linotype" w:cs="Palatino Linotype"/>
          <w:b/>
        </w:rPr>
        <w:t>diecinueve de febrero</w:t>
      </w:r>
      <w:r w:rsidR="00363513" w:rsidRPr="000C6A42">
        <w:rPr>
          <w:rFonts w:ascii="Palatino Linotype" w:eastAsia="Palatino Linotype" w:hAnsi="Palatino Linotype" w:cs="Palatino Linotype"/>
          <w:b/>
        </w:rPr>
        <w:t xml:space="preserve"> de dos mil veinticinco </w:t>
      </w:r>
      <w:r w:rsidR="00363513" w:rsidRPr="000C6A42">
        <w:rPr>
          <w:rFonts w:ascii="Palatino Linotype" w:eastAsia="Palatino Linotype" w:hAnsi="Palatino Linotype" w:cs="Palatino Linotype"/>
        </w:rPr>
        <w:t xml:space="preserve">el </w:t>
      </w:r>
      <w:r w:rsidR="00363513" w:rsidRPr="000C6A42">
        <w:rPr>
          <w:rFonts w:ascii="Palatino Linotype" w:eastAsia="Palatino Linotype" w:hAnsi="Palatino Linotype" w:cs="Palatino Linotype"/>
          <w:b/>
        </w:rPr>
        <w:t xml:space="preserve">SUJETO OBLIGADO </w:t>
      </w:r>
      <w:r w:rsidR="00363513" w:rsidRPr="000C6A42">
        <w:rPr>
          <w:rFonts w:ascii="Palatino Linotype" w:eastAsia="Palatino Linotype" w:hAnsi="Palatino Linotype" w:cs="Palatino Linotype"/>
        </w:rPr>
        <w:t>rindió su informe justificado al tenor de lo siguiente:</w:t>
      </w:r>
    </w:p>
    <w:p w14:paraId="5A1C887D" w14:textId="77777777" w:rsidR="00363513" w:rsidRPr="000C6A42" w:rsidRDefault="00363513" w:rsidP="00CC2B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3ACFF20" w14:textId="0F1830BB" w:rsidR="00363513" w:rsidRPr="000C6A42" w:rsidRDefault="00363513" w:rsidP="00CC2B3B">
      <w:pPr>
        <w:pStyle w:val="Prrafodelista"/>
        <w:numPr>
          <w:ilvl w:val="0"/>
          <w:numId w:val="10"/>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lastRenderedPageBreak/>
        <w:t xml:space="preserve">Oficio de fecha </w:t>
      </w:r>
      <w:r w:rsidR="005E16E7" w:rsidRPr="000C6A42">
        <w:rPr>
          <w:rFonts w:ascii="Palatino Linotype" w:eastAsia="Palatino Linotype" w:hAnsi="Palatino Linotype" w:cs="Palatino Linotype"/>
        </w:rPr>
        <w:t>cuatro de febrero de dos mil veinticinco</w:t>
      </w:r>
      <w:r w:rsidR="00687210" w:rsidRPr="000C6A42">
        <w:rPr>
          <w:rFonts w:ascii="Palatino Linotype" w:eastAsia="Palatino Linotype" w:hAnsi="Palatino Linotype" w:cs="Palatino Linotype"/>
        </w:rPr>
        <w:t xml:space="preserve">, signado por el Titular de la Unidad de Transparencia mediante el cual informa que, respecto a los Estados de Cuenta Bancarios al 31 de diciembre de 2024, la propuesta de clasificación de la información como confidencial en su totalidad se autorizó en la Sexagésima Cuarta Sesión Extraordinaria 2025 del Comité de Transparencia del Municipio de Toluca Administración 2025-2027. </w:t>
      </w:r>
    </w:p>
    <w:p w14:paraId="2E122883" w14:textId="4D83CFA3" w:rsidR="00687210" w:rsidRPr="000C6A42" w:rsidRDefault="00687210" w:rsidP="00CC2B3B">
      <w:pPr>
        <w:pStyle w:val="Prrafodelista"/>
        <w:numPr>
          <w:ilvl w:val="0"/>
          <w:numId w:val="10"/>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 xml:space="preserve">Oficio de fecha diecinueve de febrero de dos mil veinticinco, signado por el Titular de la Unidad de Transparencia, mediante el cual informa que se registraron fallas en el sistema SAIMEX, situación que se informó mediante correo electrónico a la Dirección de Informática del </w:t>
      </w:r>
      <w:proofErr w:type="spellStart"/>
      <w:r w:rsidRPr="000C6A42">
        <w:rPr>
          <w:rFonts w:ascii="Palatino Linotype" w:eastAsia="Palatino Linotype" w:hAnsi="Palatino Linotype" w:cs="Palatino Linotype"/>
        </w:rPr>
        <w:t>Infoem</w:t>
      </w:r>
      <w:proofErr w:type="spellEnd"/>
      <w:r w:rsidRPr="000C6A42">
        <w:rPr>
          <w:rFonts w:ascii="Palatino Linotype" w:eastAsia="Palatino Linotype" w:hAnsi="Palatino Linotype" w:cs="Palatino Linotype"/>
        </w:rPr>
        <w:t xml:space="preserve">. </w:t>
      </w:r>
    </w:p>
    <w:p w14:paraId="6EC42EB0" w14:textId="77777777" w:rsidR="00363513" w:rsidRPr="000C6A42" w:rsidRDefault="00363513" w:rsidP="00CC2B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73FFB63" w14:textId="347F492C" w:rsidR="00363513" w:rsidRPr="000C6A42" w:rsidRDefault="00363513" w:rsidP="00CC2B3B">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0C6A42">
        <w:rPr>
          <w:rFonts w:ascii="Palatino Linotype" w:eastAsia="Palatino Linotype" w:hAnsi="Palatino Linotype" w:cs="Palatino Linotype"/>
        </w:rPr>
        <w:t xml:space="preserve">Documento que se hizo del conocimiento de la parte Recurrente en fecha </w:t>
      </w:r>
      <w:r w:rsidR="00687210" w:rsidRPr="000C6A42">
        <w:rPr>
          <w:rFonts w:ascii="Palatino Linotype" w:eastAsia="Palatino Linotype" w:hAnsi="Palatino Linotype" w:cs="Palatino Linotype"/>
          <w:b/>
        </w:rPr>
        <w:t xml:space="preserve">cinco de marzo de dos mil veinticinco. </w:t>
      </w:r>
      <w:r w:rsidRPr="000C6A42">
        <w:rPr>
          <w:rFonts w:ascii="Palatino Linotype" w:eastAsia="Palatino Linotype" w:hAnsi="Palatino Linotype" w:cs="Palatino Linotype"/>
          <w:b/>
        </w:rPr>
        <w:t xml:space="preserve"> </w:t>
      </w:r>
    </w:p>
    <w:p w14:paraId="6C9C0311" w14:textId="77777777" w:rsidR="00363513" w:rsidRPr="000C6A42" w:rsidRDefault="00363513" w:rsidP="00CC2B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82E97FD" w14:textId="77777777" w:rsidR="009338B5" w:rsidRPr="000C6A42" w:rsidRDefault="00363513" w:rsidP="00CC2B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La parte Recurrente fue omisa en rendir manifestaciones.</w:t>
      </w:r>
      <w:r w:rsidR="005A5FFF" w:rsidRPr="000C6A42">
        <w:rPr>
          <w:rFonts w:ascii="Palatino Linotype" w:eastAsia="Palatino Linotype" w:hAnsi="Palatino Linotype" w:cs="Palatino Linotype"/>
        </w:rPr>
        <w:t xml:space="preserve"> </w:t>
      </w:r>
    </w:p>
    <w:p w14:paraId="6E89A5A4" w14:textId="77777777" w:rsidR="005A5FFF" w:rsidRPr="000C6A42" w:rsidRDefault="005A5FFF" w:rsidP="00CC2B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1A47186" w14:textId="5FFB8B31" w:rsidR="009338B5" w:rsidRPr="000C6A42" w:rsidRDefault="00E0628C" w:rsidP="00CC2B3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C6A42">
        <w:rPr>
          <w:rFonts w:ascii="Palatino Linotype" w:eastAsia="Palatino Linotype" w:hAnsi="Palatino Linotype" w:cs="Palatino Linotype"/>
          <w:b/>
        </w:rPr>
        <w:t>Cierre de instrucción</w:t>
      </w:r>
      <w:r w:rsidRPr="000C6A42">
        <w:rPr>
          <w:rFonts w:ascii="Palatino Linotype" w:eastAsia="Palatino Linotype" w:hAnsi="Palatino Linotype" w:cs="Palatino Linotype"/>
        </w:rPr>
        <w:t xml:space="preserve">. En fecha </w:t>
      </w:r>
      <w:r w:rsidR="0087620B" w:rsidRPr="000C6A42">
        <w:rPr>
          <w:rFonts w:ascii="Palatino Linotype" w:eastAsia="Palatino Linotype" w:hAnsi="Palatino Linotype" w:cs="Palatino Linotype"/>
          <w:b/>
        </w:rPr>
        <w:t>once de marzo</w:t>
      </w:r>
      <w:r w:rsidR="006516C6" w:rsidRPr="000C6A42">
        <w:rPr>
          <w:rFonts w:ascii="Palatino Linotype" w:eastAsia="Palatino Linotype" w:hAnsi="Palatino Linotype" w:cs="Palatino Linotype"/>
          <w:b/>
        </w:rPr>
        <w:t xml:space="preserve"> </w:t>
      </w:r>
      <w:r w:rsidR="005A5FFF" w:rsidRPr="000C6A42">
        <w:rPr>
          <w:rFonts w:ascii="Palatino Linotype" w:eastAsia="Palatino Linotype" w:hAnsi="Palatino Linotype" w:cs="Palatino Linotype"/>
          <w:b/>
        </w:rPr>
        <w:t>de dos mil veinticinco</w:t>
      </w:r>
      <w:r w:rsidRPr="000C6A42">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0CA3FFB8" w14:textId="77777777" w:rsidR="005A5FFF" w:rsidRPr="000C6A42" w:rsidRDefault="005A5FFF" w:rsidP="00CC2B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A95E7C0" w14:textId="77777777" w:rsidR="009338B5"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64F536C3" w14:textId="77777777" w:rsidR="00182F1C" w:rsidRPr="000C6A42" w:rsidRDefault="00182F1C" w:rsidP="00CC2B3B">
      <w:pPr>
        <w:spacing w:after="0" w:line="360" w:lineRule="auto"/>
        <w:ind w:right="49"/>
        <w:jc w:val="both"/>
        <w:rPr>
          <w:rFonts w:ascii="Palatino Linotype" w:eastAsia="Palatino Linotype" w:hAnsi="Palatino Linotype" w:cs="Palatino Linotype"/>
        </w:rPr>
      </w:pPr>
    </w:p>
    <w:p w14:paraId="2E42B613" w14:textId="77777777" w:rsidR="00182F1C" w:rsidRPr="000C6A42" w:rsidRDefault="00182F1C" w:rsidP="00CC2B3B">
      <w:pPr>
        <w:spacing w:after="0" w:line="360" w:lineRule="auto"/>
        <w:ind w:right="49"/>
        <w:jc w:val="both"/>
        <w:rPr>
          <w:rFonts w:ascii="Palatino Linotype" w:eastAsia="Palatino Linotype" w:hAnsi="Palatino Linotype" w:cs="Palatino Linotype"/>
        </w:rPr>
      </w:pPr>
    </w:p>
    <w:p w14:paraId="33E8632E" w14:textId="77777777" w:rsidR="009338B5" w:rsidRPr="000C6A42" w:rsidRDefault="009338B5" w:rsidP="00CC2B3B">
      <w:pPr>
        <w:spacing w:after="0" w:line="360" w:lineRule="auto"/>
        <w:ind w:right="49"/>
        <w:jc w:val="both"/>
        <w:rPr>
          <w:rFonts w:ascii="Palatino Linotype" w:eastAsia="Palatino Linotype" w:hAnsi="Palatino Linotype" w:cs="Palatino Linotype"/>
        </w:rPr>
      </w:pPr>
    </w:p>
    <w:p w14:paraId="7531988D" w14:textId="77777777" w:rsidR="009338B5" w:rsidRPr="000C6A42" w:rsidRDefault="00E0628C" w:rsidP="00CC2B3B">
      <w:pPr>
        <w:spacing w:after="0" w:line="360" w:lineRule="auto"/>
        <w:ind w:right="49"/>
        <w:jc w:val="center"/>
        <w:rPr>
          <w:rFonts w:ascii="Palatino Linotype" w:eastAsia="Palatino Linotype" w:hAnsi="Palatino Linotype" w:cs="Palatino Linotype"/>
          <w:b/>
        </w:rPr>
      </w:pPr>
      <w:r w:rsidRPr="000C6A42">
        <w:rPr>
          <w:rFonts w:ascii="Palatino Linotype" w:eastAsia="Palatino Linotype" w:hAnsi="Palatino Linotype" w:cs="Palatino Linotype"/>
          <w:b/>
        </w:rPr>
        <w:lastRenderedPageBreak/>
        <w:t>II.</w:t>
      </w:r>
      <w:r w:rsidRPr="000C6A42">
        <w:rPr>
          <w:rFonts w:ascii="Palatino Linotype" w:eastAsia="Palatino Linotype" w:hAnsi="Palatino Linotype" w:cs="Palatino Linotype"/>
          <w:b/>
        </w:rPr>
        <w:tab/>
        <w:t>C O N S I D E R A N D O:</w:t>
      </w:r>
    </w:p>
    <w:p w14:paraId="0AB645F2" w14:textId="77777777" w:rsidR="009338B5" w:rsidRPr="000C6A42" w:rsidRDefault="009338B5" w:rsidP="00CC2B3B">
      <w:pPr>
        <w:spacing w:after="0" w:line="360" w:lineRule="auto"/>
        <w:ind w:right="49"/>
        <w:jc w:val="both"/>
        <w:rPr>
          <w:rFonts w:ascii="Palatino Linotype" w:eastAsia="Palatino Linotype" w:hAnsi="Palatino Linotype" w:cs="Palatino Linotype"/>
        </w:rPr>
      </w:pPr>
    </w:p>
    <w:p w14:paraId="0DA61DF9" w14:textId="77777777" w:rsidR="009338B5"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b/>
        </w:rPr>
        <w:t>Primero. Competencia.</w:t>
      </w:r>
      <w:r w:rsidRPr="000C6A42">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8D890C1" w14:textId="77777777" w:rsidR="009338B5" w:rsidRPr="000C6A42" w:rsidRDefault="009338B5" w:rsidP="00CC2B3B">
      <w:pPr>
        <w:spacing w:after="0" w:line="360" w:lineRule="auto"/>
        <w:ind w:right="49"/>
        <w:jc w:val="both"/>
        <w:rPr>
          <w:rFonts w:ascii="Palatino Linotype" w:eastAsia="Palatino Linotype" w:hAnsi="Palatino Linotype" w:cs="Palatino Linotype"/>
        </w:rPr>
      </w:pPr>
    </w:p>
    <w:p w14:paraId="1807A072" w14:textId="77777777" w:rsidR="0087620B" w:rsidRPr="000C6A42" w:rsidRDefault="00E0628C" w:rsidP="00CC2B3B">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b/>
        </w:rPr>
        <w:t>Segundo. Oportunidad y Procedibilidad del Recurso de Revisión.</w:t>
      </w:r>
      <w:r w:rsidRPr="000C6A42">
        <w:rPr>
          <w:rFonts w:ascii="Palatino Linotype" w:eastAsia="Palatino Linotype" w:hAnsi="Palatino Linotype" w:cs="Palatino Linotype"/>
        </w:rPr>
        <w:t xml:space="preserve"> </w:t>
      </w:r>
      <w:r w:rsidR="0087620B" w:rsidRPr="000C6A42">
        <w:rPr>
          <w:rFonts w:ascii="Palatino Linotype" w:eastAsia="Palatino Linotype" w:hAnsi="Palatino Linotype" w:cs="Palatino Linotype"/>
        </w:rPr>
        <w:t>Es de precisar que la</w:t>
      </w:r>
      <w:r w:rsidR="0087620B" w:rsidRPr="000C6A42">
        <w:rPr>
          <w:rFonts w:ascii="Palatino Linotype" w:eastAsia="Palatino Linotype" w:hAnsi="Palatino Linotype" w:cs="Palatino Linotype"/>
          <w:b/>
        </w:rPr>
        <w:t xml:space="preserve"> </w:t>
      </w:r>
      <w:r w:rsidR="0087620B" w:rsidRPr="000C6A42">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166, del tenor literal siguiente: </w:t>
      </w:r>
    </w:p>
    <w:p w14:paraId="77A306B5" w14:textId="77777777" w:rsidR="0087620B" w:rsidRPr="000C6A42" w:rsidRDefault="0087620B" w:rsidP="00CC2B3B">
      <w:pPr>
        <w:spacing w:after="0" w:line="360" w:lineRule="auto"/>
        <w:jc w:val="both"/>
        <w:rPr>
          <w:rFonts w:ascii="Palatino Linotype" w:eastAsia="Palatino Linotype" w:hAnsi="Palatino Linotype" w:cs="Palatino Linotype"/>
        </w:rPr>
      </w:pPr>
    </w:p>
    <w:p w14:paraId="44455107" w14:textId="77777777" w:rsidR="0087620B" w:rsidRPr="000C6A42" w:rsidRDefault="0087620B" w:rsidP="00CC2B3B">
      <w:pPr>
        <w:spacing w:after="0"/>
        <w:ind w:left="851" w:right="851"/>
        <w:jc w:val="both"/>
        <w:rPr>
          <w:rFonts w:ascii="Palatino Linotype" w:eastAsia="Palatino Linotype" w:hAnsi="Palatino Linotype" w:cs="Palatino Linotype"/>
          <w:i/>
        </w:rPr>
      </w:pPr>
      <w:r w:rsidRPr="000C6A42">
        <w:rPr>
          <w:rFonts w:ascii="Palatino Linotype" w:eastAsia="Palatino Linotype" w:hAnsi="Palatino Linotype" w:cs="Palatino Linotype"/>
          <w:i/>
        </w:rPr>
        <w:t>“</w:t>
      </w:r>
      <w:r w:rsidRPr="000C6A42">
        <w:rPr>
          <w:rFonts w:ascii="Palatino Linotype" w:eastAsia="Palatino Linotype" w:hAnsi="Palatino Linotype" w:cs="Palatino Linotype"/>
          <w:b/>
          <w:i/>
        </w:rPr>
        <w:t xml:space="preserve">Artículo 163. </w:t>
      </w:r>
      <w:r w:rsidRPr="000C6A42">
        <w:rPr>
          <w:rFonts w:ascii="Palatino Linotype" w:eastAsia="Palatino Linotype" w:hAnsi="Palatino Linotype" w:cs="Palatino Linotype"/>
          <w:i/>
        </w:rPr>
        <w:t xml:space="preserve">La Unidad de Transparencia deberá notificar la respuesta a la solicitud al interesado en el menor tiempo posible, que no podrá exceder de quince días hábiles, contados a partir del día siguiente a la presentación de aquélla. </w:t>
      </w:r>
    </w:p>
    <w:p w14:paraId="32425C60" w14:textId="77777777" w:rsidR="0087620B" w:rsidRPr="000C6A42" w:rsidRDefault="0087620B" w:rsidP="00CC2B3B">
      <w:pPr>
        <w:spacing w:after="0"/>
        <w:ind w:left="851" w:right="851"/>
        <w:jc w:val="both"/>
        <w:rPr>
          <w:rFonts w:ascii="Palatino Linotype" w:eastAsia="Palatino Linotype" w:hAnsi="Palatino Linotype" w:cs="Palatino Linotype"/>
          <w:i/>
        </w:rPr>
      </w:pPr>
      <w:r w:rsidRPr="000C6A42">
        <w:rPr>
          <w:rFonts w:ascii="Palatino Linotype" w:eastAsia="Palatino Linotype" w:hAnsi="Palatino Linotype" w:cs="Palatino Linotype"/>
          <w:i/>
        </w:rPr>
        <w:t>…</w:t>
      </w:r>
    </w:p>
    <w:p w14:paraId="36DE98C1" w14:textId="77777777" w:rsidR="0087620B" w:rsidRPr="000C6A42" w:rsidRDefault="0087620B" w:rsidP="00CC2B3B">
      <w:pPr>
        <w:spacing w:after="0"/>
        <w:ind w:left="851" w:right="851"/>
        <w:jc w:val="both"/>
        <w:rPr>
          <w:rFonts w:ascii="Palatino Linotype" w:eastAsia="Palatino Linotype" w:hAnsi="Palatino Linotype" w:cs="Palatino Linotype"/>
          <w:i/>
        </w:rPr>
      </w:pPr>
      <w:r w:rsidRPr="000C6A42">
        <w:rPr>
          <w:rFonts w:ascii="Palatino Linotype" w:eastAsia="Palatino Linotype" w:hAnsi="Palatino Linotype" w:cs="Palatino Linotype"/>
          <w:b/>
          <w:i/>
        </w:rPr>
        <w:t>Artículo 166.</w:t>
      </w:r>
      <w:r w:rsidRPr="000C6A42">
        <w:rPr>
          <w:rFonts w:ascii="Palatino Linotype" w:eastAsia="Palatino Linotype" w:hAnsi="Palatino Linotype" w:cs="Palatino Linotype"/>
          <w:i/>
        </w:rPr>
        <w:t xml:space="preserve"> […]</w:t>
      </w:r>
    </w:p>
    <w:p w14:paraId="149701B4" w14:textId="77777777" w:rsidR="0087620B" w:rsidRPr="000C6A42" w:rsidRDefault="0087620B" w:rsidP="00CC2B3B">
      <w:pPr>
        <w:spacing w:after="0"/>
        <w:ind w:left="851" w:right="851"/>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Cuando el sujeto obligado no entregue la respuesta a la solicitud dentro del plazo previsto en la Ley, la solicitud se entenderá negada y el solicitante podrá interponer el recurso de revisión previsto en este ordenamiento.” </w:t>
      </w:r>
    </w:p>
    <w:p w14:paraId="002904DA" w14:textId="77777777" w:rsidR="0087620B" w:rsidRPr="000C6A42" w:rsidRDefault="0087620B" w:rsidP="00CC2B3B">
      <w:pPr>
        <w:spacing w:after="0" w:line="360" w:lineRule="auto"/>
        <w:ind w:left="851" w:right="851"/>
        <w:jc w:val="both"/>
        <w:rPr>
          <w:rFonts w:ascii="Palatino Linotype" w:eastAsia="Palatino Linotype" w:hAnsi="Palatino Linotype" w:cs="Palatino Linotype"/>
          <w:i/>
        </w:rPr>
      </w:pPr>
    </w:p>
    <w:p w14:paraId="40ABC3FC" w14:textId="77777777" w:rsidR="0087620B" w:rsidRPr="000C6A42" w:rsidRDefault="0087620B" w:rsidP="00CC2B3B">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rPr>
        <w:lastRenderedPageBreak/>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188A7B82" w14:textId="77777777" w:rsidR="0087620B" w:rsidRPr="000C6A42" w:rsidRDefault="0087620B" w:rsidP="00CC2B3B">
      <w:pPr>
        <w:spacing w:after="0" w:line="360" w:lineRule="auto"/>
        <w:jc w:val="both"/>
        <w:rPr>
          <w:rFonts w:ascii="Palatino Linotype" w:eastAsia="Palatino Linotype" w:hAnsi="Palatino Linotype" w:cs="Palatino Linotype"/>
        </w:rPr>
      </w:pPr>
    </w:p>
    <w:p w14:paraId="13B0EDBD" w14:textId="77777777" w:rsidR="0087620B" w:rsidRPr="000C6A42" w:rsidRDefault="0087620B" w:rsidP="00CC2B3B">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059D3864" w14:textId="77777777" w:rsidR="0087620B" w:rsidRPr="000C6A42" w:rsidRDefault="0087620B" w:rsidP="00CC2B3B">
      <w:pPr>
        <w:spacing w:after="0" w:line="360" w:lineRule="auto"/>
        <w:jc w:val="both"/>
        <w:rPr>
          <w:rFonts w:ascii="Palatino Linotype" w:eastAsia="Palatino Linotype" w:hAnsi="Palatino Linotype" w:cs="Palatino Linotype"/>
        </w:rPr>
      </w:pPr>
    </w:p>
    <w:p w14:paraId="7B8907CD" w14:textId="77777777" w:rsidR="0087620B" w:rsidRPr="000C6A42" w:rsidRDefault="0087620B" w:rsidP="00CC2B3B">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rPr>
        <w:t>Por su parte, el artículo 178 del citado ordenamiento, establece:</w:t>
      </w:r>
    </w:p>
    <w:p w14:paraId="52FD3B82" w14:textId="77777777" w:rsidR="0087620B" w:rsidRPr="000C6A42" w:rsidRDefault="0087620B" w:rsidP="00CC2B3B">
      <w:pPr>
        <w:spacing w:after="0" w:line="360" w:lineRule="auto"/>
        <w:jc w:val="both"/>
        <w:rPr>
          <w:rFonts w:ascii="Palatino Linotype" w:eastAsia="Palatino Linotype" w:hAnsi="Palatino Linotype" w:cs="Palatino Linotype"/>
        </w:rPr>
      </w:pPr>
    </w:p>
    <w:p w14:paraId="57E0C3C4" w14:textId="77777777" w:rsidR="0087620B" w:rsidRPr="000C6A42" w:rsidRDefault="0087620B" w:rsidP="00CC2B3B">
      <w:pPr>
        <w:spacing w:after="0"/>
        <w:ind w:left="567" w:right="560"/>
        <w:jc w:val="both"/>
        <w:rPr>
          <w:rFonts w:ascii="Palatino Linotype" w:eastAsia="Palatino Linotype" w:hAnsi="Palatino Linotype" w:cs="Palatino Linotype"/>
          <w:b/>
          <w:i/>
        </w:rPr>
      </w:pPr>
      <w:r w:rsidRPr="000C6A42">
        <w:rPr>
          <w:rFonts w:ascii="Palatino Linotype" w:eastAsia="Palatino Linotype" w:hAnsi="Palatino Linotype" w:cs="Palatino Linotype"/>
          <w:i/>
        </w:rPr>
        <w:t>“</w:t>
      </w:r>
      <w:r w:rsidRPr="000C6A42">
        <w:rPr>
          <w:rFonts w:ascii="Palatino Linotype" w:eastAsia="Palatino Linotype" w:hAnsi="Palatino Linotype" w:cs="Palatino Linotype"/>
          <w:b/>
          <w:i/>
        </w:rPr>
        <w:t xml:space="preserve">Artículo 178. </w:t>
      </w:r>
      <w:r w:rsidRPr="000C6A42">
        <w:rPr>
          <w:rFonts w:ascii="Palatino Linotype" w:eastAsia="Palatino Linotype" w:hAnsi="Palatino Linotype" w:cs="Palatino Linotype"/>
          <w:i/>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0C6A42">
        <w:rPr>
          <w:rFonts w:ascii="Palatino Linotype" w:eastAsia="Palatino Linotype" w:hAnsi="Palatino Linotype" w:cs="Palatino Linotype"/>
          <w:b/>
          <w:i/>
        </w:rPr>
        <w:t>.</w:t>
      </w:r>
    </w:p>
    <w:p w14:paraId="64C3125D" w14:textId="77777777" w:rsidR="0087620B" w:rsidRPr="000C6A42" w:rsidRDefault="0087620B" w:rsidP="00CC2B3B">
      <w:pPr>
        <w:spacing w:after="0"/>
        <w:ind w:left="567" w:right="560"/>
        <w:jc w:val="both"/>
        <w:rPr>
          <w:rFonts w:ascii="Palatino Linotype" w:eastAsia="Palatino Linotype" w:hAnsi="Palatino Linotype" w:cs="Palatino Linotype"/>
          <w:b/>
          <w:i/>
        </w:rPr>
      </w:pPr>
    </w:p>
    <w:p w14:paraId="2AA463A9" w14:textId="77777777" w:rsidR="0087620B" w:rsidRPr="000C6A42" w:rsidRDefault="0087620B" w:rsidP="00CC2B3B">
      <w:pPr>
        <w:spacing w:after="0"/>
        <w:ind w:left="567" w:right="560"/>
        <w:jc w:val="both"/>
        <w:rPr>
          <w:rFonts w:ascii="Palatino Linotype" w:hAnsi="Palatino Linotype"/>
          <w:i/>
        </w:rPr>
      </w:pPr>
      <w:r w:rsidRPr="000C6A42">
        <w:rPr>
          <w:rFonts w:ascii="Palatino Linotype" w:hAnsi="Palatino Linotype"/>
          <w:i/>
        </w:rPr>
        <w:t xml:space="preserve">A falta de respuesta del sujeto obligado, dentro de los plazos establecidos en esta Ley, a una solicitud de acceso a la información pública, el recurso podrá ser interpuesto en cualquier momento acompañado con el documento que pruebe la fecha en que presentó la solicitud. </w:t>
      </w:r>
    </w:p>
    <w:p w14:paraId="7F90171E" w14:textId="77777777" w:rsidR="0087620B" w:rsidRPr="000C6A42" w:rsidRDefault="0087620B" w:rsidP="00CC2B3B">
      <w:pPr>
        <w:spacing w:after="0"/>
        <w:ind w:left="567" w:right="560"/>
        <w:jc w:val="both"/>
        <w:rPr>
          <w:rFonts w:ascii="Palatino Linotype" w:hAnsi="Palatino Linotype"/>
          <w:i/>
        </w:rPr>
      </w:pPr>
    </w:p>
    <w:p w14:paraId="55D3DA1A" w14:textId="77777777" w:rsidR="0087620B" w:rsidRPr="000C6A42" w:rsidRDefault="0087620B" w:rsidP="00CC2B3B">
      <w:pPr>
        <w:spacing w:after="0"/>
        <w:ind w:left="567" w:right="560"/>
        <w:jc w:val="both"/>
        <w:rPr>
          <w:rFonts w:ascii="Palatino Linotype" w:eastAsia="Palatino Linotype" w:hAnsi="Palatino Linotype" w:cs="Palatino Linotype"/>
          <w:b/>
          <w:i/>
        </w:rPr>
      </w:pPr>
      <w:r w:rsidRPr="000C6A42">
        <w:rPr>
          <w:rFonts w:ascii="Palatino Linotype" w:hAnsi="Palatino Linotype"/>
          <w:i/>
        </w:rPr>
        <w:t>En el caso de que se interponga ante la Unidad de Transparencia, ésta deberá remitir el recurso de revisión al Instituto a más tardar al día siguiente de haberlo recibido.</w:t>
      </w:r>
      <w:r w:rsidRPr="000C6A42">
        <w:rPr>
          <w:rFonts w:ascii="Palatino Linotype" w:eastAsia="Palatino Linotype" w:hAnsi="Palatino Linotype" w:cs="Palatino Linotype"/>
          <w:b/>
          <w:i/>
        </w:rPr>
        <w:t>”</w:t>
      </w:r>
    </w:p>
    <w:p w14:paraId="3B62E931" w14:textId="77777777" w:rsidR="0087620B" w:rsidRPr="000C6A42" w:rsidRDefault="0087620B" w:rsidP="00CC2B3B">
      <w:pPr>
        <w:spacing w:after="0" w:line="360" w:lineRule="auto"/>
        <w:ind w:left="851" w:right="851"/>
        <w:jc w:val="both"/>
        <w:rPr>
          <w:rFonts w:ascii="Palatino Linotype" w:eastAsia="Palatino Linotype" w:hAnsi="Palatino Linotype" w:cs="Palatino Linotype"/>
          <w:i/>
        </w:rPr>
      </w:pPr>
    </w:p>
    <w:p w14:paraId="5C98DD28" w14:textId="77777777" w:rsidR="0087620B" w:rsidRPr="000C6A42" w:rsidRDefault="0087620B" w:rsidP="00CC2B3B">
      <w:pPr>
        <w:spacing w:after="0" w:line="360" w:lineRule="auto"/>
        <w:jc w:val="both"/>
        <w:rPr>
          <w:rFonts w:ascii="Palatino Linotype" w:eastAsia="Palatino Linotype" w:hAnsi="Palatino Linotype" w:cs="Palatino Linotype"/>
          <w:b/>
          <w:u w:val="single"/>
        </w:rPr>
      </w:pPr>
      <w:r w:rsidRPr="000C6A42">
        <w:rPr>
          <w:rFonts w:ascii="Palatino Linotype" w:eastAsia="Palatino Linotype" w:hAnsi="Palatino Linotype" w:cs="Palatino Linotype"/>
        </w:rPr>
        <w:t xml:space="preserve">De lo anterior, se advierte que el recurso de revisión se han de interponer dentro del plazo de quince días hábiles, a partir de la fecha en que el </w:t>
      </w:r>
      <w:r w:rsidRPr="000C6A42">
        <w:rPr>
          <w:rFonts w:ascii="Palatino Linotype" w:eastAsia="Palatino Linotype" w:hAnsi="Palatino Linotype" w:cs="Palatino Linotype"/>
          <w:b/>
        </w:rPr>
        <w:t xml:space="preserve">Sujeto Obligado </w:t>
      </w:r>
      <w:r w:rsidRPr="000C6A42">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w:t>
      </w:r>
      <w:r w:rsidRPr="000C6A42">
        <w:rPr>
          <w:rFonts w:ascii="Palatino Linotype" w:eastAsia="Palatino Linotype" w:hAnsi="Palatino Linotype" w:cs="Palatino Linotype"/>
        </w:rPr>
        <w:lastRenderedPageBreak/>
        <w:t xml:space="preserve">lo que se concluye que </w:t>
      </w:r>
      <w:r w:rsidRPr="000C6A42">
        <w:rPr>
          <w:rFonts w:ascii="Palatino Linotype" w:eastAsia="Palatino Linotype" w:hAnsi="Palatino Linotype" w:cs="Palatino Linotype"/>
          <w:b/>
          <w:u w:val="single"/>
        </w:rPr>
        <w:t>la interposición del recurso de revisión puede ser en cualquier momento.</w:t>
      </w:r>
    </w:p>
    <w:p w14:paraId="6F6937FF" w14:textId="77777777" w:rsidR="0087620B" w:rsidRPr="000C6A42" w:rsidRDefault="0087620B" w:rsidP="00CC2B3B">
      <w:pPr>
        <w:spacing w:after="0" w:line="360" w:lineRule="auto"/>
        <w:jc w:val="both"/>
        <w:rPr>
          <w:rFonts w:ascii="Palatino Linotype" w:eastAsia="Palatino Linotype" w:hAnsi="Palatino Linotype" w:cs="Palatino Linotype"/>
        </w:rPr>
      </w:pPr>
    </w:p>
    <w:p w14:paraId="32962421" w14:textId="77777777" w:rsidR="0087620B" w:rsidRPr="000C6A42" w:rsidRDefault="0087620B" w:rsidP="00CC2B3B">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rPr>
        <w:t xml:space="preserve">La negativa ficta constituye una presunción legal, en el entendido de que donde no hubo respuesta por parte del </w:t>
      </w:r>
      <w:r w:rsidRPr="000C6A42">
        <w:rPr>
          <w:rFonts w:ascii="Palatino Linotype" w:eastAsia="Palatino Linotype" w:hAnsi="Palatino Linotype" w:cs="Palatino Linotype"/>
          <w:b/>
        </w:rPr>
        <w:t xml:space="preserve">Sujeto Obligado </w:t>
      </w:r>
      <w:r w:rsidRPr="000C6A42">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44F4CE72" w14:textId="77777777" w:rsidR="0087620B" w:rsidRPr="000C6A42" w:rsidRDefault="0087620B" w:rsidP="00CC2B3B">
      <w:pPr>
        <w:spacing w:after="0" w:line="360" w:lineRule="auto"/>
        <w:jc w:val="both"/>
        <w:rPr>
          <w:rFonts w:ascii="Palatino Linotype" w:eastAsia="Palatino Linotype" w:hAnsi="Palatino Linotype" w:cs="Palatino Linotype"/>
        </w:rPr>
      </w:pPr>
    </w:p>
    <w:p w14:paraId="7EA0B7B0" w14:textId="77777777" w:rsidR="0087620B" w:rsidRPr="000C6A42" w:rsidRDefault="0087620B" w:rsidP="00CC2B3B">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rPr>
        <w:t>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Sujeto Obligado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76B3D7B1" w14:textId="77777777" w:rsidR="0087620B" w:rsidRPr="000C6A42" w:rsidRDefault="0087620B" w:rsidP="00CC2B3B">
      <w:pPr>
        <w:spacing w:after="0" w:line="360" w:lineRule="auto"/>
        <w:jc w:val="both"/>
        <w:rPr>
          <w:rFonts w:ascii="Palatino Linotype" w:eastAsia="Palatino Linotype" w:hAnsi="Palatino Linotype" w:cs="Palatino Linotype"/>
        </w:rPr>
      </w:pPr>
    </w:p>
    <w:p w14:paraId="6C668BC6" w14:textId="77777777" w:rsidR="0087620B" w:rsidRPr="000C6A42" w:rsidRDefault="0087620B" w:rsidP="00CC2B3B">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0C6A42">
        <w:rPr>
          <w:rFonts w:ascii="Palatino Linotype" w:eastAsia="Palatino Linotype" w:hAnsi="Palatino Linotype" w:cs="Palatino Linotype"/>
          <w:b/>
        </w:rPr>
        <w:t>Sujeto Obligado</w:t>
      </w:r>
      <w:r w:rsidRPr="000C6A42">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w:t>
      </w:r>
      <w:r w:rsidRPr="000C6A42">
        <w:rPr>
          <w:rFonts w:ascii="Palatino Linotype" w:eastAsia="Palatino Linotype" w:hAnsi="Palatino Linotype" w:cs="Palatino Linotype"/>
        </w:rPr>
        <w:lastRenderedPageBreak/>
        <w:t>y publicado en el Periódico Oficial del Estado de México “Gaceta del Gobierno”, el veintitrés de abril de dos mil quince, que establece:</w:t>
      </w:r>
    </w:p>
    <w:p w14:paraId="350D091E" w14:textId="77777777" w:rsidR="0087620B" w:rsidRPr="000C6A42" w:rsidRDefault="0087620B" w:rsidP="00CC2B3B">
      <w:pPr>
        <w:spacing w:after="0" w:line="360" w:lineRule="auto"/>
        <w:jc w:val="both"/>
        <w:rPr>
          <w:rFonts w:ascii="Palatino Linotype" w:eastAsia="Palatino Linotype" w:hAnsi="Palatino Linotype" w:cs="Palatino Linotype"/>
        </w:rPr>
      </w:pPr>
    </w:p>
    <w:p w14:paraId="502383D0" w14:textId="77777777" w:rsidR="0087620B" w:rsidRPr="000C6A42" w:rsidRDefault="0087620B" w:rsidP="00CC2B3B">
      <w:pPr>
        <w:tabs>
          <w:tab w:val="left" w:pos="1276"/>
        </w:tabs>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b/>
          <w:i/>
        </w:rPr>
        <w:t>“CRITERIO 0001-15. NEGATIVA FICTA. PLAZO PARA INTERPONER EL RECURSO DE REVISIÓN TRATÁNDOSE DE</w:t>
      </w:r>
      <w:r w:rsidRPr="000C6A42">
        <w:rPr>
          <w:rFonts w:ascii="Palatino Linotype" w:eastAsia="Palatino Linotype" w:hAnsi="Palatino Linotype" w:cs="Palatino Linotype"/>
          <w:i/>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 </w:t>
      </w:r>
    </w:p>
    <w:p w14:paraId="7D849A13" w14:textId="77777777" w:rsidR="0087620B" w:rsidRPr="000C6A42" w:rsidRDefault="0087620B" w:rsidP="00CC2B3B">
      <w:pPr>
        <w:spacing w:after="0" w:line="360" w:lineRule="auto"/>
        <w:ind w:left="567" w:right="843"/>
        <w:jc w:val="both"/>
        <w:rPr>
          <w:rFonts w:ascii="Palatino Linotype" w:eastAsia="Palatino Linotype" w:hAnsi="Palatino Linotype" w:cs="Palatino Linotype"/>
          <w:i/>
        </w:rPr>
      </w:pPr>
    </w:p>
    <w:p w14:paraId="6317D119" w14:textId="77777777" w:rsidR="0087620B" w:rsidRPr="000C6A42" w:rsidRDefault="0087620B" w:rsidP="00CC2B3B">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AAB31A6" w14:textId="77777777" w:rsidR="0087620B" w:rsidRPr="000C6A42" w:rsidRDefault="0087620B" w:rsidP="00CC2B3B">
      <w:pPr>
        <w:spacing w:after="0" w:line="360" w:lineRule="auto"/>
        <w:jc w:val="both"/>
        <w:rPr>
          <w:rFonts w:ascii="Palatino Linotype" w:eastAsia="Palatino Linotype" w:hAnsi="Palatino Linotype" w:cs="Palatino Linotype"/>
        </w:rPr>
      </w:pPr>
    </w:p>
    <w:p w14:paraId="078D7663" w14:textId="77777777" w:rsidR="0087620B" w:rsidRPr="000C6A42" w:rsidRDefault="0087620B" w:rsidP="00CC2B3B">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rPr>
        <w:t>Además, por cuanto hace a la procedibilidad del recurso de revisión, es de suma importancia mencionar que, si bien la parte no proporcionó nombre para ser identificado como se advierte en el detalle de seguimiento del</w:t>
      </w:r>
      <w:r w:rsidRPr="000C6A42">
        <w:rPr>
          <w:rFonts w:ascii="Palatino Linotype" w:eastAsia="Palatino Linotype" w:hAnsi="Palatino Linotype" w:cs="Palatino Linotype"/>
          <w:b/>
        </w:rPr>
        <w:t xml:space="preserve"> SAIMEX</w:t>
      </w:r>
      <w:r w:rsidRPr="000C6A42">
        <w:rPr>
          <w:rFonts w:ascii="Palatino Linotype" w:eastAsia="Palatino Linotype" w:hAnsi="Palatino Linotype" w:cs="Palatino Linotype"/>
        </w:rPr>
        <w:t xml:space="preserve">, no es motivo para archivar la solicitud de acceso a la información pública como concluida, conforme a lo previsto en el artículo 155, penúltimo </w:t>
      </w:r>
      <w:r w:rsidRPr="000C6A42">
        <w:rPr>
          <w:rFonts w:ascii="Palatino Linotype" w:eastAsia="Palatino Linotype" w:hAnsi="Palatino Linotype" w:cs="Palatino Linotype"/>
        </w:rPr>
        <w:lastRenderedPageBreak/>
        <w:t>párrafo de la Ley de Transparencia y Acceso a la Información Pública del Estado de México y Municipios que establece lo siguiente:</w:t>
      </w:r>
    </w:p>
    <w:p w14:paraId="590356F5" w14:textId="77777777" w:rsidR="0087620B" w:rsidRPr="000C6A42" w:rsidRDefault="0087620B" w:rsidP="00CC2B3B">
      <w:pPr>
        <w:spacing w:after="0" w:line="360" w:lineRule="auto"/>
        <w:jc w:val="both"/>
        <w:rPr>
          <w:rFonts w:ascii="Palatino Linotype" w:eastAsia="Palatino Linotype" w:hAnsi="Palatino Linotype" w:cs="Palatino Linotype"/>
        </w:rPr>
      </w:pPr>
    </w:p>
    <w:p w14:paraId="702BC82C" w14:textId="77777777" w:rsidR="0087620B" w:rsidRPr="000C6A42" w:rsidRDefault="0087620B" w:rsidP="00CC2B3B">
      <w:pPr>
        <w:spacing w:after="0" w:line="276" w:lineRule="auto"/>
        <w:ind w:left="851" w:right="902"/>
        <w:jc w:val="both"/>
        <w:rPr>
          <w:rFonts w:ascii="Palatino Linotype" w:eastAsia="Palatino Linotype" w:hAnsi="Palatino Linotype" w:cs="Palatino Linotype"/>
          <w:i/>
        </w:rPr>
      </w:pPr>
      <w:r w:rsidRPr="000C6A42">
        <w:rPr>
          <w:rFonts w:ascii="Palatino Linotype" w:eastAsia="Palatino Linotype" w:hAnsi="Palatino Linotype" w:cs="Palatino Linotype"/>
          <w:i/>
        </w:rPr>
        <w:t>"</w:t>
      </w:r>
      <w:r w:rsidRPr="000C6A42">
        <w:rPr>
          <w:rFonts w:ascii="Palatino Linotype" w:eastAsia="Palatino Linotype" w:hAnsi="Palatino Linotype" w:cs="Palatino Linotype"/>
          <w:b/>
          <w:i/>
        </w:rPr>
        <w:t>Las solicitudes anónimas, con nombre incompleto o seudónimo serán procedentes para su trámite por parte del sujeto obligado ante quien se presente.</w:t>
      </w:r>
      <w:r w:rsidRPr="000C6A42">
        <w:rPr>
          <w:rFonts w:ascii="Palatino Linotype" w:eastAsia="Palatino Linotype" w:hAnsi="Palatino Linotype" w:cs="Palatino Linotype"/>
          <w:i/>
        </w:rPr>
        <w:t xml:space="preserve"> No podrá requerirse información adicional con motivo del nombre proporcionado por el solicitante."…</w:t>
      </w:r>
    </w:p>
    <w:p w14:paraId="23BD9236" w14:textId="77777777" w:rsidR="0087620B" w:rsidRPr="000C6A42" w:rsidRDefault="0087620B" w:rsidP="00CC2B3B">
      <w:pPr>
        <w:spacing w:after="0" w:line="360" w:lineRule="auto"/>
        <w:jc w:val="both"/>
        <w:rPr>
          <w:rFonts w:ascii="Palatino Linotype" w:eastAsia="Palatino Linotype" w:hAnsi="Palatino Linotype" w:cs="Palatino Linotype"/>
        </w:rPr>
      </w:pPr>
    </w:p>
    <w:p w14:paraId="3A9EEB33" w14:textId="77777777" w:rsidR="0087620B" w:rsidRPr="000C6A42" w:rsidRDefault="0087620B" w:rsidP="00CC2B3B">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el artículo 179, fracción VII de la ley de la materia, que a la letra dice:</w:t>
      </w:r>
    </w:p>
    <w:p w14:paraId="7DB1C53C" w14:textId="77777777" w:rsidR="0087620B" w:rsidRPr="000C6A42" w:rsidRDefault="0087620B" w:rsidP="00CC2B3B">
      <w:pPr>
        <w:spacing w:after="0" w:line="360" w:lineRule="auto"/>
        <w:jc w:val="both"/>
        <w:rPr>
          <w:rFonts w:ascii="Palatino Linotype" w:eastAsia="Palatino Linotype" w:hAnsi="Palatino Linotype" w:cs="Palatino Linotype"/>
        </w:rPr>
      </w:pPr>
    </w:p>
    <w:p w14:paraId="27E89A77" w14:textId="77777777" w:rsidR="0087620B" w:rsidRPr="000C6A42" w:rsidRDefault="0087620B" w:rsidP="00CC2B3B">
      <w:pPr>
        <w:spacing w:after="0"/>
        <w:ind w:left="851" w:right="851"/>
        <w:jc w:val="both"/>
        <w:rPr>
          <w:rFonts w:ascii="Palatino Linotype" w:eastAsia="Palatino Linotype" w:hAnsi="Palatino Linotype" w:cs="Palatino Linotype"/>
          <w:i/>
        </w:rPr>
      </w:pPr>
      <w:r w:rsidRPr="000C6A42">
        <w:rPr>
          <w:rFonts w:ascii="Palatino Linotype" w:eastAsia="Palatino Linotype" w:hAnsi="Palatino Linotype" w:cs="Palatino Linotype"/>
          <w:i/>
        </w:rPr>
        <w:t>“</w:t>
      </w:r>
      <w:r w:rsidRPr="000C6A42">
        <w:rPr>
          <w:rFonts w:ascii="Palatino Linotype" w:eastAsia="Palatino Linotype" w:hAnsi="Palatino Linotype" w:cs="Palatino Linotype"/>
          <w:b/>
          <w:i/>
        </w:rPr>
        <w:t xml:space="preserve">Artículo 179. </w:t>
      </w:r>
      <w:r w:rsidRPr="000C6A42">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217A90E3" w14:textId="77777777" w:rsidR="0087620B" w:rsidRPr="000C6A42" w:rsidRDefault="0087620B" w:rsidP="00CC2B3B">
      <w:pPr>
        <w:spacing w:after="0"/>
        <w:ind w:left="851" w:right="851"/>
        <w:jc w:val="both"/>
        <w:rPr>
          <w:rFonts w:ascii="Palatino Linotype" w:eastAsia="Palatino Linotype" w:hAnsi="Palatino Linotype" w:cs="Palatino Linotype"/>
          <w:i/>
        </w:rPr>
      </w:pPr>
      <w:r w:rsidRPr="000C6A42">
        <w:rPr>
          <w:rFonts w:ascii="Palatino Linotype" w:eastAsia="Palatino Linotype" w:hAnsi="Palatino Linotype" w:cs="Palatino Linotype"/>
          <w:i/>
        </w:rPr>
        <w:t>…</w:t>
      </w:r>
    </w:p>
    <w:p w14:paraId="230BF5A0" w14:textId="461415DB" w:rsidR="0087620B" w:rsidRPr="000C6A42" w:rsidRDefault="0087620B" w:rsidP="00CC2B3B">
      <w:pPr>
        <w:spacing w:after="0"/>
        <w:ind w:left="851" w:right="851"/>
        <w:jc w:val="both"/>
        <w:rPr>
          <w:rFonts w:ascii="Palatino Linotype" w:eastAsia="Palatino Linotype" w:hAnsi="Palatino Linotype" w:cs="Palatino Linotype"/>
          <w:i/>
        </w:rPr>
      </w:pPr>
      <w:r w:rsidRPr="000C6A42">
        <w:rPr>
          <w:rFonts w:ascii="Palatino Linotype" w:eastAsia="Palatino Linotype" w:hAnsi="Palatino Linotype" w:cs="Palatino Linotype"/>
          <w:b/>
          <w:i/>
        </w:rPr>
        <w:t xml:space="preserve">VII. </w:t>
      </w:r>
      <w:r w:rsidRPr="000C6A42">
        <w:rPr>
          <w:rFonts w:ascii="Palatino Linotype" w:eastAsia="Palatino Linotype" w:hAnsi="Palatino Linotype" w:cs="Palatino Linotype"/>
          <w:i/>
        </w:rPr>
        <w:t>La falta de respuesta a una solicitud de acceso a la información;”</w:t>
      </w:r>
    </w:p>
    <w:p w14:paraId="749C9C45" w14:textId="77777777" w:rsidR="0087620B" w:rsidRPr="000C6A42" w:rsidRDefault="0087620B" w:rsidP="00CC2B3B">
      <w:pPr>
        <w:spacing w:after="0" w:line="360" w:lineRule="auto"/>
        <w:jc w:val="both"/>
        <w:rPr>
          <w:rFonts w:ascii="Palatino Linotype" w:eastAsia="Palatino Linotype" w:hAnsi="Palatino Linotype" w:cs="Palatino Linotype"/>
        </w:rPr>
      </w:pPr>
    </w:p>
    <w:p w14:paraId="1EB01BB1" w14:textId="0B974B6D" w:rsidR="009338B5" w:rsidRPr="000C6A42" w:rsidRDefault="0087620B" w:rsidP="00CC2B3B">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rPr>
        <w:t>El precepto legal citado, establece como supuesto de procedencia del recurso de revisión, en aquellos casos en que la parte Recurrente estime negado el acceso a la información por la falta de respuesta por el Sujeto Obligado, en este asunto se actualiza la hipótesis jurídica citada, en atención a que la parte Recurrente combate falta de trámite por el Sujeto Obligado y expresa motivos de inconformidad en contra de dicha circunstancia.</w:t>
      </w:r>
    </w:p>
    <w:p w14:paraId="46355868" w14:textId="77777777" w:rsidR="0087620B" w:rsidRPr="000C6A42" w:rsidRDefault="0087620B" w:rsidP="00CC2B3B">
      <w:pPr>
        <w:spacing w:after="0" w:line="360" w:lineRule="auto"/>
        <w:jc w:val="both"/>
        <w:rPr>
          <w:rFonts w:ascii="Palatino Linotype" w:eastAsia="Palatino Linotype" w:hAnsi="Palatino Linotype" w:cs="Palatino Linotype"/>
        </w:rPr>
      </w:pPr>
    </w:p>
    <w:p w14:paraId="10A0B797" w14:textId="504FCB92" w:rsidR="009338B5"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b/>
        </w:rPr>
        <w:t>Tercero. Materia de la revisión</w:t>
      </w:r>
      <w:r w:rsidRPr="000C6A42">
        <w:rPr>
          <w:rFonts w:ascii="Palatino Linotype" w:eastAsia="Palatino Linotype" w:hAnsi="Palatino Linotype" w:cs="Palatino Linotype"/>
        </w:rPr>
        <w:t xml:space="preserve">. De la revisión a las constancias y documentos que obran en el expediente electrónico se advierte, que el tema sobre el que este Organismo Garante de Transparencia y Acceso a la Información se pronunciará será en determinar, si se actualiza la hipótesis prevista en la fracción </w:t>
      </w:r>
      <w:r w:rsidR="0087620B" w:rsidRPr="000C6A42">
        <w:rPr>
          <w:rFonts w:ascii="Palatino Linotype" w:eastAsia="Palatino Linotype" w:hAnsi="Palatino Linotype" w:cs="Palatino Linotype"/>
        </w:rPr>
        <w:t>VI</w:t>
      </w:r>
      <w:r w:rsidR="005A5FFF" w:rsidRPr="000C6A42">
        <w:rPr>
          <w:rFonts w:ascii="Palatino Linotype" w:eastAsia="Palatino Linotype" w:hAnsi="Palatino Linotype" w:cs="Palatino Linotype"/>
        </w:rPr>
        <w:t>I</w:t>
      </w:r>
      <w:r w:rsidRPr="000C6A42">
        <w:rPr>
          <w:rFonts w:ascii="Palatino Linotype" w:eastAsia="Palatino Linotype" w:hAnsi="Palatino Linotype" w:cs="Palatino Linotype"/>
        </w:rPr>
        <w:t xml:space="preserve">  del artículo 179 de la Ley en la materia. </w:t>
      </w:r>
    </w:p>
    <w:p w14:paraId="00AFE1D8" w14:textId="35E1A1E8" w:rsidR="009338B5"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b/>
        </w:rPr>
        <w:lastRenderedPageBreak/>
        <w:t>Cuarto.</w:t>
      </w:r>
      <w:r w:rsidRPr="000C6A42">
        <w:rPr>
          <w:rFonts w:ascii="Palatino Linotype" w:eastAsia="Palatino Linotype" w:hAnsi="Palatino Linotype" w:cs="Palatino Linotype"/>
        </w:rPr>
        <w:t xml:space="preserve"> </w:t>
      </w:r>
      <w:r w:rsidRPr="000C6A42">
        <w:rPr>
          <w:rFonts w:ascii="Palatino Linotype" w:eastAsia="Palatino Linotype" w:hAnsi="Palatino Linotype" w:cs="Palatino Linotype"/>
          <w:b/>
        </w:rPr>
        <w:t>Estudio de fondo del asunto.</w:t>
      </w:r>
      <w:r w:rsidRPr="000C6A42">
        <w:rPr>
          <w:rFonts w:ascii="Palatino Linotype" w:eastAsia="Palatino Linotype" w:hAnsi="Palatino Linotype" w:cs="Palatino Linotype"/>
        </w:rPr>
        <w:t xml:space="preserve">  </w:t>
      </w:r>
      <w:r w:rsidR="0087620B" w:rsidRPr="000C6A42">
        <w:rPr>
          <w:rFonts w:ascii="Palatino Linotype" w:eastAsia="Palatino Linotype" w:hAnsi="Palatino Linotype" w:cs="Palatino Linotype"/>
        </w:rPr>
        <w:t>E</w:t>
      </w:r>
      <w:r w:rsidRPr="000C6A42">
        <w:rPr>
          <w:rFonts w:ascii="Palatino Linotype" w:eastAsia="Palatino Linotype" w:hAnsi="Palatino Linotype" w:cs="Palatino Linotype"/>
        </w:rPr>
        <w:t>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w:t>
      </w:r>
      <w:r w:rsidR="006516C6" w:rsidRPr="000C6A42">
        <w:rPr>
          <w:rFonts w:ascii="Palatino Linotype" w:eastAsia="Palatino Linotype" w:hAnsi="Palatino Linotype" w:cs="Palatino Linotype"/>
        </w:rPr>
        <w:t xml:space="preserve"> primero, segundo y tercero y 6°. </w:t>
      </w:r>
    </w:p>
    <w:p w14:paraId="7677C19B" w14:textId="77777777" w:rsidR="006516C6" w:rsidRPr="000C6A42" w:rsidRDefault="006516C6" w:rsidP="00CC2B3B">
      <w:pPr>
        <w:spacing w:after="0" w:line="360" w:lineRule="auto"/>
        <w:ind w:right="49"/>
        <w:jc w:val="both"/>
        <w:rPr>
          <w:rFonts w:ascii="Palatino Linotype" w:eastAsia="Palatino Linotype" w:hAnsi="Palatino Linotype" w:cs="Palatino Linotype"/>
        </w:rPr>
      </w:pPr>
    </w:p>
    <w:p w14:paraId="6B4B429B" w14:textId="77777777" w:rsidR="009338B5"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1471DE2" w14:textId="77777777" w:rsidR="009338B5" w:rsidRPr="000C6A42" w:rsidRDefault="009338B5" w:rsidP="00CC2B3B">
      <w:pPr>
        <w:spacing w:after="0" w:line="360" w:lineRule="auto"/>
        <w:ind w:right="49"/>
        <w:jc w:val="both"/>
        <w:rPr>
          <w:rFonts w:ascii="Palatino Linotype" w:eastAsia="Palatino Linotype" w:hAnsi="Palatino Linotype" w:cs="Palatino Linotype"/>
        </w:rPr>
      </w:pPr>
    </w:p>
    <w:p w14:paraId="60523E64" w14:textId="77777777" w:rsidR="009338B5" w:rsidRPr="000C6A42" w:rsidRDefault="00E0628C" w:rsidP="00CC2B3B">
      <w:pPr>
        <w:spacing w:after="0" w:line="276" w:lineRule="auto"/>
        <w:ind w:left="567" w:right="560"/>
        <w:jc w:val="both"/>
        <w:rPr>
          <w:rFonts w:ascii="Palatino Linotype" w:eastAsia="Palatino Linotype" w:hAnsi="Palatino Linotype" w:cs="Palatino Linotype"/>
          <w:i/>
        </w:rPr>
      </w:pPr>
      <w:r w:rsidRPr="000C6A42">
        <w:rPr>
          <w:rFonts w:ascii="Palatino Linotype" w:eastAsia="Palatino Linotype" w:hAnsi="Palatino Linotype" w:cs="Palatino Linotype"/>
          <w:i/>
        </w:rPr>
        <w:t>“</w:t>
      </w:r>
      <w:r w:rsidRPr="000C6A42">
        <w:rPr>
          <w:rFonts w:ascii="Palatino Linotype" w:eastAsia="Palatino Linotype" w:hAnsi="Palatino Linotype" w:cs="Palatino Linotype"/>
          <w:b/>
          <w:i/>
        </w:rPr>
        <w:t>Artículo 4.</w:t>
      </w:r>
      <w:r w:rsidRPr="000C6A42">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E30739F" w14:textId="77777777" w:rsidR="009338B5" w:rsidRPr="000C6A42" w:rsidRDefault="00E0628C" w:rsidP="00CC2B3B">
      <w:pPr>
        <w:spacing w:after="0" w:line="276" w:lineRule="auto"/>
        <w:ind w:left="567" w:right="560"/>
        <w:jc w:val="both"/>
        <w:rPr>
          <w:rFonts w:ascii="Palatino Linotype" w:eastAsia="Palatino Linotype" w:hAnsi="Palatino Linotype" w:cs="Palatino Linotype"/>
          <w:i/>
        </w:rPr>
      </w:pPr>
      <w:r w:rsidRPr="000C6A42">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D052169" w14:textId="2C0D0DB6" w:rsidR="009338B5" w:rsidRPr="000C6A42" w:rsidRDefault="00E0628C" w:rsidP="00CC2B3B">
      <w:pPr>
        <w:spacing w:after="0" w:line="276" w:lineRule="auto"/>
        <w:ind w:left="567" w:right="560"/>
        <w:jc w:val="both"/>
        <w:rPr>
          <w:rFonts w:ascii="Palatino Linotype" w:eastAsia="Palatino Linotype" w:hAnsi="Palatino Linotype" w:cs="Palatino Linotype"/>
          <w:i/>
        </w:rPr>
      </w:pPr>
      <w:r w:rsidRPr="000C6A42">
        <w:rPr>
          <w:rFonts w:ascii="Palatino Linotype" w:eastAsia="Palatino Linotype" w:hAnsi="Palatino Linotype" w:cs="Palatino Linotype"/>
          <w:i/>
        </w:rPr>
        <w:lastRenderedPageBreak/>
        <w:t>Los sujetos obligados deben poner en práctica, políticas y programas de acceso a la información que se apeguen a criterios de publicidad, veracidad, oportunidad, precisión y suficiencia en beneficio de los solicitantes.”</w:t>
      </w:r>
    </w:p>
    <w:p w14:paraId="2041839F" w14:textId="77777777" w:rsidR="00182F1C" w:rsidRPr="000C6A42" w:rsidRDefault="00182F1C" w:rsidP="00CC2B3B">
      <w:pPr>
        <w:spacing w:after="0" w:line="360" w:lineRule="auto"/>
        <w:ind w:right="49"/>
        <w:jc w:val="both"/>
        <w:rPr>
          <w:rFonts w:ascii="Palatino Linotype" w:eastAsia="Palatino Linotype" w:hAnsi="Palatino Linotype" w:cs="Palatino Linotype"/>
        </w:rPr>
      </w:pPr>
    </w:p>
    <w:p w14:paraId="28DFAFE8" w14:textId="77777777" w:rsidR="009338B5"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286C2D4D" w14:textId="77777777" w:rsidR="0004412B" w:rsidRPr="000C6A42" w:rsidRDefault="0004412B" w:rsidP="00CC2B3B">
      <w:pPr>
        <w:spacing w:after="0" w:line="360" w:lineRule="auto"/>
        <w:ind w:right="49"/>
        <w:jc w:val="both"/>
        <w:rPr>
          <w:rFonts w:ascii="Palatino Linotype" w:eastAsia="Palatino Linotype" w:hAnsi="Palatino Linotype" w:cs="Palatino Linotype"/>
        </w:rPr>
      </w:pPr>
    </w:p>
    <w:p w14:paraId="5912AA87" w14:textId="77777777" w:rsidR="009338B5" w:rsidRPr="000C6A42" w:rsidRDefault="00E0628C" w:rsidP="00CC2B3B">
      <w:pPr>
        <w:spacing w:after="0" w:line="276" w:lineRule="auto"/>
        <w:ind w:left="567" w:right="560"/>
        <w:jc w:val="both"/>
        <w:rPr>
          <w:rFonts w:ascii="Palatino Linotype" w:eastAsia="Palatino Linotype" w:hAnsi="Palatino Linotype" w:cs="Palatino Linotype"/>
          <w:i/>
        </w:rPr>
      </w:pPr>
      <w:r w:rsidRPr="000C6A42">
        <w:rPr>
          <w:rFonts w:ascii="Palatino Linotype" w:eastAsia="Palatino Linotype" w:hAnsi="Palatino Linotype" w:cs="Palatino Linotype"/>
          <w:i/>
        </w:rPr>
        <w:t>“</w:t>
      </w:r>
      <w:r w:rsidRPr="000C6A42">
        <w:rPr>
          <w:rFonts w:ascii="Palatino Linotype" w:eastAsia="Palatino Linotype" w:hAnsi="Palatino Linotype" w:cs="Palatino Linotype"/>
          <w:b/>
          <w:i/>
        </w:rPr>
        <w:t>Artículo 12.</w:t>
      </w:r>
      <w:r w:rsidRPr="000C6A42">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C24E8CA" w14:textId="77777777" w:rsidR="009338B5" w:rsidRPr="000C6A42" w:rsidRDefault="00E0628C" w:rsidP="00CC2B3B">
      <w:pPr>
        <w:spacing w:after="0" w:line="276" w:lineRule="auto"/>
        <w:ind w:left="567" w:right="560"/>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F036EDD" w14:textId="77777777" w:rsidR="009338B5" w:rsidRPr="000C6A42" w:rsidRDefault="009338B5" w:rsidP="00CC2B3B">
      <w:pPr>
        <w:spacing w:after="0" w:line="360" w:lineRule="auto"/>
        <w:ind w:right="49"/>
        <w:jc w:val="both"/>
        <w:rPr>
          <w:rFonts w:ascii="Palatino Linotype" w:eastAsia="Palatino Linotype" w:hAnsi="Palatino Linotype" w:cs="Palatino Linotype"/>
        </w:rPr>
      </w:pPr>
    </w:p>
    <w:p w14:paraId="71C0FA2F" w14:textId="77777777" w:rsidR="009338B5"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134ADE7A" w14:textId="77777777" w:rsidR="009338B5" w:rsidRPr="000C6A42" w:rsidRDefault="009338B5" w:rsidP="00CC2B3B">
      <w:pPr>
        <w:spacing w:after="0" w:line="360" w:lineRule="auto"/>
        <w:ind w:right="49"/>
        <w:jc w:val="both"/>
        <w:rPr>
          <w:rFonts w:ascii="Palatino Linotype" w:eastAsia="Palatino Linotype" w:hAnsi="Palatino Linotype" w:cs="Palatino Linotype"/>
        </w:rPr>
      </w:pPr>
    </w:p>
    <w:p w14:paraId="3A45BC79" w14:textId="77777777" w:rsidR="009338B5" w:rsidRPr="000C6A42" w:rsidRDefault="00E0628C" w:rsidP="00CC2B3B">
      <w:pPr>
        <w:spacing w:after="0" w:line="276" w:lineRule="auto"/>
        <w:ind w:left="567" w:right="560"/>
        <w:jc w:val="both"/>
        <w:rPr>
          <w:rFonts w:ascii="Palatino Linotype" w:eastAsia="Palatino Linotype" w:hAnsi="Palatino Linotype" w:cs="Palatino Linotype"/>
          <w:b/>
          <w:i/>
        </w:rPr>
      </w:pPr>
      <w:r w:rsidRPr="000C6A42">
        <w:rPr>
          <w:rFonts w:ascii="Palatino Linotype" w:eastAsia="Palatino Linotype" w:hAnsi="Palatino Linotype" w:cs="Palatino Linotype"/>
          <w:b/>
          <w:i/>
        </w:rPr>
        <w:t xml:space="preserve">Criterio 03/17. NO EXISTE OBLIGACIÓN DE ELABORAR DOCUMENTOS AD HOC PARA ATENDER LAS SOLICITUDES DE ACCESO A LA INFORMACIÓN. </w:t>
      </w:r>
      <w:r w:rsidRPr="000C6A42">
        <w:rPr>
          <w:rFonts w:ascii="Palatino Linotype" w:eastAsia="Palatino Linotype" w:hAnsi="Palatino Linotype" w:cs="Palatino Linotype"/>
          <w:i/>
        </w:rPr>
        <w:lastRenderedPageBreak/>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05C32BE" w14:textId="77777777" w:rsidR="009338B5" w:rsidRPr="000C6A42" w:rsidRDefault="009338B5" w:rsidP="00CC2B3B">
      <w:pPr>
        <w:spacing w:after="0" w:line="360" w:lineRule="auto"/>
        <w:ind w:left="567" w:right="560"/>
        <w:jc w:val="both"/>
        <w:rPr>
          <w:rFonts w:ascii="Palatino Linotype" w:eastAsia="Palatino Linotype" w:hAnsi="Palatino Linotype" w:cs="Palatino Linotype"/>
          <w:b/>
          <w:i/>
        </w:rPr>
      </w:pPr>
    </w:p>
    <w:p w14:paraId="0C137320" w14:textId="77777777" w:rsidR="009338B5"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1344CC5" w14:textId="77777777" w:rsidR="009338B5" w:rsidRPr="000C6A42" w:rsidRDefault="009338B5" w:rsidP="00CC2B3B">
      <w:pPr>
        <w:spacing w:after="0" w:line="360" w:lineRule="auto"/>
        <w:ind w:right="49"/>
        <w:jc w:val="both"/>
        <w:rPr>
          <w:rFonts w:ascii="Palatino Linotype" w:eastAsia="Palatino Linotype" w:hAnsi="Palatino Linotype" w:cs="Palatino Linotype"/>
        </w:rPr>
      </w:pPr>
    </w:p>
    <w:p w14:paraId="2E71F99C" w14:textId="77777777" w:rsidR="009338B5"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581998E" w14:textId="77777777" w:rsidR="009338B5" w:rsidRPr="000C6A42" w:rsidRDefault="009338B5" w:rsidP="00CC2B3B">
      <w:pPr>
        <w:spacing w:after="0" w:line="360" w:lineRule="auto"/>
        <w:ind w:right="49"/>
        <w:jc w:val="both"/>
        <w:rPr>
          <w:rFonts w:ascii="Palatino Linotype" w:eastAsia="Palatino Linotype" w:hAnsi="Palatino Linotype" w:cs="Palatino Linotype"/>
        </w:rPr>
      </w:pPr>
    </w:p>
    <w:p w14:paraId="1260DFC5" w14:textId="0BD3BD16" w:rsidR="009338B5"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w:t>
      </w:r>
      <w:r w:rsidRPr="000C6A42">
        <w:rPr>
          <w:rFonts w:ascii="Palatino Linotype" w:eastAsia="Palatino Linotype" w:hAnsi="Palatino Linotype" w:cs="Palatino Linotype"/>
        </w:rPr>
        <w:lastRenderedPageBreak/>
        <w:t xml:space="preserve">de los Sujetos Obligados; los que, podrán estar en cualquier medio, sea escrito, impreso, sonoro, visual, electrónico, informático u holográfico de conformidad con el artículo 3, fracción XI de la Ley de la materia, el cual señala lo siguiente: </w:t>
      </w:r>
    </w:p>
    <w:p w14:paraId="0C632D9A" w14:textId="77777777" w:rsidR="00182F1C" w:rsidRPr="000C6A42" w:rsidRDefault="00182F1C" w:rsidP="00CC2B3B">
      <w:pPr>
        <w:spacing w:after="0" w:line="360" w:lineRule="auto"/>
        <w:ind w:right="49"/>
        <w:jc w:val="both"/>
        <w:rPr>
          <w:rFonts w:ascii="Palatino Linotype" w:eastAsia="Palatino Linotype" w:hAnsi="Palatino Linotype" w:cs="Palatino Linotype"/>
        </w:rPr>
      </w:pPr>
    </w:p>
    <w:p w14:paraId="297535C0" w14:textId="77777777" w:rsidR="009338B5" w:rsidRPr="000C6A42" w:rsidRDefault="00E0628C" w:rsidP="00CC2B3B">
      <w:pPr>
        <w:spacing w:after="0" w:line="276" w:lineRule="auto"/>
        <w:ind w:left="567" w:right="560"/>
        <w:jc w:val="both"/>
        <w:rPr>
          <w:rFonts w:ascii="Palatino Linotype" w:eastAsia="Palatino Linotype" w:hAnsi="Palatino Linotype" w:cs="Palatino Linotype"/>
          <w:i/>
        </w:rPr>
      </w:pPr>
      <w:r w:rsidRPr="000C6A42">
        <w:rPr>
          <w:rFonts w:ascii="Palatino Linotype" w:eastAsia="Palatino Linotype" w:hAnsi="Palatino Linotype" w:cs="Palatino Linotype"/>
          <w:i/>
        </w:rPr>
        <w:t>“</w:t>
      </w:r>
      <w:r w:rsidRPr="000C6A42">
        <w:rPr>
          <w:rFonts w:ascii="Palatino Linotype" w:eastAsia="Palatino Linotype" w:hAnsi="Palatino Linotype" w:cs="Palatino Linotype"/>
          <w:b/>
          <w:i/>
        </w:rPr>
        <w:t>Artículo 3.</w:t>
      </w:r>
      <w:r w:rsidRPr="000C6A42">
        <w:rPr>
          <w:rFonts w:ascii="Palatino Linotype" w:eastAsia="Palatino Linotype" w:hAnsi="Palatino Linotype" w:cs="Palatino Linotype"/>
          <w:i/>
        </w:rPr>
        <w:t xml:space="preserve"> Para los efectos de la presente Ley se entenderá por:</w:t>
      </w:r>
    </w:p>
    <w:p w14:paraId="109BCE89" w14:textId="77777777" w:rsidR="009338B5" w:rsidRPr="000C6A42" w:rsidRDefault="00E0628C" w:rsidP="00CC2B3B">
      <w:pPr>
        <w:spacing w:after="0" w:line="276" w:lineRule="auto"/>
        <w:ind w:left="567" w:right="560"/>
        <w:jc w:val="both"/>
        <w:rPr>
          <w:rFonts w:ascii="Palatino Linotype" w:eastAsia="Palatino Linotype" w:hAnsi="Palatino Linotype" w:cs="Palatino Linotype"/>
          <w:i/>
        </w:rPr>
      </w:pPr>
      <w:r w:rsidRPr="000C6A42">
        <w:rPr>
          <w:rFonts w:ascii="Palatino Linotype" w:eastAsia="Palatino Linotype" w:hAnsi="Palatino Linotype" w:cs="Palatino Linotype"/>
          <w:i/>
        </w:rPr>
        <w:t>…</w:t>
      </w:r>
    </w:p>
    <w:p w14:paraId="444F11B2" w14:textId="77777777" w:rsidR="009338B5" w:rsidRPr="000C6A42" w:rsidRDefault="00E0628C" w:rsidP="00CC2B3B">
      <w:pPr>
        <w:spacing w:after="0" w:line="276" w:lineRule="auto"/>
        <w:ind w:left="567" w:right="560"/>
        <w:jc w:val="both"/>
        <w:rPr>
          <w:rFonts w:ascii="Palatino Linotype" w:eastAsia="Palatino Linotype" w:hAnsi="Palatino Linotype" w:cs="Palatino Linotype"/>
          <w:i/>
        </w:rPr>
      </w:pPr>
      <w:r w:rsidRPr="000C6A42">
        <w:rPr>
          <w:rFonts w:ascii="Palatino Linotype" w:eastAsia="Palatino Linotype" w:hAnsi="Palatino Linotype" w:cs="Palatino Linotype"/>
          <w:b/>
          <w:i/>
        </w:rPr>
        <w:t>XI. Documento:</w:t>
      </w:r>
      <w:r w:rsidRPr="000C6A42">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866AEC9" w14:textId="77777777" w:rsidR="009338B5" w:rsidRPr="000C6A42" w:rsidRDefault="009338B5" w:rsidP="00CC2B3B">
      <w:pPr>
        <w:spacing w:after="0" w:line="360" w:lineRule="auto"/>
        <w:ind w:left="567" w:right="560"/>
        <w:jc w:val="both"/>
        <w:rPr>
          <w:rFonts w:ascii="Palatino Linotype" w:eastAsia="Palatino Linotype" w:hAnsi="Palatino Linotype" w:cs="Palatino Linotype"/>
          <w:i/>
        </w:rPr>
      </w:pPr>
    </w:p>
    <w:p w14:paraId="064C15B0" w14:textId="77777777" w:rsidR="009338B5"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FE8AB0C" w14:textId="77777777" w:rsidR="00363513" w:rsidRPr="000C6A42" w:rsidRDefault="00363513" w:rsidP="00CC2B3B">
      <w:pPr>
        <w:spacing w:after="0" w:line="360" w:lineRule="auto"/>
        <w:ind w:right="49"/>
        <w:jc w:val="both"/>
        <w:rPr>
          <w:rFonts w:ascii="Palatino Linotype" w:eastAsia="Palatino Linotype" w:hAnsi="Palatino Linotype" w:cs="Palatino Linotype"/>
        </w:rPr>
      </w:pPr>
    </w:p>
    <w:p w14:paraId="0BF6C859" w14:textId="77777777" w:rsidR="009338B5" w:rsidRPr="000C6A42" w:rsidRDefault="00E0628C" w:rsidP="00CC2B3B">
      <w:pPr>
        <w:spacing w:after="0" w:line="276" w:lineRule="auto"/>
        <w:ind w:left="567" w:right="560"/>
        <w:jc w:val="both"/>
        <w:rPr>
          <w:rFonts w:ascii="Palatino Linotype" w:eastAsia="Palatino Linotype" w:hAnsi="Palatino Linotype" w:cs="Palatino Linotype"/>
          <w:b/>
          <w:i/>
        </w:rPr>
      </w:pPr>
      <w:r w:rsidRPr="000C6A42">
        <w:rPr>
          <w:rFonts w:ascii="Palatino Linotype" w:eastAsia="Palatino Linotype" w:hAnsi="Palatino Linotype" w:cs="Palatino Linotype"/>
          <w:i/>
        </w:rPr>
        <w:t>“</w:t>
      </w:r>
      <w:r w:rsidRPr="000C6A42">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0C6A4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570C1C5" w14:textId="77777777" w:rsidR="009338B5" w:rsidRPr="000C6A42" w:rsidRDefault="00E0628C" w:rsidP="00CC2B3B">
      <w:pPr>
        <w:spacing w:after="0" w:line="276" w:lineRule="auto"/>
        <w:ind w:left="567" w:right="560"/>
        <w:jc w:val="both"/>
        <w:rPr>
          <w:rFonts w:ascii="Palatino Linotype" w:eastAsia="Palatino Linotype" w:hAnsi="Palatino Linotype" w:cs="Palatino Linotype"/>
          <w:i/>
        </w:rPr>
      </w:pPr>
      <w:r w:rsidRPr="000C6A42">
        <w:rPr>
          <w:rFonts w:ascii="Palatino Linotype" w:eastAsia="Palatino Linotype" w:hAnsi="Palatino Linotype" w:cs="Palatino Linotype"/>
          <w:i/>
        </w:rPr>
        <w:t>En consecuencia el acceso a la información se refiere a que se cumplan cualquiera de los siguientes tres supuestos:</w:t>
      </w:r>
    </w:p>
    <w:p w14:paraId="21C66854" w14:textId="77777777" w:rsidR="009338B5" w:rsidRPr="000C6A42" w:rsidRDefault="00E0628C" w:rsidP="00CC2B3B">
      <w:pPr>
        <w:spacing w:after="0" w:line="276" w:lineRule="auto"/>
        <w:ind w:left="567" w:right="560"/>
        <w:jc w:val="both"/>
        <w:rPr>
          <w:rFonts w:ascii="Palatino Linotype" w:eastAsia="Palatino Linotype" w:hAnsi="Palatino Linotype" w:cs="Palatino Linotype"/>
          <w:i/>
        </w:rPr>
      </w:pPr>
      <w:r w:rsidRPr="000C6A42">
        <w:rPr>
          <w:rFonts w:ascii="Palatino Linotype" w:eastAsia="Palatino Linotype" w:hAnsi="Palatino Linotype" w:cs="Palatino Linotype"/>
          <w:i/>
        </w:rPr>
        <w:lastRenderedPageBreak/>
        <w:t>1)</w:t>
      </w:r>
      <w:r w:rsidRPr="000C6A42">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539D161D" w14:textId="77777777" w:rsidR="009338B5" w:rsidRPr="000C6A42" w:rsidRDefault="00E0628C" w:rsidP="00CC2B3B">
      <w:pPr>
        <w:spacing w:after="0" w:line="276" w:lineRule="auto"/>
        <w:ind w:left="567" w:right="560"/>
        <w:jc w:val="both"/>
        <w:rPr>
          <w:rFonts w:ascii="Palatino Linotype" w:eastAsia="Palatino Linotype" w:hAnsi="Palatino Linotype" w:cs="Palatino Linotype"/>
          <w:i/>
        </w:rPr>
      </w:pPr>
      <w:r w:rsidRPr="000C6A42">
        <w:rPr>
          <w:rFonts w:ascii="Palatino Linotype" w:eastAsia="Palatino Linotype" w:hAnsi="Palatino Linotype" w:cs="Palatino Linotype"/>
          <w:i/>
        </w:rPr>
        <w:t>2)</w:t>
      </w:r>
      <w:r w:rsidRPr="000C6A42">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4C6627D5" w14:textId="77777777" w:rsidR="009338B5" w:rsidRPr="000C6A42" w:rsidRDefault="00E0628C" w:rsidP="00CC2B3B">
      <w:pPr>
        <w:spacing w:after="0" w:line="276" w:lineRule="auto"/>
        <w:ind w:left="567" w:right="560"/>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0612F34B" w14:textId="77777777" w:rsidR="006516C6" w:rsidRPr="000C6A42" w:rsidRDefault="006516C6" w:rsidP="00CC2B3B">
      <w:pPr>
        <w:spacing w:after="0" w:line="360" w:lineRule="auto"/>
        <w:ind w:right="49"/>
        <w:jc w:val="both"/>
        <w:rPr>
          <w:rFonts w:ascii="Palatino Linotype" w:eastAsia="Palatino Linotype" w:hAnsi="Palatino Linotype" w:cs="Palatino Linotype"/>
        </w:rPr>
      </w:pPr>
    </w:p>
    <w:p w14:paraId="200C40B7" w14:textId="77777777" w:rsidR="009338B5"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111B765D" w14:textId="77777777" w:rsidR="009338B5" w:rsidRPr="000C6A42" w:rsidRDefault="009338B5" w:rsidP="00CC2B3B">
      <w:pPr>
        <w:spacing w:after="0" w:line="360" w:lineRule="auto"/>
        <w:ind w:right="49"/>
        <w:jc w:val="both"/>
        <w:rPr>
          <w:rFonts w:ascii="Palatino Linotype" w:eastAsia="Palatino Linotype" w:hAnsi="Palatino Linotype" w:cs="Palatino Linotype"/>
        </w:rPr>
      </w:pPr>
    </w:p>
    <w:p w14:paraId="65988501" w14:textId="49F7F382" w:rsidR="009338B5"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 xml:space="preserve">De las actuaciones que integran el expediente electrónico, se procede al análisis de los agravios hechos valer por la parte Recurrente, relativos a </w:t>
      </w:r>
      <w:r w:rsidR="0087620B" w:rsidRPr="000C6A42">
        <w:rPr>
          <w:rFonts w:ascii="Palatino Linotype" w:eastAsia="Palatino Linotype" w:hAnsi="Palatino Linotype" w:cs="Palatino Linotype"/>
        </w:rPr>
        <w:t>la falta de respuesta a la solicitud de información</w:t>
      </w:r>
      <w:r w:rsidRPr="000C6A42">
        <w:rPr>
          <w:rFonts w:ascii="Palatino Linotype" w:eastAsia="Palatino Linotype" w:hAnsi="Palatino Linotype" w:cs="Palatino Linotype"/>
        </w:rPr>
        <w:t xml:space="preserve">, lo que actualiza la causal de procedencia prevista en la fracción </w:t>
      </w:r>
      <w:r w:rsidR="0087620B" w:rsidRPr="000C6A42">
        <w:rPr>
          <w:rFonts w:ascii="Palatino Linotype" w:eastAsia="Palatino Linotype" w:hAnsi="Palatino Linotype" w:cs="Palatino Linotype"/>
        </w:rPr>
        <w:t>VI</w:t>
      </w:r>
      <w:r w:rsidR="00117754" w:rsidRPr="000C6A42">
        <w:rPr>
          <w:rFonts w:ascii="Palatino Linotype" w:eastAsia="Palatino Linotype" w:hAnsi="Palatino Linotype" w:cs="Palatino Linotype"/>
        </w:rPr>
        <w:t xml:space="preserve">I </w:t>
      </w:r>
      <w:r w:rsidRPr="000C6A42">
        <w:rPr>
          <w:rFonts w:ascii="Palatino Linotype" w:eastAsia="Palatino Linotype" w:hAnsi="Palatino Linotype" w:cs="Palatino Linotype"/>
        </w:rPr>
        <w:t>del artículo 179 de la Ley de Transparencia y Acceso a la Información Pública del Estado de Méxi</w:t>
      </w:r>
      <w:r w:rsidR="0004412B" w:rsidRPr="000C6A42">
        <w:rPr>
          <w:rFonts w:ascii="Palatino Linotype" w:eastAsia="Palatino Linotype" w:hAnsi="Palatino Linotype" w:cs="Palatino Linotype"/>
        </w:rPr>
        <w:t>co y Municipios</w:t>
      </w:r>
      <w:r w:rsidR="0087620B" w:rsidRPr="000C6A42">
        <w:rPr>
          <w:rFonts w:ascii="Palatino Linotype" w:eastAsia="Palatino Linotype" w:hAnsi="Palatino Linotype" w:cs="Palatino Linotype"/>
        </w:rPr>
        <w:t>.</w:t>
      </w:r>
    </w:p>
    <w:p w14:paraId="15DA54F6" w14:textId="77777777" w:rsidR="0087620B" w:rsidRPr="000C6A42" w:rsidRDefault="0087620B" w:rsidP="00CC2B3B">
      <w:pPr>
        <w:spacing w:after="0" w:line="360" w:lineRule="auto"/>
        <w:ind w:right="49"/>
        <w:jc w:val="both"/>
        <w:rPr>
          <w:rFonts w:ascii="Palatino Linotype" w:eastAsia="Palatino Linotype" w:hAnsi="Palatino Linotype" w:cs="Palatino Linotype"/>
        </w:rPr>
      </w:pPr>
    </w:p>
    <w:p w14:paraId="2733728C" w14:textId="4672158A" w:rsidR="0004412B" w:rsidRPr="000C6A42" w:rsidRDefault="00117754"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Para ello, es de recordar que l</w:t>
      </w:r>
      <w:r w:rsidR="0087620B" w:rsidRPr="000C6A42">
        <w:rPr>
          <w:rFonts w:ascii="Palatino Linotype" w:eastAsia="Palatino Linotype" w:hAnsi="Palatino Linotype" w:cs="Palatino Linotype"/>
        </w:rPr>
        <w:t xml:space="preserve">a parte Recurrente, solicitó los estados de cuenta de las cuentas bancarias del </w:t>
      </w:r>
      <w:r w:rsidR="009A351A" w:rsidRPr="000C6A42">
        <w:rPr>
          <w:rFonts w:ascii="Palatino Linotype" w:eastAsia="Palatino Linotype" w:hAnsi="Palatino Linotype" w:cs="Palatino Linotype"/>
        </w:rPr>
        <w:t>A</w:t>
      </w:r>
      <w:r w:rsidR="0087620B" w:rsidRPr="000C6A42">
        <w:rPr>
          <w:rFonts w:ascii="Palatino Linotype" w:eastAsia="Palatino Linotype" w:hAnsi="Palatino Linotype" w:cs="Palatino Linotype"/>
        </w:rPr>
        <w:t>yuntamiento al treinta y uno de diciembre de dos mil veinticuatro.</w:t>
      </w:r>
    </w:p>
    <w:p w14:paraId="7BBE3002" w14:textId="77777777" w:rsidR="0004412B" w:rsidRPr="000C6A42" w:rsidRDefault="0004412B" w:rsidP="00CC2B3B">
      <w:pPr>
        <w:spacing w:after="0" w:line="360" w:lineRule="auto"/>
        <w:ind w:left="567" w:right="560"/>
        <w:jc w:val="both"/>
        <w:rPr>
          <w:rFonts w:ascii="Palatino Linotype" w:eastAsia="Palatino Linotype" w:hAnsi="Palatino Linotype" w:cs="Palatino Linotype"/>
          <w:i/>
        </w:rPr>
      </w:pPr>
    </w:p>
    <w:p w14:paraId="4A44C40C" w14:textId="697444A1" w:rsidR="0004412B" w:rsidRPr="000C6A42" w:rsidRDefault="0087620B"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 xml:space="preserve">El Sujeto Obligado fue omiso en proporcionar respuesta. </w:t>
      </w:r>
    </w:p>
    <w:p w14:paraId="4B21DBFF" w14:textId="77777777" w:rsidR="0004412B" w:rsidRPr="000C6A42" w:rsidRDefault="0004412B" w:rsidP="00CC2B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D01A518" w14:textId="124E0A15" w:rsidR="0004412B" w:rsidRPr="000C6A42" w:rsidRDefault="00117754" w:rsidP="00CC2B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lastRenderedPageBreak/>
        <w:t xml:space="preserve">Derivado de ello, la parte Recurrente se inconformó </w:t>
      </w:r>
      <w:r w:rsidR="0087620B" w:rsidRPr="000C6A42">
        <w:rPr>
          <w:rFonts w:ascii="Palatino Linotype" w:eastAsia="Palatino Linotype" w:hAnsi="Palatino Linotype" w:cs="Palatino Linotype"/>
        </w:rPr>
        <w:t xml:space="preserve">arguyendo la falta de respuesta a la solicitud de información. </w:t>
      </w:r>
    </w:p>
    <w:p w14:paraId="56E57C14" w14:textId="77777777" w:rsidR="0087620B" w:rsidRPr="000C6A42" w:rsidRDefault="0087620B" w:rsidP="00CC2B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CD5EACD" w14:textId="42A83DE8" w:rsidR="0087620B" w:rsidRPr="000C6A42" w:rsidRDefault="0087620B" w:rsidP="00CC2B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 xml:space="preserve">Es así que, mediante informe justificado, el Sujeto Obligado informó a la parte Recurrente que los Estados de Cuenta Bancarios al 31 de diciembre de 2024 habían sido clasificados como confidencial en su totalidad por medio de la Sexagésima Cuarta Sesión Extraordinaria 2025 del Comité de Transparencia del Municipio de Toluca Administración 2025-2027, asimismo, mencionó que, se registraron fallas en el sistema SAIMEX, situación que se informó mediante correo electrónico a la Dirección de Informática del </w:t>
      </w:r>
      <w:proofErr w:type="spellStart"/>
      <w:r w:rsidRPr="000C6A42">
        <w:rPr>
          <w:rFonts w:ascii="Palatino Linotype" w:eastAsia="Palatino Linotype" w:hAnsi="Palatino Linotype" w:cs="Palatino Linotype"/>
        </w:rPr>
        <w:t>Infoem</w:t>
      </w:r>
      <w:proofErr w:type="spellEnd"/>
      <w:r w:rsidRPr="000C6A42">
        <w:rPr>
          <w:rFonts w:ascii="Palatino Linotype" w:eastAsia="Palatino Linotype" w:hAnsi="Palatino Linotype" w:cs="Palatino Linotype"/>
        </w:rPr>
        <w:t>.</w:t>
      </w:r>
    </w:p>
    <w:p w14:paraId="5CB90822" w14:textId="77777777" w:rsidR="006516C6" w:rsidRPr="000C6A42" w:rsidRDefault="006516C6" w:rsidP="00CC2B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705DF72" w14:textId="32E3C8E4" w:rsidR="0087620B" w:rsidRPr="000C6A42" w:rsidRDefault="008104EC" w:rsidP="00CC2B3B">
      <w:pPr>
        <w:pBdr>
          <w:top w:val="nil"/>
          <w:left w:val="nil"/>
          <w:bottom w:val="nil"/>
          <w:right w:val="nil"/>
          <w:between w:val="nil"/>
        </w:pBdr>
        <w:spacing w:after="0" w:line="360" w:lineRule="auto"/>
        <w:ind w:right="49"/>
        <w:jc w:val="both"/>
        <w:rPr>
          <w:rFonts w:ascii="Palatino Linotype" w:eastAsia="Times New Roman" w:hAnsi="Palatino Linotype" w:cs="Tahoma"/>
          <w:bCs/>
          <w:lang w:eastAsia="es-ES"/>
        </w:rPr>
      </w:pPr>
      <w:r w:rsidRPr="000C6A42">
        <w:rPr>
          <w:rFonts w:ascii="Palatino Linotype" w:eastAsia="Palatino Linotype" w:hAnsi="Palatino Linotype" w:cs="Palatino Linotype"/>
        </w:rPr>
        <w:t>En atención a ello, se procede a contextualizar la información requerida, para esto,</w:t>
      </w:r>
      <w:r w:rsidR="00771DC0" w:rsidRPr="000C6A42">
        <w:rPr>
          <w:rFonts w:ascii="Palatino Linotype" w:eastAsia="Palatino Linotype" w:hAnsi="Palatino Linotype" w:cs="Palatino Linotype"/>
        </w:rPr>
        <w:t xml:space="preserve"> en</w:t>
      </w:r>
      <w:r w:rsidR="00E57132" w:rsidRPr="000C6A42">
        <w:rPr>
          <w:rFonts w:ascii="Palatino Linotype" w:eastAsia="Palatino Linotype" w:hAnsi="Palatino Linotype" w:cs="Palatino Linotype"/>
        </w:rPr>
        <w:t xml:space="preserve"> principio es menester referir </w:t>
      </w:r>
      <w:r w:rsidR="00E57132" w:rsidRPr="000C6A42">
        <w:rPr>
          <w:rFonts w:ascii="Palatino Linotype" w:eastAsia="Times New Roman" w:hAnsi="Palatino Linotype" w:cs="Tahoma"/>
          <w:bCs/>
          <w:lang w:eastAsia="es-ES"/>
        </w:rPr>
        <w:t xml:space="preserve">que </w:t>
      </w:r>
      <w:r w:rsidR="0087620B" w:rsidRPr="000C6A42">
        <w:rPr>
          <w:rFonts w:ascii="Palatino Linotype" w:hAnsi="Palatino Linotype" w:cs="Tahoma"/>
          <w:bCs/>
        </w:rPr>
        <w:t xml:space="preserve">los estados de cuenta bancarios </w:t>
      </w:r>
      <w:r w:rsidR="00E57132" w:rsidRPr="000C6A42">
        <w:rPr>
          <w:rFonts w:ascii="Palatino Linotype" w:hAnsi="Palatino Linotype" w:cs="Tahoma"/>
          <w:bCs/>
        </w:rPr>
        <w:t xml:space="preserve">que </w:t>
      </w:r>
      <w:r w:rsidR="00147519" w:rsidRPr="000C6A42">
        <w:rPr>
          <w:rFonts w:ascii="Palatino Linotype" w:hAnsi="Palatino Linotype" w:cs="Tahoma"/>
          <w:bCs/>
        </w:rPr>
        <w:t>da</w:t>
      </w:r>
      <w:r w:rsidR="00E57132" w:rsidRPr="000C6A42">
        <w:rPr>
          <w:rFonts w:ascii="Palatino Linotype" w:hAnsi="Palatino Linotype" w:cs="Tahoma"/>
          <w:bCs/>
        </w:rPr>
        <w:t>n</w:t>
      </w:r>
      <w:r w:rsidR="00147519" w:rsidRPr="000C6A42">
        <w:rPr>
          <w:rFonts w:ascii="Palatino Linotype" w:hAnsi="Palatino Linotype" w:cs="Tahoma"/>
          <w:bCs/>
        </w:rPr>
        <w:t xml:space="preserve"> cuenta de la transferencia o </w:t>
      </w:r>
      <w:r w:rsidR="009A351A" w:rsidRPr="000C6A42">
        <w:rPr>
          <w:rFonts w:ascii="Palatino Linotype" w:hAnsi="Palatino Linotype" w:cs="Tahoma"/>
          <w:bCs/>
        </w:rPr>
        <w:t>a</w:t>
      </w:r>
      <w:r w:rsidR="00147519" w:rsidRPr="000C6A42">
        <w:rPr>
          <w:rFonts w:ascii="Palatino Linotype" w:hAnsi="Palatino Linotype" w:cs="Tahoma"/>
          <w:bCs/>
        </w:rPr>
        <w:t xml:space="preserve">l </w:t>
      </w:r>
      <w:r w:rsidR="00E57132" w:rsidRPr="000C6A42">
        <w:rPr>
          <w:rFonts w:ascii="Palatino Linotype" w:hAnsi="Palatino Linotype" w:cs="Tahoma"/>
          <w:bCs/>
        </w:rPr>
        <w:t>depósito</w:t>
      </w:r>
      <w:r w:rsidR="00147519" w:rsidRPr="000C6A42">
        <w:rPr>
          <w:rFonts w:ascii="Palatino Linotype" w:hAnsi="Palatino Linotype" w:cs="Tahoma"/>
          <w:bCs/>
        </w:rPr>
        <w:t xml:space="preserve"> de recurso</w:t>
      </w:r>
      <w:r w:rsidR="009A351A" w:rsidRPr="000C6A42">
        <w:rPr>
          <w:rFonts w:ascii="Palatino Linotype" w:hAnsi="Palatino Linotype" w:cs="Tahoma"/>
          <w:bCs/>
        </w:rPr>
        <w:t xml:space="preserve"> </w:t>
      </w:r>
      <w:r w:rsidR="00E57132" w:rsidRPr="000C6A42">
        <w:rPr>
          <w:rFonts w:ascii="Palatino Linotype" w:hAnsi="Palatino Linotype" w:cs="Tahoma"/>
          <w:bCs/>
        </w:rPr>
        <w:t>que llegan a las cuentas de instituciones pública</w:t>
      </w:r>
      <w:r w:rsidR="0087620B" w:rsidRPr="000C6A42">
        <w:rPr>
          <w:rFonts w:ascii="Palatino Linotype" w:eastAsia="Times New Roman" w:hAnsi="Palatino Linotype" w:cs="Times New Roman"/>
          <w:lang w:val="es-ES" w:eastAsia="es-ES"/>
        </w:rPr>
        <w:t>, son considerados como información pública, pues su difusión favorece la rendición de cuentas al transparentar la forma en que se administrar los recursos públicos; situación que se robustece con el Criterio 11/17, del Instituto Nacional de Transparencia, Acceso a la Información y Protección de Datos Personales, que a la letra precisa:</w:t>
      </w:r>
    </w:p>
    <w:p w14:paraId="7759E1FE" w14:textId="77777777" w:rsidR="0087620B" w:rsidRPr="000C6A42" w:rsidRDefault="0087620B" w:rsidP="00CC2B3B">
      <w:pPr>
        <w:spacing w:after="0" w:line="360" w:lineRule="auto"/>
        <w:jc w:val="both"/>
        <w:rPr>
          <w:rFonts w:ascii="Palatino Linotype" w:eastAsia="Times New Roman" w:hAnsi="Palatino Linotype" w:cs="Times New Roman"/>
          <w:lang w:val="es-ES" w:eastAsia="es-ES"/>
        </w:rPr>
      </w:pPr>
    </w:p>
    <w:p w14:paraId="4E3FB559" w14:textId="172FA710" w:rsidR="0087620B" w:rsidRPr="000C6A42" w:rsidRDefault="0087620B" w:rsidP="00CC2B3B">
      <w:pPr>
        <w:tabs>
          <w:tab w:val="left" w:pos="7938"/>
        </w:tabs>
        <w:spacing w:after="0" w:line="276" w:lineRule="auto"/>
        <w:ind w:left="851" w:right="708"/>
        <w:jc w:val="both"/>
        <w:rPr>
          <w:rFonts w:ascii="Palatino Linotype" w:hAnsi="Palatino Linotype" w:cs="Arial"/>
          <w:i/>
        </w:rPr>
      </w:pPr>
      <w:r w:rsidRPr="000C6A42">
        <w:rPr>
          <w:rFonts w:ascii="Palatino Linotype" w:hAnsi="Palatino Linotype" w:cs="Arial"/>
          <w:i/>
        </w:rPr>
        <w:t>“</w:t>
      </w:r>
      <w:r w:rsidRPr="000C6A42">
        <w:rPr>
          <w:rFonts w:ascii="Palatino Linotype" w:hAnsi="Palatino Linotype" w:cs="Arial"/>
          <w:b/>
          <w:i/>
        </w:rPr>
        <w:t>Cuentas bancarias y/o CLABE interbancaria de sujetos obligados que reciben y/o transfieren recursos públicos, son información pública</w:t>
      </w:r>
      <w:r w:rsidRPr="000C6A42">
        <w:rPr>
          <w:rFonts w:ascii="Palatino Linotype" w:hAnsi="Palatino Linotype" w:cs="Arial"/>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r w:rsidR="00147519" w:rsidRPr="000C6A42">
        <w:rPr>
          <w:rFonts w:ascii="Palatino Linotype" w:hAnsi="Palatino Linotype" w:cs="Arial"/>
          <w:i/>
        </w:rPr>
        <w:t xml:space="preserve"> </w:t>
      </w:r>
    </w:p>
    <w:p w14:paraId="4DF1ED54" w14:textId="77777777" w:rsidR="0087620B" w:rsidRPr="000C6A42" w:rsidRDefault="0087620B" w:rsidP="00CC2B3B">
      <w:pPr>
        <w:spacing w:after="0" w:line="360" w:lineRule="auto"/>
        <w:jc w:val="both"/>
        <w:rPr>
          <w:rFonts w:ascii="Palatino Linotype" w:hAnsi="Palatino Linotype" w:cs="Times New Roman"/>
        </w:rPr>
      </w:pPr>
    </w:p>
    <w:p w14:paraId="552A902C" w14:textId="0B39D1B1" w:rsidR="0087620B" w:rsidRPr="000C6A42" w:rsidRDefault="0087620B" w:rsidP="00CC2B3B">
      <w:pPr>
        <w:spacing w:after="0" w:line="360" w:lineRule="auto"/>
        <w:jc w:val="both"/>
        <w:rPr>
          <w:rFonts w:ascii="Palatino Linotype" w:hAnsi="Palatino Linotype" w:cs="Times New Roman"/>
        </w:rPr>
      </w:pPr>
      <w:r w:rsidRPr="000C6A42">
        <w:rPr>
          <w:rFonts w:ascii="Palatino Linotype" w:hAnsi="Palatino Linotype" w:cs="Times New Roman"/>
        </w:rPr>
        <w:lastRenderedPageBreak/>
        <w:t xml:space="preserve">Asimismo, el artículo 2°, fracción III, de la Ley General de Títulos y Operaciones de Crédito establece que los actos y las operaciones que regula esta Ley General, se regirán por los </w:t>
      </w:r>
      <w:r w:rsidRPr="000C6A42">
        <w:rPr>
          <w:rFonts w:ascii="Palatino Linotype" w:hAnsi="Palatino Linotype" w:cs="Times New Roman"/>
          <w:b/>
          <w:bCs/>
        </w:rPr>
        <w:t xml:space="preserve">usos </w:t>
      </w:r>
      <w:r w:rsidRPr="000C6A42">
        <w:rPr>
          <w:rFonts w:ascii="Palatino Linotype" w:hAnsi="Palatino Linotype" w:cs="Times New Roman"/>
        </w:rPr>
        <w:t>bancarios y mercantiles, es así que</w:t>
      </w:r>
      <w:r w:rsidR="009A351A" w:rsidRPr="000C6A42">
        <w:rPr>
          <w:rFonts w:ascii="Palatino Linotype" w:hAnsi="Palatino Linotype" w:cs="Times New Roman"/>
        </w:rPr>
        <w:t>,</w:t>
      </w:r>
      <w:r w:rsidRPr="000C6A42">
        <w:rPr>
          <w:rFonts w:ascii="Palatino Linotype" w:hAnsi="Palatino Linotype" w:cs="Times New Roman"/>
        </w:rPr>
        <w:t xml:space="preserve"> la cuenta bancaria y estado de cuenta se definen como: </w:t>
      </w:r>
    </w:p>
    <w:p w14:paraId="5CE9CDF6" w14:textId="77777777" w:rsidR="0087620B" w:rsidRPr="000C6A42" w:rsidRDefault="0087620B" w:rsidP="00CC2B3B">
      <w:pPr>
        <w:spacing w:after="0" w:line="360" w:lineRule="auto"/>
        <w:jc w:val="both"/>
        <w:rPr>
          <w:rFonts w:ascii="Palatino Linotype" w:hAnsi="Palatino Linotype" w:cs="Times New Roman"/>
        </w:rPr>
      </w:pPr>
    </w:p>
    <w:p w14:paraId="108F3860" w14:textId="77777777" w:rsidR="0087620B" w:rsidRPr="000C6A42" w:rsidRDefault="0087620B" w:rsidP="00CC2B3B">
      <w:pPr>
        <w:numPr>
          <w:ilvl w:val="0"/>
          <w:numId w:val="13"/>
        </w:numPr>
        <w:spacing w:after="0" w:line="360" w:lineRule="auto"/>
        <w:contextualSpacing/>
        <w:jc w:val="both"/>
        <w:rPr>
          <w:rFonts w:ascii="Palatino Linotype" w:eastAsia="Times New Roman" w:hAnsi="Palatino Linotype" w:cs="Times New Roman"/>
          <w:lang w:eastAsia="es-ES"/>
        </w:rPr>
      </w:pPr>
      <w:r w:rsidRPr="000C6A42">
        <w:rPr>
          <w:rFonts w:ascii="Palatino Linotype" w:eastAsia="Times New Roman" w:hAnsi="Palatino Linotype" w:cs="Times New Roman"/>
          <w:b/>
          <w:bCs/>
          <w:lang w:eastAsia="es-ES"/>
        </w:rPr>
        <w:t>Cuenta bancaria:</w:t>
      </w:r>
      <w:r w:rsidRPr="000C6A42">
        <w:rPr>
          <w:rFonts w:ascii="Palatino Linotype" w:eastAsia="Times New Roman" w:hAnsi="Palatino Linotype" w:cs="Times New Roman"/>
          <w:lang w:eastAsia="es-ES"/>
        </w:rPr>
        <w:t xml:space="preserve"> Una cuenta bancaria es un registro que mantiene un banco, en el que guarda dinero y contabiliza todas las entradas y salidas de efectivo, así como los créditos en curso, inversiones y productos relacionados.</w:t>
      </w:r>
    </w:p>
    <w:p w14:paraId="617284D4" w14:textId="77777777" w:rsidR="0087620B" w:rsidRPr="000C6A42" w:rsidRDefault="0087620B" w:rsidP="00CC2B3B">
      <w:pPr>
        <w:spacing w:after="0" w:line="360" w:lineRule="auto"/>
        <w:ind w:left="720"/>
        <w:contextualSpacing/>
        <w:jc w:val="both"/>
        <w:rPr>
          <w:rFonts w:ascii="Palatino Linotype" w:eastAsia="Times New Roman" w:hAnsi="Palatino Linotype" w:cs="Times New Roman"/>
          <w:lang w:eastAsia="es-ES"/>
        </w:rPr>
      </w:pPr>
    </w:p>
    <w:p w14:paraId="015E9D93" w14:textId="77777777" w:rsidR="0087620B" w:rsidRPr="000C6A42" w:rsidRDefault="0087620B" w:rsidP="00CC2B3B">
      <w:pPr>
        <w:numPr>
          <w:ilvl w:val="0"/>
          <w:numId w:val="13"/>
        </w:numPr>
        <w:spacing w:after="0" w:line="360" w:lineRule="auto"/>
        <w:contextualSpacing/>
        <w:jc w:val="both"/>
        <w:rPr>
          <w:rFonts w:ascii="Palatino Linotype" w:eastAsia="Times New Roman" w:hAnsi="Palatino Linotype" w:cs="Times New Roman"/>
          <w:lang w:eastAsia="es-ES"/>
        </w:rPr>
      </w:pPr>
      <w:r w:rsidRPr="000C6A42">
        <w:rPr>
          <w:rFonts w:ascii="Palatino Linotype" w:eastAsia="Times New Roman" w:hAnsi="Palatino Linotype" w:cs="Times New Roman"/>
          <w:b/>
          <w:bCs/>
          <w:lang w:eastAsia="es-ES"/>
        </w:rPr>
        <w:t>Estado de cuenta:</w:t>
      </w:r>
      <w:r w:rsidRPr="000C6A42">
        <w:rPr>
          <w:rFonts w:ascii="Palatino Linotype" w:eastAsia="Times New Roman" w:hAnsi="Palatino Linotype" w:cs="Times New Roman"/>
          <w:lang w:eastAsia="es-ES"/>
        </w:rPr>
        <w:t xml:space="preserve"> Un estado de cuenta bancario es un documento oficial, generalmente mensual, emitido por la institución bancaria con la que tiene la cuenta. Este documento contiene todos los movimientos de la cuenta realizados en el mes, además de contener datos como número de cuenta, de tarjeta, saldo al corte, fecha de pago, monto mínimo a pagar, tasa de interés, en caso de ser tarjeta de crédito, entre otros datos relevantes y confidenciales para el usuario.</w:t>
      </w:r>
    </w:p>
    <w:p w14:paraId="25CFBABD" w14:textId="77777777" w:rsidR="0087620B" w:rsidRPr="000C6A42" w:rsidRDefault="0087620B" w:rsidP="00CC2B3B">
      <w:pPr>
        <w:tabs>
          <w:tab w:val="left" w:pos="7938"/>
        </w:tabs>
        <w:spacing w:after="0" w:line="360" w:lineRule="auto"/>
        <w:jc w:val="both"/>
        <w:rPr>
          <w:rFonts w:ascii="Palatino Linotype" w:eastAsia="Arial Unicode MS" w:hAnsi="Palatino Linotype" w:cs="Arial"/>
        </w:rPr>
      </w:pPr>
    </w:p>
    <w:p w14:paraId="659257B7" w14:textId="2F492D0D" w:rsidR="00E57132" w:rsidRPr="000C6A42" w:rsidRDefault="0087620B" w:rsidP="00CC2B3B">
      <w:pPr>
        <w:tabs>
          <w:tab w:val="left" w:pos="7938"/>
        </w:tabs>
        <w:spacing w:after="0" w:line="360" w:lineRule="auto"/>
        <w:jc w:val="both"/>
        <w:rPr>
          <w:rFonts w:ascii="Palatino Linotype" w:eastAsia="Arial Unicode MS" w:hAnsi="Palatino Linotype" w:cs="Arial"/>
        </w:rPr>
      </w:pPr>
      <w:r w:rsidRPr="000C6A42">
        <w:rPr>
          <w:rFonts w:ascii="Palatino Linotype" w:eastAsia="Arial Unicode MS" w:hAnsi="Palatino Linotype" w:cs="Arial"/>
        </w:rPr>
        <w:t xml:space="preserve">Ahora bien, </w:t>
      </w:r>
      <w:r w:rsidR="009A351A" w:rsidRPr="000C6A42">
        <w:rPr>
          <w:rFonts w:ascii="Palatino Linotype" w:eastAsia="Arial Unicode MS" w:hAnsi="Palatino Linotype" w:cs="Arial"/>
        </w:rPr>
        <w:t xml:space="preserve">de lo anterior, se colige que el estado de cuenta es un documento emitido por una institución bancaria en el que se advierten los movimientos realizados -en este caso- por la autoridad pública y, mediante el cual se puede obtener información como el </w:t>
      </w:r>
      <w:r w:rsidRPr="000C6A42">
        <w:rPr>
          <w:rFonts w:ascii="Palatino Linotype" w:eastAsia="Arial Unicode MS" w:hAnsi="Palatino Linotype" w:cs="Arial"/>
        </w:rPr>
        <w:t>número de cuent</w:t>
      </w:r>
      <w:r w:rsidR="009A351A" w:rsidRPr="000C6A42">
        <w:rPr>
          <w:rFonts w:ascii="Palatino Linotype" w:eastAsia="Arial Unicode MS" w:hAnsi="Palatino Linotype" w:cs="Arial"/>
        </w:rPr>
        <w:t xml:space="preserve">a, el cual es definido como </w:t>
      </w:r>
      <w:r w:rsidRPr="000C6A42">
        <w:rPr>
          <w:rFonts w:ascii="Palatino Linotype" w:eastAsia="Arial Unicode MS" w:hAnsi="Palatino Linotype" w:cs="Arial"/>
        </w:rPr>
        <w:t xml:space="preserve">un conjunto de caracteres numéricos utilizado por los grupos financieros para identificar a los clientes. Dicho número es único e irrepetible, establecido a cada cuenta bancaria que avala que los recursos enviados a las órdenes de cargo, pago de nómina o a las transferencias electrónicas de fondos interbancarios se utilicen exclusivamente en la cuenta señalada por el cliente. </w:t>
      </w:r>
    </w:p>
    <w:p w14:paraId="5A91E154" w14:textId="77777777" w:rsidR="009A351A" w:rsidRPr="000C6A42" w:rsidRDefault="009A351A" w:rsidP="00CC2B3B">
      <w:pPr>
        <w:tabs>
          <w:tab w:val="left" w:pos="7938"/>
        </w:tabs>
        <w:spacing w:after="0" w:line="360" w:lineRule="auto"/>
        <w:jc w:val="both"/>
        <w:rPr>
          <w:rFonts w:ascii="Palatino Linotype" w:eastAsia="Arial Unicode MS" w:hAnsi="Palatino Linotype" w:cs="Arial"/>
        </w:rPr>
      </w:pPr>
    </w:p>
    <w:p w14:paraId="5211DA68" w14:textId="3D39983E" w:rsidR="0087620B" w:rsidRPr="000C6A42" w:rsidRDefault="0087620B" w:rsidP="00CC2B3B">
      <w:pPr>
        <w:tabs>
          <w:tab w:val="left" w:pos="7938"/>
        </w:tabs>
        <w:spacing w:after="0" w:line="360" w:lineRule="auto"/>
        <w:jc w:val="both"/>
        <w:rPr>
          <w:rFonts w:ascii="Palatino Linotype" w:eastAsia="Arial Unicode MS" w:hAnsi="Palatino Linotype" w:cs="Arial"/>
        </w:rPr>
      </w:pPr>
      <w:r w:rsidRPr="000C6A42">
        <w:rPr>
          <w:rFonts w:ascii="Palatino Linotype" w:eastAsia="Arial Unicode MS" w:hAnsi="Palatino Linotype" w:cs="Arial"/>
        </w:rPr>
        <w:t>Dicha clave se compone de 18 dígitos numéricos que corresponden a los siguientes datos:</w:t>
      </w:r>
    </w:p>
    <w:p w14:paraId="11F49B8E" w14:textId="77777777" w:rsidR="0087620B" w:rsidRPr="000C6A42" w:rsidRDefault="0087620B" w:rsidP="00CC2B3B">
      <w:pPr>
        <w:tabs>
          <w:tab w:val="left" w:pos="7938"/>
        </w:tabs>
        <w:spacing w:after="0" w:line="360" w:lineRule="auto"/>
        <w:jc w:val="both"/>
        <w:rPr>
          <w:rFonts w:ascii="Palatino Linotype" w:eastAsia="Arial Unicode MS" w:hAnsi="Palatino Linotype" w:cs="Arial"/>
        </w:rPr>
      </w:pPr>
    </w:p>
    <w:p w14:paraId="70004CE8" w14:textId="77777777" w:rsidR="0087620B" w:rsidRPr="000C6A42" w:rsidRDefault="0087620B" w:rsidP="00CC2B3B">
      <w:pPr>
        <w:tabs>
          <w:tab w:val="left" w:pos="7938"/>
        </w:tabs>
        <w:spacing w:after="0" w:line="360" w:lineRule="auto"/>
        <w:jc w:val="both"/>
        <w:rPr>
          <w:rFonts w:ascii="Palatino Linotype" w:eastAsia="Arial Unicode MS" w:hAnsi="Palatino Linotype" w:cs="Arial"/>
        </w:rPr>
      </w:pPr>
      <w:r w:rsidRPr="000C6A42">
        <w:rPr>
          <w:rFonts w:ascii="Palatino Linotype" w:eastAsia="Arial Unicode MS" w:hAnsi="Palatino Linotype" w:cs="Arial"/>
          <w:b/>
        </w:rPr>
        <w:lastRenderedPageBreak/>
        <w:t>CÓDIGO DE BANCO</w:t>
      </w:r>
      <w:r w:rsidRPr="000C6A42">
        <w:rPr>
          <w:rFonts w:ascii="Palatino Linotype" w:eastAsia="Arial Unicode MS" w:hAnsi="Palatino Linotype" w:cs="Arial"/>
        </w:rPr>
        <w:t>: Donde radica la cuenta, de acuerdo con los números asignados a las Instituciones de Crédito Asociación de Bancos de México (tres dígitos).</w:t>
      </w:r>
    </w:p>
    <w:p w14:paraId="56935492" w14:textId="77777777" w:rsidR="0087620B" w:rsidRPr="000C6A42" w:rsidRDefault="0087620B" w:rsidP="00CC2B3B">
      <w:pPr>
        <w:tabs>
          <w:tab w:val="left" w:pos="7938"/>
        </w:tabs>
        <w:spacing w:after="0" w:line="360" w:lineRule="auto"/>
        <w:jc w:val="both"/>
        <w:rPr>
          <w:rFonts w:ascii="Palatino Linotype" w:eastAsia="Arial Unicode MS" w:hAnsi="Palatino Linotype" w:cs="Arial"/>
        </w:rPr>
      </w:pPr>
      <w:r w:rsidRPr="000C6A42">
        <w:rPr>
          <w:rFonts w:ascii="Palatino Linotype" w:eastAsia="Arial Unicode MS" w:hAnsi="Palatino Linotype" w:cs="Arial"/>
          <w:b/>
        </w:rPr>
        <w:t>CÓDIGO DE PLAZA</w:t>
      </w:r>
      <w:r w:rsidRPr="000C6A42">
        <w:rPr>
          <w:rFonts w:ascii="Palatino Linotype" w:eastAsia="Arial Unicode MS" w:hAnsi="Palatino Linotype" w:cs="Arial"/>
        </w:rPr>
        <w:t xml:space="preserve">: Ciudad o región donde el cliente mantiene su cuenta, de acuerdo con la definición de claves de plaza definida para el servicio de cheques (tres dígitos). </w:t>
      </w:r>
    </w:p>
    <w:p w14:paraId="6D203B47" w14:textId="77777777" w:rsidR="0087620B" w:rsidRPr="000C6A42" w:rsidRDefault="0087620B" w:rsidP="00CC2B3B">
      <w:pPr>
        <w:tabs>
          <w:tab w:val="left" w:pos="7938"/>
        </w:tabs>
        <w:spacing w:after="0" w:line="360" w:lineRule="auto"/>
        <w:jc w:val="both"/>
        <w:rPr>
          <w:rFonts w:ascii="Palatino Linotype" w:eastAsia="Arial Unicode MS" w:hAnsi="Palatino Linotype" w:cs="Arial"/>
        </w:rPr>
      </w:pPr>
      <w:r w:rsidRPr="000C6A42">
        <w:rPr>
          <w:rFonts w:ascii="Palatino Linotype" w:eastAsia="Arial Unicode MS" w:hAnsi="Palatino Linotype" w:cs="Arial"/>
          <w:b/>
        </w:rPr>
        <w:t>NUMERO DE CUENTA</w:t>
      </w:r>
      <w:r w:rsidRPr="000C6A42">
        <w:rPr>
          <w:rFonts w:ascii="Palatino Linotype" w:eastAsia="Arial Unicode MS" w:hAnsi="Palatino Linotype" w:cs="Arial"/>
        </w:rPr>
        <w:t xml:space="preserve">: Campo en donde se incluye la información que cada banco para individualizar la cuenta de sus clientes (once dígitos), y </w:t>
      </w:r>
    </w:p>
    <w:p w14:paraId="088F159F" w14:textId="77777777" w:rsidR="0087620B" w:rsidRPr="000C6A42" w:rsidRDefault="0087620B" w:rsidP="00CC2B3B">
      <w:pPr>
        <w:tabs>
          <w:tab w:val="left" w:pos="7938"/>
        </w:tabs>
        <w:spacing w:after="0" w:line="360" w:lineRule="auto"/>
        <w:jc w:val="both"/>
        <w:rPr>
          <w:rFonts w:ascii="Palatino Linotype" w:eastAsia="Arial Unicode MS" w:hAnsi="Palatino Linotype" w:cs="Arial"/>
        </w:rPr>
      </w:pPr>
      <w:r w:rsidRPr="000C6A42">
        <w:rPr>
          <w:rFonts w:ascii="Palatino Linotype" w:eastAsia="Arial Unicode MS" w:hAnsi="Palatino Linotype" w:cs="Arial"/>
          <w:b/>
        </w:rPr>
        <w:t>DÍGITO DE CONTROL.</w:t>
      </w:r>
      <w:r w:rsidRPr="000C6A42">
        <w:rPr>
          <w:rFonts w:ascii="Palatino Linotype" w:eastAsia="Arial Unicode MS" w:hAnsi="Palatino Linotype" w:cs="Arial"/>
        </w:rPr>
        <w:t xml:space="preserve"> Es un dígito que se obtiene a través de aplicar un algoritmo que permite validar que la estructura de los datos contenidos en la CLABE sean correctos (un dígito).</w:t>
      </w:r>
    </w:p>
    <w:p w14:paraId="743D2DEE" w14:textId="77777777" w:rsidR="0087620B" w:rsidRPr="000C6A42" w:rsidRDefault="0087620B" w:rsidP="00CC2B3B">
      <w:pPr>
        <w:tabs>
          <w:tab w:val="left" w:pos="7938"/>
        </w:tabs>
        <w:spacing w:after="0" w:line="360" w:lineRule="auto"/>
        <w:jc w:val="both"/>
        <w:rPr>
          <w:rFonts w:ascii="Palatino Linotype" w:eastAsia="Arial Unicode MS" w:hAnsi="Palatino Linotype" w:cs="Arial"/>
        </w:rPr>
      </w:pPr>
    </w:p>
    <w:p w14:paraId="6A17F400" w14:textId="77777777" w:rsidR="0087620B" w:rsidRPr="000C6A42" w:rsidRDefault="0087620B" w:rsidP="00CC2B3B">
      <w:pPr>
        <w:tabs>
          <w:tab w:val="left" w:pos="7938"/>
        </w:tabs>
        <w:spacing w:after="0" w:line="360" w:lineRule="auto"/>
        <w:jc w:val="both"/>
        <w:rPr>
          <w:rFonts w:ascii="Palatino Linotype" w:eastAsia="Arial Unicode MS" w:hAnsi="Palatino Linotype" w:cs="Arial"/>
        </w:rPr>
      </w:pPr>
      <w:r w:rsidRPr="000C6A42">
        <w:rPr>
          <w:rFonts w:ascii="Palatino Linotype" w:eastAsia="Arial Unicode MS" w:hAnsi="Palatino Linotype" w:cs="Arial"/>
          <w:b/>
          <w:bCs/>
          <w:u w:val="single"/>
        </w:rPr>
        <w:t>Así las cuentas bancarias otorgadas al municipio y su CLABE es única e irrepetible, estableciendo con ello una relación que avala que los cargos efectuados, las transferencias electrónicas realizadas o los abonos efectuados corresponden, exclusivamente a la cuenta proporcionada a su titular</w:t>
      </w:r>
      <w:r w:rsidRPr="000C6A42">
        <w:rPr>
          <w:rFonts w:ascii="Palatino Linotype" w:eastAsia="Arial Unicode MS" w:hAnsi="Palatino Linotype" w:cs="Arial"/>
        </w:rPr>
        <w:t xml:space="preserve">, creando con ello una relación entre el municipio y la institución encargada de prestar servicios de carácter financiero, mismo que se encuentra estrechamente relacionada con el patrimonio municipal a la que se asignó el número. </w:t>
      </w:r>
    </w:p>
    <w:p w14:paraId="33F89D9C" w14:textId="77777777" w:rsidR="0087620B" w:rsidRPr="000C6A42" w:rsidRDefault="0087620B" w:rsidP="00CC2B3B">
      <w:pPr>
        <w:tabs>
          <w:tab w:val="left" w:pos="7938"/>
        </w:tabs>
        <w:spacing w:after="0" w:line="360" w:lineRule="auto"/>
        <w:jc w:val="both"/>
        <w:rPr>
          <w:rFonts w:ascii="Palatino Linotype" w:eastAsia="Arial Unicode MS" w:hAnsi="Palatino Linotype" w:cs="Arial"/>
        </w:rPr>
      </w:pPr>
    </w:p>
    <w:p w14:paraId="63C33BF1" w14:textId="37823C88" w:rsidR="0087620B" w:rsidRPr="000C6A42" w:rsidRDefault="0087620B" w:rsidP="00CC2B3B">
      <w:pPr>
        <w:tabs>
          <w:tab w:val="left" w:pos="7938"/>
        </w:tabs>
        <w:spacing w:after="0" w:line="360" w:lineRule="auto"/>
        <w:jc w:val="both"/>
        <w:rPr>
          <w:rFonts w:ascii="Palatino Linotype" w:eastAsia="Arial Unicode MS" w:hAnsi="Palatino Linotype" w:cs="Arial"/>
        </w:rPr>
      </w:pPr>
      <w:r w:rsidRPr="000C6A42">
        <w:rPr>
          <w:rFonts w:ascii="Palatino Linotype" w:eastAsia="Arial Unicode MS" w:hAnsi="Palatino Linotype" w:cs="Arial"/>
        </w:rPr>
        <w:t>Derivado de lo anterior, se considera que el estado de cuenta bancaria y la CLABE interbancaria</w:t>
      </w:r>
      <w:r w:rsidR="009A351A" w:rsidRPr="000C6A42">
        <w:rPr>
          <w:rFonts w:ascii="Palatino Linotype" w:eastAsia="Arial Unicode MS" w:hAnsi="Palatino Linotype" w:cs="Arial"/>
        </w:rPr>
        <w:t xml:space="preserve"> </w:t>
      </w:r>
      <w:r w:rsidRPr="000C6A42">
        <w:rPr>
          <w:rFonts w:ascii="Palatino Linotype" w:eastAsia="Arial Unicode MS" w:hAnsi="Palatino Linotype" w:cs="Arial"/>
        </w:rPr>
        <w:t>del Municipio se encuentra asociado a su patrimonio, entendiendo éste como el conjunto de bienes, fondos, derechos, obligaciones</w:t>
      </w:r>
      <w:r w:rsidR="009A351A" w:rsidRPr="000C6A42">
        <w:rPr>
          <w:rFonts w:ascii="Palatino Linotype" w:eastAsia="Arial Unicode MS" w:hAnsi="Palatino Linotype" w:cs="Arial"/>
        </w:rPr>
        <w:t xml:space="preserve">; </w:t>
      </w:r>
      <w:r w:rsidRPr="000C6A42">
        <w:rPr>
          <w:rFonts w:ascii="Palatino Linotype" w:eastAsia="Arial Unicode MS" w:hAnsi="Palatino Linotype" w:cs="Arial"/>
        </w:rPr>
        <w:t>por tanto, se trata de información de dominio público,</w:t>
      </w:r>
      <w:r w:rsidR="00E57132" w:rsidRPr="000C6A42">
        <w:rPr>
          <w:rFonts w:ascii="Palatino Linotype" w:eastAsia="Arial Unicode MS" w:hAnsi="Palatino Linotype" w:cs="Arial"/>
        </w:rPr>
        <w:t xml:space="preserve"> además de que el Municipio de Toluca </w:t>
      </w:r>
      <w:r w:rsidRPr="000C6A42">
        <w:rPr>
          <w:rFonts w:ascii="Palatino Linotype" w:eastAsia="Arial Unicode MS" w:hAnsi="Palatino Linotype" w:cs="Arial"/>
        </w:rPr>
        <w:t>cuenta con personalidad jurídica y patrimonio propios, autonomía de decisión técnica, operativa y administrativa en términos de la Ley Orgánica Municipal.</w:t>
      </w:r>
    </w:p>
    <w:p w14:paraId="53DF7753" w14:textId="77777777" w:rsidR="0087620B" w:rsidRPr="000C6A42" w:rsidRDefault="0087620B" w:rsidP="00CC2B3B">
      <w:pPr>
        <w:tabs>
          <w:tab w:val="left" w:pos="7938"/>
        </w:tabs>
        <w:spacing w:after="0" w:line="360" w:lineRule="auto"/>
        <w:jc w:val="both"/>
        <w:rPr>
          <w:rFonts w:ascii="Palatino Linotype" w:eastAsia="Arial Unicode MS" w:hAnsi="Palatino Linotype" w:cs="Arial"/>
        </w:rPr>
      </w:pPr>
    </w:p>
    <w:p w14:paraId="3EF17EC6" w14:textId="77777777" w:rsidR="0087620B" w:rsidRPr="000C6A42" w:rsidRDefault="0087620B" w:rsidP="00CC2B3B">
      <w:pPr>
        <w:tabs>
          <w:tab w:val="left" w:pos="7938"/>
        </w:tabs>
        <w:spacing w:after="0" w:line="360" w:lineRule="auto"/>
        <w:jc w:val="both"/>
        <w:rPr>
          <w:rFonts w:ascii="Palatino Linotype" w:eastAsia="Arial Unicode MS" w:hAnsi="Palatino Linotype" w:cs="Arial"/>
        </w:rPr>
      </w:pPr>
      <w:r w:rsidRPr="000C6A42">
        <w:rPr>
          <w:rFonts w:ascii="Palatino Linotype" w:eastAsia="Arial Unicode MS" w:hAnsi="Palatino Linotype" w:cs="Arial"/>
        </w:rPr>
        <w:lastRenderedPageBreak/>
        <w:t xml:space="preserve">Por su parte los </w:t>
      </w:r>
      <w:r w:rsidRPr="000C6A42">
        <w:rPr>
          <w:rFonts w:ascii="Palatino Linotype" w:eastAsia="Arial Unicode MS" w:hAnsi="Palatino Linotype" w:cs="Arial"/>
          <w:b/>
        </w:rPr>
        <w:t>LINEAMIENTOS DE CONTROL FINANCIERO Y ADMINISTRATIVO PARA LAS ENTIDADES FISCALIZABLES MUNICIPALES DEL ESTADO DE MÉXICO</w:t>
      </w:r>
      <w:r w:rsidRPr="000C6A42">
        <w:rPr>
          <w:rFonts w:ascii="Palatino Linotype" w:eastAsia="Arial Unicode MS" w:hAnsi="Palatino Linotype" w:cs="Arial"/>
        </w:rPr>
        <w:t>, publicados en la Gaceta de Gobierno en fecha 11 de julio de 2013 establecen lo siguiente:</w:t>
      </w:r>
    </w:p>
    <w:p w14:paraId="519940AE" w14:textId="77777777" w:rsidR="0087620B" w:rsidRPr="000C6A42" w:rsidRDefault="0087620B" w:rsidP="00CC2B3B">
      <w:pPr>
        <w:tabs>
          <w:tab w:val="left" w:pos="7938"/>
        </w:tabs>
        <w:spacing w:after="0" w:line="360" w:lineRule="auto"/>
        <w:jc w:val="both"/>
        <w:rPr>
          <w:rFonts w:ascii="Palatino Linotype" w:eastAsia="Arial Unicode MS" w:hAnsi="Palatino Linotype" w:cs="Arial"/>
        </w:rPr>
      </w:pPr>
    </w:p>
    <w:p w14:paraId="7F532960"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i/>
        </w:rPr>
      </w:pPr>
      <w:r w:rsidRPr="000C6A42">
        <w:rPr>
          <w:rFonts w:ascii="Palatino Linotype" w:eastAsia="Arial Unicode MS" w:hAnsi="Palatino Linotype" w:cs="Arial"/>
        </w:rPr>
        <w:t>“</w:t>
      </w:r>
      <w:r w:rsidRPr="000C6A42">
        <w:rPr>
          <w:rFonts w:ascii="Palatino Linotype" w:eastAsia="Arial Unicode MS" w:hAnsi="Palatino Linotype" w:cs="Arial"/>
          <w:i/>
        </w:rPr>
        <w:t xml:space="preserve">DÉCIMO QUINTO: El tesorero deberá identificar y verificar los cálculos y registrar en el periodo correspondiente los intereses generados </w:t>
      </w:r>
      <w:r w:rsidRPr="000C6A42">
        <w:rPr>
          <w:rFonts w:ascii="Palatino Linotype" w:eastAsia="Arial Unicode MS" w:hAnsi="Palatino Linotype" w:cs="Arial"/>
          <w:b/>
          <w:i/>
          <w:u w:val="single"/>
        </w:rPr>
        <w:t>en cada una de las cuentas bancarias</w:t>
      </w:r>
      <w:r w:rsidRPr="000C6A42">
        <w:rPr>
          <w:rFonts w:ascii="Palatino Linotype" w:eastAsia="Arial Unicode MS" w:hAnsi="Palatino Linotype" w:cs="Arial"/>
          <w:i/>
        </w:rPr>
        <w:t>.</w:t>
      </w:r>
    </w:p>
    <w:p w14:paraId="346743BC"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i/>
        </w:rPr>
      </w:pPr>
      <w:r w:rsidRPr="000C6A42">
        <w:rPr>
          <w:rFonts w:ascii="Palatino Linotype" w:eastAsia="Arial Unicode MS" w:hAnsi="Palatino Linotype" w:cs="Arial"/>
          <w:i/>
        </w:rPr>
        <w:t>…</w:t>
      </w:r>
    </w:p>
    <w:p w14:paraId="789E4083" w14:textId="77777777" w:rsidR="0087620B" w:rsidRPr="000C6A42" w:rsidRDefault="0087620B" w:rsidP="00CC2B3B">
      <w:pPr>
        <w:tabs>
          <w:tab w:val="left" w:pos="7938"/>
        </w:tabs>
        <w:spacing w:after="0" w:line="276" w:lineRule="auto"/>
        <w:ind w:left="567" w:right="850"/>
        <w:jc w:val="center"/>
        <w:rPr>
          <w:rFonts w:ascii="Palatino Linotype" w:eastAsia="Arial Unicode MS" w:hAnsi="Palatino Linotype" w:cs="Arial"/>
          <w:b/>
          <w:i/>
        </w:rPr>
      </w:pPr>
      <w:r w:rsidRPr="000C6A42">
        <w:rPr>
          <w:rFonts w:ascii="Palatino Linotype" w:eastAsia="Arial Unicode MS" w:hAnsi="Palatino Linotype" w:cs="Arial"/>
          <w:b/>
          <w:i/>
        </w:rPr>
        <w:t>TÍTULO SEGUNDO</w:t>
      </w:r>
    </w:p>
    <w:p w14:paraId="6A1DCAC9" w14:textId="77777777" w:rsidR="0087620B" w:rsidRPr="000C6A42" w:rsidRDefault="0087620B" w:rsidP="00CC2B3B">
      <w:pPr>
        <w:tabs>
          <w:tab w:val="left" w:pos="7938"/>
        </w:tabs>
        <w:spacing w:after="0" w:line="276" w:lineRule="auto"/>
        <w:ind w:left="567" w:right="850"/>
        <w:jc w:val="center"/>
        <w:rPr>
          <w:rFonts w:ascii="Palatino Linotype" w:eastAsia="Arial Unicode MS" w:hAnsi="Palatino Linotype" w:cs="Arial"/>
          <w:b/>
          <w:i/>
        </w:rPr>
      </w:pPr>
      <w:r w:rsidRPr="000C6A42">
        <w:rPr>
          <w:rFonts w:ascii="Palatino Linotype" w:eastAsia="Arial Unicode MS" w:hAnsi="Palatino Linotype" w:cs="Arial"/>
          <w:b/>
          <w:i/>
        </w:rPr>
        <w:t>LINEAMIENTOS DE CONTROL</w:t>
      </w:r>
    </w:p>
    <w:p w14:paraId="13F98220" w14:textId="77777777" w:rsidR="0087620B" w:rsidRPr="000C6A42" w:rsidRDefault="0087620B" w:rsidP="00CC2B3B">
      <w:pPr>
        <w:tabs>
          <w:tab w:val="left" w:pos="7938"/>
        </w:tabs>
        <w:spacing w:after="0" w:line="276" w:lineRule="auto"/>
        <w:ind w:left="567" w:right="850"/>
        <w:jc w:val="center"/>
        <w:rPr>
          <w:rFonts w:ascii="Palatino Linotype" w:eastAsia="Arial Unicode MS" w:hAnsi="Palatino Linotype" w:cs="Arial"/>
          <w:b/>
          <w:i/>
        </w:rPr>
      </w:pPr>
      <w:r w:rsidRPr="000C6A42">
        <w:rPr>
          <w:rFonts w:ascii="Palatino Linotype" w:eastAsia="Arial Unicode MS" w:hAnsi="Palatino Linotype" w:cs="Arial"/>
          <w:b/>
          <w:i/>
        </w:rPr>
        <w:t>FINANCIERO Y ADMINISTRATIVO</w:t>
      </w:r>
    </w:p>
    <w:p w14:paraId="6601B7D3"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b/>
          <w:i/>
        </w:rPr>
      </w:pPr>
    </w:p>
    <w:p w14:paraId="6AF60E50"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b/>
          <w:i/>
        </w:rPr>
      </w:pPr>
      <w:r w:rsidRPr="000C6A42">
        <w:rPr>
          <w:rFonts w:ascii="Palatino Linotype" w:eastAsia="Arial Unicode MS" w:hAnsi="Palatino Linotype" w:cs="Arial"/>
          <w:b/>
          <w:i/>
        </w:rPr>
        <w:t>INGRESOS</w:t>
      </w:r>
    </w:p>
    <w:p w14:paraId="7C900C25"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b/>
          <w:i/>
        </w:rPr>
      </w:pPr>
      <w:r w:rsidRPr="000C6A42">
        <w:rPr>
          <w:rFonts w:ascii="Palatino Linotype" w:eastAsia="Arial Unicode MS" w:hAnsi="Palatino Linotype" w:cs="Arial"/>
          <w:b/>
          <w:i/>
        </w:rPr>
        <w:t>EFECTIVO</w:t>
      </w:r>
    </w:p>
    <w:p w14:paraId="3D2ED5A9"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b/>
          <w:i/>
        </w:rPr>
      </w:pPr>
      <w:r w:rsidRPr="000C6A42">
        <w:rPr>
          <w:rFonts w:ascii="Palatino Linotype" w:eastAsia="Arial Unicode MS" w:hAnsi="Palatino Linotype" w:cs="Arial"/>
          <w:b/>
          <w:i/>
        </w:rPr>
        <w:t>Son obligaciones a cargo del Tesorero:</w:t>
      </w:r>
    </w:p>
    <w:p w14:paraId="48C795BA"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i/>
        </w:rPr>
      </w:pPr>
      <w:r w:rsidRPr="000C6A42">
        <w:rPr>
          <w:rFonts w:ascii="Palatino Linotype" w:eastAsia="Arial Unicode MS" w:hAnsi="Palatino Linotype" w:cs="Arial"/>
          <w:i/>
        </w:rPr>
        <w:t>…</w:t>
      </w:r>
    </w:p>
    <w:p w14:paraId="2BC7D88A"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i/>
        </w:rPr>
      </w:pPr>
      <w:r w:rsidRPr="000C6A42">
        <w:rPr>
          <w:rFonts w:ascii="Palatino Linotype" w:eastAsia="Arial Unicode MS" w:hAnsi="Palatino Linotype" w:cs="Arial"/>
          <w:i/>
        </w:rPr>
        <w:t xml:space="preserve">2. Depositar íntegra y diariamente los ingresos recaudados de la entidad fiscalizable municipal, </w:t>
      </w:r>
      <w:r w:rsidRPr="000C6A42">
        <w:rPr>
          <w:rFonts w:ascii="Palatino Linotype" w:eastAsia="Arial Unicode MS" w:hAnsi="Palatino Linotype" w:cs="Arial"/>
          <w:b/>
          <w:i/>
          <w:u w:val="single"/>
        </w:rPr>
        <w:t>en la cuenta bancaria de recursos propios correspondiente</w:t>
      </w:r>
      <w:r w:rsidRPr="000C6A42">
        <w:rPr>
          <w:rFonts w:ascii="Palatino Linotype" w:eastAsia="Arial Unicode MS" w:hAnsi="Palatino Linotype" w:cs="Arial"/>
          <w:i/>
        </w:rPr>
        <w:t>, cuando se cuente con institución bancaria en la localidad. En caso de no contar con ésta, el depósito deberá realizarse a más tardar al tercer día hábil de aquel en que se recaudó.</w:t>
      </w:r>
    </w:p>
    <w:p w14:paraId="2CCAE30D"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i/>
        </w:rPr>
      </w:pPr>
      <w:r w:rsidRPr="000C6A42">
        <w:rPr>
          <w:rFonts w:ascii="Palatino Linotype" w:eastAsia="Arial Unicode MS" w:hAnsi="Palatino Linotype" w:cs="Arial"/>
          <w:i/>
        </w:rPr>
        <w:t>…</w:t>
      </w:r>
    </w:p>
    <w:p w14:paraId="7E75370C"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b/>
          <w:i/>
        </w:rPr>
      </w:pPr>
      <w:r w:rsidRPr="000C6A42">
        <w:rPr>
          <w:rFonts w:ascii="Palatino Linotype" w:eastAsia="Arial Unicode MS" w:hAnsi="Palatino Linotype" w:cs="Arial"/>
          <w:b/>
          <w:i/>
        </w:rPr>
        <w:t>BANCOS</w:t>
      </w:r>
    </w:p>
    <w:p w14:paraId="71CDB294"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b/>
          <w:i/>
        </w:rPr>
      </w:pPr>
      <w:r w:rsidRPr="000C6A42">
        <w:rPr>
          <w:rFonts w:ascii="Palatino Linotype" w:eastAsia="Arial Unicode MS" w:hAnsi="Palatino Linotype" w:cs="Arial"/>
          <w:b/>
          <w:i/>
        </w:rPr>
        <w:t>…</w:t>
      </w:r>
    </w:p>
    <w:p w14:paraId="7B48D544"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b/>
          <w:i/>
        </w:rPr>
      </w:pPr>
      <w:r w:rsidRPr="000C6A42">
        <w:rPr>
          <w:rFonts w:ascii="Palatino Linotype" w:eastAsia="Arial Unicode MS" w:hAnsi="Palatino Linotype" w:cs="Arial"/>
          <w:b/>
          <w:i/>
        </w:rPr>
        <w:t>Son obligaciones del Presidente y Tesorero:</w:t>
      </w:r>
    </w:p>
    <w:p w14:paraId="342A9B7F"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i/>
        </w:rPr>
      </w:pPr>
      <w:r w:rsidRPr="000C6A42">
        <w:rPr>
          <w:rFonts w:ascii="Palatino Linotype" w:eastAsia="Arial Unicode MS" w:hAnsi="Palatino Linotype" w:cs="Arial"/>
          <w:i/>
        </w:rPr>
        <w:t xml:space="preserve">23. </w:t>
      </w:r>
      <w:r w:rsidRPr="000C6A42">
        <w:rPr>
          <w:rFonts w:ascii="Palatino Linotype" w:eastAsia="Arial Unicode MS" w:hAnsi="Palatino Linotype" w:cs="Arial"/>
          <w:b/>
          <w:i/>
          <w:u w:val="single"/>
        </w:rPr>
        <w:t xml:space="preserve">El presidente y tesorero o equivalente deberán </w:t>
      </w:r>
      <w:proofErr w:type="spellStart"/>
      <w:r w:rsidRPr="000C6A42">
        <w:rPr>
          <w:rFonts w:ascii="Palatino Linotype" w:eastAsia="Arial Unicode MS" w:hAnsi="Palatino Linotype" w:cs="Arial"/>
          <w:b/>
          <w:i/>
          <w:u w:val="single"/>
        </w:rPr>
        <w:t>aperturar</w:t>
      </w:r>
      <w:proofErr w:type="spellEnd"/>
      <w:r w:rsidRPr="000C6A42">
        <w:rPr>
          <w:rFonts w:ascii="Palatino Linotype" w:eastAsia="Arial Unicode MS" w:hAnsi="Palatino Linotype" w:cs="Arial"/>
          <w:b/>
          <w:i/>
          <w:u w:val="single"/>
        </w:rPr>
        <w:t xml:space="preserve"> las cuentas bancarias</w:t>
      </w:r>
      <w:r w:rsidRPr="000C6A42">
        <w:rPr>
          <w:rFonts w:ascii="Palatino Linotype" w:eastAsia="Arial Unicode MS" w:hAnsi="Palatino Linotype" w:cs="Arial"/>
          <w:i/>
        </w:rPr>
        <w:t xml:space="preserve"> como personas jurídicas colectivas con fines no lucrativos o entes gubernamentales con firmas mancomunadas, a nombre de la entidad fiscalizable municipal, con el nombre del programa o recurso y el contrato respectivo por cada uno de los recursos federales, estatales o municipales.</w:t>
      </w:r>
    </w:p>
    <w:p w14:paraId="619C3279"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i/>
        </w:rPr>
      </w:pPr>
      <w:r w:rsidRPr="000C6A42">
        <w:rPr>
          <w:rFonts w:ascii="Palatino Linotype" w:eastAsia="Arial Unicode MS" w:hAnsi="Palatino Linotype" w:cs="Arial"/>
          <w:i/>
        </w:rPr>
        <w:t>…</w:t>
      </w:r>
    </w:p>
    <w:p w14:paraId="404935E8"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i/>
        </w:rPr>
      </w:pPr>
      <w:r w:rsidRPr="000C6A42">
        <w:rPr>
          <w:rFonts w:ascii="Palatino Linotype" w:eastAsia="Arial Unicode MS" w:hAnsi="Palatino Linotype" w:cs="Arial"/>
          <w:i/>
        </w:rPr>
        <w:t xml:space="preserve">24. Abstenerse de mezclar tanto </w:t>
      </w:r>
      <w:r w:rsidRPr="000C6A42">
        <w:rPr>
          <w:rFonts w:ascii="Palatino Linotype" w:eastAsia="Arial Unicode MS" w:hAnsi="Palatino Linotype" w:cs="Arial"/>
          <w:b/>
          <w:i/>
          <w:u w:val="single"/>
        </w:rPr>
        <w:t>en las cuentas bancarias</w:t>
      </w:r>
      <w:r w:rsidRPr="000C6A42">
        <w:rPr>
          <w:rFonts w:ascii="Palatino Linotype" w:eastAsia="Arial Unicode MS" w:hAnsi="Palatino Linotype" w:cs="Arial"/>
          <w:i/>
        </w:rPr>
        <w:t xml:space="preserve"> como en sus registros contables, los ingresos provenientes de recursos federales, estatales o municipales entre </w:t>
      </w:r>
      <w:r w:rsidRPr="000C6A42">
        <w:rPr>
          <w:rFonts w:ascii="Palatino Linotype" w:eastAsia="Arial Unicode MS" w:hAnsi="Palatino Linotype" w:cs="Arial"/>
          <w:i/>
        </w:rPr>
        <w:lastRenderedPageBreak/>
        <w:t xml:space="preserve">sí, incluyendo los de financiamiento a corto y largo plazo y </w:t>
      </w:r>
      <w:r w:rsidRPr="000C6A42">
        <w:rPr>
          <w:rFonts w:ascii="Palatino Linotype" w:eastAsia="Arial Unicode MS" w:hAnsi="Palatino Linotype" w:cs="Arial"/>
          <w:b/>
          <w:i/>
          <w:u w:val="single"/>
        </w:rPr>
        <w:t>deberán contabilizar individualmente en una cuenta específica cada uno de ellos</w:t>
      </w:r>
      <w:r w:rsidRPr="000C6A42">
        <w:rPr>
          <w:rFonts w:ascii="Palatino Linotype" w:eastAsia="Arial Unicode MS" w:hAnsi="Palatino Linotype" w:cs="Arial"/>
          <w:i/>
        </w:rPr>
        <w:t>.</w:t>
      </w:r>
    </w:p>
    <w:p w14:paraId="53A5D8FA"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i/>
        </w:rPr>
      </w:pPr>
      <w:r w:rsidRPr="000C6A42">
        <w:rPr>
          <w:rFonts w:ascii="Palatino Linotype" w:eastAsia="Arial Unicode MS" w:hAnsi="Palatino Linotype" w:cs="Arial"/>
          <w:i/>
        </w:rPr>
        <w:t>…</w:t>
      </w:r>
    </w:p>
    <w:p w14:paraId="1C81C48A"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i/>
        </w:rPr>
      </w:pPr>
      <w:r w:rsidRPr="000C6A42">
        <w:rPr>
          <w:rFonts w:ascii="Palatino Linotype" w:eastAsia="Arial Unicode MS" w:hAnsi="Palatino Linotype" w:cs="Arial"/>
          <w:b/>
          <w:i/>
        </w:rPr>
        <w:t>CONSTRUCCIONES EN PROCESO EN BIENES DEL DOMINIO PÚBLICO</w:t>
      </w:r>
    </w:p>
    <w:p w14:paraId="395DB42E"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i/>
        </w:rPr>
      </w:pPr>
      <w:r w:rsidRPr="000C6A42">
        <w:rPr>
          <w:rFonts w:ascii="Palatino Linotype" w:eastAsia="Arial Unicode MS" w:hAnsi="Palatino Linotype" w:cs="Arial"/>
          <w:i/>
        </w:rPr>
        <w:t>…</w:t>
      </w:r>
    </w:p>
    <w:p w14:paraId="5AD61E94"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i/>
        </w:rPr>
      </w:pPr>
      <w:r w:rsidRPr="000C6A42">
        <w:rPr>
          <w:rFonts w:ascii="Palatino Linotype" w:eastAsia="Arial Unicode MS" w:hAnsi="Palatino Linotype" w:cs="Arial"/>
          <w:i/>
        </w:rPr>
        <w:t xml:space="preserve">51. Tratándose de la realización de obras que cuenten con aportaciones comunitarias, independientemente de que se ejecuten con recursos federales, estatales o municipales, el tesorero deberá llevar a cabo el seguimiento, ejecución y control de dichas aportaciones, </w:t>
      </w:r>
      <w:r w:rsidRPr="000C6A42">
        <w:rPr>
          <w:rFonts w:ascii="Palatino Linotype" w:eastAsia="Arial Unicode MS" w:hAnsi="Palatino Linotype" w:cs="Arial"/>
          <w:b/>
          <w:i/>
          <w:u w:val="single"/>
        </w:rPr>
        <w:t>debiendo depositarlas en la cuenta bancaria específica del fondo de donde provengan los recursos</w:t>
      </w:r>
      <w:r w:rsidRPr="000C6A42">
        <w:rPr>
          <w:rFonts w:ascii="Palatino Linotype" w:eastAsia="Arial Unicode MS" w:hAnsi="Palatino Linotype" w:cs="Arial"/>
          <w:i/>
        </w:rPr>
        <w:t>, así mismo, deberá elaborar el recibo oficial de ingresos correspondiente con copia al comité comunitario.</w:t>
      </w:r>
    </w:p>
    <w:p w14:paraId="635FF3BF"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i/>
        </w:rPr>
      </w:pPr>
      <w:r w:rsidRPr="000C6A42">
        <w:rPr>
          <w:rFonts w:ascii="Palatino Linotype" w:eastAsia="Arial Unicode MS" w:hAnsi="Palatino Linotype" w:cs="Arial"/>
          <w:i/>
        </w:rPr>
        <w:t>…</w:t>
      </w:r>
    </w:p>
    <w:p w14:paraId="7316DA5F"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b/>
          <w:i/>
        </w:rPr>
      </w:pPr>
      <w:r w:rsidRPr="000C6A42">
        <w:rPr>
          <w:rFonts w:ascii="Palatino Linotype" w:eastAsia="Arial Unicode MS" w:hAnsi="Palatino Linotype" w:cs="Arial"/>
          <w:b/>
          <w:i/>
        </w:rPr>
        <w:t>SUELDOS Y SALARIOS POR PAGAR</w:t>
      </w:r>
    </w:p>
    <w:p w14:paraId="4EC4759B"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b/>
          <w:i/>
        </w:rPr>
      </w:pPr>
      <w:r w:rsidRPr="000C6A42">
        <w:rPr>
          <w:rFonts w:ascii="Palatino Linotype" w:eastAsia="Arial Unicode MS" w:hAnsi="Palatino Linotype" w:cs="Arial"/>
          <w:b/>
          <w:i/>
        </w:rPr>
        <w:t>Son obligaciones del Tesorero:</w:t>
      </w:r>
    </w:p>
    <w:p w14:paraId="61E0A854"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i/>
        </w:rPr>
      </w:pPr>
      <w:r w:rsidRPr="000C6A42">
        <w:rPr>
          <w:rFonts w:ascii="Palatino Linotype" w:eastAsia="Arial Unicode MS" w:hAnsi="Palatino Linotype" w:cs="Arial"/>
          <w:i/>
        </w:rPr>
        <w:t>…</w:t>
      </w:r>
    </w:p>
    <w:p w14:paraId="02A68360" w14:textId="77777777" w:rsidR="0087620B" w:rsidRPr="000C6A42" w:rsidRDefault="0087620B" w:rsidP="00CC2B3B">
      <w:pPr>
        <w:tabs>
          <w:tab w:val="left" w:pos="7938"/>
        </w:tabs>
        <w:spacing w:after="0" w:line="276" w:lineRule="auto"/>
        <w:ind w:left="567" w:right="850"/>
        <w:jc w:val="both"/>
        <w:rPr>
          <w:rFonts w:ascii="Palatino Linotype" w:eastAsia="Arial Unicode MS" w:hAnsi="Palatino Linotype" w:cs="Arial"/>
          <w:i/>
        </w:rPr>
      </w:pPr>
      <w:r w:rsidRPr="000C6A42">
        <w:rPr>
          <w:rFonts w:ascii="Palatino Linotype" w:eastAsia="Arial Unicode MS" w:hAnsi="Palatino Linotype" w:cs="Arial"/>
          <w:i/>
        </w:rPr>
        <w:t xml:space="preserve">66. Depositar los sueldos y salarios no cobrados en un plazo no mayor a cinco días hábiles siguientes a la fecha en que debió hacerse el pago, </w:t>
      </w:r>
      <w:r w:rsidRPr="000C6A42">
        <w:rPr>
          <w:rFonts w:ascii="Palatino Linotype" w:eastAsia="Arial Unicode MS" w:hAnsi="Palatino Linotype" w:cs="Arial"/>
          <w:b/>
          <w:i/>
          <w:u w:val="single"/>
        </w:rPr>
        <w:t>en la cuenta bancaria de la cual salió el recurso</w:t>
      </w:r>
      <w:r w:rsidRPr="000C6A42">
        <w:rPr>
          <w:rFonts w:ascii="Palatino Linotype" w:eastAsia="Arial Unicode MS" w:hAnsi="Palatino Linotype" w:cs="Arial"/>
          <w:i/>
        </w:rPr>
        <w:t>.”</w:t>
      </w:r>
    </w:p>
    <w:p w14:paraId="4D47D230" w14:textId="77777777" w:rsidR="0087620B" w:rsidRPr="000C6A42" w:rsidRDefault="0087620B" w:rsidP="00CC2B3B">
      <w:pPr>
        <w:tabs>
          <w:tab w:val="left" w:pos="7938"/>
        </w:tabs>
        <w:spacing w:after="0" w:line="360" w:lineRule="auto"/>
        <w:jc w:val="both"/>
        <w:rPr>
          <w:rFonts w:ascii="Palatino Linotype" w:eastAsia="Arial Unicode MS" w:hAnsi="Palatino Linotype" w:cs="Arial"/>
        </w:rPr>
      </w:pPr>
    </w:p>
    <w:p w14:paraId="4BDF9CEE" w14:textId="11D1DEFD" w:rsidR="0087620B" w:rsidRPr="000C6A42" w:rsidRDefault="0087620B" w:rsidP="00CC2B3B">
      <w:pPr>
        <w:tabs>
          <w:tab w:val="left" w:pos="7938"/>
        </w:tabs>
        <w:spacing w:after="0" w:line="360" w:lineRule="auto"/>
        <w:jc w:val="both"/>
        <w:rPr>
          <w:rFonts w:ascii="Palatino Linotype" w:eastAsia="Arial Unicode MS" w:hAnsi="Palatino Linotype" w:cs="Arial"/>
        </w:rPr>
      </w:pPr>
      <w:r w:rsidRPr="000C6A42">
        <w:rPr>
          <w:rFonts w:ascii="Palatino Linotype" w:eastAsia="Arial Unicode MS" w:hAnsi="Palatino Linotype" w:cs="Arial"/>
        </w:rPr>
        <w:t>Ahora bien, del Informe Trimestral Municipal que se entrega al Órgano Superior de Fiscalización del Estado de México (OSFEM), en su instructivo de llenado del Módulo 1 se establece:</w:t>
      </w:r>
    </w:p>
    <w:p w14:paraId="7F46E304" w14:textId="77777777" w:rsidR="0087620B" w:rsidRPr="000C6A42" w:rsidRDefault="0087620B" w:rsidP="00CC2B3B">
      <w:pPr>
        <w:tabs>
          <w:tab w:val="left" w:pos="7938"/>
        </w:tabs>
        <w:spacing w:after="0" w:line="240" w:lineRule="auto"/>
        <w:ind w:left="851" w:right="851"/>
        <w:jc w:val="both"/>
        <w:rPr>
          <w:rFonts w:ascii="Palatino Linotype" w:eastAsia="Arial Unicode MS" w:hAnsi="Palatino Linotype" w:cs="Arial"/>
          <w:i/>
        </w:rPr>
      </w:pPr>
    </w:p>
    <w:p w14:paraId="5D801992" w14:textId="050A42A8" w:rsidR="0087620B" w:rsidRPr="000C6A42" w:rsidRDefault="00121196" w:rsidP="00CC2B3B">
      <w:pPr>
        <w:tabs>
          <w:tab w:val="left" w:pos="7938"/>
        </w:tabs>
        <w:spacing w:after="0" w:line="360" w:lineRule="auto"/>
        <w:jc w:val="both"/>
        <w:rPr>
          <w:rFonts w:ascii="Palatino Linotype" w:eastAsia="Arial Unicode MS" w:hAnsi="Palatino Linotype" w:cs="Arial"/>
        </w:rPr>
      </w:pPr>
      <w:r w:rsidRPr="000C6A42">
        <w:rPr>
          <w:noProof/>
        </w:rPr>
        <w:lastRenderedPageBreak/>
        <mc:AlternateContent>
          <mc:Choice Requires="wps">
            <w:drawing>
              <wp:anchor distT="0" distB="0" distL="114300" distR="114300" simplePos="0" relativeHeight="251661312" behindDoc="0" locked="0" layoutInCell="1" allowOverlap="1" wp14:anchorId="65EFB39A" wp14:editId="75ABD9AE">
                <wp:simplePos x="0" y="0"/>
                <wp:positionH relativeFrom="column">
                  <wp:posOffset>2034540</wp:posOffset>
                </wp:positionH>
                <wp:positionV relativeFrom="paragraph">
                  <wp:posOffset>2268220</wp:posOffset>
                </wp:positionV>
                <wp:extent cx="3028950" cy="9525"/>
                <wp:effectExtent l="19050" t="19050" r="19050" b="28575"/>
                <wp:wrapNone/>
                <wp:docPr id="10" name="Conector recto 10"/>
                <wp:cNvGraphicFramePr/>
                <a:graphic xmlns:a="http://schemas.openxmlformats.org/drawingml/2006/main">
                  <a:graphicData uri="http://schemas.microsoft.com/office/word/2010/wordprocessingShape">
                    <wps:wsp>
                      <wps:cNvCnPr/>
                      <wps:spPr>
                        <a:xfrm flipV="1">
                          <a:off x="0" y="0"/>
                          <a:ext cx="3028950"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0BCC1B26" id="Conector recto 1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0.2pt,178.6pt" to="398.7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" strokecolor="red" strokeweight="2.25pt">
                <v:stroke joinstyle="miter"/>
              </v:line>
            </w:pict>
          </mc:Fallback>
        </mc:AlternateContent>
      </w:r>
      <w:r w:rsidRPr="000C6A42">
        <w:rPr>
          <w:rFonts w:ascii="Palatino Linotype" w:eastAsia="Arial Unicode MS" w:hAnsi="Palatino Linotype" w:cs="Arial"/>
          <w:noProof/>
        </w:rPr>
        <w:drawing>
          <wp:inline distT="0" distB="0" distL="0" distR="0" wp14:anchorId="0A2031C9" wp14:editId="2F0105AE">
            <wp:extent cx="5087060" cy="2429214"/>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87060" cy="2429214"/>
                    </a:xfrm>
                    <a:prstGeom prst="rect">
                      <a:avLst/>
                    </a:prstGeom>
                  </pic:spPr>
                </pic:pic>
              </a:graphicData>
            </a:graphic>
          </wp:inline>
        </w:drawing>
      </w:r>
    </w:p>
    <w:p w14:paraId="1661DF77" w14:textId="5E5ECF17" w:rsidR="0087620B" w:rsidRPr="000C6A42" w:rsidRDefault="0087620B" w:rsidP="00CC2B3B">
      <w:pPr>
        <w:tabs>
          <w:tab w:val="left" w:pos="7938"/>
        </w:tabs>
        <w:spacing w:after="0" w:line="360" w:lineRule="auto"/>
        <w:jc w:val="both"/>
        <w:rPr>
          <w:rFonts w:ascii="Palatino Linotype" w:eastAsia="Arial Unicode MS" w:hAnsi="Palatino Linotype" w:cs="Arial"/>
        </w:rPr>
      </w:pPr>
    </w:p>
    <w:p w14:paraId="28218924" w14:textId="6FA099CB" w:rsidR="0087620B" w:rsidRPr="000C6A42" w:rsidRDefault="0087620B" w:rsidP="00CC2B3B">
      <w:pPr>
        <w:tabs>
          <w:tab w:val="left" w:pos="7938"/>
        </w:tabs>
        <w:spacing w:after="0" w:line="360" w:lineRule="auto"/>
        <w:jc w:val="both"/>
        <w:rPr>
          <w:rFonts w:ascii="Palatino Linotype" w:eastAsia="Arial Unicode MS" w:hAnsi="Palatino Linotype" w:cs="Arial"/>
        </w:rPr>
      </w:pPr>
    </w:p>
    <w:p w14:paraId="299700D9" w14:textId="4ADC0E8F" w:rsidR="0087620B" w:rsidRPr="000C6A42" w:rsidRDefault="0087620B" w:rsidP="00CC2B3B">
      <w:pPr>
        <w:tabs>
          <w:tab w:val="left" w:pos="7938"/>
        </w:tabs>
        <w:spacing w:after="0" w:line="360" w:lineRule="auto"/>
        <w:jc w:val="both"/>
        <w:rPr>
          <w:rFonts w:ascii="Palatino Linotype" w:eastAsia="Arial Unicode MS" w:hAnsi="Palatino Linotype" w:cs="Arial"/>
        </w:rPr>
      </w:pPr>
      <w:r w:rsidRPr="000C6A42">
        <w:rPr>
          <w:rFonts w:ascii="Palatino Linotype" w:eastAsia="Arial Unicode MS" w:hAnsi="Palatino Linotype" w:cs="Arial"/>
        </w:rPr>
        <w:t>Consecuentemente, este Instituto concluye que la información correspondiente a los Estados de Cuenta Bancaria no es</w:t>
      </w:r>
      <w:r w:rsidR="000D4077" w:rsidRPr="000C6A42">
        <w:rPr>
          <w:rFonts w:ascii="Palatino Linotype" w:eastAsia="Arial Unicode MS" w:hAnsi="Palatino Linotype" w:cs="Arial"/>
        </w:rPr>
        <w:t xml:space="preserve"> información susceptible de ser clasificada</w:t>
      </w:r>
      <w:r w:rsidRPr="000C6A42">
        <w:rPr>
          <w:rFonts w:ascii="Palatino Linotype" w:eastAsia="Arial Unicode MS" w:hAnsi="Palatino Linotype" w:cs="Arial"/>
        </w:rPr>
        <w:t>, en los términos que han quedado expuestos</w:t>
      </w:r>
      <w:r w:rsidR="000D4077" w:rsidRPr="000C6A42">
        <w:rPr>
          <w:rFonts w:ascii="Palatino Linotype" w:eastAsia="Arial Unicode MS" w:hAnsi="Palatino Linotype" w:cs="Arial"/>
        </w:rPr>
        <w:t xml:space="preserve">. </w:t>
      </w:r>
    </w:p>
    <w:p w14:paraId="21084559" w14:textId="2721B2C9" w:rsidR="0087620B" w:rsidRPr="000C6A42" w:rsidRDefault="0087620B" w:rsidP="00CC2B3B">
      <w:pPr>
        <w:spacing w:after="0" w:line="360" w:lineRule="auto"/>
        <w:ind w:right="51"/>
        <w:jc w:val="both"/>
        <w:rPr>
          <w:rFonts w:ascii="Palatino Linotype" w:eastAsiaTheme="minorEastAsia" w:hAnsi="Palatino Linotype" w:cs="Arial"/>
          <w:lang w:val="es-ES_tradnl" w:eastAsia="es-ES"/>
        </w:rPr>
      </w:pPr>
    </w:p>
    <w:p w14:paraId="382E94CB" w14:textId="4862AADE" w:rsidR="0087620B" w:rsidRPr="000C6A42" w:rsidRDefault="0087620B" w:rsidP="00CC2B3B">
      <w:pPr>
        <w:spacing w:after="0" w:line="360" w:lineRule="auto"/>
        <w:ind w:right="51"/>
        <w:jc w:val="both"/>
        <w:rPr>
          <w:rFonts w:ascii="Palatino Linotype" w:eastAsiaTheme="minorEastAsia" w:hAnsi="Palatino Linotype" w:cs="Arial"/>
          <w:lang w:val="es-ES_tradnl" w:eastAsia="es-ES"/>
        </w:rPr>
      </w:pPr>
      <w:r w:rsidRPr="000C6A42">
        <w:rPr>
          <w:rFonts w:ascii="Palatino Linotype" w:eastAsiaTheme="minorEastAsia" w:hAnsi="Palatino Linotype" w:cs="Arial"/>
          <w:lang w:val="es-ES_tradnl" w:eastAsia="es-ES"/>
        </w:rPr>
        <w:t xml:space="preserve">Es con base en lo anterior, este </w:t>
      </w:r>
      <w:r w:rsidR="000D4077" w:rsidRPr="000C6A42">
        <w:rPr>
          <w:rFonts w:ascii="Palatino Linotype" w:eastAsiaTheme="minorEastAsia" w:hAnsi="Palatino Linotype" w:cs="Arial"/>
          <w:lang w:val="es-ES_tradnl" w:eastAsia="es-ES"/>
        </w:rPr>
        <w:t>Organismo</w:t>
      </w:r>
      <w:r w:rsidRPr="000C6A42">
        <w:rPr>
          <w:rFonts w:ascii="Palatino Linotype" w:eastAsiaTheme="minorEastAsia" w:hAnsi="Palatino Linotype" w:cs="Arial"/>
          <w:lang w:val="es-ES_tradnl" w:eastAsia="es-ES"/>
        </w:rPr>
        <w:t xml:space="preserve"> Garante no advierte la procedencia de clasificación de</w:t>
      </w:r>
      <w:r w:rsidR="00121196" w:rsidRPr="000C6A42">
        <w:rPr>
          <w:rFonts w:ascii="Palatino Linotype" w:eastAsiaTheme="minorEastAsia" w:hAnsi="Palatino Linotype" w:cs="Arial"/>
          <w:lang w:val="es-ES_tradnl" w:eastAsia="es-ES"/>
        </w:rPr>
        <w:t xml:space="preserve"> la información relativa a los e</w:t>
      </w:r>
      <w:r w:rsidRPr="000C6A42">
        <w:rPr>
          <w:rFonts w:ascii="Palatino Linotype" w:eastAsiaTheme="minorEastAsia" w:hAnsi="Palatino Linotype" w:cs="Arial"/>
          <w:lang w:val="es-ES_tradnl" w:eastAsia="es-ES"/>
        </w:rPr>
        <w:t xml:space="preserve">stados de cuenta bancarios </w:t>
      </w:r>
      <w:r w:rsidR="00121196" w:rsidRPr="000C6A42">
        <w:rPr>
          <w:rFonts w:ascii="Palatino Linotype" w:eastAsiaTheme="minorEastAsia" w:hAnsi="Palatino Linotype" w:cs="Arial"/>
          <w:lang w:val="es-ES_tradnl" w:eastAsia="es-ES"/>
        </w:rPr>
        <w:t>del Ayuntamiento de Toluca</w:t>
      </w:r>
      <w:r w:rsidRPr="000C6A42">
        <w:rPr>
          <w:rFonts w:ascii="Palatino Linotype" w:eastAsiaTheme="minorEastAsia" w:hAnsi="Palatino Linotype" w:cs="Arial"/>
          <w:lang w:val="es-ES_tradnl" w:eastAsia="es-ES"/>
        </w:rPr>
        <w:t>, atendiendo que su publicidad favorece la rendición de cuentas y en el supuesto que contengan datos sensibles y confidenciales de particulares, se deberá aprobar y emitir la elaboración de la versión pública.</w:t>
      </w:r>
    </w:p>
    <w:p w14:paraId="00AEA5F9" w14:textId="77777777" w:rsidR="00CC2B3B" w:rsidRPr="000C6A42" w:rsidRDefault="00CC2B3B" w:rsidP="00CC2B3B">
      <w:pPr>
        <w:spacing w:after="0" w:line="360" w:lineRule="auto"/>
        <w:ind w:right="51"/>
        <w:jc w:val="both"/>
        <w:rPr>
          <w:rFonts w:ascii="Palatino Linotype" w:eastAsiaTheme="minorEastAsia" w:hAnsi="Palatino Linotype" w:cs="Arial"/>
          <w:lang w:val="es-ES_tradnl" w:eastAsia="es-ES"/>
        </w:rPr>
      </w:pPr>
    </w:p>
    <w:p w14:paraId="6ACCC534" w14:textId="5CCAE052" w:rsidR="00CF1000" w:rsidRPr="000C6A42" w:rsidRDefault="00CC2B3B" w:rsidP="00CF1000">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0C6A42">
        <w:rPr>
          <w:rFonts w:ascii="Palatino Linotype" w:eastAsia="Palatino Linotype" w:hAnsi="Palatino Linotype" w:cs="Palatino Linotype"/>
          <w:b/>
        </w:rPr>
        <w:t>RECURRENTE</w:t>
      </w:r>
      <w:r w:rsidRPr="000C6A42">
        <w:rPr>
          <w:rFonts w:ascii="Palatino Linotype" w:eastAsia="Palatino Linotype" w:hAnsi="Palatino Linotype" w:cs="Palatino Linotype"/>
        </w:rPr>
        <w:t xml:space="preserve"> dentro del recurso de revisión </w:t>
      </w:r>
      <w:r w:rsidR="00CF1000" w:rsidRPr="000C6A42">
        <w:rPr>
          <w:rFonts w:ascii="Palatino Linotype" w:eastAsia="Palatino Linotype" w:hAnsi="Palatino Linotype" w:cs="Palatino Linotype"/>
          <w:b/>
        </w:rPr>
        <w:t>00649/INFOEM/IP/RR/2025</w:t>
      </w:r>
      <w:r w:rsidRPr="000C6A42">
        <w:rPr>
          <w:rFonts w:ascii="Palatino Linotype" w:eastAsia="Palatino Linotype" w:hAnsi="Palatino Linotype" w:cs="Palatino Linotype"/>
        </w:rPr>
        <w:t xml:space="preserve">, por lo que, resulta procedente </w:t>
      </w:r>
      <w:r w:rsidRPr="000C6A42">
        <w:rPr>
          <w:rFonts w:ascii="Palatino Linotype" w:eastAsia="Palatino Linotype" w:hAnsi="Palatino Linotype" w:cs="Palatino Linotype"/>
          <w:b/>
        </w:rPr>
        <w:t>ORDENAR</w:t>
      </w:r>
      <w:r w:rsidRPr="000C6A42">
        <w:rPr>
          <w:rFonts w:ascii="Palatino Linotype" w:eastAsia="Palatino Linotype" w:hAnsi="Palatino Linotype" w:cs="Palatino Linotype"/>
        </w:rPr>
        <w:t xml:space="preserve"> </w:t>
      </w:r>
      <w:r w:rsidR="00CF1000" w:rsidRPr="000C6A42">
        <w:rPr>
          <w:rFonts w:ascii="Palatino Linotype" w:eastAsia="Palatino Linotype" w:hAnsi="Palatino Linotype" w:cs="Palatino Linotype"/>
        </w:rPr>
        <w:t xml:space="preserve">al </w:t>
      </w:r>
      <w:r w:rsidR="00CF1000" w:rsidRPr="000C6A42">
        <w:rPr>
          <w:rFonts w:ascii="Palatino Linotype" w:eastAsia="Palatino Linotype" w:hAnsi="Palatino Linotype" w:cs="Palatino Linotype"/>
          <w:b/>
        </w:rPr>
        <w:t xml:space="preserve">SUJETO OBLIGADO </w:t>
      </w:r>
      <w:r w:rsidRPr="000C6A42">
        <w:rPr>
          <w:rFonts w:ascii="Palatino Linotype" w:eastAsia="Palatino Linotype" w:hAnsi="Palatino Linotype" w:cs="Palatino Linotype"/>
        </w:rPr>
        <w:t>la entrega, vía Sistema de Acceso a la Información Mexiquense, de ser el caso, en versión pública,  lo siguiente:</w:t>
      </w:r>
    </w:p>
    <w:p w14:paraId="06B3234E" w14:textId="43F67B59" w:rsidR="00CC2B3B" w:rsidRPr="000C6A42" w:rsidRDefault="0035418C" w:rsidP="000D4077">
      <w:pPr>
        <w:pStyle w:val="Prrafodelista"/>
        <w:numPr>
          <w:ilvl w:val="0"/>
          <w:numId w:val="14"/>
        </w:numPr>
        <w:spacing w:after="0" w:line="360" w:lineRule="auto"/>
        <w:ind w:right="418"/>
        <w:jc w:val="both"/>
        <w:rPr>
          <w:rFonts w:ascii="Palatino Linotype" w:eastAsia="Palatino Linotype" w:hAnsi="Palatino Linotype" w:cs="Palatino Linotype"/>
        </w:rPr>
      </w:pPr>
      <w:r w:rsidRPr="000C6A42">
        <w:rPr>
          <w:rFonts w:ascii="Palatino Linotype" w:eastAsia="Palatino Linotype" w:hAnsi="Palatino Linotype" w:cs="Palatino Linotype"/>
        </w:rPr>
        <w:lastRenderedPageBreak/>
        <w:t xml:space="preserve">Los últimos estados de cuenta bancarios del sujeto obligado, generados </w:t>
      </w:r>
      <w:r w:rsidR="00097931" w:rsidRPr="000C6A42">
        <w:rPr>
          <w:rFonts w:ascii="Palatino Linotype" w:eastAsia="Palatino Linotype" w:hAnsi="Palatino Linotype" w:cs="Palatino Linotype"/>
        </w:rPr>
        <w:t xml:space="preserve">al treinta y uno de diciembre de dos mil veinticuatro. </w:t>
      </w:r>
    </w:p>
    <w:p w14:paraId="6AB037B9" w14:textId="77777777" w:rsidR="00CF1000" w:rsidRPr="000C6A42" w:rsidRDefault="00CF1000" w:rsidP="00CF1000">
      <w:pPr>
        <w:pStyle w:val="Prrafodelista"/>
        <w:spacing w:after="0" w:line="360" w:lineRule="auto"/>
        <w:ind w:right="49"/>
        <w:jc w:val="both"/>
        <w:rPr>
          <w:rFonts w:ascii="Palatino Linotype" w:eastAsia="Palatino Linotype" w:hAnsi="Palatino Linotype" w:cs="Palatino Linotype"/>
        </w:rPr>
      </w:pPr>
    </w:p>
    <w:p w14:paraId="4721F8E7" w14:textId="4C505D52" w:rsidR="00CC2B3B" w:rsidRPr="000C6A42" w:rsidRDefault="00CC2B3B" w:rsidP="00097931">
      <w:pPr>
        <w:spacing w:line="276" w:lineRule="auto"/>
        <w:ind w:left="567" w:right="560"/>
        <w:jc w:val="both"/>
        <w:rPr>
          <w:rFonts w:ascii="Palatino Linotype" w:eastAsia="Palatino Linotype" w:hAnsi="Palatino Linotype" w:cs="Palatino Linotype"/>
          <w:b/>
        </w:rPr>
      </w:pPr>
      <w:r w:rsidRPr="000C6A42">
        <w:rPr>
          <w:rFonts w:ascii="Palatino Linotype" w:eastAsia="Palatino Linotype" w:hAnsi="Palatino Linotype" w:cs="Palatino Linotype"/>
          <w:i/>
        </w:rPr>
        <w:t>De ser el caso, deberá remitir el Acuerdo emitido por el Comité de Transparencia, en donde de manera fundada y motivada, se confirme la versión pública de las Evaluaciones Técnicas de Impacto en materia Vial, en términos de los artículos 49, fracción II, 132, fracción II, 143, fracción I, y 149 de la Ley de Transparencia y Acceso a la Información Pública del Estado de México y Municipios.</w:t>
      </w:r>
    </w:p>
    <w:p w14:paraId="15107496" w14:textId="61E6D547" w:rsidR="00CC2B3B" w:rsidRPr="000C6A42" w:rsidRDefault="00CC2B3B" w:rsidP="00CC2B3B">
      <w:pPr>
        <w:spacing w:after="0" w:line="360" w:lineRule="auto"/>
        <w:ind w:right="51"/>
        <w:jc w:val="both"/>
        <w:rPr>
          <w:rFonts w:ascii="Palatino Linotype" w:eastAsiaTheme="minorEastAsia" w:hAnsi="Palatino Linotype" w:cs="Arial"/>
          <w:lang w:val="es-ES_tradnl" w:eastAsia="es-ES"/>
        </w:rPr>
      </w:pPr>
    </w:p>
    <w:p w14:paraId="6E0C8A38" w14:textId="01FB053A" w:rsidR="00182F1C" w:rsidRPr="000C6A42" w:rsidRDefault="00182F1C" w:rsidP="00CC2B3B">
      <w:pPr>
        <w:spacing w:after="0" w:line="360" w:lineRule="auto"/>
        <w:ind w:right="51"/>
        <w:jc w:val="both"/>
        <w:rPr>
          <w:rFonts w:ascii="Palatino Linotype" w:eastAsiaTheme="minorEastAsia" w:hAnsi="Palatino Linotype" w:cs="Arial"/>
          <w:lang w:val="es-ES_tradnl" w:eastAsia="es-ES"/>
        </w:rPr>
      </w:pPr>
      <w:r w:rsidRPr="000C6A42">
        <w:rPr>
          <w:rFonts w:ascii="Palatino Linotype" w:eastAsiaTheme="minorEastAsia" w:hAnsi="Palatino Linotype" w:cs="Arial"/>
          <w:lang w:val="es-ES_tradnl" w:eastAsia="es-ES"/>
        </w:rPr>
        <w:t xml:space="preserve">Por otro lado, no pasa desapercibido mencionar que, </w:t>
      </w:r>
      <w:r w:rsidR="00940CD8" w:rsidRPr="000C6A42">
        <w:rPr>
          <w:rFonts w:ascii="Palatino Linotype" w:eastAsiaTheme="minorEastAsia" w:hAnsi="Palatino Linotype" w:cs="Arial"/>
          <w:lang w:val="es-ES_tradnl" w:eastAsia="es-ES"/>
        </w:rPr>
        <w:t xml:space="preserve">el Titular de la Unidad de Transparencia arguyó que se registraron fallas en el Sistema de Acceso a la Información Mexiquense, situación que se le había hecho de conocimiento a la Dirección General de Informática de este Organismo Garante. </w:t>
      </w:r>
    </w:p>
    <w:p w14:paraId="16042BCF" w14:textId="77777777" w:rsidR="00940CD8" w:rsidRPr="000C6A42" w:rsidRDefault="00940CD8" w:rsidP="00CC2B3B">
      <w:pPr>
        <w:spacing w:after="0" w:line="360" w:lineRule="auto"/>
        <w:ind w:right="51"/>
        <w:jc w:val="both"/>
        <w:rPr>
          <w:rFonts w:ascii="Palatino Linotype" w:eastAsiaTheme="minorEastAsia" w:hAnsi="Palatino Linotype" w:cs="Arial"/>
          <w:lang w:val="es-ES_tradnl" w:eastAsia="es-ES"/>
        </w:rPr>
      </w:pPr>
    </w:p>
    <w:p w14:paraId="5CCF6057" w14:textId="6459DAF1" w:rsidR="00940CD8" w:rsidRPr="000C6A42" w:rsidRDefault="00940CD8" w:rsidP="00CC2B3B">
      <w:pPr>
        <w:spacing w:after="0" w:line="360" w:lineRule="auto"/>
        <w:ind w:right="51"/>
        <w:jc w:val="both"/>
        <w:rPr>
          <w:rFonts w:ascii="Palatino Linotype" w:eastAsiaTheme="minorEastAsia" w:hAnsi="Palatino Linotype" w:cs="Arial"/>
          <w:lang w:val="es-ES_tradnl" w:eastAsia="es-ES"/>
        </w:rPr>
      </w:pPr>
      <w:r w:rsidRPr="000C6A42">
        <w:rPr>
          <w:rFonts w:ascii="Palatino Linotype" w:eastAsiaTheme="minorEastAsia" w:hAnsi="Palatino Linotype" w:cs="Arial"/>
          <w:lang w:val="es-ES_tradnl" w:eastAsia="es-ES"/>
        </w:rPr>
        <w:t xml:space="preserve">En ese sentido, se procedió a verificar con la Dirección General de Informática la existencia de fallas en el Sistema de Acceso a la Información Mexiquense en la fecha que el Sujeto Obligado pretendió dar respuesta y, en atención a ello, la Dirección General informó lo siguiente: </w:t>
      </w:r>
    </w:p>
    <w:p w14:paraId="66314064" w14:textId="77777777" w:rsidR="00940CD8" w:rsidRPr="000C6A42" w:rsidRDefault="00940CD8" w:rsidP="00CC2B3B">
      <w:pPr>
        <w:spacing w:after="0" w:line="360" w:lineRule="auto"/>
        <w:ind w:right="51"/>
        <w:jc w:val="both"/>
        <w:rPr>
          <w:rFonts w:ascii="Palatino Linotype" w:eastAsiaTheme="minorEastAsia" w:hAnsi="Palatino Linotype" w:cs="Arial"/>
          <w:lang w:val="es-ES_tradnl" w:eastAsia="es-ES"/>
        </w:rPr>
      </w:pPr>
    </w:p>
    <w:p w14:paraId="0A802B4D" w14:textId="07290E84" w:rsidR="00940CD8" w:rsidRPr="000C6A42" w:rsidRDefault="00940CD8" w:rsidP="00CC2B3B">
      <w:pPr>
        <w:spacing w:after="0" w:line="360" w:lineRule="auto"/>
        <w:ind w:right="51"/>
        <w:jc w:val="both"/>
        <w:rPr>
          <w:rFonts w:ascii="Palatino Linotype" w:eastAsiaTheme="minorEastAsia" w:hAnsi="Palatino Linotype" w:cs="Arial"/>
          <w:lang w:val="es-ES_tradnl" w:eastAsia="es-ES"/>
        </w:rPr>
      </w:pPr>
      <w:r w:rsidRPr="000C6A42">
        <w:rPr>
          <w:rFonts w:ascii="Palatino Linotype" w:eastAsiaTheme="minorEastAsia" w:hAnsi="Palatino Linotype" w:cs="Arial"/>
          <w:noProof/>
        </w:rPr>
        <w:drawing>
          <wp:inline distT="0" distB="0" distL="0" distR="0" wp14:anchorId="4D1E9147" wp14:editId="0E7E7F63">
            <wp:extent cx="5581650" cy="2300946"/>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176"/>
                    <a:stretch/>
                  </pic:blipFill>
                  <pic:spPr bwMode="auto">
                    <a:xfrm>
                      <a:off x="0" y="0"/>
                      <a:ext cx="5620898" cy="2317125"/>
                    </a:xfrm>
                    <a:prstGeom prst="rect">
                      <a:avLst/>
                    </a:prstGeom>
                    <a:ln>
                      <a:noFill/>
                    </a:ln>
                    <a:extLst>
                      <a:ext uri="{53640926-AAD7-44D8-BBD7-CCE9431645EC}">
                        <a14:shadowObscured xmlns:a14="http://schemas.microsoft.com/office/drawing/2010/main"/>
                      </a:ext>
                    </a:extLst>
                  </pic:spPr>
                </pic:pic>
              </a:graphicData>
            </a:graphic>
          </wp:inline>
        </w:drawing>
      </w:r>
    </w:p>
    <w:p w14:paraId="727EC2D1" w14:textId="7DB80289" w:rsidR="0035418C" w:rsidRPr="000C6A42" w:rsidRDefault="00940CD8" w:rsidP="00CC2B3B">
      <w:pPr>
        <w:spacing w:after="0" w:line="360" w:lineRule="auto"/>
        <w:ind w:right="51"/>
        <w:jc w:val="both"/>
        <w:rPr>
          <w:rFonts w:ascii="Palatino Linotype" w:eastAsiaTheme="minorEastAsia" w:hAnsi="Palatino Linotype" w:cs="Arial"/>
          <w:lang w:val="es-ES_tradnl" w:eastAsia="es-ES"/>
        </w:rPr>
      </w:pPr>
      <w:r w:rsidRPr="000C6A42">
        <w:rPr>
          <w:rFonts w:ascii="Palatino Linotype" w:eastAsiaTheme="minorEastAsia" w:hAnsi="Palatino Linotype" w:cs="Arial"/>
          <w:lang w:val="es-ES_tradnl" w:eastAsia="es-ES"/>
        </w:rPr>
        <w:lastRenderedPageBreak/>
        <w:t>De lo anterior, se colige que, no existió algún tipo de falla en el Sistema de Acceso a la Informa</w:t>
      </w:r>
      <w:r w:rsidR="009A2163" w:rsidRPr="000C6A42">
        <w:rPr>
          <w:rFonts w:ascii="Palatino Linotype" w:eastAsiaTheme="minorEastAsia" w:hAnsi="Palatino Linotype" w:cs="Arial"/>
          <w:lang w:val="es-ES_tradnl" w:eastAsia="es-ES"/>
        </w:rPr>
        <w:t xml:space="preserve">ción Mexiquense, sino que fue un error por parte del Sujeto Obligado al ingresar a una URL incorrecta. </w:t>
      </w:r>
    </w:p>
    <w:p w14:paraId="17463024" w14:textId="77777777" w:rsidR="009A2163" w:rsidRPr="000C6A42" w:rsidRDefault="009A2163" w:rsidP="00CC2B3B">
      <w:pPr>
        <w:spacing w:after="0" w:line="360" w:lineRule="auto"/>
        <w:ind w:right="51"/>
        <w:jc w:val="both"/>
        <w:rPr>
          <w:rFonts w:ascii="Palatino Linotype" w:eastAsiaTheme="minorEastAsia" w:hAnsi="Palatino Linotype" w:cs="Arial"/>
          <w:lang w:val="es-ES_tradnl" w:eastAsia="es-ES"/>
        </w:rPr>
      </w:pPr>
    </w:p>
    <w:p w14:paraId="5386B171" w14:textId="6D560E0C" w:rsidR="009A2163" w:rsidRPr="000C6A42" w:rsidRDefault="009A2163" w:rsidP="00CC2B3B">
      <w:pPr>
        <w:spacing w:after="0" w:line="360" w:lineRule="auto"/>
        <w:ind w:right="51"/>
        <w:jc w:val="both"/>
        <w:rPr>
          <w:rFonts w:ascii="Palatino Linotype" w:eastAsiaTheme="minorEastAsia" w:hAnsi="Palatino Linotype" w:cs="Arial"/>
          <w:lang w:val="es-ES_tradnl" w:eastAsia="es-ES"/>
        </w:rPr>
      </w:pPr>
      <w:r w:rsidRPr="000C6A42">
        <w:rPr>
          <w:rFonts w:ascii="Palatino Linotype" w:eastAsiaTheme="minorEastAsia" w:hAnsi="Palatino Linotype" w:cs="Arial"/>
          <w:lang w:val="es-ES_tradnl" w:eastAsia="es-ES"/>
        </w:rPr>
        <w:t xml:space="preserve">Aunado a ello, es de destacar que, la solicitud de información se tuvo por presentada el trece de enero de dos mil veinticinco, por lo cual, el plazo para dar respuesta se contabilizó del catorce de enero al cuatro de febrero de dos mil veinticinco, siendo que, el Sujeto Obligado remitió un correo electrónico </w:t>
      </w:r>
      <w:r w:rsidR="00265768" w:rsidRPr="000C6A42">
        <w:rPr>
          <w:rFonts w:ascii="Palatino Linotype" w:eastAsiaTheme="minorEastAsia" w:hAnsi="Palatino Linotype" w:cs="Arial"/>
          <w:lang w:val="es-ES_tradnl" w:eastAsia="es-ES"/>
        </w:rPr>
        <w:t xml:space="preserve">el cuatro de febrero de dos mil veinticinco </w:t>
      </w:r>
      <w:r w:rsidRPr="000C6A42">
        <w:rPr>
          <w:rFonts w:ascii="Palatino Linotype" w:eastAsiaTheme="minorEastAsia" w:hAnsi="Palatino Linotype" w:cs="Arial"/>
          <w:lang w:val="es-ES_tradnl" w:eastAsia="es-ES"/>
        </w:rPr>
        <w:t xml:space="preserve">a las 20:05 horas a este Organismo Garante, en otras palabras; reportó </w:t>
      </w:r>
      <w:r w:rsidR="00265768" w:rsidRPr="000C6A42">
        <w:rPr>
          <w:rFonts w:ascii="Palatino Linotype" w:eastAsiaTheme="minorEastAsia" w:hAnsi="Palatino Linotype" w:cs="Arial"/>
          <w:lang w:val="es-ES_tradnl" w:eastAsia="es-ES"/>
        </w:rPr>
        <w:t xml:space="preserve">una posible falla el último día para dar atención al requerimiento en horario inhábil para este Organismo Garante. </w:t>
      </w:r>
    </w:p>
    <w:p w14:paraId="40193112" w14:textId="77777777" w:rsidR="00265768" w:rsidRPr="000C6A42" w:rsidRDefault="00265768" w:rsidP="00CC2B3B">
      <w:pPr>
        <w:spacing w:after="0" w:line="360" w:lineRule="auto"/>
        <w:ind w:right="51"/>
        <w:jc w:val="both"/>
        <w:rPr>
          <w:rFonts w:ascii="Palatino Linotype" w:eastAsiaTheme="minorEastAsia" w:hAnsi="Palatino Linotype" w:cs="Arial"/>
          <w:lang w:val="es-ES_tradnl" w:eastAsia="es-ES"/>
        </w:rPr>
      </w:pPr>
    </w:p>
    <w:p w14:paraId="1965DD3F" w14:textId="56C9EDD6" w:rsidR="00265768" w:rsidRPr="000C6A42" w:rsidRDefault="00265768" w:rsidP="00265768">
      <w:pPr>
        <w:spacing w:after="0" w:line="360" w:lineRule="auto"/>
        <w:ind w:right="51"/>
        <w:jc w:val="both"/>
        <w:rPr>
          <w:rFonts w:ascii="Palatino Linotype" w:eastAsiaTheme="minorEastAsia" w:hAnsi="Palatino Linotype" w:cs="Arial"/>
          <w:lang w:val="es-ES_tradnl" w:eastAsia="es-ES"/>
        </w:rPr>
      </w:pPr>
      <w:r w:rsidRPr="000C6A42">
        <w:rPr>
          <w:rFonts w:ascii="Palatino Linotype" w:eastAsiaTheme="minorEastAsia" w:hAnsi="Palatino Linotype" w:cs="Arial"/>
          <w:lang w:val="es-ES_tradnl" w:eastAsia="es-ES"/>
        </w:rPr>
        <w:t xml:space="preserve">De tal forma que, debido a que se </w:t>
      </w:r>
      <w:proofErr w:type="spellStart"/>
      <w:r w:rsidRPr="000C6A42">
        <w:rPr>
          <w:rFonts w:ascii="Palatino Linotype" w:eastAsiaTheme="minorEastAsia" w:hAnsi="Palatino Linotype" w:cs="Arial"/>
          <w:lang w:val="es-ES_tradnl" w:eastAsia="es-ES"/>
        </w:rPr>
        <w:t>detecto</w:t>
      </w:r>
      <w:proofErr w:type="spellEnd"/>
      <w:r w:rsidRPr="000C6A42">
        <w:rPr>
          <w:rFonts w:ascii="Palatino Linotype" w:eastAsiaTheme="minorEastAsia" w:hAnsi="Palatino Linotype" w:cs="Arial"/>
          <w:lang w:val="es-ES_tradnl" w:eastAsia="es-ES"/>
        </w:rPr>
        <w:t xml:space="preserve"> una negligencia por parte del Sujeto Obligado para dar atención a la solicitud de información y </w:t>
      </w:r>
      <w:r w:rsidRPr="000C6A42">
        <w:rPr>
          <w:rFonts w:ascii="Palatino Linotype" w:eastAsia="Palatino Linotype" w:hAnsi="Palatino Linotype" w:cs="Palatino Linotype"/>
        </w:rPr>
        <w:t>en términos del artículo 163 de la Ley de la materia, se ordena dar vista</w:t>
      </w:r>
      <w:r w:rsidRPr="000C6A42">
        <w:rPr>
          <w:rFonts w:ascii="Palatino Linotype" w:eastAsia="Palatino Linotype" w:hAnsi="Palatino Linotype" w:cs="Palatino Linotype"/>
          <w:b/>
        </w:rPr>
        <w:t xml:space="preserve"> </w:t>
      </w:r>
      <w:r w:rsidRPr="000C6A42">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73E5692A" w14:textId="77777777" w:rsidR="00265768" w:rsidRPr="000C6A42" w:rsidRDefault="00265768" w:rsidP="00CC2B3B">
      <w:pPr>
        <w:spacing w:after="0" w:line="360" w:lineRule="auto"/>
        <w:jc w:val="both"/>
        <w:rPr>
          <w:rFonts w:ascii="Palatino Linotype" w:eastAsiaTheme="minorEastAsia" w:hAnsi="Palatino Linotype" w:cs="Arial"/>
          <w:lang w:val="es-ES_tradnl" w:eastAsia="es-ES"/>
        </w:rPr>
      </w:pPr>
    </w:p>
    <w:p w14:paraId="1110FA4A" w14:textId="77777777" w:rsidR="00265768" w:rsidRPr="000C6A42" w:rsidRDefault="00265768" w:rsidP="00265768">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b/>
        </w:rPr>
        <w:t xml:space="preserve">Quinto. Versión Pública. </w:t>
      </w:r>
      <w:r w:rsidRPr="000C6A42">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535EA5F3" w14:textId="77777777" w:rsidR="00265768" w:rsidRPr="000C6A42" w:rsidRDefault="00265768" w:rsidP="00265768">
      <w:pPr>
        <w:spacing w:after="0" w:line="360" w:lineRule="auto"/>
        <w:jc w:val="both"/>
        <w:rPr>
          <w:rFonts w:ascii="Palatino Linotype" w:eastAsia="Palatino Linotype" w:hAnsi="Palatino Linotype" w:cs="Palatino Linotype"/>
        </w:rPr>
      </w:pPr>
    </w:p>
    <w:p w14:paraId="7111368A" w14:textId="77777777" w:rsidR="00265768" w:rsidRPr="000C6A42" w:rsidRDefault="00265768" w:rsidP="00265768">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rPr>
        <w:t xml:space="preserve">En ese sentido, el Sujeto Obligado tendrá que elaborar la versión pública de los documentos que vaya a entregar para dar cumplimiento a esta resolución a fin de satisfacer el derecho de </w:t>
      </w:r>
      <w:r w:rsidRPr="000C6A42">
        <w:rPr>
          <w:rFonts w:ascii="Palatino Linotype" w:eastAsia="Palatino Linotype" w:hAnsi="Palatino Linotype" w:cs="Palatino Linotype"/>
        </w:rPr>
        <w:lastRenderedPageBreak/>
        <w:t>acceso a la información pública del recurrente sin menoscabar el derecho a la protección de los datos personales de terceros.</w:t>
      </w:r>
    </w:p>
    <w:p w14:paraId="3C662F1D" w14:textId="77777777" w:rsidR="00265768" w:rsidRPr="000C6A42" w:rsidRDefault="00265768" w:rsidP="00265768">
      <w:pPr>
        <w:spacing w:after="0" w:line="360" w:lineRule="auto"/>
        <w:jc w:val="both"/>
        <w:rPr>
          <w:rFonts w:ascii="Palatino Linotype" w:eastAsia="Palatino Linotype" w:hAnsi="Palatino Linotype" w:cs="Palatino Linotype"/>
        </w:rPr>
      </w:pPr>
    </w:p>
    <w:p w14:paraId="372A436D" w14:textId="77777777" w:rsidR="00265768" w:rsidRPr="000C6A42" w:rsidRDefault="00265768" w:rsidP="00265768">
      <w:pPr>
        <w:spacing w:after="0" w:line="360" w:lineRule="auto"/>
        <w:ind w:right="50"/>
        <w:jc w:val="both"/>
        <w:rPr>
          <w:rFonts w:ascii="Palatino Linotype" w:eastAsia="Palatino Linotype" w:hAnsi="Palatino Linotype" w:cs="Palatino Linotype"/>
        </w:rPr>
      </w:pPr>
      <w:r w:rsidRPr="000C6A42">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6B6988E8" w14:textId="77777777" w:rsidR="00265768" w:rsidRPr="000C6A42" w:rsidRDefault="00265768" w:rsidP="00265768">
      <w:pPr>
        <w:spacing w:after="0" w:line="360" w:lineRule="auto"/>
        <w:ind w:right="50"/>
        <w:jc w:val="both"/>
        <w:rPr>
          <w:rFonts w:ascii="Palatino Linotype" w:eastAsia="Palatino Linotype" w:hAnsi="Palatino Linotype" w:cs="Palatino Linotype"/>
        </w:rPr>
      </w:pPr>
    </w:p>
    <w:p w14:paraId="4AB62417"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w:t>
      </w:r>
      <w:r w:rsidRPr="000C6A42">
        <w:rPr>
          <w:rFonts w:ascii="Palatino Linotype" w:eastAsia="Palatino Linotype" w:hAnsi="Palatino Linotype" w:cs="Palatino Linotype"/>
          <w:b/>
          <w:i/>
        </w:rPr>
        <w:t>Artículo 3.</w:t>
      </w:r>
      <w:r w:rsidRPr="000C6A42">
        <w:rPr>
          <w:rFonts w:ascii="Palatino Linotype" w:eastAsia="Palatino Linotype" w:hAnsi="Palatino Linotype" w:cs="Palatino Linotype"/>
          <w:i/>
        </w:rPr>
        <w:t xml:space="preserve"> Para los efectos de la presente Ley se entenderá por:</w:t>
      </w:r>
    </w:p>
    <w:p w14:paraId="48937147"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w:t>
      </w:r>
    </w:p>
    <w:p w14:paraId="5B6D9259"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15944D35"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XX. Información clasificada: Aquella considerada por la presente Ley como reservada o confidencial;</w:t>
      </w:r>
    </w:p>
    <w:p w14:paraId="75629ACE"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2D9C5A6"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57805209"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w:t>
      </w:r>
    </w:p>
    <w:p w14:paraId="70D81036"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b/>
          <w:i/>
        </w:rPr>
        <w:t>Artículo 91.</w:t>
      </w:r>
      <w:r w:rsidRPr="000C6A42">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2BF2EBDE"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b/>
          <w:i/>
        </w:rPr>
        <w:t>Artículo 132.</w:t>
      </w:r>
      <w:r w:rsidRPr="000C6A42">
        <w:rPr>
          <w:rFonts w:ascii="Palatino Linotype" w:eastAsia="Palatino Linotype" w:hAnsi="Palatino Linotype" w:cs="Palatino Linotype"/>
          <w:i/>
        </w:rPr>
        <w:t xml:space="preserve"> La clasificación de la información se llevará a cabo en el momento en que:</w:t>
      </w:r>
    </w:p>
    <w:p w14:paraId="214F6E0E" w14:textId="77777777" w:rsidR="00265768" w:rsidRPr="000C6A42" w:rsidRDefault="00265768" w:rsidP="00265768">
      <w:pPr>
        <w:tabs>
          <w:tab w:val="left" w:pos="1134"/>
        </w:tabs>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I. Se reciba una solicitud de acceso a la información;</w:t>
      </w:r>
    </w:p>
    <w:p w14:paraId="7F3DD0B8" w14:textId="77777777" w:rsidR="00265768" w:rsidRPr="000C6A42" w:rsidRDefault="00265768" w:rsidP="00265768">
      <w:pPr>
        <w:tabs>
          <w:tab w:val="left" w:pos="1134"/>
        </w:tabs>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II. Se determine mediante resolución de autoridad competente; o</w:t>
      </w:r>
    </w:p>
    <w:p w14:paraId="017D278C" w14:textId="77777777" w:rsidR="00265768" w:rsidRPr="000C6A42" w:rsidRDefault="00265768" w:rsidP="00265768">
      <w:pPr>
        <w:tabs>
          <w:tab w:val="left" w:pos="1134"/>
        </w:tabs>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III. Se generen versiones públicas para dar cumplimiento a las obligaciones de transparencia previstas en esta Ley.</w:t>
      </w:r>
    </w:p>
    <w:p w14:paraId="3962CD59"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w:t>
      </w:r>
    </w:p>
    <w:p w14:paraId="1E6C9E9C"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b/>
          <w:i/>
        </w:rPr>
        <w:t>Artículo 143</w:t>
      </w:r>
      <w:r w:rsidRPr="000C6A42">
        <w:rPr>
          <w:rFonts w:ascii="Palatino Linotype" w:eastAsia="Palatino Linotype" w:hAnsi="Palatino Linotype" w:cs="Palatino Linotype"/>
          <w:i/>
        </w:rPr>
        <w:t>. Para los efectos de esta Ley se considera información confidencial, la clasificada como tal, de manera permanente, por su naturaleza, cuando:</w:t>
      </w:r>
    </w:p>
    <w:p w14:paraId="480D8C5B"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4ACE560D"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68C80624"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III. La que presenten los particulares a los sujetos obligados, de conformidad con lo dispuesto por las leyes o los tratados internacionales.</w:t>
      </w:r>
    </w:p>
    <w:p w14:paraId="5CA06F9D"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11E6C064"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5C6F7473" w14:textId="77777777" w:rsidR="00265768" w:rsidRPr="000C6A42" w:rsidRDefault="00265768" w:rsidP="00265768">
      <w:pPr>
        <w:spacing w:after="0"/>
        <w:ind w:left="567" w:right="616"/>
        <w:jc w:val="both"/>
        <w:rPr>
          <w:rFonts w:ascii="Palatino Linotype" w:eastAsia="Palatino Linotype" w:hAnsi="Palatino Linotype" w:cs="Palatino Linotype"/>
          <w:i/>
        </w:rPr>
      </w:pPr>
    </w:p>
    <w:p w14:paraId="3AD33B7D" w14:textId="77777777" w:rsidR="00265768" w:rsidRPr="000C6A42" w:rsidRDefault="00265768" w:rsidP="00265768">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49E10D6" w14:textId="77777777" w:rsidR="00265768" w:rsidRPr="000C6A42" w:rsidRDefault="00265768" w:rsidP="00265768">
      <w:pPr>
        <w:spacing w:after="0"/>
        <w:jc w:val="both"/>
        <w:rPr>
          <w:rFonts w:ascii="Palatino Linotype" w:eastAsia="Palatino Linotype" w:hAnsi="Palatino Linotype" w:cs="Palatino Linotype"/>
        </w:rPr>
      </w:pPr>
    </w:p>
    <w:p w14:paraId="4EF8C732" w14:textId="77777777" w:rsidR="00265768" w:rsidRPr="000C6A42" w:rsidRDefault="00265768" w:rsidP="00265768">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055AE82B" w14:textId="77777777" w:rsidR="00265768" w:rsidRPr="000C6A42" w:rsidRDefault="00265768" w:rsidP="00265768">
      <w:pPr>
        <w:spacing w:after="0" w:line="360" w:lineRule="auto"/>
        <w:jc w:val="both"/>
        <w:rPr>
          <w:rFonts w:ascii="Palatino Linotype" w:eastAsia="Palatino Linotype" w:hAnsi="Palatino Linotype" w:cs="Palatino Linotype"/>
        </w:rPr>
      </w:pPr>
    </w:p>
    <w:p w14:paraId="38FEA0C2"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 “</w:t>
      </w:r>
      <w:r w:rsidRPr="000C6A42">
        <w:rPr>
          <w:rFonts w:ascii="Palatino Linotype" w:eastAsia="Palatino Linotype" w:hAnsi="Palatino Linotype" w:cs="Palatino Linotype"/>
          <w:b/>
          <w:i/>
        </w:rPr>
        <w:t>Quincuagésimo</w:t>
      </w:r>
      <w:r w:rsidRPr="000C6A42">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B69F2EB" w14:textId="77777777" w:rsidR="00265768" w:rsidRPr="000C6A42" w:rsidRDefault="00265768" w:rsidP="0026576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b/>
          <w:i/>
        </w:rPr>
        <w:lastRenderedPageBreak/>
        <w:t>Quincuagésimo primero.</w:t>
      </w:r>
      <w:r w:rsidRPr="000C6A42">
        <w:rPr>
          <w:rFonts w:ascii="Palatino Linotype" w:eastAsia="Palatino Linotype" w:hAnsi="Palatino Linotype" w:cs="Palatino Linotype"/>
          <w:i/>
        </w:rPr>
        <w:t xml:space="preserve"> Toda acta del Comité de Transparencia deberá contener: </w:t>
      </w:r>
    </w:p>
    <w:p w14:paraId="4A98DCF0" w14:textId="77777777" w:rsidR="00265768" w:rsidRPr="000C6A42" w:rsidRDefault="00265768" w:rsidP="0026576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I. El número de sesión y fecha; </w:t>
      </w:r>
    </w:p>
    <w:p w14:paraId="6560CC89" w14:textId="77777777" w:rsidR="00265768" w:rsidRPr="000C6A42" w:rsidRDefault="00265768" w:rsidP="0026576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II. El nombre del área que solicitó la clasificación de información; </w:t>
      </w:r>
    </w:p>
    <w:p w14:paraId="4D938C72" w14:textId="77777777" w:rsidR="00265768" w:rsidRPr="000C6A42" w:rsidRDefault="00265768" w:rsidP="0026576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III. La fundamentación legal y motivación correspondiente; </w:t>
      </w:r>
    </w:p>
    <w:p w14:paraId="307FC1BD" w14:textId="77777777" w:rsidR="00265768" w:rsidRPr="000C6A42" w:rsidRDefault="00265768" w:rsidP="0026576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IV. La resolución o resoluciones aprobadas; y </w:t>
      </w:r>
    </w:p>
    <w:p w14:paraId="30383EB6" w14:textId="77777777" w:rsidR="00265768" w:rsidRPr="000C6A42" w:rsidRDefault="00265768" w:rsidP="0026576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V. La rúbrica o firma digital de cada integrante del Comité de Transparencia. </w:t>
      </w:r>
    </w:p>
    <w:p w14:paraId="78CA97CB" w14:textId="77777777" w:rsidR="00265768" w:rsidRPr="000C6A42" w:rsidRDefault="00265768" w:rsidP="0026576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0F2E321F" w14:textId="77777777" w:rsidR="00265768" w:rsidRPr="000C6A42" w:rsidRDefault="00265768" w:rsidP="0026576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I. Los motivos y razonamientos que sustenten la confirmación o modificación de la prueba de daño;</w:t>
      </w:r>
    </w:p>
    <w:p w14:paraId="7A458DF9" w14:textId="77777777" w:rsidR="00265768" w:rsidRPr="000C6A42" w:rsidRDefault="00265768" w:rsidP="0026576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II. Descripción de las partes o secciones reservadas, en caso de clasificación parcial; </w:t>
      </w:r>
    </w:p>
    <w:p w14:paraId="59648AEF" w14:textId="77777777" w:rsidR="00265768" w:rsidRPr="000C6A42" w:rsidRDefault="00265768" w:rsidP="0026576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III. El periodo por el que mantendrá su clasificación y fecha de expiración; y </w:t>
      </w:r>
    </w:p>
    <w:p w14:paraId="0132C7DF" w14:textId="77777777" w:rsidR="00265768" w:rsidRPr="000C6A42" w:rsidRDefault="00265768" w:rsidP="0026576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IV. El nombre del titular y área encargada de realizar la versión pública del documento, en su caso. </w:t>
      </w:r>
    </w:p>
    <w:p w14:paraId="142A6FB6" w14:textId="77777777" w:rsidR="00265768" w:rsidRPr="000C6A42" w:rsidRDefault="00265768" w:rsidP="0026576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3B0C475A" w14:textId="77777777" w:rsidR="00265768" w:rsidRPr="000C6A42" w:rsidRDefault="00265768" w:rsidP="0026576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611A0971"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b/>
          <w:i/>
        </w:rPr>
        <w:t>Quincuagésimo segundo.</w:t>
      </w:r>
      <w:r w:rsidRPr="000C6A42">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EE92FFC"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12E29AA9"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I. Fijar la fecha en que se elaboró la versión pública y la fecha en la cual el Comité de Transparencia confirmó dicha versión;</w:t>
      </w:r>
    </w:p>
    <w:p w14:paraId="1A53FD25"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23232D50"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III. Señalar las personas o instancias autorizadas a acceder a la información clasificada.</w:t>
      </w:r>
    </w:p>
    <w:p w14:paraId="178E2ABC"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440A2B83" w14:textId="77777777" w:rsidR="00265768" w:rsidRPr="000C6A42" w:rsidRDefault="00265768" w:rsidP="00265768">
      <w:pPr>
        <w:spacing w:after="0" w:line="360" w:lineRule="auto"/>
        <w:jc w:val="both"/>
        <w:rPr>
          <w:rFonts w:ascii="Palatino Linotype" w:eastAsia="Palatino Linotype" w:hAnsi="Palatino Linotype" w:cs="Palatino Linotype"/>
        </w:rPr>
      </w:pPr>
    </w:p>
    <w:p w14:paraId="4D34051F" w14:textId="5B4F1EBC" w:rsidR="00265768" w:rsidRPr="000C6A42" w:rsidRDefault="00265768" w:rsidP="00265768">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rPr>
        <w:lastRenderedPageBreak/>
        <w:t>De igual forma, deberá observar los Lineamientos Quincuagésimo cuarto, Quincuagésimo quinto, Quincuagésimo séptimo y Quincuagésimo octavo, establecen lo siguiente:</w:t>
      </w:r>
    </w:p>
    <w:p w14:paraId="0B89733F" w14:textId="77777777" w:rsidR="00265768" w:rsidRPr="000C6A42" w:rsidRDefault="00265768" w:rsidP="00265768">
      <w:pPr>
        <w:spacing w:after="0" w:line="360" w:lineRule="auto"/>
        <w:jc w:val="both"/>
        <w:rPr>
          <w:rFonts w:ascii="Palatino Linotype" w:eastAsia="Palatino Linotype" w:hAnsi="Palatino Linotype" w:cs="Palatino Linotype"/>
        </w:rPr>
      </w:pPr>
    </w:p>
    <w:p w14:paraId="5FB54ED3" w14:textId="77777777" w:rsidR="00265768" w:rsidRPr="000C6A42" w:rsidRDefault="00265768" w:rsidP="0026576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w:t>
      </w:r>
      <w:r w:rsidRPr="000C6A42">
        <w:rPr>
          <w:rFonts w:ascii="Palatino Linotype" w:eastAsia="Palatino Linotype" w:hAnsi="Palatino Linotype" w:cs="Palatino Linotype"/>
          <w:b/>
          <w:i/>
        </w:rPr>
        <w:t>Quincuagésimo cuarto.</w:t>
      </w:r>
      <w:r w:rsidRPr="000C6A42">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499DE951"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b/>
          <w:i/>
        </w:rPr>
        <w:t>Quincuagésimo quinto.</w:t>
      </w:r>
      <w:r w:rsidRPr="000C6A42">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0C6A42">
        <w:rPr>
          <w:rFonts w:ascii="Palatino Linotype" w:eastAsia="Palatino Linotype" w:hAnsi="Palatino Linotype" w:cs="Palatino Linotype"/>
          <w:i/>
        </w:rPr>
        <w:t>testado</w:t>
      </w:r>
      <w:proofErr w:type="spellEnd"/>
      <w:r w:rsidRPr="000C6A42">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4A0C9B25"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w:t>
      </w:r>
    </w:p>
    <w:p w14:paraId="60A8C8A9"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b/>
          <w:i/>
        </w:rPr>
        <w:t>Quincuagésimo séptimo.</w:t>
      </w:r>
      <w:r w:rsidRPr="000C6A42">
        <w:rPr>
          <w:rFonts w:ascii="Palatino Linotype" w:eastAsia="Palatino Linotype" w:hAnsi="Palatino Linotype" w:cs="Palatino Linotype"/>
          <w:i/>
        </w:rPr>
        <w:t xml:space="preserve"> Se considera, en principio, como información pública y no podrá omitirse de las versiones públicas la siguiente: </w:t>
      </w:r>
    </w:p>
    <w:p w14:paraId="4626DCA7"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5BEBC3AA"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7EBE3828"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27D49D8"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7B86D249" w14:textId="77777777" w:rsidR="00265768" w:rsidRPr="000C6A42" w:rsidRDefault="00265768" w:rsidP="00265768">
      <w:pPr>
        <w:spacing w:after="0"/>
        <w:ind w:left="567" w:right="616"/>
        <w:jc w:val="both"/>
        <w:rPr>
          <w:rFonts w:ascii="Palatino Linotype" w:eastAsia="Palatino Linotype" w:hAnsi="Palatino Linotype" w:cs="Palatino Linotype"/>
          <w:i/>
        </w:rPr>
      </w:pPr>
      <w:r w:rsidRPr="000C6A42">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32575470" w14:textId="77777777" w:rsidR="00265768" w:rsidRPr="000C6A42" w:rsidRDefault="00265768" w:rsidP="00265768">
      <w:pPr>
        <w:spacing w:after="0" w:line="360" w:lineRule="auto"/>
        <w:jc w:val="both"/>
        <w:rPr>
          <w:rFonts w:ascii="Palatino Linotype" w:eastAsia="Palatino Linotype" w:hAnsi="Palatino Linotype" w:cs="Palatino Linotype"/>
        </w:rPr>
      </w:pPr>
    </w:p>
    <w:p w14:paraId="7E3E2D28" w14:textId="77777777" w:rsidR="00265768" w:rsidRPr="000C6A42" w:rsidRDefault="00265768" w:rsidP="00265768">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rPr>
        <w:t xml:space="preserve">Es entonces que, la entrega de documentos en su versión pública debe acompañarse necesariamente del Acuerdo del Comité de Transparencia que la sustente, el cual debe estar </w:t>
      </w:r>
      <w:r w:rsidRPr="000C6A42">
        <w:rPr>
          <w:rFonts w:ascii="Palatino Linotype" w:eastAsia="Palatino Linotype" w:hAnsi="Palatino Linotype" w:cs="Palatino Linotype"/>
        </w:rPr>
        <w:lastRenderedPageBreak/>
        <w:t>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0B2D5E35" w14:textId="77777777" w:rsidR="00CC2B3B" w:rsidRPr="000C6A42" w:rsidRDefault="00CC2B3B" w:rsidP="00CC2B3B">
      <w:pPr>
        <w:spacing w:after="0" w:line="360" w:lineRule="auto"/>
        <w:ind w:right="49"/>
        <w:jc w:val="both"/>
        <w:rPr>
          <w:rFonts w:ascii="Palatino Linotype" w:hAnsi="Palatino Linotype" w:cs="Arial"/>
          <w:bCs/>
        </w:rPr>
      </w:pPr>
    </w:p>
    <w:p w14:paraId="6683DF8F" w14:textId="6DA767CD" w:rsidR="00CC2B3B" w:rsidRPr="000C6A42" w:rsidRDefault="00CC2B3B" w:rsidP="00CC2B3B">
      <w:pPr>
        <w:spacing w:after="0" w:line="360" w:lineRule="auto"/>
        <w:ind w:right="49"/>
        <w:jc w:val="both"/>
        <w:rPr>
          <w:rFonts w:ascii="Palatino Linotype" w:eastAsia="Palatino Linotype" w:hAnsi="Palatino Linotype" w:cs="Palatino Linotype"/>
          <w:b/>
        </w:rPr>
      </w:pPr>
      <w:r w:rsidRPr="000C6A42">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0C6A42">
        <w:rPr>
          <w:rFonts w:ascii="Palatino Linotype" w:eastAsia="Palatino Linotype" w:hAnsi="Palatino Linotype" w:cs="Palatino Linotype"/>
          <w:b/>
        </w:rPr>
        <w:t>RECURRENTE</w:t>
      </w:r>
      <w:r w:rsidRPr="000C6A42">
        <w:rPr>
          <w:rFonts w:ascii="Palatino Linotype" w:eastAsia="Palatino Linotype" w:hAnsi="Palatino Linotype" w:cs="Palatino Linotype"/>
        </w:rPr>
        <w:t xml:space="preserve"> dentro del recurso de revisión </w:t>
      </w:r>
      <w:r w:rsidR="00097931" w:rsidRPr="000C6A42">
        <w:rPr>
          <w:rFonts w:ascii="Palatino Linotype" w:eastAsia="Palatino Linotype" w:hAnsi="Palatino Linotype" w:cs="Palatino Linotype"/>
          <w:b/>
        </w:rPr>
        <w:t>00649/INFOEM/IP/RR/2025</w:t>
      </w:r>
      <w:r w:rsidRPr="000C6A42">
        <w:rPr>
          <w:rFonts w:ascii="Palatino Linotype" w:eastAsia="Palatino Linotype" w:hAnsi="Palatino Linotype" w:cs="Palatino Linotype"/>
        </w:rPr>
        <w:t>; por ello, y c</w:t>
      </w:r>
      <w:r w:rsidR="00097931" w:rsidRPr="000C6A42">
        <w:rPr>
          <w:rFonts w:ascii="Palatino Linotype" w:eastAsia="Palatino Linotype" w:hAnsi="Palatino Linotype" w:cs="Palatino Linotype"/>
        </w:rPr>
        <w:t>on fundamento en la fracción IV</w:t>
      </w:r>
      <w:r w:rsidRPr="000C6A42">
        <w:rPr>
          <w:rFonts w:ascii="Palatino Linotype" w:eastAsia="Palatino Linotype" w:hAnsi="Palatino Linotype" w:cs="Palatino Linotype"/>
        </w:rPr>
        <w:t xml:space="preserve"> del numeral 186 de la Ley de Transparencia y Acceso a la Información Pública del Estado de México y Municipios, se</w:t>
      </w:r>
      <w:r w:rsidRPr="000C6A42">
        <w:rPr>
          <w:rFonts w:ascii="Palatino Linotype" w:eastAsia="Palatino Linotype" w:hAnsi="Palatino Linotype" w:cs="Palatino Linotype"/>
          <w:b/>
        </w:rPr>
        <w:t xml:space="preserve"> </w:t>
      </w:r>
      <w:r w:rsidR="00097931" w:rsidRPr="000C6A42">
        <w:rPr>
          <w:rFonts w:ascii="Palatino Linotype" w:eastAsia="Palatino Linotype" w:hAnsi="Palatino Linotype" w:cs="Palatino Linotype"/>
          <w:b/>
        </w:rPr>
        <w:t>ORDENA</w:t>
      </w:r>
      <w:r w:rsidRPr="000C6A42">
        <w:rPr>
          <w:rFonts w:ascii="Palatino Linotype" w:eastAsia="Palatino Linotype" w:hAnsi="Palatino Linotype" w:cs="Palatino Linotype"/>
          <w:b/>
        </w:rPr>
        <w:t xml:space="preserve"> </w:t>
      </w:r>
      <w:r w:rsidRPr="000C6A42">
        <w:rPr>
          <w:rFonts w:ascii="Palatino Linotype" w:eastAsia="Palatino Linotype" w:hAnsi="Palatino Linotype" w:cs="Palatino Linotype"/>
        </w:rPr>
        <w:t xml:space="preserve">la respuesta a la solicitud de información número </w:t>
      </w:r>
      <w:r w:rsidR="00097931" w:rsidRPr="000C6A42">
        <w:rPr>
          <w:rFonts w:ascii="Palatino Linotype" w:eastAsia="Palatino Linotype" w:hAnsi="Palatino Linotype" w:cs="Palatino Linotype"/>
          <w:b/>
        </w:rPr>
        <w:t>00065</w:t>
      </w:r>
      <w:r w:rsidRPr="000C6A42">
        <w:rPr>
          <w:rFonts w:ascii="Palatino Linotype" w:eastAsia="Palatino Linotype" w:hAnsi="Palatino Linotype" w:cs="Palatino Linotype"/>
          <w:b/>
        </w:rPr>
        <w:t>/</w:t>
      </w:r>
      <w:r w:rsidR="00097931" w:rsidRPr="000C6A42">
        <w:rPr>
          <w:rFonts w:ascii="Palatino Linotype" w:eastAsia="Palatino Linotype" w:hAnsi="Palatino Linotype" w:cs="Palatino Linotype"/>
          <w:b/>
        </w:rPr>
        <w:t>TOLUCA/IP/2025</w:t>
      </w:r>
      <w:r w:rsidRPr="000C6A42">
        <w:rPr>
          <w:rFonts w:ascii="Palatino Linotype" w:eastAsia="Palatino Linotype" w:hAnsi="Palatino Linotype" w:cs="Palatino Linotype"/>
          <w:b/>
        </w:rPr>
        <w:t xml:space="preserve">. </w:t>
      </w:r>
    </w:p>
    <w:p w14:paraId="5EFC7995" w14:textId="77777777" w:rsidR="006516C6" w:rsidRPr="000C6A42" w:rsidRDefault="006516C6" w:rsidP="00CC2B3B">
      <w:pPr>
        <w:spacing w:after="0" w:line="360" w:lineRule="auto"/>
        <w:ind w:right="49"/>
        <w:jc w:val="both"/>
        <w:rPr>
          <w:rFonts w:ascii="Palatino Linotype" w:eastAsia="Palatino Linotype" w:hAnsi="Palatino Linotype" w:cs="Palatino Linotype"/>
          <w:b/>
        </w:rPr>
      </w:pPr>
    </w:p>
    <w:p w14:paraId="16D12D89" w14:textId="77777777" w:rsidR="009338B5"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1CCA387" w14:textId="77777777" w:rsidR="009338B5" w:rsidRPr="000C6A42" w:rsidRDefault="00E0628C" w:rsidP="00CC2B3B">
      <w:pPr>
        <w:spacing w:after="0" w:line="360" w:lineRule="auto"/>
        <w:ind w:right="49"/>
        <w:jc w:val="center"/>
        <w:rPr>
          <w:rFonts w:ascii="Palatino Linotype" w:eastAsia="Palatino Linotype" w:hAnsi="Palatino Linotype" w:cs="Palatino Linotype"/>
          <w:b/>
        </w:rPr>
      </w:pPr>
      <w:r w:rsidRPr="000C6A42">
        <w:rPr>
          <w:rFonts w:ascii="Palatino Linotype" w:eastAsia="Palatino Linotype" w:hAnsi="Palatino Linotype" w:cs="Palatino Linotype"/>
          <w:b/>
        </w:rPr>
        <w:t>III.</w:t>
      </w:r>
      <w:r w:rsidRPr="000C6A42">
        <w:rPr>
          <w:rFonts w:ascii="Palatino Linotype" w:eastAsia="Palatino Linotype" w:hAnsi="Palatino Linotype" w:cs="Palatino Linotype"/>
          <w:b/>
        </w:rPr>
        <w:tab/>
        <w:t>R E S U E L V E:</w:t>
      </w:r>
    </w:p>
    <w:p w14:paraId="52AA6C2D" w14:textId="77777777" w:rsidR="009338B5" w:rsidRPr="000C6A42" w:rsidRDefault="009338B5" w:rsidP="00CC2B3B">
      <w:pPr>
        <w:spacing w:after="0" w:line="360" w:lineRule="auto"/>
        <w:ind w:right="49"/>
        <w:jc w:val="both"/>
        <w:rPr>
          <w:rFonts w:ascii="Palatino Linotype" w:eastAsia="Palatino Linotype" w:hAnsi="Palatino Linotype" w:cs="Palatino Linotype"/>
        </w:rPr>
      </w:pPr>
    </w:p>
    <w:p w14:paraId="240EB5FB" w14:textId="3316DF26" w:rsidR="00097931" w:rsidRPr="000C6A42" w:rsidRDefault="00097931" w:rsidP="00265768">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b/>
        </w:rPr>
        <w:t xml:space="preserve">Primero. </w:t>
      </w:r>
      <w:r w:rsidRPr="000C6A42">
        <w:rPr>
          <w:rFonts w:ascii="Palatino Linotype" w:eastAsia="Palatino Linotype" w:hAnsi="Palatino Linotype" w:cs="Palatino Linotype"/>
        </w:rPr>
        <w:t>Resultan</w:t>
      </w:r>
      <w:r w:rsidRPr="000C6A42">
        <w:rPr>
          <w:rFonts w:ascii="Palatino Linotype" w:eastAsia="Palatino Linotype" w:hAnsi="Palatino Linotype" w:cs="Palatino Linotype"/>
          <w:b/>
        </w:rPr>
        <w:t xml:space="preserve"> FUNDADOS </w:t>
      </w:r>
      <w:r w:rsidRPr="000C6A42">
        <w:rPr>
          <w:rFonts w:ascii="Palatino Linotype" w:eastAsia="Palatino Linotype" w:hAnsi="Palatino Linotype" w:cs="Palatino Linotype"/>
        </w:rPr>
        <w:t xml:space="preserve">los motivos de inconformidad de la parte </w:t>
      </w:r>
      <w:r w:rsidRPr="000C6A42">
        <w:rPr>
          <w:rFonts w:ascii="Palatino Linotype" w:eastAsia="Palatino Linotype" w:hAnsi="Palatino Linotype" w:cs="Palatino Linotype"/>
          <w:b/>
        </w:rPr>
        <w:t>Recurrente</w:t>
      </w:r>
      <w:r w:rsidRPr="000C6A42">
        <w:rPr>
          <w:rFonts w:ascii="Palatino Linotype" w:eastAsia="Palatino Linotype" w:hAnsi="Palatino Linotype" w:cs="Palatino Linotype"/>
        </w:rPr>
        <w:t xml:space="preserve">, hechos valer en el Recurso de Revisión </w:t>
      </w:r>
      <w:r w:rsidRPr="000C6A42">
        <w:rPr>
          <w:rFonts w:ascii="Palatino Linotype" w:eastAsia="Palatino Linotype" w:hAnsi="Palatino Linotype" w:cs="Palatino Linotype"/>
          <w:b/>
        </w:rPr>
        <w:t>00649/INFOEM/IP/RR/2025</w:t>
      </w:r>
      <w:r w:rsidRPr="000C6A42">
        <w:rPr>
          <w:rFonts w:ascii="Palatino Linotype" w:eastAsia="Palatino Linotype" w:hAnsi="Palatino Linotype" w:cs="Palatino Linotype"/>
        </w:rPr>
        <w:t>, en términos del</w:t>
      </w:r>
      <w:r w:rsidRPr="000C6A42">
        <w:rPr>
          <w:rFonts w:ascii="Palatino Linotype" w:eastAsia="Palatino Linotype" w:hAnsi="Palatino Linotype" w:cs="Palatino Linotype"/>
          <w:b/>
        </w:rPr>
        <w:t xml:space="preserve"> Considerando</w:t>
      </w:r>
      <w:r w:rsidRPr="000C6A42">
        <w:rPr>
          <w:rFonts w:ascii="Palatino Linotype" w:eastAsia="Palatino Linotype" w:hAnsi="Palatino Linotype" w:cs="Palatino Linotype"/>
        </w:rPr>
        <w:t xml:space="preserve"> </w:t>
      </w:r>
      <w:r w:rsidRPr="000C6A42">
        <w:rPr>
          <w:rFonts w:ascii="Palatino Linotype" w:eastAsia="Palatino Linotype" w:hAnsi="Palatino Linotype" w:cs="Palatino Linotype"/>
          <w:b/>
        </w:rPr>
        <w:t>Cuarto</w:t>
      </w:r>
      <w:r w:rsidRPr="000C6A42">
        <w:rPr>
          <w:rFonts w:ascii="Palatino Linotype" w:eastAsia="Palatino Linotype" w:hAnsi="Palatino Linotype" w:cs="Palatino Linotype"/>
        </w:rPr>
        <w:t xml:space="preserve"> de la presente resolución.</w:t>
      </w:r>
    </w:p>
    <w:p w14:paraId="6368219E" w14:textId="4267B1E5" w:rsidR="00097931" w:rsidRPr="000C6A42" w:rsidRDefault="00097931" w:rsidP="00097931">
      <w:pPr>
        <w:pBdr>
          <w:top w:val="nil"/>
          <w:left w:val="nil"/>
          <w:bottom w:val="nil"/>
          <w:right w:val="nil"/>
          <w:between w:val="nil"/>
        </w:pBdr>
        <w:spacing w:after="0" w:line="360" w:lineRule="auto"/>
        <w:jc w:val="both"/>
        <w:rPr>
          <w:rFonts w:ascii="Palatino Linotype" w:hAnsi="Palatino Linotype" w:cs="Tahoma"/>
          <w:bCs/>
        </w:rPr>
      </w:pPr>
      <w:r w:rsidRPr="000C6A42">
        <w:rPr>
          <w:rFonts w:ascii="Palatino Linotype" w:eastAsia="Palatino Linotype" w:hAnsi="Palatino Linotype" w:cs="Palatino Linotype"/>
          <w:b/>
        </w:rPr>
        <w:lastRenderedPageBreak/>
        <w:t xml:space="preserve">Segundo. </w:t>
      </w:r>
      <w:r w:rsidRPr="000C6A42">
        <w:rPr>
          <w:rFonts w:ascii="Palatino Linotype" w:eastAsia="Palatino Linotype" w:hAnsi="Palatino Linotype" w:cs="Palatino Linotype"/>
        </w:rPr>
        <w:t>Se</w:t>
      </w:r>
      <w:r w:rsidRPr="000C6A42">
        <w:rPr>
          <w:rFonts w:ascii="Palatino Linotype" w:eastAsia="Palatino Linotype" w:hAnsi="Palatino Linotype" w:cs="Palatino Linotype"/>
          <w:b/>
        </w:rPr>
        <w:t xml:space="preserve"> ORDENA </w:t>
      </w:r>
      <w:r w:rsidRPr="000C6A42">
        <w:rPr>
          <w:rFonts w:ascii="Palatino Linotype" w:eastAsia="Palatino Linotype" w:hAnsi="Palatino Linotype" w:cs="Palatino Linotype"/>
        </w:rPr>
        <w:t xml:space="preserve">al </w:t>
      </w:r>
      <w:r w:rsidRPr="000C6A42">
        <w:rPr>
          <w:rFonts w:ascii="Palatino Linotype" w:eastAsia="Palatino Linotype" w:hAnsi="Palatino Linotype" w:cs="Palatino Linotype"/>
          <w:b/>
        </w:rPr>
        <w:t>SUJETO OBLIGADO</w:t>
      </w:r>
      <w:r w:rsidRPr="000C6A42">
        <w:rPr>
          <w:rFonts w:ascii="Palatino Linotype" w:eastAsia="Palatino Linotype" w:hAnsi="Palatino Linotype" w:cs="Palatino Linotype"/>
        </w:rPr>
        <w:t xml:space="preserve"> a que,</w:t>
      </w:r>
      <w:r w:rsidRPr="000C6A42">
        <w:rPr>
          <w:rFonts w:ascii="Palatino Linotype" w:eastAsia="Palatino Linotype" w:hAnsi="Palatino Linotype" w:cs="Palatino Linotype"/>
          <w:b/>
        </w:rPr>
        <w:t xml:space="preserve"> </w:t>
      </w:r>
      <w:r w:rsidRPr="000C6A42">
        <w:rPr>
          <w:rFonts w:ascii="Palatino Linotype" w:eastAsia="Palatino Linotype" w:hAnsi="Palatino Linotype" w:cs="Palatino Linotype"/>
        </w:rPr>
        <w:t>en términos del Considerando Cuarto y Quinto, haga entrega, vía Sistema de Acceso a la Información Mexiquense (SAIMEX), de ser el caso, en versión pública</w:t>
      </w:r>
      <w:r w:rsidR="0035418C" w:rsidRPr="000C6A42">
        <w:rPr>
          <w:rFonts w:ascii="Palatino Linotype" w:eastAsia="Palatino Linotype" w:hAnsi="Palatino Linotype" w:cs="Palatino Linotype"/>
        </w:rPr>
        <w:t>,</w:t>
      </w:r>
      <w:r w:rsidRPr="000C6A42">
        <w:rPr>
          <w:rFonts w:ascii="Palatino Linotype" w:eastAsia="Palatino Linotype" w:hAnsi="Palatino Linotype" w:cs="Palatino Linotype"/>
        </w:rPr>
        <w:t xml:space="preserve"> </w:t>
      </w:r>
      <w:r w:rsidRPr="000C6A42">
        <w:rPr>
          <w:rFonts w:ascii="Palatino Linotype" w:eastAsia="Palatino Linotype" w:hAnsi="Palatino Linotype" w:cs="Palatino Linotype"/>
          <w:bCs/>
        </w:rPr>
        <w:t>lo siguiente</w:t>
      </w:r>
      <w:r w:rsidRPr="000C6A42">
        <w:rPr>
          <w:rFonts w:ascii="Palatino Linotype" w:eastAsia="Palatino Linotype" w:hAnsi="Palatino Linotype" w:cs="Palatino Linotype"/>
          <w:b/>
          <w:bCs/>
        </w:rPr>
        <w:t>:</w:t>
      </w:r>
    </w:p>
    <w:p w14:paraId="2CDE9685" w14:textId="77777777" w:rsidR="00097931" w:rsidRPr="000C6A42" w:rsidRDefault="00097931" w:rsidP="00097931">
      <w:pPr>
        <w:spacing w:after="0" w:line="360" w:lineRule="auto"/>
        <w:ind w:left="567" w:right="560"/>
        <w:jc w:val="both"/>
        <w:rPr>
          <w:rFonts w:ascii="Palatino Linotype" w:eastAsia="Palatino Linotype" w:hAnsi="Palatino Linotype" w:cs="Palatino Linotype"/>
          <w:bCs/>
        </w:rPr>
      </w:pPr>
    </w:p>
    <w:p w14:paraId="11E531AF" w14:textId="51C25A2D" w:rsidR="00097931" w:rsidRPr="000C6A42" w:rsidRDefault="0035418C" w:rsidP="000D4077">
      <w:pPr>
        <w:pStyle w:val="Prrafodelista"/>
        <w:numPr>
          <w:ilvl w:val="0"/>
          <w:numId w:val="14"/>
        </w:numPr>
        <w:spacing w:after="0" w:line="360" w:lineRule="auto"/>
        <w:ind w:right="418"/>
        <w:jc w:val="both"/>
        <w:rPr>
          <w:rFonts w:ascii="Palatino Linotype" w:eastAsia="Palatino Linotype" w:hAnsi="Palatino Linotype" w:cs="Palatino Linotype"/>
        </w:rPr>
      </w:pPr>
      <w:r w:rsidRPr="000C6A42">
        <w:rPr>
          <w:rFonts w:ascii="Palatino Linotype" w:eastAsia="Palatino Linotype" w:hAnsi="Palatino Linotype" w:cs="Palatino Linotype"/>
        </w:rPr>
        <w:t>Los últimos e</w:t>
      </w:r>
      <w:r w:rsidR="00097931" w:rsidRPr="000C6A42">
        <w:rPr>
          <w:rFonts w:ascii="Palatino Linotype" w:eastAsia="Palatino Linotype" w:hAnsi="Palatino Linotype" w:cs="Palatino Linotype"/>
        </w:rPr>
        <w:t xml:space="preserve">stados de cuenta </w:t>
      </w:r>
      <w:r w:rsidR="000D4077" w:rsidRPr="000C6A42">
        <w:rPr>
          <w:rFonts w:ascii="Palatino Linotype" w:eastAsia="Palatino Linotype" w:hAnsi="Palatino Linotype" w:cs="Palatino Linotype"/>
        </w:rPr>
        <w:t>bancario</w:t>
      </w:r>
      <w:r w:rsidR="000C6A42" w:rsidRPr="000C6A42">
        <w:rPr>
          <w:rFonts w:ascii="Palatino Linotype" w:eastAsia="Palatino Linotype" w:hAnsi="Palatino Linotype" w:cs="Palatino Linotype"/>
        </w:rPr>
        <w:t>s</w:t>
      </w:r>
      <w:r w:rsidR="000D4077" w:rsidRPr="000C6A42">
        <w:rPr>
          <w:rFonts w:ascii="Palatino Linotype" w:eastAsia="Palatino Linotype" w:hAnsi="Palatino Linotype" w:cs="Palatino Linotype"/>
        </w:rPr>
        <w:t xml:space="preserve"> </w:t>
      </w:r>
      <w:r w:rsidRPr="000C6A42">
        <w:rPr>
          <w:rFonts w:ascii="Palatino Linotype" w:eastAsia="Palatino Linotype" w:hAnsi="Palatino Linotype" w:cs="Palatino Linotype"/>
        </w:rPr>
        <w:t xml:space="preserve">del sujeto obligado, generados </w:t>
      </w:r>
      <w:r w:rsidR="00097931" w:rsidRPr="000C6A42">
        <w:rPr>
          <w:rFonts w:ascii="Palatino Linotype" w:eastAsia="Palatino Linotype" w:hAnsi="Palatino Linotype" w:cs="Palatino Linotype"/>
        </w:rPr>
        <w:t xml:space="preserve">al treinta y uno de diciembre de dos mil </w:t>
      </w:r>
      <w:r w:rsidR="000D4077" w:rsidRPr="000C6A42">
        <w:rPr>
          <w:rFonts w:ascii="Palatino Linotype" w:eastAsia="Palatino Linotype" w:hAnsi="Palatino Linotype" w:cs="Palatino Linotype"/>
        </w:rPr>
        <w:t>veinticuatro.</w:t>
      </w:r>
    </w:p>
    <w:p w14:paraId="586ADAA3" w14:textId="77777777" w:rsidR="00097931" w:rsidRPr="000C6A42" w:rsidRDefault="00097931" w:rsidP="00097931">
      <w:pPr>
        <w:spacing w:after="0" w:line="360" w:lineRule="auto"/>
        <w:ind w:left="567" w:right="560"/>
        <w:jc w:val="both"/>
        <w:rPr>
          <w:rFonts w:ascii="Palatino Linotype" w:eastAsia="Palatino Linotype" w:hAnsi="Palatino Linotype" w:cs="Palatino Linotype"/>
          <w:bCs/>
        </w:rPr>
      </w:pPr>
    </w:p>
    <w:p w14:paraId="1EAD5C8B" w14:textId="77777777" w:rsidR="00097931" w:rsidRPr="000C6A42" w:rsidRDefault="00097931" w:rsidP="00097931">
      <w:pPr>
        <w:spacing w:after="0" w:line="276" w:lineRule="auto"/>
        <w:ind w:left="567" w:right="615"/>
        <w:jc w:val="both"/>
        <w:rPr>
          <w:rFonts w:ascii="Palatino Linotype" w:eastAsia="Palatino Linotype" w:hAnsi="Palatino Linotype" w:cs="Palatino Linotype"/>
          <w:i/>
        </w:rPr>
      </w:pPr>
      <w:r w:rsidRPr="000C6A42">
        <w:rPr>
          <w:rFonts w:ascii="Palatino Linotype" w:eastAsia="Palatino Linotype" w:hAnsi="Palatino Linotype" w:cs="Palatino Linotype"/>
          <w:i/>
        </w:rPr>
        <w:t>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18964892" w14:textId="77777777" w:rsidR="00097931" w:rsidRPr="000C6A42" w:rsidRDefault="00097931" w:rsidP="00097931">
      <w:pPr>
        <w:spacing w:after="0" w:line="360" w:lineRule="auto"/>
        <w:ind w:right="49"/>
        <w:jc w:val="both"/>
        <w:rPr>
          <w:rFonts w:ascii="Palatino Linotype" w:eastAsia="Palatino Linotype" w:hAnsi="Palatino Linotype" w:cs="Palatino Linotype"/>
          <w:b/>
        </w:rPr>
      </w:pPr>
    </w:p>
    <w:p w14:paraId="528DD28F" w14:textId="77777777" w:rsidR="00097931" w:rsidRPr="000C6A42" w:rsidRDefault="00097931" w:rsidP="00097931">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b/>
        </w:rPr>
        <w:t>Tercero.</w:t>
      </w:r>
      <w:r w:rsidRPr="000C6A42">
        <w:rPr>
          <w:rFonts w:ascii="Palatino Linotype" w:eastAsia="Palatino Linotype" w:hAnsi="Palatino Linotype" w:cs="Palatino Linotype"/>
        </w:rPr>
        <w:t xml:space="preserve"> </w:t>
      </w:r>
      <w:r w:rsidRPr="000C6A42">
        <w:rPr>
          <w:rFonts w:ascii="Palatino Linotype" w:eastAsia="Palatino Linotype" w:hAnsi="Palatino Linotype" w:cs="Palatino Linotype"/>
          <w:b/>
        </w:rPr>
        <w:t xml:space="preserve">Notifíquese vía SAIMEX </w:t>
      </w:r>
      <w:r w:rsidRPr="000C6A42">
        <w:rPr>
          <w:rFonts w:ascii="Palatino Linotype" w:eastAsia="Palatino Linotype" w:hAnsi="Palatino Linotype" w:cs="Palatino Linotype"/>
        </w:rPr>
        <w:t>la presente resolución al T</w:t>
      </w:r>
      <w:r w:rsidRPr="000C6A42">
        <w:rPr>
          <w:rFonts w:ascii="Palatino Linotype" w:eastAsia="Palatino Linotype" w:hAnsi="Palatino Linotype" w:cs="Palatino Linotype"/>
          <w:b/>
        </w:rPr>
        <w:t xml:space="preserve">itular de la Unidad de Transparencia </w:t>
      </w:r>
      <w:r w:rsidRPr="000C6A42">
        <w:rPr>
          <w:rFonts w:ascii="Palatino Linotype" w:eastAsia="Palatino Linotype" w:hAnsi="Palatino Linotype" w:cs="Palatino Linotype"/>
        </w:rPr>
        <w:t xml:space="preserve">del </w:t>
      </w:r>
      <w:r w:rsidRPr="000C6A42">
        <w:rPr>
          <w:rFonts w:ascii="Palatino Linotype" w:eastAsia="Palatino Linotype" w:hAnsi="Palatino Linotype" w:cs="Palatino Linotype"/>
          <w:b/>
        </w:rPr>
        <w:t>SUJETO OBLIGADO</w:t>
      </w:r>
      <w:r w:rsidRPr="000C6A42">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25D39C6E" w14:textId="77777777" w:rsidR="00097931" w:rsidRPr="000C6A42" w:rsidRDefault="00097931" w:rsidP="00097931">
      <w:pPr>
        <w:spacing w:after="0" w:line="360" w:lineRule="auto"/>
        <w:ind w:right="49"/>
        <w:jc w:val="both"/>
        <w:rPr>
          <w:rFonts w:ascii="Palatino Linotype" w:eastAsia="Palatino Linotype" w:hAnsi="Palatino Linotype" w:cs="Palatino Linotype"/>
        </w:rPr>
      </w:pPr>
    </w:p>
    <w:p w14:paraId="1E58E2F4" w14:textId="0F7B958A" w:rsidR="00097931" w:rsidRPr="000C6A42" w:rsidRDefault="00097931" w:rsidP="00097931">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b/>
        </w:rPr>
        <w:t>Cuarto.</w:t>
      </w:r>
      <w:r w:rsidRPr="000C6A42">
        <w:rPr>
          <w:rFonts w:ascii="Palatino Linotype" w:eastAsia="Palatino Linotype" w:hAnsi="Palatino Linotype" w:cs="Palatino Linotype"/>
        </w:rPr>
        <w:t xml:space="preserve"> </w:t>
      </w:r>
      <w:r w:rsidRPr="000C6A42">
        <w:rPr>
          <w:rFonts w:ascii="Palatino Linotype" w:eastAsia="Palatino Linotype" w:hAnsi="Palatino Linotype" w:cs="Palatino Linotype"/>
          <w:b/>
        </w:rPr>
        <w:t>Notifíquese vía SAIMEX</w:t>
      </w:r>
      <w:r w:rsidRPr="000C6A42">
        <w:rPr>
          <w:rFonts w:ascii="Palatino Linotype" w:eastAsia="Palatino Linotype" w:hAnsi="Palatino Linotype" w:cs="Palatino Linotype"/>
        </w:rPr>
        <w:t xml:space="preserve"> a la parte </w:t>
      </w:r>
      <w:r w:rsidRPr="000C6A42">
        <w:rPr>
          <w:rFonts w:ascii="Palatino Linotype" w:eastAsia="Palatino Linotype" w:hAnsi="Palatino Linotype" w:cs="Palatino Linotype"/>
          <w:b/>
        </w:rPr>
        <w:t xml:space="preserve">RECURRENTE </w:t>
      </w:r>
      <w:r w:rsidRPr="000C6A42">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o bien, vía Juicio de Amparo en los términos de las leyes aplicables.</w:t>
      </w:r>
    </w:p>
    <w:p w14:paraId="53076156" w14:textId="77777777" w:rsidR="00097931" w:rsidRPr="000C6A42" w:rsidRDefault="00097931" w:rsidP="00097931">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b/>
        </w:rPr>
        <w:lastRenderedPageBreak/>
        <w:t xml:space="preserve">Quinto. Notifíquese, </w:t>
      </w:r>
      <w:r w:rsidRPr="000C6A42">
        <w:rPr>
          <w:rFonts w:ascii="Palatino Linotype" w:eastAsia="Palatino Linotype" w:hAnsi="Palatino Linotype" w:cs="Palatino Linotype"/>
        </w:rPr>
        <w:t xml:space="preserve">vía </w:t>
      </w:r>
      <w:r w:rsidRPr="000C6A42">
        <w:rPr>
          <w:rFonts w:ascii="Palatino Linotype" w:eastAsia="Palatino Linotype" w:hAnsi="Palatino Linotype" w:cs="Palatino Linotype"/>
          <w:b/>
        </w:rPr>
        <w:t xml:space="preserve">SAIMEX </w:t>
      </w:r>
      <w:r w:rsidRPr="000C6A42">
        <w:rPr>
          <w:rFonts w:ascii="Palatino Linotype" w:eastAsia="Palatino Linotype" w:hAnsi="Palatino Linotype" w:cs="Palatino Linotype"/>
        </w:rPr>
        <w:t xml:space="preserve">a </w:t>
      </w:r>
      <w:r w:rsidRPr="000C6A42">
        <w:rPr>
          <w:rFonts w:ascii="Palatino Linotype" w:eastAsia="Palatino Linotype" w:hAnsi="Palatino Linotype" w:cs="Palatino Linotype"/>
          <w:b/>
        </w:rPr>
        <w:t>la Parte</w:t>
      </w:r>
      <w:r w:rsidRPr="000C6A42">
        <w:rPr>
          <w:rFonts w:ascii="Palatino Linotype" w:eastAsia="Palatino Linotype" w:hAnsi="Palatino Linotype" w:cs="Palatino Linotype"/>
        </w:rPr>
        <w:t xml:space="preserve"> </w:t>
      </w:r>
      <w:r w:rsidRPr="000C6A42">
        <w:rPr>
          <w:rFonts w:ascii="Palatino Linotype" w:eastAsia="Palatino Linotype" w:hAnsi="Palatino Linotype" w:cs="Palatino Linotype"/>
          <w:b/>
        </w:rPr>
        <w:t xml:space="preserve">Recurrente </w:t>
      </w:r>
      <w:r w:rsidRPr="000C6A42">
        <w:rPr>
          <w:rFonts w:ascii="Palatino Linotype" w:eastAsia="Palatino Linotype" w:hAnsi="Palatino Linotype" w:cs="Palatino Linotype"/>
        </w:rPr>
        <w:t xml:space="preserve">que la respuesta que dé </w:t>
      </w:r>
      <w:r w:rsidRPr="000C6A42">
        <w:rPr>
          <w:rFonts w:ascii="Palatino Linotype" w:eastAsia="Palatino Linotype" w:hAnsi="Palatino Linotype" w:cs="Palatino Linotype"/>
          <w:b/>
        </w:rPr>
        <w:t>el Sujeto Obligado</w:t>
      </w:r>
      <w:r w:rsidRPr="000C6A42">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5D2E1102" w14:textId="77777777" w:rsidR="00097931" w:rsidRPr="000C6A42" w:rsidRDefault="00097931" w:rsidP="00097931">
      <w:pPr>
        <w:spacing w:after="0" w:line="360" w:lineRule="auto"/>
        <w:jc w:val="both"/>
        <w:rPr>
          <w:rFonts w:ascii="Palatino Linotype" w:eastAsia="Palatino Linotype" w:hAnsi="Palatino Linotype" w:cs="Palatino Linotype"/>
          <w:b/>
        </w:rPr>
      </w:pPr>
    </w:p>
    <w:p w14:paraId="4B4F61BA" w14:textId="1DE786D2" w:rsidR="00097931" w:rsidRPr="000C6A42" w:rsidRDefault="00097931" w:rsidP="00097931">
      <w:pPr>
        <w:spacing w:after="0" w:line="360" w:lineRule="auto"/>
        <w:jc w:val="both"/>
        <w:rPr>
          <w:rFonts w:ascii="Palatino Linotype" w:eastAsia="Palatino Linotype" w:hAnsi="Palatino Linotype" w:cs="Palatino Linotype"/>
        </w:rPr>
      </w:pPr>
      <w:r w:rsidRPr="000C6A42">
        <w:rPr>
          <w:rFonts w:ascii="Palatino Linotype" w:eastAsia="Palatino Linotype" w:hAnsi="Palatino Linotype" w:cs="Palatino Linotype"/>
          <w:b/>
        </w:rPr>
        <w:t xml:space="preserve">Sexto. Gírese </w:t>
      </w:r>
      <w:r w:rsidR="0035418C" w:rsidRPr="000C6A42">
        <w:rPr>
          <w:rFonts w:ascii="Palatino Linotype" w:eastAsia="Palatino Linotype" w:hAnsi="Palatino Linotype" w:cs="Palatino Linotype"/>
        </w:rPr>
        <w:t>vista</w:t>
      </w:r>
      <w:r w:rsidRPr="000C6A42">
        <w:rPr>
          <w:rFonts w:ascii="Palatino Linotype" w:eastAsia="Palatino Linotype" w:hAnsi="Palatino Linotype" w:cs="Palatino Linotype"/>
        </w:rPr>
        <w:t xml:space="preserve"> a la</w:t>
      </w:r>
      <w:r w:rsidRPr="000C6A42">
        <w:rPr>
          <w:rFonts w:ascii="Palatino Linotype" w:eastAsia="Palatino Linotype" w:hAnsi="Palatino Linotype" w:cs="Palatino Linotype"/>
          <w:b/>
        </w:rPr>
        <w:t xml:space="preserve"> Secretaría Técnica del Pleno </w:t>
      </w:r>
      <w:r w:rsidRPr="000C6A42">
        <w:rPr>
          <w:rFonts w:ascii="Palatino Linotype" w:eastAsia="Palatino Linotype" w:hAnsi="Palatino Linotype" w:cs="Palatino Linotype"/>
        </w:rPr>
        <w:t xml:space="preserve">de este Instituto a fin de que en ejercicio de sus atribuciones haga del conocimiento del </w:t>
      </w:r>
      <w:r w:rsidRPr="000C6A42">
        <w:rPr>
          <w:rFonts w:ascii="Palatino Linotype" w:eastAsia="Palatino Linotype" w:hAnsi="Palatino Linotype" w:cs="Palatino Linotype"/>
          <w:b/>
        </w:rPr>
        <w:t>Órgano Interno de Control Competente</w:t>
      </w:r>
      <w:r w:rsidRPr="000C6A42">
        <w:rPr>
          <w:rFonts w:ascii="Palatino Linotype" w:eastAsia="Palatino Linotype" w:hAnsi="Palatino Linotype" w:cs="Palatino Linotype"/>
        </w:rPr>
        <w:t xml:space="preserve"> la presente resolución, para que de conformidad con el artículo 190, de la Ley de Transparencia y Acceso a la Información Pública del Estado de México y Municipios, determine lo conducente, en términos de lo señalado en el </w:t>
      </w:r>
      <w:r w:rsidRPr="000C6A42">
        <w:rPr>
          <w:rFonts w:ascii="Palatino Linotype" w:eastAsia="Palatino Linotype" w:hAnsi="Palatino Linotype" w:cs="Palatino Linotype"/>
          <w:b/>
        </w:rPr>
        <w:t>Considerando Cuarto</w:t>
      </w:r>
      <w:r w:rsidRPr="000C6A42">
        <w:rPr>
          <w:rFonts w:ascii="Palatino Linotype" w:eastAsia="Palatino Linotype" w:hAnsi="Palatino Linotype" w:cs="Palatino Linotype"/>
        </w:rPr>
        <w:t xml:space="preserve"> de este fallo.</w:t>
      </w:r>
    </w:p>
    <w:p w14:paraId="2E60FEA3" w14:textId="77777777" w:rsidR="009338B5" w:rsidRPr="000C6A42" w:rsidRDefault="009338B5" w:rsidP="00CC2B3B">
      <w:pPr>
        <w:spacing w:after="0" w:line="360" w:lineRule="auto"/>
        <w:ind w:right="49"/>
        <w:jc w:val="both"/>
        <w:rPr>
          <w:rFonts w:ascii="Palatino Linotype" w:eastAsia="Palatino Linotype" w:hAnsi="Palatino Linotype" w:cs="Palatino Linotype"/>
        </w:rPr>
      </w:pPr>
    </w:p>
    <w:p w14:paraId="5A1582F0" w14:textId="3B609FC9" w:rsidR="009338B5" w:rsidRPr="000C6A42" w:rsidRDefault="00E0628C" w:rsidP="00CC2B3B">
      <w:pPr>
        <w:spacing w:after="0" w:line="360" w:lineRule="auto"/>
        <w:ind w:right="49"/>
        <w:jc w:val="both"/>
        <w:rPr>
          <w:rFonts w:ascii="Palatino Linotype" w:eastAsia="Palatino Linotype" w:hAnsi="Palatino Linotype" w:cs="Palatino Linotype"/>
        </w:rPr>
      </w:pPr>
      <w:r w:rsidRPr="000C6A42">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97931" w:rsidRPr="000C6A42">
        <w:rPr>
          <w:rFonts w:ascii="Palatino Linotype" w:eastAsia="Palatino Linotype" w:hAnsi="Palatino Linotype" w:cs="Palatino Linotype"/>
        </w:rPr>
        <w:t>NOVENA</w:t>
      </w:r>
      <w:r w:rsidRPr="000C6A42">
        <w:rPr>
          <w:rFonts w:ascii="Palatino Linotype" w:eastAsia="Palatino Linotype" w:hAnsi="Palatino Linotype" w:cs="Palatino Linotype"/>
        </w:rPr>
        <w:t xml:space="preserve"> SESIÓN ORDINARIA CELEBRADA EL </w:t>
      </w:r>
      <w:r w:rsidR="00097931" w:rsidRPr="000C6A42">
        <w:rPr>
          <w:rFonts w:ascii="Palatino Linotype" w:eastAsia="Palatino Linotype" w:hAnsi="Palatino Linotype" w:cs="Palatino Linotype"/>
        </w:rPr>
        <w:t xml:space="preserve">DOCE DE MARZO </w:t>
      </w:r>
      <w:r w:rsidR="00125890" w:rsidRPr="000C6A42">
        <w:rPr>
          <w:rFonts w:ascii="Palatino Linotype" w:eastAsia="Palatino Linotype" w:hAnsi="Palatino Linotype" w:cs="Palatino Linotype"/>
        </w:rPr>
        <w:t>DE DOS MIL VEINTICINCO</w:t>
      </w:r>
      <w:r w:rsidRPr="000C6A42">
        <w:rPr>
          <w:rFonts w:ascii="Palatino Linotype" w:eastAsia="Palatino Linotype" w:hAnsi="Palatino Linotype" w:cs="Palatino Linotype"/>
        </w:rPr>
        <w:t xml:space="preserve">, ANTE EL SECRETARIO TÉCNICO DEL PLENO ALEXIS TAPIA RAMÍREZ. </w:t>
      </w:r>
    </w:p>
    <w:p w14:paraId="064D1538" w14:textId="280A5F65" w:rsidR="009338B5" w:rsidRPr="000C6A42" w:rsidRDefault="009338B5" w:rsidP="00CC2B3B">
      <w:pPr>
        <w:spacing w:after="0" w:line="360" w:lineRule="auto"/>
        <w:ind w:right="49"/>
        <w:jc w:val="both"/>
        <w:rPr>
          <w:rFonts w:ascii="Palatino Linotype" w:eastAsia="Palatino Linotype" w:hAnsi="Palatino Linotype" w:cs="Palatino Linotype"/>
        </w:rPr>
      </w:pPr>
    </w:p>
    <w:p w14:paraId="30FA6083" w14:textId="10554B9F" w:rsidR="000C6A42" w:rsidRPr="000C6A42" w:rsidRDefault="000C6A42" w:rsidP="00CC2B3B">
      <w:pPr>
        <w:spacing w:after="0" w:line="360" w:lineRule="auto"/>
        <w:ind w:right="49"/>
        <w:jc w:val="both"/>
        <w:rPr>
          <w:rFonts w:ascii="Palatino Linotype" w:eastAsia="Palatino Linotype" w:hAnsi="Palatino Linotype" w:cs="Palatino Linotype"/>
        </w:rPr>
      </w:pPr>
    </w:p>
    <w:p w14:paraId="3342D7EC" w14:textId="26624550" w:rsidR="000C6A42" w:rsidRPr="000C6A42" w:rsidRDefault="000C6A42" w:rsidP="00CC2B3B">
      <w:pPr>
        <w:spacing w:after="0" w:line="360" w:lineRule="auto"/>
        <w:ind w:right="49"/>
        <w:jc w:val="both"/>
        <w:rPr>
          <w:rFonts w:ascii="Palatino Linotype" w:eastAsia="Palatino Linotype" w:hAnsi="Palatino Linotype" w:cs="Palatino Linotype"/>
        </w:rPr>
      </w:pPr>
    </w:p>
    <w:p w14:paraId="2309D9F8" w14:textId="4BFBB2A5" w:rsidR="000C6A42" w:rsidRPr="000C6A42" w:rsidRDefault="000C6A42" w:rsidP="00CC2B3B">
      <w:pPr>
        <w:spacing w:after="0" w:line="360" w:lineRule="auto"/>
        <w:ind w:right="49"/>
        <w:jc w:val="both"/>
        <w:rPr>
          <w:rFonts w:ascii="Palatino Linotype" w:eastAsia="Palatino Linotype" w:hAnsi="Palatino Linotype" w:cs="Palatino Linotype"/>
        </w:rPr>
      </w:pPr>
    </w:p>
    <w:p w14:paraId="12013C96" w14:textId="547DF565" w:rsidR="000C6A42" w:rsidRPr="000C6A42" w:rsidRDefault="000C6A42" w:rsidP="00CC2B3B">
      <w:pPr>
        <w:spacing w:after="0" w:line="360" w:lineRule="auto"/>
        <w:ind w:right="49"/>
        <w:jc w:val="both"/>
        <w:rPr>
          <w:rFonts w:ascii="Palatino Linotype" w:eastAsia="Palatino Linotype" w:hAnsi="Palatino Linotype" w:cs="Palatino Linotype"/>
        </w:rPr>
      </w:pPr>
    </w:p>
    <w:p w14:paraId="7F3C18A7" w14:textId="3F8AAD43" w:rsidR="000C6A42" w:rsidRPr="000C6A42" w:rsidRDefault="000C6A42" w:rsidP="00CC2B3B">
      <w:pPr>
        <w:spacing w:after="0" w:line="360" w:lineRule="auto"/>
        <w:ind w:right="49"/>
        <w:jc w:val="both"/>
        <w:rPr>
          <w:rFonts w:ascii="Palatino Linotype" w:eastAsia="Palatino Linotype" w:hAnsi="Palatino Linotype" w:cs="Palatino Linotype"/>
        </w:rPr>
      </w:pPr>
    </w:p>
    <w:p w14:paraId="4625C113" w14:textId="316CD8A9" w:rsidR="000C6A42" w:rsidRPr="000C6A42" w:rsidRDefault="000C6A42" w:rsidP="00CC2B3B">
      <w:pPr>
        <w:spacing w:after="0" w:line="360" w:lineRule="auto"/>
        <w:ind w:right="49"/>
        <w:jc w:val="both"/>
        <w:rPr>
          <w:rFonts w:ascii="Palatino Linotype" w:eastAsia="Palatino Linotype" w:hAnsi="Palatino Linotype" w:cs="Palatino Linotype"/>
        </w:rPr>
      </w:pPr>
    </w:p>
    <w:p w14:paraId="37C08E4E" w14:textId="7120280A" w:rsidR="000C6A42" w:rsidRPr="000C6A42" w:rsidRDefault="000C6A42" w:rsidP="00CC2B3B">
      <w:pPr>
        <w:spacing w:after="0" w:line="360" w:lineRule="auto"/>
        <w:ind w:right="49"/>
        <w:jc w:val="both"/>
        <w:rPr>
          <w:rFonts w:ascii="Palatino Linotype" w:eastAsia="Palatino Linotype" w:hAnsi="Palatino Linotype" w:cs="Palatino Linotype"/>
        </w:rPr>
      </w:pPr>
    </w:p>
    <w:p w14:paraId="79AD0270" w14:textId="77777777" w:rsidR="000C6A42" w:rsidRPr="000C6A42" w:rsidRDefault="000C6A42" w:rsidP="00CC2B3B">
      <w:pPr>
        <w:spacing w:after="0" w:line="360" w:lineRule="auto"/>
        <w:ind w:right="49"/>
        <w:jc w:val="both"/>
        <w:rPr>
          <w:rFonts w:ascii="Palatino Linotype" w:eastAsia="Palatino Linotype" w:hAnsi="Palatino Linotype" w:cs="Palatino Linotype"/>
        </w:rPr>
      </w:pPr>
    </w:p>
    <w:sectPr w:rsidR="000C6A42" w:rsidRPr="000C6A42">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F465A" w14:textId="77777777" w:rsidR="00263CD7" w:rsidRDefault="00263CD7">
      <w:pPr>
        <w:spacing w:after="0" w:line="240" w:lineRule="auto"/>
      </w:pPr>
      <w:r>
        <w:separator/>
      </w:r>
    </w:p>
  </w:endnote>
  <w:endnote w:type="continuationSeparator" w:id="0">
    <w:p w14:paraId="3E1B5EB7" w14:textId="77777777" w:rsidR="00263CD7" w:rsidRDefault="0026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993E" w14:textId="77777777" w:rsidR="00940CD8" w:rsidRDefault="00940CD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212AA">
      <w:rPr>
        <w:b/>
        <w:noProof/>
        <w:color w:val="000000"/>
        <w:sz w:val="24"/>
        <w:szCs w:val="24"/>
      </w:rPr>
      <w:t>28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212AA">
      <w:rPr>
        <w:b/>
        <w:noProof/>
        <w:color w:val="000000"/>
        <w:sz w:val="24"/>
        <w:szCs w:val="24"/>
      </w:rPr>
      <w:t>29</w:t>
    </w:r>
    <w:r>
      <w:rPr>
        <w:b/>
        <w:color w:val="000000"/>
        <w:sz w:val="24"/>
        <w:szCs w:val="24"/>
      </w:rPr>
      <w:fldChar w:fldCharType="end"/>
    </w:r>
  </w:p>
  <w:p w14:paraId="085FA270" w14:textId="77777777" w:rsidR="00940CD8" w:rsidRDefault="00940CD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B7A1" w14:textId="77777777" w:rsidR="00940CD8" w:rsidRDefault="00940CD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212A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212AA">
      <w:rPr>
        <w:b/>
        <w:noProof/>
        <w:color w:val="000000"/>
        <w:sz w:val="24"/>
        <w:szCs w:val="24"/>
      </w:rPr>
      <w:t>29</w:t>
    </w:r>
    <w:r>
      <w:rPr>
        <w:b/>
        <w:color w:val="000000"/>
        <w:sz w:val="24"/>
        <w:szCs w:val="24"/>
      </w:rPr>
      <w:fldChar w:fldCharType="end"/>
    </w:r>
  </w:p>
  <w:p w14:paraId="65CF5E8C" w14:textId="77777777" w:rsidR="00940CD8" w:rsidRDefault="00940CD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F8E2" w14:textId="77777777" w:rsidR="00263CD7" w:rsidRDefault="00263CD7">
      <w:pPr>
        <w:spacing w:after="0" w:line="240" w:lineRule="auto"/>
      </w:pPr>
      <w:r>
        <w:separator/>
      </w:r>
    </w:p>
  </w:footnote>
  <w:footnote w:type="continuationSeparator" w:id="0">
    <w:p w14:paraId="127F4049" w14:textId="77777777" w:rsidR="00263CD7" w:rsidRDefault="00263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F80C" w14:textId="77777777" w:rsidR="00940CD8" w:rsidRDefault="00940CD8">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2080E89A" wp14:editId="0C68241B">
          <wp:simplePos x="0" y="0"/>
          <wp:positionH relativeFrom="column">
            <wp:posOffset>-774699</wp:posOffset>
          </wp:positionH>
          <wp:positionV relativeFrom="paragraph">
            <wp:posOffset>-345439</wp:posOffset>
          </wp:positionV>
          <wp:extent cx="7809876" cy="10165823"/>
          <wp:effectExtent l="0" t="0" r="0" b="0"/>
          <wp:wrapNone/>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5"/>
      <w:tblW w:w="5603" w:type="dxa"/>
      <w:tblInd w:w="3611" w:type="dxa"/>
      <w:tblLayout w:type="fixed"/>
      <w:tblLook w:val="0400" w:firstRow="0" w:lastRow="0" w:firstColumn="0" w:lastColumn="0" w:noHBand="0" w:noVBand="1"/>
    </w:tblPr>
    <w:tblGrid>
      <w:gridCol w:w="2551"/>
      <w:gridCol w:w="3052"/>
    </w:tblGrid>
    <w:tr w:rsidR="00940CD8" w14:paraId="3E42C09E" w14:textId="77777777">
      <w:tc>
        <w:tcPr>
          <w:tcW w:w="2551" w:type="dxa"/>
          <w:vAlign w:val="center"/>
        </w:tcPr>
        <w:p w14:paraId="3294BAFA" w14:textId="77777777" w:rsidR="00940CD8" w:rsidRDefault="00940CD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ED5E1C3" w14:textId="3DB64C40" w:rsidR="00940CD8" w:rsidRDefault="00940CD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00649/INFOEM/IP/RR/2025</w:t>
          </w:r>
        </w:p>
      </w:tc>
    </w:tr>
    <w:tr w:rsidR="00940CD8" w14:paraId="0FB3790D" w14:textId="77777777">
      <w:trPr>
        <w:trHeight w:val="643"/>
      </w:trPr>
      <w:tc>
        <w:tcPr>
          <w:tcW w:w="2551" w:type="dxa"/>
          <w:vAlign w:val="center"/>
        </w:tcPr>
        <w:p w14:paraId="7D3A413D" w14:textId="0FEA3A30" w:rsidR="00940CD8" w:rsidRDefault="00940CD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3EE5C496" w14:textId="2521774B" w:rsidR="00940CD8" w:rsidRDefault="00940CD8">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940CD8" w14:paraId="207063F9" w14:textId="77777777">
      <w:tc>
        <w:tcPr>
          <w:tcW w:w="2551" w:type="dxa"/>
          <w:vAlign w:val="center"/>
        </w:tcPr>
        <w:p w14:paraId="733790EE" w14:textId="77777777" w:rsidR="00940CD8" w:rsidRDefault="00940CD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5BFF6EB" w14:textId="77777777" w:rsidR="00940CD8" w:rsidRDefault="00940CD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2B80FB1" w14:textId="77777777" w:rsidR="00940CD8" w:rsidRDefault="00940CD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2D59" w14:textId="77777777" w:rsidR="00940CD8" w:rsidRDefault="00940CD8">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123DD037" wp14:editId="68698E7E">
          <wp:simplePos x="0" y="0"/>
          <wp:positionH relativeFrom="column">
            <wp:posOffset>-761364</wp:posOffset>
          </wp:positionH>
          <wp:positionV relativeFrom="paragraph">
            <wp:posOffset>5080</wp:posOffset>
          </wp:positionV>
          <wp:extent cx="7809876" cy="10165823"/>
          <wp:effectExtent l="0" t="0" r="0" b="0"/>
          <wp:wrapNone/>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6"/>
      <w:tblW w:w="5603" w:type="dxa"/>
      <w:tblInd w:w="3611" w:type="dxa"/>
      <w:tblLayout w:type="fixed"/>
      <w:tblLook w:val="0400" w:firstRow="0" w:lastRow="0" w:firstColumn="0" w:lastColumn="0" w:noHBand="0" w:noVBand="1"/>
    </w:tblPr>
    <w:tblGrid>
      <w:gridCol w:w="2551"/>
      <w:gridCol w:w="3052"/>
    </w:tblGrid>
    <w:tr w:rsidR="00940CD8" w14:paraId="7A14E2CE" w14:textId="77777777">
      <w:tc>
        <w:tcPr>
          <w:tcW w:w="2551" w:type="dxa"/>
          <w:vAlign w:val="center"/>
        </w:tcPr>
        <w:p w14:paraId="7B4BA45E" w14:textId="77777777" w:rsidR="00940CD8" w:rsidRDefault="00940CD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FED9FB7" w14:textId="18EEDF9B" w:rsidR="00940CD8" w:rsidRDefault="00940CD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00649/INFOEM/IP/RR/2025</w:t>
          </w:r>
        </w:p>
      </w:tc>
    </w:tr>
    <w:tr w:rsidR="00940CD8" w14:paraId="0F3B71FC" w14:textId="77777777">
      <w:tc>
        <w:tcPr>
          <w:tcW w:w="2551" w:type="dxa"/>
          <w:vAlign w:val="center"/>
        </w:tcPr>
        <w:p w14:paraId="0E4DE2F0" w14:textId="77777777" w:rsidR="00940CD8" w:rsidRDefault="00940CD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D07CC74" w14:textId="77777777" w:rsidR="00940CD8" w:rsidRDefault="00940CD8">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p>
      </w:tc>
    </w:tr>
    <w:tr w:rsidR="00940CD8" w14:paraId="361F6CE9" w14:textId="77777777">
      <w:trPr>
        <w:trHeight w:val="743"/>
      </w:trPr>
      <w:tc>
        <w:tcPr>
          <w:tcW w:w="2551" w:type="dxa"/>
          <w:vAlign w:val="center"/>
        </w:tcPr>
        <w:p w14:paraId="3F63C1DD" w14:textId="1D6EEC64" w:rsidR="00940CD8" w:rsidRDefault="00940CD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71110CA8" w14:textId="63EBB875" w:rsidR="00940CD8" w:rsidRDefault="00940CD8">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940CD8" w14:paraId="040DC705" w14:textId="77777777">
      <w:tc>
        <w:tcPr>
          <w:tcW w:w="2551" w:type="dxa"/>
          <w:vAlign w:val="center"/>
        </w:tcPr>
        <w:p w14:paraId="6EA2056D" w14:textId="77777777" w:rsidR="00940CD8" w:rsidRDefault="00940CD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8B71E2F" w14:textId="77777777" w:rsidR="00940CD8" w:rsidRDefault="00940CD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F98CB68" w14:textId="77777777" w:rsidR="00940CD8" w:rsidRDefault="00940CD8">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FE3"/>
    <w:multiLevelType w:val="hybridMultilevel"/>
    <w:tmpl w:val="11F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A82E8D"/>
    <w:multiLevelType w:val="multilevel"/>
    <w:tmpl w:val="25826F5E"/>
    <w:lvl w:ilvl="0">
      <w:start w:val="1"/>
      <w:numFmt w:val="bullet"/>
      <w:lvlText w:val="●"/>
      <w:lvlJc w:val="left"/>
      <w:pPr>
        <w:ind w:left="720" w:hanging="360"/>
      </w:pPr>
      <w:rPr>
        <w:rFonts w:ascii="Noto Sans Symbols" w:eastAsia="Noto Sans Symbols" w:hAnsi="Noto Sans Symbols" w:cs="Noto Sans Symbols"/>
        <w:color w:val="000000"/>
      </w:rPr>
    </w:lvl>
    <w:lvl w:ilvl="1">
      <w:numFmt w:val="bullet"/>
      <w:lvlText w:val="•"/>
      <w:lvlJc w:val="left"/>
      <w:pPr>
        <w:ind w:left="1440" w:hanging="360"/>
      </w:pPr>
      <w:rPr>
        <w:rFonts w:ascii="Palatino Linotype" w:eastAsia="Palatino Linotype" w:hAnsi="Palatino Linotype" w:cs="Palatino Linotype"/>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752418"/>
    <w:multiLevelType w:val="multilevel"/>
    <w:tmpl w:val="CE10E8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DD1830"/>
    <w:multiLevelType w:val="multilevel"/>
    <w:tmpl w:val="1EB8004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BB7252"/>
    <w:multiLevelType w:val="multilevel"/>
    <w:tmpl w:val="E5046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4F79F5"/>
    <w:multiLevelType w:val="multilevel"/>
    <w:tmpl w:val="2BFCECF6"/>
    <w:lvl w:ilvl="0">
      <w:start w:val="1"/>
      <w:numFmt w:val="lowerLetter"/>
      <w:lvlText w:val="%1)"/>
      <w:lvlJc w:val="left"/>
      <w:pPr>
        <w:ind w:left="720" w:hanging="360"/>
      </w:pPr>
      <w:rPr>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295DE4"/>
    <w:multiLevelType w:val="multilevel"/>
    <w:tmpl w:val="7714BB8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52EF5552"/>
    <w:multiLevelType w:val="hybridMultilevel"/>
    <w:tmpl w:val="3622170E"/>
    <w:lvl w:ilvl="0" w:tplc="A9F003C6">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79043D"/>
    <w:multiLevelType w:val="hybridMultilevel"/>
    <w:tmpl w:val="3B580322"/>
    <w:lvl w:ilvl="0" w:tplc="C98452BA">
      <w:start w:val="2"/>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796900"/>
    <w:multiLevelType w:val="hybridMultilevel"/>
    <w:tmpl w:val="47D418C6"/>
    <w:lvl w:ilvl="0" w:tplc="080A0001">
      <w:start w:val="1"/>
      <w:numFmt w:val="bullet"/>
      <w:lvlText w:val=""/>
      <w:lvlJc w:val="left"/>
      <w:pPr>
        <w:ind w:left="720" w:hanging="360"/>
      </w:pPr>
      <w:rPr>
        <w:rFonts w:ascii="Symbol" w:hAnsi="Symbol" w:hint="default"/>
      </w:rPr>
    </w:lvl>
    <w:lvl w:ilvl="1" w:tplc="7AA0B6C0">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445913"/>
    <w:multiLevelType w:val="multilevel"/>
    <w:tmpl w:val="DB1E97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096272C"/>
    <w:multiLevelType w:val="multilevel"/>
    <w:tmpl w:val="E318BFC0"/>
    <w:lvl w:ilvl="0">
      <w:start w:val="1"/>
      <w:numFmt w:val="bullet"/>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654F60CC"/>
    <w:multiLevelType w:val="hybridMultilevel"/>
    <w:tmpl w:val="73BC5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1"/>
  </w:num>
  <w:num w:numId="5">
    <w:abstractNumId w:val="10"/>
  </w:num>
  <w:num w:numId="6">
    <w:abstractNumId w:val="4"/>
  </w:num>
  <w:num w:numId="7">
    <w:abstractNumId w:val="1"/>
  </w:num>
  <w:num w:numId="8">
    <w:abstractNumId w:val="3"/>
  </w:num>
  <w:num w:numId="9">
    <w:abstractNumId w:val="8"/>
  </w:num>
  <w:num w:numId="10">
    <w:abstractNumId w:val="7"/>
  </w:num>
  <w:num w:numId="11">
    <w:abstractNumId w:val="13"/>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B5"/>
    <w:rsid w:val="0004412B"/>
    <w:rsid w:val="00076C9D"/>
    <w:rsid w:val="00097931"/>
    <w:rsid w:val="000C6A42"/>
    <w:rsid w:val="000D4077"/>
    <w:rsid w:val="00101268"/>
    <w:rsid w:val="00117754"/>
    <w:rsid w:val="00121196"/>
    <w:rsid w:val="00125890"/>
    <w:rsid w:val="00147519"/>
    <w:rsid w:val="00182F1C"/>
    <w:rsid w:val="00263CD7"/>
    <w:rsid w:val="00265768"/>
    <w:rsid w:val="003212AA"/>
    <w:rsid w:val="0035418C"/>
    <w:rsid w:val="00363513"/>
    <w:rsid w:val="00382E46"/>
    <w:rsid w:val="0045466C"/>
    <w:rsid w:val="004B2415"/>
    <w:rsid w:val="005A5FFF"/>
    <w:rsid w:val="005E16E7"/>
    <w:rsid w:val="005F1D08"/>
    <w:rsid w:val="006424D5"/>
    <w:rsid w:val="006516C6"/>
    <w:rsid w:val="00687210"/>
    <w:rsid w:val="006C6D42"/>
    <w:rsid w:val="00771DC0"/>
    <w:rsid w:val="007860B2"/>
    <w:rsid w:val="007B5237"/>
    <w:rsid w:val="008104EC"/>
    <w:rsid w:val="00847968"/>
    <w:rsid w:val="0087620B"/>
    <w:rsid w:val="00893D9C"/>
    <w:rsid w:val="008E14D5"/>
    <w:rsid w:val="008F63F2"/>
    <w:rsid w:val="009338B5"/>
    <w:rsid w:val="00940CD8"/>
    <w:rsid w:val="00960B1A"/>
    <w:rsid w:val="00992852"/>
    <w:rsid w:val="009A2163"/>
    <w:rsid w:val="009A351A"/>
    <w:rsid w:val="009D4781"/>
    <w:rsid w:val="00A06D68"/>
    <w:rsid w:val="00A70F3C"/>
    <w:rsid w:val="00AD339B"/>
    <w:rsid w:val="00B41CB7"/>
    <w:rsid w:val="00CC2B3B"/>
    <w:rsid w:val="00CF1000"/>
    <w:rsid w:val="00D105C1"/>
    <w:rsid w:val="00D10633"/>
    <w:rsid w:val="00DE360B"/>
    <w:rsid w:val="00E0628C"/>
    <w:rsid w:val="00E538A4"/>
    <w:rsid w:val="00E57132"/>
    <w:rsid w:val="00EB5E99"/>
    <w:rsid w:val="00F231DC"/>
    <w:rsid w:val="00F302EA"/>
    <w:rsid w:val="00F71A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8BB7"/>
  <w15:docId w15:val="{D5A2C9A5-E988-4A10-A30F-51F0A656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5" w:type="dxa"/>
        <w:left w:w="115" w:type="dxa"/>
        <w:bottom w:w="15" w:type="dxa"/>
        <w:right w:w="115" w:type="dxa"/>
      </w:tblCellMar>
    </w:tblPr>
  </w:style>
  <w:style w:type="table" w:customStyle="1" w:styleId="a3">
    <w:basedOn w:val="TableNormal1"/>
    <w:tblPr>
      <w:tblStyleRowBandSize w:val="1"/>
      <w:tblStyleColBandSize w:val="1"/>
      <w:tblCellMar>
        <w:top w:w="15" w:type="dxa"/>
        <w:left w:w="115" w:type="dxa"/>
        <w:bottom w:w="15" w:type="dxa"/>
        <w:right w:w="115" w:type="dxa"/>
      </w:tblCellMar>
    </w:tblPr>
  </w:style>
  <w:style w:type="table" w:customStyle="1" w:styleId="a4">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Tabladelista1clara-nfasis11">
    <w:name w:val="Tabla de lista 1 clara - Énfasis 11"/>
    <w:basedOn w:val="Tablanormal"/>
    <w:uiPriority w:val="46"/>
    <w:rsid w:val="005A6642"/>
    <w:pPr>
      <w:spacing w:after="0" w:line="240" w:lineRule="auto"/>
    </w:pPr>
    <w:rPr>
      <w:rFonts w:ascii="Times New Roman" w:eastAsia="MS Mincho" w:hAnsi="Times New Roman" w:cs="Times New Roman"/>
      <w:sz w:val="24"/>
      <w:szCs w:val="24"/>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0"/>
    <w:tblPr>
      <w:tblStyleRowBandSize w:val="1"/>
      <w:tblStyleColBandSize w:val="1"/>
      <w:tblCellMar>
        <w:top w:w="15" w:type="dxa"/>
        <w:left w:w="115" w:type="dxa"/>
        <w:bottom w:w="15" w:type="dxa"/>
        <w:right w:w="115" w:type="dxa"/>
      </w:tblCellMar>
    </w:tblPr>
  </w:style>
  <w:style w:type="table" w:customStyle="1" w:styleId="a6">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95718">
      <w:bodyDiv w:val="1"/>
      <w:marLeft w:val="0"/>
      <w:marRight w:val="0"/>
      <w:marTop w:val="0"/>
      <w:marBottom w:val="0"/>
      <w:divBdr>
        <w:top w:val="none" w:sz="0" w:space="0" w:color="auto"/>
        <w:left w:val="none" w:sz="0" w:space="0" w:color="auto"/>
        <w:bottom w:val="none" w:sz="0" w:space="0" w:color="auto"/>
        <w:right w:val="none" w:sz="0" w:space="0" w:color="auto"/>
      </w:divBdr>
    </w:div>
    <w:div w:id="632563563">
      <w:bodyDiv w:val="1"/>
      <w:marLeft w:val="0"/>
      <w:marRight w:val="0"/>
      <w:marTop w:val="0"/>
      <w:marBottom w:val="0"/>
      <w:divBdr>
        <w:top w:val="none" w:sz="0" w:space="0" w:color="auto"/>
        <w:left w:val="none" w:sz="0" w:space="0" w:color="auto"/>
        <w:bottom w:val="none" w:sz="0" w:space="0" w:color="auto"/>
        <w:right w:val="none" w:sz="0" w:space="0" w:color="auto"/>
      </w:divBdr>
    </w:div>
    <w:div w:id="676930448">
      <w:bodyDiv w:val="1"/>
      <w:marLeft w:val="0"/>
      <w:marRight w:val="0"/>
      <w:marTop w:val="0"/>
      <w:marBottom w:val="0"/>
      <w:divBdr>
        <w:top w:val="none" w:sz="0" w:space="0" w:color="auto"/>
        <w:left w:val="none" w:sz="0" w:space="0" w:color="auto"/>
        <w:bottom w:val="none" w:sz="0" w:space="0" w:color="auto"/>
        <w:right w:val="none" w:sz="0" w:space="0" w:color="auto"/>
      </w:divBdr>
    </w:div>
    <w:div w:id="764301545">
      <w:bodyDiv w:val="1"/>
      <w:marLeft w:val="0"/>
      <w:marRight w:val="0"/>
      <w:marTop w:val="0"/>
      <w:marBottom w:val="0"/>
      <w:divBdr>
        <w:top w:val="none" w:sz="0" w:space="0" w:color="auto"/>
        <w:left w:val="none" w:sz="0" w:space="0" w:color="auto"/>
        <w:bottom w:val="none" w:sz="0" w:space="0" w:color="auto"/>
        <w:right w:val="none" w:sz="0" w:space="0" w:color="auto"/>
      </w:divBdr>
    </w:div>
    <w:div w:id="792674451">
      <w:bodyDiv w:val="1"/>
      <w:marLeft w:val="0"/>
      <w:marRight w:val="0"/>
      <w:marTop w:val="0"/>
      <w:marBottom w:val="0"/>
      <w:divBdr>
        <w:top w:val="none" w:sz="0" w:space="0" w:color="auto"/>
        <w:left w:val="none" w:sz="0" w:space="0" w:color="auto"/>
        <w:bottom w:val="none" w:sz="0" w:space="0" w:color="auto"/>
        <w:right w:val="none" w:sz="0" w:space="0" w:color="auto"/>
      </w:divBdr>
    </w:div>
    <w:div w:id="914363394">
      <w:bodyDiv w:val="1"/>
      <w:marLeft w:val="0"/>
      <w:marRight w:val="0"/>
      <w:marTop w:val="0"/>
      <w:marBottom w:val="0"/>
      <w:divBdr>
        <w:top w:val="none" w:sz="0" w:space="0" w:color="auto"/>
        <w:left w:val="none" w:sz="0" w:space="0" w:color="auto"/>
        <w:bottom w:val="none" w:sz="0" w:space="0" w:color="auto"/>
        <w:right w:val="none" w:sz="0" w:space="0" w:color="auto"/>
      </w:divBdr>
    </w:div>
    <w:div w:id="1741713049">
      <w:bodyDiv w:val="1"/>
      <w:marLeft w:val="0"/>
      <w:marRight w:val="0"/>
      <w:marTop w:val="0"/>
      <w:marBottom w:val="0"/>
      <w:divBdr>
        <w:top w:val="none" w:sz="0" w:space="0" w:color="auto"/>
        <w:left w:val="none" w:sz="0" w:space="0" w:color="auto"/>
        <w:bottom w:val="none" w:sz="0" w:space="0" w:color="auto"/>
        <w:right w:val="none" w:sz="0" w:space="0" w:color="auto"/>
      </w:divBdr>
    </w:div>
    <w:div w:id="1776250587">
      <w:bodyDiv w:val="1"/>
      <w:marLeft w:val="0"/>
      <w:marRight w:val="0"/>
      <w:marTop w:val="0"/>
      <w:marBottom w:val="0"/>
      <w:divBdr>
        <w:top w:val="none" w:sz="0" w:space="0" w:color="auto"/>
        <w:left w:val="none" w:sz="0" w:space="0" w:color="auto"/>
        <w:bottom w:val="none" w:sz="0" w:space="0" w:color="auto"/>
        <w:right w:val="none" w:sz="0" w:space="0" w:color="auto"/>
      </w:divBdr>
    </w:div>
    <w:div w:id="1886210095">
      <w:bodyDiv w:val="1"/>
      <w:marLeft w:val="0"/>
      <w:marRight w:val="0"/>
      <w:marTop w:val="0"/>
      <w:marBottom w:val="0"/>
      <w:divBdr>
        <w:top w:val="none" w:sz="0" w:space="0" w:color="auto"/>
        <w:left w:val="none" w:sz="0" w:space="0" w:color="auto"/>
        <w:bottom w:val="none" w:sz="0" w:space="0" w:color="auto"/>
        <w:right w:val="none" w:sz="0" w:space="0" w:color="auto"/>
      </w:divBdr>
    </w:div>
    <w:div w:id="1929996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cwJ17nQ1ZZtb5wc15PFi/Us2Q==">CgMxLjAyCWguMzBqMHpsbDIIaC5namRneHMyCWguMXQzaDVzZjIJaC4xZm9iOXRlOAByITFVQk02RWFrSGthYXpuR0wtcmx1U2tjaWxFcWdzSGNXMQ==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7577</Words>
  <Characters>41676</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49155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2025-03-14T16:41:00Z</cp:lastPrinted>
  <dcterms:created xsi:type="dcterms:W3CDTF">2025-03-31T23:27:00Z</dcterms:created>
  <dcterms:modified xsi:type="dcterms:W3CDTF">2025-03-31T23:27:00Z</dcterms:modified>
</cp:coreProperties>
</file>