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F1BCE" w14:textId="77777777" w:rsidR="000A72E1" w:rsidRPr="00D0413A" w:rsidRDefault="00E4793C">
      <w:pPr>
        <w:spacing w:after="0" w:line="360" w:lineRule="auto"/>
        <w:ind w:right="49"/>
        <w:jc w:val="both"/>
        <w:rPr>
          <w:rFonts w:ascii="Palatino Linotype" w:eastAsia="Palatino Linotype" w:hAnsi="Palatino Linotype" w:cs="Palatino Linotype"/>
        </w:rPr>
      </w:pPr>
      <w:bookmarkStart w:id="0" w:name="_heading=h.2qw5u0sw9sip" w:colFirst="0" w:colLast="0"/>
      <w:bookmarkStart w:id="1" w:name="_GoBack"/>
      <w:bookmarkEnd w:id="0"/>
      <w:bookmarkEnd w:id="1"/>
      <w:r w:rsidRPr="00D0413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D0413A">
        <w:rPr>
          <w:rFonts w:ascii="Palatino Linotype" w:eastAsia="Palatino Linotype" w:hAnsi="Palatino Linotype" w:cs="Palatino Linotype"/>
          <w:b/>
          <w:bCs/>
        </w:rPr>
        <w:t>tres de diciembre de dos mil veinticinco</w:t>
      </w:r>
      <w:r w:rsidRPr="00D0413A">
        <w:rPr>
          <w:rFonts w:ascii="Palatino Linotype" w:eastAsia="Palatino Linotype" w:hAnsi="Palatino Linotype" w:cs="Palatino Linotype"/>
        </w:rPr>
        <w:t xml:space="preserve">. </w:t>
      </w:r>
    </w:p>
    <w:p w14:paraId="4C0A6415" w14:textId="77777777" w:rsidR="000A72E1" w:rsidRPr="00D0413A" w:rsidRDefault="000A72E1">
      <w:pPr>
        <w:spacing w:after="0" w:line="360" w:lineRule="auto"/>
        <w:ind w:right="49"/>
        <w:jc w:val="both"/>
        <w:rPr>
          <w:rFonts w:ascii="Palatino Linotype" w:eastAsia="Palatino Linotype" w:hAnsi="Palatino Linotype" w:cs="Palatino Linotype"/>
        </w:rPr>
      </w:pPr>
    </w:p>
    <w:p w14:paraId="45AE66F3" w14:textId="77777777" w:rsidR="000A72E1" w:rsidRPr="00D0413A" w:rsidRDefault="00E4793C">
      <w:pP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Visto el expediente relativo al recurso de revisión </w:t>
      </w:r>
      <w:r w:rsidRPr="00D0413A">
        <w:rPr>
          <w:rFonts w:ascii="Palatino Linotype" w:eastAsia="Palatino Linotype" w:hAnsi="Palatino Linotype" w:cs="Palatino Linotype"/>
          <w:b/>
          <w:bCs/>
        </w:rPr>
        <w:t>12269/INFOEM/IP/RR/2025</w:t>
      </w:r>
      <w:r w:rsidRPr="00D0413A">
        <w:rPr>
          <w:rFonts w:ascii="Palatino Linotype" w:eastAsia="Palatino Linotype" w:hAnsi="Palatino Linotype" w:cs="Palatino Linotype"/>
        </w:rPr>
        <w:t xml:space="preserve">, interpuesto por </w:t>
      </w:r>
      <w:r w:rsidRPr="00D0413A">
        <w:rPr>
          <w:rFonts w:ascii="Palatino Linotype" w:eastAsia="Palatino Linotype" w:hAnsi="Palatino Linotype" w:cs="Palatino Linotype"/>
          <w:b/>
          <w:bCs/>
        </w:rPr>
        <w:t>un Usuario que no proporcionó su nombre,</w:t>
      </w:r>
      <w:r w:rsidRPr="00D0413A">
        <w:rPr>
          <w:rFonts w:ascii="Palatino Linotype" w:eastAsia="Palatino Linotype" w:hAnsi="Palatino Linotype" w:cs="Palatino Linotype"/>
        </w:rPr>
        <w:t xml:space="preserve"> en lo sucesivo se le denominará la parte </w:t>
      </w:r>
      <w:r w:rsidRPr="00D0413A">
        <w:rPr>
          <w:rFonts w:ascii="Palatino Linotype" w:eastAsia="Palatino Linotype" w:hAnsi="Palatino Linotype" w:cs="Palatino Linotype"/>
          <w:b/>
          <w:bCs/>
        </w:rPr>
        <w:t>Recurrente</w:t>
      </w:r>
      <w:r w:rsidRPr="00D0413A">
        <w:rPr>
          <w:rFonts w:ascii="Palatino Linotype" w:eastAsia="Palatino Linotype" w:hAnsi="Palatino Linotype" w:cs="Palatino Linotype"/>
        </w:rPr>
        <w:t xml:space="preserve">, en contra la respuesta a su solicitud de información identificada con número de folio </w:t>
      </w:r>
      <w:r w:rsidRPr="00D0413A">
        <w:rPr>
          <w:rFonts w:ascii="Palatino Linotype" w:eastAsia="Palatino Linotype" w:hAnsi="Palatino Linotype" w:cs="Palatino Linotype"/>
          <w:b/>
          <w:bCs/>
        </w:rPr>
        <w:t xml:space="preserve">00069/CEDIPIEM/IP/2025 </w:t>
      </w:r>
      <w:r w:rsidRPr="00D0413A">
        <w:rPr>
          <w:rFonts w:ascii="Palatino Linotype" w:eastAsia="Palatino Linotype" w:hAnsi="Palatino Linotype" w:cs="Palatino Linotype"/>
        </w:rPr>
        <w:t xml:space="preserve">proporcionada por parte del </w:t>
      </w:r>
      <w:r w:rsidRPr="00D0413A">
        <w:rPr>
          <w:rFonts w:ascii="Palatino Linotype" w:eastAsia="Palatino Linotype" w:hAnsi="Palatino Linotype" w:cs="Palatino Linotype"/>
          <w:b/>
          <w:bCs/>
        </w:rPr>
        <w:t>Consejo Estatal para el Desarrollo Integral de los Pueblos Indígenas del Estado de México</w:t>
      </w:r>
      <w:r w:rsidRPr="00D0413A">
        <w:rPr>
          <w:rFonts w:ascii="Palatino Linotype" w:eastAsia="Palatino Linotype" w:hAnsi="Palatino Linotype" w:cs="Palatino Linotype"/>
        </w:rPr>
        <w:t xml:space="preserve">, en lo sucesivo el </w:t>
      </w:r>
      <w:r w:rsidRPr="00D0413A">
        <w:rPr>
          <w:rFonts w:ascii="Palatino Linotype" w:eastAsia="Palatino Linotype" w:hAnsi="Palatino Linotype" w:cs="Palatino Linotype"/>
          <w:b/>
          <w:bCs/>
        </w:rPr>
        <w:t>Sujeto Obligado</w:t>
      </w:r>
      <w:r w:rsidRPr="00D0413A">
        <w:rPr>
          <w:rFonts w:ascii="Palatino Linotype" w:eastAsia="Palatino Linotype" w:hAnsi="Palatino Linotype" w:cs="Palatino Linotype"/>
        </w:rPr>
        <w:t>; se procede a dictar la presente resolución, con base en los siguientes:</w:t>
      </w:r>
    </w:p>
    <w:p w14:paraId="4EB052A4" w14:textId="77777777" w:rsidR="000A72E1" w:rsidRPr="00D0413A" w:rsidRDefault="000A72E1">
      <w:pPr>
        <w:spacing w:after="0" w:line="360" w:lineRule="auto"/>
        <w:ind w:right="49"/>
        <w:jc w:val="both"/>
        <w:rPr>
          <w:rFonts w:ascii="Palatino Linotype" w:eastAsia="Palatino Linotype" w:hAnsi="Palatino Linotype" w:cs="Palatino Linotype"/>
        </w:rPr>
      </w:pPr>
    </w:p>
    <w:p w14:paraId="5D5F39AA" w14:textId="77777777" w:rsidR="000A72E1" w:rsidRPr="00D0413A" w:rsidRDefault="00E4793C">
      <w:pPr>
        <w:spacing w:after="0" w:line="360" w:lineRule="auto"/>
        <w:ind w:right="49"/>
        <w:jc w:val="center"/>
        <w:rPr>
          <w:rFonts w:ascii="Palatino Linotype" w:eastAsia="Palatino Linotype" w:hAnsi="Palatino Linotype" w:cs="Palatino Linotype"/>
          <w:b/>
          <w:bCs/>
        </w:rPr>
      </w:pPr>
      <w:r w:rsidRPr="00D0413A">
        <w:rPr>
          <w:rFonts w:ascii="Palatino Linotype" w:eastAsia="Palatino Linotype" w:hAnsi="Palatino Linotype" w:cs="Palatino Linotype"/>
          <w:b/>
          <w:bCs/>
        </w:rPr>
        <w:t>I.</w:t>
      </w:r>
      <w:r w:rsidRPr="00D0413A">
        <w:rPr>
          <w:rFonts w:ascii="Palatino Linotype" w:eastAsia="Palatino Linotype" w:hAnsi="Palatino Linotype" w:cs="Palatino Linotype"/>
          <w:b/>
          <w:bCs/>
        </w:rPr>
        <w:tab/>
        <w:t>A N T E C E D E N T E S</w:t>
      </w:r>
    </w:p>
    <w:p w14:paraId="293411AA" w14:textId="77777777" w:rsidR="000A72E1" w:rsidRPr="00D0413A" w:rsidRDefault="000A72E1">
      <w:pPr>
        <w:spacing w:after="0" w:line="360" w:lineRule="auto"/>
        <w:ind w:right="49"/>
        <w:jc w:val="both"/>
        <w:rPr>
          <w:rFonts w:ascii="Palatino Linotype" w:eastAsia="Palatino Linotype" w:hAnsi="Palatino Linotype" w:cs="Palatino Linotype"/>
        </w:rPr>
      </w:pPr>
    </w:p>
    <w:p w14:paraId="4D96779B" w14:textId="77777777" w:rsidR="000A72E1" w:rsidRPr="00D0413A" w:rsidRDefault="00E4793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0413A">
        <w:rPr>
          <w:rFonts w:ascii="Palatino Linotype" w:eastAsia="Palatino Linotype" w:hAnsi="Palatino Linotype" w:cs="Palatino Linotype"/>
          <w:b/>
          <w:bCs/>
        </w:rPr>
        <w:t>Solicitud de acceso a la información.</w:t>
      </w:r>
      <w:r w:rsidRPr="00D0413A">
        <w:rPr>
          <w:rFonts w:ascii="Palatino Linotype" w:eastAsia="Palatino Linotype" w:hAnsi="Palatino Linotype" w:cs="Palatino Linotype"/>
        </w:rPr>
        <w:t xml:space="preserve"> Con fecha </w:t>
      </w:r>
      <w:r w:rsidRPr="00D0413A">
        <w:rPr>
          <w:rFonts w:ascii="Palatino Linotype" w:eastAsia="Palatino Linotype" w:hAnsi="Palatino Linotype" w:cs="Palatino Linotype"/>
          <w:b/>
          <w:bCs/>
        </w:rPr>
        <w:t>veinte de septiembre de dos mil veinticinco</w:t>
      </w:r>
      <w:r w:rsidRPr="00D0413A">
        <w:rPr>
          <w:rFonts w:ascii="Palatino Linotype" w:eastAsia="Palatino Linotype" w:hAnsi="Palatino Linotype" w:cs="Palatino Linotype"/>
        </w:rPr>
        <w:t xml:space="preserve">, la parte </w:t>
      </w:r>
      <w:r w:rsidRPr="00D0413A">
        <w:rPr>
          <w:rFonts w:ascii="Palatino Linotype" w:eastAsia="Palatino Linotype" w:hAnsi="Palatino Linotype" w:cs="Palatino Linotype"/>
          <w:b/>
          <w:bCs/>
        </w:rPr>
        <w:t>RECURRENTE</w:t>
      </w:r>
      <w:r w:rsidRPr="00D0413A">
        <w:rPr>
          <w:rFonts w:ascii="Palatino Linotype" w:eastAsia="Palatino Linotype" w:hAnsi="Palatino Linotype" w:cs="Palatino Linotype"/>
        </w:rPr>
        <w:t xml:space="preserve"> formuló solicitud de acceso a información pública al</w:t>
      </w:r>
      <w:r w:rsidRPr="00D0413A">
        <w:rPr>
          <w:rFonts w:ascii="Palatino Linotype" w:eastAsia="Palatino Linotype" w:hAnsi="Palatino Linotype" w:cs="Palatino Linotype"/>
          <w:b/>
          <w:bCs/>
        </w:rPr>
        <w:t xml:space="preserve"> SUJETO OBLIGADO, </w:t>
      </w:r>
      <w:r w:rsidRPr="00D0413A">
        <w:rPr>
          <w:rFonts w:ascii="Palatino Linotype" w:eastAsia="Palatino Linotype" w:hAnsi="Palatino Linotype" w:cs="Palatino Linotype"/>
        </w:rPr>
        <w:t xml:space="preserve">a través del Sistema de Acceso a la Información Mexiquense, en adelante SAIMEX; sin embargo, al ser día inhábil, se tuvo por presentada el día veintidós de septiembre de la misma anualidad, en la que requirió lo siguiente: </w:t>
      </w:r>
    </w:p>
    <w:p w14:paraId="20774EC6" w14:textId="77777777" w:rsidR="000A72E1" w:rsidRPr="00D0413A" w:rsidRDefault="000A72E1">
      <w:pPr>
        <w:spacing w:after="0" w:line="360" w:lineRule="auto"/>
        <w:ind w:right="49"/>
        <w:jc w:val="both"/>
        <w:rPr>
          <w:rFonts w:ascii="Palatino Linotype" w:eastAsia="Palatino Linotype" w:hAnsi="Palatino Linotype" w:cs="Palatino Linotype"/>
        </w:rPr>
      </w:pPr>
    </w:p>
    <w:p w14:paraId="1C15D720" w14:textId="77777777" w:rsidR="000A72E1" w:rsidRPr="00D0413A" w:rsidRDefault="00E4793C">
      <w:pPr>
        <w:spacing w:after="0" w:line="240" w:lineRule="auto"/>
        <w:ind w:left="567" w:right="701"/>
        <w:jc w:val="both"/>
        <w:rPr>
          <w:rFonts w:ascii="Palatino Linotype" w:eastAsia="Palatino Linotype" w:hAnsi="Palatino Linotype" w:cs="Palatino Linotype"/>
          <w:i/>
          <w:iCs/>
        </w:rPr>
      </w:pPr>
      <w:bookmarkStart w:id="2" w:name="_heading=h.lgwl3bsbzc6a" w:colFirst="0" w:colLast="0"/>
      <w:bookmarkEnd w:id="2"/>
      <w:r w:rsidRPr="00D0413A">
        <w:rPr>
          <w:rFonts w:ascii="Palatino Linotype" w:eastAsia="Palatino Linotype" w:hAnsi="Palatino Linotype" w:cs="Palatino Linotype"/>
          <w:i/>
          <w:iCs/>
        </w:rPr>
        <w:t xml:space="preserve">“Solicito justificación jurídica y administrativa de por qué no se han renovado los representantes indígenas ante la Junta de Gobierno del CEDIPIEM”. </w:t>
      </w:r>
    </w:p>
    <w:p w14:paraId="0CEAAE43" w14:textId="77777777" w:rsidR="000A72E1" w:rsidRPr="00D0413A" w:rsidRDefault="000A72E1">
      <w:pPr>
        <w:spacing w:after="0" w:line="276" w:lineRule="auto"/>
        <w:ind w:left="567" w:right="560"/>
        <w:jc w:val="both"/>
        <w:rPr>
          <w:rFonts w:ascii="Palatino Linotype" w:eastAsia="Palatino Linotype" w:hAnsi="Palatino Linotype" w:cs="Palatino Linotype"/>
          <w:i/>
          <w:iCs/>
        </w:rPr>
      </w:pPr>
    </w:p>
    <w:p w14:paraId="222BE655" w14:textId="77777777" w:rsidR="000A72E1" w:rsidRPr="00D0413A" w:rsidRDefault="00E4793C">
      <w:pP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b/>
          <w:bCs/>
        </w:rPr>
        <w:t>Modalidad elegida para la entrega de la información:</w:t>
      </w:r>
      <w:r w:rsidRPr="00D0413A">
        <w:rPr>
          <w:rFonts w:ascii="Palatino Linotype" w:eastAsia="Palatino Linotype" w:hAnsi="Palatino Linotype" w:cs="Palatino Linotype"/>
        </w:rPr>
        <w:t xml:space="preserve"> a través del Sistema de Acceso a la Información Mexiquense (SAIMEX). </w:t>
      </w:r>
    </w:p>
    <w:p w14:paraId="093001E1" w14:textId="77777777" w:rsidR="000A72E1" w:rsidRPr="00D0413A" w:rsidRDefault="00E4793C">
      <w:pPr>
        <w:spacing w:before="240" w:after="24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b/>
          <w:bCs/>
        </w:rPr>
        <w:lastRenderedPageBreak/>
        <w:t>2</w:t>
      </w:r>
      <w:r w:rsidRPr="00D0413A">
        <w:rPr>
          <w:rFonts w:ascii="Palatino Linotype" w:eastAsia="Palatino Linotype" w:hAnsi="Palatino Linotype" w:cs="Palatino Linotype"/>
          <w:b/>
          <w:bCs/>
          <w:sz w:val="24"/>
          <w:szCs w:val="24"/>
        </w:rPr>
        <w:t xml:space="preserve">. </w:t>
      </w:r>
      <w:r w:rsidRPr="00D0413A">
        <w:rPr>
          <w:rFonts w:ascii="Palatino Linotype" w:eastAsia="Palatino Linotype" w:hAnsi="Palatino Linotype" w:cs="Palatino Linotype"/>
          <w:b/>
          <w:bCs/>
        </w:rPr>
        <w:t>Respuesta.</w:t>
      </w:r>
      <w:r w:rsidRPr="00D0413A">
        <w:rPr>
          <w:rFonts w:ascii="Palatino Linotype" w:eastAsia="Palatino Linotype" w:hAnsi="Palatino Linotype" w:cs="Palatino Linotype"/>
        </w:rPr>
        <w:t xml:space="preserve"> Con fecha </w:t>
      </w:r>
      <w:r w:rsidRPr="00D0413A">
        <w:rPr>
          <w:rFonts w:ascii="Palatino Linotype" w:eastAsia="Palatino Linotype" w:hAnsi="Palatino Linotype" w:cs="Palatino Linotype"/>
          <w:b/>
          <w:bCs/>
        </w:rPr>
        <w:t>trece de octubre de dos mil veinticinco</w:t>
      </w:r>
      <w:r w:rsidRPr="00D0413A">
        <w:rPr>
          <w:rFonts w:ascii="Palatino Linotype" w:eastAsia="Palatino Linotype" w:hAnsi="Palatino Linotype" w:cs="Palatino Linotype"/>
        </w:rPr>
        <w:t xml:space="preserve"> el </w:t>
      </w:r>
      <w:r w:rsidRPr="00D0413A">
        <w:rPr>
          <w:rFonts w:ascii="Palatino Linotype" w:eastAsia="Palatino Linotype" w:hAnsi="Palatino Linotype" w:cs="Palatino Linotype"/>
          <w:b/>
          <w:bCs/>
        </w:rPr>
        <w:t>SUJETO OBLIGADO</w:t>
      </w:r>
      <w:r w:rsidRPr="00D0413A">
        <w:rPr>
          <w:rFonts w:ascii="Palatino Linotype" w:eastAsia="Palatino Linotype" w:hAnsi="Palatino Linotype" w:cs="Palatino Linotype"/>
        </w:rPr>
        <w:t xml:space="preserve"> envió su respuesta a la solicitud de acceso a la información a través del SAIMEX, la cual versa como sigue:</w:t>
      </w:r>
    </w:p>
    <w:p w14:paraId="11C4D4A8" w14:textId="77777777" w:rsidR="000A72E1" w:rsidRPr="00D0413A" w:rsidRDefault="00E4793C">
      <w:pPr>
        <w:spacing w:after="0" w:line="276" w:lineRule="auto"/>
        <w:ind w:left="851" w:right="843"/>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1EE22F" w14:textId="77777777" w:rsidR="000A72E1" w:rsidRPr="00D0413A" w:rsidRDefault="00E4793C">
      <w:pPr>
        <w:spacing w:after="0" w:line="276" w:lineRule="auto"/>
        <w:ind w:left="851" w:right="843"/>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Se anexa oficio númer 229C0101000300S/675/2025.</w:t>
      </w:r>
    </w:p>
    <w:p w14:paraId="06D804E9" w14:textId="77777777" w:rsidR="000A72E1" w:rsidRPr="00D0413A" w:rsidRDefault="00E4793C">
      <w:pPr>
        <w:spacing w:after="0" w:line="276" w:lineRule="auto"/>
        <w:ind w:left="851" w:right="843"/>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ATENTAMENTE</w:t>
      </w:r>
    </w:p>
    <w:p w14:paraId="28411E56" w14:textId="77777777" w:rsidR="000A72E1" w:rsidRPr="00D0413A" w:rsidRDefault="00E4793C">
      <w:pPr>
        <w:spacing w:after="0" w:line="276" w:lineRule="auto"/>
        <w:ind w:left="851" w:right="843"/>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Mtro. Carmelo Rosales Valle”</w:t>
      </w:r>
    </w:p>
    <w:p w14:paraId="65358BDA" w14:textId="77777777" w:rsidR="000A72E1" w:rsidRPr="00D0413A" w:rsidRDefault="000A72E1">
      <w:pPr>
        <w:spacing w:after="0" w:line="276" w:lineRule="auto"/>
        <w:ind w:right="843"/>
        <w:jc w:val="both"/>
        <w:rPr>
          <w:rFonts w:ascii="Palatino Linotype" w:eastAsia="Palatino Linotype" w:hAnsi="Palatino Linotype" w:cs="Palatino Linotype"/>
          <w:i/>
          <w:iCs/>
        </w:rPr>
      </w:pPr>
    </w:p>
    <w:p w14:paraId="52431664" w14:textId="77777777" w:rsidR="000A72E1" w:rsidRPr="00D0413A" w:rsidRDefault="00E4793C">
      <w:pPr>
        <w:spacing w:after="0" w:line="360" w:lineRule="auto"/>
        <w:ind w:right="-7"/>
        <w:jc w:val="both"/>
        <w:rPr>
          <w:rFonts w:ascii="Palatino Linotype" w:eastAsia="Palatino Linotype" w:hAnsi="Palatino Linotype" w:cs="Palatino Linotype"/>
        </w:rPr>
      </w:pPr>
      <w:r w:rsidRPr="00D0413A">
        <w:rPr>
          <w:rFonts w:ascii="Palatino Linotype" w:eastAsia="Palatino Linotype" w:hAnsi="Palatino Linotype" w:cs="Palatino Linotype"/>
        </w:rPr>
        <w:t>Asimismo, adjuntó a su respuesta el documento electrónico denominado OTOT 69.pdf que contiene un oficio suscrito por el jefe de la Unidad de Información, Planeación, Programación y Evaluación y Titular de la Unidad de Transparencia, mediante el cual refiere que se está a la espera de instrucciones del Presidente de la Junta de Gobierno quien es el Secretario de Bienestar para realizar los trabajos que indique la convocatoria.</w:t>
      </w:r>
    </w:p>
    <w:p w14:paraId="72BEDF41" w14:textId="77777777" w:rsidR="000A72E1" w:rsidRPr="00D0413A" w:rsidRDefault="000A72E1">
      <w:pPr>
        <w:spacing w:after="0" w:line="276" w:lineRule="auto"/>
        <w:ind w:right="843"/>
        <w:jc w:val="both"/>
        <w:rPr>
          <w:rFonts w:ascii="Palatino Linotype" w:eastAsia="Palatino Linotype" w:hAnsi="Palatino Linotype" w:cs="Palatino Linotype"/>
        </w:rPr>
      </w:pPr>
    </w:p>
    <w:p w14:paraId="1F87B428" w14:textId="77777777" w:rsidR="000A72E1" w:rsidRPr="00D0413A" w:rsidRDefault="00E4793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b/>
          <w:bCs/>
        </w:rPr>
        <w:t>3. Interposición del Recurso de Revisión</w:t>
      </w:r>
      <w:r w:rsidRPr="00D0413A">
        <w:rPr>
          <w:rFonts w:ascii="Palatino Linotype" w:eastAsia="Palatino Linotype" w:hAnsi="Palatino Linotype" w:cs="Palatino Linotype"/>
        </w:rPr>
        <w:t xml:space="preserve">. La parte Solicitante, derivado de la respuesta del </w:t>
      </w:r>
      <w:r w:rsidRPr="00D0413A">
        <w:rPr>
          <w:rFonts w:ascii="Palatino Linotype" w:eastAsia="Palatino Linotype" w:hAnsi="Palatino Linotype" w:cs="Palatino Linotype"/>
          <w:b/>
          <w:bCs/>
        </w:rPr>
        <w:t>Sujeto Obligado</w:t>
      </w:r>
      <w:r w:rsidRPr="00D0413A">
        <w:rPr>
          <w:rFonts w:ascii="Palatino Linotype" w:eastAsia="Palatino Linotype" w:hAnsi="Palatino Linotype" w:cs="Palatino Linotype"/>
        </w:rPr>
        <w:t xml:space="preserve"> interpuso Recurso de Revisión a través del </w:t>
      </w:r>
      <w:r w:rsidRPr="00D0413A">
        <w:rPr>
          <w:rFonts w:ascii="Palatino Linotype" w:eastAsia="Palatino Linotype" w:hAnsi="Palatino Linotype" w:cs="Palatino Linotype"/>
          <w:b/>
          <w:bCs/>
        </w:rPr>
        <w:t>SAIMEX</w:t>
      </w:r>
      <w:r w:rsidRPr="00D0413A">
        <w:rPr>
          <w:rFonts w:ascii="Palatino Linotype" w:eastAsia="Palatino Linotype" w:hAnsi="Palatino Linotype" w:cs="Palatino Linotype"/>
        </w:rPr>
        <w:t xml:space="preserve"> en fecha </w:t>
      </w:r>
      <w:r w:rsidRPr="00D0413A">
        <w:rPr>
          <w:rFonts w:ascii="Palatino Linotype" w:eastAsia="Palatino Linotype" w:hAnsi="Palatino Linotype" w:cs="Palatino Linotype"/>
          <w:b/>
          <w:bCs/>
        </w:rPr>
        <w:t>veintisiete de octubre de dos mil veinticinco</w:t>
      </w:r>
      <w:r w:rsidRPr="00D0413A">
        <w:rPr>
          <w:rFonts w:ascii="Palatino Linotype" w:eastAsia="Palatino Linotype" w:hAnsi="Palatino Linotype" w:cs="Palatino Linotype"/>
        </w:rPr>
        <w:t>; sin embargo, al ser día inhábil, se tuvo por presentada el veintiocho del mismo mes y año, a través del cual expresó lo siguiente:</w:t>
      </w:r>
    </w:p>
    <w:p w14:paraId="3417199B" w14:textId="77777777" w:rsidR="000A72E1" w:rsidRPr="00D0413A" w:rsidRDefault="000A72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3E1630" w14:textId="77777777" w:rsidR="000A72E1" w:rsidRPr="00D0413A" w:rsidRDefault="00E4793C">
      <w:pPr>
        <w:spacing w:after="0"/>
        <w:ind w:left="567" w:right="560"/>
        <w:jc w:val="both"/>
        <w:rPr>
          <w:rFonts w:ascii="Palatino Linotype" w:eastAsia="Palatino Linotype" w:hAnsi="Palatino Linotype" w:cs="Palatino Linotype"/>
        </w:rPr>
      </w:pPr>
      <w:bookmarkStart w:id="3" w:name="_heading=h.1xgk5muwa0oh" w:colFirst="0" w:colLast="0"/>
      <w:bookmarkEnd w:id="3"/>
      <w:r w:rsidRPr="00D0413A">
        <w:rPr>
          <w:rFonts w:ascii="Palatino Linotype" w:eastAsia="Palatino Linotype" w:hAnsi="Palatino Linotype" w:cs="Palatino Linotype"/>
          <w:b/>
          <w:bCs/>
        </w:rPr>
        <w:t xml:space="preserve">Acto impugnado. </w:t>
      </w:r>
      <w:r w:rsidRPr="00D0413A">
        <w:rPr>
          <w:rFonts w:ascii="Palatino Linotype" w:eastAsia="Palatino Linotype" w:hAnsi="Palatino Linotype" w:cs="Palatino Linotype"/>
        </w:rPr>
        <w:t>“</w:t>
      </w:r>
      <w:r w:rsidRPr="00D0413A">
        <w:rPr>
          <w:rFonts w:ascii="Palatino Linotype" w:eastAsia="Palatino Linotype" w:hAnsi="Palatino Linotype" w:cs="Palatino Linotype"/>
          <w:i/>
          <w:iCs/>
        </w:rPr>
        <w:t>la respuesta no proporciona justificación jurídica ni administrativa propia del CEDIPIEM, limitándose a trasladar la responsabilidad al Presidente, sin explicar las acciones o procedimientos internos que el CEDIPIEM debería haber ejecutado</w:t>
      </w:r>
      <w:r w:rsidRPr="00D0413A">
        <w:rPr>
          <w:rFonts w:ascii="Palatino Linotype" w:eastAsia="Palatino Linotype" w:hAnsi="Palatino Linotype" w:cs="Palatino Linotype"/>
        </w:rPr>
        <w:t xml:space="preserve">”. </w:t>
      </w:r>
    </w:p>
    <w:p w14:paraId="69E62932" w14:textId="77777777" w:rsidR="000A72E1" w:rsidRPr="00D0413A" w:rsidRDefault="000A72E1">
      <w:pPr>
        <w:spacing w:after="0"/>
        <w:ind w:left="567" w:right="560"/>
        <w:jc w:val="both"/>
        <w:rPr>
          <w:rFonts w:ascii="Palatino Linotype" w:eastAsia="Palatino Linotype" w:hAnsi="Palatino Linotype" w:cs="Palatino Linotype"/>
        </w:rPr>
      </w:pPr>
    </w:p>
    <w:p w14:paraId="3DC74373" w14:textId="77777777" w:rsidR="000A72E1" w:rsidRPr="00D0413A" w:rsidRDefault="00E4793C">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b/>
          <w:bCs/>
          <w:i/>
          <w:iCs/>
        </w:rPr>
      </w:pPr>
      <w:r w:rsidRPr="00D0413A">
        <w:rPr>
          <w:rFonts w:ascii="Palatino Linotype" w:eastAsia="Palatino Linotype" w:hAnsi="Palatino Linotype" w:cs="Palatino Linotype"/>
          <w:b/>
          <w:bCs/>
        </w:rPr>
        <w:t xml:space="preserve">Razones o motivos de la inconformidad: </w:t>
      </w:r>
      <w:r w:rsidRPr="00D0413A">
        <w:rPr>
          <w:rFonts w:ascii="Palatino Linotype" w:eastAsia="Palatino Linotype" w:hAnsi="Palatino Linotype" w:cs="Palatino Linotype"/>
          <w:i/>
          <w:iCs/>
        </w:rPr>
        <w:t xml:space="preserve">“la respuesta es insuficiente ya que no proporciona argumentos jurídicos ni administrativos propios del CEDIPIEM sobre la </w:t>
      </w:r>
      <w:r w:rsidRPr="00D0413A">
        <w:rPr>
          <w:rFonts w:ascii="Palatino Linotype" w:eastAsia="Palatino Linotype" w:hAnsi="Palatino Linotype" w:cs="Palatino Linotype"/>
          <w:i/>
          <w:iCs/>
        </w:rPr>
        <w:lastRenderedPageBreak/>
        <w:t xml:space="preserve">demora en la renovación de representantes indígenas. Esta omisión vulnera los principios de máxima publicidad, veracidad y exhaustividad, al no entregar información concreta sobre los procedimientos internos, acuerdos o documentación interna relacionada con la renovación de los representantes indígenas. La situación podría configurar omisión de funciones o responsabilidad administrativa, dado que el CEDIPIEM tiene obligación de gestionar los procedimientos internos y garantizar la renovación conforme a la Ley, sin que pueda limitarse a atribuir la responsabilidad al Presidente de la Junta. Se dé vista al Órgano Interno de Control (OIC) del CEDIPIEM para que investigue la posible omisión de funciones o irregularidades administrativas derivadas de la falta de ejecución de los procedimientos de renovación de representantes indígenas”. </w:t>
      </w:r>
    </w:p>
    <w:p w14:paraId="207355EA" w14:textId="77777777" w:rsidR="000A72E1" w:rsidRPr="00D0413A" w:rsidRDefault="000A72E1">
      <w:pPr>
        <w:spacing w:after="0" w:line="360" w:lineRule="auto"/>
        <w:ind w:right="49"/>
        <w:jc w:val="both"/>
        <w:rPr>
          <w:rFonts w:ascii="Palatino Linotype" w:eastAsia="Palatino Linotype" w:hAnsi="Palatino Linotype" w:cs="Palatino Linotype"/>
        </w:rPr>
      </w:pPr>
    </w:p>
    <w:p w14:paraId="03B3C243" w14:textId="77777777" w:rsidR="000A72E1" w:rsidRPr="00D0413A" w:rsidRDefault="00E4793C">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bCs/>
        </w:rPr>
      </w:pPr>
      <w:r w:rsidRPr="00D0413A">
        <w:rPr>
          <w:rFonts w:ascii="Palatino Linotype" w:eastAsia="Palatino Linotype" w:hAnsi="Palatino Linotype" w:cs="Palatino Linotype"/>
          <w:b/>
          <w:bCs/>
        </w:rPr>
        <w:t>4. Turno.</w:t>
      </w:r>
      <w:r w:rsidRPr="00D0413A">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D0413A">
        <w:rPr>
          <w:rFonts w:ascii="Palatino Linotype" w:eastAsia="Palatino Linotype" w:hAnsi="Palatino Linotype" w:cs="Palatino Linotype"/>
          <w:b/>
          <w:bCs/>
        </w:rPr>
        <w:t>12269/INFOEM/IP/RR/2025</w:t>
      </w:r>
      <w:r w:rsidRPr="00D0413A">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230260F" w14:textId="77777777" w:rsidR="000A72E1" w:rsidRPr="00D0413A" w:rsidRDefault="000A72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C30DD40" w14:textId="77777777" w:rsidR="000A72E1" w:rsidRPr="00D0413A" w:rsidRDefault="00E4793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5. </w:t>
      </w:r>
      <w:r w:rsidRPr="00D0413A">
        <w:rPr>
          <w:rFonts w:ascii="Palatino Linotype" w:eastAsia="Palatino Linotype" w:hAnsi="Palatino Linotype" w:cs="Palatino Linotype"/>
          <w:b/>
          <w:bCs/>
        </w:rPr>
        <w:t>Admisión del recurso de revisión</w:t>
      </w:r>
      <w:r w:rsidRPr="00D0413A">
        <w:rPr>
          <w:rFonts w:ascii="Palatino Linotype" w:eastAsia="Palatino Linotype" w:hAnsi="Palatino Linotype" w:cs="Palatino Linotype"/>
        </w:rPr>
        <w:t xml:space="preserve">: En fecha </w:t>
      </w:r>
      <w:r w:rsidRPr="00D0413A">
        <w:rPr>
          <w:rFonts w:ascii="Palatino Linotype" w:eastAsia="Palatino Linotype" w:hAnsi="Palatino Linotype" w:cs="Palatino Linotype"/>
          <w:b/>
          <w:bCs/>
        </w:rPr>
        <w:t>treinta y uno de octubre de dos mil veinticinco</w:t>
      </w:r>
      <w:r w:rsidRPr="00D0413A">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9A4A4E2" w14:textId="77777777" w:rsidR="000A72E1" w:rsidRPr="00D0413A" w:rsidRDefault="000A72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C565AA0" w14:textId="77777777" w:rsidR="000A72E1" w:rsidRPr="00D0413A" w:rsidRDefault="00E4793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b/>
          <w:bCs/>
        </w:rPr>
        <w:t xml:space="preserve">6. Manifestaciones. </w:t>
      </w:r>
      <w:r w:rsidRPr="00D0413A">
        <w:rPr>
          <w:rFonts w:ascii="Palatino Linotype" w:eastAsia="Palatino Linotype" w:hAnsi="Palatino Linotype" w:cs="Palatino Linotype"/>
        </w:rPr>
        <w:t xml:space="preserve">En fecha el </w:t>
      </w:r>
      <w:r w:rsidRPr="00D0413A">
        <w:rPr>
          <w:rFonts w:ascii="Palatino Linotype" w:eastAsia="Palatino Linotype" w:hAnsi="Palatino Linotype" w:cs="Palatino Linotype"/>
          <w:b/>
          <w:bCs/>
        </w:rPr>
        <w:t>once de noviembre de dos mil veinticinco</w:t>
      </w:r>
      <w:r w:rsidRPr="00D0413A">
        <w:rPr>
          <w:rFonts w:ascii="Palatino Linotype" w:eastAsia="Palatino Linotype" w:hAnsi="Palatino Linotype" w:cs="Palatino Linotype"/>
        </w:rPr>
        <w:t xml:space="preserve">, el </w:t>
      </w:r>
      <w:r w:rsidRPr="00D0413A">
        <w:rPr>
          <w:rFonts w:ascii="Palatino Linotype" w:eastAsia="Palatino Linotype" w:hAnsi="Palatino Linotype" w:cs="Palatino Linotype"/>
          <w:b/>
          <w:bCs/>
        </w:rPr>
        <w:t>Sujeto Obligado</w:t>
      </w:r>
      <w:r w:rsidRPr="00D0413A">
        <w:rPr>
          <w:rFonts w:ascii="Palatino Linotype" w:eastAsia="Palatino Linotype" w:hAnsi="Palatino Linotype" w:cs="Palatino Linotype"/>
        </w:rPr>
        <w:t xml:space="preserve"> rindió su informe justificado, a través del cual ratifica su respuesta inicial, solicitando que el recurso de revisión sea sobreseído. El contenido del informe justificado se puso a disposición del Recurrente el </w:t>
      </w:r>
      <w:r w:rsidRPr="00D0413A">
        <w:rPr>
          <w:rFonts w:ascii="Palatino Linotype" w:eastAsia="Palatino Linotype" w:hAnsi="Palatino Linotype" w:cs="Palatino Linotype"/>
          <w:b/>
          <w:bCs/>
        </w:rPr>
        <w:t>veintisiete de noviembre de dos mil veinticinco</w:t>
      </w:r>
      <w:r w:rsidRPr="00D0413A">
        <w:rPr>
          <w:rFonts w:ascii="Palatino Linotype" w:eastAsia="Palatino Linotype" w:hAnsi="Palatino Linotype" w:cs="Palatino Linotype"/>
        </w:rPr>
        <w:t>.</w:t>
      </w:r>
    </w:p>
    <w:p w14:paraId="47DF94E0" w14:textId="77777777" w:rsidR="000A72E1" w:rsidRPr="00D0413A" w:rsidRDefault="000A72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75F2CD0" w14:textId="77777777" w:rsidR="000A72E1" w:rsidRPr="00D0413A" w:rsidRDefault="00E4793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b/>
          <w:bCs/>
        </w:rPr>
        <w:t>8. Cierre de instrucción</w:t>
      </w:r>
      <w:r w:rsidRPr="00D0413A">
        <w:rPr>
          <w:rFonts w:ascii="Palatino Linotype" w:eastAsia="Palatino Linotype" w:hAnsi="Palatino Linotype" w:cs="Palatino Linotype"/>
        </w:rPr>
        <w:t xml:space="preserve">. En fecha </w:t>
      </w:r>
      <w:r w:rsidRPr="00D0413A">
        <w:rPr>
          <w:rFonts w:ascii="Palatino Linotype" w:eastAsia="Palatino Linotype" w:hAnsi="Palatino Linotype" w:cs="Palatino Linotype"/>
          <w:b/>
          <w:bCs/>
        </w:rPr>
        <w:t>tres de diciembre de dos mil veinticinco</w:t>
      </w:r>
      <w:r w:rsidRPr="00D0413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94726CA" w14:textId="77777777" w:rsidR="000A72E1" w:rsidRPr="00D0413A" w:rsidRDefault="000A72E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9A7FD8E" w14:textId="77777777" w:rsidR="000A72E1" w:rsidRPr="00D0413A" w:rsidRDefault="00E4793C">
      <w:pP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CB7192F" w14:textId="77777777" w:rsidR="000A72E1" w:rsidRPr="00D0413A" w:rsidRDefault="000A72E1">
      <w:pPr>
        <w:spacing w:after="0" w:line="360" w:lineRule="auto"/>
        <w:ind w:right="49"/>
        <w:jc w:val="both"/>
        <w:rPr>
          <w:rFonts w:ascii="Palatino Linotype" w:eastAsia="Palatino Linotype" w:hAnsi="Palatino Linotype" w:cs="Palatino Linotype"/>
        </w:rPr>
      </w:pPr>
    </w:p>
    <w:p w14:paraId="274E0FCB" w14:textId="77777777" w:rsidR="000A72E1" w:rsidRPr="00D0413A" w:rsidRDefault="00E4793C">
      <w:pPr>
        <w:spacing w:after="0" w:line="360" w:lineRule="auto"/>
        <w:ind w:right="49"/>
        <w:jc w:val="center"/>
        <w:rPr>
          <w:rFonts w:ascii="Palatino Linotype" w:eastAsia="Palatino Linotype" w:hAnsi="Palatino Linotype" w:cs="Palatino Linotype"/>
          <w:b/>
          <w:bCs/>
        </w:rPr>
      </w:pPr>
      <w:r w:rsidRPr="00D0413A">
        <w:rPr>
          <w:rFonts w:ascii="Palatino Linotype" w:eastAsia="Palatino Linotype" w:hAnsi="Palatino Linotype" w:cs="Palatino Linotype"/>
          <w:b/>
          <w:bCs/>
        </w:rPr>
        <w:t>II.</w:t>
      </w:r>
      <w:r w:rsidRPr="00D0413A">
        <w:rPr>
          <w:rFonts w:ascii="Palatino Linotype" w:eastAsia="Palatino Linotype" w:hAnsi="Palatino Linotype" w:cs="Palatino Linotype"/>
          <w:b/>
          <w:bCs/>
        </w:rPr>
        <w:tab/>
        <w:t>C O N S I D E R A N D O:</w:t>
      </w:r>
    </w:p>
    <w:p w14:paraId="78C0B1EA" w14:textId="77777777" w:rsidR="000A72E1" w:rsidRPr="00D0413A" w:rsidRDefault="000A72E1">
      <w:pPr>
        <w:spacing w:after="0" w:line="360" w:lineRule="auto"/>
        <w:ind w:right="49"/>
        <w:jc w:val="both"/>
        <w:rPr>
          <w:rFonts w:ascii="Palatino Linotype" w:eastAsia="Palatino Linotype" w:hAnsi="Palatino Linotype" w:cs="Palatino Linotype"/>
        </w:rPr>
      </w:pPr>
    </w:p>
    <w:p w14:paraId="13764FAD"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b/>
          <w:bCs/>
        </w:rPr>
        <w:t>Primero. Competencia.</w:t>
      </w:r>
      <w:r w:rsidRPr="00D0413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D0413A">
        <w:rPr>
          <w:rFonts w:ascii="Palatino Linotype" w:eastAsia="Palatino Linotype" w:hAnsi="Palatino Linotype" w:cs="Palatino Linotype"/>
          <w:b/>
          <w:bCs/>
        </w:rPr>
        <w:t>Recurrente</w:t>
      </w:r>
      <w:r w:rsidRPr="00D0413A">
        <w:rPr>
          <w:rFonts w:ascii="Palatino Linotype" w:eastAsia="Palatino Linotype" w:hAnsi="Palatino Linotype" w:cs="Palatino Linotype"/>
        </w:rPr>
        <w:t>,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CDB6874" w14:textId="77777777" w:rsidR="000A72E1" w:rsidRPr="00D0413A" w:rsidRDefault="000A72E1">
      <w:pPr>
        <w:spacing w:after="0" w:line="360" w:lineRule="auto"/>
        <w:ind w:right="49"/>
        <w:jc w:val="both"/>
        <w:rPr>
          <w:rFonts w:ascii="Palatino Linotype" w:eastAsia="Palatino Linotype" w:hAnsi="Palatino Linotype" w:cs="Palatino Linotype"/>
        </w:rPr>
      </w:pPr>
    </w:p>
    <w:p w14:paraId="4843045B"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b/>
          <w:bCs/>
        </w:rPr>
        <w:t>Segundo. Oportunidad y Procedibilidad del Recurso de Revisión</w:t>
      </w:r>
      <w:r w:rsidRPr="00D0413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E0AE535" w14:textId="77777777" w:rsidR="000A72E1" w:rsidRPr="00D0413A" w:rsidRDefault="000A72E1">
      <w:pPr>
        <w:spacing w:after="0" w:line="360" w:lineRule="auto"/>
        <w:jc w:val="both"/>
        <w:rPr>
          <w:rFonts w:ascii="Palatino Linotype" w:eastAsia="Palatino Linotype" w:hAnsi="Palatino Linotype" w:cs="Palatino Linotype"/>
        </w:rPr>
      </w:pPr>
    </w:p>
    <w:p w14:paraId="13080D68" w14:textId="77777777" w:rsidR="000A72E1" w:rsidRPr="00D0413A" w:rsidRDefault="00E4793C">
      <w:pPr>
        <w:spacing w:after="0" w:line="360" w:lineRule="auto"/>
        <w:jc w:val="both"/>
        <w:rPr>
          <w:rFonts w:ascii="Palatino Linotype" w:eastAsia="Palatino Linotype" w:hAnsi="Palatino Linotype" w:cs="Palatino Linotype"/>
        </w:rPr>
      </w:pPr>
      <w:bookmarkStart w:id="4" w:name="_heading=h.3znysh7" w:colFirst="0" w:colLast="0"/>
      <w:bookmarkEnd w:id="4"/>
      <w:r w:rsidRPr="00D0413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0413A">
        <w:rPr>
          <w:rFonts w:ascii="Palatino Linotype" w:eastAsia="Palatino Linotype" w:hAnsi="Palatino Linotype" w:cs="Palatino Linotype"/>
          <w:b/>
          <w:bCs/>
        </w:rPr>
        <w:t>Sujeto Obligado</w:t>
      </w:r>
      <w:r w:rsidRPr="00D0413A">
        <w:rPr>
          <w:rFonts w:ascii="Palatino Linotype" w:eastAsia="Palatino Linotype" w:hAnsi="Palatino Linotype" w:cs="Palatino Linotype"/>
        </w:rPr>
        <w:t xml:space="preserve"> remitió respuesta el </w:t>
      </w:r>
      <w:r w:rsidRPr="00D0413A">
        <w:rPr>
          <w:rFonts w:ascii="Palatino Linotype" w:eastAsia="Palatino Linotype" w:hAnsi="Palatino Linotype" w:cs="Palatino Linotype"/>
          <w:b/>
          <w:bCs/>
        </w:rPr>
        <w:t>trece de octubre de dos mil veinticinco</w:t>
      </w:r>
      <w:r w:rsidRPr="00D0413A">
        <w:rPr>
          <w:rFonts w:ascii="Palatino Linotype" w:eastAsia="Palatino Linotype" w:hAnsi="Palatino Linotype" w:cs="Palatino Linotype"/>
        </w:rPr>
        <w:t>,</w:t>
      </w:r>
      <w:r w:rsidRPr="00D0413A">
        <w:rPr>
          <w:rFonts w:ascii="Palatino Linotype" w:eastAsia="Palatino Linotype" w:hAnsi="Palatino Linotype" w:cs="Palatino Linotype"/>
          <w:b/>
          <w:bCs/>
        </w:rPr>
        <w:t xml:space="preserve"> </w:t>
      </w:r>
      <w:r w:rsidRPr="00D0413A">
        <w:rPr>
          <w:rFonts w:ascii="Palatino Linotype" w:eastAsia="Palatino Linotype" w:hAnsi="Palatino Linotype" w:cs="Palatino Linotype"/>
        </w:rPr>
        <w:t xml:space="preserve">mientras que el recurso de revisión interpuesto por la parte </w:t>
      </w:r>
      <w:r w:rsidRPr="00D0413A">
        <w:rPr>
          <w:rFonts w:ascii="Palatino Linotype" w:eastAsia="Palatino Linotype" w:hAnsi="Palatino Linotype" w:cs="Palatino Linotype"/>
          <w:b/>
          <w:bCs/>
        </w:rPr>
        <w:t>Recurrente</w:t>
      </w:r>
      <w:r w:rsidRPr="00D0413A">
        <w:rPr>
          <w:rFonts w:ascii="Palatino Linotype" w:eastAsia="Palatino Linotype" w:hAnsi="Palatino Linotype" w:cs="Palatino Linotype"/>
        </w:rPr>
        <w:t xml:space="preserve">, se tuvo por presentado el </w:t>
      </w:r>
      <w:r w:rsidRPr="00D0413A">
        <w:rPr>
          <w:rFonts w:ascii="Palatino Linotype" w:eastAsia="Palatino Linotype" w:hAnsi="Palatino Linotype" w:cs="Palatino Linotype"/>
          <w:b/>
          <w:bCs/>
        </w:rPr>
        <w:t>veintiocho de octubre de dos mil veinticinco</w:t>
      </w:r>
      <w:r w:rsidRPr="00D0413A">
        <w:rPr>
          <w:rFonts w:ascii="Palatino Linotype" w:eastAsia="Palatino Linotype" w:hAnsi="Palatino Linotype" w:cs="Palatino Linotype"/>
        </w:rPr>
        <w:t xml:space="preserve">, esto es, al </w:t>
      </w:r>
      <w:r w:rsidRPr="00D0413A">
        <w:rPr>
          <w:rFonts w:ascii="Palatino Linotype" w:eastAsia="Palatino Linotype" w:hAnsi="Palatino Linotype" w:cs="Palatino Linotype"/>
          <w:b/>
          <w:bCs/>
        </w:rPr>
        <w:t>décimo primer día hábil</w:t>
      </w:r>
      <w:r w:rsidRPr="00D0413A">
        <w:rPr>
          <w:rFonts w:ascii="Palatino Linotype" w:eastAsia="Palatino Linotype" w:hAnsi="Palatino Linotype" w:cs="Palatino Linotype"/>
        </w:rPr>
        <w:t xml:space="preserve"> en que se tuvo conocimiento de la respuesta. </w:t>
      </w:r>
    </w:p>
    <w:p w14:paraId="36F6F884" w14:textId="77777777" w:rsidR="000A72E1" w:rsidRPr="00D0413A" w:rsidRDefault="000A72E1">
      <w:pPr>
        <w:spacing w:after="0" w:line="360" w:lineRule="auto"/>
        <w:jc w:val="both"/>
        <w:rPr>
          <w:rFonts w:ascii="Palatino Linotype" w:eastAsia="Palatino Linotype" w:hAnsi="Palatino Linotype" w:cs="Palatino Linotype"/>
        </w:rPr>
      </w:pPr>
    </w:p>
    <w:p w14:paraId="3BA8C076" w14:textId="77777777" w:rsidR="000A72E1" w:rsidRPr="00D0413A" w:rsidRDefault="00E4793C">
      <w:pPr>
        <w:spacing w:after="0" w:line="360" w:lineRule="auto"/>
        <w:jc w:val="both"/>
        <w:rPr>
          <w:rFonts w:ascii="Palatino Linotype" w:eastAsia="Palatino Linotype" w:hAnsi="Palatino Linotype" w:cs="Palatino Linotype"/>
          <w:b/>
          <w:bCs/>
        </w:rPr>
      </w:pPr>
      <w:r w:rsidRPr="00D0413A">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D0413A">
        <w:rPr>
          <w:rFonts w:ascii="Palatino Linotype" w:eastAsia="Palatino Linotype" w:hAnsi="Palatino Linotype" w:cs="Palatino Linotype"/>
          <w:b/>
          <w:bCs/>
        </w:rPr>
        <w:t>SAIMEX.</w:t>
      </w:r>
    </w:p>
    <w:p w14:paraId="53EC46E8" w14:textId="77777777" w:rsidR="000A72E1" w:rsidRPr="00D0413A" w:rsidRDefault="000A72E1">
      <w:pPr>
        <w:spacing w:after="0" w:line="360" w:lineRule="auto"/>
        <w:jc w:val="both"/>
        <w:rPr>
          <w:rFonts w:ascii="Palatino Linotype" w:eastAsia="Palatino Linotype" w:hAnsi="Palatino Linotype" w:cs="Palatino Linotype"/>
          <w:b/>
          <w:bCs/>
        </w:rPr>
      </w:pPr>
    </w:p>
    <w:p w14:paraId="2A691C88"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D78569D" w14:textId="77777777" w:rsidR="000A72E1" w:rsidRPr="00D0413A" w:rsidRDefault="00E4793C">
      <w:pPr>
        <w:spacing w:after="0" w:line="360" w:lineRule="auto"/>
        <w:ind w:left="426" w:right="701"/>
        <w:jc w:val="both"/>
        <w:rPr>
          <w:rFonts w:ascii="Palatino Linotype" w:eastAsia="Palatino Linotype" w:hAnsi="Palatino Linotype" w:cs="Palatino Linotype"/>
        </w:rPr>
      </w:pPr>
      <w:r w:rsidRPr="00D0413A">
        <w:rPr>
          <w:rFonts w:ascii="Palatino Linotype" w:eastAsia="Palatino Linotype" w:hAnsi="Palatino Linotype" w:cs="Palatino Linotype"/>
          <w:b/>
          <w:bCs/>
        </w:rPr>
        <w:br/>
      </w:r>
      <w:r w:rsidRPr="00D0413A">
        <w:rPr>
          <w:rFonts w:ascii="Palatino Linotype" w:eastAsia="Palatino Linotype" w:hAnsi="Palatino Linotype" w:cs="Palatino Linotype"/>
          <w:b/>
          <w:bCs/>
          <w:i/>
          <w:iCs/>
        </w:rPr>
        <w:t xml:space="preserve">"Las solicitudes anónimas, </w:t>
      </w:r>
      <w:r w:rsidRPr="00D0413A">
        <w:rPr>
          <w:rFonts w:ascii="Palatino Linotype" w:eastAsia="Palatino Linotype" w:hAnsi="Palatino Linotype" w:cs="Palatino Linotype"/>
          <w:i/>
          <w:iCs/>
        </w:rPr>
        <w:t>con nombre incompleto o seudónimo </w:t>
      </w:r>
      <w:r w:rsidRPr="00D0413A">
        <w:rPr>
          <w:rFonts w:ascii="Palatino Linotype" w:eastAsia="Palatino Linotype" w:hAnsi="Palatino Linotype" w:cs="Palatino Linotype"/>
          <w:b/>
          <w:bCs/>
          <w:i/>
          <w:iCs/>
        </w:rPr>
        <w:t>serán procedentes para su trámite por parte del sujeto obligado ante quien se presente.</w:t>
      </w:r>
      <w:r w:rsidRPr="00D0413A">
        <w:rPr>
          <w:rFonts w:ascii="Palatino Linotype" w:eastAsia="Palatino Linotype" w:hAnsi="Palatino Linotype" w:cs="Palatino Linotype"/>
          <w:i/>
          <w:iCs/>
        </w:rPr>
        <w:t xml:space="preserve"> No podrá requerirse información adicional con motivo del nombre proporcionado por el solicitante."</w:t>
      </w:r>
    </w:p>
    <w:p w14:paraId="2C9F8A45" w14:textId="77777777" w:rsidR="000A72E1" w:rsidRPr="00D0413A" w:rsidRDefault="000A72E1">
      <w:pPr>
        <w:spacing w:after="0" w:line="360" w:lineRule="auto"/>
        <w:jc w:val="both"/>
        <w:rPr>
          <w:rFonts w:ascii="Palatino Linotype" w:eastAsia="Palatino Linotype" w:hAnsi="Palatino Linotype" w:cs="Palatino Linotype"/>
        </w:rPr>
      </w:pPr>
    </w:p>
    <w:p w14:paraId="7F884C9C"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Finalmente, se advierte que resulta procedente la interposición del recurso, según lo manifestado por el recurrente en sus motivos de inconformidad, de acuerdo con el artículo 179, fracción VI del ordenamiento legal citado, que a la letra dice: </w:t>
      </w:r>
    </w:p>
    <w:p w14:paraId="2AEFEAD1" w14:textId="77777777" w:rsidR="000A72E1" w:rsidRPr="00D0413A" w:rsidRDefault="000A72E1">
      <w:pPr>
        <w:spacing w:after="0" w:line="360" w:lineRule="auto"/>
        <w:jc w:val="both"/>
        <w:rPr>
          <w:rFonts w:ascii="Palatino Linotype" w:eastAsia="Palatino Linotype" w:hAnsi="Palatino Linotype" w:cs="Palatino Linotype"/>
        </w:rPr>
      </w:pPr>
    </w:p>
    <w:p w14:paraId="51102E5D" w14:textId="77777777" w:rsidR="000A72E1" w:rsidRPr="00D0413A" w:rsidRDefault="00E4793C">
      <w:pPr>
        <w:spacing w:after="0" w:line="276" w:lineRule="auto"/>
        <w:ind w:left="851"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r w:rsidRPr="00D0413A">
        <w:rPr>
          <w:rFonts w:ascii="Palatino Linotype" w:eastAsia="Palatino Linotype" w:hAnsi="Palatino Linotype" w:cs="Palatino Linotype"/>
          <w:b/>
          <w:bCs/>
          <w:i/>
          <w:iCs/>
        </w:rPr>
        <w:t>Artículo 179.</w:t>
      </w:r>
      <w:r w:rsidRPr="00D0413A">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74CF88D6" w14:textId="77777777" w:rsidR="000A72E1" w:rsidRPr="00D0413A" w:rsidRDefault="00E4793C">
      <w:pPr>
        <w:spacing w:after="0" w:line="276" w:lineRule="auto"/>
        <w:ind w:left="851"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p>
    <w:p w14:paraId="58C17EE3" w14:textId="77777777" w:rsidR="000A72E1" w:rsidRPr="00D0413A" w:rsidRDefault="00E4793C">
      <w:pPr>
        <w:spacing w:after="0" w:line="276" w:lineRule="auto"/>
        <w:ind w:left="851"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b/>
          <w:bCs/>
          <w:i/>
          <w:iCs/>
        </w:rPr>
        <w:t xml:space="preserve">VI. </w:t>
      </w:r>
      <w:r w:rsidRPr="00D0413A">
        <w:rPr>
          <w:rFonts w:ascii="Palatino Linotype" w:eastAsia="Palatino Linotype" w:hAnsi="Palatino Linotype" w:cs="Palatino Linotype"/>
          <w:i/>
          <w:iCs/>
        </w:rPr>
        <w:t>La entrega de información que no corresponda con lo solicitado;</w:t>
      </w:r>
    </w:p>
    <w:p w14:paraId="122DC221" w14:textId="77777777" w:rsidR="000A72E1" w:rsidRPr="00D0413A" w:rsidRDefault="00E4793C">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p>
    <w:p w14:paraId="007D228A" w14:textId="77777777" w:rsidR="000A72E1" w:rsidRPr="00D0413A" w:rsidRDefault="000A72E1">
      <w:pPr>
        <w:spacing w:after="0" w:line="360" w:lineRule="auto"/>
        <w:jc w:val="both"/>
        <w:rPr>
          <w:rFonts w:ascii="Palatino Linotype" w:eastAsia="Palatino Linotype" w:hAnsi="Palatino Linotype" w:cs="Palatino Linotype"/>
        </w:rPr>
      </w:pPr>
    </w:p>
    <w:p w14:paraId="5BA2C499"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b/>
          <w:bCs/>
        </w:rPr>
        <w:t xml:space="preserve">Tercero. Análisis de las causales de sobreseimiento. </w:t>
      </w:r>
      <w:r w:rsidRPr="00D0413A">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E5D11D4" w14:textId="77777777" w:rsidR="000A72E1" w:rsidRPr="00D0413A" w:rsidRDefault="000A72E1">
      <w:pPr>
        <w:spacing w:after="0" w:line="360" w:lineRule="auto"/>
        <w:jc w:val="both"/>
        <w:rPr>
          <w:rFonts w:ascii="Palatino Linotype" w:eastAsia="Palatino Linotype" w:hAnsi="Palatino Linotype" w:cs="Palatino Linotype"/>
        </w:rPr>
      </w:pPr>
    </w:p>
    <w:p w14:paraId="2381B4B4"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1FE2A31" w14:textId="77777777" w:rsidR="000A72E1" w:rsidRPr="00D0413A" w:rsidRDefault="000A72E1">
      <w:pPr>
        <w:spacing w:after="0" w:line="360" w:lineRule="auto"/>
        <w:jc w:val="both"/>
        <w:rPr>
          <w:rFonts w:ascii="Palatino Linotype" w:eastAsia="Palatino Linotype" w:hAnsi="Palatino Linotype" w:cs="Palatino Linotype"/>
        </w:rPr>
      </w:pPr>
    </w:p>
    <w:p w14:paraId="4EA57A9C"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Dicho lo anterior, es de mencionar que del análisis de la solicitud de información se advierte que la pretensión de la parte </w:t>
      </w:r>
      <w:r w:rsidRPr="00D0413A">
        <w:rPr>
          <w:rFonts w:ascii="Palatino Linotype" w:eastAsia="Palatino Linotype" w:hAnsi="Palatino Linotype" w:cs="Palatino Linotype"/>
          <w:b/>
          <w:bCs/>
        </w:rPr>
        <w:t>Recurrente</w:t>
      </w:r>
      <w:r w:rsidRPr="00D0413A">
        <w:rPr>
          <w:rFonts w:ascii="Palatino Linotype" w:eastAsia="Palatino Linotype" w:hAnsi="Palatino Linotype" w:cs="Palatino Linotype"/>
        </w:rPr>
        <w:t xml:space="preserve"> es obtener la siguiente información:</w:t>
      </w:r>
    </w:p>
    <w:p w14:paraId="3D5D8039" w14:textId="77777777" w:rsidR="000A72E1" w:rsidRPr="00D0413A" w:rsidRDefault="000A72E1">
      <w:pPr>
        <w:spacing w:after="0" w:line="360" w:lineRule="auto"/>
        <w:jc w:val="both"/>
        <w:rPr>
          <w:rFonts w:ascii="Palatino Linotype" w:eastAsia="Palatino Linotype" w:hAnsi="Palatino Linotype" w:cs="Palatino Linotype"/>
        </w:rPr>
      </w:pPr>
    </w:p>
    <w:p w14:paraId="470CE479" w14:textId="77777777" w:rsidR="000A72E1" w:rsidRPr="00D0413A" w:rsidRDefault="00E4793C">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D0413A">
        <w:rPr>
          <w:rFonts w:ascii="Palatino Linotype" w:eastAsia="Palatino Linotype" w:hAnsi="Palatino Linotype" w:cs="Palatino Linotype"/>
          <w:b/>
          <w:bCs/>
        </w:rPr>
        <w:t>Solicito justificación jurídica y administrativa de por qué no se han renovado los representantes indígenas ante la Junta de Gobierno del CEDIPIEM.</w:t>
      </w:r>
    </w:p>
    <w:p w14:paraId="54A5C0A9" w14:textId="77777777" w:rsidR="000A72E1" w:rsidRPr="00D0413A" w:rsidRDefault="000A72E1">
      <w:pPr>
        <w:spacing w:after="0" w:line="360" w:lineRule="auto"/>
        <w:ind w:right="843"/>
        <w:jc w:val="both"/>
        <w:rPr>
          <w:rFonts w:ascii="Palatino Linotype" w:eastAsia="Palatino Linotype" w:hAnsi="Palatino Linotype" w:cs="Palatino Linotype"/>
        </w:rPr>
      </w:pPr>
    </w:p>
    <w:p w14:paraId="75DCF0E7" w14:textId="77777777" w:rsidR="000A72E1" w:rsidRPr="00D0413A" w:rsidRDefault="00E4793C">
      <w:pPr>
        <w:spacing w:after="0" w:line="360" w:lineRule="auto"/>
        <w:ind w:right="-7"/>
        <w:jc w:val="both"/>
        <w:rPr>
          <w:rFonts w:ascii="Palatino Linotype" w:eastAsia="Palatino Linotype" w:hAnsi="Palatino Linotype" w:cs="Palatino Linotype"/>
        </w:rPr>
      </w:pPr>
      <w:r w:rsidRPr="00D0413A">
        <w:rPr>
          <w:rFonts w:ascii="Palatino Linotype" w:eastAsia="Palatino Linotype" w:hAnsi="Palatino Linotype" w:cs="Palatino Linotype"/>
        </w:rPr>
        <w:t>El Sujeto Obligado, a través de la respuesta indicó que, se está a la espera de instrucciones del Presidente de la Junta de Gobierno quien es el Secretario de Bienestar para realizar los trabajos que indique la convocatoria.</w:t>
      </w:r>
    </w:p>
    <w:p w14:paraId="3812C222" w14:textId="77777777" w:rsidR="000A72E1" w:rsidRPr="00D0413A" w:rsidRDefault="000A72E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2AE61B3" w14:textId="77777777" w:rsidR="000A72E1" w:rsidRPr="00D0413A" w:rsidRDefault="00E4793C">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Conocida la respuesta, el Recurrente se inconformó manifestando que no se proporcionó lo requerido, que se limitó a trasladar la responsabilidad al Presidente, sin </w:t>
      </w:r>
      <w:r w:rsidRPr="00D0413A">
        <w:rPr>
          <w:rFonts w:ascii="Palatino Linotype" w:eastAsia="Palatino Linotype" w:hAnsi="Palatino Linotype" w:cs="Palatino Linotype"/>
          <w:b/>
          <w:bCs/>
        </w:rPr>
        <w:t xml:space="preserve">explicar </w:t>
      </w:r>
      <w:r w:rsidRPr="00D0413A">
        <w:rPr>
          <w:rFonts w:ascii="Palatino Linotype" w:eastAsia="Palatino Linotype" w:hAnsi="Palatino Linotype" w:cs="Palatino Linotype"/>
        </w:rPr>
        <w:t>las acciones o procedimientos internos que el Sujeto Obligado debería haber ejecutado. Enfatizando que la respuesta es insuficiente, que la omisión vulnera los principios de máxima publicidad, así como una omisión de funciones o responsabilidades administrativas, por lo que pide que se de vista al Órgano Interno de Control del Sujeto Obligado.</w:t>
      </w:r>
    </w:p>
    <w:p w14:paraId="36E6F794" w14:textId="77777777" w:rsidR="000A72E1" w:rsidRPr="00D0413A" w:rsidRDefault="000A72E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5B4C3A7" w14:textId="77777777" w:rsidR="000A72E1" w:rsidRPr="00D0413A" w:rsidRDefault="00E4793C">
      <w:pPr>
        <w:pBdr>
          <w:top w:val="nil"/>
          <w:left w:val="nil"/>
          <w:bottom w:val="nil"/>
          <w:right w:val="nil"/>
          <w:between w:val="nil"/>
        </w:pBdr>
        <w:spacing w:line="360" w:lineRule="auto"/>
        <w:ind w:right="49"/>
        <w:jc w:val="both"/>
        <w:rPr>
          <w:rFonts w:ascii="Palatino Linotype" w:eastAsia="Palatino Linotype" w:hAnsi="Palatino Linotype" w:cs="Palatino Linotype"/>
          <w:b/>
          <w:bCs/>
        </w:rPr>
      </w:pPr>
      <w:r w:rsidRPr="00D0413A">
        <w:rPr>
          <w:rFonts w:ascii="Palatino Linotype" w:eastAsia="Palatino Linotype" w:hAnsi="Palatino Linotype" w:cs="Palatino Linotype"/>
        </w:rPr>
        <w:t xml:space="preserve">Dicho esto, es necesario mencionar que de la lectura realizada a la solicitud de información, se advirtió que este versó en cuestionamientos que no pueden ser atendidos a través de la vía del Derecho de Acceso a la Información Pública, </w:t>
      </w:r>
      <w:r w:rsidRPr="00D0413A">
        <w:rPr>
          <w:rFonts w:ascii="Palatino Linotype" w:eastAsia="Palatino Linotype" w:hAnsi="Palatino Linotype" w:cs="Palatino Linotype"/>
          <w:b/>
          <w:bCs/>
        </w:rPr>
        <w:t>debido a que se tratan de un ejercicio del derecho de petición de la parte Recurrente.</w:t>
      </w:r>
    </w:p>
    <w:p w14:paraId="12C2C42C" w14:textId="77777777" w:rsidR="000A72E1" w:rsidRPr="00D0413A" w:rsidRDefault="00E4793C">
      <w:pPr>
        <w:spacing w:line="360" w:lineRule="auto"/>
        <w:jc w:val="both"/>
        <w:rPr>
          <w:rFonts w:ascii="Palatino Linotype" w:eastAsia="Palatino Linotype" w:hAnsi="Palatino Linotype" w:cs="Palatino Linotype"/>
          <w:i/>
          <w:iCs/>
        </w:rPr>
      </w:pPr>
      <w:r w:rsidRPr="00D0413A">
        <w:rPr>
          <w:rFonts w:ascii="Palatino Linotype" w:eastAsia="Palatino Linotype" w:hAnsi="Palatino Linotype" w:cs="Palatino Linotype"/>
        </w:rPr>
        <w:t xml:space="preserve">A efecto de sustentar lo anterior, es preciso mencionar que David Cienfuegos Salgado, concibe al derecho de petición como </w:t>
      </w:r>
      <w:r w:rsidRPr="00D0413A">
        <w:rPr>
          <w:rFonts w:ascii="Palatino Linotype" w:eastAsia="Palatino Linotype" w:hAnsi="Palatino Linotype" w:cs="Palatino Linotype"/>
          <w:i/>
          <w:iCs/>
        </w:rPr>
        <w:t>“</w:t>
      </w:r>
      <w:r w:rsidRPr="00D0413A">
        <w:rPr>
          <w:rFonts w:ascii="Palatino Linotype" w:eastAsia="Palatino Linotype" w:hAnsi="Palatino Linotype" w:cs="Palatino Linotype"/>
          <w:b/>
          <w:bCs/>
          <w:i/>
          <w:iCs/>
          <w:u w:val="single"/>
        </w:rPr>
        <w:t>el derecho de toda persona a ser escuchado por quienes ejercen el poder público</w:t>
      </w:r>
      <w:r w:rsidRPr="00D0413A">
        <w:rPr>
          <w:rFonts w:ascii="Palatino Linotype" w:eastAsia="Palatino Linotype" w:hAnsi="Palatino Linotype" w:cs="Palatino Linotype"/>
          <w:i/>
          <w:iCs/>
        </w:rPr>
        <w:t xml:space="preserve">”  </w:t>
      </w:r>
    </w:p>
    <w:p w14:paraId="54EC920B"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De la misma manera, Miguel Carbonell en su libro </w:t>
      </w:r>
      <w:r w:rsidRPr="00D0413A">
        <w:rPr>
          <w:rFonts w:ascii="Palatino Linotype" w:eastAsia="Palatino Linotype" w:hAnsi="Palatino Linotype" w:cs="Palatino Linotype"/>
          <w:i/>
          <w:iCs/>
        </w:rPr>
        <w:t xml:space="preserve">“Los derechos fundamentales” </w:t>
      </w:r>
      <w:r w:rsidRPr="00D0413A">
        <w:rPr>
          <w:rFonts w:ascii="Palatino Linotype" w:eastAsia="Palatino Linotype" w:hAnsi="Palatino Linotype" w:cs="Palatino Linotype"/>
        </w:rPr>
        <w:t xml:space="preserve">refiere que el derecho de petición se ha entendido de dos distintas maneras, a saber: como un derecho fundamental de participación política ya que permite a los particulares trasladar a las autoridades sus </w:t>
      </w:r>
      <w:r w:rsidRPr="00D0413A">
        <w:rPr>
          <w:rFonts w:ascii="Palatino Linotype" w:eastAsia="Palatino Linotype" w:hAnsi="Palatino Linotype" w:cs="Palatino Linotype"/>
          <w:b/>
          <w:bCs/>
        </w:rPr>
        <w:t>inquietudes, quejas</w:t>
      </w:r>
      <w:r w:rsidRPr="00D0413A">
        <w:rPr>
          <w:rFonts w:ascii="Palatino Linotype" w:eastAsia="Palatino Linotype" w:hAnsi="Palatino Linotype" w:cs="Palatino Linotype"/>
        </w:rPr>
        <w:t xml:space="preserve">, sugerencias y requerimientos en cualquier materia o asunto; y como una </w:t>
      </w:r>
      <w:r w:rsidRPr="00D0413A">
        <w:rPr>
          <w:rFonts w:ascii="Palatino Linotype" w:eastAsia="Palatino Linotype" w:hAnsi="Palatino Linotype" w:cs="Palatino Linotype"/>
          <w:b/>
          <w:bCs/>
        </w:rPr>
        <w:t>forma específica de la libertad de expresión</w:t>
      </w:r>
      <w:r w:rsidRPr="00D0413A">
        <w:rPr>
          <w:rFonts w:ascii="Palatino Linotype" w:eastAsia="Palatino Linotype" w:hAnsi="Palatino Linotype" w:cs="Palatino Linotype"/>
        </w:rPr>
        <w:t xml:space="preserve">, en tanto que permite expresarse frente a las autoridades. </w:t>
      </w:r>
    </w:p>
    <w:p w14:paraId="12AB8378"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58DF5368"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Por otro lado, el autor anteriormente citado, indica que el </w:t>
      </w:r>
      <w:r w:rsidRPr="00D0413A">
        <w:rPr>
          <w:rFonts w:ascii="Palatino Linotype" w:eastAsia="Palatino Linotype" w:hAnsi="Palatino Linotype" w:cs="Palatino Linotype"/>
          <w:b/>
          <w:bCs/>
        </w:rPr>
        <w:t>derecho de acceso a la información pública</w:t>
      </w:r>
      <w:r w:rsidRPr="00D0413A">
        <w:rPr>
          <w:rFonts w:ascii="Palatino Linotype" w:eastAsia="Palatino Linotype" w:hAnsi="Palatino Linotype" w:cs="Palatino Linotype"/>
        </w:rPr>
        <w:t xml:space="preserve">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0A8F9B32"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42417B8B" w14:textId="77777777" w:rsidR="000A72E1" w:rsidRPr="00D0413A" w:rsidRDefault="00E4793C">
      <w:pPr>
        <w:spacing w:line="360" w:lineRule="auto"/>
        <w:ind w:right="99"/>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De lo anterior se puede concluir que la distinción entre el </w:t>
      </w:r>
      <w:r w:rsidRPr="00D0413A">
        <w:rPr>
          <w:rFonts w:ascii="Palatino Linotype" w:eastAsia="Palatino Linotype" w:hAnsi="Palatino Linotype" w:cs="Palatino Linotype"/>
          <w:b/>
          <w:bCs/>
        </w:rPr>
        <w:t>derecho de petición</w:t>
      </w:r>
      <w:r w:rsidRPr="00D0413A">
        <w:rPr>
          <w:rFonts w:ascii="Palatino Linotype" w:eastAsia="Palatino Linotype" w:hAnsi="Palatino Linotype" w:cs="Palatino Linotype"/>
        </w:rPr>
        <w:t xml:space="preserve">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652D6E0B"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Ante ello, de conformidad con lo que establece el artículo 12 de la Ley de Transparencia y Acceso a la Información Pública del Estado de México y Municipios, los sujetos obligados no se encuentran constreñidos a entregar información que no obra en sus archivos o generarla conforme al interés de los solicitantes, asimismo, el Criterio 03/17 emitido por el Instituto Nacional de Transparencia, Acceso a la Información y Protección de Datos Personales, establece lo siguiente: </w:t>
      </w:r>
    </w:p>
    <w:p w14:paraId="1AE38114" w14:textId="77777777" w:rsidR="000A72E1" w:rsidRPr="00D0413A" w:rsidRDefault="00E4793C">
      <w:pPr>
        <w:spacing w:line="240" w:lineRule="auto"/>
        <w:ind w:left="567" w:right="567"/>
        <w:jc w:val="both"/>
        <w:rPr>
          <w:rFonts w:ascii="Palatino Linotype" w:eastAsia="Palatino Linotype" w:hAnsi="Palatino Linotype" w:cs="Palatino Linotype"/>
          <w:i/>
          <w:iCs/>
        </w:rPr>
      </w:pPr>
      <w:r w:rsidRPr="00D0413A">
        <w:rPr>
          <w:rFonts w:ascii="Palatino Linotype" w:eastAsia="Palatino Linotype" w:hAnsi="Palatino Linotype" w:cs="Palatino Linotype"/>
          <w:b/>
          <w:bCs/>
          <w:i/>
          <w:iCs/>
        </w:rPr>
        <w:t xml:space="preserve">No existe obligación de elaborar documentos ad hoc para atender las solicitudes de acceso a la información. </w:t>
      </w:r>
      <w:r w:rsidRPr="00D0413A">
        <w:rPr>
          <w:rFonts w:ascii="Palatino Linotype" w:eastAsia="Palatino Linotype" w:hAnsi="Palatino Linotype" w:cs="Palatino Linotype"/>
          <w:i/>
          <w:iC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DB9104"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En ese sentido, se tiene que, la solicitud de información se relaciona con el ejercicio del derecho de petición, pues se tratan de expresiones y manifestaciones personales y particulares, de las cuales no se advierte  que se requiera acceder a un documento en posesión de la autoridad, situación que, no es factible atenderse vía acceso a la información pública.</w:t>
      </w:r>
    </w:p>
    <w:p w14:paraId="16571B80" w14:textId="77777777" w:rsidR="000A72E1" w:rsidRPr="00D0413A" w:rsidRDefault="00E4793C">
      <w:pPr>
        <w:spacing w:line="360" w:lineRule="auto"/>
        <w:ind w:right="96"/>
        <w:jc w:val="both"/>
        <w:rPr>
          <w:rFonts w:ascii="Palatino Linotype" w:eastAsia="Palatino Linotype" w:hAnsi="Palatino Linotype" w:cs="Palatino Linotype"/>
        </w:rPr>
      </w:pPr>
      <w:r w:rsidRPr="00D0413A">
        <w:rPr>
          <w:rFonts w:ascii="Palatino Linotype" w:eastAsia="Palatino Linotype" w:hAnsi="Palatino Linotype" w:cs="Palatino Linotype"/>
        </w:rPr>
        <w:t>Por ello,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las causales de improcedencia contemplada en la fracción VI del artículo 191 del ordenamiento legal en cita, los que se transcriben a continuación, para un mejor entendimiento:</w:t>
      </w:r>
    </w:p>
    <w:p w14:paraId="26C6B732"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r w:rsidRPr="00D0413A">
        <w:rPr>
          <w:rFonts w:ascii="Palatino Linotype" w:eastAsia="Palatino Linotype" w:hAnsi="Palatino Linotype" w:cs="Palatino Linotype"/>
          <w:b/>
          <w:bCs/>
          <w:i/>
          <w:iCs/>
        </w:rPr>
        <w:t>Artículo 191</w:t>
      </w:r>
      <w:r w:rsidRPr="00D0413A">
        <w:rPr>
          <w:rFonts w:ascii="Palatino Linotype" w:eastAsia="Palatino Linotype" w:hAnsi="Palatino Linotype" w:cs="Palatino Linotype"/>
          <w:i/>
          <w:iCs/>
        </w:rPr>
        <w:t xml:space="preserve">. </w:t>
      </w:r>
      <w:r w:rsidRPr="00D0413A">
        <w:rPr>
          <w:rFonts w:ascii="Palatino Linotype" w:eastAsia="Palatino Linotype" w:hAnsi="Palatino Linotype" w:cs="Palatino Linotype"/>
          <w:b/>
          <w:bCs/>
          <w:i/>
          <w:iCs/>
        </w:rPr>
        <w:t>El recurso</w:t>
      </w:r>
      <w:r w:rsidRPr="00D0413A">
        <w:rPr>
          <w:rFonts w:ascii="Palatino Linotype" w:eastAsia="Palatino Linotype" w:hAnsi="Palatino Linotype" w:cs="Palatino Linotype"/>
          <w:i/>
          <w:iCs/>
        </w:rPr>
        <w:t xml:space="preserve"> </w:t>
      </w:r>
      <w:r w:rsidRPr="00D0413A">
        <w:rPr>
          <w:rFonts w:ascii="Palatino Linotype" w:eastAsia="Palatino Linotype" w:hAnsi="Palatino Linotype" w:cs="Palatino Linotype"/>
          <w:b/>
          <w:bCs/>
          <w:i/>
          <w:iCs/>
        </w:rPr>
        <w:t xml:space="preserve">será </w:t>
      </w:r>
      <w:r w:rsidRPr="00D0413A">
        <w:rPr>
          <w:rFonts w:ascii="Palatino Linotype" w:eastAsia="Palatino Linotype" w:hAnsi="Palatino Linotype" w:cs="Palatino Linotype"/>
          <w:i/>
          <w:iCs/>
        </w:rPr>
        <w:t xml:space="preserve">desechado por </w:t>
      </w:r>
      <w:r w:rsidRPr="00D0413A">
        <w:rPr>
          <w:rFonts w:ascii="Palatino Linotype" w:eastAsia="Palatino Linotype" w:hAnsi="Palatino Linotype" w:cs="Palatino Linotype"/>
          <w:b/>
          <w:bCs/>
          <w:i/>
          <w:iCs/>
        </w:rPr>
        <w:t>improcedente cuando</w:t>
      </w:r>
      <w:r w:rsidRPr="00D0413A">
        <w:rPr>
          <w:rFonts w:ascii="Palatino Linotype" w:eastAsia="Palatino Linotype" w:hAnsi="Palatino Linotype" w:cs="Palatino Linotype"/>
          <w:i/>
          <w:iCs/>
        </w:rPr>
        <w:t>:</w:t>
      </w:r>
    </w:p>
    <w:p w14:paraId="306ECDC2"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p>
    <w:p w14:paraId="25D86817"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b/>
          <w:bCs/>
          <w:i/>
          <w:iCs/>
        </w:rPr>
      </w:pPr>
      <w:r w:rsidRPr="00D0413A">
        <w:rPr>
          <w:rFonts w:ascii="Palatino Linotype" w:eastAsia="Palatino Linotype" w:hAnsi="Palatino Linotype" w:cs="Palatino Linotype"/>
          <w:b/>
          <w:bCs/>
          <w:i/>
          <w:iCs/>
        </w:rPr>
        <w:t>VI. Se trate de una consulta</w:t>
      </w:r>
      <w:r w:rsidRPr="00D0413A">
        <w:rPr>
          <w:rFonts w:ascii="Palatino Linotype" w:eastAsia="Palatino Linotype" w:hAnsi="Palatino Linotype" w:cs="Palatino Linotype"/>
          <w:i/>
          <w:iCs/>
        </w:rPr>
        <w:t>, o trámite en específico</w:t>
      </w:r>
      <w:r w:rsidRPr="00D0413A">
        <w:rPr>
          <w:rFonts w:ascii="Palatino Linotype" w:eastAsia="Palatino Linotype" w:hAnsi="Palatino Linotype" w:cs="Palatino Linotype"/>
          <w:b/>
          <w:bCs/>
          <w:i/>
          <w:iCs/>
        </w:rPr>
        <w:t xml:space="preserve">; </w:t>
      </w:r>
    </w:p>
    <w:p w14:paraId="7A1E014F"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b/>
          <w:bCs/>
          <w:i/>
          <w:iCs/>
        </w:rPr>
      </w:pPr>
      <w:r w:rsidRPr="00D0413A">
        <w:rPr>
          <w:rFonts w:ascii="Palatino Linotype" w:eastAsia="Palatino Linotype" w:hAnsi="Palatino Linotype" w:cs="Palatino Linotype"/>
          <w:b/>
          <w:bCs/>
          <w:i/>
          <w:iCs/>
        </w:rPr>
        <w:t>…</w:t>
      </w:r>
    </w:p>
    <w:p w14:paraId="6C25346C"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b/>
          <w:bCs/>
          <w:i/>
          <w:iCs/>
        </w:rPr>
        <w:t>Artículo 192.</w:t>
      </w:r>
      <w:r w:rsidRPr="00D0413A">
        <w:rPr>
          <w:rFonts w:ascii="Palatino Linotype" w:eastAsia="Palatino Linotype" w:hAnsi="Palatino Linotype" w:cs="Palatino Linotype"/>
          <w:i/>
          <w:iCs/>
        </w:rPr>
        <w:t xml:space="preserve"> El recurso será sobreseído, en todo o en parte, cuando una vez admitido, se actualicen alguno de los siguientes supuestos:</w:t>
      </w:r>
    </w:p>
    <w:p w14:paraId="6A5915D5"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p>
    <w:p w14:paraId="76A77D4B"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b/>
          <w:bCs/>
          <w:i/>
          <w:iCs/>
        </w:rPr>
        <w:t>IV</w:t>
      </w:r>
      <w:r w:rsidRPr="00D0413A">
        <w:rPr>
          <w:rFonts w:ascii="Palatino Linotype" w:eastAsia="Palatino Linotype" w:hAnsi="Palatino Linotype" w:cs="Palatino Linotype"/>
          <w:i/>
          <w:iCs/>
        </w:rPr>
        <w:t xml:space="preserve">. Admitido el recurso de revisión, </w:t>
      </w:r>
      <w:r w:rsidRPr="00D0413A">
        <w:rPr>
          <w:rFonts w:ascii="Palatino Linotype" w:eastAsia="Palatino Linotype" w:hAnsi="Palatino Linotype" w:cs="Palatino Linotype"/>
          <w:b/>
          <w:bCs/>
          <w:i/>
          <w:iCs/>
        </w:rPr>
        <w:t>aparezca alguna causal de improcedencia</w:t>
      </w:r>
      <w:r w:rsidRPr="00D0413A">
        <w:rPr>
          <w:rFonts w:ascii="Palatino Linotype" w:eastAsia="Palatino Linotype" w:hAnsi="Palatino Linotype" w:cs="Palatino Linotype"/>
          <w:i/>
          <w:iCs/>
        </w:rPr>
        <w:t xml:space="preserve"> en los términos de la presente Ley. “ </w:t>
      </w:r>
    </w:p>
    <w:p w14:paraId="127E9C30" w14:textId="77777777" w:rsidR="000A72E1" w:rsidRPr="00D0413A" w:rsidRDefault="00E4793C">
      <w:pPr>
        <w:tabs>
          <w:tab w:val="left" w:pos="7938"/>
        </w:tabs>
        <w:spacing w:line="240" w:lineRule="auto"/>
        <w:ind w:left="567" w:right="902"/>
        <w:jc w:val="both"/>
        <w:rPr>
          <w:rFonts w:ascii="Palatino Linotype" w:eastAsia="Palatino Linotype" w:hAnsi="Palatino Linotype" w:cs="Palatino Linotype"/>
          <w:i/>
          <w:iCs/>
        </w:rPr>
      </w:pPr>
      <w:r w:rsidRPr="00D0413A">
        <w:rPr>
          <w:rFonts w:ascii="Palatino Linotype" w:eastAsia="Palatino Linotype" w:hAnsi="Palatino Linotype" w:cs="Palatino Linotype"/>
          <w:i/>
          <w:iCs/>
        </w:rPr>
        <w:t>…</w:t>
      </w:r>
    </w:p>
    <w:p w14:paraId="1E3A8D52"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Siendo el </w:t>
      </w:r>
      <w:r w:rsidRPr="00D0413A">
        <w:rPr>
          <w:rFonts w:ascii="Palatino Linotype" w:eastAsia="Palatino Linotype" w:hAnsi="Palatino Linotype" w:cs="Palatino Linotype"/>
          <w:b/>
          <w:bCs/>
          <w:i/>
          <w:iCs/>
        </w:rPr>
        <w:t>sobreseimiento</w:t>
      </w:r>
      <w:r w:rsidRPr="00D0413A">
        <w:rPr>
          <w:rFonts w:ascii="Palatino Linotype" w:eastAsia="Palatino Linotype" w:hAnsi="Palatino Linotype" w:cs="Palatino Linotype"/>
          <w:b/>
          <w:bCs/>
        </w:rPr>
        <w:t xml:space="preserve"> </w:t>
      </w:r>
      <w:r w:rsidRPr="00D0413A">
        <w:rPr>
          <w:rFonts w:ascii="Palatino Linotype" w:eastAsia="Palatino Linotype" w:hAnsi="Palatino Linotype" w:cs="Palatino Linotype"/>
        </w:rPr>
        <w:t>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474C38E3" w14:textId="77777777" w:rsidR="000A72E1" w:rsidRPr="00D0413A" w:rsidRDefault="00E4793C">
      <w:pPr>
        <w:spacing w:line="240" w:lineRule="auto"/>
        <w:ind w:left="567" w:right="902"/>
        <w:jc w:val="both"/>
        <w:rPr>
          <w:rFonts w:ascii="Palatino Linotype" w:eastAsia="Palatino Linotype" w:hAnsi="Palatino Linotype" w:cs="Palatino Linotype"/>
          <w:b/>
          <w:bCs/>
          <w:i/>
          <w:iCs/>
        </w:rPr>
      </w:pPr>
      <w:r w:rsidRPr="00D0413A">
        <w:rPr>
          <w:rFonts w:ascii="Palatino Linotype" w:eastAsia="Palatino Linotype" w:hAnsi="Palatino Linotype" w:cs="Palatino Linotype"/>
          <w:i/>
          <w:iCs/>
        </w:rPr>
        <w:t>“</w:t>
      </w:r>
      <w:r w:rsidRPr="00D0413A">
        <w:rPr>
          <w:rFonts w:ascii="Palatino Linotype" w:eastAsia="Palatino Linotype" w:hAnsi="Palatino Linotype" w:cs="Palatino Linotype"/>
          <w:b/>
          <w:bCs/>
          <w:i/>
          <w:iCs/>
        </w:rPr>
        <w:t xml:space="preserve">SOBRESEIMIENTO, NO PERMITE ENTRAR AL ESTUDIO DE LAS CUESTIONES DE FONDO. </w:t>
      </w:r>
      <w:r w:rsidRPr="00D0413A">
        <w:rPr>
          <w:rFonts w:ascii="Palatino Linotype" w:eastAsia="Palatino Linotype" w:hAnsi="Palatino Linotype" w:cs="Palatino Linotype"/>
          <w:i/>
          <w:iCs/>
        </w:rPr>
        <w:t>No causa agravio la sentencia que no se ocupa de los razonamientos tendientes a demostrar la inconstitucionalidad de los actos reclamados de las autoridades responsables, que constituyen el problema de fondo, si se decreta el sobreseimiento del juicio.”</w:t>
      </w:r>
    </w:p>
    <w:p w14:paraId="522F3BD9"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7917D66F" w14:textId="77777777" w:rsidR="000A72E1" w:rsidRPr="00D0413A" w:rsidRDefault="00E4793C">
      <w:pPr>
        <w:spacing w:line="240" w:lineRule="auto"/>
        <w:ind w:left="567" w:right="567"/>
        <w:jc w:val="both"/>
        <w:rPr>
          <w:rFonts w:ascii="Palatino Linotype" w:eastAsia="Palatino Linotype" w:hAnsi="Palatino Linotype" w:cs="Palatino Linotype"/>
          <w:i/>
          <w:iCs/>
        </w:rPr>
      </w:pPr>
      <w:r w:rsidRPr="00D0413A">
        <w:rPr>
          <w:rFonts w:ascii="Palatino Linotype" w:eastAsia="Palatino Linotype" w:hAnsi="Palatino Linotype" w:cs="Palatino Linotype"/>
          <w:b/>
          <w:bCs/>
          <w:i/>
          <w:iCs/>
        </w:rPr>
        <w:t xml:space="preserve">“DESECHAMIENTO O SOBRESEIMIENTO EN EL JUICIO DE AMPARO. NO IMPLICA DENEGACIÓN DE JUSTICIA NI GENERA INSEGURIDAD JURÍDICA” </w:t>
      </w:r>
      <w:r w:rsidRPr="00D0413A">
        <w:rPr>
          <w:rFonts w:ascii="Palatino Linotype" w:eastAsia="Palatino Linotype" w:hAnsi="Palatino Linotype" w:cs="Palatino Linotype"/>
          <w:i/>
          <w:iCs/>
        </w:rPr>
        <w:t>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p w14:paraId="228A6207" w14:textId="77777777" w:rsidR="000A72E1" w:rsidRPr="00D0413A" w:rsidRDefault="00E4793C">
      <w:pPr>
        <w:spacing w:before="280" w:after="28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rPr>
        <w:t xml:space="preserve">Por último y no menos importante, respecto de las manifestaciones realizadas por el Recurrente como razones o motivos de inconformidad, consistentes en </w:t>
      </w:r>
      <w:r w:rsidRPr="00D0413A">
        <w:rPr>
          <w:rFonts w:ascii="Palatino Linotype" w:eastAsia="Palatino Linotype" w:hAnsi="Palatino Linotype" w:cs="Palatino Linotype"/>
          <w:i/>
          <w:iCs/>
        </w:rPr>
        <w:t>“…Se dé vista al Órgano Interno de Control (OIC) del CEDIPIEM para que investigue la posible omisión de funciones o irregularidades administrativas derivadas de la falta de ejecución de los procedimientos de renovación de representantes indígenas” (sic)</w:t>
      </w:r>
      <w:r w:rsidRPr="00D0413A">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14:paraId="31DF6A34" w14:textId="77777777" w:rsidR="000A72E1" w:rsidRPr="00D0413A" w:rsidRDefault="00E4793C">
      <w:pPr>
        <w:spacing w:after="0" w:line="360" w:lineRule="auto"/>
        <w:ind w:right="49"/>
        <w:jc w:val="both"/>
        <w:rPr>
          <w:rFonts w:ascii="Palatino Linotype" w:eastAsia="Palatino Linotype" w:hAnsi="Palatino Linotype" w:cs="Palatino Linotype"/>
        </w:rPr>
      </w:pPr>
      <w:r w:rsidRPr="00D0413A">
        <w:rPr>
          <w:rFonts w:ascii="Palatino Linotype" w:eastAsia="Palatino Linotype" w:hAnsi="Palatino Linotype" w:cs="Palatino Linotype"/>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62FA278D" w14:textId="77777777" w:rsidR="000A72E1" w:rsidRPr="00D0413A" w:rsidRDefault="000A72E1">
      <w:pPr>
        <w:spacing w:after="0" w:line="360" w:lineRule="auto"/>
        <w:ind w:right="49"/>
        <w:jc w:val="both"/>
        <w:rPr>
          <w:rFonts w:ascii="Palatino Linotype" w:eastAsia="Palatino Linotype" w:hAnsi="Palatino Linotype" w:cs="Palatino Linotype"/>
        </w:rPr>
      </w:pPr>
    </w:p>
    <w:p w14:paraId="31CC442F" w14:textId="77777777" w:rsidR="000A72E1" w:rsidRPr="00D0413A" w:rsidRDefault="00E4793C">
      <w:pPr>
        <w:spacing w:after="0" w:line="360" w:lineRule="auto"/>
        <w:ind w:right="49"/>
        <w:jc w:val="center"/>
        <w:rPr>
          <w:rFonts w:ascii="Palatino Linotype" w:eastAsia="Palatino Linotype" w:hAnsi="Palatino Linotype" w:cs="Palatino Linotype"/>
          <w:b/>
          <w:bCs/>
        </w:rPr>
      </w:pPr>
      <w:r w:rsidRPr="00D0413A">
        <w:rPr>
          <w:rFonts w:ascii="Palatino Linotype" w:eastAsia="Palatino Linotype" w:hAnsi="Palatino Linotype" w:cs="Palatino Linotype"/>
          <w:b/>
          <w:bCs/>
        </w:rPr>
        <w:t>III.</w:t>
      </w:r>
      <w:r w:rsidRPr="00D0413A">
        <w:rPr>
          <w:rFonts w:ascii="Palatino Linotype" w:eastAsia="Palatino Linotype" w:hAnsi="Palatino Linotype" w:cs="Palatino Linotype"/>
          <w:b/>
          <w:bCs/>
        </w:rPr>
        <w:tab/>
        <w:t>R E S U E L V E:</w:t>
      </w:r>
    </w:p>
    <w:p w14:paraId="04609180" w14:textId="77777777" w:rsidR="000A72E1" w:rsidRPr="00D0413A" w:rsidRDefault="00E4793C">
      <w:pPr>
        <w:spacing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b/>
          <w:bCs/>
        </w:rPr>
        <w:t>PRIMERO.</w:t>
      </w:r>
      <w:r w:rsidRPr="00D0413A">
        <w:rPr>
          <w:rFonts w:ascii="Palatino Linotype" w:eastAsia="Palatino Linotype" w:hAnsi="Palatino Linotype" w:cs="Palatino Linotype"/>
        </w:rPr>
        <w:t xml:space="preserve"> Se </w:t>
      </w:r>
      <w:r w:rsidRPr="00D0413A">
        <w:rPr>
          <w:rFonts w:ascii="Palatino Linotype" w:eastAsia="Palatino Linotype" w:hAnsi="Palatino Linotype" w:cs="Palatino Linotype"/>
          <w:b/>
          <w:bCs/>
        </w:rPr>
        <w:t>SOBRESEE</w:t>
      </w:r>
      <w:r w:rsidRPr="00D0413A">
        <w:rPr>
          <w:rFonts w:ascii="Palatino Linotype" w:eastAsia="Palatino Linotype" w:hAnsi="Palatino Linotype" w:cs="Palatino Linotype"/>
        </w:rPr>
        <w:t xml:space="preserve"> el Recurso de Revisión número </w:t>
      </w:r>
      <w:r w:rsidRPr="00D0413A">
        <w:rPr>
          <w:rFonts w:ascii="Palatino Linotype" w:eastAsia="Palatino Linotype" w:hAnsi="Palatino Linotype" w:cs="Palatino Linotype"/>
          <w:b/>
          <w:bCs/>
        </w:rPr>
        <w:t>12269/INFOEM/IP/RR/2025</w:t>
      </w:r>
      <w:r w:rsidRPr="00D0413A">
        <w:rPr>
          <w:rFonts w:ascii="Palatino Linotype" w:eastAsia="Palatino Linotype" w:hAnsi="Palatino Linotype" w:cs="Palatino Linotype"/>
        </w:rPr>
        <w:t xml:space="preserve">, por actualizarse la causal de improcedencia prevista en la fracción IV del artículo 192, en relación con la fracción VI  del artículo 191, ambos de la Ley de Transparencia vigente en la entidad, en términos del Considerando </w:t>
      </w:r>
      <w:r w:rsidRPr="00D0413A">
        <w:rPr>
          <w:rFonts w:ascii="Palatino Linotype" w:eastAsia="Palatino Linotype" w:hAnsi="Palatino Linotype" w:cs="Palatino Linotype"/>
          <w:b/>
          <w:bCs/>
        </w:rPr>
        <w:t>TERCERO</w:t>
      </w:r>
      <w:r w:rsidRPr="00D0413A">
        <w:rPr>
          <w:rFonts w:ascii="Palatino Linotype" w:eastAsia="Palatino Linotype" w:hAnsi="Palatino Linotype" w:cs="Palatino Linotype"/>
        </w:rPr>
        <w:t xml:space="preserve"> de la presente resolución.</w:t>
      </w:r>
    </w:p>
    <w:p w14:paraId="07BA877D" w14:textId="77777777" w:rsidR="000A72E1" w:rsidRPr="00D0413A" w:rsidRDefault="00E4793C">
      <w:pPr>
        <w:spacing w:after="0" w:line="360" w:lineRule="auto"/>
        <w:jc w:val="both"/>
        <w:rPr>
          <w:rFonts w:ascii="Palatino Linotype" w:eastAsia="Palatino Linotype" w:hAnsi="Palatino Linotype" w:cs="Palatino Linotype"/>
          <w:b/>
          <w:bCs/>
        </w:rPr>
      </w:pPr>
      <w:r w:rsidRPr="00D0413A">
        <w:rPr>
          <w:rFonts w:ascii="Palatino Linotype" w:eastAsia="Palatino Linotype" w:hAnsi="Palatino Linotype" w:cs="Palatino Linotype"/>
          <w:b/>
          <w:bCs/>
        </w:rPr>
        <w:t xml:space="preserve">SEGUNDO. Notifíquese </w:t>
      </w:r>
      <w:r w:rsidRPr="00D0413A">
        <w:rPr>
          <w:rFonts w:ascii="Palatino Linotype" w:eastAsia="Palatino Linotype" w:hAnsi="Palatino Linotype" w:cs="Palatino Linotype"/>
        </w:rPr>
        <w:t>a través del</w:t>
      </w:r>
      <w:r w:rsidRPr="00D0413A">
        <w:rPr>
          <w:rFonts w:ascii="Palatino Linotype" w:eastAsia="Palatino Linotype" w:hAnsi="Palatino Linotype" w:cs="Palatino Linotype"/>
          <w:b/>
          <w:bCs/>
        </w:rPr>
        <w:t xml:space="preserve"> Sistema de Acceso a la Información Mexiquense</w:t>
      </w:r>
      <w:r w:rsidRPr="00D0413A">
        <w:rPr>
          <w:rFonts w:ascii="Palatino Linotype" w:eastAsia="Palatino Linotype" w:hAnsi="Palatino Linotype" w:cs="Palatino Linotype"/>
        </w:rPr>
        <w:t xml:space="preserve"> </w:t>
      </w:r>
      <w:r w:rsidRPr="00D0413A">
        <w:rPr>
          <w:rFonts w:ascii="Palatino Linotype" w:eastAsia="Palatino Linotype" w:hAnsi="Palatino Linotype" w:cs="Palatino Linotype"/>
          <w:b/>
          <w:bCs/>
        </w:rPr>
        <w:t xml:space="preserve">(SAIMEX) </w:t>
      </w:r>
      <w:r w:rsidRPr="00D0413A">
        <w:rPr>
          <w:rFonts w:ascii="Palatino Linotype" w:eastAsia="Palatino Linotype" w:hAnsi="Palatino Linotype" w:cs="Palatino Linotype"/>
        </w:rPr>
        <w:t>la presente resolución a la Titular de la Unidad de Transparencia del</w:t>
      </w:r>
      <w:r w:rsidRPr="00D0413A">
        <w:rPr>
          <w:rFonts w:ascii="Palatino Linotype" w:eastAsia="Palatino Linotype" w:hAnsi="Palatino Linotype" w:cs="Palatino Linotype"/>
          <w:b/>
          <w:bCs/>
        </w:rPr>
        <w:t xml:space="preserve"> Sujeto Obligado.  </w:t>
      </w:r>
    </w:p>
    <w:p w14:paraId="19EC6B6D" w14:textId="77777777" w:rsidR="000A72E1" w:rsidRPr="00D0413A" w:rsidRDefault="000A72E1">
      <w:pPr>
        <w:spacing w:after="0" w:line="360" w:lineRule="auto"/>
        <w:jc w:val="both"/>
        <w:rPr>
          <w:rFonts w:ascii="Palatino Linotype" w:eastAsia="Palatino Linotype" w:hAnsi="Palatino Linotype" w:cs="Palatino Linotype"/>
          <w:b/>
          <w:bCs/>
        </w:rPr>
      </w:pPr>
    </w:p>
    <w:p w14:paraId="1DE20419" w14:textId="77777777" w:rsidR="000A72E1" w:rsidRPr="00D0413A" w:rsidRDefault="00E4793C">
      <w:pPr>
        <w:spacing w:after="0" w:line="360" w:lineRule="auto"/>
        <w:jc w:val="both"/>
        <w:rPr>
          <w:rFonts w:ascii="Palatino Linotype" w:eastAsia="Palatino Linotype" w:hAnsi="Palatino Linotype" w:cs="Palatino Linotype"/>
        </w:rPr>
      </w:pPr>
      <w:r w:rsidRPr="00D0413A">
        <w:rPr>
          <w:rFonts w:ascii="Palatino Linotype" w:eastAsia="Palatino Linotype" w:hAnsi="Palatino Linotype" w:cs="Palatino Linotype"/>
          <w:b/>
          <w:bCs/>
        </w:rPr>
        <w:t xml:space="preserve">TERCERO. Notifíquese a través del Sistema de Acceso a la Información Mexiquense (SAIMEX) </w:t>
      </w:r>
      <w:r w:rsidRPr="00D0413A">
        <w:rPr>
          <w:rFonts w:ascii="Palatino Linotype" w:eastAsia="Palatino Linotype" w:hAnsi="Palatino Linotype" w:cs="Palatino Linotype"/>
        </w:rPr>
        <w:t xml:space="preserve">a la parte </w:t>
      </w:r>
      <w:r w:rsidRPr="00D0413A">
        <w:rPr>
          <w:rFonts w:ascii="Palatino Linotype" w:eastAsia="Palatino Linotype" w:hAnsi="Palatino Linotype" w:cs="Palatino Linotype"/>
          <w:b/>
          <w:bCs/>
        </w:rPr>
        <w:t>Recurrente,</w:t>
      </w:r>
      <w:r w:rsidRPr="00D0413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02C40236" w14:textId="77777777" w:rsidR="000A72E1" w:rsidRPr="00D0413A" w:rsidRDefault="000A72E1">
      <w:pPr>
        <w:spacing w:after="0" w:line="360" w:lineRule="auto"/>
        <w:ind w:right="49"/>
        <w:jc w:val="both"/>
        <w:rPr>
          <w:rFonts w:ascii="Palatino Linotype" w:eastAsia="Palatino Linotype" w:hAnsi="Palatino Linotype" w:cs="Palatino Linotype"/>
        </w:rPr>
      </w:pPr>
    </w:p>
    <w:p w14:paraId="34957DE7" w14:textId="77777777" w:rsidR="000A72E1" w:rsidRPr="004620C5" w:rsidRDefault="00E4793C">
      <w:pPr>
        <w:spacing w:after="0" w:line="360" w:lineRule="auto"/>
        <w:ind w:right="-93"/>
        <w:jc w:val="both"/>
        <w:rPr>
          <w:rFonts w:ascii="Palatino Linotype" w:eastAsia="Palatino Linotype" w:hAnsi="Palatino Linotype" w:cs="Palatino Linotype"/>
        </w:rPr>
      </w:pPr>
      <w:bookmarkStart w:id="5" w:name="_heading=h.jm729bhb23qj" w:colFirst="0" w:colLast="0"/>
      <w:bookmarkEnd w:id="5"/>
      <w:r w:rsidRPr="00D0413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CUADRAGÉSIMA TERCERA SESIÓN ORDINARIA CELEBRADA EL TRES DE DICIEMBRE DE DOS MIL VEINTICINCO, ANTE EL SECRETARIO TÉCNICO DEL PLENO ALEXIS TAPIA RAMÍREZ.</w:t>
      </w:r>
    </w:p>
    <w:p w14:paraId="660BC7CE" w14:textId="77777777" w:rsidR="000A72E1" w:rsidRPr="004620C5" w:rsidRDefault="000A72E1">
      <w:pPr>
        <w:spacing w:after="0" w:line="360" w:lineRule="auto"/>
        <w:ind w:right="49"/>
        <w:jc w:val="both"/>
        <w:rPr>
          <w:rFonts w:ascii="Palatino Linotype" w:eastAsia="Palatino Linotype" w:hAnsi="Palatino Linotype" w:cs="Palatino Linotype"/>
        </w:rPr>
      </w:pPr>
    </w:p>
    <w:p w14:paraId="6CFD2637" w14:textId="77777777" w:rsidR="000A72E1" w:rsidRPr="004620C5" w:rsidRDefault="000A72E1">
      <w:pPr>
        <w:spacing w:after="0" w:line="360" w:lineRule="auto"/>
        <w:ind w:right="49"/>
        <w:jc w:val="both"/>
        <w:rPr>
          <w:rFonts w:ascii="Palatino Linotype" w:eastAsia="Palatino Linotype" w:hAnsi="Palatino Linotype" w:cs="Palatino Linotype"/>
        </w:rPr>
      </w:pPr>
    </w:p>
    <w:p w14:paraId="46AFF9E6" w14:textId="77777777" w:rsidR="000A72E1" w:rsidRPr="004620C5" w:rsidRDefault="000A72E1">
      <w:pPr>
        <w:spacing w:after="0" w:line="360" w:lineRule="auto"/>
        <w:ind w:right="49"/>
        <w:jc w:val="both"/>
        <w:rPr>
          <w:rFonts w:ascii="Palatino Linotype" w:eastAsia="Palatino Linotype" w:hAnsi="Palatino Linotype" w:cs="Palatino Linotype"/>
        </w:rPr>
      </w:pPr>
    </w:p>
    <w:p w14:paraId="6812D860" w14:textId="77777777" w:rsidR="000A72E1" w:rsidRPr="004620C5" w:rsidRDefault="000A72E1">
      <w:pPr>
        <w:spacing w:after="0" w:line="360" w:lineRule="auto"/>
        <w:ind w:right="49"/>
        <w:jc w:val="both"/>
        <w:rPr>
          <w:rFonts w:ascii="Palatino Linotype" w:eastAsia="Palatino Linotype" w:hAnsi="Palatino Linotype" w:cs="Palatino Linotype"/>
        </w:rPr>
      </w:pPr>
    </w:p>
    <w:p w14:paraId="3603C353" w14:textId="77777777" w:rsidR="000A72E1" w:rsidRPr="004620C5" w:rsidRDefault="000A72E1">
      <w:pPr>
        <w:spacing w:after="0" w:line="360" w:lineRule="auto"/>
        <w:ind w:right="49"/>
        <w:jc w:val="both"/>
        <w:rPr>
          <w:rFonts w:ascii="Palatino Linotype" w:eastAsia="Palatino Linotype" w:hAnsi="Palatino Linotype" w:cs="Palatino Linotype"/>
        </w:rPr>
      </w:pPr>
    </w:p>
    <w:p w14:paraId="496928EF" w14:textId="77777777" w:rsidR="000A72E1" w:rsidRPr="004620C5" w:rsidRDefault="000A72E1">
      <w:pPr>
        <w:spacing w:after="0" w:line="360" w:lineRule="auto"/>
        <w:ind w:right="49"/>
        <w:jc w:val="both"/>
        <w:rPr>
          <w:rFonts w:ascii="Palatino Linotype" w:eastAsia="Palatino Linotype" w:hAnsi="Palatino Linotype" w:cs="Palatino Linotype"/>
        </w:rPr>
      </w:pPr>
    </w:p>
    <w:p w14:paraId="6254343C" w14:textId="77777777" w:rsidR="000A72E1" w:rsidRPr="004620C5" w:rsidRDefault="000A72E1">
      <w:pPr>
        <w:spacing w:after="0" w:line="360" w:lineRule="auto"/>
        <w:ind w:right="49"/>
        <w:jc w:val="both"/>
        <w:rPr>
          <w:rFonts w:ascii="Palatino Linotype" w:eastAsia="Palatino Linotype" w:hAnsi="Palatino Linotype" w:cs="Palatino Linotype"/>
        </w:rPr>
      </w:pPr>
    </w:p>
    <w:p w14:paraId="5364D2B7" w14:textId="591E3791" w:rsidR="000A72E1" w:rsidRPr="004620C5" w:rsidRDefault="000A72E1">
      <w:pPr>
        <w:spacing w:after="0" w:line="360" w:lineRule="auto"/>
        <w:ind w:right="49"/>
        <w:jc w:val="both"/>
        <w:rPr>
          <w:rFonts w:ascii="Palatino Linotype" w:eastAsia="Palatino Linotype" w:hAnsi="Palatino Linotype" w:cs="Palatino Linotype"/>
        </w:rPr>
      </w:pPr>
    </w:p>
    <w:p w14:paraId="7746889E" w14:textId="67F41885" w:rsidR="00F72DB9" w:rsidRPr="004620C5" w:rsidRDefault="00F72DB9">
      <w:pPr>
        <w:spacing w:after="0" w:line="360" w:lineRule="auto"/>
        <w:ind w:right="49"/>
        <w:jc w:val="both"/>
        <w:rPr>
          <w:rFonts w:ascii="Palatino Linotype" w:eastAsia="Palatino Linotype" w:hAnsi="Palatino Linotype" w:cs="Palatino Linotype"/>
        </w:rPr>
      </w:pPr>
    </w:p>
    <w:p w14:paraId="1A5DA1BA" w14:textId="15121645" w:rsidR="00F72DB9" w:rsidRPr="004620C5" w:rsidRDefault="00F72DB9">
      <w:pPr>
        <w:spacing w:after="0" w:line="360" w:lineRule="auto"/>
        <w:ind w:right="49"/>
        <w:jc w:val="both"/>
        <w:rPr>
          <w:rFonts w:ascii="Palatino Linotype" w:eastAsia="Palatino Linotype" w:hAnsi="Palatino Linotype" w:cs="Palatino Linotype"/>
        </w:rPr>
      </w:pPr>
    </w:p>
    <w:p w14:paraId="71ED034B" w14:textId="2CA45739" w:rsidR="00F72DB9" w:rsidRPr="004620C5" w:rsidRDefault="00F72DB9">
      <w:pPr>
        <w:spacing w:after="0" w:line="360" w:lineRule="auto"/>
        <w:ind w:right="49"/>
        <w:jc w:val="both"/>
        <w:rPr>
          <w:rFonts w:ascii="Palatino Linotype" w:eastAsia="Palatino Linotype" w:hAnsi="Palatino Linotype" w:cs="Palatino Linotype"/>
        </w:rPr>
      </w:pPr>
    </w:p>
    <w:p w14:paraId="37B2ECAA" w14:textId="662E101F" w:rsidR="00F72DB9" w:rsidRPr="004620C5" w:rsidRDefault="00F72DB9">
      <w:pPr>
        <w:spacing w:after="0" w:line="360" w:lineRule="auto"/>
        <w:ind w:right="49"/>
        <w:jc w:val="both"/>
        <w:rPr>
          <w:rFonts w:ascii="Palatino Linotype" w:eastAsia="Palatino Linotype" w:hAnsi="Palatino Linotype" w:cs="Palatino Linotype"/>
        </w:rPr>
      </w:pPr>
    </w:p>
    <w:p w14:paraId="102D515A" w14:textId="3596A63D" w:rsidR="00F72DB9" w:rsidRPr="004620C5" w:rsidRDefault="00F72DB9">
      <w:pPr>
        <w:spacing w:after="0" w:line="360" w:lineRule="auto"/>
        <w:ind w:right="49"/>
        <w:jc w:val="both"/>
        <w:rPr>
          <w:rFonts w:ascii="Palatino Linotype" w:eastAsia="Palatino Linotype" w:hAnsi="Palatino Linotype" w:cs="Palatino Linotype"/>
        </w:rPr>
      </w:pPr>
    </w:p>
    <w:p w14:paraId="6F744301" w14:textId="77777777" w:rsidR="00F72DB9" w:rsidRPr="004620C5" w:rsidRDefault="00F72DB9">
      <w:pPr>
        <w:spacing w:after="0" w:line="360" w:lineRule="auto"/>
        <w:ind w:right="49"/>
        <w:jc w:val="both"/>
        <w:rPr>
          <w:rFonts w:ascii="Palatino Linotype" w:eastAsia="Palatino Linotype" w:hAnsi="Palatino Linotype" w:cs="Palatino Linotype"/>
        </w:rPr>
      </w:pPr>
    </w:p>
    <w:p w14:paraId="5DF4860E" w14:textId="77777777" w:rsidR="000A72E1" w:rsidRPr="004620C5" w:rsidRDefault="000A72E1">
      <w:pPr>
        <w:spacing w:after="0" w:line="360" w:lineRule="auto"/>
        <w:ind w:right="49"/>
        <w:jc w:val="both"/>
        <w:rPr>
          <w:rFonts w:ascii="Palatino Linotype" w:eastAsia="Palatino Linotype" w:hAnsi="Palatino Linotype" w:cs="Palatino Linotype"/>
        </w:rPr>
      </w:pPr>
    </w:p>
    <w:p w14:paraId="08C79D2F" w14:textId="77777777" w:rsidR="000A72E1" w:rsidRPr="004620C5" w:rsidRDefault="000A72E1">
      <w:pPr>
        <w:spacing w:after="0" w:line="360" w:lineRule="auto"/>
        <w:ind w:right="49"/>
        <w:jc w:val="both"/>
        <w:rPr>
          <w:rFonts w:ascii="Palatino Linotype" w:eastAsia="Palatino Linotype" w:hAnsi="Palatino Linotype" w:cs="Palatino Linotype"/>
        </w:rPr>
      </w:pPr>
    </w:p>
    <w:sectPr w:rsidR="000A72E1" w:rsidRPr="004620C5">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F02CB" w14:textId="77777777" w:rsidR="00A40628" w:rsidRDefault="00A40628">
      <w:pPr>
        <w:spacing w:after="0" w:line="240" w:lineRule="auto"/>
      </w:pPr>
      <w:r>
        <w:separator/>
      </w:r>
    </w:p>
  </w:endnote>
  <w:endnote w:type="continuationSeparator" w:id="0">
    <w:p w14:paraId="77BFCDF1" w14:textId="77777777" w:rsidR="00A40628" w:rsidRDefault="00A4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D992BAC1-3BA8-444D-A87D-B506937F3A53}"/>
    <w:embedBold r:id="rId2" w:fontKey="{277ABFAD-4EBA-4766-A339-1F5F726695F6}"/>
    <w:embedItalic r:id="rId3" w:fontKey="{48E15FFB-34F4-4567-87B3-12A7B35B2653}"/>
    <w:embedBoldItalic r:id="rId4" w:fontKey="{EA62645A-8057-4C56-B425-4531542AE5DC}"/>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F5CD0B25-E145-4782-8893-0F8BF87506C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D737877-77B6-48F6-82C3-69B6561A2690}"/>
    <w:embedBold r:id="rId7" w:fontKey="{2F7CFCB4-FC00-4D89-8D89-CB80D7E7F2D2}"/>
  </w:font>
  <w:font w:name="Georgia">
    <w:panose1 w:val="02040502050405020303"/>
    <w:charset w:val="00"/>
    <w:family w:val="roman"/>
    <w:pitch w:val="variable"/>
    <w:sig w:usb0="00000287" w:usb1="00000000" w:usb2="00000000" w:usb3="00000000" w:csb0="0000009F" w:csb1="00000000"/>
    <w:embedItalic r:id="rId8" w:fontKey="{B9E9D50B-9324-4B1A-AC6A-51FFFEBB5AC8}"/>
  </w:font>
  <w:font w:name="Calibri Light">
    <w:panose1 w:val="020F0302020204030204"/>
    <w:charset w:val="00"/>
    <w:family w:val="swiss"/>
    <w:pitch w:val="variable"/>
    <w:sig w:usb0="E4002EFF" w:usb1="C200247B" w:usb2="00000009" w:usb3="00000000" w:csb0="000001FF" w:csb1="00000000"/>
    <w:embedRegular r:id="rId9" w:fontKey="{CC76B178-8FFD-4910-9A7B-43841879F7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B5AC" w14:textId="5114BD0D" w:rsidR="000A72E1" w:rsidRDefault="00E4793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6538F">
      <w:rPr>
        <w:b/>
        <w:bCs/>
        <w:noProof/>
        <w:color w:val="000000"/>
        <w:sz w:val="24"/>
        <w:szCs w:val="24"/>
      </w:rPr>
      <w:t>13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6538F">
      <w:rPr>
        <w:b/>
        <w:bCs/>
        <w:noProof/>
        <w:color w:val="000000"/>
        <w:sz w:val="24"/>
        <w:szCs w:val="24"/>
      </w:rPr>
      <w:t>14</w:t>
    </w:r>
    <w:r>
      <w:rPr>
        <w:b/>
        <w:bCs/>
        <w:color w:val="000000"/>
        <w:sz w:val="24"/>
        <w:szCs w:val="24"/>
      </w:rPr>
      <w:fldChar w:fldCharType="end"/>
    </w:r>
  </w:p>
  <w:p w14:paraId="02215809" w14:textId="77777777" w:rsidR="000A72E1" w:rsidRDefault="000A72E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0E915" w14:textId="3D7F3775" w:rsidR="000A72E1" w:rsidRDefault="00E4793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6538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6538F">
      <w:rPr>
        <w:b/>
        <w:bCs/>
        <w:noProof/>
        <w:color w:val="000000"/>
        <w:sz w:val="24"/>
        <w:szCs w:val="24"/>
      </w:rPr>
      <w:t>14</w:t>
    </w:r>
    <w:r>
      <w:rPr>
        <w:b/>
        <w:bCs/>
        <w:color w:val="000000"/>
        <w:sz w:val="24"/>
        <w:szCs w:val="24"/>
      </w:rPr>
      <w:fldChar w:fldCharType="end"/>
    </w:r>
  </w:p>
  <w:p w14:paraId="362ABE52" w14:textId="77777777" w:rsidR="000A72E1" w:rsidRDefault="000A72E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DC95B" w14:textId="77777777" w:rsidR="00A40628" w:rsidRDefault="00A40628">
      <w:pPr>
        <w:spacing w:after="0" w:line="240" w:lineRule="auto"/>
      </w:pPr>
      <w:r>
        <w:separator/>
      </w:r>
    </w:p>
  </w:footnote>
  <w:footnote w:type="continuationSeparator" w:id="0">
    <w:p w14:paraId="41FD82BD" w14:textId="77777777" w:rsidR="00A40628" w:rsidRDefault="00A40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A70EE" w14:textId="77777777" w:rsidR="000A72E1" w:rsidRDefault="00E4793C">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64047E6" wp14:editId="7B131AF8">
          <wp:simplePos x="0" y="0"/>
          <wp:positionH relativeFrom="column">
            <wp:posOffset>-717546</wp:posOffset>
          </wp:positionH>
          <wp:positionV relativeFrom="paragraph">
            <wp:posOffset>-402585</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5603" w:type="dxa"/>
      <w:tblInd w:w="3611" w:type="dxa"/>
      <w:tblLayout w:type="fixed"/>
      <w:tblLook w:val="0400" w:firstRow="0" w:lastRow="0" w:firstColumn="0" w:lastColumn="0" w:noHBand="0" w:noVBand="1"/>
    </w:tblPr>
    <w:tblGrid>
      <w:gridCol w:w="2551"/>
      <w:gridCol w:w="3052"/>
    </w:tblGrid>
    <w:tr w:rsidR="000A72E1" w14:paraId="3FD507B4" w14:textId="77777777">
      <w:tc>
        <w:tcPr>
          <w:tcW w:w="2551" w:type="dxa"/>
          <w:vAlign w:val="center"/>
        </w:tcPr>
        <w:p w14:paraId="0F0B4D67"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3FA53452"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12269/INFOEM/IP/RR/2025</w:t>
          </w:r>
        </w:p>
      </w:tc>
    </w:tr>
    <w:tr w:rsidR="000A72E1" w14:paraId="5C4B79F2" w14:textId="77777777">
      <w:trPr>
        <w:trHeight w:val="228"/>
      </w:trPr>
      <w:tc>
        <w:tcPr>
          <w:tcW w:w="2551" w:type="dxa"/>
          <w:vAlign w:val="center"/>
        </w:tcPr>
        <w:p w14:paraId="6A955D07"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7F1ED12C" w14:textId="77777777" w:rsidR="000A72E1" w:rsidRDefault="00E4793C">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Consejo Estatal para el Desarrollo Integral de los Pueblos Indígenas del Estado de México</w:t>
          </w:r>
        </w:p>
      </w:tc>
    </w:tr>
    <w:tr w:rsidR="000A72E1" w14:paraId="29D3C104" w14:textId="77777777">
      <w:tc>
        <w:tcPr>
          <w:tcW w:w="2551" w:type="dxa"/>
          <w:vAlign w:val="center"/>
        </w:tcPr>
        <w:p w14:paraId="56922795"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400563D5"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3BA079BD" w14:textId="77777777" w:rsidR="000A72E1" w:rsidRDefault="000A72E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5F399" w14:textId="77777777" w:rsidR="000A72E1" w:rsidRDefault="00E4793C">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6FE99D3" wp14:editId="106005B4">
          <wp:simplePos x="0" y="0"/>
          <wp:positionH relativeFrom="column">
            <wp:posOffset>-761288</wp:posOffset>
          </wp:positionH>
          <wp:positionV relativeFrom="paragraph">
            <wp:posOffset>-183511</wp:posOffset>
          </wp:positionV>
          <wp:extent cx="7809876" cy="10165823"/>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9"/>
      <w:tblW w:w="5662" w:type="dxa"/>
      <w:tblInd w:w="3611" w:type="dxa"/>
      <w:tblLayout w:type="fixed"/>
      <w:tblLook w:val="0400" w:firstRow="0" w:lastRow="0" w:firstColumn="0" w:lastColumn="0" w:noHBand="0" w:noVBand="1"/>
    </w:tblPr>
    <w:tblGrid>
      <w:gridCol w:w="2578"/>
      <w:gridCol w:w="3084"/>
    </w:tblGrid>
    <w:tr w:rsidR="000A72E1" w14:paraId="401176D3" w14:textId="77777777">
      <w:trPr>
        <w:trHeight w:val="169"/>
      </w:trPr>
      <w:tc>
        <w:tcPr>
          <w:tcW w:w="2578" w:type="dxa"/>
          <w:vAlign w:val="center"/>
        </w:tcPr>
        <w:p w14:paraId="774F3814"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84" w:type="dxa"/>
          <w:vAlign w:val="center"/>
        </w:tcPr>
        <w:p w14:paraId="35274F14" w14:textId="77777777" w:rsidR="000A72E1" w:rsidRDefault="00E4793C">
          <w:pPr>
            <w:pBdr>
              <w:top w:val="nil"/>
              <w:left w:val="nil"/>
              <w:bottom w:val="nil"/>
              <w:right w:val="nil"/>
              <w:between w:val="nil"/>
            </w:pBdr>
            <w:tabs>
              <w:tab w:val="center" w:pos="4419"/>
              <w:tab w:val="right" w:pos="8838"/>
            </w:tabs>
            <w:spacing w:after="0" w:line="240" w:lineRule="auto"/>
            <w:ind w:right="-115"/>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12269/INFOEM/IP/RR/2025</w:t>
          </w:r>
        </w:p>
      </w:tc>
    </w:tr>
    <w:tr w:rsidR="000A72E1" w14:paraId="6192169D" w14:textId="77777777">
      <w:trPr>
        <w:trHeight w:val="169"/>
      </w:trPr>
      <w:tc>
        <w:tcPr>
          <w:tcW w:w="2578" w:type="dxa"/>
          <w:vAlign w:val="center"/>
        </w:tcPr>
        <w:p w14:paraId="79085E35"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Recurrente:</w:t>
          </w:r>
        </w:p>
      </w:tc>
      <w:tc>
        <w:tcPr>
          <w:tcW w:w="3084" w:type="dxa"/>
          <w:vAlign w:val="center"/>
        </w:tcPr>
        <w:p w14:paraId="51130420" w14:textId="77777777" w:rsidR="000A72E1" w:rsidRDefault="000A72E1">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bCs/>
              <w:color w:val="000000"/>
            </w:rPr>
          </w:pPr>
        </w:p>
      </w:tc>
    </w:tr>
    <w:tr w:rsidR="000A72E1" w14:paraId="75ADCB37" w14:textId="77777777">
      <w:trPr>
        <w:trHeight w:val="128"/>
      </w:trPr>
      <w:tc>
        <w:tcPr>
          <w:tcW w:w="2578" w:type="dxa"/>
          <w:vAlign w:val="center"/>
        </w:tcPr>
        <w:p w14:paraId="3C7A80D1"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84" w:type="dxa"/>
          <w:vAlign w:val="center"/>
        </w:tcPr>
        <w:p w14:paraId="42ACAE76" w14:textId="77777777" w:rsidR="000A72E1" w:rsidRDefault="00E4793C">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Consejo Estatal para el Desarrollo Integral de los Pueblos Indígenas del Estado de México</w:t>
          </w:r>
        </w:p>
      </w:tc>
    </w:tr>
    <w:tr w:rsidR="000A72E1" w14:paraId="31898EDF" w14:textId="77777777">
      <w:trPr>
        <w:trHeight w:val="169"/>
      </w:trPr>
      <w:tc>
        <w:tcPr>
          <w:tcW w:w="2578" w:type="dxa"/>
          <w:vAlign w:val="center"/>
        </w:tcPr>
        <w:p w14:paraId="275A01D5"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84" w:type="dxa"/>
          <w:vAlign w:val="center"/>
        </w:tcPr>
        <w:p w14:paraId="4304FDCE" w14:textId="77777777" w:rsidR="000A72E1" w:rsidRDefault="00E4793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053ABBFC" w14:textId="77777777" w:rsidR="000A72E1" w:rsidRDefault="00E4793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B53B7"/>
    <w:multiLevelType w:val="multilevel"/>
    <w:tmpl w:val="B19AE31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2C7830"/>
    <w:multiLevelType w:val="multilevel"/>
    <w:tmpl w:val="2E442B5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2E1"/>
    <w:rsid w:val="000A72E1"/>
    <w:rsid w:val="004620C5"/>
    <w:rsid w:val="00A40628"/>
    <w:rsid w:val="00C1458E"/>
    <w:rsid w:val="00D0413A"/>
    <w:rsid w:val="00E4793C"/>
    <w:rsid w:val="00E6538F"/>
    <w:rsid w:val="00F72D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262C"/>
  <w15:docId w15:val="{3DF64838-C3CB-4FCF-88DD-6392D756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Sinespaciado">
    <w:name w:val="No Spacing"/>
    <w:aliases w:val="Francesa,INAI,Fundamentos"/>
    <w:link w:val="SinespaciadoCar"/>
    <w:uiPriority w:val="1"/>
    <w:qFormat/>
    <w:rsid w:val="00EB53E5"/>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Fundamentos Car"/>
    <w:link w:val="Sinespaciado"/>
    <w:uiPriority w:val="1"/>
    <w:locked/>
    <w:rsid w:val="00EB53E5"/>
    <w:rPr>
      <w:rFonts w:ascii="Times New Roman" w:eastAsia="Times New Roman" w:hAnsi="Times New Roman" w:cs="Times New Roman"/>
      <w:sz w:val="24"/>
      <w:szCs w:val="24"/>
      <w:lang w:val="es-ES" w:eastAsia="es-ES"/>
    </w:r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BF7sn0GEKkNYLaVvY11tEs2Qew==">CgMxLjAyDmguMnF3NXUwc3c5c2lwMg5oLmxnd2wzYnNiemM2YTIOaC4xeGdrNW11d2Ewb2gyCWguM3pueXNoNzIOaC5qbTcyOWJoYjIzcWo4AHIhMVljNDRXNmZHM05EUDhLY3plcWZpdUdlR2U5MlZxdGpL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3409</Words>
  <Characters>18751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2025-12-05T19:12:00Z</cp:lastPrinted>
  <dcterms:created xsi:type="dcterms:W3CDTF">2026-01-19T20:14:00Z</dcterms:created>
  <dcterms:modified xsi:type="dcterms:W3CDTF">2026-01-19T20:14:00Z</dcterms:modified>
</cp:coreProperties>
</file>