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BC44B2" w14:textId="77777777" w:rsidR="005B0156" w:rsidRPr="005945E1" w:rsidRDefault="005B0156">
      <w:pPr>
        <w:widowControl w:val="0"/>
        <w:pBdr>
          <w:top w:val="nil"/>
          <w:left w:val="nil"/>
          <w:bottom w:val="nil"/>
          <w:right w:val="nil"/>
          <w:between w:val="nil"/>
        </w:pBdr>
        <w:spacing w:line="276" w:lineRule="auto"/>
        <w:jc w:val="left"/>
      </w:pPr>
    </w:p>
    <w:p w14:paraId="44A40E25" w14:textId="77777777" w:rsidR="005B0156" w:rsidRPr="005945E1" w:rsidRDefault="005B0156">
      <w:pPr>
        <w:widowControl w:val="0"/>
        <w:pBdr>
          <w:top w:val="nil"/>
          <w:left w:val="nil"/>
          <w:bottom w:val="nil"/>
          <w:right w:val="nil"/>
          <w:between w:val="nil"/>
        </w:pBdr>
        <w:spacing w:line="276" w:lineRule="auto"/>
        <w:jc w:val="left"/>
      </w:pPr>
    </w:p>
    <w:p w14:paraId="64BF8518" w14:textId="77777777" w:rsidR="005B0156" w:rsidRPr="00EF5605" w:rsidRDefault="000932BF">
      <w:pPr>
        <w:keepNext/>
        <w:keepLines/>
        <w:pBdr>
          <w:top w:val="nil"/>
          <w:left w:val="nil"/>
          <w:bottom w:val="nil"/>
          <w:right w:val="nil"/>
          <w:between w:val="nil"/>
        </w:pBdr>
        <w:spacing w:line="240" w:lineRule="auto"/>
        <w:jc w:val="left"/>
        <w:rPr>
          <w:color w:val="000000"/>
          <w:sz w:val="24"/>
          <w:szCs w:val="24"/>
        </w:rPr>
      </w:pPr>
      <w:r w:rsidRPr="00EF5605">
        <w:rPr>
          <w:color w:val="000000"/>
          <w:sz w:val="24"/>
          <w:szCs w:val="24"/>
        </w:rPr>
        <w:t>Contenido</w:t>
      </w:r>
    </w:p>
    <w:p w14:paraId="2261D9E3" w14:textId="77777777" w:rsidR="005B0156" w:rsidRPr="00EF5605" w:rsidRDefault="005B0156">
      <w:pPr>
        <w:spacing w:line="240" w:lineRule="auto"/>
        <w:rPr>
          <w:sz w:val="16"/>
          <w:szCs w:val="16"/>
        </w:rPr>
      </w:pPr>
    </w:p>
    <w:p w14:paraId="1EF0B016" w14:textId="77777777" w:rsidR="005B0156" w:rsidRPr="00EF5605" w:rsidRDefault="000932BF">
      <w:pPr>
        <w:pBdr>
          <w:top w:val="nil"/>
          <w:left w:val="nil"/>
          <w:bottom w:val="nil"/>
          <w:right w:val="nil"/>
          <w:between w:val="nil"/>
        </w:pBdr>
        <w:spacing w:before="240" w:line="259" w:lineRule="auto"/>
        <w:jc w:val="left"/>
        <w:rPr>
          <w:rFonts w:ascii="Play" w:eastAsia="Play" w:hAnsi="Play" w:cs="Play"/>
          <w:color w:val="0F4761"/>
          <w:sz w:val="32"/>
          <w:szCs w:val="32"/>
        </w:rPr>
      </w:pPr>
      <w:r w:rsidRPr="00EF5605">
        <w:rPr>
          <w:rFonts w:ascii="Play" w:eastAsia="Play" w:hAnsi="Play" w:cs="Play"/>
          <w:color w:val="0F4761"/>
          <w:sz w:val="32"/>
          <w:szCs w:val="32"/>
        </w:rPr>
        <w:t>Contenido</w:t>
      </w:r>
    </w:p>
    <w:sdt>
      <w:sdtPr>
        <w:id w:val="-46392818"/>
        <w:docPartObj>
          <w:docPartGallery w:val="Table of Contents"/>
          <w:docPartUnique/>
        </w:docPartObj>
      </w:sdtPr>
      <w:sdtEndPr/>
      <w:sdtContent>
        <w:p w14:paraId="129FEE92" w14:textId="77777777" w:rsidR="005B0156" w:rsidRPr="00EF5605" w:rsidRDefault="000932BF">
          <w:pPr>
            <w:pBdr>
              <w:top w:val="nil"/>
              <w:left w:val="nil"/>
              <w:bottom w:val="nil"/>
              <w:right w:val="nil"/>
              <w:between w:val="nil"/>
            </w:pBdr>
            <w:tabs>
              <w:tab w:val="right" w:pos="9034"/>
            </w:tabs>
            <w:spacing w:after="100"/>
            <w:rPr>
              <w:rFonts w:ascii="Aptos" w:eastAsia="Aptos" w:hAnsi="Aptos" w:cs="Aptos"/>
              <w:color w:val="000000"/>
            </w:rPr>
          </w:pPr>
          <w:r w:rsidRPr="00EF5605">
            <w:fldChar w:fldCharType="begin"/>
          </w:r>
          <w:r w:rsidRPr="00EF5605">
            <w:instrText xml:space="preserve"> TOC \h \u \z \t "Heading 1,1,Heading 2,2,Heading 3,3,"</w:instrText>
          </w:r>
          <w:r w:rsidRPr="00EF5605">
            <w:fldChar w:fldCharType="separate"/>
          </w:r>
          <w:hyperlink w:anchor="_heading=h.fwp0w1898s9e">
            <w:r w:rsidRPr="00EF5605">
              <w:rPr>
                <w:color w:val="000000"/>
              </w:rPr>
              <w:t>ANTECEDENTES</w:t>
            </w:r>
            <w:r w:rsidRPr="00EF5605">
              <w:rPr>
                <w:color w:val="000000"/>
              </w:rPr>
              <w:tab/>
              <w:t>1</w:t>
            </w:r>
          </w:hyperlink>
        </w:p>
        <w:p w14:paraId="1C9021D2" w14:textId="77777777" w:rsidR="005B0156" w:rsidRPr="00EF5605" w:rsidRDefault="000623BC">
          <w:pPr>
            <w:pBdr>
              <w:top w:val="nil"/>
              <w:left w:val="nil"/>
              <w:bottom w:val="nil"/>
              <w:right w:val="nil"/>
              <w:between w:val="nil"/>
            </w:pBdr>
            <w:tabs>
              <w:tab w:val="right" w:pos="9034"/>
            </w:tabs>
            <w:spacing w:after="100" w:line="240" w:lineRule="auto"/>
            <w:ind w:left="220"/>
            <w:rPr>
              <w:rFonts w:ascii="Aptos" w:eastAsia="Aptos" w:hAnsi="Aptos" w:cs="Aptos"/>
              <w:color w:val="000000"/>
            </w:rPr>
          </w:pPr>
          <w:hyperlink w:anchor="_heading=h.t0etsbmexhji">
            <w:r w:rsidR="000932BF" w:rsidRPr="00EF5605">
              <w:rPr>
                <w:color w:val="000000"/>
              </w:rPr>
              <w:t>DE LA SOLICITUD DE INFORMACIÓN</w:t>
            </w:r>
            <w:r w:rsidR="000932BF" w:rsidRPr="00EF5605">
              <w:rPr>
                <w:color w:val="000000"/>
              </w:rPr>
              <w:tab/>
              <w:t>1</w:t>
            </w:r>
          </w:hyperlink>
        </w:p>
        <w:p w14:paraId="606E3367" w14:textId="77777777" w:rsidR="005B0156" w:rsidRPr="00EF5605" w:rsidRDefault="000623BC">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snire9rzd53n">
            <w:r w:rsidR="000932BF" w:rsidRPr="00EF5605">
              <w:rPr>
                <w:color w:val="000000"/>
              </w:rPr>
              <w:t>a) Solicitud de información</w:t>
            </w:r>
            <w:r w:rsidR="000932BF" w:rsidRPr="00EF5605">
              <w:rPr>
                <w:color w:val="000000"/>
              </w:rPr>
              <w:tab/>
              <w:t>1</w:t>
            </w:r>
          </w:hyperlink>
        </w:p>
        <w:p w14:paraId="7EB6E682" w14:textId="77777777" w:rsidR="005B0156" w:rsidRPr="00EF5605" w:rsidRDefault="000623BC">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gb3g9blb1crs">
            <w:r w:rsidR="000932BF" w:rsidRPr="00EF5605">
              <w:rPr>
                <w:color w:val="000000"/>
              </w:rPr>
              <w:t>b) Respuesta del Sujeto Obligado</w:t>
            </w:r>
            <w:r w:rsidR="000932BF" w:rsidRPr="00EF5605">
              <w:rPr>
                <w:color w:val="000000"/>
              </w:rPr>
              <w:tab/>
              <w:t>2</w:t>
            </w:r>
          </w:hyperlink>
        </w:p>
        <w:p w14:paraId="49B5FF3D" w14:textId="77777777" w:rsidR="005B0156" w:rsidRPr="00EF5605" w:rsidRDefault="000623BC">
          <w:pPr>
            <w:pBdr>
              <w:top w:val="nil"/>
              <w:left w:val="nil"/>
              <w:bottom w:val="nil"/>
              <w:right w:val="nil"/>
              <w:between w:val="nil"/>
            </w:pBdr>
            <w:tabs>
              <w:tab w:val="right" w:pos="9034"/>
            </w:tabs>
            <w:spacing w:after="100" w:line="240" w:lineRule="auto"/>
            <w:ind w:left="220"/>
            <w:rPr>
              <w:rFonts w:ascii="Aptos" w:eastAsia="Aptos" w:hAnsi="Aptos" w:cs="Aptos"/>
              <w:color w:val="000000"/>
            </w:rPr>
          </w:pPr>
          <w:hyperlink w:anchor="_heading=h.uafpnkc1pxc3">
            <w:r w:rsidR="000932BF" w:rsidRPr="00EF5605">
              <w:rPr>
                <w:color w:val="000000"/>
              </w:rPr>
              <w:t>DEL RECURSO DE REVISIÓN</w:t>
            </w:r>
            <w:r w:rsidR="000932BF" w:rsidRPr="00EF5605">
              <w:rPr>
                <w:color w:val="000000"/>
              </w:rPr>
              <w:tab/>
              <w:t>3</w:t>
            </w:r>
          </w:hyperlink>
        </w:p>
        <w:p w14:paraId="660DA44B" w14:textId="77777777" w:rsidR="005B0156" w:rsidRPr="00EF5605" w:rsidRDefault="000623BC">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irwqixu8mp7l">
            <w:r w:rsidR="000932BF" w:rsidRPr="00EF5605">
              <w:rPr>
                <w:color w:val="000000"/>
              </w:rPr>
              <w:t>a) Interposición del Recurso de Revisión</w:t>
            </w:r>
            <w:r w:rsidR="000932BF" w:rsidRPr="00EF5605">
              <w:rPr>
                <w:color w:val="000000"/>
              </w:rPr>
              <w:tab/>
              <w:t>3</w:t>
            </w:r>
          </w:hyperlink>
        </w:p>
        <w:p w14:paraId="3464C8FC" w14:textId="77777777" w:rsidR="005B0156" w:rsidRPr="00EF5605" w:rsidRDefault="000623BC">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e60lxfwd1srx">
            <w:r w:rsidR="000932BF" w:rsidRPr="00EF5605">
              <w:rPr>
                <w:color w:val="000000"/>
              </w:rPr>
              <w:t>b) Turno del Recurso de Revisión</w:t>
            </w:r>
            <w:r w:rsidR="000932BF" w:rsidRPr="00EF5605">
              <w:rPr>
                <w:color w:val="000000"/>
              </w:rPr>
              <w:tab/>
              <w:t>3</w:t>
            </w:r>
          </w:hyperlink>
        </w:p>
        <w:p w14:paraId="197F2911" w14:textId="77777777" w:rsidR="005B0156" w:rsidRPr="00EF5605" w:rsidRDefault="000623BC">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sqqq0m1eonit">
            <w:r w:rsidR="000932BF" w:rsidRPr="00EF5605">
              <w:rPr>
                <w:color w:val="000000"/>
              </w:rPr>
              <w:t>c) Admisión del Recurso de Revisión</w:t>
            </w:r>
            <w:r w:rsidR="000932BF" w:rsidRPr="00EF5605">
              <w:rPr>
                <w:color w:val="000000"/>
              </w:rPr>
              <w:tab/>
              <w:t>4</w:t>
            </w:r>
          </w:hyperlink>
        </w:p>
        <w:p w14:paraId="3E572986" w14:textId="77777777" w:rsidR="005B0156" w:rsidRPr="00EF5605" w:rsidRDefault="000623BC">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cvssjit8rbpr">
            <w:r w:rsidR="000932BF" w:rsidRPr="00EF5605">
              <w:rPr>
                <w:color w:val="000000"/>
              </w:rPr>
              <w:t>d) Informe Justificado del Sujeto Obligado</w:t>
            </w:r>
            <w:r w:rsidR="000932BF" w:rsidRPr="00EF5605">
              <w:rPr>
                <w:color w:val="000000"/>
              </w:rPr>
              <w:tab/>
              <w:t>4</w:t>
            </w:r>
          </w:hyperlink>
        </w:p>
        <w:p w14:paraId="30E0C3EF" w14:textId="77777777" w:rsidR="005B0156" w:rsidRPr="00EF5605" w:rsidRDefault="000623BC">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vqe2tl78eekq">
            <w:r w:rsidR="000932BF" w:rsidRPr="00EF5605">
              <w:rPr>
                <w:color w:val="000000"/>
              </w:rPr>
              <w:t>e) Manifestaciones de la Parte Recurrente</w:t>
            </w:r>
            <w:r w:rsidR="000932BF" w:rsidRPr="00EF5605">
              <w:rPr>
                <w:color w:val="000000"/>
              </w:rPr>
              <w:tab/>
              <w:t>4</w:t>
            </w:r>
          </w:hyperlink>
        </w:p>
        <w:p w14:paraId="39C981E4" w14:textId="77777777" w:rsidR="005B0156" w:rsidRPr="00EF5605" w:rsidRDefault="000623BC">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e2qp38qefmqh">
            <w:r w:rsidR="000932BF" w:rsidRPr="00EF5605">
              <w:rPr>
                <w:color w:val="000000"/>
              </w:rPr>
              <w:t>f) Cierre de instrucción</w:t>
            </w:r>
            <w:r w:rsidR="000932BF" w:rsidRPr="00EF5605">
              <w:rPr>
                <w:color w:val="000000"/>
              </w:rPr>
              <w:tab/>
              <w:t>4</w:t>
            </w:r>
          </w:hyperlink>
        </w:p>
        <w:p w14:paraId="0288C80C" w14:textId="77777777" w:rsidR="005B0156" w:rsidRPr="00EF5605" w:rsidRDefault="000623BC">
          <w:pPr>
            <w:pBdr>
              <w:top w:val="nil"/>
              <w:left w:val="nil"/>
              <w:bottom w:val="nil"/>
              <w:right w:val="nil"/>
              <w:between w:val="nil"/>
            </w:pBdr>
            <w:tabs>
              <w:tab w:val="right" w:pos="9034"/>
            </w:tabs>
            <w:spacing w:after="100"/>
            <w:rPr>
              <w:rFonts w:ascii="Aptos" w:eastAsia="Aptos" w:hAnsi="Aptos" w:cs="Aptos"/>
              <w:color w:val="000000"/>
            </w:rPr>
          </w:pPr>
          <w:hyperlink w:anchor="_heading=h.5bi6aum9paqu">
            <w:r w:rsidR="000932BF" w:rsidRPr="00EF5605">
              <w:rPr>
                <w:color w:val="000000"/>
              </w:rPr>
              <w:t>CONSIDERANDOS</w:t>
            </w:r>
            <w:r w:rsidR="000932BF" w:rsidRPr="00EF5605">
              <w:rPr>
                <w:color w:val="000000"/>
              </w:rPr>
              <w:tab/>
              <w:t>5</w:t>
            </w:r>
          </w:hyperlink>
        </w:p>
        <w:p w14:paraId="546F1B05" w14:textId="77777777" w:rsidR="005B0156" w:rsidRPr="00EF5605" w:rsidRDefault="000623BC">
          <w:pPr>
            <w:pBdr>
              <w:top w:val="nil"/>
              <w:left w:val="nil"/>
              <w:bottom w:val="nil"/>
              <w:right w:val="nil"/>
              <w:between w:val="nil"/>
            </w:pBdr>
            <w:tabs>
              <w:tab w:val="right" w:pos="9034"/>
            </w:tabs>
            <w:spacing w:after="100" w:line="240" w:lineRule="auto"/>
            <w:ind w:left="220"/>
            <w:rPr>
              <w:rFonts w:ascii="Aptos" w:eastAsia="Aptos" w:hAnsi="Aptos" w:cs="Aptos"/>
              <w:color w:val="000000"/>
            </w:rPr>
          </w:pPr>
          <w:hyperlink w:anchor="_heading=h.x4ccb2qdv6z6">
            <w:r w:rsidR="000932BF" w:rsidRPr="00EF5605">
              <w:rPr>
                <w:color w:val="000000"/>
              </w:rPr>
              <w:t>PRIMERO. Procedibilidad</w:t>
            </w:r>
            <w:r w:rsidR="000932BF" w:rsidRPr="00EF5605">
              <w:rPr>
                <w:color w:val="000000"/>
              </w:rPr>
              <w:tab/>
              <w:t>5</w:t>
            </w:r>
          </w:hyperlink>
        </w:p>
        <w:p w14:paraId="456C8488" w14:textId="77777777" w:rsidR="005B0156" w:rsidRPr="00EF5605" w:rsidRDefault="000623BC">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edthcpnflbg">
            <w:r w:rsidR="000932BF" w:rsidRPr="00EF5605">
              <w:rPr>
                <w:color w:val="000000"/>
              </w:rPr>
              <w:t>a) Competencia del Instituto</w:t>
            </w:r>
            <w:r w:rsidR="000932BF" w:rsidRPr="00EF5605">
              <w:rPr>
                <w:color w:val="000000"/>
              </w:rPr>
              <w:tab/>
              <w:t>5</w:t>
            </w:r>
          </w:hyperlink>
        </w:p>
        <w:p w14:paraId="6F252D98" w14:textId="77777777" w:rsidR="005B0156" w:rsidRPr="00EF5605" w:rsidRDefault="000623BC">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w7ukm4aciaa">
            <w:r w:rsidR="000932BF" w:rsidRPr="00EF5605">
              <w:rPr>
                <w:color w:val="000000"/>
              </w:rPr>
              <w:t>b) Legitimidad de la parte recurrente</w:t>
            </w:r>
            <w:r w:rsidR="000932BF" w:rsidRPr="00EF5605">
              <w:rPr>
                <w:color w:val="000000"/>
              </w:rPr>
              <w:tab/>
              <w:t>5</w:t>
            </w:r>
          </w:hyperlink>
        </w:p>
        <w:p w14:paraId="00531868" w14:textId="77777777" w:rsidR="005B0156" w:rsidRPr="00EF5605" w:rsidRDefault="000623BC">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hbcmu74n0jcc">
            <w:r w:rsidR="000932BF" w:rsidRPr="00EF5605">
              <w:rPr>
                <w:color w:val="000000"/>
              </w:rPr>
              <w:t>c) Plazo para interponer el recurso</w:t>
            </w:r>
            <w:r w:rsidR="000932BF" w:rsidRPr="00EF5605">
              <w:rPr>
                <w:color w:val="000000"/>
              </w:rPr>
              <w:tab/>
              <w:t>5</w:t>
            </w:r>
          </w:hyperlink>
        </w:p>
        <w:p w14:paraId="0EDC0EBF" w14:textId="77777777" w:rsidR="005B0156" w:rsidRPr="00EF5605" w:rsidRDefault="000623BC">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m9nni2lzcuun">
            <w:r w:rsidR="000932BF" w:rsidRPr="00EF5605">
              <w:rPr>
                <w:color w:val="000000"/>
              </w:rPr>
              <w:t>d) Causal de procedencia</w:t>
            </w:r>
            <w:r w:rsidR="000932BF" w:rsidRPr="00EF5605">
              <w:rPr>
                <w:color w:val="000000"/>
              </w:rPr>
              <w:tab/>
              <w:t>7</w:t>
            </w:r>
          </w:hyperlink>
        </w:p>
        <w:p w14:paraId="2B2E7B5F" w14:textId="77777777" w:rsidR="005B0156" w:rsidRPr="00EF5605" w:rsidRDefault="000623BC">
          <w:pPr>
            <w:pBdr>
              <w:top w:val="nil"/>
              <w:left w:val="nil"/>
              <w:bottom w:val="nil"/>
              <w:right w:val="nil"/>
              <w:between w:val="nil"/>
            </w:pBdr>
            <w:tabs>
              <w:tab w:val="right" w:pos="9034"/>
            </w:tabs>
            <w:spacing w:after="100" w:line="240" w:lineRule="auto"/>
            <w:ind w:left="220"/>
            <w:rPr>
              <w:rFonts w:ascii="Aptos" w:eastAsia="Aptos" w:hAnsi="Aptos" w:cs="Aptos"/>
              <w:color w:val="000000"/>
            </w:rPr>
          </w:pPr>
          <w:hyperlink w:anchor="_heading=h.4ik5zpz7fqdg">
            <w:r w:rsidR="000932BF" w:rsidRPr="00EF5605">
              <w:rPr>
                <w:color w:val="000000"/>
              </w:rPr>
              <w:t>SEGUNDO. Estudio de Fondo</w:t>
            </w:r>
            <w:r w:rsidR="000932BF" w:rsidRPr="00EF5605">
              <w:rPr>
                <w:color w:val="000000"/>
              </w:rPr>
              <w:tab/>
              <w:t>8</w:t>
            </w:r>
          </w:hyperlink>
        </w:p>
        <w:p w14:paraId="313FC662" w14:textId="77777777" w:rsidR="005B0156" w:rsidRPr="00EF5605" w:rsidRDefault="000623BC">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mbinbusjookg">
            <w:r w:rsidR="000932BF" w:rsidRPr="00EF5605">
              <w:rPr>
                <w:color w:val="000000"/>
              </w:rPr>
              <w:t>a) Mandato de transparencia y responsabilidad del Sujeto Obligado</w:t>
            </w:r>
            <w:r w:rsidR="000932BF" w:rsidRPr="00EF5605">
              <w:rPr>
                <w:color w:val="000000"/>
              </w:rPr>
              <w:tab/>
              <w:t>8</w:t>
            </w:r>
          </w:hyperlink>
        </w:p>
        <w:p w14:paraId="76AA659B" w14:textId="77777777" w:rsidR="005B0156" w:rsidRPr="00EF5605" w:rsidRDefault="000623BC">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y5nuexl37bv4">
            <w:r w:rsidR="000932BF" w:rsidRPr="00EF5605">
              <w:rPr>
                <w:color w:val="000000"/>
              </w:rPr>
              <w:t>b) Controversia a resolver</w:t>
            </w:r>
            <w:r w:rsidR="000932BF" w:rsidRPr="00EF5605">
              <w:rPr>
                <w:color w:val="000000"/>
              </w:rPr>
              <w:tab/>
              <w:t>10</w:t>
            </w:r>
          </w:hyperlink>
        </w:p>
        <w:p w14:paraId="0208DA82" w14:textId="77777777" w:rsidR="005B0156" w:rsidRPr="00EF5605" w:rsidRDefault="000623BC">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27eyih1ubmkz">
            <w:r w:rsidR="000932BF" w:rsidRPr="00EF5605">
              <w:rPr>
                <w:color w:val="000000"/>
              </w:rPr>
              <w:t>c) Estudio de la controversia</w:t>
            </w:r>
            <w:r w:rsidR="000932BF" w:rsidRPr="00EF5605">
              <w:rPr>
                <w:color w:val="000000"/>
              </w:rPr>
              <w:tab/>
              <w:t>11</w:t>
            </w:r>
          </w:hyperlink>
        </w:p>
        <w:p w14:paraId="28B34F9F" w14:textId="77777777" w:rsidR="005B0156" w:rsidRPr="00EF5605" w:rsidRDefault="000623BC">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jzrcjddci0t7">
            <w:r w:rsidR="000932BF" w:rsidRPr="00EF5605">
              <w:rPr>
                <w:color w:val="000000"/>
              </w:rPr>
              <w:t>d) Versión Pública</w:t>
            </w:r>
            <w:r w:rsidR="000932BF" w:rsidRPr="00EF5605">
              <w:rPr>
                <w:color w:val="000000"/>
              </w:rPr>
              <w:tab/>
              <w:t>19</w:t>
            </w:r>
          </w:hyperlink>
        </w:p>
        <w:p w14:paraId="0202488E" w14:textId="77777777" w:rsidR="005B0156" w:rsidRPr="00EF5605" w:rsidRDefault="000623BC">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d1bvssvubzil">
            <w:r w:rsidR="000932BF" w:rsidRPr="00EF5605">
              <w:rPr>
                <w:color w:val="000000"/>
              </w:rPr>
              <w:t>e) Acuerdo de Inexistencia</w:t>
            </w:r>
            <w:r w:rsidR="000932BF" w:rsidRPr="00EF5605">
              <w:rPr>
                <w:color w:val="000000"/>
              </w:rPr>
              <w:tab/>
              <w:t>25</w:t>
            </w:r>
          </w:hyperlink>
        </w:p>
        <w:p w14:paraId="2CA62623" w14:textId="77777777" w:rsidR="005B0156" w:rsidRPr="00EF5605" w:rsidRDefault="000623BC">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gai9t015hfsg">
            <w:r w:rsidR="000932BF" w:rsidRPr="00EF5605">
              <w:rPr>
                <w:color w:val="000000"/>
              </w:rPr>
              <w:t>f) Vista al Órgano Interno de Control</w:t>
            </w:r>
            <w:r w:rsidR="000932BF" w:rsidRPr="00EF5605">
              <w:rPr>
                <w:color w:val="000000"/>
              </w:rPr>
              <w:tab/>
              <w:t>26</w:t>
            </w:r>
          </w:hyperlink>
        </w:p>
        <w:p w14:paraId="7D11C92E" w14:textId="77777777" w:rsidR="005B0156" w:rsidRPr="00EF5605" w:rsidRDefault="000623BC">
          <w:pPr>
            <w:pBdr>
              <w:top w:val="nil"/>
              <w:left w:val="nil"/>
              <w:bottom w:val="nil"/>
              <w:right w:val="nil"/>
              <w:between w:val="nil"/>
            </w:pBdr>
            <w:tabs>
              <w:tab w:val="right" w:pos="9034"/>
            </w:tabs>
            <w:spacing w:after="100" w:line="240" w:lineRule="auto"/>
            <w:ind w:left="440"/>
            <w:rPr>
              <w:rFonts w:ascii="Aptos" w:eastAsia="Aptos" w:hAnsi="Aptos" w:cs="Aptos"/>
              <w:color w:val="000000"/>
            </w:rPr>
          </w:pPr>
          <w:hyperlink w:anchor="_heading=h.hvuv5uzf9os9">
            <w:r w:rsidR="000932BF" w:rsidRPr="00EF5605">
              <w:rPr>
                <w:color w:val="000000"/>
              </w:rPr>
              <w:t>g) Conclusión</w:t>
            </w:r>
            <w:r w:rsidR="000932BF" w:rsidRPr="00EF5605">
              <w:rPr>
                <w:color w:val="000000"/>
              </w:rPr>
              <w:tab/>
              <w:t>26</w:t>
            </w:r>
          </w:hyperlink>
        </w:p>
        <w:p w14:paraId="2E5FF0F5" w14:textId="77777777" w:rsidR="005B0156" w:rsidRPr="00EF5605" w:rsidRDefault="000623BC">
          <w:pPr>
            <w:pBdr>
              <w:top w:val="nil"/>
              <w:left w:val="nil"/>
              <w:bottom w:val="nil"/>
              <w:right w:val="nil"/>
              <w:between w:val="nil"/>
            </w:pBdr>
            <w:tabs>
              <w:tab w:val="right" w:pos="9034"/>
            </w:tabs>
            <w:spacing w:after="100"/>
            <w:rPr>
              <w:rFonts w:ascii="Aptos" w:eastAsia="Aptos" w:hAnsi="Aptos" w:cs="Aptos"/>
              <w:color w:val="000000"/>
            </w:rPr>
          </w:pPr>
          <w:hyperlink w:anchor="_heading=h.3s2faxluu6fe">
            <w:r w:rsidR="000932BF" w:rsidRPr="00EF5605">
              <w:rPr>
                <w:color w:val="000000"/>
              </w:rPr>
              <w:t>RESUELVE</w:t>
            </w:r>
            <w:r w:rsidR="000932BF" w:rsidRPr="00EF5605">
              <w:rPr>
                <w:color w:val="000000"/>
              </w:rPr>
              <w:tab/>
              <w:t>27</w:t>
            </w:r>
          </w:hyperlink>
        </w:p>
        <w:p w14:paraId="31ABBB99" w14:textId="77777777" w:rsidR="005B0156" w:rsidRPr="00EF5605" w:rsidRDefault="000932BF">
          <w:r w:rsidRPr="00EF5605">
            <w:fldChar w:fldCharType="end"/>
          </w:r>
        </w:p>
      </w:sdtContent>
    </w:sdt>
    <w:p w14:paraId="2448B932" w14:textId="77777777" w:rsidR="005B0156" w:rsidRPr="00EF5605" w:rsidRDefault="005B0156">
      <w:pPr>
        <w:pBdr>
          <w:top w:val="nil"/>
          <w:left w:val="nil"/>
          <w:bottom w:val="nil"/>
          <w:right w:val="nil"/>
          <w:between w:val="nil"/>
        </w:pBdr>
        <w:tabs>
          <w:tab w:val="right" w:pos="9034"/>
        </w:tabs>
        <w:spacing w:after="100"/>
        <w:rPr>
          <w:b/>
          <w:bCs/>
          <w:color w:val="000000"/>
        </w:rPr>
        <w:sectPr w:rsidR="005B0156" w:rsidRPr="00EF5605">
          <w:headerReference w:type="default" r:id="rId8"/>
          <w:footerReference w:type="default" r:id="rId9"/>
          <w:headerReference w:type="first" r:id="rId10"/>
          <w:pgSz w:w="12240" w:h="15840"/>
          <w:pgMar w:top="2552" w:right="1608" w:bottom="1701" w:left="1588" w:header="709" w:footer="737" w:gutter="0"/>
          <w:pgNumType w:start="1"/>
          <w:cols w:space="720"/>
          <w:titlePg/>
        </w:sectPr>
      </w:pPr>
    </w:p>
    <w:p w14:paraId="14F57A20" w14:textId="77777777" w:rsidR="005B0156" w:rsidRPr="00EF5605" w:rsidRDefault="000932BF">
      <w:pPr>
        <w:rPr>
          <w:b/>
          <w:bCs/>
        </w:rPr>
      </w:pPr>
      <w:r w:rsidRPr="00EF5605">
        <w:lastRenderedPageBreak/>
        <w:t xml:space="preserve">Resolución del Pleno del Instituto de Transparencia, Acceso a la Información Pública y Protección de Datos Personales del Estado de México y Municipios, con domicilio en Metepec, Estado de México, del </w:t>
      </w:r>
      <w:r w:rsidRPr="00EF5605">
        <w:rPr>
          <w:b/>
          <w:bCs/>
        </w:rPr>
        <w:t>diez de diciembre de dos mil veinticinco.</w:t>
      </w:r>
    </w:p>
    <w:p w14:paraId="285AD1A1" w14:textId="77777777" w:rsidR="005B0156" w:rsidRPr="00EF5605" w:rsidRDefault="005B0156"/>
    <w:p w14:paraId="3F28C336" w14:textId="40B2A7CF" w:rsidR="005B0156" w:rsidRPr="00EF5605" w:rsidRDefault="000932BF">
      <w:r w:rsidRPr="00EF5605">
        <w:rPr>
          <w:b/>
          <w:bCs/>
        </w:rPr>
        <w:t xml:space="preserve">VISTO </w:t>
      </w:r>
      <w:r w:rsidRPr="00EF5605">
        <w:t xml:space="preserve">el expediente formado con motivo del Recurso de Revisión </w:t>
      </w:r>
      <w:r w:rsidRPr="00EF5605">
        <w:rPr>
          <w:b/>
          <w:bCs/>
        </w:rPr>
        <w:t xml:space="preserve">13037/INFOEM/IP/RR/2025, </w:t>
      </w:r>
      <w:r w:rsidRPr="00EF5605">
        <w:t>interpuesto por</w:t>
      </w:r>
      <w:r w:rsidRPr="00EF5605">
        <w:rPr>
          <w:b/>
          <w:bCs/>
        </w:rPr>
        <w:t xml:space="preserve"> </w:t>
      </w:r>
      <w:r w:rsidR="007013F1">
        <w:rPr>
          <w:b/>
          <w:bCs/>
        </w:rPr>
        <w:t>XXXXXXX</w:t>
      </w:r>
      <w:r w:rsidRPr="00EF5605">
        <w:t xml:space="preserve">, a quien en lo subsecuente se le denominará </w:t>
      </w:r>
      <w:r w:rsidRPr="00EF5605">
        <w:rPr>
          <w:b/>
          <w:bCs/>
        </w:rPr>
        <w:t>LA PARTE RECURRENTE</w:t>
      </w:r>
      <w:r w:rsidRPr="00EF5605">
        <w:t xml:space="preserve">, en contra de la falta de respuesta del </w:t>
      </w:r>
      <w:r w:rsidRPr="00EF5605">
        <w:rPr>
          <w:b/>
          <w:bCs/>
        </w:rPr>
        <w:t>Ayuntamiento de Tepotzotlán</w:t>
      </w:r>
      <w:r w:rsidRPr="00EF5605">
        <w:t xml:space="preserve">, en adelante </w:t>
      </w:r>
      <w:r w:rsidRPr="00EF5605">
        <w:rPr>
          <w:b/>
          <w:bCs/>
        </w:rPr>
        <w:t>EL SUJETO OBLIGADO</w:t>
      </w:r>
      <w:r w:rsidRPr="00EF5605">
        <w:t>, se emite la presente Resolución con base en los Antecedentes y Considerandos que se exponen a continuación:</w:t>
      </w:r>
    </w:p>
    <w:p w14:paraId="19D5D186" w14:textId="77777777" w:rsidR="005B0156" w:rsidRPr="00EF5605" w:rsidRDefault="005B0156"/>
    <w:p w14:paraId="3AD3D287" w14:textId="77777777" w:rsidR="005B0156" w:rsidRPr="00EF5605" w:rsidRDefault="000932BF">
      <w:pPr>
        <w:pStyle w:val="Ttulo1"/>
      </w:pPr>
      <w:bookmarkStart w:id="2" w:name="_heading=h.fwp0w1898s9e" w:colFirst="0" w:colLast="0"/>
      <w:bookmarkEnd w:id="2"/>
      <w:r w:rsidRPr="00EF5605">
        <w:t>ANTECEDENTES</w:t>
      </w:r>
    </w:p>
    <w:p w14:paraId="6B405E81" w14:textId="77777777" w:rsidR="005B0156" w:rsidRPr="00EF5605" w:rsidRDefault="005B0156"/>
    <w:p w14:paraId="1F76766C" w14:textId="77777777" w:rsidR="005B0156" w:rsidRPr="00EF5605" w:rsidRDefault="000932BF">
      <w:pPr>
        <w:pStyle w:val="Ttulo2"/>
        <w:jc w:val="left"/>
      </w:pPr>
      <w:bookmarkStart w:id="3" w:name="_heading=h.t0etsbmexhji" w:colFirst="0" w:colLast="0"/>
      <w:bookmarkEnd w:id="3"/>
      <w:r w:rsidRPr="00EF5605">
        <w:t>DE LA SOLICITUD DE INFORMACIÓN</w:t>
      </w:r>
    </w:p>
    <w:p w14:paraId="1EA9D4F1" w14:textId="77777777" w:rsidR="005B0156" w:rsidRPr="00EF5605" w:rsidRDefault="000932BF">
      <w:pPr>
        <w:pStyle w:val="Ttulo3"/>
      </w:pPr>
      <w:bookmarkStart w:id="4" w:name="_heading=h.snire9rzd53n" w:colFirst="0" w:colLast="0"/>
      <w:bookmarkEnd w:id="4"/>
      <w:r w:rsidRPr="00EF5605">
        <w:t>a) Solicitud de información</w:t>
      </w:r>
    </w:p>
    <w:p w14:paraId="745AF4DE" w14:textId="77777777" w:rsidR="005B0156" w:rsidRPr="00EF5605" w:rsidRDefault="000932BF">
      <w:r w:rsidRPr="00EF5605">
        <w:t xml:space="preserve">El </w:t>
      </w:r>
      <w:r w:rsidRPr="00EF5605">
        <w:rPr>
          <w:b/>
          <w:bCs/>
        </w:rPr>
        <w:t xml:space="preserve">veintidós de octubre </w:t>
      </w:r>
      <w:r w:rsidRPr="00EF5605">
        <w:t>de</w:t>
      </w:r>
      <w:r w:rsidRPr="00EF5605">
        <w:rPr>
          <w:b/>
          <w:bCs/>
        </w:rPr>
        <w:t xml:space="preserve"> dos mil veinticinco</w:t>
      </w:r>
      <w:r w:rsidRPr="00EF5605">
        <w:t xml:space="preserve">, </w:t>
      </w:r>
      <w:r w:rsidRPr="00EF5605">
        <w:rPr>
          <w:b/>
          <w:bCs/>
        </w:rPr>
        <w:t>LA PARTE RECURRENTE</w:t>
      </w:r>
      <w:r w:rsidRPr="00EF5605">
        <w:t xml:space="preserve"> presentó una solicitud de acceso a la información pública ante el </w:t>
      </w:r>
      <w:r w:rsidRPr="00EF5605">
        <w:rPr>
          <w:b/>
          <w:bCs/>
        </w:rPr>
        <w:t>SUJETO OBLIGADO</w:t>
      </w:r>
      <w:r w:rsidRPr="00EF5605">
        <w:t>, a través del Sistema de Acceso a la Información Mexiquense (SAIMEX). Dicha solicitud quedó registrada con el número de folio</w:t>
      </w:r>
      <w:r w:rsidRPr="00EF5605">
        <w:rPr>
          <w:b/>
          <w:bCs/>
        </w:rPr>
        <w:t xml:space="preserve"> 00684/TEPOTZOT/IP/2025 </w:t>
      </w:r>
      <w:r w:rsidRPr="00EF5605">
        <w:t>y en ella se requirió la siguiente información:</w:t>
      </w:r>
    </w:p>
    <w:p w14:paraId="6070E840" w14:textId="77777777" w:rsidR="005B0156" w:rsidRPr="00EF5605" w:rsidRDefault="005B0156"/>
    <w:p w14:paraId="668AC5FA" w14:textId="77777777" w:rsidR="005B0156" w:rsidRPr="00EF5605" w:rsidRDefault="000932BF">
      <w:pPr>
        <w:pStyle w:val="Puesto"/>
        <w:tabs>
          <w:tab w:val="left" w:pos="8222"/>
        </w:tabs>
        <w:ind w:left="851" w:right="822" w:firstLine="0"/>
      </w:pPr>
      <w:r w:rsidRPr="00EF5605">
        <w:t xml:space="preserve">“SOLICITÓ OFICIOS MEDIANTE LOS CUALES NOTIFICARON AL REPRESENTANTE LEGAL DEL AYUNTAMIENTO LA INHABILITACIÓN DE LA PRESIDENTA </w:t>
      </w:r>
      <w:bookmarkStart w:id="5" w:name="_GoBack"/>
      <w:r w:rsidRPr="00EF5605">
        <w:t>MARÍA DE LOS ANGELES ZUPPA VILLEGAS</w:t>
      </w:r>
      <w:bookmarkEnd w:id="5"/>
      <w:r w:rsidRPr="00EF5605">
        <w:t xml:space="preserve"> PRESIDENTTA DEL MUNICIPIO DE TEPOTZOTLÁN ESTADO DE MÉXICO” (Sic)</w:t>
      </w:r>
    </w:p>
    <w:p w14:paraId="74D9E2C8" w14:textId="77777777" w:rsidR="005B0156" w:rsidRPr="00EF5605" w:rsidRDefault="005B0156"/>
    <w:p w14:paraId="65DE0020" w14:textId="77777777" w:rsidR="005B0156" w:rsidRPr="00EF5605" w:rsidRDefault="000932BF">
      <w:pPr>
        <w:tabs>
          <w:tab w:val="left" w:pos="4667"/>
        </w:tabs>
        <w:ind w:left="567" w:right="567"/>
        <w:rPr>
          <w:i/>
          <w:iCs/>
        </w:rPr>
      </w:pPr>
      <w:r w:rsidRPr="00EF5605">
        <w:rPr>
          <w:b/>
          <w:bCs/>
        </w:rPr>
        <w:t>Modalidad de entrega</w:t>
      </w:r>
      <w:r w:rsidRPr="00EF5605">
        <w:t>: a</w:t>
      </w:r>
      <w:r w:rsidRPr="00EF5605">
        <w:rPr>
          <w:i/>
          <w:iCs/>
        </w:rPr>
        <w:t xml:space="preserve"> través del </w:t>
      </w:r>
      <w:r w:rsidRPr="00EF5605">
        <w:rPr>
          <w:b/>
          <w:bCs/>
          <w:i/>
          <w:iCs/>
        </w:rPr>
        <w:t>SAIMEX</w:t>
      </w:r>
      <w:r w:rsidRPr="00EF5605">
        <w:rPr>
          <w:i/>
          <w:iCs/>
        </w:rPr>
        <w:t>.</w:t>
      </w:r>
    </w:p>
    <w:p w14:paraId="10B7B401" w14:textId="77777777" w:rsidR="005B0156" w:rsidRPr="00EF5605" w:rsidRDefault="005B0156">
      <w:pPr>
        <w:tabs>
          <w:tab w:val="left" w:pos="4667"/>
        </w:tabs>
        <w:ind w:left="567" w:right="567"/>
        <w:rPr>
          <w:i/>
          <w:iCs/>
        </w:rPr>
      </w:pPr>
    </w:p>
    <w:p w14:paraId="72813ECF" w14:textId="77777777" w:rsidR="005B0156" w:rsidRPr="00EF5605" w:rsidRDefault="000932BF">
      <w:pPr>
        <w:pStyle w:val="Ttulo3"/>
      </w:pPr>
      <w:bookmarkStart w:id="6" w:name="_heading=h.gb3g9blb1crs" w:colFirst="0" w:colLast="0"/>
      <w:bookmarkEnd w:id="6"/>
      <w:r w:rsidRPr="00EF5605">
        <w:lastRenderedPageBreak/>
        <w:t>b) Turno del Recurso de Revisión</w:t>
      </w:r>
    </w:p>
    <w:p w14:paraId="63539118" w14:textId="77777777" w:rsidR="005B0156" w:rsidRPr="00EF5605" w:rsidRDefault="000932BF">
      <w:pPr>
        <w:spacing w:after="240"/>
      </w:pPr>
      <w:r w:rsidRPr="00EF5605">
        <w:t>Con fundamento en el artículo 185, fracción I de la Ley de Transparencia y Acceso a la Información Pública del Estado de México y Municipios, el</w:t>
      </w:r>
      <w:r w:rsidRPr="00EF5605">
        <w:rPr>
          <w:b/>
          <w:bCs/>
        </w:rPr>
        <w:t xml:space="preserve"> cinco de noviembre de dos mil veinticinco,</w:t>
      </w:r>
      <w:r w:rsidRPr="00EF5605">
        <w:t xml:space="preserve"> se turnó el recurso de revisión a través del SAIMEX a la </w:t>
      </w:r>
      <w:r w:rsidRPr="00EF5605">
        <w:rPr>
          <w:b/>
          <w:bCs/>
        </w:rPr>
        <w:t>Comisionada Sharon Cristina Morales Martínez</w:t>
      </w:r>
      <w:r w:rsidRPr="00EF5605">
        <w:t xml:space="preserve">, a efecto de decretar su admisión o desechamiento. </w:t>
      </w:r>
    </w:p>
    <w:p w14:paraId="17F23657" w14:textId="77777777" w:rsidR="005B0156" w:rsidRPr="00EF5605" w:rsidRDefault="000932BF">
      <w:pPr>
        <w:pStyle w:val="Ttulo3"/>
      </w:pPr>
      <w:r w:rsidRPr="00EF5605">
        <w:t>c) Respuesta del Sujeto Obligado</w:t>
      </w:r>
    </w:p>
    <w:p w14:paraId="421B5B4E" w14:textId="77777777" w:rsidR="005B0156" w:rsidRPr="00EF5605" w:rsidRDefault="000932BF">
      <w:r w:rsidRPr="00EF5605">
        <w:t xml:space="preserve">De las constancias que obran en el </w:t>
      </w:r>
      <w:r w:rsidRPr="00EF5605">
        <w:rPr>
          <w:b/>
          <w:bCs/>
        </w:rPr>
        <w:t>SAIMEX,</w:t>
      </w:r>
      <w:r w:rsidRPr="00EF5605">
        <w:t xml:space="preserve"> se advierte que </w:t>
      </w:r>
      <w:r w:rsidRPr="00EF5605">
        <w:rPr>
          <w:b/>
          <w:bCs/>
        </w:rPr>
        <w:t>EL SUJETO OBLIGADO</w:t>
      </w:r>
      <w:r w:rsidRPr="00EF5605">
        <w:t xml:space="preserve"> no entregó la respuesta a la solicitud de Información Pública realizada por </w:t>
      </w:r>
      <w:r w:rsidRPr="00EF5605">
        <w:rPr>
          <w:b/>
          <w:bCs/>
        </w:rPr>
        <w:t>LA PARTE RECURRENTE</w:t>
      </w:r>
      <w:r w:rsidRPr="00EF5605">
        <w:t>.</w:t>
      </w:r>
    </w:p>
    <w:p w14:paraId="2E8AA5EA" w14:textId="77777777" w:rsidR="005B0156" w:rsidRPr="00EF5605" w:rsidRDefault="005B0156"/>
    <w:p w14:paraId="180BCF09" w14:textId="77777777" w:rsidR="005B0156" w:rsidRPr="00EF5605" w:rsidRDefault="000932BF">
      <w:pPr>
        <w:pStyle w:val="Ttulo2"/>
        <w:jc w:val="left"/>
      </w:pPr>
      <w:bookmarkStart w:id="7" w:name="_heading=h.uafpnkc1pxc3" w:colFirst="0" w:colLast="0"/>
      <w:bookmarkEnd w:id="7"/>
      <w:r w:rsidRPr="00EF5605">
        <w:t>DEL RECURSO DE REVISIÓN</w:t>
      </w:r>
    </w:p>
    <w:p w14:paraId="18125B9F" w14:textId="77777777" w:rsidR="005B0156" w:rsidRPr="00EF5605" w:rsidRDefault="000932BF">
      <w:pPr>
        <w:pStyle w:val="Ttulo3"/>
      </w:pPr>
      <w:bookmarkStart w:id="8" w:name="_heading=h.irwqixu8mp7l" w:colFirst="0" w:colLast="0"/>
      <w:bookmarkEnd w:id="8"/>
      <w:r w:rsidRPr="00EF5605">
        <w:t>a) Interposición del Recurso de Revisión</w:t>
      </w:r>
    </w:p>
    <w:p w14:paraId="1351A3F4" w14:textId="77777777" w:rsidR="005B0156" w:rsidRPr="00EF5605" w:rsidRDefault="000932BF">
      <w:pPr>
        <w:ind w:right="-28"/>
      </w:pPr>
      <w:r w:rsidRPr="00EF5605">
        <w:t xml:space="preserve">El </w:t>
      </w:r>
      <w:r w:rsidRPr="00EF5605">
        <w:rPr>
          <w:b/>
          <w:bCs/>
        </w:rPr>
        <w:t>trece de noviembre de dos mil veinticinco,</w:t>
      </w:r>
      <w:r w:rsidRPr="00EF5605">
        <w:t xml:space="preserve"> </w:t>
      </w:r>
      <w:r w:rsidRPr="00EF5605">
        <w:rPr>
          <w:b/>
          <w:bCs/>
        </w:rPr>
        <w:t>LA PARTE RECURRENTE</w:t>
      </w:r>
      <w:r w:rsidRPr="00EF5605">
        <w:t xml:space="preserve"> inconforme por la falta de respuesta del </w:t>
      </w:r>
      <w:r w:rsidRPr="00EF5605">
        <w:rPr>
          <w:b/>
          <w:bCs/>
        </w:rPr>
        <w:t>SUJETO OBLIGADO</w:t>
      </w:r>
      <w:r w:rsidRPr="00EF5605">
        <w:t xml:space="preserve">, interpuso el recurso de revisión mismo que fue registrado en el con el número de expediente </w:t>
      </w:r>
      <w:r w:rsidRPr="00EF5605">
        <w:rPr>
          <w:b/>
          <w:bCs/>
        </w:rPr>
        <w:t>13037/INFOEM/IP/RR/2025</w:t>
      </w:r>
      <w:r w:rsidRPr="00EF5605">
        <w:t>, y en el cual manifiesta lo siguiente:</w:t>
      </w:r>
    </w:p>
    <w:p w14:paraId="3E0B7C2A" w14:textId="77777777" w:rsidR="005B0156" w:rsidRPr="00EF5605" w:rsidRDefault="005B0156">
      <w:pPr>
        <w:tabs>
          <w:tab w:val="left" w:pos="4667"/>
        </w:tabs>
        <w:ind w:right="539"/>
      </w:pPr>
    </w:p>
    <w:p w14:paraId="59A73DC2" w14:textId="77777777" w:rsidR="005B0156" w:rsidRPr="00EF5605" w:rsidRDefault="000932BF">
      <w:pPr>
        <w:tabs>
          <w:tab w:val="left" w:pos="4667"/>
        </w:tabs>
        <w:ind w:left="851" w:right="822"/>
        <w:rPr>
          <w:b/>
          <w:bCs/>
        </w:rPr>
      </w:pPr>
      <w:r w:rsidRPr="00EF5605">
        <w:rPr>
          <w:b/>
          <w:bCs/>
        </w:rPr>
        <w:t>ACTO IMPUGNADO</w:t>
      </w:r>
    </w:p>
    <w:p w14:paraId="7FF927E5" w14:textId="77777777" w:rsidR="005B0156" w:rsidRPr="00EF5605" w:rsidRDefault="000932BF">
      <w:pPr>
        <w:pStyle w:val="Puesto"/>
        <w:ind w:left="851" w:right="822" w:firstLine="0"/>
      </w:pPr>
      <w:r w:rsidRPr="00EF5605">
        <w:t>“no hay respuesta” (Sic)</w:t>
      </w:r>
    </w:p>
    <w:p w14:paraId="147C7607" w14:textId="77777777" w:rsidR="005B0156" w:rsidRPr="00EF5605" w:rsidRDefault="005B0156">
      <w:pPr>
        <w:tabs>
          <w:tab w:val="left" w:pos="4667"/>
        </w:tabs>
        <w:ind w:left="851" w:right="822"/>
        <w:rPr>
          <w:i/>
          <w:iCs/>
        </w:rPr>
      </w:pPr>
    </w:p>
    <w:p w14:paraId="05C8AB82" w14:textId="77777777" w:rsidR="005B0156" w:rsidRPr="00EF5605" w:rsidRDefault="000932BF">
      <w:pPr>
        <w:tabs>
          <w:tab w:val="left" w:pos="4667"/>
        </w:tabs>
        <w:ind w:left="851" w:right="822"/>
        <w:rPr>
          <w:b/>
          <w:bCs/>
        </w:rPr>
      </w:pPr>
      <w:r w:rsidRPr="00EF5605">
        <w:rPr>
          <w:b/>
          <w:bCs/>
        </w:rPr>
        <w:t>RAZONES O MOTIVOS DE LA INCONFORMIDAD</w:t>
      </w:r>
      <w:r w:rsidRPr="00EF5605">
        <w:rPr>
          <w:b/>
          <w:bCs/>
        </w:rPr>
        <w:tab/>
      </w:r>
    </w:p>
    <w:p w14:paraId="7E686035" w14:textId="77777777" w:rsidR="005B0156" w:rsidRPr="00EF5605" w:rsidRDefault="000932BF">
      <w:pPr>
        <w:pStyle w:val="Puesto"/>
        <w:ind w:left="851" w:right="822" w:firstLine="0"/>
      </w:pPr>
      <w:bookmarkStart w:id="9" w:name="_heading=h.e60lxfwd1srx" w:colFirst="0" w:colLast="0"/>
      <w:bookmarkEnd w:id="9"/>
      <w:r w:rsidRPr="00EF5605">
        <w:t>“no hay respuesta” (Sic)</w:t>
      </w:r>
    </w:p>
    <w:p w14:paraId="053FC41F" w14:textId="77777777" w:rsidR="005B0156" w:rsidRPr="00EF5605" w:rsidRDefault="005B0156"/>
    <w:p w14:paraId="7A539E44" w14:textId="77777777" w:rsidR="005B0156" w:rsidRPr="00EF5605" w:rsidRDefault="000932BF">
      <w:pPr>
        <w:pStyle w:val="Ttulo3"/>
      </w:pPr>
      <w:r w:rsidRPr="00EF5605">
        <w:lastRenderedPageBreak/>
        <w:t>b) Turno del Recurso de Revisión</w:t>
      </w:r>
    </w:p>
    <w:p w14:paraId="74EBA211" w14:textId="77777777" w:rsidR="005B0156" w:rsidRPr="00EF5605" w:rsidRDefault="000932BF">
      <w:pPr>
        <w:spacing w:after="240"/>
      </w:pPr>
      <w:r w:rsidRPr="00EF5605">
        <w:t>Con fundamento en el artículo 185, fracción I de la Ley de Transparencia y Acceso a la Información Pública del Estado de México y Municipios, el</w:t>
      </w:r>
      <w:r w:rsidRPr="00EF5605">
        <w:rPr>
          <w:b/>
          <w:bCs/>
        </w:rPr>
        <w:t xml:space="preserve"> trece de noviembre de dos mil veinticinco,</w:t>
      </w:r>
      <w:r w:rsidRPr="00EF5605">
        <w:t xml:space="preserve"> se turnó el recurso de revisión a través del SAIMEX a la </w:t>
      </w:r>
      <w:r w:rsidRPr="00EF5605">
        <w:rPr>
          <w:b/>
          <w:bCs/>
        </w:rPr>
        <w:t>Comisionada Sharon Cristina Morales Martínez</w:t>
      </w:r>
      <w:r w:rsidRPr="00EF5605">
        <w:t xml:space="preserve">, a efecto de decretar su admisión o desechamiento. </w:t>
      </w:r>
    </w:p>
    <w:p w14:paraId="0EB560B0" w14:textId="77777777" w:rsidR="005B0156" w:rsidRPr="00EF5605" w:rsidRDefault="000932BF">
      <w:pPr>
        <w:pStyle w:val="Ttulo3"/>
      </w:pPr>
      <w:bookmarkStart w:id="10" w:name="_heading=h.sqqq0m1eonit" w:colFirst="0" w:colLast="0"/>
      <w:bookmarkEnd w:id="10"/>
      <w:r w:rsidRPr="00EF5605">
        <w:t>c) Admisión del Recurso de Revisión</w:t>
      </w:r>
    </w:p>
    <w:p w14:paraId="5F4AF2D0" w14:textId="77777777" w:rsidR="005B0156" w:rsidRPr="00EF5605" w:rsidRDefault="000932BF">
      <w:pPr>
        <w:spacing w:after="240"/>
      </w:pPr>
      <w:r w:rsidRPr="00EF5605">
        <w:t xml:space="preserve">El </w:t>
      </w:r>
      <w:r w:rsidRPr="00EF5605">
        <w:rPr>
          <w:b/>
          <w:bCs/>
        </w:rPr>
        <w:t>dieciocho de noviembre de dos mil veinticinco,</w:t>
      </w:r>
      <w:r w:rsidRPr="00EF5605">
        <w:t xml:space="preserve"> se acordó la admisión a trámite del Recurso de Revisión y se integró el expediente respectivo, mismo que se puso a disposición de las partes para que, en un plazo de siete días hábiles, manifestaran lo que a su derecho conviniera, conforme a lo dispuesto por el artículo 185, fracción II de la Ley de Transparencia y Acceso a la Información Pública del Estado de México y Municipios.</w:t>
      </w:r>
    </w:p>
    <w:p w14:paraId="5951FC37" w14:textId="77777777" w:rsidR="005B0156" w:rsidRPr="00EF5605" w:rsidRDefault="000932BF">
      <w:pPr>
        <w:pStyle w:val="Ttulo3"/>
      </w:pPr>
      <w:bookmarkStart w:id="11" w:name="_heading=h.cvssjit8rbpr" w:colFirst="0" w:colLast="0"/>
      <w:bookmarkEnd w:id="11"/>
      <w:r w:rsidRPr="00EF5605">
        <w:t>d) Informe Justificado del Sujeto Obligado</w:t>
      </w:r>
    </w:p>
    <w:p w14:paraId="39459DFA" w14:textId="77777777" w:rsidR="005B0156" w:rsidRPr="00EF5605" w:rsidRDefault="000932BF">
      <w:pPr>
        <w:spacing w:after="240"/>
      </w:pPr>
      <w:r w:rsidRPr="00EF5605">
        <w:rPr>
          <w:b/>
          <w:bCs/>
        </w:rPr>
        <w:t xml:space="preserve">EL SUJETO OBLIGADO </w:t>
      </w:r>
      <w:r w:rsidRPr="00EF5605">
        <w:t>no rindió su informe justificado dentro del término legalmente concedido para tal efecto.</w:t>
      </w:r>
    </w:p>
    <w:p w14:paraId="3ECA4B0C" w14:textId="77777777" w:rsidR="005B0156" w:rsidRPr="00EF5605" w:rsidRDefault="000932BF">
      <w:pPr>
        <w:pStyle w:val="Ttulo3"/>
      </w:pPr>
      <w:bookmarkStart w:id="12" w:name="_heading=h.vqe2tl78eekq" w:colFirst="0" w:colLast="0"/>
      <w:bookmarkEnd w:id="12"/>
      <w:r w:rsidRPr="00EF5605">
        <w:t>e) Manifestaciones de la Parte Recurrente</w:t>
      </w:r>
    </w:p>
    <w:p w14:paraId="71ADF348" w14:textId="77777777" w:rsidR="005B0156" w:rsidRPr="00EF5605" w:rsidRDefault="000932BF">
      <w:pPr>
        <w:spacing w:after="240"/>
      </w:pPr>
      <w:r w:rsidRPr="00EF5605">
        <w:rPr>
          <w:b/>
          <w:bCs/>
        </w:rPr>
        <w:t xml:space="preserve">LA PARTE RECURRENTE </w:t>
      </w:r>
      <w:r w:rsidRPr="00EF5605">
        <w:t>no realizó manifestación alguna dentro del término legalmente concedido para tal efecto, ni presentó pruebas o alegatos.</w:t>
      </w:r>
    </w:p>
    <w:p w14:paraId="395B0EE3" w14:textId="77777777" w:rsidR="005B0156" w:rsidRPr="00EF5605" w:rsidRDefault="000932BF">
      <w:pPr>
        <w:pStyle w:val="Ttulo3"/>
      </w:pPr>
      <w:bookmarkStart w:id="13" w:name="_heading=h.e2qp38qefmqh" w:colFirst="0" w:colLast="0"/>
      <w:bookmarkEnd w:id="13"/>
      <w:r w:rsidRPr="00EF5605">
        <w:t>f) Cierre de instrucción</w:t>
      </w:r>
    </w:p>
    <w:p w14:paraId="7556EC82" w14:textId="77777777" w:rsidR="005B0156" w:rsidRPr="00EF5605" w:rsidRDefault="000932BF">
      <w:r w:rsidRPr="00EF5605">
        <w:t xml:space="preserve">Al no existir diligencias pendientes por desahogar, el </w:t>
      </w:r>
      <w:r w:rsidRPr="00EF5605">
        <w:rPr>
          <w:b/>
          <w:bCs/>
        </w:rPr>
        <w:t>cuatro de diciembre de dos mil veinticinco,</w:t>
      </w:r>
      <w:r w:rsidRPr="00EF5605">
        <w:t xml:space="preserve"> la </w:t>
      </w:r>
      <w:r w:rsidRPr="00EF5605">
        <w:rPr>
          <w:b/>
          <w:bCs/>
        </w:rPr>
        <w:t xml:space="preserve">Comisionada Sharon Cristina Morales Martínez </w:t>
      </w:r>
      <w:r w:rsidRPr="00EF5605">
        <w:t xml:space="preserve">acordó el cierre de instrucción y la remisión del expediente a efecto de ser resuelto, de conformidad con lo establecido en el artículo 185 fracciones VI y VIII de la Ley de Transparencia y Acceso a la </w:t>
      </w:r>
      <w:r w:rsidRPr="00EF5605">
        <w:lastRenderedPageBreak/>
        <w:t xml:space="preserve">Información Pública del Estado de México y Municipios. Dicho acuerdo fue notificado a las partes el mismo día a través del </w:t>
      </w:r>
      <w:r w:rsidRPr="00EF5605">
        <w:rPr>
          <w:b/>
          <w:bCs/>
        </w:rPr>
        <w:t>SAIMEX</w:t>
      </w:r>
      <w:r w:rsidRPr="00EF5605">
        <w:t xml:space="preserve">. </w:t>
      </w:r>
    </w:p>
    <w:p w14:paraId="22BC3376" w14:textId="77777777" w:rsidR="005B0156" w:rsidRPr="00EF5605" w:rsidRDefault="005B0156"/>
    <w:p w14:paraId="290EEFA3" w14:textId="77777777" w:rsidR="005B0156" w:rsidRPr="00EF5605" w:rsidRDefault="000932BF">
      <w:pPr>
        <w:pStyle w:val="Ttulo1"/>
      </w:pPr>
      <w:bookmarkStart w:id="14" w:name="_heading=h.5bi6aum9paqu" w:colFirst="0" w:colLast="0"/>
      <w:bookmarkEnd w:id="14"/>
      <w:r w:rsidRPr="00EF5605">
        <w:t>CONSIDERANDOS</w:t>
      </w:r>
    </w:p>
    <w:p w14:paraId="3D0C1BC7" w14:textId="77777777" w:rsidR="005B0156" w:rsidRPr="00EF5605" w:rsidRDefault="005B0156">
      <w:pPr>
        <w:jc w:val="center"/>
        <w:rPr>
          <w:b/>
          <w:bCs/>
        </w:rPr>
      </w:pPr>
    </w:p>
    <w:p w14:paraId="149279C9" w14:textId="77777777" w:rsidR="005B0156" w:rsidRPr="00EF5605" w:rsidRDefault="000932BF">
      <w:pPr>
        <w:pStyle w:val="Ttulo2"/>
      </w:pPr>
      <w:bookmarkStart w:id="15" w:name="_heading=h.x4ccb2qdv6z6" w:colFirst="0" w:colLast="0"/>
      <w:bookmarkEnd w:id="15"/>
      <w:r w:rsidRPr="00EF5605">
        <w:t>PRIMERO. Procedibilidad</w:t>
      </w:r>
    </w:p>
    <w:p w14:paraId="5256DB5A" w14:textId="77777777" w:rsidR="005B0156" w:rsidRPr="00EF5605" w:rsidRDefault="000932BF">
      <w:pPr>
        <w:pStyle w:val="Ttulo3"/>
      </w:pPr>
      <w:bookmarkStart w:id="16" w:name="_heading=h.edthcpnflbg" w:colFirst="0" w:colLast="0"/>
      <w:bookmarkEnd w:id="16"/>
      <w:r w:rsidRPr="00EF5605">
        <w:t>a) Competencia del Instituto</w:t>
      </w:r>
    </w:p>
    <w:p w14:paraId="6929E289" w14:textId="77777777" w:rsidR="005B0156" w:rsidRPr="00EF5605" w:rsidRDefault="000932BF">
      <w:r w:rsidRPr="00EF5605">
        <w:t>Este Instituto de Transparencia, Acceso a la Información Pública y Protección de Datos Personales del Estado de México y Municipios es competente para conocer y resolver el presente Recurso de Revisión, conforme a lo dispuesto en los artículos 6, Apartado A de la Constitución Política de los Estados Unidos Mexicanos; 5, párrafos trigésimo noveno, cuadragésimo y cuadragésimo primero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06E48F9E" w14:textId="77777777" w:rsidR="005B0156" w:rsidRPr="00EF5605" w:rsidRDefault="005B0156"/>
    <w:p w14:paraId="09665ED1" w14:textId="77777777" w:rsidR="005B0156" w:rsidRPr="00EF5605" w:rsidRDefault="000932BF">
      <w:pPr>
        <w:pStyle w:val="Ttulo3"/>
      </w:pPr>
      <w:bookmarkStart w:id="17" w:name="_heading=h.w7ukm4aciaa" w:colFirst="0" w:colLast="0"/>
      <w:bookmarkEnd w:id="17"/>
      <w:r w:rsidRPr="00EF5605">
        <w:t>b) Legitimidad de la parte recurrente</w:t>
      </w:r>
    </w:p>
    <w:p w14:paraId="3750372B" w14:textId="77777777" w:rsidR="005B0156" w:rsidRPr="00EF5605" w:rsidRDefault="000932BF">
      <w:r w:rsidRPr="00EF5605">
        <w:t>El recurso de revisión fue interpuesto por parte legítima, ya que se presentó por la misma persona que formuló la solicitud de acceso a la Información Pública,</w:t>
      </w:r>
      <w:r w:rsidRPr="00EF5605">
        <w:rPr>
          <w:b/>
          <w:bCs/>
        </w:rPr>
        <w:t xml:space="preserve"> </w:t>
      </w:r>
      <w:r w:rsidRPr="00EF5605">
        <w:t>debido a que los datos de acceso</w:t>
      </w:r>
      <w:r w:rsidRPr="00EF5605">
        <w:rPr>
          <w:b/>
          <w:bCs/>
        </w:rPr>
        <w:t xml:space="preserve"> SAIMEX</w:t>
      </w:r>
      <w:r w:rsidRPr="00EF5605">
        <w:t xml:space="preserve"> son personales e irrepetibles.</w:t>
      </w:r>
    </w:p>
    <w:p w14:paraId="1B612BCA" w14:textId="77777777" w:rsidR="005B0156" w:rsidRPr="00EF5605" w:rsidRDefault="005B0156"/>
    <w:p w14:paraId="79D99C93" w14:textId="77777777" w:rsidR="005B0156" w:rsidRPr="00EF5605" w:rsidRDefault="000932BF">
      <w:pPr>
        <w:pStyle w:val="Ttulo3"/>
      </w:pPr>
      <w:bookmarkStart w:id="18" w:name="_heading=h.hbcmu74n0jcc" w:colFirst="0" w:colLast="0"/>
      <w:bookmarkEnd w:id="18"/>
      <w:r w:rsidRPr="00EF5605">
        <w:lastRenderedPageBreak/>
        <w:t>c) Plazo para interponer el recurso</w:t>
      </w:r>
    </w:p>
    <w:p w14:paraId="2C58BC73" w14:textId="77777777" w:rsidR="005B0156" w:rsidRPr="00EF5605" w:rsidRDefault="000932BF">
      <w:pPr>
        <w:spacing w:after="240"/>
        <w:ind w:right="49"/>
      </w:pPr>
      <w:r w:rsidRPr="00EF5605">
        <w:t>Es de precisar que la Ley de Transparencia y Acceso a la Información Pública del Estado de México y Municipios, describe el término de procedencia de los Recurso Revisión, como se puede apreciar en el siguiente artículo:</w:t>
      </w:r>
    </w:p>
    <w:p w14:paraId="634243CB" w14:textId="77777777" w:rsidR="005B0156" w:rsidRPr="00EF5605" w:rsidRDefault="000932BF">
      <w:pPr>
        <w:spacing w:line="240" w:lineRule="auto"/>
        <w:ind w:left="851" w:right="902"/>
        <w:rPr>
          <w:i/>
          <w:iCs/>
        </w:rPr>
      </w:pPr>
      <w:r w:rsidRPr="00EF5605">
        <w:rPr>
          <w:b/>
          <w:bCs/>
          <w:i/>
          <w:iCs/>
        </w:rPr>
        <w:t>“Artículo 163.</w:t>
      </w:r>
      <w:r w:rsidRPr="00EF5605">
        <w:rPr>
          <w:i/>
          <w:iCs/>
        </w:rPr>
        <w:t xml:space="preserve"> La Unidad de Transparencia deberá notificar la respuesta a la solicitud al interesado en el menor tiempo posible, que no podrá exceder de quince días hábiles, contados a partir del día siguiente a la presentación de aquélla.</w:t>
      </w:r>
    </w:p>
    <w:p w14:paraId="002FAF8C" w14:textId="77777777" w:rsidR="005B0156" w:rsidRPr="00EF5605" w:rsidRDefault="005B0156">
      <w:pPr>
        <w:spacing w:line="240" w:lineRule="auto"/>
        <w:ind w:left="851" w:right="902"/>
        <w:rPr>
          <w:i/>
          <w:iCs/>
        </w:rPr>
      </w:pPr>
    </w:p>
    <w:p w14:paraId="406E3772" w14:textId="77777777" w:rsidR="005B0156" w:rsidRPr="00EF5605" w:rsidRDefault="000932BF">
      <w:pPr>
        <w:spacing w:line="240" w:lineRule="auto"/>
        <w:ind w:left="851" w:right="902"/>
        <w:rPr>
          <w:i/>
          <w:iCs/>
        </w:rPr>
      </w:pPr>
      <w:r w:rsidRPr="00EF5605">
        <w:rPr>
          <w:i/>
          <w:iCs/>
        </w:rPr>
        <w:t xml:space="preserve">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 </w:t>
      </w:r>
    </w:p>
    <w:p w14:paraId="5F51E2FC" w14:textId="77777777" w:rsidR="005B0156" w:rsidRPr="00EF5605" w:rsidRDefault="005B0156">
      <w:pPr>
        <w:ind w:left="851" w:right="902"/>
        <w:rPr>
          <w:i/>
          <w:iCs/>
          <w:sz w:val="20"/>
          <w:szCs w:val="20"/>
        </w:rPr>
      </w:pPr>
    </w:p>
    <w:p w14:paraId="637DCC37" w14:textId="77777777" w:rsidR="005B0156" w:rsidRPr="00EF5605" w:rsidRDefault="000932BF">
      <w:r w:rsidRPr="00EF5605">
        <w:t>De la interpretación al precepto legal antes citado, se obtiene que, el plazo que les asiste a los Sujetos Obligados para entregar la respuesta a una solicitud de Información Pública es de quince días hábiles posteriores a la presentación de ésta; sin embargo, en aquellos casos en que transcurre el referido plazo de quince días hábiles, sin que los Sujetos Obligados entreguen la respuesta a la solicitud de información, ésta se considera negada; por lo que al solicitante le asiste el derecho para poder presentar el correspondiente Recurso Revisión.</w:t>
      </w:r>
    </w:p>
    <w:p w14:paraId="6C103EAF" w14:textId="77777777" w:rsidR="005B0156" w:rsidRPr="00EF5605" w:rsidRDefault="005B0156"/>
    <w:p w14:paraId="46419E35" w14:textId="77777777" w:rsidR="005B0156" w:rsidRPr="00EF5605" w:rsidRDefault="000932BF">
      <w:r w:rsidRPr="00EF5605">
        <w:t xml:space="preserve">Derivado de lo anterior, se constituye la figura jurídica de la </w:t>
      </w:r>
      <w:r w:rsidRPr="00EF5605">
        <w:rPr>
          <w:b/>
          <w:bCs/>
        </w:rPr>
        <w:t>NEGATIVA FICTA</w:t>
      </w:r>
      <w:r w:rsidRPr="00EF5605">
        <w:t>, la cual consiste en atribuir un efecto negativo al silencio de la autoridad administrativa frente a las instancias y solicitudes que hagan los particulares.</w:t>
      </w:r>
    </w:p>
    <w:p w14:paraId="5E5F40FA" w14:textId="77777777" w:rsidR="005B0156" w:rsidRPr="00EF5605" w:rsidRDefault="005B0156">
      <w:pPr>
        <w:rPr>
          <w:sz w:val="18"/>
          <w:szCs w:val="18"/>
        </w:rPr>
      </w:pPr>
    </w:p>
    <w:p w14:paraId="074C9BFA" w14:textId="77777777" w:rsidR="005B0156" w:rsidRPr="00EF5605" w:rsidRDefault="000932BF">
      <w:pPr>
        <w:spacing w:after="240"/>
      </w:pPr>
      <w:r w:rsidRPr="00EF5605">
        <w:t>Por su parte, el artículo 178 de la Ley de Transparencia local, establece:</w:t>
      </w:r>
    </w:p>
    <w:p w14:paraId="2108818A" w14:textId="77777777" w:rsidR="005B0156" w:rsidRPr="00EF5605" w:rsidRDefault="000932BF">
      <w:pPr>
        <w:pStyle w:val="Puesto"/>
        <w:ind w:left="851" w:right="822" w:firstLine="0"/>
      </w:pPr>
      <w:r w:rsidRPr="00EF5605">
        <w:rPr>
          <w:b/>
          <w:bCs/>
        </w:rPr>
        <w:lastRenderedPageBreak/>
        <w:t xml:space="preserve">“Artículo 178. </w:t>
      </w:r>
      <w:r w:rsidRPr="00EF5605">
        <w:t>El solicitante podrá interponer, por sí mismo o a través de su representante, de manera directa o por medios electrónicos, Recurso Revisión ante el Instituto o ante la Unidad de Transparencia que haya conocido de la solicitud dentro de los quince días hábiles, siguientes a la fecha de la notificación de la respuesta.</w:t>
      </w:r>
    </w:p>
    <w:p w14:paraId="5E5E5C0E" w14:textId="77777777" w:rsidR="005B0156" w:rsidRPr="00EF5605" w:rsidRDefault="005B0156">
      <w:pPr>
        <w:pStyle w:val="Puesto"/>
        <w:ind w:left="851" w:right="822" w:firstLine="0"/>
      </w:pPr>
    </w:p>
    <w:p w14:paraId="64FE6584" w14:textId="77777777" w:rsidR="005B0156" w:rsidRPr="00EF5605" w:rsidRDefault="000932BF">
      <w:pPr>
        <w:pStyle w:val="Puesto"/>
        <w:ind w:left="851" w:right="822" w:firstLine="0"/>
      </w:pPr>
      <w:r w:rsidRPr="00EF5605">
        <w:rPr>
          <w:b/>
          <w:bCs/>
          <w:u w:val="single"/>
        </w:rPr>
        <w:t>A falta de respuesta del sujeto obligado, dentro de los plazos establecidos en esta Ley, a una solicitud de acceso a la Información Pública, el recurso podrá ser interpuesto en cualquier momento</w:t>
      </w:r>
      <w:r w:rsidRPr="00EF5605">
        <w:t>, acompañado con el documento que pruebe la fecha en que presentó la solicitud.</w:t>
      </w:r>
    </w:p>
    <w:p w14:paraId="0E897064" w14:textId="77777777" w:rsidR="005B0156" w:rsidRPr="00EF5605" w:rsidRDefault="000932BF">
      <w:pPr>
        <w:pStyle w:val="Puesto"/>
        <w:ind w:left="851" w:right="822" w:firstLine="0"/>
      </w:pPr>
      <w:r w:rsidRPr="00EF5605">
        <w:t>En el caso de que se interponga ante la Unidad de Transparencia, ésta deberá remitir el Recurso Revisión al Instituto a más tardar al día siguiente de haberlo recibido.”</w:t>
      </w:r>
    </w:p>
    <w:p w14:paraId="49A97455" w14:textId="77777777" w:rsidR="005B0156" w:rsidRPr="00EF5605" w:rsidRDefault="000932BF">
      <w:pPr>
        <w:pStyle w:val="Puesto"/>
        <w:ind w:left="851" w:right="822" w:firstLine="0"/>
      </w:pPr>
      <w:r w:rsidRPr="00EF5605">
        <w:t xml:space="preserve">(Énfasis añadido) </w:t>
      </w:r>
    </w:p>
    <w:p w14:paraId="04E0D014" w14:textId="77777777" w:rsidR="005B0156" w:rsidRPr="00EF5605" w:rsidRDefault="005B0156">
      <w:pPr>
        <w:rPr>
          <w:sz w:val="20"/>
          <w:szCs w:val="20"/>
        </w:rPr>
      </w:pPr>
    </w:p>
    <w:p w14:paraId="3F9B31A8" w14:textId="77777777" w:rsidR="005B0156" w:rsidRPr="00EF5605" w:rsidRDefault="000932BF">
      <w:pPr>
        <w:spacing w:after="240"/>
        <w:rPr>
          <w:b/>
          <w:bCs/>
          <w:sz w:val="24"/>
          <w:szCs w:val="24"/>
        </w:rPr>
      </w:pPr>
      <w:r w:rsidRPr="00EF5605">
        <w:t xml:space="preserve">Es así que el Recurso Revisión se ha de interponer dentro del plazo de quince días hábiles contados a partir del día siguiente en que el particular tiene conocimiento de la resolución respectiva; de ahí que, para que empiece a computarse necesariamente tiene que existir una respuesta expresa por parte del </w:t>
      </w:r>
      <w:r w:rsidRPr="00EF5605">
        <w:rPr>
          <w:b/>
          <w:bCs/>
        </w:rPr>
        <w:t>SUJETO OBLIGADO.</w:t>
      </w:r>
    </w:p>
    <w:p w14:paraId="3FCCE22F" w14:textId="77777777" w:rsidR="005B0156" w:rsidRPr="00EF5605" w:rsidRDefault="000932BF">
      <w:pPr>
        <w:spacing w:after="240"/>
      </w:pPr>
      <w:r w:rsidRPr="00EF5605">
        <w:t xml:space="preserve">Sin embargo, tratándose de negativa ficta no existe resolución que se haga del conocimiento del particular a partir de la cual pueda computarse dicho término, por lo que es pertinente establecer que no hay plazo para la interposición del Recurso Revisión y, por tanto, </w:t>
      </w:r>
      <w:r w:rsidRPr="00EF5605">
        <w:rPr>
          <w:b/>
          <w:bCs/>
        </w:rPr>
        <w:t xml:space="preserve">LA PARTE RECURRENTE </w:t>
      </w:r>
      <w:r w:rsidRPr="00EF5605">
        <w:t>está en libertad de presentar su medio de impugnación en cualquier momento; en consecuencia, se tiene que el presente recurso se interpuso oportunamente.</w:t>
      </w:r>
    </w:p>
    <w:p w14:paraId="320DEAFC" w14:textId="77777777" w:rsidR="005B0156" w:rsidRPr="00EF5605" w:rsidRDefault="000932BF">
      <w:pPr>
        <w:pStyle w:val="Ttulo3"/>
      </w:pPr>
      <w:bookmarkStart w:id="19" w:name="_heading=h.m9nni2lzcuun" w:colFirst="0" w:colLast="0"/>
      <w:bookmarkEnd w:id="19"/>
      <w:r w:rsidRPr="00EF5605">
        <w:t xml:space="preserve">d) Causal de procedencia </w:t>
      </w:r>
    </w:p>
    <w:p w14:paraId="5AFC8B14" w14:textId="77777777" w:rsidR="005B0156" w:rsidRPr="00EF5605" w:rsidRDefault="000932BF">
      <w:pPr>
        <w:spacing w:after="240"/>
      </w:pPr>
      <w:r w:rsidRPr="00EF5605">
        <w:t>Resulta procedente la interposición del recurso de revisión, ya que se actualiza la causal de procedencia señalada en el artículo 179, fracción VII de la Ley de Transparencia y Acceso a la Información Pública del Estado de México y Municipios, la cual dispone:</w:t>
      </w:r>
    </w:p>
    <w:p w14:paraId="25706DB0" w14:textId="77777777" w:rsidR="005B0156" w:rsidRPr="00EF5605" w:rsidRDefault="000932BF">
      <w:pPr>
        <w:pStyle w:val="Puesto"/>
        <w:ind w:firstLine="567"/>
      </w:pPr>
      <w:r w:rsidRPr="00EF5605">
        <w:t>“</w:t>
      </w:r>
      <w:r w:rsidRPr="00EF5605">
        <w:rPr>
          <w:b/>
          <w:bCs/>
        </w:rPr>
        <w:t>Artículo 179.</w:t>
      </w:r>
      <w:r w:rsidRPr="00EF5605">
        <w:t xml:space="preserve"> El Recurso Revisión es un medio de protección que la Ley otorga a los particulares, para hacer valer su derecho de acceso a la Información Pública, y procederá en contra de las siguientes causas:</w:t>
      </w:r>
    </w:p>
    <w:p w14:paraId="652CB03C" w14:textId="77777777" w:rsidR="005B0156" w:rsidRPr="00EF5605" w:rsidRDefault="000932BF">
      <w:pPr>
        <w:pStyle w:val="Puesto"/>
        <w:ind w:firstLine="567"/>
      </w:pPr>
      <w:r w:rsidRPr="00EF5605">
        <w:lastRenderedPageBreak/>
        <w:t>…</w:t>
      </w:r>
    </w:p>
    <w:p w14:paraId="7E71C995" w14:textId="77777777" w:rsidR="005B0156" w:rsidRPr="00EF5605" w:rsidRDefault="000932BF">
      <w:pPr>
        <w:pStyle w:val="Puesto"/>
        <w:ind w:firstLine="567"/>
      </w:pPr>
      <w:r w:rsidRPr="00EF5605">
        <w:rPr>
          <w:b/>
          <w:bCs/>
        </w:rPr>
        <w:t>VII. La falta de respuesta a una solicitud de acceso a la información</w:t>
      </w:r>
      <w:r w:rsidRPr="00EF5605">
        <w:t>;</w:t>
      </w:r>
    </w:p>
    <w:p w14:paraId="6E4F4686" w14:textId="77777777" w:rsidR="005B0156" w:rsidRPr="00EF5605" w:rsidRDefault="000932BF">
      <w:pPr>
        <w:pStyle w:val="Puesto"/>
        <w:ind w:firstLine="567"/>
        <w:rPr>
          <w:b/>
          <w:bCs/>
        </w:rPr>
      </w:pPr>
      <w:r w:rsidRPr="00EF5605">
        <w:rPr>
          <w:b/>
          <w:bCs/>
        </w:rPr>
        <w:t>…</w:t>
      </w:r>
    </w:p>
    <w:p w14:paraId="72516402" w14:textId="77777777" w:rsidR="005B0156" w:rsidRPr="00EF5605" w:rsidRDefault="000932BF">
      <w:pPr>
        <w:pStyle w:val="Puesto"/>
        <w:ind w:firstLine="567"/>
      </w:pPr>
      <w:r w:rsidRPr="00EF5605">
        <w:t>(Énfasis añadido).</w:t>
      </w:r>
    </w:p>
    <w:p w14:paraId="37769F22" w14:textId="77777777" w:rsidR="005B0156" w:rsidRPr="00EF5605" w:rsidRDefault="000932BF">
      <w:pPr>
        <w:widowControl w:val="0"/>
        <w:spacing w:before="280" w:after="280"/>
      </w:pPr>
      <w:r w:rsidRPr="00EF5605">
        <w:t xml:space="preserve">El precepto legal citado, establece como supuesto de procedencia del Recurso de Revisión, en aquellos casos en que </w:t>
      </w:r>
      <w:r w:rsidRPr="00EF5605">
        <w:rPr>
          <w:b/>
          <w:bCs/>
        </w:rPr>
        <w:t>EL SUJETO OBLIGADO</w:t>
      </w:r>
      <w:r w:rsidRPr="00EF5605">
        <w:t xml:space="preserve"> no dé respuesta a lo solicitado; por lo que, en el presente caso, se actualiza dicha causal, ya que </w:t>
      </w:r>
      <w:r w:rsidRPr="00EF5605">
        <w:rPr>
          <w:b/>
          <w:bCs/>
        </w:rPr>
        <w:t>EL SUJETO OBLIGADO</w:t>
      </w:r>
      <w:r w:rsidRPr="00EF5605">
        <w:t xml:space="preserve"> omitió dar la respuesta a lo requerido por </w:t>
      </w:r>
      <w:r w:rsidRPr="00EF5605">
        <w:rPr>
          <w:b/>
          <w:bCs/>
        </w:rPr>
        <w:t xml:space="preserve">LA PARTE RECURRENTE </w:t>
      </w:r>
      <w:r w:rsidRPr="00EF5605">
        <w:t xml:space="preserve">en su solicitud de acceso a la Información Pública; atento a ello, este Órgano Garante considera que las razones o motivos de inconformidad son </w:t>
      </w:r>
      <w:r w:rsidRPr="00EF5605">
        <w:rPr>
          <w:b/>
          <w:bCs/>
        </w:rPr>
        <w:t>fundados</w:t>
      </w:r>
      <w:r w:rsidRPr="00EF5605">
        <w:t>.</w:t>
      </w:r>
    </w:p>
    <w:p w14:paraId="5CC39F4F" w14:textId="77777777" w:rsidR="005B0156" w:rsidRPr="00EF5605" w:rsidRDefault="000932BF">
      <w:pPr>
        <w:pStyle w:val="Ttulo2"/>
      </w:pPr>
      <w:bookmarkStart w:id="20" w:name="_heading=h.4ik5zpz7fqdg" w:colFirst="0" w:colLast="0"/>
      <w:bookmarkEnd w:id="20"/>
      <w:r w:rsidRPr="00EF5605">
        <w:t>SEGUNDO. Estudio de Fondo</w:t>
      </w:r>
    </w:p>
    <w:p w14:paraId="57C3903C" w14:textId="77777777" w:rsidR="005B0156" w:rsidRPr="00EF5605" w:rsidRDefault="000932BF">
      <w:pPr>
        <w:pStyle w:val="Ttulo3"/>
      </w:pPr>
      <w:bookmarkStart w:id="21" w:name="_heading=h.mbinbusjookg" w:colFirst="0" w:colLast="0"/>
      <w:bookmarkEnd w:id="21"/>
      <w:r w:rsidRPr="00EF5605">
        <w:t>a) Mandato de transparencia y responsabilidad del Sujeto Obligado</w:t>
      </w:r>
    </w:p>
    <w:p w14:paraId="04813547" w14:textId="77777777" w:rsidR="005B0156" w:rsidRPr="00EF5605" w:rsidRDefault="000932BF">
      <w:pPr>
        <w:spacing w:after="240"/>
      </w:pPr>
      <w:r w:rsidRPr="00EF5605">
        <w:t>El derecho de acceso a la información pública es un derecho humano reconocido en el artículo sexto de la Constitución Política de los Estados Unidos Mexicanos y en el artículo quinto de la Constitución Política del Estado Libre y Soberano de México:</w:t>
      </w:r>
    </w:p>
    <w:p w14:paraId="6BE59259" w14:textId="77777777" w:rsidR="005B0156" w:rsidRPr="00EF5605" w:rsidRDefault="000932BF">
      <w:pPr>
        <w:spacing w:line="240" w:lineRule="auto"/>
        <w:ind w:left="567" w:right="539"/>
        <w:rPr>
          <w:b/>
          <w:bCs/>
          <w:i/>
          <w:iCs/>
        </w:rPr>
      </w:pPr>
      <w:r w:rsidRPr="00EF5605">
        <w:rPr>
          <w:b/>
          <w:bCs/>
          <w:i/>
          <w:iCs/>
        </w:rPr>
        <w:t>Constitución Política de los Estados Unidos Mexicanos</w:t>
      </w:r>
    </w:p>
    <w:p w14:paraId="612C4AF4" w14:textId="77777777" w:rsidR="005B0156" w:rsidRPr="00EF5605" w:rsidRDefault="000932BF">
      <w:pPr>
        <w:spacing w:line="240" w:lineRule="auto"/>
        <w:ind w:left="567" w:right="539"/>
        <w:rPr>
          <w:b/>
          <w:bCs/>
          <w:i/>
          <w:iCs/>
        </w:rPr>
      </w:pPr>
      <w:r w:rsidRPr="00EF5605">
        <w:rPr>
          <w:b/>
          <w:bCs/>
          <w:i/>
          <w:iCs/>
        </w:rPr>
        <w:t>“Artículo 6.</w:t>
      </w:r>
    </w:p>
    <w:p w14:paraId="7B445EC2" w14:textId="77777777" w:rsidR="005B0156" w:rsidRPr="00EF5605" w:rsidRDefault="000932BF">
      <w:pPr>
        <w:spacing w:line="240" w:lineRule="auto"/>
        <w:ind w:left="567" w:right="539"/>
        <w:rPr>
          <w:i/>
          <w:iCs/>
        </w:rPr>
      </w:pPr>
      <w:r w:rsidRPr="00EF5605">
        <w:rPr>
          <w:i/>
          <w:iCs/>
        </w:rPr>
        <w:t>(…)</w:t>
      </w:r>
    </w:p>
    <w:p w14:paraId="08F43CCE" w14:textId="77777777" w:rsidR="005B0156" w:rsidRPr="00EF5605" w:rsidRDefault="000932BF">
      <w:pPr>
        <w:spacing w:line="240" w:lineRule="auto"/>
        <w:ind w:left="567" w:right="539"/>
        <w:rPr>
          <w:i/>
          <w:iCs/>
        </w:rPr>
      </w:pPr>
      <w:r w:rsidRPr="00EF5605">
        <w:rPr>
          <w:i/>
          <w:iCs/>
        </w:rPr>
        <w:t>Para efectos de lo dispuesto en el presente artículo se observará lo siguiente:</w:t>
      </w:r>
    </w:p>
    <w:p w14:paraId="1CCD55EC" w14:textId="77777777" w:rsidR="005B0156" w:rsidRPr="00EF5605" w:rsidRDefault="000932BF">
      <w:pPr>
        <w:spacing w:line="240" w:lineRule="auto"/>
        <w:ind w:left="567" w:right="539"/>
        <w:rPr>
          <w:b/>
          <w:bCs/>
          <w:i/>
          <w:iCs/>
        </w:rPr>
      </w:pPr>
      <w:r w:rsidRPr="00EF5605">
        <w:rPr>
          <w:b/>
          <w:bCs/>
          <w:i/>
          <w:iCs/>
        </w:rPr>
        <w:t>A</w:t>
      </w:r>
      <w:r w:rsidRPr="00EF5605">
        <w:rPr>
          <w:i/>
          <w:iCs/>
        </w:rPr>
        <w:t xml:space="preserve">. </w:t>
      </w:r>
      <w:r w:rsidRPr="00EF5605">
        <w:rPr>
          <w:b/>
          <w:bCs/>
          <w:i/>
          <w:iCs/>
        </w:rPr>
        <w:t>Para el ejercicio del derecho de acceso a la información</w:t>
      </w:r>
      <w:r w:rsidRPr="00EF5605">
        <w:rPr>
          <w:i/>
          <w:iCs/>
        </w:rPr>
        <w:t xml:space="preserve">, la Federación y </w:t>
      </w:r>
      <w:r w:rsidRPr="00EF5605">
        <w:rPr>
          <w:b/>
          <w:bCs/>
          <w:i/>
          <w:iCs/>
        </w:rPr>
        <w:t>las entidades federativas, en el ámbito de sus respectivas competencias, se regirán por los siguientes principios y bases:</w:t>
      </w:r>
    </w:p>
    <w:p w14:paraId="0C660339" w14:textId="77777777" w:rsidR="005B0156" w:rsidRPr="00EF5605" w:rsidRDefault="000932BF">
      <w:pPr>
        <w:spacing w:line="240" w:lineRule="auto"/>
        <w:ind w:left="567" w:right="539"/>
        <w:rPr>
          <w:i/>
          <w:iCs/>
        </w:rPr>
      </w:pPr>
      <w:r w:rsidRPr="00EF5605">
        <w:rPr>
          <w:b/>
          <w:bCs/>
          <w:i/>
          <w:iCs/>
        </w:rPr>
        <w:t xml:space="preserve">I. </w:t>
      </w:r>
      <w:r w:rsidRPr="00EF5605">
        <w:rPr>
          <w:b/>
          <w:bCs/>
          <w:i/>
          <w:iCs/>
        </w:rPr>
        <w:tab/>
        <w:t>Toda la información en posesión de cualquier</w:t>
      </w:r>
      <w:r w:rsidRPr="00EF5605">
        <w:rPr>
          <w:i/>
          <w:iCs/>
        </w:rPr>
        <w:t xml:space="preserve"> </w:t>
      </w:r>
      <w:r w:rsidRPr="00EF5605">
        <w:rPr>
          <w:b/>
          <w:bCs/>
          <w:i/>
          <w:iCs/>
        </w:rPr>
        <w:t>autoridad</w:t>
      </w:r>
      <w:r w:rsidRPr="00EF5605">
        <w:rPr>
          <w:i/>
          <w:iCs/>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EF5605">
        <w:rPr>
          <w:b/>
          <w:bCs/>
          <w:i/>
          <w:iCs/>
        </w:rPr>
        <w:t>municipal</w:t>
      </w:r>
      <w:r w:rsidRPr="00EF5605">
        <w:rPr>
          <w:i/>
          <w:iCs/>
        </w:rPr>
        <w:t xml:space="preserve">, </w:t>
      </w:r>
      <w:r w:rsidRPr="00EF5605">
        <w:rPr>
          <w:b/>
          <w:bCs/>
          <w:i/>
          <w:iCs/>
        </w:rPr>
        <w:t>es pública</w:t>
      </w:r>
      <w:r w:rsidRPr="00EF5605">
        <w:rPr>
          <w:i/>
          <w:iCs/>
        </w:rPr>
        <w:t xml:space="preserve"> y sólo podrá ser reservada temporalmente por razones de interés público y seguridad nacional, en los términos que fijen las leyes. </w:t>
      </w:r>
      <w:r w:rsidRPr="00EF5605">
        <w:rPr>
          <w:b/>
          <w:bCs/>
          <w:i/>
          <w:iCs/>
        </w:rPr>
        <w:t xml:space="preserve">En la interpretación de este derecho deberá prevalecer el principio de máxima publicidad. Los sujetos obligados deberán documentar todo acto que derive del </w:t>
      </w:r>
      <w:r w:rsidRPr="00EF5605">
        <w:rPr>
          <w:b/>
          <w:bCs/>
          <w:i/>
          <w:iCs/>
        </w:rPr>
        <w:lastRenderedPageBreak/>
        <w:t>ejercicio de sus facultades, competencias o funciones</w:t>
      </w:r>
      <w:r w:rsidRPr="00EF5605">
        <w:rPr>
          <w:i/>
          <w:iCs/>
        </w:rPr>
        <w:t>, la ley determinará los supuestos específicos bajo los cuales procederá la declaración de inexistencia de la información.”</w:t>
      </w:r>
    </w:p>
    <w:p w14:paraId="409655EF" w14:textId="77777777" w:rsidR="005B0156" w:rsidRPr="00EF5605" w:rsidRDefault="005B0156">
      <w:pPr>
        <w:spacing w:line="240" w:lineRule="auto"/>
        <w:ind w:left="567" w:right="539"/>
        <w:rPr>
          <w:b/>
          <w:bCs/>
          <w:i/>
          <w:iCs/>
        </w:rPr>
      </w:pPr>
    </w:p>
    <w:p w14:paraId="626B7C73" w14:textId="77777777" w:rsidR="005B0156" w:rsidRPr="00EF5605" w:rsidRDefault="000932BF">
      <w:pPr>
        <w:spacing w:line="240" w:lineRule="auto"/>
        <w:ind w:left="567" w:right="539"/>
        <w:rPr>
          <w:b/>
          <w:bCs/>
          <w:i/>
          <w:iCs/>
        </w:rPr>
      </w:pPr>
      <w:r w:rsidRPr="00EF5605">
        <w:rPr>
          <w:b/>
          <w:bCs/>
          <w:i/>
          <w:iCs/>
        </w:rPr>
        <w:t>Constitución Política del Estado Libre y Soberano de México</w:t>
      </w:r>
    </w:p>
    <w:p w14:paraId="509244AF" w14:textId="77777777" w:rsidR="005B0156" w:rsidRPr="00EF5605" w:rsidRDefault="000932BF">
      <w:pPr>
        <w:spacing w:line="240" w:lineRule="auto"/>
        <w:ind w:left="567" w:right="539"/>
        <w:rPr>
          <w:i/>
          <w:iCs/>
        </w:rPr>
      </w:pPr>
      <w:r w:rsidRPr="00EF5605">
        <w:rPr>
          <w:b/>
          <w:bCs/>
          <w:i/>
          <w:iCs/>
        </w:rPr>
        <w:t>“Artículo 5</w:t>
      </w:r>
      <w:r w:rsidRPr="00EF5605">
        <w:rPr>
          <w:i/>
          <w:iCs/>
        </w:rPr>
        <w:t xml:space="preserve">.- </w:t>
      </w:r>
    </w:p>
    <w:p w14:paraId="1661BF8C" w14:textId="77777777" w:rsidR="005B0156" w:rsidRPr="00EF5605" w:rsidRDefault="000932BF">
      <w:pPr>
        <w:spacing w:line="240" w:lineRule="auto"/>
        <w:ind w:left="567" w:right="539"/>
        <w:rPr>
          <w:i/>
          <w:iCs/>
        </w:rPr>
      </w:pPr>
      <w:r w:rsidRPr="00EF5605">
        <w:rPr>
          <w:i/>
          <w:iCs/>
        </w:rPr>
        <w:t>(…)</w:t>
      </w:r>
    </w:p>
    <w:p w14:paraId="3EFE2CC2" w14:textId="77777777" w:rsidR="005B0156" w:rsidRPr="00EF5605" w:rsidRDefault="000932BF">
      <w:pPr>
        <w:spacing w:line="240" w:lineRule="auto"/>
        <w:ind w:left="567" w:right="539"/>
        <w:rPr>
          <w:i/>
          <w:iCs/>
        </w:rPr>
      </w:pPr>
      <w:r w:rsidRPr="00EF5605">
        <w:rPr>
          <w:b/>
          <w:bCs/>
          <w:i/>
          <w:iCs/>
        </w:rPr>
        <w:t>El derecho a la información será garantizado por el Estado. La ley establecerá las previsiones que permitan asegurar la protección, el respeto y la difusión de este derecho</w:t>
      </w:r>
      <w:r w:rsidRPr="00EF5605">
        <w:rPr>
          <w:i/>
          <w:iCs/>
        </w:rPr>
        <w:t>.</w:t>
      </w:r>
    </w:p>
    <w:p w14:paraId="3807F295" w14:textId="77777777" w:rsidR="005B0156" w:rsidRPr="00EF5605" w:rsidRDefault="000932BF">
      <w:pPr>
        <w:spacing w:line="240" w:lineRule="auto"/>
        <w:ind w:left="567" w:right="539"/>
        <w:rPr>
          <w:i/>
          <w:iCs/>
        </w:rPr>
      </w:pPr>
      <w:r w:rsidRPr="00EF5605">
        <w:rPr>
          <w:i/>
          <w:iCs/>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23F20B62" w14:textId="77777777" w:rsidR="005B0156" w:rsidRPr="00EF5605" w:rsidRDefault="000932BF">
      <w:pPr>
        <w:spacing w:line="240" w:lineRule="auto"/>
        <w:ind w:left="567" w:right="539"/>
        <w:rPr>
          <w:i/>
          <w:iCs/>
        </w:rPr>
      </w:pPr>
      <w:r w:rsidRPr="00EF5605">
        <w:rPr>
          <w:b/>
          <w:bCs/>
          <w:i/>
          <w:iCs/>
        </w:rPr>
        <w:t>Este derecho se regirá por los principios y bases siguientes</w:t>
      </w:r>
      <w:r w:rsidRPr="00EF5605">
        <w:rPr>
          <w:i/>
          <w:iCs/>
        </w:rPr>
        <w:t>:</w:t>
      </w:r>
    </w:p>
    <w:p w14:paraId="17AB6C7F" w14:textId="77777777" w:rsidR="005B0156" w:rsidRPr="00EF5605" w:rsidRDefault="000932BF">
      <w:pPr>
        <w:spacing w:line="240" w:lineRule="auto"/>
        <w:ind w:left="567" w:right="539"/>
        <w:rPr>
          <w:i/>
          <w:iCs/>
        </w:rPr>
      </w:pPr>
      <w:r w:rsidRPr="00EF5605">
        <w:rPr>
          <w:b/>
          <w:bCs/>
          <w:i/>
          <w:iCs/>
        </w:rPr>
        <w:t>I. Toda la información en posesión de cualquier autoridad, entidad, órgano y organismos de los</w:t>
      </w:r>
      <w:r w:rsidRPr="00EF5605">
        <w:rPr>
          <w:i/>
          <w:iCs/>
        </w:rPr>
        <w:t xml:space="preserve"> Poderes Ejecutivo, Legislativo y Judicial, órganos autónomos, partidos políticos, fideicomisos y fondos públicos estatales y </w:t>
      </w:r>
      <w:r w:rsidRPr="00EF5605">
        <w:rPr>
          <w:b/>
          <w:bCs/>
          <w:i/>
          <w:iCs/>
        </w:rPr>
        <w:t>municipales</w:t>
      </w:r>
      <w:r w:rsidRPr="00EF5605">
        <w:rPr>
          <w:i/>
          <w:iCs/>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EF5605">
        <w:rPr>
          <w:b/>
          <w:bCs/>
          <w:i/>
          <w:iCs/>
        </w:rPr>
        <w:t>es pública</w:t>
      </w:r>
      <w:r w:rsidRPr="00EF5605">
        <w:rPr>
          <w:i/>
          <w:iCs/>
        </w:rPr>
        <w:t xml:space="preserve"> y sólo podrá ser reservada temporalmente por razones previstas en la Constitución Política de los Estados Unidos Mexicanos de interés público y seguridad, en los términos que fijen las leyes. </w:t>
      </w:r>
      <w:r w:rsidRPr="00EF5605">
        <w:rPr>
          <w:b/>
          <w:bCs/>
          <w:i/>
          <w:iCs/>
        </w:rPr>
        <w:t>En la interpretación de este derecho deberá prevalecer el principio de máxima publicidad</w:t>
      </w:r>
      <w:r w:rsidRPr="00EF5605">
        <w:rPr>
          <w:i/>
          <w:iCs/>
        </w:rPr>
        <w:t xml:space="preserve">. </w:t>
      </w:r>
      <w:r w:rsidRPr="00EF5605">
        <w:rPr>
          <w:b/>
          <w:bCs/>
          <w:i/>
          <w:iCs/>
        </w:rPr>
        <w:t>Los sujetos obligados deberán documentar todo acto que derive del ejercicio de sus facultades, competencias o funciones</w:t>
      </w:r>
      <w:r w:rsidRPr="00EF5605">
        <w:rPr>
          <w:i/>
          <w:iCs/>
        </w:rPr>
        <w:t>, la ley determinará los supuestos específicos bajo los cuales procederá la declaración de inexistencia de la información.”</w:t>
      </w:r>
    </w:p>
    <w:p w14:paraId="266DF8F7" w14:textId="77777777" w:rsidR="005B0156" w:rsidRPr="00EF5605" w:rsidRDefault="005B0156">
      <w:pPr>
        <w:rPr>
          <w:b/>
          <w:bCs/>
          <w:i/>
          <w:iCs/>
        </w:rPr>
      </w:pPr>
    </w:p>
    <w:p w14:paraId="63F4D161" w14:textId="77777777" w:rsidR="005B0156" w:rsidRPr="00EF5605" w:rsidRDefault="000932BF">
      <w:pPr>
        <w:rPr>
          <w:i/>
          <w:iCs/>
        </w:rPr>
      </w:pPr>
      <w:r w:rsidRPr="00EF5605">
        <w:t xml:space="preserve">Asimismo, el artículo 150 de la Ley de Transparencia y Acceso a la Información Pública del Estado de México y Municipios indica que la solicitud es la garantía primaria del Derecho de Acceso a la Información, además, establece que se regirá </w:t>
      </w:r>
      <w:r w:rsidRPr="00EF5605">
        <w:rPr>
          <w:i/>
          <w:iCs/>
        </w:rPr>
        <w:t>por los principios de simplicidad, rapidez, gratuidad del procedimiento, auxilio y orientación a los particulares.</w:t>
      </w:r>
    </w:p>
    <w:p w14:paraId="4211522D" w14:textId="77777777" w:rsidR="005B0156" w:rsidRPr="00EF5605" w:rsidRDefault="005B0156">
      <w:pPr>
        <w:rPr>
          <w:i/>
          <w:iCs/>
        </w:rPr>
      </w:pPr>
    </w:p>
    <w:p w14:paraId="2D8A5D51" w14:textId="77777777" w:rsidR="005B0156" w:rsidRPr="00EF5605" w:rsidRDefault="000932BF">
      <w:pPr>
        <w:rPr>
          <w:i/>
          <w:iCs/>
        </w:rPr>
      </w:pPr>
      <w:r w:rsidRPr="00EF5605">
        <w:t xml:space="preserve">Por su parte, el artículo 4 de la Ley de Transparencia y Acceso a la Información Pública del Estado de México y Municipios refiere que toda la información generada, obtenida, adquirida, </w:t>
      </w:r>
      <w:r w:rsidRPr="00EF5605">
        <w:lastRenderedPageBreak/>
        <w:t>transformada, administrada o en posesión de los sujetos obligados es pública y accesible de manera permanente a cualquier persona, privilegiando el principio de máxima publicidad.</w:t>
      </w:r>
    </w:p>
    <w:p w14:paraId="302AC584" w14:textId="77777777" w:rsidR="005B0156" w:rsidRPr="00EF5605" w:rsidRDefault="005B0156"/>
    <w:p w14:paraId="73E831AA" w14:textId="77777777" w:rsidR="005B0156" w:rsidRPr="00EF5605" w:rsidRDefault="000932BF">
      <w:r w:rsidRPr="00EF5605">
        <w:t>Esto es, que los Sujetos Obligados deben atender las solicitudes de acceso a la información pública que se les sean realizadas, y proporcionar la información pública que obre en su poder, conforme al estado en que se encuentre, sin que sea necesario procesar la misma, ni presentarla conforme al interés del solicitante; tal y como lo establece el artículo 12 de la Ley de Transparencia y Acceso a la Información Pública del Estado de México y Municipios.</w:t>
      </w:r>
    </w:p>
    <w:p w14:paraId="2DC6495C" w14:textId="77777777" w:rsidR="005B0156" w:rsidRPr="00EF5605" w:rsidRDefault="005B0156"/>
    <w:p w14:paraId="2AF918FA" w14:textId="77777777" w:rsidR="005B0156" w:rsidRPr="00EF5605" w:rsidRDefault="000932BF">
      <w:r w:rsidRPr="00EF5605">
        <w:t>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o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14:paraId="313FFE65" w14:textId="77777777" w:rsidR="005B0156" w:rsidRPr="00EF5605" w:rsidRDefault="005B0156"/>
    <w:p w14:paraId="7F0F3EC8" w14:textId="77777777" w:rsidR="005B0156" w:rsidRPr="00EF5605" w:rsidRDefault="000932BF">
      <w:r w:rsidRPr="00EF5605">
        <w:t>En esa tesitura, el artículo 24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 siempre y cuando no se trate de información reservada o confidencial.</w:t>
      </w:r>
    </w:p>
    <w:p w14:paraId="06E8738C" w14:textId="77777777" w:rsidR="005B0156" w:rsidRPr="00EF5605" w:rsidRDefault="005B0156"/>
    <w:p w14:paraId="1EA58320" w14:textId="77777777" w:rsidR="005B0156" w:rsidRPr="00EF5605" w:rsidRDefault="000932BF">
      <w:bookmarkStart w:id="22" w:name="_heading=h.2s8eyo1" w:colFirst="0" w:colLast="0"/>
      <w:bookmarkEnd w:id="22"/>
      <w:r w:rsidRPr="00EF5605">
        <w:t xml:space="preserve">Con base en lo anterior, se considera que </w:t>
      </w:r>
      <w:r w:rsidRPr="00EF5605">
        <w:rPr>
          <w:b/>
          <w:bCs/>
        </w:rPr>
        <w:t>EL</w:t>
      </w:r>
      <w:r w:rsidRPr="00EF5605">
        <w:t xml:space="preserve"> </w:t>
      </w:r>
      <w:r w:rsidRPr="00EF5605">
        <w:rPr>
          <w:b/>
          <w:bCs/>
        </w:rPr>
        <w:t>SUJETO OBLIGADO</w:t>
      </w:r>
      <w:r w:rsidRPr="00EF5605">
        <w:t xml:space="preserve"> se encontraba compelido a atender la solicitud de acceso a la información realizada por </w:t>
      </w:r>
      <w:r w:rsidRPr="00EF5605">
        <w:rPr>
          <w:b/>
          <w:bCs/>
        </w:rPr>
        <w:t>LA PARTE RECURRENTE</w:t>
      </w:r>
      <w:r w:rsidRPr="00EF5605">
        <w:t>.</w:t>
      </w:r>
    </w:p>
    <w:p w14:paraId="4EA41E1E" w14:textId="77777777" w:rsidR="005B0156" w:rsidRPr="00EF5605" w:rsidRDefault="005B0156"/>
    <w:p w14:paraId="09244748" w14:textId="77777777" w:rsidR="005B0156" w:rsidRPr="00EF5605" w:rsidRDefault="000932BF">
      <w:pPr>
        <w:pStyle w:val="Ttulo3"/>
      </w:pPr>
      <w:bookmarkStart w:id="23" w:name="_heading=h.y5nuexl37bv4" w:colFirst="0" w:colLast="0"/>
      <w:bookmarkEnd w:id="23"/>
      <w:r w:rsidRPr="00EF5605">
        <w:t>b) Controversia a resolver</w:t>
      </w:r>
    </w:p>
    <w:p w14:paraId="4FCF5B97" w14:textId="77777777" w:rsidR="005B0156" w:rsidRPr="00EF5605" w:rsidRDefault="000932BF">
      <w:r w:rsidRPr="00EF5605">
        <w:t>Ante la falta de trámite y respuesta a la solicitud, así como el envío del Informe Justificado por parte del</w:t>
      </w:r>
      <w:r w:rsidRPr="00EF5605">
        <w:rPr>
          <w:b/>
          <w:bCs/>
        </w:rPr>
        <w:t xml:space="preserve"> SUJETO OBLIGADO</w:t>
      </w:r>
      <w:r w:rsidRPr="00EF5605">
        <w:t xml:space="preserve">, este Órgano Garante considera pertinente analizar si se encuentra constreñido a trasparentar sus acciones; así como, garantizar y respetar el derecho de acceso a la Información Pública. </w:t>
      </w:r>
    </w:p>
    <w:p w14:paraId="60F97FCD" w14:textId="77777777" w:rsidR="005B0156" w:rsidRPr="00EF5605" w:rsidRDefault="005B0156"/>
    <w:p w14:paraId="5EA8D468" w14:textId="77777777" w:rsidR="005B0156" w:rsidRPr="00EF5605" w:rsidRDefault="000932BF">
      <w:pPr>
        <w:pStyle w:val="Ttulo3"/>
      </w:pPr>
      <w:bookmarkStart w:id="24" w:name="_heading=h.27eyih1ubmkz" w:colFirst="0" w:colLast="0"/>
      <w:bookmarkEnd w:id="24"/>
      <w:r w:rsidRPr="00EF5605">
        <w:t>c) Estudio de la controversia</w:t>
      </w:r>
    </w:p>
    <w:p w14:paraId="0DE97A11" w14:textId="77777777" w:rsidR="005B0156" w:rsidRPr="00EF5605" w:rsidRDefault="000932BF">
      <w:pPr>
        <w:spacing w:after="240"/>
      </w:pPr>
      <w:r w:rsidRPr="00EF5605">
        <w:t>Los Ayuntamientos se encuentran obligados a documentar y transparentar su actuar, así como a permitir el acceso a la información que generen, posean o administren; en ese orden de ideas se tiene que la Ley de Transparencia local, prevé en su artículo 23, lo siguiente:</w:t>
      </w:r>
    </w:p>
    <w:p w14:paraId="50FCA150" w14:textId="77777777" w:rsidR="005B0156" w:rsidRPr="00EF5605" w:rsidRDefault="000932BF">
      <w:pPr>
        <w:spacing w:line="240" w:lineRule="auto"/>
        <w:ind w:left="851" w:right="822"/>
        <w:rPr>
          <w:i/>
          <w:iCs/>
        </w:rPr>
      </w:pPr>
      <w:r w:rsidRPr="00EF5605">
        <w:rPr>
          <w:i/>
          <w:iCs/>
        </w:rPr>
        <w:t>“</w:t>
      </w:r>
      <w:r w:rsidRPr="00EF5605">
        <w:rPr>
          <w:b/>
          <w:bCs/>
          <w:i/>
          <w:iCs/>
        </w:rPr>
        <w:t>Artículo 23.</w:t>
      </w:r>
      <w:r w:rsidRPr="00EF5605">
        <w:rPr>
          <w:i/>
          <w:iCs/>
        </w:rPr>
        <w:t xml:space="preserve"> Son sujetos obligados a transparentar y permitir el acceso a su información y proteger los datos personales que obren en su poder:</w:t>
      </w:r>
    </w:p>
    <w:p w14:paraId="06C54A51" w14:textId="77777777" w:rsidR="005B0156" w:rsidRPr="00EF5605" w:rsidRDefault="000932BF">
      <w:pPr>
        <w:spacing w:line="240" w:lineRule="auto"/>
        <w:ind w:left="851" w:right="822"/>
        <w:rPr>
          <w:i/>
          <w:iCs/>
        </w:rPr>
      </w:pPr>
      <w:r w:rsidRPr="00EF5605">
        <w:rPr>
          <w:i/>
          <w:iCs/>
        </w:rPr>
        <w:t>I. El Poder Ejecutivo del Estado de México, las dependencias, organismos auxiliares, órganos, entidades, fideicomisos y fondos públicos, así como la Procuraduría General de Justicia;</w:t>
      </w:r>
    </w:p>
    <w:p w14:paraId="59C0A724" w14:textId="77777777" w:rsidR="005B0156" w:rsidRPr="00EF5605" w:rsidRDefault="000932BF">
      <w:pPr>
        <w:spacing w:line="240" w:lineRule="auto"/>
        <w:ind w:left="851" w:right="822"/>
        <w:rPr>
          <w:i/>
          <w:iCs/>
        </w:rPr>
      </w:pPr>
      <w:r w:rsidRPr="00EF5605">
        <w:rPr>
          <w:i/>
          <w:iCs/>
        </w:rPr>
        <w:t>II. El Poder Legislativo del Estado, los organismos, órganos y entidades de la Legislatura y sus dependencias;</w:t>
      </w:r>
    </w:p>
    <w:p w14:paraId="4ED9063D" w14:textId="77777777" w:rsidR="005B0156" w:rsidRPr="00EF5605" w:rsidRDefault="000932BF">
      <w:pPr>
        <w:spacing w:line="240" w:lineRule="auto"/>
        <w:ind w:left="851" w:right="822"/>
        <w:rPr>
          <w:i/>
          <w:iCs/>
        </w:rPr>
      </w:pPr>
      <w:r w:rsidRPr="00EF5605">
        <w:rPr>
          <w:i/>
          <w:iCs/>
        </w:rPr>
        <w:t>III. El Poder Judicial, sus organismos, órganos y entidades, así como el Consejo de la Judicatura del Estado;</w:t>
      </w:r>
    </w:p>
    <w:p w14:paraId="76D13D28" w14:textId="77777777" w:rsidR="005B0156" w:rsidRPr="00EF5605" w:rsidRDefault="000932BF">
      <w:pPr>
        <w:spacing w:line="240" w:lineRule="auto"/>
        <w:ind w:left="851" w:right="822"/>
        <w:rPr>
          <w:b/>
          <w:bCs/>
          <w:i/>
          <w:iCs/>
        </w:rPr>
      </w:pPr>
      <w:r w:rsidRPr="00EF5605">
        <w:rPr>
          <w:b/>
          <w:bCs/>
          <w:i/>
          <w:iCs/>
        </w:rPr>
        <w:t>IV. Los ayuntamientos y las dependencias, organismos, órganos y entidades de la administración municipal;</w:t>
      </w:r>
    </w:p>
    <w:p w14:paraId="5424100E" w14:textId="77777777" w:rsidR="005B0156" w:rsidRPr="00EF5605" w:rsidRDefault="000932BF">
      <w:pPr>
        <w:spacing w:line="240" w:lineRule="auto"/>
        <w:ind w:left="851" w:right="822"/>
        <w:rPr>
          <w:i/>
          <w:iCs/>
        </w:rPr>
      </w:pPr>
      <w:r w:rsidRPr="00EF5605">
        <w:rPr>
          <w:i/>
          <w:iCs/>
        </w:rPr>
        <w:t>V. Los órganos autónomos;</w:t>
      </w:r>
    </w:p>
    <w:p w14:paraId="0688D1EA" w14:textId="77777777" w:rsidR="005B0156" w:rsidRPr="00EF5605" w:rsidRDefault="000932BF">
      <w:pPr>
        <w:spacing w:line="240" w:lineRule="auto"/>
        <w:ind w:left="851" w:right="822"/>
        <w:rPr>
          <w:i/>
          <w:iCs/>
        </w:rPr>
      </w:pPr>
      <w:r w:rsidRPr="00EF5605">
        <w:rPr>
          <w:i/>
          <w:iCs/>
        </w:rPr>
        <w:t>VI. Los tribunales administrativos y autoridades jurisdiccionales en materia laboral;</w:t>
      </w:r>
    </w:p>
    <w:p w14:paraId="49E9B5E7" w14:textId="77777777" w:rsidR="005B0156" w:rsidRPr="00EF5605" w:rsidRDefault="000932BF">
      <w:pPr>
        <w:spacing w:line="240" w:lineRule="auto"/>
        <w:ind w:left="851" w:right="822"/>
        <w:rPr>
          <w:i/>
          <w:iCs/>
        </w:rPr>
      </w:pPr>
      <w:r w:rsidRPr="00EF5605">
        <w:rPr>
          <w:i/>
          <w:iCs/>
        </w:rPr>
        <w:t>VII. Los partidos políticos y agrupaciones políticas, en los términos de las disposiciones aplicables;</w:t>
      </w:r>
    </w:p>
    <w:p w14:paraId="25F44C17" w14:textId="77777777" w:rsidR="005B0156" w:rsidRPr="00EF5605" w:rsidRDefault="000932BF">
      <w:pPr>
        <w:spacing w:line="240" w:lineRule="auto"/>
        <w:ind w:left="851" w:right="822"/>
        <w:rPr>
          <w:i/>
          <w:iCs/>
        </w:rPr>
      </w:pPr>
      <w:r w:rsidRPr="00EF5605">
        <w:rPr>
          <w:i/>
          <w:iCs/>
        </w:rPr>
        <w:t>VIII. Los fideicomisos y fondos públicos que cuenten con financiamiento público, parcial o total, o con participación de entidades de gobierno;</w:t>
      </w:r>
    </w:p>
    <w:p w14:paraId="2817DAC9" w14:textId="77777777" w:rsidR="005B0156" w:rsidRPr="00EF5605" w:rsidRDefault="000932BF">
      <w:pPr>
        <w:spacing w:line="240" w:lineRule="auto"/>
        <w:ind w:left="851" w:right="822"/>
        <w:rPr>
          <w:i/>
          <w:iCs/>
        </w:rPr>
      </w:pPr>
      <w:r w:rsidRPr="00EF5605">
        <w:rPr>
          <w:i/>
          <w:iCs/>
        </w:rPr>
        <w:t>IX. Los sindicatos que reciban y/o ejerzan recursos públicos en el ámbito estatal y municipal;</w:t>
      </w:r>
    </w:p>
    <w:p w14:paraId="36310EFC" w14:textId="77777777" w:rsidR="005B0156" w:rsidRPr="00EF5605" w:rsidRDefault="000932BF">
      <w:pPr>
        <w:spacing w:line="240" w:lineRule="auto"/>
        <w:ind w:left="851" w:right="822"/>
        <w:rPr>
          <w:i/>
          <w:iCs/>
        </w:rPr>
      </w:pPr>
      <w:r w:rsidRPr="00EF5605">
        <w:rPr>
          <w:i/>
          <w:iCs/>
        </w:rPr>
        <w:lastRenderedPageBreak/>
        <w:t>X. Cualquier persona física o jurídico colectiva que reciba y ejerza recursos públicos en el ámbito estatal o municipal; y</w:t>
      </w:r>
    </w:p>
    <w:p w14:paraId="1318BBB5" w14:textId="77777777" w:rsidR="005B0156" w:rsidRPr="00EF5605" w:rsidRDefault="000932BF">
      <w:pPr>
        <w:spacing w:line="240" w:lineRule="auto"/>
        <w:ind w:left="851" w:right="822"/>
        <w:rPr>
          <w:i/>
          <w:iCs/>
        </w:rPr>
      </w:pPr>
      <w:r w:rsidRPr="00EF5605">
        <w:rPr>
          <w:i/>
          <w:iCs/>
        </w:rPr>
        <w:t>XI. Cualquier otra autoridad, entidad, órgano u organismo de los poderes estatal o municipal, que reciba recursos públicos.</w:t>
      </w:r>
    </w:p>
    <w:p w14:paraId="36E5C048" w14:textId="77777777" w:rsidR="005B0156" w:rsidRPr="00EF5605" w:rsidRDefault="000932BF">
      <w:pPr>
        <w:spacing w:line="240" w:lineRule="auto"/>
        <w:ind w:left="851" w:right="822"/>
        <w:rPr>
          <w:b/>
          <w:bCs/>
          <w:i/>
          <w:iCs/>
        </w:rPr>
      </w:pPr>
      <w:r w:rsidRPr="00EF5605">
        <w:rPr>
          <w:b/>
          <w:bCs/>
          <w:i/>
          <w:iCs/>
        </w:rPr>
        <w:t>Los sujetos obligados deberán hacer pública toda aquella información relativa a los montos y las personas a quienes entreguen, por cualquier motivo, recursos públicos, así como los informes que dichas personas les entreguen sobre el uso y destino de dichos recursos.</w:t>
      </w:r>
    </w:p>
    <w:p w14:paraId="270E6678" w14:textId="77777777" w:rsidR="005B0156" w:rsidRPr="00EF5605" w:rsidRDefault="000932BF">
      <w:pPr>
        <w:spacing w:line="240" w:lineRule="auto"/>
        <w:ind w:left="851" w:right="822"/>
        <w:rPr>
          <w:b/>
          <w:bCs/>
          <w:i/>
          <w:iCs/>
        </w:rPr>
      </w:pPr>
      <w:r w:rsidRPr="00EF5605">
        <w:rPr>
          <w:b/>
          <w:bCs/>
          <w:i/>
          <w:iCs/>
        </w:rPr>
        <w:t>Los servidores públicos deberán transparentar sus acciones, así como garantizar y respetar el derecho de acceso a la Información Pública.</w:t>
      </w:r>
    </w:p>
    <w:p w14:paraId="6E7DDB0A" w14:textId="77777777" w:rsidR="005B0156" w:rsidRPr="00EF5605" w:rsidRDefault="000932BF">
      <w:pPr>
        <w:spacing w:after="240" w:line="240" w:lineRule="auto"/>
        <w:ind w:left="851" w:right="822"/>
        <w:rPr>
          <w:i/>
          <w:iCs/>
        </w:rPr>
      </w:pPr>
      <w:r w:rsidRPr="00EF5605">
        <w:rPr>
          <w:i/>
          <w:iCs/>
        </w:rPr>
        <w:t>(Énfasis añadido)</w:t>
      </w:r>
    </w:p>
    <w:p w14:paraId="6D48F97A" w14:textId="77777777" w:rsidR="005B0156" w:rsidRPr="00EF5605" w:rsidRDefault="000932BF">
      <w:pPr>
        <w:spacing w:after="240"/>
        <w:ind w:right="51"/>
      </w:pPr>
      <w:r w:rsidRPr="00EF5605">
        <w:t>De los preceptos legales citados, se establece que la Ley de la materia delimita perfectamente los alcances de las obligaciones que corresponden a los Ayuntamientos; por lo que, en ese tenor es necesario referir el contenido del artículo 115, fracciones I, II y IV de la Constitución Política de los Estados Unidos Mexicanos, que en lo que interesa menciona:</w:t>
      </w:r>
    </w:p>
    <w:p w14:paraId="2397BE6C" w14:textId="77777777" w:rsidR="005B0156" w:rsidRPr="00EF5605" w:rsidRDefault="000932BF">
      <w:pPr>
        <w:spacing w:line="240" w:lineRule="auto"/>
        <w:ind w:left="851" w:right="822"/>
        <w:rPr>
          <w:i/>
          <w:iCs/>
        </w:rPr>
      </w:pPr>
      <w:r w:rsidRPr="00EF5605">
        <w:rPr>
          <w:i/>
          <w:iCs/>
        </w:rPr>
        <w:t>“</w:t>
      </w:r>
      <w:r w:rsidRPr="00EF5605">
        <w:rPr>
          <w:b/>
          <w:bCs/>
          <w:i/>
          <w:iCs/>
        </w:rPr>
        <w:t>Artículo 115</w:t>
      </w:r>
      <w:r w:rsidRPr="00EF5605">
        <w:rPr>
          <w:i/>
          <w:iCs/>
        </w:rPr>
        <w:t xml:space="preserve">. Los estados adoptarán, para su régimen interior, la forma de gobierno republicano, representativo, democrático, laico y popular, teniendo como base de su división territorial y de su organización política y administrativa, el municipio libre, conforme a las bases siguientes: </w:t>
      </w:r>
    </w:p>
    <w:p w14:paraId="0F710DE1" w14:textId="77777777" w:rsidR="005B0156" w:rsidRPr="00EF5605" w:rsidRDefault="000932BF">
      <w:pPr>
        <w:spacing w:line="240" w:lineRule="auto"/>
        <w:ind w:left="851" w:right="822"/>
        <w:rPr>
          <w:i/>
          <w:iCs/>
        </w:rPr>
      </w:pPr>
      <w:r w:rsidRPr="00EF5605">
        <w:rPr>
          <w:b/>
          <w:bCs/>
          <w:i/>
          <w:iCs/>
        </w:rPr>
        <w:t>I.</w:t>
      </w:r>
      <w:r w:rsidRPr="00EF5605">
        <w:rPr>
          <w:i/>
          <w:iCs/>
        </w:rPr>
        <w:t xml:space="preserve"> Cada Municipio será gobernado por un Ayuntamiento de elección popular directa, integrado por un Presidente Municipal y el número de regidores y síndicos que la ley determine. La competencia que esta Constitución otorga al gobierno municipal se ejercerá por el Ayuntamiento de manera exclusiva y no habrá autoridad intermedia alguna entre éste y el gobierno del Estado. </w:t>
      </w:r>
    </w:p>
    <w:p w14:paraId="7F2E1FA4" w14:textId="77777777" w:rsidR="005B0156" w:rsidRPr="00EF5605" w:rsidRDefault="000932BF">
      <w:pPr>
        <w:spacing w:line="240" w:lineRule="auto"/>
        <w:ind w:left="851" w:right="822"/>
        <w:rPr>
          <w:i/>
          <w:iCs/>
        </w:rPr>
      </w:pPr>
      <w:r w:rsidRPr="00EF5605">
        <w:rPr>
          <w:i/>
          <w:iCs/>
        </w:rPr>
        <w:t>(…)</w:t>
      </w:r>
    </w:p>
    <w:p w14:paraId="2780CB8B" w14:textId="77777777" w:rsidR="005B0156" w:rsidRPr="00EF5605" w:rsidRDefault="000932BF">
      <w:pPr>
        <w:spacing w:line="240" w:lineRule="auto"/>
        <w:ind w:left="851" w:right="822"/>
        <w:rPr>
          <w:i/>
          <w:iCs/>
        </w:rPr>
      </w:pPr>
      <w:r w:rsidRPr="00EF5605">
        <w:rPr>
          <w:b/>
          <w:bCs/>
          <w:i/>
          <w:iCs/>
        </w:rPr>
        <w:t>II.</w:t>
      </w:r>
      <w:r w:rsidRPr="00EF5605">
        <w:rPr>
          <w:i/>
          <w:iCs/>
        </w:rPr>
        <w:t xml:space="preserve"> Los municipios estarán investidos de personalidad jurídica y manejarán su patrimonio conforme a la ley.</w:t>
      </w:r>
    </w:p>
    <w:p w14:paraId="130D5BCE" w14:textId="77777777" w:rsidR="005B0156" w:rsidRPr="00EF5605" w:rsidRDefault="000932BF">
      <w:pPr>
        <w:spacing w:line="240" w:lineRule="auto"/>
        <w:ind w:left="851" w:right="822"/>
        <w:rPr>
          <w:i/>
          <w:iCs/>
        </w:rPr>
      </w:pPr>
      <w:r w:rsidRPr="00EF5605">
        <w:rPr>
          <w:i/>
          <w:iCs/>
        </w:rPr>
        <w:t>(…)</w:t>
      </w:r>
    </w:p>
    <w:p w14:paraId="0287AC2E" w14:textId="77777777" w:rsidR="005B0156" w:rsidRPr="00EF5605" w:rsidRDefault="000932BF">
      <w:pPr>
        <w:spacing w:line="240" w:lineRule="auto"/>
        <w:ind w:left="851" w:right="822"/>
        <w:rPr>
          <w:b/>
          <w:bCs/>
          <w:i/>
          <w:iCs/>
        </w:rPr>
      </w:pPr>
      <w:r w:rsidRPr="00EF5605">
        <w:rPr>
          <w:b/>
          <w:bCs/>
          <w:i/>
          <w:iCs/>
        </w:rPr>
        <w:t>IV. Los municipios administrarán libremente su hacienda, la cual se formará de los rendimientos de los bienes que les pertenezcan, así como de las contribuciones y otros ingresos que las legislaturas establezcan a su favor…</w:t>
      </w:r>
    </w:p>
    <w:p w14:paraId="29E518FC" w14:textId="77777777" w:rsidR="005B0156" w:rsidRPr="00EF5605" w:rsidRDefault="000932BF">
      <w:pPr>
        <w:spacing w:line="240" w:lineRule="auto"/>
        <w:ind w:left="851" w:right="822"/>
        <w:rPr>
          <w:i/>
          <w:iCs/>
        </w:rPr>
      </w:pPr>
      <w:r w:rsidRPr="00EF5605">
        <w:rPr>
          <w:i/>
          <w:iCs/>
        </w:rPr>
        <w:t>(…)”</w:t>
      </w:r>
    </w:p>
    <w:p w14:paraId="54FC3ED5" w14:textId="77777777" w:rsidR="005B0156" w:rsidRPr="00EF5605" w:rsidRDefault="000932BF">
      <w:pPr>
        <w:spacing w:line="240" w:lineRule="auto"/>
        <w:ind w:left="851" w:right="822"/>
        <w:rPr>
          <w:i/>
          <w:iCs/>
        </w:rPr>
      </w:pPr>
      <w:r w:rsidRPr="00EF5605">
        <w:rPr>
          <w:i/>
          <w:iCs/>
        </w:rPr>
        <w:t>(Énfasis añadido)</w:t>
      </w:r>
    </w:p>
    <w:p w14:paraId="6C036690" w14:textId="77777777" w:rsidR="005B0156" w:rsidRPr="00EF5605" w:rsidRDefault="005B0156">
      <w:pPr>
        <w:spacing w:line="240" w:lineRule="auto"/>
        <w:ind w:left="851" w:right="822"/>
        <w:rPr>
          <w:i/>
          <w:iCs/>
        </w:rPr>
      </w:pPr>
    </w:p>
    <w:p w14:paraId="5982A5CF" w14:textId="77777777" w:rsidR="005B0156" w:rsidRPr="00EF5605" w:rsidRDefault="000932BF">
      <w:r w:rsidRPr="00EF5605">
        <w:lastRenderedPageBreak/>
        <w:t>Por lo anterior, es claro que el máximo ordenamiento del país reconoce la figura del Municipio como base de la división territorial, el cual será gobernado por un Ayuntamiento de elección popular; asimismo se destaca que, todo Municipio se encuentra investido de personalidad jurídica, lo que quiere decir que posee libremente la capacidad de decisión siempre y cuando, ello sea conforme a los ordenamientos legales aplicables.</w:t>
      </w:r>
    </w:p>
    <w:p w14:paraId="041FEE03" w14:textId="77777777" w:rsidR="005B0156" w:rsidRPr="00EF5605" w:rsidRDefault="005B0156"/>
    <w:p w14:paraId="57FAAD93" w14:textId="77777777" w:rsidR="005B0156" w:rsidRPr="00EF5605" w:rsidRDefault="000932BF">
      <w:pPr>
        <w:tabs>
          <w:tab w:val="left" w:pos="709"/>
        </w:tabs>
        <w:spacing w:after="240"/>
      </w:pPr>
      <w:r w:rsidRPr="00EF5605">
        <w:t>Asimismo, en el numeral 3</w:t>
      </w:r>
      <w:r w:rsidRPr="00EF5605">
        <w:rPr>
          <w:vertAlign w:val="superscript"/>
        </w:rPr>
        <w:footnoteReference w:id="1"/>
      </w:r>
      <w:r w:rsidRPr="00EF5605">
        <w:t xml:space="preserve"> de la Ley Orgánica Municipal del Estado de México, se establece que los Municipios de la Entidad regularán su funcionamiento de conformidad con lo que establece la misma Ley, los Bandos Municipales, Reglamentos y demás disposiciones legales aplicables.</w:t>
      </w:r>
    </w:p>
    <w:p w14:paraId="46E1BAFE" w14:textId="77777777" w:rsidR="005B0156" w:rsidRPr="00EF5605" w:rsidRDefault="000932BF">
      <w:pPr>
        <w:tabs>
          <w:tab w:val="left" w:pos="709"/>
        </w:tabs>
        <w:spacing w:after="240"/>
      </w:pPr>
      <w:r w:rsidRPr="00EF5605">
        <w:t>Por otro lado, resulta importante traer a colación el contenido de los artículos 4 y 12 de la Ley de Transparencia local, mismos que a la letra señalan:</w:t>
      </w:r>
    </w:p>
    <w:p w14:paraId="5CCF6CE7" w14:textId="77777777" w:rsidR="005B0156" w:rsidRPr="00EF5605" w:rsidRDefault="000932BF">
      <w:pPr>
        <w:pStyle w:val="Puesto"/>
        <w:ind w:left="851" w:right="822" w:firstLine="0"/>
      </w:pPr>
      <w:r w:rsidRPr="00EF5605">
        <w:t>“</w:t>
      </w:r>
      <w:r w:rsidRPr="00EF5605">
        <w:rPr>
          <w:b/>
          <w:bCs/>
        </w:rPr>
        <w:t>Artículo 4.</w:t>
      </w:r>
      <w:r w:rsidRPr="00EF5605">
        <w:t xml:space="preserve"> El derecho humano de acceso a la Información Pública es la prerrogativa de las personas para buscar, difundir, investigar, recabar, recibir y solicitar Información Pública, sin necesidad de acreditar personalidad ni interés jurídico.</w:t>
      </w:r>
    </w:p>
    <w:p w14:paraId="1C91B076" w14:textId="77777777" w:rsidR="005B0156" w:rsidRPr="00EF5605" w:rsidRDefault="000932BF">
      <w:pPr>
        <w:pStyle w:val="Puesto"/>
        <w:ind w:left="851" w:right="822" w:firstLine="0"/>
      </w:pPr>
      <w:r w:rsidRPr="00EF5605">
        <w:rPr>
          <w:b/>
          <w:bCs/>
          <w:u w:val="single"/>
        </w:rPr>
        <w:t>Toda la información generada, obtenida, adquirida, transformada, administrada o en posesión de los sujetos obligados es pública y accesible de manera permanente a cualquier persona</w:t>
      </w:r>
      <w:r w:rsidRPr="00EF5605">
        <w:t>,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1C2B70D7" w14:textId="77777777" w:rsidR="005B0156" w:rsidRPr="00EF5605" w:rsidRDefault="000932BF">
      <w:pPr>
        <w:pStyle w:val="Puesto"/>
        <w:ind w:left="851" w:right="822" w:firstLine="0"/>
      </w:pPr>
      <w:r w:rsidRPr="00EF5605">
        <w:t>Los sujetos obligados deben poner en práctica, políticas y programas de acceso a la información que se apeguen a criterios de publicidad, veracidad, oportunidad, precisión y suficiencia en beneficio de los solicitantes.</w:t>
      </w:r>
    </w:p>
    <w:p w14:paraId="4994B701" w14:textId="77777777" w:rsidR="005B0156" w:rsidRPr="00EF5605" w:rsidRDefault="000932BF">
      <w:pPr>
        <w:pStyle w:val="Puesto"/>
        <w:ind w:left="851" w:right="822" w:firstLine="0"/>
      </w:pPr>
      <w:r w:rsidRPr="00EF5605">
        <w:rPr>
          <w:b/>
          <w:bCs/>
        </w:rPr>
        <w:lastRenderedPageBreak/>
        <w:t>Artículo 12.</w:t>
      </w:r>
      <w:r w:rsidRPr="00EF5605">
        <w:t xml:space="preserve"> Quienes generen, recopilen, administren, manejen, procesen, archiven o conserven Información Pública serán responsables de la misma en los términos de las disposiciones jurídicas aplicables.</w:t>
      </w:r>
    </w:p>
    <w:p w14:paraId="693D8577" w14:textId="77777777" w:rsidR="005B0156" w:rsidRPr="00EF5605" w:rsidRDefault="000932BF">
      <w:pPr>
        <w:pStyle w:val="Puesto"/>
        <w:ind w:left="851" w:right="822" w:firstLine="0"/>
      </w:pPr>
      <w:r w:rsidRPr="00EF5605">
        <w:rPr>
          <w:b/>
          <w:bCs/>
          <w:u w:val="single"/>
        </w:rPr>
        <w:t>Los sujetos obligados sólo proporcionarán la Información Pública que se les requiera y que obre en sus archivos y en el estado en que ésta se encuentre.</w:t>
      </w:r>
      <w:r w:rsidRPr="00EF5605">
        <w:t xml:space="preserve"> La obligación de proporcionar información no comprende el procesamiento de la misma, ni el presentarla conforme al interés del solicitante; no estarán obligados a generarla, resumirla, efectuar cálculos o practicar investigaciones.” </w:t>
      </w:r>
    </w:p>
    <w:p w14:paraId="783619D7" w14:textId="77777777" w:rsidR="005B0156" w:rsidRPr="00EF5605" w:rsidRDefault="000932BF">
      <w:pPr>
        <w:pStyle w:val="Puesto"/>
        <w:spacing w:after="240"/>
        <w:ind w:left="851" w:right="822" w:firstLine="0"/>
      </w:pPr>
      <w:r w:rsidRPr="00EF5605">
        <w:t>(Énfasis añadido)</w:t>
      </w:r>
    </w:p>
    <w:p w14:paraId="4E8A57B9" w14:textId="77777777" w:rsidR="005B0156" w:rsidRPr="00EF5605" w:rsidRDefault="000932BF">
      <w:pPr>
        <w:spacing w:after="240"/>
        <w:rPr>
          <w:sz w:val="24"/>
          <w:szCs w:val="24"/>
        </w:rPr>
      </w:pPr>
      <w:r w:rsidRPr="00EF5605">
        <w:t xml:space="preserve">Por lo que podemos observar, de los preceptos legales antes señalados establecen que </w:t>
      </w:r>
      <w:r w:rsidRPr="00EF5605">
        <w:rPr>
          <w:b/>
          <w:bCs/>
        </w:rPr>
        <w:t>los Sujetos Obligados se encuentran constreñidos a entregar la Información Pública solicitada por los particulares</w:t>
      </w:r>
      <w:r w:rsidRPr="00EF5605">
        <w:t xml:space="preserve"> y que ésta misma se encuentre en sus archivos o que obre en su posesión, </w:t>
      </w:r>
      <w:r w:rsidRPr="00EF5605">
        <w:rPr>
          <w:b/>
          <w:bCs/>
        </w:rPr>
        <w:t>privilegiando en todo momento el principio de máxima publicidad,</w:t>
      </w:r>
      <w:r w:rsidRPr="00EF5605">
        <w:t xml:space="preserve"> sin generarla, procesarla, resumirla, ni presentarla conforme al interés del solicitante. </w:t>
      </w:r>
    </w:p>
    <w:p w14:paraId="2C542F8C" w14:textId="77777777" w:rsidR="005B0156" w:rsidRPr="00EF5605" w:rsidRDefault="000932BF">
      <w:pPr>
        <w:spacing w:after="240"/>
      </w:pPr>
      <w:r w:rsidRPr="00EF5605">
        <w:t xml:space="preserve">Queda de manifiesto entonces que, </w:t>
      </w:r>
      <w:r w:rsidRPr="00EF5605">
        <w:rPr>
          <w:b/>
          <w:bCs/>
        </w:rPr>
        <w:t>se considera Información Pública al conjunto de datos que posee cualquier autoridad, obtenidos en virtud del ejercicio de sus funciones de derecho público</w:t>
      </w:r>
      <w:r w:rsidRPr="00EF5605">
        <w:t>; criterio que ha sostenido el más alto tribunal jurisdiccional del país; es decir, la Suprema Corte de Justicia de la Nación, quien en la tesis 2a. LXXXVIII/2010, sustentada por la Segunda Sala, publicada en el Semanario Judicial de la Federación y su Gaceta, Novena Época, tomo XXXII, agosto de 2010, página 463, con el siguiente contenido:</w:t>
      </w:r>
    </w:p>
    <w:p w14:paraId="34B0D172" w14:textId="77777777" w:rsidR="005B0156" w:rsidRPr="00EF5605" w:rsidRDefault="000932BF">
      <w:pPr>
        <w:pStyle w:val="Puesto"/>
        <w:tabs>
          <w:tab w:val="left" w:pos="8222"/>
        </w:tabs>
        <w:ind w:left="851" w:right="822" w:firstLine="0"/>
      </w:pPr>
      <w:r w:rsidRPr="00EF5605">
        <w:t>“</w:t>
      </w:r>
      <w:r w:rsidRPr="00EF5605">
        <w:rPr>
          <w:b/>
          <w:bCs/>
        </w:rPr>
        <w:t>INFORMACIÓN PÚBLICA. ES AQUELLA QUE SE ENCUENTRA EN POSESIÓN DE CUALQUIER AUTORIDAD, ENTIDAD, ÓRGANO Y ORGANISMO FEDERAL, ESTATAL Y MUNICIPAL, SIEMPRE QUE SE HAYA OBTENIDO POR CAUSA DEL EJERCICIO DE FUNCIONES DE DERECHO PÚBLICO</w:t>
      </w:r>
      <w:r w:rsidRPr="00EF5605">
        <w:t xml:space="preserve">. Dentro de un Estado constitucional los representantes están al servicio de la sociedad y no ésta al servicio de los gobernantes, de donde se sigue la regla general consistente en que los poderes públicos no están autorizados para mantener secretos y reservas frente a los ciudadanos en el ejercicio de las funciones estatales que están llamados a cumplir, salvo las excepciones previstas en la ley, que operan cuando la revelación de datos pueda afectar la intimidad, la privacidad y la seguridad de las personas. En ese tenor, Información Pública es el </w:t>
      </w:r>
      <w:r w:rsidRPr="00EF5605">
        <w:lastRenderedPageBreak/>
        <w:t>conjunto de datos de autoridades o particulares en posesión de cualquier autoridad, entidad, órgano y organismo federal, estatal y municipal, obtenidos por causa del ejercicio de funciones de derecho público, considerando que en este ámbito de actuación rige la obligación de éstos de rendir cuentas y transparentar sus acciones frente a la sociedad, en términos del artículo 6o., fracción I, de la Constitución Política de los Estados Unidos Mexicanos, en relación con los numerales 1, 2, 4 y 6 de la Ley Federal de Transparencia y Acceso a la Información Pública Gubernamental” (Sic)</w:t>
      </w:r>
    </w:p>
    <w:p w14:paraId="7E5FD61B" w14:textId="77777777" w:rsidR="005B0156" w:rsidRPr="00EF5605" w:rsidRDefault="005B0156"/>
    <w:p w14:paraId="3DA5C5E4" w14:textId="77777777" w:rsidR="005B0156" w:rsidRPr="00EF5605" w:rsidRDefault="000932BF">
      <w:r w:rsidRPr="00EF5605">
        <w:t>Asimismo, el artículo 24 de la Ley de la materia, señala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a toda persona el derecho de acceso a la Información Pública.</w:t>
      </w:r>
    </w:p>
    <w:p w14:paraId="1BA58DE1" w14:textId="77777777" w:rsidR="005B0156" w:rsidRPr="00EF5605" w:rsidRDefault="005B0156"/>
    <w:p w14:paraId="3940A03E" w14:textId="77777777" w:rsidR="005B0156" w:rsidRPr="00EF5605" w:rsidRDefault="000932BF">
      <w:pPr>
        <w:spacing w:after="240"/>
      </w:pPr>
      <w:r w:rsidRPr="00EF5605">
        <w:t>En esta misma tesitura, es de subrayar que el derecho de acceso a la Información Pública, consiste en que la información solicitada conste en un soporte documental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dispone lo siguiente:</w:t>
      </w:r>
    </w:p>
    <w:p w14:paraId="7F504A81" w14:textId="77777777" w:rsidR="005B0156" w:rsidRPr="00EF5605" w:rsidRDefault="000932BF">
      <w:pPr>
        <w:pStyle w:val="Puesto"/>
        <w:ind w:left="851" w:right="822" w:firstLine="0"/>
      </w:pPr>
      <w:r w:rsidRPr="00EF5605">
        <w:t>“</w:t>
      </w:r>
      <w:r w:rsidRPr="00EF5605">
        <w:rPr>
          <w:b/>
          <w:bCs/>
        </w:rPr>
        <w:t xml:space="preserve">Artículo 3. </w:t>
      </w:r>
      <w:r w:rsidRPr="00EF5605">
        <w:t>Para los efectos de la presente Ley se entenderá por:</w:t>
      </w:r>
    </w:p>
    <w:p w14:paraId="46472ADA" w14:textId="77777777" w:rsidR="005B0156" w:rsidRPr="00EF5605" w:rsidRDefault="000932BF">
      <w:pPr>
        <w:pStyle w:val="Puesto"/>
        <w:spacing w:after="240"/>
        <w:ind w:left="851" w:right="822" w:firstLine="0"/>
      </w:pPr>
      <w:r w:rsidRPr="00EF5605">
        <w:rPr>
          <w:b/>
          <w:bCs/>
        </w:rPr>
        <w:t>XI. Documento:</w:t>
      </w:r>
      <w:r w:rsidRPr="00EF5605">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w:t>
      </w:r>
      <w:r w:rsidRPr="00EF5605">
        <w:lastRenderedPageBreak/>
        <w:t>elaboración. Los documentos podrán estar en cualquier medio, sea escrito, impreso, sonoro, visual, electrónico, informático u holográfico;”</w:t>
      </w:r>
    </w:p>
    <w:p w14:paraId="3343CDEE" w14:textId="77777777" w:rsidR="005B0156" w:rsidRPr="00EF5605" w:rsidRDefault="000932BF">
      <w:pPr>
        <w:spacing w:after="240"/>
      </w:pPr>
      <w:r w:rsidRPr="00EF5605">
        <w:t>En el caso que nos ocupa es aplicable el criterio 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dispone:</w:t>
      </w:r>
    </w:p>
    <w:p w14:paraId="4B3FEA0B" w14:textId="77777777" w:rsidR="005B0156" w:rsidRPr="00EF5605" w:rsidRDefault="000932BF">
      <w:pPr>
        <w:pStyle w:val="Puesto"/>
        <w:ind w:left="851" w:right="822" w:firstLine="0"/>
        <w:jc w:val="center"/>
        <w:rPr>
          <w:b/>
          <w:bCs/>
        </w:rPr>
      </w:pPr>
      <w:r w:rsidRPr="00EF5605">
        <w:t>“</w:t>
      </w:r>
      <w:r w:rsidRPr="00EF5605">
        <w:rPr>
          <w:b/>
          <w:bCs/>
        </w:rPr>
        <w:t>CRITERIO 0002-11</w:t>
      </w:r>
    </w:p>
    <w:p w14:paraId="6E0285E1" w14:textId="77777777" w:rsidR="005B0156" w:rsidRPr="00EF5605" w:rsidRDefault="000932BF">
      <w:pPr>
        <w:pStyle w:val="Puesto"/>
        <w:ind w:left="851" w:right="822" w:firstLine="0"/>
      </w:pPr>
      <w:r w:rsidRPr="00EF5605">
        <w:rPr>
          <w:b/>
          <w:bCs/>
        </w:rPr>
        <w:t xml:space="preserve">INFORMACIÓN PÚBLICA, CONCEPTO DE, EN MATERIA DE TRANSPARENCIA. INTERPRETACIÓN SISTEMÁTICA DE LOS ARTÍCULOS 2°, FRACCIÓN V, XV, Y XVI, 3°, 4°, 11 Y 41. </w:t>
      </w:r>
      <w:r w:rsidRPr="00EF5605">
        <w:t>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71D6F96D" w14:textId="77777777" w:rsidR="005B0156" w:rsidRPr="00EF5605" w:rsidRDefault="000932BF">
      <w:pPr>
        <w:pStyle w:val="Puesto"/>
        <w:ind w:left="851" w:right="822" w:firstLine="0"/>
      </w:pPr>
      <w:r w:rsidRPr="00EF5605">
        <w:t>En consecuencia, el acceso a la información se refiere a que se cumplan cualquiera de los siguientes tres supuestos:</w:t>
      </w:r>
    </w:p>
    <w:p w14:paraId="5F2BD1FE" w14:textId="77777777" w:rsidR="005B0156" w:rsidRPr="00EF5605" w:rsidRDefault="000932BF">
      <w:pPr>
        <w:pStyle w:val="Puesto"/>
        <w:ind w:left="851" w:right="822" w:firstLine="0"/>
        <w:rPr>
          <w:b/>
          <w:bCs/>
        </w:rPr>
      </w:pPr>
      <w:r w:rsidRPr="00EF5605">
        <w:rPr>
          <w:b/>
          <w:bCs/>
        </w:rPr>
        <w:t>1) Que se trate de información registrada en cualquier soporte documental, que, en ejercicio de las atribuciones conferidas, sea generada por los Sujetos Obligados;</w:t>
      </w:r>
    </w:p>
    <w:p w14:paraId="2F23DFCE" w14:textId="77777777" w:rsidR="005B0156" w:rsidRPr="00EF5605" w:rsidRDefault="000932BF">
      <w:pPr>
        <w:pStyle w:val="Puesto"/>
        <w:ind w:left="851" w:right="822" w:firstLine="0"/>
      </w:pPr>
      <w:r w:rsidRPr="00EF5605">
        <w:t xml:space="preserve">2) Que se trate de </w:t>
      </w:r>
      <w:r w:rsidRPr="00EF5605">
        <w:rPr>
          <w:b/>
          <w:bCs/>
        </w:rPr>
        <w:t>información</w:t>
      </w:r>
      <w:r w:rsidRPr="00EF5605">
        <w:t xml:space="preserve"> registrada en cualquier soporte documental, que, en ejercicio de las atribuciones conferidas, sea administrada por los Sujetos Obligados, y</w:t>
      </w:r>
    </w:p>
    <w:p w14:paraId="0E4DB635" w14:textId="77777777" w:rsidR="005B0156" w:rsidRPr="00EF5605" w:rsidRDefault="000932BF">
      <w:pPr>
        <w:pStyle w:val="Puesto"/>
        <w:ind w:left="851" w:right="822" w:firstLine="0"/>
      </w:pPr>
      <w:r w:rsidRPr="00EF5605">
        <w:t xml:space="preserve">3) Que se trate de información registrada en cualquier soporte documental, que, en ejercicio de las atribuciones conferidas, se encuentre en posesión de los Sujetos Obligados.” (Sic) </w:t>
      </w:r>
    </w:p>
    <w:p w14:paraId="5653D6F6" w14:textId="77777777" w:rsidR="005B0156" w:rsidRPr="00EF5605" w:rsidRDefault="000932BF">
      <w:pPr>
        <w:pStyle w:val="Puesto"/>
        <w:spacing w:after="240"/>
        <w:ind w:left="851" w:right="822" w:firstLine="0"/>
      </w:pPr>
      <w:r w:rsidRPr="00EF5605">
        <w:t>(Énfasis Añadido)</w:t>
      </w:r>
    </w:p>
    <w:p w14:paraId="696A6EAF" w14:textId="77777777" w:rsidR="005B0156" w:rsidRPr="00EF5605" w:rsidRDefault="000932BF">
      <w:pPr>
        <w:widowControl w:val="0"/>
      </w:pPr>
      <w:r w:rsidRPr="00EF5605">
        <w:t xml:space="preserve">Una vez precisado lo anterior, es importante destacar que los Sujetos Obligados deben contar con un área responsable para la atención de las solicitudes de información, a la que se le denominará Unidad de Transparencia; asimismo, tienen que designar a un responsable para atender esa área, además, de fungir como enlace entre éstos y los solicitantes. </w:t>
      </w:r>
    </w:p>
    <w:p w14:paraId="33252F2E" w14:textId="77777777" w:rsidR="005B0156" w:rsidRPr="00EF5605" w:rsidRDefault="005B0156">
      <w:pPr>
        <w:widowControl w:val="0"/>
      </w:pPr>
    </w:p>
    <w:p w14:paraId="348FB800" w14:textId="77777777" w:rsidR="005B0156" w:rsidRPr="00EF5605" w:rsidRDefault="000932BF">
      <w:pPr>
        <w:widowControl w:val="0"/>
        <w:tabs>
          <w:tab w:val="left" w:pos="1276"/>
        </w:tabs>
      </w:pPr>
      <w:r w:rsidRPr="00EF5605">
        <w:t>Bajo esa tesitura, se precisa que la ya mencionada Unidad de Transparencia es la encargada de tramitar internamente las solicitudes de información y tiene la responsabilidad de verificar, en cada caso, que la información no tenga el carácter de confidencial o reservada, en términos de los artículos 50 y 51 de la Ley de Transparencia local.</w:t>
      </w:r>
    </w:p>
    <w:p w14:paraId="0892AC00" w14:textId="77777777" w:rsidR="005B0156" w:rsidRPr="00EF5605" w:rsidRDefault="005B0156">
      <w:pPr>
        <w:widowControl w:val="0"/>
        <w:tabs>
          <w:tab w:val="left" w:pos="1276"/>
        </w:tabs>
      </w:pPr>
    </w:p>
    <w:p w14:paraId="7DDD20DC" w14:textId="77777777" w:rsidR="005B0156" w:rsidRPr="00EF5605" w:rsidRDefault="000932BF">
      <w:pPr>
        <w:widowControl w:val="0"/>
        <w:tabs>
          <w:tab w:val="left" w:pos="1276"/>
        </w:tabs>
      </w:pPr>
      <w:r w:rsidRPr="00EF5605">
        <w:t>Por su parte, el artículo 53, fracciones II, IV y V de la Ley antes citada,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2742A636" w14:textId="77777777" w:rsidR="005B0156" w:rsidRPr="00EF5605" w:rsidRDefault="005B0156">
      <w:pPr>
        <w:widowControl w:val="0"/>
        <w:tabs>
          <w:tab w:val="left" w:pos="1276"/>
        </w:tabs>
      </w:pPr>
    </w:p>
    <w:p w14:paraId="42EF3D0F" w14:textId="77777777" w:rsidR="005B0156" w:rsidRPr="00EF5605" w:rsidRDefault="000932BF">
      <w:r w:rsidRPr="00EF5605">
        <w:t>Asimismo, el diverso artículo 54 de la Ley de Transparencia local, establece que cuando algún área de los sujetos obligados se negara a colaborar con la Unidad de Transparencia, esta dará aviso al superior jerárquico para que le ordene realizar sin demora las acciones conducentes y en caso de que persista la negativa de colaboración, hará del conocimiento de la autoridad competente para que se inicie, en su caso, el procedimiento de responsabilidad respectivo.</w:t>
      </w:r>
    </w:p>
    <w:p w14:paraId="6F064150" w14:textId="77777777" w:rsidR="005B0156" w:rsidRPr="00EF5605" w:rsidRDefault="000932BF">
      <w:pPr>
        <w:widowControl w:val="0"/>
        <w:tabs>
          <w:tab w:val="left" w:pos="1276"/>
        </w:tabs>
      </w:pPr>
      <w:r w:rsidRPr="00EF5605">
        <w:t>De igual forma, el diverso artículo 59, fracciones I, II y III de la multicitada legislación en la materia establece que los servidores públicos habilitados deben localizar la información que requiera la Unidad de Transparencia; así como, proporcionara y apoyar en lo que ésta le requiera para el cumplimiento de sus funciones.</w:t>
      </w:r>
    </w:p>
    <w:p w14:paraId="5E04843C" w14:textId="77777777" w:rsidR="005B0156" w:rsidRPr="00EF5605" w:rsidRDefault="005B0156">
      <w:pPr>
        <w:widowControl w:val="0"/>
        <w:tabs>
          <w:tab w:val="left" w:pos="1276"/>
        </w:tabs>
      </w:pPr>
    </w:p>
    <w:p w14:paraId="6E51DA78" w14:textId="77777777" w:rsidR="005B0156" w:rsidRPr="00EF5605" w:rsidRDefault="000932BF">
      <w:r w:rsidRPr="00EF5605">
        <w:t xml:space="preserve">Finalmente, se destaca que de conformidad con el artículo 163 de la legislación en materia de transparencia ya citada, se desprende que la Unidad de Transparencia debe notificar la respuesta a las solicitudes de acceso a la información, en el menor tiempo posible, el cual no podrá exceder de quince días hábiles, tendiendo como excepción al plazo referido, una </w:t>
      </w:r>
      <w:r w:rsidRPr="00EF5605">
        <w:lastRenderedPageBreak/>
        <w:t xml:space="preserve">prórroga de hasta siete días hábiles adicionales, siempre y cuando existan razones fundadas y motivadas, las cuales deberán ser aprobadas por el Comité de Transparencia. </w:t>
      </w:r>
    </w:p>
    <w:p w14:paraId="55372447" w14:textId="77777777" w:rsidR="005B0156" w:rsidRPr="00EF5605" w:rsidRDefault="005B0156"/>
    <w:p w14:paraId="3F77AD35" w14:textId="77777777" w:rsidR="005B0156" w:rsidRPr="00EF5605" w:rsidRDefault="000932BF">
      <w:r w:rsidRPr="00EF5605">
        <w:t>Situación que en la especie no aconteció, para lo cual sirve de sustento el precepto legal en cita:</w:t>
      </w:r>
    </w:p>
    <w:p w14:paraId="6D3C95EE" w14:textId="77777777" w:rsidR="005B0156" w:rsidRPr="00EF5605" w:rsidRDefault="000932BF">
      <w:pPr>
        <w:pStyle w:val="Puesto"/>
        <w:ind w:left="851" w:right="822" w:firstLine="0"/>
        <w:rPr>
          <w:b/>
          <w:bCs/>
        </w:rPr>
      </w:pPr>
      <w:r w:rsidRPr="00EF5605">
        <w:t>“</w:t>
      </w:r>
      <w:r w:rsidRPr="00EF5605">
        <w:rPr>
          <w:b/>
          <w:bCs/>
        </w:rPr>
        <w:t xml:space="preserve">Artículo 163. La Unidad de Transparencia deberá notificar la respuesta a la solicitud al interesado en el menor tiempo posible, que no podrá exceder de quince días hábiles, contados a partir del día siguiente a la presentación de aquélla. </w:t>
      </w:r>
    </w:p>
    <w:p w14:paraId="4850B6D5" w14:textId="77777777" w:rsidR="005B0156" w:rsidRPr="00EF5605" w:rsidRDefault="000932BF">
      <w:pPr>
        <w:pStyle w:val="Puesto"/>
        <w:ind w:left="851" w:right="822" w:firstLine="0"/>
      </w:pPr>
      <w:r w:rsidRPr="00EF5605">
        <w:t xml:space="preserve">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 </w:t>
      </w:r>
    </w:p>
    <w:p w14:paraId="5B82EE75" w14:textId="77777777" w:rsidR="005B0156" w:rsidRPr="00EF5605" w:rsidRDefault="000932BF">
      <w:pPr>
        <w:pStyle w:val="Puesto"/>
        <w:spacing w:after="240"/>
        <w:ind w:left="851" w:right="822" w:firstLine="0"/>
      </w:pPr>
      <w:r w:rsidRPr="00EF5605">
        <w:t>(Énfasis añadido.)</w:t>
      </w:r>
    </w:p>
    <w:p w14:paraId="4902D99E" w14:textId="77777777" w:rsidR="005B0156" w:rsidRPr="00EF5605" w:rsidRDefault="000932BF">
      <w:pPr>
        <w:spacing w:after="240"/>
      </w:pPr>
      <w:r w:rsidRPr="00EF5605">
        <w:t>En mérito de lo expuesto, es claro que en este caso la Unidad de Transparencia incumplió la normatividad aplicable a la materia, puesto que no dio respuesta a la solicitud de acceso a la información que en el presente caso nos ocupa, limitando el derecho de acceso a la información, accionado por el particular.</w:t>
      </w:r>
    </w:p>
    <w:p w14:paraId="0D635772" w14:textId="77777777" w:rsidR="005B0156" w:rsidRPr="00EF5605" w:rsidRDefault="000932BF">
      <w:pPr>
        <w:spacing w:after="240"/>
      </w:pPr>
      <w:r w:rsidRPr="00EF5605">
        <w:t xml:space="preserve">Consecuentemente, este Instituto estima toral reiterar que, de conformidad con el artículo 150 de la Ley de Transparencia local, el procedimiento de acceso a la información es la garantía primaria del derecho en cuestión y se rige por los principios de simplicidad, rapidez gratuidad del procedimiento, auxilio y orientación a los particulares; así como, atención adecuada a las personas con discapacidad y a los hablantes de lengua indígena con el objeto de otorgar la protección más amplia del derecho de las personas. </w:t>
      </w:r>
    </w:p>
    <w:p w14:paraId="371E6A1C" w14:textId="77777777" w:rsidR="005B0156" w:rsidRPr="00EF5605" w:rsidRDefault="000932BF">
      <w:pPr>
        <w:spacing w:after="240"/>
      </w:pPr>
      <w:r w:rsidRPr="00EF5605">
        <w:lastRenderedPageBreak/>
        <w:t xml:space="preserve">Por ello, esta Autoridad como órgano garante del derecho de Acceso a la Información estima que lo procedente es ordenar al </w:t>
      </w:r>
      <w:r w:rsidRPr="00EF5605">
        <w:rPr>
          <w:b/>
          <w:bCs/>
        </w:rPr>
        <w:t>SUJETO OBLIGADO</w:t>
      </w:r>
      <w:r w:rsidRPr="00EF5605">
        <w:t xml:space="preserve"> dé tramité y respuesta a la solicitud del particular.</w:t>
      </w:r>
    </w:p>
    <w:p w14:paraId="24D988C5" w14:textId="77777777" w:rsidR="005B0156" w:rsidRPr="00EF5605" w:rsidRDefault="000932BF">
      <w:r w:rsidRPr="00EF5605">
        <w:t xml:space="preserve">Aunado a lo anterior, este Instituto estima importante referir lo que dispone el artículo 172, último párrafo de la Ley de Transparencia local, el cual refiere que los argumentos para justificar cualquier negativa de acceso a la información deben recaer en </w:t>
      </w:r>
      <w:r w:rsidRPr="00EF5605">
        <w:rPr>
          <w:b/>
          <w:bCs/>
        </w:rPr>
        <w:t>EL SUJETO OBLIGADO</w:t>
      </w:r>
      <w:r w:rsidRPr="00EF5605">
        <w:t>; por lo que, en caso de no atender de manera positiva</w:t>
      </w:r>
      <w:r w:rsidRPr="00EF5605">
        <w:rPr>
          <w:vertAlign w:val="superscript"/>
        </w:rPr>
        <w:footnoteReference w:id="2"/>
      </w:r>
      <w:r w:rsidRPr="00EF5605">
        <w:t>, el requerimiento de información deberá manifestarse al respecto.</w:t>
      </w:r>
    </w:p>
    <w:p w14:paraId="4860A3D0" w14:textId="77777777" w:rsidR="005B0156" w:rsidRPr="00EF5605" w:rsidRDefault="005B0156"/>
    <w:p w14:paraId="3E794FE2" w14:textId="77777777" w:rsidR="005B0156" w:rsidRPr="00EF5605" w:rsidRDefault="000932BF">
      <w:pPr>
        <w:pStyle w:val="Ttulo3"/>
      </w:pPr>
      <w:bookmarkStart w:id="25" w:name="_heading=h.jzrcjddci0t7" w:colFirst="0" w:colLast="0"/>
      <w:bookmarkEnd w:id="25"/>
      <w:r w:rsidRPr="00EF5605">
        <w:t>d) Versión Pública</w:t>
      </w:r>
    </w:p>
    <w:p w14:paraId="4EFA6B77" w14:textId="77777777" w:rsidR="005B0156" w:rsidRPr="00EF5605" w:rsidRDefault="000932BF">
      <w:r w:rsidRPr="00EF5605">
        <w:t xml:space="preserve">Ahora bien, en atención al sentido en que se resuelve el presente medio de impugnación, éste Órgano Garante no omite señalar que, si </w:t>
      </w:r>
      <w:r w:rsidRPr="00EF5605">
        <w:rPr>
          <w:b/>
          <w:bCs/>
        </w:rPr>
        <w:t>EL SUJETO OBLIGADO</w:t>
      </w:r>
      <w:r w:rsidRPr="00EF5605">
        <w:t xml:space="preserve"> advierte que dentro de la información solicitada contiene datos personales que sean susceptibles de ser clasificados como confidenciales, deberá entregar la información de mérito en versión pública y emitir el Acuerdo de Clasificación en el que se sustenten dichas versiones públicas, en atención al ordinal 122 y 143 de la Ley de la materia y observando los Lineamientos Generales en materia de Clasificación y Desclasificación de la Información, así como para la elaboración de Versiones Públicas.</w:t>
      </w:r>
    </w:p>
    <w:p w14:paraId="77F99050" w14:textId="77777777" w:rsidR="005B0156" w:rsidRPr="00EF5605" w:rsidRDefault="005B0156"/>
    <w:p w14:paraId="3C225655" w14:textId="77777777" w:rsidR="005B0156" w:rsidRPr="00EF5605" w:rsidRDefault="000932BF">
      <w:pPr>
        <w:ind w:right="51"/>
      </w:pPr>
      <w:r w:rsidRPr="00EF5605">
        <w:t xml:space="preserve">En ese sentido, es de precisar que la clasificación de la información no se da por el simple mandato de la Ley, sino que es necesario que </w:t>
      </w:r>
      <w:r w:rsidRPr="00EF5605">
        <w:rPr>
          <w:b/>
          <w:bCs/>
        </w:rPr>
        <w:t xml:space="preserve">EL SUJETO OBLIGADO </w:t>
      </w:r>
      <w:r w:rsidRPr="00EF5605">
        <w:t xml:space="preserve">cuando clasifique algún documento o información, ya sea todo o en parte, debe atender lo dispuesto por la Ley de la materia, ya que dicha clasificación es un trabajo en conjunto tanto de los servidores </w:t>
      </w:r>
      <w:r w:rsidRPr="00EF5605">
        <w:lastRenderedPageBreak/>
        <w:t xml:space="preserve">públicos habilitados, de las Unidades de Transparencia y del Comité de Transparencia del </w:t>
      </w:r>
      <w:r w:rsidRPr="00EF5605">
        <w:rPr>
          <w:b/>
          <w:bCs/>
        </w:rPr>
        <w:t>SUJETO OBLIGADO</w:t>
      </w:r>
      <w:r w:rsidRPr="00EF5605">
        <w:t>, teniendo el deber de presentar ante la Unidad de Transparencia la propuesta de clasificación de la información, para que luego ésta se exhiba ante al Comité de Transparencia y, en su caso, de resultar procedente el proyecto de clasificación de la información sea éste último quien apruebe, modifique o revoque la misma, de manera fundada y motivada, en atención a lo previsto en el artículo 143 de la Constitución Política del Estado Libre y Soberano de México.</w:t>
      </w:r>
    </w:p>
    <w:p w14:paraId="0C56CBBB" w14:textId="77777777" w:rsidR="005B0156" w:rsidRPr="00EF5605" w:rsidRDefault="005B0156">
      <w:pPr>
        <w:ind w:right="51"/>
      </w:pPr>
    </w:p>
    <w:p w14:paraId="78D27808" w14:textId="77777777" w:rsidR="005B0156" w:rsidRPr="00EF5605" w:rsidRDefault="000932BF">
      <w:r w:rsidRPr="00EF5605">
        <w:t xml:space="preserve">Así las cosas, dentro de los datos personales que pudieran contenerse se destacan los datos personales sensibles, los cuales son aquellos referentes de la esfera de su titular cuya utilización indebida pueda dar origen a discriminación o conlleve un riesgo grave para éste. </w:t>
      </w:r>
    </w:p>
    <w:p w14:paraId="3D53C677" w14:textId="77777777" w:rsidR="005B0156" w:rsidRPr="00EF5605" w:rsidRDefault="005B0156"/>
    <w:p w14:paraId="51F18AF0" w14:textId="77777777" w:rsidR="005B0156" w:rsidRPr="00EF5605" w:rsidRDefault="000932BF">
      <w:r w:rsidRPr="00EF5605">
        <w:t>De manera enunciativa más no limitativa, se consideran sensibles los datos personales que puedan revelar aspectos como origen racial o étnico, estado de salud física o mental, presente o futura, información genética, creencias religiosas, filosóficas y morales, opiniones políticas y preferencia sexual, de conformidad con el artículo 4, fracción XII de la Ley de Protección de Datos Personales en Posesión de Sujetos Obligados del Estado de México y Municipios.</w:t>
      </w:r>
    </w:p>
    <w:p w14:paraId="3A6BEC82" w14:textId="77777777" w:rsidR="005B0156" w:rsidRPr="00EF5605" w:rsidRDefault="005B0156"/>
    <w:p w14:paraId="595D1077" w14:textId="77777777" w:rsidR="005B0156" w:rsidRPr="00EF5605" w:rsidRDefault="000932BF">
      <w:r w:rsidRPr="00EF5605">
        <w:t>Con base en lo anterior, el artículo 7 de la Ley de Protección de Datos Personales en Posesión de Sujetos Obligados del Estado de México y Municipios establece puntualmente que los datos personales sensibles y de naturaleza análoga en términos de las disposiciones legales aplicables estarán especialmente protegidos con medidas de seguridad de alto nivel.</w:t>
      </w:r>
    </w:p>
    <w:p w14:paraId="624D8BE1" w14:textId="77777777" w:rsidR="005B0156" w:rsidRPr="00EF5605" w:rsidRDefault="005B0156"/>
    <w:p w14:paraId="53FC3118" w14:textId="77777777" w:rsidR="005B0156" w:rsidRPr="00EF5605" w:rsidRDefault="000932BF">
      <w:r w:rsidRPr="00EF5605">
        <w:t xml:space="preserve">Por otra parte, este Órgano Garante no omite mencionar que, si </w:t>
      </w:r>
      <w:r w:rsidRPr="00EF5605">
        <w:rPr>
          <w:b/>
          <w:bCs/>
        </w:rPr>
        <w:t>EL SUJETO OBLIGADO</w:t>
      </w:r>
      <w:r w:rsidRPr="00EF5605">
        <w:t xml:space="preserve"> advierte información que, por su propia y especial naturaleza, encuadre en alguno de los </w:t>
      </w:r>
      <w:r w:rsidRPr="00EF5605">
        <w:lastRenderedPageBreak/>
        <w:t xml:space="preserve">supuestos de reserva que enmarca la Ley de Transparencia local deberá efectuar la clasificación correspondiente, debidamente fundada y motivada. </w:t>
      </w:r>
    </w:p>
    <w:p w14:paraId="0CF45750" w14:textId="77777777" w:rsidR="005B0156" w:rsidRPr="00EF5605" w:rsidRDefault="005B0156"/>
    <w:p w14:paraId="14C659A1" w14:textId="77777777" w:rsidR="005B0156" w:rsidRPr="00EF5605" w:rsidRDefault="000932BF">
      <w:r w:rsidRPr="00EF5605">
        <w:t>En términos de las hipótesis previstas en el numeral 140 de la Ley de Transparencia local; así como, en términos de lo dispuesto por los Lineamientos Generales en Materia de Clasificación y Desclasificación de la Información, para la elaboración de Versiones Públicas.</w:t>
      </w:r>
    </w:p>
    <w:p w14:paraId="1869267E" w14:textId="77777777" w:rsidR="005B0156" w:rsidRPr="00EF5605" w:rsidRDefault="005B0156"/>
    <w:p w14:paraId="14F681AC" w14:textId="77777777" w:rsidR="005B0156" w:rsidRPr="00EF5605" w:rsidRDefault="000932BF">
      <w:r w:rsidRPr="00EF5605">
        <w:t xml:space="preserve">Lo anterior, sin perder de vista que la Constitución Política de los Estados Unidos Mexicanos otorga a </w:t>
      </w:r>
      <w:r w:rsidRPr="00EF5605">
        <w:rPr>
          <w:b/>
          <w:bCs/>
        </w:rPr>
        <w:t>todos los documentos</w:t>
      </w:r>
      <w:r w:rsidRPr="00EF5605">
        <w:t xml:space="preserve"> en posesión de las autoridades </w:t>
      </w:r>
      <w:r w:rsidRPr="00EF5605">
        <w:rPr>
          <w:b/>
          <w:bCs/>
        </w:rPr>
        <w:t>la calidad de públicos</w:t>
      </w:r>
      <w:r w:rsidRPr="00EF5605">
        <w:t xml:space="preserve"> y únicamente pueden ser reservados temporalmente por razones de interés público y en los términos expresamente señalados en la Ley, es decir, el derecho de acceso a la Información Pública no es absoluto pero su restricción debe estar sujeta a un sistema rígido de excepciones, en el que los Sujetos Obligados deben fundamentar y argumentar las causas de interés público que se ponen en riesgo al liberarse la información, señalando un plazo justificado para la reserva de la información.</w:t>
      </w:r>
    </w:p>
    <w:p w14:paraId="4FD96B6A" w14:textId="77777777" w:rsidR="005B0156" w:rsidRPr="00EF5605" w:rsidRDefault="005B0156"/>
    <w:p w14:paraId="62FAA9BB" w14:textId="77777777" w:rsidR="005B0156" w:rsidRPr="00EF5605" w:rsidRDefault="000932BF">
      <w:r w:rsidRPr="00EF5605">
        <w:t xml:space="preserve">Es pertinente aclarar que, la información que se clasifica bajo la premisa de reservada </w:t>
      </w:r>
      <w:r w:rsidRPr="00EF5605">
        <w:rPr>
          <w:b/>
          <w:bCs/>
        </w:rPr>
        <w:t>no pierde el carácter de pública</w:t>
      </w:r>
      <w:r w:rsidRPr="00EF5605">
        <w:t xml:space="preserve">, sino que </w:t>
      </w:r>
      <w:r w:rsidRPr="00EF5605">
        <w:rPr>
          <w:b/>
          <w:bCs/>
        </w:rPr>
        <w:t>se reserva temporalmente</w:t>
      </w:r>
      <w:r w:rsidRPr="00EF5605">
        <w:t xml:space="preserve"> </w:t>
      </w:r>
      <w:r w:rsidRPr="00EF5605">
        <w:rPr>
          <w:b/>
          <w:bCs/>
        </w:rPr>
        <w:t>del conocimiento público</w:t>
      </w:r>
      <w:r w:rsidRPr="00EF5605">
        <w:t xml:space="preserve">, es decir, que, </w:t>
      </w:r>
      <w:r w:rsidRPr="00EF5605">
        <w:rPr>
          <w:b/>
          <w:bCs/>
        </w:rPr>
        <w:t>por un tiempo determinado</w:t>
      </w:r>
      <w:r w:rsidRPr="00EF5605">
        <w:t>, se conservará y custodiará la información de manera especial, y una vez transcurrido el plazo de reserva, el documento podrá divulgarse.</w:t>
      </w:r>
    </w:p>
    <w:p w14:paraId="454E5E2C" w14:textId="77777777" w:rsidR="005B0156" w:rsidRPr="00EF5605" w:rsidRDefault="000932BF">
      <w:r w:rsidRPr="00EF5605">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6A7FA5C2" w14:textId="77777777" w:rsidR="005B0156" w:rsidRPr="00EF5605" w:rsidRDefault="005B0156"/>
    <w:p w14:paraId="3E06F345" w14:textId="77777777" w:rsidR="005B0156" w:rsidRPr="00EF5605" w:rsidRDefault="000932BF">
      <w:pPr>
        <w:spacing w:after="240"/>
      </w:pPr>
      <w:r w:rsidRPr="00EF5605">
        <w:lastRenderedPageBreak/>
        <w:t>Lo anterior encuentra sustento en la Tesis de la Décima Época, publicada en la Gaceta del Semanario Judicial de la Federación, sección Tribunales Colegiados de Circuito, Libro 5, de fecha abril de 2014, pág. 1523, Registro, 2,006,299. I.1o.A.E.3 K (10a.), que literalmente señala:</w:t>
      </w:r>
    </w:p>
    <w:p w14:paraId="2BAF7835" w14:textId="77777777" w:rsidR="005B0156" w:rsidRPr="00EF5605" w:rsidRDefault="000932BF">
      <w:pPr>
        <w:pStyle w:val="Puesto"/>
        <w:ind w:left="851" w:right="822" w:firstLine="0"/>
      </w:pPr>
      <w:r w:rsidRPr="00EF5605">
        <w:t>“</w:t>
      </w:r>
      <w:r w:rsidRPr="00EF5605">
        <w:rPr>
          <w:b/>
          <w:bCs/>
        </w:rPr>
        <w:t xml:space="preserve">INFORMACIÓN RESERVADA. APLICACIÓN DE LA "PRUEBA DE DAÑO E INTERÉS PÚBLICO" PARA DETERMINAR LO ADECUADO DE LA APORTADA CON ESA CLASIFICACIÓN EN EL JUICIO DE AMPARO POR LA AUTORIDAD RESPONSABLE, A EFECTO DE HACER VIABLE LA DEFENSA EFECTIVA DEL QUEJOSO. </w:t>
      </w:r>
      <w:r w:rsidRPr="00EF5605">
        <w:t>Una adecuada clasificación de la Información Pública debe tomar en cuenta y distinguir, en el contexto general de un documento, cuál es la específica y precisa, cuya divulgación puede generar un daño desproporcionado o innecesario a valores jurídicamente protegidos, lo cual debe evitarse, en la medida de lo posible, frente a aquella que debe ser accesible al quejoso en el amparo para hacer viable su defensa efectiva y cuestionar violaciones a derechos fundamentales, lo que implica un interés público en abrir o desclasificar la información necesaria para ese efecto, cuando la autoridad responsable que la aporta al juicio la clasifica como reservada. Por tanto, es necesario distinguir esas diferencias y formular una idónea y adecuada clasificación de la información, generando así una regla individualizada y pertinente para el caso, a través de aplicar la "prueba de daño e interés público" ex officio, con el propósito de obtener una versión que sea pública para la parte interesada.” (Sic)</w:t>
      </w:r>
    </w:p>
    <w:p w14:paraId="05A35071" w14:textId="77777777" w:rsidR="005B0156" w:rsidRPr="00EF5605" w:rsidRDefault="005B0156">
      <w:pPr>
        <w:ind w:left="851" w:right="902"/>
        <w:rPr>
          <w:i/>
          <w:iCs/>
        </w:rPr>
      </w:pPr>
    </w:p>
    <w:p w14:paraId="6551A197" w14:textId="77777777" w:rsidR="005B0156" w:rsidRPr="00EF5605" w:rsidRDefault="000932BF">
      <w:r w:rsidRPr="00EF5605">
        <w:t xml:space="preserve">Lo que antecede, respecto de la reserva de la información implica una clasificación, que debe entenderse como el proceso mediante el cual </w:t>
      </w:r>
      <w:r w:rsidRPr="00EF5605">
        <w:rPr>
          <w:b/>
          <w:bCs/>
        </w:rPr>
        <w:t>EL SUJETO OBLIGADO</w:t>
      </w:r>
      <w:r w:rsidRPr="00EF5605">
        <w:t xml:space="preserve"> determina que la información en su poder actualiza alguno de los supuestos conforme a las normas aplicables.</w:t>
      </w:r>
    </w:p>
    <w:p w14:paraId="07B113F2" w14:textId="77777777" w:rsidR="005B0156" w:rsidRPr="00EF5605" w:rsidRDefault="000932BF">
      <w:r w:rsidRPr="00EF5605">
        <w:t xml:space="preserve">En tal virtud, conforme al artículo 49, fracción VIII de la Ley de Transparencia local, los Comités de Transparencia tienen la atribución de aprobar, modificar o revocar la clasificación de la información, mientras que, el artículo 128 de la misma Ley, indica que, en los casos en que se niegue el acceso a la información, por actualizarse alguno de los supuestos de clasificación, el Comité de Transparencia puede confirmar, modificar o revocar la decisión, que para motivar la clasificación de la información y la ampliación del plazo de reserva, se deberán de señalar las razones, motivos o circunstancias especiales que llevaron al </w:t>
      </w:r>
      <w:r w:rsidRPr="00EF5605">
        <w:rPr>
          <w:b/>
          <w:bCs/>
        </w:rPr>
        <w:t xml:space="preserve">SUJETO </w:t>
      </w:r>
      <w:r w:rsidRPr="00EF5605">
        <w:rPr>
          <w:b/>
          <w:bCs/>
        </w:rPr>
        <w:lastRenderedPageBreak/>
        <w:t>OBLIGADO</w:t>
      </w:r>
      <w:r w:rsidRPr="00EF5605">
        <w:t xml:space="preserve"> a concluir que el caso particular se ajusta al supuesto previsto por la norma legal invocada como fundamento; además, </w:t>
      </w:r>
      <w:r w:rsidRPr="00EF5605">
        <w:rPr>
          <w:b/>
          <w:bCs/>
        </w:rPr>
        <w:t>EL SUJETO OBLIGADO</w:t>
      </w:r>
      <w:r w:rsidRPr="00EF5605">
        <w:t xml:space="preserve"> en todo momento tiene que aplicar una prueba de daño.</w:t>
      </w:r>
    </w:p>
    <w:p w14:paraId="2F56E895" w14:textId="77777777" w:rsidR="005B0156" w:rsidRPr="00EF5605" w:rsidRDefault="005B0156"/>
    <w:p w14:paraId="3425626A" w14:textId="77777777" w:rsidR="005B0156" w:rsidRPr="00EF5605" w:rsidRDefault="000932BF">
      <w:r w:rsidRPr="00EF5605">
        <w:t>Dicho lo anterior, es necesario definir a la prueba de daño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por lo que, debe clasificarse como reservada.</w:t>
      </w:r>
    </w:p>
    <w:p w14:paraId="193D3E86" w14:textId="77777777" w:rsidR="005B0156" w:rsidRPr="00EF5605" w:rsidRDefault="005B0156"/>
    <w:p w14:paraId="5D944F21" w14:textId="77777777" w:rsidR="005B0156" w:rsidRPr="00EF5605" w:rsidRDefault="000932BF">
      <w:r w:rsidRPr="00EF5605">
        <w:t>De este modo, conforme al artículo 132 en correlación con el 49, fracción II de la Ley de Transparencia local, para clasificar la información se debe de atender a lo dispuesto por la normativa y aplicar, de manera estricta, las excepciones del derecho de acceso a la información y sólo podrán invocarlas cuando acrediten su procedencia, debiendo clasificar la información en el momento en que:</w:t>
      </w:r>
    </w:p>
    <w:p w14:paraId="1DAC8486" w14:textId="77777777" w:rsidR="005B0156" w:rsidRPr="00EF5605" w:rsidRDefault="005B0156"/>
    <w:p w14:paraId="7E64D2DB" w14:textId="77777777" w:rsidR="005B0156" w:rsidRPr="00EF5605" w:rsidRDefault="000932BF">
      <w:pPr>
        <w:numPr>
          <w:ilvl w:val="0"/>
          <w:numId w:val="1"/>
        </w:numPr>
        <w:ind w:left="1276" w:hanging="425"/>
      </w:pPr>
      <w:r w:rsidRPr="00EF5605">
        <w:t>Se reciba una solicitud de acceso a la información;</w:t>
      </w:r>
    </w:p>
    <w:p w14:paraId="7CFA1504" w14:textId="77777777" w:rsidR="005B0156" w:rsidRPr="00EF5605" w:rsidRDefault="000932BF">
      <w:pPr>
        <w:numPr>
          <w:ilvl w:val="0"/>
          <w:numId w:val="1"/>
        </w:numPr>
        <w:ind w:left="1276" w:hanging="425"/>
      </w:pPr>
      <w:r w:rsidRPr="00EF5605">
        <w:t>Se determine mediante resolución de autoridad competente; y/o</w:t>
      </w:r>
    </w:p>
    <w:p w14:paraId="2105253A" w14:textId="77777777" w:rsidR="005B0156" w:rsidRPr="00EF5605" w:rsidRDefault="000932BF">
      <w:pPr>
        <w:numPr>
          <w:ilvl w:val="0"/>
          <w:numId w:val="1"/>
        </w:numPr>
        <w:spacing w:after="240"/>
        <w:ind w:left="1276" w:hanging="425"/>
      </w:pPr>
      <w:r w:rsidRPr="00EF5605">
        <w:t>Se generen versiones públicas para dar cumplimiento a las obligaciones de transparencia previstas en la Ley.</w:t>
      </w:r>
    </w:p>
    <w:p w14:paraId="5D71F5C4" w14:textId="77777777" w:rsidR="005B0156" w:rsidRPr="00EF5605" w:rsidRDefault="000932BF">
      <w:r w:rsidRPr="00EF5605">
        <w:t>Situación que se robustece con el artículo 141 de la misma Ley, que señala que las causales de reserva previstas se deberán fundar y motivar, a través de la aplicación de la prueba de daño.</w:t>
      </w:r>
    </w:p>
    <w:p w14:paraId="77EE35EB" w14:textId="77777777" w:rsidR="005B0156" w:rsidRPr="00EF5605" w:rsidRDefault="000932BF">
      <w:pPr>
        <w:rPr>
          <w:sz w:val="24"/>
          <w:szCs w:val="24"/>
        </w:rPr>
      </w:pPr>
      <w:r w:rsidRPr="00EF5605">
        <w:t xml:space="preserve">Igualmente, la clasificación de la información debe estar sustentada en el Acuerdo de Clasificación correspondiente, en el que, de manera fundada y motivada, se establezcan las hipótesis normativas aplicables al caso concreto y se analice la prueba de daño que prevé el </w:t>
      </w:r>
      <w:r w:rsidRPr="00EF5605">
        <w:lastRenderedPageBreak/>
        <w:t xml:space="preserve">artículo 129 de la Ley de Transparencia local, para lo cual, los Sujetos Obligados deberán considerar que: </w:t>
      </w:r>
    </w:p>
    <w:p w14:paraId="089770C9" w14:textId="77777777" w:rsidR="005B0156" w:rsidRPr="00EF5605" w:rsidRDefault="005B0156">
      <w:pPr>
        <w:rPr>
          <w:sz w:val="18"/>
          <w:szCs w:val="18"/>
        </w:rPr>
      </w:pPr>
    </w:p>
    <w:p w14:paraId="34CE7E9A" w14:textId="77777777" w:rsidR="005B0156" w:rsidRPr="00EF5605" w:rsidRDefault="000932BF">
      <w:pPr>
        <w:numPr>
          <w:ilvl w:val="0"/>
          <w:numId w:val="2"/>
        </w:numPr>
        <w:ind w:left="1134" w:hanging="283"/>
        <w:rPr>
          <w:sz w:val="24"/>
          <w:szCs w:val="24"/>
        </w:rPr>
      </w:pPr>
      <w:r w:rsidRPr="00EF5605">
        <w:t xml:space="preserve">La divulgación de la información representa un </w:t>
      </w:r>
      <w:r w:rsidRPr="00EF5605">
        <w:rPr>
          <w:b/>
          <w:bCs/>
        </w:rPr>
        <w:t>riesgo real, demostrable e identificable del perjuicio significativo al interés público o a la seguridad pública</w:t>
      </w:r>
      <w:r w:rsidRPr="00EF5605">
        <w:t>;</w:t>
      </w:r>
    </w:p>
    <w:p w14:paraId="70DB9A88" w14:textId="77777777" w:rsidR="005B0156" w:rsidRPr="00EF5605" w:rsidRDefault="000932BF">
      <w:pPr>
        <w:numPr>
          <w:ilvl w:val="0"/>
          <w:numId w:val="2"/>
        </w:numPr>
        <w:ind w:left="1134" w:hanging="283"/>
      </w:pPr>
      <w:r w:rsidRPr="00EF5605">
        <w:t>El riesgo de perjuicio que supondría la divulgación supera el interés público general de que se difunda; y,</w:t>
      </w:r>
    </w:p>
    <w:p w14:paraId="33C44346" w14:textId="77777777" w:rsidR="005B0156" w:rsidRPr="00EF5605" w:rsidRDefault="000932BF">
      <w:pPr>
        <w:numPr>
          <w:ilvl w:val="0"/>
          <w:numId w:val="2"/>
        </w:numPr>
        <w:ind w:left="1134" w:hanging="283"/>
      </w:pPr>
      <w:r w:rsidRPr="00EF5605">
        <w:t xml:space="preserve">La limitación se adecua al principio de proporcionalidad y representa el medio menos restrictivo disponible para evitar el perjuicio. </w:t>
      </w:r>
    </w:p>
    <w:p w14:paraId="0B55B59D" w14:textId="77777777" w:rsidR="005B0156" w:rsidRPr="00EF5605" w:rsidRDefault="005B0156">
      <w:pPr>
        <w:ind w:left="1134"/>
      </w:pPr>
    </w:p>
    <w:p w14:paraId="72251210" w14:textId="77777777" w:rsidR="005B0156" w:rsidRPr="00EF5605" w:rsidRDefault="000932BF">
      <w:pPr>
        <w:widowControl w:val="0"/>
        <w:tabs>
          <w:tab w:val="left" w:pos="1276"/>
          <w:tab w:val="left" w:pos="1701"/>
          <w:tab w:val="left" w:pos="1843"/>
        </w:tabs>
        <w:ind w:right="49"/>
      </w:pPr>
      <w:r w:rsidRPr="00EF5605">
        <w:t>Atento a lo anterior, es necesario hacer hincapié que para el caso de que existan causas presentes que impiden la publicidad de la información durante cierto periodo de tiempo, debe clasificar la información como reservada, precisar las razones objetivas por las que la apertura de la información generaría una afectación, asimismo es claro que los mismos deben aplicar de manera restrictiva y limitada las hipótesis de clasificación y no hacerlas valer de manera general.</w:t>
      </w:r>
    </w:p>
    <w:p w14:paraId="1332DB56" w14:textId="77777777" w:rsidR="005B0156" w:rsidRPr="00EF5605" w:rsidRDefault="005B0156">
      <w:pPr>
        <w:widowControl w:val="0"/>
        <w:tabs>
          <w:tab w:val="left" w:pos="1276"/>
          <w:tab w:val="left" w:pos="1701"/>
          <w:tab w:val="left" w:pos="1843"/>
        </w:tabs>
        <w:ind w:right="49"/>
      </w:pPr>
    </w:p>
    <w:p w14:paraId="21153EE5" w14:textId="77777777" w:rsidR="005B0156" w:rsidRPr="00EF5605" w:rsidRDefault="000932BF">
      <w:r w:rsidRPr="00EF5605">
        <w:t xml:space="preserve">Asimismo, este Órgano Garante de la Protección de Datos Personales no omite mencionar que, si dentro de la información que se ordena su entrega, </w:t>
      </w:r>
      <w:r w:rsidRPr="00EF5605">
        <w:rPr>
          <w:b/>
          <w:bCs/>
        </w:rPr>
        <w:t xml:space="preserve">EL SUJETO OBLIGADO </w:t>
      </w:r>
      <w:r w:rsidRPr="00EF5605">
        <w:t>advierte documentos que por su propia y especial naturaleza son privados, deberá efectuar el Acuerdo de Clasificación como confidencial, en términos de la legislación aplicable y en los términos abordados con antelación.</w:t>
      </w:r>
    </w:p>
    <w:p w14:paraId="471AAA10" w14:textId="77777777" w:rsidR="005B0156" w:rsidRPr="00EF5605" w:rsidRDefault="005B0156"/>
    <w:p w14:paraId="64FAFD9A" w14:textId="77777777" w:rsidR="005B0156" w:rsidRPr="00EF5605" w:rsidRDefault="000932BF">
      <w:r w:rsidRPr="00EF5605">
        <w:lastRenderedPageBreak/>
        <w:t xml:space="preserve">Por lo tanto, es importante referir que </w:t>
      </w:r>
      <w:r w:rsidRPr="00EF5605">
        <w:rPr>
          <w:b/>
          <w:bCs/>
        </w:rPr>
        <w:t>EL SUJETO OBLIGADO</w:t>
      </w:r>
      <w:r w:rsidRPr="00EF5605">
        <w:t xml:space="preserve"> deberá seguir el procedimiento legal establecido para su clasificación, esto es, que su Comité de Transparencia emita un Acuerdo de Clasificación que cumpla con las formalidades antes citadas</w:t>
      </w:r>
      <w:r w:rsidRPr="00EF5605">
        <w:rPr>
          <w:b/>
          <w:bCs/>
        </w:rPr>
        <w:t xml:space="preserve"> </w:t>
      </w:r>
      <w:r w:rsidRPr="00EF5605">
        <w:t>que la sustente, en el que se expongan los fundamentos y razones que llevaron a la autoridad a clasificar la información, de lo contrario, implica dejar al solicitante en estado de incertidumbre, al no conocer o comprender las razones por las que se clasifica la documentación respectiva, es decir, si no se exponen de manera puntual las razones de ello se estaría violentando el Derecho de Acceso a la Información del solicitante.</w:t>
      </w:r>
    </w:p>
    <w:p w14:paraId="0BDFFC54" w14:textId="77777777" w:rsidR="005B0156" w:rsidRPr="00EF5605" w:rsidRDefault="005B0156"/>
    <w:p w14:paraId="2ADFCDE7" w14:textId="77777777" w:rsidR="005B0156" w:rsidRPr="00EF5605" w:rsidRDefault="000932BF">
      <w:pPr>
        <w:pStyle w:val="Ttulo3"/>
      </w:pPr>
      <w:bookmarkStart w:id="26" w:name="_heading=h.d1bvssvubzil" w:colFirst="0" w:colLast="0"/>
      <w:bookmarkEnd w:id="26"/>
      <w:r w:rsidRPr="00EF5605">
        <w:t>e) Acuerdo de Inexistencia</w:t>
      </w:r>
    </w:p>
    <w:p w14:paraId="66EAD0E9" w14:textId="77777777" w:rsidR="005B0156" w:rsidRPr="00EF5605" w:rsidRDefault="000932BF">
      <w:r w:rsidRPr="00EF5605">
        <w:t xml:space="preserve">Por otra parte, se estima prudente señalar al </w:t>
      </w:r>
      <w:r w:rsidRPr="00EF5605">
        <w:rPr>
          <w:b/>
          <w:bCs/>
        </w:rPr>
        <w:t>SUJETO OBLIGADO</w:t>
      </w:r>
      <w:r w:rsidRPr="00EF5605">
        <w:t xml:space="preserve"> que, en caso de que la información solicitada, debiera obrar en sus archivos y no cuente con ella, deberá entregar el Acuerdo del Comité de Transparencia, en donde conste la declaratoria de inexistencia de esta.</w:t>
      </w:r>
    </w:p>
    <w:p w14:paraId="595D6B1C" w14:textId="77777777" w:rsidR="005B0156" w:rsidRPr="00EF5605" w:rsidRDefault="000932BF">
      <w:r w:rsidRPr="00EF5605">
        <w:t>Es importante resaltar que los artículos 18 y 19 de la Ley de Transparencia local establecen que los sujetos obligados deben documentar todo acto que derive del ejercicio de sus facultades, competencias o funciones y que se presume que la información debe existir si se refiere a dichas facultades, competencias y/o funciones.</w:t>
      </w:r>
    </w:p>
    <w:p w14:paraId="6FE303A9" w14:textId="77777777" w:rsidR="005B0156" w:rsidRPr="00EF5605" w:rsidRDefault="005B0156"/>
    <w:p w14:paraId="73105936" w14:textId="77777777" w:rsidR="005B0156" w:rsidRPr="00EF5605" w:rsidRDefault="000932BF">
      <w:pPr>
        <w:spacing w:after="240"/>
      </w:pPr>
      <w:r w:rsidRPr="00EF5605">
        <w:t>En tal caso, la declaratoria a que se ha hecho referencia deberá realizarse, conforme a lo dispuesto en los artículos 49, fracciones II y XIII, 169 y 170 de la Ley de Transparencia local, que establecen la forma en que los Sujetos Obligados deben dar curso a las Declaratorias de Inexistencia.</w:t>
      </w:r>
    </w:p>
    <w:p w14:paraId="553B5F55" w14:textId="77777777" w:rsidR="005B0156" w:rsidRPr="00EF5605" w:rsidRDefault="000932BF">
      <w:pPr>
        <w:spacing w:after="240"/>
      </w:pPr>
      <w:r w:rsidRPr="00EF5605">
        <w:t xml:space="preserve">Resulta aplicable el criterio reiterado número </w:t>
      </w:r>
      <w:r w:rsidRPr="00EF5605">
        <w:rPr>
          <w:b/>
          <w:bCs/>
        </w:rPr>
        <w:t>08/19</w:t>
      </w:r>
      <w:r w:rsidRPr="00EF5605">
        <w:t>, emitidos por Acuerdo del Pleno del Instituto de Transparencia y Acceso a la Información Pública del Estado de México y Municipios, que a la letra dice:</w:t>
      </w:r>
    </w:p>
    <w:p w14:paraId="61C51D50" w14:textId="77777777" w:rsidR="005B0156" w:rsidRPr="00EF5605" w:rsidRDefault="000932BF">
      <w:pPr>
        <w:pStyle w:val="Puesto"/>
        <w:ind w:left="851" w:right="822" w:firstLine="0"/>
        <w:rPr>
          <w:b/>
          <w:bCs/>
        </w:rPr>
      </w:pPr>
      <w:r w:rsidRPr="00EF5605">
        <w:rPr>
          <w:b/>
          <w:bCs/>
        </w:rPr>
        <w:lastRenderedPageBreak/>
        <w:t>“INEXISTENCIA DE LA INFORMACIÓN. SUPUESTOS PARA EMITIR LA RESOLUCIÓN DE LA</w:t>
      </w:r>
      <w:r w:rsidRPr="00EF5605">
        <w:t>. De conformidad con los artículos 19, párrafo tercero y 170 de la Ley de Transparencia y Acceso a la Información Pública del Estado de México y Municipios, el Comité de Transparencia deberá emitir un acuerdo de inexistencia de información debidamente fundado y motivado, para justificar por qué no obra en los archivos del Sujeto Obligado la información que deriva de las facultades, competencias y atribuciones que los ordenamientos jurídicos aplicables le otorgan, la cual debió generar, poseer y administrar. Por tanto, en términos de los numerales previamente citados, el referido acuerdo de inexistencia procede en los siguientes momentos: a) cuando no se generó, poseyó o administró el documento teniendo la obligación conforme a la presunción legal que deriva de las facultades, competencias y atribuciones que los ordenamientos jurídicos aplicables le otorgan; b) que habiendo sido generada, poseída o administrada, por algún motivo ya no se cuenta con la información solicitada; o bien, c) cuando el Sujeto Obligado fue omiso en ejercer una facultad, competencia o atribución inexcusable. Supuestos que, de actualizarse, deberán acreditarse con las exigencias legales contempladas en los numerales 49, fracción II, 169 y 170 de la Ley de Transparencia de la entidad, a través de una resolución del Comité de Transparencia del Sujeto Obligado que confirme la inexistencia de la información, acto jurídico que genera certeza jurídica al particular de que se realizó un criterio de búsqueda exhaustivo y razonable con la debida justificación de la falta de información y en su caso, las consecuencias de ello.</w:t>
      </w:r>
      <w:r w:rsidRPr="00EF5605">
        <w:rPr>
          <w:b/>
          <w:bCs/>
        </w:rPr>
        <w:t>”</w:t>
      </w:r>
    </w:p>
    <w:p w14:paraId="6202734E" w14:textId="77777777" w:rsidR="005B0156" w:rsidRPr="00EF5605" w:rsidRDefault="000932BF">
      <w:pPr>
        <w:pStyle w:val="Puesto"/>
        <w:spacing w:after="240"/>
        <w:ind w:left="851" w:right="822" w:firstLine="0"/>
      </w:pPr>
      <w:r w:rsidRPr="00EF5605">
        <w:t>(Énfasis añadido)</w:t>
      </w:r>
    </w:p>
    <w:p w14:paraId="130E7119" w14:textId="77777777" w:rsidR="005B0156" w:rsidRPr="00EF5605" w:rsidRDefault="000932BF">
      <w:pPr>
        <w:pStyle w:val="Ttulo3"/>
        <w:spacing w:line="360" w:lineRule="auto"/>
      </w:pPr>
      <w:bookmarkStart w:id="27" w:name="_heading=h.gai9t015hfsg" w:colFirst="0" w:colLast="0"/>
      <w:bookmarkEnd w:id="27"/>
      <w:r w:rsidRPr="00EF5605">
        <w:t>f) Vista al Órgano Interno de Control</w:t>
      </w:r>
    </w:p>
    <w:p w14:paraId="2C1585EE" w14:textId="77777777" w:rsidR="005B0156" w:rsidRPr="00EF5605" w:rsidRDefault="000932BF">
      <w:pPr>
        <w:spacing w:before="280" w:after="280"/>
        <w:ind w:right="49"/>
      </w:pPr>
      <w:r w:rsidRPr="00EF5605">
        <w:t xml:space="preserve">Finalmente, es de señalar que, atendiendo a que </w:t>
      </w:r>
      <w:r w:rsidRPr="00EF5605">
        <w:rPr>
          <w:b/>
          <w:bCs/>
        </w:rPr>
        <w:t xml:space="preserve">EL SUJETO OBLIGADO </w:t>
      </w:r>
      <w:r w:rsidRPr="00EF5605">
        <w:t xml:space="preserve">fue omiso en entregar la respuesta a la solicitud de información pública sujeta a estudio y dado que el Recurso de Revisión materia del presente asunto, no es el medio para investigar y en su caso, sancionar a servidores públicos </w:t>
      </w:r>
      <w:r w:rsidRPr="00EF5605">
        <w:rPr>
          <w:b/>
          <w:bCs/>
        </w:rPr>
        <w:t>por la omisión de la entrega de información pública</w:t>
      </w:r>
      <w:r w:rsidRPr="00EF5605">
        <w:t xml:space="preserve">, en atención a lo previsto en el artículo 163 de la Ley de la Materia, que señala el plazo de respuesta y atención a solicitudes de información; motivo por el cual </w:t>
      </w:r>
      <w:r w:rsidRPr="00EF5605">
        <w:rPr>
          <w:b/>
          <w:bCs/>
        </w:rPr>
        <w:t xml:space="preserve">se ordena girar oficio a la Secretaría Técnica del Pleno de este Instituto para hacer del conocimiento del Órgano Interno de Control competente, para que resuelva lo conducente y determine en su caso el </w:t>
      </w:r>
      <w:r w:rsidRPr="00EF5605">
        <w:rPr>
          <w:b/>
          <w:bCs/>
        </w:rPr>
        <w:lastRenderedPageBreak/>
        <w:t>grado de responsabilidad en el incumplimiento de las obligaciones establecidas en la misma</w:t>
      </w:r>
      <w:r w:rsidRPr="00EF5605">
        <w:t>.</w:t>
      </w:r>
    </w:p>
    <w:p w14:paraId="50BFB7A1" w14:textId="77777777" w:rsidR="005B0156" w:rsidRPr="00EF5605" w:rsidRDefault="000932BF">
      <w:pPr>
        <w:pStyle w:val="Ttulo3"/>
      </w:pPr>
      <w:bookmarkStart w:id="28" w:name="_heading=h.hvuv5uzf9os9" w:colFirst="0" w:colLast="0"/>
      <w:bookmarkEnd w:id="28"/>
      <w:r w:rsidRPr="00EF5605">
        <w:t>g) Conclusión</w:t>
      </w:r>
    </w:p>
    <w:p w14:paraId="65F46FDB" w14:textId="77777777" w:rsidR="005B0156" w:rsidRPr="00EF5605" w:rsidRDefault="000932BF">
      <w:pPr>
        <w:spacing w:after="240"/>
      </w:pPr>
      <w:r w:rsidRPr="00EF5605">
        <w:t xml:space="preserve">En mérito de lo anterior, se determinan </w:t>
      </w:r>
      <w:r w:rsidRPr="00EF5605">
        <w:rPr>
          <w:b/>
          <w:bCs/>
        </w:rPr>
        <w:t>fundadas</w:t>
      </w:r>
      <w:r w:rsidRPr="00EF5605">
        <w:t xml:space="preserve"> las razones o motivos de inconformidad hechos valer por </w:t>
      </w:r>
      <w:r w:rsidRPr="00EF5605">
        <w:rPr>
          <w:b/>
          <w:bCs/>
        </w:rPr>
        <w:t>EL RECURRENTE</w:t>
      </w:r>
      <w:r w:rsidRPr="00EF5605">
        <w:t xml:space="preserve">, por lo que el Pleno de este Instituto estima pertinente </w:t>
      </w:r>
      <w:r w:rsidRPr="00EF5605">
        <w:rPr>
          <w:b/>
          <w:bCs/>
        </w:rPr>
        <w:t>ORDENAR</w:t>
      </w:r>
      <w:r w:rsidRPr="00EF5605">
        <w:t xml:space="preserve"> al </w:t>
      </w:r>
      <w:r w:rsidRPr="00EF5605">
        <w:rPr>
          <w:b/>
          <w:bCs/>
        </w:rPr>
        <w:t>SUJETO OBLIGADO</w:t>
      </w:r>
      <w:r w:rsidRPr="00EF5605">
        <w:t xml:space="preserve"> dé trámite y respuesta a la solicitud de acceso a la información, atendiendo lo señalado en el presente Considerando.</w:t>
      </w:r>
    </w:p>
    <w:p w14:paraId="6D7412A0" w14:textId="77777777" w:rsidR="005B0156" w:rsidRPr="00EF5605" w:rsidRDefault="000932BF">
      <w:pPr>
        <w:spacing w:after="240"/>
        <w:ind w:right="-93"/>
      </w:pPr>
      <w:r w:rsidRPr="00EF5605">
        <w:t>Así, con fundamento en lo establecido en los artículos 5, párrafos trigésimo noveno, cuadragésimo y cuadragésimo primero fracciones IV y V, de la Constitución Política del Estado Libre y Soberano de México; y en los artículos 2, fracción II, 9, 29, 36, fracciones I y II, 176, 178, 179, 186 y 188 de la Ley de Transparencia y Acceso a la Información Pública del Estado de México y Municipios, este Pleno:</w:t>
      </w:r>
    </w:p>
    <w:p w14:paraId="18FB7DD0" w14:textId="77777777" w:rsidR="005B0156" w:rsidRPr="00EF5605" w:rsidRDefault="000932BF">
      <w:pPr>
        <w:pStyle w:val="Ttulo1"/>
      </w:pPr>
      <w:bookmarkStart w:id="29" w:name="_heading=h.3s2faxluu6fe" w:colFirst="0" w:colLast="0"/>
      <w:bookmarkEnd w:id="29"/>
      <w:r w:rsidRPr="00EF5605">
        <w:t>RESUELVE</w:t>
      </w:r>
    </w:p>
    <w:p w14:paraId="03164771" w14:textId="77777777" w:rsidR="005B0156" w:rsidRPr="00EF5605" w:rsidRDefault="000932BF">
      <w:r w:rsidRPr="00EF5605">
        <w:rPr>
          <w:b/>
          <w:bCs/>
        </w:rPr>
        <w:t>PRIMERO.</w:t>
      </w:r>
      <w:r w:rsidRPr="00EF5605">
        <w:t xml:space="preserve"> Resultan </w:t>
      </w:r>
      <w:r w:rsidRPr="00EF5605">
        <w:rPr>
          <w:b/>
          <w:bCs/>
        </w:rPr>
        <w:t>fundadas</w:t>
      </w:r>
      <w:r w:rsidRPr="00EF5605">
        <w:t xml:space="preserve"> las razones o motivos de inconformidad hechas valer por </w:t>
      </w:r>
      <w:r w:rsidRPr="00EF5605">
        <w:rPr>
          <w:b/>
          <w:bCs/>
        </w:rPr>
        <w:t>LA PARTE RECURRENTE</w:t>
      </w:r>
      <w:r w:rsidRPr="00EF5605">
        <w:t xml:space="preserve">, en términos del Considerando </w:t>
      </w:r>
      <w:r w:rsidRPr="00EF5605">
        <w:rPr>
          <w:b/>
          <w:bCs/>
        </w:rPr>
        <w:t>SEGUNDO</w:t>
      </w:r>
      <w:r w:rsidRPr="00EF5605">
        <w:t xml:space="preserve"> de la presente resolución.</w:t>
      </w:r>
    </w:p>
    <w:p w14:paraId="578ED6E6" w14:textId="77777777" w:rsidR="00736540" w:rsidRPr="00EF5605" w:rsidRDefault="00736540">
      <w:pPr>
        <w:rPr>
          <w:b/>
          <w:bCs/>
        </w:rPr>
      </w:pPr>
    </w:p>
    <w:p w14:paraId="08BF7A58" w14:textId="70CF30C5" w:rsidR="005B0156" w:rsidRPr="00EF5605" w:rsidRDefault="000932BF">
      <w:pPr>
        <w:rPr>
          <w:rFonts w:ascii="Times New Roman" w:eastAsia="Times New Roman" w:hAnsi="Times New Roman" w:cs="Times New Roman"/>
          <w:sz w:val="24"/>
          <w:szCs w:val="24"/>
        </w:rPr>
      </w:pPr>
      <w:r w:rsidRPr="00EF5605">
        <w:rPr>
          <w:b/>
          <w:bCs/>
        </w:rPr>
        <w:t>SEGUNDO.</w:t>
      </w:r>
      <w:r w:rsidRPr="00EF5605">
        <w:t xml:space="preserve"> Se</w:t>
      </w:r>
      <w:r w:rsidRPr="00EF5605">
        <w:rPr>
          <w:b/>
          <w:bCs/>
        </w:rPr>
        <w:t xml:space="preserve"> ORDENA </w:t>
      </w:r>
      <w:r w:rsidRPr="00EF5605">
        <w:t xml:space="preserve">al </w:t>
      </w:r>
      <w:r w:rsidRPr="00EF5605">
        <w:rPr>
          <w:b/>
          <w:bCs/>
        </w:rPr>
        <w:t xml:space="preserve">SUJETO OBLIGADO </w:t>
      </w:r>
      <w:r w:rsidRPr="00EF5605">
        <w:t xml:space="preserve">atienda la Solicitud de Acceso a la Información Pública que dio origen al Recurso Revisión número </w:t>
      </w:r>
      <w:r w:rsidRPr="00EF5605">
        <w:rPr>
          <w:rFonts w:ascii="Verdana" w:eastAsia="Verdana" w:hAnsi="Verdana" w:cs="Verdana"/>
          <w:sz w:val="15"/>
          <w:szCs w:val="15"/>
        </w:rPr>
        <w:br/>
      </w:r>
      <w:r w:rsidRPr="00EF5605">
        <w:rPr>
          <w:b/>
          <w:bCs/>
        </w:rPr>
        <w:t xml:space="preserve">13037/INFOEM/IP/RR/2025, </w:t>
      </w:r>
      <w:r w:rsidRPr="00EF5605">
        <w:t xml:space="preserve">vía Sistema de Acceso a la Información Mexiquense </w:t>
      </w:r>
      <w:r w:rsidRPr="00EF5605">
        <w:rPr>
          <w:b/>
          <w:bCs/>
        </w:rPr>
        <w:t xml:space="preserve">(SAIMEX), </w:t>
      </w:r>
      <w:r w:rsidRPr="00EF5605">
        <w:t xml:space="preserve">en términos del Considerando </w:t>
      </w:r>
      <w:r w:rsidRPr="00EF5605">
        <w:rPr>
          <w:b/>
          <w:bCs/>
        </w:rPr>
        <w:t xml:space="preserve">SEGUNDO </w:t>
      </w:r>
      <w:r w:rsidRPr="00EF5605">
        <w:t>de esta resolución; y en su caso haga entrega de la información solicitada, debiendo observar las excepciones contenidas en la Ley de Transparencia y Acceso a la Información Pública del Estado de México y Municipios, que en su caso resulten aplicables.</w:t>
      </w:r>
    </w:p>
    <w:p w14:paraId="34C52F9A" w14:textId="77777777" w:rsidR="005B0156" w:rsidRPr="00EF5605" w:rsidRDefault="005B0156">
      <w:pPr>
        <w:rPr>
          <w:b/>
          <w:bCs/>
        </w:rPr>
      </w:pPr>
    </w:p>
    <w:p w14:paraId="0BC0092C" w14:textId="77777777" w:rsidR="005B0156" w:rsidRPr="00EF5605" w:rsidRDefault="000932BF">
      <w:r w:rsidRPr="00EF5605">
        <w:rPr>
          <w:b/>
          <w:bCs/>
        </w:rPr>
        <w:lastRenderedPageBreak/>
        <w:t>TERCERO.</w:t>
      </w:r>
      <w:r w:rsidRPr="00EF5605">
        <w:t xml:space="preserve"> </w:t>
      </w:r>
      <w:r w:rsidRPr="00EF5605">
        <w:rPr>
          <w:b/>
          <w:bCs/>
        </w:rPr>
        <w:t xml:space="preserve">Notifíquese </w:t>
      </w:r>
      <w:r w:rsidRPr="00EF5605">
        <w:t xml:space="preserve">vía Sistema de Acceso a la Información Mexiquense </w:t>
      </w:r>
      <w:r w:rsidRPr="00EF5605">
        <w:rPr>
          <w:b/>
          <w:bCs/>
        </w:rPr>
        <w:t>(SAIMEX)</w:t>
      </w:r>
      <w:r w:rsidRPr="00EF5605">
        <w:t xml:space="preserve">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w:t>
      </w:r>
      <w:r w:rsidRPr="00EF5605">
        <w:rPr>
          <w:b/>
          <w:bCs/>
        </w:rPr>
        <w:t>diez días hábiles</w:t>
      </w:r>
      <w:r w:rsidRPr="00EF5605">
        <w:t xml:space="preserve">, e informe a este Instituto en un plazo de </w:t>
      </w:r>
      <w:r w:rsidRPr="00EF5605">
        <w:rPr>
          <w:b/>
          <w:bCs/>
        </w:rPr>
        <w:t xml:space="preserve">tres días hábiles </w:t>
      </w:r>
      <w:r w:rsidRPr="00EF5605">
        <w:t xml:space="preserve">siguientes sobre el cumplimiento dado a la presente y, se le </w:t>
      </w:r>
      <w:r w:rsidRPr="00EF5605">
        <w:rPr>
          <w:b/>
          <w:bCs/>
        </w:rPr>
        <w:t>apercibe</w:t>
      </w:r>
      <w:r w:rsidRPr="00EF5605">
        <w:t xml:space="preserv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612C863B" w14:textId="77777777" w:rsidR="005B0156" w:rsidRPr="00EF5605" w:rsidRDefault="005B0156"/>
    <w:p w14:paraId="04267232" w14:textId="77777777" w:rsidR="005B0156" w:rsidRPr="00EF5605" w:rsidRDefault="000932BF">
      <w:r w:rsidRPr="00EF5605">
        <w:rPr>
          <w:b/>
          <w:bCs/>
        </w:rPr>
        <w:t>CUARTO</w:t>
      </w:r>
      <w:r w:rsidRPr="00EF5605">
        <w:t xml:space="preserve">. </w:t>
      </w:r>
      <w:r w:rsidRPr="00EF5605">
        <w:rPr>
          <w:b/>
          <w:bCs/>
        </w:rPr>
        <w:t>Notifíquese</w:t>
      </w:r>
      <w:r w:rsidRPr="00EF5605">
        <w:t xml:space="preserve"> a </w:t>
      </w:r>
      <w:r w:rsidRPr="00EF5605">
        <w:rPr>
          <w:b/>
          <w:bCs/>
        </w:rPr>
        <w:t>LA PARTE RECURRENTE</w:t>
      </w:r>
      <w:r w:rsidRPr="00EF5605">
        <w:t xml:space="preserve"> la presente resolución vía Sistema de Acceso a la Información Mexiquense </w:t>
      </w:r>
      <w:r w:rsidRPr="00EF5605">
        <w:rPr>
          <w:b/>
          <w:bCs/>
        </w:rPr>
        <w:t>(SAIMEX)</w:t>
      </w:r>
      <w:r w:rsidRPr="00EF5605">
        <w:t>.</w:t>
      </w:r>
    </w:p>
    <w:p w14:paraId="51F7A169" w14:textId="77777777" w:rsidR="005B0156" w:rsidRPr="00EF5605" w:rsidRDefault="005B0156"/>
    <w:p w14:paraId="23F80A4B" w14:textId="77777777" w:rsidR="005B0156" w:rsidRPr="00EF5605" w:rsidRDefault="000932BF">
      <w:r w:rsidRPr="00EF5605">
        <w:rPr>
          <w:b/>
          <w:bCs/>
        </w:rPr>
        <w:t>QUINTO.</w:t>
      </w:r>
      <w:r w:rsidRPr="00EF5605">
        <w:t xml:space="preserve"> </w:t>
      </w:r>
      <w:r w:rsidRPr="00EF5605">
        <w:rPr>
          <w:b/>
          <w:bCs/>
        </w:rPr>
        <w:t>Hágase</w:t>
      </w:r>
      <w:r w:rsidRPr="00EF5605">
        <w:t xml:space="preserve"> </w:t>
      </w:r>
      <w:r w:rsidRPr="00EF5605">
        <w:rPr>
          <w:b/>
          <w:bCs/>
        </w:rPr>
        <w:t>del conocimiento a</w:t>
      </w:r>
      <w:r w:rsidRPr="00EF5605">
        <w:t xml:space="preserve"> </w:t>
      </w:r>
      <w:r w:rsidRPr="00EF5605">
        <w:rPr>
          <w:b/>
          <w:bCs/>
        </w:rPr>
        <w:t>LA PARTE RECURRENTE,</w:t>
      </w:r>
      <w:r w:rsidRPr="00EF5605">
        <w:t xml:space="preserve"> que, de conformidad con lo establecido en el artículo 196 de la Ley de Transparencia y Acceso a la Información Pública del Estado de México y Municipios, podrá impugnarla vía Juicio de Amparo en los términos de las leyes aplicables.</w:t>
      </w:r>
    </w:p>
    <w:p w14:paraId="7DAFAE38" w14:textId="77777777" w:rsidR="005B0156" w:rsidRPr="00EF5605" w:rsidRDefault="005B0156"/>
    <w:p w14:paraId="57BB856A" w14:textId="77777777" w:rsidR="005B0156" w:rsidRPr="00EF5605" w:rsidRDefault="000932BF">
      <w:r w:rsidRPr="00EF5605">
        <w:rPr>
          <w:b/>
          <w:bCs/>
        </w:rPr>
        <w:t>SEXTO.</w:t>
      </w:r>
      <w:r w:rsidRPr="00EF5605">
        <w:t xml:space="preserve"> </w:t>
      </w:r>
      <w:r w:rsidRPr="00EF5605">
        <w:rPr>
          <w:b/>
          <w:bCs/>
        </w:rPr>
        <w:t>Hágase del conocimiento a LA PARTE RECURRENTE</w:t>
      </w:r>
      <w:r w:rsidRPr="00EF5605">
        <w:t xml:space="preserve">, que las respuestas que dé </w:t>
      </w:r>
      <w:r w:rsidRPr="00EF5605">
        <w:rPr>
          <w:b/>
          <w:bCs/>
        </w:rPr>
        <w:t>EL SUJETO OBLIGADO</w:t>
      </w:r>
      <w:r w:rsidRPr="00EF5605">
        <w:t xml:space="preserve"> derivadas de la presente resolución son susceptibles de ser impugnadas nuevamente, mediante Recurso de Revisión, ante el Instituto, en términos del artículo 179, último párrafo de la Ley de Transparencia y Acceso a la Información Pública del Estado de México y Municipios.</w:t>
      </w:r>
    </w:p>
    <w:p w14:paraId="4FFA2313" w14:textId="77777777" w:rsidR="005B0156" w:rsidRPr="00EF5605" w:rsidRDefault="005B0156"/>
    <w:p w14:paraId="4A207B80" w14:textId="77777777" w:rsidR="005B0156" w:rsidRPr="00EF5605" w:rsidRDefault="000932BF">
      <w:r w:rsidRPr="00EF5605">
        <w:rPr>
          <w:b/>
          <w:bCs/>
        </w:rPr>
        <w:lastRenderedPageBreak/>
        <w:t>SÉPTIMO. Gírese oficio</w:t>
      </w:r>
      <w:r w:rsidRPr="00EF5605">
        <w:t xml:space="preserve">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w:t>
      </w:r>
      <w:r w:rsidRPr="00EF5605">
        <w:rPr>
          <w:b/>
          <w:bCs/>
        </w:rPr>
        <w:t>SEGUNDO</w:t>
      </w:r>
      <w:r w:rsidRPr="00EF5605">
        <w:t xml:space="preserve"> de la presente resolución.</w:t>
      </w:r>
    </w:p>
    <w:p w14:paraId="5B2EB10B" w14:textId="77777777" w:rsidR="005B0156" w:rsidRPr="00EF5605" w:rsidRDefault="005B0156"/>
    <w:p w14:paraId="294AE124" w14:textId="77777777" w:rsidR="005B0156" w:rsidRPr="00EF5605" w:rsidRDefault="000932BF">
      <w:r w:rsidRPr="00EF5605">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CUADRAGÉSIMA CUARTA SESIÓN ORDINARIA, CELEBRADA EL DIEZ DE DICIEMBRE DE DOS MIL VEINTICINCO, ANTE EL SECRETARIO TÉCNICO DEL PLENO, ALEXIS TAPIA RAMÍREZ.</w:t>
      </w:r>
    </w:p>
    <w:p w14:paraId="38ABFC5E" w14:textId="77777777" w:rsidR="005B0156" w:rsidRPr="005945E1" w:rsidRDefault="000932BF">
      <w:pPr>
        <w:rPr>
          <w:sz w:val="16"/>
          <w:szCs w:val="16"/>
        </w:rPr>
      </w:pPr>
      <w:r w:rsidRPr="00EF5605">
        <w:rPr>
          <w:sz w:val="16"/>
          <w:szCs w:val="16"/>
        </w:rPr>
        <w:t>SCMM/AGZ/DEMF/AGE</w:t>
      </w:r>
    </w:p>
    <w:p w14:paraId="38FD7745" w14:textId="77777777" w:rsidR="005B0156" w:rsidRPr="005945E1" w:rsidRDefault="005B0156">
      <w:pPr>
        <w:ind w:right="-93"/>
      </w:pPr>
    </w:p>
    <w:p w14:paraId="6ED552BA" w14:textId="77777777" w:rsidR="005B0156" w:rsidRPr="005945E1" w:rsidRDefault="005B0156">
      <w:pPr>
        <w:ind w:right="-93"/>
      </w:pPr>
    </w:p>
    <w:p w14:paraId="08D3A069" w14:textId="77777777" w:rsidR="005B0156" w:rsidRPr="005945E1" w:rsidRDefault="005B0156">
      <w:pPr>
        <w:ind w:right="-93"/>
      </w:pPr>
    </w:p>
    <w:p w14:paraId="39BD92EB" w14:textId="77777777" w:rsidR="005B0156" w:rsidRPr="005945E1" w:rsidRDefault="005B0156">
      <w:pPr>
        <w:ind w:right="-93"/>
      </w:pPr>
    </w:p>
    <w:p w14:paraId="38BA12BE" w14:textId="77777777" w:rsidR="005B0156" w:rsidRPr="005945E1" w:rsidRDefault="005B0156">
      <w:pPr>
        <w:ind w:right="-93"/>
      </w:pPr>
    </w:p>
    <w:p w14:paraId="556DE6E7" w14:textId="77777777" w:rsidR="005B0156" w:rsidRPr="005945E1" w:rsidRDefault="005B0156">
      <w:pPr>
        <w:ind w:right="-93"/>
      </w:pPr>
    </w:p>
    <w:p w14:paraId="74400AA0" w14:textId="77777777" w:rsidR="005B0156" w:rsidRPr="005945E1" w:rsidRDefault="005B0156">
      <w:pPr>
        <w:ind w:right="-93"/>
      </w:pPr>
    </w:p>
    <w:p w14:paraId="57E48CBE" w14:textId="77777777" w:rsidR="005B0156" w:rsidRPr="005945E1" w:rsidRDefault="005B0156">
      <w:pPr>
        <w:ind w:right="-93"/>
      </w:pPr>
    </w:p>
    <w:p w14:paraId="75F82F29" w14:textId="77777777" w:rsidR="005B0156" w:rsidRPr="005945E1" w:rsidRDefault="005B0156">
      <w:pPr>
        <w:tabs>
          <w:tab w:val="center" w:pos="4568"/>
        </w:tabs>
        <w:ind w:right="-93"/>
      </w:pPr>
    </w:p>
    <w:p w14:paraId="4D362570" w14:textId="77777777" w:rsidR="005B0156" w:rsidRPr="005945E1" w:rsidRDefault="005B0156">
      <w:pPr>
        <w:tabs>
          <w:tab w:val="center" w:pos="4568"/>
        </w:tabs>
        <w:ind w:right="-93"/>
      </w:pPr>
    </w:p>
    <w:p w14:paraId="3147291B" w14:textId="77777777" w:rsidR="005B0156" w:rsidRPr="005945E1" w:rsidRDefault="005B0156">
      <w:pPr>
        <w:tabs>
          <w:tab w:val="center" w:pos="4568"/>
        </w:tabs>
        <w:ind w:right="-93"/>
      </w:pPr>
    </w:p>
    <w:p w14:paraId="1200CE79" w14:textId="77777777" w:rsidR="005B0156" w:rsidRPr="005945E1" w:rsidRDefault="005B0156">
      <w:pPr>
        <w:tabs>
          <w:tab w:val="center" w:pos="4568"/>
        </w:tabs>
        <w:ind w:right="-93"/>
      </w:pPr>
    </w:p>
    <w:p w14:paraId="43FDAD62" w14:textId="77777777" w:rsidR="005B0156" w:rsidRPr="005945E1" w:rsidRDefault="005B0156">
      <w:pPr>
        <w:tabs>
          <w:tab w:val="center" w:pos="4568"/>
        </w:tabs>
        <w:ind w:right="-93"/>
      </w:pPr>
    </w:p>
    <w:p w14:paraId="75F14FA1" w14:textId="77777777" w:rsidR="005B0156" w:rsidRPr="005945E1" w:rsidRDefault="005B0156">
      <w:pPr>
        <w:tabs>
          <w:tab w:val="center" w:pos="4568"/>
        </w:tabs>
        <w:ind w:right="-93"/>
      </w:pPr>
    </w:p>
    <w:p w14:paraId="4588DB2F" w14:textId="77777777" w:rsidR="005B0156" w:rsidRPr="005945E1" w:rsidRDefault="005B0156">
      <w:pPr>
        <w:tabs>
          <w:tab w:val="center" w:pos="4568"/>
        </w:tabs>
        <w:ind w:right="-93"/>
      </w:pPr>
    </w:p>
    <w:p w14:paraId="2E4D721E" w14:textId="77777777" w:rsidR="005B0156" w:rsidRPr="005945E1" w:rsidRDefault="005B0156">
      <w:pPr>
        <w:tabs>
          <w:tab w:val="center" w:pos="4568"/>
        </w:tabs>
        <w:ind w:right="-93"/>
      </w:pPr>
    </w:p>
    <w:p w14:paraId="6C1FACC8" w14:textId="77777777" w:rsidR="005B0156" w:rsidRPr="005945E1" w:rsidRDefault="005B0156">
      <w:pPr>
        <w:tabs>
          <w:tab w:val="center" w:pos="4568"/>
        </w:tabs>
        <w:ind w:right="-93"/>
      </w:pPr>
    </w:p>
    <w:p w14:paraId="1634643A" w14:textId="77777777" w:rsidR="005B0156" w:rsidRPr="005945E1" w:rsidRDefault="005B0156">
      <w:pPr>
        <w:tabs>
          <w:tab w:val="center" w:pos="4568"/>
        </w:tabs>
        <w:ind w:right="-93"/>
      </w:pPr>
    </w:p>
    <w:p w14:paraId="72F5CA60" w14:textId="77777777" w:rsidR="005B0156" w:rsidRPr="005945E1" w:rsidRDefault="005B0156">
      <w:pPr>
        <w:tabs>
          <w:tab w:val="center" w:pos="4568"/>
        </w:tabs>
        <w:ind w:right="-93"/>
      </w:pPr>
    </w:p>
    <w:p w14:paraId="5A61C5C0" w14:textId="77777777" w:rsidR="005B0156" w:rsidRPr="005945E1" w:rsidRDefault="005B0156">
      <w:pPr>
        <w:tabs>
          <w:tab w:val="center" w:pos="4568"/>
        </w:tabs>
        <w:ind w:right="-93"/>
      </w:pPr>
    </w:p>
    <w:p w14:paraId="73EC40C5" w14:textId="77777777" w:rsidR="005B0156" w:rsidRPr="005945E1" w:rsidRDefault="005B0156">
      <w:pPr>
        <w:tabs>
          <w:tab w:val="center" w:pos="4568"/>
        </w:tabs>
        <w:ind w:right="-93"/>
      </w:pPr>
    </w:p>
    <w:p w14:paraId="497DC698" w14:textId="77777777" w:rsidR="005B0156" w:rsidRPr="005945E1" w:rsidRDefault="005B0156">
      <w:pPr>
        <w:tabs>
          <w:tab w:val="center" w:pos="4568"/>
        </w:tabs>
        <w:ind w:right="-93"/>
      </w:pPr>
    </w:p>
    <w:p w14:paraId="793886F6" w14:textId="77777777" w:rsidR="005B0156" w:rsidRPr="005945E1" w:rsidRDefault="005B0156">
      <w:pPr>
        <w:tabs>
          <w:tab w:val="center" w:pos="4568"/>
        </w:tabs>
        <w:ind w:right="-93"/>
      </w:pPr>
    </w:p>
    <w:p w14:paraId="089E9218" w14:textId="77777777" w:rsidR="005B0156" w:rsidRPr="005945E1" w:rsidRDefault="005B0156">
      <w:pPr>
        <w:tabs>
          <w:tab w:val="center" w:pos="4568"/>
        </w:tabs>
        <w:ind w:right="-93"/>
      </w:pPr>
    </w:p>
    <w:p w14:paraId="4657469C" w14:textId="77777777" w:rsidR="005B0156" w:rsidRPr="005945E1" w:rsidRDefault="005B0156"/>
    <w:sectPr w:rsidR="005B0156" w:rsidRPr="005945E1">
      <w:footerReference w:type="default" r:id="rId11"/>
      <w:pgSz w:w="12240" w:h="15840"/>
      <w:pgMar w:top="2552" w:right="1608" w:bottom="1701" w:left="1588" w:header="709" w:footer="73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6E9DD5" w14:textId="77777777" w:rsidR="000623BC" w:rsidRDefault="000623BC">
      <w:pPr>
        <w:spacing w:line="240" w:lineRule="auto"/>
      </w:pPr>
      <w:r>
        <w:separator/>
      </w:r>
    </w:p>
  </w:endnote>
  <w:endnote w:type="continuationSeparator" w:id="0">
    <w:p w14:paraId="05BDA77E" w14:textId="77777777" w:rsidR="000623BC" w:rsidRDefault="000623B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embedRegular r:id="rId1" w:fontKey="{08EEBDF1-4A52-44A7-8CEF-7DD18AAD702F}"/>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embedRegular r:id="rId2" w:fontKey="{AE06409D-241D-46E4-AD7C-FAB31CF63E0D}"/>
    <w:embedBold r:id="rId3" w:fontKey="{D781EEDE-6596-429C-9713-ACD824FC2411}"/>
    <w:embedItalic r:id="rId4" w:fontKey="{48C1E790-65D9-409A-ADA4-B7A7C95933DB}"/>
    <w:embedBoldItalic r:id="rId5" w:fontKey="{4C57B366-B160-470C-A4FE-8BFD0219CDE7}"/>
  </w:font>
  <w:font w:name="Times New Roman">
    <w:panose1 w:val="02020603050405020304"/>
    <w:charset w:val="00"/>
    <w:family w:val="roman"/>
    <w:pitch w:val="variable"/>
    <w:sig w:usb0="E0002EFF" w:usb1="C000785B" w:usb2="00000009" w:usb3="00000000" w:csb0="000001FF" w:csb1="00000000"/>
  </w:font>
  <w:font w:name="Aptos Display">
    <w:altName w:val="Times New Roman"/>
    <w:charset w:val="00"/>
    <w:family w:val="swiss"/>
    <w:pitch w:val="variable"/>
    <w:sig w:usb0="20000287" w:usb1="00000003" w:usb2="00000000" w:usb3="00000000" w:csb0="0000019F" w:csb1="00000000"/>
    <w:embedRegular r:id="rId6" w:fontKey="{5A2E6A31-D112-4C19-8A7A-AB085AC1F304}"/>
  </w:font>
  <w:font w:name="Aptos">
    <w:altName w:val="Times New Roman"/>
    <w:charset w:val="00"/>
    <w:family w:val="swiss"/>
    <w:pitch w:val="variable"/>
    <w:sig w:usb0="20000287" w:usb1="00000003" w:usb2="00000000" w:usb3="00000000" w:csb0="0000019F" w:csb1="00000000"/>
    <w:embedRegular r:id="rId7" w:fontKey="{422F6677-05F0-4E65-8C96-8AD1B525D493}"/>
  </w:font>
  <w:font w:name="Play">
    <w:altName w:val="Times New Roman"/>
    <w:charset w:val="00"/>
    <w:family w:val="auto"/>
    <w:pitch w:val="default"/>
    <w:embedRegular r:id="rId8" w:fontKey="{9A94E339-76CA-4F64-84BB-7833BE46534B}"/>
  </w:font>
  <w:font w:name="Garamond">
    <w:panose1 w:val="02020404030301010803"/>
    <w:charset w:val="00"/>
    <w:family w:val="roman"/>
    <w:pitch w:val="variable"/>
    <w:sig w:usb0="00000287" w:usb1="00000000" w:usb2="00000000" w:usb3="00000000" w:csb0="0000009F" w:csb1="00000000"/>
    <w:embedRegular r:id="rId9" w:fontKey="{0C4ECFDB-BDD6-4D7C-8E45-DEFF287FEB06}"/>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Regular r:id="rId10" w:fontKey="{6D08CAA8-0C67-47F4-A01B-31556EE64A2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43781E" w14:textId="77777777" w:rsidR="005B0156" w:rsidRDefault="005B0156">
    <w:pPr>
      <w:tabs>
        <w:tab w:val="center" w:pos="4550"/>
        <w:tab w:val="left" w:pos="5818"/>
      </w:tabs>
      <w:ind w:right="260"/>
      <w:jc w:val="right"/>
      <w:rPr>
        <w:color w:val="071320"/>
        <w:sz w:val="24"/>
        <w:szCs w:val="24"/>
      </w:rPr>
    </w:pPr>
  </w:p>
  <w:p w14:paraId="6D63DE87" w14:textId="77777777" w:rsidR="005B0156" w:rsidRDefault="005B0156">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0F3ACA" w14:textId="77777777" w:rsidR="005B0156" w:rsidRDefault="000932BF">
    <w:pPr>
      <w:tabs>
        <w:tab w:val="center" w:pos="4550"/>
        <w:tab w:val="left" w:pos="5818"/>
      </w:tabs>
      <w:ind w:right="260"/>
      <w:jc w:val="right"/>
      <w:rPr>
        <w:sz w:val="24"/>
        <w:szCs w:val="24"/>
      </w:rPr>
    </w:pPr>
    <w:r>
      <w:rPr>
        <w:sz w:val="24"/>
        <w:szCs w:val="24"/>
      </w:rPr>
      <w:t xml:space="preserve">Página </w:t>
    </w:r>
    <w:r>
      <w:rPr>
        <w:sz w:val="24"/>
        <w:szCs w:val="24"/>
      </w:rPr>
      <w:fldChar w:fldCharType="begin"/>
    </w:r>
    <w:r>
      <w:rPr>
        <w:sz w:val="24"/>
        <w:szCs w:val="24"/>
      </w:rPr>
      <w:instrText>PAGE</w:instrText>
    </w:r>
    <w:r>
      <w:rPr>
        <w:sz w:val="24"/>
        <w:szCs w:val="24"/>
      </w:rPr>
      <w:fldChar w:fldCharType="separate"/>
    </w:r>
    <w:r w:rsidR="007013F1">
      <w:rPr>
        <w:noProof/>
        <w:sz w:val="24"/>
        <w:szCs w:val="24"/>
      </w:rPr>
      <w:t>3</w:t>
    </w:r>
    <w:r>
      <w:rPr>
        <w:sz w:val="24"/>
        <w:szCs w:val="24"/>
      </w:rPr>
      <w:fldChar w:fldCharType="end"/>
    </w:r>
    <w:r>
      <w:rPr>
        <w:sz w:val="24"/>
        <w:szCs w:val="24"/>
      </w:rPr>
      <w:t xml:space="preserve"> | </w:t>
    </w:r>
    <w:r>
      <w:rPr>
        <w:sz w:val="24"/>
        <w:szCs w:val="24"/>
      </w:rPr>
      <w:fldChar w:fldCharType="begin"/>
    </w:r>
    <w:r>
      <w:rPr>
        <w:sz w:val="24"/>
        <w:szCs w:val="24"/>
      </w:rPr>
      <w:instrText>NUMPAGES</w:instrText>
    </w:r>
    <w:r>
      <w:rPr>
        <w:sz w:val="24"/>
        <w:szCs w:val="24"/>
      </w:rPr>
      <w:fldChar w:fldCharType="separate"/>
    </w:r>
    <w:r w:rsidR="007013F1">
      <w:rPr>
        <w:noProof/>
        <w:sz w:val="24"/>
        <w:szCs w:val="24"/>
      </w:rPr>
      <w:t>31</w:t>
    </w:r>
    <w:r>
      <w:rPr>
        <w:sz w:val="24"/>
        <w:szCs w:val="24"/>
      </w:rPr>
      <w:fldChar w:fldCharType="end"/>
    </w:r>
  </w:p>
  <w:p w14:paraId="3F4EFDBF" w14:textId="77777777" w:rsidR="005B0156" w:rsidRDefault="000932BF">
    <w:pPr>
      <w:pBdr>
        <w:top w:val="nil"/>
        <w:left w:val="nil"/>
        <w:bottom w:val="nil"/>
        <w:right w:val="nil"/>
        <w:between w:val="nil"/>
      </w:pBdr>
      <w:tabs>
        <w:tab w:val="center" w:pos="4419"/>
        <w:tab w:val="right" w:pos="8838"/>
        <w:tab w:val="left" w:pos="7665"/>
      </w:tabs>
      <w:rPr>
        <w:color w:val="000000"/>
      </w:rPr>
    </w:pPr>
    <w:r>
      <w:rPr>
        <w:color w:val="000000"/>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FA3383" w14:textId="77777777" w:rsidR="000623BC" w:rsidRDefault="000623BC">
      <w:pPr>
        <w:spacing w:line="240" w:lineRule="auto"/>
      </w:pPr>
      <w:r>
        <w:separator/>
      </w:r>
    </w:p>
  </w:footnote>
  <w:footnote w:type="continuationSeparator" w:id="0">
    <w:p w14:paraId="6F0EEC9E" w14:textId="77777777" w:rsidR="000623BC" w:rsidRDefault="000623BC">
      <w:pPr>
        <w:spacing w:line="240" w:lineRule="auto"/>
      </w:pPr>
      <w:r>
        <w:continuationSeparator/>
      </w:r>
    </w:p>
  </w:footnote>
  <w:footnote w:id="1">
    <w:p w14:paraId="647A7CC6" w14:textId="77777777" w:rsidR="005B0156" w:rsidRDefault="000932BF">
      <w:pPr>
        <w:pBdr>
          <w:top w:val="nil"/>
          <w:left w:val="nil"/>
          <w:bottom w:val="nil"/>
          <w:right w:val="nil"/>
          <w:between w:val="nil"/>
        </w:pBdr>
        <w:spacing w:line="240" w:lineRule="auto"/>
        <w:jc w:val="left"/>
        <w:rPr>
          <w:i/>
          <w:iCs/>
          <w:color w:val="000000"/>
          <w:sz w:val="16"/>
          <w:szCs w:val="16"/>
        </w:rPr>
      </w:pPr>
      <w:r>
        <w:rPr>
          <w:vertAlign w:val="superscript"/>
        </w:rPr>
        <w:footnoteRef/>
      </w:r>
      <w:r>
        <w:rPr>
          <w:rFonts w:ascii="Aptos" w:eastAsia="Aptos" w:hAnsi="Aptos" w:cs="Aptos"/>
          <w:color w:val="000000"/>
          <w:sz w:val="20"/>
          <w:szCs w:val="20"/>
        </w:rPr>
        <w:t xml:space="preserve"> </w:t>
      </w:r>
      <w:r>
        <w:rPr>
          <w:b/>
          <w:bCs/>
          <w:i/>
          <w:iCs/>
          <w:color w:val="000000"/>
          <w:sz w:val="16"/>
          <w:szCs w:val="16"/>
        </w:rPr>
        <w:t>Artículo 3.-</w:t>
      </w:r>
      <w:r>
        <w:rPr>
          <w:i/>
          <w:iCs/>
          <w:color w:val="000000"/>
          <w:sz w:val="16"/>
          <w:szCs w:val="16"/>
        </w:rPr>
        <w:t xml:space="preserve"> Los municipios del Estado regularán su funcionamiento de conformidad con lo que establece esta Ley, los Bandos municipales, reglamentos y demás disposiciones legales aplicables.</w:t>
      </w:r>
    </w:p>
  </w:footnote>
  <w:footnote w:id="2">
    <w:p w14:paraId="4A119FC8" w14:textId="77777777" w:rsidR="005B0156" w:rsidRDefault="000932BF">
      <w:pPr>
        <w:pBdr>
          <w:top w:val="nil"/>
          <w:left w:val="nil"/>
          <w:bottom w:val="nil"/>
          <w:right w:val="nil"/>
          <w:between w:val="nil"/>
        </w:pBdr>
        <w:spacing w:line="240" w:lineRule="auto"/>
        <w:rPr>
          <w:rFonts w:ascii="Aptos" w:eastAsia="Aptos" w:hAnsi="Aptos" w:cs="Aptos"/>
          <w:color w:val="000000"/>
          <w:sz w:val="20"/>
          <w:szCs w:val="20"/>
        </w:rPr>
      </w:pPr>
      <w:r>
        <w:rPr>
          <w:vertAlign w:val="superscript"/>
        </w:rPr>
        <w:footnoteRef/>
      </w:r>
      <w:r>
        <w:rPr>
          <w:rFonts w:ascii="Aptos" w:eastAsia="Aptos" w:hAnsi="Aptos" w:cs="Aptos"/>
          <w:color w:val="000000"/>
          <w:sz w:val="20"/>
          <w:szCs w:val="20"/>
        </w:rPr>
        <w:t xml:space="preserve"> </w:t>
      </w:r>
      <w:r>
        <w:rPr>
          <w:color w:val="000000"/>
          <w:sz w:val="20"/>
          <w:szCs w:val="20"/>
        </w:rPr>
        <w:t>Al encontrarse en algún supuesto restrictivo, previsto en la normatividad aplicable.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31600D" w14:textId="77777777" w:rsidR="005B0156" w:rsidRDefault="000932BF">
    <w:pPr>
      <w:widowControl w:val="0"/>
      <w:pBdr>
        <w:top w:val="nil"/>
        <w:left w:val="nil"/>
        <w:bottom w:val="nil"/>
        <w:right w:val="nil"/>
        <w:between w:val="nil"/>
      </w:pBdr>
      <w:spacing w:line="276" w:lineRule="auto"/>
      <w:jc w:val="left"/>
      <w:rPr>
        <w:rFonts w:ascii="Aptos" w:eastAsia="Aptos" w:hAnsi="Aptos" w:cs="Aptos"/>
        <w:color w:val="000000"/>
        <w:sz w:val="20"/>
        <w:szCs w:val="20"/>
      </w:rPr>
    </w:pPr>
    <w:r>
      <w:rPr>
        <w:rFonts w:ascii="Garamond" w:eastAsia="Garamond" w:hAnsi="Garamond" w:cs="Garamond"/>
        <w:noProof/>
        <w:color w:val="000000"/>
        <w:sz w:val="16"/>
        <w:szCs w:val="16"/>
      </w:rPr>
      <w:drawing>
        <wp:anchor distT="0" distB="0" distL="0" distR="0" simplePos="0" relativeHeight="251657216" behindDoc="1" locked="0" layoutInCell="1" hidden="0" allowOverlap="1" wp14:anchorId="555D7E69" wp14:editId="7EC776BB">
          <wp:simplePos x="0" y="0"/>
          <wp:positionH relativeFrom="margin">
            <wp:posOffset>-889634</wp:posOffset>
          </wp:positionH>
          <wp:positionV relativeFrom="margin">
            <wp:align>center</wp:align>
          </wp:positionV>
          <wp:extent cx="8426450" cy="10972800"/>
          <wp:effectExtent l="0" t="0" r="0" b="0"/>
          <wp:wrapNone/>
          <wp:docPr id="215964447"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8426450" cy="10972800"/>
                  </a:xfrm>
                  <a:prstGeom prst="rect">
                    <a:avLst/>
                  </a:prstGeom>
                  <a:ln/>
                </pic:spPr>
              </pic:pic>
            </a:graphicData>
          </a:graphic>
        </wp:anchor>
      </w:drawing>
    </w:r>
  </w:p>
  <w:tbl>
    <w:tblPr>
      <w:tblStyle w:val="a2"/>
      <w:tblW w:w="6129" w:type="dxa"/>
      <w:jc w:val="right"/>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tblGrid>
    <w:tr w:rsidR="005B0156" w14:paraId="17B99A10" w14:textId="77777777">
      <w:trPr>
        <w:trHeight w:val="144"/>
        <w:jc w:val="right"/>
      </w:trPr>
      <w:tc>
        <w:tcPr>
          <w:tcW w:w="2727" w:type="dxa"/>
        </w:tcPr>
        <w:p w14:paraId="463E8779" w14:textId="77777777" w:rsidR="005B0156" w:rsidRDefault="000932BF">
          <w:pPr>
            <w:tabs>
              <w:tab w:val="right" w:pos="8838"/>
            </w:tabs>
            <w:ind w:left="-74" w:right="-105"/>
            <w:rPr>
              <w:b/>
              <w:bCs/>
            </w:rPr>
          </w:pPr>
          <w:r>
            <w:rPr>
              <w:b/>
              <w:bCs/>
            </w:rPr>
            <w:t>Recurso de Revisión:</w:t>
          </w:r>
        </w:p>
      </w:tc>
      <w:tc>
        <w:tcPr>
          <w:tcW w:w="3402" w:type="dxa"/>
        </w:tcPr>
        <w:p w14:paraId="67E00200" w14:textId="77777777" w:rsidR="005B0156" w:rsidRDefault="000932BF">
          <w:pPr>
            <w:tabs>
              <w:tab w:val="right" w:pos="8838"/>
            </w:tabs>
            <w:ind w:left="-74" w:right="-105"/>
          </w:pPr>
          <w:r>
            <w:t>13037/INFOEM/IP/RR/2025</w:t>
          </w:r>
        </w:p>
      </w:tc>
    </w:tr>
    <w:tr w:rsidR="005B0156" w14:paraId="484017A1" w14:textId="77777777">
      <w:trPr>
        <w:trHeight w:val="283"/>
        <w:jc w:val="right"/>
      </w:trPr>
      <w:tc>
        <w:tcPr>
          <w:tcW w:w="2727" w:type="dxa"/>
        </w:tcPr>
        <w:p w14:paraId="4658060B" w14:textId="77777777" w:rsidR="005B0156" w:rsidRDefault="000932BF">
          <w:pPr>
            <w:tabs>
              <w:tab w:val="right" w:pos="8838"/>
            </w:tabs>
            <w:ind w:left="-74" w:right="-105"/>
            <w:rPr>
              <w:b/>
              <w:bCs/>
            </w:rPr>
          </w:pPr>
          <w:r>
            <w:rPr>
              <w:b/>
              <w:bCs/>
            </w:rPr>
            <w:t>Sujeto Obligado:</w:t>
          </w:r>
        </w:p>
      </w:tc>
      <w:tc>
        <w:tcPr>
          <w:tcW w:w="3402" w:type="dxa"/>
        </w:tcPr>
        <w:p w14:paraId="39ECB09C" w14:textId="77777777" w:rsidR="005B0156" w:rsidRDefault="000932BF">
          <w:pPr>
            <w:tabs>
              <w:tab w:val="left" w:pos="2834"/>
              <w:tab w:val="right" w:pos="8838"/>
            </w:tabs>
            <w:ind w:left="-108" w:right="-105"/>
          </w:pPr>
          <w:r>
            <w:t>Ayuntamiento de Tepotzotlán</w:t>
          </w:r>
        </w:p>
      </w:tc>
    </w:tr>
    <w:tr w:rsidR="005B0156" w14:paraId="4F7E7510" w14:textId="77777777">
      <w:trPr>
        <w:trHeight w:val="283"/>
        <w:jc w:val="right"/>
      </w:trPr>
      <w:tc>
        <w:tcPr>
          <w:tcW w:w="2727" w:type="dxa"/>
        </w:tcPr>
        <w:p w14:paraId="5DD755DA" w14:textId="77777777" w:rsidR="005B0156" w:rsidRDefault="000932BF">
          <w:pPr>
            <w:tabs>
              <w:tab w:val="right" w:pos="8838"/>
            </w:tabs>
            <w:ind w:left="-74" w:right="-105"/>
            <w:rPr>
              <w:b/>
              <w:bCs/>
            </w:rPr>
          </w:pPr>
          <w:r>
            <w:rPr>
              <w:b/>
              <w:bCs/>
            </w:rPr>
            <w:t>Comisionada Ponente:</w:t>
          </w:r>
        </w:p>
      </w:tc>
      <w:tc>
        <w:tcPr>
          <w:tcW w:w="3402" w:type="dxa"/>
        </w:tcPr>
        <w:p w14:paraId="29056849" w14:textId="77777777" w:rsidR="005B0156" w:rsidRDefault="000932BF">
          <w:pPr>
            <w:tabs>
              <w:tab w:val="right" w:pos="8838"/>
            </w:tabs>
            <w:ind w:left="-108" w:right="-105"/>
          </w:pPr>
          <w:r>
            <w:t>Sharon Cristina Morales Martínez</w:t>
          </w:r>
        </w:p>
      </w:tc>
    </w:tr>
  </w:tbl>
  <w:p w14:paraId="415DB7A9" w14:textId="77777777" w:rsidR="005B0156" w:rsidRDefault="005B0156">
    <w:pPr>
      <w:pBdr>
        <w:top w:val="nil"/>
        <w:left w:val="nil"/>
        <w:bottom w:val="nil"/>
        <w:right w:val="nil"/>
        <w:between w:val="nil"/>
      </w:pBdr>
      <w:tabs>
        <w:tab w:val="center" w:pos="4419"/>
        <w:tab w:val="right" w:pos="8838"/>
        <w:tab w:val="center" w:pos="4522"/>
        <w:tab w:val="left" w:pos="6203"/>
      </w:tabs>
      <w:rPr>
        <w:color w:val="000000"/>
        <w:sz w:val="14"/>
        <w:szCs w:val="1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3496EA" w14:textId="77777777" w:rsidR="005B0156" w:rsidRDefault="005B0156">
    <w:pPr>
      <w:widowControl w:val="0"/>
      <w:pBdr>
        <w:top w:val="nil"/>
        <w:left w:val="nil"/>
        <w:bottom w:val="nil"/>
        <w:right w:val="nil"/>
        <w:between w:val="nil"/>
      </w:pBdr>
      <w:spacing w:line="276" w:lineRule="auto"/>
      <w:jc w:val="left"/>
      <w:rPr>
        <w:color w:val="000000"/>
        <w:sz w:val="14"/>
        <w:szCs w:val="14"/>
      </w:rPr>
    </w:pPr>
  </w:p>
  <w:tbl>
    <w:tblPr>
      <w:tblStyle w:val="a3"/>
      <w:tblW w:w="6660" w:type="dxa"/>
      <w:tblInd w:w="2552" w:type="dxa"/>
      <w:tblLayout w:type="fixed"/>
      <w:tblLook w:val="0400" w:firstRow="0" w:lastRow="0" w:firstColumn="0" w:lastColumn="0" w:noHBand="0" w:noVBand="1"/>
    </w:tblPr>
    <w:tblGrid>
      <w:gridCol w:w="283"/>
      <w:gridCol w:w="6377"/>
    </w:tblGrid>
    <w:tr w:rsidR="005B0156" w14:paraId="01FD5B58" w14:textId="77777777">
      <w:trPr>
        <w:trHeight w:val="1435"/>
      </w:trPr>
      <w:tc>
        <w:tcPr>
          <w:tcW w:w="283" w:type="dxa"/>
          <w:shd w:val="clear" w:color="auto" w:fill="auto"/>
        </w:tcPr>
        <w:p w14:paraId="338E55E4" w14:textId="77777777" w:rsidR="005B0156" w:rsidRDefault="005B0156">
          <w:pPr>
            <w:tabs>
              <w:tab w:val="right" w:pos="4273"/>
            </w:tabs>
            <w:spacing w:line="240" w:lineRule="auto"/>
            <w:rPr>
              <w:rFonts w:ascii="Garamond" w:eastAsia="Garamond" w:hAnsi="Garamond" w:cs="Garamond"/>
            </w:rPr>
          </w:pPr>
        </w:p>
      </w:tc>
      <w:tc>
        <w:tcPr>
          <w:tcW w:w="6378" w:type="dxa"/>
          <w:shd w:val="clear" w:color="auto" w:fill="auto"/>
        </w:tcPr>
        <w:p w14:paraId="7681DF38" w14:textId="77777777" w:rsidR="005B0156" w:rsidRDefault="005B0156">
          <w:pPr>
            <w:widowControl w:val="0"/>
            <w:pBdr>
              <w:top w:val="nil"/>
              <w:left w:val="nil"/>
              <w:bottom w:val="nil"/>
              <w:right w:val="nil"/>
              <w:between w:val="nil"/>
            </w:pBdr>
            <w:spacing w:line="276" w:lineRule="auto"/>
            <w:jc w:val="left"/>
            <w:rPr>
              <w:rFonts w:ascii="Garamond" w:eastAsia="Garamond" w:hAnsi="Garamond" w:cs="Garamond"/>
            </w:rPr>
          </w:pPr>
        </w:p>
        <w:tbl>
          <w:tblPr>
            <w:tblStyle w:val="a4"/>
            <w:tblW w:w="9531"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gridCol w:w="3402"/>
          </w:tblGrid>
          <w:tr w:rsidR="005B0156" w14:paraId="7CA32283" w14:textId="77777777">
            <w:trPr>
              <w:trHeight w:val="144"/>
            </w:trPr>
            <w:tc>
              <w:tcPr>
                <w:tcW w:w="2727" w:type="dxa"/>
              </w:tcPr>
              <w:p w14:paraId="6F5D6DEA" w14:textId="77777777" w:rsidR="005B0156" w:rsidRDefault="000932BF">
                <w:pPr>
                  <w:tabs>
                    <w:tab w:val="right" w:pos="8838"/>
                  </w:tabs>
                  <w:ind w:left="-74" w:right="-105"/>
                  <w:rPr>
                    <w:b/>
                    <w:bCs/>
                  </w:rPr>
                </w:pPr>
                <w:bookmarkStart w:id="0" w:name="_heading=h.n03bfdg61ymm" w:colFirst="0" w:colLast="0"/>
                <w:bookmarkEnd w:id="0"/>
                <w:r>
                  <w:rPr>
                    <w:b/>
                    <w:bCs/>
                  </w:rPr>
                  <w:t>Recurso de Revisión:</w:t>
                </w:r>
              </w:p>
            </w:tc>
            <w:tc>
              <w:tcPr>
                <w:tcW w:w="3402" w:type="dxa"/>
              </w:tcPr>
              <w:p w14:paraId="6E4E8C89" w14:textId="77777777" w:rsidR="005B0156" w:rsidRDefault="000932BF">
                <w:pPr>
                  <w:tabs>
                    <w:tab w:val="right" w:pos="8838"/>
                  </w:tabs>
                  <w:ind w:left="-74" w:right="-105"/>
                </w:pPr>
                <w:r>
                  <w:t>13037/INFOEM/IP/RR/2025</w:t>
                </w:r>
              </w:p>
            </w:tc>
            <w:tc>
              <w:tcPr>
                <w:tcW w:w="3402" w:type="dxa"/>
              </w:tcPr>
              <w:p w14:paraId="56725E93" w14:textId="77777777" w:rsidR="005B0156" w:rsidRDefault="005B0156">
                <w:pPr>
                  <w:tabs>
                    <w:tab w:val="right" w:pos="8838"/>
                  </w:tabs>
                  <w:ind w:left="-74" w:right="-105"/>
                </w:pPr>
              </w:p>
            </w:tc>
          </w:tr>
          <w:tr w:rsidR="005B0156" w14:paraId="19563890" w14:textId="77777777">
            <w:trPr>
              <w:trHeight w:val="144"/>
            </w:trPr>
            <w:tc>
              <w:tcPr>
                <w:tcW w:w="2727" w:type="dxa"/>
              </w:tcPr>
              <w:p w14:paraId="196FF820" w14:textId="77777777" w:rsidR="005B0156" w:rsidRDefault="000932BF">
                <w:pPr>
                  <w:tabs>
                    <w:tab w:val="right" w:pos="8838"/>
                  </w:tabs>
                  <w:ind w:left="-74" w:right="-105"/>
                  <w:rPr>
                    <w:b/>
                    <w:bCs/>
                  </w:rPr>
                </w:pPr>
                <w:bookmarkStart w:id="1" w:name="_heading=h.z3c04x425ox3" w:colFirst="0" w:colLast="0"/>
                <w:bookmarkEnd w:id="1"/>
                <w:r>
                  <w:rPr>
                    <w:b/>
                    <w:bCs/>
                  </w:rPr>
                  <w:t>Recurrente:</w:t>
                </w:r>
              </w:p>
            </w:tc>
            <w:tc>
              <w:tcPr>
                <w:tcW w:w="3402" w:type="dxa"/>
              </w:tcPr>
              <w:p w14:paraId="778E92E7" w14:textId="5177C171" w:rsidR="005B0156" w:rsidRDefault="007013F1">
                <w:pPr>
                  <w:tabs>
                    <w:tab w:val="left" w:pos="3122"/>
                    <w:tab w:val="right" w:pos="8838"/>
                  </w:tabs>
                  <w:ind w:left="-105" w:right="-105"/>
                </w:pPr>
                <w:r>
                  <w:t>XXXXXXX</w:t>
                </w:r>
                <w:r w:rsidR="000932BF">
                  <w:tab/>
                </w:r>
              </w:p>
            </w:tc>
            <w:tc>
              <w:tcPr>
                <w:tcW w:w="3402" w:type="dxa"/>
              </w:tcPr>
              <w:p w14:paraId="33A6995C" w14:textId="77777777" w:rsidR="005B0156" w:rsidRDefault="005B0156">
                <w:pPr>
                  <w:tabs>
                    <w:tab w:val="left" w:pos="3122"/>
                    <w:tab w:val="right" w:pos="8838"/>
                  </w:tabs>
                  <w:ind w:left="-105" w:right="-105"/>
                </w:pPr>
              </w:p>
            </w:tc>
          </w:tr>
          <w:tr w:rsidR="005B0156" w14:paraId="0CBE8FE0" w14:textId="77777777">
            <w:trPr>
              <w:trHeight w:val="283"/>
            </w:trPr>
            <w:tc>
              <w:tcPr>
                <w:tcW w:w="2727" w:type="dxa"/>
              </w:tcPr>
              <w:p w14:paraId="1BC4B37F" w14:textId="77777777" w:rsidR="005B0156" w:rsidRDefault="000932BF">
                <w:pPr>
                  <w:tabs>
                    <w:tab w:val="right" w:pos="8838"/>
                  </w:tabs>
                  <w:ind w:left="-74" w:right="-105"/>
                  <w:rPr>
                    <w:b/>
                    <w:bCs/>
                  </w:rPr>
                </w:pPr>
                <w:r>
                  <w:rPr>
                    <w:b/>
                    <w:bCs/>
                  </w:rPr>
                  <w:t>Sujeto Obligado:</w:t>
                </w:r>
              </w:p>
            </w:tc>
            <w:tc>
              <w:tcPr>
                <w:tcW w:w="3402" w:type="dxa"/>
              </w:tcPr>
              <w:p w14:paraId="6426D80A" w14:textId="77777777" w:rsidR="005B0156" w:rsidRDefault="000932BF">
                <w:pPr>
                  <w:tabs>
                    <w:tab w:val="left" w:pos="2834"/>
                    <w:tab w:val="right" w:pos="8838"/>
                  </w:tabs>
                  <w:ind w:left="-108" w:right="-105"/>
                </w:pPr>
                <w:r>
                  <w:t>Ayuntamiento de Tepotzotlán</w:t>
                </w:r>
              </w:p>
            </w:tc>
            <w:tc>
              <w:tcPr>
                <w:tcW w:w="3402" w:type="dxa"/>
              </w:tcPr>
              <w:p w14:paraId="413AEDB8" w14:textId="77777777" w:rsidR="005B0156" w:rsidRDefault="005B0156">
                <w:pPr>
                  <w:tabs>
                    <w:tab w:val="left" w:pos="2834"/>
                    <w:tab w:val="right" w:pos="8838"/>
                  </w:tabs>
                  <w:ind w:left="-108" w:right="-105"/>
                </w:pPr>
              </w:p>
            </w:tc>
          </w:tr>
          <w:tr w:rsidR="005B0156" w14:paraId="2A7B45C1" w14:textId="77777777">
            <w:trPr>
              <w:trHeight w:val="283"/>
            </w:trPr>
            <w:tc>
              <w:tcPr>
                <w:tcW w:w="2727" w:type="dxa"/>
              </w:tcPr>
              <w:p w14:paraId="05A24AA9" w14:textId="77777777" w:rsidR="005B0156" w:rsidRDefault="000932BF">
                <w:pPr>
                  <w:tabs>
                    <w:tab w:val="right" w:pos="8838"/>
                  </w:tabs>
                  <w:ind w:left="-74" w:right="-105"/>
                  <w:rPr>
                    <w:b/>
                    <w:bCs/>
                  </w:rPr>
                </w:pPr>
                <w:r>
                  <w:rPr>
                    <w:b/>
                    <w:bCs/>
                  </w:rPr>
                  <w:t>Comisionada Ponente:</w:t>
                </w:r>
              </w:p>
            </w:tc>
            <w:tc>
              <w:tcPr>
                <w:tcW w:w="3402" w:type="dxa"/>
              </w:tcPr>
              <w:p w14:paraId="3E16F768" w14:textId="77777777" w:rsidR="005B0156" w:rsidRDefault="000932BF">
                <w:pPr>
                  <w:tabs>
                    <w:tab w:val="right" w:pos="8838"/>
                  </w:tabs>
                  <w:ind w:left="-108" w:right="-105"/>
                </w:pPr>
                <w:r>
                  <w:t>Sharon Cristina Morales Martínez</w:t>
                </w:r>
              </w:p>
            </w:tc>
            <w:tc>
              <w:tcPr>
                <w:tcW w:w="3402" w:type="dxa"/>
              </w:tcPr>
              <w:p w14:paraId="121E2B99" w14:textId="77777777" w:rsidR="005B0156" w:rsidRDefault="005B0156">
                <w:pPr>
                  <w:tabs>
                    <w:tab w:val="right" w:pos="8838"/>
                  </w:tabs>
                  <w:ind w:left="-108" w:right="-105"/>
                </w:pPr>
              </w:p>
            </w:tc>
          </w:tr>
        </w:tbl>
        <w:p w14:paraId="562FC74B" w14:textId="77777777" w:rsidR="005B0156" w:rsidRDefault="005B0156">
          <w:pPr>
            <w:tabs>
              <w:tab w:val="right" w:pos="8838"/>
            </w:tabs>
            <w:spacing w:line="240" w:lineRule="auto"/>
            <w:ind w:left="-28"/>
            <w:rPr>
              <w:rFonts w:ascii="Arial" w:eastAsia="Arial" w:hAnsi="Arial" w:cs="Arial"/>
              <w:b/>
              <w:bCs/>
            </w:rPr>
          </w:pPr>
        </w:p>
      </w:tc>
    </w:tr>
  </w:tbl>
  <w:p w14:paraId="6FA6034D" w14:textId="77777777" w:rsidR="005B0156" w:rsidRDefault="000623BC">
    <w:pPr>
      <w:pBdr>
        <w:top w:val="nil"/>
        <w:left w:val="nil"/>
        <w:bottom w:val="nil"/>
        <w:right w:val="nil"/>
        <w:between w:val="nil"/>
      </w:pBdr>
      <w:tabs>
        <w:tab w:val="center" w:pos="4419"/>
        <w:tab w:val="right" w:pos="8838"/>
        <w:tab w:val="left" w:pos="2957"/>
      </w:tabs>
      <w:rPr>
        <w:color w:val="000000"/>
      </w:rPr>
    </w:pPr>
    <w:r>
      <w:rPr>
        <w:color w:val="000000"/>
        <w:sz w:val="36"/>
        <w:szCs w:val="36"/>
      </w:rPr>
      <w:pict w14:anchorId="4522D6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81.65pt;margin-top:-129.75pt;width:663.5pt;height:12in;z-index:-251658240;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46B2A"/>
    <w:multiLevelType w:val="multilevel"/>
    <w:tmpl w:val="0590A8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844512C"/>
    <w:multiLevelType w:val="multilevel"/>
    <w:tmpl w:val="B5864EE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0156"/>
    <w:rsid w:val="000623BC"/>
    <w:rsid w:val="000932BF"/>
    <w:rsid w:val="003C4D58"/>
    <w:rsid w:val="005945E1"/>
    <w:rsid w:val="005B0156"/>
    <w:rsid w:val="007013F1"/>
    <w:rsid w:val="00736540"/>
    <w:rsid w:val="007F70D2"/>
    <w:rsid w:val="00EF5605"/>
    <w:rsid w:val="00F62718"/>
    <w:rsid w:val="00FA71F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4EFE589"/>
  <w15:docId w15:val="{131C2B1F-2D56-4052-BB73-5E12B771D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alatino Linotype" w:eastAsia="Palatino Linotype" w:hAnsi="Palatino Linotype" w:cs="Palatino Linotype"/>
        <w:sz w:val="22"/>
        <w:szCs w:val="22"/>
        <w:lang w:val="es-MX" w:eastAsia="es-MX"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jc w:val="center"/>
      <w:outlineLvl w:val="0"/>
    </w:pPr>
    <w:rPr>
      <w:b/>
      <w:bCs/>
    </w:rPr>
  </w:style>
  <w:style w:type="paragraph" w:styleId="Ttulo2">
    <w:name w:val="heading 2"/>
    <w:basedOn w:val="Normal"/>
    <w:next w:val="Normal"/>
    <w:uiPriority w:val="9"/>
    <w:unhideWhenUsed/>
    <w:qFormat/>
    <w:pPr>
      <w:keepNext/>
      <w:keepLines/>
      <w:outlineLvl w:val="1"/>
    </w:pPr>
    <w:rPr>
      <w:b/>
      <w:bCs/>
    </w:rPr>
  </w:style>
  <w:style w:type="paragraph" w:styleId="Ttulo3">
    <w:name w:val="heading 3"/>
    <w:basedOn w:val="Normal"/>
    <w:next w:val="Normal"/>
    <w:uiPriority w:val="9"/>
    <w:unhideWhenUsed/>
    <w:qFormat/>
    <w:pPr>
      <w:keepNext/>
      <w:keepLines/>
      <w:spacing w:line="480" w:lineRule="auto"/>
      <w:jc w:val="left"/>
      <w:outlineLvl w:val="2"/>
    </w:pPr>
    <w:rPr>
      <w:b/>
      <w:bCs/>
    </w:rPr>
  </w:style>
  <w:style w:type="paragraph" w:styleId="Ttulo4">
    <w:name w:val="heading 4"/>
    <w:basedOn w:val="Normal"/>
    <w:next w:val="Normal"/>
    <w:uiPriority w:val="9"/>
    <w:semiHidden/>
    <w:unhideWhenUsed/>
    <w:qFormat/>
    <w:pPr>
      <w:keepNext/>
      <w:keepLines/>
      <w:spacing w:before="80" w:after="40"/>
      <w:outlineLvl w:val="3"/>
    </w:pPr>
    <w:rPr>
      <w:i/>
      <w:iCs/>
      <w:color w:val="0F4761"/>
    </w:rPr>
  </w:style>
  <w:style w:type="paragraph" w:styleId="Ttulo5">
    <w:name w:val="heading 5"/>
    <w:basedOn w:val="Normal"/>
    <w:next w:val="Normal"/>
    <w:uiPriority w:val="9"/>
    <w:semiHidden/>
    <w:unhideWhenUsed/>
    <w:qFormat/>
    <w:pPr>
      <w:keepNext/>
      <w:keepLines/>
      <w:spacing w:before="80" w:after="40"/>
      <w:outlineLvl w:val="4"/>
    </w:pPr>
    <w:rPr>
      <w:color w:val="0F4761"/>
    </w:rPr>
  </w:style>
  <w:style w:type="paragraph" w:styleId="Ttulo6">
    <w:name w:val="heading 6"/>
    <w:basedOn w:val="Normal"/>
    <w:next w:val="Normal"/>
    <w:uiPriority w:val="9"/>
    <w:semiHidden/>
    <w:unhideWhenUsed/>
    <w:qFormat/>
    <w:pPr>
      <w:keepNext/>
      <w:keepLines/>
      <w:spacing w:before="40"/>
      <w:outlineLvl w:val="5"/>
    </w:pPr>
    <w:rPr>
      <w:i/>
      <w:iCs/>
      <w:color w:val="595959"/>
    </w:rPr>
  </w:style>
  <w:style w:type="paragraph" w:styleId="Ttulo7">
    <w:name w:val="heading 7"/>
    <w:basedOn w:val="Normal"/>
    <w:next w:val="Normal"/>
    <w:link w:val="Ttulo7Car"/>
    <w:uiPriority w:val="9"/>
    <w:semiHidden/>
    <w:unhideWhenUsed/>
    <w:qFormat/>
    <w:rsid w:val="0066442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442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442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uiPriority w:val="10"/>
    <w:qFormat/>
    <w:pPr>
      <w:pBdr>
        <w:top w:val="nil"/>
        <w:left w:val="nil"/>
        <w:bottom w:val="nil"/>
        <w:right w:val="nil"/>
        <w:between w:val="nil"/>
      </w:pBdr>
      <w:spacing w:line="240" w:lineRule="auto"/>
      <w:ind w:left="567" w:right="567" w:hanging="567"/>
    </w:pPr>
    <w:rPr>
      <w:i/>
      <w:iCs/>
      <w:color w:val="000000"/>
    </w:rPr>
  </w:style>
  <w:style w:type="table" w:customStyle="1" w:styleId="TableNormal0">
    <w:name w:val="TableNormal"/>
    <w:tblPr>
      <w:tblCellMar>
        <w:top w:w="100" w:type="dxa"/>
        <w:left w:w="100" w:type="dxa"/>
        <w:bottom w:w="100" w:type="dxa"/>
        <w:right w:w="100" w:type="dxa"/>
      </w:tblCellMar>
    </w:tblPr>
  </w:style>
  <w:style w:type="character" w:customStyle="1" w:styleId="Ttulo1Car">
    <w:name w:val="Título 1 Car"/>
    <w:basedOn w:val="Fuentedeprrafopredeter"/>
    <w:uiPriority w:val="9"/>
    <w:rsid w:val="00664420"/>
    <w:rPr>
      <w:rFonts w:ascii="Palatino Linotype" w:eastAsiaTheme="majorEastAsia" w:hAnsi="Palatino Linotype" w:cstheme="majorBidi"/>
      <w:b/>
      <w:kern w:val="0"/>
      <w:szCs w:val="40"/>
      <w:lang w:eastAsia="es-ES"/>
    </w:rPr>
  </w:style>
  <w:style w:type="character" w:customStyle="1" w:styleId="Ttulo2Car">
    <w:name w:val="Título 2 Car"/>
    <w:basedOn w:val="Fuentedeprrafopredeter"/>
    <w:uiPriority w:val="9"/>
    <w:rsid w:val="00664420"/>
    <w:rPr>
      <w:rFonts w:ascii="Palatino Linotype" w:eastAsiaTheme="majorEastAsia" w:hAnsi="Palatino Linotype" w:cstheme="majorBidi"/>
      <w:b/>
      <w:kern w:val="0"/>
      <w:szCs w:val="32"/>
      <w:lang w:eastAsia="es-ES"/>
    </w:rPr>
  </w:style>
  <w:style w:type="character" w:customStyle="1" w:styleId="Ttulo3Car">
    <w:name w:val="Título 3 Car"/>
    <w:basedOn w:val="Fuentedeprrafopredeter"/>
    <w:uiPriority w:val="9"/>
    <w:rsid w:val="00AE3DA7"/>
    <w:rPr>
      <w:rFonts w:ascii="Palatino Linotype" w:eastAsiaTheme="majorEastAsia" w:hAnsi="Palatino Linotype" w:cstheme="majorBidi"/>
      <w:b/>
      <w:kern w:val="0"/>
      <w:szCs w:val="28"/>
      <w:lang w:eastAsia="es-ES"/>
    </w:rPr>
  </w:style>
  <w:style w:type="character" w:customStyle="1" w:styleId="Ttulo4Car">
    <w:name w:val="Título 4 Car"/>
    <w:basedOn w:val="Fuentedeprrafopredeter"/>
    <w:uiPriority w:val="9"/>
    <w:semiHidden/>
    <w:rsid w:val="00664420"/>
    <w:rPr>
      <w:rFonts w:eastAsiaTheme="majorEastAsia" w:cstheme="majorBidi"/>
      <w:i/>
      <w:iCs/>
      <w:color w:val="0F4761" w:themeColor="accent1" w:themeShade="BF"/>
    </w:rPr>
  </w:style>
  <w:style w:type="character" w:customStyle="1" w:styleId="Ttulo5Car">
    <w:name w:val="Título 5 Car"/>
    <w:basedOn w:val="Fuentedeprrafopredeter"/>
    <w:uiPriority w:val="9"/>
    <w:semiHidden/>
    <w:rsid w:val="00664420"/>
    <w:rPr>
      <w:rFonts w:eastAsiaTheme="majorEastAsia" w:cstheme="majorBidi"/>
      <w:color w:val="0F4761" w:themeColor="accent1" w:themeShade="BF"/>
    </w:rPr>
  </w:style>
  <w:style w:type="character" w:customStyle="1" w:styleId="Ttulo6Car">
    <w:name w:val="Título 6 Car"/>
    <w:basedOn w:val="Fuentedeprrafopredeter"/>
    <w:uiPriority w:val="9"/>
    <w:semiHidden/>
    <w:rsid w:val="0066442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442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442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4420"/>
    <w:rPr>
      <w:rFonts w:eastAsiaTheme="majorEastAsia" w:cstheme="majorBidi"/>
      <w:color w:val="272727" w:themeColor="text1" w:themeTint="D8"/>
    </w:rPr>
  </w:style>
  <w:style w:type="character" w:customStyle="1" w:styleId="TtuloCar">
    <w:name w:val="Título Car"/>
    <w:aliases w:val="Cita textual Car"/>
    <w:basedOn w:val="Fuentedeprrafopredeter"/>
    <w:uiPriority w:val="10"/>
    <w:rsid w:val="002B7C6F"/>
    <w:rPr>
      <w:rFonts w:ascii="Palatino Linotype" w:eastAsiaTheme="majorEastAsia" w:hAnsi="Palatino Linotype" w:cstheme="majorBidi"/>
      <w:i/>
      <w:kern w:val="28"/>
      <w:szCs w:val="56"/>
      <w:lang w:eastAsia="es-ES"/>
    </w:rPr>
  </w:style>
  <w:style w:type="character" w:customStyle="1" w:styleId="SubttuloCar">
    <w:name w:val="Subtítulo Car"/>
    <w:basedOn w:val="Fuentedeprrafopredeter"/>
    <w:uiPriority w:val="11"/>
    <w:rsid w:val="0066442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4420"/>
    <w:pPr>
      <w:spacing w:before="160"/>
      <w:jc w:val="center"/>
    </w:pPr>
    <w:rPr>
      <w:i/>
      <w:iCs/>
      <w:color w:val="404040" w:themeColor="text1" w:themeTint="BF"/>
    </w:rPr>
  </w:style>
  <w:style w:type="character" w:customStyle="1" w:styleId="CitaCar">
    <w:name w:val="Cita Car"/>
    <w:basedOn w:val="Fuentedeprrafopredeter"/>
    <w:link w:val="Cita"/>
    <w:uiPriority w:val="29"/>
    <w:rsid w:val="00664420"/>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64420"/>
    <w:pPr>
      <w:ind w:left="720"/>
      <w:contextualSpacing/>
    </w:pPr>
  </w:style>
  <w:style w:type="character" w:styleId="nfasisintenso">
    <w:name w:val="Intense Emphasis"/>
    <w:basedOn w:val="Fuentedeprrafopredeter"/>
    <w:uiPriority w:val="21"/>
    <w:qFormat/>
    <w:rsid w:val="00664420"/>
    <w:rPr>
      <w:i/>
      <w:iCs/>
      <w:color w:val="0F4761" w:themeColor="accent1" w:themeShade="BF"/>
    </w:rPr>
  </w:style>
  <w:style w:type="paragraph" w:styleId="Citadestacada">
    <w:name w:val="Intense Quote"/>
    <w:basedOn w:val="Normal"/>
    <w:next w:val="Normal"/>
    <w:link w:val="CitadestacadaCar"/>
    <w:uiPriority w:val="30"/>
    <w:qFormat/>
    <w:rsid w:val="006644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64420"/>
    <w:rPr>
      <w:i/>
      <w:iCs/>
      <w:color w:val="0F4761" w:themeColor="accent1" w:themeShade="BF"/>
    </w:rPr>
  </w:style>
  <w:style w:type="character" w:styleId="Referenciaintensa">
    <w:name w:val="Intense Reference"/>
    <w:basedOn w:val="Fuentedeprrafopredeter"/>
    <w:uiPriority w:val="32"/>
    <w:qFormat/>
    <w:rsid w:val="00664420"/>
    <w:rPr>
      <w:b/>
      <w:bCs/>
      <w:smallCaps/>
      <w:color w:val="0F4761" w:themeColor="accent1" w:themeShade="BF"/>
      <w:spacing w:val="5"/>
    </w:rPr>
  </w:style>
  <w:style w:type="paragraph" w:styleId="Encabezado">
    <w:name w:val="header"/>
    <w:basedOn w:val="Normal"/>
    <w:link w:val="EncabezadoCar"/>
    <w:uiPriority w:val="99"/>
    <w:unhideWhenUsed/>
    <w:rsid w:val="00664420"/>
    <w:pPr>
      <w:tabs>
        <w:tab w:val="center" w:pos="4419"/>
        <w:tab w:val="right" w:pos="8838"/>
      </w:tabs>
    </w:pPr>
  </w:style>
  <w:style w:type="character" w:customStyle="1" w:styleId="EncabezadoCar">
    <w:name w:val="Encabezado Car"/>
    <w:basedOn w:val="Fuentedeprrafopredeter"/>
    <w:link w:val="Encabezado"/>
    <w:uiPriority w:val="99"/>
    <w:rsid w:val="00664420"/>
    <w:rPr>
      <w:rFonts w:ascii="Times New Roman" w:eastAsia="Times New Roman" w:hAnsi="Times New Roman" w:cs="Times New Roman"/>
      <w:kern w:val="0"/>
      <w:sz w:val="20"/>
      <w:szCs w:val="20"/>
      <w:lang w:eastAsia="es-ES"/>
    </w:rPr>
  </w:style>
  <w:style w:type="paragraph" w:styleId="Piedepgina">
    <w:name w:val="footer"/>
    <w:basedOn w:val="Normal"/>
    <w:link w:val="PiedepginaCar"/>
    <w:uiPriority w:val="99"/>
    <w:unhideWhenUsed/>
    <w:rsid w:val="00664420"/>
    <w:pPr>
      <w:tabs>
        <w:tab w:val="center" w:pos="4419"/>
        <w:tab w:val="right" w:pos="8838"/>
      </w:tabs>
    </w:pPr>
  </w:style>
  <w:style w:type="character" w:customStyle="1" w:styleId="PiedepginaCar">
    <w:name w:val="Pie de página Car"/>
    <w:basedOn w:val="Fuentedeprrafopredeter"/>
    <w:link w:val="Piedepgina"/>
    <w:uiPriority w:val="99"/>
    <w:rsid w:val="00664420"/>
    <w:rPr>
      <w:rFonts w:ascii="Times New Roman" w:eastAsia="Times New Roman" w:hAnsi="Times New Roman" w:cs="Times New Roman"/>
      <w:kern w:val="0"/>
      <w:sz w:val="20"/>
      <w:szCs w:val="20"/>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664420"/>
  </w:style>
  <w:style w:type="table" w:styleId="Tablaconcuadrcula">
    <w:name w:val="Table Grid"/>
    <w:basedOn w:val="Tablanormal"/>
    <w:uiPriority w:val="59"/>
    <w:rsid w:val="00664420"/>
    <w:pPr>
      <w:spacing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uentedeprrafopredeter"/>
    <w:rsid w:val="00664420"/>
  </w:style>
  <w:style w:type="paragraph" w:customStyle="1" w:styleId="paragraph">
    <w:name w:val="paragraph"/>
    <w:basedOn w:val="Normal"/>
    <w:rsid w:val="00664420"/>
    <w:pPr>
      <w:spacing w:before="100" w:beforeAutospacing="1" w:after="100" w:afterAutospacing="1"/>
    </w:pPr>
    <w:rPr>
      <w:sz w:val="24"/>
      <w:szCs w:val="24"/>
    </w:rPr>
  </w:style>
  <w:style w:type="paragraph" w:styleId="TtulodeTDC">
    <w:name w:val="TOC Heading"/>
    <w:next w:val="Normal"/>
    <w:uiPriority w:val="39"/>
    <w:unhideWhenUsed/>
    <w:qFormat/>
    <w:rsid w:val="00AE3DA7"/>
    <w:pPr>
      <w:spacing w:before="240" w:line="259" w:lineRule="auto"/>
      <w:jc w:val="left"/>
    </w:pPr>
    <w:rPr>
      <w:rFonts w:asciiTheme="majorHAnsi" w:hAnsiTheme="majorHAnsi"/>
      <w:color w:val="0F4761" w:themeColor="accent1" w:themeShade="BF"/>
      <w:sz w:val="32"/>
      <w:szCs w:val="32"/>
    </w:rPr>
  </w:style>
  <w:style w:type="paragraph" w:styleId="TDC1">
    <w:name w:val="toc 1"/>
    <w:basedOn w:val="Normal"/>
    <w:next w:val="Normal"/>
    <w:autoRedefine/>
    <w:uiPriority w:val="39"/>
    <w:unhideWhenUsed/>
    <w:rsid w:val="00AE3DA7"/>
    <w:pPr>
      <w:spacing w:after="100"/>
    </w:pPr>
  </w:style>
  <w:style w:type="paragraph" w:styleId="TDC2">
    <w:name w:val="toc 2"/>
    <w:basedOn w:val="Normal"/>
    <w:next w:val="Normal"/>
    <w:autoRedefine/>
    <w:uiPriority w:val="39"/>
    <w:unhideWhenUsed/>
    <w:rsid w:val="00A16D85"/>
    <w:pPr>
      <w:tabs>
        <w:tab w:val="right" w:leader="dot" w:pos="9034"/>
      </w:tabs>
      <w:spacing w:after="100" w:line="240" w:lineRule="auto"/>
      <w:ind w:left="220"/>
    </w:pPr>
  </w:style>
  <w:style w:type="paragraph" w:styleId="TDC3">
    <w:name w:val="toc 3"/>
    <w:basedOn w:val="Normal"/>
    <w:next w:val="Normal"/>
    <w:autoRedefine/>
    <w:uiPriority w:val="39"/>
    <w:unhideWhenUsed/>
    <w:rsid w:val="00A16D85"/>
    <w:pPr>
      <w:tabs>
        <w:tab w:val="right" w:leader="dot" w:pos="9034"/>
      </w:tabs>
      <w:spacing w:after="100" w:line="240" w:lineRule="auto"/>
      <w:ind w:left="440"/>
    </w:pPr>
  </w:style>
  <w:style w:type="character" w:styleId="Hipervnculo">
    <w:name w:val="Hyperlink"/>
    <w:basedOn w:val="Fuentedeprrafopredeter"/>
    <w:uiPriority w:val="99"/>
    <w:unhideWhenUsed/>
    <w:rsid w:val="00AE3DA7"/>
    <w:rPr>
      <w:color w:val="467886" w:themeColor="hyperlink"/>
      <w:u w:val="single"/>
    </w:rPr>
  </w:style>
  <w:style w:type="paragraph" w:styleId="Revisin">
    <w:name w:val="Revision"/>
    <w:hidden/>
    <w:uiPriority w:val="99"/>
    <w:semiHidden/>
    <w:rsid w:val="008A6F88"/>
    <w:pPr>
      <w:spacing w:line="240" w:lineRule="auto"/>
    </w:pPr>
    <w:rPr>
      <w:rFonts w:eastAsia="Times New Roman" w:cs="Times New Roman"/>
      <w:szCs w:val="20"/>
      <w:lang w:eastAsia="es-ES"/>
    </w:rPr>
  </w:style>
  <w:style w:type="character" w:styleId="Refdecomentario">
    <w:name w:val="annotation reference"/>
    <w:basedOn w:val="Fuentedeprrafopredeter"/>
    <w:uiPriority w:val="99"/>
    <w:semiHidden/>
    <w:unhideWhenUsed/>
    <w:rsid w:val="007B6074"/>
    <w:rPr>
      <w:sz w:val="16"/>
      <w:szCs w:val="16"/>
    </w:rPr>
  </w:style>
  <w:style w:type="paragraph" w:styleId="Textocomentario">
    <w:name w:val="annotation text"/>
    <w:basedOn w:val="Normal"/>
    <w:link w:val="TextocomentarioCar"/>
    <w:uiPriority w:val="99"/>
    <w:unhideWhenUsed/>
    <w:rsid w:val="007B6074"/>
    <w:pPr>
      <w:spacing w:line="240" w:lineRule="auto"/>
    </w:pPr>
    <w:rPr>
      <w:sz w:val="20"/>
    </w:rPr>
  </w:style>
  <w:style w:type="character" w:customStyle="1" w:styleId="TextocomentarioCar">
    <w:name w:val="Texto comentario Car"/>
    <w:basedOn w:val="Fuentedeprrafopredeter"/>
    <w:link w:val="Textocomentario"/>
    <w:uiPriority w:val="99"/>
    <w:rsid w:val="007B6074"/>
    <w:rPr>
      <w:rFonts w:ascii="Palatino Linotype" w:eastAsia="Times New Roman" w:hAnsi="Palatino Linotype" w:cs="Times New Roman"/>
      <w:kern w:val="0"/>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7B6074"/>
    <w:rPr>
      <w:b/>
      <w:bCs/>
    </w:rPr>
  </w:style>
  <w:style w:type="character" w:customStyle="1" w:styleId="AsuntodelcomentarioCar">
    <w:name w:val="Asunto del comentario Car"/>
    <w:basedOn w:val="TextocomentarioCar"/>
    <w:link w:val="Asuntodelcomentario"/>
    <w:uiPriority w:val="99"/>
    <w:semiHidden/>
    <w:rsid w:val="007B6074"/>
    <w:rPr>
      <w:rFonts w:ascii="Palatino Linotype" w:eastAsia="Times New Roman" w:hAnsi="Palatino Linotype" w:cs="Times New Roman"/>
      <w:b/>
      <w:bCs/>
      <w:kern w:val="0"/>
      <w:sz w:val="20"/>
      <w:szCs w:val="20"/>
      <w:lang w:eastAsia="es-ES"/>
    </w:rPr>
  </w:style>
  <w:style w:type="paragraph" w:styleId="Sinespaciado">
    <w:name w:val="No Spacing"/>
    <w:uiPriority w:val="1"/>
    <w:qFormat/>
    <w:rsid w:val="00AF03C4"/>
    <w:pPr>
      <w:spacing w:line="240" w:lineRule="auto"/>
    </w:pPr>
    <w:rPr>
      <w:rFonts w:eastAsia="Times New Roman" w:cs="Times New Roman"/>
      <w:szCs w:val="20"/>
      <w:lang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34218F"/>
    <w:pPr>
      <w:spacing w:line="240" w:lineRule="auto"/>
      <w:jc w:val="left"/>
    </w:pPr>
    <w:rPr>
      <w:rFonts w:asciiTheme="minorHAnsi" w:eastAsiaTheme="minorHAnsi" w:hAnsiTheme="minorHAnsi" w:cstheme="minorBidi"/>
      <w:sz w:val="20"/>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34218F"/>
    <w:rPr>
      <w:kern w:val="0"/>
      <w:sz w:val="20"/>
      <w:szCs w:val="20"/>
    </w:rPr>
  </w:style>
  <w:style w:type="character" w:styleId="Refdenotaalpie">
    <w:name w:val="footnote reference"/>
    <w:aliases w:val="Ref. de nota al pie 2,Footnotes refss,Texto de nota al pie,Appel note de bas de page,referencia nota al pie,BVI fnr,Footnote number,4_G,16 Point,Superscript 6 Point,Texto nota al pie,Footnote Reference Char3,Ref,de nota al pie,註腳內容"/>
    <w:basedOn w:val="Fuentedeprrafopredeter"/>
    <w:uiPriority w:val="99"/>
    <w:unhideWhenUsed/>
    <w:qFormat/>
    <w:rsid w:val="0034218F"/>
    <w:rPr>
      <w:vertAlign w:val="superscript"/>
    </w:rPr>
  </w:style>
  <w:style w:type="table" w:customStyle="1" w:styleId="a">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pPr>
      <w:spacing w:line="240" w:lineRule="auto"/>
    </w:pPr>
    <w:tblPr>
      <w:tblStyleRowBandSize w:val="1"/>
      <w:tblStyleColBandSize w:val="1"/>
      <w:tblCellMar>
        <w:top w:w="0" w:type="dxa"/>
        <w:left w:w="108" w:type="dxa"/>
        <w:bottom w:w="0" w:type="dxa"/>
        <w:right w:w="108" w:type="dxa"/>
      </w:tblCellMar>
    </w:tblPr>
  </w:style>
  <w:style w:type="character" w:styleId="nfasis">
    <w:name w:val="Emphasis"/>
    <w:basedOn w:val="Fuentedeprrafopredeter"/>
    <w:uiPriority w:val="20"/>
    <w:qFormat/>
    <w:rsid w:val="00777CD6"/>
    <w:rPr>
      <w:i/>
      <w:iCs/>
    </w:rPr>
  </w:style>
  <w:style w:type="paragraph" w:styleId="Subttulo">
    <w:name w:val="Subtitle"/>
    <w:basedOn w:val="Normal"/>
    <w:next w:val="Normal"/>
    <w:uiPriority w:val="11"/>
    <w:qFormat/>
    <w:rPr>
      <w:color w:val="595959"/>
      <w:sz w:val="28"/>
      <w:szCs w:val="28"/>
    </w:rPr>
  </w:style>
  <w:style w:type="table" w:customStyle="1" w:styleId="a2">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3">
    <w:basedOn w:val="TableNormal0"/>
    <w:tblPr>
      <w:tblStyleRowBandSize w:val="1"/>
      <w:tblStyleColBandSize w:val="1"/>
      <w:tblCellMar>
        <w:top w:w="0" w:type="dxa"/>
        <w:left w:w="115" w:type="dxa"/>
        <w:bottom w:w="0" w:type="dxa"/>
        <w:right w:w="115" w:type="dxa"/>
      </w:tblCellMar>
    </w:tblPr>
  </w:style>
  <w:style w:type="table" w:customStyle="1" w:styleId="a4">
    <w:basedOn w:val="TableNormal0"/>
    <w:pPr>
      <w:spacing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sz6O4SoH8NwegiCdKFozPpJ356g==">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31</Pages>
  <Words>8124</Words>
  <Characters>44682</Characters>
  <Application>Microsoft Office Word</Application>
  <DocSecurity>0</DocSecurity>
  <Lines>372</Lines>
  <Paragraphs>105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52701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Alan Gutierrez Zarate</dc:creator>
  <cp:lastModifiedBy>INFOEM628</cp:lastModifiedBy>
  <cp:revision>8</cp:revision>
  <cp:lastPrinted>2025-12-12T18:37:00Z</cp:lastPrinted>
  <dcterms:created xsi:type="dcterms:W3CDTF">2025-09-04T20:35:00Z</dcterms:created>
  <dcterms:modified xsi:type="dcterms:W3CDTF">2026-03-04T23:32:00Z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