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A74F31" w:rsidRDefault="001E3125">
      <w:pPr>
        <w:spacing w:line="360" w:lineRule="auto"/>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AA15EF" w:rsidRPr="00A74F31">
        <w:rPr>
          <w:rFonts w:ascii="Palatino Linotype" w:eastAsia="Palatino Linotype" w:hAnsi="Palatino Linotype" w:cs="Palatino Linotype"/>
          <w:sz w:val="22"/>
          <w:szCs w:val="22"/>
        </w:rPr>
        <w:t>dos de abril</w:t>
      </w:r>
      <w:r w:rsidR="00AE262A" w:rsidRPr="00A74F31">
        <w:rPr>
          <w:rFonts w:ascii="Palatino Linotype" w:eastAsia="Palatino Linotype" w:hAnsi="Palatino Linotype" w:cs="Palatino Linotype"/>
          <w:sz w:val="22"/>
          <w:szCs w:val="22"/>
        </w:rPr>
        <w:t xml:space="preserve"> de dos mil veinticinco</w:t>
      </w:r>
      <w:r w:rsidRPr="00A74F31">
        <w:rPr>
          <w:rFonts w:ascii="Palatino Linotype" w:eastAsia="Palatino Linotype" w:hAnsi="Palatino Linotype" w:cs="Palatino Linotype"/>
          <w:sz w:val="22"/>
          <w:szCs w:val="22"/>
        </w:rPr>
        <w:t>.</w:t>
      </w:r>
    </w:p>
    <w:p w:rsidR="00E94D86" w:rsidRPr="00A74F31" w:rsidRDefault="00E94D86" w:rsidP="00C82ED1">
      <w:pPr>
        <w:jc w:val="both"/>
        <w:rPr>
          <w:rFonts w:ascii="Palatino Linotype" w:eastAsia="Palatino Linotype" w:hAnsi="Palatino Linotype" w:cs="Palatino Linotype"/>
          <w:sz w:val="22"/>
          <w:szCs w:val="22"/>
        </w:rPr>
      </w:pPr>
    </w:p>
    <w:p w:rsidR="00E94D86" w:rsidRPr="00A74F31" w:rsidRDefault="001E3125">
      <w:pPr>
        <w:spacing w:line="360" w:lineRule="auto"/>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b/>
          <w:sz w:val="22"/>
          <w:szCs w:val="22"/>
        </w:rPr>
        <w:t>VISTO</w:t>
      </w:r>
      <w:r w:rsidRPr="00A74F31">
        <w:rPr>
          <w:rFonts w:ascii="Palatino Linotype" w:eastAsia="Palatino Linotype" w:hAnsi="Palatino Linotype" w:cs="Palatino Linotype"/>
          <w:sz w:val="22"/>
          <w:szCs w:val="22"/>
        </w:rPr>
        <w:t xml:space="preserve"> el expediente electrónico formado con motivo del recurso de revisión </w:t>
      </w:r>
      <w:r w:rsidR="00AA15EF" w:rsidRPr="00A74F31">
        <w:rPr>
          <w:rFonts w:ascii="Palatino Linotype" w:eastAsia="Palatino Linotype" w:hAnsi="Palatino Linotype" w:cs="Palatino Linotype"/>
          <w:b/>
          <w:sz w:val="22"/>
          <w:szCs w:val="22"/>
        </w:rPr>
        <w:t>02748/INFOEM/IP/RR/2025</w:t>
      </w:r>
      <w:r w:rsidRPr="00A74F31">
        <w:rPr>
          <w:rFonts w:ascii="Palatino Linotype" w:eastAsia="Palatino Linotype" w:hAnsi="Palatino Linotype" w:cs="Palatino Linotype"/>
          <w:b/>
          <w:sz w:val="22"/>
          <w:szCs w:val="22"/>
        </w:rPr>
        <w:t xml:space="preserve">, </w:t>
      </w:r>
      <w:r w:rsidRPr="00A74F31">
        <w:rPr>
          <w:rFonts w:ascii="Palatino Linotype" w:eastAsia="Palatino Linotype" w:hAnsi="Palatino Linotype" w:cs="Palatino Linotype"/>
          <w:sz w:val="22"/>
          <w:szCs w:val="22"/>
        </w:rPr>
        <w:t>promovido por</w:t>
      </w:r>
      <w:r w:rsidR="004401C8" w:rsidRPr="00A74F31">
        <w:rPr>
          <w:rFonts w:ascii="Palatino Linotype" w:eastAsia="Palatino Linotype" w:hAnsi="Palatino Linotype" w:cs="Palatino Linotype"/>
          <w:sz w:val="22"/>
          <w:szCs w:val="22"/>
        </w:rPr>
        <w:t xml:space="preserve"> </w:t>
      </w:r>
      <w:r w:rsidR="002D1B87" w:rsidRPr="002D1B87">
        <w:rPr>
          <w:rFonts w:ascii="Palatino Linotype" w:eastAsia="Palatino Linotype" w:hAnsi="Palatino Linotype" w:cs="Palatino Linotype"/>
          <w:b/>
          <w:sz w:val="22"/>
          <w:szCs w:val="22"/>
        </w:rPr>
        <w:t>XXXX</w:t>
      </w:r>
      <w:r w:rsidR="00AA15EF" w:rsidRPr="002D1B87">
        <w:rPr>
          <w:rFonts w:ascii="Palatino Linotype" w:eastAsia="Palatino Linotype" w:hAnsi="Palatino Linotype" w:cs="Palatino Linotype"/>
          <w:b/>
          <w:sz w:val="22"/>
          <w:szCs w:val="22"/>
        </w:rPr>
        <w:t>,</w:t>
      </w:r>
      <w:r w:rsidR="00AA15EF" w:rsidRPr="00A74F31">
        <w:rPr>
          <w:rFonts w:ascii="Palatino Linotype" w:eastAsia="Palatino Linotype" w:hAnsi="Palatino Linotype" w:cs="Palatino Linotype"/>
          <w:sz w:val="22"/>
          <w:szCs w:val="22"/>
        </w:rPr>
        <w:t xml:space="preserve"> en lo sucesivo la</w:t>
      </w:r>
      <w:r w:rsidR="004401C8" w:rsidRPr="00A74F31">
        <w:rPr>
          <w:rFonts w:ascii="Palatino Linotype" w:eastAsia="Palatino Linotype" w:hAnsi="Palatino Linotype" w:cs="Palatino Linotype"/>
          <w:b/>
          <w:sz w:val="22"/>
          <w:szCs w:val="22"/>
        </w:rPr>
        <w:t xml:space="preserve"> RECURRENTE</w:t>
      </w:r>
      <w:r w:rsidRPr="00A74F31">
        <w:rPr>
          <w:rFonts w:ascii="Palatino Linotype" w:eastAsia="Palatino Linotype" w:hAnsi="Palatino Linotype" w:cs="Palatino Linotype"/>
          <w:b/>
          <w:sz w:val="22"/>
          <w:szCs w:val="22"/>
        </w:rPr>
        <w:t>,</w:t>
      </w:r>
      <w:r w:rsidRPr="00A74F31">
        <w:rPr>
          <w:rFonts w:ascii="Palatino Linotype" w:eastAsia="Palatino Linotype" w:hAnsi="Palatino Linotype" w:cs="Palatino Linotype"/>
          <w:sz w:val="22"/>
          <w:szCs w:val="22"/>
        </w:rPr>
        <w:t xml:space="preserve"> en contra de la respuesta de</w:t>
      </w:r>
      <w:r w:rsidR="00BE4003" w:rsidRPr="00A74F31">
        <w:rPr>
          <w:rFonts w:ascii="Palatino Linotype" w:eastAsia="Palatino Linotype" w:hAnsi="Palatino Linotype" w:cs="Palatino Linotype"/>
          <w:sz w:val="22"/>
          <w:szCs w:val="22"/>
        </w:rPr>
        <w:t xml:space="preserve">l </w:t>
      </w:r>
      <w:r w:rsidR="00BE4003" w:rsidRPr="00A74F31">
        <w:rPr>
          <w:rFonts w:ascii="Palatino Linotype" w:eastAsia="Palatino Linotype" w:hAnsi="Palatino Linotype" w:cs="Palatino Linotype"/>
          <w:b/>
          <w:sz w:val="22"/>
          <w:szCs w:val="22"/>
        </w:rPr>
        <w:t xml:space="preserve">Ayuntamiento de </w:t>
      </w:r>
      <w:r w:rsidR="00AA15EF" w:rsidRPr="00A74F31">
        <w:rPr>
          <w:rFonts w:ascii="Palatino Linotype" w:eastAsia="Palatino Linotype" w:hAnsi="Palatino Linotype" w:cs="Palatino Linotype"/>
          <w:b/>
          <w:sz w:val="22"/>
          <w:szCs w:val="22"/>
        </w:rPr>
        <w:t>Metepec</w:t>
      </w:r>
      <w:r w:rsidRPr="00A74F31">
        <w:rPr>
          <w:rFonts w:ascii="Palatino Linotype" w:eastAsia="Palatino Linotype" w:hAnsi="Palatino Linotype" w:cs="Palatino Linotype"/>
          <w:b/>
          <w:sz w:val="22"/>
          <w:szCs w:val="22"/>
        </w:rPr>
        <w:t xml:space="preserve">, </w:t>
      </w:r>
      <w:r w:rsidR="00AA15EF" w:rsidRPr="00A74F31">
        <w:rPr>
          <w:rFonts w:ascii="Palatino Linotype" w:eastAsia="Palatino Linotype" w:hAnsi="Palatino Linotype" w:cs="Palatino Linotype"/>
          <w:sz w:val="22"/>
          <w:szCs w:val="22"/>
        </w:rPr>
        <w:t>en lo sucesivo</w:t>
      </w:r>
      <w:r w:rsidRPr="00A74F31">
        <w:rPr>
          <w:rFonts w:ascii="Palatino Linotype" w:eastAsia="Palatino Linotype" w:hAnsi="Palatino Linotype" w:cs="Palatino Linotype"/>
          <w:sz w:val="22"/>
          <w:szCs w:val="22"/>
        </w:rPr>
        <w:t xml:space="preserve"> el</w:t>
      </w:r>
      <w:r w:rsidRPr="00A74F31">
        <w:rPr>
          <w:rFonts w:ascii="Palatino Linotype" w:eastAsia="Palatino Linotype" w:hAnsi="Palatino Linotype" w:cs="Palatino Linotype"/>
          <w:b/>
          <w:sz w:val="22"/>
          <w:szCs w:val="22"/>
        </w:rPr>
        <w:t xml:space="preserve"> SUJETO OBLIGADO</w:t>
      </w:r>
      <w:r w:rsidRPr="00A74F31">
        <w:rPr>
          <w:rFonts w:ascii="Palatino Linotype" w:eastAsia="Palatino Linotype" w:hAnsi="Palatino Linotype" w:cs="Palatino Linotype"/>
          <w:sz w:val="22"/>
          <w:szCs w:val="22"/>
        </w:rPr>
        <w:t>, por lo que se procede a dictar la presente resolución, con base en los siguientes:</w:t>
      </w:r>
    </w:p>
    <w:p w:rsidR="00E94D86" w:rsidRPr="00A74F31" w:rsidRDefault="00E94D86" w:rsidP="00C82ED1">
      <w:pPr>
        <w:jc w:val="both"/>
        <w:rPr>
          <w:rFonts w:ascii="Palatino Linotype" w:eastAsia="Palatino Linotype" w:hAnsi="Palatino Linotype" w:cs="Palatino Linotype"/>
          <w:sz w:val="22"/>
          <w:szCs w:val="22"/>
        </w:rPr>
      </w:pPr>
    </w:p>
    <w:p w:rsidR="00E94D86" w:rsidRPr="00A74F31" w:rsidRDefault="001E3125">
      <w:pPr>
        <w:keepNext/>
        <w:keepLines/>
        <w:spacing w:line="360" w:lineRule="auto"/>
        <w:jc w:val="center"/>
        <w:rPr>
          <w:rFonts w:ascii="Palatino Linotype" w:eastAsia="Palatino Linotype" w:hAnsi="Palatino Linotype" w:cs="Palatino Linotype"/>
          <w:b/>
          <w:sz w:val="22"/>
          <w:szCs w:val="22"/>
        </w:rPr>
      </w:pPr>
      <w:r w:rsidRPr="00A74F31">
        <w:rPr>
          <w:rFonts w:ascii="Palatino Linotype" w:eastAsia="Palatino Linotype" w:hAnsi="Palatino Linotype" w:cs="Palatino Linotype"/>
          <w:b/>
          <w:sz w:val="22"/>
          <w:szCs w:val="22"/>
        </w:rPr>
        <w:t>A N T E C E D E N T E S</w:t>
      </w:r>
    </w:p>
    <w:p w:rsidR="00E94D86" w:rsidRPr="00A74F31" w:rsidRDefault="00E94D86" w:rsidP="00C82ED1">
      <w:pPr>
        <w:rPr>
          <w:rFonts w:ascii="Palatino Linotype" w:eastAsia="Palatino Linotype" w:hAnsi="Palatino Linotype" w:cs="Palatino Linotype"/>
          <w:sz w:val="22"/>
          <w:szCs w:val="22"/>
        </w:rPr>
      </w:pPr>
    </w:p>
    <w:p w:rsidR="00E94D86" w:rsidRPr="00A74F31" w:rsidRDefault="001E3125">
      <w:pPr>
        <w:numPr>
          <w:ilvl w:val="0"/>
          <w:numId w:val="1"/>
        </w:numPr>
        <w:spacing w:line="360" w:lineRule="auto"/>
        <w:ind w:left="0"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 xml:space="preserve">El </w:t>
      </w:r>
      <w:r w:rsidR="00AA15EF" w:rsidRPr="00A74F31">
        <w:rPr>
          <w:rFonts w:ascii="Palatino Linotype" w:eastAsia="Palatino Linotype" w:hAnsi="Palatino Linotype" w:cs="Palatino Linotype"/>
          <w:sz w:val="22"/>
          <w:szCs w:val="22"/>
        </w:rPr>
        <w:t>seis de febrero de dos mil veinticinco</w:t>
      </w:r>
      <w:r w:rsidRPr="00A74F31">
        <w:rPr>
          <w:rFonts w:ascii="Palatino Linotype" w:eastAsia="Palatino Linotype" w:hAnsi="Palatino Linotype" w:cs="Palatino Linotype"/>
          <w:sz w:val="22"/>
          <w:szCs w:val="22"/>
        </w:rPr>
        <w:t>, la</w:t>
      </w:r>
      <w:r w:rsidRPr="00A74F31">
        <w:rPr>
          <w:rFonts w:ascii="Palatino Linotype" w:eastAsia="Palatino Linotype" w:hAnsi="Palatino Linotype" w:cs="Palatino Linotype"/>
          <w:b/>
          <w:sz w:val="22"/>
          <w:szCs w:val="22"/>
        </w:rPr>
        <w:t xml:space="preserve"> RECURRENTE </w:t>
      </w:r>
      <w:r w:rsidRPr="00A74F31">
        <w:rPr>
          <w:rFonts w:ascii="Palatino Linotype" w:eastAsia="Palatino Linotype" w:hAnsi="Palatino Linotype" w:cs="Palatino Linotype"/>
          <w:sz w:val="22"/>
          <w:szCs w:val="22"/>
        </w:rPr>
        <w:t xml:space="preserve">presentó ante el </w:t>
      </w:r>
      <w:r w:rsidRPr="00A74F31">
        <w:rPr>
          <w:rFonts w:ascii="Palatino Linotype" w:eastAsia="Palatino Linotype" w:hAnsi="Palatino Linotype" w:cs="Palatino Linotype"/>
          <w:b/>
          <w:sz w:val="22"/>
          <w:szCs w:val="22"/>
        </w:rPr>
        <w:t>SUJETO OBLIGADO,</w:t>
      </w:r>
      <w:r w:rsidRPr="00A74F31">
        <w:rPr>
          <w:rFonts w:ascii="Palatino Linotype" w:eastAsia="Palatino Linotype" w:hAnsi="Palatino Linotype" w:cs="Palatino Linotype"/>
          <w:sz w:val="22"/>
          <w:szCs w:val="22"/>
        </w:rPr>
        <w:t xml:space="preserve"> a través del el Sistema de Acceso a la Información Mexiquense </w:t>
      </w:r>
      <w:r w:rsidRPr="00A74F31">
        <w:rPr>
          <w:rFonts w:ascii="Palatino Linotype" w:eastAsia="Palatino Linotype" w:hAnsi="Palatino Linotype" w:cs="Palatino Linotype"/>
          <w:b/>
          <w:sz w:val="22"/>
          <w:szCs w:val="22"/>
        </w:rPr>
        <w:t>(SAIMEX),</w:t>
      </w:r>
      <w:r w:rsidRPr="00A74F31">
        <w:rPr>
          <w:rFonts w:ascii="Palatino Linotype" w:eastAsia="Palatino Linotype" w:hAnsi="Palatino Linotype" w:cs="Palatino Linotype"/>
          <w:sz w:val="22"/>
          <w:szCs w:val="22"/>
        </w:rPr>
        <w:t xml:space="preserve"> la solicitud de información pública </w:t>
      </w:r>
      <w:r w:rsidR="00AA15EF" w:rsidRPr="00A74F31">
        <w:rPr>
          <w:rFonts w:ascii="Palatino Linotype" w:eastAsia="Palatino Linotype" w:hAnsi="Palatino Linotype" w:cs="Palatino Linotype"/>
          <w:b/>
          <w:sz w:val="22"/>
          <w:szCs w:val="22"/>
        </w:rPr>
        <w:t>00060</w:t>
      </w:r>
      <w:r w:rsidRPr="00A74F31">
        <w:rPr>
          <w:rFonts w:ascii="Palatino Linotype" w:eastAsia="Palatino Linotype" w:hAnsi="Palatino Linotype" w:cs="Palatino Linotype"/>
          <w:b/>
          <w:sz w:val="22"/>
          <w:szCs w:val="22"/>
        </w:rPr>
        <w:t>/</w:t>
      </w:r>
      <w:r w:rsidR="00BE4003" w:rsidRPr="00A74F31">
        <w:rPr>
          <w:rFonts w:ascii="Palatino Linotype" w:eastAsia="Palatino Linotype" w:hAnsi="Palatino Linotype" w:cs="Palatino Linotype"/>
          <w:b/>
          <w:sz w:val="22"/>
          <w:szCs w:val="22"/>
        </w:rPr>
        <w:t>M</w:t>
      </w:r>
      <w:r w:rsidR="00AA15EF" w:rsidRPr="00A74F31">
        <w:rPr>
          <w:rFonts w:ascii="Palatino Linotype" w:eastAsia="Palatino Linotype" w:hAnsi="Palatino Linotype" w:cs="Palatino Linotype"/>
          <w:b/>
          <w:sz w:val="22"/>
          <w:szCs w:val="22"/>
        </w:rPr>
        <w:t>ETEPEC/IP/2025</w:t>
      </w:r>
      <w:r w:rsidRPr="00A74F31">
        <w:rPr>
          <w:rFonts w:ascii="Palatino Linotype" w:eastAsia="Palatino Linotype" w:hAnsi="Palatino Linotype" w:cs="Palatino Linotype"/>
          <w:sz w:val="22"/>
          <w:szCs w:val="22"/>
        </w:rPr>
        <w:t>, en la que solicitó:</w:t>
      </w:r>
    </w:p>
    <w:p w:rsidR="00E94D86" w:rsidRPr="00A74F31" w:rsidRDefault="00E94D86" w:rsidP="00C82ED1">
      <w:pPr>
        <w:jc w:val="both"/>
        <w:rPr>
          <w:rFonts w:ascii="Palatino Linotype" w:eastAsia="Palatino Linotype" w:hAnsi="Palatino Linotype" w:cs="Palatino Linotype"/>
          <w:sz w:val="22"/>
          <w:szCs w:val="22"/>
        </w:rPr>
      </w:pPr>
    </w:p>
    <w:p w:rsidR="006E5F99" w:rsidRPr="00A74F31" w:rsidRDefault="00AA15EF" w:rsidP="00AA15EF">
      <w:pPr>
        <w:ind w:left="567" w:right="567"/>
        <w:jc w:val="both"/>
        <w:rPr>
          <w:rFonts w:ascii="Palatino Linotype" w:hAnsi="Palatino Linotype"/>
          <w:i/>
          <w:sz w:val="22"/>
          <w:szCs w:val="22"/>
        </w:rPr>
      </w:pPr>
      <w:r w:rsidRPr="00A74F31">
        <w:rPr>
          <w:rFonts w:ascii="Palatino Linotype" w:eastAsia="Palatino Linotype" w:hAnsi="Palatino Linotype" w:cs="Palatino Linotype"/>
          <w:i/>
          <w:color w:val="000000"/>
          <w:sz w:val="22"/>
          <w:szCs w:val="22"/>
        </w:rPr>
        <w:t>“</w:t>
      </w:r>
      <w:r w:rsidRPr="00A74F31">
        <w:rPr>
          <w:rFonts w:ascii="Palatino Linotype" w:hAnsi="Palatino Linotype"/>
          <w:i/>
          <w:color w:val="000000"/>
          <w:sz w:val="22"/>
          <w:szCs w:val="22"/>
        </w:rPr>
        <w:t>SOLICITÓ EL PLAN DE CONTINGENCIA EN MATERIA DE PROTECCION DE DATOS PERSONALES DEL AÑO 2023, 2024 Y 2025</w:t>
      </w:r>
      <w:r w:rsidRPr="00A74F31">
        <w:rPr>
          <w:rFonts w:ascii="Palatino Linotype" w:eastAsia="Palatino Linotype" w:hAnsi="Palatino Linotype" w:cs="Palatino Linotype"/>
          <w:i/>
          <w:color w:val="000000"/>
          <w:sz w:val="22"/>
          <w:szCs w:val="22"/>
        </w:rPr>
        <w:t xml:space="preserve">” (SIC) </w:t>
      </w:r>
    </w:p>
    <w:p w:rsidR="00E94D86" w:rsidRPr="00A74F31" w:rsidRDefault="00E94D86" w:rsidP="00C82ED1">
      <w:pPr>
        <w:pBdr>
          <w:top w:val="nil"/>
          <w:left w:val="nil"/>
          <w:bottom w:val="nil"/>
          <w:right w:val="nil"/>
          <w:between w:val="nil"/>
        </w:pBdr>
        <w:jc w:val="both"/>
        <w:rPr>
          <w:rFonts w:ascii="Palatino Linotype" w:eastAsia="Palatino Linotype" w:hAnsi="Palatino Linotype" w:cs="Palatino Linotype"/>
          <w:color w:val="000000"/>
          <w:sz w:val="22"/>
          <w:szCs w:val="22"/>
        </w:rPr>
      </w:pPr>
    </w:p>
    <w:p w:rsidR="00E94D86" w:rsidRPr="00A74F31" w:rsidRDefault="001E3125">
      <w:pPr>
        <w:numPr>
          <w:ilvl w:val="0"/>
          <w:numId w:val="1"/>
        </w:numPr>
        <w:spacing w:line="360" w:lineRule="auto"/>
        <w:ind w:left="0"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 xml:space="preserve">Se hace constar que se señaló como modalidad de entrega de la información a través del </w:t>
      </w:r>
      <w:r w:rsidRPr="00A74F31">
        <w:rPr>
          <w:rFonts w:ascii="Palatino Linotype" w:eastAsia="Palatino Linotype" w:hAnsi="Palatino Linotype" w:cs="Palatino Linotype"/>
          <w:b/>
          <w:sz w:val="22"/>
          <w:szCs w:val="22"/>
        </w:rPr>
        <w:t>SAIMEX.</w:t>
      </w:r>
    </w:p>
    <w:p w:rsidR="00E94D86" w:rsidRPr="00A74F31" w:rsidRDefault="00E94D86" w:rsidP="00C82ED1">
      <w:pPr>
        <w:jc w:val="both"/>
        <w:rPr>
          <w:rFonts w:ascii="Palatino Linotype" w:eastAsia="Palatino Linotype" w:hAnsi="Palatino Linotype" w:cs="Palatino Linotype"/>
          <w:b/>
          <w:sz w:val="22"/>
          <w:szCs w:val="22"/>
        </w:rPr>
      </w:pPr>
    </w:p>
    <w:p w:rsidR="00AA15EF" w:rsidRPr="00A74F31" w:rsidRDefault="00AA15EF">
      <w:pPr>
        <w:numPr>
          <w:ilvl w:val="0"/>
          <w:numId w:val="1"/>
        </w:numPr>
        <w:spacing w:line="360" w:lineRule="auto"/>
        <w:ind w:left="0"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 xml:space="preserve">El veintisiete de febrero de dos mil veinticinco, el </w:t>
      </w:r>
      <w:r w:rsidRPr="00A74F31">
        <w:rPr>
          <w:rFonts w:ascii="Palatino Linotype" w:eastAsia="Palatino Linotype" w:hAnsi="Palatino Linotype" w:cs="Palatino Linotype"/>
          <w:b/>
          <w:sz w:val="22"/>
          <w:szCs w:val="22"/>
        </w:rPr>
        <w:t>SUJETO OBLIGADO</w:t>
      </w:r>
      <w:r w:rsidRPr="00A74F31">
        <w:rPr>
          <w:rFonts w:ascii="Palatino Linotype" w:eastAsia="Palatino Linotype" w:hAnsi="Palatino Linotype" w:cs="Palatino Linotype"/>
          <w:sz w:val="22"/>
          <w:szCs w:val="22"/>
        </w:rPr>
        <w:t xml:space="preserve"> notificó una prórroga para atender la solicitud de información, en los siguientes términos:</w:t>
      </w:r>
    </w:p>
    <w:p w:rsidR="00AA15EF" w:rsidRPr="00A74F31" w:rsidRDefault="00AA15EF" w:rsidP="00AA15EF">
      <w:pPr>
        <w:pStyle w:val="Prrafodelista"/>
        <w:rPr>
          <w:rFonts w:ascii="Palatino Linotype" w:eastAsia="Palatino Linotype" w:hAnsi="Palatino Linotype" w:cs="Palatino Linotype"/>
          <w:szCs w:val="22"/>
        </w:rPr>
      </w:pPr>
    </w:p>
    <w:p w:rsidR="00AA15EF" w:rsidRPr="00A74F31" w:rsidRDefault="00AA15EF" w:rsidP="00AA15EF">
      <w:pPr>
        <w:ind w:left="567" w:right="567"/>
        <w:jc w:val="both"/>
        <w:rPr>
          <w:rFonts w:ascii="Palatino Linotype" w:eastAsia="Palatino Linotype" w:hAnsi="Palatino Linotype" w:cs="Palatino Linotype"/>
          <w:i/>
          <w:sz w:val="22"/>
          <w:szCs w:val="22"/>
        </w:rPr>
      </w:pPr>
      <w:r w:rsidRPr="00A74F31">
        <w:rPr>
          <w:rFonts w:ascii="Palatino Linotype" w:hAnsi="Palatino Linotype"/>
          <w:i/>
          <w:color w:val="000000"/>
          <w:sz w:val="22"/>
          <w:szCs w:val="22"/>
        </w:rPr>
        <w:t xml:space="preserve">“METEPEC, ESTADO DE MÉXICO, FEBRERO DEL 2025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Quinta Sesión Extraordinaria. Sin </w:t>
      </w:r>
      <w:r w:rsidRPr="00A74F31">
        <w:rPr>
          <w:rFonts w:ascii="Palatino Linotype" w:hAnsi="Palatino Linotype"/>
          <w:i/>
          <w:color w:val="000000"/>
          <w:sz w:val="22"/>
          <w:szCs w:val="22"/>
        </w:rPr>
        <w:lastRenderedPageBreak/>
        <w:t>más por el momento quedo a sus órdenes. ATENTAMENTE GERARDO ARTURO OZUNA MARTÍNEZ DIRECTOR DE TRANSPARENCIA Y GOBIERNO ABIERTO” (Sic)</w:t>
      </w:r>
    </w:p>
    <w:p w:rsidR="00AA15EF" w:rsidRPr="00A74F31" w:rsidRDefault="00AA15EF" w:rsidP="00AA15EF">
      <w:pPr>
        <w:pStyle w:val="Prrafodelista"/>
        <w:rPr>
          <w:rFonts w:ascii="Palatino Linotype" w:eastAsia="Palatino Linotype" w:hAnsi="Palatino Linotype" w:cs="Palatino Linotype"/>
          <w:szCs w:val="22"/>
        </w:rPr>
      </w:pPr>
    </w:p>
    <w:p w:rsidR="00E94D86" w:rsidRPr="00A74F31" w:rsidRDefault="001E3125">
      <w:pPr>
        <w:numPr>
          <w:ilvl w:val="0"/>
          <w:numId w:val="1"/>
        </w:numPr>
        <w:spacing w:line="360" w:lineRule="auto"/>
        <w:ind w:left="0"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 xml:space="preserve">El </w:t>
      </w:r>
      <w:r w:rsidR="00AA15EF" w:rsidRPr="00A74F31">
        <w:rPr>
          <w:rFonts w:ascii="Palatino Linotype" w:eastAsia="Palatino Linotype" w:hAnsi="Palatino Linotype" w:cs="Palatino Linotype"/>
          <w:sz w:val="22"/>
          <w:szCs w:val="22"/>
        </w:rPr>
        <w:t>diez de marzo de dos mil veinticinco</w:t>
      </w:r>
      <w:r w:rsidRPr="00A74F31">
        <w:rPr>
          <w:rFonts w:ascii="Palatino Linotype" w:eastAsia="Palatino Linotype" w:hAnsi="Palatino Linotype" w:cs="Palatino Linotype"/>
          <w:sz w:val="22"/>
          <w:szCs w:val="22"/>
        </w:rPr>
        <w:t xml:space="preserve">, el </w:t>
      </w:r>
      <w:r w:rsidRPr="00A74F31">
        <w:rPr>
          <w:rFonts w:ascii="Palatino Linotype" w:eastAsia="Palatino Linotype" w:hAnsi="Palatino Linotype" w:cs="Palatino Linotype"/>
          <w:b/>
          <w:sz w:val="22"/>
          <w:szCs w:val="22"/>
        </w:rPr>
        <w:t>SUJETO OBLIGADO</w:t>
      </w:r>
      <w:r w:rsidRPr="00A74F31">
        <w:rPr>
          <w:rFonts w:ascii="Palatino Linotype" w:eastAsia="Palatino Linotype" w:hAnsi="Palatino Linotype" w:cs="Palatino Linotype"/>
          <w:b/>
          <w:i/>
          <w:sz w:val="22"/>
          <w:szCs w:val="22"/>
        </w:rPr>
        <w:t xml:space="preserve"> </w:t>
      </w:r>
      <w:r w:rsidRPr="00A74F31">
        <w:rPr>
          <w:rFonts w:ascii="Palatino Linotype" w:eastAsia="Palatino Linotype" w:hAnsi="Palatino Linotype" w:cs="Palatino Linotype"/>
          <w:sz w:val="22"/>
          <w:szCs w:val="22"/>
        </w:rPr>
        <w:t>dio respuesta a la solicitud de información, en los siguientes términos:</w:t>
      </w:r>
    </w:p>
    <w:p w:rsidR="00E94D86" w:rsidRPr="00A74F31" w:rsidRDefault="00E94D86" w:rsidP="00C82ED1">
      <w:pPr>
        <w:ind w:right="-592"/>
        <w:jc w:val="both"/>
        <w:rPr>
          <w:rFonts w:ascii="Palatino Linotype" w:eastAsia="Palatino Linotype" w:hAnsi="Palatino Linotype" w:cs="Palatino Linotype"/>
          <w:i/>
          <w:sz w:val="22"/>
          <w:szCs w:val="22"/>
        </w:rPr>
      </w:pPr>
    </w:p>
    <w:p w:rsidR="00E94D86" w:rsidRPr="00A74F31" w:rsidRDefault="004401C8" w:rsidP="004F5574">
      <w:pPr>
        <w:ind w:left="567" w:right="567"/>
        <w:jc w:val="both"/>
        <w:rPr>
          <w:rFonts w:ascii="Palatino Linotype" w:eastAsia="Palatino Linotype" w:hAnsi="Palatino Linotype" w:cs="Palatino Linotype"/>
          <w:i/>
          <w:color w:val="000000"/>
          <w:sz w:val="22"/>
          <w:szCs w:val="22"/>
        </w:rPr>
      </w:pPr>
      <w:r w:rsidRPr="00A74F31">
        <w:rPr>
          <w:rFonts w:ascii="Palatino Linotype" w:eastAsia="Palatino Linotype" w:hAnsi="Palatino Linotype" w:cs="Palatino Linotype"/>
          <w:i/>
          <w:sz w:val="22"/>
          <w:szCs w:val="22"/>
        </w:rPr>
        <w:t>“…</w:t>
      </w:r>
      <w:r w:rsidR="00AA15EF" w:rsidRPr="00A74F31">
        <w:rPr>
          <w:rFonts w:ascii="Palatino Linotype" w:hAnsi="Palatino Linotype"/>
          <w:i/>
          <w:color w:val="000000"/>
          <w:sz w:val="22"/>
          <w:szCs w:val="22"/>
        </w:rPr>
        <w:t>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w:t>
      </w:r>
      <w:r w:rsidR="001E3125" w:rsidRPr="00A74F31">
        <w:rPr>
          <w:rFonts w:ascii="Palatino Linotype" w:eastAsia="Palatino Linotype" w:hAnsi="Palatino Linotype" w:cs="Palatino Linotype"/>
          <w:i/>
          <w:color w:val="000000"/>
          <w:sz w:val="22"/>
          <w:szCs w:val="22"/>
        </w:rPr>
        <w:t>…” (Sic)</w:t>
      </w:r>
      <w:r w:rsidR="00BE4003" w:rsidRPr="00A74F31">
        <w:rPr>
          <w:rFonts w:ascii="Palatino Linotype" w:eastAsia="Palatino Linotype" w:hAnsi="Palatino Linotype" w:cs="Palatino Linotype"/>
          <w:i/>
          <w:color w:val="000000"/>
          <w:sz w:val="22"/>
          <w:szCs w:val="22"/>
        </w:rPr>
        <w:t xml:space="preserve"> </w:t>
      </w:r>
    </w:p>
    <w:p w:rsidR="00FC50EC" w:rsidRPr="00A74F31" w:rsidRDefault="00FC50EC" w:rsidP="00C82ED1">
      <w:pPr>
        <w:ind w:left="567" w:right="710"/>
        <w:jc w:val="both"/>
        <w:rPr>
          <w:rFonts w:ascii="Palatino Linotype" w:eastAsia="Palatino Linotype" w:hAnsi="Palatino Linotype" w:cs="Palatino Linotype"/>
          <w:i/>
          <w:color w:val="000000"/>
          <w:sz w:val="22"/>
          <w:szCs w:val="22"/>
        </w:rPr>
      </w:pPr>
    </w:p>
    <w:p w:rsidR="003A1F84" w:rsidRPr="00A74F31" w:rsidRDefault="001E3125" w:rsidP="004F5574">
      <w:pPr>
        <w:ind w:right="257"/>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Archivos electrónicos adjuntos:</w:t>
      </w:r>
    </w:p>
    <w:p w:rsidR="00E94D86" w:rsidRPr="00A74F31" w:rsidRDefault="00E94D86" w:rsidP="00C82ED1">
      <w:pPr>
        <w:ind w:right="-592"/>
        <w:jc w:val="both"/>
        <w:rPr>
          <w:rFonts w:ascii="Palatino Linotype" w:eastAsia="Palatino Linotype" w:hAnsi="Palatino Linotype" w:cs="Palatino Linotype"/>
          <w:sz w:val="22"/>
          <w:szCs w:val="22"/>
        </w:rPr>
      </w:pPr>
    </w:p>
    <w:p w:rsidR="00AA15EF" w:rsidRPr="00A74F31" w:rsidRDefault="00AA15EF" w:rsidP="00AA15EF">
      <w:pPr>
        <w:ind w:left="567" w:right="567"/>
        <w:jc w:val="both"/>
        <w:rPr>
          <w:rStyle w:val="Hipervnculo"/>
          <w:rFonts w:ascii="Palatino Linotype" w:hAnsi="Palatino Linotype" w:cs="Arial"/>
          <w:bCs/>
          <w:color w:val="auto"/>
          <w:sz w:val="22"/>
          <w:szCs w:val="22"/>
          <w:u w:val="none"/>
        </w:rPr>
      </w:pPr>
      <w:r w:rsidRPr="00A74F31">
        <w:rPr>
          <w:rStyle w:val="Hipervnculo"/>
          <w:rFonts w:ascii="Palatino Linotype" w:hAnsi="Palatino Linotype" w:cs="Arial"/>
          <w:b/>
          <w:bCs/>
          <w:color w:val="auto"/>
          <w:sz w:val="22"/>
          <w:szCs w:val="22"/>
          <w:u w:val="none"/>
        </w:rPr>
        <w:t>60.pdf:</w:t>
      </w:r>
      <w:r w:rsidRPr="00A74F31">
        <w:rPr>
          <w:rStyle w:val="Hipervnculo"/>
          <w:rFonts w:ascii="Palatino Linotype" w:hAnsi="Palatino Linotype" w:cs="Arial"/>
          <w:bCs/>
          <w:color w:val="auto"/>
          <w:sz w:val="22"/>
          <w:szCs w:val="22"/>
          <w:u w:val="none"/>
        </w:rPr>
        <w:t xml:space="preserve"> Oficio suscrito por el Director de Transparencia y Gobierno Abierto, por medio del cual, informó que el “Plan de Contingencia” se clasifica como confidencial en su totalidad ya que es la descripción detallada de las acciones preventivas y correctivas para adecuar las medidas de seguridad y el tratamiento de los datos personales si fuese el caso, a efecto de evitar que las violaciones se repitan en los sistemas y/o bases de datos personales que administ</w:t>
      </w:r>
      <w:r w:rsidR="00AC313D" w:rsidRPr="00A74F31">
        <w:rPr>
          <w:rStyle w:val="Hipervnculo"/>
          <w:rFonts w:ascii="Palatino Linotype" w:hAnsi="Palatino Linotype" w:cs="Arial"/>
          <w:bCs/>
          <w:color w:val="auto"/>
          <w:sz w:val="22"/>
          <w:szCs w:val="22"/>
          <w:u w:val="none"/>
        </w:rPr>
        <w:t>ra el Ayuntamiento de Metepec, de conformidad con el Acuerdo No. 02/CT/MET/EXT-006/2025 del Comité de Transparencia</w:t>
      </w:r>
      <w:r w:rsidR="00056FB0" w:rsidRPr="00A74F31">
        <w:rPr>
          <w:rStyle w:val="Hipervnculo"/>
          <w:rFonts w:ascii="Palatino Linotype" w:hAnsi="Palatino Linotype" w:cs="Arial"/>
          <w:bCs/>
          <w:color w:val="auto"/>
          <w:sz w:val="22"/>
          <w:szCs w:val="22"/>
          <w:u w:val="none"/>
        </w:rPr>
        <w:t>.</w:t>
      </w:r>
    </w:p>
    <w:p w:rsidR="00AA15EF" w:rsidRPr="00A74F31" w:rsidRDefault="00AA15EF" w:rsidP="00C82ED1">
      <w:pPr>
        <w:ind w:right="-592"/>
        <w:jc w:val="both"/>
        <w:rPr>
          <w:rFonts w:ascii="Palatino Linotype" w:eastAsia="Palatino Linotype" w:hAnsi="Palatino Linotype" w:cs="Palatino Linotype"/>
          <w:sz w:val="22"/>
          <w:szCs w:val="22"/>
        </w:rPr>
      </w:pPr>
    </w:p>
    <w:p w:rsidR="00C82ED1" w:rsidRPr="00A74F31" w:rsidRDefault="001E3125" w:rsidP="00C82ED1">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 xml:space="preserve">El </w:t>
      </w:r>
      <w:r w:rsidR="00056FB0" w:rsidRPr="00A74F31">
        <w:rPr>
          <w:rFonts w:ascii="Palatino Linotype" w:eastAsia="Palatino Linotype" w:hAnsi="Palatino Linotype" w:cs="Palatino Linotype"/>
          <w:sz w:val="22"/>
          <w:szCs w:val="22"/>
        </w:rPr>
        <w:t>once de marzo de dos mil veinticinco</w:t>
      </w:r>
      <w:r w:rsidRPr="00A74F31">
        <w:rPr>
          <w:rFonts w:ascii="Palatino Linotype" w:eastAsia="Palatino Linotype" w:hAnsi="Palatino Linotype" w:cs="Palatino Linotype"/>
          <w:sz w:val="22"/>
          <w:szCs w:val="22"/>
        </w:rPr>
        <w:t>,</w:t>
      </w:r>
      <w:r w:rsidRPr="00A74F31">
        <w:rPr>
          <w:rFonts w:ascii="Palatino Linotype" w:eastAsia="Palatino Linotype" w:hAnsi="Palatino Linotype" w:cs="Palatino Linotype"/>
          <w:b/>
          <w:sz w:val="22"/>
          <w:szCs w:val="22"/>
        </w:rPr>
        <w:t xml:space="preserve"> </w:t>
      </w:r>
      <w:r w:rsidRPr="00A74F31">
        <w:rPr>
          <w:rFonts w:ascii="Palatino Linotype" w:eastAsia="Palatino Linotype" w:hAnsi="Palatino Linotype" w:cs="Palatino Linotype"/>
          <w:sz w:val="22"/>
          <w:szCs w:val="22"/>
        </w:rPr>
        <w:t xml:space="preserve">el </w:t>
      </w:r>
      <w:r w:rsidRPr="00A74F31">
        <w:rPr>
          <w:rFonts w:ascii="Palatino Linotype" w:eastAsia="Palatino Linotype" w:hAnsi="Palatino Linotype" w:cs="Palatino Linotype"/>
          <w:b/>
          <w:sz w:val="22"/>
          <w:szCs w:val="22"/>
        </w:rPr>
        <w:t>RECURRENTE</w:t>
      </w:r>
      <w:r w:rsidRPr="00A74F31">
        <w:rPr>
          <w:rFonts w:ascii="Palatino Linotype" w:eastAsia="Palatino Linotype" w:hAnsi="Palatino Linotype" w:cs="Palatino Linotype"/>
          <w:sz w:val="22"/>
          <w:szCs w:val="22"/>
        </w:rPr>
        <w:t xml:space="preserve"> interpuso el recurso de revisión en contra de la respuesta, señalando como:</w:t>
      </w:r>
    </w:p>
    <w:p w:rsidR="00C82ED1" w:rsidRPr="00A74F31" w:rsidRDefault="00C82ED1" w:rsidP="00C82ED1">
      <w:pPr>
        <w:ind w:right="1"/>
        <w:jc w:val="both"/>
        <w:rPr>
          <w:rFonts w:ascii="Palatino Linotype" w:eastAsia="Palatino Linotype" w:hAnsi="Palatino Linotype" w:cs="Palatino Linotype"/>
          <w:sz w:val="22"/>
          <w:szCs w:val="22"/>
        </w:rPr>
      </w:pPr>
    </w:p>
    <w:p w:rsidR="00E94D86" w:rsidRPr="00A74F31" w:rsidRDefault="001E3125" w:rsidP="00BE4003">
      <w:pPr>
        <w:ind w:left="567"/>
        <w:jc w:val="both"/>
        <w:rPr>
          <w:rFonts w:ascii="Palatino Linotype" w:hAnsi="Palatino Linotype"/>
          <w:i/>
          <w:sz w:val="22"/>
          <w:szCs w:val="22"/>
        </w:rPr>
      </w:pPr>
      <w:r w:rsidRPr="00A74F31">
        <w:rPr>
          <w:rFonts w:ascii="Palatino Linotype" w:eastAsia="Palatino Linotype" w:hAnsi="Palatino Linotype" w:cs="Palatino Linotype"/>
          <w:b/>
          <w:sz w:val="22"/>
          <w:szCs w:val="22"/>
        </w:rPr>
        <w:t>Acto impugnado</w:t>
      </w:r>
      <w:r w:rsidRPr="00A74F31">
        <w:rPr>
          <w:rFonts w:ascii="Palatino Linotype" w:eastAsia="Palatino Linotype" w:hAnsi="Palatino Linotype" w:cs="Palatino Linotype"/>
          <w:b/>
          <w:i/>
          <w:sz w:val="22"/>
          <w:szCs w:val="22"/>
        </w:rPr>
        <w:t>:</w:t>
      </w:r>
      <w:r w:rsidRPr="00A74F31">
        <w:rPr>
          <w:rFonts w:ascii="Palatino Linotype" w:eastAsia="Palatino Linotype" w:hAnsi="Palatino Linotype" w:cs="Palatino Linotype"/>
          <w:i/>
          <w:color w:val="000000"/>
          <w:sz w:val="22"/>
          <w:szCs w:val="22"/>
        </w:rPr>
        <w:t xml:space="preserve"> “</w:t>
      </w:r>
      <w:r w:rsidR="00FE5EBB" w:rsidRPr="00A74F31">
        <w:rPr>
          <w:rFonts w:ascii="Palatino Linotype" w:hAnsi="Palatino Linotype"/>
          <w:i/>
          <w:color w:val="000000"/>
          <w:sz w:val="22"/>
          <w:szCs w:val="22"/>
        </w:rPr>
        <w:t>NO ENTREGA INFORMACION</w:t>
      </w:r>
      <w:r w:rsidRPr="00A74F31">
        <w:rPr>
          <w:rFonts w:ascii="Palatino Linotype" w:eastAsia="Palatino Linotype" w:hAnsi="Palatino Linotype" w:cs="Palatino Linotype"/>
          <w:i/>
          <w:color w:val="000000"/>
          <w:sz w:val="22"/>
          <w:szCs w:val="22"/>
        </w:rPr>
        <w:t>” (Sic)</w:t>
      </w:r>
    </w:p>
    <w:p w:rsidR="00E94D86" w:rsidRPr="00A74F31" w:rsidRDefault="00E94D86" w:rsidP="00BE4003">
      <w:pPr>
        <w:ind w:left="567" w:right="568"/>
        <w:jc w:val="both"/>
        <w:rPr>
          <w:rFonts w:ascii="Palatino Linotype" w:eastAsia="Palatino Linotype" w:hAnsi="Palatino Linotype" w:cs="Palatino Linotype"/>
          <w:sz w:val="22"/>
          <w:szCs w:val="22"/>
        </w:rPr>
      </w:pPr>
    </w:p>
    <w:p w:rsidR="00E94D86" w:rsidRPr="00A74F31" w:rsidRDefault="001E3125" w:rsidP="00FE5EBB">
      <w:pPr>
        <w:ind w:left="567"/>
        <w:jc w:val="both"/>
        <w:rPr>
          <w:rFonts w:ascii="Palatino Linotype" w:hAnsi="Palatino Linotype"/>
          <w:i/>
          <w:sz w:val="22"/>
          <w:szCs w:val="22"/>
        </w:rPr>
      </w:pPr>
      <w:r w:rsidRPr="00A74F31">
        <w:rPr>
          <w:rFonts w:ascii="Palatino Linotype" w:eastAsia="Palatino Linotype" w:hAnsi="Palatino Linotype" w:cs="Palatino Linotype"/>
          <w:b/>
          <w:sz w:val="22"/>
          <w:szCs w:val="22"/>
        </w:rPr>
        <w:lastRenderedPageBreak/>
        <w:t xml:space="preserve">Razones o Motivos de inconformidad: </w:t>
      </w:r>
      <w:r w:rsidR="00FE5EBB" w:rsidRPr="00A74F31">
        <w:rPr>
          <w:rFonts w:ascii="Palatino Linotype" w:eastAsia="Palatino Linotype" w:hAnsi="Palatino Linotype" w:cs="Palatino Linotype"/>
          <w:i/>
          <w:color w:val="000000"/>
          <w:sz w:val="22"/>
          <w:szCs w:val="22"/>
        </w:rPr>
        <w:t>“</w:t>
      </w:r>
      <w:r w:rsidR="00FE5EBB" w:rsidRPr="00A74F31">
        <w:rPr>
          <w:rFonts w:ascii="Palatino Linotype" w:hAnsi="Palatino Linotype"/>
          <w:i/>
          <w:color w:val="000000"/>
          <w:sz w:val="22"/>
          <w:szCs w:val="22"/>
        </w:rPr>
        <w:t>NO ENTREGA INFORMACION</w:t>
      </w:r>
      <w:r w:rsidR="00FE5EBB" w:rsidRPr="00A74F31">
        <w:rPr>
          <w:rFonts w:ascii="Palatino Linotype" w:eastAsia="Palatino Linotype" w:hAnsi="Palatino Linotype" w:cs="Palatino Linotype"/>
          <w:i/>
          <w:color w:val="000000"/>
          <w:sz w:val="22"/>
          <w:szCs w:val="22"/>
        </w:rPr>
        <w:t>” (Sic)</w:t>
      </w:r>
    </w:p>
    <w:p w:rsidR="00E94D86" w:rsidRPr="00A74F31" w:rsidRDefault="00E94D86" w:rsidP="00C82ED1">
      <w:pPr>
        <w:ind w:right="568"/>
        <w:jc w:val="both"/>
        <w:rPr>
          <w:rFonts w:ascii="Palatino Linotype" w:eastAsia="Palatino Linotype" w:hAnsi="Palatino Linotype" w:cs="Palatino Linotype"/>
          <w:b/>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Se registró el recurs</w:t>
      </w:r>
      <w:bookmarkStart w:id="0" w:name="_GoBack"/>
      <w:bookmarkEnd w:id="0"/>
      <w:r w:rsidRPr="00A74F31">
        <w:rPr>
          <w:rFonts w:ascii="Palatino Linotype" w:eastAsia="Palatino Linotype" w:hAnsi="Palatino Linotype" w:cs="Palatino Linotype"/>
          <w:sz w:val="22"/>
          <w:szCs w:val="22"/>
        </w:rPr>
        <w:t xml:space="preserve">o de revisión bajo el número de expediente al rubro indicado, asimismo con fundamento en lo dispuesto por el artículo 185 fracción I de la </w:t>
      </w:r>
      <w:r w:rsidRPr="00A74F31">
        <w:rPr>
          <w:rFonts w:ascii="Palatino Linotype" w:eastAsia="Palatino Linotype" w:hAnsi="Palatino Linotype" w:cs="Palatino Linotype"/>
          <w:b/>
          <w:sz w:val="22"/>
          <w:szCs w:val="22"/>
        </w:rPr>
        <w:t xml:space="preserve">Ley de Transparencia y Acceso a la Información Pública del Estado de México y Municipios </w:t>
      </w:r>
      <w:r w:rsidRPr="00A74F31">
        <w:rPr>
          <w:rFonts w:ascii="Palatino Linotype" w:eastAsia="Palatino Linotype" w:hAnsi="Palatino Linotype" w:cs="Palatino Linotype"/>
          <w:sz w:val="22"/>
          <w:szCs w:val="22"/>
        </w:rPr>
        <w:t xml:space="preserve">se turna a la </w:t>
      </w:r>
      <w:r w:rsidRPr="00A74F31">
        <w:rPr>
          <w:rFonts w:ascii="Palatino Linotype" w:eastAsia="Palatino Linotype" w:hAnsi="Palatino Linotype" w:cs="Palatino Linotype"/>
          <w:b/>
          <w:sz w:val="22"/>
          <w:szCs w:val="22"/>
        </w:rPr>
        <w:t xml:space="preserve">Comisionada María del Rosario Mejía Ayala, </w:t>
      </w:r>
      <w:r w:rsidRPr="00A74F31">
        <w:rPr>
          <w:rFonts w:ascii="Palatino Linotype" w:eastAsia="Palatino Linotype" w:hAnsi="Palatino Linotype" w:cs="Palatino Linotype"/>
          <w:sz w:val="22"/>
          <w:szCs w:val="22"/>
        </w:rPr>
        <w:t xml:space="preserve">para su análisis. </w:t>
      </w:r>
    </w:p>
    <w:p w:rsidR="00E94D86" w:rsidRPr="00A74F31" w:rsidRDefault="00E94D86" w:rsidP="00C82ED1">
      <w:pPr>
        <w:ind w:right="-592"/>
        <w:jc w:val="both"/>
        <w:rPr>
          <w:rFonts w:ascii="Palatino Linotype" w:eastAsia="Palatino Linotype" w:hAnsi="Palatino Linotype" w:cs="Palatino Linotype"/>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color w:val="000000"/>
          <w:sz w:val="22"/>
          <w:szCs w:val="22"/>
        </w:rPr>
      </w:pPr>
      <w:r w:rsidRPr="00A74F31">
        <w:rPr>
          <w:rFonts w:ascii="Palatino Linotype" w:eastAsia="Palatino Linotype" w:hAnsi="Palatino Linotype" w:cs="Palatino Linotype"/>
          <w:sz w:val="22"/>
          <w:szCs w:val="22"/>
        </w:rPr>
        <w:t xml:space="preserve">La Comisionada Ponente con fundamento en lo dispuesto por el artículo 185 fracción II de la ley de la materia, a través del acuerdo de admisión del </w:t>
      </w:r>
      <w:r w:rsidR="00FE5EBB" w:rsidRPr="00A74F31">
        <w:rPr>
          <w:rFonts w:ascii="Palatino Linotype" w:eastAsia="Palatino Linotype" w:hAnsi="Palatino Linotype" w:cs="Palatino Linotype"/>
          <w:sz w:val="22"/>
          <w:szCs w:val="22"/>
        </w:rPr>
        <w:t>doce de marzo de dos mil veinticinco</w:t>
      </w:r>
      <w:r w:rsidRPr="00A74F31">
        <w:rPr>
          <w:rFonts w:ascii="Palatino Linotype" w:eastAsia="Palatino Linotype" w:hAnsi="Palatino Linotype" w:cs="Palatino Linotype"/>
          <w:sz w:val="22"/>
          <w:szCs w:val="22"/>
        </w:rPr>
        <w:t xml:space="preserve">, puso a disposición de las partes el expediente electrónico vía </w:t>
      </w:r>
      <w:r w:rsidRPr="00A74F31">
        <w:rPr>
          <w:rFonts w:ascii="Palatino Linotype" w:eastAsia="Palatino Linotype" w:hAnsi="Palatino Linotype" w:cs="Palatino Linotype"/>
          <w:b/>
          <w:sz w:val="22"/>
          <w:szCs w:val="22"/>
        </w:rPr>
        <w:t xml:space="preserve">SAIMEX </w:t>
      </w:r>
      <w:r w:rsidRPr="00A74F31">
        <w:rPr>
          <w:rFonts w:ascii="Palatino Linotype" w:eastAsia="Palatino Linotype" w:hAnsi="Palatino Linotype" w:cs="Palatino Linotype"/>
          <w:sz w:val="22"/>
          <w:szCs w:val="22"/>
        </w:rPr>
        <w:t xml:space="preserve">a efecto de que en un plazo máximo de siete días manifestara lo que a derecho conviniera, ofreciera pruebas y alegatos según corresponda al caso concreto, de esta forma para que el </w:t>
      </w:r>
      <w:r w:rsidRPr="00A74F31">
        <w:rPr>
          <w:rFonts w:ascii="Palatino Linotype" w:eastAsia="Palatino Linotype" w:hAnsi="Palatino Linotype" w:cs="Palatino Linotype"/>
          <w:b/>
          <w:sz w:val="22"/>
          <w:szCs w:val="22"/>
        </w:rPr>
        <w:t>SUJETO OBLIGADO</w:t>
      </w:r>
      <w:r w:rsidRPr="00A74F31">
        <w:rPr>
          <w:rFonts w:ascii="Palatino Linotype" w:eastAsia="Palatino Linotype" w:hAnsi="Palatino Linotype" w:cs="Palatino Linotype"/>
          <w:sz w:val="22"/>
          <w:szCs w:val="22"/>
        </w:rPr>
        <w:t xml:space="preserve"> presentará el informe justificado procedente. </w:t>
      </w:r>
    </w:p>
    <w:p w:rsidR="00E94D86" w:rsidRPr="00A74F31" w:rsidRDefault="00E94D86" w:rsidP="00C82ED1">
      <w:pPr>
        <w:ind w:right="-592"/>
        <w:rPr>
          <w:rFonts w:ascii="Palatino Linotype" w:eastAsia="Palatino Linotype" w:hAnsi="Palatino Linotype" w:cs="Palatino Linotype"/>
          <w:sz w:val="22"/>
          <w:szCs w:val="22"/>
        </w:rPr>
      </w:pPr>
    </w:p>
    <w:p w:rsidR="00AF2A58" w:rsidRPr="00A74F31" w:rsidRDefault="006E5F99" w:rsidP="00FE5EBB">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E</w:t>
      </w:r>
      <w:r w:rsidR="001E3125" w:rsidRPr="00A74F31">
        <w:rPr>
          <w:rFonts w:ascii="Palatino Linotype" w:eastAsia="Palatino Linotype" w:hAnsi="Palatino Linotype" w:cs="Palatino Linotype"/>
          <w:sz w:val="22"/>
          <w:szCs w:val="22"/>
        </w:rPr>
        <w:t>l</w:t>
      </w:r>
      <w:r w:rsidR="004F5574" w:rsidRPr="00A74F31">
        <w:rPr>
          <w:rFonts w:ascii="Palatino Linotype" w:eastAsia="Palatino Linotype" w:hAnsi="Palatino Linotype" w:cs="Palatino Linotype"/>
          <w:sz w:val="22"/>
          <w:szCs w:val="22"/>
        </w:rPr>
        <w:t xml:space="preserve"> </w:t>
      </w:r>
      <w:r w:rsidR="001E3125" w:rsidRPr="00A74F31">
        <w:rPr>
          <w:rFonts w:ascii="Palatino Linotype" w:eastAsia="Palatino Linotype" w:hAnsi="Palatino Linotype" w:cs="Palatino Linotype"/>
          <w:b/>
          <w:sz w:val="22"/>
          <w:szCs w:val="22"/>
        </w:rPr>
        <w:t>SUJETO OBLIGADO</w:t>
      </w:r>
      <w:r w:rsidR="001E3125" w:rsidRPr="00A74F31">
        <w:rPr>
          <w:rFonts w:ascii="Palatino Linotype" w:eastAsia="Palatino Linotype" w:hAnsi="Palatino Linotype" w:cs="Palatino Linotype"/>
          <w:sz w:val="22"/>
          <w:szCs w:val="22"/>
        </w:rPr>
        <w:t xml:space="preserve"> </w:t>
      </w:r>
      <w:r w:rsidR="00FE5EBB" w:rsidRPr="00A74F31">
        <w:rPr>
          <w:rFonts w:ascii="Palatino Linotype" w:eastAsia="Palatino Linotype" w:hAnsi="Palatino Linotype" w:cs="Palatino Linotype"/>
          <w:sz w:val="22"/>
          <w:szCs w:val="22"/>
        </w:rPr>
        <w:t xml:space="preserve">no </w:t>
      </w:r>
      <w:r w:rsidR="004F5574" w:rsidRPr="00A74F31">
        <w:rPr>
          <w:rFonts w:ascii="Palatino Linotype" w:eastAsia="Palatino Linotype" w:hAnsi="Palatino Linotype" w:cs="Palatino Linotype"/>
          <w:sz w:val="22"/>
          <w:szCs w:val="22"/>
        </w:rPr>
        <w:t>rindió</w:t>
      </w:r>
      <w:r w:rsidRPr="00A74F31">
        <w:rPr>
          <w:rFonts w:ascii="Palatino Linotype" w:eastAsia="Palatino Linotype" w:hAnsi="Palatino Linotype" w:cs="Palatino Linotype"/>
          <w:sz w:val="22"/>
          <w:szCs w:val="22"/>
        </w:rPr>
        <w:t xml:space="preserve"> </w:t>
      </w:r>
      <w:r w:rsidR="001E3125" w:rsidRPr="00A74F31">
        <w:rPr>
          <w:rFonts w:ascii="Palatino Linotype" w:eastAsia="Palatino Linotype" w:hAnsi="Palatino Linotype" w:cs="Palatino Linotype"/>
          <w:sz w:val="22"/>
          <w:szCs w:val="22"/>
        </w:rPr>
        <w:t>el informe justificado correspondiente</w:t>
      </w:r>
      <w:r w:rsidR="00FE5EBB" w:rsidRPr="00A74F31">
        <w:rPr>
          <w:rFonts w:ascii="Palatino Linotype" w:eastAsia="Palatino Linotype" w:hAnsi="Palatino Linotype" w:cs="Palatino Linotype"/>
          <w:sz w:val="22"/>
          <w:szCs w:val="22"/>
        </w:rPr>
        <w:t>; p</w:t>
      </w:r>
      <w:r w:rsidR="001E3125" w:rsidRPr="00A74F31">
        <w:rPr>
          <w:rFonts w:ascii="Palatino Linotype" w:eastAsia="Palatino Linotype" w:hAnsi="Palatino Linotype" w:cs="Palatino Linotype"/>
          <w:sz w:val="22"/>
          <w:szCs w:val="22"/>
        </w:rPr>
        <w:t xml:space="preserve">or su parte, el </w:t>
      </w:r>
      <w:r w:rsidR="001E3125" w:rsidRPr="00A74F31">
        <w:rPr>
          <w:rFonts w:ascii="Palatino Linotype" w:eastAsia="Palatino Linotype" w:hAnsi="Palatino Linotype" w:cs="Palatino Linotype"/>
          <w:b/>
          <w:sz w:val="22"/>
          <w:szCs w:val="22"/>
        </w:rPr>
        <w:t xml:space="preserve">RECURRENTE </w:t>
      </w:r>
      <w:r w:rsidR="001E3125" w:rsidRPr="00A74F31">
        <w:rPr>
          <w:rFonts w:ascii="Palatino Linotype" w:eastAsia="Palatino Linotype" w:hAnsi="Palatino Linotype" w:cs="Palatino Linotype"/>
          <w:sz w:val="22"/>
          <w:szCs w:val="22"/>
        </w:rPr>
        <w:t>no realizó manifestaciones, ni ofreció pruebas o alegatos que a su derecho conviniera.</w:t>
      </w:r>
    </w:p>
    <w:p w:rsidR="00AF2A58" w:rsidRPr="00A74F31" w:rsidRDefault="00AF2A58" w:rsidP="00C82ED1">
      <w:pPr>
        <w:rPr>
          <w:rFonts w:ascii="Palatino Linotype" w:hAnsi="Palatino Linotype"/>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sz w:val="22"/>
          <w:szCs w:val="22"/>
        </w:rPr>
        <w:t xml:space="preserve">La Comisionada Ponente decretó el cierre de instrucción mediante el acuerdo del </w:t>
      </w:r>
      <w:r w:rsidR="00FE5EBB" w:rsidRPr="00A74F31">
        <w:rPr>
          <w:rFonts w:ascii="Palatino Linotype" w:eastAsia="Palatino Linotype" w:hAnsi="Palatino Linotype" w:cs="Palatino Linotype"/>
          <w:sz w:val="22"/>
          <w:szCs w:val="22"/>
        </w:rPr>
        <w:t>veintisiete</w:t>
      </w:r>
      <w:r w:rsidR="00CB6ECF" w:rsidRPr="00A74F31">
        <w:rPr>
          <w:rFonts w:ascii="Palatino Linotype" w:eastAsia="Palatino Linotype" w:hAnsi="Palatino Linotype" w:cs="Palatino Linotype"/>
          <w:sz w:val="22"/>
          <w:szCs w:val="22"/>
        </w:rPr>
        <w:t xml:space="preserve"> de marzo</w:t>
      </w:r>
      <w:r w:rsidR="00AF2A58" w:rsidRPr="00A74F31">
        <w:rPr>
          <w:rFonts w:ascii="Palatino Linotype" w:eastAsia="Palatino Linotype" w:hAnsi="Palatino Linotype" w:cs="Palatino Linotype"/>
          <w:sz w:val="22"/>
          <w:szCs w:val="22"/>
        </w:rPr>
        <w:t xml:space="preserve"> de dos mil veinticinco</w:t>
      </w:r>
      <w:r w:rsidRPr="00A74F31">
        <w:rPr>
          <w:rFonts w:ascii="Palatino Linotype" w:eastAsia="Palatino Linotype" w:hAnsi="Palatino Linotype" w:cs="Palatino Linotype"/>
          <w:sz w:val="22"/>
          <w:szCs w:val="22"/>
        </w:rPr>
        <w:t>.-------------------------------------------------------------</w:t>
      </w:r>
      <w:r w:rsidR="00C82ED1" w:rsidRPr="00A74F31">
        <w:rPr>
          <w:rFonts w:ascii="Palatino Linotype" w:eastAsia="Palatino Linotype" w:hAnsi="Palatino Linotype" w:cs="Palatino Linotype"/>
          <w:sz w:val="22"/>
          <w:szCs w:val="22"/>
        </w:rPr>
        <w:t>-------</w:t>
      </w:r>
      <w:r w:rsidR="00302FE8" w:rsidRPr="00A74F31">
        <w:rPr>
          <w:rFonts w:ascii="Palatino Linotype" w:eastAsia="Palatino Linotype" w:hAnsi="Palatino Linotype" w:cs="Palatino Linotype"/>
          <w:sz w:val="22"/>
          <w:szCs w:val="22"/>
        </w:rPr>
        <w:t>--</w:t>
      </w:r>
    </w:p>
    <w:p w:rsidR="00E94D86" w:rsidRPr="00A74F31" w:rsidRDefault="00E94D86" w:rsidP="00C82ED1">
      <w:pPr>
        <w:rPr>
          <w:rFonts w:ascii="Palatino Linotype" w:eastAsia="Palatino Linotype" w:hAnsi="Palatino Linotype" w:cs="Palatino Linotype"/>
          <w:b/>
          <w:sz w:val="22"/>
          <w:szCs w:val="22"/>
        </w:rPr>
      </w:pPr>
    </w:p>
    <w:p w:rsidR="00E94D86" w:rsidRPr="00A74F31" w:rsidRDefault="001E3125">
      <w:pPr>
        <w:keepNext/>
        <w:keepLines/>
        <w:spacing w:line="360" w:lineRule="auto"/>
        <w:ind w:right="-592"/>
        <w:jc w:val="center"/>
        <w:rPr>
          <w:rFonts w:ascii="Palatino Linotype" w:eastAsia="Palatino Linotype" w:hAnsi="Palatino Linotype" w:cs="Palatino Linotype"/>
          <w:b/>
          <w:sz w:val="22"/>
          <w:szCs w:val="22"/>
        </w:rPr>
      </w:pPr>
      <w:r w:rsidRPr="00A74F31">
        <w:rPr>
          <w:rFonts w:ascii="Palatino Linotype" w:eastAsia="Palatino Linotype" w:hAnsi="Palatino Linotype" w:cs="Palatino Linotype"/>
          <w:b/>
          <w:sz w:val="22"/>
          <w:szCs w:val="22"/>
        </w:rPr>
        <w:t xml:space="preserve">C O N S I D E R A N D O </w:t>
      </w:r>
    </w:p>
    <w:p w:rsidR="00E94D86" w:rsidRPr="00A74F31" w:rsidRDefault="00E94D86" w:rsidP="00C82ED1">
      <w:pPr>
        <w:keepNext/>
        <w:keepLines/>
        <w:ind w:right="-592"/>
        <w:rPr>
          <w:rFonts w:ascii="Palatino Linotype" w:eastAsia="Palatino Linotype" w:hAnsi="Palatino Linotype" w:cs="Palatino Linotype"/>
          <w:sz w:val="22"/>
          <w:szCs w:val="22"/>
        </w:rPr>
      </w:pPr>
    </w:p>
    <w:p w:rsidR="00E94D86" w:rsidRPr="00A74F31" w:rsidRDefault="001E3125">
      <w:pPr>
        <w:keepNext/>
        <w:keepLines/>
        <w:spacing w:line="360" w:lineRule="auto"/>
        <w:ind w:right="-592"/>
        <w:rPr>
          <w:rFonts w:ascii="Palatino Linotype" w:eastAsia="Palatino Linotype" w:hAnsi="Palatino Linotype" w:cs="Palatino Linotype"/>
          <w:b/>
          <w:sz w:val="22"/>
          <w:szCs w:val="22"/>
        </w:rPr>
      </w:pPr>
      <w:r w:rsidRPr="00A74F31">
        <w:rPr>
          <w:rFonts w:ascii="Palatino Linotype" w:eastAsia="Palatino Linotype" w:hAnsi="Palatino Linotype" w:cs="Palatino Linotype"/>
          <w:b/>
          <w:sz w:val="22"/>
          <w:szCs w:val="22"/>
        </w:rPr>
        <w:t>PRIMERO. De la competencia.</w:t>
      </w:r>
    </w:p>
    <w:p w:rsidR="00E94D86" w:rsidRPr="00A74F31" w:rsidRDefault="00E94D86" w:rsidP="00C82ED1">
      <w:pPr>
        <w:rPr>
          <w:rFonts w:ascii="Palatino Linotype" w:eastAsia="Palatino Linotype" w:hAnsi="Palatino Linotype" w:cs="Palatino Linotype"/>
          <w:b/>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1" w:name="_heading=h.3znysh7" w:colFirst="0" w:colLast="0"/>
      <w:bookmarkEnd w:id="1"/>
      <w:r w:rsidRPr="00A74F3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w:t>
      </w:r>
      <w:r w:rsidRPr="00A74F31">
        <w:rPr>
          <w:rFonts w:ascii="Palatino Linotype" w:eastAsia="Palatino Linotype" w:hAnsi="Palatino Linotype" w:cs="Palatino Linotype"/>
          <w:sz w:val="22"/>
          <w:szCs w:val="22"/>
        </w:rPr>
        <w:lastRenderedPageBreak/>
        <w:t>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E94D86" w:rsidRPr="00A74F31" w:rsidRDefault="00E94D86" w:rsidP="00C82ED1">
      <w:pPr>
        <w:ind w:right="1"/>
        <w:jc w:val="both"/>
        <w:rPr>
          <w:rFonts w:ascii="Palatino Linotype" w:eastAsia="Palatino Linotype" w:hAnsi="Palatino Linotype" w:cs="Palatino Linotype"/>
          <w:sz w:val="22"/>
          <w:szCs w:val="22"/>
        </w:rPr>
      </w:pPr>
    </w:p>
    <w:p w:rsidR="00E94D86" w:rsidRPr="00A74F31" w:rsidRDefault="001E3125">
      <w:pPr>
        <w:keepNext/>
        <w:keepLines/>
        <w:spacing w:line="360" w:lineRule="auto"/>
        <w:ind w:right="1"/>
        <w:rPr>
          <w:rFonts w:ascii="Palatino Linotype" w:eastAsia="Palatino Linotype" w:hAnsi="Palatino Linotype" w:cs="Palatino Linotype"/>
          <w:b/>
          <w:sz w:val="22"/>
          <w:szCs w:val="22"/>
        </w:rPr>
      </w:pPr>
      <w:r w:rsidRPr="00A74F31">
        <w:rPr>
          <w:rFonts w:ascii="Palatino Linotype" w:eastAsia="Palatino Linotype" w:hAnsi="Palatino Linotype" w:cs="Palatino Linotype"/>
          <w:b/>
          <w:sz w:val="22"/>
          <w:szCs w:val="22"/>
        </w:rPr>
        <w:t>SEGUNDO. De la oportunidad y procedencia.</w:t>
      </w:r>
    </w:p>
    <w:p w:rsidR="00E94D86" w:rsidRPr="00A74F31" w:rsidRDefault="00E94D86" w:rsidP="00C82ED1">
      <w:pPr>
        <w:ind w:right="1"/>
        <w:jc w:val="both"/>
        <w:rPr>
          <w:rFonts w:ascii="Palatino Linotype" w:eastAsia="Palatino Linotype" w:hAnsi="Palatino Linotype" w:cs="Palatino Linotype"/>
          <w:b/>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2" w:name="_heading=h.3dy6vkm" w:colFirst="0" w:colLast="0"/>
      <w:bookmarkEnd w:id="2"/>
      <w:r w:rsidRPr="00A74F31">
        <w:rPr>
          <w:rFonts w:ascii="Palatino Linotype" w:eastAsia="Palatino Linotype" w:hAnsi="Palatino Linotype" w:cs="Palatino Linotype"/>
          <w:sz w:val="22"/>
          <w:szCs w:val="22"/>
        </w:rPr>
        <w:t xml:space="preserve">El medio de impugnación fue presentado a través del </w:t>
      </w:r>
      <w:r w:rsidRPr="00A74F31">
        <w:rPr>
          <w:rFonts w:ascii="Palatino Linotype" w:eastAsia="Palatino Linotype" w:hAnsi="Palatino Linotype" w:cs="Palatino Linotype"/>
          <w:b/>
          <w:sz w:val="22"/>
          <w:szCs w:val="22"/>
        </w:rPr>
        <w:t>SAIMEX,</w:t>
      </w:r>
      <w:r w:rsidRPr="00A74F31">
        <w:rPr>
          <w:rFonts w:ascii="Palatino Linotype" w:eastAsia="Palatino Linotype" w:hAnsi="Palatino Linotype" w:cs="Palatino Linotype"/>
          <w:sz w:val="22"/>
          <w:szCs w:val="22"/>
        </w:rPr>
        <w:t xml:space="preserve"> en el formato previamente aprobado para tal efecto y dentro del plazo legal de quince días hábiles otorgados; siendo así que el </w:t>
      </w:r>
      <w:r w:rsidRPr="00A74F31">
        <w:rPr>
          <w:rFonts w:ascii="Palatino Linotype" w:eastAsia="Palatino Linotype" w:hAnsi="Palatino Linotype" w:cs="Palatino Linotype"/>
          <w:b/>
          <w:sz w:val="22"/>
          <w:szCs w:val="22"/>
        </w:rPr>
        <w:t>SUJETO OBLIGADO</w:t>
      </w:r>
      <w:r w:rsidRPr="00A74F31">
        <w:rPr>
          <w:rFonts w:ascii="Palatino Linotype" w:eastAsia="Palatino Linotype" w:hAnsi="Palatino Linotype" w:cs="Palatino Linotype"/>
          <w:sz w:val="22"/>
          <w:szCs w:val="22"/>
        </w:rPr>
        <w:t xml:space="preserve"> entregó respuesta el </w:t>
      </w:r>
      <w:r w:rsidR="00FE5EBB" w:rsidRPr="00A74F31">
        <w:rPr>
          <w:rFonts w:ascii="Palatino Linotype" w:eastAsia="Palatino Linotype" w:hAnsi="Palatino Linotype" w:cs="Palatino Linotype"/>
          <w:sz w:val="22"/>
          <w:szCs w:val="22"/>
        </w:rPr>
        <w:t>diez de marzo de dos mil veinticinco</w:t>
      </w:r>
      <w:r w:rsidRPr="00A74F31">
        <w:rPr>
          <w:rFonts w:ascii="Palatino Linotype" w:eastAsia="Palatino Linotype" w:hAnsi="Palatino Linotype" w:cs="Palatino Linotype"/>
          <w:sz w:val="22"/>
          <w:szCs w:val="22"/>
        </w:rPr>
        <w:t xml:space="preserve">, de tal forma que el plazo para interponer el recurso de revisión transcurrió del </w:t>
      </w:r>
      <w:r w:rsidR="00FE5EBB" w:rsidRPr="00A74F31">
        <w:rPr>
          <w:rFonts w:ascii="Palatino Linotype" w:eastAsia="Palatino Linotype" w:hAnsi="Palatino Linotype" w:cs="Palatino Linotype"/>
          <w:sz w:val="22"/>
          <w:szCs w:val="22"/>
        </w:rPr>
        <w:t>once de marzo</w:t>
      </w:r>
      <w:r w:rsidR="00AF2A58" w:rsidRPr="00A74F31">
        <w:rPr>
          <w:rFonts w:ascii="Palatino Linotype" w:eastAsia="Palatino Linotype" w:hAnsi="Palatino Linotype" w:cs="Palatino Linotype"/>
          <w:sz w:val="22"/>
          <w:szCs w:val="22"/>
        </w:rPr>
        <w:t xml:space="preserve"> </w:t>
      </w:r>
      <w:r w:rsidRPr="00A74F31">
        <w:rPr>
          <w:rFonts w:ascii="Palatino Linotype" w:eastAsia="Palatino Linotype" w:hAnsi="Palatino Linotype" w:cs="Palatino Linotype"/>
          <w:sz w:val="22"/>
          <w:szCs w:val="22"/>
        </w:rPr>
        <w:t xml:space="preserve">al </w:t>
      </w:r>
      <w:r w:rsidR="00FE5EBB" w:rsidRPr="00A74F31">
        <w:rPr>
          <w:rFonts w:ascii="Palatino Linotype" w:eastAsia="Palatino Linotype" w:hAnsi="Palatino Linotype" w:cs="Palatino Linotype"/>
          <w:sz w:val="22"/>
          <w:szCs w:val="22"/>
        </w:rPr>
        <w:t>uno de abril de dos mil veinticinco</w:t>
      </w:r>
      <w:r w:rsidRPr="00A74F31">
        <w:rPr>
          <w:rFonts w:ascii="Palatino Linotype" w:eastAsia="Palatino Linotype" w:hAnsi="Palatino Linotype" w:cs="Palatino Linotype"/>
          <w:sz w:val="22"/>
          <w:szCs w:val="22"/>
        </w:rPr>
        <w:t xml:space="preserve">; en consecuencia, presentó su inconformidad el </w:t>
      </w:r>
      <w:r w:rsidR="00FE5EBB" w:rsidRPr="00A74F31">
        <w:rPr>
          <w:rFonts w:ascii="Palatino Linotype" w:eastAsia="Palatino Linotype" w:hAnsi="Palatino Linotype" w:cs="Palatino Linotype"/>
          <w:sz w:val="22"/>
          <w:szCs w:val="22"/>
        </w:rPr>
        <w:t>once de marzo de dos mil veinticinco</w:t>
      </w:r>
      <w:r w:rsidRPr="00A74F31">
        <w:rPr>
          <w:rFonts w:ascii="Palatino Linotype" w:eastAsia="Palatino Linotype" w:hAnsi="Palatino Linotype" w:cs="Palatino Linotype"/>
          <w:sz w:val="22"/>
          <w:szCs w:val="22"/>
        </w:rPr>
        <w:t xml:space="preserve">, por lo que se encuentra dentro de los márgenes temporales previstos en el artículo 178 de la </w:t>
      </w:r>
      <w:r w:rsidRPr="00A74F31">
        <w:rPr>
          <w:rFonts w:ascii="Palatino Linotype" w:eastAsia="Palatino Linotype" w:hAnsi="Palatino Linotype" w:cs="Palatino Linotype"/>
          <w:b/>
          <w:sz w:val="22"/>
          <w:szCs w:val="22"/>
        </w:rPr>
        <w:t xml:space="preserve">Ley de Transparencia y Acceso a la Información Pública del Estado de México y Municipios </w:t>
      </w:r>
      <w:r w:rsidRPr="00A74F31">
        <w:rPr>
          <w:rFonts w:ascii="Palatino Linotype" w:eastAsia="Palatino Linotype" w:hAnsi="Palatino Linotype" w:cs="Palatino Linotype"/>
          <w:sz w:val="22"/>
          <w:szCs w:val="22"/>
        </w:rPr>
        <w:t>vigente.</w:t>
      </w:r>
    </w:p>
    <w:p w:rsidR="00AF2A58" w:rsidRPr="00A74F31" w:rsidRDefault="00AF2A58" w:rsidP="00C82ED1">
      <w:pPr>
        <w:ind w:right="1"/>
        <w:jc w:val="both"/>
        <w:rPr>
          <w:rFonts w:ascii="Palatino Linotype" w:eastAsia="Palatino Linotype" w:hAnsi="Palatino Linotype" w:cs="Palatino Linotype"/>
          <w:b/>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sz w:val="22"/>
          <w:szCs w:val="22"/>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A74F31" w:rsidRDefault="00E94D86" w:rsidP="00C82ED1">
      <w:pPr>
        <w:ind w:right="-592"/>
        <w:jc w:val="both"/>
        <w:rPr>
          <w:rFonts w:ascii="Palatino Linotype" w:eastAsia="Palatino Linotype" w:hAnsi="Palatino Linotype" w:cs="Palatino Linotype"/>
          <w:b/>
          <w:sz w:val="22"/>
          <w:szCs w:val="22"/>
        </w:rPr>
      </w:pPr>
    </w:p>
    <w:p w:rsidR="00E94D86" w:rsidRPr="00A74F31" w:rsidRDefault="001E3125">
      <w:pPr>
        <w:spacing w:line="360" w:lineRule="auto"/>
        <w:ind w:right="-592"/>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b/>
          <w:sz w:val="22"/>
          <w:szCs w:val="22"/>
        </w:rPr>
        <w:t>TERCERO. Planteamiento de la Litis.</w:t>
      </w:r>
    </w:p>
    <w:p w:rsidR="00E94D86" w:rsidRPr="00A74F31" w:rsidRDefault="00E94D86" w:rsidP="00C82ED1">
      <w:pPr>
        <w:ind w:right="-592"/>
        <w:jc w:val="both"/>
        <w:rPr>
          <w:rFonts w:ascii="Palatino Linotype" w:eastAsia="Palatino Linotype" w:hAnsi="Palatino Linotype" w:cs="Palatino Linotype"/>
          <w:b/>
          <w:sz w:val="22"/>
          <w:szCs w:val="22"/>
        </w:rPr>
      </w:pPr>
    </w:p>
    <w:p w:rsidR="00AA0813" w:rsidRPr="00A74F31" w:rsidRDefault="001E3125" w:rsidP="00AA0813">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sz w:val="22"/>
          <w:szCs w:val="22"/>
        </w:rPr>
        <w:t xml:space="preserve">El </w:t>
      </w:r>
      <w:r w:rsidRPr="00A74F31">
        <w:rPr>
          <w:rFonts w:ascii="Palatino Linotype" w:eastAsia="Palatino Linotype" w:hAnsi="Palatino Linotype" w:cs="Palatino Linotype"/>
          <w:b/>
          <w:sz w:val="22"/>
          <w:szCs w:val="22"/>
        </w:rPr>
        <w:t>RECURRENTE</w:t>
      </w:r>
      <w:r w:rsidR="00A42556" w:rsidRPr="00A74F31">
        <w:rPr>
          <w:rFonts w:ascii="Palatino Linotype" w:eastAsia="Palatino Linotype" w:hAnsi="Palatino Linotype" w:cs="Palatino Linotype"/>
          <w:b/>
          <w:sz w:val="22"/>
          <w:szCs w:val="22"/>
        </w:rPr>
        <w:t xml:space="preserve"> </w:t>
      </w:r>
      <w:r w:rsidR="00A42556" w:rsidRPr="00A74F31">
        <w:rPr>
          <w:rFonts w:ascii="Palatino Linotype" w:eastAsia="Palatino Linotype" w:hAnsi="Palatino Linotype" w:cs="Palatino Linotype"/>
          <w:sz w:val="22"/>
          <w:szCs w:val="22"/>
        </w:rPr>
        <w:t xml:space="preserve">solicitó </w:t>
      </w:r>
      <w:r w:rsidR="00FE5EBB" w:rsidRPr="00A74F31">
        <w:rPr>
          <w:rFonts w:ascii="Palatino Linotype" w:hAnsi="Palatino Linotype"/>
          <w:color w:val="000000"/>
          <w:sz w:val="22"/>
          <w:szCs w:val="22"/>
        </w:rPr>
        <w:t>el Plan de Contingencia en materia de Protección de Datos Personales del 2023, 2024 y 2025.</w:t>
      </w:r>
    </w:p>
    <w:p w:rsidR="00E94D86" w:rsidRPr="00A74F31" w:rsidRDefault="00E94D86" w:rsidP="00073512">
      <w:pPr>
        <w:tabs>
          <w:tab w:val="left" w:pos="1740"/>
        </w:tabs>
        <w:spacing w:line="360" w:lineRule="auto"/>
        <w:ind w:right="1"/>
        <w:jc w:val="both"/>
        <w:rPr>
          <w:rFonts w:ascii="Palatino Linotype" w:eastAsia="Palatino Linotype" w:hAnsi="Palatino Linotype" w:cs="Palatino Linotype"/>
          <w:b/>
          <w:sz w:val="22"/>
          <w:szCs w:val="22"/>
        </w:rPr>
      </w:pPr>
    </w:p>
    <w:p w:rsidR="00FE5EBB" w:rsidRPr="00A74F31" w:rsidRDefault="001E3125" w:rsidP="00FE5EBB">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lastRenderedPageBreak/>
        <w:t xml:space="preserve">En respuesta, el </w:t>
      </w:r>
      <w:r w:rsidRPr="00A74F31">
        <w:rPr>
          <w:rFonts w:ascii="Palatino Linotype" w:eastAsia="Palatino Linotype" w:hAnsi="Palatino Linotype" w:cs="Palatino Linotype"/>
          <w:b/>
          <w:sz w:val="22"/>
          <w:szCs w:val="22"/>
        </w:rPr>
        <w:t>SUJETO OBLIGADO</w:t>
      </w:r>
      <w:r w:rsidRPr="00A74F31">
        <w:rPr>
          <w:rFonts w:ascii="Palatino Linotype" w:eastAsia="Palatino Linotype" w:hAnsi="Palatino Linotype" w:cs="Palatino Linotype"/>
          <w:sz w:val="22"/>
          <w:szCs w:val="22"/>
        </w:rPr>
        <w:t xml:space="preserve"> </w:t>
      </w:r>
      <w:r w:rsidR="00FE5EBB" w:rsidRPr="00A74F31">
        <w:rPr>
          <w:rFonts w:ascii="Palatino Linotype" w:eastAsia="Palatino Linotype" w:hAnsi="Palatino Linotype" w:cs="Palatino Linotype"/>
          <w:sz w:val="22"/>
          <w:szCs w:val="22"/>
        </w:rPr>
        <w:t>por medio d</w:t>
      </w:r>
      <w:r w:rsidR="00FE5EBB" w:rsidRPr="00A74F31">
        <w:rPr>
          <w:rStyle w:val="Hipervnculo"/>
          <w:rFonts w:ascii="Palatino Linotype" w:hAnsi="Palatino Linotype" w:cs="Arial"/>
          <w:bCs/>
          <w:color w:val="auto"/>
          <w:sz w:val="22"/>
          <w:szCs w:val="22"/>
          <w:u w:val="none"/>
        </w:rPr>
        <w:t>el Director de Transparencia y Gobierno Abierto, informó que el “Plan de Contingencia” se clasifica como confidencial en su totalidad, ya que es la descripción detallada de las acciones preventivas y correctivas para adecuar las medidas de seguridad y el tratamiento de los datos personales si fuese el caso, a efecto de evitar que las violaciones se repitan en los sistemas y/o bases de datos personales que administra el Ayuntamiento de Metepec, de conformidad con el Acuerdo No. 02/CT/MET/EXT-006/2025 del Comité de Transparencia.</w:t>
      </w:r>
    </w:p>
    <w:p w:rsidR="00E94D86" w:rsidRPr="00A74F31" w:rsidRDefault="00E94D86" w:rsidP="00C82ED1">
      <w:pPr>
        <w:ind w:right="1"/>
        <w:rPr>
          <w:rFonts w:ascii="Palatino Linotype" w:eastAsia="Palatino Linotype" w:hAnsi="Palatino Linotype" w:cs="Palatino Linotype"/>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sz w:val="22"/>
          <w:szCs w:val="22"/>
        </w:rPr>
        <w:t xml:space="preserve">Posteriormente, el </w:t>
      </w:r>
      <w:r w:rsidRPr="00A74F31">
        <w:rPr>
          <w:rFonts w:ascii="Palatino Linotype" w:eastAsia="Palatino Linotype" w:hAnsi="Palatino Linotype" w:cs="Palatino Linotype"/>
          <w:b/>
          <w:sz w:val="22"/>
          <w:szCs w:val="22"/>
        </w:rPr>
        <w:t>RECURRENTE</w:t>
      </w:r>
      <w:r w:rsidRPr="00A74F31">
        <w:rPr>
          <w:rFonts w:ascii="Palatino Linotype" w:eastAsia="Palatino Linotype" w:hAnsi="Palatino Linotype" w:cs="Palatino Linotype"/>
          <w:sz w:val="22"/>
          <w:szCs w:val="22"/>
        </w:rPr>
        <w:t xml:space="preserve"> se inconformó por </w:t>
      </w:r>
      <w:r w:rsidR="00F10800" w:rsidRPr="00A74F31">
        <w:rPr>
          <w:rFonts w:ascii="Palatino Linotype" w:eastAsia="Palatino Linotype" w:hAnsi="Palatino Linotype" w:cs="Palatino Linotype"/>
          <w:b/>
          <w:sz w:val="22"/>
          <w:szCs w:val="22"/>
        </w:rPr>
        <w:t xml:space="preserve">la </w:t>
      </w:r>
      <w:r w:rsidR="00FE5EBB" w:rsidRPr="00A74F31">
        <w:rPr>
          <w:rFonts w:ascii="Palatino Linotype" w:eastAsia="Palatino Linotype" w:hAnsi="Palatino Linotype" w:cs="Palatino Linotype"/>
          <w:b/>
          <w:sz w:val="22"/>
          <w:szCs w:val="22"/>
        </w:rPr>
        <w:t>negativa de la información solicitada.</w:t>
      </w:r>
    </w:p>
    <w:p w:rsidR="00E94D86" w:rsidRPr="00A74F31" w:rsidRDefault="00E94D86" w:rsidP="00C82ED1">
      <w:pPr>
        <w:ind w:right="1"/>
        <w:rPr>
          <w:rFonts w:ascii="Palatino Linotype" w:eastAsia="Palatino Linotype" w:hAnsi="Palatino Linotype" w:cs="Palatino Linotype"/>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3" w:name="_heading=h.gjdgxs" w:colFirst="0" w:colLast="0"/>
      <w:bookmarkEnd w:id="3"/>
      <w:r w:rsidRPr="00A74F31">
        <w:rPr>
          <w:rFonts w:ascii="Palatino Linotype" w:eastAsia="Palatino Linotype" w:hAnsi="Palatino Linotype" w:cs="Palatino Linotype"/>
          <w:sz w:val="22"/>
          <w:szCs w:val="22"/>
        </w:rPr>
        <w:t xml:space="preserve">En dichas condiciones, la </w:t>
      </w:r>
      <w:r w:rsidRPr="00A74F31">
        <w:rPr>
          <w:rFonts w:ascii="Palatino Linotype" w:eastAsia="Palatino Linotype" w:hAnsi="Palatino Linotype" w:cs="Palatino Linotype"/>
          <w:i/>
          <w:sz w:val="22"/>
          <w:szCs w:val="22"/>
        </w:rPr>
        <w:t>Litis</w:t>
      </w:r>
      <w:r w:rsidRPr="00A74F31">
        <w:rPr>
          <w:rFonts w:ascii="Palatino Linotype" w:eastAsia="Palatino Linotype" w:hAnsi="Palatino Linotype" w:cs="Palatino Linotype"/>
          <w:sz w:val="22"/>
          <w:szCs w:val="22"/>
        </w:rPr>
        <w:t xml:space="preserve"> a resolver en el presente recurso de revisión se circunscribe a determinar si se actualizan la causal de procedencia prevista en el artículo 179, fracción</w:t>
      </w:r>
      <w:r w:rsidRPr="00A74F31">
        <w:rPr>
          <w:rFonts w:ascii="Palatino Linotype" w:eastAsia="Palatino Linotype" w:hAnsi="Palatino Linotype" w:cs="Palatino Linotype"/>
          <w:b/>
          <w:sz w:val="22"/>
          <w:szCs w:val="22"/>
        </w:rPr>
        <w:t xml:space="preserve"> </w:t>
      </w:r>
      <w:r w:rsidR="00FE5EBB" w:rsidRPr="00A74F31">
        <w:rPr>
          <w:rFonts w:ascii="Palatino Linotype" w:eastAsia="Palatino Linotype" w:hAnsi="Palatino Linotype" w:cs="Palatino Linotype"/>
          <w:b/>
          <w:sz w:val="22"/>
          <w:szCs w:val="22"/>
        </w:rPr>
        <w:t>I</w:t>
      </w:r>
      <w:r w:rsidRPr="00A74F31">
        <w:rPr>
          <w:rFonts w:ascii="Palatino Linotype" w:eastAsia="Palatino Linotype" w:hAnsi="Palatino Linotype" w:cs="Palatino Linotype"/>
          <w:b/>
          <w:sz w:val="22"/>
          <w:szCs w:val="22"/>
        </w:rPr>
        <w:t xml:space="preserve"> </w:t>
      </w:r>
      <w:r w:rsidRPr="00A74F31">
        <w:rPr>
          <w:rFonts w:ascii="Palatino Linotype" w:eastAsia="Palatino Linotype" w:hAnsi="Palatino Linotype" w:cs="Palatino Linotype"/>
          <w:sz w:val="22"/>
          <w:szCs w:val="22"/>
        </w:rPr>
        <w:t xml:space="preserve">de la </w:t>
      </w:r>
      <w:r w:rsidRPr="00A74F31">
        <w:rPr>
          <w:rFonts w:ascii="Palatino Linotype" w:eastAsia="Palatino Linotype" w:hAnsi="Palatino Linotype" w:cs="Palatino Linotype"/>
          <w:b/>
          <w:sz w:val="22"/>
          <w:szCs w:val="22"/>
        </w:rPr>
        <w:t>Ley de Transparencia y Acceso a la Información Pública del Estado de México y Municipios</w:t>
      </w:r>
      <w:r w:rsidRPr="00A74F31">
        <w:rPr>
          <w:rFonts w:ascii="Palatino Linotype" w:eastAsia="Palatino Linotype" w:hAnsi="Palatino Linotype" w:cs="Palatino Linotype"/>
          <w:sz w:val="22"/>
          <w:szCs w:val="22"/>
        </w:rPr>
        <w:t>.</w:t>
      </w:r>
    </w:p>
    <w:p w:rsidR="00E94D86" w:rsidRPr="00A74F31" w:rsidRDefault="00E94D86" w:rsidP="00C82ED1">
      <w:pPr>
        <w:ind w:right="1"/>
        <w:jc w:val="both"/>
        <w:rPr>
          <w:rFonts w:ascii="Palatino Linotype" w:eastAsia="Palatino Linotype" w:hAnsi="Palatino Linotype" w:cs="Palatino Linotype"/>
          <w:b/>
          <w:sz w:val="22"/>
          <w:szCs w:val="22"/>
        </w:rPr>
      </w:pPr>
    </w:p>
    <w:p w:rsidR="00E94D86" w:rsidRPr="00A74F31" w:rsidRDefault="001E3125">
      <w:pPr>
        <w:pStyle w:val="Ttulo2"/>
        <w:spacing w:before="0" w:line="360" w:lineRule="auto"/>
        <w:ind w:right="1"/>
        <w:rPr>
          <w:rFonts w:ascii="Palatino Linotype" w:eastAsia="Palatino Linotype" w:hAnsi="Palatino Linotype" w:cs="Palatino Linotype"/>
          <w:b/>
          <w:color w:val="000000"/>
          <w:sz w:val="22"/>
          <w:szCs w:val="22"/>
        </w:rPr>
      </w:pPr>
      <w:r w:rsidRPr="00A74F31">
        <w:rPr>
          <w:rFonts w:ascii="Palatino Linotype" w:eastAsia="Palatino Linotype" w:hAnsi="Palatino Linotype" w:cs="Palatino Linotype"/>
          <w:b/>
          <w:color w:val="000000"/>
          <w:sz w:val="22"/>
          <w:szCs w:val="22"/>
        </w:rPr>
        <w:t>CUARTA. Estudio y resolución del asunto.</w:t>
      </w:r>
    </w:p>
    <w:p w:rsidR="00E94D86" w:rsidRPr="00A74F31" w:rsidRDefault="00E94D86" w:rsidP="000A31EF">
      <w:pPr>
        <w:ind w:right="1"/>
        <w:jc w:val="both"/>
        <w:rPr>
          <w:rFonts w:ascii="Palatino Linotype" w:eastAsia="Palatino Linotype" w:hAnsi="Palatino Linotype" w:cs="Palatino Linotype"/>
          <w:b/>
          <w:sz w:val="22"/>
          <w:szCs w:val="22"/>
        </w:rPr>
      </w:pPr>
    </w:p>
    <w:p w:rsidR="00E94D86" w:rsidRPr="00A74F31" w:rsidRDefault="001E3125" w:rsidP="00831332">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b/>
          <w:sz w:val="22"/>
          <w:szCs w:val="22"/>
        </w:rPr>
        <w:t xml:space="preserve"> </w:t>
      </w:r>
      <w:r w:rsidRPr="00A74F31">
        <w:rPr>
          <w:rFonts w:ascii="Palatino Linotype" w:eastAsia="Palatino Linotype" w:hAnsi="Palatino Linotype" w:cs="Palatino Linotype"/>
          <w:sz w:val="22"/>
          <w:szCs w:val="22"/>
        </w:rPr>
        <w:t xml:space="preserve">El </w:t>
      </w:r>
      <w:r w:rsidRPr="00A74F31">
        <w:rPr>
          <w:rFonts w:ascii="Palatino Linotype" w:eastAsia="Palatino Linotype" w:hAnsi="Palatino Linotype" w:cs="Palatino Linotype"/>
          <w:color w:val="000000"/>
          <w:sz w:val="22"/>
          <w:szCs w:val="22"/>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A74F31">
        <w:rPr>
          <w:rFonts w:ascii="Palatino Linotype" w:eastAsia="Palatino Linotype" w:hAnsi="Palatino Linotype" w:cs="Palatino Linotype"/>
          <w:sz w:val="22"/>
          <w:szCs w:val="22"/>
        </w:rPr>
        <w:t>Particular</w:t>
      </w:r>
      <w:r w:rsidRPr="00A74F31">
        <w:rPr>
          <w:rFonts w:ascii="Palatino Linotype" w:eastAsia="Palatino Linotype" w:hAnsi="Palatino Linotype" w:cs="Palatino Linotype"/>
          <w:color w:val="000000"/>
          <w:sz w:val="22"/>
          <w:szCs w:val="22"/>
        </w:rPr>
        <w:t xml:space="preserve"> del Estado de México.</w:t>
      </w:r>
    </w:p>
    <w:p w:rsidR="00BE4CCE" w:rsidRPr="00A74F31" w:rsidRDefault="00BE4CCE" w:rsidP="00BE4CCE">
      <w:pPr>
        <w:spacing w:line="360" w:lineRule="auto"/>
        <w:ind w:right="1"/>
        <w:jc w:val="both"/>
        <w:rPr>
          <w:rFonts w:ascii="Palatino Linotype" w:eastAsia="Palatino Linotype" w:hAnsi="Palatino Linotype" w:cs="Palatino Linotype"/>
          <w:b/>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color w:val="000000"/>
          <w:sz w:val="22"/>
          <w:szCs w:val="22"/>
        </w:rPr>
        <w:t xml:space="preserve">Definiendo </w:t>
      </w:r>
      <w:r w:rsidRPr="00A74F31">
        <w:rPr>
          <w:rFonts w:ascii="Palatino Linotype" w:eastAsia="Palatino Linotype" w:hAnsi="Palatino Linotype" w:cs="Palatino Linotype"/>
          <w:sz w:val="22"/>
          <w:szCs w:val="22"/>
        </w:rPr>
        <w:t xml:space="preserve">el Derecho de Acceso a la Información Pública como: </w:t>
      </w:r>
      <w:r w:rsidRPr="00A74F31">
        <w:rPr>
          <w:rFonts w:ascii="Palatino Linotype" w:eastAsia="Palatino Linotype" w:hAnsi="Palatino Linotype" w:cs="Palatino Linotype"/>
          <w:i/>
          <w:color w:val="000000"/>
          <w:sz w:val="22"/>
          <w:szCs w:val="22"/>
        </w:rPr>
        <w:t xml:space="preserve">La igualdad de </w:t>
      </w:r>
      <w:r w:rsidRPr="00A74F31">
        <w:rPr>
          <w:rFonts w:ascii="Palatino Linotype" w:eastAsia="Palatino Linotype" w:hAnsi="Palatino Linotype" w:cs="Palatino Linotype"/>
          <w:sz w:val="22"/>
          <w:szCs w:val="22"/>
        </w:rPr>
        <w:t>oportunidades</w:t>
      </w:r>
      <w:r w:rsidRPr="00A74F31">
        <w:rPr>
          <w:rFonts w:ascii="Palatino Linotype" w:eastAsia="Palatino Linotype" w:hAnsi="Palatino Linotype" w:cs="Palatino Linotype"/>
          <w:i/>
          <w:color w:val="000000"/>
          <w:sz w:val="22"/>
          <w:szCs w:val="22"/>
        </w:rPr>
        <w:t xml:space="preserve"> para recibir, buscar e impartir información</w:t>
      </w:r>
      <w:r w:rsidRPr="00A74F31">
        <w:rPr>
          <w:rFonts w:ascii="Palatino Linotype" w:eastAsia="Palatino Linotype" w:hAnsi="Palatino Linotype" w:cs="Palatino Linotype"/>
          <w:i/>
          <w:color w:val="000000"/>
          <w:sz w:val="22"/>
          <w:szCs w:val="22"/>
          <w:vertAlign w:val="superscript"/>
        </w:rPr>
        <w:footnoteReference w:id="1"/>
      </w:r>
      <w:r w:rsidRPr="00A74F31">
        <w:rPr>
          <w:rFonts w:ascii="Palatino Linotype" w:eastAsia="Palatino Linotype" w:hAnsi="Palatino Linotype" w:cs="Palatino Linotype"/>
          <w:i/>
          <w:color w:val="000000"/>
          <w:sz w:val="22"/>
          <w:szCs w:val="22"/>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w:t>
      </w:r>
      <w:r w:rsidRPr="00A74F31">
        <w:rPr>
          <w:rFonts w:ascii="Palatino Linotype" w:eastAsia="Palatino Linotype" w:hAnsi="Palatino Linotype" w:cs="Palatino Linotype"/>
          <w:i/>
          <w:color w:val="000000"/>
          <w:sz w:val="22"/>
          <w:szCs w:val="22"/>
        </w:rPr>
        <w:lastRenderedPageBreak/>
        <w:t>recursos públicos o realice actos de autoridad en el ámbito federal, estatal y municipal,</w:t>
      </w:r>
      <w:r w:rsidRPr="00A74F31">
        <w:rPr>
          <w:rFonts w:ascii="Palatino Linotype" w:eastAsia="Palatino Linotype" w:hAnsi="Palatino Linotype" w:cs="Palatino Linotype"/>
          <w:i/>
          <w:color w:val="000000"/>
          <w:sz w:val="22"/>
          <w:szCs w:val="22"/>
          <w:vertAlign w:val="superscript"/>
        </w:rPr>
        <w:footnoteReference w:id="2"/>
      </w:r>
      <w:r w:rsidRPr="00A74F31">
        <w:rPr>
          <w:rFonts w:ascii="Palatino Linotype" w:eastAsia="Palatino Linotype" w:hAnsi="Palatino Linotype" w:cs="Palatino Linotype"/>
          <w:color w:val="000000"/>
          <w:sz w:val="22"/>
          <w:szCs w:val="22"/>
        </w:rPr>
        <w:t>que se constituye como una herramienta fundamental para ejercer</w:t>
      </w:r>
      <w:r w:rsidRPr="00A74F31">
        <w:rPr>
          <w:rFonts w:ascii="Palatino Linotype" w:eastAsia="Palatino Linotype" w:hAnsi="Palatino Linotype" w:cs="Palatino Linotype"/>
          <w:i/>
          <w:color w:val="000000"/>
          <w:sz w:val="22"/>
          <w:szCs w:val="22"/>
        </w:rPr>
        <w:t xml:space="preserve"> el control democrático de las gestiones estatales, de forma tal que puedan cuestionar, indagar y considerar si se está dando un adecuado cumplimiento a las funciones públicas,</w:t>
      </w:r>
      <w:r w:rsidRPr="00A74F31">
        <w:rPr>
          <w:rFonts w:ascii="Palatino Linotype" w:eastAsia="Palatino Linotype" w:hAnsi="Palatino Linotype" w:cs="Palatino Linotype"/>
          <w:i/>
          <w:color w:val="000000"/>
          <w:sz w:val="22"/>
          <w:szCs w:val="22"/>
          <w:vertAlign w:val="superscript"/>
        </w:rPr>
        <w:footnoteReference w:id="3"/>
      </w:r>
      <w:r w:rsidRPr="00A74F31">
        <w:rPr>
          <w:rFonts w:ascii="Palatino Linotype" w:eastAsia="Palatino Linotype" w:hAnsi="Palatino Linotype" w:cs="Palatino Linotype"/>
          <w:color w:val="000000"/>
          <w:sz w:val="22"/>
          <w:szCs w:val="22"/>
        </w:rPr>
        <w:t>fomentando</w:t>
      </w:r>
      <w:r w:rsidRPr="00A74F31">
        <w:rPr>
          <w:rFonts w:ascii="Palatino Linotype" w:eastAsia="Palatino Linotype" w:hAnsi="Palatino Linotype" w:cs="Palatino Linotype"/>
          <w:i/>
          <w:color w:val="000000"/>
          <w:sz w:val="22"/>
          <w:szCs w:val="22"/>
        </w:rPr>
        <w:t xml:space="preserve"> la transparencia de las actividades estatales y </w:t>
      </w:r>
      <w:r w:rsidRPr="00A74F31">
        <w:rPr>
          <w:rFonts w:ascii="Palatino Linotype" w:eastAsia="Palatino Linotype" w:hAnsi="Palatino Linotype" w:cs="Palatino Linotype"/>
          <w:color w:val="000000"/>
          <w:sz w:val="22"/>
          <w:szCs w:val="22"/>
        </w:rPr>
        <w:t>promoviendo</w:t>
      </w:r>
      <w:r w:rsidRPr="00A74F31">
        <w:rPr>
          <w:rFonts w:ascii="Palatino Linotype" w:eastAsia="Palatino Linotype" w:hAnsi="Palatino Linotype" w:cs="Palatino Linotype"/>
          <w:i/>
          <w:color w:val="000000"/>
          <w:sz w:val="22"/>
          <w:szCs w:val="22"/>
        </w:rPr>
        <w:t xml:space="preserve"> la responsabilidad de los funcionarios sobre su gestión pública,</w:t>
      </w:r>
      <w:r w:rsidRPr="00A74F31">
        <w:rPr>
          <w:rFonts w:ascii="Palatino Linotype" w:eastAsia="Palatino Linotype" w:hAnsi="Palatino Linotype" w:cs="Palatino Linotype"/>
          <w:i/>
          <w:color w:val="000000"/>
          <w:sz w:val="22"/>
          <w:szCs w:val="22"/>
          <w:vertAlign w:val="superscript"/>
        </w:rPr>
        <w:footnoteReference w:id="4"/>
      </w:r>
      <w:r w:rsidRPr="00A74F31">
        <w:rPr>
          <w:rFonts w:ascii="Palatino Linotype" w:eastAsia="Palatino Linotype" w:hAnsi="Palatino Linotype" w:cs="Palatino Linotype"/>
          <w:color w:val="000000"/>
          <w:sz w:val="22"/>
          <w:szCs w:val="22"/>
        </w:rPr>
        <w:t>que permite</w:t>
      </w:r>
      <w:r w:rsidRPr="00A74F31">
        <w:rPr>
          <w:rFonts w:ascii="Palatino Linotype" w:eastAsia="Palatino Linotype" w:hAnsi="Palatino Linotype" w:cs="Palatino Linotype"/>
          <w:i/>
          <w:color w:val="000000"/>
          <w:sz w:val="22"/>
          <w:szCs w:val="22"/>
        </w:rPr>
        <w:t xml:space="preserve"> saber qué están haciendo los gobiernos por sus pueblos, sin lo cual la verdad languidecería y la participación en el gobierno permanecería fragmentada.</w:t>
      </w:r>
    </w:p>
    <w:p w:rsidR="00E94D86" w:rsidRPr="00A74F31" w:rsidRDefault="00E94D86" w:rsidP="00827BFE">
      <w:pPr>
        <w:ind w:right="1"/>
        <w:rPr>
          <w:rFonts w:ascii="Palatino Linotype" w:eastAsia="Palatino Linotype" w:hAnsi="Palatino Linotype" w:cs="Palatino Linotype"/>
          <w:color w:val="000000"/>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color w:val="000000"/>
          <w:sz w:val="22"/>
          <w:szCs w:val="22"/>
        </w:rPr>
        <w:t xml:space="preserve">En </w:t>
      </w:r>
      <w:r w:rsidRPr="00A74F31">
        <w:rPr>
          <w:rFonts w:ascii="Palatino Linotype" w:eastAsia="Palatino Linotype" w:hAnsi="Palatino Linotype" w:cs="Palatino Linotype"/>
          <w:sz w:val="22"/>
          <w:szCs w:val="22"/>
        </w:rPr>
        <w:t>México, además de los derechos, están reconocidas las garantías para su protección, en ese sentido el párrafo tercero de artículo primero de la Constitución Política de los Estados Unidos Mexicanos, dispone lo siguiente:</w:t>
      </w:r>
    </w:p>
    <w:p w:rsidR="00E94D86" w:rsidRPr="00A74F31" w:rsidRDefault="00E94D86" w:rsidP="00831332">
      <w:pPr>
        <w:ind w:right="-592"/>
        <w:jc w:val="both"/>
        <w:rPr>
          <w:rFonts w:ascii="Palatino Linotype" w:eastAsia="Palatino Linotype" w:hAnsi="Palatino Linotype" w:cs="Palatino Linotype"/>
          <w:b/>
          <w:sz w:val="22"/>
          <w:szCs w:val="22"/>
        </w:rPr>
      </w:pPr>
    </w:p>
    <w:p w:rsidR="00E94D86" w:rsidRPr="00A74F31" w:rsidRDefault="001E3125">
      <w:pPr>
        <w:ind w:left="567" w:right="710"/>
        <w:jc w:val="both"/>
        <w:rPr>
          <w:rFonts w:ascii="Palatino Linotype" w:eastAsia="Palatino Linotype" w:hAnsi="Palatino Linotype" w:cs="Palatino Linotype"/>
          <w:i/>
          <w:sz w:val="22"/>
          <w:szCs w:val="22"/>
        </w:rPr>
      </w:pPr>
      <w:r w:rsidRPr="00A74F31">
        <w:rPr>
          <w:rFonts w:ascii="Palatino Linotype" w:eastAsia="Palatino Linotype" w:hAnsi="Palatino Linotype" w:cs="Palatino Linotype"/>
          <w:i/>
          <w:sz w:val="22"/>
          <w:szCs w:val="22"/>
        </w:rPr>
        <w:t>“</w:t>
      </w:r>
      <w:r w:rsidRPr="00A74F31">
        <w:rPr>
          <w:rFonts w:ascii="Palatino Linotype" w:eastAsia="Palatino Linotype" w:hAnsi="Palatino Linotype" w:cs="Palatino Linotype"/>
          <w:b/>
          <w:i/>
          <w:sz w:val="22"/>
          <w:szCs w:val="22"/>
        </w:rPr>
        <w:t>Artículo 1.-</w:t>
      </w:r>
      <w:r w:rsidRPr="00A74F31">
        <w:rPr>
          <w:rFonts w:ascii="Palatino Linotype" w:eastAsia="Palatino Linotype" w:hAnsi="Palatino Linotype" w:cs="Palatino Linotype"/>
          <w:i/>
          <w:sz w:val="22"/>
          <w:szCs w:val="22"/>
        </w:rPr>
        <w:t xml:space="preserve"> </w:t>
      </w:r>
    </w:p>
    <w:p w:rsidR="00E94D86" w:rsidRPr="00A74F31" w:rsidRDefault="001E3125">
      <w:pPr>
        <w:ind w:left="567" w:right="710"/>
        <w:jc w:val="both"/>
        <w:rPr>
          <w:rFonts w:ascii="Palatino Linotype" w:eastAsia="Palatino Linotype" w:hAnsi="Palatino Linotype" w:cs="Palatino Linotype"/>
          <w:i/>
          <w:sz w:val="22"/>
          <w:szCs w:val="22"/>
        </w:rPr>
      </w:pPr>
      <w:r w:rsidRPr="00A74F31">
        <w:rPr>
          <w:rFonts w:ascii="Palatino Linotype" w:eastAsia="Palatino Linotype" w:hAnsi="Palatino Linotype" w:cs="Palatino Linotype"/>
          <w:i/>
          <w:sz w:val="22"/>
          <w:szCs w:val="22"/>
        </w:rPr>
        <w:t>(…)</w:t>
      </w:r>
    </w:p>
    <w:p w:rsidR="00E94D86" w:rsidRPr="00A74F31" w:rsidRDefault="001E3125">
      <w:pPr>
        <w:ind w:left="567" w:right="710"/>
        <w:jc w:val="both"/>
        <w:rPr>
          <w:rFonts w:ascii="Palatino Linotype" w:eastAsia="Palatino Linotype" w:hAnsi="Palatino Linotype" w:cs="Palatino Linotype"/>
          <w:i/>
          <w:sz w:val="22"/>
          <w:szCs w:val="22"/>
        </w:rPr>
      </w:pPr>
      <w:r w:rsidRPr="00A74F31">
        <w:rPr>
          <w:rFonts w:ascii="Palatino Linotype" w:eastAsia="Palatino Linotype" w:hAnsi="Palatino Linotype" w:cs="Palatino Linotype"/>
          <w:i/>
          <w:sz w:val="22"/>
          <w:szCs w:val="22"/>
        </w:rPr>
        <w:t>Todas las</w:t>
      </w:r>
      <w:r w:rsidRPr="00A74F31">
        <w:rPr>
          <w:rFonts w:ascii="Palatino Linotype" w:eastAsia="Palatino Linotype" w:hAnsi="Palatino Linotype" w:cs="Palatino Linotype"/>
          <w:sz w:val="22"/>
          <w:szCs w:val="22"/>
        </w:rPr>
        <w:t xml:space="preserve"> </w:t>
      </w:r>
      <w:r w:rsidRPr="00A74F31">
        <w:rPr>
          <w:rFonts w:ascii="Palatino Linotype" w:eastAsia="Palatino Linotype" w:hAnsi="Palatino Linotype" w:cs="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4D86" w:rsidRPr="00A74F31" w:rsidRDefault="001E3125">
      <w:pPr>
        <w:ind w:left="567" w:right="71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i/>
          <w:sz w:val="22"/>
          <w:szCs w:val="22"/>
        </w:rPr>
        <w:t>(…)</w:t>
      </w:r>
      <w:r w:rsidRPr="00A74F31">
        <w:rPr>
          <w:rFonts w:ascii="Palatino Linotype" w:eastAsia="Palatino Linotype" w:hAnsi="Palatino Linotype" w:cs="Palatino Linotype"/>
          <w:sz w:val="22"/>
          <w:szCs w:val="22"/>
        </w:rPr>
        <w:t>”</w:t>
      </w:r>
    </w:p>
    <w:p w:rsidR="00E94D86" w:rsidRPr="00A74F31" w:rsidRDefault="00E94D86" w:rsidP="000A31EF">
      <w:pPr>
        <w:ind w:right="-592"/>
        <w:jc w:val="both"/>
        <w:rPr>
          <w:rFonts w:ascii="Palatino Linotype" w:eastAsia="Palatino Linotype" w:hAnsi="Palatino Linotype" w:cs="Palatino Linotype"/>
          <w:b/>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color w:val="000000"/>
          <w:sz w:val="22"/>
          <w:szCs w:val="22"/>
        </w:rPr>
        <w:t xml:space="preserve">Por </w:t>
      </w:r>
      <w:r w:rsidRPr="00A74F31">
        <w:rPr>
          <w:rFonts w:ascii="Palatino Linotype" w:eastAsia="Palatino Linotype" w:hAnsi="Palatino Linotype" w:cs="Palatino Linotype"/>
          <w:sz w:val="22"/>
          <w:szCs w:val="22"/>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94D86" w:rsidRPr="00A74F31" w:rsidRDefault="00E94D86" w:rsidP="000A31EF">
      <w:pPr>
        <w:ind w:right="1"/>
        <w:jc w:val="both"/>
        <w:rPr>
          <w:rFonts w:ascii="Palatino Linotype" w:eastAsia="Palatino Linotype" w:hAnsi="Palatino Linotype" w:cs="Palatino Linotype"/>
          <w:b/>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color w:val="000000"/>
          <w:sz w:val="22"/>
          <w:szCs w:val="22"/>
        </w:rPr>
        <w:lastRenderedPageBreak/>
        <w:t xml:space="preserve">Así </w:t>
      </w:r>
      <w:r w:rsidRPr="00A74F31">
        <w:rPr>
          <w:rFonts w:ascii="Palatino Linotype" w:eastAsia="Palatino Linotype" w:hAnsi="Palatino Linotype" w:cs="Palatino Linotype"/>
          <w:sz w:val="22"/>
          <w:szCs w:val="22"/>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94D86" w:rsidRPr="00A74F31" w:rsidRDefault="00E94D86" w:rsidP="000A31EF">
      <w:pPr>
        <w:rPr>
          <w:rFonts w:ascii="Palatino Linotype" w:eastAsia="Palatino Linotype" w:hAnsi="Palatino Linotype" w:cs="Palatino Linotype"/>
          <w:b/>
          <w:sz w:val="22"/>
          <w:szCs w:val="22"/>
        </w:rPr>
      </w:pPr>
    </w:p>
    <w:p w:rsidR="00E94D86" w:rsidRPr="00A74F31" w:rsidRDefault="001E3125">
      <w:pPr>
        <w:ind w:left="567" w:right="710"/>
        <w:jc w:val="both"/>
        <w:rPr>
          <w:rFonts w:ascii="Palatino Linotype" w:eastAsia="Palatino Linotype" w:hAnsi="Palatino Linotype" w:cs="Palatino Linotype"/>
          <w:b/>
          <w:i/>
          <w:sz w:val="22"/>
          <w:szCs w:val="22"/>
        </w:rPr>
      </w:pPr>
      <w:r w:rsidRPr="00A74F31">
        <w:rPr>
          <w:rFonts w:ascii="Palatino Linotype" w:eastAsia="Palatino Linotype" w:hAnsi="Palatino Linotype" w:cs="Palatino Linotype"/>
          <w:b/>
          <w:i/>
          <w:sz w:val="22"/>
          <w:szCs w:val="22"/>
        </w:rPr>
        <w:t>Constitución Política de los Estados Unidos Mexicanos</w:t>
      </w:r>
    </w:p>
    <w:p w:rsidR="00E94D86" w:rsidRPr="00A74F31" w:rsidRDefault="00E94D86">
      <w:pPr>
        <w:ind w:left="567" w:right="710"/>
        <w:jc w:val="both"/>
        <w:rPr>
          <w:rFonts w:ascii="Palatino Linotype" w:eastAsia="Palatino Linotype" w:hAnsi="Palatino Linotype" w:cs="Palatino Linotype"/>
          <w:b/>
          <w:i/>
          <w:sz w:val="22"/>
          <w:szCs w:val="22"/>
        </w:rPr>
      </w:pPr>
    </w:p>
    <w:p w:rsidR="00E94D86" w:rsidRPr="00A74F31" w:rsidRDefault="001E3125">
      <w:pPr>
        <w:ind w:left="567" w:right="710"/>
        <w:jc w:val="both"/>
        <w:rPr>
          <w:rFonts w:ascii="Palatino Linotype" w:eastAsia="Palatino Linotype" w:hAnsi="Palatino Linotype" w:cs="Palatino Linotype"/>
          <w:b/>
          <w:i/>
          <w:sz w:val="22"/>
          <w:szCs w:val="22"/>
        </w:rPr>
      </w:pPr>
      <w:r w:rsidRPr="00A74F31">
        <w:rPr>
          <w:rFonts w:ascii="Palatino Linotype" w:eastAsia="Palatino Linotype" w:hAnsi="Palatino Linotype" w:cs="Palatino Linotype"/>
          <w:b/>
          <w:i/>
          <w:sz w:val="22"/>
          <w:szCs w:val="22"/>
        </w:rPr>
        <w:t>“Artículo 6.</w:t>
      </w:r>
      <w:r w:rsidRPr="00A74F31">
        <w:rPr>
          <w:rFonts w:ascii="Palatino Linotype" w:eastAsia="Palatino Linotype" w:hAnsi="Palatino Linotype" w:cs="Palatino Linotype"/>
          <w:i/>
          <w:sz w:val="22"/>
          <w:szCs w:val="22"/>
        </w:rPr>
        <w:t xml:space="preserve"> …</w:t>
      </w:r>
    </w:p>
    <w:p w:rsidR="00E94D86" w:rsidRPr="00A74F31" w:rsidRDefault="001E3125">
      <w:pPr>
        <w:ind w:left="567" w:right="710"/>
        <w:jc w:val="both"/>
        <w:rPr>
          <w:rFonts w:ascii="Palatino Linotype" w:eastAsia="Palatino Linotype" w:hAnsi="Palatino Linotype" w:cs="Palatino Linotype"/>
          <w:i/>
          <w:sz w:val="22"/>
          <w:szCs w:val="22"/>
        </w:rPr>
      </w:pPr>
      <w:r w:rsidRPr="00A74F31">
        <w:rPr>
          <w:rFonts w:ascii="Palatino Linotype" w:eastAsia="Palatino Linotype" w:hAnsi="Palatino Linotype" w:cs="Palatino Linotype"/>
          <w:i/>
          <w:sz w:val="22"/>
          <w:szCs w:val="22"/>
        </w:rPr>
        <w:t>…</w:t>
      </w:r>
    </w:p>
    <w:p w:rsidR="00E94D86" w:rsidRPr="00A74F31" w:rsidRDefault="001E3125">
      <w:pPr>
        <w:ind w:left="567" w:right="710"/>
        <w:jc w:val="both"/>
        <w:rPr>
          <w:rFonts w:ascii="Palatino Linotype" w:eastAsia="Palatino Linotype" w:hAnsi="Palatino Linotype" w:cs="Palatino Linotype"/>
          <w:i/>
          <w:sz w:val="22"/>
          <w:szCs w:val="22"/>
        </w:rPr>
      </w:pPr>
      <w:r w:rsidRPr="00A74F31">
        <w:rPr>
          <w:rFonts w:ascii="Palatino Linotype" w:eastAsia="Palatino Linotype" w:hAnsi="Palatino Linotype" w:cs="Palatino Linotype"/>
          <w:i/>
          <w:sz w:val="22"/>
          <w:szCs w:val="22"/>
        </w:rPr>
        <w:t>Para efectos de lo dispuesto en el presente artículo se observará lo siguiente:</w:t>
      </w:r>
    </w:p>
    <w:p w:rsidR="00E94D86" w:rsidRPr="00A74F31" w:rsidRDefault="001E3125">
      <w:pPr>
        <w:ind w:left="567" w:right="710"/>
        <w:jc w:val="both"/>
        <w:rPr>
          <w:rFonts w:ascii="Palatino Linotype" w:eastAsia="Palatino Linotype" w:hAnsi="Palatino Linotype" w:cs="Palatino Linotype"/>
          <w:b/>
          <w:i/>
          <w:sz w:val="22"/>
          <w:szCs w:val="22"/>
        </w:rPr>
      </w:pPr>
      <w:r w:rsidRPr="00A74F31">
        <w:rPr>
          <w:rFonts w:ascii="Palatino Linotype" w:eastAsia="Palatino Linotype" w:hAnsi="Palatino Linotype" w:cs="Palatino Linotype"/>
          <w:b/>
          <w:i/>
          <w:sz w:val="22"/>
          <w:szCs w:val="22"/>
        </w:rPr>
        <w:t>A</w:t>
      </w:r>
      <w:r w:rsidRPr="00A74F31">
        <w:rPr>
          <w:rFonts w:ascii="Palatino Linotype" w:eastAsia="Palatino Linotype" w:hAnsi="Palatino Linotype" w:cs="Palatino Linotype"/>
          <w:i/>
          <w:sz w:val="22"/>
          <w:szCs w:val="22"/>
        </w:rPr>
        <w:t xml:space="preserve">. </w:t>
      </w:r>
      <w:r w:rsidRPr="00A74F31">
        <w:rPr>
          <w:rFonts w:ascii="Palatino Linotype" w:eastAsia="Palatino Linotype" w:hAnsi="Palatino Linotype" w:cs="Palatino Linotype"/>
          <w:b/>
          <w:i/>
          <w:sz w:val="22"/>
          <w:szCs w:val="22"/>
        </w:rPr>
        <w:t>Para el ejercicio del derecho de acceso a la información</w:t>
      </w:r>
      <w:r w:rsidRPr="00A74F31">
        <w:rPr>
          <w:rFonts w:ascii="Palatino Linotype" w:eastAsia="Palatino Linotype" w:hAnsi="Palatino Linotype" w:cs="Palatino Linotype"/>
          <w:i/>
          <w:sz w:val="22"/>
          <w:szCs w:val="22"/>
        </w:rPr>
        <w:t xml:space="preserve">, la Federación y </w:t>
      </w:r>
      <w:r w:rsidRPr="00A74F31">
        <w:rPr>
          <w:rFonts w:ascii="Palatino Linotype" w:eastAsia="Palatino Linotype" w:hAnsi="Palatino Linotype" w:cs="Palatino Linotype"/>
          <w:b/>
          <w:i/>
          <w:sz w:val="22"/>
          <w:szCs w:val="22"/>
        </w:rPr>
        <w:t>las entidades federativas, en el ámbito de sus respectivas competencias, se regirán por los siguientes principios y bases:</w:t>
      </w:r>
    </w:p>
    <w:p w:rsidR="00E94D86" w:rsidRPr="00A74F31" w:rsidRDefault="001E3125">
      <w:pPr>
        <w:ind w:left="567" w:right="710"/>
        <w:jc w:val="both"/>
        <w:rPr>
          <w:rFonts w:ascii="Palatino Linotype" w:eastAsia="Palatino Linotype" w:hAnsi="Palatino Linotype" w:cs="Palatino Linotype"/>
          <w:i/>
          <w:sz w:val="22"/>
          <w:szCs w:val="22"/>
        </w:rPr>
      </w:pPr>
      <w:r w:rsidRPr="00A74F31">
        <w:rPr>
          <w:rFonts w:ascii="Palatino Linotype" w:eastAsia="Palatino Linotype" w:hAnsi="Palatino Linotype" w:cs="Palatino Linotype"/>
          <w:b/>
          <w:i/>
          <w:sz w:val="22"/>
          <w:szCs w:val="22"/>
        </w:rPr>
        <w:t xml:space="preserve">I. </w:t>
      </w:r>
      <w:r w:rsidRPr="00A74F31">
        <w:rPr>
          <w:rFonts w:ascii="Palatino Linotype" w:eastAsia="Palatino Linotype" w:hAnsi="Palatino Linotype" w:cs="Palatino Linotype"/>
          <w:b/>
          <w:i/>
          <w:sz w:val="22"/>
          <w:szCs w:val="22"/>
        </w:rPr>
        <w:tab/>
        <w:t>Toda la información en posesión de cualquier</w:t>
      </w:r>
      <w:r w:rsidRPr="00A74F31">
        <w:rPr>
          <w:rFonts w:ascii="Palatino Linotype" w:eastAsia="Palatino Linotype" w:hAnsi="Palatino Linotype" w:cs="Palatino Linotype"/>
          <w:i/>
          <w:sz w:val="22"/>
          <w:szCs w:val="22"/>
        </w:rPr>
        <w:t xml:space="preserve"> </w:t>
      </w:r>
      <w:r w:rsidRPr="00A74F31">
        <w:rPr>
          <w:rFonts w:ascii="Palatino Linotype" w:eastAsia="Palatino Linotype" w:hAnsi="Palatino Linotype" w:cs="Palatino Linotype"/>
          <w:b/>
          <w:i/>
          <w:sz w:val="22"/>
          <w:szCs w:val="22"/>
        </w:rPr>
        <w:t>autoridad</w:t>
      </w:r>
      <w:r w:rsidRPr="00A74F31">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74F31">
        <w:rPr>
          <w:rFonts w:ascii="Palatino Linotype" w:eastAsia="Palatino Linotype" w:hAnsi="Palatino Linotype" w:cs="Palatino Linotype"/>
          <w:b/>
          <w:i/>
          <w:sz w:val="22"/>
          <w:szCs w:val="22"/>
        </w:rPr>
        <w:t>municipal</w:t>
      </w:r>
      <w:r w:rsidRPr="00A74F31">
        <w:rPr>
          <w:rFonts w:ascii="Palatino Linotype" w:eastAsia="Palatino Linotype" w:hAnsi="Palatino Linotype" w:cs="Palatino Linotype"/>
          <w:i/>
          <w:sz w:val="22"/>
          <w:szCs w:val="22"/>
        </w:rPr>
        <w:t xml:space="preserve">, </w:t>
      </w:r>
      <w:r w:rsidRPr="00A74F31">
        <w:rPr>
          <w:rFonts w:ascii="Palatino Linotype" w:eastAsia="Palatino Linotype" w:hAnsi="Palatino Linotype" w:cs="Palatino Linotype"/>
          <w:b/>
          <w:i/>
          <w:sz w:val="22"/>
          <w:szCs w:val="22"/>
        </w:rPr>
        <w:t>es pública</w:t>
      </w:r>
      <w:r w:rsidRPr="00A74F31">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w:t>
      </w:r>
      <w:r w:rsidRPr="00A74F31">
        <w:rPr>
          <w:rFonts w:ascii="Palatino Linotype" w:eastAsia="Palatino Linotype" w:hAnsi="Palatino Linotype" w:cs="Palatino Linotype"/>
          <w:b/>
          <w:i/>
          <w:sz w:val="22"/>
          <w:szCs w:val="22"/>
        </w:rPr>
        <w:t>En la interpretación de este derecho deberá prevalecer el principio de máxima publicidad. Los sujetos obligados deberán documentar todo acto que derive del ejercicio de sus facultades, competencias o funciones</w:t>
      </w:r>
      <w:r w:rsidRPr="00A74F31">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E94D86" w:rsidRPr="00A74F31" w:rsidRDefault="00E94D86" w:rsidP="00831332">
      <w:pPr>
        <w:tabs>
          <w:tab w:val="left" w:pos="426"/>
          <w:tab w:val="left" w:pos="567"/>
        </w:tabs>
        <w:ind w:left="567" w:right="710"/>
        <w:jc w:val="both"/>
        <w:rPr>
          <w:rFonts w:ascii="Palatino Linotype" w:eastAsia="Palatino Linotype" w:hAnsi="Palatino Linotype" w:cs="Palatino Linotype"/>
          <w:color w:val="000000"/>
          <w:sz w:val="22"/>
          <w:szCs w:val="22"/>
        </w:rPr>
      </w:pPr>
    </w:p>
    <w:p w:rsidR="00E94D86" w:rsidRPr="00A74F31" w:rsidRDefault="001E3125">
      <w:pPr>
        <w:ind w:left="567" w:right="710"/>
        <w:jc w:val="both"/>
        <w:rPr>
          <w:rFonts w:ascii="Palatino Linotype" w:eastAsia="Palatino Linotype" w:hAnsi="Palatino Linotype" w:cs="Palatino Linotype"/>
          <w:b/>
          <w:i/>
          <w:sz w:val="22"/>
          <w:szCs w:val="22"/>
        </w:rPr>
      </w:pPr>
      <w:r w:rsidRPr="00A74F31">
        <w:rPr>
          <w:rFonts w:ascii="Palatino Linotype" w:eastAsia="Palatino Linotype" w:hAnsi="Palatino Linotype" w:cs="Palatino Linotype"/>
          <w:b/>
          <w:i/>
          <w:sz w:val="22"/>
          <w:szCs w:val="22"/>
        </w:rPr>
        <w:t>Constitución Política del Estado Libre y Soberano de México</w:t>
      </w:r>
    </w:p>
    <w:p w:rsidR="00E94D86" w:rsidRPr="00A74F31" w:rsidRDefault="001E3125">
      <w:pPr>
        <w:ind w:left="567" w:right="710"/>
        <w:jc w:val="both"/>
        <w:rPr>
          <w:rFonts w:ascii="Palatino Linotype" w:eastAsia="Palatino Linotype" w:hAnsi="Palatino Linotype" w:cs="Palatino Linotype"/>
          <w:i/>
          <w:sz w:val="22"/>
          <w:szCs w:val="22"/>
        </w:rPr>
      </w:pPr>
      <w:r w:rsidRPr="00A74F31">
        <w:rPr>
          <w:rFonts w:ascii="Palatino Linotype" w:eastAsia="Palatino Linotype" w:hAnsi="Palatino Linotype" w:cs="Palatino Linotype"/>
          <w:b/>
          <w:i/>
          <w:sz w:val="22"/>
          <w:szCs w:val="22"/>
        </w:rPr>
        <w:t>“Artículo 5</w:t>
      </w:r>
      <w:r w:rsidRPr="00A74F31">
        <w:rPr>
          <w:rFonts w:ascii="Palatino Linotype" w:eastAsia="Palatino Linotype" w:hAnsi="Palatino Linotype" w:cs="Palatino Linotype"/>
          <w:i/>
          <w:sz w:val="22"/>
          <w:szCs w:val="22"/>
        </w:rPr>
        <w:t>.-…</w:t>
      </w:r>
    </w:p>
    <w:p w:rsidR="00E94D86" w:rsidRPr="00A74F31" w:rsidRDefault="001E3125">
      <w:pPr>
        <w:ind w:left="567" w:right="710"/>
        <w:jc w:val="both"/>
        <w:rPr>
          <w:rFonts w:ascii="Palatino Linotype" w:eastAsia="Palatino Linotype" w:hAnsi="Palatino Linotype" w:cs="Palatino Linotype"/>
          <w:i/>
          <w:sz w:val="22"/>
          <w:szCs w:val="22"/>
        </w:rPr>
      </w:pPr>
      <w:r w:rsidRPr="00A74F31">
        <w:rPr>
          <w:rFonts w:ascii="Palatino Linotype" w:eastAsia="Palatino Linotype" w:hAnsi="Palatino Linotype" w:cs="Palatino Linotype"/>
          <w:i/>
          <w:sz w:val="22"/>
          <w:szCs w:val="22"/>
        </w:rPr>
        <w:t>…</w:t>
      </w:r>
    </w:p>
    <w:p w:rsidR="00E94D86" w:rsidRPr="00A74F31" w:rsidRDefault="001E3125">
      <w:pPr>
        <w:ind w:left="567" w:right="710"/>
        <w:jc w:val="both"/>
        <w:rPr>
          <w:rFonts w:ascii="Palatino Linotype" w:eastAsia="Palatino Linotype" w:hAnsi="Palatino Linotype" w:cs="Palatino Linotype"/>
          <w:i/>
          <w:sz w:val="22"/>
          <w:szCs w:val="22"/>
        </w:rPr>
      </w:pPr>
      <w:r w:rsidRPr="00A74F31">
        <w:rPr>
          <w:rFonts w:ascii="Palatino Linotype" w:eastAsia="Palatino Linotype" w:hAnsi="Palatino Linotype" w:cs="Palatino Linotype"/>
          <w:b/>
          <w:i/>
          <w:sz w:val="22"/>
          <w:szCs w:val="22"/>
        </w:rPr>
        <w:t>El derecho a la información será garantizado por el Estado. La ley establecerá las previsiones que permitan asegurar la protección, el respeto y la difusión de este derecho</w:t>
      </w:r>
      <w:r w:rsidRPr="00A74F31">
        <w:rPr>
          <w:rFonts w:ascii="Palatino Linotype" w:eastAsia="Palatino Linotype" w:hAnsi="Palatino Linotype" w:cs="Palatino Linotype"/>
          <w:i/>
          <w:sz w:val="22"/>
          <w:szCs w:val="22"/>
        </w:rPr>
        <w:t>.</w:t>
      </w:r>
    </w:p>
    <w:p w:rsidR="00E94D86" w:rsidRPr="00A74F31" w:rsidRDefault="001E3125">
      <w:pPr>
        <w:ind w:left="567" w:right="710"/>
        <w:jc w:val="both"/>
        <w:rPr>
          <w:rFonts w:ascii="Palatino Linotype" w:eastAsia="Palatino Linotype" w:hAnsi="Palatino Linotype" w:cs="Palatino Linotype"/>
          <w:i/>
          <w:sz w:val="22"/>
          <w:szCs w:val="22"/>
        </w:rPr>
      </w:pPr>
      <w:r w:rsidRPr="00A74F31">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4D86" w:rsidRPr="00A74F31" w:rsidRDefault="00E94D86">
      <w:pPr>
        <w:ind w:left="567" w:right="710"/>
        <w:jc w:val="both"/>
        <w:rPr>
          <w:rFonts w:ascii="Palatino Linotype" w:eastAsia="Palatino Linotype" w:hAnsi="Palatino Linotype" w:cs="Palatino Linotype"/>
          <w:i/>
          <w:sz w:val="22"/>
          <w:szCs w:val="22"/>
        </w:rPr>
      </w:pPr>
    </w:p>
    <w:p w:rsidR="00E94D86" w:rsidRPr="00A74F31" w:rsidRDefault="001E3125">
      <w:pPr>
        <w:ind w:left="567" w:right="710"/>
        <w:jc w:val="both"/>
        <w:rPr>
          <w:rFonts w:ascii="Palatino Linotype" w:eastAsia="Palatino Linotype" w:hAnsi="Palatino Linotype" w:cs="Palatino Linotype"/>
          <w:i/>
          <w:sz w:val="22"/>
          <w:szCs w:val="22"/>
        </w:rPr>
      </w:pPr>
      <w:r w:rsidRPr="00A74F31">
        <w:rPr>
          <w:rFonts w:ascii="Palatino Linotype" w:eastAsia="Palatino Linotype" w:hAnsi="Palatino Linotype" w:cs="Palatino Linotype"/>
          <w:b/>
          <w:i/>
          <w:sz w:val="22"/>
          <w:szCs w:val="22"/>
        </w:rPr>
        <w:lastRenderedPageBreak/>
        <w:t>Este derecho se regirá por los principios y bases siguientes</w:t>
      </w:r>
      <w:r w:rsidRPr="00A74F31">
        <w:rPr>
          <w:rFonts w:ascii="Palatino Linotype" w:eastAsia="Palatino Linotype" w:hAnsi="Palatino Linotype" w:cs="Palatino Linotype"/>
          <w:i/>
          <w:sz w:val="22"/>
          <w:szCs w:val="22"/>
        </w:rPr>
        <w:t>:</w:t>
      </w:r>
    </w:p>
    <w:p w:rsidR="00E94D86" w:rsidRPr="00A74F31" w:rsidRDefault="001E3125">
      <w:pPr>
        <w:ind w:left="567" w:right="71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b/>
          <w:i/>
          <w:sz w:val="22"/>
          <w:szCs w:val="22"/>
        </w:rPr>
        <w:t>Toda la información en posesión de cualquier autoridad, entidad, órgano y organismos de los</w:t>
      </w:r>
      <w:r w:rsidRPr="00A74F31">
        <w:rPr>
          <w:rFonts w:ascii="Palatino Linotype" w:eastAsia="Palatino Linotype" w:hAnsi="Palatino Linotype" w:cs="Palatino Linotype"/>
          <w:i/>
          <w:sz w:val="22"/>
          <w:szCs w:val="22"/>
        </w:rPr>
        <w:t xml:space="preserve"> Poderes Ejecutivo, Legislativo y Judicial, órganos autónomos, partidos políticos, fideicomisos y fondos públicos estatales y </w:t>
      </w:r>
      <w:r w:rsidRPr="00A74F31">
        <w:rPr>
          <w:rFonts w:ascii="Palatino Linotype" w:eastAsia="Palatino Linotype" w:hAnsi="Palatino Linotype" w:cs="Palatino Linotype"/>
          <w:b/>
          <w:i/>
          <w:sz w:val="22"/>
          <w:szCs w:val="22"/>
        </w:rPr>
        <w:t>municipales</w:t>
      </w:r>
      <w:r w:rsidRPr="00A74F31">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74F31">
        <w:rPr>
          <w:rFonts w:ascii="Palatino Linotype" w:eastAsia="Palatino Linotype" w:hAnsi="Palatino Linotype" w:cs="Palatino Linotype"/>
          <w:b/>
          <w:i/>
          <w:sz w:val="22"/>
          <w:szCs w:val="22"/>
        </w:rPr>
        <w:t>es pública</w:t>
      </w:r>
      <w:r w:rsidRPr="00A74F31">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w:t>
      </w:r>
      <w:r w:rsidRPr="00A74F31">
        <w:rPr>
          <w:rFonts w:ascii="Palatino Linotype" w:eastAsia="Palatino Linotype" w:hAnsi="Palatino Linotype" w:cs="Palatino Linotype"/>
          <w:b/>
          <w:i/>
          <w:sz w:val="22"/>
          <w:szCs w:val="22"/>
        </w:rPr>
        <w:t>En la interpretación de este derecho deberá prevalecer el principio de máxima publicidad</w:t>
      </w:r>
      <w:r w:rsidRPr="00A74F31">
        <w:rPr>
          <w:rFonts w:ascii="Palatino Linotype" w:eastAsia="Palatino Linotype" w:hAnsi="Palatino Linotype" w:cs="Palatino Linotype"/>
          <w:i/>
          <w:sz w:val="22"/>
          <w:szCs w:val="22"/>
        </w:rPr>
        <w:t xml:space="preserve">. </w:t>
      </w:r>
      <w:r w:rsidRPr="00A74F31">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A74F31">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E94D86" w:rsidRPr="00A74F31" w:rsidRDefault="00E94D86" w:rsidP="000A31EF">
      <w:pPr>
        <w:rPr>
          <w:rFonts w:ascii="Palatino Linotype" w:eastAsia="Palatino Linotype" w:hAnsi="Palatino Linotype" w:cs="Palatino Linotype"/>
          <w:b/>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color w:val="000000"/>
          <w:sz w:val="22"/>
          <w:szCs w:val="22"/>
        </w:rPr>
        <w:t xml:space="preserve">Según </w:t>
      </w:r>
      <w:r w:rsidRPr="00A74F31">
        <w:rPr>
          <w:rFonts w:ascii="Palatino Linotype" w:eastAsia="Palatino Linotype" w:hAnsi="Palatino Linotype" w:cs="Palatino Linotype"/>
          <w:sz w:val="22"/>
          <w:szCs w:val="22"/>
        </w:rPr>
        <w:t xml:space="preserve">el artículo 150 de la Ley de Transparencia del Estado, la solicitud es la garantía primaria del Derecho de Acceso a la Información, además, establece que se regirá </w:t>
      </w:r>
      <w:r w:rsidRPr="00A74F31">
        <w:rPr>
          <w:rFonts w:ascii="Palatino Linotype" w:eastAsia="Palatino Linotype" w:hAnsi="Palatino Linotype" w:cs="Palatino Linotype"/>
          <w:i/>
          <w:sz w:val="22"/>
          <w:szCs w:val="22"/>
        </w:rPr>
        <w:t>por los principios de simplicidad, rapidez gratuidad del procedimiento, auxilio y orientación a los particulares</w:t>
      </w:r>
      <w:r w:rsidRPr="00A74F31">
        <w:rPr>
          <w:rFonts w:ascii="Palatino Linotype" w:eastAsia="Palatino Linotype" w:hAnsi="Palatino Linotype" w:cs="Palatino Linotype"/>
          <w:sz w:val="22"/>
          <w:szCs w:val="22"/>
        </w:rPr>
        <w:t>, contemplando el derecho de las personas con discapacidad y hablantes de lengua indígena.</w:t>
      </w:r>
    </w:p>
    <w:p w:rsidR="00E94D86" w:rsidRPr="00A74F31" w:rsidRDefault="00E94D86" w:rsidP="000A31EF">
      <w:pPr>
        <w:ind w:right="-592"/>
        <w:jc w:val="both"/>
        <w:rPr>
          <w:rFonts w:ascii="Palatino Linotype" w:eastAsia="Palatino Linotype" w:hAnsi="Palatino Linotype" w:cs="Palatino Linotype"/>
          <w:b/>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color w:val="000000"/>
          <w:sz w:val="22"/>
          <w:szCs w:val="22"/>
        </w:rPr>
        <w:t xml:space="preserve">El </w:t>
      </w:r>
      <w:r w:rsidRPr="00A74F31">
        <w:rPr>
          <w:rFonts w:ascii="Palatino Linotype" w:eastAsia="Palatino Linotype" w:hAnsi="Palatino Linotype" w:cs="Palatino Linotype"/>
          <w:sz w:val="22"/>
          <w:szCs w:val="22"/>
        </w:rPr>
        <w:t xml:space="preserve">Derecho de Acceso a la Información se garantiza y respeta oportunamente, y según lo que dispone la Ley, las </w:t>
      </w:r>
      <w:r w:rsidRPr="00A74F31">
        <w:rPr>
          <w:rFonts w:ascii="Palatino Linotype" w:eastAsia="Palatino Linotype" w:hAnsi="Palatino Linotype" w:cs="Palatino Linotype"/>
          <w:i/>
          <w:sz w:val="22"/>
          <w:szCs w:val="22"/>
        </w:rPr>
        <w:t>solicitudes de acceso a la información</w:t>
      </w:r>
      <w:r w:rsidRPr="00A74F31">
        <w:rPr>
          <w:rFonts w:ascii="Palatino Linotype" w:eastAsia="Palatino Linotype" w:hAnsi="Palatino Linotype" w:cs="Palatino Linotype"/>
          <w:sz w:val="22"/>
          <w:szCs w:val="22"/>
        </w:rPr>
        <w:t>.</w:t>
      </w:r>
    </w:p>
    <w:p w:rsidR="0033488B" w:rsidRPr="00A74F31" w:rsidRDefault="0033488B" w:rsidP="000A31EF">
      <w:pPr>
        <w:ind w:right="1"/>
        <w:jc w:val="both"/>
        <w:rPr>
          <w:rFonts w:ascii="Palatino Linotype" w:eastAsia="Palatino Linotype" w:hAnsi="Palatino Linotype" w:cs="Palatino Linotype"/>
          <w:b/>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color w:val="000000"/>
          <w:sz w:val="22"/>
          <w:szCs w:val="22"/>
        </w:rPr>
        <w:t xml:space="preserve">Así </w:t>
      </w:r>
      <w:r w:rsidRPr="00A74F31">
        <w:rPr>
          <w:rFonts w:ascii="Palatino Linotype" w:eastAsia="Palatino Linotype" w:hAnsi="Palatino Linotype" w:cs="Palatino Linotype"/>
          <w:sz w:val="22"/>
          <w:szCs w:val="22"/>
        </w:rPr>
        <w:t xml:space="preserve">entonces, se procede analizar, en primer lugar, si el </w:t>
      </w:r>
      <w:r w:rsidRPr="00A74F31">
        <w:rPr>
          <w:rFonts w:ascii="Palatino Linotype" w:eastAsia="Palatino Linotype" w:hAnsi="Palatino Linotype" w:cs="Palatino Linotype"/>
          <w:b/>
          <w:sz w:val="22"/>
          <w:szCs w:val="22"/>
        </w:rPr>
        <w:t>SUJETO OBLIGADO</w:t>
      </w:r>
      <w:r w:rsidRPr="00A74F31">
        <w:rPr>
          <w:rFonts w:ascii="Palatino Linotype" w:eastAsia="Palatino Linotype" w:hAnsi="Palatino Linotype" w:cs="Palatino Linotype"/>
          <w:sz w:val="22"/>
          <w:szCs w:val="22"/>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94D86" w:rsidRPr="00A74F31" w:rsidRDefault="00E94D86" w:rsidP="000A31EF">
      <w:pPr>
        <w:rPr>
          <w:rFonts w:ascii="Palatino Linotype" w:eastAsia="Palatino Linotype" w:hAnsi="Palatino Linotype" w:cs="Palatino Linotype"/>
          <w:b/>
          <w:sz w:val="22"/>
          <w:szCs w:val="22"/>
        </w:rPr>
      </w:pPr>
    </w:p>
    <w:p w:rsidR="00E94D86" w:rsidRPr="00A74F31" w:rsidRDefault="001E3125">
      <w:pPr>
        <w:keepNext/>
        <w:keepLines/>
        <w:numPr>
          <w:ilvl w:val="1"/>
          <w:numId w:val="2"/>
        </w:numPr>
        <w:spacing w:line="360" w:lineRule="auto"/>
        <w:ind w:left="567" w:right="-592"/>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b/>
          <w:sz w:val="22"/>
          <w:szCs w:val="22"/>
        </w:rPr>
        <w:t>De la información solicitada y la respuesta del SUJETO OBLIGADO.</w:t>
      </w:r>
    </w:p>
    <w:p w:rsidR="00E94D86" w:rsidRPr="00A74F31" w:rsidRDefault="00E94D86" w:rsidP="000A31EF">
      <w:pPr>
        <w:rPr>
          <w:rFonts w:ascii="Palatino Linotype" w:eastAsia="Palatino Linotype" w:hAnsi="Palatino Linotype" w:cs="Palatino Linotype"/>
          <w:b/>
          <w:sz w:val="22"/>
          <w:szCs w:val="22"/>
        </w:rPr>
      </w:pPr>
    </w:p>
    <w:p w:rsidR="00E94D86" w:rsidRPr="00A74F31"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4" w:name="_heading=h.30j0zll" w:colFirst="0" w:colLast="0"/>
      <w:bookmarkEnd w:id="4"/>
      <w:r w:rsidRPr="00A74F31">
        <w:rPr>
          <w:rFonts w:ascii="Palatino Linotype" w:eastAsia="Palatino Linotype" w:hAnsi="Palatino Linotype" w:cs="Palatino Linotype"/>
          <w:sz w:val="22"/>
          <w:szCs w:val="22"/>
        </w:rPr>
        <w:t xml:space="preserve">Derivado del Planteamiento de la Litis, se procede a analizar el contenido íntegro de las actuaciones que obran en el expediente electrónico y con ello, este Órgano Garante dicte la </w:t>
      </w:r>
      <w:r w:rsidRPr="00A74F31">
        <w:rPr>
          <w:rFonts w:ascii="Palatino Linotype" w:eastAsia="Palatino Linotype" w:hAnsi="Palatino Linotype" w:cs="Palatino Linotype"/>
          <w:sz w:val="22"/>
          <w:szCs w:val="22"/>
        </w:rPr>
        <w:lastRenderedPageBreak/>
        <w:t>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E94D86" w:rsidRPr="00A74F31" w:rsidRDefault="00E94D86" w:rsidP="000A31EF">
      <w:pPr>
        <w:ind w:right="1"/>
        <w:jc w:val="both"/>
        <w:rPr>
          <w:rFonts w:ascii="Palatino Linotype" w:eastAsia="Palatino Linotype" w:hAnsi="Palatino Linotype" w:cs="Palatino Linotype"/>
          <w:b/>
          <w:sz w:val="22"/>
          <w:szCs w:val="22"/>
        </w:rPr>
      </w:pPr>
    </w:p>
    <w:p w:rsidR="00FE5EBB" w:rsidRPr="00A74F31" w:rsidRDefault="001E3125" w:rsidP="00FE5EBB">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sz w:val="22"/>
          <w:szCs w:val="22"/>
        </w:rPr>
        <w:t xml:space="preserve">Así, debemos recapitular que, el </w:t>
      </w:r>
      <w:r w:rsidRPr="00A74F31">
        <w:rPr>
          <w:rFonts w:ascii="Palatino Linotype" w:eastAsia="Palatino Linotype" w:hAnsi="Palatino Linotype" w:cs="Palatino Linotype"/>
          <w:b/>
          <w:sz w:val="22"/>
          <w:szCs w:val="22"/>
        </w:rPr>
        <w:t>RECURRENTE</w:t>
      </w:r>
      <w:r w:rsidR="00042FAE" w:rsidRPr="00A74F31">
        <w:rPr>
          <w:rFonts w:ascii="Palatino Linotype" w:eastAsia="Palatino Linotype" w:hAnsi="Palatino Linotype" w:cs="Palatino Linotype"/>
          <w:sz w:val="22"/>
          <w:szCs w:val="22"/>
        </w:rPr>
        <w:t xml:space="preserve"> </w:t>
      </w:r>
      <w:r w:rsidR="00663C8A" w:rsidRPr="00A74F31">
        <w:rPr>
          <w:rFonts w:ascii="Palatino Linotype" w:eastAsia="Palatino Linotype" w:hAnsi="Palatino Linotype" w:cs="Palatino Linotype"/>
          <w:sz w:val="22"/>
          <w:szCs w:val="22"/>
        </w:rPr>
        <w:t>solicitó</w:t>
      </w:r>
      <w:r w:rsidR="00663C8A" w:rsidRPr="00A74F31">
        <w:rPr>
          <w:rFonts w:ascii="Palatino Linotype" w:eastAsia="Palatino Linotype" w:hAnsi="Palatino Linotype" w:cs="Palatino Linotype"/>
          <w:b/>
          <w:sz w:val="22"/>
          <w:szCs w:val="22"/>
        </w:rPr>
        <w:t xml:space="preserve"> </w:t>
      </w:r>
      <w:r w:rsidR="00FE5EBB" w:rsidRPr="00A74F31">
        <w:rPr>
          <w:rFonts w:ascii="Palatino Linotype" w:hAnsi="Palatino Linotype"/>
          <w:b/>
          <w:color w:val="000000"/>
          <w:sz w:val="22"/>
          <w:szCs w:val="22"/>
        </w:rPr>
        <w:t>el Plan de Contingencia en materia de Protección de Datos Personales del 2023, 2024 y 2025.</w:t>
      </w:r>
    </w:p>
    <w:p w:rsidR="00E94D86" w:rsidRPr="00A74F31" w:rsidRDefault="00E94D86" w:rsidP="000A31EF">
      <w:pPr>
        <w:ind w:right="1"/>
        <w:jc w:val="both"/>
        <w:rPr>
          <w:rFonts w:ascii="Palatino Linotype" w:eastAsia="Palatino Linotype" w:hAnsi="Palatino Linotype" w:cs="Palatino Linotype"/>
          <w:b/>
          <w:sz w:val="22"/>
          <w:szCs w:val="22"/>
        </w:rPr>
      </w:pPr>
    </w:p>
    <w:p w:rsidR="00FE5EBB" w:rsidRPr="00A74F31" w:rsidRDefault="001E3125" w:rsidP="00FE5EBB">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 xml:space="preserve">En respuesta, el </w:t>
      </w:r>
      <w:r w:rsidRPr="00A74F31">
        <w:rPr>
          <w:rFonts w:ascii="Palatino Linotype" w:eastAsia="Palatino Linotype" w:hAnsi="Palatino Linotype" w:cs="Palatino Linotype"/>
          <w:b/>
          <w:sz w:val="22"/>
          <w:szCs w:val="22"/>
        </w:rPr>
        <w:t>SUJETO OBLIGADO</w:t>
      </w:r>
      <w:r w:rsidRPr="00A74F31">
        <w:rPr>
          <w:rFonts w:ascii="Palatino Linotype" w:eastAsia="Palatino Linotype" w:hAnsi="Palatino Linotype" w:cs="Palatino Linotype"/>
          <w:sz w:val="22"/>
          <w:szCs w:val="22"/>
        </w:rPr>
        <w:t xml:space="preserve"> </w:t>
      </w:r>
      <w:r w:rsidR="00FE5EBB" w:rsidRPr="00A74F31">
        <w:rPr>
          <w:rFonts w:ascii="Palatino Linotype" w:eastAsia="Palatino Linotype" w:hAnsi="Palatino Linotype" w:cs="Palatino Linotype"/>
          <w:sz w:val="22"/>
          <w:szCs w:val="22"/>
        </w:rPr>
        <w:t>por medio d</w:t>
      </w:r>
      <w:r w:rsidR="00FE5EBB" w:rsidRPr="00A74F31">
        <w:rPr>
          <w:rStyle w:val="Hipervnculo"/>
          <w:rFonts w:ascii="Palatino Linotype" w:hAnsi="Palatino Linotype" w:cs="Arial"/>
          <w:bCs/>
          <w:color w:val="auto"/>
          <w:sz w:val="22"/>
          <w:szCs w:val="22"/>
          <w:u w:val="none"/>
        </w:rPr>
        <w:t xml:space="preserve">el Director de Transparencia y Gobierno Abierto, </w:t>
      </w:r>
      <w:r w:rsidR="00FE5EBB" w:rsidRPr="00A74F31">
        <w:rPr>
          <w:rStyle w:val="Hipervnculo"/>
          <w:rFonts w:ascii="Palatino Linotype" w:hAnsi="Palatino Linotype" w:cs="Arial"/>
          <w:b/>
          <w:bCs/>
          <w:color w:val="auto"/>
          <w:sz w:val="22"/>
          <w:szCs w:val="22"/>
          <w:u w:val="none"/>
        </w:rPr>
        <w:t>informó que el “Plan de Contingencia” se clasifica como confidencial en su totalidad,</w:t>
      </w:r>
      <w:r w:rsidR="00FE5EBB" w:rsidRPr="00A74F31">
        <w:rPr>
          <w:rStyle w:val="Hipervnculo"/>
          <w:rFonts w:ascii="Palatino Linotype" w:hAnsi="Palatino Linotype" w:cs="Arial"/>
          <w:bCs/>
          <w:color w:val="auto"/>
          <w:sz w:val="22"/>
          <w:szCs w:val="22"/>
          <w:u w:val="none"/>
        </w:rPr>
        <w:t xml:space="preserve"> ya que es la descripción detallada de las acciones preventivas y correctivas para adecuar las medidas de seguridad y el tratamiento de los datos personales si fuese el caso, a efecto de evitar que las violaciones se repitan en los sistemas y/o bases de datos personales que administra el Ayuntamiento de Metepec, de conformidad con el Acuerdo No. 02/CT/MET/EXT-006/2025 del Comité de Transparencia.</w:t>
      </w:r>
    </w:p>
    <w:p w:rsidR="00F10800" w:rsidRPr="00A74F31" w:rsidRDefault="00F10800" w:rsidP="000A31EF">
      <w:pPr>
        <w:ind w:right="1"/>
        <w:jc w:val="both"/>
        <w:rPr>
          <w:rFonts w:ascii="Palatino Linotype" w:eastAsia="Palatino Linotype" w:hAnsi="Palatino Linotype" w:cs="Palatino Linotype"/>
          <w:sz w:val="22"/>
          <w:szCs w:val="22"/>
        </w:rPr>
      </w:pPr>
    </w:p>
    <w:p w:rsidR="00073512" w:rsidRPr="00A74F31" w:rsidRDefault="001E3125" w:rsidP="00F10800">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sz w:val="22"/>
          <w:szCs w:val="22"/>
        </w:rPr>
        <w:t xml:space="preserve">Posteriormente, el </w:t>
      </w:r>
      <w:r w:rsidRPr="00A74F31">
        <w:rPr>
          <w:rFonts w:ascii="Palatino Linotype" w:eastAsia="Palatino Linotype" w:hAnsi="Palatino Linotype" w:cs="Palatino Linotype"/>
          <w:b/>
          <w:sz w:val="22"/>
          <w:szCs w:val="22"/>
        </w:rPr>
        <w:t>RECURRENTE</w:t>
      </w:r>
      <w:r w:rsidRPr="00A74F31">
        <w:rPr>
          <w:rFonts w:ascii="Palatino Linotype" w:eastAsia="Palatino Linotype" w:hAnsi="Palatino Linotype" w:cs="Palatino Linotype"/>
          <w:sz w:val="22"/>
          <w:szCs w:val="22"/>
        </w:rPr>
        <w:t xml:space="preserve"> se inconformó por </w:t>
      </w:r>
      <w:r w:rsidR="00F10800" w:rsidRPr="00A74F31">
        <w:rPr>
          <w:rFonts w:ascii="Palatino Linotype" w:eastAsia="Palatino Linotype" w:hAnsi="Palatino Linotype" w:cs="Palatino Linotype"/>
          <w:b/>
          <w:sz w:val="22"/>
          <w:szCs w:val="22"/>
        </w:rPr>
        <w:t xml:space="preserve">la </w:t>
      </w:r>
      <w:r w:rsidR="00FE5EBB" w:rsidRPr="00A74F31">
        <w:rPr>
          <w:rFonts w:ascii="Palatino Linotype" w:eastAsia="Palatino Linotype" w:hAnsi="Palatino Linotype" w:cs="Palatino Linotype"/>
          <w:b/>
          <w:sz w:val="22"/>
          <w:szCs w:val="22"/>
        </w:rPr>
        <w:t>negativa de la información solicitada.</w:t>
      </w:r>
    </w:p>
    <w:p w:rsidR="00F10800" w:rsidRPr="00A74F31" w:rsidRDefault="00F10800" w:rsidP="000A31EF">
      <w:pPr>
        <w:ind w:right="1"/>
        <w:jc w:val="both"/>
        <w:rPr>
          <w:rFonts w:ascii="Palatino Linotype" w:eastAsia="Palatino Linotype" w:hAnsi="Palatino Linotype" w:cs="Palatino Linotype"/>
          <w:b/>
          <w:sz w:val="22"/>
          <w:szCs w:val="22"/>
        </w:rPr>
      </w:pPr>
    </w:p>
    <w:p w:rsidR="00042FAE" w:rsidRPr="00A74F31" w:rsidRDefault="00042FAE" w:rsidP="00042FAE">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sz w:val="22"/>
          <w:szCs w:val="22"/>
        </w:rPr>
        <w:t xml:space="preserve">En razón de lo anterior, el estudio del presente asunto versará en analizar las constancias que obran en el expediente digital formado en el </w:t>
      </w:r>
      <w:r w:rsidRPr="00A74F31">
        <w:rPr>
          <w:rFonts w:ascii="Palatino Linotype" w:eastAsia="Palatino Linotype" w:hAnsi="Palatino Linotype" w:cs="Palatino Linotype"/>
          <w:b/>
          <w:sz w:val="22"/>
          <w:szCs w:val="22"/>
        </w:rPr>
        <w:t>SAIMEX</w:t>
      </w:r>
      <w:r w:rsidRPr="00A74F31">
        <w:rPr>
          <w:rFonts w:ascii="Palatino Linotype" w:eastAsia="Palatino Linotype" w:hAnsi="Palatino Linotype" w:cs="Palatino Linotype"/>
          <w:sz w:val="22"/>
          <w:szCs w:val="22"/>
        </w:rPr>
        <w:t xml:space="preserve">, así como los agravios expuestos por el </w:t>
      </w:r>
      <w:r w:rsidRPr="00A74F31">
        <w:rPr>
          <w:rFonts w:ascii="Palatino Linotype" w:eastAsia="Palatino Linotype" w:hAnsi="Palatino Linotype" w:cs="Palatino Linotype"/>
          <w:b/>
          <w:sz w:val="22"/>
          <w:szCs w:val="22"/>
        </w:rPr>
        <w:t xml:space="preserve">RECURRENTE </w:t>
      </w:r>
      <w:r w:rsidRPr="00A74F31">
        <w:rPr>
          <w:rFonts w:ascii="Palatino Linotype" w:eastAsia="Palatino Linotype" w:hAnsi="Palatino Linotype" w:cs="Palatino Linotype"/>
          <w:sz w:val="22"/>
          <w:szCs w:val="22"/>
        </w:rPr>
        <w:t xml:space="preserve">a través del recurso de revisión </w:t>
      </w:r>
      <w:r w:rsidRPr="00A74F31">
        <w:rPr>
          <w:rFonts w:ascii="Palatino Linotype" w:eastAsia="Palatino Linotype" w:hAnsi="Palatino Linotype" w:cs="Palatino Linotype"/>
          <w:b/>
          <w:sz w:val="22"/>
          <w:szCs w:val="22"/>
        </w:rPr>
        <w:t>0</w:t>
      </w:r>
      <w:r w:rsidR="00FE5EBB" w:rsidRPr="00A74F31">
        <w:rPr>
          <w:rFonts w:ascii="Palatino Linotype" w:eastAsia="Palatino Linotype" w:hAnsi="Palatino Linotype" w:cs="Palatino Linotype"/>
          <w:b/>
          <w:sz w:val="22"/>
          <w:szCs w:val="22"/>
        </w:rPr>
        <w:t>2748/INFOEM/IP/RR/2025</w:t>
      </w:r>
      <w:r w:rsidRPr="00A74F31">
        <w:rPr>
          <w:rFonts w:ascii="Palatino Linotype" w:eastAsia="Palatino Linotype" w:hAnsi="Palatino Linotype" w:cs="Palatino Linotype"/>
          <w:b/>
          <w:sz w:val="22"/>
          <w:szCs w:val="22"/>
        </w:rPr>
        <w:t>,</w:t>
      </w:r>
      <w:r w:rsidRPr="00A74F31">
        <w:rPr>
          <w:rFonts w:ascii="Palatino Linotype" w:eastAsia="Palatino Linotype" w:hAnsi="Palatino Linotype" w:cs="Palatino Linotype"/>
          <w:sz w:val="22"/>
          <w:szCs w:val="22"/>
        </w:rPr>
        <w:t xml:space="preserve"> con el objeto de determinar si, con su respuesta, el</w:t>
      </w:r>
      <w:r w:rsidRPr="00A74F31">
        <w:rPr>
          <w:rFonts w:ascii="Palatino Linotype" w:eastAsia="Palatino Linotype" w:hAnsi="Palatino Linotype" w:cs="Palatino Linotype"/>
          <w:b/>
          <w:sz w:val="22"/>
          <w:szCs w:val="22"/>
        </w:rPr>
        <w:t xml:space="preserve"> SUJETO OBLIGADO </w:t>
      </w:r>
      <w:r w:rsidRPr="00A74F31">
        <w:rPr>
          <w:rFonts w:ascii="Palatino Linotype" w:eastAsia="Palatino Linotype" w:hAnsi="Palatino Linotype" w:cs="Palatino Linotype"/>
          <w:sz w:val="22"/>
          <w:szCs w:val="22"/>
        </w:rPr>
        <w:t>colmó el derecho de acceso a la información o, si por el contrario, procede la entrega de información.</w:t>
      </w:r>
    </w:p>
    <w:p w:rsidR="00AF2038" w:rsidRPr="00A74F31" w:rsidRDefault="00AF2038" w:rsidP="000A31EF">
      <w:pPr>
        <w:rPr>
          <w:rFonts w:ascii="Palatino Linotype" w:eastAsia="Palatino Linotype" w:hAnsi="Palatino Linotype" w:cs="Palatino Linotype"/>
          <w:b/>
          <w:sz w:val="22"/>
          <w:szCs w:val="22"/>
        </w:rPr>
      </w:pPr>
    </w:p>
    <w:p w:rsidR="00272C76" w:rsidRPr="00A74F31" w:rsidRDefault="00272C76" w:rsidP="00272C76">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 xml:space="preserve">Al respecto, resulta necesario señalar que </w:t>
      </w:r>
      <w:r w:rsidRPr="00A74F31">
        <w:rPr>
          <w:rFonts w:ascii="Palatino Linotype" w:hAnsi="Palatino Linotype" w:cs="Tahoma"/>
          <w:bCs/>
          <w:iCs/>
          <w:sz w:val="22"/>
          <w:szCs w:val="22"/>
        </w:rPr>
        <w:t xml:space="preserve">la Ley de Protección de Datos Personales en Posesión de Sujetos Obligados del Estado de México y Municipios, señala, en su artículo 46 fracción III, que el elaborar el inventario de datos personales, es una actividad que debe ser </w:t>
      </w:r>
      <w:r w:rsidRPr="00A74F31">
        <w:rPr>
          <w:rFonts w:ascii="Palatino Linotype" w:hAnsi="Palatino Linotype" w:cs="Tahoma"/>
          <w:bCs/>
          <w:iCs/>
          <w:sz w:val="22"/>
          <w:szCs w:val="22"/>
        </w:rPr>
        <w:lastRenderedPageBreak/>
        <w:t>considerada para mantener vigentes las medidas de seguridad enfocadas a la protección de los datos personales.</w:t>
      </w:r>
    </w:p>
    <w:p w:rsidR="00272C76" w:rsidRPr="00A74F31" w:rsidRDefault="00272C76" w:rsidP="00BE4CCE">
      <w:pPr>
        <w:spacing w:line="360" w:lineRule="auto"/>
        <w:ind w:right="1"/>
        <w:jc w:val="both"/>
        <w:rPr>
          <w:rFonts w:ascii="Palatino Linotype" w:hAnsi="Palatino Linotype" w:cs="Tahoma"/>
          <w:bCs/>
          <w:iCs/>
          <w:sz w:val="22"/>
          <w:szCs w:val="22"/>
          <w:lang w:eastAsia="es-ES"/>
        </w:rPr>
      </w:pPr>
    </w:p>
    <w:p w:rsidR="00272C76" w:rsidRPr="00A74F31" w:rsidRDefault="00272C76" w:rsidP="00BE4CCE">
      <w:pPr>
        <w:ind w:left="567" w:right="616"/>
        <w:jc w:val="both"/>
        <w:rPr>
          <w:rFonts w:ascii="Palatino Linotype" w:hAnsi="Palatino Linotype" w:cs="Tahoma"/>
          <w:b/>
          <w:bCs/>
          <w:i/>
          <w:sz w:val="22"/>
          <w:szCs w:val="22"/>
          <w:lang w:eastAsia="es-ES"/>
        </w:rPr>
      </w:pPr>
      <w:r w:rsidRPr="00A74F31">
        <w:rPr>
          <w:rFonts w:ascii="Palatino Linotype" w:hAnsi="Palatino Linotype" w:cs="Tahoma"/>
          <w:bCs/>
          <w:i/>
          <w:sz w:val="22"/>
          <w:szCs w:val="22"/>
          <w:lang w:eastAsia="es-ES"/>
        </w:rPr>
        <w:t>“</w:t>
      </w:r>
      <w:r w:rsidRPr="00A74F31">
        <w:rPr>
          <w:rFonts w:ascii="Palatino Linotype" w:hAnsi="Palatino Linotype" w:cs="Tahoma"/>
          <w:b/>
          <w:bCs/>
          <w:i/>
          <w:sz w:val="22"/>
          <w:szCs w:val="22"/>
          <w:lang w:eastAsia="es-ES"/>
        </w:rPr>
        <w:t xml:space="preserve">Actividades interrelacionadas para establecer y mantener las medidas de seguridad </w:t>
      </w:r>
    </w:p>
    <w:p w:rsidR="00272C76" w:rsidRPr="00A74F31" w:rsidRDefault="00272C76" w:rsidP="00BE4CCE">
      <w:pPr>
        <w:ind w:left="567" w:right="616"/>
        <w:jc w:val="both"/>
        <w:rPr>
          <w:rFonts w:ascii="Palatino Linotype" w:hAnsi="Palatino Linotype" w:cs="Tahoma"/>
          <w:bCs/>
          <w:i/>
          <w:sz w:val="22"/>
          <w:szCs w:val="22"/>
          <w:lang w:eastAsia="es-ES"/>
        </w:rPr>
      </w:pPr>
      <w:r w:rsidRPr="00A74F31">
        <w:rPr>
          <w:rFonts w:ascii="Palatino Linotype" w:hAnsi="Palatino Linotype" w:cs="Tahoma"/>
          <w:b/>
          <w:bCs/>
          <w:i/>
          <w:sz w:val="22"/>
          <w:szCs w:val="22"/>
          <w:lang w:eastAsia="es-ES"/>
        </w:rPr>
        <w:t>Artículo 46.</w:t>
      </w:r>
      <w:r w:rsidRPr="00A74F31">
        <w:rPr>
          <w:rFonts w:ascii="Palatino Linotype" w:hAnsi="Palatino Linotype" w:cs="Tahoma"/>
          <w:bCs/>
          <w:i/>
          <w:sz w:val="22"/>
          <w:szCs w:val="22"/>
          <w:lang w:eastAsia="es-ES"/>
        </w:rPr>
        <w:t xml:space="preserve"> Para establecer y mantener las medidas de seguridad para la protección de los datos personales, el responsable realizará, al menos, las actividades interrelacionadas siguientes:</w:t>
      </w:r>
    </w:p>
    <w:p w:rsidR="00272C76" w:rsidRPr="00A74F31" w:rsidRDefault="00272C76" w:rsidP="00BE4CCE">
      <w:pPr>
        <w:ind w:left="567" w:right="616"/>
        <w:jc w:val="both"/>
        <w:rPr>
          <w:rFonts w:ascii="Palatino Linotype" w:hAnsi="Palatino Linotype" w:cs="Tahoma"/>
          <w:bCs/>
          <w:i/>
          <w:sz w:val="22"/>
          <w:szCs w:val="22"/>
          <w:lang w:eastAsia="es-ES"/>
        </w:rPr>
      </w:pPr>
      <w:r w:rsidRPr="00A74F31">
        <w:rPr>
          <w:rFonts w:ascii="Palatino Linotype" w:hAnsi="Palatino Linotype" w:cs="Tahoma"/>
          <w:bCs/>
          <w:i/>
          <w:sz w:val="22"/>
          <w:szCs w:val="22"/>
          <w:lang w:eastAsia="es-ES"/>
        </w:rPr>
        <w:t>…</w:t>
      </w:r>
    </w:p>
    <w:p w:rsidR="00272C76" w:rsidRPr="00A74F31" w:rsidRDefault="00272C76" w:rsidP="00BE4CCE">
      <w:pPr>
        <w:ind w:left="567" w:right="616"/>
        <w:jc w:val="both"/>
        <w:rPr>
          <w:rFonts w:ascii="Palatino Linotype" w:hAnsi="Palatino Linotype" w:cs="Tahoma"/>
          <w:bCs/>
          <w:i/>
          <w:sz w:val="22"/>
          <w:szCs w:val="22"/>
          <w:lang w:eastAsia="es-ES"/>
        </w:rPr>
      </w:pPr>
      <w:r w:rsidRPr="00A74F31">
        <w:rPr>
          <w:rFonts w:ascii="Palatino Linotype" w:hAnsi="Palatino Linotype" w:cs="Tahoma"/>
          <w:bCs/>
          <w:i/>
          <w:sz w:val="22"/>
          <w:szCs w:val="22"/>
          <w:lang w:eastAsia="es-ES"/>
        </w:rPr>
        <w:t>III. Elaborar un inventario de datos personales y de las bases y o sistemas de tratamiento.</w:t>
      </w:r>
    </w:p>
    <w:p w:rsidR="00272C76" w:rsidRPr="00A74F31" w:rsidRDefault="00272C76" w:rsidP="00BE4CCE">
      <w:pPr>
        <w:ind w:left="567" w:right="616"/>
        <w:jc w:val="both"/>
        <w:rPr>
          <w:rFonts w:ascii="Palatino Linotype" w:hAnsi="Palatino Linotype" w:cs="Tahoma"/>
          <w:bCs/>
          <w:i/>
          <w:sz w:val="22"/>
          <w:szCs w:val="22"/>
          <w:lang w:eastAsia="es-ES"/>
        </w:rPr>
      </w:pPr>
      <w:r w:rsidRPr="00A74F31">
        <w:rPr>
          <w:rFonts w:ascii="Palatino Linotype" w:hAnsi="Palatino Linotype" w:cs="Tahoma"/>
          <w:bCs/>
          <w:i/>
          <w:sz w:val="22"/>
          <w:szCs w:val="22"/>
          <w:lang w:eastAsia="es-ES"/>
        </w:rPr>
        <w:t>…“</w:t>
      </w:r>
    </w:p>
    <w:p w:rsidR="00272C76" w:rsidRPr="00A74F31" w:rsidRDefault="00272C76" w:rsidP="00272C76">
      <w:pPr>
        <w:spacing w:line="360" w:lineRule="auto"/>
        <w:ind w:right="1"/>
        <w:jc w:val="both"/>
        <w:rPr>
          <w:rFonts w:ascii="Palatino Linotype" w:eastAsia="Palatino Linotype" w:hAnsi="Palatino Linotype" w:cs="Palatino Linotype"/>
          <w:sz w:val="22"/>
          <w:szCs w:val="22"/>
        </w:rPr>
      </w:pPr>
    </w:p>
    <w:p w:rsidR="00272C76" w:rsidRPr="00A74F31" w:rsidRDefault="00272C76" w:rsidP="00272C76">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hAnsi="Palatino Linotype" w:cs="Tahoma"/>
          <w:bCs/>
          <w:iCs/>
          <w:sz w:val="22"/>
          <w:szCs w:val="22"/>
          <w:lang w:eastAsia="es-ES"/>
        </w:rPr>
        <w:t>Estos inventarios, son obligatorios y debieron ser generados en una temporalidad especificada por la Ley de Datos vigente en el Estado de México, que consideró en su artículo transitorio Quinto, la obligación de actualizar estos, en un periodo de doce meses, a partir de la publicación de la ley, que fue el treinta de mayo del dos mil diecisiete:</w:t>
      </w:r>
    </w:p>
    <w:p w:rsidR="00272C76" w:rsidRPr="00A74F31" w:rsidRDefault="00272C76" w:rsidP="00272C76">
      <w:pPr>
        <w:spacing w:line="360" w:lineRule="auto"/>
        <w:rPr>
          <w:rFonts w:ascii="Palatino Linotype" w:hAnsi="Palatino Linotype" w:cs="Tahoma"/>
          <w:bCs/>
          <w:iCs/>
          <w:sz w:val="22"/>
          <w:szCs w:val="22"/>
          <w:lang w:eastAsia="es-ES"/>
        </w:rPr>
      </w:pPr>
    </w:p>
    <w:p w:rsidR="00272C76" w:rsidRPr="00A74F31" w:rsidRDefault="00272C76" w:rsidP="00272C76">
      <w:pPr>
        <w:ind w:left="567" w:right="616"/>
        <w:rPr>
          <w:rFonts w:ascii="Palatino Linotype" w:hAnsi="Palatino Linotype" w:cs="Tahoma"/>
          <w:bCs/>
          <w:i/>
          <w:sz w:val="22"/>
          <w:szCs w:val="22"/>
          <w:lang w:eastAsia="es-ES"/>
        </w:rPr>
      </w:pPr>
      <w:r w:rsidRPr="00A74F31">
        <w:rPr>
          <w:rFonts w:ascii="Palatino Linotype" w:hAnsi="Palatino Linotype" w:cs="Tahoma"/>
          <w:b/>
          <w:bCs/>
          <w:i/>
          <w:sz w:val="22"/>
          <w:szCs w:val="22"/>
          <w:lang w:eastAsia="es-ES"/>
        </w:rPr>
        <w:t>QUINTO.</w:t>
      </w:r>
      <w:r w:rsidRPr="00A74F31">
        <w:rPr>
          <w:rFonts w:ascii="Palatino Linotype" w:hAnsi="Palatino Linotype" w:cs="Tahoma"/>
          <w:bCs/>
          <w:i/>
          <w:sz w:val="22"/>
          <w:szCs w:val="22"/>
          <w:lang w:eastAsia="es-ES"/>
        </w:rPr>
        <w:t xml:space="preserve"> Los sujetos obligados deberán tramitar, expedir o modificar su normatividad interna a más tardar dentro de los doce meses siguientes a la entrada en vigor de esta Ley.</w:t>
      </w:r>
    </w:p>
    <w:p w:rsidR="00272C76" w:rsidRPr="00A74F31" w:rsidRDefault="00272C76" w:rsidP="00272C76">
      <w:pPr>
        <w:ind w:left="567" w:right="616"/>
        <w:rPr>
          <w:rFonts w:ascii="Palatino Linotype" w:hAnsi="Palatino Linotype" w:cs="Tahoma"/>
          <w:bCs/>
          <w:i/>
          <w:sz w:val="22"/>
          <w:szCs w:val="22"/>
          <w:lang w:eastAsia="es-ES"/>
        </w:rPr>
      </w:pPr>
    </w:p>
    <w:p w:rsidR="00272C76" w:rsidRPr="00A74F31" w:rsidRDefault="00272C76" w:rsidP="00272C76">
      <w:pPr>
        <w:ind w:left="567" w:right="616"/>
        <w:rPr>
          <w:rFonts w:ascii="Palatino Linotype" w:hAnsi="Palatino Linotype" w:cs="Tahoma"/>
          <w:bCs/>
          <w:i/>
          <w:sz w:val="22"/>
          <w:szCs w:val="22"/>
          <w:lang w:eastAsia="es-ES"/>
        </w:rPr>
      </w:pPr>
      <w:r w:rsidRPr="00A74F31">
        <w:rPr>
          <w:rFonts w:ascii="Palatino Linotype" w:hAnsi="Palatino Linotype" w:cs="Tahoma"/>
          <w:bCs/>
          <w:i/>
          <w:sz w:val="22"/>
          <w:szCs w:val="22"/>
          <w:lang w:eastAsia="es-ES"/>
        </w:rPr>
        <w:t>En el mismo plazo señalado en el párrafo anterior, los sujetos obligados deberán llevar a cabo la actualización del inventario y registro de sus sistemas y bases de datos personales en términos de esta Ley.</w:t>
      </w:r>
    </w:p>
    <w:p w:rsidR="00272C76" w:rsidRPr="00A74F31" w:rsidRDefault="00272C76" w:rsidP="00272C76">
      <w:pPr>
        <w:rPr>
          <w:rFonts w:ascii="Palatino Linotype" w:eastAsia="Palatino Linotype" w:hAnsi="Palatino Linotype" w:cs="Palatino Linotype"/>
          <w:sz w:val="22"/>
          <w:szCs w:val="22"/>
        </w:rPr>
      </w:pPr>
    </w:p>
    <w:p w:rsidR="00272C76" w:rsidRPr="00A74F31" w:rsidRDefault="00272C76" w:rsidP="00272C76">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 xml:space="preserve">Correlativo a lo anterior, se reitera que el </w:t>
      </w:r>
      <w:r w:rsidRPr="00A74F31">
        <w:rPr>
          <w:rFonts w:ascii="Palatino Linotype" w:eastAsia="Palatino Linotype" w:hAnsi="Palatino Linotype" w:cs="Palatino Linotype"/>
          <w:b/>
          <w:sz w:val="22"/>
          <w:szCs w:val="22"/>
        </w:rPr>
        <w:t>SUJETO OBLIGADO</w:t>
      </w:r>
      <w:r w:rsidRPr="00A74F31">
        <w:rPr>
          <w:rFonts w:ascii="Palatino Linotype" w:eastAsia="Palatino Linotype" w:hAnsi="Palatino Linotype" w:cs="Palatino Linotype"/>
          <w:sz w:val="22"/>
          <w:szCs w:val="22"/>
        </w:rPr>
        <w:t xml:space="preserve"> informó que el “Plan de Contingencia” solicitado, corresponde a documentales confidenciales por la naturaleza de la información que contiene, </w:t>
      </w:r>
      <w:r w:rsidRPr="00A74F31">
        <w:rPr>
          <w:rFonts w:ascii="Palatino Linotype" w:hAnsi="Palatino Linotype" w:cs="Tahoma"/>
          <w:bCs/>
          <w:iCs/>
          <w:sz w:val="22"/>
          <w:szCs w:val="22"/>
          <w:lang w:eastAsia="es-ES"/>
        </w:rPr>
        <w:t>como se establece en los artículos 38, 39, 40 y 41 de la Ley en la materia de Protección de Datos Personales.</w:t>
      </w:r>
    </w:p>
    <w:p w:rsidR="00272C76" w:rsidRPr="00A74F31" w:rsidRDefault="00272C76" w:rsidP="00272C76">
      <w:pPr>
        <w:spacing w:line="360" w:lineRule="auto"/>
        <w:ind w:right="1"/>
        <w:jc w:val="both"/>
        <w:rPr>
          <w:rFonts w:ascii="Palatino Linotype" w:eastAsia="Palatino Linotype" w:hAnsi="Palatino Linotype" w:cs="Palatino Linotype"/>
          <w:sz w:val="22"/>
          <w:szCs w:val="22"/>
        </w:rPr>
      </w:pPr>
    </w:p>
    <w:p w:rsidR="00272C76" w:rsidRPr="00A74F31" w:rsidRDefault="00272C76" w:rsidP="00F40115">
      <w:pPr>
        <w:pStyle w:val="Prrafodelista"/>
        <w:numPr>
          <w:ilvl w:val="0"/>
          <w:numId w:val="1"/>
        </w:numPr>
        <w:spacing w:line="360" w:lineRule="auto"/>
        <w:ind w:left="0" w:right="1" w:firstLine="0"/>
        <w:jc w:val="both"/>
        <w:rPr>
          <w:rFonts w:ascii="Palatino Linotype" w:eastAsia="Calibri" w:hAnsi="Palatino Linotype" w:cs="Tahoma"/>
          <w:bCs/>
          <w:szCs w:val="22"/>
          <w:lang w:eastAsia="es-ES"/>
        </w:rPr>
      </w:pPr>
      <w:r w:rsidRPr="00A74F31">
        <w:rPr>
          <w:rFonts w:ascii="Palatino Linotype" w:hAnsi="Palatino Linotype" w:cs="Tahoma"/>
          <w:bCs/>
          <w:iCs/>
          <w:szCs w:val="22"/>
          <w:lang w:eastAsia="es-ES"/>
        </w:rPr>
        <w:t>Es de resaltar, que el</w:t>
      </w:r>
      <w:r w:rsidR="00F40115" w:rsidRPr="00A74F31">
        <w:rPr>
          <w:rFonts w:ascii="Palatino Linotype" w:hAnsi="Palatino Linotype" w:cs="Tahoma"/>
          <w:b/>
          <w:bCs/>
          <w:iCs/>
          <w:szCs w:val="22"/>
          <w:lang w:eastAsia="es-ES"/>
        </w:rPr>
        <w:t xml:space="preserve"> SUJETO OBLIGADO, refirió la existencia de dicho P</w:t>
      </w:r>
      <w:r w:rsidRPr="00A74F31">
        <w:rPr>
          <w:rFonts w:ascii="Palatino Linotype" w:hAnsi="Palatino Linotype" w:cs="Tahoma"/>
          <w:b/>
          <w:bCs/>
          <w:iCs/>
          <w:szCs w:val="22"/>
          <w:lang w:eastAsia="es-ES"/>
        </w:rPr>
        <w:t>lan</w:t>
      </w:r>
      <w:r w:rsidR="00F40115" w:rsidRPr="00A74F31">
        <w:rPr>
          <w:rFonts w:ascii="Palatino Linotype" w:hAnsi="Palatino Linotype" w:cs="Tahoma"/>
          <w:bCs/>
          <w:iCs/>
          <w:szCs w:val="22"/>
          <w:lang w:eastAsia="es-ES"/>
        </w:rPr>
        <w:t xml:space="preserve">. </w:t>
      </w:r>
      <w:r w:rsidRPr="00A74F31">
        <w:rPr>
          <w:rFonts w:ascii="Palatino Linotype" w:eastAsia="Calibri" w:hAnsi="Palatino Linotype" w:cs="Tahoma"/>
          <w:bCs/>
          <w:szCs w:val="22"/>
          <w:lang w:eastAsia="es-ES"/>
        </w:rPr>
        <w:t>En este sentido, de la solicitud de acceso a la información qu</w:t>
      </w:r>
      <w:r w:rsidR="00F40115" w:rsidRPr="00A74F31">
        <w:rPr>
          <w:rFonts w:ascii="Palatino Linotype" w:eastAsia="Calibri" w:hAnsi="Palatino Linotype" w:cs="Tahoma"/>
          <w:bCs/>
          <w:szCs w:val="22"/>
          <w:lang w:eastAsia="es-ES"/>
        </w:rPr>
        <w:t xml:space="preserve">e nos ocupa, se advierte que el </w:t>
      </w:r>
      <w:r w:rsidR="00F40115" w:rsidRPr="00A74F31">
        <w:rPr>
          <w:rFonts w:ascii="Palatino Linotype" w:eastAsia="Calibri" w:hAnsi="Palatino Linotype" w:cs="Tahoma"/>
          <w:b/>
          <w:bCs/>
          <w:szCs w:val="22"/>
          <w:lang w:eastAsia="es-ES"/>
        </w:rPr>
        <w:t xml:space="preserve">RECURRENTE, </w:t>
      </w:r>
      <w:r w:rsidRPr="00A74F31">
        <w:rPr>
          <w:rFonts w:ascii="Palatino Linotype" w:eastAsia="Calibri" w:hAnsi="Palatino Linotype" w:cs="Tahoma"/>
          <w:bCs/>
          <w:szCs w:val="22"/>
          <w:lang w:eastAsia="es-ES"/>
        </w:rPr>
        <w:t xml:space="preserve">al requerir el Plan de </w:t>
      </w:r>
      <w:r w:rsidR="00F40115" w:rsidRPr="00A74F31">
        <w:rPr>
          <w:rFonts w:ascii="Palatino Linotype" w:eastAsia="Calibri" w:hAnsi="Palatino Linotype" w:cs="Tahoma"/>
          <w:bCs/>
          <w:szCs w:val="22"/>
          <w:lang w:eastAsia="es-ES"/>
        </w:rPr>
        <w:t>Contingencia</w:t>
      </w:r>
      <w:r w:rsidRPr="00A74F31">
        <w:rPr>
          <w:rFonts w:ascii="Palatino Linotype" w:eastAsia="Calibri" w:hAnsi="Palatino Linotype" w:cs="Tahoma"/>
          <w:bCs/>
          <w:szCs w:val="22"/>
          <w:lang w:eastAsia="es-ES"/>
        </w:rPr>
        <w:t xml:space="preserve"> </w:t>
      </w:r>
      <w:r w:rsidR="00F40115" w:rsidRPr="00A74F31">
        <w:rPr>
          <w:rFonts w:ascii="Palatino Linotype" w:eastAsia="Calibri" w:hAnsi="Palatino Linotype" w:cs="Tahoma"/>
          <w:bCs/>
          <w:szCs w:val="22"/>
          <w:lang w:eastAsia="es-ES"/>
        </w:rPr>
        <w:t xml:space="preserve">en materia </w:t>
      </w:r>
      <w:r w:rsidRPr="00A74F31">
        <w:rPr>
          <w:rFonts w:ascii="Palatino Linotype" w:eastAsia="Calibri" w:hAnsi="Palatino Linotype" w:cs="Tahoma"/>
          <w:bCs/>
          <w:szCs w:val="22"/>
          <w:lang w:eastAsia="es-ES"/>
        </w:rPr>
        <w:t xml:space="preserve">de Datos Personales, solicitó </w:t>
      </w:r>
      <w:r w:rsidRPr="00A74F31">
        <w:rPr>
          <w:rFonts w:ascii="Palatino Linotype" w:eastAsia="Calibri" w:hAnsi="Palatino Linotype" w:cs="Tahoma"/>
          <w:bCs/>
          <w:szCs w:val="22"/>
          <w:lang w:eastAsia="es-ES"/>
        </w:rPr>
        <w:lastRenderedPageBreak/>
        <w:t>información relacionada con el cumplimiento de disposiciones en materia de protección de datos personales, tema cuyo marco normativo determ</w:t>
      </w:r>
      <w:r w:rsidR="00F40115" w:rsidRPr="00A74F31">
        <w:rPr>
          <w:rFonts w:ascii="Palatino Linotype" w:eastAsia="Calibri" w:hAnsi="Palatino Linotype" w:cs="Tahoma"/>
          <w:bCs/>
          <w:szCs w:val="22"/>
          <w:lang w:eastAsia="es-ES"/>
        </w:rPr>
        <w:t>ina las siguientes obligaciones.</w:t>
      </w:r>
    </w:p>
    <w:p w:rsidR="00F40115" w:rsidRPr="00A74F31" w:rsidRDefault="00F40115" w:rsidP="00BE4CCE">
      <w:pPr>
        <w:rPr>
          <w:rFonts w:ascii="Palatino Linotype" w:eastAsia="Calibri" w:hAnsi="Palatino Linotype" w:cs="Tahoma"/>
          <w:bCs/>
          <w:szCs w:val="22"/>
          <w:lang w:eastAsia="es-ES"/>
        </w:rPr>
      </w:pPr>
    </w:p>
    <w:p w:rsidR="00F40115" w:rsidRPr="00A74F31" w:rsidRDefault="00F40115" w:rsidP="00F40115">
      <w:pPr>
        <w:pStyle w:val="Prrafodelista"/>
        <w:numPr>
          <w:ilvl w:val="0"/>
          <w:numId w:val="1"/>
        </w:numPr>
        <w:spacing w:line="360" w:lineRule="auto"/>
        <w:ind w:left="0" w:right="1" w:firstLine="0"/>
        <w:jc w:val="both"/>
        <w:rPr>
          <w:rFonts w:ascii="Palatino Linotype" w:eastAsia="Calibri" w:hAnsi="Palatino Linotype" w:cs="Tahoma"/>
          <w:bCs/>
          <w:szCs w:val="22"/>
          <w:lang w:eastAsia="es-ES"/>
        </w:rPr>
      </w:pPr>
      <w:r w:rsidRPr="00A74F31">
        <w:rPr>
          <w:rFonts w:ascii="Palatino Linotype" w:eastAsia="Calibri" w:hAnsi="Palatino Linotype" w:cs="Tahoma"/>
          <w:bCs/>
          <w:szCs w:val="22"/>
          <w:lang w:eastAsia="es-ES"/>
        </w:rPr>
        <w:t xml:space="preserve">El artículo 6°, apartado A, fracción II, de la Constitución Política de los Estados Unidos Mexicanos establece que </w:t>
      </w:r>
      <w:r w:rsidRPr="00A74F31">
        <w:rPr>
          <w:rFonts w:ascii="Palatino Linotype" w:eastAsia="Calibri" w:hAnsi="Palatino Linotype" w:cs="Tahoma"/>
          <w:bCs/>
          <w:i/>
          <w:szCs w:val="22"/>
          <w:lang w:eastAsia="es-ES"/>
        </w:rPr>
        <w:t xml:space="preserve">la información que se refiere a la vida privada y los datos personales será protegida en los términos y con las excepciones que fijen las leyes. </w:t>
      </w:r>
      <w:r w:rsidRPr="00A74F31">
        <w:rPr>
          <w:rFonts w:ascii="Palatino Linotype" w:eastAsia="Calibri" w:hAnsi="Palatino Linotype" w:cs="Tahoma"/>
          <w:bCs/>
          <w:szCs w:val="22"/>
          <w:lang w:eastAsia="es-ES"/>
        </w:rPr>
        <w:t>Por su parte el artículo 16, párrafo segundo, del mismo ordenamiento establece el derecho que tienen los particulares a la protección de sus datos personales, conforme a lo siguiente:</w:t>
      </w:r>
    </w:p>
    <w:p w:rsidR="00F40115" w:rsidRPr="00A74F31" w:rsidRDefault="00F40115" w:rsidP="00F40115">
      <w:pPr>
        <w:pStyle w:val="Prrafodelista"/>
        <w:spacing w:line="360" w:lineRule="auto"/>
        <w:ind w:left="0" w:right="1"/>
        <w:jc w:val="both"/>
        <w:rPr>
          <w:rFonts w:ascii="Palatino Linotype" w:eastAsia="Calibri" w:hAnsi="Palatino Linotype" w:cs="Tahoma"/>
          <w:bCs/>
          <w:szCs w:val="22"/>
          <w:lang w:eastAsia="es-ES"/>
        </w:rPr>
      </w:pP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F40115" w:rsidRPr="00A74F31" w:rsidRDefault="00F40115" w:rsidP="00F40115">
      <w:pPr>
        <w:pStyle w:val="Prrafodelista"/>
        <w:spacing w:line="360" w:lineRule="auto"/>
        <w:ind w:left="0" w:right="1"/>
        <w:jc w:val="both"/>
        <w:rPr>
          <w:rFonts w:ascii="Palatino Linotype" w:eastAsia="Calibri" w:hAnsi="Palatino Linotype" w:cs="Tahoma"/>
          <w:bCs/>
          <w:szCs w:val="22"/>
          <w:lang w:eastAsia="es-ES"/>
        </w:rPr>
      </w:pPr>
    </w:p>
    <w:p w:rsidR="00F40115" w:rsidRPr="00A74F31" w:rsidRDefault="00F40115" w:rsidP="00F40115">
      <w:pPr>
        <w:pStyle w:val="Prrafodelista"/>
        <w:numPr>
          <w:ilvl w:val="0"/>
          <w:numId w:val="1"/>
        </w:numPr>
        <w:spacing w:line="360" w:lineRule="auto"/>
        <w:ind w:left="0" w:right="1" w:firstLine="0"/>
        <w:jc w:val="both"/>
        <w:rPr>
          <w:rFonts w:ascii="Palatino Linotype" w:eastAsia="Calibri" w:hAnsi="Palatino Linotype" w:cs="Tahoma"/>
          <w:bCs/>
          <w:szCs w:val="22"/>
          <w:lang w:eastAsia="es-ES"/>
        </w:rPr>
      </w:pPr>
      <w:r w:rsidRPr="00A74F31">
        <w:rPr>
          <w:rFonts w:ascii="Palatino Linotype" w:eastAsia="Calibri" w:hAnsi="Palatino Linotype" w:cs="Tahoma"/>
          <w:bCs/>
          <w:szCs w:val="22"/>
          <w:lang w:eastAsia="es-ES"/>
        </w:rPr>
        <w:t xml:space="preserve">Sobre la materia de protección de datos personales, en nuestro país se ha bifurcado, a partir de quién realiza el tratamiento, así, por un lado se garantiza la protección de los datos personales que son tratados por particulares a través de una ley de carácter federal y para el caso de la instituciones públicas en leyes especializas en el tratamiento que en función del marco legal e impacto que estas, de tal suerte que la Ley General de Protección de Datos Personales en Posesión de Sujetos Obligados, establece sobre la protección de estos lo siguiente: </w:t>
      </w:r>
    </w:p>
    <w:p w:rsidR="00F40115" w:rsidRPr="00A74F31" w:rsidRDefault="00F40115" w:rsidP="00F40115">
      <w:pPr>
        <w:pStyle w:val="Prrafodelista"/>
        <w:spacing w:line="360" w:lineRule="auto"/>
        <w:ind w:left="0" w:right="1"/>
        <w:jc w:val="both"/>
        <w:rPr>
          <w:rFonts w:ascii="Palatino Linotype" w:eastAsia="Calibri" w:hAnsi="Palatino Linotype" w:cs="Tahoma"/>
          <w:bCs/>
          <w:szCs w:val="22"/>
          <w:lang w:eastAsia="es-ES"/>
        </w:rPr>
      </w:pPr>
    </w:p>
    <w:p w:rsidR="00F40115" w:rsidRPr="00A74F31" w:rsidRDefault="00F40115" w:rsidP="00F40115">
      <w:pPr>
        <w:pStyle w:val="Prrafodelista"/>
        <w:numPr>
          <w:ilvl w:val="0"/>
          <w:numId w:val="1"/>
        </w:numPr>
        <w:spacing w:line="360" w:lineRule="auto"/>
        <w:ind w:left="0" w:right="1" w:firstLine="0"/>
        <w:jc w:val="both"/>
        <w:rPr>
          <w:rFonts w:ascii="Palatino Linotype" w:eastAsia="Calibri" w:hAnsi="Palatino Linotype" w:cs="Tahoma"/>
          <w:bCs/>
          <w:szCs w:val="22"/>
          <w:lang w:eastAsia="es-ES"/>
        </w:rPr>
      </w:pPr>
      <w:r w:rsidRPr="00A74F31">
        <w:rPr>
          <w:rFonts w:ascii="Palatino Linotype" w:eastAsia="Calibri" w:hAnsi="Palatino Linotype" w:cs="Tahoma"/>
          <w:bCs/>
          <w:szCs w:val="22"/>
          <w:lang w:eastAsia="es-ES"/>
        </w:rPr>
        <w:t>El artículo 1°, dispone que es una ley de observancia general en toda la República, reglamentaria de los artículos 6o., Base A y 16, segundo párrafo, de la Constitución Política de los Estados Unidos Mexicanos, en materia de protección de datos personales en posesión de sujetos obligados.</w:t>
      </w:r>
    </w:p>
    <w:p w:rsidR="00F40115" w:rsidRPr="00A74F31" w:rsidRDefault="00F40115" w:rsidP="00F40115">
      <w:pPr>
        <w:pStyle w:val="Prrafodelista"/>
        <w:rPr>
          <w:rFonts w:ascii="Palatino Linotype" w:eastAsia="Calibri" w:hAnsi="Palatino Linotype" w:cs="Tahoma"/>
          <w:bCs/>
          <w:szCs w:val="22"/>
          <w:lang w:eastAsia="es-ES"/>
        </w:rPr>
      </w:pPr>
    </w:p>
    <w:p w:rsidR="00F40115" w:rsidRPr="00A74F31" w:rsidRDefault="00F40115" w:rsidP="00F40115">
      <w:pPr>
        <w:pStyle w:val="Prrafodelista"/>
        <w:numPr>
          <w:ilvl w:val="0"/>
          <w:numId w:val="1"/>
        </w:numPr>
        <w:spacing w:line="360" w:lineRule="auto"/>
        <w:ind w:left="0" w:right="1" w:firstLine="0"/>
        <w:jc w:val="both"/>
        <w:rPr>
          <w:rFonts w:ascii="Palatino Linotype" w:eastAsia="Calibri" w:hAnsi="Palatino Linotype" w:cs="Tahoma"/>
          <w:bCs/>
          <w:szCs w:val="22"/>
          <w:lang w:eastAsia="es-ES"/>
        </w:rPr>
      </w:pPr>
      <w:r w:rsidRPr="00A74F31">
        <w:rPr>
          <w:rFonts w:ascii="Palatino Linotype" w:eastAsia="Calibri" w:hAnsi="Palatino Linotype" w:cs="Tahoma"/>
          <w:bCs/>
          <w:szCs w:val="22"/>
          <w:lang w:eastAsia="es-ES"/>
        </w:rPr>
        <w:lastRenderedPageBreak/>
        <w:t>En los artículos 31 y 32 de este ordenamiento, se establece que el responsable del tratamiento de datos personales deberá establecer y mantener las medidas de seguridad de carácter administrativo, físico y técnico para la protección de los datos personales, con el objetivo de protegerlos contra daño, pérdida, alteración, destrucción o su uso, acceso o tratamiento no autorizado, así como garantizar su confidencialidad, integridad y disponibilidad.</w:t>
      </w:r>
    </w:p>
    <w:p w:rsidR="00F40115" w:rsidRPr="00A74F31" w:rsidRDefault="00F40115" w:rsidP="00F40115">
      <w:pPr>
        <w:rPr>
          <w:rFonts w:ascii="Palatino Linotype" w:eastAsia="Calibri" w:hAnsi="Palatino Linotype" w:cs="Tahoma"/>
          <w:bCs/>
          <w:sz w:val="22"/>
          <w:szCs w:val="22"/>
          <w:lang w:eastAsia="es-ES"/>
        </w:rPr>
      </w:pPr>
    </w:p>
    <w:p w:rsidR="00F40115" w:rsidRPr="00A74F31" w:rsidRDefault="00F40115" w:rsidP="00F40115">
      <w:pPr>
        <w:pStyle w:val="Prrafodelista"/>
        <w:numPr>
          <w:ilvl w:val="0"/>
          <w:numId w:val="1"/>
        </w:numPr>
        <w:spacing w:line="360" w:lineRule="auto"/>
        <w:ind w:left="0" w:right="1" w:firstLine="0"/>
        <w:jc w:val="both"/>
        <w:rPr>
          <w:rFonts w:ascii="Palatino Linotype" w:eastAsia="Calibri" w:hAnsi="Palatino Linotype" w:cs="Tahoma"/>
          <w:bCs/>
          <w:szCs w:val="22"/>
          <w:lang w:eastAsia="es-ES"/>
        </w:rPr>
      </w:pPr>
      <w:r w:rsidRPr="00A74F31">
        <w:rPr>
          <w:rFonts w:ascii="Palatino Linotype" w:eastAsia="Calibri" w:hAnsi="Palatino Linotype" w:cs="Tahoma"/>
          <w:bCs/>
          <w:szCs w:val="22"/>
          <w:lang w:eastAsia="es-ES"/>
        </w:rPr>
        <w:t>Dichas medidas deben considerar el riesgo inherente a los datos personales tratados; su sensibilidad; el desarrollo tecnológico; las posibles consecuencias de una vulneración para los titulares; las transferencias que se realicen; el número de titulares; las vulneraciones previas ocurridas en los sistemas de tratamiento, y el riesgo por el valor potencial cuantitativo o cualitativo que pudieran tener los datos personales tratados para una tercera persona no autorizada para su posesión.</w:t>
      </w:r>
    </w:p>
    <w:p w:rsidR="00F40115" w:rsidRPr="00A74F31" w:rsidRDefault="00F40115" w:rsidP="00F40115">
      <w:pPr>
        <w:rPr>
          <w:rFonts w:ascii="Palatino Linotype" w:eastAsia="Calibri" w:hAnsi="Palatino Linotype" w:cs="Tahoma"/>
          <w:bCs/>
          <w:sz w:val="22"/>
          <w:szCs w:val="22"/>
          <w:lang w:eastAsia="es-ES"/>
        </w:rPr>
      </w:pPr>
    </w:p>
    <w:p w:rsidR="00F40115" w:rsidRPr="00A74F31" w:rsidRDefault="00F40115" w:rsidP="00F40115">
      <w:pPr>
        <w:pStyle w:val="Prrafodelista"/>
        <w:numPr>
          <w:ilvl w:val="0"/>
          <w:numId w:val="1"/>
        </w:numPr>
        <w:spacing w:line="360" w:lineRule="auto"/>
        <w:ind w:left="0" w:right="1" w:firstLine="0"/>
        <w:jc w:val="both"/>
        <w:rPr>
          <w:rFonts w:ascii="Palatino Linotype" w:eastAsia="Calibri" w:hAnsi="Palatino Linotype" w:cs="Tahoma"/>
          <w:bCs/>
          <w:szCs w:val="22"/>
          <w:lang w:eastAsia="es-ES"/>
        </w:rPr>
      </w:pPr>
      <w:r w:rsidRPr="00A74F31">
        <w:rPr>
          <w:rFonts w:ascii="Palatino Linotype" w:eastAsia="Calibri" w:hAnsi="Palatino Linotype" w:cs="Tahoma"/>
          <w:bCs/>
          <w:szCs w:val="22"/>
          <w:lang w:eastAsia="es-ES"/>
        </w:rPr>
        <w:t>Para cumplir con lo anterior el artículo 33 de la Ley en cita refiere, los sujetos obligados deben:</w:t>
      </w:r>
    </w:p>
    <w:p w:rsidR="00F40115" w:rsidRPr="00A74F31" w:rsidRDefault="00F40115" w:rsidP="00F40115">
      <w:pPr>
        <w:pStyle w:val="Prrafodelista"/>
        <w:spacing w:line="360" w:lineRule="auto"/>
        <w:ind w:left="0" w:right="1"/>
        <w:jc w:val="both"/>
        <w:rPr>
          <w:rFonts w:ascii="Palatino Linotype" w:eastAsia="Calibri" w:hAnsi="Palatino Linotype" w:cs="Tahoma"/>
          <w:bCs/>
          <w:szCs w:val="22"/>
          <w:lang w:eastAsia="es-ES"/>
        </w:rPr>
      </w:pPr>
    </w:p>
    <w:p w:rsidR="00F40115" w:rsidRPr="00A74F31" w:rsidRDefault="00F40115" w:rsidP="00F40115">
      <w:pPr>
        <w:numPr>
          <w:ilvl w:val="0"/>
          <w:numId w:val="29"/>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Crear políticas internas para la gestión y tratamiento de los datos personales, que tomen en cuenta el contexto en el que ocurren los tratamientos y el ciclo de vida de los datos personales, es decir, su obtención, uso y posterior supresión;</w:t>
      </w:r>
    </w:p>
    <w:p w:rsidR="00F40115" w:rsidRPr="00A74F31" w:rsidRDefault="00F40115" w:rsidP="00F40115">
      <w:pPr>
        <w:numPr>
          <w:ilvl w:val="0"/>
          <w:numId w:val="29"/>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Definir las funciones y obligaciones del personal involucrado en el tratamiento de datos personales;</w:t>
      </w:r>
    </w:p>
    <w:p w:rsidR="00F40115" w:rsidRPr="00A74F31" w:rsidRDefault="00F40115" w:rsidP="00F40115">
      <w:pPr>
        <w:numPr>
          <w:ilvl w:val="0"/>
          <w:numId w:val="29"/>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Elaborar un inventario de datos personales y de los sistemas de tratamiento;</w:t>
      </w:r>
    </w:p>
    <w:p w:rsidR="00F40115" w:rsidRPr="00A74F31" w:rsidRDefault="00F40115" w:rsidP="00F40115">
      <w:pPr>
        <w:numPr>
          <w:ilvl w:val="0"/>
          <w:numId w:val="29"/>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rsidR="00F40115" w:rsidRPr="00A74F31" w:rsidRDefault="00F40115" w:rsidP="00F40115">
      <w:pPr>
        <w:numPr>
          <w:ilvl w:val="0"/>
          <w:numId w:val="29"/>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Realizar un análisis de brecha, comparando las medidas de seguridad existentes contra las faltantes en la organización del responsable;</w:t>
      </w:r>
    </w:p>
    <w:p w:rsidR="00F40115" w:rsidRPr="00A74F31" w:rsidRDefault="00F40115" w:rsidP="00F40115">
      <w:pPr>
        <w:numPr>
          <w:ilvl w:val="0"/>
          <w:numId w:val="29"/>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Elaborar un plan de trabajo para la implementación de las medidas de seguridad faltantes, así como las medidas para el cumplimiento cotidiano de las políticas de gestión y tratamiento de los datos personales;</w:t>
      </w:r>
    </w:p>
    <w:p w:rsidR="00F40115" w:rsidRPr="00A74F31" w:rsidRDefault="00F40115" w:rsidP="00F40115">
      <w:pPr>
        <w:numPr>
          <w:ilvl w:val="0"/>
          <w:numId w:val="29"/>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lastRenderedPageBreak/>
        <w:t>Monitorear y revisar de manera periódica las medidas de seguridad implementadas, así como las amenazas y vulneraciones a las que están sujetos los datos personales, y</w:t>
      </w:r>
    </w:p>
    <w:p w:rsidR="00F40115" w:rsidRPr="00A74F31" w:rsidRDefault="00F40115" w:rsidP="00F40115">
      <w:pPr>
        <w:numPr>
          <w:ilvl w:val="0"/>
          <w:numId w:val="29"/>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Diseñar y aplicar diferentes niveles de capacitación del personal bajo su mando, dependiendo de sus roles y responsabilidades respecto del tratamiento de los datos personales.</w:t>
      </w:r>
    </w:p>
    <w:p w:rsidR="00F40115" w:rsidRPr="00A74F31" w:rsidRDefault="00F40115" w:rsidP="00F40115">
      <w:pPr>
        <w:pStyle w:val="Prrafodelista"/>
        <w:spacing w:line="360" w:lineRule="auto"/>
        <w:ind w:left="0" w:right="1"/>
        <w:jc w:val="both"/>
        <w:rPr>
          <w:rFonts w:ascii="Palatino Linotype" w:eastAsia="Calibri" w:hAnsi="Palatino Linotype" w:cs="Tahoma"/>
          <w:bCs/>
          <w:szCs w:val="22"/>
          <w:lang w:eastAsia="es-ES"/>
        </w:rPr>
      </w:pPr>
    </w:p>
    <w:p w:rsidR="00F40115" w:rsidRPr="00A74F31" w:rsidRDefault="00F40115" w:rsidP="00F40115">
      <w:pPr>
        <w:pStyle w:val="Prrafodelista"/>
        <w:numPr>
          <w:ilvl w:val="0"/>
          <w:numId w:val="1"/>
        </w:numPr>
        <w:spacing w:line="360" w:lineRule="auto"/>
        <w:ind w:left="0" w:right="1" w:firstLine="0"/>
        <w:jc w:val="both"/>
        <w:rPr>
          <w:rFonts w:ascii="Palatino Linotype" w:eastAsia="Calibri" w:hAnsi="Palatino Linotype" w:cs="Tahoma"/>
          <w:bCs/>
          <w:szCs w:val="22"/>
          <w:lang w:eastAsia="es-ES"/>
        </w:rPr>
      </w:pPr>
      <w:r w:rsidRPr="00A74F31">
        <w:rPr>
          <w:rFonts w:ascii="Palatino Linotype" w:eastAsia="Calibri" w:hAnsi="Palatino Linotype" w:cs="Tahoma"/>
          <w:bCs/>
          <w:szCs w:val="22"/>
          <w:lang w:eastAsia="es-ES"/>
        </w:rPr>
        <w:t>Ahora bien, la Ley General dispone en el artículo 35 la obligación de generar un documento de seguridad que entre otros aspectos contenga el análisis de riesgos, el análisis de brecha; el plan de trabajo; los mecanismos de monitoreo y revisión de las medidas de seguridad, y el programa general de capacitación; información que son de interés del ahora Recurrente.</w:t>
      </w:r>
    </w:p>
    <w:p w:rsidR="00F40115" w:rsidRPr="00A74F31" w:rsidRDefault="00F40115" w:rsidP="00F40115">
      <w:pPr>
        <w:pStyle w:val="Prrafodelista"/>
        <w:spacing w:line="360" w:lineRule="auto"/>
        <w:ind w:left="0" w:right="1"/>
        <w:jc w:val="both"/>
        <w:rPr>
          <w:rFonts w:ascii="Palatino Linotype" w:eastAsia="Calibri" w:hAnsi="Palatino Linotype" w:cs="Tahoma"/>
          <w:bCs/>
          <w:szCs w:val="22"/>
          <w:lang w:eastAsia="es-ES"/>
        </w:rPr>
      </w:pPr>
    </w:p>
    <w:p w:rsidR="00F40115" w:rsidRPr="00A74F31" w:rsidRDefault="00F40115" w:rsidP="00F40115">
      <w:pPr>
        <w:pStyle w:val="Prrafodelista"/>
        <w:numPr>
          <w:ilvl w:val="0"/>
          <w:numId w:val="1"/>
        </w:numPr>
        <w:spacing w:line="360" w:lineRule="auto"/>
        <w:ind w:left="0" w:right="1" w:firstLine="0"/>
        <w:jc w:val="both"/>
        <w:rPr>
          <w:rFonts w:ascii="Palatino Linotype" w:eastAsia="Calibri" w:hAnsi="Palatino Linotype" w:cs="Tahoma"/>
          <w:bCs/>
          <w:szCs w:val="22"/>
          <w:lang w:eastAsia="es-ES"/>
        </w:rPr>
      </w:pPr>
      <w:r w:rsidRPr="00A74F31">
        <w:rPr>
          <w:rFonts w:ascii="Palatino Linotype" w:eastAsia="Calibri" w:hAnsi="Palatino Linotype" w:cs="Tahoma"/>
          <w:bCs/>
          <w:szCs w:val="22"/>
          <w:lang w:eastAsia="es-ES"/>
        </w:rPr>
        <w:t>En competencia local, la Ley de Protección de Datos Personales en Posesión de Sujetos Obligados del Estado de México y Municipios, sobre nuestro tema de interés refiere lo siguiente:</w:t>
      </w:r>
    </w:p>
    <w:p w:rsidR="00F40115" w:rsidRPr="00A74F31" w:rsidRDefault="00F40115" w:rsidP="00F40115">
      <w:pPr>
        <w:spacing w:line="360" w:lineRule="auto"/>
        <w:ind w:right="-93"/>
        <w:rPr>
          <w:rFonts w:ascii="Palatino Linotype" w:eastAsia="Calibri" w:hAnsi="Palatino Linotype" w:cs="Tahoma"/>
          <w:bCs/>
          <w:sz w:val="22"/>
          <w:szCs w:val="22"/>
          <w:lang w:eastAsia="es-ES"/>
        </w:rPr>
      </w:pPr>
    </w:p>
    <w:p w:rsidR="00F40115" w:rsidRPr="00A74F31" w:rsidRDefault="00F40115" w:rsidP="00BE4CCE">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 xml:space="preserve">Del objeto de la Ley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
          <w:bCs/>
          <w:i/>
          <w:sz w:val="22"/>
          <w:szCs w:val="22"/>
          <w:lang w:eastAsia="es-ES"/>
        </w:rPr>
        <w:t>Artículo 1</w:t>
      </w:r>
      <w:r w:rsidRPr="00A74F31">
        <w:rPr>
          <w:rFonts w:ascii="Palatino Linotype" w:eastAsia="Calibri" w:hAnsi="Palatino Linotype" w:cs="Tahoma"/>
          <w:bCs/>
          <w:i/>
          <w:sz w:val="22"/>
          <w:szCs w:val="22"/>
          <w:lang w:eastAsia="es-ES"/>
        </w:rPr>
        <w:t>.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 xml:space="preserve">De las finalidades de la Ley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
          <w:bCs/>
          <w:i/>
          <w:sz w:val="22"/>
          <w:szCs w:val="22"/>
          <w:lang w:eastAsia="es-ES"/>
        </w:rPr>
        <w:t>Artículo 2.</w:t>
      </w:r>
      <w:r w:rsidRPr="00A74F31">
        <w:rPr>
          <w:rFonts w:ascii="Palatino Linotype" w:eastAsia="Calibri" w:hAnsi="Palatino Linotype" w:cs="Tahoma"/>
          <w:bCs/>
          <w:i/>
          <w:sz w:val="22"/>
          <w:szCs w:val="22"/>
          <w:lang w:eastAsia="es-ES"/>
        </w:rPr>
        <w:t xml:space="preserve"> Son finalidades de la presente Ley:</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 a III.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IV. Proteger los datos personales en posesión de los sujetos obligados del Estado de México y municipios a los que se refiere esta Ley, con la finalidad de regular su debido tratamiento.</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V. Promover la adopción de medidas de seguridad que garanticen, la integridad, disponibilidad y confidencialidad de los datos personales en posesión de los sujetos obligados, estableciendo los mecanismos para asegurar su cumplimiento.</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VI. a X. …</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Glosario</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
          <w:bCs/>
          <w:i/>
          <w:sz w:val="22"/>
          <w:szCs w:val="22"/>
          <w:lang w:eastAsia="es-ES"/>
        </w:rPr>
        <w:t>Artículo 4.</w:t>
      </w:r>
      <w:r w:rsidRPr="00A74F31">
        <w:rPr>
          <w:rFonts w:ascii="Palatino Linotype" w:eastAsia="Calibri" w:hAnsi="Palatino Linotype" w:cs="Tahoma"/>
          <w:bCs/>
          <w:i/>
          <w:sz w:val="22"/>
          <w:szCs w:val="22"/>
          <w:lang w:eastAsia="es-ES"/>
        </w:rPr>
        <w:t xml:space="preserve"> Para los efectos de esta Ley se entenderá por:</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lastRenderedPageBreak/>
        <w:t>I. a XVII.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 xml:space="preserve">XVIII. </w:t>
      </w:r>
      <w:r w:rsidRPr="00A74F31">
        <w:rPr>
          <w:rFonts w:ascii="Palatino Linotype" w:eastAsia="Calibri" w:hAnsi="Palatino Linotype" w:cs="Tahoma"/>
          <w:b/>
          <w:bCs/>
          <w:i/>
          <w:sz w:val="22"/>
          <w:szCs w:val="22"/>
          <w:lang w:eastAsia="es-ES"/>
        </w:rPr>
        <w:t>Documento de seguridad: al instrumento que describe y da cuenta de manera general sobre las medidas de seguridad técnicas, físicas y administrativas adoptadas por el responsable</w:t>
      </w:r>
      <w:r w:rsidRPr="00A74F31">
        <w:rPr>
          <w:rFonts w:ascii="Palatino Linotype" w:eastAsia="Calibri" w:hAnsi="Palatino Linotype" w:cs="Tahoma"/>
          <w:bCs/>
          <w:i/>
          <w:sz w:val="22"/>
          <w:szCs w:val="22"/>
          <w:lang w:eastAsia="es-ES"/>
        </w:rPr>
        <w:t xml:space="preserve"> para garantizar la confidencialidad, integridad y disponibilidad de la información contenida en los sistemas y bases de datos personales. XIX. a XXX.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XXXI. Medidas de seguridad administrativas: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XXXII. Medidas de seguridad físicas: a las acciones y mecanismos para proteger el entorno físico de los datos personales y de los recursos involucrados en su tratamiento. De manera enunciativa más no limitativa, se considerarán las actividades siguientes: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a) Prevenir el acceso no autorizado al perímetro de la organización, sus instalaciones físicas, áreas críticas, recursos e información.</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b) Prevenir el daño o interferencia a las instalaciones físicas, áreas críticas de la organización, recursos e información.</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c) Proteger los recursos móviles, portátiles y cualquier soporte físico o electrónico que pueda salir de la organización.</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d) Proveer a los equipos que contienen o almacenan datos personales de un mantenimiento eficaz que asegure su disponibilidad e integridad.</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XXXIII. Medidas de seguridad técnicas: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a) Prevenir que el acceso a los sistemas y bases de datos o a la información, así como a los recursos, sea por usuarios identificados y autorizados.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b) Generar un esquema de privilegios para que el usuario lleve a cabo las actividades que requiere con motivo de sus funciones.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c) Revisar la configuración de seguridad en la adquisición, operación, desarrollo y mantenimiento del software y hardware.</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d) Gestionar las comunicaciones, operaciones y medios de almacenamiento de los recursos informáticos en el tratamiento de datos personales.</w:t>
      </w:r>
    </w:p>
    <w:p w:rsidR="00F40115" w:rsidRPr="00A74F31" w:rsidRDefault="00F40115" w:rsidP="00BE4CCE">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XXXIII. a LI.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 xml:space="preserve">LII. Violación de la seguridad de los datos personales: a la violación de la seguridad que ocasione la destrucción, pérdida o alteración accidental o ilícita de datos personales transferidos, conservados o tratados de otra forma, o la comunicación o acceso no autorizados a dichos datos, o cualquier otra que afecte la confidencialidad, integridad y disponibilidad de los datos personales. Se encuentran comprendidas dentro de este concepto las vulneraciones a </w:t>
      </w:r>
      <w:r w:rsidRPr="00A74F31">
        <w:rPr>
          <w:rFonts w:ascii="Palatino Linotype" w:eastAsia="Calibri" w:hAnsi="Palatino Linotype" w:cs="Tahoma"/>
          <w:bCs/>
          <w:i/>
          <w:sz w:val="22"/>
          <w:szCs w:val="22"/>
          <w:lang w:eastAsia="es-ES"/>
        </w:rPr>
        <w:lastRenderedPageBreak/>
        <w:t xml:space="preserve">las que hace referencia la Ley General de Protección de Datos Personales en Posesión de Sujetos Obligados. </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center"/>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CAPÍTULO PRIMERO</w:t>
      </w:r>
    </w:p>
    <w:p w:rsidR="00F40115" w:rsidRPr="00A74F31" w:rsidRDefault="00F40115" w:rsidP="00F40115">
      <w:pPr>
        <w:ind w:left="567" w:right="567"/>
        <w:jc w:val="center"/>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DE LOS PRINCIPIOS EN MATERIA DE PROTECCIÓN</w:t>
      </w:r>
    </w:p>
    <w:p w:rsidR="00F40115" w:rsidRPr="00A74F31" w:rsidRDefault="00F40115" w:rsidP="00F40115">
      <w:pPr>
        <w:ind w:left="567" w:right="567"/>
        <w:jc w:val="center"/>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DE DATOS PERSONALES</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Principio de Calidad</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
          <w:bCs/>
          <w:i/>
          <w:sz w:val="22"/>
          <w:szCs w:val="22"/>
          <w:lang w:eastAsia="es-ES"/>
        </w:rPr>
        <w:t>Artículo 16.</w:t>
      </w:r>
      <w:r w:rsidRPr="00A74F31">
        <w:rPr>
          <w:rFonts w:ascii="Palatino Linotype" w:eastAsia="Calibri" w:hAnsi="Palatino Linotype" w:cs="Tahoma"/>
          <w:bCs/>
          <w:i/>
          <w:sz w:val="22"/>
          <w:szCs w:val="22"/>
          <w:lang w:eastAsia="es-ES"/>
        </w:rPr>
        <w:t xml:space="preserve"> Los responsables adoptarán las medidas para mantener exactos, completos, correctos y actualizados los datos personales en su posesión, para no alterar su veracidad.</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Se presume que se cumple con la calidad en los datos personales cuando éstos son proporcionados directamente por la o el titular y hasta que éste no manifieste y acredite lo contrario.</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Cuando los datos personales hayan dejado de ser necesarios para el cumplimiento de las finalidades previstas en el aviso de privacidad y que motivaron su tratamiento conforme a las disposiciones que resulten aplicables, serán suprimidos previo bloqueo y concluido su plazo de conservación.</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Los plazos de conservación de los datos personales no excederán los necesarios para el cumplimiento de las finalidades que justificaron su tratamiento, atendiendo a las disposiciones legales aplicables en la materia de que se trate y considerar los aspectos administrativos, contables, fiscales, jurídicos e históricos de los datos personales, en términos de su catálogo de disposición documental.</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Con el objeto de preservar la veracidad de la información, el responsable llevará una bitácora de las modificaciones que ha realizado a los registros de las usuarias y los usuarios de los sistemas y bases de datos personales, pudiendo conservar, los datos que se han referido inexactos, incompletos, incorrectos o desactualizados, los cuales inclusive podrán ser utilizados para efecto de responsabilidades.</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BE4CCE">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Mecanismos para demostrar el cumplimiento del principio de responsabilidad</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
          <w:bCs/>
          <w:i/>
          <w:sz w:val="22"/>
          <w:szCs w:val="22"/>
          <w:lang w:eastAsia="es-ES"/>
        </w:rPr>
        <w:t>Artículo 28.</w:t>
      </w:r>
      <w:r w:rsidRPr="00A74F31">
        <w:rPr>
          <w:rFonts w:ascii="Palatino Linotype" w:eastAsia="Calibri" w:hAnsi="Palatino Linotype" w:cs="Tahoma"/>
          <w:bCs/>
          <w:i/>
          <w:sz w:val="22"/>
          <w:szCs w:val="22"/>
          <w:lang w:eastAsia="es-ES"/>
        </w:rPr>
        <w:t xml:space="preserve"> Entre los mecanismos que deberá adoptar el responsable para cumplir con el principio de responsabilidad establecido en la presente Ley están, al menos, los siguientes: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 a II.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III. Poner en práctica un programa de capacitación y actualización del personal sobre las obligaciones y demás deberes en materia de protección de datos personales.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IV. Revisar periódicamente las políticas y programas de seguridad de datos personales para determinar las modificaciones que se requieran.</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V. Establecer un sistema de supervisión y vigilancia interna y/o externas, incluyendo auditorías, para comprobar el cumplimiento de las políticas de protección de datos personales.</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center"/>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lastRenderedPageBreak/>
        <w:t>CAPÍTULO SEGUNDO</w:t>
      </w:r>
    </w:p>
    <w:p w:rsidR="00F40115" w:rsidRPr="00A74F31" w:rsidRDefault="00F40115" w:rsidP="00F40115">
      <w:pPr>
        <w:ind w:left="567" w:right="567"/>
        <w:jc w:val="center"/>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DE LAS MEDIDAS DE SEGURIDAD</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
          <w:bCs/>
          <w:i/>
          <w:sz w:val="22"/>
          <w:szCs w:val="22"/>
          <w:lang w:eastAsia="es-ES"/>
        </w:rPr>
        <w:t>Naturaleza de las medidas de seguridad y registro del nivel de seguridad</w:t>
      </w:r>
      <w:r w:rsidRPr="00A74F31">
        <w:rPr>
          <w:rFonts w:ascii="Palatino Linotype" w:eastAsia="Calibri" w:hAnsi="Palatino Linotype" w:cs="Tahoma"/>
          <w:bCs/>
          <w:i/>
          <w:sz w:val="22"/>
          <w:szCs w:val="22"/>
          <w:lang w:eastAsia="es-ES"/>
        </w:rPr>
        <w:t xml:space="preserve">.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
          <w:bCs/>
          <w:i/>
          <w:sz w:val="22"/>
          <w:szCs w:val="22"/>
          <w:lang w:eastAsia="es-ES"/>
        </w:rPr>
        <w:t>Artículo 43.</w:t>
      </w:r>
      <w:r w:rsidRPr="00A74F31">
        <w:rPr>
          <w:rFonts w:ascii="Palatino Linotype" w:eastAsia="Calibri" w:hAnsi="Palatino Linotype" w:cs="Tahoma"/>
          <w:bCs/>
          <w:i/>
          <w:sz w:val="22"/>
          <w:szCs w:val="22"/>
          <w:lang w:eastAsia="es-E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En el supuesto de actualización de estos datos, la modificación respectiva se notificará al Instituto en sus oficinas o en el portal que para tal efecto se cree, dentro de los treinta días hábiles siguientes a la fecha en que se efectuó.</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El responsable o el encargado, designarán a una o un administrador, quien tendrá bajo su responsabilidad directa la base y sistema de datos personales.</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Elementos a considerar para la adopción de medidas de seguridad y su naturaleza</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
          <w:bCs/>
          <w:i/>
          <w:sz w:val="22"/>
          <w:szCs w:val="22"/>
          <w:lang w:eastAsia="es-ES"/>
        </w:rPr>
        <w:t>Artículo 45.</w:t>
      </w:r>
      <w:r w:rsidRPr="00A74F31">
        <w:rPr>
          <w:rFonts w:ascii="Palatino Linotype" w:eastAsia="Calibri" w:hAnsi="Palatino Linotype" w:cs="Tahoma"/>
          <w:bCs/>
          <w:i/>
          <w:sz w:val="22"/>
          <w:szCs w:val="22"/>
          <w:lang w:eastAsia="es-ES"/>
        </w:rPr>
        <w:t xml:space="preserve"> Las medidas de seguridad adoptadas por el responsable considerarán:</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 El riesgo inherente a los datos personales tratados.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II. La sensibilidad de los datos personales tratados.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III. El desarrollo tecnológico.</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IV. Las posibles consecuencias de una vulneración para las y los titulares.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V. Las transferencias de datos personales que se realicen.</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VI. El número de titulares.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VII. Las violaciones a la seguridad previas ocurridas en los sistemas de tratamiento.</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VIII. El riesgo por el valor potencial cuantitativo o cualitativo que pudieran tener los datos personales tratados para una tercera persona no autorizada para su posesión.</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Actividades interrelacionadas para establecer y mantener las medidas de seguridad</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
          <w:bCs/>
          <w:i/>
          <w:sz w:val="22"/>
          <w:szCs w:val="22"/>
          <w:lang w:eastAsia="es-ES"/>
        </w:rPr>
        <w:lastRenderedPageBreak/>
        <w:t>Artículo 46</w:t>
      </w:r>
      <w:r w:rsidRPr="00A74F31">
        <w:rPr>
          <w:rFonts w:ascii="Palatino Linotype" w:eastAsia="Calibri" w:hAnsi="Palatino Linotype" w:cs="Tahoma"/>
          <w:bCs/>
          <w:i/>
          <w:sz w:val="22"/>
          <w:szCs w:val="22"/>
          <w:lang w:eastAsia="es-ES"/>
        </w:rPr>
        <w:t>. Para establecer y mantener las medidas de seguridad para la protección de los datos personales, el responsable realizará, al menos, las actividades interrelacionadas siguientes: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 Crear políticas internas para la gestión y tratamiento de los datos personales, que tomen en cuenta el contexto en el que ocurren los tratamientos y el ciclo de vida de los datos personales, es decir, su obtención, uso y posterior supresión.</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II. Definir las funciones y obligaciones del personal involucrado en el tratamiento de datos personales.</w:t>
      </w:r>
    </w:p>
    <w:p w:rsidR="00F40115" w:rsidRPr="00A74F31" w:rsidRDefault="00F40115" w:rsidP="00F40115">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III. Elaborar un inventario de datos personales y de las bases y o sistemas de tratamiento.</w:t>
      </w:r>
    </w:p>
    <w:p w:rsidR="00F40115" w:rsidRPr="00A74F31" w:rsidRDefault="00F40115" w:rsidP="00F40115">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rsidR="00F40115" w:rsidRPr="00A74F31" w:rsidRDefault="00F40115" w:rsidP="00F40115">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V. Realizar un análisis de brecha, comparando las medidas de seguridad existentes contra las faltantes en la organización del responsable.</w:t>
      </w:r>
    </w:p>
    <w:p w:rsidR="00F40115" w:rsidRPr="00A74F31" w:rsidRDefault="00F40115" w:rsidP="00F40115">
      <w:pPr>
        <w:ind w:left="567" w:right="567"/>
        <w:jc w:val="both"/>
        <w:rPr>
          <w:rFonts w:ascii="Palatino Linotype" w:eastAsia="Calibri" w:hAnsi="Palatino Linotype" w:cs="Tahoma"/>
          <w:b/>
          <w:i/>
          <w:sz w:val="22"/>
          <w:szCs w:val="22"/>
          <w:lang w:eastAsia="es-ES"/>
        </w:rPr>
      </w:pPr>
      <w:r w:rsidRPr="00A74F31">
        <w:rPr>
          <w:rFonts w:ascii="Palatino Linotype" w:eastAsia="Calibri" w:hAnsi="Palatino Linotype" w:cs="Tahoma"/>
          <w:b/>
          <w:i/>
          <w:sz w:val="22"/>
          <w:szCs w:val="22"/>
          <w:lang w:eastAsia="es-ES"/>
        </w:rPr>
        <w:t>VI. Elaborar un plan de trabajo para la implementación de las medidas de seguridad faltantes, así como las medidas para el cumplimiento cotidiano de las políticas de gestión y tratamiento de los datos personales.</w:t>
      </w:r>
    </w:p>
    <w:p w:rsidR="00F40115" w:rsidRPr="00A74F31" w:rsidRDefault="00F40115" w:rsidP="00F40115">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VII. Monitorear y revisar de manera periódica las medidas de seguridad implementadas, así como las amenazas y vulnerabilidades a las que están sujetos los datos personales.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VIII. Diseñar y aplicar diferentes niveles de capacitación del personal bajo su mando, dependiendo de sus roles y responsabilidades respecto del tratamiento de los datos personales</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Contenido del Documento de Seguridad</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
          <w:bCs/>
          <w:i/>
          <w:sz w:val="22"/>
          <w:szCs w:val="22"/>
          <w:lang w:eastAsia="es-ES"/>
        </w:rPr>
        <w:t>Artículo 49.</w:t>
      </w:r>
      <w:r w:rsidRPr="00A74F31">
        <w:rPr>
          <w:rFonts w:ascii="Palatino Linotype" w:eastAsia="Calibri" w:hAnsi="Palatino Linotype" w:cs="Tahoma"/>
          <w:bCs/>
          <w:i/>
          <w:sz w:val="22"/>
          <w:szCs w:val="22"/>
          <w:lang w:eastAsia="es-ES"/>
        </w:rPr>
        <w:t xml:space="preserve"> El documento de seguridad deberá contener como mínimo lo siguiente:</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I. Respecto de los sistemas de datos personales: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a) El nombre.</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b) El nombre, cargo y adscripción del administrador de cada sistema y base de datos.</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 xml:space="preserve">c) Las funciones y obligaciones del responsable, encargado o encargados y todas las personas que traten datos personales.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 xml:space="preserve">d) El folio del registro del sistema y base de datos.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 xml:space="preserve">e) El inventario o la especificación detallada del tipo de datos personales contenidos.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f) La estructura y descripción de los sistemas y bases de datos personales, lo cual consiste en precisar y describir el tipo de soporte, así como las características del lugar donde se resguardan.</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 xml:space="preserve">II. Respecto de las medidas de seguridad implementadas deberá incluir lo siguiente: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 xml:space="preserve">a) Transferencia y remisiones.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lastRenderedPageBreak/>
        <w:t xml:space="preserve">b) Resguardo de soportes físicos y electrónicos. </w:t>
      </w:r>
    </w:p>
    <w:p w:rsidR="00BE4CCE" w:rsidRPr="00A74F31" w:rsidRDefault="00F40115" w:rsidP="00BE4CCE">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 xml:space="preserve">c) Bitácoras para accesos, operación cotidiana y violaciones a la seguridad de los datos personales. </w:t>
      </w:r>
    </w:p>
    <w:p w:rsidR="00F40115" w:rsidRPr="00A74F31" w:rsidRDefault="00BE4CCE" w:rsidP="00BE4CCE">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w:t>
      </w:r>
      <w:r w:rsidR="00F40115" w:rsidRPr="00A74F31">
        <w:rPr>
          <w:rFonts w:ascii="Palatino Linotype" w:eastAsia="Calibri" w:hAnsi="Palatino Linotype" w:cs="Tahoma"/>
          <w:bCs/>
          <w:i/>
          <w:sz w:val="22"/>
          <w:szCs w:val="22"/>
          <w:lang w:eastAsia="es-ES"/>
        </w:rPr>
        <w:t xml:space="preserve">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 xml:space="preserve">i) Procedimientos de respaldo y recuperación de datos. </w:t>
      </w:r>
    </w:p>
    <w:p w:rsidR="00F40115" w:rsidRPr="00A74F31" w:rsidRDefault="00F40115" w:rsidP="00F40115">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 xml:space="preserve">j) Plan de contingencia.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 xml:space="preserve">k) Auditorías.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l) Supresión y borrado seguro de datos.</w:t>
      </w:r>
    </w:p>
    <w:p w:rsidR="00F40115" w:rsidRPr="00A74F31" w:rsidRDefault="00F40115" w:rsidP="00F40115">
      <w:pPr>
        <w:ind w:left="567" w:right="567"/>
        <w:jc w:val="both"/>
        <w:rPr>
          <w:rFonts w:ascii="Palatino Linotype" w:eastAsia="Calibri" w:hAnsi="Palatino Linotype" w:cs="Tahoma"/>
          <w:i/>
          <w:sz w:val="22"/>
          <w:szCs w:val="22"/>
          <w:lang w:eastAsia="es-ES"/>
        </w:rPr>
      </w:pPr>
      <w:r w:rsidRPr="00A74F31">
        <w:rPr>
          <w:rFonts w:ascii="Palatino Linotype" w:eastAsia="Calibri" w:hAnsi="Palatino Linotype" w:cs="Tahoma"/>
          <w:i/>
          <w:sz w:val="22"/>
          <w:szCs w:val="22"/>
          <w:lang w:eastAsia="es-ES"/>
        </w:rPr>
        <w:t>m) El plan de trabajo.</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n) Los mecanismos de monitoreo y revisión de las medidas de seguridad.</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o) El programa general de capacitación.</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center"/>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CAPÍTULO TERCERO DE LAS VIOLACIONES A LA SEGURIDAD DE LOS DATOS PERSONALES</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both"/>
        <w:rPr>
          <w:rFonts w:ascii="Palatino Linotype" w:eastAsia="Calibri" w:hAnsi="Palatino Linotype" w:cs="Tahoma"/>
          <w:b/>
          <w:bCs/>
          <w:i/>
          <w:sz w:val="22"/>
          <w:szCs w:val="22"/>
          <w:lang w:eastAsia="es-ES"/>
        </w:rPr>
      </w:pPr>
      <w:r w:rsidRPr="00A74F31">
        <w:rPr>
          <w:rFonts w:ascii="Palatino Linotype" w:eastAsia="Calibri" w:hAnsi="Palatino Linotype" w:cs="Tahoma"/>
          <w:b/>
          <w:bCs/>
          <w:i/>
          <w:sz w:val="22"/>
          <w:szCs w:val="22"/>
          <w:lang w:eastAsia="es-ES"/>
        </w:rPr>
        <w:t>Plan de Contingencia</w:t>
      </w:r>
      <w:r w:rsidRPr="00A74F31">
        <w:rPr>
          <w:rFonts w:ascii="Palatino Linotype" w:eastAsia="Calibri" w:hAnsi="Palatino Linotype" w:cs="Tahoma"/>
          <w:bCs/>
          <w:i/>
          <w:sz w:val="22"/>
          <w:szCs w:val="22"/>
          <w:lang w:eastAsia="es-ES"/>
        </w:rPr>
        <w:t xml:space="preserve"> y</w:t>
      </w:r>
      <w:r w:rsidRPr="00A74F31">
        <w:rPr>
          <w:rFonts w:ascii="Palatino Linotype" w:eastAsia="Calibri" w:hAnsi="Palatino Linotype" w:cs="Tahoma"/>
          <w:b/>
          <w:bCs/>
          <w:i/>
          <w:sz w:val="22"/>
          <w:szCs w:val="22"/>
          <w:lang w:eastAsia="es-ES"/>
        </w:rPr>
        <w:t xml:space="preserve"> </w:t>
      </w:r>
      <w:r w:rsidRPr="00A74F31">
        <w:rPr>
          <w:rFonts w:ascii="Palatino Linotype" w:eastAsia="Calibri" w:hAnsi="Palatino Linotype" w:cs="Tahoma"/>
          <w:i/>
          <w:sz w:val="22"/>
          <w:szCs w:val="22"/>
          <w:lang w:eastAsia="es-ES"/>
        </w:rPr>
        <w:t>Plan de Trabajo</w:t>
      </w:r>
      <w:r w:rsidRPr="00A74F31">
        <w:rPr>
          <w:rFonts w:ascii="Palatino Linotype" w:eastAsia="Calibri" w:hAnsi="Palatino Linotype" w:cs="Tahoma"/>
          <w:b/>
          <w:bCs/>
          <w:i/>
          <w:sz w:val="22"/>
          <w:szCs w:val="22"/>
          <w:lang w:eastAsia="es-ES"/>
        </w:rPr>
        <w:t xml:space="preserve"> </w:t>
      </w: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
          <w:bCs/>
          <w:i/>
          <w:sz w:val="22"/>
          <w:szCs w:val="22"/>
          <w:lang w:eastAsia="es-ES"/>
        </w:rPr>
        <w:t>Artículo 51.</w:t>
      </w:r>
      <w:r w:rsidRPr="00A74F31">
        <w:rPr>
          <w:rFonts w:ascii="Palatino Linotype" w:eastAsia="Calibri" w:hAnsi="Palatino Linotype" w:cs="Tahoma"/>
          <w:bCs/>
          <w:i/>
          <w:sz w:val="22"/>
          <w:szCs w:val="22"/>
          <w:lang w:eastAsia="es-ES"/>
        </w:rPr>
        <w:t xml:space="preserve"> En caso de que ocurra una violación a la seguridad de los datos personales, el responsable implementará las acciones definidas en su plan de contingencia. </w:t>
      </w:r>
    </w:p>
    <w:p w:rsidR="00F40115" w:rsidRPr="00A74F31" w:rsidRDefault="00F40115" w:rsidP="00F40115">
      <w:pPr>
        <w:ind w:left="567" w:right="567"/>
        <w:jc w:val="both"/>
        <w:rPr>
          <w:rFonts w:ascii="Palatino Linotype" w:eastAsia="Calibri" w:hAnsi="Palatino Linotype" w:cs="Tahoma"/>
          <w:bCs/>
          <w:i/>
          <w:sz w:val="22"/>
          <w:szCs w:val="22"/>
          <w:lang w:eastAsia="es-ES"/>
        </w:rPr>
      </w:pPr>
    </w:p>
    <w:p w:rsidR="00F40115" w:rsidRPr="00A74F31" w:rsidRDefault="00F40115" w:rsidP="00F40115">
      <w:pPr>
        <w:ind w:left="567" w:right="567"/>
        <w:jc w:val="both"/>
        <w:rPr>
          <w:rFonts w:ascii="Palatino Linotype" w:eastAsia="Calibri" w:hAnsi="Palatino Linotype" w:cs="Tahoma"/>
          <w:bCs/>
          <w:i/>
          <w:sz w:val="22"/>
          <w:szCs w:val="22"/>
          <w:lang w:eastAsia="es-ES"/>
        </w:rPr>
      </w:pPr>
      <w:r w:rsidRPr="00A74F31">
        <w:rPr>
          <w:rFonts w:ascii="Palatino Linotype" w:eastAsia="Calibri" w:hAnsi="Palatino Linotype" w:cs="Tahoma"/>
          <w:bCs/>
          <w:i/>
          <w:sz w:val="22"/>
          <w:szCs w:val="22"/>
          <w:lang w:eastAsia="es-ES"/>
        </w:rPr>
        <w:t xml:space="preserve">De manera posterior y durante la ocurrencia de los efectos de la violación a la seguridad de los datos personales, el responsable analizará las causas por las cuales se presentó e </w:t>
      </w:r>
      <w:r w:rsidRPr="00A74F31">
        <w:rPr>
          <w:rFonts w:ascii="Palatino Linotype" w:eastAsia="Calibri" w:hAnsi="Palatino Linotype" w:cs="Tahoma"/>
          <w:i/>
          <w:sz w:val="22"/>
          <w:szCs w:val="22"/>
          <w:lang w:eastAsia="es-ES"/>
        </w:rPr>
        <w:t>implementar en su plan de trabajo las acciones preventivas y correctivas para adecuar las medidas de seguridad</w:t>
      </w:r>
      <w:r w:rsidRPr="00A74F31">
        <w:rPr>
          <w:rFonts w:ascii="Palatino Linotype" w:eastAsia="Calibri" w:hAnsi="Palatino Linotype" w:cs="Tahoma"/>
          <w:bCs/>
          <w:i/>
          <w:sz w:val="22"/>
          <w:szCs w:val="22"/>
          <w:lang w:eastAsia="es-ES"/>
        </w:rPr>
        <w:t xml:space="preserve"> y el tratamiento de los datos personales si fuese el caso, a efecto de evitar que la violación se repita.</w:t>
      </w:r>
    </w:p>
    <w:p w:rsidR="00F40115" w:rsidRPr="00A74F31" w:rsidRDefault="00F40115" w:rsidP="00F40115">
      <w:pPr>
        <w:pStyle w:val="Prrafodelista"/>
        <w:spacing w:line="360" w:lineRule="auto"/>
        <w:ind w:left="0" w:right="1"/>
        <w:jc w:val="both"/>
        <w:rPr>
          <w:rFonts w:ascii="Palatino Linotype" w:eastAsia="Calibri" w:hAnsi="Palatino Linotype" w:cs="Tahoma"/>
          <w:bCs/>
          <w:szCs w:val="22"/>
          <w:lang w:eastAsia="es-ES"/>
        </w:rPr>
      </w:pPr>
    </w:p>
    <w:p w:rsidR="00D84991" w:rsidRPr="00A74F31" w:rsidRDefault="00D84991" w:rsidP="00D84991">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eastAsia="Calibri" w:hAnsi="Palatino Linotype" w:cs="Tahoma"/>
          <w:bCs/>
          <w:sz w:val="22"/>
          <w:szCs w:val="22"/>
          <w:lang w:eastAsia="es-ES"/>
        </w:rPr>
        <w:t>De las disposiciones anteriores es importante resaltar que, para dar cumplimiento a la ley de la materia específicamente aplicable a nuestra Entidad, pero plenamente correspondiente con la Ley General, toda las instituciones públicas tienen la obligación de proteger los sistemas de datos personas que administran y para ello, debe cumplir con estándares mínimos que garanticen que los datos no serán alterados, sustraídos, incompletos, inexactos, destruidos, etc., para ello las instituciones públicas deben:</w:t>
      </w:r>
    </w:p>
    <w:p w:rsidR="00D84991" w:rsidRPr="00A74F31" w:rsidRDefault="00D84991" w:rsidP="00D84991">
      <w:pPr>
        <w:spacing w:line="360" w:lineRule="auto"/>
        <w:ind w:right="1"/>
        <w:jc w:val="both"/>
        <w:rPr>
          <w:rFonts w:ascii="Palatino Linotype" w:eastAsia="Palatino Linotype" w:hAnsi="Palatino Linotype" w:cs="Palatino Linotype"/>
          <w:sz w:val="22"/>
          <w:szCs w:val="22"/>
        </w:rPr>
      </w:pPr>
    </w:p>
    <w:p w:rsidR="00D84991" w:rsidRPr="00A74F31" w:rsidRDefault="00D84991" w:rsidP="00D84991">
      <w:pPr>
        <w:numPr>
          <w:ilvl w:val="0"/>
          <w:numId w:val="30"/>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Proteger los datos personales y promover la adopción de medidas de seguridad en sus sistemas de datos.</w:t>
      </w:r>
    </w:p>
    <w:p w:rsidR="00D84991" w:rsidRPr="00A74F31" w:rsidRDefault="00D84991" w:rsidP="00D84991">
      <w:pPr>
        <w:numPr>
          <w:ilvl w:val="0"/>
          <w:numId w:val="30"/>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lastRenderedPageBreak/>
        <w:t>Las medidas de seguridad deben garantizar que los datos personales se mantengan exactos, completos, correctos y actualizados, en atención al principio de calidad.</w:t>
      </w:r>
    </w:p>
    <w:p w:rsidR="00D84991" w:rsidRPr="00A74F31" w:rsidRDefault="00D84991" w:rsidP="00D84991">
      <w:pPr>
        <w:numPr>
          <w:ilvl w:val="0"/>
          <w:numId w:val="30"/>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Poner en práctica un programa de capacitación y actualización de su personal, para que conozcan las obligaciones que implica el tratamiento de datos personales.</w:t>
      </w:r>
    </w:p>
    <w:p w:rsidR="00D84991" w:rsidRPr="00A74F31" w:rsidRDefault="00D84991" w:rsidP="00D84991">
      <w:pPr>
        <w:numPr>
          <w:ilvl w:val="0"/>
          <w:numId w:val="30"/>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Implementar políticas y programas de seguridad de los datos personales, los cuales requieren una revisión continua para realizar las mejoras que se requieran.</w:t>
      </w:r>
    </w:p>
    <w:p w:rsidR="00D84991" w:rsidRPr="00A74F31" w:rsidRDefault="00D84991" w:rsidP="00D84991">
      <w:pPr>
        <w:numPr>
          <w:ilvl w:val="0"/>
          <w:numId w:val="30"/>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Las medidas de seguridad que se pueden implementar son técnicas, administrativas y físicas y para determinar las que se deben aplicar es necesario tomar en consideración el riesgo inherente, así como el riesgo por el valor potencial de los datos, la sensibilidad de los datos, el desarrollo tecnológico, las posibles consecuencias de vulneración, si se realizan transferencias de los datos, el número de personas de quienes se tratan los datos, así como en su caso, si existieron anteriormente vulneraciones.</w:t>
      </w:r>
    </w:p>
    <w:p w:rsidR="00D84991" w:rsidRPr="00A74F31" w:rsidRDefault="00D84991" w:rsidP="00D84991">
      <w:pPr>
        <w:numPr>
          <w:ilvl w:val="0"/>
          <w:numId w:val="30"/>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Para establecer las medidas de seguridad es necesario realizar análisis de riesgo de los datos personales, así como análisis de brecha.</w:t>
      </w:r>
      <w:r w:rsidRPr="00A74F31">
        <w:rPr>
          <w:rFonts w:ascii="Palatino Linotype" w:eastAsia="Calibri" w:hAnsi="Palatino Linotype" w:cs="Tahoma"/>
          <w:b/>
          <w:bCs/>
          <w:sz w:val="22"/>
          <w:szCs w:val="22"/>
          <w:lang w:eastAsia="es-ES"/>
        </w:rPr>
        <w:t xml:space="preserve"> </w:t>
      </w:r>
      <w:r w:rsidRPr="00A74F31">
        <w:rPr>
          <w:rFonts w:ascii="Palatino Linotype" w:eastAsia="Calibri" w:hAnsi="Palatino Linotype" w:cs="Tahoma"/>
          <w:bCs/>
          <w:sz w:val="22"/>
          <w:szCs w:val="22"/>
          <w:lang w:eastAsia="es-ES"/>
        </w:rPr>
        <w:t xml:space="preserve"> No se deja de lado que la Ley no establece una temporalidad en la que se deben realizar estar actividades.</w:t>
      </w:r>
    </w:p>
    <w:p w:rsidR="00D84991" w:rsidRPr="00A74F31" w:rsidRDefault="00D84991" w:rsidP="00D84991">
      <w:pPr>
        <w:numPr>
          <w:ilvl w:val="0"/>
          <w:numId w:val="30"/>
        </w:numPr>
        <w:ind w:left="567" w:right="567" w:hanging="141"/>
        <w:contextualSpacing/>
        <w:jc w:val="both"/>
        <w:rPr>
          <w:rFonts w:ascii="Palatino Linotype" w:eastAsia="Calibri" w:hAnsi="Palatino Linotype" w:cs="Tahoma"/>
          <w:bCs/>
          <w:sz w:val="22"/>
          <w:szCs w:val="22"/>
          <w:lang w:eastAsia="es-ES"/>
        </w:rPr>
      </w:pPr>
      <w:r w:rsidRPr="00A74F31">
        <w:rPr>
          <w:rFonts w:ascii="Palatino Linotype" w:eastAsia="Calibri" w:hAnsi="Palatino Linotype" w:cs="Tahoma"/>
          <w:bCs/>
          <w:sz w:val="22"/>
          <w:szCs w:val="22"/>
          <w:lang w:eastAsia="es-ES"/>
        </w:rPr>
        <w:t xml:space="preserve">Además se requiere </w:t>
      </w:r>
      <w:r w:rsidRPr="00A74F31">
        <w:rPr>
          <w:rFonts w:ascii="Palatino Linotype" w:eastAsia="Calibri" w:hAnsi="Palatino Linotype" w:cs="Tahoma"/>
          <w:b/>
          <w:bCs/>
          <w:sz w:val="22"/>
          <w:szCs w:val="22"/>
          <w:lang w:eastAsia="es-ES"/>
        </w:rPr>
        <w:t xml:space="preserve">elaborar un plan de contingencia para la implementación de medidas de seguridad, </w:t>
      </w:r>
      <w:r w:rsidRPr="00A74F31">
        <w:rPr>
          <w:rFonts w:ascii="Palatino Linotype" w:eastAsia="Calibri" w:hAnsi="Palatino Linotype" w:cs="Tahoma"/>
          <w:bCs/>
          <w:sz w:val="22"/>
          <w:szCs w:val="22"/>
          <w:lang w:eastAsia="es-ES"/>
        </w:rPr>
        <w:t>este se entiende que es trabajo complementario, pues derivado de los análisis la mejora de la protección debe basarse en dicho plan.</w:t>
      </w:r>
    </w:p>
    <w:p w:rsidR="00D84991" w:rsidRPr="00A74F31" w:rsidRDefault="00D84991" w:rsidP="00D84991">
      <w:pPr>
        <w:numPr>
          <w:ilvl w:val="0"/>
          <w:numId w:val="30"/>
        </w:numPr>
        <w:ind w:left="567" w:right="567" w:hanging="141"/>
        <w:contextualSpacing/>
        <w:jc w:val="both"/>
        <w:rPr>
          <w:rFonts w:ascii="Palatino Linotype" w:eastAsia="Calibri" w:hAnsi="Palatino Linotype" w:cs="Tahoma"/>
          <w:b/>
          <w:sz w:val="22"/>
          <w:szCs w:val="22"/>
          <w:lang w:eastAsia="es-ES"/>
        </w:rPr>
      </w:pPr>
      <w:r w:rsidRPr="00A74F31">
        <w:rPr>
          <w:rFonts w:ascii="Palatino Linotype" w:eastAsia="Calibri" w:hAnsi="Palatino Linotype" w:cs="Tahoma"/>
          <w:b/>
          <w:sz w:val="22"/>
          <w:szCs w:val="22"/>
          <w:lang w:eastAsia="es-ES"/>
        </w:rPr>
        <w:t>El documento de seguridad debe componerse de diversos apartados y todos ellos, están encaminados a resguardar los datos en posesión de los Sujetos Obligados, que a su vez debe integrarse por bitácoras de acceso, operación cotidiana y violaciones a la seguridad de los datos.</w:t>
      </w:r>
    </w:p>
    <w:p w:rsidR="00D84991" w:rsidRPr="00A74F31" w:rsidRDefault="00D84991" w:rsidP="00D84991">
      <w:pPr>
        <w:spacing w:line="360" w:lineRule="auto"/>
        <w:ind w:right="1"/>
        <w:jc w:val="both"/>
        <w:rPr>
          <w:rFonts w:ascii="Palatino Linotype" w:eastAsia="Palatino Linotype" w:hAnsi="Palatino Linotype" w:cs="Palatino Linotype"/>
          <w:sz w:val="22"/>
          <w:szCs w:val="22"/>
        </w:rPr>
      </w:pPr>
    </w:p>
    <w:p w:rsidR="00D84991" w:rsidRPr="00A74F31" w:rsidRDefault="00D84991" w:rsidP="00D84991">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eastAsia="Calibri" w:hAnsi="Palatino Linotype" w:cs="Tahoma"/>
          <w:bCs/>
          <w:sz w:val="22"/>
          <w:szCs w:val="22"/>
          <w:lang w:eastAsia="es-ES"/>
        </w:rPr>
        <w:t>En este punto, se puede afirmar que el Plan de Contingencia debe ser incluido en los documentos que dan cuenta de las medidas de seguridad. El contexto de la protección de los datos personales, constriñe a gobierno a resguardar de manera más escrupulosa esta información cuando obra en los archivos de los Sujetos Obligados ya sea en bases o sistemas de datos personales, debido a que estos, se han vuelto de mayor relevancia por incremento de la velocidad en el tráfico de los mismo en virtud de que</w:t>
      </w:r>
      <w:r w:rsidRPr="00A74F31">
        <w:rPr>
          <w:rFonts w:ascii="Palatino Linotype" w:hAnsi="Palatino Linotype" w:cs="Tahoma"/>
          <w:bCs/>
          <w:iCs/>
          <w:sz w:val="22"/>
          <w:szCs w:val="22"/>
          <w:lang w:eastAsia="es-ES"/>
        </w:rPr>
        <w:t xml:space="preserve"> están sistematizados, debido al vertiginoso avance de las tecnologías, motivo por el cual incluso, se  les ha denominado como “el nuevo oro negro”; en tal sentido el objeto de la Ley de Protección de Datos, busca que en todo momento las instituciones públicas lleven a cabo acciones que impidan un acceso o tratamiento fuera del marco de la ley, pues dado el valor que han cobrado, existen muchos individuos que buscan acceder a </w:t>
      </w:r>
      <w:r w:rsidRPr="00A74F31">
        <w:rPr>
          <w:rFonts w:ascii="Palatino Linotype" w:hAnsi="Palatino Linotype" w:cs="Tahoma"/>
          <w:bCs/>
          <w:iCs/>
          <w:sz w:val="22"/>
          <w:szCs w:val="22"/>
          <w:lang w:eastAsia="es-ES"/>
        </w:rPr>
        <w:lastRenderedPageBreak/>
        <w:t>los sistemas de datos con fines ilícitos, lo que ocasiona también una vulneración a los derechos humanos de las personas.</w:t>
      </w:r>
    </w:p>
    <w:p w:rsidR="00D84991" w:rsidRPr="00A74F31" w:rsidRDefault="00D84991" w:rsidP="00D84991">
      <w:pPr>
        <w:spacing w:line="360" w:lineRule="auto"/>
        <w:ind w:right="1"/>
        <w:jc w:val="both"/>
        <w:rPr>
          <w:rFonts w:ascii="Palatino Linotype" w:eastAsia="Palatino Linotype" w:hAnsi="Palatino Linotype" w:cs="Palatino Linotype"/>
          <w:sz w:val="22"/>
          <w:szCs w:val="22"/>
        </w:rPr>
      </w:pPr>
    </w:p>
    <w:p w:rsidR="00D84991" w:rsidRPr="00A74F31" w:rsidRDefault="00D84991" w:rsidP="00D84991">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hAnsi="Palatino Linotype" w:cs="Tahoma"/>
          <w:bCs/>
          <w:iCs/>
          <w:sz w:val="22"/>
          <w:szCs w:val="22"/>
          <w:lang w:eastAsia="es-ES"/>
        </w:rPr>
        <w:t xml:space="preserve">En tal sentido, el artículo 39, fracción IV, de la Ley en comento señala que se deberán observar deberes para garantizar un nivel de seguridad adecuado al riesgo de los datos personales, pues no es lo mismo tener un sistema de datos personales en donde se contenga el directorio de servidores públicos, con nombre, cargo y extensión telefónica de, centro de trabajo, que uno que contenga el nombre y sueldo sumado al nombre del banco y número de cuenta al que se deposita, incluso no es lo mismo esta información bancaria que los expedientes clínicos que constituyen datos sensibles y que el riesgo que representan es mucho mayor; para ello, parte de esos deberes es realizar un proceso de verificación, evaluación y valoración regulares de la eficacia de las medidas técnicas y organizativas para garantizar la seguridad del tratamiento. </w:t>
      </w:r>
    </w:p>
    <w:p w:rsidR="00D84991" w:rsidRPr="00A74F31" w:rsidRDefault="00D84991" w:rsidP="00BE4CCE">
      <w:pPr>
        <w:rPr>
          <w:rFonts w:ascii="Palatino Linotype" w:eastAsia="Palatino Linotype" w:hAnsi="Palatino Linotype" w:cs="Palatino Linotype"/>
          <w:szCs w:val="22"/>
        </w:rPr>
      </w:pPr>
    </w:p>
    <w:p w:rsidR="00D84991" w:rsidRPr="00A74F31" w:rsidRDefault="00D84991" w:rsidP="00D84991">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hAnsi="Palatino Linotype" w:cs="Tahoma"/>
          <w:bCs/>
          <w:iCs/>
          <w:sz w:val="22"/>
          <w:szCs w:val="22"/>
          <w:lang w:eastAsia="es-ES"/>
        </w:rPr>
        <w:t>Refuerza lo anterior, lo establecido en el artículo 45, fracciones I y VIII, de la Ley de Protección de Datos, vigente en la entidad, ya que refiere que dentro de los elementos que se deben considerar está el riesgo inherente a los datos personales tratados, así como el riesgo por el valor potencial cuantitativo o cualitativo que pudieran tener los datos personales tratados para una tercera persona no autorizada para su posesión.</w:t>
      </w:r>
    </w:p>
    <w:p w:rsidR="00D84991" w:rsidRPr="00A74F31" w:rsidRDefault="00D84991" w:rsidP="00D84991">
      <w:pPr>
        <w:rPr>
          <w:rFonts w:ascii="Palatino Linotype" w:hAnsi="Palatino Linotype" w:cs="Tahoma"/>
          <w:bCs/>
          <w:iCs/>
          <w:sz w:val="22"/>
          <w:szCs w:val="22"/>
          <w:lang w:eastAsia="es-ES"/>
        </w:rPr>
      </w:pPr>
    </w:p>
    <w:p w:rsidR="00D84991" w:rsidRPr="00A74F31" w:rsidRDefault="00D84991" w:rsidP="00D84991">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hAnsi="Palatino Linotype" w:cs="Tahoma"/>
          <w:bCs/>
          <w:iCs/>
          <w:sz w:val="22"/>
          <w:szCs w:val="22"/>
          <w:lang w:eastAsia="es-ES"/>
        </w:rPr>
        <w:t>De acuerdo con lo expuesto, el artículo 49, fracción II, inciso m) de la Ley local de datos invocada, determina que entre los contenidos que el documento de seguridad debe incluir, se identifica el plan de trabajo.</w:t>
      </w:r>
    </w:p>
    <w:p w:rsidR="00D84991" w:rsidRPr="00A74F31" w:rsidRDefault="00D84991" w:rsidP="00BE4CCE">
      <w:pPr>
        <w:rPr>
          <w:rFonts w:ascii="Palatino Linotype" w:hAnsi="Palatino Linotype" w:cs="Tahoma"/>
          <w:bCs/>
          <w:iCs/>
          <w:szCs w:val="22"/>
          <w:lang w:eastAsia="es-ES"/>
        </w:rPr>
      </w:pPr>
    </w:p>
    <w:p w:rsidR="00D84991" w:rsidRPr="00A74F31" w:rsidRDefault="00D84991" w:rsidP="00D84991">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hAnsi="Palatino Linotype" w:cs="Tahoma"/>
          <w:bCs/>
          <w:iCs/>
          <w:sz w:val="22"/>
          <w:szCs w:val="22"/>
          <w:lang w:eastAsia="es-ES"/>
        </w:rPr>
        <w:t xml:space="preserve">El Plan de Contingencia, de acuerdo con los artículos 51 y 52 de la Ley en comento, cuando exista una vulneración en los sistemas o bases de datos personales, por una violación a la seguridad de los datos personales, se deberán tomar acciones definidas preventivas y correctivas para adecuar las medidas de seguridad y el tratamiento de los datos personales si fuese el caso, a </w:t>
      </w:r>
      <w:r w:rsidRPr="00A74F31">
        <w:rPr>
          <w:rFonts w:ascii="Palatino Linotype" w:hAnsi="Palatino Linotype" w:cs="Tahoma"/>
          <w:bCs/>
          <w:iCs/>
          <w:sz w:val="22"/>
          <w:szCs w:val="22"/>
          <w:lang w:eastAsia="es-ES"/>
        </w:rPr>
        <w:lastRenderedPageBreak/>
        <w:t>efecto de evitar que la violación se repita; las posible violaciones a la seguridad se pueden señalar como algunas de la siguientes:</w:t>
      </w:r>
    </w:p>
    <w:p w:rsidR="00D84991" w:rsidRPr="00A74F31" w:rsidRDefault="00D84991" w:rsidP="00D84991">
      <w:pPr>
        <w:spacing w:line="360" w:lineRule="auto"/>
        <w:ind w:right="1"/>
        <w:jc w:val="both"/>
        <w:rPr>
          <w:rFonts w:ascii="Palatino Linotype" w:hAnsi="Palatino Linotype" w:cs="Tahoma"/>
          <w:bCs/>
          <w:iCs/>
          <w:sz w:val="22"/>
          <w:szCs w:val="22"/>
          <w:lang w:eastAsia="es-ES"/>
        </w:rPr>
      </w:pPr>
    </w:p>
    <w:p w:rsidR="00D84991" w:rsidRPr="00A74F31" w:rsidRDefault="00D84991" w:rsidP="00D84991">
      <w:pPr>
        <w:ind w:left="567" w:right="-93"/>
        <w:rPr>
          <w:rFonts w:ascii="Palatino Linotype" w:hAnsi="Palatino Linotype" w:cs="Tahoma"/>
          <w:b/>
          <w:bCs/>
          <w:iCs/>
          <w:sz w:val="22"/>
          <w:szCs w:val="22"/>
          <w:lang w:eastAsia="es-ES"/>
        </w:rPr>
      </w:pPr>
      <w:r w:rsidRPr="00A74F31">
        <w:rPr>
          <w:rFonts w:ascii="Palatino Linotype" w:hAnsi="Palatino Linotype" w:cs="Tahoma"/>
          <w:b/>
          <w:bCs/>
          <w:iCs/>
          <w:sz w:val="22"/>
          <w:szCs w:val="22"/>
          <w:lang w:eastAsia="es-ES"/>
        </w:rPr>
        <w:t>•</w:t>
      </w:r>
      <w:r w:rsidRPr="00A74F31">
        <w:rPr>
          <w:rFonts w:ascii="Palatino Linotype" w:hAnsi="Palatino Linotype" w:cs="Tahoma"/>
          <w:b/>
          <w:bCs/>
          <w:iCs/>
          <w:sz w:val="22"/>
          <w:szCs w:val="22"/>
          <w:lang w:eastAsia="es-ES"/>
        </w:rPr>
        <w:tab/>
        <w:t>La pérdida, robo, extravío.</w:t>
      </w:r>
    </w:p>
    <w:p w:rsidR="00D84991" w:rsidRPr="00A74F31" w:rsidRDefault="00D84991" w:rsidP="00D84991">
      <w:pPr>
        <w:ind w:left="567" w:right="-93"/>
        <w:rPr>
          <w:rFonts w:ascii="Palatino Linotype" w:hAnsi="Palatino Linotype" w:cs="Tahoma"/>
          <w:b/>
          <w:bCs/>
          <w:iCs/>
          <w:sz w:val="22"/>
          <w:szCs w:val="22"/>
          <w:lang w:eastAsia="es-ES"/>
        </w:rPr>
      </w:pPr>
      <w:r w:rsidRPr="00A74F31">
        <w:rPr>
          <w:rFonts w:ascii="Palatino Linotype" w:hAnsi="Palatino Linotype" w:cs="Tahoma"/>
          <w:b/>
          <w:bCs/>
          <w:iCs/>
          <w:sz w:val="22"/>
          <w:szCs w:val="22"/>
          <w:lang w:eastAsia="es-ES"/>
        </w:rPr>
        <w:t>•</w:t>
      </w:r>
      <w:r w:rsidRPr="00A74F31">
        <w:rPr>
          <w:rFonts w:ascii="Palatino Linotype" w:hAnsi="Palatino Linotype" w:cs="Tahoma"/>
          <w:b/>
          <w:bCs/>
          <w:iCs/>
          <w:sz w:val="22"/>
          <w:szCs w:val="22"/>
          <w:lang w:eastAsia="es-ES"/>
        </w:rPr>
        <w:tab/>
        <w:t>La copia o destrucción no autorizada.</w:t>
      </w:r>
    </w:p>
    <w:p w:rsidR="00D84991" w:rsidRPr="00A74F31" w:rsidRDefault="00D84991" w:rsidP="00D84991">
      <w:pPr>
        <w:ind w:left="567" w:right="-93"/>
        <w:rPr>
          <w:rFonts w:ascii="Palatino Linotype" w:hAnsi="Palatino Linotype" w:cs="Tahoma"/>
          <w:b/>
          <w:bCs/>
          <w:iCs/>
          <w:sz w:val="22"/>
          <w:szCs w:val="22"/>
          <w:lang w:eastAsia="es-ES"/>
        </w:rPr>
      </w:pPr>
      <w:r w:rsidRPr="00A74F31">
        <w:rPr>
          <w:rFonts w:ascii="Palatino Linotype" w:hAnsi="Palatino Linotype" w:cs="Tahoma"/>
          <w:b/>
          <w:bCs/>
          <w:iCs/>
          <w:sz w:val="22"/>
          <w:szCs w:val="22"/>
          <w:lang w:eastAsia="es-ES"/>
        </w:rPr>
        <w:t>•</w:t>
      </w:r>
      <w:r w:rsidRPr="00A74F31">
        <w:rPr>
          <w:rFonts w:ascii="Palatino Linotype" w:hAnsi="Palatino Linotype" w:cs="Tahoma"/>
          <w:b/>
          <w:bCs/>
          <w:iCs/>
          <w:sz w:val="22"/>
          <w:szCs w:val="22"/>
          <w:lang w:eastAsia="es-ES"/>
        </w:rPr>
        <w:tab/>
        <w:t>El uso o tratamiento no autorizado.</w:t>
      </w:r>
    </w:p>
    <w:p w:rsidR="00D84991" w:rsidRPr="00A74F31" w:rsidRDefault="00D84991" w:rsidP="00D84991">
      <w:pPr>
        <w:ind w:left="567" w:right="-93"/>
        <w:rPr>
          <w:rFonts w:ascii="Palatino Linotype" w:hAnsi="Palatino Linotype" w:cs="Tahoma"/>
          <w:b/>
          <w:bCs/>
          <w:iCs/>
          <w:sz w:val="22"/>
          <w:szCs w:val="22"/>
          <w:lang w:eastAsia="es-ES"/>
        </w:rPr>
      </w:pPr>
      <w:r w:rsidRPr="00A74F31">
        <w:rPr>
          <w:rFonts w:ascii="Palatino Linotype" w:hAnsi="Palatino Linotype" w:cs="Tahoma"/>
          <w:b/>
          <w:bCs/>
          <w:iCs/>
          <w:sz w:val="22"/>
          <w:szCs w:val="22"/>
          <w:lang w:eastAsia="es-ES"/>
        </w:rPr>
        <w:t>•</w:t>
      </w:r>
      <w:r w:rsidRPr="00A74F31">
        <w:rPr>
          <w:rFonts w:ascii="Palatino Linotype" w:hAnsi="Palatino Linotype" w:cs="Tahoma"/>
          <w:b/>
          <w:bCs/>
          <w:iCs/>
          <w:sz w:val="22"/>
          <w:szCs w:val="22"/>
          <w:lang w:eastAsia="es-ES"/>
        </w:rPr>
        <w:tab/>
        <w:t>El daño, la alteración o modificación no autorizada.</w:t>
      </w:r>
    </w:p>
    <w:p w:rsidR="00D84991" w:rsidRPr="00A74F31" w:rsidRDefault="00D84991" w:rsidP="00D84991">
      <w:pPr>
        <w:spacing w:line="360" w:lineRule="auto"/>
        <w:ind w:right="1"/>
        <w:jc w:val="both"/>
        <w:rPr>
          <w:rFonts w:ascii="Palatino Linotype" w:eastAsia="Palatino Linotype" w:hAnsi="Palatino Linotype" w:cs="Palatino Linotype"/>
          <w:sz w:val="22"/>
          <w:szCs w:val="22"/>
        </w:rPr>
      </w:pPr>
    </w:p>
    <w:p w:rsidR="00D84991" w:rsidRPr="00A74F31" w:rsidRDefault="00D84991" w:rsidP="00D84991">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hAnsi="Palatino Linotype" w:cs="Tahoma"/>
          <w:bCs/>
          <w:iCs/>
          <w:sz w:val="22"/>
          <w:szCs w:val="22"/>
          <w:lang w:eastAsia="es-ES"/>
        </w:rPr>
        <w:t>Como se advierte, el plan de contingencia forma parte del documento de seguridad y justamente considera las acciones tendentes a la protección de los sistemas de datos personales de manera preventiva y correctiva, incluso contempla las vulneraciones que han existido; en este sentido, como se trata de medidas de seguridad implementadas y los detalles de las áreas de oportunidad en la protección de los sistemas que van detectando los expertos en protección de sistemas de datos, tanto físicos como electrónicos, constituye información que en manos expertas puede ser utilizada para vulnerar los sistemas de datos personales, por lo que aplica lo dispuesto en el artículo 43 de la Ley de Protección de Datos Personales en Posesión de Sujetos Obligados del Estado de México y Municipios, ya que si bien, no son formalmente las medidas de seguridad implementadas, se trata del análisis de estas y su eficacia; sus áreas de oportunidad sobre lo que se debe hacer o mejorar, por lo que procede su clasificación como información confidencial.</w:t>
      </w:r>
    </w:p>
    <w:p w:rsidR="00272C76" w:rsidRPr="00A74F31" w:rsidRDefault="00272C76" w:rsidP="00272C76">
      <w:pPr>
        <w:spacing w:line="360" w:lineRule="auto"/>
        <w:ind w:right="1"/>
        <w:jc w:val="both"/>
        <w:rPr>
          <w:rFonts w:ascii="Palatino Linotype" w:eastAsia="Palatino Linotype" w:hAnsi="Palatino Linotype" w:cs="Palatino Linotype"/>
          <w:sz w:val="22"/>
          <w:szCs w:val="22"/>
        </w:rPr>
      </w:pPr>
    </w:p>
    <w:p w:rsidR="00D84991" w:rsidRPr="00A74F31" w:rsidRDefault="00D84991" w:rsidP="00D84991">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 xml:space="preserve">Así, con </w:t>
      </w:r>
      <w:r w:rsidRPr="00A74F31">
        <w:rPr>
          <w:rFonts w:ascii="Palatino Linotype" w:eastAsia="Palatino Linotype" w:hAnsi="Palatino Linotype" w:cs="Palatino Linotype"/>
          <w:sz w:val="22"/>
          <w:szCs w:val="22"/>
          <w:lang w:eastAsia="es-ES"/>
        </w:rPr>
        <w:t xml:space="preserve">fundamento en el artículo 186, fracción III, de la Ley de Transparencia y Acceso a la Información Pública del Estado de México y Municipios, este Instituto considera procedente </w:t>
      </w:r>
      <w:r w:rsidRPr="00A74F31">
        <w:rPr>
          <w:rFonts w:ascii="Palatino Linotype" w:eastAsia="Palatino Linotype" w:hAnsi="Palatino Linotype" w:cs="Palatino Linotype"/>
          <w:b/>
          <w:sz w:val="22"/>
          <w:szCs w:val="22"/>
          <w:lang w:eastAsia="es-ES"/>
        </w:rPr>
        <w:t xml:space="preserve">MODIFICAR </w:t>
      </w:r>
      <w:r w:rsidRPr="00A74F31">
        <w:rPr>
          <w:rFonts w:ascii="Palatino Linotype" w:eastAsia="Palatino Linotype" w:hAnsi="Palatino Linotype" w:cs="Palatino Linotype"/>
          <w:sz w:val="22"/>
          <w:szCs w:val="22"/>
          <w:lang w:eastAsia="es-ES"/>
        </w:rPr>
        <w:t>la respuesta otorgada por el Ayuntamiento de Metepec</w:t>
      </w:r>
      <w:r w:rsidRPr="00A74F31">
        <w:rPr>
          <w:rFonts w:ascii="Palatino Linotype" w:eastAsia="Calibri" w:hAnsi="Palatino Linotype" w:cs="Tahoma"/>
          <w:sz w:val="22"/>
          <w:szCs w:val="22"/>
        </w:rPr>
        <w:t xml:space="preserve"> a la solicitud de acceso a la información que nos ocupa.</w:t>
      </w:r>
    </w:p>
    <w:p w:rsidR="00D84991" w:rsidRPr="00A74F31" w:rsidRDefault="00D84991" w:rsidP="00D84991">
      <w:pPr>
        <w:spacing w:line="360" w:lineRule="auto"/>
        <w:ind w:right="1"/>
        <w:jc w:val="both"/>
        <w:rPr>
          <w:rFonts w:ascii="Palatino Linotype" w:eastAsia="Palatino Linotype" w:hAnsi="Palatino Linotype" w:cs="Palatino Linotype"/>
          <w:sz w:val="22"/>
          <w:szCs w:val="22"/>
        </w:rPr>
      </w:pPr>
    </w:p>
    <w:p w:rsidR="00D84991" w:rsidRPr="00A74F31" w:rsidRDefault="00D84991" w:rsidP="00D84991">
      <w:pPr>
        <w:numPr>
          <w:ilvl w:val="0"/>
          <w:numId w:val="1"/>
        </w:numPr>
        <w:spacing w:line="360" w:lineRule="auto"/>
        <w:ind w:left="0" w:right="1" w:firstLine="0"/>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sz w:val="22"/>
          <w:szCs w:val="22"/>
        </w:rPr>
        <w:t xml:space="preserve">Lo anterior, toda vez que si bien el </w:t>
      </w:r>
      <w:r w:rsidRPr="00A74F31">
        <w:rPr>
          <w:rFonts w:ascii="Palatino Linotype" w:eastAsia="Palatino Linotype" w:hAnsi="Palatino Linotype" w:cs="Palatino Linotype"/>
          <w:b/>
          <w:sz w:val="22"/>
          <w:szCs w:val="22"/>
        </w:rPr>
        <w:t>SUJETO OBLIGADO</w:t>
      </w:r>
      <w:r w:rsidRPr="00A74F31">
        <w:rPr>
          <w:rFonts w:ascii="Palatino Linotype" w:eastAsia="Palatino Linotype" w:hAnsi="Palatino Linotype" w:cs="Palatino Linotype"/>
          <w:sz w:val="22"/>
          <w:szCs w:val="22"/>
        </w:rPr>
        <w:t xml:space="preserve"> por medio del Titular </w:t>
      </w:r>
      <w:r w:rsidRPr="00A74F31">
        <w:rPr>
          <w:rStyle w:val="Hipervnculo"/>
          <w:rFonts w:ascii="Palatino Linotype" w:hAnsi="Palatino Linotype" w:cs="Arial"/>
          <w:bCs/>
          <w:color w:val="auto"/>
          <w:sz w:val="22"/>
          <w:szCs w:val="22"/>
          <w:u w:val="none"/>
        </w:rPr>
        <w:t xml:space="preserve">Director de Transparencia y Gobierno Abierto, informó que el “Plan de Contingencia” se clasifica como </w:t>
      </w:r>
      <w:r w:rsidRPr="00A74F31">
        <w:rPr>
          <w:rStyle w:val="Hipervnculo"/>
          <w:rFonts w:ascii="Palatino Linotype" w:hAnsi="Palatino Linotype" w:cs="Arial"/>
          <w:bCs/>
          <w:color w:val="auto"/>
          <w:sz w:val="22"/>
          <w:szCs w:val="22"/>
          <w:u w:val="none"/>
        </w:rPr>
        <w:lastRenderedPageBreak/>
        <w:t xml:space="preserve">confidencial, omitió hacer entrega del Acuerdo </w:t>
      </w:r>
      <w:r w:rsidR="00BE4CCE" w:rsidRPr="00A74F31">
        <w:rPr>
          <w:rStyle w:val="Hipervnculo"/>
          <w:rFonts w:ascii="Palatino Linotype" w:hAnsi="Palatino Linotype" w:cs="Arial"/>
          <w:bCs/>
          <w:color w:val="auto"/>
          <w:sz w:val="22"/>
          <w:szCs w:val="22"/>
          <w:u w:val="none"/>
        </w:rPr>
        <w:t xml:space="preserve">de Calcificación </w:t>
      </w:r>
      <w:r w:rsidRPr="00A74F31">
        <w:rPr>
          <w:rStyle w:val="Hipervnculo"/>
          <w:rFonts w:ascii="Palatino Linotype" w:hAnsi="Palatino Linotype" w:cs="Arial"/>
          <w:bCs/>
          <w:color w:val="auto"/>
          <w:sz w:val="22"/>
          <w:szCs w:val="22"/>
          <w:u w:val="none"/>
        </w:rPr>
        <w:t>del Com</w:t>
      </w:r>
      <w:r w:rsidR="008B5299" w:rsidRPr="00A74F31">
        <w:rPr>
          <w:rStyle w:val="Hipervnculo"/>
          <w:rFonts w:ascii="Palatino Linotype" w:hAnsi="Palatino Linotype" w:cs="Arial"/>
          <w:bCs/>
          <w:color w:val="auto"/>
          <w:sz w:val="22"/>
          <w:szCs w:val="22"/>
          <w:u w:val="none"/>
        </w:rPr>
        <w:t>ité de Transparencia respectivo, del cual hizo referencia en respuesta.</w:t>
      </w:r>
    </w:p>
    <w:p w:rsidR="000A31EF" w:rsidRPr="00A74F31" w:rsidRDefault="000A31EF" w:rsidP="000A31EF">
      <w:pPr>
        <w:spacing w:line="360" w:lineRule="auto"/>
        <w:ind w:right="1"/>
        <w:jc w:val="both"/>
        <w:rPr>
          <w:rFonts w:ascii="Palatino Linotype" w:eastAsia="Palatino Linotype" w:hAnsi="Palatino Linotype" w:cs="Palatino Linotype"/>
          <w:b/>
          <w:sz w:val="22"/>
          <w:szCs w:val="22"/>
        </w:rPr>
      </w:pPr>
    </w:p>
    <w:p w:rsidR="00E94D86" w:rsidRPr="00A74F31" w:rsidRDefault="001E3125" w:rsidP="00FD2459">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color w:val="222222"/>
          <w:sz w:val="22"/>
          <w:szCs w:val="22"/>
        </w:rPr>
        <w:t xml:space="preserve">Por lo anteriormente expuesto y fundado, este </w:t>
      </w:r>
      <w:r w:rsidRPr="00A74F31">
        <w:rPr>
          <w:rFonts w:ascii="Palatino Linotype" w:eastAsia="Palatino Linotype" w:hAnsi="Palatino Linotype" w:cs="Palatino Linotype"/>
          <w:b/>
          <w:color w:val="222222"/>
          <w:sz w:val="22"/>
          <w:szCs w:val="22"/>
        </w:rPr>
        <w:t>ÓRGANO GARANTE</w:t>
      </w:r>
      <w:r w:rsidRPr="00A74F31">
        <w:rPr>
          <w:rFonts w:ascii="Palatino Linotype" w:eastAsia="Palatino Linotype" w:hAnsi="Palatino Linotype" w:cs="Palatino Linotype"/>
          <w:color w:val="222222"/>
          <w:sz w:val="22"/>
          <w:szCs w:val="22"/>
        </w:rPr>
        <w:t xml:space="preserve"> emite los siguientes:</w:t>
      </w:r>
    </w:p>
    <w:p w:rsidR="00D84991" w:rsidRPr="00A74F31" w:rsidRDefault="00D84991" w:rsidP="00D84991">
      <w:pPr>
        <w:spacing w:line="360" w:lineRule="auto"/>
        <w:ind w:right="1"/>
        <w:jc w:val="both"/>
        <w:rPr>
          <w:rFonts w:ascii="Palatino Linotype" w:eastAsia="Palatino Linotype" w:hAnsi="Palatino Linotype" w:cs="Palatino Linotype"/>
          <w:b/>
          <w:sz w:val="22"/>
          <w:szCs w:val="22"/>
        </w:rPr>
      </w:pPr>
    </w:p>
    <w:p w:rsidR="00E94D86" w:rsidRPr="00A74F31" w:rsidRDefault="001E3125">
      <w:pPr>
        <w:keepNext/>
        <w:keepLines/>
        <w:spacing w:line="360" w:lineRule="auto"/>
        <w:ind w:right="-592"/>
        <w:jc w:val="center"/>
        <w:rPr>
          <w:rFonts w:ascii="Palatino Linotype" w:eastAsia="Palatino Linotype" w:hAnsi="Palatino Linotype" w:cs="Palatino Linotype"/>
          <w:b/>
          <w:color w:val="000000"/>
          <w:sz w:val="22"/>
          <w:szCs w:val="22"/>
        </w:rPr>
      </w:pPr>
      <w:r w:rsidRPr="00A74F31">
        <w:rPr>
          <w:rFonts w:ascii="Palatino Linotype" w:eastAsia="Palatino Linotype" w:hAnsi="Palatino Linotype" w:cs="Palatino Linotype"/>
          <w:b/>
          <w:color w:val="000000"/>
          <w:sz w:val="22"/>
          <w:szCs w:val="22"/>
        </w:rPr>
        <w:t>R E S O L U T I V O S</w:t>
      </w:r>
    </w:p>
    <w:p w:rsidR="00D84991" w:rsidRPr="00A74F31" w:rsidRDefault="00D84991" w:rsidP="00D84991">
      <w:pPr>
        <w:keepNext/>
        <w:keepLines/>
        <w:spacing w:line="360" w:lineRule="auto"/>
        <w:ind w:right="-592"/>
        <w:rPr>
          <w:rFonts w:ascii="Palatino Linotype" w:eastAsia="Palatino Linotype" w:hAnsi="Palatino Linotype" w:cs="Palatino Linotype"/>
          <w:b/>
          <w:color w:val="000000"/>
          <w:sz w:val="22"/>
          <w:szCs w:val="22"/>
        </w:rPr>
      </w:pPr>
    </w:p>
    <w:p w:rsidR="00E94D86" w:rsidRPr="00A74F31" w:rsidRDefault="001E3125">
      <w:pPr>
        <w:spacing w:before="240" w:after="240" w:line="360" w:lineRule="auto"/>
        <w:ind w:right="1"/>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b/>
          <w:sz w:val="22"/>
          <w:szCs w:val="22"/>
        </w:rPr>
        <w:t>PRIMERO</w:t>
      </w:r>
      <w:r w:rsidRPr="00A74F31">
        <w:rPr>
          <w:rFonts w:ascii="Palatino Linotype" w:eastAsia="Palatino Linotype" w:hAnsi="Palatino Linotype" w:cs="Palatino Linotype"/>
          <w:sz w:val="22"/>
          <w:szCs w:val="22"/>
        </w:rPr>
        <w:t xml:space="preserve">. Resultan fundadas las razones o motivos de inconformidad hechos valer en el Recurso de Revisión </w:t>
      </w:r>
      <w:r w:rsidR="00D84991" w:rsidRPr="00A74F31">
        <w:rPr>
          <w:rFonts w:ascii="Palatino Linotype" w:eastAsia="Palatino Linotype" w:hAnsi="Palatino Linotype" w:cs="Palatino Linotype"/>
          <w:b/>
          <w:sz w:val="22"/>
          <w:szCs w:val="22"/>
        </w:rPr>
        <w:t>02748/INFOEM/IP/RR/2025</w:t>
      </w:r>
      <w:r w:rsidRPr="00A74F31">
        <w:rPr>
          <w:rFonts w:ascii="Palatino Linotype" w:eastAsia="Palatino Linotype" w:hAnsi="Palatino Linotype" w:cs="Palatino Linotype"/>
          <w:sz w:val="22"/>
          <w:szCs w:val="22"/>
        </w:rPr>
        <w:t>,</w:t>
      </w:r>
      <w:r w:rsidRPr="00A74F31">
        <w:rPr>
          <w:rFonts w:ascii="Palatino Linotype" w:eastAsia="Palatino Linotype" w:hAnsi="Palatino Linotype" w:cs="Palatino Linotype"/>
          <w:b/>
          <w:sz w:val="22"/>
          <w:szCs w:val="22"/>
        </w:rPr>
        <w:t xml:space="preserve"> </w:t>
      </w:r>
      <w:r w:rsidRPr="00A74F31">
        <w:rPr>
          <w:rFonts w:ascii="Palatino Linotype" w:eastAsia="Palatino Linotype" w:hAnsi="Palatino Linotype" w:cs="Palatino Linotype"/>
          <w:sz w:val="22"/>
          <w:szCs w:val="22"/>
        </w:rPr>
        <w:t>en términos del Considerando de la presente Resolución.</w:t>
      </w:r>
    </w:p>
    <w:p w:rsidR="00B81ACA" w:rsidRPr="00A74F31" w:rsidRDefault="001E3125" w:rsidP="00B81ACA">
      <w:pPr>
        <w:shd w:val="clear" w:color="auto" w:fill="FFFFFF"/>
        <w:spacing w:before="240" w:after="360" w:line="360" w:lineRule="auto"/>
        <w:ind w:right="1"/>
        <w:jc w:val="both"/>
        <w:rPr>
          <w:rFonts w:ascii="Palatino Linotype" w:eastAsia="Palatino Linotype" w:hAnsi="Palatino Linotype" w:cs="Palatino Linotype"/>
          <w:sz w:val="22"/>
          <w:szCs w:val="22"/>
        </w:rPr>
      </w:pPr>
      <w:bookmarkStart w:id="5" w:name="_heading=h.1fob9te" w:colFirst="0" w:colLast="0"/>
      <w:bookmarkEnd w:id="5"/>
      <w:r w:rsidRPr="00A74F31">
        <w:rPr>
          <w:rFonts w:ascii="Palatino Linotype" w:eastAsia="Palatino Linotype" w:hAnsi="Palatino Linotype" w:cs="Palatino Linotype"/>
          <w:b/>
          <w:sz w:val="22"/>
          <w:szCs w:val="22"/>
        </w:rPr>
        <w:t>SEGUNDO.</w:t>
      </w:r>
      <w:r w:rsidRPr="00A74F31">
        <w:rPr>
          <w:rFonts w:ascii="Palatino Linotype" w:eastAsia="Palatino Linotype" w:hAnsi="Palatino Linotype" w:cs="Palatino Linotype"/>
          <w:b/>
          <w:color w:val="000000"/>
          <w:sz w:val="22"/>
          <w:szCs w:val="22"/>
        </w:rPr>
        <w:t xml:space="preserve"> </w:t>
      </w:r>
      <w:r w:rsidRPr="00A74F31">
        <w:rPr>
          <w:rFonts w:ascii="Palatino Linotype" w:eastAsia="Palatino Linotype" w:hAnsi="Palatino Linotype" w:cs="Palatino Linotype"/>
          <w:color w:val="000000"/>
          <w:sz w:val="22"/>
          <w:szCs w:val="22"/>
        </w:rPr>
        <w:t xml:space="preserve">Se </w:t>
      </w:r>
      <w:r w:rsidR="00F46C8E" w:rsidRPr="00A74F31">
        <w:rPr>
          <w:rFonts w:ascii="Palatino Linotype" w:eastAsia="Palatino Linotype" w:hAnsi="Palatino Linotype" w:cs="Palatino Linotype"/>
          <w:b/>
          <w:color w:val="000000"/>
          <w:sz w:val="22"/>
          <w:szCs w:val="22"/>
        </w:rPr>
        <w:t xml:space="preserve">MODIFICA </w:t>
      </w:r>
      <w:r w:rsidRPr="00A74F31">
        <w:rPr>
          <w:rFonts w:ascii="Palatino Linotype" w:eastAsia="Palatino Linotype" w:hAnsi="Palatino Linotype" w:cs="Palatino Linotype"/>
          <w:color w:val="000000"/>
          <w:sz w:val="22"/>
          <w:szCs w:val="22"/>
        </w:rPr>
        <w:t xml:space="preserve">la respuesta emitida por </w:t>
      </w:r>
      <w:r w:rsidR="000A31EF" w:rsidRPr="00A74F31">
        <w:rPr>
          <w:rFonts w:ascii="Palatino Linotype" w:eastAsia="Palatino Linotype" w:hAnsi="Palatino Linotype" w:cs="Palatino Linotype"/>
          <w:color w:val="000000"/>
          <w:sz w:val="22"/>
          <w:szCs w:val="22"/>
        </w:rPr>
        <w:t>el</w:t>
      </w:r>
      <w:r w:rsidR="002B0131" w:rsidRPr="00A74F31">
        <w:rPr>
          <w:rFonts w:ascii="Palatino Linotype" w:eastAsia="Palatino Linotype" w:hAnsi="Palatino Linotype" w:cs="Palatino Linotype"/>
          <w:color w:val="000000"/>
          <w:sz w:val="22"/>
          <w:szCs w:val="22"/>
        </w:rPr>
        <w:t xml:space="preserve"> </w:t>
      </w:r>
      <w:r w:rsidR="000A31EF" w:rsidRPr="00A74F31">
        <w:rPr>
          <w:rFonts w:ascii="Palatino Linotype" w:eastAsia="Palatino Linotype" w:hAnsi="Palatino Linotype" w:cs="Palatino Linotype"/>
          <w:b/>
          <w:color w:val="000000"/>
          <w:sz w:val="22"/>
          <w:szCs w:val="22"/>
        </w:rPr>
        <w:t xml:space="preserve">Ayuntamiento de </w:t>
      </w:r>
      <w:r w:rsidR="00D84991" w:rsidRPr="00A74F31">
        <w:rPr>
          <w:rFonts w:ascii="Palatino Linotype" w:eastAsia="Palatino Linotype" w:hAnsi="Palatino Linotype" w:cs="Palatino Linotype"/>
          <w:b/>
          <w:color w:val="000000"/>
          <w:sz w:val="22"/>
          <w:szCs w:val="22"/>
        </w:rPr>
        <w:t>Metepec</w:t>
      </w:r>
      <w:r w:rsidR="00651426" w:rsidRPr="00A74F31">
        <w:rPr>
          <w:rFonts w:ascii="Palatino Linotype" w:eastAsia="Palatino Linotype" w:hAnsi="Palatino Linotype" w:cs="Palatino Linotype"/>
          <w:color w:val="000000"/>
          <w:sz w:val="22"/>
          <w:szCs w:val="22"/>
        </w:rPr>
        <w:t xml:space="preserve"> </w:t>
      </w:r>
      <w:r w:rsidRPr="00A74F31">
        <w:rPr>
          <w:rFonts w:ascii="Palatino Linotype" w:eastAsia="Palatino Linotype" w:hAnsi="Palatino Linotype" w:cs="Palatino Linotype"/>
          <w:color w:val="000000"/>
          <w:sz w:val="22"/>
          <w:szCs w:val="22"/>
        </w:rPr>
        <w:t xml:space="preserve">y se </w:t>
      </w:r>
      <w:r w:rsidRPr="00A74F31">
        <w:rPr>
          <w:rFonts w:ascii="Palatino Linotype" w:eastAsia="Palatino Linotype" w:hAnsi="Palatino Linotype" w:cs="Palatino Linotype"/>
          <w:b/>
          <w:color w:val="000000"/>
          <w:sz w:val="22"/>
          <w:szCs w:val="22"/>
        </w:rPr>
        <w:t>ORDENA</w:t>
      </w:r>
      <w:r w:rsidRPr="00A74F31">
        <w:rPr>
          <w:rFonts w:ascii="Palatino Linotype" w:eastAsia="Palatino Linotype" w:hAnsi="Palatino Linotype" w:cs="Palatino Linotype"/>
          <w:color w:val="000000"/>
          <w:sz w:val="22"/>
          <w:szCs w:val="22"/>
        </w:rPr>
        <w:t xml:space="preserve"> </w:t>
      </w:r>
      <w:r w:rsidRPr="00A74F31">
        <w:rPr>
          <w:rFonts w:ascii="Palatino Linotype" w:eastAsia="Palatino Linotype" w:hAnsi="Palatino Linotype" w:cs="Palatino Linotype"/>
          <w:sz w:val="22"/>
          <w:szCs w:val="22"/>
        </w:rPr>
        <w:t xml:space="preserve">entregar vía Sistema de Accesos a la Información Mexiquense </w:t>
      </w:r>
      <w:r w:rsidRPr="00A74F31">
        <w:rPr>
          <w:rFonts w:ascii="Palatino Linotype" w:eastAsia="Palatino Linotype" w:hAnsi="Palatino Linotype" w:cs="Palatino Linotype"/>
          <w:b/>
          <w:sz w:val="22"/>
          <w:szCs w:val="22"/>
        </w:rPr>
        <w:t>(SAIMEX)</w:t>
      </w:r>
      <w:r w:rsidR="00651426" w:rsidRPr="00A74F31">
        <w:rPr>
          <w:rFonts w:ascii="Palatino Linotype" w:eastAsia="Palatino Linotype" w:hAnsi="Palatino Linotype" w:cs="Palatino Linotype"/>
          <w:sz w:val="22"/>
          <w:szCs w:val="22"/>
        </w:rPr>
        <w:t xml:space="preserve">, </w:t>
      </w:r>
      <w:r w:rsidRPr="00A74F31">
        <w:rPr>
          <w:rFonts w:ascii="Palatino Linotype" w:eastAsia="Palatino Linotype" w:hAnsi="Palatino Linotype" w:cs="Palatino Linotype"/>
          <w:sz w:val="22"/>
          <w:szCs w:val="22"/>
        </w:rPr>
        <w:t>lo siguiente:</w:t>
      </w:r>
    </w:p>
    <w:p w:rsidR="00FD2459" w:rsidRPr="00A74F31" w:rsidRDefault="00D84991" w:rsidP="00BE4CCE">
      <w:pPr>
        <w:pStyle w:val="Prrafodelista"/>
        <w:numPr>
          <w:ilvl w:val="1"/>
          <w:numId w:val="28"/>
        </w:numPr>
        <w:spacing w:line="360" w:lineRule="auto"/>
        <w:ind w:left="567" w:right="567" w:firstLine="0"/>
        <w:jc w:val="both"/>
        <w:rPr>
          <w:rFonts w:ascii="Palatino Linotype" w:hAnsi="Palatino Linotype" w:cs="Arial"/>
          <w:b/>
          <w:szCs w:val="22"/>
        </w:rPr>
      </w:pPr>
      <w:r w:rsidRPr="00A74F31">
        <w:rPr>
          <w:rFonts w:ascii="Palatino Linotype" w:hAnsi="Palatino Linotype" w:cs="Arial"/>
          <w:b/>
          <w:szCs w:val="22"/>
        </w:rPr>
        <w:t xml:space="preserve">El </w:t>
      </w:r>
      <w:r w:rsidRPr="00A74F31">
        <w:rPr>
          <w:rFonts w:ascii="Palatino Linotype" w:hAnsi="Palatino Linotype" w:cs="Tahoma"/>
          <w:b/>
          <w:bCs/>
          <w:iCs/>
          <w:szCs w:val="22"/>
          <w:lang w:eastAsia="es-ES"/>
        </w:rPr>
        <w:t xml:space="preserve">Acuerdo del Comité de Transparencia, donde confirme la clasificación de la información como confidencial del Plan de </w:t>
      </w:r>
      <w:r w:rsidR="00BE4CCE" w:rsidRPr="00A74F31">
        <w:rPr>
          <w:rFonts w:ascii="Palatino Linotype" w:hAnsi="Palatino Linotype" w:cs="Tahoma"/>
          <w:b/>
          <w:bCs/>
          <w:iCs/>
          <w:szCs w:val="22"/>
          <w:lang w:eastAsia="es-ES"/>
        </w:rPr>
        <w:t>Contingencia</w:t>
      </w:r>
      <w:r w:rsidRPr="00A74F31">
        <w:rPr>
          <w:rFonts w:ascii="Palatino Linotype" w:hAnsi="Palatino Linotype" w:cs="Tahoma"/>
          <w:b/>
          <w:bCs/>
          <w:iCs/>
          <w:szCs w:val="22"/>
          <w:lang w:eastAsia="es-ES"/>
        </w:rPr>
        <w:t xml:space="preserve"> del Sistema de Gestión de P</w:t>
      </w:r>
      <w:r w:rsidR="00BE4CCE" w:rsidRPr="00A74F31">
        <w:rPr>
          <w:rFonts w:ascii="Palatino Linotype" w:hAnsi="Palatino Linotype" w:cs="Tahoma"/>
          <w:b/>
          <w:bCs/>
          <w:iCs/>
          <w:szCs w:val="22"/>
          <w:lang w:eastAsia="es-ES"/>
        </w:rPr>
        <w:t>rotección de Datos Personales del Ayuntamiento de Metepec</w:t>
      </w:r>
      <w:r w:rsidRPr="00A74F31">
        <w:rPr>
          <w:rFonts w:ascii="Palatino Linotype" w:hAnsi="Palatino Linotype" w:cs="Tahoma"/>
          <w:b/>
          <w:bCs/>
          <w:iCs/>
          <w:szCs w:val="22"/>
          <w:lang w:eastAsia="es-ES"/>
        </w:rPr>
        <w:t>, de conformidad con los artículos 49, fracciones II y VIII, 132, fracción II y 143, fracción I, de la Ley de Transparencia y Acceso a la Información Pública del Estado de México y Municipios, así como 43 de la Ley de Protección de Datos Personales en Posesión de Sujetos Obligados del Estado de México y Municipios.</w:t>
      </w:r>
    </w:p>
    <w:p w:rsidR="00BE4CCE" w:rsidRPr="00A74F31" w:rsidRDefault="00BE4CCE">
      <w:pPr>
        <w:spacing w:line="360" w:lineRule="auto"/>
        <w:ind w:right="1"/>
        <w:jc w:val="both"/>
        <w:rPr>
          <w:rFonts w:ascii="Palatino Linotype" w:eastAsia="Palatino Linotype" w:hAnsi="Palatino Linotype" w:cs="Palatino Linotype"/>
          <w:sz w:val="22"/>
          <w:szCs w:val="22"/>
        </w:rPr>
      </w:pPr>
    </w:p>
    <w:p w:rsidR="00E94D86" w:rsidRPr="00A74F31" w:rsidRDefault="001E3125">
      <w:pPr>
        <w:spacing w:line="360" w:lineRule="auto"/>
        <w:ind w:right="1"/>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b/>
          <w:sz w:val="22"/>
          <w:szCs w:val="22"/>
        </w:rPr>
        <w:t xml:space="preserve">TERCERO. </w:t>
      </w:r>
      <w:r w:rsidRPr="00A74F31">
        <w:rPr>
          <w:rFonts w:ascii="Palatino Linotype" w:eastAsia="Palatino Linotype" w:hAnsi="Palatino Linotype" w:cs="Palatino Linotype"/>
          <w:b/>
          <w:color w:val="000000"/>
          <w:sz w:val="22"/>
          <w:szCs w:val="22"/>
        </w:rPr>
        <w:t>Notifíquese vía SAIMEX l</w:t>
      </w:r>
      <w:r w:rsidRPr="00A74F31">
        <w:rPr>
          <w:rFonts w:ascii="Palatino Linotype" w:eastAsia="Palatino Linotype" w:hAnsi="Palatino Linotype" w:cs="Palatino Linotype"/>
          <w:sz w:val="22"/>
          <w:szCs w:val="22"/>
        </w:rPr>
        <w:t xml:space="preserve">a presente resolución al Titular de la Unidad de Transparencia del </w:t>
      </w:r>
      <w:r w:rsidRPr="00A74F31">
        <w:rPr>
          <w:rFonts w:ascii="Palatino Linotype" w:eastAsia="Palatino Linotype" w:hAnsi="Palatino Linotype" w:cs="Palatino Linotype"/>
          <w:b/>
          <w:sz w:val="22"/>
          <w:szCs w:val="22"/>
        </w:rPr>
        <w:t>SUJETO OBLIGADO</w:t>
      </w:r>
      <w:r w:rsidRPr="00A74F31">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w:t>
      </w:r>
      <w:r w:rsidRPr="00A74F31">
        <w:rPr>
          <w:rFonts w:ascii="Palatino Linotype" w:eastAsia="Palatino Linotype" w:hAnsi="Palatino Linotype" w:cs="Palatino Linotype"/>
          <w:sz w:val="22"/>
          <w:szCs w:val="22"/>
        </w:rPr>
        <w:lastRenderedPageBreak/>
        <w:t xml:space="preserve">de México y Municipios; </w:t>
      </w:r>
      <w:r w:rsidRPr="00A74F31">
        <w:rPr>
          <w:rFonts w:ascii="Palatino Linotype" w:eastAsia="Palatino Linotype" w:hAnsi="Palatino Linotype" w:cs="Palatino Linotype"/>
          <w:b/>
          <w:sz w:val="22"/>
          <w:szCs w:val="22"/>
        </w:rPr>
        <w:t>dé cumplimiento a lo ordenado dentro del plazo de diez días hábiles</w:t>
      </w:r>
      <w:r w:rsidRPr="00A74F31">
        <w:rPr>
          <w:rFonts w:ascii="Palatino Linotype" w:eastAsia="Palatino Linotype" w:hAnsi="Palatino Linotype" w:cs="Palatino Linotype"/>
          <w:sz w:val="22"/>
          <w:szCs w:val="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94D86" w:rsidRPr="00A74F31" w:rsidRDefault="00E94D86" w:rsidP="00F5723F">
      <w:pPr>
        <w:tabs>
          <w:tab w:val="left" w:pos="8080"/>
        </w:tabs>
        <w:ind w:right="1"/>
        <w:jc w:val="both"/>
        <w:rPr>
          <w:rFonts w:ascii="Palatino Linotype" w:eastAsia="Palatino Linotype" w:hAnsi="Palatino Linotype" w:cs="Palatino Linotype"/>
          <w:color w:val="222222"/>
          <w:sz w:val="22"/>
          <w:szCs w:val="22"/>
        </w:rPr>
      </w:pPr>
    </w:p>
    <w:p w:rsidR="00E94D86" w:rsidRPr="00A74F31" w:rsidRDefault="001E3125">
      <w:pPr>
        <w:shd w:val="clear" w:color="auto" w:fill="FFFFFF"/>
        <w:spacing w:after="240" w:line="360" w:lineRule="auto"/>
        <w:ind w:right="1"/>
        <w:jc w:val="both"/>
        <w:rPr>
          <w:rFonts w:ascii="Palatino Linotype" w:eastAsia="Palatino Linotype" w:hAnsi="Palatino Linotype" w:cs="Palatino Linotype"/>
          <w:b/>
          <w:sz w:val="22"/>
          <w:szCs w:val="22"/>
        </w:rPr>
      </w:pPr>
      <w:r w:rsidRPr="00A74F31">
        <w:rPr>
          <w:rFonts w:ascii="Palatino Linotype" w:eastAsia="Palatino Linotype" w:hAnsi="Palatino Linotype" w:cs="Palatino Linotype"/>
          <w:b/>
          <w:sz w:val="22"/>
          <w:szCs w:val="22"/>
        </w:rPr>
        <w:t>CUARTO. Notifíquese a la RECURRENTE</w:t>
      </w:r>
      <w:r w:rsidRPr="00A74F31">
        <w:rPr>
          <w:rFonts w:ascii="Palatino Linotype" w:eastAsia="Palatino Linotype" w:hAnsi="Palatino Linotype" w:cs="Palatino Linotype"/>
          <w:sz w:val="22"/>
          <w:szCs w:val="22"/>
        </w:rPr>
        <w:t xml:space="preserve"> la presente resolución vía </w:t>
      </w:r>
      <w:r w:rsidRPr="00A74F31">
        <w:rPr>
          <w:rFonts w:ascii="Palatino Linotype" w:eastAsia="Palatino Linotype" w:hAnsi="Palatino Linotype" w:cs="Palatino Linotype"/>
          <w:b/>
          <w:sz w:val="22"/>
          <w:szCs w:val="22"/>
        </w:rPr>
        <w:t>SAIMEX.</w:t>
      </w:r>
    </w:p>
    <w:p w:rsidR="00E94D86" w:rsidRPr="00A74F31" w:rsidRDefault="001E3125">
      <w:pPr>
        <w:spacing w:before="240" w:after="240" w:line="360" w:lineRule="auto"/>
        <w:ind w:right="1"/>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b/>
          <w:sz w:val="22"/>
          <w:szCs w:val="22"/>
        </w:rPr>
        <w:t>QUINTO.</w:t>
      </w:r>
      <w:r w:rsidRPr="00A74F31">
        <w:rPr>
          <w:rFonts w:ascii="Palatino Linotype" w:eastAsia="Palatino Linotype" w:hAnsi="Palatino Linotype" w:cs="Palatino Linotype"/>
          <w:sz w:val="22"/>
          <w:szCs w:val="22"/>
        </w:rPr>
        <w:t xml:space="preserve"> Se hace del conocimiento de la </w:t>
      </w:r>
      <w:r w:rsidRPr="00A74F31">
        <w:rPr>
          <w:rFonts w:ascii="Palatino Linotype" w:eastAsia="Palatino Linotype" w:hAnsi="Palatino Linotype" w:cs="Palatino Linotype"/>
          <w:b/>
          <w:sz w:val="22"/>
          <w:szCs w:val="22"/>
        </w:rPr>
        <w:t>RECURRENTE</w:t>
      </w:r>
      <w:r w:rsidRPr="00A74F31">
        <w:rPr>
          <w:rFonts w:ascii="Palatino Linotype" w:eastAsia="Palatino Linotype" w:hAnsi="Palatino Linotype" w:cs="Palatino Linotype"/>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46C8E" w:rsidRPr="00A74F31" w:rsidRDefault="001E3125" w:rsidP="00BE4CCE">
      <w:pPr>
        <w:spacing w:before="240" w:after="240" w:line="360" w:lineRule="auto"/>
        <w:ind w:right="1"/>
        <w:jc w:val="both"/>
        <w:rPr>
          <w:rFonts w:ascii="Palatino Linotype" w:eastAsia="Palatino Linotype" w:hAnsi="Palatino Linotype" w:cs="Palatino Linotype"/>
          <w:sz w:val="22"/>
          <w:szCs w:val="22"/>
        </w:rPr>
      </w:pPr>
      <w:r w:rsidRPr="00A74F31">
        <w:rPr>
          <w:rFonts w:ascii="Palatino Linotype" w:eastAsia="Palatino Linotype" w:hAnsi="Palatino Linotype" w:cs="Palatino Linotype"/>
          <w:b/>
          <w:color w:val="000000"/>
          <w:sz w:val="22"/>
          <w:szCs w:val="22"/>
        </w:rPr>
        <w:t xml:space="preserve">SEXTO. </w:t>
      </w:r>
      <w:r w:rsidRPr="00A74F31">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52D27" w:rsidRDefault="00152D27" w:rsidP="00152D27">
      <w:pPr>
        <w:spacing w:before="240" w:after="240" w:line="360" w:lineRule="auto"/>
        <w:ind w:firstLine="1"/>
        <w:jc w:val="both"/>
        <w:rPr>
          <w:rFonts w:ascii="Palatino Linotype" w:hAnsi="Palatino Linotype"/>
        </w:rPr>
      </w:pPr>
      <w:r w:rsidRPr="00A74F3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E94D86" w:rsidRPr="00BE4CCE" w:rsidRDefault="00E94D86">
      <w:pPr>
        <w:spacing w:line="360" w:lineRule="auto"/>
        <w:ind w:right="-592"/>
        <w:jc w:val="both"/>
        <w:rPr>
          <w:rFonts w:ascii="Palatino Linotype" w:eastAsia="Palatino Linotype" w:hAnsi="Palatino Linotype" w:cs="Palatino Linotype"/>
          <w:sz w:val="22"/>
          <w:szCs w:val="22"/>
        </w:rPr>
      </w:pPr>
    </w:p>
    <w:p w:rsidR="00E94D86" w:rsidRPr="00BE4CCE" w:rsidRDefault="00E94D86">
      <w:pPr>
        <w:spacing w:line="360" w:lineRule="auto"/>
        <w:ind w:right="-592"/>
        <w:jc w:val="both"/>
        <w:rPr>
          <w:rFonts w:ascii="Palatino Linotype" w:eastAsia="Palatino Linotype" w:hAnsi="Palatino Linotype" w:cs="Palatino Linotype"/>
          <w:sz w:val="22"/>
          <w:szCs w:val="22"/>
        </w:rPr>
      </w:pPr>
    </w:p>
    <w:p w:rsidR="00E94D86" w:rsidRPr="00BE4CCE" w:rsidRDefault="00E94D86">
      <w:pPr>
        <w:spacing w:line="360" w:lineRule="auto"/>
        <w:ind w:right="-592"/>
        <w:jc w:val="both"/>
        <w:rPr>
          <w:rFonts w:ascii="Palatino Linotype" w:eastAsia="Palatino Linotype" w:hAnsi="Palatino Linotype" w:cs="Palatino Linotype"/>
          <w:sz w:val="22"/>
          <w:szCs w:val="22"/>
        </w:rPr>
      </w:pPr>
    </w:p>
    <w:p w:rsidR="00E94D86" w:rsidRPr="00BE4CCE" w:rsidRDefault="00E94D86">
      <w:pPr>
        <w:spacing w:line="360" w:lineRule="auto"/>
        <w:ind w:right="-592"/>
        <w:jc w:val="both"/>
        <w:rPr>
          <w:rFonts w:ascii="Palatino Linotype" w:eastAsia="Palatino Linotype" w:hAnsi="Palatino Linotype" w:cs="Palatino Linotype"/>
          <w:sz w:val="22"/>
          <w:szCs w:val="22"/>
        </w:rPr>
      </w:pPr>
    </w:p>
    <w:p w:rsidR="00E94D86" w:rsidRPr="00BE4CCE" w:rsidRDefault="00E94D86">
      <w:pPr>
        <w:spacing w:line="360" w:lineRule="auto"/>
        <w:ind w:right="-592"/>
        <w:jc w:val="both"/>
        <w:rPr>
          <w:rFonts w:ascii="Palatino Linotype" w:eastAsia="Palatino Linotype" w:hAnsi="Palatino Linotype" w:cs="Palatino Linotype"/>
          <w:sz w:val="22"/>
          <w:szCs w:val="22"/>
        </w:rPr>
      </w:pPr>
    </w:p>
    <w:p w:rsidR="00E94D86" w:rsidRPr="00BE4CCE" w:rsidRDefault="00E94D86">
      <w:pPr>
        <w:spacing w:line="360" w:lineRule="auto"/>
        <w:ind w:right="-592"/>
        <w:jc w:val="both"/>
        <w:rPr>
          <w:rFonts w:ascii="Palatino Linotype" w:eastAsia="Palatino Linotype" w:hAnsi="Palatino Linotype" w:cs="Palatino Linotype"/>
          <w:sz w:val="22"/>
          <w:szCs w:val="22"/>
        </w:rPr>
      </w:pPr>
    </w:p>
    <w:p w:rsidR="00E94D86" w:rsidRPr="00BE4CCE" w:rsidRDefault="00E94D86">
      <w:pPr>
        <w:spacing w:line="360" w:lineRule="auto"/>
        <w:ind w:right="-592"/>
        <w:rPr>
          <w:rFonts w:ascii="Palatino Linotype" w:eastAsia="Palatino Linotype" w:hAnsi="Palatino Linotype" w:cs="Palatino Linotype"/>
          <w:sz w:val="22"/>
          <w:szCs w:val="22"/>
        </w:rPr>
      </w:pPr>
    </w:p>
    <w:p w:rsidR="00E94D86" w:rsidRPr="00BE4CCE" w:rsidRDefault="00E94D86">
      <w:pPr>
        <w:spacing w:line="360" w:lineRule="auto"/>
        <w:ind w:right="-592"/>
        <w:rPr>
          <w:rFonts w:ascii="Palatino Linotype" w:eastAsia="Palatino Linotype" w:hAnsi="Palatino Linotype" w:cs="Palatino Linotype"/>
          <w:sz w:val="22"/>
          <w:szCs w:val="22"/>
        </w:rPr>
      </w:pPr>
    </w:p>
    <w:p w:rsidR="00E94D86" w:rsidRPr="00BE4CCE" w:rsidRDefault="00E94D86">
      <w:pPr>
        <w:spacing w:line="360" w:lineRule="auto"/>
        <w:ind w:right="-592"/>
        <w:rPr>
          <w:rFonts w:ascii="Palatino Linotype" w:eastAsia="Palatino Linotype" w:hAnsi="Palatino Linotype" w:cs="Palatino Linotype"/>
          <w:sz w:val="22"/>
          <w:szCs w:val="22"/>
        </w:rPr>
      </w:pPr>
    </w:p>
    <w:p w:rsidR="00E94D86" w:rsidRPr="00BE4CCE" w:rsidRDefault="00E94D86">
      <w:pPr>
        <w:spacing w:line="360" w:lineRule="auto"/>
        <w:ind w:right="-592"/>
        <w:rPr>
          <w:rFonts w:ascii="Palatino Linotype" w:eastAsia="Palatino Linotype" w:hAnsi="Palatino Linotype" w:cs="Palatino Linotype"/>
          <w:sz w:val="22"/>
          <w:szCs w:val="22"/>
        </w:rPr>
      </w:pPr>
    </w:p>
    <w:p w:rsidR="00E94D86" w:rsidRPr="00BE4CCE" w:rsidRDefault="00E94D86">
      <w:pPr>
        <w:spacing w:line="360" w:lineRule="auto"/>
        <w:ind w:right="-592"/>
        <w:rPr>
          <w:rFonts w:ascii="Palatino Linotype" w:eastAsia="Palatino Linotype" w:hAnsi="Palatino Linotype" w:cs="Palatino Linotype"/>
          <w:sz w:val="22"/>
          <w:szCs w:val="22"/>
        </w:rPr>
      </w:pPr>
    </w:p>
    <w:p w:rsidR="00E94D86" w:rsidRPr="00BE4CCE" w:rsidRDefault="00E94D86">
      <w:pPr>
        <w:spacing w:line="360" w:lineRule="auto"/>
        <w:ind w:right="-592"/>
        <w:rPr>
          <w:rFonts w:ascii="Palatino Linotype" w:eastAsia="Palatino Linotype" w:hAnsi="Palatino Linotype" w:cs="Palatino Linotype"/>
          <w:sz w:val="22"/>
          <w:szCs w:val="22"/>
        </w:rPr>
      </w:pPr>
    </w:p>
    <w:p w:rsidR="00E94D86" w:rsidRPr="00BE4CCE" w:rsidRDefault="00E94D86">
      <w:pPr>
        <w:ind w:right="-592"/>
        <w:rPr>
          <w:rFonts w:ascii="Palatino Linotype" w:eastAsia="Palatino Linotype" w:hAnsi="Palatino Linotype" w:cs="Palatino Linotype"/>
          <w:sz w:val="22"/>
          <w:szCs w:val="22"/>
        </w:rPr>
      </w:pPr>
    </w:p>
    <w:p w:rsidR="00647AFA" w:rsidRPr="00BE4CCE" w:rsidRDefault="00647AFA">
      <w:pPr>
        <w:ind w:right="-592"/>
        <w:rPr>
          <w:rFonts w:ascii="Palatino Linotype" w:eastAsia="Palatino Linotype" w:hAnsi="Palatino Linotype" w:cs="Palatino Linotype"/>
          <w:sz w:val="22"/>
          <w:szCs w:val="22"/>
        </w:rPr>
      </w:pPr>
    </w:p>
    <w:p w:rsidR="001E3608" w:rsidRPr="00BE4CCE" w:rsidRDefault="001E3608">
      <w:pPr>
        <w:ind w:right="-592"/>
        <w:rPr>
          <w:rFonts w:ascii="Palatino Linotype" w:eastAsia="Palatino Linotype" w:hAnsi="Palatino Linotype" w:cs="Palatino Linotype"/>
          <w:sz w:val="22"/>
          <w:szCs w:val="22"/>
        </w:rPr>
      </w:pPr>
    </w:p>
    <w:p w:rsidR="00BE4CCE" w:rsidRPr="00BE4CCE" w:rsidRDefault="00BE4CCE">
      <w:pPr>
        <w:ind w:right="-592"/>
        <w:rPr>
          <w:rFonts w:ascii="Palatino Linotype" w:eastAsia="Palatino Linotype" w:hAnsi="Palatino Linotype" w:cs="Palatino Linotype"/>
          <w:sz w:val="22"/>
          <w:szCs w:val="22"/>
        </w:rPr>
      </w:pPr>
    </w:p>
    <w:sectPr w:rsidR="00BE4CCE" w:rsidRPr="00BE4CCE">
      <w:headerReference w:type="even" r:id="rId8"/>
      <w:headerReference w:type="default" r:id="rId9"/>
      <w:footerReference w:type="default" r:id="rId10"/>
      <w:headerReference w:type="first" r:id="rId11"/>
      <w:footerReference w:type="first" r:id="rId12"/>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B18" w:rsidRDefault="00AF5B18">
      <w:r>
        <w:separator/>
      </w:r>
    </w:p>
  </w:endnote>
  <w:endnote w:type="continuationSeparator" w:id="0">
    <w:p w:rsidR="00AF5B18" w:rsidRDefault="00AF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C76" w:rsidRDefault="00272C7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D1B87">
      <w:rPr>
        <w:b/>
        <w:noProof/>
        <w:color w:val="000000"/>
      </w:rPr>
      <w:t>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D1B87">
      <w:rPr>
        <w:b/>
        <w:noProof/>
        <w:color w:val="000000"/>
      </w:rPr>
      <w:t>24</w:t>
    </w:r>
    <w:r>
      <w:rPr>
        <w:b/>
        <w:color w:val="000000"/>
      </w:rPr>
      <w:fldChar w:fldCharType="end"/>
    </w:r>
  </w:p>
  <w:p w:rsidR="00272C76" w:rsidRDefault="00272C7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C76" w:rsidRDefault="00272C7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D1B8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D1B87">
      <w:rPr>
        <w:b/>
        <w:noProof/>
        <w:color w:val="000000"/>
      </w:rPr>
      <w:t>24</w:t>
    </w:r>
    <w:r>
      <w:rPr>
        <w:b/>
        <w:color w:val="000000"/>
      </w:rPr>
      <w:fldChar w:fldCharType="end"/>
    </w:r>
  </w:p>
  <w:p w:rsidR="00272C76" w:rsidRDefault="00272C7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B18" w:rsidRDefault="00AF5B18">
      <w:r>
        <w:separator/>
      </w:r>
    </w:p>
  </w:footnote>
  <w:footnote w:type="continuationSeparator" w:id="0">
    <w:p w:rsidR="00AF5B18" w:rsidRDefault="00AF5B18">
      <w:r>
        <w:continuationSeparator/>
      </w:r>
    </w:p>
  </w:footnote>
  <w:footnote w:id="1">
    <w:p w:rsidR="00272C76" w:rsidRDefault="00272C7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272C76" w:rsidRDefault="00272C7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272C76" w:rsidRDefault="00272C7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272C76" w:rsidRDefault="00272C7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C76" w:rsidRDefault="00AF5B1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C76" w:rsidRDefault="00272C76">
    <w:pPr>
      <w:widowControl w:val="0"/>
      <w:pBdr>
        <w:top w:val="nil"/>
        <w:left w:val="nil"/>
        <w:bottom w:val="nil"/>
        <w:right w:val="nil"/>
        <w:between w:val="nil"/>
      </w:pBdr>
      <w:spacing w:line="276" w:lineRule="auto"/>
      <w:rPr>
        <w:color w:val="000000"/>
      </w:rPr>
    </w:pPr>
  </w:p>
  <w:tbl>
    <w:tblPr>
      <w:tblStyle w:val="a5"/>
      <w:tblW w:w="9214" w:type="dxa"/>
      <w:tblInd w:w="0" w:type="dxa"/>
      <w:tblLayout w:type="fixed"/>
      <w:tblLook w:val="0400" w:firstRow="0" w:lastRow="0" w:firstColumn="0" w:lastColumn="0" w:noHBand="0" w:noVBand="1"/>
    </w:tblPr>
    <w:tblGrid>
      <w:gridCol w:w="2268"/>
      <w:gridCol w:w="6946"/>
    </w:tblGrid>
    <w:tr w:rsidR="00272C76" w:rsidRPr="004401C8">
      <w:trPr>
        <w:trHeight w:val="1435"/>
      </w:trPr>
      <w:tc>
        <w:tcPr>
          <w:tcW w:w="2268" w:type="dxa"/>
          <w:shd w:val="clear" w:color="auto" w:fill="auto"/>
        </w:tcPr>
        <w:p w:rsidR="00272C76" w:rsidRDefault="00272C76">
          <w:pPr>
            <w:tabs>
              <w:tab w:val="right" w:pos="4273"/>
            </w:tabs>
            <w:rPr>
              <w:rFonts w:ascii="Garamond" w:eastAsia="Garamond" w:hAnsi="Garamond" w:cs="Garamond"/>
              <w:sz w:val="16"/>
              <w:szCs w:val="16"/>
            </w:rPr>
          </w:pPr>
        </w:p>
      </w:tc>
      <w:tc>
        <w:tcPr>
          <w:tcW w:w="6946" w:type="dxa"/>
          <w:shd w:val="clear" w:color="auto" w:fill="auto"/>
        </w:tcPr>
        <w:p w:rsidR="00272C76" w:rsidRPr="00152D27" w:rsidRDefault="00272C76" w:rsidP="004401C8">
          <w:pPr>
            <w:rPr>
              <w:sz w:val="22"/>
            </w:rPr>
          </w:pPr>
        </w:p>
        <w:tbl>
          <w:tblPr>
            <w:tblStyle w:val="a6"/>
            <w:tblW w:w="6660" w:type="dxa"/>
            <w:tblInd w:w="40" w:type="dxa"/>
            <w:tblLayout w:type="fixed"/>
            <w:tblLook w:val="0400" w:firstRow="0" w:lastRow="0" w:firstColumn="0" w:lastColumn="0" w:noHBand="0" w:noVBand="1"/>
          </w:tblPr>
          <w:tblGrid>
            <w:gridCol w:w="3377"/>
            <w:gridCol w:w="3283"/>
          </w:tblGrid>
          <w:tr w:rsidR="00272C76" w:rsidRPr="00152D27">
            <w:trPr>
              <w:trHeight w:val="150"/>
            </w:trPr>
            <w:tc>
              <w:tcPr>
                <w:tcW w:w="3377" w:type="dxa"/>
                <w:shd w:val="clear" w:color="auto" w:fill="auto"/>
              </w:tcPr>
              <w:p w:rsidR="00272C76" w:rsidRPr="00152D27" w:rsidRDefault="00272C76" w:rsidP="004401C8">
                <w:pPr>
                  <w:tabs>
                    <w:tab w:val="right" w:pos="8838"/>
                  </w:tabs>
                  <w:ind w:left="850" w:right="-105"/>
                  <w:jc w:val="both"/>
                  <w:rPr>
                    <w:rFonts w:ascii="Palatino Linotype" w:eastAsia="Palatino Linotype" w:hAnsi="Palatino Linotype" w:cs="Palatino Linotype"/>
                    <w:b/>
                    <w:sz w:val="22"/>
                    <w:szCs w:val="22"/>
                  </w:rPr>
                </w:pPr>
                <w:r w:rsidRPr="00152D27">
                  <w:rPr>
                    <w:rFonts w:ascii="Palatino Linotype" w:eastAsia="Palatino Linotype" w:hAnsi="Palatino Linotype" w:cs="Palatino Linotype"/>
                    <w:b/>
                    <w:sz w:val="22"/>
                    <w:szCs w:val="22"/>
                  </w:rPr>
                  <w:t>Recurso de Revisión:</w:t>
                </w:r>
              </w:p>
            </w:tc>
            <w:tc>
              <w:tcPr>
                <w:tcW w:w="3283" w:type="dxa"/>
                <w:shd w:val="clear" w:color="auto" w:fill="auto"/>
              </w:tcPr>
              <w:p w:rsidR="00272C76" w:rsidRPr="00152D27" w:rsidRDefault="00272C76" w:rsidP="004401C8">
                <w:pPr>
                  <w:tabs>
                    <w:tab w:val="right" w:pos="8838"/>
                  </w:tabs>
                  <w:ind w:right="-781"/>
                  <w:jc w:val="both"/>
                  <w:rPr>
                    <w:rFonts w:ascii="Palatino Linotype" w:eastAsia="Palatino Linotype" w:hAnsi="Palatino Linotype" w:cs="Palatino Linotype"/>
                    <w:sz w:val="22"/>
                    <w:szCs w:val="22"/>
                  </w:rPr>
                </w:pPr>
                <w:r w:rsidRPr="00152D27">
                  <w:rPr>
                    <w:rFonts w:ascii="Palatino Linotype" w:eastAsia="Palatino Linotype" w:hAnsi="Palatino Linotype" w:cs="Palatino Linotype"/>
                    <w:sz w:val="22"/>
                    <w:szCs w:val="22"/>
                  </w:rPr>
                  <w:t>02748/INFOEM/IP/RR/2025</w:t>
                </w:r>
              </w:p>
            </w:tc>
          </w:tr>
          <w:tr w:rsidR="00272C76" w:rsidRPr="00152D27">
            <w:trPr>
              <w:trHeight w:val="295"/>
            </w:trPr>
            <w:tc>
              <w:tcPr>
                <w:tcW w:w="3377" w:type="dxa"/>
                <w:shd w:val="clear" w:color="auto" w:fill="auto"/>
              </w:tcPr>
              <w:p w:rsidR="00272C76" w:rsidRPr="00152D27" w:rsidRDefault="00272C76" w:rsidP="004401C8">
                <w:pPr>
                  <w:tabs>
                    <w:tab w:val="right" w:pos="8838"/>
                  </w:tabs>
                  <w:ind w:left="850" w:right="-105"/>
                  <w:jc w:val="both"/>
                  <w:rPr>
                    <w:rFonts w:ascii="Palatino Linotype" w:eastAsia="Palatino Linotype" w:hAnsi="Palatino Linotype" w:cs="Palatino Linotype"/>
                    <w:b/>
                    <w:sz w:val="22"/>
                    <w:szCs w:val="22"/>
                  </w:rPr>
                </w:pPr>
                <w:r w:rsidRPr="00152D27">
                  <w:rPr>
                    <w:rFonts w:ascii="Palatino Linotype" w:eastAsia="Palatino Linotype" w:hAnsi="Palatino Linotype" w:cs="Palatino Linotype"/>
                    <w:b/>
                    <w:sz w:val="22"/>
                    <w:szCs w:val="22"/>
                  </w:rPr>
                  <w:t>Sujeto Obligado:</w:t>
                </w:r>
              </w:p>
            </w:tc>
            <w:tc>
              <w:tcPr>
                <w:tcW w:w="3283" w:type="dxa"/>
                <w:shd w:val="clear" w:color="auto" w:fill="auto"/>
              </w:tcPr>
              <w:p w:rsidR="00272C76" w:rsidRPr="00152D27" w:rsidRDefault="00272C76" w:rsidP="00AA15EF">
                <w:pPr>
                  <w:tabs>
                    <w:tab w:val="left" w:pos="2834"/>
                    <w:tab w:val="right" w:pos="8838"/>
                  </w:tabs>
                  <w:ind w:right="-1552"/>
                  <w:jc w:val="both"/>
                  <w:rPr>
                    <w:rFonts w:ascii="Palatino Linotype" w:eastAsia="Palatino Linotype" w:hAnsi="Palatino Linotype" w:cs="Palatino Linotype"/>
                    <w:sz w:val="22"/>
                    <w:szCs w:val="22"/>
                  </w:rPr>
                </w:pPr>
                <w:r w:rsidRPr="00152D27">
                  <w:rPr>
                    <w:rFonts w:ascii="Palatino Linotype" w:eastAsia="Palatino Linotype" w:hAnsi="Palatino Linotype" w:cs="Palatino Linotype"/>
                    <w:sz w:val="22"/>
                    <w:szCs w:val="22"/>
                  </w:rPr>
                  <w:t>Ayuntamiento de Metepec</w:t>
                </w:r>
              </w:p>
            </w:tc>
          </w:tr>
          <w:tr w:rsidR="00272C76" w:rsidRPr="00152D27">
            <w:trPr>
              <w:trHeight w:val="295"/>
            </w:trPr>
            <w:tc>
              <w:tcPr>
                <w:tcW w:w="3377" w:type="dxa"/>
                <w:shd w:val="clear" w:color="auto" w:fill="auto"/>
              </w:tcPr>
              <w:p w:rsidR="00272C76" w:rsidRPr="00152D27" w:rsidRDefault="00272C76" w:rsidP="004401C8">
                <w:pPr>
                  <w:tabs>
                    <w:tab w:val="right" w:pos="8838"/>
                  </w:tabs>
                  <w:ind w:left="850" w:right="-105"/>
                  <w:jc w:val="both"/>
                  <w:rPr>
                    <w:rFonts w:ascii="Palatino Linotype" w:eastAsia="Palatino Linotype" w:hAnsi="Palatino Linotype" w:cs="Palatino Linotype"/>
                    <w:b/>
                    <w:sz w:val="22"/>
                    <w:szCs w:val="22"/>
                  </w:rPr>
                </w:pPr>
                <w:r w:rsidRPr="00152D27">
                  <w:rPr>
                    <w:rFonts w:ascii="Palatino Linotype" w:eastAsia="Palatino Linotype" w:hAnsi="Palatino Linotype" w:cs="Palatino Linotype"/>
                    <w:b/>
                    <w:sz w:val="22"/>
                    <w:szCs w:val="22"/>
                  </w:rPr>
                  <w:t>Comisionada ponente:</w:t>
                </w:r>
              </w:p>
            </w:tc>
            <w:tc>
              <w:tcPr>
                <w:tcW w:w="3283" w:type="dxa"/>
                <w:shd w:val="clear" w:color="auto" w:fill="auto"/>
              </w:tcPr>
              <w:p w:rsidR="00272C76" w:rsidRPr="00152D27" w:rsidRDefault="00272C76" w:rsidP="004401C8">
                <w:pPr>
                  <w:tabs>
                    <w:tab w:val="right" w:pos="8838"/>
                  </w:tabs>
                  <w:ind w:right="-781"/>
                  <w:jc w:val="both"/>
                  <w:rPr>
                    <w:rFonts w:ascii="Palatino Linotype" w:eastAsia="Palatino Linotype" w:hAnsi="Palatino Linotype" w:cs="Palatino Linotype"/>
                    <w:sz w:val="22"/>
                    <w:szCs w:val="22"/>
                  </w:rPr>
                </w:pPr>
                <w:r w:rsidRPr="00152D27">
                  <w:rPr>
                    <w:rFonts w:ascii="Palatino Linotype" w:eastAsia="Palatino Linotype" w:hAnsi="Palatino Linotype" w:cs="Palatino Linotype"/>
                    <w:sz w:val="22"/>
                    <w:szCs w:val="22"/>
                  </w:rPr>
                  <w:t>María del Rosario Mejía Ayala</w:t>
                </w:r>
              </w:p>
              <w:p w:rsidR="00272C76" w:rsidRPr="00152D27" w:rsidRDefault="00272C76" w:rsidP="004401C8">
                <w:pPr>
                  <w:tabs>
                    <w:tab w:val="right" w:pos="8838"/>
                  </w:tabs>
                  <w:ind w:left="141" w:right="-781"/>
                  <w:jc w:val="both"/>
                  <w:rPr>
                    <w:rFonts w:ascii="Palatino Linotype" w:eastAsia="Palatino Linotype" w:hAnsi="Palatino Linotype" w:cs="Palatino Linotype"/>
                    <w:sz w:val="22"/>
                    <w:szCs w:val="22"/>
                  </w:rPr>
                </w:pPr>
              </w:p>
            </w:tc>
          </w:tr>
        </w:tbl>
        <w:p w:rsidR="00272C76" w:rsidRPr="004401C8" w:rsidRDefault="00272C76" w:rsidP="004401C8">
          <w:pPr>
            <w:tabs>
              <w:tab w:val="right" w:pos="8838"/>
            </w:tabs>
            <w:ind w:left="-28"/>
            <w:jc w:val="both"/>
            <w:rPr>
              <w:rFonts w:ascii="Arial" w:eastAsia="Arial" w:hAnsi="Arial" w:cs="Arial"/>
              <w:b/>
              <w:sz w:val="18"/>
              <w:szCs w:val="22"/>
            </w:rPr>
          </w:pPr>
        </w:p>
      </w:tc>
    </w:tr>
  </w:tbl>
  <w:p w:rsidR="00272C76" w:rsidRDefault="00AF5B18">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C76" w:rsidRDefault="00272C76">
    <w:pPr>
      <w:widowControl w:val="0"/>
      <w:pBdr>
        <w:top w:val="nil"/>
        <w:left w:val="nil"/>
        <w:bottom w:val="nil"/>
        <w:right w:val="nil"/>
        <w:between w:val="nil"/>
      </w:pBdr>
      <w:spacing w:line="276" w:lineRule="auto"/>
      <w:rPr>
        <w:color w:val="000000"/>
        <w:sz w:val="14"/>
        <w:szCs w:val="14"/>
      </w:rPr>
    </w:pPr>
  </w:p>
  <w:tbl>
    <w:tblPr>
      <w:tblStyle w:val="a7"/>
      <w:tblW w:w="10065" w:type="dxa"/>
      <w:tblInd w:w="0" w:type="dxa"/>
      <w:tblLayout w:type="fixed"/>
      <w:tblLook w:val="0400" w:firstRow="0" w:lastRow="0" w:firstColumn="0" w:lastColumn="0" w:noHBand="0" w:noVBand="1"/>
    </w:tblPr>
    <w:tblGrid>
      <w:gridCol w:w="2265"/>
      <w:gridCol w:w="7800"/>
    </w:tblGrid>
    <w:tr w:rsidR="00272C76">
      <w:trPr>
        <w:trHeight w:val="1435"/>
      </w:trPr>
      <w:tc>
        <w:tcPr>
          <w:tcW w:w="2265" w:type="dxa"/>
          <w:shd w:val="clear" w:color="auto" w:fill="auto"/>
        </w:tcPr>
        <w:p w:rsidR="00272C76" w:rsidRDefault="00272C76">
          <w:pPr>
            <w:tabs>
              <w:tab w:val="right" w:pos="4273"/>
            </w:tabs>
            <w:rPr>
              <w:rFonts w:ascii="Garamond" w:eastAsia="Garamond" w:hAnsi="Garamond" w:cs="Garamond"/>
              <w:sz w:val="22"/>
              <w:szCs w:val="22"/>
            </w:rPr>
          </w:pPr>
        </w:p>
      </w:tc>
      <w:tc>
        <w:tcPr>
          <w:tcW w:w="7800" w:type="dxa"/>
          <w:shd w:val="clear" w:color="auto" w:fill="auto"/>
        </w:tcPr>
        <w:p w:rsidR="00272C76" w:rsidRDefault="00272C76">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8"/>
            <w:tblW w:w="7410" w:type="dxa"/>
            <w:tblInd w:w="0" w:type="dxa"/>
            <w:tblLayout w:type="fixed"/>
            <w:tblLook w:val="0400" w:firstRow="0" w:lastRow="0" w:firstColumn="0" w:lastColumn="0" w:noHBand="0" w:noVBand="1"/>
          </w:tblPr>
          <w:tblGrid>
            <w:gridCol w:w="2490"/>
            <w:gridCol w:w="4920"/>
          </w:tblGrid>
          <w:tr w:rsidR="00272C76">
            <w:trPr>
              <w:trHeight w:val="144"/>
            </w:trPr>
            <w:tc>
              <w:tcPr>
                <w:tcW w:w="2490" w:type="dxa"/>
                <w:shd w:val="clear" w:color="auto" w:fill="auto"/>
              </w:tcPr>
              <w:p w:rsidR="00272C76" w:rsidRPr="00152D27" w:rsidRDefault="00272C76" w:rsidP="004401C8">
                <w:pPr>
                  <w:tabs>
                    <w:tab w:val="right" w:pos="8838"/>
                  </w:tabs>
                  <w:ind w:left="-264" w:right="-105" w:firstLine="195"/>
                  <w:rPr>
                    <w:rFonts w:ascii="Palatino Linotype" w:eastAsia="Palatino Linotype" w:hAnsi="Palatino Linotype" w:cs="Palatino Linotype"/>
                    <w:b/>
                    <w:sz w:val="22"/>
                    <w:szCs w:val="22"/>
                  </w:rPr>
                </w:pPr>
                <w:r w:rsidRPr="00152D27">
                  <w:rPr>
                    <w:rFonts w:ascii="Palatino Linotype" w:eastAsia="Palatino Linotype" w:hAnsi="Palatino Linotype" w:cs="Palatino Linotype"/>
                    <w:b/>
                    <w:sz w:val="22"/>
                    <w:szCs w:val="22"/>
                  </w:rPr>
                  <w:t>Recurso de Revisión:</w:t>
                </w:r>
              </w:p>
            </w:tc>
            <w:tc>
              <w:tcPr>
                <w:tcW w:w="4920" w:type="dxa"/>
                <w:shd w:val="clear" w:color="auto" w:fill="auto"/>
              </w:tcPr>
              <w:p w:rsidR="00272C76" w:rsidRPr="00152D27" w:rsidRDefault="00272C76" w:rsidP="003A1F84">
                <w:pPr>
                  <w:tabs>
                    <w:tab w:val="right" w:pos="8838"/>
                  </w:tabs>
                  <w:ind w:right="-1552"/>
                  <w:rPr>
                    <w:rFonts w:ascii="Palatino Linotype" w:eastAsia="Palatino Linotype" w:hAnsi="Palatino Linotype" w:cs="Palatino Linotype"/>
                    <w:sz w:val="22"/>
                    <w:szCs w:val="22"/>
                  </w:rPr>
                </w:pPr>
                <w:r w:rsidRPr="00152D27">
                  <w:rPr>
                    <w:rFonts w:ascii="Palatino Linotype" w:eastAsia="Palatino Linotype" w:hAnsi="Palatino Linotype" w:cs="Palatino Linotype"/>
                    <w:sz w:val="22"/>
                    <w:szCs w:val="22"/>
                  </w:rPr>
                  <w:t>02748/INFOEM/IP/RR/2025</w:t>
                </w:r>
              </w:p>
            </w:tc>
          </w:tr>
          <w:tr w:rsidR="00272C76">
            <w:trPr>
              <w:trHeight w:val="144"/>
            </w:trPr>
            <w:tc>
              <w:tcPr>
                <w:tcW w:w="2490" w:type="dxa"/>
                <w:shd w:val="clear" w:color="auto" w:fill="auto"/>
              </w:tcPr>
              <w:p w:rsidR="00272C76" w:rsidRPr="00152D27" w:rsidRDefault="00272C76" w:rsidP="004401C8">
                <w:pPr>
                  <w:tabs>
                    <w:tab w:val="right" w:pos="8838"/>
                  </w:tabs>
                  <w:ind w:left="-74" w:right="-105"/>
                  <w:rPr>
                    <w:rFonts w:ascii="Palatino Linotype" w:eastAsia="Palatino Linotype" w:hAnsi="Palatino Linotype" w:cs="Palatino Linotype"/>
                    <w:b/>
                    <w:sz w:val="22"/>
                    <w:szCs w:val="22"/>
                  </w:rPr>
                </w:pPr>
                <w:r w:rsidRPr="00152D27">
                  <w:rPr>
                    <w:rFonts w:ascii="Palatino Linotype" w:eastAsia="Palatino Linotype" w:hAnsi="Palatino Linotype" w:cs="Palatino Linotype"/>
                    <w:b/>
                    <w:sz w:val="22"/>
                    <w:szCs w:val="22"/>
                  </w:rPr>
                  <w:t>Recurrente:</w:t>
                </w:r>
              </w:p>
            </w:tc>
            <w:tc>
              <w:tcPr>
                <w:tcW w:w="4920" w:type="dxa"/>
                <w:shd w:val="clear" w:color="auto" w:fill="auto"/>
              </w:tcPr>
              <w:p w:rsidR="00272C76" w:rsidRPr="00152D27" w:rsidRDefault="002D1B87" w:rsidP="004401C8">
                <w:pPr>
                  <w:tabs>
                    <w:tab w:val="left" w:pos="3122"/>
                    <w:tab w:val="right" w:pos="8838"/>
                  </w:tabs>
                  <w:ind w:right="-1552"/>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r w:rsidR="00272C76" w:rsidRPr="00152D27">
                  <w:rPr>
                    <w:rFonts w:ascii="Palatino Linotype" w:eastAsia="Palatino Linotype" w:hAnsi="Palatino Linotype" w:cs="Palatino Linotype"/>
                    <w:sz w:val="22"/>
                    <w:szCs w:val="22"/>
                  </w:rPr>
                  <w:t xml:space="preserve"> </w:t>
                </w:r>
              </w:p>
            </w:tc>
          </w:tr>
          <w:tr w:rsidR="00272C76" w:rsidTr="004401C8">
            <w:trPr>
              <w:trHeight w:val="80"/>
            </w:trPr>
            <w:tc>
              <w:tcPr>
                <w:tcW w:w="2490" w:type="dxa"/>
                <w:shd w:val="clear" w:color="auto" w:fill="auto"/>
              </w:tcPr>
              <w:p w:rsidR="00272C76" w:rsidRPr="00152D27" w:rsidRDefault="00272C76" w:rsidP="004401C8">
                <w:pPr>
                  <w:tabs>
                    <w:tab w:val="right" w:pos="8838"/>
                  </w:tabs>
                  <w:ind w:left="-74" w:right="-105"/>
                  <w:rPr>
                    <w:rFonts w:ascii="Palatino Linotype" w:eastAsia="Palatino Linotype" w:hAnsi="Palatino Linotype" w:cs="Palatino Linotype"/>
                    <w:b/>
                    <w:sz w:val="22"/>
                    <w:szCs w:val="22"/>
                  </w:rPr>
                </w:pPr>
                <w:r w:rsidRPr="00152D27">
                  <w:rPr>
                    <w:rFonts w:ascii="Palatino Linotype" w:eastAsia="Palatino Linotype" w:hAnsi="Palatino Linotype" w:cs="Palatino Linotype"/>
                    <w:b/>
                    <w:sz w:val="22"/>
                    <w:szCs w:val="22"/>
                  </w:rPr>
                  <w:t>Sujeto Obligado:</w:t>
                </w:r>
              </w:p>
            </w:tc>
            <w:tc>
              <w:tcPr>
                <w:tcW w:w="4920" w:type="dxa"/>
                <w:shd w:val="clear" w:color="auto" w:fill="auto"/>
              </w:tcPr>
              <w:p w:rsidR="00272C76" w:rsidRPr="00152D27" w:rsidRDefault="00272C76" w:rsidP="00AA15EF">
                <w:pPr>
                  <w:tabs>
                    <w:tab w:val="left" w:pos="2834"/>
                    <w:tab w:val="right" w:pos="8838"/>
                  </w:tabs>
                  <w:ind w:right="-1552"/>
                  <w:rPr>
                    <w:rFonts w:ascii="Palatino Linotype" w:eastAsia="Palatino Linotype" w:hAnsi="Palatino Linotype" w:cs="Palatino Linotype"/>
                    <w:sz w:val="22"/>
                    <w:szCs w:val="22"/>
                  </w:rPr>
                </w:pPr>
                <w:r w:rsidRPr="00152D27">
                  <w:rPr>
                    <w:rFonts w:ascii="Palatino Linotype" w:eastAsia="Palatino Linotype" w:hAnsi="Palatino Linotype" w:cs="Palatino Linotype"/>
                    <w:sz w:val="22"/>
                    <w:szCs w:val="22"/>
                  </w:rPr>
                  <w:t>Ayuntamiento de Metepec</w:t>
                </w:r>
              </w:p>
            </w:tc>
          </w:tr>
          <w:tr w:rsidR="00272C76">
            <w:trPr>
              <w:trHeight w:val="283"/>
            </w:trPr>
            <w:tc>
              <w:tcPr>
                <w:tcW w:w="2490" w:type="dxa"/>
                <w:shd w:val="clear" w:color="auto" w:fill="auto"/>
              </w:tcPr>
              <w:p w:rsidR="00272C76" w:rsidRPr="00152D27" w:rsidRDefault="00272C76" w:rsidP="004401C8">
                <w:pPr>
                  <w:tabs>
                    <w:tab w:val="right" w:pos="8838"/>
                  </w:tabs>
                  <w:ind w:right="-105"/>
                  <w:rPr>
                    <w:rFonts w:ascii="Palatino Linotype" w:eastAsia="Palatino Linotype" w:hAnsi="Palatino Linotype" w:cs="Palatino Linotype"/>
                    <w:b/>
                    <w:sz w:val="22"/>
                    <w:szCs w:val="22"/>
                  </w:rPr>
                </w:pPr>
                <w:r w:rsidRPr="00152D27">
                  <w:rPr>
                    <w:rFonts w:ascii="Palatino Linotype" w:eastAsia="Palatino Linotype" w:hAnsi="Palatino Linotype" w:cs="Palatino Linotype"/>
                    <w:b/>
                    <w:sz w:val="22"/>
                    <w:szCs w:val="22"/>
                  </w:rPr>
                  <w:t>Comisionada ponente:</w:t>
                </w:r>
              </w:p>
            </w:tc>
            <w:tc>
              <w:tcPr>
                <w:tcW w:w="4920" w:type="dxa"/>
                <w:shd w:val="clear" w:color="auto" w:fill="auto"/>
              </w:tcPr>
              <w:p w:rsidR="00272C76" w:rsidRPr="00152D27" w:rsidRDefault="00272C76" w:rsidP="004401C8">
                <w:pPr>
                  <w:tabs>
                    <w:tab w:val="right" w:pos="8838"/>
                  </w:tabs>
                  <w:ind w:right="-1552"/>
                  <w:rPr>
                    <w:rFonts w:ascii="Palatino Linotype" w:eastAsia="Palatino Linotype" w:hAnsi="Palatino Linotype" w:cs="Palatino Linotype"/>
                    <w:sz w:val="22"/>
                    <w:szCs w:val="22"/>
                  </w:rPr>
                </w:pPr>
                <w:r w:rsidRPr="00152D27">
                  <w:rPr>
                    <w:rFonts w:ascii="Palatino Linotype" w:eastAsia="Palatino Linotype" w:hAnsi="Palatino Linotype" w:cs="Palatino Linotype"/>
                    <w:sz w:val="22"/>
                    <w:szCs w:val="22"/>
                  </w:rPr>
                  <w:t>María del Rosario Mejía Ayala</w:t>
                </w:r>
              </w:p>
              <w:p w:rsidR="00272C76" w:rsidRPr="00152D27" w:rsidRDefault="00272C76" w:rsidP="004401C8">
                <w:pPr>
                  <w:tabs>
                    <w:tab w:val="right" w:pos="8838"/>
                  </w:tabs>
                  <w:ind w:right="-1552"/>
                  <w:rPr>
                    <w:rFonts w:ascii="Palatino Linotype" w:eastAsia="Palatino Linotype" w:hAnsi="Palatino Linotype" w:cs="Palatino Linotype"/>
                    <w:sz w:val="22"/>
                    <w:szCs w:val="22"/>
                  </w:rPr>
                </w:pPr>
              </w:p>
            </w:tc>
          </w:tr>
        </w:tbl>
        <w:p w:rsidR="00272C76" w:rsidRDefault="00272C76">
          <w:pPr>
            <w:tabs>
              <w:tab w:val="right" w:pos="8838"/>
            </w:tabs>
            <w:ind w:left="-28"/>
            <w:jc w:val="both"/>
            <w:rPr>
              <w:rFonts w:ascii="Arial" w:eastAsia="Arial" w:hAnsi="Arial" w:cs="Arial"/>
              <w:b/>
              <w:sz w:val="22"/>
              <w:szCs w:val="22"/>
            </w:rPr>
          </w:pPr>
        </w:p>
      </w:tc>
    </w:tr>
  </w:tbl>
  <w:p w:rsidR="00272C76" w:rsidRDefault="00AF5B18">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6E1EF6"/>
    <w:multiLevelType w:val="hybridMultilevel"/>
    <w:tmpl w:val="D1009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2125FC"/>
    <w:multiLevelType w:val="hybridMultilevel"/>
    <w:tmpl w:val="CC6AA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9"/>
  </w:num>
  <w:num w:numId="3">
    <w:abstractNumId w:val="8"/>
  </w:num>
  <w:num w:numId="4">
    <w:abstractNumId w:val="17"/>
  </w:num>
  <w:num w:numId="5">
    <w:abstractNumId w:val="5"/>
  </w:num>
  <w:num w:numId="6">
    <w:abstractNumId w:val="28"/>
  </w:num>
  <w:num w:numId="7">
    <w:abstractNumId w:val="22"/>
  </w:num>
  <w:num w:numId="8">
    <w:abstractNumId w:val="19"/>
  </w:num>
  <w:num w:numId="9">
    <w:abstractNumId w:val="18"/>
  </w:num>
  <w:num w:numId="10">
    <w:abstractNumId w:val="7"/>
  </w:num>
  <w:num w:numId="11">
    <w:abstractNumId w:val="1"/>
  </w:num>
  <w:num w:numId="12">
    <w:abstractNumId w:val="24"/>
  </w:num>
  <w:num w:numId="13">
    <w:abstractNumId w:val="6"/>
  </w:num>
  <w:num w:numId="14">
    <w:abstractNumId w:val="3"/>
  </w:num>
  <w:num w:numId="15">
    <w:abstractNumId w:val="11"/>
  </w:num>
  <w:num w:numId="16">
    <w:abstractNumId w:val="20"/>
  </w:num>
  <w:num w:numId="17">
    <w:abstractNumId w:val="21"/>
  </w:num>
  <w:num w:numId="18">
    <w:abstractNumId w:val="10"/>
  </w:num>
  <w:num w:numId="19">
    <w:abstractNumId w:val="9"/>
  </w:num>
  <w:num w:numId="20">
    <w:abstractNumId w:val="12"/>
  </w:num>
  <w:num w:numId="21">
    <w:abstractNumId w:val="25"/>
  </w:num>
  <w:num w:numId="22">
    <w:abstractNumId w:val="13"/>
  </w:num>
  <w:num w:numId="23">
    <w:abstractNumId w:val="26"/>
  </w:num>
  <w:num w:numId="24">
    <w:abstractNumId w:val="23"/>
  </w:num>
  <w:num w:numId="25">
    <w:abstractNumId w:val="4"/>
  </w:num>
  <w:num w:numId="26">
    <w:abstractNumId w:val="27"/>
  </w:num>
  <w:num w:numId="27">
    <w:abstractNumId w:val="14"/>
  </w:num>
  <w:num w:numId="28">
    <w:abstractNumId w:val="0"/>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21087"/>
    <w:rsid w:val="00042FAE"/>
    <w:rsid w:val="00055A1A"/>
    <w:rsid w:val="00056FB0"/>
    <w:rsid w:val="00060AE6"/>
    <w:rsid w:val="00071244"/>
    <w:rsid w:val="00073512"/>
    <w:rsid w:val="000A31EF"/>
    <w:rsid w:val="000C0976"/>
    <w:rsid w:val="00105645"/>
    <w:rsid w:val="00111C7B"/>
    <w:rsid w:val="00143950"/>
    <w:rsid w:val="00145D84"/>
    <w:rsid w:val="00152D27"/>
    <w:rsid w:val="00154636"/>
    <w:rsid w:val="001E3125"/>
    <w:rsid w:val="001E3608"/>
    <w:rsid w:val="00244DA9"/>
    <w:rsid w:val="00246FC0"/>
    <w:rsid w:val="00251F21"/>
    <w:rsid w:val="00272C76"/>
    <w:rsid w:val="002748F7"/>
    <w:rsid w:val="002B0131"/>
    <w:rsid w:val="002C3B1F"/>
    <w:rsid w:val="002C7271"/>
    <w:rsid w:val="002D1B87"/>
    <w:rsid w:val="00302FE8"/>
    <w:rsid w:val="00305C25"/>
    <w:rsid w:val="00327CB5"/>
    <w:rsid w:val="00327D76"/>
    <w:rsid w:val="0033488B"/>
    <w:rsid w:val="00350878"/>
    <w:rsid w:val="003843C2"/>
    <w:rsid w:val="003A1F84"/>
    <w:rsid w:val="003D39FD"/>
    <w:rsid w:val="00415A07"/>
    <w:rsid w:val="004401C8"/>
    <w:rsid w:val="004512E5"/>
    <w:rsid w:val="00475288"/>
    <w:rsid w:val="004D4CAA"/>
    <w:rsid w:val="004E66BD"/>
    <w:rsid w:val="004E7B76"/>
    <w:rsid w:val="004F5574"/>
    <w:rsid w:val="00503E63"/>
    <w:rsid w:val="0051644E"/>
    <w:rsid w:val="005626F4"/>
    <w:rsid w:val="00571F2A"/>
    <w:rsid w:val="00600A77"/>
    <w:rsid w:val="00613DF7"/>
    <w:rsid w:val="00647AFA"/>
    <w:rsid w:val="00651426"/>
    <w:rsid w:val="00663C8A"/>
    <w:rsid w:val="0066562E"/>
    <w:rsid w:val="006769AF"/>
    <w:rsid w:val="006800B9"/>
    <w:rsid w:val="00681958"/>
    <w:rsid w:val="006977DF"/>
    <w:rsid w:val="006B7FF0"/>
    <w:rsid w:val="006E5F99"/>
    <w:rsid w:val="007322F6"/>
    <w:rsid w:val="00735470"/>
    <w:rsid w:val="007B4642"/>
    <w:rsid w:val="00827BFE"/>
    <w:rsid w:val="00831332"/>
    <w:rsid w:val="00841315"/>
    <w:rsid w:val="00850EB3"/>
    <w:rsid w:val="008A4128"/>
    <w:rsid w:val="008A7695"/>
    <w:rsid w:val="008B2665"/>
    <w:rsid w:val="008B5299"/>
    <w:rsid w:val="008B68CE"/>
    <w:rsid w:val="008D5425"/>
    <w:rsid w:val="008D6B9E"/>
    <w:rsid w:val="009060A0"/>
    <w:rsid w:val="0090631B"/>
    <w:rsid w:val="009144F5"/>
    <w:rsid w:val="00956C4F"/>
    <w:rsid w:val="009669CB"/>
    <w:rsid w:val="009B7760"/>
    <w:rsid w:val="009C5E65"/>
    <w:rsid w:val="00A42556"/>
    <w:rsid w:val="00A54ACB"/>
    <w:rsid w:val="00A64061"/>
    <w:rsid w:val="00A74F31"/>
    <w:rsid w:val="00A83CED"/>
    <w:rsid w:val="00AA0813"/>
    <w:rsid w:val="00AA15EF"/>
    <w:rsid w:val="00AA23EF"/>
    <w:rsid w:val="00AA6962"/>
    <w:rsid w:val="00AB686B"/>
    <w:rsid w:val="00AC313D"/>
    <w:rsid w:val="00AE262A"/>
    <w:rsid w:val="00AF2038"/>
    <w:rsid w:val="00AF2A58"/>
    <w:rsid w:val="00AF5B18"/>
    <w:rsid w:val="00B06C82"/>
    <w:rsid w:val="00B81ACA"/>
    <w:rsid w:val="00BA1A51"/>
    <w:rsid w:val="00BD000C"/>
    <w:rsid w:val="00BE4003"/>
    <w:rsid w:val="00BE4CCE"/>
    <w:rsid w:val="00C07A2E"/>
    <w:rsid w:val="00C61F17"/>
    <w:rsid w:val="00C806D4"/>
    <w:rsid w:val="00C82ED1"/>
    <w:rsid w:val="00CB6ECF"/>
    <w:rsid w:val="00D063C3"/>
    <w:rsid w:val="00D56AE6"/>
    <w:rsid w:val="00D76DD3"/>
    <w:rsid w:val="00D77678"/>
    <w:rsid w:val="00D84840"/>
    <w:rsid w:val="00D84991"/>
    <w:rsid w:val="00D857BB"/>
    <w:rsid w:val="00E17201"/>
    <w:rsid w:val="00E94D86"/>
    <w:rsid w:val="00E94DFC"/>
    <w:rsid w:val="00F10800"/>
    <w:rsid w:val="00F32383"/>
    <w:rsid w:val="00F40115"/>
    <w:rsid w:val="00F46C8E"/>
    <w:rsid w:val="00F5723F"/>
    <w:rsid w:val="00F703A3"/>
    <w:rsid w:val="00FA59C9"/>
    <w:rsid w:val="00FC50EC"/>
    <w:rsid w:val="00FC7F8F"/>
    <w:rsid w:val="00FD12F2"/>
    <w:rsid w:val="00FD2459"/>
    <w:rsid w:val="00FE5E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7116</Words>
  <Characters>39142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6</cp:revision>
  <cp:lastPrinted>2025-04-03T18:25:00Z</cp:lastPrinted>
  <dcterms:created xsi:type="dcterms:W3CDTF">2025-03-27T18:58:00Z</dcterms:created>
  <dcterms:modified xsi:type="dcterms:W3CDTF">2025-04-03T23:37:00Z</dcterms:modified>
</cp:coreProperties>
</file>