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CB2" w:rsidRPr="002135D8" w:rsidRDefault="00C30305" w:rsidP="00847053">
      <w:pPr>
        <w:tabs>
          <w:tab w:val="left" w:pos="3465"/>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Re</w:t>
      </w:r>
      <w:bookmarkStart w:id="0" w:name="_GoBack"/>
      <w:bookmarkEnd w:id="0"/>
      <w:r w:rsidRPr="002135D8">
        <w:rPr>
          <w:rFonts w:ascii="Palatino Linotype" w:eastAsia="Palatino Linotype" w:hAnsi="Palatino Linotype" w:cs="Palatino Linotype"/>
          <w:color w:val="000000" w:themeColor="text1"/>
        </w:rPr>
        <w:t xml:space="preserve">solución del Pleno del Instituto de Transparencia, Acceso a la Información Pública y Protección de Datos Personales del Estado de México y Municipios, con domicilio en Metepec, Estado de México; </w:t>
      </w:r>
      <w:r w:rsidRPr="002135D8">
        <w:rPr>
          <w:rFonts w:ascii="Palatino Linotype" w:eastAsia="Palatino Linotype" w:hAnsi="Palatino Linotype" w:cs="Palatino Linotype"/>
          <w:b/>
          <w:color w:val="000000" w:themeColor="text1"/>
        </w:rPr>
        <w:t xml:space="preserve">de fecha dieciocho </w:t>
      </w:r>
      <w:r w:rsidR="00BB07C9">
        <w:rPr>
          <w:rFonts w:ascii="Palatino Linotype" w:eastAsia="Palatino Linotype" w:hAnsi="Palatino Linotype" w:cs="Palatino Linotype"/>
          <w:b/>
          <w:color w:val="000000" w:themeColor="text1"/>
        </w:rPr>
        <w:t xml:space="preserve">(18) </w:t>
      </w:r>
      <w:r w:rsidRPr="002135D8">
        <w:rPr>
          <w:rFonts w:ascii="Palatino Linotype" w:eastAsia="Palatino Linotype" w:hAnsi="Palatino Linotype" w:cs="Palatino Linotype"/>
          <w:b/>
          <w:color w:val="000000" w:themeColor="text1"/>
        </w:rPr>
        <w:t xml:space="preserve">de </w:t>
      </w:r>
      <w:r w:rsidR="00847053" w:rsidRPr="002135D8">
        <w:rPr>
          <w:rFonts w:ascii="Palatino Linotype" w:eastAsia="Palatino Linotype" w:hAnsi="Palatino Linotype" w:cs="Palatino Linotype"/>
          <w:b/>
          <w:color w:val="000000" w:themeColor="text1"/>
        </w:rPr>
        <w:t xml:space="preserve">junio </w:t>
      </w:r>
      <w:r w:rsidRPr="002135D8">
        <w:rPr>
          <w:rFonts w:ascii="Palatino Linotype" w:eastAsia="Palatino Linotype" w:hAnsi="Palatino Linotype" w:cs="Palatino Linotype"/>
          <w:b/>
          <w:color w:val="000000" w:themeColor="text1"/>
        </w:rPr>
        <w:t>de dos mil veinticinco</w:t>
      </w:r>
      <w:r w:rsidRPr="002135D8">
        <w:rPr>
          <w:rFonts w:ascii="Palatino Linotype" w:eastAsia="Palatino Linotype" w:hAnsi="Palatino Linotype" w:cs="Palatino Linotype"/>
          <w:color w:val="000000" w:themeColor="text1"/>
        </w:rPr>
        <w:t>.</w:t>
      </w:r>
    </w:p>
    <w:p w:rsidR="007C0CB2" w:rsidRPr="002135D8" w:rsidRDefault="007C0CB2" w:rsidP="00847053">
      <w:pPr>
        <w:tabs>
          <w:tab w:val="left" w:pos="3465"/>
        </w:tabs>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VISTO</w:t>
      </w:r>
      <w:r w:rsidRPr="002135D8">
        <w:rPr>
          <w:rFonts w:ascii="Palatino Linotype" w:eastAsia="Palatino Linotype" w:hAnsi="Palatino Linotype" w:cs="Palatino Linotype"/>
          <w:color w:val="000000" w:themeColor="text1"/>
        </w:rPr>
        <w:t xml:space="preserve"> el expediente electrónico formado con motivo del recurso de revisión </w:t>
      </w:r>
      <w:r w:rsidRPr="002135D8">
        <w:rPr>
          <w:rFonts w:ascii="Palatino Linotype" w:eastAsia="Palatino Linotype" w:hAnsi="Palatino Linotype" w:cs="Palatino Linotype"/>
          <w:b/>
          <w:color w:val="000000" w:themeColor="text1"/>
        </w:rPr>
        <w:t>00658/INFOEM/IP/RR/2025</w:t>
      </w:r>
      <w:r w:rsidRPr="002135D8">
        <w:rPr>
          <w:rFonts w:ascii="Palatino Linotype" w:eastAsia="Palatino Linotype" w:hAnsi="Palatino Linotype" w:cs="Palatino Linotype"/>
          <w:color w:val="000000" w:themeColor="text1"/>
        </w:rPr>
        <w:t>,</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 xml:space="preserve">promovido por </w:t>
      </w:r>
      <w:r w:rsidRPr="002135D8">
        <w:rPr>
          <w:rFonts w:ascii="Palatino Linotype" w:eastAsia="Palatino Linotype" w:hAnsi="Palatino Linotype" w:cs="Palatino Linotype"/>
          <w:b/>
          <w:color w:val="000000" w:themeColor="text1"/>
        </w:rPr>
        <w:t>una persona que no proporcionó datos de identificación,</w:t>
      </w:r>
      <w:r w:rsidRPr="002135D8">
        <w:rPr>
          <w:rFonts w:ascii="Palatino Linotype" w:eastAsia="Palatino Linotype" w:hAnsi="Palatino Linotype" w:cs="Palatino Linotype"/>
          <w:color w:val="000000" w:themeColor="text1"/>
        </w:rPr>
        <w:t xml:space="preserve"> a quien en lo sucesivo se le identificará como </w:t>
      </w:r>
      <w:r w:rsidRPr="002135D8">
        <w:rPr>
          <w:rFonts w:ascii="Palatino Linotype" w:eastAsia="Palatino Linotype" w:hAnsi="Palatino Linotype" w:cs="Palatino Linotype"/>
          <w:b/>
          <w:color w:val="000000" w:themeColor="text1"/>
        </w:rPr>
        <w:t>EL RECURRENTE</w:t>
      </w:r>
      <w:r w:rsidRPr="002135D8">
        <w:rPr>
          <w:rFonts w:ascii="Palatino Linotype" w:eastAsia="Palatino Linotype" w:hAnsi="Palatino Linotype" w:cs="Palatino Linotype"/>
          <w:color w:val="000000" w:themeColor="text1"/>
        </w:rPr>
        <w:t xml:space="preserve">, en contra de la respuesta del </w:t>
      </w:r>
      <w:r w:rsidRPr="002135D8">
        <w:rPr>
          <w:rFonts w:ascii="Palatino Linotype" w:eastAsia="Palatino Linotype" w:hAnsi="Palatino Linotype" w:cs="Palatino Linotype"/>
          <w:b/>
          <w:color w:val="000000" w:themeColor="text1"/>
        </w:rPr>
        <w:t xml:space="preserve">Ayuntamiento de Toluca, </w:t>
      </w:r>
      <w:r w:rsidRPr="002135D8">
        <w:rPr>
          <w:rFonts w:ascii="Palatino Linotype" w:eastAsia="Palatino Linotype" w:hAnsi="Palatino Linotype" w:cs="Palatino Linotype"/>
          <w:color w:val="000000" w:themeColor="text1"/>
        </w:rPr>
        <w:t>en lo sucesivo el</w:t>
      </w:r>
      <w:r w:rsidRPr="002135D8">
        <w:rPr>
          <w:rFonts w:ascii="Palatino Linotype" w:eastAsia="Palatino Linotype" w:hAnsi="Palatino Linotype" w:cs="Palatino Linotype"/>
          <w:b/>
          <w:color w:val="000000" w:themeColor="text1"/>
        </w:rPr>
        <w:t xml:space="preserve"> SUJETO OBLIGADO</w:t>
      </w:r>
      <w:r w:rsidRPr="002135D8">
        <w:rPr>
          <w:rFonts w:ascii="Palatino Linotype" w:eastAsia="Palatino Linotype" w:hAnsi="Palatino Linotype" w:cs="Palatino Linotype"/>
          <w:color w:val="000000" w:themeColor="text1"/>
        </w:rPr>
        <w:t>, se procede a dictar la presente Resolución, con base en los siguientes:</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31ac9gjwaijo" w:colFirst="0" w:colLast="0"/>
      <w:bookmarkEnd w:id="1"/>
      <w:r w:rsidRPr="002135D8">
        <w:rPr>
          <w:rFonts w:ascii="Palatino Linotype" w:eastAsia="Palatino Linotype" w:hAnsi="Palatino Linotype" w:cs="Palatino Linotype"/>
          <w:b/>
          <w:color w:val="000000" w:themeColor="text1"/>
          <w:sz w:val="24"/>
          <w:szCs w:val="24"/>
        </w:rPr>
        <w:t>A</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N</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T</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E</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C</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E</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D</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E</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N</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T</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E</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S</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El día </w:t>
      </w:r>
      <w:r w:rsidRPr="002135D8">
        <w:rPr>
          <w:rFonts w:ascii="Palatino Linotype" w:eastAsia="Palatino Linotype" w:hAnsi="Palatino Linotype" w:cs="Palatino Linotype"/>
          <w:b/>
          <w:color w:val="000000" w:themeColor="text1"/>
        </w:rPr>
        <w:t xml:space="preserve">trece de enero de dos mil veinticinco, </w:t>
      </w:r>
      <w:r w:rsidRPr="002135D8">
        <w:rPr>
          <w:rFonts w:ascii="Palatino Linotype" w:eastAsia="Palatino Linotype" w:hAnsi="Palatino Linotype" w:cs="Palatino Linotype"/>
          <w:color w:val="000000" w:themeColor="text1"/>
        </w:rPr>
        <w:t xml:space="preserve">se presentó ante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vía Sistema de Acceso a la Información Mexiquense (SAIMEX), la solicitud de información pública registrada con el número</w:t>
      </w:r>
      <w:r w:rsidRPr="002135D8">
        <w:rPr>
          <w:rFonts w:ascii="Palatino Linotype" w:eastAsia="Palatino Linotype" w:hAnsi="Palatino Linotype" w:cs="Palatino Linotype"/>
          <w:b/>
          <w:color w:val="000000" w:themeColor="text1"/>
        </w:rPr>
        <w:t xml:space="preserve"> 00116/TOLUCA/IP/2025; </w:t>
      </w:r>
      <w:r w:rsidR="00BB07C9">
        <w:rPr>
          <w:rFonts w:ascii="Palatino Linotype" w:eastAsia="Palatino Linotype" w:hAnsi="Palatino Linotype" w:cs="Palatino Linotype"/>
          <w:color w:val="000000" w:themeColor="text1"/>
        </w:rPr>
        <w:t>en la que</w:t>
      </w:r>
      <w:r w:rsidRPr="002135D8">
        <w:rPr>
          <w:rFonts w:ascii="Palatino Linotype" w:eastAsia="Palatino Linotype" w:hAnsi="Palatino Linotype" w:cs="Palatino Linotype"/>
          <w:color w:val="000000" w:themeColor="text1"/>
        </w:rPr>
        <w:t xml:space="preserve"> solicitó la siguiente información:</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“Se solicita el programa de obra de obra 2024 con los contratos el expediemte técnico, las facturas pagadas y las obras concluida e imaguradas por Juan Maccise y cuales se dejaron para que las inaguraroa Ricardo Moreno diciendo que son suyas”</w:t>
      </w:r>
    </w:p>
    <w:p w:rsidR="00847053" w:rsidRPr="002135D8" w:rsidRDefault="00847053"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numPr>
          <w:ilvl w:val="0"/>
          <w:numId w:val="3"/>
        </w:numPr>
        <w:pBdr>
          <w:top w:val="nil"/>
          <w:left w:val="nil"/>
          <w:bottom w:val="nil"/>
          <w:right w:val="nil"/>
          <w:between w:val="nil"/>
        </w:pBdr>
        <w:spacing w:line="360" w:lineRule="auto"/>
        <w:ind w:left="0" w:hanging="283"/>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Modalidad de entrega de la información: Vía SAIMEX.</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color w:val="000000" w:themeColor="text1"/>
        </w:rPr>
        <w:lastRenderedPageBreak/>
        <w:t xml:space="preserve">El </w:t>
      </w:r>
      <w:r w:rsidRPr="002135D8">
        <w:rPr>
          <w:rFonts w:ascii="Palatino Linotype" w:eastAsia="Palatino Linotype" w:hAnsi="Palatino Linotype" w:cs="Palatino Linotype"/>
          <w:b/>
          <w:color w:val="000000" w:themeColor="text1"/>
        </w:rPr>
        <w:t>Sujeto</w:t>
      </w:r>
      <w:r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b/>
          <w:color w:val="000000" w:themeColor="text1"/>
        </w:rPr>
        <w:t>Obligado</w:t>
      </w:r>
      <w:r w:rsidRPr="002135D8">
        <w:rPr>
          <w:rFonts w:ascii="Palatino Linotype" w:eastAsia="Palatino Linotype" w:hAnsi="Palatino Linotype" w:cs="Palatino Linotype"/>
          <w:color w:val="000000" w:themeColor="text1"/>
        </w:rPr>
        <w:t xml:space="preserve"> no proporcionó respuesta a la solicitud de información dentro del plazo de quince días establecido en el artículo 163 de la Ley de Transparencia y Acceso a la Información Pública del Estado de México y Municipios.</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Ante la falta de respuesta</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 xml:space="preserve">del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la parte </w:t>
      </w:r>
      <w:r w:rsidRPr="002135D8">
        <w:rPr>
          <w:rFonts w:ascii="Palatino Linotype" w:eastAsia="Palatino Linotype" w:hAnsi="Palatino Linotype" w:cs="Palatino Linotype"/>
          <w:b/>
          <w:color w:val="000000" w:themeColor="text1"/>
        </w:rPr>
        <w:t>Recurrente</w:t>
      </w:r>
      <w:r w:rsidRPr="002135D8">
        <w:rPr>
          <w:rFonts w:ascii="Palatino Linotype" w:eastAsia="Palatino Linotype" w:hAnsi="Palatino Linotype" w:cs="Palatino Linotype"/>
          <w:color w:val="000000" w:themeColor="text1"/>
        </w:rPr>
        <w:t xml:space="preserve"> interpuso su Recurso de Revisión el cinco de febrero dos mil veinticinco, señalando como acto impugnado y razones o motivos de inconformidad, lo siguiente:</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C0CB2" w:rsidRPr="00BB07C9" w:rsidRDefault="00C30305" w:rsidP="00BB07C9">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2" w:name="_heading=h.nwjm461ayvhz" w:colFirst="0" w:colLast="0"/>
      <w:bookmarkEnd w:id="2"/>
      <w:r w:rsidRPr="00BB07C9">
        <w:rPr>
          <w:rFonts w:ascii="Palatino Linotype" w:eastAsia="Palatino Linotype" w:hAnsi="Palatino Linotype" w:cs="Palatino Linotype"/>
          <w:b/>
          <w:color w:val="000000" w:themeColor="text1"/>
        </w:rPr>
        <w:t>ACTO IMPUGNADO:</w:t>
      </w:r>
    </w:p>
    <w:p w:rsidR="007C0CB2" w:rsidRPr="002135D8" w:rsidRDefault="00C30305"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“no contestaron mi saimex”</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C0CB2" w:rsidRPr="00BB07C9" w:rsidRDefault="00C30305" w:rsidP="00BB07C9">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BB07C9">
        <w:rPr>
          <w:rFonts w:ascii="Palatino Linotype" w:eastAsia="Palatino Linotype" w:hAnsi="Palatino Linotype" w:cs="Palatino Linotype"/>
          <w:b/>
          <w:color w:val="000000" w:themeColor="text1"/>
        </w:rPr>
        <w:t>RAZONES O MOTIVOS DE LA INCONFORMIDAD</w:t>
      </w:r>
      <w:r w:rsidRPr="00BB07C9">
        <w:rPr>
          <w:rFonts w:ascii="Palatino Linotype" w:eastAsia="Palatino Linotype" w:hAnsi="Palatino Linotype" w:cs="Palatino Linotype"/>
          <w:b/>
          <w:color w:val="000000" w:themeColor="text1"/>
        </w:rPr>
        <w:tab/>
      </w:r>
    </w:p>
    <w:p w:rsidR="007C0CB2" w:rsidRPr="002135D8" w:rsidRDefault="00C30305"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“no contestaron mi saimex”</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diez de febrero dos mil veinticinco, puso a disposición de las partes el expediente electrónico vía </w:t>
      </w:r>
      <w:r w:rsidRPr="002135D8">
        <w:rPr>
          <w:rFonts w:ascii="Palatino Linotype" w:eastAsia="Palatino Linotype" w:hAnsi="Palatino Linotype" w:cs="Palatino Linotype"/>
          <w:b/>
          <w:color w:val="000000" w:themeColor="text1"/>
        </w:rPr>
        <w:t xml:space="preserve">SAIMEX </w:t>
      </w:r>
      <w:r w:rsidRPr="002135D8">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presentará el Informe Justificado procedente.</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en fecha diecinueve y veintiséis de febrero de dos mil veinticinco, rindió el informe justificado contenido es el siguiente:</w:t>
      </w:r>
    </w:p>
    <w:p w:rsidR="007C0CB2" w:rsidRPr="002135D8" w:rsidRDefault="00C30305" w:rsidP="00847053">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lastRenderedPageBreak/>
        <w:t>Informe Justificado 658.pdf</w:t>
      </w:r>
      <w:r w:rsidRPr="002135D8">
        <w:rPr>
          <w:rFonts w:ascii="Palatino Linotype" w:eastAsia="Palatino Linotype" w:hAnsi="Palatino Linotype" w:cs="Palatino Linotype"/>
          <w:color w:val="000000" w:themeColor="text1"/>
        </w:rPr>
        <w:t>, que contiene un informe justificado signado por el Titular de la Unidad de Transparencia, informa de un problema técnico que tuvo con el SAIMEX, por otro lado informa que de acuerdo a lo informado por la Dirección General de Obras Públicas, se ubicaron los documentos que colman lo solicitado respecto del Programa Anual de Obra 2024, los contratos y expedientes técnicos solicitados de las obras publicas contratadas por esa área durante el año fiscal 2024, los cuales tienen un peso de 1.526 gigabytes, lo que supera el límite permitido de carga el SAIMEX; por lo cual se propone la entrega de la información en consulta directa.</w:t>
      </w:r>
    </w:p>
    <w:p w:rsidR="007C0CB2" w:rsidRPr="002135D8" w:rsidRDefault="00C30305" w:rsidP="00847053">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 xml:space="preserve">Acta 110.pdf, </w:t>
      </w:r>
      <w:r w:rsidRPr="002135D8">
        <w:rPr>
          <w:rFonts w:ascii="Palatino Linotype" w:eastAsia="Palatino Linotype" w:hAnsi="Palatino Linotype" w:cs="Palatino Linotype"/>
          <w:color w:val="000000" w:themeColor="text1"/>
        </w:rPr>
        <w:t>que corresponde al Acta de la Centésima Décima Sesión Extraordinaria 2025, del Comité de Transparencia, a través de la cual se aprueba el cambio de modalidad de entrega de la información.</w:t>
      </w:r>
    </w:p>
    <w:p w:rsidR="007C0CB2" w:rsidRPr="002135D8" w:rsidRDefault="00C30305" w:rsidP="00847053">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 xml:space="preserve">Acta 47.pdf, </w:t>
      </w:r>
      <w:r w:rsidRPr="002135D8">
        <w:rPr>
          <w:rFonts w:ascii="Palatino Linotype" w:eastAsia="Palatino Linotype" w:hAnsi="Palatino Linotype" w:cs="Palatino Linotype"/>
          <w:color w:val="000000" w:themeColor="text1"/>
        </w:rPr>
        <w:t>que corresponde al Acta de la Cuadragésima Séptima Sesión Extraordinaria del Comité de Transparencia, a través de la cual se aprueba una prórroga de siete días hábiles para dar atención a la solicitud de información de mérito.</w:t>
      </w:r>
    </w:p>
    <w:p w:rsidR="007C0CB2" w:rsidRDefault="00C30305" w:rsidP="00847053">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 xml:space="preserve">Respuesta RR658.pdf, </w:t>
      </w:r>
      <w:r w:rsidRPr="002135D8">
        <w:rPr>
          <w:rFonts w:ascii="Palatino Linotype" w:eastAsia="Palatino Linotype" w:hAnsi="Palatino Linotype" w:cs="Palatino Linotype"/>
          <w:color w:val="000000" w:themeColor="text1"/>
        </w:rPr>
        <w:t>que corresponde a un oficio signado por el Director General de Obras Públicas, a través del cual informa de la imposibilidad técnica para dar contestación a través del SAIMEX, solicitando el cambio de modalidad de entrega de la información.</w:t>
      </w:r>
    </w:p>
    <w:p w:rsidR="007C0CB2" w:rsidRPr="002135D8" w:rsidRDefault="00C30305" w:rsidP="00847053">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Acta 137.pdf</w:t>
      </w:r>
      <w:r w:rsidRPr="002135D8">
        <w:rPr>
          <w:rFonts w:ascii="Palatino Linotype" w:eastAsia="Palatino Linotype" w:hAnsi="Palatino Linotype" w:cs="Palatino Linotype"/>
          <w:color w:val="000000" w:themeColor="text1"/>
        </w:rPr>
        <w:t>, que contiene el Acta de la Centésima Trigésima Séptima Sesión Extraordinaria del Comité de Transparencia a través del cual se propone la clasificación de información confidencial de datos contenidos en el soporte documental de la información que integra la respuesta.</w:t>
      </w: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Seguidamente al no existir pendientes o diligencia por desahogar, mediante Acuerdo de día diez de junio del año en curso, se decretó el cierre de instrucción, por lo que: </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3" w:name="_heading=h.j2somvxk0mzl" w:colFirst="0" w:colLast="0"/>
      <w:bookmarkEnd w:id="3"/>
      <w:r w:rsidRPr="002135D8">
        <w:rPr>
          <w:rFonts w:ascii="Palatino Linotype" w:eastAsia="Palatino Linotype" w:hAnsi="Palatino Linotype" w:cs="Palatino Linotype"/>
          <w:b/>
          <w:color w:val="000000" w:themeColor="text1"/>
          <w:sz w:val="24"/>
          <w:szCs w:val="24"/>
        </w:rPr>
        <w:t>C</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O</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N</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S</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I</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D</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E</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R</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A</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N</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D</w:t>
      </w:r>
      <w:r w:rsidR="00847053" w:rsidRPr="002135D8">
        <w:rPr>
          <w:rFonts w:ascii="Palatino Linotype" w:eastAsia="Palatino Linotype" w:hAnsi="Palatino Linotype" w:cs="Palatino Linotype"/>
          <w:b/>
          <w:color w:val="000000" w:themeColor="text1"/>
          <w:sz w:val="24"/>
          <w:szCs w:val="24"/>
        </w:rPr>
        <w:t xml:space="preserve"> </w:t>
      </w:r>
      <w:r w:rsidRPr="002135D8">
        <w:rPr>
          <w:rFonts w:ascii="Palatino Linotype" w:eastAsia="Palatino Linotype" w:hAnsi="Palatino Linotype" w:cs="Palatino Linotype"/>
          <w:b/>
          <w:color w:val="000000" w:themeColor="text1"/>
          <w:sz w:val="24"/>
          <w:szCs w:val="24"/>
        </w:rPr>
        <w:t>O</w:t>
      </w:r>
      <w:r w:rsidR="00847053" w:rsidRPr="002135D8">
        <w:rPr>
          <w:rFonts w:ascii="Palatino Linotype" w:eastAsia="Palatino Linotype" w:hAnsi="Palatino Linotype" w:cs="Palatino Linotype"/>
          <w:b/>
          <w:color w:val="000000" w:themeColor="text1"/>
          <w:sz w:val="24"/>
          <w:szCs w:val="24"/>
        </w:rPr>
        <w:t xml:space="preserve"> </w:t>
      </w:r>
    </w:p>
    <w:p w:rsidR="007C0CB2" w:rsidRPr="002135D8" w:rsidRDefault="007C0CB2" w:rsidP="00847053">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6nm7fn4cl2pc" w:colFirst="0" w:colLast="0"/>
      <w:bookmarkEnd w:id="4"/>
    </w:p>
    <w:p w:rsidR="007C0CB2" w:rsidRPr="002135D8" w:rsidRDefault="00C30305" w:rsidP="00847053">
      <w:pPr>
        <w:pStyle w:val="Ttulo2"/>
        <w:spacing w:before="0" w:line="360" w:lineRule="auto"/>
        <w:rPr>
          <w:rFonts w:ascii="Palatino Linotype" w:eastAsia="Palatino Linotype" w:hAnsi="Palatino Linotype" w:cs="Palatino Linotype"/>
          <w:b/>
          <w:color w:val="000000" w:themeColor="text1"/>
          <w:sz w:val="24"/>
          <w:szCs w:val="24"/>
        </w:rPr>
      </w:pPr>
      <w:r w:rsidRPr="002135D8">
        <w:rPr>
          <w:rFonts w:ascii="Palatino Linotype" w:eastAsia="Palatino Linotype" w:hAnsi="Palatino Linotype" w:cs="Palatino Linotype"/>
          <w:b/>
          <w:color w:val="000000" w:themeColor="text1"/>
          <w:sz w:val="24"/>
          <w:szCs w:val="24"/>
        </w:rPr>
        <w:t>PRIMERO. De la competencia</w:t>
      </w:r>
    </w:p>
    <w:p w:rsidR="007C0CB2"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FE3C9D" w:rsidRPr="002135D8" w:rsidRDefault="00FE3C9D" w:rsidP="00FE3C9D">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b/>
          <w:color w:val="000000" w:themeColor="text1"/>
        </w:rPr>
      </w:pPr>
      <w:bookmarkStart w:id="5" w:name="_heading=h.czn2smg5iqxl" w:colFirst="0" w:colLast="0"/>
      <w:bookmarkEnd w:id="5"/>
      <w:r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b/>
          <w:color w:val="000000" w:themeColor="text1"/>
        </w:rPr>
        <w:t>SEGUNDO. De la oportunidad y procedencia.</w:t>
      </w: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Este Órgano Garante considera que el medio de impugnación reúne los requisitos de procedencia toda vez que: el recurso fue presentado dentro del plazo establecido en el artículo 178 de la Ley de Transparencia y Acceso a la Información </w:t>
      </w:r>
      <w:r w:rsidRPr="002135D8">
        <w:rPr>
          <w:rFonts w:ascii="Palatino Linotype" w:eastAsia="Palatino Linotype" w:hAnsi="Palatino Linotype" w:cs="Palatino Linotype"/>
          <w:color w:val="000000" w:themeColor="text1"/>
        </w:rPr>
        <w:lastRenderedPageBreak/>
        <w:t xml:space="preserve">Pública del Estado de México y Municipios; asimismo no se tiene conocimiento de que se encuentre en trámite algún medio de defensa presentado por </w:t>
      </w:r>
      <w:r w:rsidRPr="002135D8">
        <w:rPr>
          <w:rFonts w:ascii="Palatino Linotype" w:eastAsia="Palatino Linotype" w:hAnsi="Palatino Linotype" w:cs="Palatino Linotype"/>
          <w:b/>
          <w:color w:val="000000" w:themeColor="text1"/>
        </w:rPr>
        <w:t>LA RECURRENTE</w:t>
      </w:r>
      <w:r w:rsidRPr="002135D8">
        <w:rPr>
          <w:rFonts w:ascii="Palatino Linotype" w:eastAsia="Palatino Linotype" w:hAnsi="Palatino Linotype" w:cs="Palatino Linotype"/>
          <w:color w:val="000000" w:themeColor="text1"/>
        </w:rPr>
        <w:t xml:space="preserve"> ante otra instancia.</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r w:rsidRPr="002135D8">
        <w:rPr>
          <w:rFonts w:ascii="Palatino Linotype" w:eastAsia="Palatino Linotype" w:hAnsi="Palatino Linotype" w:cs="Palatino Linotype"/>
          <w:b/>
          <w:i/>
          <w:color w:val="000000" w:themeColor="text1"/>
        </w:rPr>
        <w:t>Las solicitudes anónimas</w:t>
      </w:r>
      <w:r w:rsidRPr="002135D8">
        <w:rPr>
          <w:rFonts w:ascii="Palatino Linotype" w:eastAsia="Palatino Linotype" w:hAnsi="Palatino Linotype" w:cs="Palatino Linotype"/>
          <w:i/>
          <w:color w:val="000000" w:themeColor="text1"/>
        </w:rPr>
        <w:t xml:space="preserve">, con nombre incompleto o seudónimo </w:t>
      </w:r>
      <w:r w:rsidRPr="002135D8">
        <w:rPr>
          <w:rFonts w:ascii="Palatino Linotype" w:eastAsia="Palatino Linotype" w:hAnsi="Palatino Linotype" w:cs="Palatino Linotype"/>
          <w:b/>
          <w:i/>
          <w:color w:val="000000" w:themeColor="text1"/>
        </w:rPr>
        <w:t>serán procedentes para su trámite por parte del sujeto obligado ante quien se presente</w:t>
      </w:r>
      <w:r w:rsidRPr="002135D8">
        <w:rPr>
          <w:rFonts w:ascii="Palatino Linotype" w:eastAsia="Palatino Linotype" w:hAnsi="Palatino Linotype" w:cs="Palatino Linotype"/>
          <w:i/>
          <w:color w:val="000000" w:themeColor="text1"/>
        </w:rPr>
        <w:t>. No podrá requerirse información adicional con motivo del nombre proporcionado por el solicitante."</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Finalmente, el escrito contiene las formalidades previstas por el artículo 180 último párrafo de la citada Ley de la materia, por lo que es procedente que este Instituto conozca y resuelva el presente Recurso.</w:t>
      </w:r>
    </w:p>
    <w:p w:rsidR="00FE3C9D" w:rsidRPr="002135D8" w:rsidRDefault="00FE3C9D" w:rsidP="00FE3C9D">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pStyle w:val="Ttulo2"/>
        <w:spacing w:before="0" w:line="360" w:lineRule="auto"/>
        <w:rPr>
          <w:rFonts w:ascii="Palatino Linotype" w:eastAsia="Palatino Linotype" w:hAnsi="Palatino Linotype" w:cs="Palatino Linotype"/>
          <w:b/>
          <w:color w:val="000000" w:themeColor="text1"/>
          <w:sz w:val="24"/>
          <w:szCs w:val="24"/>
        </w:rPr>
      </w:pPr>
      <w:bookmarkStart w:id="6" w:name="_heading=h.3hbzyq92ylaj" w:colFirst="0" w:colLast="0"/>
      <w:bookmarkEnd w:id="6"/>
      <w:r w:rsidRPr="002135D8">
        <w:rPr>
          <w:rFonts w:ascii="Palatino Linotype" w:eastAsia="Palatino Linotype" w:hAnsi="Palatino Linotype" w:cs="Palatino Linotype"/>
          <w:b/>
          <w:color w:val="000000" w:themeColor="text1"/>
          <w:sz w:val="24"/>
          <w:szCs w:val="24"/>
        </w:rPr>
        <w:t>TERCERO. Del planteamiento de la</w:t>
      </w:r>
      <w:r w:rsidRPr="002135D8">
        <w:rPr>
          <w:rFonts w:ascii="Palatino Linotype" w:eastAsia="Palatino Linotype" w:hAnsi="Palatino Linotype" w:cs="Palatino Linotype"/>
          <w:b/>
          <w:i/>
          <w:color w:val="000000" w:themeColor="text1"/>
          <w:sz w:val="24"/>
          <w:szCs w:val="24"/>
        </w:rPr>
        <w:t xml:space="preserve"> Litis</w:t>
      </w: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Se solicitó tener acceso, a la información que a continuación se desagrega del ejercicio fiscal 2024:</w:t>
      </w:r>
    </w:p>
    <w:p w:rsidR="007C0CB2" w:rsidRPr="002135D8" w:rsidRDefault="00C30305" w:rsidP="00847053">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Programa Anual de Obras Públicas;</w:t>
      </w:r>
    </w:p>
    <w:p w:rsidR="007C0CB2" w:rsidRPr="002135D8" w:rsidRDefault="00C30305" w:rsidP="00847053">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Contratos, expedientes técnicos y facturas pagadas de obras públicas;</w:t>
      </w:r>
    </w:p>
    <w:p w:rsidR="007C0CB2" w:rsidRPr="002135D8" w:rsidRDefault="00C30305" w:rsidP="00847053">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Obras concluidas e inauguradas por Juan Maccise; y</w:t>
      </w:r>
    </w:p>
    <w:p w:rsidR="007C0CB2" w:rsidRPr="002135D8" w:rsidRDefault="00C30305" w:rsidP="00847053">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Obras concluida e inauguradas por Ricardo Moreno.</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En respuesta, el </w:t>
      </w:r>
      <w:r w:rsidRPr="002135D8">
        <w:rPr>
          <w:rFonts w:ascii="Palatino Linotype" w:eastAsia="Palatino Linotype" w:hAnsi="Palatino Linotype" w:cs="Palatino Linotype"/>
          <w:b/>
          <w:color w:val="000000" w:themeColor="text1"/>
        </w:rPr>
        <w:t xml:space="preserve">SUJETO OBLIGADO </w:t>
      </w:r>
      <w:r w:rsidRPr="002135D8">
        <w:rPr>
          <w:rFonts w:ascii="Palatino Linotype" w:eastAsia="Palatino Linotype" w:hAnsi="Palatino Linotype" w:cs="Palatino Linotype"/>
          <w:color w:val="000000" w:themeColor="text1"/>
        </w:rPr>
        <w:t xml:space="preserve">remitió los archivos ya descritos en el anterior Párrafo 2; no obstante el particular se inconformó, por la falta de respuesta; en dichas condiciones, la </w:t>
      </w:r>
      <w:r w:rsidRPr="002135D8">
        <w:rPr>
          <w:rFonts w:ascii="Palatino Linotype" w:eastAsia="Palatino Linotype" w:hAnsi="Palatino Linotype" w:cs="Palatino Linotype"/>
          <w:i/>
          <w:color w:val="000000" w:themeColor="text1"/>
        </w:rPr>
        <w:t>Litis</w:t>
      </w:r>
      <w:r w:rsidRPr="002135D8">
        <w:rPr>
          <w:rFonts w:ascii="Palatino Linotype" w:eastAsia="Palatino Linotype" w:hAnsi="Palatino Linotype" w:cs="Palatino Linotype"/>
          <w:color w:val="000000" w:themeColor="text1"/>
        </w:rPr>
        <w:t xml:space="preserve"> a resolver en el recurso de revisión se circunscribe a determinar si se actualiza la causal de procedencia prevista en el artículo 179, </w:t>
      </w:r>
      <w:r w:rsidRPr="002135D8">
        <w:rPr>
          <w:rFonts w:ascii="Palatino Linotype" w:eastAsia="Palatino Linotype" w:hAnsi="Palatino Linotype" w:cs="Palatino Linotype"/>
          <w:b/>
          <w:color w:val="000000" w:themeColor="text1"/>
        </w:rPr>
        <w:t xml:space="preserve">fracción VII </w:t>
      </w:r>
      <w:r w:rsidRPr="002135D8">
        <w:rPr>
          <w:rFonts w:ascii="Palatino Linotype" w:eastAsia="Palatino Linotype" w:hAnsi="Palatino Linotype" w:cs="Palatino Linotype"/>
          <w:color w:val="000000" w:themeColor="text1"/>
        </w:rPr>
        <w:t xml:space="preserve">de la </w:t>
      </w:r>
      <w:r w:rsidRPr="002135D8">
        <w:rPr>
          <w:rFonts w:ascii="Palatino Linotype" w:eastAsia="Palatino Linotype" w:hAnsi="Palatino Linotype" w:cs="Palatino Linotype"/>
          <w:b/>
          <w:color w:val="000000" w:themeColor="text1"/>
        </w:rPr>
        <w:t>Ley de Transparencia y Acceso a la Información Pública del Estado de México y Municipios</w:t>
      </w:r>
      <w:r w:rsidRPr="002135D8">
        <w:rPr>
          <w:rFonts w:ascii="Palatino Linotype" w:eastAsia="Palatino Linotype" w:hAnsi="Palatino Linotype" w:cs="Palatino Linotype"/>
          <w:color w:val="000000" w:themeColor="text1"/>
        </w:rPr>
        <w:t xml:space="preserve">; fracción que determina la hipótesis jurídica relativa a la falta de respuesta; contexto del cual se dolió </w:t>
      </w:r>
      <w:r w:rsidRPr="002135D8">
        <w:rPr>
          <w:rFonts w:ascii="Palatino Linotype" w:eastAsia="Palatino Linotype" w:hAnsi="Palatino Linotype" w:cs="Palatino Linotype"/>
          <w:b/>
          <w:color w:val="000000" w:themeColor="text1"/>
        </w:rPr>
        <w:t xml:space="preserve">EL RECURRENTE </w:t>
      </w:r>
      <w:r w:rsidRPr="002135D8">
        <w:rPr>
          <w:rFonts w:ascii="Palatino Linotype" w:eastAsia="Palatino Linotype" w:hAnsi="Palatino Linotype" w:cs="Palatino Linotype"/>
          <w:color w:val="000000" w:themeColor="text1"/>
        </w:rPr>
        <w:t xml:space="preserve">al momento de interponer su inconformidad. </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De modo tal que el presente recurso de revisión se abocara en determinar si el </w:t>
      </w:r>
      <w:r w:rsidRPr="002135D8">
        <w:rPr>
          <w:rFonts w:ascii="Palatino Linotype" w:eastAsia="Palatino Linotype" w:hAnsi="Palatino Linotype" w:cs="Palatino Linotype"/>
          <w:b/>
          <w:color w:val="000000" w:themeColor="text1"/>
        </w:rPr>
        <w:t>SUJETO</w:t>
      </w:r>
      <w:r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b/>
          <w:color w:val="000000" w:themeColor="text1"/>
        </w:rPr>
        <w:t>OBLIGADO</w:t>
      </w:r>
      <w:r w:rsidRPr="002135D8">
        <w:rPr>
          <w:rFonts w:ascii="Palatino Linotype" w:eastAsia="Palatino Linotype" w:hAnsi="Palatino Linotype" w:cs="Palatino Linotype"/>
          <w:color w:val="000000" w:themeColor="text1"/>
        </w:rPr>
        <w:t xml:space="preserve"> con su respuesta ciertamente actualiza la causal de procedencia</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pStyle w:val="Ttulo2"/>
        <w:spacing w:before="0" w:line="360" w:lineRule="auto"/>
        <w:rPr>
          <w:rFonts w:ascii="Palatino Linotype" w:eastAsia="Palatino Linotype" w:hAnsi="Palatino Linotype" w:cs="Palatino Linotype"/>
          <w:b/>
          <w:color w:val="000000" w:themeColor="text1"/>
          <w:sz w:val="24"/>
          <w:szCs w:val="24"/>
        </w:rPr>
      </w:pPr>
      <w:r w:rsidRPr="002135D8">
        <w:rPr>
          <w:rFonts w:ascii="Palatino Linotype" w:eastAsia="Palatino Linotype" w:hAnsi="Palatino Linotype" w:cs="Palatino Linotype"/>
          <w:b/>
          <w:color w:val="000000" w:themeColor="text1"/>
          <w:sz w:val="24"/>
          <w:szCs w:val="24"/>
        </w:rPr>
        <w:lastRenderedPageBreak/>
        <w:t>CUARTO. Del estudio y resolución del estudio</w:t>
      </w: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w:t>
      </w:r>
      <w:r w:rsidRPr="002135D8">
        <w:rPr>
          <w:rFonts w:ascii="Palatino Linotype" w:eastAsia="Palatino Linotype" w:hAnsi="Palatino Linotype" w:cs="Palatino Linotype"/>
          <w:color w:val="000000" w:themeColor="text1"/>
        </w:rPr>
        <w:lastRenderedPageBreak/>
        <w:t>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7C0CB2" w:rsidRPr="002135D8" w:rsidRDefault="007C0CB2" w:rsidP="0084705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color w:val="000000" w:themeColor="text1"/>
        </w:rPr>
        <w:t>Acotado lo anterior, es dable primeramente recordar que el motivo de inconformidad versa sobre la falta de respuesta, que de acuerdo a las constancias que obran en el expediente electrónico en que se actúa, ciertamente se materializó.</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Luego entonces,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incumplió con el primer mandato contenido en el párrafo tercero del artículo primero de la Constitución Política de los Estados Unidos Mexicanos que establece el deber de todas las autoridades, </w:t>
      </w:r>
      <w:r w:rsidRPr="002135D8">
        <w:rPr>
          <w:rFonts w:ascii="Palatino Linotype" w:eastAsia="Palatino Linotype" w:hAnsi="Palatino Linotype" w:cs="Palatino Linotype"/>
          <w:i/>
          <w:color w:val="000000" w:themeColor="text1"/>
        </w:rPr>
        <w:t xml:space="preserve">en el ámbito de sus atribuciones, </w:t>
      </w:r>
      <w:r w:rsidRPr="002135D8">
        <w:rPr>
          <w:rFonts w:ascii="Palatino Linotype" w:eastAsia="Palatino Linotype" w:hAnsi="Palatino Linotype" w:cs="Palatino Linotype"/>
          <w:b/>
          <w:i/>
          <w:color w:val="000000" w:themeColor="text1"/>
        </w:rPr>
        <w:t>de promover</w:t>
      </w:r>
      <w:r w:rsidRPr="002135D8">
        <w:rPr>
          <w:rFonts w:ascii="Palatino Linotype" w:eastAsia="Palatino Linotype" w:hAnsi="Palatino Linotype" w:cs="Palatino Linotype"/>
          <w:i/>
          <w:color w:val="000000" w:themeColor="text1"/>
        </w:rPr>
        <w:t xml:space="preserve">, </w:t>
      </w:r>
      <w:r w:rsidRPr="002135D8">
        <w:rPr>
          <w:rFonts w:ascii="Palatino Linotype" w:eastAsia="Palatino Linotype" w:hAnsi="Palatino Linotype" w:cs="Palatino Linotype"/>
          <w:b/>
          <w:i/>
          <w:color w:val="000000" w:themeColor="text1"/>
        </w:rPr>
        <w:t>respetar, proteger y</w:t>
      </w:r>
      <w:r w:rsidRPr="002135D8">
        <w:rPr>
          <w:rFonts w:ascii="Palatino Linotype" w:eastAsia="Palatino Linotype" w:hAnsi="Palatino Linotype" w:cs="Palatino Linotype"/>
          <w:i/>
          <w:color w:val="000000" w:themeColor="text1"/>
        </w:rPr>
        <w:t xml:space="preserve"> </w:t>
      </w:r>
      <w:r w:rsidRPr="002135D8">
        <w:rPr>
          <w:rFonts w:ascii="Palatino Linotype" w:eastAsia="Palatino Linotype" w:hAnsi="Palatino Linotype" w:cs="Palatino Linotype"/>
          <w:b/>
          <w:i/>
          <w:color w:val="000000" w:themeColor="text1"/>
        </w:rPr>
        <w:t>garantizar</w:t>
      </w:r>
      <w:r w:rsidRPr="002135D8">
        <w:rPr>
          <w:rFonts w:ascii="Palatino Linotype" w:eastAsia="Palatino Linotype" w:hAnsi="Palatino Linotype" w:cs="Palatino Linotype"/>
          <w:i/>
          <w:color w:val="000000" w:themeColor="text1"/>
        </w:rPr>
        <w:t xml:space="preserve"> los derechos humanos.</w:t>
      </w:r>
      <w:r w:rsidRPr="002135D8">
        <w:rPr>
          <w:rFonts w:ascii="Palatino Linotype" w:eastAsia="Palatino Linotype" w:hAnsi="Palatino Linotype" w:cs="Palatino Linotype"/>
          <w:color w:val="000000" w:themeColor="text1"/>
        </w:rPr>
        <w:t xml:space="preserve"> Por lo tanto, la falta de respuesta a una solicitud de acceso a la información constituye un incumplimiento del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a su deber de garantizar el derecho, lo que constituye una vulneración al mismo y resulta. </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A su vez, la </w:t>
      </w:r>
      <w:r w:rsidRPr="002135D8">
        <w:rPr>
          <w:rFonts w:ascii="Palatino Linotype" w:eastAsia="Palatino Linotype" w:hAnsi="Palatino Linotype" w:cs="Palatino Linotype"/>
          <w:b/>
          <w:color w:val="000000" w:themeColor="text1"/>
        </w:rPr>
        <w:t xml:space="preserve">Ley de Transparencia y Acceso a la Información Pública del Estado de </w:t>
      </w:r>
      <w:r w:rsidRPr="002135D8">
        <w:rPr>
          <w:rFonts w:ascii="Palatino Linotype" w:eastAsia="Palatino Linotype" w:hAnsi="Palatino Linotype" w:cs="Palatino Linotype"/>
          <w:color w:val="000000" w:themeColor="text1"/>
        </w:rPr>
        <w:t>México</w:t>
      </w:r>
      <w:r w:rsidRPr="002135D8">
        <w:rPr>
          <w:rFonts w:ascii="Palatino Linotype" w:eastAsia="Palatino Linotype" w:hAnsi="Palatino Linotype" w:cs="Palatino Linotype"/>
          <w:b/>
          <w:color w:val="000000" w:themeColor="text1"/>
        </w:rPr>
        <w:t xml:space="preserve"> y Municipios, </w:t>
      </w:r>
      <w:r w:rsidRPr="002135D8">
        <w:rPr>
          <w:rFonts w:ascii="Palatino Linotype" w:eastAsia="Palatino Linotype" w:hAnsi="Palatino Linotype" w:cs="Palatino Linotype"/>
          <w:color w:val="000000" w:themeColor="text1"/>
        </w:rPr>
        <w:t>cuyo objeto es establecer principios, bases generales y procedimientos para tutelar y garantizar la transparencia y el derecho humano de acceso a la información pública en posesión de los sujetos obligados; en su artículo 176</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 xml:space="preserve">establece que </w:t>
      </w:r>
      <w:r w:rsidRPr="002135D8">
        <w:rPr>
          <w:rFonts w:ascii="Palatino Linotype" w:eastAsia="Palatino Linotype" w:hAnsi="Palatino Linotype" w:cs="Palatino Linotype"/>
          <w:b/>
          <w:i/>
          <w:color w:val="000000" w:themeColor="text1"/>
          <w:u w:val="single"/>
        </w:rPr>
        <w:t>el recurso de revisión es la garantía secundaria</w:t>
      </w:r>
      <w:r w:rsidRPr="002135D8">
        <w:rPr>
          <w:rFonts w:ascii="Palatino Linotype" w:eastAsia="Palatino Linotype" w:hAnsi="Palatino Linotype" w:cs="Palatino Linotype"/>
          <w:b/>
          <w:i/>
          <w:color w:val="000000" w:themeColor="text1"/>
        </w:rPr>
        <w:t xml:space="preserve"> mediante la cual se pretende reparar cualquier posible afectación al derecho de acceso a la información </w:t>
      </w:r>
      <w:r w:rsidRPr="002135D8">
        <w:rPr>
          <w:rFonts w:ascii="Palatino Linotype" w:eastAsia="Palatino Linotype" w:hAnsi="Palatino Linotype" w:cs="Palatino Linotype"/>
          <w:b/>
          <w:i/>
          <w:color w:val="000000" w:themeColor="text1"/>
        </w:rPr>
        <w:lastRenderedPageBreak/>
        <w:t>pública</w:t>
      </w:r>
      <w:r w:rsidRPr="002135D8">
        <w:rPr>
          <w:rFonts w:ascii="Palatino Linotype" w:eastAsia="Palatino Linotype" w:hAnsi="Palatino Linotype" w:cs="Palatino Linotype"/>
          <w:b/>
          <w:color w:val="000000" w:themeColor="text1"/>
        </w:rPr>
        <w:t>, s</w:t>
      </w:r>
      <w:r w:rsidRPr="002135D8">
        <w:rPr>
          <w:rFonts w:ascii="Palatino Linotype" w:eastAsia="Palatino Linotype" w:hAnsi="Palatino Linotype" w:cs="Palatino Linotype"/>
          <w:color w:val="000000" w:themeColor="text1"/>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De acuerdo a lo dispuesto por el artículo 53 fracción II de la Ley de la materia, las unidades de transparencia tienen entre sus principales funciones la de recibir, tramitar y dar respuesta a las solicitudes de accesos a la información: </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r w:rsidRPr="002135D8">
        <w:rPr>
          <w:rFonts w:ascii="Palatino Linotype" w:eastAsia="Palatino Linotype" w:hAnsi="Palatino Linotype" w:cs="Palatino Linotype"/>
          <w:b/>
          <w:i/>
          <w:color w:val="000000" w:themeColor="text1"/>
        </w:rPr>
        <w:t>Artículo 53.</w:t>
      </w:r>
      <w:r w:rsidRPr="002135D8">
        <w:rPr>
          <w:rFonts w:ascii="Palatino Linotype" w:eastAsia="Palatino Linotype" w:hAnsi="Palatino Linotype" w:cs="Palatino Linotype"/>
          <w:i/>
          <w:color w:val="000000" w:themeColor="text1"/>
        </w:rPr>
        <w:t xml:space="preserve"> Las Unidades de Transparencia tendrán las siguientes funciones:</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III. Auxiliar a los particulares en la elaboración de solicitudes de acceso a la información y, en su caso, orientarlos sobre los sujetos obligados competentes conforme a la normatividad aplicable;</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 xml:space="preserve">(…)” </w:t>
      </w: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(Énfasis Añadido)</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Establecido lo anterior, resulta evidente que las razones o motivos de inconformidad hechos valer en el recurso de revisión resultan fundadas y procedentes, debido a que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rsidR="007C0CB2" w:rsidRPr="002135D8" w:rsidRDefault="007C0CB2" w:rsidP="00847053">
      <w:pP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cumple con su alto deber de repararlo ordenando, en consecuencia, que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responda a la solicitud de acceso a la información pública. </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Empero, en un hecho posterior a la interposición recurso de revisión, en la etapa de manifestaciones,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revocó su falta de respuesta rindiendo el informe justificado correspondiente, a través del cual acepta de manera expresa que cuenta con lo solicitado, incluso que ya cuenta con lo solicitado de forma digitalizada, tan es así que conoce de su peso exacto, de acuerdo a la informado lo informado por la Dirección General de Obras Públicas, quien expuso que se ubicaron los documentos que colman lo solicitado respecto del Programa Anual de Obra 2024, los contratos y expedientes técnicos solicitados de las obras publicas contratadas por esa área durante el año fiscal 2024, los cuales tienen un peso de 1.526 gigabytes, lo que supera el límite permitido de carga el SAIMEX; por lo cual se propone la entrega de la información en consulta directa.</w:t>
      </w: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Sin embargo, corresponde a un cambio de manera unilateral sin que para tal efecto se sustentara el procedimiento conforme a lo establecido en la ley de la materia.</w:t>
      </w:r>
    </w:p>
    <w:p w:rsidR="007C0CB2" w:rsidRPr="002135D8" w:rsidRDefault="007C0CB2" w:rsidP="00847053">
      <w:pP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En virtud de los anterior y con la finalidad de allegarse de mayores datos de convicción, el  </w:t>
      </w:r>
      <w:r w:rsidRPr="002135D8">
        <w:rPr>
          <w:rFonts w:ascii="Palatino Linotype" w:eastAsia="Palatino Linotype" w:hAnsi="Palatino Linotype" w:cs="Palatino Linotype"/>
          <w:b/>
          <w:color w:val="000000" w:themeColor="text1"/>
        </w:rPr>
        <w:t>veintiséis de mayo  de dos mil veinticinco</w:t>
      </w:r>
      <w:r w:rsidRPr="002135D8">
        <w:rPr>
          <w:rFonts w:ascii="Palatino Linotype" w:eastAsia="Palatino Linotype" w:hAnsi="Palatino Linotype" w:cs="Palatino Linotype"/>
          <w:color w:val="000000" w:themeColor="text1"/>
        </w:rPr>
        <w:t xml:space="preserve">, se le requirió al </w:t>
      </w:r>
      <w:r w:rsidRPr="002135D8">
        <w:rPr>
          <w:rFonts w:ascii="Palatino Linotype" w:eastAsia="Palatino Linotype" w:hAnsi="Palatino Linotype" w:cs="Palatino Linotype"/>
          <w:b/>
          <w:color w:val="000000" w:themeColor="text1"/>
        </w:rPr>
        <w:t xml:space="preserve">SUJETO OBLIGADO </w:t>
      </w:r>
      <w:r w:rsidRPr="002135D8">
        <w:rPr>
          <w:rFonts w:ascii="Palatino Linotype" w:eastAsia="Palatino Linotype" w:hAnsi="Palatino Linotype" w:cs="Palatino Linotype"/>
          <w:color w:val="000000" w:themeColor="text1"/>
        </w:rPr>
        <w:t>vía correo electrónico, lo siguiente:</w:t>
      </w:r>
    </w:p>
    <w:p w:rsidR="007C0CB2" w:rsidRPr="002135D8" w:rsidRDefault="00C30305" w:rsidP="00847053">
      <w:pPr>
        <w:spacing w:line="360" w:lineRule="auto"/>
        <w:jc w:val="center"/>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noProof/>
          <w:color w:val="000000" w:themeColor="text1"/>
          <w:lang w:val="es-MX" w:eastAsia="es-MX"/>
        </w:rPr>
        <w:drawing>
          <wp:inline distT="0" distB="0" distL="0" distR="0">
            <wp:extent cx="3442884" cy="4286802"/>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442884" cy="4286802"/>
                    </a:xfrm>
                    <a:prstGeom prst="rect">
                      <a:avLst/>
                    </a:prstGeom>
                    <a:ln/>
                  </pic:spPr>
                </pic:pic>
              </a:graphicData>
            </a:graphic>
          </wp:inline>
        </w:drawing>
      </w:r>
    </w:p>
    <w:p w:rsidR="007C0CB2" w:rsidRPr="002135D8" w:rsidRDefault="007C0CB2" w:rsidP="00847053">
      <w:pPr>
        <w:spacing w:line="360" w:lineRule="auto"/>
        <w:jc w:val="center"/>
        <w:rPr>
          <w:rFonts w:ascii="Palatino Linotype" w:eastAsia="Palatino Linotype" w:hAnsi="Palatino Linotype" w:cs="Palatino Linotype"/>
          <w:i/>
          <w:color w:val="000000" w:themeColor="text1"/>
        </w:rPr>
      </w:pPr>
    </w:p>
    <w:p w:rsidR="007C0CB2" w:rsidRPr="002135D8" w:rsidRDefault="00C30305" w:rsidP="00847053">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color w:val="000000" w:themeColor="text1"/>
        </w:rPr>
        <w:t>Sin embargo, el SUJETO</w:t>
      </w:r>
      <w:r w:rsidRPr="002135D8">
        <w:rPr>
          <w:rFonts w:ascii="Palatino Linotype" w:eastAsia="Palatino Linotype" w:hAnsi="Palatino Linotype" w:cs="Palatino Linotype"/>
          <w:b/>
          <w:color w:val="000000" w:themeColor="text1"/>
        </w:rPr>
        <w:t xml:space="preserve"> OBLIGADO</w:t>
      </w:r>
      <w:r w:rsidRPr="002135D8">
        <w:rPr>
          <w:rFonts w:ascii="Palatino Linotype" w:eastAsia="Palatino Linotype" w:hAnsi="Palatino Linotype" w:cs="Palatino Linotype"/>
          <w:color w:val="000000" w:themeColor="text1"/>
        </w:rPr>
        <w:t xml:space="preserve"> fue omiso en atender los requerimientos en  el plazo legalmente otorgado. Por otro lado también se solicitó a la Dirección de Informática de este Instituto si se realizó el reporte de incidencia a efectuarse, cuando se pretender realizar un cambio de modalidad, a lo que la Dirección de referencia </w:t>
      </w:r>
      <w:r w:rsidR="00BB07C9" w:rsidRPr="002135D8">
        <w:rPr>
          <w:rFonts w:ascii="Palatino Linotype" w:hAnsi="Palatino Linotype"/>
          <w:noProof/>
          <w:color w:val="000000" w:themeColor="text1"/>
          <w:lang w:val="es-MX" w:eastAsia="es-MX"/>
        </w:rPr>
        <w:drawing>
          <wp:anchor distT="0" distB="0" distL="114300" distR="114300" simplePos="0" relativeHeight="251658240" behindDoc="0" locked="0" layoutInCell="1" hidden="0" allowOverlap="1">
            <wp:simplePos x="0" y="0"/>
            <wp:positionH relativeFrom="column">
              <wp:posOffset>-217493</wp:posOffset>
            </wp:positionH>
            <wp:positionV relativeFrom="paragraph">
              <wp:posOffset>940076</wp:posOffset>
            </wp:positionV>
            <wp:extent cx="6288656" cy="617174"/>
            <wp:effectExtent l="0" t="0" r="0" b="0"/>
            <wp:wrapNone/>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394197" cy="627532"/>
                    </a:xfrm>
                    <a:prstGeom prst="rect">
                      <a:avLst/>
                    </a:prstGeom>
                    <a:ln/>
                  </pic:spPr>
                </pic:pic>
              </a:graphicData>
            </a:graphic>
            <wp14:sizeRelH relativeFrom="margin">
              <wp14:pctWidth>0</wp14:pctWidth>
            </wp14:sizeRelH>
          </wp:anchor>
        </w:drawing>
      </w:r>
      <w:r w:rsidRPr="002135D8">
        <w:rPr>
          <w:rFonts w:ascii="Palatino Linotype" w:eastAsia="Palatino Linotype" w:hAnsi="Palatino Linotype" w:cs="Palatino Linotype"/>
          <w:color w:val="000000" w:themeColor="text1"/>
        </w:rPr>
        <w:t>informó que no existió registro alguno,  como se muestra a continuación:</w:t>
      </w:r>
    </w:p>
    <w:p w:rsidR="007C0CB2" w:rsidRPr="002135D8" w:rsidRDefault="007C0CB2" w:rsidP="0084705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7C0CB2" w:rsidRPr="002135D8" w:rsidRDefault="007C0CB2" w:rsidP="00847053">
      <w:pPr>
        <w:numPr>
          <w:ilvl w:val="0"/>
          <w:numId w:val="1"/>
        </w:numPr>
        <w:spacing w:line="360" w:lineRule="auto"/>
        <w:ind w:left="0" w:firstLine="0"/>
        <w:jc w:val="both"/>
        <w:rPr>
          <w:rFonts w:ascii="Palatino Linotype" w:eastAsia="Palatino Linotype" w:hAnsi="Palatino Linotype" w:cs="Palatino Linotype"/>
          <w:i/>
          <w:color w:val="000000" w:themeColor="text1"/>
        </w:rPr>
      </w:pPr>
    </w:p>
    <w:p w:rsidR="00BB07C9" w:rsidRDefault="00BB07C9" w:rsidP="00BB07C9">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De lo anterior,  se debe de mencionar que respecto al cambio de modalidad el artículo 155, fracción V, de la Ley de Transparencia y Acceso a la Información Pública del Estado de México y Municipios, precisa que para presentar una solicitud, la particular podrá señalar </w:t>
      </w:r>
      <w:r w:rsidRPr="002135D8">
        <w:rPr>
          <w:rFonts w:ascii="Palatino Linotype" w:eastAsia="Palatino Linotype" w:hAnsi="Palatino Linotype" w:cs="Palatino Linotype"/>
          <w:b/>
          <w:color w:val="000000" w:themeColor="text1"/>
        </w:rPr>
        <w:t>la modalidad en la que prefiere se otorgue el acceso a la información</w:t>
      </w:r>
      <w:r w:rsidRPr="002135D8">
        <w:rPr>
          <w:rFonts w:ascii="Palatino Linotype" w:eastAsia="Palatino Linotype" w:hAnsi="Palatino Linotype" w:cs="Palatino Linotype"/>
          <w:color w:val="000000" w:themeColor="text1"/>
        </w:rPr>
        <w:t>, la cual podrá ser verbal, siempre y cuando sea para fines de orientación, mediante consulta directa, mediante la expedición de copias simples o certificadas o la reproducción en cualquier otro medio, incluidos los electrónicos.</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color w:val="000000" w:themeColor="text1"/>
        </w:rPr>
        <w:t xml:space="preserve">El artículo 158, dispone que, de manera excepcional, cuando de manera fundada y motivada lo determine el Sujeto Obligado, </w:t>
      </w:r>
      <w:r w:rsidRPr="002135D8">
        <w:rPr>
          <w:rFonts w:ascii="Palatino Linotype" w:eastAsia="Palatino Linotype" w:hAnsi="Palatino Linotype" w:cs="Palatino Linotype"/>
          <w:b/>
          <w:color w:val="000000" w:themeColor="text1"/>
        </w:rPr>
        <w:t>en los casos en que la entrega de la información que se encuentre a su disposición, sobrepase las capacidades técnicas, administrativas y humanas del Sujeto Obligado para cumplir con la solicitud,  podrá poner a disposición del solicitante la información en consulta directa.</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En ese orden de ideas, el artículo 164 de dicho ordenamiento jurídico, prevé que el acceso se dará en la modalidad de entrega y, en su caso, de envío elegidos por al solicitante. </w:t>
      </w:r>
      <w:r w:rsidRPr="002135D8">
        <w:rPr>
          <w:rFonts w:ascii="Palatino Linotype" w:eastAsia="Palatino Linotype" w:hAnsi="Palatino Linotype" w:cs="Palatino Linotype"/>
          <w:b/>
          <w:color w:val="000000" w:themeColor="text1"/>
        </w:rPr>
        <w:t>Cuando la información no pueda entregarse o enviarse en la modalidad elegida, el sujeto obligado deberá ofrecer otra u otras modalidades de entrega.</w:t>
      </w:r>
      <w:r w:rsidRPr="002135D8">
        <w:rPr>
          <w:rFonts w:ascii="Palatino Linotype" w:eastAsia="Palatino Linotype" w:hAnsi="Palatino Linotype" w:cs="Palatino Linotype"/>
          <w:color w:val="000000" w:themeColor="text1"/>
        </w:rPr>
        <w:t xml:space="preserve"> En cualquier caso, </w:t>
      </w:r>
      <w:r w:rsidRPr="002135D8">
        <w:rPr>
          <w:rFonts w:ascii="Palatino Linotype" w:eastAsia="Palatino Linotype" w:hAnsi="Palatino Linotype" w:cs="Palatino Linotype"/>
          <w:b/>
          <w:color w:val="000000" w:themeColor="text1"/>
        </w:rPr>
        <w:t>se deberá fundar y motivar</w:t>
      </w:r>
      <w:r w:rsidRPr="002135D8">
        <w:rPr>
          <w:rFonts w:ascii="Palatino Linotype" w:eastAsia="Palatino Linotype" w:hAnsi="Palatino Linotype" w:cs="Palatino Linotype"/>
          <w:color w:val="000000" w:themeColor="text1"/>
        </w:rPr>
        <w:t xml:space="preserve"> la necesidad de ofrecer otras modalidades.</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2135D8">
        <w:rPr>
          <w:rFonts w:ascii="Palatino Linotype" w:eastAsia="Palatino Linotype" w:hAnsi="Palatino Linotype" w:cs="Palatino Linotype"/>
          <w:b/>
          <w:color w:val="000000" w:themeColor="text1"/>
        </w:rPr>
        <w:t>en la medida de lo posible, en la forma solicitada por el interesado, salvo que exista un impedimento justificado para atenderla</w:t>
      </w:r>
      <w:r w:rsidRPr="002135D8">
        <w:rPr>
          <w:rFonts w:ascii="Palatino Linotype" w:eastAsia="Palatino Linotype" w:hAnsi="Palatino Linotype" w:cs="Palatino Linotype"/>
          <w:color w:val="000000" w:themeColor="text1"/>
        </w:rPr>
        <w:t xml:space="preserve">, en cuyo caso, deberán exponerse las razones por las cuales no es posible utilizar el medio de reproducción solicitado; en este sentido, la entrega de la información en una modalidad distinta a la elegida por la particular </w:t>
      </w:r>
      <w:r w:rsidRPr="002135D8">
        <w:rPr>
          <w:rFonts w:ascii="Palatino Linotype" w:eastAsia="Palatino Linotype" w:hAnsi="Palatino Linotype" w:cs="Palatino Linotype"/>
          <w:b/>
          <w:color w:val="000000" w:themeColor="text1"/>
        </w:rPr>
        <w:t>sólo procede, en caso de que se acredite la imposibilidad de atenderla.</w:t>
      </w:r>
      <w:r w:rsidRPr="002135D8">
        <w:rPr>
          <w:rFonts w:ascii="Palatino Linotype" w:eastAsia="Palatino Linotype" w:hAnsi="Palatino Linotype" w:cs="Palatino Linotype"/>
          <w:color w:val="000000" w:themeColor="text1"/>
        </w:rPr>
        <w:t xml:space="preserve"> </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Así, cuando se justifique el impedimento, los Sujetos Obligados deberán ofrecer al</w:t>
      </w:r>
      <w:r w:rsidRPr="002135D8">
        <w:rPr>
          <w:rFonts w:ascii="Palatino Linotype" w:eastAsia="Palatino Linotype" w:hAnsi="Palatino Linotype" w:cs="Palatino Linotype"/>
          <w:b/>
          <w:color w:val="000000" w:themeColor="text1"/>
        </w:rPr>
        <w:t xml:space="preserve"> particular otras </w:t>
      </w:r>
      <w:r w:rsidRPr="002135D8">
        <w:rPr>
          <w:rFonts w:ascii="Palatino Linotype" w:eastAsia="Palatino Linotype" w:hAnsi="Palatino Linotype" w:cs="Palatino Linotype"/>
          <w:color w:val="000000" w:themeColor="text1"/>
        </w:rPr>
        <w:t>modalidades</w:t>
      </w:r>
      <w:r w:rsidRPr="002135D8">
        <w:rPr>
          <w:rFonts w:ascii="Palatino Linotype" w:eastAsia="Palatino Linotype" w:hAnsi="Palatino Linotype" w:cs="Palatino Linotype"/>
          <w:b/>
          <w:color w:val="000000" w:themeColor="text1"/>
        </w:rPr>
        <w:t xml:space="preserve"> de entrega que permita la información</w:t>
      </w:r>
      <w:r w:rsidRPr="002135D8">
        <w:rPr>
          <w:rFonts w:ascii="Palatino Linotype" w:eastAsia="Palatino Linotype" w:hAnsi="Palatino Linotype" w:cs="Palatino Linotype"/>
          <w:color w:val="000000" w:themeColor="text1"/>
        </w:rPr>
        <w:t>, como consulta directa en las oficinas de la Unidad de Transparencia; lo anterior, es robustecido con el Criterio 08/17, emitido por el Pleno del Instituto Nacional de Transparencia, Acceso a la Información y Protección de Datos Personales, vigente a la fecha de la solicitud de información, el cual establece lo siguiente:</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“Modalidad de entrega. Procedencia de proporcionar la información solicitada en una diversa a la elegida por el solicitante.</w:t>
      </w:r>
      <w:r w:rsidRPr="002135D8">
        <w:rPr>
          <w:rFonts w:ascii="Palatino Linotype" w:eastAsia="Palatino Linotype" w:hAnsi="Palatino Linotype" w:cs="Palatino Linotype"/>
          <w:i/>
          <w:color w:val="000000" w:themeColor="text1"/>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w:t>
      </w:r>
      <w:r w:rsidRPr="002135D8">
        <w:rPr>
          <w:rFonts w:ascii="Palatino Linotype" w:eastAsia="Palatino Linotype" w:hAnsi="Palatino Linotype" w:cs="Palatino Linotype"/>
          <w:i/>
          <w:color w:val="000000" w:themeColor="text1"/>
        </w:rPr>
        <w:lastRenderedPageBreak/>
        <w:t>de la información en todas las modalidades que permita el documento de que se trate, procurando reducir, en todo momento, los costos de entrega.”</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color w:val="000000" w:themeColor="text1"/>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2135D8">
        <w:rPr>
          <w:rFonts w:ascii="Palatino Linotype" w:eastAsia="Palatino Linotype" w:hAnsi="Palatino Linotype" w:cs="Palatino Linotype"/>
          <w:b/>
          <w:color w:val="000000" w:themeColor="text1"/>
        </w:rPr>
        <w:t>información en todas las modalidades que lo permitan, procurando reducir los costos de entrega.</w:t>
      </w:r>
    </w:p>
    <w:p w:rsidR="007C0CB2" w:rsidRPr="002135D8" w:rsidRDefault="007C0CB2" w:rsidP="00847053">
      <w:pP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7C0CB2" w:rsidRPr="002135D8" w:rsidRDefault="00C30305" w:rsidP="00847053">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Las razones por las cuales la información implicaba un análisis, estudio o procesamiento de datos;</w:t>
      </w:r>
    </w:p>
    <w:p w:rsidR="007C0CB2" w:rsidRPr="002135D8" w:rsidRDefault="00C30305" w:rsidP="00847053">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El tiempo no es suficiente para atender la solicitud en la modalidad elegida, y</w:t>
      </w:r>
    </w:p>
    <w:p w:rsidR="007C0CB2" w:rsidRPr="002135D8" w:rsidRDefault="00C30305" w:rsidP="00847053">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La cantidad de recursos humanos y materiales con los que cuenta el Sujeto Obligado son insuficientes.</w:t>
      </w:r>
    </w:p>
    <w:p w:rsidR="007C0CB2" w:rsidRPr="002135D8" w:rsidRDefault="007C0CB2" w:rsidP="00847053">
      <w:pP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color w:val="000000" w:themeColor="text1"/>
        </w:rPr>
        <w:t xml:space="preserve">Luego entonces, resulta evidente que no se acreditó la imposibilidad para proporcionar la información a través del Sistema de Acceso a la Información Mexiquense, a más de lo anterior el </w:t>
      </w:r>
      <w:r w:rsidRPr="002135D8">
        <w:rPr>
          <w:rFonts w:ascii="Palatino Linotype" w:eastAsia="Palatino Linotype" w:hAnsi="Palatino Linotype" w:cs="Palatino Linotype"/>
          <w:b/>
          <w:color w:val="000000" w:themeColor="text1"/>
        </w:rPr>
        <w:t xml:space="preserve">SUJETO OBLIGADO </w:t>
      </w:r>
      <w:r w:rsidRPr="002135D8">
        <w:rPr>
          <w:rFonts w:ascii="Palatino Linotype" w:eastAsia="Palatino Linotype" w:hAnsi="Palatino Linotype" w:cs="Palatino Linotype"/>
          <w:color w:val="000000" w:themeColor="text1"/>
        </w:rPr>
        <w:t xml:space="preserve">omitió ponerla a disposición </w:t>
      </w:r>
      <w:r w:rsidRPr="002135D8">
        <w:rPr>
          <w:rFonts w:ascii="Palatino Linotype" w:eastAsia="Palatino Linotype" w:hAnsi="Palatino Linotype" w:cs="Palatino Linotype"/>
          <w:color w:val="000000" w:themeColor="text1"/>
        </w:rPr>
        <w:lastRenderedPageBreak/>
        <w:t>en todas las modalidades posibles, como de manera enunciativa mas no limitativa lo son: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rsidR="007C0CB2" w:rsidRPr="002135D8" w:rsidRDefault="007C0CB2" w:rsidP="00847053">
      <w:pP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Bajo los argumentos expuestos, resulta procedente ordenar al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poner a disposición de la persona solicitante la información requerida, de ser procedente en versión pública, </w:t>
      </w:r>
      <w:r w:rsidRPr="002135D8">
        <w:rPr>
          <w:rFonts w:ascii="Palatino Linotype" w:eastAsia="Palatino Linotype" w:hAnsi="Palatino Linotype" w:cs="Palatino Linotype"/>
          <w:b/>
          <w:color w:val="000000" w:themeColor="text1"/>
          <w:u w:val="single"/>
        </w:rPr>
        <w:t>en todas las modalidades posibles</w:t>
      </w:r>
      <w:r w:rsidRPr="002135D8">
        <w:rPr>
          <w:rFonts w:ascii="Palatino Linotype" w:eastAsia="Palatino Linotype" w:hAnsi="Palatino Linotype" w:cs="Palatino Linotype"/>
          <w:color w:val="000000" w:themeColor="text1"/>
        </w:rPr>
        <w:t xml:space="preserve">, de manera enunciativa, más no limitativa: </w:t>
      </w:r>
      <w:r w:rsidRPr="002135D8">
        <w:rPr>
          <w:rFonts w:ascii="Palatino Linotype" w:eastAsia="Palatino Linotype" w:hAnsi="Palatino Linotype" w:cs="Palatino Linotype"/>
          <w:b/>
          <w:color w:val="000000" w:themeColor="text1"/>
          <w:u w:val="single"/>
        </w:rPr>
        <w:t>disco compacto, dispositivos de almacenamiento (CD-ROM, USB, Disco duro extraíble, etcétera), consulta directa, copias simples o certificadas, con posibilidad de entrega en la Unidad de Transparencia o a domicilio por correo certificado</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 xml:space="preserve">previo pago de los derechos correspondientes, </w:t>
      </w:r>
      <w:r w:rsidRPr="002135D8">
        <w:rPr>
          <w:rFonts w:ascii="Palatino Linotype" w:eastAsia="Palatino Linotype" w:hAnsi="Palatino Linotype" w:cs="Palatino Linotype"/>
          <w:b/>
          <w:color w:val="000000" w:themeColor="text1"/>
          <w:u w:val="single"/>
        </w:rPr>
        <w:t>o sin costo, para el caso de que la persona solicitante proporcione disco compacto o los medios magnéticos</w:t>
      </w:r>
      <w:r w:rsidRPr="002135D8">
        <w:rPr>
          <w:rFonts w:ascii="Palatino Linotype" w:eastAsia="Palatino Linotype" w:hAnsi="Palatino Linotype" w:cs="Palatino Linotype"/>
          <w:color w:val="000000" w:themeColor="text1"/>
        </w:rPr>
        <w:t>, como establece el último párrafo del artículo 148 del Código Financiero del Estado de México, citado con antelación.</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Es necesario aclarar, para el caso del Ayuntamiento de Toluca NO se advierte una imposibilidad para subir la información en una liga electrónica de acceso en Internet, por contar con el equipo electrónico adecuado y un servidor para eventualmente omitir dicha modalidad; toda vez que cuentan con dominio propio adquirido a la empresa Akky Online Solutions, S.A. DE C.V., ya vinculado con un </w:t>
      </w:r>
      <w:r w:rsidRPr="002135D8">
        <w:rPr>
          <w:rFonts w:ascii="Palatino Linotype" w:eastAsia="Palatino Linotype" w:hAnsi="Palatino Linotype" w:cs="Palatino Linotype"/>
          <w:color w:val="000000" w:themeColor="text1"/>
        </w:rPr>
        <w:lastRenderedPageBreak/>
        <w:t>servidor, es decir que cuenta con un espacio en la nube de Cloudflare, como se desprende de los registros del dominio institucional (toluca.gob.mx), a saber:</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noProof/>
          <w:color w:val="000000" w:themeColor="text1"/>
          <w:lang w:val="es-MX" w:eastAsia="es-MX"/>
        </w:rPr>
        <w:drawing>
          <wp:inline distT="0" distB="0" distL="0" distR="0">
            <wp:extent cx="5311140" cy="352171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11140" cy="3521710"/>
                    </a:xfrm>
                    <a:prstGeom prst="rect">
                      <a:avLst/>
                    </a:prstGeom>
                    <a:ln/>
                  </pic:spPr>
                </pic:pic>
              </a:graphicData>
            </a:graphic>
          </wp:inline>
        </w:drawing>
      </w: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noProof/>
          <w:color w:val="000000" w:themeColor="text1"/>
          <w:lang w:val="es-MX" w:eastAsia="es-MX"/>
        </w:rPr>
        <w:drawing>
          <wp:inline distT="0" distB="0" distL="0" distR="0">
            <wp:extent cx="5311140" cy="229362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11140" cy="2293620"/>
                    </a:xfrm>
                    <a:prstGeom prst="rect">
                      <a:avLst/>
                    </a:prstGeom>
                    <a:ln/>
                  </pic:spPr>
                </pic:pic>
              </a:graphicData>
            </a:graphic>
          </wp:inline>
        </w:drawing>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Conforme a lo anterior, se considera que el Sujeto Obligado deberá poner a disposición del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En tal tesitura, si dentro del transcurso del término señalado en el párrafo anterior, </w:t>
      </w:r>
      <w:r w:rsidRPr="002135D8">
        <w:rPr>
          <w:rFonts w:ascii="Palatino Linotype" w:eastAsia="Palatino Linotype" w:hAnsi="Palatino Linotype" w:cs="Palatino Linotype"/>
          <w:b/>
          <w:color w:val="000000" w:themeColor="text1"/>
        </w:rPr>
        <w:t xml:space="preserve">la parte  </w:t>
      </w:r>
      <w:r w:rsidRPr="002135D8">
        <w:rPr>
          <w:rFonts w:ascii="Palatino Linotype" w:eastAsia="Palatino Linotype" w:hAnsi="Palatino Linotype" w:cs="Palatino Linotype"/>
          <w:color w:val="000000" w:themeColor="text1"/>
        </w:rPr>
        <w:t xml:space="preserve">Recurrente acude por la información,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levantará un acta de hechos misma que debe ser remitida a este Instituto, por conducto de la </w:t>
      </w:r>
      <w:r w:rsidRPr="002135D8">
        <w:rPr>
          <w:rFonts w:ascii="Palatino Linotype" w:eastAsia="Palatino Linotype" w:hAnsi="Palatino Linotype" w:cs="Palatino Linotype"/>
          <w:b/>
          <w:color w:val="000000" w:themeColor="text1"/>
        </w:rPr>
        <w:t>Secretaría Técnica del Pleno</w:t>
      </w:r>
      <w:r w:rsidRPr="002135D8">
        <w:rPr>
          <w:rFonts w:ascii="Palatino Linotype" w:eastAsia="Palatino Linotype" w:hAnsi="Palatino Linotype" w:cs="Palatino Linotype"/>
          <w:color w:val="000000" w:themeColor="text1"/>
        </w:rPr>
        <w:t xml:space="preserve">, junto con el acuse de recibo de la información del Particular; sin embargo, si una vez fenecido el plazo, no acudiera por los documentos ordenados,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mediante acuerdo dará por concluida la solicitud y podrá, de ser el caso, realizar la destrucción del material en el que se reprodujo, situación que también deberá informar a este Instituto, por el mismo conducto.</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Establecido lo anterior, las razones o motivos de inconformidad hechos valer por el </w:t>
      </w:r>
      <w:r w:rsidRPr="002135D8">
        <w:rPr>
          <w:rFonts w:ascii="Palatino Linotype" w:eastAsia="Palatino Linotype" w:hAnsi="Palatino Linotype" w:cs="Palatino Linotype"/>
          <w:b/>
          <w:color w:val="000000" w:themeColor="text1"/>
        </w:rPr>
        <w:t xml:space="preserve">RECURRENTE </w:t>
      </w:r>
      <w:r w:rsidRPr="002135D8">
        <w:rPr>
          <w:rFonts w:ascii="Palatino Linotype" w:eastAsia="Palatino Linotype" w:hAnsi="Palatino Linotype" w:cs="Palatino Linotype"/>
          <w:color w:val="000000" w:themeColor="text1"/>
        </w:rPr>
        <w:t xml:space="preserve">resultan </w:t>
      </w:r>
      <w:r w:rsidRPr="002135D8">
        <w:rPr>
          <w:rFonts w:ascii="Palatino Linotype" w:eastAsia="Palatino Linotype" w:hAnsi="Palatino Linotype" w:cs="Palatino Linotype"/>
          <w:b/>
          <w:color w:val="000000" w:themeColor="text1"/>
        </w:rPr>
        <w:t>fundadas y procedentes</w:t>
      </w:r>
      <w:r w:rsidRPr="002135D8">
        <w:rPr>
          <w:rFonts w:ascii="Palatino Linotype" w:eastAsia="Palatino Linotype" w:hAnsi="Palatino Linotype" w:cs="Palatino Linotype"/>
          <w:color w:val="000000" w:themeColor="text1"/>
        </w:rPr>
        <w:t xml:space="preserve">, debido a que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no ordeno la entrega de información ,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w:t>
      </w:r>
      <w:r w:rsidRPr="002135D8">
        <w:rPr>
          <w:rFonts w:ascii="Palatino Linotype" w:eastAsia="Palatino Linotype" w:hAnsi="Palatino Linotype" w:cs="Palatino Linotype"/>
          <w:color w:val="000000" w:themeColor="text1"/>
        </w:rPr>
        <w:lastRenderedPageBreak/>
        <w:t xml:space="preserve">correo certificado, previo a pago de los derechos correspondientes, de ser el caso en versión pública. </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Respecto de las obras inauguradas por dos presidentes municipales, no existió pronunciamiento alguno, por lo cual es dable realizar el siguiente pronunciamiento. Respecto de Juan Maccise Naime, corresponde al Expresidente Municipal de Toluca suplente, quien rindió protesta para concluir la gestión 2022 - 2024 del gobierno municipal, encontrándose en funciones en el año en el que se requiere la información, en esa tesitura, en dicha anualidad, se realizaron diversas inauguraciones por dicho Expresidente, de las que dan cuenta múltiples notas periodísticas, como la de referencia:</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noProof/>
          <w:color w:val="000000" w:themeColor="text1"/>
          <w:lang w:val="es-MX" w:eastAsia="es-MX"/>
        </w:rPr>
        <w:drawing>
          <wp:inline distT="0" distB="0" distL="0" distR="0">
            <wp:extent cx="4277655" cy="3528871"/>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277655" cy="3528871"/>
                    </a:xfrm>
                    <a:prstGeom prst="rect">
                      <a:avLst/>
                    </a:prstGeom>
                    <a:ln/>
                  </pic:spPr>
                </pic:pic>
              </a:graphicData>
            </a:graphic>
          </wp:inline>
        </w:drawing>
      </w:r>
    </w:p>
    <w:p w:rsidR="00847053" w:rsidRPr="002135D8" w:rsidRDefault="00847053" w:rsidP="00847053">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2135D8">
        <w:rPr>
          <w:rFonts w:ascii="Palatino Linotype" w:eastAsia="Palatino Linotype" w:hAnsi="Palatino Linotype" w:cs="Palatino Linotype"/>
          <w:b/>
          <w:i/>
          <w:color w:val="000000" w:themeColor="text1"/>
        </w:rPr>
        <w:t>“NOTAS PERIODISTICAS, EL CONOCIMIENTO QUE DE ELLAS SE OBTIENE NO CONSTITUYE ‘UN HECHO PUBLICO Y NOTORIO’”</w:t>
      </w:r>
      <w:r w:rsidRPr="002135D8">
        <w:rPr>
          <w:rFonts w:ascii="Palatino Linotype" w:eastAsia="Palatino Linotype" w:hAnsi="Palatino Linotype" w:cs="Palatino Linotype"/>
          <w:color w:val="000000" w:themeColor="text1"/>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Luego entonces es procedente que se localice el soporte documental en que conste o se advierta el número de obras públicas concluidas e inauguradas por el Expresidente Municipal de Toluca suplente, en el ejercicio 2024.</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Derivado de lo anterior, </w:t>
      </w:r>
      <w:r w:rsidRPr="002135D8">
        <w:rPr>
          <w:rFonts w:ascii="Palatino Linotype" w:eastAsia="Palatino Linotype" w:hAnsi="Palatino Linotype" w:cs="Palatino Linotype"/>
          <w:b/>
          <w:color w:val="000000" w:themeColor="text1"/>
        </w:rPr>
        <w:t xml:space="preserve">EL SUJETO OBLIGADO </w:t>
      </w:r>
      <w:r w:rsidRPr="002135D8">
        <w:rPr>
          <w:rFonts w:ascii="Palatino Linotype" w:eastAsia="Palatino Linotype" w:hAnsi="Palatino Linotype" w:cs="Palatino Linotype"/>
          <w:color w:val="000000" w:themeColor="text1"/>
        </w:rPr>
        <w:t>debe seguir a cabalidad el procedimiento de acceso a la información previsto en el artículo 162 de la Ley de Transparencia y Acceso a la Información Pública del Estado de México y Municipios, esto es turnar a todas las Áreas competentes que pudieran contar con la información o deban tenerla de acuerdo a sus facultades, competencias y funciones, con el objeto de que realicen una búsqueda exhaustiva y razonable de la información solicitada.</w:t>
      </w: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Ahora bien, de las obras inauguradas por Ricardo Moreno Bastida, refiere el particular que deberá corresponder aquellas que </w:t>
      </w:r>
      <w:r w:rsidRPr="002135D8">
        <w:rPr>
          <w:rFonts w:ascii="Palatino Linotype" w:eastAsia="Palatino Linotype" w:hAnsi="Palatino Linotype" w:cs="Palatino Linotype"/>
          <w:i/>
          <w:color w:val="000000" w:themeColor="text1"/>
        </w:rPr>
        <w:t>le dejarón</w:t>
      </w:r>
      <w:r w:rsidRPr="002135D8">
        <w:rPr>
          <w:rFonts w:ascii="Palatino Linotype" w:eastAsia="Palatino Linotype" w:hAnsi="Palatino Linotype" w:cs="Palatino Linotype"/>
          <w:color w:val="000000" w:themeColor="text1"/>
        </w:rPr>
        <w:t xml:space="preserve"> para inaugurar; luego entonces el lapso temporal del rubro en comento versara respecto de aquellas obras inauguradas por el Presidente Municipal de Toluca para el periodo 2025 – 2027, proyectadas en el año 2024, a la fecha de la solicitud.</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Contexto del cual al no existir pronunciamiento se realizó la búsqueda de indicios, no localizando ningún tipo de indicio al respecto, por lo que este Órgano Garante no tiene certeza de que se haya generado, poseído o administrado, por lo que existe una alta probabilidad que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no cuente con lo solicitado, sumado al corto lapso temporal que versa al 13 de enero de dos mil veinticinco; toda vez que la solicitud de información se interpuso el tres de enero de dos mil veinticinco, el cual, al ser inhábil, quedó registrado en el SAIMEX el siguiente día hábil, es decir el día trece del mismo mes ya año.</w:t>
      </w:r>
    </w:p>
    <w:p w:rsidR="007C0CB2" w:rsidRPr="002135D8" w:rsidRDefault="007C0CB2" w:rsidP="0084705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Luego entonces, se deber realizar al igual que el punto anterior, una búsqueda exhaustiva y razonable de lo solicitado y entregarlo al ahora </w:t>
      </w:r>
      <w:r w:rsidRPr="002135D8">
        <w:rPr>
          <w:rFonts w:ascii="Palatino Linotype" w:eastAsia="Palatino Linotype" w:hAnsi="Palatino Linotype" w:cs="Palatino Linotype"/>
          <w:b/>
          <w:color w:val="000000" w:themeColor="text1"/>
        </w:rPr>
        <w:t xml:space="preserve">RECURRRENTE </w:t>
      </w:r>
      <w:r w:rsidRPr="002135D8">
        <w:rPr>
          <w:rFonts w:ascii="Palatino Linotype" w:eastAsia="Palatino Linotype" w:hAnsi="Palatino Linotype" w:cs="Palatino Linotype"/>
          <w:color w:val="000000" w:themeColor="text1"/>
        </w:rPr>
        <w:t xml:space="preserve"> y para el caso de no localizar soporte documental alguno, bastara que lo haga del conocimiento del solicitante al momento de dar cumplimiento al presente proveído.</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6"/>
        </w:numPr>
        <w:tabs>
          <w:tab w:val="left" w:pos="7938"/>
        </w:tabs>
        <w:spacing w:line="360" w:lineRule="auto"/>
        <w:ind w:left="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 xml:space="preserve">De la vista a los órganos de control interno competentes </w:t>
      </w:r>
    </w:p>
    <w:p w:rsidR="007C0CB2" w:rsidRPr="002135D8" w:rsidRDefault="00C30305" w:rsidP="0084705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Como ya se mencionó el</w:t>
      </w:r>
      <w:r w:rsidRPr="002135D8">
        <w:rPr>
          <w:rFonts w:ascii="Palatino Linotype" w:eastAsia="Palatino Linotype" w:hAnsi="Palatino Linotype" w:cs="Palatino Linotype"/>
          <w:b/>
          <w:color w:val="000000" w:themeColor="text1"/>
        </w:rPr>
        <w:t xml:space="preserve"> SUJETO OBLIGADO</w:t>
      </w:r>
      <w:r w:rsidRPr="002135D8">
        <w:rPr>
          <w:rFonts w:ascii="Palatino Linotype" w:eastAsia="Palatino Linotype" w:hAnsi="Palatino Linotype" w:cs="Palatino Linotype"/>
          <w:color w:val="000000" w:themeColor="text1"/>
        </w:rPr>
        <w:t xml:space="preserve">, no proporcionó respuesta a la solicitud de acceso a la información pública, en el término previsto en el artículo 163 de </w:t>
      </w:r>
      <w:r w:rsidRPr="002135D8">
        <w:rPr>
          <w:rFonts w:ascii="Palatino Linotype" w:eastAsia="Palatino Linotype" w:hAnsi="Palatino Linotype" w:cs="Palatino Linotype"/>
          <w:color w:val="000000" w:themeColor="text1"/>
        </w:rPr>
        <w:lastRenderedPageBreak/>
        <w:t>la Ley de Transparencia y Acceso a la Información Pública por lo que ordena dar vista</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Por lo tanto, de lo expuesto y con fundamento en la fracción IV del artículo 186, de la Ley de Transparencia y Acceso a la Información Pública del Estado de México y Municipios, se </w:t>
      </w:r>
      <w:r w:rsidRPr="002135D8">
        <w:rPr>
          <w:rFonts w:ascii="Palatino Linotype" w:eastAsia="Palatino Linotype" w:hAnsi="Palatino Linotype" w:cs="Palatino Linotype"/>
          <w:b/>
          <w:color w:val="000000" w:themeColor="text1"/>
        </w:rPr>
        <w:t>ORDENA</w:t>
      </w:r>
      <w:r w:rsidRPr="002135D8">
        <w:rPr>
          <w:rFonts w:ascii="Palatino Linotype" w:eastAsia="Palatino Linotype" w:hAnsi="Palatino Linotype" w:cs="Palatino Linotype"/>
          <w:color w:val="000000" w:themeColor="text1"/>
        </w:rPr>
        <w:t xml:space="preserve"> al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atienda la solicitud de información </w:t>
      </w:r>
      <w:r w:rsidRPr="002135D8">
        <w:rPr>
          <w:rFonts w:ascii="Palatino Linotype" w:eastAsia="Palatino Linotype" w:hAnsi="Palatino Linotype" w:cs="Palatino Linotype"/>
          <w:b/>
          <w:color w:val="000000" w:themeColor="text1"/>
        </w:rPr>
        <w:t>00116/TOLUCA/IP/2025,</w:t>
      </w:r>
      <w:r w:rsidRPr="002135D8">
        <w:rPr>
          <w:rFonts w:ascii="Palatino Linotype" w:eastAsia="Palatino Linotype" w:hAnsi="Palatino Linotype" w:cs="Palatino Linotype"/>
          <w:color w:val="000000" w:themeColor="text1"/>
        </w:rPr>
        <w:t xml:space="preserve"> que ha sido materia del presente fallo.</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QUINTO. De la versión pública.</w:t>
      </w: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Finalmente, debe señalarse que de ser el caso en que los documentos que vayan a ser entregados por el</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 xml:space="preserve">sujeto obligado, para dar cumplimiento a la presente resolución, contengan datos que deban ser clasificados,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Para efectos de la elaboración de la versión pública se deberá observar lo dispuesto por los artículos 3 fracciones IX, XX, XXI y XLV, 91, 132 fracciones II y III, y </w:t>
      </w:r>
      <w:r w:rsidRPr="002135D8">
        <w:rPr>
          <w:rFonts w:ascii="Palatino Linotype" w:eastAsia="Palatino Linotype" w:hAnsi="Palatino Linotype" w:cs="Palatino Linotype"/>
          <w:color w:val="000000" w:themeColor="text1"/>
        </w:rPr>
        <w:lastRenderedPageBreak/>
        <w:t>143 fracción I de la Ley de Transparencia y Acceso a la Información Pública del Estado de México y Municipios que establecen:</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r w:rsidRPr="002135D8">
        <w:rPr>
          <w:rFonts w:ascii="Palatino Linotype" w:eastAsia="Palatino Linotype" w:hAnsi="Palatino Linotype" w:cs="Palatino Linotype"/>
          <w:b/>
          <w:i/>
          <w:color w:val="000000" w:themeColor="text1"/>
        </w:rPr>
        <w:t>Artículo 3</w:t>
      </w:r>
      <w:r w:rsidRPr="002135D8">
        <w:rPr>
          <w:rFonts w:ascii="Palatino Linotype" w:eastAsia="Palatino Linotype" w:hAnsi="Palatino Linotype" w:cs="Palatino Linotype"/>
          <w:i/>
          <w:color w:val="000000" w:themeColor="text1"/>
        </w:rPr>
        <w:t>. Para los efectos de la presente Ley se entenderá por:</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IX. Datos personales</w:t>
      </w:r>
      <w:r w:rsidRPr="002135D8">
        <w:rPr>
          <w:rFonts w:ascii="Palatino Linotype" w:eastAsia="Palatino Linotype" w:hAnsi="Palatino Linotype" w:cs="Palatino Linotype"/>
          <w:i/>
          <w:color w:val="000000" w:themeColor="text1"/>
        </w:rPr>
        <w:t xml:space="preserve">: La información concerniente a una persona, identificada o identificable según lo dispuesto por la Ley de Protección de Datos Personales del Estado de México; </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XX. Información clasificada</w:t>
      </w:r>
      <w:r w:rsidRPr="002135D8">
        <w:rPr>
          <w:rFonts w:ascii="Palatino Linotype" w:eastAsia="Palatino Linotype" w:hAnsi="Palatino Linotype" w:cs="Palatino Linotype"/>
          <w:i/>
          <w:color w:val="000000" w:themeColor="text1"/>
        </w:rPr>
        <w:t>: Aquella considerada por la presente Ley como reservada o confidencial;</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 xml:space="preserve">XXI. Información confidencial: </w:t>
      </w:r>
      <w:r w:rsidRPr="002135D8">
        <w:rPr>
          <w:rFonts w:ascii="Palatino Linotype" w:eastAsia="Palatino Linotype" w:hAnsi="Palatino Linotype" w:cs="Palatino Linotype"/>
          <w:i/>
          <w:color w:val="000000" w:themeColor="text1"/>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XLV. Versión pública:</w:t>
      </w:r>
      <w:r w:rsidRPr="002135D8">
        <w:rPr>
          <w:rFonts w:ascii="Palatino Linotype" w:eastAsia="Palatino Linotype" w:hAnsi="Palatino Linotype" w:cs="Palatino Linotype"/>
          <w:i/>
          <w:color w:val="000000" w:themeColor="text1"/>
        </w:rPr>
        <w:t xml:space="preserve"> Documento en el que se elimine, suprime o borra la información clasificada como reservada o confidencial para permitir su acceso.</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p>
    <w:p w:rsidR="007C0CB2" w:rsidRPr="002135D8" w:rsidRDefault="007C0CB2" w:rsidP="00847053">
      <w:pP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Artículo 91.</w:t>
      </w:r>
      <w:r w:rsidRPr="002135D8">
        <w:rPr>
          <w:rFonts w:ascii="Palatino Linotype" w:eastAsia="Palatino Linotype" w:hAnsi="Palatino Linotype" w:cs="Palatino Linotype"/>
          <w:i/>
          <w:color w:val="000000" w:themeColor="text1"/>
        </w:rPr>
        <w:t xml:space="preserve"> El acceso a la información pública será restringido excepcionalmente, cuando ésta sea clasificada como reservada o confidencial.</w:t>
      </w:r>
    </w:p>
    <w:p w:rsidR="007C0CB2" w:rsidRPr="002135D8" w:rsidRDefault="007C0CB2" w:rsidP="00847053">
      <w:pP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Artículo 132.</w:t>
      </w:r>
      <w:r w:rsidRPr="002135D8">
        <w:rPr>
          <w:rFonts w:ascii="Palatino Linotype" w:eastAsia="Palatino Linotype" w:hAnsi="Palatino Linotype" w:cs="Palatino Linotype"/>
          <w:i/>
          <w:color w:val="000000" w:themeColor="text1"/>
        </w:rPr>
        <w:t xml:space="preserve"> La clasificación de la información se llevará a cabo en el momento en que:</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w:t>
      </w:r>
      <w:r w:rsidRPr="002135D8">
        <w:rPr>
          <w:rFonts w:ascii="Palatino Linotype" w:eastAsia="Palatino Linotype" w:hAnsi="Palatino Linotype" w:cs="Palatino Linotype"/>
          <w:i/>
          <w:color w:val="000000" w:themeColor="text1"/>
        </w:rPr>
        <w:t>. Se reciba una solicitud de acceso a la información;</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II.</w:t>
      </w:r>
      <w:r w:rsidRPr="002135D8">
        <w:rPr>
          <w:rFonts w:ascii="Palatino Linotype" w:eastAsia="Palatino Linotype" w:hAnsi="Palatino Linotype" w:cs="Palatino Linotype"/>
          <w:i/>
          <w:color w:val="000000" w:themeColor="text1"/>
        </w:rPr>
        <w:t xml:space="preserve"> Se determine mediante resolución de autoridad competente; o</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lastRenderedPageBreak/>
        <w:t>III.</w:t>
      </w:r>
      <w:r w:rsidRPr="002135D8">
        <w:rPr>
          <w:rFonts w:ascii="Palatino Linotype" w:eastAsia="Palatino Linotype" w:hAnsi="Palatino Linotype" w:cs="Palatino Linotype"/>
          <w:i/>
          <w:color w:val="000000" w:themeColor="text1"/>
        </w:rPr>
        <w:t xml:space="preserve"> Se generen versiones públicas para dar cumplimiento a las obligaciones de transparencia previstas en esta Ley.</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w:t>
      </w:r>
    </w:p>
    <w:p w:rsidR="007C0CB2" w:rsidRPr="002135D8" w:rsidRDefault="007C0CB2" w:rsidP="00847053">
      <w:pP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Artículo 143</w:t>
      </w:r>
      <w:r w:rsidRPr="002135D8">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w:t>
      </w:r>
      <w:r w:rsidRPr="002135D8">
        <w:rPr>
          <w:rFonts w:ascii="Palatino Linotype" w:eastAsia="Palatino Linotype" w:hAnsi="Palatino Linotype" w:cs="Palatino Linotype"/>
          <w:i/>
          <w:color w:val="000000" w:themeColor="text1"/>
        </w:rPr>
        <w:t xml:space="preserve"> Se refiera a la información privada y los datos personales concernientes a una persona física o jurídico colectiva identificada o identificable;</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II.</w:t>
      </w:r>
      <w:r w:rsidRPr="002135D8">
        <w:rPr>
          <w:rFonts w:ascii="Palatino Linotype" w:eastAsia="Palatino Linotype" w:hAnsi="Palatino Linotype" w:cs="Palatino Linotype"/>
          <w:i/>
          <w:color w:val="000000" w:themeColor="text1"/>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III.</w:t>
      </w:r>
      <w:r w:rsidRPr="002135D8">
        <w:rPr>
          <w:rFonts w:ascii="Palatino Linotype" w:eastAsia="Palatino Linotype" w:hAnsi="Palatino Linotype" w:cs="Palatino Linotype"/>
          <w:i/>
          <w:color w:val="000000" w:themeColor="text1"/>
        </w:rPr>
        <w:t xml:space="preserve"> La que presenten los particulares a los sujetos obligados, de conformidad con lo dispuesto por las leyes o los tratados internacionales.</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La información confidencial no estará sujeta a temporalidad alguna y sólo podrán tener acceso a ella los titulares de la misma, sus representantes y los servidores públicos facultados para ello.</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No se considerará confidencial la información que se encuentre en los registros públicos o en fuentes de acceso público, ni tampoco la que sea considerada por la presente ley como información pública.”</w:t>
      </w:r>
    </w:p>
    <w:p w:rsidR="007C0CB2" w:rsidRPr="002135D8" w:rsidRDefault="007C0CB2" w:rsidP="00847053">
      <w:pP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w:t>
      </w:r>
      <w:r w:rsidRPr="002135D8">
        <w:rPr>
          <w:rFonts w:ascii="Palatino Linotype" w:eastAsia="Palatino Linotype" w:hAnsi="Palatino Linotype" w:cs="Palatino Linotype"/>
          <w:color w:val="000000" w:themeColor="text1"/>
        </w:rPr>
        <w:lastRenderedPageBreak/>
        <w:t>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Entorno a lo que aquí nos interesa, los Lineamientos Quincuagésimo sexto, Quincuagésimo séptimo y Quincuagésimo octavo, establecen lo siguiente:</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“Quincuagésimo sexto</w:t>
      </w:r>
      <w:r w:rsidRPr="002135D8">
        <w:rPr>
          <w:rFonts w:ascii="Palatino Linotype" w:eastAsia="Palatino Linotype" w:hAnsi="Palatino Linotype" w:cs="Palatino Linotype"/>
          <w:i/>
          <w:color w:val="000000" w:themeColor="text1"/>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Quincuagésimo séptimo</w:t>
      </w:r>
      <w:r w:rsidRPr="002135D8">
        <w:rPr>
          <w:rFonts w:ascii="Palatino Linotype" w:eastAsia="Palatino Linotype" w:hAnsi="Palatino Linotype" w:cs="Palatino Linotype"/>
          <w:i/>
          <w:color w:val="000000" w:themeColor="text1"/>
        </w:rPr>
        <w:t xml:space="preserve">. Se considera, en principio, como información pública y no podrá omitirse de las versiones públicas la siguiente: </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w:t>
      </w:r>
      <w:r w:rsidRPr="002135D8">
        <w:rPr>
          <w:rFonts w:ascii="Palatino Linotype" w:eastAsia="Palatino Linotype" w:hAnsi="Palatino Linotype" w:cs="Palatino Linotype"/>
          <w:i/>
          <w:color w:val="000000" w:themeColor="text1"/>
        </w:rPr>
        <w:t xml:space="preserve"> La relativa a las Obligaciones de Transparencia que contempla el Título V de la Ley General y las demás disposiciones legales aplicables; </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II.</w:t>
      </w:r>
      <w:r w:rsidRPr="002135D8">
        <w:rPr>
          <w:rFonts w:ascii="Palatino Linotype" w:eastAsia="Palatino Linotype" w:hAnsi="Palatino Linotype" w:cs="Palatino Linotype"/>
          <w:i/>
          <w:color w:val="000000" w:themeColor="text1"/>
        </w:rPr>
        <w:t xml:space="preserve"> El nombre de los servidores públicos en los documentos, y sus firmas autógrafas, cuando sean utilizados en el ejercicio de las facultades conferidas para el desempeño del servicio público, y </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t>III.</w:t>
      </w:r>
      <w:r w:rsidRPr="002135D8">
        <w:rPr>
          <w:rFonts w:ascii="Palatino Linotype" w:eastAsia="Palatino Linotype" w:hAnsi="Palatino Linotype" w:cs="Palatino Linotype"/>
          <w:i/>
          <w:color w:val="000000" w:themeColor="text1"/>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i/>
          <w:color w:val="000000" w:themeColor="text1"/>
        </w:rPr>
        <w:t xml:space="preserve">Lo anterior, siempre y cuando no se acredite alguna causal de clasificación, prevista en las leyes o en los tratados internaciones suscritos por el Estado mexicano. </w:t>
      </w:r>
    </w:p>
    <w:p w:rsidR="007C0CB2" w:rsidRPr="002135D8" w:rsidRDefault="00C30305" w:rsidP="00847053">
      <w:pPr>
        <w:spacing w:line="360" w:lineRule="auto"/>
        <w:jc w:val="both"/>
        <w:rPr>
          <w:rFonts w:ascii="Palatino Linotype" w:eastAsia="Palatino Linotype" w:hAnsi="Palatino Linotype" w:cs="Palatino Linotype"/>
          <w:i/>
          <w:color w:val="000000" w:themeColor="text1"/>
        </w:rPr>
      </w:pPr>
      <w:r w:rsidRPr="002135D8">
        <w:rPr>
          <w:rFonts w:ascii="Palatino Linotype" w:eastAsia="Palatino Linotype" w:hAnsi="Palatino Linotype" w:cs="Palatino Linotype"/>
          <w:b/>
          <w:i/>
          <w:color w:val="000000" w:themeColor="text1"/>
        </w:rPr>
        <w:lastRenderedPageBreak/>
        <w:t>Quincuagésimo octavo</w:t>
      </w:r>
      <w:r w:rsidRPr="002135D8">
        <w:rPr>
          <w:rFonts w:ascii="Palatino Linotype" w:eastAsia="Palatino Linotype" w:hAnsi="Palatino Linotype" w:cs="Palatino Linotype"/>
          <w:i/>
          <w:color w:val="000000" w:themeColor="text1"/>
        </w:rPr>
        <w:t>. Los sujetos obligados garantizarán que los sistemas o medios empleados para eliminar la información en las versiones públicas no permitan la recuperación o visualización de la misma.”</w:t>
      </w:r>
    </w:p>
    <w:p w:rsidR="007C0CB2" w:rsidRPr="002135D8" w:rsidRDefault="007C0CB2" w:rsidP="00847053">
      <w:pPr>
        <w:spacing w:line="360" w:lineRule="auto"/>
        <w:jc w:val="both"/>
        <w:rPr>
          <w:rFonts w:ascii="Palatino Linotype" w:eastAsia="Palatino Linotype" w:hAnsi="Palatino Linotype" w:cs="Palatino Linotype"/>
          <w:i/>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Los sujetos obligados</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C0CB2" w:rsidRPr="002135D8" w:rsidRDefault="007C0CB2" w:rsidP="00847053">
      <w:pPr>
        <w:tabs>
          <w:tab w:val="left" w:pos="284"/>
        </w:tabs>
        <w:spacing w:line="360" w:lineRule="auto"/>
        <w:jc w:val="both"/>
        <w:rPr>
          <w:rFonts w:ascii="Palatino Linotype" w:eastAsia="Palatino Linotype" w:hAnsi="Palatino Linotype" w:cs="Palatino Linotype"/>
          <w:color w:val="000000" w:themeColor="text1"/>
        </w:rPr>
      </w:pPr>
    </w:p>
    <w:tbl>
      <w:tblPr>
        <w:tblStyle w:val="a"/>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662"/>
      </w:tblGrid>
      <w:tr w:rsidR="00847053" w:rsidRPr="002135D8" w:rsidTr="00FE3C9D">
        <w:tc>
          <w:tcPr>
            <w:tcW w:w="2689" w:type="dxa"/>
          </w:tcPr>
          <w:p w:rsidR="007C0CB2" w:rsidRPr="002135D8" w:rsidRDefault="00C30305" w:rsidP="00847053">
            <w:pPr>
              <w:tabs>
                <w:tab w:val="left" w:pos="284"/>
              </w:tabs>
              <w:spacing w:line="360" w:lineRule="auto"/>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 Requisitos previos.</w:t>
            </w:r>
          </w:p>
        </w:tc>
        <w:tc>
          <w:tcPr>
            <w:tcW w:w="6662" w:type="dxa"/>
          </w:tcPr>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w:t>
            </w:r>
            <w:r w:rsidRPr="002135D8">
              <w:rPr>
                <w:rFonts w:ascii="Palatino Linotype" w:eastAsia="Palatino Linotype" w:hAnsi="Palatino Linotype" w:cs="Palatino Linotype"/>
                <w:color w:val="000000" w:themeColor="text1"/>
              </w:rPr>
              <w:lastRenderedPageBreak/>
              <w:t xml:space="preserve">determinan que la información actualiza alguno de los supuestos de clasificación, es deber de los titulares de las áreas proponer su clasificación y no del Comité de Transparencia. </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2135D8">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2135D8">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p w:rsidR="007C0CB2" w:rsidRPr="002135D8" w:rsidRDefault="007C0CB2" w:rsidP="00847053">
            <w:pPr>
              <w:tabs>
                <w:tab w:val="left" w:pos="284"/>
              </w:tabs>
              <w:spacing w:line="360" w:lineRule="auto"/>
              <w:jc w:val="both"/>
              <w:rPr>
                <w:rFonts w:ascii="Palatino Linotype" w:eastAsia="Palatino Linotype" w:hAnsi="Palatino Linotype" w:cs="Palatino Linotype"/>
                <w:color w:val="000000" w:themeColor="text1"/>
              </w:rPr>
            </w:pPr>
          </w:p>
        </w:tc>
      </w:tr>
      <w:tr w:rsidR="00847053" w:rsidRPr="002135D8" w:rsidTr="00FE3C9D">
        <w:tc>
          <w:tcPr>
            <w:tcW w:w="2689" w:type="dxa"/>
          </w:tcPr>
          <w:p w:rsidR="007C0CB2" w:rsidRPr="002135D8" w:rsidRDefault="00C30305" w:rsidP="00847053">
            <w:pPr>
              <w:tabs>
                <w:tab w:val="left" w:pos="284"/>
              </w:tabs>
              <w:spacing w:line="360" w:lineRule="auto"/>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b) Supuestos de clasificación.</w:t>
            </w:r>
          </w:p>
        </w:tc>
        <w:tc>
          <w:tcPr>
            <w:tcW w:w="6662" w:type="dxa"/>
          </w:tcPr>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7C0CB2" w:rsidRPr="002135D8" w:rsidRDefault="007C0CB2" w:rsidP="00847053">
            <w:pPr>
              <w:tabs>
                <w:tab w:val="left" w:pos="284"/>
              </w:tabs>
              <w:spacing w:line="360" w:lineRule="auto"/>
              <w:jc w:val="both"/>
              <w:rPr>
                <w:rFonts w:ascii="Palatino Linotype" w:eastAsia="Palatino Linotype" w:hAnsi="Palatino Linotype" w:cs="Palatino Linotype"/>
                <w:color w:val="000000" w:themeColor="text1"/>
              </w:rPr>
            </w:pPr>
          </w:p>
        </w:tc>
      </w:tr>
      <w:tr w:rsidR="00847053" w:rsidRPr="002135D8" w:rsidTr="00FE3C9D">
        <w:tc>
          <w:tcPr>
            <w:tcW w:w="2689" w:type="dxa"/>
          </w:tcPr>
          <w:p w:rsidR="007C0CB2" w:rsidRPr="002135D8" w:rsidRDefault="00C30305" w:rsidP="00847053">
            <w:pPr>
              <w:tabs>
                <w:tab w:val="left" w:pos="284"/>
              </w:tabs>
              <w:spacing w:line="360" w:lineRule="auto"/>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c) Formalidades para emitir el acuerdo de clasificación.</w:t>
            </w:r>
          </w:p>
        </w:tc>
        <w:tc>
          <w:tcPr>
            <w:tcW w:w="6662" w:type="dxa"/>
          </w:tcPr>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Es necesario que </w:t>
            </w:r>
            <w:r w:rsidRPr="002135D8">
              <w:rPr>
                <w:rFonts w:ascii="Palatino Linotype" w:eastAsia="Palatino Linotype" w:hAnsi="Palatino Linotype" w:cs="Palatino Linotype"/>
                <w:b/>
                <w:color w:val="000000" w:themeColor="text1"/>
                <w:u w:val="single"/>
              </w:rPr>
              <w:t>el acto reúna con los requisitos elementales</w:t>
            </w:r>
            <w:r w:rsidRPr="002135D8">
              <w:rPr>
                <w:rFonts w:ascii="Palatino Linotype" w:eastAsia="Palatino Linotype" w:hAnsi="Palatino Linotype" w:cs="Palatino Linotype"/>
                <w:color w:val="000000" w:themeColor="text1"/>
              </w:rPr>
              <w:t>, entre ellos, que la autoridad que va a emitir el acto de autoridad sea la legalmente facultada para ello.</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C0CB2" w:rsidRPr="002135D8" w:rsidRDefault="007C0CB2" w:rsidP="00847053">
            <w:pPr>
              <w:tabs>
                <w:tab w:val="left" w:pos="284"/>
              </w:tabs>
              <w:spacing w:line="360" w:lineRule="auto"/>
              <w:jc w:val="both"/>
              <w:rPr>
                <w:rFonts w:ascii="Palatino Linotype" w:eastAsia="Palatino Linotype" w:hAnsi="Palatino Linotype" w:cs="Palatino Linotype"/>
                <w:color w:val="000000" w:themeColor="text1"/>
              </w:rPr>
            </w:pPr>
          </w:p>
        </w:tc>
      </w:tr>
      <w:tr w:rsidR="00847053" w:rsidRPr="002135D8" w:rsidTr="00FE3C9D">
        <w:tc>
          <w:tcPr>
            <w:tcW w:w="2689" w:type="dxa"/>
          </w:tcPr>
          <w:p w:rsidR="007C0CB2" w:rsidRPr="002135D8" w:rsidRDefault="007C0CB2" w:rsidP="00847053">
            <w:pPr>
              <w:tabs>
                <w:tab w:val="left" w:pos="284"/>
              </w:tabs>
              <w:spacing w:line="360" w:lineRule="auto"/>
              <w:rPr>
                <w:rFonts w:ascii="Palatino Linotype" w:eastAsia="Palatino Linotype" w:hAnsi="Palatino Linotype" w:cs="Palatino Linotype"/>
                <w:color w:val="000000" w:themeColor="text1"/>
              </w:rPr>
            </w:pP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 Requisitos de fondo del acuerdo de clasificación. </w:t>
            </w:r>
          </w:p>
        </w:tc>
        <w:tc>
          <w:tcPr>
            <w:tcW w:w="6662" w:type="dxa"/>
          </w:tcPr>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135D8">
              <w:rPr>
                <w:rFonts w:ascii="Palatino Linotype" w:eastAsia="Palatino Linotype" w:hAnsi="Palatino Linotype" w:cs="Palatino Linotype"/>
                <w:b/>
                <w:color w:val="000000" w:themeColor="text1"/>
              </w:rPr>
              <w:t>Sujetos Obligados</w:t>
            </w:r>
            <w:r w:rsidRPr="002135D8">
              <w:rPr>
                <w:rFonts w:ascii="Palatino Linotype" w:eastAsia="Palatino Linotype" w:hAnsi="Palatino Linotype" w:cs="Palatino Linotype"/>
                <w:color w:val="000000" w:themeColor="text1"/>
              </w:rPr>
              <w:t xml:space="preserve">, por lo que deberán fundar y motivar debidamente la clasificación. </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De lo anterior, se desprende que para una correcta </w:t>
            </w:r>
            <w:r w:rsidRPr="002135D8">
              <w:rPr>
                <w:rFonts w:ascii="Palatino Linotype" w:eastAsia="Palatino Linotype" w:hAnsi="Palatino Linotype" w:cs="Palatino Linotype"/>
                <w:b/>
                <w:color w:val="000000" w:themeColor="text1"/>
              </w:rPr>
              <w:t>clasificación total o parcial</w:t>
            </w:r>
            <w:r w:rsidRPr="002135D8">
              <w:rPr>
                <w:rFonts w:ascii="Palatino Linotype" w:eastAsia="Palatino Linotype" w:hAnsi="Palatino Linotype" w:cs="Palatino Linotype"/>
                <w:color w:val="000000" w:themeColor="text1"/>
              </w:rPr>
              <w:t xml:space="preserve">, esto es determinar los datos que </w:t>
            </w:r>
            <w:r w:rsidRPr="002135D8">
              <w:rPr>
                <w:rFonts w:ascii="Palatino Linotype" w:eastAsia="Palatino Linotype" w:hAnsi="Palatino Linotype" w:cs="Palatino Linotype"/>
                <w:color w:val="000000" w:themeColor="text1"/>
              </w:rPr>
              <w:lastRenderedPageBreak/>
              <w:t>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Ahora bien, </w:t>
            </w:r>
            <w:r w:rsidRPr="002135D8">
              <w:rPr>
                <w:rFonts w:ascii="Palatino Linotype" w:eastAsia="Palatino Linotype" w:hAnsi="Palatino Linotype" w:cs="Palatino Linotype"/>
                <w:b/>
                <w:color w:val="000000" w:themeColor="text1"/>
                <w:u w:val="single"/>
              </w:rPr>
              <w:t>para cada caso además de fundar y motivar</w:t>
            </w:r>
            <w:r w:rsidRPr="002135D8">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w:t>
            </w:r>
            <w:r w:rsidRPr="002135D8">
              <w:rPr>
                <w:rFonts w:ascii="Palatino Linotype" w:eastAsia="Palatino Linotype" w:hAnsi="Palatino Linotype" w:cs="Palatino Linotype"/>
                <w:color w:val="000000" w:themeColor="text1"/>
              </w:rPr>
              <w:lastRenderedPageBreak/>
              <w:t>seguros, préstamos o descuentos personales, secretos bancario, fiduciario, industrial, comercial, fiscal, bursátil y postal, cuya titularidad corresponda a particulares, entre otros.</w:t>
            </w:r>
          </w:p>
          <w:p w:rsidR="007C0CB2" w:rsidRPr="002135D8" w:rsidRDefault="007C0CB2" w:rsidP="00847053">
            <w:pPr>
              <w:tabs>
                <w:tab w:val="left" w:pos="284"/>
              </w:tabs>
              <w:spacing w:line="360" w:lineRule="auto"/>
              <w:jc w:val="both"/>
              <w:rPr>
                <w:rFonts w:ascii="Palatino Linotype" w:eastAsia="Palatino Linotype" w:hAnsi="Palatino Linotype" w:cs="Palatino Linotype"/>
                <w:color w:val="000000" w:themeColor="text1"/>
              </w:rPr>
            </w:pPr>
          </w:p>
        </w:tc>
      </w:tr>
      <w:tr w:rsidR="007C0CB2" w:rsidRPr="002135D8" w:rsidTr="00FE3C9D">
        <w:tc>
          <w:tcPr>
            <w:tcW w:w="2689" w:type="dxa"/>
          </w:tcPr>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662" w:type="dxa"/>
          </w:tcPr>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7C0CB2" w:rsidRPr="002135D8" w:rsidRDefault="00C30305" w:rsidP="00847053">
            <w:pPr>
              <w:tabs>
                <w:tab w:val="left" w:pos="284"/>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C0CB2" w:rsidRPr="002135D8" w:rsidRDefault="00C30305" w:rsidP="00847053">
            <w:pPr>
              <w:tabs>
                <w:tab w:val="left" w:pos="284"/>
              </w:tabs>
              <w:spacing w:line="360" w:lineRule="auto"/>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7C0CB2" w:rsidRPr="002135D8" w:rsidRDefault="007C0CB2" w:rsidP="00847053">
            <w:pPr>
              <w:tabs>
                <w:tab w:val="left" w:pos="284"/>
              </w:tabs>
              <w:spacing w:line="360" w:lineRule="auto"/>
              <w:rPr>
                <w:rFonts w:ascii="Palatino Linotype" w:eastAsia="Palatino Linotype" w:hAnsi="Palatino Linotype" w:cs="Palatino Linotype"/>
                <w:color w:val="000000" w:themeColor="text1"/>
              </w:rPr>
            </w:pPr>
          </w:p>
        </w:tc>
      </w:tr>
    </w:tbl>
    <w:p w:rsidR="007C0CB2" w:rsidRPr="002135D8" w:rsidRDefault="007C0CB2" w:rsidP="00847053">
      <w:pPr>
        <w:tabs>
          <w:tab w:val="left" w:pos="284"/>
        </w:tabs>
        <w:spacing w:line="360" w:lineRule="auto"/>
        <w:rPr>
          <w:rFonts w:ascii="Palatino Linotype" w:eastAsia="Palatino Linotype" w:hAnsi="Palatino Linotype" w:cs="Palatino Linotype"/>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C0CB2" w:rsidRPr="002135D8" w:rsidRDefault="007C0CB2" w:rsidP="00847053">
      <w:pP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color w:val="000000" w:themeColor="text1"/>
        </w:rPr>
        <w:t xml:space="preserve">Por lo tanto, derivado del análisis a las constancias que conforman el expediente electrónico, este Organismo determina </w:t>
      </w:r>
      <w:r w:rsidRPr="002135D8">
        <w:rPr>
          <w:rFonts w:ascii="Palatino Linotype" w:eastAsia="Palatino Linotype" w:hAnsi="Palatino Linotype" w:cs="Palatino Linotype"/>
          <w:b/>
          <w:color w:val="000000" w:themeColor="text1"/>
        </w:rPr>
        <w:t xml:space="preserve">ORDENAR </w:t>
      </w:r>
      <w:r w:rsidRPr="002135D8">
        <w:rPr>
          <w:rFonts w:ascii="Palatino Linotype" w:eastAsia="Palatino Linotype" w:hAnsi="Palatino Linotype" w:cs="Palatino Linotype"/>
          <w:color w:val="000000" w:themeColor="text1"/>
        </w:rPr>
        <w:t xml:space="preserve">la información requerida al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emitiendo para tal efecto los siguientes: ---</w:t>
      </w:r>
      <w:r w:rsidR="00BB07C9">
        <w:rPr>
          <w:rFonts w:ascii="Palatino Linotype" w:eastAsia="Palatino Linotype" w:hAnsi="Palatino Linotype" w:cs="Palatino Linotype"/>
          <w:color w:val="000000" w:themeColor="text1"/>
        </w:rPr>
        <w:t>----------------------------</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keepNext/>
        <w:keepLines/>
        <w:spacing w:line="360" w:lineRule="auto"/>
        <w:jc w:val="center"/>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R E S O L U T I V O S</w:t>
      </w:r>
    </w:p>
    <w:p w:rsidR="007C0CB2" w:rsidRPr="002135D8" w:rsidRDefault="007C0CB2" w:rsidP="00847053">
      <w:pPr>
        <w:spacing w:line="360" w:lineRule="auto"/>
        <w:jc w:val="center"/>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PRIMERO</w:t>
      </w:r>
      <w:r w:rsidRPr="002135D8">
        <w:rPr>
          <w:rFonts w:ascii="Palatino Linotype" w:eastAsia="Palatino Linotype" w:hAnsi="Palatino Linotype" w:cs="Palatino Linotype"/>
          <w:color w:val="000000" w:themeColor="text1"/>
        </w:rPr>
        <w:t xml:space="preserve">. Resultan fundadas las razones o motivos de inconformidad hechos valer en </w:t>
      </w:r>
      <w:r w:rsidR="00847053" w:rsidRPr="002135D8">
        <w:rPr>
          <w:rFonts w:ascii="Palatino Linotype" w:eastAsia="Palatino Linotype" w:hAnsi="Palatino Linotype" w:cs="Palatino Linotype"/>
          <w:color w:val="000000" w:themeColor="text1"/>
        </w:rPr>
        <w:t>e</w:t>
      </w:r>
      <w:r w:rsidRPr="002135D8">
        <w:rPr>
          <w:rFonts w:ascii="Palatino Linotype" w:eastAsia="Palatino Linotype" w:hAnsi="Palatino Linotype" w:cs="Palatino Linotype"/>
          <w:color w:val="000000" w:themeColor="text1"/>
        </w:rPr>
        <w:t>l</w:t>
      </w:r>
      <w:r w:rsidR="00847053"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color w:val="000000" w:themeColor="text1"/>
        </w:rPr>
        <w:t xml:space="preserve">Recurso de Revisión </w:t>
      </w:r>
      <w:r w:rsidRPr="002135D8">
        <w:rPr>
          <w:rFonts w:ascii="Palatino Linotype" w:eastAsia="Palatino Linotype" w:hAnsi="Palatino Linotype" w:cs="Palatino Linotype"/>
          <w:b/>
          <w:color w:val="000000" w:themeColor="text1"/>
        </w:rPr>
        <w:t xml:space="preserve">00658/INFOEM/IP/RR/2025, </w:t>
      </w:r>
      <w:r w:rsidRPr="002135D8">
        <w:rPr>
          <w:rFonts w:ascii="Palatino Linotype" w:eastAsia="Palatino Linotype" w:hAnsi="Palatino Linotype" w:cs="Palatino Linotype"/>
          <w:color w:val="000000" w:themeColor="text1"/>
        </w:rPr>
        <w:t xml:space="preserve">en términos de los Considerandos </w:t>
      </w:r>
      <w:r w:rsidRPr="002135D8">
        <w:rPr>
          <w:rFonts w:ascii="Palatino Linotype" w:eastAsia="Palatino Linotype" w:hAnsi="Palatino Linotype" w:cs="Palatino Linotype"/>
          <w:b/>
          <w:color w:val="000000" w:themeColor="text1"/>
        </w:rPr>
        <w:t xml:space="preserve">Cuarto </w:t>
      </w:r>
      <w:r w:rsidRPr="002135D8">
        <w:rPr>
          <w:rFonts w:ascii="Palatino Linotype" w:eastAsia="Palatino Linotype" w:hAnsi="Palatino Linotype" w:cs="Palatino Linotype"/>
          <w:color w:val="000000" w:themeColor="text1"/>
        </w:rPr>
        <w:t>y</w:t>
      </w:r>
      <w:r w:rsidRPr="002135D8">
        <w:rPr>
          <w:rFonts w:ascii="Palatino Linotype" w:eastAsia="Palatino Linotype" w:hAnsi="Palatino Linotype" w:cs="Palatino Linotype"/>
          <w:b/>
          <w:color w:val="000000" w:themeColor="text1"/>
        </w:rPr>
        <w:t xml:space="preserve"> Quinto </w:t>
      </w:r>
      <w:r w:rsidRPr="002135D8">
        <w:rPr>
          <w:rFonts w:ascii="Palatino Linotype" w:eastAsia="Palatino Linotype" w:hAnsi="Palatino Linotype" w:cs="Palatino Linotype"/>
          <w:color w:val="000000" w:themeColor="text1"/>
        </w:rPr>
        <w:t xml:space="preserve">de la presente Resolución. </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bookmarkStart w:id="7" w:name="_heading=h.1ksv4uv" w:colFirst="0" w:colLast="0"/>
      <w:bookmarkEnd w:id="7"/>
      <w:r w:rsidRPr="002135D8">
        <w:rPr>
          <w:rFonts w:ascii="Palatino Linotype" w:eastAsia="Palatino Linotype" w:hAnsi="Palatino Linotype" w:cs="Palatino Linotype"/>
          <w:b/>
          <w:color w:val="000000" w:themeColor="text1"/>
        </w:rPr>
        <w:t xml:space="preserve">SEGUNDO. </w:t>
      </w:r>
      <w:r w:rsidRPr="002135D8">
        <w:rPr>
          <w:rFonts w:ascii="Palatino Linotype" w:eastAsia="Palatino Linotype" w:hAnsi="Palatino Linotype" w:cs="Palatino Linotype"/>
          <w:color w:val="000000" w:themeColor="text1"/>
        </w:rPr>
        <w:t xml:space="preserve">Se </w:t>
      </w:r>
      <w:r w:rsidRPr="002135D8">
        <w:rPr>
          <w:rFonts w:ascii="Palatino Linotype" w:eastAsia="Palatino Linotype" w:hAnsi="Palatino Linotype" w:cs="Palatino Linotype"/>
          <w:b/>
          <w:color w:val="000000" w:themeColor="text1"/>
        </w:rPr>
        <w:t xml:space="preserve">ORDENA </w:t>
      </w:r>
      <w:r w:rsidRPr="002135D8">
        <w:rPr>
          <w:rFonts w:ascii="Palatino Linotype" w:eastAsia="Palatino Linotype" w:hAnsi="Palatino Linotype" w:cs="Palatino Linotype"/>
          <w:color w:val="000000" w:themeColor="text1"/>
        </w:rPr>
        <w:t xml:space="preserve">al </w:t>
      </w:r>
      <w:r w:rsidRPr="002135D8">
        <w:rPr>
          <w:rFonts w:ascii="Palatino Linotype" w:eastAsia="Palatino Linotype" w:hAnsi="Palatino Linotype" w:cs="Palatino Linotype"/>
          <w:b/>
          <w:color w:val="000000" w:themeColor="text1"/>
        </w:rPr>
        <w:t xml:space="preserve">Ayuntamiento de Toluca </w:t>
      </w:r>
      <w:r w:rsidRPr="002135D8">
        <w:rPr>
          <w:rFonts w:ascii="Palatino Linotype" w:eastAsia="Palatino Linotype" w:hAnsi="Palatino Linotype" w:cs="Palatino Linotype"/>
          <w:color w:val="000000" w:themeColor="text1"/>
        </w:rPr>
        <w:t xml:space="preserve">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de ser el caso en versión pública la siguiente información del ejercicio fiscal 2024: </w:t>
      </w:r>
    </w:p>
    <w:p w:rsidR="007C0CB2" w:rsidRPr="002135D8" w:rsidRDefault="007C0CB2" w:rsidP="00847053">
      <w:pP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numPr>
          <w:ilvl w:val="0"/>
          <w:numId w:val="5"/>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bookmarkStart w:id="8" w:name="_heading=h.lnxbz9" w:colFirst="0" w:colLast="0"/>
      <w:bookmarkEnd w:id="8"/>
      <w:r w:rsidRPr="002135D8">
        <w:rPr>
          <w:rFonts w:ascii="Palatino Linotype" w:eastAsia="Palatino Linotype" w:hAnsi="Palatino Linotype" w:cs="Palatino Linotype"/>
          <w:b/>
          <w:color w:val="000000" w:themeColor="text1"/>
        </w:rPr>
        <w:lastRenderedPageBreak/>
        <w:t xml:space="preserve">Programa Anual de Obras Públicas; </w:t>
      </w:r>
    </w:p>
    <w:p w:rsidR="007C0CB2" w:rsidRPr="002135D8" w:rsidRDefault="00C30305" w:rsidP="00847053">
      <w:pPr>
        <w:numPr>
          <w:ilvl w:val="0"/>
          <w:numId w:val="5"/>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Contratos, expedientes técnicos y facturas pagadas de obras públicas;</w:t>
      </w:r>
    </w:p>
    <w:p w:rsidR="007C0CB2" w:rsidRPr="002135D8" w:rsidRDefault="00C30305" w:rsidP="00847053">
      <w:pPr>
        <w:numPr>
          <w:ilvl w:val="0"/>
          <w:numId w:val="5"/>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Obras públicas concluidas e inauguradas por Juan Maccise Naime; y</w:t>
      </w:r>
    </w:p>
    <w:p w:rsidR="007C0CB2" w:rsidRPr="002135D8" w:rsidRDefault="00C30305" w:rsidP="00847053">
      <w:pPr>
        <w:numPr>
          <w:ilvl w:val="0"/>
          <w:numId w:val="5"/>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r w:rsidRPr="002135D8">
        <w:rPr>
          <w:rFonts w:ascii="Palatino Linotype" w:eastAsia="Palatino Linotype" w:hAnsi="Palatino Linotype" w:cs="Palatino Linotype"/>
          <w:b/>
          <w:color w:val="000000" w:themeColor="text1"/>
        </w:rPr>
        <w:t>Obras públicas iniciadas en el ejercicio 2024, inauguradas por Ricardo Moreno Bastida, del 1 al 13 de enero de 2025.</w:t>
      </w:r>
    </w:p>
    <w:p w:rsidR="007C0CB2" w:rsidRPr="002135D8" w:rsidRDefault="007C0CB2" w:rsidP="0084705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C0CB2" w:rsidRPr="002135D8" w:rsidRDefault="00C30305" w:rsidP="00847053">
      <w:pPr>
        <w:tabs>
          <w:tab w:val="left" w:pos="993"/>
        </w:tabs>
        <w:spacing w:line="360" w:lineRule="auto"/>
        <w:jc w:val="both"/>
        <w:rPr>
          <w:rFonts w:ascii="Palatino Linotype" w:eastAsia="Palatino Linotype" w:hAnsi="Palatino Linotype" w:cs="Palatino Linotype"/>
          <w:b/>
          <w:color w:val="000000" w:themeColor="text1"/>
        </w:rPr>
      </w:pPr>
      <w:bookmarkStart w:id="9" w:name="_heading=h.cpbhy5ye5169" w:colFirst="0" w:colLast="0"/>
      <w:bookmarkEnd w:id="9"/>
      <w:r w:rsidRPr="002135D8">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135D8">
        <w:rPr>
          <w:rFonts w:ascii="Palatino Linotype" w:eastAsia="Palatino Linotype" w:hAnsi="Palatino Linotype" w:cs="Palatino Linotype"/>
          <w:b/>
          <w:color w:val="000000" w:themeColor="text1"/>
        </w:rPr>
        <w:t>RECURRENTE.</w:t>
      </w:r>
    </w:p>
    <w:p w:rsidR="007C0CB2" w:rsidRPr="002135D8" w:rsidRDefault="007C0CB2" w:rsidP="00847053">
      <w:pPr>
        <w:tabs>
          <w:tab w:val="left" w:pos="993"/>
        </w:tabs>
        <w:spacing w:line="360" w:lineRule="auto"/>
        <w:jc w:val="both"/>
        <w:rPr>
          <w:rFonts w:ascii="Palatino Linotype" w:eastAsia="Palatino Linotype" w:hAnsi="Palatino Linotype" w:cs="Palatino Linotype"/>
          <w:b/>
          <w:color w:val="000000" w:themeColor="text1"/>
        </w:rPr>
      </w:pPr>
      <w:bookmarkStart w:id="10" w:name="_heading=h.76y72kksrl28" w:colFirst="0" w:colLast="0"/>
      <w:bookmarkEnd w:id="10"/>
    </w:p>
    <w:p w:rsidR="007C0CB2" w:rsidRPr="002135D8" w:rsidRDefault="00C30305" w:rsidP="00847053">
      <w:pPr>
        <w:tabs>
          <w:tab w:val="left" w:pos="993"/>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De ser el caso de que el </w:t>
      </w:r>
      <w:r w:rsidRPr="002135D8">
        <w:rPr>
          <w:rFonts w:ascii="Palatino Linotype" w:eastAsia="Palatino Linotype" w:hAnsi="Palatino Linotype" w:cs="Palatino Linotype"/>
          <w:b/>
          <w:color w:val="000000" w:themeColor="text1"/>
        </w:rPr>
        <w:t>SUJETO OBLIGADO</w:t>
      </w:r>
      <w:r w:rsidRPr="002135D8">
        <w:rPr>
          <w:rFonts w:ascii="Palatino Linotype" w:eastAsia="Palatino Linotype" w:hAnsi="Palatino Linotype" w:cs="Palatino Linotype"/>
          <w:color w:val="000000" w:themeColor="text1"/>
        </w:rPr>
        <w:t xml:space="preserve"> opte por poner la información </w:t>
      </w:r>
      <w:r w:rsidR="00544916" w:rsidRPr="002135D8">
        <w:rPr>
          <w:rFonts w:ascii="Palatino Linotype" w:eastAsia="Palatino Linotype" w:hAnsi="Palatino Linotype" w:cs="Palatino Linotype"/>
          <w:color w:val="000000" w:themeColor="text1"/>
        </w:rPr>
        <w:t>en</w:t>
      </w:r>
      <w:r w:rsidRPr="002135D8">
        <w:rPr>
          <w:rFonts w:ascii="Palatino Linotype" w:eastAsia="Palatino Linotype" w:hAnsi="Palatino Linotype" w:cs="Palatino Linotype"/>
          <w:color w:val="000000" w:themeColor="text1"/>
        </w:rPr>
        <w:t xml:space="preserve"> Consulta Directa, deberá informar al </w:t>
      </w:r>
      <w:r w:rsidRPr="002135D8">
        <w:rPr>
          <w:rFonts w:ascii="Palatino Linotype" w:eastAsia="Palatino Linotype" w:hAnsi="Palatino Linotype" w:cs="Palatino Linotype"/>
          <w:b/>
          <w:color w:val="000000" w:themeColor="text1"/>
        </w:rPr>
        <w:t>RECURRENTE</w:t>
      </w:r>
      <w:r w:rsidRPr="002135D8">
        <w:rPr>
          <w:rFonts w:ascii="Palatino Linotype" w:eastAsia="Palatino Linotype" w:hAnsi="Palatino Linotype" w:cs="Palatino Linotype"/>
          <w:color w:val="000000" w:themeColor="text1"/>
        </w:rPr>
        <w:t>, a través del Sistema de Acceso a la Información Mexiquense (SAIMEX), del procedimiento que tendrá que seguir para acceder a la documentación; es decir, los pasos para realizar el pago de derechos en caso de ser procedentes, y la manera de obtener la información, como el domicilio de la Unidad de Transparencia, días y horarios de atención y el nombre del servidor público quien le atenderá. Además, deberá informar que podrá acceder de manera gratuita a la información si proporciona el medio electrónico y recoge la información en la Unidad de Transparencia.</w:t>
      </w:r>
    </w:p>
    <w:p w:rsidR="007C0CB2" w:rsidRPr="002135D8" w:rsidRDefault="007C0CB2" w:rsidP="00847053">
      <w:pPr>
        <w:tabs>
          <w:tab w:val="left" w:pos="8080"/>
        </w:tabs>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tabs>
          <w:tab w:val="left" w:pos="8080"/>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lastRenderedPageBreak/>
        <w:t xml:space="preserve">De ser el caso que no se haya generado, poseído o administrado lo ordenado en el </w:t>
      </w:r>
      <w:r w:rsidRPr="002135D8">
        <w:rPr>
          <w:rFonts w:ascii="Palatino Linotype" w:eastAsia="Palatino Linotype" w:hAnsi="Palatino Linotype" w:cs="Palatino Linotype"/>
          <w:b/>
          <w:color w:val="000000" w:themeColor="text1"/>
        </w:rPr>
        <w:t>inciso d)</w:t>
      </w:r>
      <w:r w:rsidRPr="002135D8">
        <w:rPr>
          <w:rFonts w:ascii="Palatino Linotype" w:eastAsia="Palatino Linotype" w:hAnsi="Palatino Linotype" w:cs="Palatino Linotype"/>
          <w:color w:val="000000" w:themeColor="text1"/>
        </w:rPr>
        <w:t>, bastará que lo haga del conocimiento del</w:t>
      </w:r>
      <w:r w:rsidRPr="002135D8">
        <w:rPr>
          <w:rFonts w:ascii="Palatino Linotype" w:eastAsia="Palatino Linotype" w:hAnsi="Palatino Linotype" w:cs="Palatino Linotype"/>
          <w:b/>
          <w:color w:val="000000" w:themeColor="text1"/>
        </w:rPr>
        <w:t xml:space="preserve"> RECURRENTE</w:t>
      </w:r>
      <w:r w:rsidRPr="002135D8">
        <w:rPr>
          <w:rFonts w:ascii="Palatino Linotype" w:eastAsia="Palatino Linotype" w:hAnsi="Palatino Linotype" w:cs="Palatino Linotype"/>
          <w:color w:val="000000" w:themeColor="text1"/>
        </w:rPr>
        <w:t>, al momento de dar cumplimiento a la presente Resolución en términos del artículo 19 párrafo segundo de la</w:t>
      </w:r>
      <w:r w:rsidRPr="002135D8">
        <w:rPr>
          <w:rFonts w:ascii="Palatino Linotype" w:eastAsia="Palatino Linotype" w:hAnsi="Palatino Linotype" w:cs="Palatino Linotype"/>
          <w:b/>
          <w:color w:val="000000" w:themeColor="text1"/>
        </w:rPr>
        <w:t xml:space="preserve"> </w:t>
      </w:r>
      <w:r w:rsidRPr="002135D8">
        <w:rPr>
          <w:rFonts w:ascii="Palatino Linotype" w:eastAsia="Palatino Linotype" w:hAnsi="Palatino Linotype" w:cs="Palatino Linotype"/>
          <w:color w:val="000000" w:themeColor="text1"/>
        </w:rPr>
        <w:t xml:space="preserve">Ley  de Transparencia y Acceso a la Información Pública del Estado de México y Municipios. </w:t>
      </w:r>
    </w:p>
    <w:p w:rsidR="007C0CB2" w:rsidRPr="002135D8" w:rsidRDefault="007C0CB2" w:rsidP="00847053">
      <w:pPr>
        <w:tabs>
          <w:tab w:val="left" w:pos="8080"/>
        </w:tabs>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tabs>
          <w:tab w:val="left" w:pos="8647"/>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TERCERO</w:t>
      </w:r>
      <w:r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b/>
          <w:color w:val="000000" w:themeColor="text1"/>
        </w:rPr>
        <w:t>Notifíquese</w:t>
      </w:r>
      <w:r w:rsidRPr="002135D8">
        <w:rPr>
          <w:rFonts w:ascii="Palatino Linotype" w:eastAsia="Palatino Linotype" w:hAnsi="Palatino Linotype" w:cs="Palatino Linotype"/>
          <w:color w:val="000000" w:themeColor="text1"/>
        </w:rPr>
        <w:t xml:space="preserve">, 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2135D8">
        <w:rPr>
          <w:rFonts w:ascii="Palatino Linotype" w:eastAsia="Palatino Linotype" w:hAnsi="Palatino Linotype" w:cs="Palatino Linotype"/>
          <w:b/>
          <w:color w:val="000000" w:themeColor="text1"/>
        </w:rPr>
        <w:t>dé cumplimiento a lo ordenado dentro del plazo de diez días hábiles</w:t>
      </w:r>
      <w:r w:rsidRPr="002135D8">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B83129" w:rsidRPr="002135D8" w:rsidRDefault="00C30305" w:rsidP="00847053">
      <w:pPr>
        <w:tabs>
          <w:tab w:val="left" w:pos="8647"/>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CUARTO</w:t>
      </w:r>
      <w:r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b/>
          <w:color w:val="000000" w:themeColor="text1"/>
        </w:rPr>
        <w:t>Notifíquese</w:t>
      </w:r>
      <w:r w:rsidRPr="002135D8">
        <w:rPr>
          <w:rFonts w:ascii="Palatino Linotype" w:eastAsia="Palatino Linotype" w:hAnsi="Palatino Linotype" w:cs="Palatino Linotype"/>
          <w:color w:val="000000" w:themeColor="text1"/>
        </w:rPr>
        <w:t xml:space="preserve">, vía Sistema de Acceso a la Información Mexiquense (SAIMEX) a la parte </w:t>
      </w:r>
      <w:r w:rsidRPr="002135D8">
        <w:rPr>
          <w:rFonts w:ascii="Palatino Linotype" w:eastAsia="Palatino Linotype" w:hAnsi="Palatino Linotype" w:cs="Palatino Linotype"/>
          <w:b/>
          <w:color w:val="000000" w:themeColor="text1"/>
        </w:rPr>
        <w:t>Recurrente</w:t>
      </w:r>
      <w:r w:rsidRPr="002135D8">
        <w:rPr>
          <w:rFonts w:ascii="Palatino Linotype" w:eastAsia="Palatino Linotype" w:hAnsi="Palatino Linotype" w:cs="Palatino Linotype"/>
          <w:color w:val="000000" w:themeColor="text1"/>
        </w:rPr>
        <w:t xml:space="preserve"> la presente resolución</w:t>
      </w:r>
      <w:r w:rsidR="00B83129" w:rsidRPr="002135D8">
        <w:rPr>
          <w:rFonts w:ascii="Palatino Linotype" w:eastAsia="Palatino Linotype" w:hAnsi="Palatino Linotype" w:cs="Palatino Linotype"/>
          <w:color w:val="000000" w:themeColor="text1"/>
        </w:rPr>
        <w:t>.</w:t>
      </w:r>
    </w:p>
    <w:p w:rsidR="00B83129" w:rsidRPr="002135D8" w:rsidRDefault="00B83129" w:rsidP="00847053">
      <w:pPr>
        <w:tabs>
          <w:tab w:val="left" w:pos="8647"/>
        </w:tabs>
        <w:spacing w:line="360" w:lineRule="auto"/>
        <w:jc w:val="both"/>
        <w:rPr>
          <w:rFonts w:ascii="Palatino Linotype" w:eastAsia="Palatino Linotype" w:hAnsi="Palatino Linotype" w:cs="Palatino Linotype"/>
          <w:color w:val="000000" w:themeColor="text1"/>
        </w:rPr>
      </w:pPr>
    </w:p>
    <w:p w:rsidR="007C0CB2" w:rsidRPr="002135D8" w:rsidRDefault="00B83129" w:rsidP="00847053">
      <w:pPr>
        <w:tabs>
          <w:tab w:val="left" w:pos="8647"/>
        </w:tabs>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QUINTO. Se hace del conocimiento</w:t>
      </w:r>
      <w:r w:rsidRPr="002135D8">
        <w:rPr>
          <w:rFonts w:ascii="Palatino Linotype" w:eastAsia="Palatino Linotype" w:hAnsi="Palatino Linotype" w:cs="Palatino Linotype"/>
          <w:color w:val="000000" w:themeColor="text1"/>
        </w:rPr>
        <w:t xml:space="preserve"> de la parte </w:t>
      </w:r>
      <w:r w:rsidRPr="002135D8">
        <w:rPr>
          <w:rFonts w:ascii="Palatino Linotype" w:eastAsia="Palatino Linotype" w:hAnsi="Palatino Linotype" w:cs="Palatino Linotype"/>
          <w:b/>
          <w:color w:val="000000" w:themeColor="text1"/>
        </w:rPr>
        <w:t>Recurrente</w:t>
      </w:r>
      <w:r w:rsidRPr="002135D8">
        <w:rPr>
          <w:rFonts w:ascii="Palatino Linotype" w:eastAsia="Palatino Linotype" w:hAnsi="Palatino Linotype" w:cs="Palatino Linotype"/>
          <w:color w:val="000000" w:themeColor="text1"/>
        </w:rPr>
        <w:t xml:space="preserve"> que,</w:t>
      </w:r>
      <w:r w:rsidR="00C30305" w:rsidRPr="002135D8">
        <w:rPr>
          <w:rFonts w:ascii="Palatino Linotype" w:eastAsia="Palatino Linotype" w:hAnsi="Palatino Linotype" w:cs="Palatino Linotype"/>
          <w:color w:val="000000" w:themeColor="text1"/>
        </w:rPr>
        <w:t xml:space="preserve"> de conformidad con lo establecido en el artículo 196, de la Ley de Transparencia y Acceso a la Información </w:t>
      </w:r>
      <w:r w:rsidR="00C30305" w:rsidRPr="002135D8">
        <w:rPr>
          <w:rFonts w:ascii="Palatino Linotype" w:eastAsia="Palatino Linotype" w:hAnsi="Palatino Linotype" w:cs="Palatino Linotype"/>
          <w:color w:val="000000" w:themeColor="text1"/>
        </w:rPr>
        <w:lastRenderedPageBreak/>
        <w:t>Pública del Estado de México y Municipios, en caso de considerar que le causa algún perjuicio, podrá promover el Juicio de Amparo en los términos de las leyes aplicables.</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B83129"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SEXTO</w:t>
      </w:r>
      <w:r w:rsidR="00C30305" w:rsidRPr="002135D8">
        <w:rPr>
          <w:rFonts w:ascii="Palatino Linotype" w:eastAsia="Palatino Linotype" w:hAnsi="Palatino Linotype" w:cs="Palatino Linotype"/>
          <w:color w:val="000000" w:themeColor="text1"/>
        </w:rPr>
        <w:t xml:space="preserve">. </w:t>
      </w:r>
      <w:r w:rsidR="00C30305" w:rsidRPr="002135D8">
        <w:rPr>
          <w:rFonts w:ascii="Palatino Linotype" w:eastAsia="Palatino Linotype" w:hAnsi="Palatino Linotype" w:cs="Palatino Linotype"/>
          <w:b/>
          <w:color w:val="000000" w:themeColor="text1"/>
        </w:rPr>
        <w:t>Se hace del conocimiento</w:t>
      </w:r>
      <w:r w:rsidR="00C30305" w:rsidRPr="002135D8">
        <w:rPr>
          <w:rFonts w:ascii="Palatino Linotype" w:eastAsia="Palatino Linotype" w:hAnsi="Palatino Linotype" w:cs="Palatino Linotype"/>
          <w:color w:val="000000" w:themeColor="text1"/>
        </w:rPr>
        <w:t xml:space="preserve"> de la parte </w:t>
      </w:r>
      <w:r w:rsidR="00C30305" w:rsidRPr="002135D8">
        <w:rPr>
          <w:rFonts w:ascii="Palatino Linotype" w:eastAsia="Palatino Linotype" w:hAnsi="Palatino Linotype" w:cs="Palatino Linotype"/>
          <w:b/>
          <w:color w:val="000000" w:themeColor="text1"/>
        </w:rPr>
        <w:t>Recurrente</w:t>
      </w:r>
      <w:r w:rsidR="00C30305" w:rsidRPr="002135D8">
        <w:rPr>
          <w:rFonts w:ascii="Palatino Linotype" w:eastAsia="Palatino Linotype" w:hAnsi="Palatino Linotype" w:cs="Palatino Linotype"/>
          <w:color w:val="000000" w:themeColor="text1"/>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rsidR="007C0CB2" w:rsidRPr="002135D8" w:rsidRDefault="007C0CB2" w:rsidP="00847053">
      <w:pPr>
        <w:spacing w:line="360" w:lineRule="auto"/>
        <w:jc w:val="both"/>
        <w:rPr>
          <w:rFonts w:ascii="Palatino Linotype" w:eastAsia="Palatino Linotype" w:hAnsi="Palatino Linotype" w:cs="Palatino Linotype"/>
          <w:color w:val="000000" w:themeColor="text1"/>
        </w:rPr>
      </w:pPr>
    </w:p>
    <w:p w:rsidR="007C0CB2" w:rsidRPr="002135D8" w:rsidRDefault="00C30305"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b/>
          <w:color w:val="000000" w:themeColor="text1"/>
        </w:rPr>
        <w:t>S</w:t>
      </w:r>
      <w:r w:rsidR="00B83129" w:rsidRPr="002135D8">
        <w:rPr>
          <w:rFonts w:ascii="Palatino Linotype" w:eastAsia="Palatino Linotype" w:hAnsi="Palatino Linotype" w:cs="Palatino Linotype"/>
          <w:b/>
          <w:color w:val="000000" w:themeColor="text1"/>
        </w:rPr>
        <w:t>ÉPTIMO.</w:t>
      </w:r>
      <w:r w:rsidRPr="002135D8">
        <w:rPr>
          <w:rFonts w:ascii="Palatino Linotype" w:eastAsia="Palatino Linotype" w:hAnsi="Palatino Linotype" w:cs="Palatino Linotype"/>
          <w:color w:val="000000" w:themeColor="text1"/>
        </w:rPr>
        <w:t xml:space="preserve"> </w:t>
      </w:r>
      <w:r w:rsidRPr="002135D8">
        <w:rPr>
          <w:rFonts w:ascii="Palatino Linotype" w:eastAsia="Palatino Linotype" w:hAnsi="Palatino Linotype" w:cs="Palatino Linotype"/>
          <w:b/>
          <w:color w:val="000000" w:themeColor="text1"/>
        </w:rPr>
        <w:t>Gírese</w:t>
      </w:r>
      <w:r w:rsidRPr="002135D8">
        <w:rPr>
          <w:rFonts w:ascii="Palatino Linotype" w:eastAsia="Palatino Linotype" w:hAnsi="Palatino Linotype" w:cs="Palatino Linotype"/>
          <w:color w:val="000000" w:themeColor="text1"/>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w:t>
      </w:r>
      <w:r w:rsidR="00544916" w:rsidRPr="002135D8">
        <w:rPr>
          <w:rFonts w:ascii="Palatino Linotype" w:eastAsia="Palatino Linotype" w:hAnsi="Palatino Linotype" w:cs="Palatino Linotype"/>
          <w:color w:val="000000" w:themeColor="text1"/>
        </w:rPr>
        <w:t>iderando CUARTO de la presente R</w:t>
      </w:r>
      <w:r w:rsidRPr="002135D8">
        <w:rPr>
          <w:rFonts w:ascii="Palatino Linotype" w:eastAsia="Palatino Linotype" w:hAnsi="Palatino Linotype" w:cs="Palatino Linotype"/>
          <w:color w:val="000000" w:themeColor="text1"/>
        </w:rPr>
        <w:t>esolución.</w:t>
      </w:r>
    </w:p>
    <w:p w:rsidR="007C0CB2" w:rsidRPr="002135D8" w:rsidRDefault="007C0CB2" w:rsidP="00847053">
      <w:pPr>
        <w:shd w:val="clear" w:color="auto" w:fill="FFFFFF"/>
        <w:spacing w:line="360" w:lineRule="auto"/>
        <w:jc w:val="both"/>
        <w:rPr>
          <w:rFonts w:ascii="Palatino Linotype" w:eastAsia="Palatino Linotype" w:hAnsi="Palatino Linotype" w:cs="Palatino Linotype"/>
          <w:color w:val="000000" w:themeColor="text1"/>
        </w:rPr>
      </w:pPr>
    </w:p>
    <w:p w:rsidR="007C0CB2" w:rsidRPr="00847053" w:rsidRDefault="00B83129" w:rsidP="00847053">
      <w:pPr>
        <w:spacing w:line="360" w:lineRule="auto"/>
        <w:jc w:val="both"/>
        <w:rPr>
          <w:rFonts w:ascii="Palatino Linotype" w:eastAsia="Palatino Linotype" w:hAnsi="Palatino Linotype" w:cs="Palatino Linotype"/>
          <w:color w:val="000000" w:themeColor="text1"/>
        </w:rPr>
      </w:pPr>
      <w:r w:rsidRPr="002135D8">
        <w:rPr>
          <w:rFonts w:ascii="Palatino Linotype" w:eastAsia="Palatino Linotype" w:hAnsi="Palatino Linotype" w:cs="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(18) DE JUNIO DE DOS MIL </w:t>
      </w:r>
      <w:r w:rsidRPr="002135D8">
        <w:rPr>
          <w:rFonts w:ascii="Palatino Linotype" w:eastAsia="Palatino Linotype" w:hAnsi="Palatino Linotype" w:cs="Palatino Linotype"/>
          <w:color w:val="000000" w:themeColor="text1"/>
        </w:rPr>
        <w:lastRenderedPageBreak/>
        <w:t>VEINTICINCO, ANTE EL SECRETARIO TÉCNICO DEL PLENO ALEXIS TAPIA RAMÍREZ.</w:t>
      </w:r>
    </w:p>
    <w:p w:rsidR="007C0CB2" w:rsidRPr="00847053" w:rsidRDefault="007C0CB2" w:rsidP="00847053">
      <w:pPr>
        <w:spacing w:line="360" w:lineRule="auto"/>
        <w:jc w:val="both"/>
        <w:rPr>
          <w:rFonts w:ascii="Palatino Linotype" w:eastAsia="Palatino Linotype" w:hAnsi="Palatino Linotype" w:cs="Palatino Linotype"/>
          <w:color w:val="000000" w:themeColor="text1"/>
        </w:rPr>
      </w:pPr>
    </w:p>
    <w:p w:rsidR="007C0CB2" w:rsidRPr="00847053" w:rsidRDefault="007C0CB2" w:rsidP="00847053">
      <w:pPr>
        <w:spacing w:line="360" w:lineRule="auto"/>
        <w:jc w:val="both"/>
        <w:rPr>
          <w:rFonts w:ascii="Palatino Linotype" w:eastAsia="Palatino Linotype" w:hAnsi="Palatino Linotype" w:cs="Palatino Linotype"/>
          <w:color w:val="000000" w:themeColor="text1"/>
        </w:rPr>
      </w:pPr>
    </w:p>
    <w:p w:rsidR="007C0CB2" w:rsidRPr="00847053" w:rsidRDefault="007C0CB2" w:rsidP="00847053">
      <w:pPr>
        <w:spacing w:line="360" w:lineRule="auto"/>
        <w:jc w:val="both"/>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C30305" w:rsidP="00847053">
      <w:pPr>
        <w:tabs>
          <w:tab w:val="left" w:pos="3374"/>
        </w:tabs>
        <w:spacing w:line="360" w:lineRule="auto"/>
        <w:rPr>
          <w:rFonts w:ascii="Palatino Linotype" w:eastAsia="Palatino Linotype" w:hAnsi="Palatino Linotype" w:cs="Palatino Linotype"/>
          <w:color w:val="000000" w:themeColor="text1"/>
        </w:rPr>
      </w:pPr>
      <w:r w:rsidRPr="00847053">
        <w:rPr>
          <w:rFonts w:ascii="Palatino Linotype" w:eastAsia="Palatino Linotype" w:hAnsi="Palatino Linotype" w:cs="Palatino Linotype"/>
          <w:color w:val="000000" w:themeColor="text1"/>
        </w:rPr>
        <w:tab/>
      </w: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tabs>
          <w:tab w:val="left" w:pos="3374"/>
        </w:tabs>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p w:rsidR="007C0CB2" w:rsidRPr="00847053" w:rsidRDefault="007C0CB2" w:rsidP="00847053">
      <w:pPr>
        <w:spacing w:line="360" w:lineRule="auto"/>
        <w:rPr>
          <w:rFonts w:ascii="Palatino Linotype" w:eastAsia="Palatino Linotype" w:hAnsi="Palatino Linotype" w:cs="Palatino Linotype"/>
          <w:color w:val="000000" w:themeColor="text1"/>
        </w:rPr>
      </w:pPr>
    </w:p>
    <w:sectPr w:rsidR="007C0CB2" w:rsidRPr="00847053" w:rsidSect="00847053">
      <w:headerReference w:type="even" r:id="rId13"/>
      <w:headerReference w:type="default" r:id="rId14"/>
      <w:footerReference w:type="default" r:id="rId15"/>
      <w:headerReference w:type="first" r:id="rId16"/>
      <w:footerReference w:type="first" r:id="rId17"/>
      <w:pgSz w:w="12240" w:h="15840"/>
      <w:pgMar w:top="2269" w:right="1325"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E2F" w:rsidRDefault="000C4E2F">
      <w:r>
        <w:separator/>
      </w:r>
    </w:p>
  </w:endnote>
  <w:endnote w:type="continuationSeparator" w:id="0">
    <w:p w:rsidR="000C4E2F" w:rsidRDefault="000C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B2" w:rsidRDefault="00C3030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E3C9D">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E3C9D">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rsidR="007C0CB2" w:rsidRDefault="007C0CB2">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B2" w:rsidRDefault="00C3030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E3C9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E3C9D">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rsidR="007C0CB2" w:rsidRDefault="007C0CB2">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E2F" w:rsidRDefault="000C4E2F">
      <w:r>
        <w:separator/>
      </w:r>
    </w:p>
  </w:footnote>
  <w:footnote w:type="continuationSeparator" w:id="0">
    <w:p w:rsidR="000C4E2F" w:rsidRDefault="000C4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B2" w:rsidRDefault="000C4E2F">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519" w:type="dxa"/>
      <w:tblInd w:w="3261" w:type="dxa"/>
      <w:tblLayout w:type="fixed"/>
      <w:tblLook w:val="0400" w:firstRow="0" w:lastRow="0" w:firstColumn="0" w:lastColumn="0" w:noHBand="0" w:noVBand="1"/>
    </w:tblPr>
    <w:tblGrid>
      <w:gridCol w:w="2976"/>
      <w:gridCol w:w="3543"/>
    </w:tblGrid>
    <w:tr w:rsidR="007C0CB2" w:rsidRPr="00847053" w:rsidTr="00BB07C9">
      <w:trPr>
        <w:trHeight w:val="227"/>
      </w:trPr>
      <w:tc>
        <w:tcPr>
          <w:tcW w:w="2976" w:type="dxa"/>
          <w:vAlign w:val="center"/>
        </w:tcPr>
        <w:p w:rsidR="007C0CB2" w:rsidRPr="00847053" w:rsidRDefault="00C30305" w:rsidP="00847053">
          <w:pPr>
            <w:ind w:right="-70"/>
            <w:jc w:val="right"/>
            <w:rPr>
              <w:rFonts w:ascii="Palatino Linotype" w:eastAsia="Palatino Linotype" w:hAnsi="Palatino Linotype" w:cs="Palatino Linotype"/>
              <w:b/>
            </w:rPr>
          </w:pPr>
          <w:r w:rsidRPr="00847053">
            <w:rPr>
              <w:rFonts w:ascii="Palatino Linotype" w:eastAsia="Palatino Linotype" w:hAnsi="Palatino Linotype" w:cs="Palatino Linotype"/>
              <w:b/>
            </w:rPr>
            <w:t>Recurso de Revisión:</w:t>
          </w:r>
        </w:p>
      </w:tc>
      <w:tc>
        <w:tcPr>
          <w:tcW w:w="3543" w:type="dxa"/>
          <w:vAlign w:val="center"/>
        </w:tcPr>
        <w:p w:rsidR="007C0CB2" w:rsidRPr="00847053" w:rsidRDefault="00C30305" w:rsidP="0084705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847053">
            <w:rPr>
              <w:rFonts w:ascii="Palatino Linotype" w:eastAsia="Palatino Linotype" w:hAnsi="Palatino Linotype" w:cs="Palatino Linotype"/>
              <w:color w:val="000000"/>
            </w:rPr>
            <w:t>00658/INFOEM/IP/RR/2025</w:t>
          </w:r>
        </w:p>
      </w:tc>
    </w:tr>
    <w:tr w:rsidR="007C0CB2" w:rsidRPr="00847053" w:rsidTr="00BB07C9">
      <w:trPr>
        <w:trHeight w:val="242"/>
      </w:trPr>
      <w:tc>
        <w:tcPr>
          <w:tcW w:w="2976" w:type="dxa"/>
          <w:vAlign w:val="center"/>
        </w:tcPr>
        <w:p w:rsidR="007C0CB2" w:rsidRPr="00847053" w:rsidRDefault="00C30305" w:rsidP="00847053">
          <w:pPr>
            <w:ind w:right="-70"/>
            <w:jc w:val="right"/>
            <w:rPr>
              <w:rFonts w:ascii="Palatino Linotype" w:eastAsia="Palatino Linotype" w:hAnsi="Palatino Linotype" w:cs="Palatino Linotype"/>
              <w:b/>
            </w:rPr>
          </w:pPr>
          <w:r w:rsidRPr="00847053">
            <w:rPr>
              <w:rFonts w:ascii="Palatino Linotype" w:eastAsia="Palatino Linotype" w:hAnsi="Palatino Linotype" w:cs="Palatino Linotype"/>
              <w:b/>
            </w:rPr>
            <w:t>Sujeto Obligado:</w:t>
          </w:r>
        </w:p>
      </w:tc>
      <w:tc>
        <w:tcPr>
          <w:tcW w:w="3543" w:type="dxa"/>
          <w:vAlign w:val="center"/>
        </w:tcPr>
        <w:p w:rsidR="007C0CB2" w:rsidRPr="00847053" w:rsidRDefault="00C30305" w:rsidP="00847053">
          <w:pPr>
            <w:pBdr>
              <w:top w:val="nil"/>
              <w:left w:val="nil"/>
              <w:bottom w:val="nil"/>
              <w:right w:val="nil"/>
              <w:between w:val="nil"/>
            </w:pBdr>
            <w:tabs>
              <w:tab w:val="center" w:pos="4419"/>
              <w:tab w:val="right" w:pos="8838"/>
            </w:tabs>
            <w:ind w:right="212"/>
            <w:jc w:val="both"/>
            <w:rPr>
              <w:rFonts w:ascii="Palatino Linotype" w:eastAsia="Palatino Linotype" w:hAnsi="Palatino Linotype" w:cs="Palatino Linotype"/>
              <w:color w:val="000000"/>
            </w:rPr>
          </w:pPr>
          <w:r w:rsidRPr="00847053">
            <w:rPr>
              <w:rFonts w:ascii="Palatino Linotype" w:eastAsia="Palatino Linotype" w:hAnsi="Palatino Linotype" w:cs="Palatino Linotype"/>
              <w:color w:val="000000"/>
            </w:rPr>
            <w:t>Ayuntamiento de Toluca</w:t>
          </w:r>
        </w:p>
      </w:tc>
    </w:tr>
    <w:tr w:rsidR="007C0CB2" w:rsidRPr="00847053" w:rsidTr="00BB07C9">
      <w:trPr>
        <w:trHeight w:val="342"/>
      </w:trPr>
      <w:tc>
        <w:tcPr>
          <w:tcW w:w="2976" w:type="dxa"/>
          <w:vAlign w:val="center"/>
        </w:tcPr>
        <w:p w:rsidR="007C0CB2" w:rsidRPr="00847053" w:rsidRDefault="00C30305" w:rsidP="00847053">
          <w:pPr>
            <w:ind w:right="-70"/>
            <w:jc w:val="right"/>
            <w:rPr>
              <w:rFonts w:ascii="Palatino Linotype" w:eastAsia="Palatino Linotype" w:hAnsi="Palatino Linotype" w:cs="Palatino Linotype"/>
              <w:b/>
            </w:rPr>
          </w:pPr>
          <w:r w:rsidRPr="00847053">
            <w:rPr>
              <w:rFonts w:ascii="Palatino Linotype" w:eastAsia="Palatino Linotype" w:hAnsi="Palatino Linotype" w:cs="Palatino Linotype"/>
              <w:b/>
            </w:rPr>
            <w:t>Comisionada Ponente:</w:t>
          </w:r>
        </w:p>
      </w:tc>
      <w:tc>
        <w:tcPr>
          <w:tcW w:w="3543" w:type="dxa"/>
          <w:vAlign w:val="center"/>
        </w:tcPr>
        <w:p w:rsidR="007C0CB2" w:rsidRPr="00847053" w:rsidRDefault="00C30305" w:rsidP="0084705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847053">
            <w:rPr>
              <w:rFonts w:ascii="Palatino Linotype" w:eastAsia="Palatino Linotype" w:hAnsi="Palatino Linotype" w:cs="Palatino Linotype"/>
              <w:color w:val="000000"/>
            </w:rPr>
            <w:t>María del Rosario Mejía Ayala</w:t>
          </w:r>
        </w:p>
      </w:tc>
    </w:tr>
  </w:tbl>
  <w:p w:rsidR="007C0CB2" w:rsidRDefault="000C4E2F">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0" w:type="dxa"/>
      <w:tblInd w:w="2977" w:type="dxa"/>
      <w:tblLayout w:type="fixed"/>
      <w:tblLook w:val="0400" w:firstRow="0" w:lastRow="0" w:firstColumn="0" w:lastColumn="0" w:noHBand="0" w:noVBand="1"/>
    </w:tblPr>
    <w:tblGrid>
      <w:gridCol w:w="2977"/>
      <w:gridCol w:w="3683"/>
    </w:tblGrid>
    <w:tr w:rsidR="007C0CB2" w:rsidRPr="00847053" w:rsidTr="00BB07C9">
      <w:trPr>
        <w:trHeight w:val="227"/>
      </w:trPr>
      <w:tc>
        <w:tcPr>
          <w:tcW w:w="2977" w:type="dxa"/>
          <w:vAlign w:val="center"/>
        </w:tcPr>
        <w:p w:rsidR="007C0CB2" w:rsidRPr="00847053" w:rsidRDefault="00C30305" w:rsidP="00BB07C9">
          <w:pPr>
            <w:pBdr>
              <w:top w:val="nil"/>
            </w:pBdr>
            <w:jc w:val="right"/>
            <w:rPr>
              <w:rFonts w:ascii="Palatino Linotype" w:eastAsia="Palatino Linotype" w:hAnsi="Palatino Linotype" w:cs="Palatino Linotype"/>
              <w:b/>
            </w:rPr>
          </w:pPr>
          <w:r w:rsidRPr="00847053">
            <w:rPr>
              <w:rFonts w:ascii="Palatino Linotype" w:eastAsia="Palatino Linotype" w:hAnsi="Palatino Linotype" w:cs="Palatino Linotype"/>
              <w:b/>
            </w:rPr>
            <w:t>Recurso de Revisión:</w:t>
          </w:r>
        </w:p>
      </w:tc>
      <w:tc>
        <w:tcPr>
          <w:tcW w:w="3683" w:type="dxa"/>
          <w:vAlign w:val="center"/>
        </w:tcPr>
        <w:p w:rsidR="007C0CB2" w:rsidRPr="00847053" w:rsidRDefault="00C30305" w:rsidP="00BB07C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847053">
            <w:rPr>
              <w:rFonts w:ascii="Palatino Linotype" w:eastAsia="Palatino Linotype" w:hAnsi="Palatino Linotype" w:cs="Palatino Linotype"/>
              <w:color w:val="000000"/>
            </w:rPr>
            <w:t>00658/INFOEM/IP/RR/2025</w:t>
          </w:r>
        </w:p>
      </w:tc>
    </w:tr>
    <w:tr w:rsidR="007C0CB2" w:rsidRPr="00847053" w:rsidTr="00BB07C9">
      <w:trPr>
        <w:trHeight w:val="242"/>
      </w:trPr>
      <w:tc>
        <w:tcPr>
          <w:tcW w:w="2977" w:type="dxa"/>
          <w:vAlign w:val="center"/>
        </w:tcPr>
        <w:p w:rsidR="007C0CB2" w:rsidRPr="00847053" w:rsidRDefault="00C30305">
          <w:pPr>
            <w:jc w:val="right"/>
            <w:rPr>
              <w:rFonts w:ascii="Palatino Linotype" w:eastAsia="Palatino Linotype" w:hAnsi="Palatino Linotype" w:cs="Palatino Linotype"/>
              <w:b/>
            </w:rPr>
          </w:pPr>
          <w:r w:rsidRPr="00847053">
            <w:rPr>
              <w:rFonts w:ascii="Palatino Linotype" w:eastAsia="Palatino Linotype" w:hAnsi="Palatino Linotype" w:cs="Palatino Linotype"/>
              <w:b/>
            </w:rPr>
            <w:t>Recurrente:</w:t>
          </w:r>
        </w:p>
      </w:tc>
      <w:tc>
        <w:tcPr>
          <w:tcW w:w="3683" w:type="dxa"/>
        </w:tcPr>
        <w:p w:rsidR="007C0CB2" w:rsidRPr="00847053" w:rsidRDefault="007C0CB2">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rPr>
          </w:pPr>
        </w:p>
      </w:tc>
    </w:tr>
    <w:tr w:rsidR="007C0CB2" w:rsidRPr="00847053" w:rsidTr="00BB07C9">
      <w:trPr>
        <w:trHeight w:val="342"/>
      </w:trPr>
      <w:tc>
        <w:tcPr>
          <w:tcW w:w="2977" w:type="dxa"/>
          <w:vAlign w:val="center"/>
        </w:tcPr>
        <w:p w:rsidR="007C0CB2" w:rsidRPr="00847053" w:rsidRDefault="00C30305">
          <w:pPr>
            <w:jc w:val="right"/>
            <w:rPr>
              <w:rFonts w:ascii="Palatino Linotype" w:eastAsia="Palatino Linotype" w:hAnsi="Palatino Linotype" w:cs="Palatino Linotype"/>
              <w:b/>
            </w:rPr>
          </w:pPr>
          <w:r w:rsidRPr="00847053">
            <w:rPr>
              <w:rFonts w:ascii="Palatino Linotype" w:eastAsia="Palatino Linotype" w:hAnsi="Palatino Linotype" w:cs="Palatino Linotype"/>
              <w:b/>
            </w:rPr>
            <w:t>Sujeto Obligado:</w:t>
          </w:r>
        </w:p>
      </w:tc>
      <w:tc>
        <w:tcPr>
          <w:tcW w:w="3683" w:type="dxa"/>
          <w:vAlign w:val="center"/>
        </w:tcPr>
        <w:p w:rsidR="007C0CB2" w:rsidRPr="00847053" w:rsidRDefault="00C3030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rPr>
          </w:pPr>
          <w:r w:rsidRPr="00847053">
            <w:rPr>
              <w:rFonts w:ascii="Palatino Linotype" w:eastAsia="Palatino Linotype" w:hAnsi="Palatino Linotype" w:cs="Palatino Linotype"/>
              <w:color w:val="000000"/>
            </w:rPr>
            <w:t>Ayuntamiento de Toluca</w:t>
          </w:r>
        </w:p>
      </w:tc>
    </w:tr>
    <w:tr w:rsidR="007C0CB2" w:rsidRPr="00847053" w:rsidTr="00BB07C9">
      <w:trPr>
        <w:trHeight w:val="342"/>
      </w:trPr>
      <w:tc>
        <w:tcPr>
          <w:tcW w:w="2977" w:type="dxa"/>
          <w:vAlign w:val="center"/>
        </w:tcPr>
        <w:p w:rsidR="007C0CB2" w:rsidRPr="00847053" w:rsidRDefault="00C30305">
          <w:pPr>
            <w:jc w:val="right"/>
            <w:rPr>
              <w:rFonts w:ascii="Palatino Linotype" w:eastAsia="Palatino Linotype" w:hAnsi="Palatino Linotype" w:cs="Palatino Linotype"/>
              <w:b/>
            </w:rPr>
          </w:pPr>
          <w:r w:rsidRPr="00847053">
            <w:rPr>
              <w:rFonts w:ascii="Palatino Linotype" w:eastAsia="Palatino Linotype" w:hAnsi="Palatino Linotype" w:cs="Palatino Linotype"/>
              <w:b/>
            </w:rPr>
            <w:t>Comisionada Ponente:</w:t>
          </w:r>
        </w:p>
      </w:tc>
      <w:tc>
        <w:tcPr>
          <w:tcW w:w="3683" w:type="dxa"/>
          <w:vAlign w:val="center"/>
        </w:tcPr>
        <w:p w:rsidR="007C0CB2" w:rsidRPr="00847053" w:rsidRDefault="00C3030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847053">
            <w:rPr>
              <w:rFonts w:ascii="Palatino Linotype" w:eastAsia="Palatino Linotype" w:hAnsi="Palatino Linotype" w:cs="Palatino Linotype"/>
              <w:color w:val="000000"/>
            </w:rPr>
            <w:t>María del Rosario Mejía Ayala</w:t>
          </w:r>
        </w:p>
      </w:tc>
    </w:tr>
  </w:tbl>
  <w:p w:rsidR="007C0CB2" w:rsidRDefault="000C4E2F">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B317E"/>
    <w:multiLevelType w:val="multilevel"/>
    <w:tmpl w:val="E9B45B4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16DB0BF5"/>
    <w:multiLevelType w:val="multilevel"/>
    <w:tmpl w:val="E084DBA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6E45A3"/>
    <w:multiLevelType w:val="hybridMultilevel"/>
    <w:tmpl w:val="A9DE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360D00"/>
    <w:multiLevelType w:val="multilevel"/>
    <w:tmpl w:val="2E86467C"/>
    <w:lvl w:ilvl="0">
      <w:start w:val="27"/>
      <w:numFmt w:val="decimal"/>
      <w:lvlText w:val="%1."/>
      <w:lvlJc w:val="left"/>
      <w:pPr>
        <w:ind w:left="502"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1556EF1"/>
    <w:multiLevelType w:val="multilevel"/>
    <w:tmpl w:val="AD9CD74A"/>
    <w:lvl w:ilvl="0">
      <w:start w:val="1"/>
      <w:numFmt w:val="lowerLetter"/>
      <w:lvlText w:val="%1)"/>
      <w:lvlJc w:val="left"/>
      <w:pPr>
        <w:ind w:left="1440" w:hanging="360"/>
      </w:pPr>
      <w:rPr>
        <w:b/>
        <w:i w:val="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5DD33DE1"/>
    <w:multiLevelType w:val="multilevel"/>
    <w:tmpl w:val="4F2811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B4E5D21"/>
    <w:multiLevelType w:val="multilevel"/>
    <w:tmpl w:val="F08A9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4A65A1"/>
    <w:multiLevelType w:val="multilevel"/>
    <w:tmpl w:val="2A127F2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
  </w:num>
  <w:num w:numId="2">
    <w:abstractNumId w:val="0"/>
  </w:num>
  <w:num w:numId="3">
    <w:abstractNumId w:val="7"/>
  </w:num>
  <w:num w:numId="4">
    <w:abstractNumId w:val="6"/>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B2"/>
    <w:rsid w:val="000C4E2F"/>
    <w:rsid w:val="00101D5E"/>
    <w:rsid w:val="001C6425"/>
    <w:rsid w:val="002135D8"/>
    <w:rsid w:val="004F0FA5"/>
    <w:rsid w:val="00544916"/>
    <w:rsid w:val="007C0CB2"/>
    <w:rsid w:val="00847053"/>
    <w:rsid w:val="00991FC6"/>
    <w:rsid w:val="00B83129"/>
    <w:rsid w:val="00BB07C9"/>
    <w:rsid w:val="00C30305"/>
    <w:rsid w:val="00D04EF9"/>
    <w:rsid w:val="00FE3C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33EEEB8-4E53-48BE-A4AB-E384232C0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C3B"/>
    <w:rPr>
      <w:rFonts w:eastAsiaTheme="minorEastAsia"/>
      <w:lang w:eastAsia="es-ES"/>
    </w:rPr>
  </w:style>
  <w:style w:type="paragraph" w:styleId="Ttulo1">
    <w:name w:val="heading 1"/>
    <w:basedOn w:val="Normal"/>
    <w:next w:val="Normal"/>
    <w:link w:val="Ttulo1Car"/>
    <w:uiPriority w:val="9"/>
    <w:qFormat/>
    <w:rsid w:val="00947C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7C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2667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
    <w:link w:val="SinespaciadoCar"/>
    <w:uiPriority w:val="1"/>
    <w:qFormat/>
    <w:rsid w:val="00B90932"/>
  </w:style>
  <w:style w:type="character" w:customStyle="1" w:styleId="SinespaciadoCar">
    <w:name w:val="Sin espaciado Car"/>
    <w:aliases w:val="Francesa Car,INAI Car"/>
    <w:link w:val="Sinespaciado"/>
    <w:uiPriority w:val="1"/>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link w:val="Ttulo3"/>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NormalWeb">
    <w:name w:val="Normal (Web)"/>
    <w:basedOn w:val="Normal"/>
    <w:uiPriority w:val="99"/>
    <w:unhideWhenUsed/>
    <w:rsid w:val="004A64CC"/>
    <w:pPr>
      <w:spacing w:before="100" w:beforeAutospacing="1" w:after="100" w:afterAutospacing="1"/>
    </w:pPr>
    <w:rPr>
      <w:rFonts w:ascii="Times New Roman" w:eastAsia="Times New Roman" w:hAnsi="Times New Roman" w:cs="Times New Roman"/>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HmaFPKh7/oJkisGMWVOKgknug==">CgMxLjAyDmguMzFhYzlnandhaWpvMg5oLm53am00NjFheXZoejIOaC5qMnNvbXZ4azBtemwyDmguNm5tN2ZuNGNsMnBjMg5oLmN6bjJzbWc1aXF4bDIOaC4zaGJ6eXE5MnlsYWoyCWguMWtzdjR1djIIaC5sbnhiejkyDmguY3BiaHk1eWU1MTY5Mg5oLjc2eTcya2tzcmwyODIOaC5uYTV4b2xkY2p5N2IyDmgubmE1eG9sZGNqeTdiOAByITFTYkUtZTVyb0czUnBjU2hBNy1RZklqY0U4dkk3Tmp4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7079</Words>
  <Characters>38937</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9</cp:revision>
  <cp:lastPrinted>2025-06-20T16:05:00Z</cp:lastPrinted>
  <dcterms:created xsi:type="dcterms:W3CDTF">2025-06-16T17:40:00Z</dcterms:created>
  <dcterms:modified xsi:type="dcterms:W3CDTF">2025-06-23T17:17:00Z</dcterms:modified>
</cp:coreProperties>
</file>