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074EA3" w:rsidRDefault="004C465F" w:rsidP="00701F40">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17FAC3F" w:rsidR="00C4052B" w:rsidRPr="00074EA3" w:rsidRDefault="00C4052B" w:rsidP="00701F40">
          <w:pPr>
            <w:pStyle w:val="TtulodeTDC"/>
            <w:spacing w:before="0" w:line="360" w:lineRule="auto"/>
            <w:jc w:val="center"/>
            <w:rPr>
              <w:rFonts w:ascii="Palatino Linotype" w:hAnsi="Palatino Linotype"/>
              <w:color w:val="auto"/>
              <w:sz w:val="22"/>
              <w:szCs w:val="22"/>
            </w:rPr>
          </w:pPr>
          <w:r w:rsidRPr="00074EA3">
            <w:rPr>
              <w:rFonts w:ascii="Palatino Linotype" w:hAnsi="Palatino Linotype"/>
              <w:color w:val="auto"/>
              <w:sz w:val="22"/>
              <w:szCs w:val="22"/>
              <w:lang w:val="es-ES"/>
            </w:rPr>
            <w:t xml:space="preserve">RESOLUCIÓN DEL RECURSO DE REVISIÓN </w:t>
          </w:r>
          <w:r w:rsidR="006C1E67" w:rsidRPr="00074EA3">
            <w:rPr>
              <w:rFonts w:ascii="Palatino Linotype" w:hAnsi="Palatino Linotype"/>
              <w:color w:val="auto"/>
              <w:sz w:val="22"/>
              <w:szCs w:val="22"/>
            </w:rPr>
            <w:t>0</w:t>
          </w:r>
          <w:r w:rsidR="00074EA3" w:rsidRPr="00074EA3">
            <w:rPr>
              <w:rFonts w:ascii="Palatino Linotype" w:hAnsi="Palatino Linotype"/>
              <w:color w:val="auto"/>
              <w:sz w:val="22"/>
              <w:szCs w:val="22"/>
            </w:rPr>
            <w:t>7981</w:t>
          </w:r>
          <w:r w:rsidR="000D392E" w:rsidRPr="00074EA3">
            <w:rPr>
              <w:rFonts w:ascii="Palatino Linotype" w:hAnsi="Palatino Linotype"/>
              <w:color w:val="auto"/>
              <w:sz w:val="22"/>
              <w:szCs w:val="22"/>
            </w:rPr>
            <w:t>/INFOEM/IP/RR/2025</w:t>
          </w:r>
        </w:p>
        <w:p w14:paraId="73933EFA" w14:textId="77777777" w:rsidR="00C4052B" w:rsidRPr="00074EA3" w:rsidRDefault="00C4052B" w:rsidP="00701F40">
          <w:pPr>
            <w:spacing w:after="0" w:line="360" w:lineRule="auto"/>
            <w:rPr>
              <w:color w:val="FF0000"/>
            </w:rPr>
          </w:pPr>
        </w:p>
        <w:p w14:paraId="4BCC3DE6" w14:textId="340A72E2" w:rsidR="00260BA5" w:rsidRDefault="00C4052B">
          <w:pPr>
            <w:pStyle w:val="TDC1"/>
            <w:tabs>
              <w:tab w:val="right" w:leader="dot" w:pos="8921"/>
            </w:tabs>
            <w:rPr>
              <w:rFonts w:asciiTheme="minorHAnsi" w:eastAsiaTheme="minorEastAsia" w:hAnsiTheme="minorHAnsi" w:cstheme="minorBidi"/>
              <w:noProof/>
              <w:color w:val="auto"/>
            </w:rPr>
          </w:pPr>
          <w:r w:rsidRPr="00074EA3">
            <w:rPr>
              <w:color w:val="FF0000"/>
            </w:rPr>
            <w:fldChar w:fldCharType="begin"/>
          </w:r>
          <w:r w:rsidRPr="00074EA3">
            <w:rPr>
              <w:color w:val="FF0000"/>
            </w:rPr>
            <w:instrText xml:space="preserve"> TOC \o "1-3" \h \z \u </w:instrText>
          </w:r>
          <w:r w:rsidRPr="00074EA3">
            <w:rPr>
              <w:color w:val="FF0000"/>
            </w:rPr>
            <w:fldChar w:fldCharType="separate"/>
          </w:r>
          <w:hyperlink w:anchor="_Toc206089157" w:history="1">
            <w:r w:rsidR="00260BA5" w:rsidRPr="00E00907">
              <w:rPr>
                <w:rStyle w:val="Hipervnculo"/>
                <w:noProof/>
              </w:rPr>
              <w:t>A N T E C E D E N T E S</w:t>
            </w:r>
            <w:r w:rsidR="00260BA5">
              <w:rPr>
                <w:noProof/>
                <w:webHidden/>
              </w:rPr>
              <w:tab/>
            </w:r>
            <w:r w:rsidR="00260BA5">
              <w:rPr>
                <w:noProof/>
                <w:webHidden/>
              </w:rPr>
              <w:fldChar w:fldCharType="begin"/>
            </w:r>
            <w:r w:rsidR="00260BA5">
              <w:rPr>
                <w:noProof/>
                <w:webHidden/>
              </w:rPr>
              <w:instrText xml:space="preserve"> PAGEREF _Toc206089157 \h </w:instrText>
            </w:r>
            <w:r w:rsidR="00260BA5">
              <w:rPr>
                <w:noProof/>
                <w:webHidden/>
              </w:rPr>
            </w:r>
            <w:r w:rsidR="00260BA5">
              <w:rPr>
                <w:noProof/>
                <w:webHidden/>
              </w:rPr>
              <w:fldChar w:fldCharType="separate"/>
            </w:r>
            <w:r w:rsidR="008E02D2">
              <w:rPr>
                <w:noProof/>
                <w:webHidden/>
              </w:rPr>
              <w:t>2</w:t>
            </w:r>
            <w:r w:rsidR="00260BA5">
              <w:rPr>
                <w:noProof/>
                <w:webHidden/>
              </w:rPr>
              <w:fldChar w:fldCharType="end"/>
            </w:r>
          </w:hyperlink>
        </w:p>
        <w:p w14:paraId="756F8F85" w14:textId="041DE706" w:rsidR="00260BA5" w:rsidRDefault="00E876BB">
          <w:pPr>
            <w:pStyle w:val="TDC2"/>
            <w:tabs>
              <w:tab w:val="right" w:leader="dot" w:pos="8921"/>
            </w:tabs>
            <w:rPr>
              <w:rFonts w:asciiTheme="minorHAnsi" w:eastAsiaTheme="minorEastAsia" w:hAnsiTheme="minorHAnsi" w:cstheme="minorBidi"/>
              <w:noProof/>
              <w:color w:val="auto"/>
            </w:rPr>
          </w:pPr>
          <w:hyperlink w:anchor="_Toc206089158" w:history="1">
            <w:r w:rsidR="00260BA5" w:rsidRPr="00E00907">
              <w:rPr>
                <w:rStyle w:val="Hipervnculo"/>
                <w:noProof/>
                <w:lang w:eastAsia="es-ES"/>
              </w:rPr>
              <w:t>I. Presentación de la solicitud de información</w:t>
            </w:r>
            <w:r w:rsidR="00260BA5">
              <w:rPr>
                <w:noProof/>
                <w:webHidden/>
              </w:rPr>
              <w:tab/>
            </w:r>
            <w:r w:rsidR="00260BA5">
              <w:rPr>
                <w:noProof/>
                <w:webHidden/>
              </w:rPr>
              <w:fldChar w:fldCharType="begin"/>
            </w:r>
            <w:r w:rsidR="00260BA5">
              <w:rPr>
                <w:noProof/>
                <w:webHidden/>
              </w:rPr>
              <w:instrText xml:space="preserve"> PAGEREF _Toc206089158 \h </w:instrText>
            </w:r>
            <w:r w:rsidR="00260BA5">
              <w:rPr>
                <w:noProof/>
                <w:webHidden/>
              </w:rPr>
            </w:r>
            <w:r w:rsidR="00260BA5">
              <w:rPr>
                <w:noProof/>
                <w:webHidden/>
              </w:rPr>
              <w:fldChar w:fldCharType="separate"/>
            </w:r>
            <w:r w:rsidR="008E02D2">
              <w:rPr>
                <w:noProof/>
                <w:webHidden/>
              </w:rPr>
              <w:t>2</w:t>
            </w:r>
            <w:r w:rsidR="00260BA5">
              <w:rPr>
                <w:noProof/>
                <w:webHidden/>
              </w:rPr>
              <w:fldChar w:fldCharType="end"/>
            </w:r>
          </w:hyperlink>
        </w:p>
        <w:p w14:paraId="53E1E1E4" w14:textId="1E4D3620" w:rsidR="00260BA5" w:rsidRDefault="00E876BB">
          <w:pPr>
            <w:pStyle w:val="TDC2"/>
            <w:tabs>
              <w:tab w:val="right" w:leader="dot" w:pos="8921"/>
            </w:tabs>
            <w:rPr>
              <w:rFonts w:asciiTheme="minorHAnsi" w:eastAsiaTheme="minorEastAsia" w:hAnsiTheme="minorHAnsi" w:cstheme="minorBidi"/>
              <w:noProof/>
              <w:color w:val="auto"/>
            </w:rPr>
          </w:pPr>
          <w:hyperlink w:anchor="_Toc206089159" w:history="1">
            <w:r w:rsidR="00260BA5" w:rsidRPr="00E00907">
              <w:rPr>
                <w:rStyle w:val="Hipervnculo"/>
                <w:rFonts w:cs="Tahoma"/>
                <w:noProof/>
              </w:rPr>
              <w:t>II.</w:t>
            </w:r>
            <w:r w:rsidR="00260BA5" w:rsidRPr="00E00907">
              <w:rPr>
                <w:rStyle w:val="Hipervnculo"/>
                <w:noProof/>
              </w:rPr>
              <w:t xml:space="preserve"> Respuesta del Sujeto Obligado</w:t>
            </w:r>
            <w:r w:rsidR="00260BA5">
              <w:rPr>
                <w:noProof/>
                <w:webHidden/>
              </w:rPr>
              <w:tab/>
            </w:r>
            <w:r w:rsidR="00260BA5">
              <w:rPr>
                <w:noProof/>
                <w:webHidden/>
              </w:rPr>
              <w:fldChar w:fldCharType="begin"/>
            </w:r>
            <w:r w:rsidR="00260BA5">
              <w:rPr>
                <w:noProof/>
                <w:webHidden/>
              </w:rPr>
              <w:instrText xml:space="preserve"> PAGEREF _Toc206089159 \h </w:instrText>
            </w:r>
            <w:r w:rsidR="00260BA5">
              <w:rPr>
                <w:noProof/>
                <w:webHidden/>
              </w:rPr>
            </w:r>
            <w:r w:rsidR="00260BA5">
              <w:rPr>
                <w:noProof/>
                <w:webHidden/>
              </w:rPr>
              <w:fldChar w:fldCharType="separate"/>
            </w:r>
            <w:r w:rsidR="008E02D2">
              <w:rPr>
                <w:noProof/>
                <w:webHidden/>
              </w:rPr>
              <w:t>2</w:t>
            </w:r>
            <w:r w:rsidR="00260BA5">
              <w:rPr>
                <w:noProof/>
                <w:webHidden/>
              </w:rPr>
              <w:fldChar w:fldCharType="end"/>
            </w:r>
          </w:hyperlink>
        </w:p>
        <w:p w14:paraId="1BA3DC58" w14:textId="20304FB2" w:rsidR="00260BA5" w:rsidRDefault="00E876BB">
          <w:pPr>
            <w:pStyle w:val="TDC2"/>
            <w:tabs>
              <w:tab w:val="right" w:leader="dot" w:pos="8921"/>
            </w:tabs>
            <w:rPr>
              <w:rFonts w:asciiTheme="minorHAnsi" w:eastAsiaTheme="minorEastAsia" w:hAnsiTheme="minorHAnsi" w:cstheme="minorBidi"/>
              <w:noProof/>
              <w:color w:val="auto"/>
            </w:rPr>
          </w:pPr>
          <w:hyperlink w:anchor="_Toc206089160" w:history="1">
            <w:r w:rsidR="00260BA5" w:rsidRPr="00E00907">
              <w:rPr>
                <w:rStyle w:val="Hipervnculo"/>
                <w:noProof/>
              </w:rPr>
              <w:t>III. Interposición del Recurso de Revisión</w:t>
            </w:r>
            <w:r w:rsidR="00260BA5">
              <w:rPr>
                <w:noProof/>
                <w:webHidden/>
              </w:rPr>
              <w:tab/>
            </w:r>
            <w:r w:rsidR="00260BA5">
              <w:rPr>
                <w:noProof/>
                <w:webHidden/>
              </w:rPr>
              <w:fldChar w:fldCharType="begin"/>
            </w:r>
            <w:r w:rsidR="00260BA5">
              <w:rPr>
                <w:noProof/>
                <w:webHidden/>
              </w:rPr>
              <w:instrText xml:space="preserve"> PAGEREF _Toc206089160 \h </w:instrText>
            </w:r>
            <w:r w:rsidR="00260BA5">
              <w:rPr>
                <w:noProof/>
                <w:webHidden/>
              </w:rPr>
            </w:r>
            <w:r w:rsidR="00260BA5">
              <w:rPr>
                <w:noProof/>
                <w:webHidden/>
              </w:rPr>
              <w:fldChar w:fldCharType="separate"/>
            </w:r>
            <w:r w:rsidR="008E02D2">
              <w:rPr>
                <w:noProof/>
                <w:webHidden/>
              </w:rPr>
              <w:t>4</w:t>
            </w:r>
            <w:r w:rsidR="00260BA5">
              <w:rPr>
                <w:noProof/>
                <w:webHidden/>
              </w:rPr>
              <w:fldChar w:fldCharType="end"/>
            </w:r>
          </w:hyperlink>
        </w:p>
        <w:p w14:paraId="7848E0C0" w14:textId="33DDE6DC" w:rsidR="00260BA5" w:rsidRDefault="00E876BB">
          <w:pPr>
            <w:pStyle w:val="TDC2"/>
            <w:tabs>
              <w:tab w:val="right" w:leader="dot" w:pos="8921"/>
            </w:tabs>
            <w:rPr>
              <w:rFonts w:asciiTheme="minorHAnsi" w:eastAsiaTheme="minorEastAsia" w:hAnsiTheme="minorHAnsi" w:cstheme="minorBidi"/>
              <w:noProof/>
              <w:color w:val="auto"/>
            </w:rPr>
          </w:pPr>
          <w:hyperlink w:anchor="_Toc206089161" w:history="1">
            <w:r w:rsidR="00260BA5" w:rsidRPr="00E00907">
              <w:rPr>
                <w:rStyle w:val="Hipervnculo"/>
                <w:noProof/>
              </w:rPr>
              <w:t>IV. Trámite del Recurso de Revisión ante este Instituto</w:t>
            </w:r>
            <w:r w:rsidR="00260BA5">
              <w:rPr>
                <w:noProof/>
                <w:webHidden/>
              </w:rPr>
              <w:tab/>
            </w:r>
            <w:r w:rsidR="00260BA5">
              <w:rPr>
                <w:noProof/>
                <w:webHidden/>
              </w:rPr>
              <w:fldChar w:fldCharType="begin"/>
            </w:r>
            <w:r w:rsidR="00260BA5">
              <w:rPr>
                <w:noProof/>
                <w:webHidden/>
              </w:rPr>
              <w:instrText xml:space="preserve"> PAGEREF _Toc206089161 \h </w:instrText>
            </w:r>
            <w:r w:rsidR="00260BA5">
              <w:rPr>
                <w:noProof/>
                <w:webHidden/>
              </w:rPr>
            </w:r>
            <w:r w:rsidR="00260BA5">
              <w:rPr>
                <w:noProof/>
                <w:webHidden/>
              </w:rPr>
              <w:fldChar w:fldCharType="separate"/>
            </w:r>
            <w:r w:rsidR="008E02D2">
              <w:rPr>
                <w:noProof/>
                <w:webHidden/>
              </w:rPr>
              <w:t>4</w:t>
            </w:r>
            <w:r w:rsidR="00260BA5">
              <w:rPr>
                <w:noProof/>
                <w:webHidden/>
              </w:rPr>
              <w:fldChar w:fldCharType="end"/>
            </w:r>
          </w:hyperlink>
        </w:p>
        <w:p w14:paraId="1EE31C37" w14:textId="6DBA0F10" w:rsidR="00260BA5" w:rsidRDefault="00E876BB">
          <w:pPr>
            <w:pStyle w:val="TDC1"/>
            <w:tabs>
              <w:tab w:val="right" w:leader="dot" w:pos="8921"/>
            </w:tabs>
            <w:rPr>
              <w:rFonts w:asciiTheme="minorHAnsi" w:eastAsiaTheme="minorEastAsia" w:hAnsiTheme="minorHAnsi" w:cstheme="minorBidi"/>
              <w:noProof/>
              <w:color w:val="auto"/>
            </w:rPr>
          </w:pPr>
          <w:hyperlink w:anchor="_Toc206089162" w:history="1">
            <w:r w:rsidR="00260BA5" w:rsidRPr="00E00907">
              <w:rPr>
                <w:rStyle w:val="Hipervnculo"/>
                <w:noProof/>
              </w:rPr>
              <w:t>C O N S I D E R A N D O S</w:t>
            </w:r>
            <w:r w:rsidR="00260BA5">
              <w:rPr>
                <w:noProof/>
                <w:webHidden/>
              </w:rPr>
              <w:tab/>
            </w:r>
            <w:r w:rsidR="00260BA5">
              <w:rPr>
                <w:noProof/>
                <w:webHidden/>
              </w:rPr>
              <w:fldChar w:fldCharType="begin"/>
            </w:r>
            <w:r w:rsidR="00260BA5">
              <w:rPr>
                <w:noProof/>
                <w:webHidden/>
              </w:rPr>
              <w:instrText xml:space="preserve"> PAGEREF _Toc206089162 \h </w:instrText>
            </w:r>
            <w:r w:rsidR="00260BA5">
              <w:rPr>
                <w:noProof/>
                <w:webHidden/>
              </w:rPr>
            </w:r>
            <w:r w:rsidR="00260BA5">
              <w:rPr>
                <w:noProof/>
                <w:webHidden/>
              </w:rPr>
              <w:fldChar w:fldCharType="separate"/>
            </w:r>
            <w:r w:rsidR="008E02D2">
              <w:rPr>
                <w:noProof/>
                <w:webHidden/>
              </w:rPr>
              <w:t>7</w:t>
            </w:r>
            <w:r w:rsidR="00260BA5">
              <w:rPr>
                <w:noProof/>
                <w:webHidden/>
              </w:rPr>
              <w:fldChar w:fldCharType="end"/>
            </w:r>
          </w:hyperlink>
        </w:p>
        <w:p w14:paraId="09BE2434" w14:textId="69CAB00C" w:rsidR="00260BA5" w:rsidRDefault="00E876BB">
          <w:pPr>
            <w:pStyle w:val="TDC2"/>
            <w:tabs>
              <w:tab w:val="right" w:leader="dot" w:pos="8921"/>
            </w:tabs>
            <w:rPr>
              <w:rFonts w:asciiTheme="minorHAnsi" w:eastAsiaTheme="minorEastAsia" w:hAnsiTheme="minorHAnsi" w:cstheme="minorBidi"/>
              <w:noProof/>
              <w:color w:val="auto"/>
            </w:rPr>
          </w:pPr>
          <w:hyperlink w:anchor="_Toc206089163" w:history="1">
            <w:r w:rsidR="00260BA5" w:rsidRPr="00E00907">
              <w:rPr>
                <w:rStyle w:val="Hipervnculo"/>
                <w:noProof/>
              </w:rPr>
              <w:t>PRIMERO. Competencia</w:t>
            </w:r>
            <w:r w:rsidR="00260BA5">
              <w:rPr>
                <w:noProof/>
                <w:webHidden/>
              </w:rPr>
              <w:tab/>
            </w:r>
            <w:r w:rsidR="00260BA5">
              <w:rPr>
                <w:noProof/>
                <w:webHidden/>
              </w:rPr>
              <w:fldChar w:fldCharType="begin"/>
            </w:r>
            <w:r w:rsidR="00260BA5">
              <w:rPr>
                <w:noProof/>
                <w:webHidden/>
              </w:rPr>
              <w:instrText xml:space="preserve"> PAGEREF _Toc206089163 \h </w:instrText>
            </w:r>
            <w:r w:rsidR="00260BA5">
              <w:rPr>
                <w:noProof/>
                <w:webHidden/>
              </w:rPr>
            </w:r>
            <w:r w:rsidR="00260BA5">
              <w:rPr>
                <w:noProof/>
                <w:webHidden/>
              </w:rPr>
              <w:fldChar w:fldCharType="separate"/>
            </w:r>
            <w:r w:rsidR="008E02D2">
              <w:rPr>
                <w:noProof/>
                <w:webHidden/>
              </w:rPr>
              <w:t>7</w:t>
            </w:r>
            <w:r w:rsidR="00260BA5">
              <w:rPr>
                <w:noProof/>
                <w:webHidden/>
              </w:rPr>
              <w:fldChar w:fldCharType="end"/>
            </w:r>
          </w:hyperlink>
        </w:p>
        <w:p w14:paraId="5E7F9789" w14:textId="2563178C" w:rsidR="00260BA5" w:rsidRDefault="00E876BB">
          <w:pPr>
            <w:pStyle w:val="TDC2"/>
            <w:tabs>
              <w:tab w:val="right" w:leader="dot" w:pos="8921"/>
            </w:tabs>
            <w:rPr>
              <w:rFonts w:asciiTheme="minorHAnsi" w:eastAsiaTheme="minorEastAsia" w:hAnsiTheme="minorHAnsi" w:cstheme="minorBidi"/>
              <w:noProof/>
              <w:color w:val="auto"/>
            </w:rPr>
          </w:pPr>
          <w:hyperlink w:anchor="_Toc206089164" w:history="1">
            <w:r w:rsidR="00260BA5" w:rsidRPr="00E00907">
              <w:rPr>
                <w:rStyle w:val="Hipervnculo"/>
                <w:noProof/>
              </w:rPr>
              <w:t>SEGUNDO. Causales de improcedencia</w:t>
            </w:r>
            <w:r w:rsidR="00260BA5">
              <w:rPr>
                <w:noProof/>
                <w:webHidden/>
              </w:rPr>
              <w:tab/>
            </w:r>
            <w:r w:rsidR="00260BA5">
              <w:rPr>
                <w:noProof/>
                <w:webHidden/>
              </w:rPr>
              <w:fldChar w:fldCharType="begin"/>
            </w:r>
            <w:r w:rsidR="00260BA5">
              <w:rPr>
                <w:noProof/>
                <w:webHidden/>
              </w:rPr>
              <w:instrText xml:space="preserve"> PAGEREF _Toc206089164 \h </w:instrText>
            </w:r>
            <w:r w:rsidR="00260BA5">
              <w:rPr>
                <w:noProof/>
                <w:webHidden/>
              </w:rPr>
            </w:r>
            <w:r w:rsidR="00260BA5">
              <w:rPr>
                <w:noProof/>
                <w:webHidden/>
              </w:rPr>
              <w:fldChar w:fldCharType="separate"/>
            </w:r>
            <w:r w:rsidR="008E02D2">
              <w:rPr>
                <w:noProof/>
                <w:webHidden/>
              </w:rPr>
              <w:t>7</w:t>
            </w:r>
            <w:r w:rsidR="00260BA5">
              <w:rPr>
                <w:noProof/>
                <w:webHidden/>
              </w:rPr>
              <w:fldChar w:fldCharType="end"/>
            </w:r>
          </w:hyperlink>
        </w:p>
        <w:p w14:paraId="5FE548E5" w14:textId="256FF1B2" w:rsidR="00260BA5" w:rsidRDefault="00E876BB">
          <w:pPr>
            <w:pStyle w:val="TDC2"/>
            <w:tabs>
              <w:tab w:val="right" w:leader="dot" w:pos="8921"/>
            </w:tabs>
            <w:rPr>
              <w:rFonts w:asciiTheme="minorHAnsi" w:eastAsiaTheme="minorEastAsia" w:hAnsiTheme="minorHAnsi" w:cstheme="minorBidi"/>
              <w:noProof/>
              <w:color w:val="auto"/>
            </w:rPr>
          </w:pPr>
          <w:hyperlink w:anchor="_Toc206089165" w:history="1">
            <w:r w:rsidR="00260BA5" w:rsidRPr="00E00907">
              <w:rPr>
                <w:rStyle w:val="Hipervnculo"/>
                <w:noProof/>
              </w:rPr>
              <w:t>TERCERO. Causales de Sobreseimiento</w:t>
            </w:r>
            <w:r w:rsidR="00260BA5">
              <w:rPr>
                <w:noProof/>
                <w:webHidden/>
              </w:rPr>
              <w:tab/>
            </w:r>
            <w:r w:rsidR="00260BA5">
              <w:rPr>
                <w:noProof/>
                <w:webHidden/>
              </w:rPr>
              <w:fldChar w:fldCharType="begin"/>
            </w:r>
            <w:r w:rsidR="00260BA5">
              <w:rPr>
                <w:noProof/>
                <w:webHidden/>
              </w:rPr>
              <w:instrText xml:space="preserve"> PAGEREF _Toc206089165 \h </w:instrText>
            </w:r>
            <w:r w:rsidR="00260BA5">
              <w:rPr>
                <w:noProof/>
                <w:webHidden/>
              </w:rPr>
            </w:r>
            <w:r w:rsidR="00260BA5">
              <w:rPr>
                <w:noProof/>
                <w:webHidden/>
              </w:rPr>
              <w:fldChar w:fldCharType="separate"/>
            </w:r>
            <w:r w:rsidR="008E02D2">
              <w:rPr>
                <w:noProof/>
                <w:webHidden/>
              </w:rPr>
              <w:t>8</w:t>
            </w:r>
            <w:r w:rsidR="00260BA5">
              <w:rPr>
                <w:noProof/>
                <w:webHidden/>
              </w:rPr>
              <w:fldChar w:fldCharType="end"/>
            </w:r>
          </w:hyperlink>
        </w:p>
        <w:p w14:paraId="7A2A6922" w14:textId="2CC70957" w:rsidR="00260BA5" w:rsidRDefault="00E876BB">
          <w:pPr>
            <w:pStyle w:val="TDC2"/>
            <w:tabs>
              <w:tab w:val="right" w:leader="dot" w:pos="8921"/>
            </w:tabs>
            <w:rPr>
              <w:rFonts w:asciiTheme="minorHAnsi" w:eastAsiaTheme="minorEastAsia" w:hAnsiTheme="minorHAnsi" w:cstheme="minorBidi"/>
              <w:noProof/>
              <w:color w:val="auto"/>
            </w:rPr>
          </w:pPr>
          <w:hyperlink w:anchor="_Toc206089166" w:history="1">
            <w:r w:rsidR="00260BA5" w:rsidRPr="00E00907">
              <w:rPr>
                <w:rStyle w:val="Hipervnculo"/>
                <w:rFonts w:eastAsia="Times New Roman" w:cs="Times New Roman"/>
                <w:b/>
                <w:bCs/>
                <w:noProof/>
                <w:lang w:eastAsia="en-US"/>
              </w:rPr>
              <w:t>CUARTO. Decisión</w:t>
            </w:r>
            <w:r w:rsidR="00260BA5">
              <w:rPr>
                <w:noProof/>
                <w:webHidden/>
              </w:rPr>
              <w:tab/>
            </w:r>
            <w:r w:rsidR="00260BA5">
              <w:rPr>
                <w:noProof/>
                <w:webHidden/>
              </w:rPr>
              <w:fldChar w:fldCharType="begin"/>
            </w:r>
            <w:r w:rsidR="00260BA5">
              <w:rPr>
                <w:noProof/>
                <w:webHidden/>
              </w:rPr>
              <w:instrText xml:space="preserve"> PAGEREF _Toc206089166 \h </w:instrText>
            </w:r>
            <w:r w:rsidR="00260BA5">
              <w:rPr>
                <w:noProof/>
                <w:webHidden/>
              </w:rPr>
            </w:r>
            <w:r w:rsidR="00260BA5">
              <w:rPr>
                <w:noProof/>
                <w:webHidden/>
              </w:rPr>
              <w:fldChar w:fldCharType="separate"/>
            </w:r>
            <w:r w:rsidR="008E02D2">
              <w:rPr>
                <w:noProof/>
                <w:webHidden/>
              </w:rPr>
              <w:t>28</w:t>
            </w:r>
            <w:r w:rsidR="00260BA5">
              <w:rPr>
                <w:noProof/>
                <w:webHidden/>
              </w:rPr>
              <w:fldChar w:fldCharType="end"/>
            </w:r>
          </w:hyperlink>
        </w:p>
        <w:p w14:paraId="4810256D" w14:textId="1C9E0987" w:rsidR="00260BA5" w:rsidRDefault="00E876BB">
          <w:pPr>
            <w:pStyle w:val="TDC1"/>
            <w:tabs>
              <w:tab w:val="right" w:leader="dot" w:pos="8921"/>
            </w:tabs>
            <w:rPr>
              <w:rFonts w:asciiTheme="minorHAnsi" w:eastAsiaTheme="minorEastAsia" w:hAnsiTheme="minorHAnsi" w:cstheme="minorBidi"/>
              <w:noProof/>
              <w:color w:val="auto"/>
            </w:rPr>
          </w:pPr>
          <w:hyperlink w:anchor="_Toc206089167" w:history="1">
            <w:r w:rsidR="00260BA5" w:rsidRPr="00E00907">
              <w:rPr>
                <w:rStyle w:val="Hipervnculo"/>
                <w:rFonts w:eastAsia="Times New Roman" w:cs="Times New Roman"/>
                <w:b/>
                <w:bCs/>
                <w:noProof/>
                <w:lang w:eastAsia="en-US"/>
              </w:rPr>
              <w:t>R E S U E L V E</w:t>
            </w:r>
            <w:r w:rsidR="00260BA5">
              <w:rPr>
                <w:noProof/>
                <w:webHidden/>
              </w:rPr>
              <w:tab/>
            </w:r>
            <w:r w:rsidR="00260BA5">
              <w:rPr>
                <w:noProof/>
                <w:webHidden/>
              </w:rPr>
              <w:fldChar w:fldCharType="begin"/>
            </w:r>
            <w:r w:rsidR="00260BA5">
              <w:rPr>
                <w:noProof/>
                <w:webHidden/>
              </w:rPr>
              <w:instrText xml:space="preserve"> PAGEREF _Toc206089167 \h </w:instrText>
            </w:r>
            <w:r w:rsidR="00260BA5">
              <w:rPr>
                <w:noProof/>
                <w:webHidden/>
              </w:rPr>
            </w:r>
            <w:r w:rsidR="00260BA5">
              <w:rPr>
                <w:noProof/>
                <w:webHidden/>
              </w:rPr>
              <w:fldChar w:fldCharType="separate"/>
            </w:r>
            <w:r w:rsidR="008E02D2">
              <w:rPr>
                <w:noProof/>
                <w:webHidden/>
              </w:rPr>
              <w:t>29</w:t>
            </w:r>
            <w:r w:rsidR="00260BA5">
              <w:rPr>
                <w:noProof/>
                <w:webHidden/>
              </w:rPr>
              <w:fldChar w:fldCharType="end"/>
            </w:r>
          </w:hyperlink>
        </w:p>
        <w:p w14:paraId="5B9D6C11" w14:textId="0CE2BEAB" w:rsidR="00C4052B" w:rsidRPr="00074EA3" w:rsidRDefault="00C4052B" w:rsidP="00701F40">
          <w:pPr>
            <w:spacing w:after="0" w:line="360" w:lineRule="auto"/>
            <w:rPr>
              <w:color w:val="FF0000"/>
            </w:rPr>
          </w:pPr>
          <w:r w:rsidRPr="00074EA3">
            <w:rPr>
              <w:b/>
              <w:bCs/>
              <w:color w:val="FF0000"/>
              <w:lang w:val="es-ES"/>
            </w:rPr>
            <w:fldChar w:fldCharType="end"/>
          </w:r>
        </w:p>
      </w:sdtContent>
    </w:sdt>
    <w:p w14:paraId="57481942" w14:textId="77777777" w:rsidR="00C4052B" w:rsidRPr="00074EA3" w:rsidRDefault="00C4052B" w:rsidP="00701F40">
      <w:pPr>
        <w:tabs>
          <w:tab w:val="left" w:pos="8931"/>
        </w:tabs>
        <w:spacing w:after="0" w:line="360" w:lineRule="auto"/>
        <w:rPr>
          <w:color w:val="FF0000"/>
        </w:rPr>
      </w:pPr>
    </w:p>
    <w:p w14:paraId="411B5995" w14:textId="77777777" w:rsidR="00C4052B" w:rsidRPr="00074EA3" w:rsidRDefault="00C4052B" w:rsidP="00701F40">
      <w:pPr>
        <w:tabs>
          <w:tab w:val="left" w:pos="8931"/>
        </w:tabs>
        <w:spacing w:after="0" w:line="360" w:lineRule="auto"/>
        <w:rPr>
          <w:color w:val="FF0000"/>
        </w:rPr>
      </w:pPr>
    </w:p>
    <w:p w14:paraId="6784625D" w14:textId="77777777" w:rsidR="00C4052B" w:rsidRPr="00074EA3" w:rsidRDefault="00C4052B" w:rsidP="00701F40">
      <w:pPr>
        <w:tabs>
          <w:tab w:val="left" w:pos="8931"/>
        </w:tabs>
        <w:spacing w:after="0" w:line="360" w:lineRule="auto"/>
        <w:rPr>
          <w:color w:val="FF0000"/>
        </w:rPr>
      </w:pPr>
    </w:p>
    <w:p w14:paraId="140888DD" w14:textId="77777777" w:rsidR="00C4052B" w:rsidRPr="00074EA3" w:rsidRDefault="00C4052B" w:rsidP="00701F40">
      <w:pPr>
        <w:tabs>
          <w:tab w:val="left" w:pos="8931"/>
        </w:tabs>
        <w:spacing w:after="0" w:line="360" w:lineRule="auto"/>
        <w:rPr>
          <w:color w:val="FF0000"/>
        </w:rPr>
      </w:pPr>
    </w:p>
    <w:p w14:paraId="46268890" w14:textId="77777777" w:rsidR="00C4052B" w:rsidRPr="00074EA3" w:rsidRDefault="00C4052B" w:rsidP="00701F40">
      <w:pPr>
        <w:tabs>
          <w:tab w:val="left" w:pos="8931"/>
        </w:tabs>
        <w:spacing w:after="0" w:line="360" w:lineRule="auto"/>
        <w:rPr>
          <w:color w:val="FF0000"/>
        </w:rPr>
      </w:pPr>
    </w:p>
    <w:p w14:paraId="147CC638" w14:textId="77777777" w:rsidR="00C4052B" w:rsidRPr="00074EA3" w:rsidRDefault="00C4052B" w:rsidP="00701F40">
      <w:pPr>
        <w:tabs>
          <w:tab w:val="left" w:pos="8931"/>
        </w:tabs>
        <w:spacing w:after="0" w:line="360" w:lineRule="auto"/>
        <w:rPr>
          <w:color w:val="FF0000"/>
        </w:rPr>
      </w:pPr>
    </w:p>
    <w:p w14:paraId="01BB5716" w14:textId="77777777" w:rsidR="00C4052B" w:rsidRPr="00074EA3" w:rsidRDefault="00C4052B" w:rsidP="00701F40">
      <w:pPr>
        <w:tabs>
          <w:tab w:val="left" w:pos="8931"/>
        </w:tabs>
        <w:spacing w:after="0" w:line="360" w:lineRule="auto"/>
        <w:rPr>
          <w:color w:val="FF0000"/>
        </w:rPr>
      </w:pPr>
    </w:p>
    <w:p w14:paraId="62C1CEC9" w14:textId="77777777" w:rsidR="00C4052B" w:rsidRPr="00074EA3" w:rsidRDefault="00C4052B" w:rsidP="00701F40">
      <w:pPr>
        <w:tabs>
          <w:tab w:val="left" w:pos="8931"/>
        </w:tabs>
        <w:spacing w:after="0" w:line="360" w:lineRule="auto"/>
        <w:rPr>
          <w:color w:val="FF0000"/>
        </w:rPr>
      </w:pPr>
    </w:p>
    <w:p w14:paraId="7F38981D" w14:textId="77777777" w:rsidR="00A55E82" w:rsidRPr="00074EA3" w:rsidRDefault="00A55E82" w:rsidP="00701F40">
      <w:pPr>
        <w:tabs>
          <w:tab w:val="left" w:pos="8931"/>
        </w:tabs>
        <w:spacing w:after="0" w:line="360" w:lineRule="auto"/>
        <w:rPr>
          <w:color w:val="FF0000"/>
        </w:rPr>
      </w:pPr>
    </w:p>
    <w:p w14:paraId="1E66C163" w14:textId="77777777" w:rsidR="000415B4" w:rsidRPr="00074EA3" w:rsidRDefault="000415B4" w:rsidP="00701F40">
      <w:pPr>
        <w:tabs>
          <w:tab w:val="left" w:pos="8931"/>
        </w:tabs>
        <w:spacing w:after="0" w:line="360" w:lineRule="auto"/>
        <w:rPr>
          <w:color w:val="FF0000"/>
        </w:rPr>
      </w:pPr>
    </w:p>
    <w:p w14:paraId="4995958F" w14:textId="77777777" w:rsidR="000415B4" w:rsidRPr="00074EA3" w:rsidRDefault="000415B4" w:rsidP="00701F40">
      <w:pPr>
        <w:tabs>
          <w:tab w:val="left" w:pos="8931"/>
        </w:tabs>
        <w:spacing w:after="0" w:line="360" w:lineRule="auto"/>
        <w:rPr>
          <w:color w:val="FF0000"/>
        </w:rPr>
      </w:pPr>
    </w:p>
    <w:p w14:paraId="70873D6D" w14:textId="77777777" w:rsidR="000415B4" w:rsidRPr="00074EA3" w:rsidRDefault="000415B4" w:rsidP="00701F40">
      <w:pPr>
        <w:tabs>
          <w:tab w:val="left" w:pos="8931"/>
        </w:tabs>
        <w:spacing w:after="0" w:line="360" w:lineRule="auto"/>
        <w:rPr>
          <w:color w:val="FF0000"/>
        </w:rPr>
      </w:pPr>
    </w:p>
    <w:p w14:paraId="55EAAD94" w14:textId="77777777" w:rsidR="000415B4" w:rsidRPr="00074EA3" w:rsidRDefault="000415B4" w:rsidP="00701F40">
      <w:pPr>
        <w:tabs>
          <w:tab w:val="left" w:pos="8931"/>
        </w:tabs>
        <w:spacing w:after="0" w:line="360" w:lineRule="auto"/>
        <w:rPr>
          <w:color w:val="FF0000"/>
        </w:rPr>
      </w:pPr>
    </w:p>
    <w:p w14:paraId="3FB7EB5E" w14:textId="01281852" w:rsidR="005C690F" w:rsidRPr="00074EA3" w:rsidRDefault="007D6307" w:rsidP="00701F40">
      <w:pPr>
        <w:tabs>
          <w:tab w:val="left" w:pos="8931"/>
        </w:tabs>
        <w:spacing w:after="0" w:line="360" w:lineRule="auto"/>
        <w:rPr>
          <w:color w:val="auto"/>
        </w:rPr>
      </w:pPr>
      <w:r w:rsidRPr="00074EA3">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74EA3">
        <w:rPr>
          <w:color w:val="auto"/>
        </w:rPr>
        <w:t xml:space="preserve">fecha </w:t>
      </w:r>
      <w:r w:rsidR="00074EA3" w:rsidRPr="00074EA3">
        <w:rPr>
          <w:color w:val="auto"/>
        </w:rPr>
        <w:t>trece de agosto de dos mil veinticinco.</w:t>
      </w:r>
    </w:p>
    <w:p w14:paraId="0DCD3B82" w14:textId="77777777" w:rsidR="005C690F" w:rsidRPr="00074EA3" w:rsidRDefault="005C690F" w:rsidP="00701F40">
      <w:pPr>
        <w:spacing w:after="0" w:line="360" w:lineRule="auto"/>
        <w:rPr>
          <w:b/>
          <w:color w:val="FF0000"/>
        </w:rPr>
      </w:pPr>
    </w:p>
    <w:p w14:paraId="1570B336" w14:textId="66924CCB" w:rsidR="005C690F" w:rsidRPr="00074EA3" w:rsidRDefault="007D6307" w:rsidP="00701F40">
      <w:pPr>
        <w:spacing w:after="0" w:line="360" w:lineRule="auto"/>
        <w:rPr>
          <w:color w:val="auto"/>
        </w:rPr>
      </w:pPr>
      <w:r w:rsidRPr="00074EA3">
        <w:rPr>
          <w:b/>
          <w:color w:val="auto"/>
        </w:rPr>
        <w:t xml:space="preserve">VISTO </w:t>
      </w:r>
      <w:r w:rsidRPr="00074EA3">
        <w:rPr>
          <w:color w:val="auto"/>
        </w:rPr>
        <w:t xml:space="preserve">el expediente electrónico conformado con motivo del Recurso de Revisión </w:t>
      </w:r>
      <w:r w:rsidR="00EE1006" w:rsidRPr="006467C0">
        <w:rPr>
          <w:b/>
          <w:color w:val="auto"/>
        </w:rPr>
        <w:t>0</w:t>
      </w:r>
      <w:r w:rsidR="00074EA3" w:rsidRPr="006467C0">
        <w:rPr>
          <w:b/>
          <w:color w:val="auto"/>
        </w:rPr>
        <w:t>7981</w:t>
      </w:r>
      <w:r w:rsidR="000D392E" w:rsidRPr="006467C0">
        <w:rPr>
          <w:b/>
          <w:color w:val="auto"/>
        </w:rPr>
        <w:t>/INFOEM/IP/RR/2025</w:t>
      </w:r>
      <w:r w:rsidRPr="00074EA3">
        <w:rPr>
          <w:bCs/>
          <w:color w:val="auto"/>
        </w:rPr>
        <w:t xml:space="preserve">, interpuesto </w:t>
      </w:r>
      <w:r w:rsidR="00D906B2" w:rsidRPr="00074EA3">
        <w:rPr>
          <w:bCs/>
          <w:color w:val="auto"/>
        </w:rPr>
        <w:t>la persona</w:t>
      </w:r>
      <w:r w:rsidRPr="00074EA3">
        <w:rPr>
          <w:bCs/>
          <w:color w:val="auto"/>
        </w:rPr>
        <w:t xml:space="preserve"> Recurrente o Particular, en contra de la respuesta del Sujeto Obligado</w:t>
      </w:r>
      <w:r w:rsidR="00705FBB" w:rsidRPr="00074EA3">
        <w:rPr>
          <w:bCs/>
          <w:color w:val="auto"/>
        </w:rPr>
        <w:t xml:space="preserve">, </w:t>
      </w:r>
      <w:r w:rsidR="008246F7" w:rsidRPr="006467C0">
        <w:rPr>
          <w:b/>
          <w:bCs/>
          <w:color w:val="auto"/>
        </w:rPr>
        <w:t xml:space="preserve">Ayuntamiento de </w:t>
      </w:r>
      <w:r w:rsidR="00074EA3" w:rsidRPr="006467C0">
        <w:rPr>
          <w:b/>
          <w:bCs/>
          <w:color w:val="auto"/>
        </w:rPr>
        <w:t>Zinacantepec</w:t>
      </w:r>
      <w:r w:rsidR="00EF0C39" w:rsidRPr="00074EA3">
        <w:rPr>
          <w:bCs/>
          <w:color w:val="auto"/>
        </w:rPr>
        <w:t>,</w:t>
      </w:r>
      <w:r w:rsidRPr="00074EA3">
        <w:rPr>
          <w:bCs/>
          <w:color w:val="auto"/>
        </w:rPr>
        <w:t xml:space="preserve"> </w:t>
      </w:r>
      <w:r w:rsidRPr="00074EA3">
        <w:rPr>
          <w:color w:val="auto"/>
        </w:rPr>
        <w:t>a la solicitud de acceso a la información pública</w:t>
      </w:r>
      <w:r w:rsidR="00074EA3" w:rsidRPr="00074EA3">
        <w:rPr>
          <w:color w:val="auto"/>
        </w:rPr>
        <w:t xml:space="preserve"> 00448/ZINACANT/IP/2025</w:t>
      </w:r>
      <w:r w:rsidRPr="00074EA3">
        <w:rPr>
          <w:color w:val="auto"/>
        </w:rPr>
        <w:t>, se emite la presente Resolución, con base en los Antecedentes y Considerandos que se exponen a continuación:</w:t>
      </w:r>
    </w:p>
    <w:p w14:paraId="1F97CEF3" w14:textId="77777777" w:rsidR="005C690F" w:rsidRPr="00074EA3" w:rsidRDefault="005C690F" w:rsidP="00701F40">
      <w:pPr>
        <w:spacing w:after="0" w:line="360" w:lineRule="auto"/>
        <w:rPr>
          <w:b/>
          <w:color w:val="FF0000"/>
        </w:rPr>
      </w:pPr>
    </w:p>
    <w:p w14:paraId="1DEAF9D3" w14:textId="24D35555" w:rsidR="005C690F" w:rsidRPr="00074EA3" w:rsidRDefault="00CD6238" w:rsidP="00701F40">
      <w:pPr>
        <w:pStyle w:val="Ttulo1"/>
        <w:spacing w:before="0" w:after="0" w:line="360" w:lineRule="auto"/>
        <w:jc w:val="center"/>
        <w:rPr>
          <w:color w:val="auto"/>
          <w:sz w:val="22"/>
          <w:szCs w:val="22"/>
        </w:rPr>
      </w:pPr>
      <w:bookmarkStart w:id="1" w:name="_Toc206089157"/>
      <w:r w:rsidRPr="00074EA3">
        <w:rPr>
          <w:color w:val="auto"/>
          <w:sz w:val="22"/>
          <w:szCs w:val="22"/>
        </w:rPr>
        <w:t>A N T E C E D E N T E S</w:t>
      </w:r>
      <w:bookmarkEnd w:id="1"/>
    </w:p>
    <w:p w14:paraId="5A7EDA4F" w14:textId="77777777" w:rsidR="005C690F" w:rsidRPr="00074EA3" w:rsidRDefault="005C690F" w:rsidP="00701F40">
      <w:pPr>
        <w:spacing w:after="0" w:line="360" w:lineRule="auto"/>
        <w:jc w:val="center"/>
        <w:rPr>
          <w:b/>
          <w:color w:val="FF0000"/>
        </w:rPr>
      </w:pPr>
    </w:p>
    <w:p w14:paraId="4930DAB9" w14:textId="701611A7" w:rsidR="00E22EA8" w:rsidRPr="00074EA3" w:rsidRDefault="009215C2" w:rsidP="00701F40">
      <w:pPr>
        <w:pStyle w:val="Ttulo2"/>
        <w:spacing w:before="0" w:after="0" w:line="360" w:lineRule="auto"/>
        <w:rPr>
          <w:color w:val="auto"/>
          <w:sz w:val="22"/>
          <w:szCs w:val="22"/>
          <w:lang w:eastAsia="es-ES"/>
        </w:rPr>
      </w:pPr>
      <w:bookmarkStart w:id="2" w:name="_Toc206089158"/>
      <w:r w:rsidRPr="00074EA3">
        <w:rPr>
          <w:color w:val="auto"/>
          <w:sz w:val="22"/>
          <w:szCs w:val="22"/>
          <w:lang w:eastAsia="es-ES"/>
        </w:rPr>
        <w:t xml:space="preserve">I. </w:t>
      </w:r>
      <w:r w:rsidR="00E22EA8" w:rsidRPr="00074EA3">
        <w:rPr>
          <w:color w:val="auto"/>
          <w:sz w:val="22"/>
          <w:szCs w:val="22"/>
          <w:lang w:eastAsia="es-ES"/>
        </w:rPr>
        <w:t>Presentación de la solicitud de información</w:t>
      </w:r>
      <w:bookmarkEnd w:id="2"/>
    </w:p>
    <w:p w14:paraId="63A20E25" w14:textId="77777777" w:rsidR="009215C2" w:rsidRPr="00074EA3" w:rsidRDefault="009215C2" w:rsidP="00701F40">
      <w:pPr>
        <w:tabs>
          <w:tab w:val="left" w:pos="567"/>
        </w:tabs>
        <w:spacing w:after="0" w:line="360" w:lineRule="auto"/>
        <w:rPr>
          <w:rFonts w:eastAsia="Times New Roman" w:cs="Tahoma"/>
          <w:color w:val="FF0000"/>
          <w:lang w:eastAsia="es-ES"/>
        </w:rPr>
      </w:pPr>
    </w:p>
    <w:p w14:paraId="301B8A4E" w14:textId="7FD4E65E" w:rsidR="00E22EA8" w:rsidRPr="00074EA3" w:rsidRDefault="00D906B2" w:rsidP="00701F40">
      <w:pPr>
        <w:spacing w:after="0" w:line="360" w:lineRule="auto"/>
        <w:rPr>
          <w:rFonts w:eastAsia="Times New Roman" w:cs="Tahoma"/>
          <w:color w:val="auto"/>
          <w:lang w:eastAsia="es-ES"/>
        </w:rPr>
      </w:pPr>
      <w:r w:rsidRPr="00074EA3">
        <w:rPr>
          <w:rFonts w:eastAsia="Times New Roman" w:cs="Tahoma"/>
          <w:color w:val="auto"/>
          <w:lang w:eastAsia="es-ES"/>
        </w:rPr>
        <w:t>El</w:t>
      </w:r>
      <w:r w:rsidR="00D52EC1" w:rsidRPr="00074EA3">
        <w:rPr>
          <w:rFonts w:eastAsia="Times New Roman" w:cs="Tahoma"/>
          <w:color w:val="auto"/>
          <w:lang w:eastAsia="es-ES"/>
        </w:rPr>
        <w:t xml:space="preserve"> </w:t>
      </w:r>
      <w:r w:rsidR="00074EA3" w:rsidRPr="00074EA3">
        <w:rPr>
          <w:rFonts w:eastAsia="Times New Roman" w:cs="Tahoma"/>
          <w:color w:val="auto"/>
          <w:lang w:eastAsia="es-ES"/>
        </w:rPr>
        <w:t xml:space="preserve">nueve de junio de dos </w:t>
      </w:r>
      <w:r w:rsidR="008E0DC4" w:rsidRPr="00074EA3">
        <w:rPr>
          <w:rFonts w:eastAsia="Times New Roman" w:cs="Tahoma"/>
          <w:color w:val="auto"/>
          <w:lang w:eastAsia="es-ES"/>
        </w:rPr>
        <w:t>mil veinticinco</w:t>
      </w:r>
      <w:r w:rsidR="00BF362A" w:rsidRPr="00074EA3">
        <w:rPr>
          <w:rFonts w:eastAsia="Times New Roman" w:cs="Tahoma"/>
          <w:color w:val="auto"/>
          <w:lang w:eastAsia="es-ES"/>
        </w:rPr>
        <w:t xml:space="preserve">, </w:t>
      </w:r>
      <w:r w:rsidR="00E22EA8" w:rsidRPr="00074EA3">
        <w:rPr>
          <w:rFonts w:eastAsia="Times New Roman" w:cs="Tahoma"/>
          <w:color w:val="auto"/>
          <w:lang w:eastAsia="es-ES"/>
        </w:rPr>
        <w:t>el Particular presentó una solicitud de acceso a la información pública, a través del Sistema de Acceso a la Información Mexiquense (SAIMEX), ante</w:t>
      </w:r>
      <w:r w:rsidR="000B3C56" w:rsidRPr="00074EA3">
        <w:rPr>
          <w:rFonts w:eastAsia="Times New Roman" w:cs="Tahoma"/>
          <w:color w:val="auto"/>
          <w:lang w:eastAsia="es-ES"/>
        </w:rPr>
        <w:t xml:space="preserve"> </w:t>
      </w:r>
      <w:r w:rsidR="00DC175C" w:rsidRPr="00074EA3">
        <w:rPr>
          <w:rFonts w:eastAsia="Times New Roman" w:cs="Tahoma"/>
          <w:color w:val="auto"/>
          <w:lang w:eastAsia="es-ES"/>
        </w:rPr>
        <w:t>el</w:t>
      </w:r>
      <w:r w:rsidR="008246F7" w:rsidRPr="00074EA3">
        <w:rPr>
          <w:color w:val="auto"/>
        </w:rPr>
        <w:t xml:space="preserve"> Ayuntamiento de</w:t>
      </w:r>
      <w:r w:rsidR="00074EA3" w:rsidRPr="00074EA3">
        <w:rPr>
          <w:color w:val="auto"/>
        </w:rPr>
        <w:t xml:space="preserve"> Zinacantepec</w:t>
      </w:r>
      <w:r w:rsidR="008E0DC4" w:rsidRPr="00074EA3">
        <w:rPr>
          <w:rFonts w:eastAsia="Calibri" w:cs="Times New Roman"/>
          <w:color w:val="auto"/>
        </w:rPr>
        <w:t>,</w:t>
      </w:r>
      <w:r w:rsidR="00DC175C" w:rsidRPr="00074EA3">
        <w:rPr>
          <w:rFonts w:eastAsia="Calibri" w:cs="Tahoma"/>
          <w:color w:val="auto"/>
        </w:rPr>
        <w:t xml:space="preserve"> </w:t>
      </w:r>
      <w:r w:rsidR="00E22EA8" w:rsidRPr="00074EA3">
        <w:rPr>
          <w:rFonts w:eastAsia="Calibri" w:cs="Tahoma"/>
          <w:color w:val="auto"/>
        </w:rPr>
        <w:t xml:space="preserve">en los siguientes términos: </w:t>
      </w:r>
    </w:p>
    <w:p w14:paraId="2B959865" w14:textId="77777777" w:rsidR="00E22EA8" w:rsidRPr="00074EA3" w:rsidRDefault="00E22EA8" w:rsidP="00701F40">
      <w:pPr>
        <w:spacing w:after="0" w:line="360" w:lineRule="auto"/>
        <w:rPr>
          <w:rFonts w:eastAsia="Calibri" w:cs="Tahoma"/>
          <w:color w:val="auto"/>
        </w:rPr>
      </w:pPr>
    </w:p>
    <w:p w14:paraId="3FBC9D66" w14:textId="0F26255C" w:rsidR="00A41789" w:rsidRPr="00074EA3" w:rsidRDefault="00125F26" w:rsidP="00701F40">
      <w:pPr>
        <w:tabs>
          <w:tab w:val="left" w:pos="4667"/>
        </w:tabs>
        <w:spacing w:after="0" w:line="360" w:lineRule="auto"/>
        <w:ind w:left="567" w:right="567"/>
        <w:rPr>
          <w:rFonts w:eastAsia="Times New Roman" w:cs="Tahoma"/>
          <w:b/>
          <w:i/>
          <w:iCs/>
          <w:color w:val="auto"/>
          <w:sz w:val="20"/>
          <w:szCs w:val="20"/>
          <w:lang w:eastAsia="es-ES"/>
        </w:rPr>
      </w:pPr>
      <w:r w:rsidRPr="00074EA3">
        <w:rPr>
          <w:rFonts w:eastAsia="Times New Roman" w:cs="Tahoma"/>
          <w:b/>
          <w:i/>
          <w:iCs/>
          <w:color w:val="auto"/>
          <w:sz w:val="20"/>
          <w:szCs w:val="20"/>
          <w:lang w:eastAsia="es-ES"/>
        </w:rPr>
        <w:t>“</w:t>
      </w:r>
      <w:r w:rsidR="00E22EA8" w:rsidRPr="00074EA3">
        <w:rPr>
          <w:rFonts w:eastAsia="Times New Roman" w:cs="Tahoma"/>
          <w:b/>
          <w:i/>
          <w:iCs/>
          <w:color w:val="auto"/>
          <w:sz w:val="20"/>
          <w:szCs w:val="20"/>
          <w:lang w:eastAsia="es-ES"/>
        </w:rPr>
        <w:t>DESCRIPCIÓN CLARA Y PRECI</w:t>
      </w:r>
      <w:r w:rsidR="0084143D" w:rsidRPr="00074EA3">
        <w:rPr>
          <w:rFonts w:eastAsia="Times New Roman" w:cs="Tahoma"/>
          <w:b/>
          <w:i/>
          <w:iCs/>
          <w:color w:val="auto"/>
          <w:sz w:val="20"/>
          <w:szCs w:val="20"/>
          <w:lang w:eastAsia="es-ES"/>
        </w:rPr>
        <w:t xml:space="preserve">SA DE LA </w:t>
      </w:r>
      <w:r w:rsidR="00A41789" w:rsidRPr="00074EA3">
        <w:rPr>
          <w:rFonts w:eastAsia="Times New Roman" w:cs="Tahoma"/>
          <w:b/>
          <w:i/>
          <w:iCs/>
          <w:color w:val="auto"/>
          <w:sz w:val="20"/>
          <w:szCs w:val="20"/>
          <w:lang w:eastAsia="es-ES"/>
        </w:rPr>
        <w:t>INFORMACIÓN SOLICITADA</w:t>
      </w:r>
    </w:p>
    <w:p w14:paraId="5E88ED39" w14:textId="031981EB" w:rsidR="00BF362A" w:rsidRPr="00074EA3" w:rsidRDefault="00074EA3" w:rsidP="00701F40">
      <w:pPr>
        <w:spacing w:after="0" w:line="360" w:lineRule="auto"/>
        <w:ind w:left="567" w:right="567"/>
        <w:rPr>
          <w:rFonts w:eastAsia="Times New Roman" w:cs="Arial"/>
          <w:bCs/>
          <w:i/>
          <w:iCs/>
          <w:color w:val="auto"/>
          <w:sz w:val="20"/>
          <w:lang w:eastAsia="es-ES"/>
        </w:rPr>
      </w:pPr>
      <w:r w:rsidRPr="00074EA3">
        <w:rPr>
          <w:rFonts w:eastAsia="Times New Roman" w:cs="Arial"/>
          <w:bCs/>
          <w:i/>
          <w:iCs/>
          <w:color w:val="auto"/>
          <w:sz w:val="20"/>
          <w:lang w:eastAsia="es-ES"/>
        </w:rPr>
        <w:t>SOLICITO EL RECIBO DE NOMINA DE LA TITULAR DE TRANSPARENCIA” (Sic)</w:t>
      </w:r>
    </w:p>
    <w:p w14:paraId="0499C1B5" w14:textId="77777777" w:rsidR="00074EA3" w:rsidRPr="00074EA3" w:rsidRDefault="00074EA3" w:rsidP="00701F40">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074EA3" w:rsidRDefault="00125F26" w:rsidP="00701F40">
      <w:pPr>
        <w:tabs>
          <w:tab w:val="left" w:pos="4667"/>
        </w:tabs>
        <w:spacing w:after="0" w:line="360" w:lineRule="auto"/>
        <w:ind w:left="567" w:right="567"/>
        <w:rPr>
          <w:rFonts w:eastAsia="Times New Roman" w:cs="Tahoma"/>
          <w:b/>
          <w:bCs/>
          <w:i/>
          <w:iCs/>
          <w:color w:val="auto"/>
          <w:sz w:val="20"/>
          <w:lang w:eastAsia="es-ES"/>
        </w:rPr>
      </w:pPr>
      <w:r w:rsidRPr="00074EA3">
        <w:rPr>
          <w:rFonts w:eastAsia="Times New Roman" w:cs="Tahoma"/>
          <w:b/>
          <w:bCs/>
          <w:i/>
          <w:iCs/>
          <w:color w:val="auto"/>
          <w:sz w:val="20"/>
          <w:lang w:eastAsia="es-ES"/>
        </w:rPr>
        <w:t>“</w:t>
      </w:r>
      <w:r w:rsidR="00E22EA8" w:rsidRPr="00074EA3">
        <w:rPr>
          <w:rFonts w:eastAsia="Times New Roman" w:cs="Tahoma"/>
          <w:b/>
          <w:bCs/>
          <w:i/>
          <w:iCs/>
          <w:color w:val="auto"/>
          <w:sz w:val="20"/>
          <w:lang w:eastAsia="es-ES"/>
        </w:rPr>
        <w:t>MODALIDAD DE ENTREGA</w:t>
      </w:r>
    </w:p>
    <w:p w14:paraId="3CA8F82F" w14:textId="1B5A8200" w:rsidR="00EB386A" w:rsidRPr="00074EA3" w:rsidRDefault="00BB6693" w:rsidP="00701F40">
      <w:pPr>
        <w:spacing w:after="0" w:line="360" w:lineRule="auto"/>
        <w:ind w:left="567" w:right="567"/>
        <w:rPr>
          <w:rFonts w:eastAsia="Times New Roman" w:cs="Arial"/>
          <w:bCs/>
          <w:i/>
          <w:iCs/>
          <w:color w:val="auto"/>
          <w:sz w:val="20"/>
          <w:lang w:eastAsia="es-ES"/>
        </w:rPr>
      </w:pPr>
      <w:r w:rsidRPr="00074EA3">
        <w:rPr>
          <w:rFonts w:eastAsia="Times New Roman" w:cs="Arial"/>
          <w:bCs/>
          <w:i/>
          <w:iCs/>
          <w:color w:val="auto"/>
          <w:sz w:val="20"/>
          <w:lang w:eastAsia="es-ES"/>
        </w:rPr>
        <w:t>A través del SAIMEX</w:t>
      </w:r>
      <w:r w:rsidR="00E22EA8" w:rsidRPr="00074EA3">
        <w:rPr>
          <w:rFonts w:eastAsia="Times New Roman" w:cs="Arial"/>
          <w:bCs/>
          <w:i/>
          <w:iCs/>
          <w:color w:val="auto"/>
          <w:sz w:val="20"/>
          <w:lang w:eastAsia="es-ES"/>
        </w:rPr>
        <w:t>”</w:t>
      </w:r>
    </w:p>
    <w:p w14:paraId="7D2A95DA" w14:textId="77777777" w:rsidR="002207FA" w:rsidRPr="00074EA3" w:rsidRDefault="002207FA" w:rsidP="00701F40">
      <w:pPr>
        <w:spacing w:after="0" w:line="360" w:lineRule="auto"/>
        <w:ind w:left="567" w:right="567"/>
        <w:rPr>
          <w:rFonts w:eastAsia="Times New Roman" w:cs="Arial"/>
          <w:bCs/>
          <w:i/>
          <w:iCs/>
          <w:color w:val="FF0000"/>
          <w:sz w:val="20"/>
          <w:lang w:eastAsia="es-ES"/>
        </w:rPr>
      </w:pPr>
    </w:p>
    <w:p w14:paraId="0A604AAC" w14:textId="5EBA114E" w:rsidR="00E22EA8" w:rsidRPr="00074EA3" w:rsidRDefault="000B3C56" w:rsidP="00701F40">
      <w:pPr>
        <w:pStyle w:val="Ttulo2"/>
        <w:spacing w:before="0" w:after="0" w:line="360" w:lineRule="auto"/>
        <w:rPr>
          <w:color w:val="auto"/>
          <w:sz w:val="22"/>
          <w:szCs w:val="22"/>
        </w:rPr>
      </w:pPr>
      <w:bookmarkStart w:id="3" w:name="_Toc206089159"/>
      <w:r w:rsidRPr="00074EA3">
        <w:rPr>
          <w:rFonts w:cs="Tahoma"/>
          <w:color w:val="auto"/>
          <w:sz w:val="22"/>
          <w:szCs w:val="22"/>
        </w:rPr>
        <w:t>I</w:t>
      </w:r>
      <w:r w:rsidR="002207FA" w:rsidRPr="00074EA3">
        <w:rPr>
          <w:rFonts w:cs="Tahoma"/>
          <w:color w:val="auto"/>
          <w:sz w:val="22"/>
          <w:szCs w:val="22"/>
        </w:rPr>
        <w:t>I</w:t>
      </w:r>
      <w:r w:rsidR="00E22EA8" w:rsidRPr="00074EA3">
        <w:rPr>
          <w:rFonts w:cs="Tahoma"/>
          <w:color w:val="auto"/>
          <w:sz w:val="22"/>
          <w:szCs w:val="22"/>
        </w:rPr>
        <w:t>.</w:t>
      </w:r>
      <w:r w:rsidR="00E22EA8" w:rsidRPr="00074EA3">
        <w:rPr>
          <w:color w:val="auto"/>
          <w:sz w:val="22"/>
          <w:szCs w:val="22"/>
        </w:rPr>
        <w:t xml:space="preserve"> Respuesta del Sujeto Obligado</w:t>
      </w:r>
      <w:bookmarkEnd w:id="3"/>
    </w:p>
    <w:p w14:paraId="10CE94A9" w14:textId="77777777" w:rsidR="00C06004" w:rsidRPr="00074EA3" w:rsidRDefault="00C06004" w:rsidP="00701F40">
      <w:pPr>
        <w:autoSpaceDE w:val="0"/>
        <w:autoSpaceDN w:val="0"/>
        <w:adjustRightInd w:val="0"/>
        <w:spacing w:after="0" w:line="360" w:lineRule="auto"/>
        <w:rPr>
          <w:b/>
          <w:bCs/>
          <w:color w:val="FF0000"/>
        </w:rPr>
      </w:pPr>
    </w:p>
    <w:p w14:paraId="14014DFC" w14:textId="40152429" w:rsidR="00074EA3" w:rsidRDefault="00EB386A" w:rsidP="00701F40">
      <w:pPr>
        <w:spacing w:after="0" w:line="360" w:lineRule="auto"/>
        <w:rPr>
          <w:color w:val="FF0000"/>
        </w:rPr>
      </w:pPr>
      <w:r w:rsidRPr="00074EA3">
        <w:rPr>
          <w:color w:val="auto"/>
        </w:rPr>
        <w:lastRenderedPageBreak/>
        <w:t>El</w:t>
      </w:r>
      <w:r w:rsidR="00074EA3">
        <w:rPr>
          <w:color w:val="auto"/>
        </w:rPr>
        <w:t xml:space="preserve"> treinta de junio de dos mil </w:t>
      </w:r>
      <w:r w:rsidR="00074EA3" w:rsidRPr="00074EA3">
        <w:rPr>
          <w:color w:val="auto"/>
        </w:rPr>
        <w:t xml:space="preserve">veinticinco, </w:t>
      </w:r>
      <w:r w:rsidR="00E22EA8" w:rsidRPr="00074EA3">
        <w:rPr>
          <w:color w:val="auto"/>
        </w:rPr>
        <w:t xml:space="preserve">el Sujeto Obligado notificó, a través del Sistema de Acceso a la Información Mexiquense (SAIMEX), la respuesta a la solicitud de acceso a la información pública, </w:t>
      </w:r>
      <w:r w:rsidR="004D1D8F" w:rsidRPr="00074EA3">
        <w:rPr>
          <w:color w:val="auto"/>
        </w:rPr>
        <w:t xml:space="preserve">a través </w:t>
      </w:r>
      <w:r w:rsidR="00074EA3" w:rsidRPr="00074EA3">
        <w:rPr>
          <w:color w:val="auto"/>
        </w:rPr>
        <w:t>de la digitalización de los siguientes documentos:</w:t>
      </w:r>
    </w:p>
    <w:p w14:paraId="06190F37" w14:textId="77777777" w:rsidR="00074EA3" w:rsidRDefault="00074EA3" w:rsidP="00701F40">
      <w:pPr>
        <w:spacing w:after="0" w:line="360" w:lineRule="auto"/>
        <w:rPr>
          <w:color w:val="FF0000"/>
        </w:rPr>
      </w:pPr>
    </w:p>
    <w:p w14:paraId="322E0CA9" w14:textId="2BA4DDC5" w:rsidR="009F1B94" w:rsidRDefault="009F1B94" w:rsidP="00701F40">
      <w:pPr>
        <w:spacing w:after="0" w:line="360" w:lineRule="auto"/>
        <w:rPr>
          <w:color w:val="auto"/>
        </w:rPr>
      </w:pPr>
      <w:r w:rsidRPr="009F1B94">
        <w:rPr>
          <w:color w:val="auto"/>
        </w:rPr>
        <w:t>a) Escrito del treinta de junio de dos mil veinticinco, suscrito por la Titular de la Unidad de Transparencia, dirigido a la persona Solicitante, por medio del cual se menciona que se remite la respuesta proporcionada por el área competente para conocer de lo solicitado.</w:t>
      </w:r>
    </w:p>
    <w:p w14:paraId="6EDCA029" w14:textId="77777777" w:rsidR="009F1B94" w:rsidRDefault="009F1B94" w:rsidP="00701F40">
      <w:pPr>
        <w:spacing w:after="0" w:line="360" w:lineRule="auto"/>
        <w:rPr>
          <w:color w:val="auto"/>
        </w:rPr>
      </w:pPr>
    </w:p>
    <w:p w14:paraId="20F93DAE" w14:textId="516E456E" w:rsidR="009F1B94" w:rsidRDefault="009F1B94" w:rsidP="00701F40">
      <w:pPr>
        <w:spacing w:after="0" w:line="360" w:lineRule="auto"/>
        <w:rPr>
          <w:color w:val="auto"/>
        </w:rPr>
      </w:pPr>
      <w:r>
        <w:rPr>
          <w:color w:val="auto"/>
        </w:rPr>
        <w:t xml:space="preserve">b) </w:t>
      </w:r>
      <w:r w:rsidR="004044DE">
        <w:rPr>
          <w:color w:val="auto"/>
        </w:rPr>
        <w:t>Oficio ZIN/DA/SRH/134/2025 del diecisiete de junio de dos mil veinticinco, suscrito por el Subdirector de Recursos Humanos, dirigido a la Titular de la Unidad de Transparencia, por medio del cual se menciona lo siguiente:</w:t>
      </w:r>
    </w:p>
    <w:p w14:paraId="7C3606FB" w14:textId="77777777" w:rsidR="004843F2" w:rsidRPr="004843F2" w:rsidRDefault="004843F2" w:rsidP="00701F40">
      <w:pPr>
        <w:spacing w:after="0" w:line="360" w:lineRule="auto"/>
        <w:ind w:left="567" w:right="567"/>
        <w:rPr>
          <w:rFonts w:eastAsia="Times New Roman" w:cs="Arial"/>
          <w:bCs/>
          <w:i/>
          <w:iCs/>
          <w:color w:val="auto"/>
          <w:sz w:val="20"/>
          <w:lang w:eastAsia="es-ES"/>
        </w:rPr>
      </w:pPr>
    </w:p>
    <w:p w14:paraId="0E6A6BC0" w14:textId="475753C8" w:rsidR="004044DE" w:rsidRPr="004843F2" w:rsidRDefault="004843F2" w:rsidP="00701F40">
      <w:pPr>
        <w:spacing w:after="0" w:line="360" w:lineRule="auto"/>
        <w:ind w:left="567" w:right="567"/>
        <w:rPr>
          <w:rFonts w:eastAsia="Times New Roman" w:cs="Arial"/>
          <w:b/>
          <w:bCs/>
          <w:i/>
          <w:iCs/>
          <w:color w:val="auto"/>
          <w:sz w:val="20"/>
          <w:u w:val="single"/>
          <w:lang w:eastAsia="es-ES"/>
        </w:rPr>
      </w:pPr>
      <w:r w:rsidRPr="004843F2">
        <w:rPr>
          <w:rFonts w:eastAsia="Times New Roman" w:cs="Arial"/>
          <w:bCs/>
          <w:i/>
          <w:iCs/>
          <w:color w:val="auto"/>
          <w:sz w:val="20"/>
          <w:lang w:eastAsia="es-ES"/>
        </w:rPr>
        <w:t>“…Al respecto, y en cumplimiento a lo que establecen los artículos 12,24 último párrafo, 59 fracciones 1, II Y III de la Ley de Transparencia y Accesos a la información Pública del Estado de México y Municipios, con el objetivo de garantizar el derecho humano respecto a la consulta de la documental y/o referentes informativos en posesión de los sujetos obligados</w:t>
      </w:r>
      <w:r w:rsidRPr="004843F2">
        <w:rPr>
          <w:rFonts w:eastAsia="Times New Roman" w:cs="Arial"/>
          <w:b/>
          <w:bCs/>
          <w:i/>
          <w:iCs/>
          <w:color w:val="auto"/>
          <w:sz w:val="20"/>
          <w:u w:val="single"/>
          <w:lang w:eastAsia="es-ES"/>
        </w:rPr>
        <w:t>; informo que se adjunta archivo electrónico denominado "RECIBOS DE NÓMINA".</w:t>
      </w:r>
    </w:p>
    <w:p w14:paraId="6329A698" w14:textId="77777777" w:rsidR="004843F2" w:rsidRDefault="004843F2" w:rsidP="00701F40">
      <w:pPr>
        <w:spacing w:after="0" w:line="360" w:lineRule="auto"/>
        <w:ind w:left="567" w:right="567"/>
        <w:rPr>
          <w:rFonts w:eastAsia="Times New Roman" w:cs="Arial"/>
          <w:bCs/>
          <w:i/>
          <w:iCs/>
          <w:color w:val="auto"/>
          <w:sz w:val="20"/>
          <w:lang w:eastAsia="es-ES"/>
        </w:rPr>
      </w:pPr>
    </w:p>
    <w:p w14:paraId="19B75329" w14:textId="2EA7262E" w:rsidR="00074EA3" w:rsidRDefault="004843F2" w:rsidP="00701F40">
      <w:pPr>
        <w:spacing w:after="0" w:line="360" w:lineRule="auto"/>
        <w:ind w:left="567" w:right="567"/>
        <w:rPr>
          <w:rFonts w:eastAsia="Times New Roman" w:cs="Arial"/>
          <w:bCs/>
          <w:i/>
          <w:iCs/>
          <w:color w:val="auto"/>
          <w:sz w:val="20"/>
          <w:lang w:eastAsia="es-ES"/>
        </w:rPr>
      </w:pPr>
      <w:r w:rsidRPr="004843F2">
        <w:rPr>
          <w:rFonts w:eastAsia="Times New Roman" w:cs="Arial"/>
          <w:bCs/>
          <w:i/>
          <w:iCs/>
          <w:color w:val="auto"/>
          <w:sz w:val="20"/>
          <w:lang w:eastAsia="es-ES"/>
        </w:rPr>
        <w:t xml:space="preserve">Hago de su conocimiento que de acuerdo al </w:t>
      </w:r>
      <w:r w:rsidRPr="004843F2">
        <w:rPr>
          <w:rFonts w:eastAsia="Times New Roman" w:cs="Arial"/>
          <w:b/>
          <w:bCs/>
          <w:i/>
          <w:iCs/>
          <w:color w:val="auto"/>
          <w:sz w:val="20"/>
          <w:u w:val="single"/>
          <w:lang w:eastAsia="es-ES"/>
        </w:rPr>
        <w:t xml:space="preserve">Criterio Reiterado 04/2024 </w:t>
      </w:r>
      <w:r w:rsidRPr="004843F2">
        <w:rPr>
          <w:rFonts w:eastAsia="Times New Roman" w:cs="Arial"/>
          <w:bCs/>
          <w:i/>
          <w:iCs/>
          <w:color w:val="auto"/>
          <w:sz w:val="20"/>
          <w:lang w:eastAsia="es-ES"/>
        </w:rPr>
        <w:t xml:space="preserve">de la </w:t>
      </w:r>
      <w:r w:rsidRPr="004843F2">
        <w:rPr>
          <w:rFonts w:eastAsia="Times New Roman" w:cs="Arial"/>
          <w:b/>
          <w:bCs/>
          <w:i/>
          <w:iCs/>
          <w:color w:val="auto"/>
          <w:sz w:val="20"/>
          <w:u w:val="single"/>
          <w:lang w:eastAsia="es-ES"/>
        </w:rPr>
        <w:t>Gaceta de Gobierno del Estado de México</w:t>
      </w:r>
      <w:r w:rsidRPr="004843F2">
        <w:rPr>
          <w:rFonts w:eastAsia="Times New Roman" w:cs="Arial"/>
          <w:bCs/>
          <w:i/>
          <w:iCs/>
          <w:color w:val="auto"/>
          <w:sz w:val="20"/>
          <w:lang w:eastAsia="es-ES"/>
        </w:rPr>
        <w:t xml:space="preserve"> que a la letra dice:</w:t>
      </w:r>
    </w:p>
    <w:p w14:paraId="5D707C10" w14:textId="77777777" w:rsidR="004843F2" w:rsidRPr="004843F2" w:rsidRDefault="004843F2" w:rsidP="00701F40">
      <w:pPr>
        <w:spacing w:after="0" w:line="360" w:lineRule="auto"/>
        <w:ind w:left="567" w:right="567"/>
        <w:rPr>
          <w:rFonts w:eastAsia="Times New Roman" w:cs="Arial"/>
          <w:bCs/>
          <w:i/>
          <w:iCs/>
          <w:color w:val="auto"/>
          <w:sz w:val="20"/>
          <w:lang w:eastAsia="es-ES"/>
        </w:rPr>
      </w:pPr>
    </w:p>
    <w:p w14:paraId="28FE1E18" w14:textId="5422359B" w:rsidR="00074EA3" w:rsidRPr="004843F2" w:rsidRDefault="00E03B69" w:rsidP="00701F40">
      <w:pPr>
        <w:spacing w:after="0" w:line="360" w:lineRule="auto"/>
        <w:ind w:left="567" w:right="567"/>
        <w:rPr>
          <w:rFonts w:eastAsia="Times New Roman" w:cs="Arial"/>
          <w:bCs/>
          <w:i/>
          <w:iCs/>
          <w:color w:val="auto"/>
          <w:sz w:val="20"/>
          <w:lang w:eastAsia="es-ES"/>
        </w:rPr>
      </w:pPr>
      <w:r w:rsidRPr="00E03B69">
        <w:rPr>
          <w:rFonts w:eastAsia="Times New Roman" w:cs="Arial"/>
          <w:b/>
          <w:bCs/>
          <w:i/>
          <w:iCs/>
          <w:color w:val="auto"/>
          <w:sz w:val="20"/>
          <w:u w:val="single"/>
          <w:lang w:eastAsia="es-ES"/>
        </w:rPr>
        <w:t xml:space="preserve">4. </w:t>
      </w:r>
      <w:r w:rsidR="004843F2" w:rsidRPr="00E03B69">
        <w:rPr>
          <w:rFonts w:eastAsia="Times New Roman" w:cs="Arial"/>
          <w:b/>
          <w:bCs/>
          <w:i/>
          <w:iCs/>
          <w:color w:val="auto"/>
          <w:sz w:val="20"/>
          <w:u w:val="single"/>
          <w:lang w:eastAsia="es-ES"/>
        </w:rPr>
        <w:t xml:space="preserve">NÓMINA DE SERVIDORES PÚBLICOS. PERIODO DE BÚSQUEDA Y ENTREGA DE LA INFORMACIÓN, CUANDO NO SE PRECISA EN LA SOLICITUD DE INFORMACIÓN. </w:t>
      </w:r>
      <w:r w:rsidR="004843F2" w:rsidRPr="004843F2">
        <w:rPr>
          <w:rFonts w:eastAsia="Times New Roman" w:cs="Arial"/>
          <w:bCs/>
          <w:i/>
          <w:iCs/>
          <w:color w:val="auto"/>
          <w:sz w:val="20"/>
          <w:lang w:eastAsia="es-ES"/>
        </w:rPr>
        <w:t xml:space="preserve">Cuando el particular no refiriera periodo respecto del cual requiere la información, o bien, de la solicitud presentada no adviertan elementos que permitan identificarlo, tratándose exclusivamente de formación relativa a la nómina, los Sujetos Obligados deberán entregar lo </w:t>
      </w:r>
      <w:r w:rsidR="004843F2">
        <w:rPr>
          <w:rFonts w:eastAsia="Times New Roman" w:cs="Arial"/>
          <w:bCs/>
          <w:i/>
          <w:iCs/>
          <w:color w:val="auto"/>
          <w:sz w:val="20"/>
          <w:lang w:eastAsia="es-ES"/>
        </w:rPr>
        <w:t>co</w:t>
      </w:r>
      <w:r w:rsidR="004843F2" w:rsidRPr="004843F2">
        <w:rPr>
          <w:rFonts w:eastAsia="Times New Roman" w:cs="Arial"/>
          <w:bCs/>
          <w:i/>
          <w:iCs/>
          <w:color w:val="auto"/>
          <w:sz w:val="20"/>
          <w:lang w:eastAsia="es-ES"/>
        </w:rPr>
        <w:t xml:space="preserve">rrespondiente a las últimas dos quincenas pagadas previo a la fecha de presentación de </w:t>
      </w:r>
      <w:r w:rsidR="004843F2">
        <w:rPr>
          <w:rFonts w:eastAsia="Times New Roman" w:cs="Arial"/>
          <w:bCs/>
          <w:i/>
          <w:iCs/>
          <w:color w:val="auto"/>
          <w:sz w:val="20"/>
          <w:lang w:eastAsia="es-ES"/>
        </w:rPr>
        <w:t>la solicitud</w:t>
      </w:r>
      <w:r>
        <w:rPr>
          <w:rFonts w:eastAsia="Times New Roman" w:cs="Arial"/>
          <w:bCs/>
          <w:i/>
          <w:iCs/>
          <w:color w:val="auto"/>
          <w:sz w:val="20"/>
          <w:lang w:eastAsia="es-ES"/>
        </w:rPr>
        <w:t>...” (Sic)</w:t>
      </w:r>
    </w:p>
    <w:p w14:paraId="6DF1DE41" w14:textId="08A5E506" w:rsidR="00555587" w:rsidRPr="00290B4F" w:rsidRDefault="00555587" w:rsidP="00701F40">
      <w:pPr>
        <w:spacing w:after="0" w:line="360" w:lineRule="auto"/>
        <w:rPr>
          <w:color w:val="auto"/>
        </w:rPr>
      </w:pPr>
      <w:r w:rsidRPr="00290B4F">
        <w:rPr>
          <w:color w:val="auto"/>
        </w:rPr>
        <w:lastRenderedPageBreak/>
        <w:t xml:space="preserve">c) Cuadro con los datos clasificados como confidenciales, en la versión pública de los recibos de nómina remitidos. </w:t>
      </w:r>
    </w:p>
    <w:p w14:paraId="72E84A0A" w14:textId="77777777" w:rsidR="00555587" w:rsidRPr="00290B4F" w:rsidRDefault="00555587" w:rsidP="00701F40">
      <w:pPr>
        <w:spacing w:after="0" w:line="360" w:lineRule="auto"/>
        <w:rPr>
          <w:color w:val="auto"/>
        </w:rPr>
      </w:pPr>
    </w:p>
    <w:p w14:paraId="7AE5578F" w14:textId="573E9603" w:rsidR="00290B4F" w:rsidRPr="00290B4F" w:rsidRDefault="00290B4F" w:rsidP="00701F40">
      <w:pPr>
        <w:spacing w:after="0" w:line="360" w:lineRule="auto"/>
        <w:rPr>
          <w:color w:val="auto"/>
        </w:rPr>
      </w:pPr>
      <w:r w:rsidRPr="00290B4F">
        <w:rPr>
          <w:color w:val="auto"/>
        </w:rPr>
        <w:t xml:space="preserve">d) Recibos de </w:t>
      </w:r>
      <w:r w:rsidR="00D05E50" w:rsidRPr="00290B4F">
        <w:rPr>
          <w:color w:val="auto"/>
        </w:rPr>
        <w:t>nómina de</w:t>
      </w:r>
      <w:r w:rsidRPr="00290B4F">
        <w:rPr>
          <w:color w:val="auto"/>
        </w:rPr>
        <w:t xml:space="preserve"> la servidora pública Brenda Selene Hernández López, Titular de la Unidad de Transparencia, correspondientes a la primera y segunda quincena del mes de mayo de dos mil veinticinco.</w:t>
      </w:r>
    </w:p>
    <w:p w14:paraId="322ED99D" w14:textId="1B471111" w:rsidR="00D25C63" w:rsidRPr="00074EA3" w:rsidRDefault="00D25C63" w:rsidP="00701F40">
      <w:pPr>
        <w:spacing w:after="0" w:line="360" w:lineRule="auto"/>
        <w:rPr>
          <w:color w:val="FF0000"/>
        </w:rPr>
      </w:pPr>
    </w:p>
    <w:p w14:paraId="7E7FBB31" w14:textId="68020061" w:rsidR="00E22EA8" w:rsidRPr="00290B4F" w:rsidRDefault="002207FA" w:rsidP="00701F40">
      <w:pPr>
        <w:pStyle w:val="Ttulo2"/>
        <w:spacing w:before="0" w:after="0" w:line="360" w:lineRule="auto"/>
        <w:rPr>
          <w:color w:val="auto"/>
          <w:sz w:val="22"/>
          <w:szCs w:val="22"/>
        </w:rPr>
      </w:pPr>
      <w:bookmarkStart w:id="4" w:name="_Toc206089160"/>
      <w:r w:rsidRPr="00290B4F">
        <w:rPr>
          <w:color w:val="auto"/>
          <w:sz w:val="22"/>
          <w:szCs w:val="22"/>
        </w:rPr>
        <w:t>III</w:t>
      </w:r>
      <w:r w:rsidR="00E22EA8" w:rsidRPr="00290B4F">
        <w:rPr>
          <w:color w:val="auto"/>
          <w:sz w:val="22"/>
          <w:szCs w:val="22"/>
        </w:rPr>
        <w:t>. Interposición del Recurso de Revisión</w:t>
      </w:r>
      <w:bookmarkEnd w:id="4"/>
    </w:p>
    <w:p w14:paraId="053D45CF" w14:textId="77777777" w:rsidR="00E22EA8" w:rsidRPr="00290B4F" w:rsidRDefault="00E22EA8" w:rsidP="00701F40">
      <w:pPr>
        <w:spacing w:after="0" w:line="360" w:lineRule="auto"/>
        <w:rPr>
          <w:b/>
          <w:color w:val="auto"/>
        </w:rPr>
      </w:pPr>
    </w:p>
    <w:p w14:paraId="355C8CC6" w14:textId="3D223148" w:rsidR="009C5A71" w:rsidRPr="00290B4F" w:rsidRDefault="00083169" w:rsidP="00701F40">
      <w:pPr>
        <w:spacing w:after="0" w:line="360" w:lineRule="auto"/>
        <w:rPr>
          <w:bCs/>
          <w:color w:val="auto"/>
        </w:rPr>
      </w:pPr>
      <w:r w:rsidRPr="00290B4F">
        <w:rPr>
          <w:bCs/>
          <w:color w:val="auto"/>
        </w:rPr>
        <w:t>El</w:t>
      </w:r>
      <w:r w:rsidR="008E5E71" w:rsidRPr="00290B4F">
        <w:rPr>
          <w:bCs/>
          <w:color w:val="auto"/>
        </w:rPr>
        <w:t xml:space="preserve"> </w:t>
      </w:r>
      <w:r w:rsidR="00290B4F" w:rsidRPr="00290B4F">
        <w:rPr>
          <w:bCs/>
          <w:color w:val="auto"/>
        </w:rPr>
        <w:t xml:space="preserve">primero de julio de dos mil veinticinco, </w:t>
      </w:r>
      <w:r w:rsidR="00E22EA8" w:rsidRPr="00290B4F">
        <w:rPr>
          <w:bCs/>
          <w:color w:val="auto"/>
        </w:rPr>
        <w:t xml:space="preserve">se recibió en este Instituto, a través del </w:t>
      </w:r>
      <w:r w:rsidR="00E22EA8" w:rsidRPr="00290B4F">
        <w:rPr>
          <w:bCs/>
          <w:color w:val="auto"/>
          <w:lang w:val="es-ES"/>
        </w:rPr>
        <w:t>Sistema de Acceso a la Información Mexiquense (SAIMEX)</w:t>
      </w:r>
      <w:r w:rsidR="00E22EA8" w:rsidRPr="00290B4F">
        <w:rPr>
          <w:bCs/>
          <w:color w:val="auto"/>
        </w:rPr>
        <w:t xml:space="preserve">, </w:t>
      </w:r>
      <w:r w:rsidR="009019A8" w:rsidRPr="00290B4F">
        <w:rPr>
          <w:bCs/>
          <w:color w:val="auto"/>
        </w:rPr>
        <w:t xml:space="preserve">el </w:t>
      </w:r>
      <w:r w:rsidR="00E22EA8" w:rsidRPr="00290B4F">
        <w:rPr>
          <w:bCs/>
          <w:color w:val="auto"/>
        </w:rPr>
        <w:t>Recurso de Revisión interpuesto por la p</w:t>
      </w:r>
      <w:r w:rsidRPr="00290B4F">
        <w:rPr>
          <w:bCs/>
          <w:color w:val="auto"/>
        </w:rPr>
        <w:t>ersona</w:t>
      </w:r>
      <w:r w:rsidR="00E22EA8" w:rsidRPr="00290B4F">
        <w:rPr>
          <w:bCs/>
          <w:color w:val="auto"/>
        </w:rPr>
        <w:t xml:space="preserve"> Recurrente, en contra de la respuesta por el Sujeto Obligado, a la solicitud de información</w:t>
      </w:r>
      <w:r w:rsidR="00F43789" w:rsidRPr="00290B4F">
        <w:rPr>
          <w:rFonts w:eastAsia="Calibri" w:cs="Times New Roman"/>
          <w:color w:val="auto"/>
        </w:rPr>
        <w:t xml:space="preserve">, </w:t>
      </w:r>
      <w:r w:rsidR="00E22EA8" w:rsidRPr="00290B4F">
        <w:rPr>
          <w:bCs/>
          <w:color w:val="auto"/>
        </w:rPr>
        <w:t>en los siguientes términos:</w:t>
      </w:r>
    </w:p>
    <w:p w14:paraId="499DDBDB" w14:textId="77777777" w:rsidR="008E5E71" w:rsidRPr="00074EA3" w:rsidRDefault="008E5E71" w:rsidP="00701F40">
      <w:pPr>
        <w:spacing w:after="0" w:line="360" w:lineRule="auto"/>
        <w:ind w:left="567" w:right="567"/>
        <w:rPr>
          <w:b/>
          <w:bCs/>
          <w:i/>
          <w:color w:val="FF0000"/>
          <w:sz w:val="20"/>
          <w:szCs w:val="20"/>
        </w:rPr>
      </w:pPr>
    </w:p>
    <w:p w14:paraId="1B2CCD45" w14:textId="1F34B3A9" w:rsidR="00E22EA8" w:rsidRPr="00290B4F" w:rsidRDefault="00E12804" w:rsidP="00701F40">
      <w:pPr>
        <w:spacing w:after="0" w:line="360" w:lineRule="auto"/>
        <w:ind w:left="567" w:right="567"/>
        <w:rPr>
          <w:bCs/>
          <w:i/>
          <w:color w:val="auto"/>
          <w:sz w:val="20"/>
          <w:szCs w:val="20"/>
        </w:rPr>
      </w:pPr>
      <w:r w:rsidRPr="00290B4F">
        <w:rPr>
          <w:b/>
          <w:bCs/>
          <w:i/>
          <w:color w:val="auto"/>
          <w:sz w:val="20"/>
          <w:szCs w:val="20"/>
        </w:rPr>
        <w:t>‘’</w:t>
      </w:r>
      <w:r w:rsidR="00E22EA8" w:rsidRPr="00290B4F">
        <w:rPr>
          <w:b/>
          <w:bCs/>
          <w:i/>
          <w:color w:val="auto"/>
          <w:sz w:val="20"/>
          <w:szCs w:val="20"/>
        </w:rPr>
        <w:t>ACTO IMPUGNADO</w:t>
      </w:r>
    </w:p>
    <w:p w14:paraId="20CB87D1" w14:textId="436908B0" w:rsidR="00E22EA8" w:rsidRPr="00290B4F" w:rsidRDefault="00290B4F" w:rsidP="00701F40">
      <w:pPr>
        <w:spacing w:after="0" w:line="360" w:lineRule="auto"/>
        <w:ind w:left="567" w:right="567"/>
        <w:rPr>
          <w:i/>
          <w:iCs/>
          <w:color w:val="auto"/>
          <w:sz w:val="20"/>
          <w:szCs w:val="20"/>
        </w:rPr>
      </w:pPr>
      <w:r w:rsidRPr="00290B4F">
        <w:rPr>
          <w:i/>
          <w:iCs/>
          <w:color w:val="auto"/>
          <w:sz w:val="20"/>
          <w:szCs w:val="20"/>
        </w:rPr>
        <w:t>no entrega informacion</w:t>
      </w:r>
      <w:r w:rsidR="00E22EA8" w:rsidRPr="00290B4F">
        <w:rPr>
          <w:i/>
          <w:iCs/>
          <w:color w:val="auto"/>
          <w:sz w:val="20"/>
          <w:szCs w:val="20"/>
        </w:rPr>
        <w:t>”</w:t>
      </w:r>
      <w:r w:rsidR="002D6CA6" w:rsidRPr="00290B4F">
        <w:rPr>
          <w:i/>
          <w:iCs/>
          <w:color w:val="auto"/>
          <w:sz w:val="20"/>
          <w:szCs w:val="20"/>
        </w:rPr>
        <w:t xml:space="preserve"> (Sic.)</w:t>
      </w:r>
    </w:p>
    <w:p w14:paraId="3B2615CC" w14:textId="77777777" w:rsidR="00E22EA8" w:rsidRPr="00074EA3" w:rsidRDefault="00E22EA8" w:rsidP="00701F40">
      <w:pPr>
        <w:spacing w:after="0" w:line="360" w:lineRule="auto"/>
        <w:ind w:left="567" w:right="567"/>
        <w:rPr>
          <w:i/>
          <w:color w:val="FF0000"/>
          <w:sz w:val="20"/>
          <w:szCs w:val="20"/>
        </w:rPr>
      </w:pPr>
    </w:p>
    <w:p w14:paraId="3F1F07C7" w14:textId="49F2AE96" w:rsidR="00E22EA8" w:rsidRPr="00290B4F" w:rsidRDefault="00E12804" w:rsidP="00701F40">
      <w:pPr>
        <w:spacing w:after="0" w:line="360" w:lineRule="auto"/>
        <w:ind w:left="567" w:right="567"/>
        <w:rPr>
          <w:b/>
          <w:i/>
          <w:color w:val="auto"/>
          <w:sz w:val="20"/>
          <w:szCs w:val="20"/>
        </w:rPr>
      </w:pPr>
      <w:r w:rsidRPr="00290B4F">
        <w:rPr>
          <w:b/>
          <w:i/>
          <w:color w:val="auto"/>
          <w:sz w:val="20"/>
          <w:szCs w:val="20"/>
        </w:rPr>
        <w:t>‘’</w:t>
      </w:r>
      <w:r w:rsidR="00E22EA8" w:rsidRPr="00290B4F">
        <w:rPr>
          <w:b/>
          <w:i/>
          <w:color w:val="auto"/>
          <w:sz w:val="20"/>
          <w:szCs w:val="20"/>
        </w:rPr>
        <w:t>RAZONES O MOTIVOS DE LA INCONFORMIDAD</w:t>
      </w:r>
    </w:p>
    <w:p w14:paraId="31B716B5" w14:textId="735D3560" w:rsidR="00E12804" w:rsidRPr="00290B4F" w:rsidRDefault="00290B4F" w:rsidP="00701F40">
      <w:pPr>
        <w:spacing w:after="0" w:line="360" w:lineRule="auto"/>
        <w:ind w:left="567" w:right="567"/>
        <w:rPr>
          <w:i/>
          <w:iCs/>
          <w:color w:val="auto"/>
          <w:sz w:val="20"/>
          <w:szCs w:val="20"/>
        </w:rPr>
      </w:pPr>
      <w:r w:rsidRPr="00290B4F">
        <w:rPr>
          <w:i/>
          <w:iCs/>
          <w:color w:val="auto"/>
          <w:sz w:val="20"/>
          <w:szCs w:val="20"/>
        </w:rPr>
        <w:t>no entrega informacion y el acta bien gracias</w:t>
      </w:r>
      <w:r w:rsidR="003C5F59" w:rsidRPr="00290B4F">
        <w:rPr>
          <w:i/>
          <w:iCs/>
          <w:color w:val="auto"/>
          <w:sz w:val="20"/>
          <w:szCs w:val="20"/>
        </w:rPr>
        <w:t>”</w:t>
      </w:r>
      <w:r w:rsidR="002D6CA6" w:rsidRPr="00290B4F">
        <w:rPr>
          <w:i/>
          <w:iCs/>
          <w:color w:val="auto"/>
          <w:sz w:val="20"/>
          <w:szCs w:val="20"/>
        </w:rPr>
        <w:t xml:space="preserve"> (Sic.)</w:t>
      </w:r>
    </w:p>
    <w:p w14:paraId="333C81B3" w14:textId="77777777" w:rsidR="003E4CFD" w:rsidRPr="00074EA3" w:rsidRDefault="003E4CFD" w:rsidP="00701F40">
      <w:pPr>
        <w:spacing w:after="0" w:line="360" w:lineRule="auto"/>
        <w:ind w:right="567"/>
        <w:rPr>
          <w:iCs/>
          <w:color w:val="FF0000"/>
        </w:rPr>
      </w:pPr>
    </w:p>
    <w:p w14:paraId="009DB65C" w14:textId="2D236FF1" w:rsidR="00E22EA8" w:rsidRPr="00074EA3" w:rsidRDefault="002207FA" w:rsidP="00701F40">
      <w:pPr>
        <w:pStyle w:val="Ttulo2"/>
        <w:spacing w:before="0" w:after="0" w:line="360" w:lineRule="auto"/>
        <w:rPr>
          <w:color w:val="FF0000"/>
          <w:sz w:val="22"/>
          <w:szCs w:val="22"/>
        </w:rPr>
      </w:pPr>
      <w:bookmarkStart w:id="5" w:name="_Toc206089161"/>
      <w:r w:rsidRPr="00290B4F">
        <w:rPr>
          <w:color w:val="auto"/>
          <w:sz w:val="22"/>
          <w:szCs w:val="22"/>
        </w:rPr>
        <w:t>I</w:t>
      </w:r>
      <w:r w:rsidR="00E22EA8" w:rsidRPr="00290B4F">
        <w:rPr>
          <w:color w:val="auto"/>
          <w:sz w:val="22"/>
          <w:szCs w:val="22"/>
        </w:rPr>
        <w:t>V. Trámite del Recurso de Revisión ante este Instituto</w:t>
      </w:r>
      <w:bookmarkEnd w:id="5"/>
    </w:p>
    <w:p w14:paraId="5C9B63F8" w14:textId="77777777" w:rsidR="009B2DAB" w:rsidRPr="00074EA3" w:rsidRDefault="009B2DAB" w:rsidP="00701F40">
      <w:pPr>
        <w:spacing w:after="0" w:line="360" w:lineRule="auto"/>
        <w:rPr>
          <w:b/>
          <w:bCs/>
          <w:color w:val="FF0000"/>
        </w:rPr>
      </w:pPr>
    </w:p>
    <w:p w14:paraId="173768ED" w14:textId="51113BBA" w:rsidR="00E22EA8" w:rsidRPr="00290B4F" w:rsidRDefault="00E22EA8" w:rsidP="00701F40">
      <w:pPr>
        <w:spacing w:after="0" w:line="360" w:lineRule="auto"/>
        <w:rPr>
          <w:bCs/>
          <w:color w:val="auto"/>
        </w:rPr>
      </w:pPr>
      <w:r w:rsidRPr="00290B4F">
        <w:rPr>
          <w:b/>
          <w:bCs/>
          <w:color w:val="auto"/>
        </w:rPr>
        <w:t>a) Turno del Medio de Impugnación.</w:t>
      </w:r>
      <w:r w:rsidR="000A706F" w:rsidRPr="00290B4F">
        <w:rPr>
          <w:bCs/>
          <w:color w:val="auto"/>
        </w:rPr>
        <w:t xml:space="preserve"> </w:t>
      </w:r>
      <w:r w:rsidR="003C5F59" w:rsidRPr="00290B4F">
        <w:rPr>
          <w:bCs/>
          <w:color w:val="auto"/>
        </w:rPr>
        <w:t xml:space="preserve">El </w:t>
      </w:r>
      <w:r w:rsidR="00290B4F" w:rsidRPr="00290B4F">
        <w:rPr>
          <w:bCs/>
          <w:color w:val="auto"/>
        </w:rPr>
        <w:t>primero de julio de dos mil veinticinco</w:t>
      </w:r>
      <w:r w:rsidRPr="00290B4F">
        <w:rPr>
          <w:bCs/>
          <w:color w:val="auto"/>
        </w:rPr>
        <w:t xml:space="preserve">, el </w:t>
      </w:r>
      <w:r w:rsidRPr="00290B4F">
        <w:rPr>
          <w:color w:val="auto"/>
          <w:lang w:val="es-ES"/>
        </w:rPr>
        <w:t>Sistema de Acceso a la Información Mexiquense (SAIMEX),</w:t>
      </w:r>
      <w:r w:rsidRPr="00290B4F">
        <w:rPr>
          <w:bCs/>
          <w:color w:val="auto"/>
        </w:rPr>
        <w:t xml:space="preserve"> asignó el número de expediente </w:t>
      </w:r>
      <w:r w:rsidR="002D6CA6" w:rsidRPr="00290B4F">
        <w:rPr>
          <w:b/>
          <w:bCs/>
          <w:color w:val="auto"/>
        </w:rPr>
        <w:t>0</w:t>
      </w:r>
      <w:r w:rsidR="00290B4F" w:rsidRPr="00290B4F">
        <w:rPr>
          <w:b/>
          <w:bCs/>
          <w:color w:val="auto"/>
        </w:rPr>
        <w:t>79</w:t>
      </w:r>
      <w:r w:rsidR="00BF381B" w:rsidRPr="00290B4F">
        <w:rPr>
          <w:b/>
          <w:bCs/>
          <w:color w:val="auto"/>
        </w:rPr>
        <w:t>81</w:t>
      </w:r>
      <w:r w:rsidR="000D392E" w:rsidRPr="00290B4F">
        <w:rPr>
          <w:b/>
          <w:bCs/>
          <w:color w:val="auto"/>
        </w:rPr>
        <w:t>/INFOEM/IP/RR/2025</w:t>
      </w:r>
      <w:r w:rsidRPr="00290B4F">
        <w:rPr>
          <w:bCs/>
          <w:color w:val="auto"/>
        </w:rPr>
        <w:t xml:space="preserve">, al medio de impugnación que nos ocupa, con base en el sistema aprobado por el Pleno de este </w:t>
      </w:r>
      <w:r w:rsidR="00B65BCA" w:rsidRPr="00290B4F">
        <w:rPr>
          <w:bCs/>
          <w:color w:val="auto"/>
        </w:rPr>
        <w:t>Organismo</w:t>
      </w:r>
      <w:r w:rsidRPr="00290B4F">
        <w:rPr>
          <w:bCs/>
          <w:color w:val="auto"/>
        </w:rPr>
        <w:t xml:space="preserve"> Garante y lo turnó al Comisionado Ponente Luis </w:t>
      </w:r>
      <w:r w:rsidRPr="00290B4F">
        <w:rPr>
          <w:bCs/>
          <w:color w:val="auto"/>
        </w:rPr>
        <w:lastRenderedPageBreak/>
        <w:t>Gustavo Parra Noriega, para los efectos del artículo 185, fracción I de la Ley de Transparencia y Acceso a la Información Pública del Estado de México y Municipios.</w:t>
      </w:r>
    </w:p>
    <w:p w14:paraId="59FB24F3" w14:textId="77777777" w:rsidR="005914EE" w:rsidRPr="00074EA3" w:rsidRDefault="005914EE" w:rsidP="00701F40">
      <w:pPr>
        <w:spacing w:after="0" w:line="360" w:lineRule="auto"/>
        <w:rPr>
          <w:b/>
          <w:bCs/>
          <w:color w:val="FF0000"/>
        </w:rPr>
      </w:pPr>
    </w:p>
    <w:p w14:paraId="61891480" w14:textId="0E964FEE" w:rsidR="00E22EA8" w:rsidRPr="00290B4F" w:rsidRDefault="00E22EA8" w:rsidP="00701F40">
      <w:pPr>
        <w:spacing w:after="0" w:line="360" w:lineRule="auto"/>
        <w:rPr>
          <w:color w:val="auto"/>
        </w:rPr>
      </w:pPr>
      <w:r w:rsidRPr="00290B4F">
        <w:rPr>
          <w:b/>
          <w:bCs/>
          <w:color w:val="auto"/>
        </w:rPr>
        <w:t>b) Admisión del Recurso de Revisión</w:t>
      </w:r>
      <w:r w:rsidRPr="00290B4F">
        <w:rPr>
          <w:b/>
          <w:bCs/>
          <w:color w:val="auto"/>
          <w:lang w:val="es-ES_tradnl"/>
        </w:rPr>
        <w:t xml:space="preserve">. </w:t>
      </w:r>
      <w:r w:rsidR="003C5F59" w:rsidRPr="00290B4F">
        <w:rPr>
          <w:color w:val="auto"/>
        </w:rPr>
        <w:t>El</w:t>
      </w:r>
      <w:r w:rsidR="00290B4F" w:rsidRPr="00290B4F">
        <w:rPr>
          <w:color w:val="auto"/>
        </w:rPr>
        <w:t xml:space="preserve"> cuatro de julio de dos mil veinticinco</w:t>
      </w:r>
      <w:r w:rsidRPr="00290B4F">
        <w:rPr>
          <w:bCs/>
          <w:color w:val="auto"/>
          <w:lang w:val="es-ES_tradnl"/>
        </w:rPr>
        <w:t xml:space="preserve">, se acordó la admisión del Recurso de Revisión interpuesto por </w:t>
      </w:r>
      <w:r w:rsidR="00261B92" w:rsidRPr="00290B4F">
        <w:rPr>
          <w:bCs/>
          <w:color w:val="auto"/>
          <w:lang w:val="es-ES_tradnl"/>
        </w:rPr>
        <w:t>la persona</w:t>
      </w:r>
      <w:r w:rsidRPr="00290B4F">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90B4F">
        <w:rPr>
          <w:bCs/>
          <w:color w:val="auto"/>
          <w:lang w:val="es-ES_tradnl"/>
        </w:rPr>
        <w:t>el</w:t>
      </w:r>
      <w:r w:rsidR="00BF381B" w:rsidRPr="00290B4F">
        <w:rPr>
          <w:bCs/>
          <w:color w:val="auto"/>
          <w:lang w:val="es-ES_tradnl"/>
        </w:rPr>
        <w:t xml:space="preserve"> mismo día</w:t>
      </w:r>
      <w:r w:rsidRPr="00290B4F">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74EA3" w:rsidRDefault="00E22EA8" w:rsidP="00701F40">
      <w:pPr>
        <w:spacing w:after="0" w:line="360" w:lineRule="auto"/>
        <w:rPr>
          <w:rFonts w:cs="Tahoma"/>
          <w:color w:val="FF0000"/>
          <w:lang w:val="es-ES_tradnl"/>
        </w:rPr>
      </w:pPr>
    </w:p>
    <w:p w14:paraId="13E80D20" w14:textId="74A13D76" w:rsidR="00354FD0" w:rsidRPr="00290B4F" w:rsidRDefault="000410E6" w:rsidP="00701F40">
      <w:pPr>
        <w:spacing w:after="0" w:line="360" w:lineRule="auto"/>
        <w:rPr>
          <w:color w:val="auto"/>
        </w:rPr>
      </w:pPr>
      <w:r w:rsidRPr="00290B4F">
        <w:rPr>
          <w:b/>
          <w:color w:val="auto"/>
        </w:rPr>
        <w:t xml:space="preserve">c) Informe Justificado. </w:t>
      </w:r>
      <w:r w:rsidRPr="00290B4F">
        <w:rPr>
          <w:color w:val="auto"/>
        </w:rPr>
        <w:t>El</w:t>
      </w:r>
      <w:r w:rsidR="00290B4F" w:rsidRPr="00290B4F">
        <w:rPr>
          <w:color w:val="auto"/>
        </w:rPr>
        <w:t xml:space="preserve"> treinta y uno de julio y cinco de agosto de dos mil veinticinco, </w:t>
      </w:r>
      <w:r w:rsidRPr="00290B4F">
        <w:rPr>
          <w:color w:val="auto"/>
        </w:rPr>
        <w:t xml:space="preserve">a través del Sistema de Acceso a la Información Mexiquense (SAIMEX), se recibió en este Instituto el informe justificado por parte del Sujeto Obligado, a través de </w:t>
      </w:r>
      <w:r w:rsidR="00354FD0" w:rsidRPr="00290B4F">
        <w:rPr>
          <w:color w:val="auto"/>
        </w:rPr>
        <w:t>los documentos siguientes:</w:t>
      </w:r>
    </w:p>
    <w:p w14:paraId="79708593" w14:textId="77777777" w:rsidR="00354FD0" w:rsidRPr="00074EA3" w:rsidRDefault="00354FD0" w:rsidP="00701F40">
      <w:pPr>
        <w:spacing w:after="0" w:line="360" w:lineRule="auto"/>
        <w:rPr>
          <w:color w:val="FF0000"/>
        </w:rPr>
      </w:pPr>
    </w:p>
    <w:p w14:paraId="68BFBF31" w14:textId="6D9DFD4D" w:rsidR="00290B4F" w:rsidRDefault="00354FD0" w:rsidP="00701F40">
      <w:pPr>
        <w:spacing w:after="0" w:line="360" w:lineRule="auto"/>
      </w:pPr>
      <w:r w:rsidRPr="00290B4F">
        <w:rPr>
          <w:color w:val="auto"/>
        </w:rPr>
        <w:t xml:space="preserve">i. </w:t>
      </w:r>
      <w:r w:rsidR="00290B4F">
        <w:rPr>
          <w:color w:val="auto"/>
        </w:rPr>
        <w:t>Escrito signado por la Titular de la Unidad de Transparencia, dirigido al Comisionado Ponente</w:t>
      </w:r>
      <w:r w:rsidR="001D7724">
        <w:rPr>
          <w:color w:val="auto"/>
        </w:rPr>
        <w:t xml:space="preserve">, por medio del cual se ratificó la respuesta y se señaló que se adjuntaba el acuerdo de clasificación </w:t>
      </w:r>
      <w:r w:rsidR="001D7724">
        <w:t xml:space="preserve">CT/S11/EXT/AC02/2025 de la </w:t>
      </w:r>
      <w:r w:rsidR="00547659">
        <w:t>Décima</w:t>
      </w:r>
      <w:r w:rsidR="001D7724">
        <w:t xml:space="preserve"> Primera Sesión Extraordinaria del Comité de Transparencia, por el cual se aprobó la versión pública de los recibos de nómina remitidos.</w:t>
      </w:r>
    </w:p>
    <w:p w14:paraId="610B68E8" w14:textId="77777777" w:rsidR="00547659" w:rsidRDefault="00547659" w:rsidP="00701F40">
      <w:pPr>
        <w:spacing w:after="0" w:line="360" w:lineRule="auto"/>
        <w:rPr>
          <w:color w:val="auto"/>
        </w:rPr>
      </w:pPr>
    </w:p>
    <w:p w14:paraId="0DC488E4" w14:textId="6FE11DC7" w:rsidR="00547659" w:rsidRDefault="00547659" w:rsidP="00701F40">
      <w:pPr>
        <w:spacing w:after="0" w:line="360" w:lineRule="auto"/>
      </w:pPr>
      <w:r>
        <w:rPr>
          <w:color w:val="auto"/>
        </w:rPr>
        <w:t xml:space="preserve">ii. Acta CT/ZIN/EXT/0011/2025 de la Décima Primera Sesión Extraordinaria del Comité de Transparencia de Zinacantepec, por medio de la cual se emitió el </w:t>
      </w:r>
      <w:r w:rsidR="00D05E50">
        <w:rPr>
          <w:color w:val="auto"/>
        </w:rPr>
        <w:t>acuerdo CT</w:t>
      </w:r>
      <w:r>
        <w:t>/S11/EXT/AC02/2025 a través del cual se aprobó la versión pública de los recibos de nómina remitidos en respuesta, tal como se muestra a continuación:</w:t>
      </w:r>
    </w:p>
    <w:p w14:paraId="6FA5C8C3" w14:textId="297A079C" w:rsidR="00547659" w:rsidRPr="00290B4F" w:rsidRDefault="00547659" w:rsidP="00701F40">
      <w:pPr>
        <w:spacing w:after="0" w:line="360" w:lineRule="auto"/>
        <w:jc w:val="center"/>
        <w:rPr>
          <w:color w:val="auto"/>
        </w:rPr>
      </w:pPr>
      <w:r>
        <w:rPr>
          <w:noProof/>
          <w:color w:val="auto"/>
        </w:rPr>
        <w:lastRenderedPageBreak/>
        <w:drawing>
          <wp:inline distT="0" distB="0" distL="0" distR="0" wp14:anchorId="57733E4E" wp14:editId="5931B72F">
            <wp:extent cx="3011805" cy="39808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1805" cy="3980815"/>
                    </a:xfrm>
                    <a:prstGeom prst="rect">
                      <a:avLst/>
                    </a:prstGeom>
                    <a:noFill/>
                  </pic:spPr>
                </pic:pic>
              </a:graphicData>
            </a:graphic>
          </wp:inline>
        </w:drawing>
      </w:r>
      <w:r w:rsidRPr="00547659">
        <w:rPr>
          <w:noProof/>
          <w:color w:val="auto"/>
        </w:rPr>
        <w:drawing>
          <wp:inline distT="0" distB="0" distL="0" distR="0" wp14:anchorId="632B0102" wp14:editId="47ED2C79">
            <wp:extent cx="2600325" cy="402717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20824" cy="4058917"/>
                    </a:xfrm>
                    <a:prstGeom prst="rect">
                      <a:avLst/>
                    </a:prstGeom>
                  </pic:spPr>
                </pic:pic>
              </a:graphicData>
            </a:graphic>
          </wp:inline>
        </w:drawing>
      </w:r>
    </w:p>
    <w:p w14:paraId="431A092D" w14:textId="77777777" w:rsidR="00290B4F" w:rsidRDefault="00290B4F" w:rsidP="00701F40">
      <w:pPr>
        <w:spacing w:after="0" w:line="360" w:lineRule="auto"/>
        <w:rPr>
          <w:color w:val="FF0000"/>
        </w:rPr>
      </w:pPr>
    </w:p>
    <w:p w14:paraId="2C336317" w14:textId="74BDD357" w:rsidR="000410E6" w:rsidRPr="00030531" w:rsidRDefault="000410E6" w:rsidP="00701F40">
      <w:pPr>
        <w:spacing w:after="0" w:line="360" w:lineRule="auto"/>
        <w:rPr>
          <w:color w:val="auto"/>
        </w:rPr>
      </w:pPr>
      <w:bookmarkStart w:id="6" w:name="_Hlk182976945"/>
      <w:r w:rsidRPr="00030531">
        <w:rPr>
          <w:b/>
          <w:color w:val="auto"/>
        </w:rPr>
        <w:t xml:space="preserve">d) Vista del Informe Justificado. </w:t>
      </w:r>
      <w:r w:rsidR="00536382" w:rsidRPr="00030531">
        <w:rPr>
          <w:color w:val="auto"/>
        </w:rPr>
        <w:t xml:space="preserve">El </w:t>
      </w:r>
      <w:r w:rsidR="00030531" w:rsidRPr="00030531">
        <w:rPr>
          <w:color w:val="auto"/>
        </w:rPr>
        <w:t>seis de agosto de dos mil veinticinco</w:t>
      </w:r>
      <w:r w:rsidRPr="00030531">
        <w:rPr>
          <w:color w:val="auto"/>
        </w:rPr>
        <w:t xml:space="preserve">, se dictó acuerdo por medio del cual se puso a la vista de la persona Recurrente el Informe Justificado entregado por el Sujeto Obligado, el cual fue notificado a las partes, el mismo día, a través del Sistema de Acceso a la Información Mexiquense (SAIMEX). </w:t>
      </w:r>
      <w:r w:rsidRPr="00030531">
        <w:rPr>
          <w:b/>
          <w:color w:val="auto"/>
        </w:rPr>
        <w:t>Cabe señalar que el Particular fue omiso en realizar manifestación alguna.</w:t>
      </w:r>
    </w:p>
    <w:p w14:paraId="6EFC71EC" w14:textId="77777777" w:rsidR="003C5FE0" w:rsidRPr="00030531" w:rsidRDefault="003C5FE0" w:rsidP="00701F40">
      <w:pPr>
        <w:spacing w:after="0" w:line="360" w:lineRule="auto"/>
        <w:rPr>
          <w:b/>
          <w:color w:val="auto"/>
        </w:rPr>
      </w:pPr>
    </w:p>
    <w:p w14:paraId="1220E37C" w14:textId="2852657D" w:rsidR="003C5FE0" w:rsidRPr="00030531" w:rsidRDefault="00030531" w:rsidP="00701F40">
      <w:pPr>
        <w:spacing w:after="0" w:line="360" w:lineRule="auto"/>
        <w:contextualSpacing/>
        <w:rPr>
          <w:color w:val="auto"/>
        </w:rPr>
      </w:pPr>
      <w:r>
        <w:rPr>
          <w:rFonts w:eastAsia="Batang" w:cs="Tahoma"/>
          <w:b/>
          <w:color w:val="auto"/>
        </w:rPr>
        <w:t>e</w:t>
      </w:r>
      <w:r w:rsidR="003C5FE0" w:rsidRPr="00030531">
        <w:rPr>
          <w:rFonts w:eastAsia="Batang" w:cs="Tahoma"/>
          <w:b/>
          <w:color w:val="auto"/>
        </w:rPr>
        <w:t xml:space="preserve">) </w:t>
      </w:r>
      <w:r w:rsidR="00002B20" w:rsidRPr="00030531">
        <w:rPr>
          <w:rFonts w:eastAsia="Times New Roman" w:cs="Tahoma"/>
          <w:b/>
          <w:color w:val="auto"/>
          <w:szCs w:val="24"/>
          <w:lang w:eastAsia="es-ES"/>
        </w:rPr>
        <w:t>Cierre de instrucción.</w:t>
      </w:r>
      <w:r w:rsidR="00C06C06" w:rsidRPr="00030531">
        <w:rPr>
          <w:rFonts w:eastAsia="Times New Roman" w:cs="Tahoma"/>
          <w:color w:val="auto"/>
          <w:szCs w:val="24"/>
          <w:lang w:eastAsia="es-ES"/>
        </w:rPr>
        <w:t xml:space="preserve"> El </w:t>
      </w:r>
      <w:r w:rsidRPr="00030531">
        <w:rPr>
          <w:rFonts w:eastAsia="Times New Roman" w:cs="Tahoma"/>
          <w:color w:val="auto"/>
          <w:szCs w:val="24"/>
          <w:lang w:eastAsia="es-ES"/>
        </w:rPr>
        <w:t xml:space="preserve">doce de agosto </w:t>
      </w:r>
      <w:r w:rsidR="00002B20" w:rsidRPr="00030531">
        <w:rPr>
          <w:rFonts w:eastAsia="Times New Roman" w:cs="Tahoma"/>
          <w:color w:val="auto"/>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002B20" w:rsidRPr="00030531">
        <w:rPr>
          <w:rFonts w:eastAsia="Times New Roman" w:cs="Tahoma"/>
          <w:color w:val="auto"/>
          <w:szCs w:val="24"/>
          <w:lang w:eastAsia="es-ES"/>
        </w:rPr>
        <w:lastRenderedPageBreak/>
        <w:t xml:space="preserve">Pública del Estado de México y Municipios, </w:t>
      </w:r>
      <w:r w:rsidR="00002B20" w:rsidRPr="00030531">
        <w:rPr>
          <w:color w:val="auto"/>
          <w:lang w:val="es-ES"/>
        </w:rPr>
        <w:t xml:space="preserve">acto que fue notificado a las partes, mediante el Sistema de Acceso a la Información Mexiquense (SAIMEX), el </w:t>
      </w:r>
      <w:r w:rsidR="00260BA5">
        <w:rPr>
          <w:color w:val="auto"/>
          <w:lang w:val="es-ES"/>
        </w:rPr>
        <w:t>trece del mismo mes y año.</w:t>
      </w:r>
    </w:p>
    <w:bookmarkEnd w:id="6"/>
    <w:p w14:paraId="08D98E1D" w14:textId="77777777" w:rsidR="000410E6" w:rsidRPr="00030531" w:rsidRDefault="000410E6" w:rsidP="00701F40">
      <w:pPr>
        <w:spacing w:after="0" w:line="360" w:lineRule="auto"/>
        <w:rPr>
          <w:b/>
          <w:bCs/>
          <w:color w:val="auto"/>
          <w:lang w:val="es-ES"/>
        </w:rPr>
      </w:pPr>
    </w:p>
    <w:p w14:paraId="1D2DAFCD" w14:textId="77777777" w:rsidR="000410E6" w:rsidRPr="00030531" w:rsidRDefault="000410E6" w:rsidP="00701F40">
      <w:pPr>
        <w:spacing w:after="0" w:line="360" w:lineRule="auto"/>
        <w:rPr>
          <w:color w:val="auto"/>
        </w:rPr>
      </w:pPr>
      <w:r w:rsidRPr="00030531">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030531" w:rsidRDefault="00674DAF" w:rsidP="00701F40">
      <w:pPr>
        <w:spacing w:after="0" w:line="360" w:lineRule="auto"/>
        <w:rPr>
          <w:color w:val="auto"/>
        </w:rPr>
      </w:pPr>
    </w:p>
    <w:p w14:paraId="250F6589" w14:textId="3F880C72" w:rsidR="005C690F" w:rsidRPr="00030531" w:rsidRDefault="00CD6238" w:rsidP="00701F40">
      <w:pPr>
        <w:pStyle w:val="Ttulo1"/>
        <w:spacing w:before="0" w:after="0" w:line="360" w:lineRule="auto"/>
        <w:jc w:val="center"/>
        <w:rPr>
          <w:color w:val="auto"/>
          <w:sz w:val="22"/>
          <w:szCs w:val="22"/>
        </w:rPr>
      </w:pPr>
      <w:bookmarkStart w:id="7" w:name="_Toc206089162"/>
      <w:r w:rsidRPr="00030531">
        <w:rPr>
          <w:color w:val="auto"/>
          <w:sz w:val="22"/>
          <w:szCs w:val="22"/>
        </w:rPr>
        <w:t>C O N S I D E R A N D O S</w:t>
      </w:r>
      <w:bookmarkEnd w:id="7"/>
    </w:p>
    <w:p w14:paraId="5AB6ED71" w14:textId="77777777" w:rsidR="005C690F" w:rsidRPr="00074EA3" w:rsidRDefault="005C690F" w:rsidP="00701F40">
      <w:pPr>
        <w:spacing w:after="0" w:line="360" w:lineRule="auto"/>
        <w:jc w:val="center"/>
        <w:rPr>
          <w:b/>
          <w:color w:val="FF0000"/>
        </w:rPr>
      </w:pPr>
    </w:p>
    <w:p w14:paraId="36BFFC7E" w14:textId="2F0F17EA" w:rsidR="005C690F" w:rsidRPr="00105060" w:rsidRDefault="007D6307" w:rsidP="00701F40">
      <w:pPr>
        <w:pStyle w:val="Ttulo2"/>
        <w:spacing w:before="0" w:after="0" w:line="360" w:lineRule="auto"/>
        <w:rPr>
          <w:color w:val="auto"/>
          <w:sz w:val="22"/>
          <w:szCs w:val="22"/>
        </w:rPr>
      </w:pPr>
      <w:bookmarkStart w:id="8" w:name="_Toc206089163"/>
      <w:r w:rsidRPr="00105060">
        <w:rPr>
          <w:color w:val="auto"/>
          <w:sz w:val="22"/>
          <w:szCs w:val="22"/>
        </w:rPr>
        <w:t xml:space="preserve">PRIMERO. </w:t>
      </w:r>
      <w:r w:rsidR="00CD6238" w:rsidRPr="00105060">
        <w:rPr>
          <w:color w:val="auto"/>
          <w:sz w:val="22"/>
          <w:szCs w:val="22"/>
        </w:rPr>
        <w:t>Competencia</w:t>
      </w:r>
      <w:bookmarkEnd w:id="8"/>
    </w:p>
    <w:p w14:paraId="34E42005" w14:textId="77777777" w:rsidR="0084143D" w:rsidRPr="00074EA3" w:rsidRDefault="0084143D" w:rsidP="00701F40">
      <w:pPr>
        <w:spacing w:after="0" w:line="360" w:lineRule="auto"/>
        <w:contextualSpacing/>
        <w:rPr>
          <w:rFonts w:eastAsia="Times New Roman" w:cs="Tahoma"/>
          <w:bCs/>
          <w:color w:val="FF0000"/>
          <w:lang w:eastAsia="es-ES"/>
        </w:rPr>
      </w:pPr>
      <w:bookmarkStart w:id="9" w:name="_heading=h.30j0zll" w:colFirst="0" w:colLast="0"/>
      <w:bookmarkEnd w:id="9"/>
    </w:p>
    <w:p w14:paraId="4225FD09" w14:textId="38635851" w:rsidR="005C690F" w:rsidRPr="00105060" w:rsidRDefault="00105060" w:rsidP="00701F40">
      <w:pPr>
        <w:spacing w:after="0" w:line="360" w:lineRule="auto"/>
        <w:rPr>
          <w:color w:val="auto"/>
        </w:rPr>
      </w:pPr>
      <w:r w:rsidRPr="00105060">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63FDE56" w14:textId="77777777" w:rsidR="00105060" w:rsidRPr="00074EA3" w:rsidRDefault="00105060" w:rsidP="00701F40">
      <w:pPr>
        <w:spacing w:after="0" w:line="360" w:lineRule="auto"/>
        <w:rPr>
          <w:b/>
          <w:color w:val="FF0000"/>
        </w:rPr>
      </w:pPr>
    </w:p>
    <w:p w14:paraId="46691DD5" w14:textId="3C9DE8F6" w:rsidR="005C690F" w:rsidRPr="00F24805" w:rsidRDefault="007D6307" w:rsidP="00701F40">
      <w:pPr>
        <w:pStyle w:val="Ttulo2"/>
        <w:spacing w:before="0" w:after="0" w:line="360" w:lineRule="auto"/>
        <w:rPr>
          <w:color w:val="auto"/>
          <w:sz w:val="22"/>
          <w:szCs w:val="22"/>
        </w:rPr>
      </w:pPr>
      <w:bookmarkStart w:id="10" w:name="_Toc206089164"/>
      <w:r w:rsidRPr="00F24805">
        <w:rPr>
          <w:color w:val="auto"/>
          <w:sz w:val="22"/>
          <w:szCs w:val="22"/>
        </w:rPr>
        <w:t>SEGUNDO. Causales de</w:t>
      </w:r>
      <w:r w:rsidR="00CD6238" w:rsidRPr="00F24805">
        <w:rPr>
          <w:color w:val="auto"/>
          <w:sz w:val="22"/>
          <w:szCs w:val="22"/>
        </w:rPr>
        <w:t xml:space="preserve"> improcedencia</w:t>
      </w:r>
      <w:bookmarkEnd w:id="10"/>
      <w:r w:rsidR="00CD6238" w:rsidRPr="00F24805">
        <w:rPr>
          <w:color w:val="auto"/>
          <w:sz w:val="22"/>
          <w:szCs w:val="22"/>
        </w:rPr>
        <w:t xml:space="preserve"> </w:t>
      </w:r>
    </w:p>
    <w:p w14:paraId="706394D4" w14:textId="77777777" w:rsidR="00304DE6" w:rsidRPr="00074EA3" w:rsidRDefault="00304DE6" w:rsidP="00701F40">
      <w:pPr>
        <w:spacing w:after="0" w:line="360" w:lineRule="auto"/>
        <w:rPr>
          <w:b/>
          <w:color w:val="FF0000"/>
        </w:rPr>
      </w:pPr>
    </w:p>
    <w:p w14:paraId="6C56CA88" w14:textId="77777777" w:rsidR="005C690F" w:rsidRPr="00F24805" w:rsidRDefault="007D6307" w:rsidP="00701F40">
      <w:pPr>
        <w:spacing w:after="0" w:line="360" w:lineRule="auto"/>
        <w:rPr>
          <w:color w:val="auto"/>
        </w:rPr>
      </w:pPr>
      <w:r w:rsidRPr="00F24805">
        <w:rPr>
          <w:color w:val="auto"/>
        </w:rPr>
        <w:t xml:space="preserve">Este Instituto realiza el estudio oficioso de las causales de improcedencia, por tratarse de una cuestión de orden público y de estudio preferente (acorde con el Criterio orientador en la </w:t>
      </w:r>
      <w:r w:rsidRPr="00F24805">
        <w:rPr>
          <w:color w:val="auto"/>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F24805" w:rsidRDefault="005C690F" w:rsidP="00701F40">
      <w:pPr>
        <w:spacing w:after="0" w:line="360" w:lineRule="auto"/>
        <w:rPr>
          <w:color w:val="auto"/>
        </w:rPr>
      </w:pPr>
    </w:p>
    <w:p w14:paraId="3FF1B775" w14:textId="71BDC8A3" w:rsidR="005C690F" w:rsidRPr="00F24805" w:rsidRDefault="007D6307" w:rsidP="00701F40">
      <w:pPr>
        <w:spacing w:after="0" w:line="360" w:lineRule="auto"/>
        <w:rPr>
          <w:color w:val="auto"/>
        </w:rPr>
      </w:pPr>
      <w:r w:rsidRPr="00F24805">
        <w:rPr>
          <w:color w:val="auto"/>
        </w:rPr>
        <w:t>En el presente caso, </w:t>
      </w:r>
      <w:r w:rsidRPr="00F24805">
        <w:rPr>
          <w:b/>
          <w:color w:val="auto"/>
        </w:rPr>
        <w:t>no se actualiza ninguna de las causales de improcedencia</w:t>
      </w:r>
      <w:r w:rsidRPr="00F24805">
        <w:rPr>
          <w:color w:val="auto"/>
        </w:rPr>
        <w:t> establecidas en el ordenamiento jurídico previamente señalado, toda vez que: este Instituto no tiene conocimiento de que se encuentre en trámite algún medio de defensa presentado por la</w:t>
      </w:r>
      <w:r w:rsidR="00261B92" w:rsidRPr="00F24805">
        <w:rPr>
          <w:color w:val="auto"/>
        </w:rPr>
        <w:t xml:space="preserve"> persona</w:t>
      </w:r>
      <w:r w:rsidRPr="00F24805">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074EA3" w:rsidRDefault="008D3B3F" w:rsidP="00701F40">
      <w:pPr>
        <w:spacing w:after="0" w:line="360" w:lineRule="auto"/>
        <w:rPr>
          <w:color w:val="FF0000"/>
        </w:rPr>
      </w:pPr>
    </w:p>
    <w:p w14:paraId="1593A12B" w14:textId="02030DC3" w:rsidR="00304DE6" w:rsidRPr="00F24805" w:rsidRDefault="007D6307" w:rsidP="00701F40">
      <w:pPr>
        <w:spacing w:after="0" w:line="360" w:lineRule="auto"/>
        <w:rPr>
          <w:color w:val="auto"/>
        </w:rPr>
      </w:pPr>
      <w:r w:rsidRPr="00EB29D9">
        <w:rPr>
          <w:color w:val="auto"/>
        </w:rPr>
        <w:t>Por lo cual, se actualiza</w:t>
      </w:r>
      <w:r w:rsidR="00F24805" w:rsidRPr="00EB29D9">
        <w:rPr>
          <w:color w:val="auto"/>
        </w:rPr>
        <w:t>n</w:t>
      </w:r>
      <w:r w:rsidRPr="00EB29D9">
        <w:rPr>
          <w:color w:val="auto"/>
        </w:rPr>
        <w:t xml:space="preserve"> </w:t>
      </w:r>
      <w:r w:rsidR="009359F6" w:rsidRPr="00EB29D9">
        <w:rPr>
          <w:color w:val="auto"/>
        </w:rPr>
        <w:t>las causales</w:t>
      </w:r>
      <w:r w:rsidRPr="00EB29D9">
        <w:rPr>
          <w:color w:val="auto"/>
        </w:rPr>
        <w:t xml:space="preserve"> de procedencia del Recurso de Revisión señal</w:t>
      </w:r>
      <w:r w:rsidR="00261DF6" w:rsidRPr="00EB29D9">
        <w:rPr>
          <w:color w:val="auto"/>
        </w:rPr>
        <w:t>ada</w:t>
      </w:r>
      <w:r w:rsidR="00F24805" w:rsidRPr="00EB29D9">
        <w:rPr>
          <w:color w:val="auto"/>
        </w:rPr>
        <w:t>s</w:t>
      </w:r>
      <w:r w:rsidR="00261DF6" w:rsidRPr="00EB29D9">
        <w:rPr>
          <w:color w:val="auto"/>
        </w:rPr>
        <w:t xml:space="preserve"> en el artículo 179, fracci</w:t>
      </w:r>
      <w:r w:rsidR="00F24805" w:rsidRPr="00EB29D9">
        <w:rPr>
          <w:color w:val="auto"/>
        </w:rPr>
        <w:t>ones II y</w:t>
      </w:r>
      <w:r w:rsidR="003A103F" w:rsidRPr="00EB29D9">
        <w:rPr>
          <w:color w:val="auto"/>
        </w:rPr>
        <w:t xml:space="preserve"> VI</w:t>
      </w:r>
      <w:r w:rsidRPr="00EB29D9">
        <w:rPr>
          <w:color w:val="auto"/>
        </w:rPr>
        <w:t>, de la Ley en cita, pues la p</w:t>
      </w:r>
      <w:r w:rsidR="00261B92" w:rsidRPr="00EB29D9">
        <w:rPr>
          <w:color w:val="auto"/>
        </w:rPr>
        <w:t>ersona</w:t>
      </w:r>
      <w:r w:rsidRPr="00EB29D9">
        <w:rPr>
          <w:color w:val="auto"/>
        </w:rPr>
        <w:t xml:space="preserve"> Recurrente se inconformó </w:t>
      </w:r>
      <w:r w:rsidR="00304DE6" w:rsidRPr="00EB29D9">
        <w:rPr>
          <w:color w:val="auto"/>
        </w:rPr>
        <w:t xml:space="preserve">de la </w:t>
      </w:r>
      <w:r w:rsidR="00F24805" w:rsidRPr="00EB29D9">
        <w:rPr>
          <w:color w:val="auto"/>
        </w:rPr>
        <w:t xml:space="preserve">clasificación de la información y de la </w:t>
      </w:r>
      <w:r w:rsidR="003A103F" w:rsidRPr="00EB29D9">
        <w:rPr>
          <w:color w:val="auto"/>
        </w:rPr>
        <w:t>entrega de información que n</w:t>
      </w:r>
      <w:r w:rsidR="00F24805" w:rsidRPr="00EB29D9">
        <w:rPr>
          <w:color w:val="auto"/>
        </w:rPr>
        <w:t>o corresponde con lo solicitado.</w:t>
      </w:r>
    </w:p>
    <w:p w14:paraId="3B2EB888" w14:textId="77777777" w:rsidR="005C690F" w:rsidRPr="00F24805" w:rsidRDefault="005C690F" w:rsidP="00701F40">
      <w:pPr>
        <w:spacing w:after="0" w:line="360" w:lineRule="auto"/>
        <w:rPr>
          <w:b/>
          <w:color w:val="auto"/>
        </w:rPr>
      </w:pPr>
    </w:p>
    <w:p w14:paraId="0A6A0BAE" w14:textId="2FD06286" w:rsidR="005C690F" w:rsidRPr="000135D0" w:rsidRDefault="007D6307" w:rsidP="00701F40">
      <w:pPr>
        <w:pStyle w:val="Ttulo2"/>
        <w:spacing w:before="0" w:after="0" w:line="360" w:lineRule="auto"/>
        <w:rPr>
          <w:color w:val="auto"/>
          <w:sz w:val="22"/>
          <w:szCs w:val="22"/>
        </w:rPr>
      </w:pPr>
      <w:bookmarkStart w:id="11" w:name="_Toc206089165"/>
      <w:r w:rsidRPr="000135D0">
        <w:rPr>
          <w:color w:val="auto"/>
          <w:sz w:val="22"/>
          <w:szCs w:val="22"/>
        </w:rPr>
        <w:t xml:space="preserve">TERCERO. </w:t>
      </w:r>
      <w:r w:rsidR="00216EC5" w:rsidRPr="000135D0">
        <w:rPr>
          <w:color w:val="auto"/>
          <w:sz w:val="22"/>
          <w:szCs w:val="22"/>
        </w:rPr>
        <w:t>Causales de Sobreseimiento</w:t>
      </w:r>
      <w:bookmarkEnd w:id="11"/>
    </w:p>
    <w:p w14:paraId="4A0739CB" w14:textId="77777777" w:rsidR="00897A05" w:rsidRPr="00074EA3" w:rsidRDefault="00897A05" w:rsidP="00701F40">
      <w:pPr>
        <w:spacing w:after="0" w:line="360" w:lineRule="auto"/>
        <w:rPr>
          <w:b/>
          <w:color w:val="FF0000"/>
        </w:rPr>
      </w:pPr>
    </w:p>
    <w:p w14:paraId="4C93D705" w14:textId="77777777" w:rsidR="00763D4C" w:rsidRPr="000135D0" w:rsidRDefault="00763D4C" w:rsidP="00701F40">
      <w:pPr>
        <w:spacing w:after="0" w:line="360" w:lineRule="auto"/>
        <w:rPr>
          <w:color w:val="auto"/>
        </w:rPr>
      </w:pPr>
      <w:r w:rsidRPr="000135D0">
        <w:rPr>
          <w:color w:val="auto"/>
        </w:rPr>
        <w:t>Por ser de previo y especial pronunciamiento, este Instituto analiza si se actualiza alguna causal de sobreseimiento.</w:t>
      </w:r>
    </w:p>
    <w:p w14:paraId="5EACBD6C" w14:textId="77777777" w:rsidR="00763D4C" w:rsidRPr="00074EA3" w:rsidRDefault="00763D4C" w:rsidP="00701F40">
      <w:pPr>
        <w:spacing w:after="0" w:line="360" w:lineRule="auto"/>
        <w:rPr>
          <w:color w:val="FF0000"/>
        </w:rPr>
      </w:pPr>
    </w:p>
    <w:p w14:paraId="2454D1FD" w14:textId="4C2A3F1C" w:rsidR="00763D4C" w:rsidRPr="000135D0" w:rsidRDefault="00C14C54" w:rsidP="00701F40">
      <w:pPr>
        <w:spacing w:after="0" w:line="360" w:lineRule="auto"/>
        <w:rPr>
          <w:rFonts w:eastAsia="Times New Roman" w:cs="Tahoma"/>
          <w:color w:val="auto"/>
          <w:lang w:eastAsia="es-ES"/>
        </w:rPr>
      </w:pPr>
      <w:r>
        <w:t xml:space="preserve">El artículo 192 de la Ley Transparencia y Acceso a la Información Pública del Estado de México y Municipios, señala las causales por las cuales se puede sobreseer en todo o en parte, </w:t>
      </w:r>
      <w:r>
        <w:lastRenderedPageBreak/>
        <w:t xml:space="preserve">el Recurso de Revisión; así, del análisis realizado por este Instituto, se advierte </w:t>
      </w:r>
      <w:r w:rsidRPr="00C14C54">
        <w:rPr>
          <w:b/>
          <w:bCs/>
        </w:rPr>
        <w:t>que no se actualizan los supuestos de sobreseimiento previstos en las fracciones I, II, IV</w:t>
      </w:r>
      <w:r w:rsidR="00D35717">
        <w:rPr>
          <w:b/>
          <w:bCs/>
        </w:rPr>
        <w:t xml:space="preserve"> y V</w:t>
      </w:r>
      <w:r>
        <w:t>, del artículo en comento, lo anterior, en virtud de que no hay constancias en el expediente en que se actúa, de que la persona Recurrente se haya desistido del recurso, haya fallecido, se haya actualizado alguna causal de improcedencia</w:t>
      </w:r>
      <w:r w:rsidR="00D35717">
        <w:t>, o bien, el Recurso de Revisión haya quedado por cualquier motivo sin materia.</w:t>
      </w:r>
    </w:p>
    <w:p w14:paraId="633D7F7D" w14:textId="77777777" w:rsidR="00C14C54" w:rsidRDefault="00C14C54" w:rsidP="00701F40">
      <w:pPr>
        <w:spacing w:after="0" w:line="360" w:lineRule="auto"/>
        <w:rPr>
          <w:rFonts w:eastAsia="Calibri" w:cs="Tahoma"/>
          <w:color w:val="auto"/>
          <w:szCs w:val="24"/>
        </w:rPr>
      </w:pPr>
    </w:p>
    <w:p w14:paraId="5761FD8F" w14:textId="1EA71795" w:rsidR="000135D0" w:rsidRPr="00C14C54" w:rsidRDefault="00C14C54" w:rsidP="00701F40">
      <w:pPr>
        <w:spacing w:after="0" w:line="360" w:lineRule="auto"/>
        <w:rPr>
          <w:rFonts w:eastAsia="Calibri" w:cs="Tahoma"/>
          <w:color w:val="auto"/>
          <w:szCs w:val="24"/>
        </w:rPr>
      </w:pPr>
      <w:r>
        <w:t xml:space="preserve">No obstante, por lo que hace a la fracción </w:t>
      </w:r>
      <w:r w:rsidR="00D35717">
        <w:t>III</w:t>
      </w:r>
      <w:r>
        <w:t xml:space="preserve">, del artículo 192, de la Ley de la materia, es de señalar que el Sujeto Obligado </w:t>
      </w:r>
      <w:r w:rsidR="00D35717">
        <w:t>modificó su respuesta primigenia</w:t>
      </w:r>
      <w:r>
        <w:t>; por lo que, se estima procedente entrar al estudio de dicha causal de sobreseimiento, para lo cual, se desprende que el Particular requirió</w:t>
      </w:r>
      <w:r>
        <w:rPr>
          <w:rFonts w:eastAsia="Calibri" w:cs="Tahoma"/>
          <w:color w:val="auto"/>
          <w:szCs w:val="24"/>
        </w:rPr>
        <w:t xml:space="preserve"> </w:t>
      </w:r>
      <w:r w:rsidR="00425942">
        <w:rPr>
          <w:rFonts w:cs="Tahoma"/>
          <w:color w:val="auto"/>
        </w:rPr>
        <w:t>el recibo de nómina de la Titular de la Unidad de Transparencia.</w:t>
      </w:r>
    </w:p>
    <w:p w14:paraId="25847767" w14:textId="77777777" w:rsidR="001260CE" w:rsidRPr="00074EA3" w:rsidRDefault="001260CE" w:rsidP="00701F40">
      <w:pPr>
        <w:spacing w:after="0" w:line="360" w:lineRule="auto"/>
        <w:rPr>
          <w:rFonts w:cs="Tahoma"/>
          <w:color w:val="FF0000"/>
        </w:rPr>
      </w:pPr>
    </w:p>
    <w:p w14:paraId="48EE6B2D" w14:textId="57042813" w:rsidR="00D05E50" w:rsidRDefault="007C7BAF" w:rsidP="00701F40">
      <w:pPr>
        <w:spacing w:after="0" w:line="360" w:lineRule="auto"/>
        <w:rPr>
          <w:rFonts w:eastAsia="Calibri" w:cs="Tahoma"/>
          <w:color w:val="auto"/>
        </w:rPr>
      </w:pPr>
      <w:r w:rsidRPr="004A1ED5">
        <w:rPr>
          <w:color w:val="auto"/>
        </w:rPr>
        <w:t>En respuesta, el Sujeto Obligado,</w:t>
      </w:r>
      <w:r w:rsidR="00644832" w:rsidRPr="004A1ED5">
        <w:rPr>
          <w:color w:val="auto"/>
        </w:rPr>
        <w:t xml:space="preserve"> </w:t>
      </w:r>
      <w:r w:rsidR="00C672CD" w:rsidRPr="004A1ED5">
        <w:rPr>
          <w:color w:val="auto"/>
        </w:rPr>
        <w:t>a través de</w:t>
      </w:r>
      <w:r w:rsidR="00A26E75" w:rsidRPr="004A1ED5">
        <w:rPr>
          <w:color w:val="auto"/>
        </w:rPr>
        <w:t xml:space="preserve"> la</w:t>
      </w:r>
      <w:r w:rsidR="007145F5" w:rsidRPr="004A1ED5">
        <w:rPr>
          <w:color w:val="auto"/>
        </w:rPr>
        <w:t xml:space="preserve"> Subdirección de Recursos Humanos remitió los recibos </w:t>
      </w:r>
      <w:r w:rsidR="00D05E50" w:rsidRPr="00290B4F">
        <w:rPr>
          <w:color w:val="auto"/>
        </w:rPr>
        <w:t xml:space="preserve">de nómina de la servidora pública Brenda Selene Hernández López, Titular de la </w:t>
      </w:r>
      <w:r w:rsidR="00D05E50" w:rsidRPr="00D05E50">
        <w:rPr>
          <w:color w:val="auto"/>
        </w:rPr>
        <w:t>Unidad de Transparencia, correspondientes a la primera y segunda quincena del mes de mayo de dos mil veinticinco</w:t>
      </w:r>
      <w:r w:rsidR="00AF69E7">
        <w:rPr>
          <w:color w:val="auto"/>
        </w:rPr>
        <w:t>, así como el cuadro de clasificación de los datos testados en los recibos de nómina proporcionados</w:t>
      </w:r>
      <w:r w:rsidR="00C672CD" w:rsidRPr="00D05E50">
        <w:rPr>
          <w:color w:val="auto"/>
          <w:sz w:val="24"/>
        </w:rPr>
        <w:t>;</w:t>
      </w:r>
      <w:r w:rsidRPr="00D05E50">
        <w:rPr>
          <w:color w:val="auto"/>
        </w:rPr>
        <w:t xml:space="preserve"> </w:t>
      </w:r>
      <w:r w:rsidRPr="00D05E50">
        <w:rPr>
          <w:rFonts w:cs="Tahoma"/>
          <w:color w:val="auto"/>
          <w:lang w:val="es-ES"/>
        </w:rPr>
        <w:t>ante dicha circunstancia, el Particular se inconformó</w:t>
      </w:r>
      <w:r w:rsidR="00644832" w:rsidRPr="00D05E50">
        <w:rPr>
          <w:rFonts w:cs="Tahoma"/>
          <w:color w:val="auto"/>
          <w:lang w:val="es-ES"/>
        </w:rPr>
        <w:t xml:space="preserve"> </w:t>
      </w:r>
      <w:r w:rsidR="00966BF0" w:rsidRPr="00D05E50">
        <w:rPr>
          <w:rFonts w:cs="Tahoma"/>
          <w:color w:val="auto"/>
          <w:lang w:val="es-ES"/>
        </w:rPr>
        <w:t>de</w:t>
      </w:r>
      <w:r w:rsidR="001260CE" w:rsidRPr="00D05E50">
        <w:rPr>
          <w:rFonts w:cs="Tahoma"/>
          <w:color w:val="auto"/>
          <w:lang w:val="es-ES"/>
        </w:rPr>
        <w:t xml:space="preserve"> </w:t>
      </w:r>
      <w:r w:rsidR="00C672CD" w:rsidRPr="00D05E50">
        <w:rPr>
          <w:rFonts w:cs="Tahoma"/>
          <w:color w:val="auto"/>
          <w:lang w:val="es-ES"/>
        </w:rPr>
        <w:t>la</w:t>
      </w:r>
      <w:r w:rsidR="0076190F" w:rsidRPr="00D05E50">
        <w:rPr>
          <w:rFonts w:cs="Tahoma"/>
          <w:color w:val="auto"/>
          <w:lang w:val="es-ES"/>
        </w:rPr>
        <w:t xml:space="preserve"> </w:t>
      </w:r>
      <w:r w:rsidR="00D05E50" w:rsidRPr="00D05E50">
        <w:rPr>
          <w:rFonts w:cs="Tahoma"/>
          <w:color w:val="auto"/>
          <w:lang w:val="es-ES"/>
        </w:rPr>
        <w:t xml:space="preserve">clasificación de la información y de la </w:t>
      </w:r>
      <w:r w:rsidR="00413093" w:rsidRPr="00D05E50">
        <w:rPr>
          <w:rFonts w:cs="Tahoma"/>
          <w:color w:val="auto"/>
          <w:lang w:val="es-ES"/>
        </w:rPr>
        <w:t>entrega de información que no corresponde con lo solicitado al mencionar que</w:t>
      </w:r>
      <w:r w:rsidR="00A26E75" w:rsidRPr="00D05E50">
        <w:rPr>
          <w:rFonts w:cs="Tahoma"/>
          <w:color w:val="auto"/>
          <w:lang w:val="es-ES"/>
        </w:rPr>
        <w:t xml:space="preserve">  no le entregaron la información</w:t>
      </w:r>
      <w:r w:rsidR="001A7F04" w:rsidRPr="00D05E50">
        <w:rPr>
          <w:rFonts w:cs="Tahoma"/>
          <w:color w:val="auto"/>
          <w:lang w:val="es-ES"/>
        </w:rPr>
        <w:t xml:space="preserve">, </w:t>
      </w:r>
      <w:r w:rsidRPr="00D05E50">
        <w:rPr>
          <w:rFonts w:cs="Tahoma"/>
          <w:color w:val="auto"/>
          <w:lang w:val="es-ES"/>
        </w:rPr>
        <w:t xml:space="preserve">lo cual </w:t>
      </w:r>
      <w:r w:rsidRPr="00D05E50">
        <w:rPr>
          <w:rFonts w:eastAsia="Calibri" w:cs="Tahoma"/>
          <w:color w:val="auto"/>
        </w:rPr>
        <w:t>actualiza la</w:t>
      </w:r>
      <w:r w:rsidR="00D05E50" w:rsidRPr="00D05E50">
        <w:rPr>
          <w:rFonts w:eastAsia="Calibri" w:cs="Tahoma"/>
          <w:color w:val="auto"/>
        </w:rPr>
        <w:t>s</w:t>
      </w:r>
      <w:r w:rsidRPr="00D05E50">
        <w:rPr>
          <w:rFonts w:eastAsia="Calibri" w:cs="Tahoma"/>
          <w:color w:val="auto"/>
        </w:rPr>
        <w:t xml:space="preserve"> causal</w:t>
      </w:r>
      <w:r w:rsidR="00D05E50" w:rsidRPr="00D05E50">
        <w:rPr>
          <w:rFonts w:eastAsia="Calibri" w:cs="Tahoma"/>
          <w:color w:val="auto"/>
        </w:rPr>
        <w:t>es</w:t>
      </w:r>
      <w:r w:rsidRPr="00D05E50">
        <w:rPr>
          <w:rFonts w:eastAsia="Calibri" w:cs="Tahoma"/>
          <w:color w:val="auto"/>
        </w:rPr>
        <w:t xml:space="preserve"> de proce</w:t>
      </w:r>
      <w:r w:rsidR="00413093" w:rsidRPr="00D05E50">
        <w:rPr>
          <w:rFonts w:eastAsia="Calibri" w:cs="Tahoma"/>
          <w:color w:val="auto"/>
        </w:rPr>
        <w:t>dencia prevista en la</w:t>
      </w:r>
      <w:r w:rsidR="00D05E50" w:rsidRPr="00D05E50">
        <w:rPr>
          <w:rFonts w:eastAsia="Calibri" w:cs="Tahoma"/>
          <w:color w:val="auto"/>
        </w:rPr>
        <w:t>s</w:t>
      </w:r>
      <w:r w:rsidR="00413093" w:rsidRPr="00D05E50">
        <w:rPr>
          <w:rFonts w:eastAsia="Calibri" w:cs="Tahoma"/>
          <w:color w:val="auto"/>
        </w:rPr>
        <w:t xml:space="preserve"> fracci</w:t>
      </w:r>
      <w:r w:rsidR="00D05E50" w:rsidRPr="00D05E50">
        <w:rPr>
          <w:rFonts w:eastAsia="Calibri" w:cs="Tahoma"/>
          <w:color w:val="auto"/>
        </w:rPr>
        <w:t xml:space="preserve">ones II y </w:t>
      </w:r>
      <w:r w:rsidR="00413093" w:rsidRPr="00D05E50">
        <w:rPr>
          <w:rFonts w:eastAsia="Calibri" w:cs="Tahoma"/>
          <w:color w:val="auto"/>
        </w:rPr>
        <w:t xml:space="preserve"> VI</w:t>
      </w:r>
      <w:r w:rsidRPr="00D05E50">
        <w:rPr>
          <w:rFonts w:eastAsia="Calibri" w:cs="Tahoma"/>
          <w:color w:val="auto"/>
        </w:rPr>
        <w:t>, del artículo 179 de la Ley de Transparencia y Acceso a la Información Pública del Estado de México y Municipios</w:t>
      </w:r>
      <w:r w:rsidRPr="00D05E50">
        <w:rPr>
          <w:color w:val="auto"/>
        </w:rPr>
        <w:t xml:space="preserve">. </w:t>
      </w:r>
      <w:r w:rsidRPr="00D05E50">
        <w:rPr>
          <w:rFonts w:eastAsia="Calibri" w:cs="Tahoma"/>
          <w:color w:val="auto"/>
        </w:rPr>
        <w:t>Así, las cosas, una vez admitido y notificado el Recurso de Revisión</w:t>
      </w:r>
      <w:r w:rsidR="00522A47" w:rsidRPr="00D05E50">
        <w:rPr>
          <w:rFonts w:eastAsia="Calibri" w:cs="Tahoma"/>
          <w:color w:val="auto"/>
        </w:rPr>
        <w:t xml:space="preserve"> a las partes,</w:t>
      </w:r>
      <w:r w:rsidR="001A7F04" w:rsidRPr="00D05E50">
        <w:rPr>
          <w:rFonts w:eastAsia="Calibri" w:cs="Tahoma"/>
          <w:color w:val="auto"/>
        </w:rPr>
        <w:t xml:space="preserve"> el Sujeto O</w:t>
      </w:r>
      <w:r w:rsidR="00413093" w:rsidRPr="00D05E50">
        <w:rPr>
          <w:rFonts w:eastAsia="Calibri" w:cs="Tahoma"/>
          <w:color w:val="auto"/>
        </w:rPr>
        <w:t xml:space="preserve">bligado </w:t>
      </w:r>
      <w:r w:rsidR="00763D4C" w:rsidRPr="00D05E50">
        <w:rPr>
          <w:rFonts w:eastAsia="Calibri" w:cs="Tahoma"/>
          <w:color w:val="auto"/>
        </w:rPr>
        <w:t xml:space="preserve">modificó su respuesta, donde adjuntó </w:t>
      </w:r>
      <w:r w:rsidR="00D05E50">
        <w:rPr>
          <w:rFonts w:eastAsia="Calibri" w:cs="Tahoma"/>
          <w:color w:val="auto"/>
        </w:rPr>
        <w:t xml:space="preserve">el </w:t>
      </w:r>
      <w:r w:rsidR="00C67395">
        <w:rPr>
          <w:color w:val="auto"/>
        </w:rPr>
        <w:t>a</w:t>
      </w:r>
      <w:r w:rsidR="00D05E50">
        <w:rPr>
          <w:color w:val="auto"/>
        </w:rPr>
        <w:t>cta CT/ZIN/EXT/0011/2025 de la Décima Primera Sesión Extraordinaria del Comité de Transparencia de Zinacantepec, por medio de la cual se emitió el acuerdo CT</w:t>
      </w:r>
      <w:r w:rsidR="00D05E50">
        <w:t>/S11/EXT/AC02/2025 a través del cual se aprobó la versión pública de los recibos de nómina remitidos en respuesta.</w:t>
      </w:r>
    </w:p>
    <w:p w14:paraId="137DA036" w14:textId="77777777" w:rsidR="00AB4AC2" w:rsidRPr="00074EA3" w:rsidRDefault="00AB4AC2" w:rsidP="00701F40">
      <w:pPr>
        <w:spacing w:after="0" w:line="360" w:lineRule="auto"/>
        <w:ind w:right="567"/>
        <w:rPr>
          <w:i/>
          <w:iCs/>
          <w:color w:val="FF0000"/>
          <w:sz w:val="20"/>
          <w:szCs w:val="20"/>
        </w:rPr>
      </w:pPr>
    </w:p>
    <w:p w14:paraId="22C5958E" w14:textId="21BA6EB2" w:rsidR="007C7BAF" w:rsidRPr="00D05E50" w:rsidRDefault="007C7BAF" w:rsidP="00701F40">
      <w:pPr>
        <w:tabs>
          <w:tab w:val="left" w:pos="4962"/>
        </w:tabs>
        <w:spacing w:after="0" w:line="360" w:lineRule="auto"/>
        <w:rPr>
          <w:rFonts w:eastAsia="Calibri" w:cs="Tahoma"/>
          <w:bCs/>
          <w:color w:val="auto"/>
        </w:rPr>
      </w:pPr>
      <w:r w:rsidRPr="00D05E50">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D05E50">
        <w:rPr>
          <w:rFonts w:eastAsia="Calibri" w:cs="Tahoma"/>
          <w:iCs/>
          <w:color w:val="auto"/>
          <w:lang w:val="es-ES" w:eastAsia="es-ES_tradnl"/>
        </w:rPr>
        <w:t>i</w:t>
      </w:r>
      <w:r w:rsidR="0076190F" w:rsidRPr="00D05E50">
        <w:rPr>
          <w:rFonts w:eastAsia="Calibri" w:cs="Tahoma"/>
          <w:iCs/>
          <w:color w:val="auto"/>
          <w:lang w:val="es-ES" w:eastAsia="es-ES_tradnl"/>
        </w:rPr>
        <w:t xml:space="preserve">tud de acceso a la información, </w:t>
      </w:r>
      <w:r w:rsidRPr="00D05E50">
        <w:rPr>
          <w:rFonts w:eastAsia="Calibri" w:cs="Tahoma"/>
          <w:iCs/>
          <w:color w:val="auto"/>
          <w:lang w:eastAsia="es-ES_tradnl"/>
        </w:rPr>
        <w:t>el escrito recursal</w:t>
      </w:r>
      <w:r w:rsidR="0076190F" w:rsidRPr="00D05E50">
        <w:rPr>
          <w:rFonts w:eastAsia="Calibri" w:cs="Tahoma"/>
          <w:iCs/>
          <w:color w:val="auto"/>
          <w:lang w:eastAsia="es-ES_tradnl"/>
        </w:rPr>
        <w:t xml:space="preserve"> y el Informe Justificado</w:t>
      </w:r>
      <w:r w:rsidRPr="00D05E50">
        <w:rPr>
          <w:rFonts w:eastAsia="Calibri" w:cs="Tahoma"/>
          <w:iCs/>
          <w:color w:val="auto"/>
          <w:lang w:eastAsia="es-ES_tradnl"/>
        </w:rPr>
        <w:t xml:space="preserve">; </w:t>
      </w:r>
      <w:r w:rsidRPr="00D05E50">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2596B212" w14:textId="77777777" w:rsidR="00A56228" w:rsidRPr="00074EA3" w:rsidRDefault="00A56228" w:rsidP="00701F40">
      <w:pPr>
        <w:spacing w:after="0" w:line="360" w:lineRule="auto"/>
        <w:rPr>
          <w:b/>
          <w:color w:val="FF0000"/>
        </w:rPr>
      </w:pPr>
    </w:p>
    <w:p w14:paraId="5F490A49" w14:textId="71CC9B98" w:rsidR="007F4407" w:rsidRPr="00D05E50" w:rsidRDefault="0064067B" w:rsidP="00701F40">
      <w:pPr>
        <w:spacing w:after="0" w:line="360" w:lineRule="auto"/>
        <w:rPr>
          <w:rFonts w:eastAsia="Times New Roman" w:cs="Tahoma"/>
          <w:bCs/>
          <w:iCs/>
          <w:color w:val="auto"/>
          <w:lang w:eastAsia="es-ES"/>
        </w:rPr>
      </w:pPr>
      <w:r w:rsidRPr="00D05E50">
        <w:rPr>
          <w:color w:val="auto"/>
        </w:rPr>
        <w:t>Expuestas las posturas de las partes, se procede al análisis de los agravios hechos valer por la persona Recurrente</w:t>
      </w:r>
      <w:r w:rsidR="00731FB9" w:rsidRPr="00D05E50">
        <w:rPr>
          <w:color w:val="auto"/>
        </w:rPr>
        <w:t xml:space="preserve">, </w:t>
      </w:r>
      <w:r w:rsidR="007F4407" w:rsidRPr="00D05E50">
        <w:rPr>
          <w:rFonts w:eastAsia="Times New Roman" w:cs="Tahoma"/>
          <w:bCs/>
          <w:iCs/>
          <w:color w:val="auto"/>
          <w:lang w:eastAsia="es-ES"/>
        </w:rPr>
        <w:t>por lo que, en principio es necesario contextualizar la solicitud de información.</w:t>
      </w:r>
    </w:p>
    <w:p w14:paraId="3BC543F0" w14:textId="77777777" w:rsidR="008064DC" w:rsidRPr="00074EA3" w:rsidRDefault="008064DC" w:rsidP="00701F40">
      <w:pPr>
        <w:spacing w:after="0" w:line="360" w:lineRule="auto"/>
        <w:rPr>
          <w:rFonts w:eastAsia="Times New Roman" w:cs="Tahoma"/>
          <w:bCs/>
          <w:iCs/>
          <w:color w:val="FF0000"/>
          <w:lang w:eastAsia="es-ES"/>
        </w:rPr>
      </w:pPr>
    </w:p>
    <w:p w14:paraId="71B692E9" w14:textId="64FBDF4A" w:rsidR="00651294" w:rsidRPr="00651294" w:rsidRDefault="008064DC" w:rsidP="00701F40">
      <w:pPr>
        <w:spacing w:after="0" w:line="360" w:lineRule="auto"/>
        <w:rPr>
          <w:rFonts w:eastAsia="Calibri" w:cs="Tahoma"/>
          <w:bCs/>
          <w:color w:val="auto"/>
          <w:lang w:val="es-ES"/>
        </w:rPr>
      </w:pPr>
      <w:r w:rsidRPr="00651294">
        <w:rPr>
          <w:rFonts w:eastAsia="Calibri" w:cs="Tahoma"/>
          <w:bCs/>
          <w:color w:val="auto"/>
          <w:lang w:val="es-ES"/>
        </w:rPr>
        <w:t xml:space="preserve">Sobre el tema, </w:t>
      </w:r>
      <w:r w:rsidR="003F042E">
        <w:t xml:space="preserve">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w:t>
      </w:r>
      <w:r w:rsidR="003F042E" w:rsidRPr="003F042E">
        <w:rPr>
          <w:b/>
          <w:bCs/>
        </w:rPr>
        <w:t>precisa que son servidores públicos a todas las personas que desempeñen un empleo, cargo o comisión en los Municipios.</w:t>
      </w:r>
    </w:p>
    <w:p w14:paraId="162994F7" w14:textId="77777777" w:rsidR="00651294" w:rsidRDefault="00651294" w:rsidP="00701F40">
      <w:pPr>
        <w:spacing w:after="0" w:line="360" w:lineRule="auto"/>
        <w:rPr>
          <w:rFonts w:eastAsia="Calibri" w:cs="Tahoma"/>
          <w:bCs/>
          <w:color w:val="FF0000"/>
          <w:lang w:val="es-ES"/>
        </w:rPr>
      </w:pPr>
    </w:p>
    <w:p w14:paraId="62B30C5D" w14:textId="3C0313FB" w:rsidR="00651294" w:rsidRDefault="003F042E" w:rsidP="00701F40">
      <w:pPr>
        <w:spacing w:after="0" w:line="360" w:lineRule="auto"/>
        <w:rPr>
          <w:rFonts w:eastAsia="Calibri" w:cs="Tahoma"/>
          <w:bCs/>
          <w:color w:val="FF0000"/>
          <w:lang w:val="es-ES"/>
        </w:rPr>
      </w:pPr>
      <w:r>
        <w:t xml:space="preserve">Además, el artículo 4°, fracción VI, de la Ley del Trabajo de los servidores públicos del Estado y Municipios, precisa que </w:t>
      </w:r>
      <w:r w:rsidRPr="003F042E">
        <w:rPr>
          <w:b/>
          <w:bCs/>
        </w:rPr>
        <w:t>son servidores públicos</w:t>
      </w:r>
      <w:r>
        <w:t>, todas las personas físicas que presten a una institución pública un trabajo personal subordinado, mediante el pago de un sueldo.</w:t>
      </w:r>
    </w:p>
    <w:p w14:paraId="1245845B" w14:textId="77777777" w:rsidR="00651294" w:rsidRDefault="00651294" w:rsidP="00701F40">
      <w:pPr>
        <w:spacing w:after="0" w:line="360" w:lineRule="auto"/>
        <w:rPr>
          <w:rFonts w:eastAsia="Calibri" w:cs="Tahoma"/>
          <w:bCs/>
          <w:color w:val="FF0000"/>
          <w:lang w:val="es-ES"/>
        </w:rPr>
      </w:pPr>
    </w:p>
    <w:p w14:paraId="5D04B8E0" w14:textId="413C97E8" w:rsidR="003F042E" w:rsidRDefault="003F042E" w:rsidP="00701F40">
      <w:pPr>
        <w:spacing w:after="0" w:line="360" w:lineRule="auto"/>
      </w:pPr>
      <w:r>
        <w:t xml:space="preserve">En orden de ideas, el artículo 3°, fracción LXVIII, del Código Financiero del Estado de México y Municipios establece que la remuneración consiste en los pagos hechos por concepto de </w:t>
      </w:r>
      <w:r>
        <w:lastRenderedPageBreak/>
        <w:t>sueldo, compensaciones, gratificaciones, habitación, primas, comisiones, prestaciones, en especie y cualquier otra percepción o prestación que se entregue al servidor por su trabajo.</w:t>
      </w:r>
    </w:p>
    <w:p w14:paraId="01D5B484" w14:textId="77777777" w:rsidR="003F042E" w:rsidRDefault="003F042E" w:rsidP="00701F40">
      <w:pPr>
        <w:spacing w:after="0" w:line="360" w:lineRule="auto"/>
      </w:pPr>
    </w:p>
    <w:p w14:paraId="4AF14F9A" w14:textId="1EFB07D8" w:rsidR="003F042E" w:rsidRDefault="003F042E" w:rsidP="00701F40">
      <w:pPr>
        <w:spacing w:after="0" w:line="360" w:lineRule="auto"/>
      </w:pPr>
      <w: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C28B847" w14:textId="77777777" w:rsidR="003F042E" w:rsidRDefault="003F042E" w:rsidP="00701F40">
      <w:pPr>
        <w:spacing w:after="0" w:line="360" w:lineRule="auto"/>
      </w:pPr>
    </w:p>
    <w:p w14:paraId="4EC1EAED" w14:textId="38E28F78" w:rsidR="003F042E" w:rsidRDefault="003F042E" w:rsidP="00701F40">
      <w:pPr>
        <w:spacing w:after="0" w:line="360" w:lineRule="auto"/>
      </w:pPr>
      <w: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w:t>
      </w:r>
      <w:r w:rsidRPr="003F042E">
        <w:rPr>
          <w:b/>
          <w:bCs/>
        </w:rPr>
        <w:t>los recibos de pago de salarios o las constancias documentales del pago de sueldos,</w:t>
      </w:r>
      <w:r>
        <w:t xml:space="preserve">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60764C0" w14:textId="77777777" w:rsidR="003F042E" w:rsidRDefault="003F042E" w:rsidP="00701F40">
      <w:pPr>
        <w:spacing w:after="0" w:line="360" w:lineRule="auto"/>
      </w:pPr>
    </w:p>
    <w:p w14:paraId="3AA3628A" w14:textId="151C87BB" w:rsidR="003F042E" w:rsidRDefault="003F042E" w:rsidP="00701F40">
      <w:pPr>
        <w:spacing w:after="0" w:line="360" w:lineRule="auto"/>
      </w:pPr>
      <w: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6603F7C" w14:textId="77777777" w:rsidR="003F042E" w:rsidRDefault="003F042E" w:rsidP="00701F40">
      <w:pPr>
        <w:spacing w:after="0" w:line="360" w:lineRule="auto"/>
      </w:pPr>
    </w:p>
    <w:p w14:paraId="7BD96473" w14:textId="77777777" w:rsidR="003F042E" w:rsidRPr="003F042E" w:rsidRDefault="003F042E" w:rsidP="00701F40">
      <w:pPr>
        <w:spacing w:after="0" w:line="360" w:lineRule="auto"/>
        <w:ind w:left="567" w:right="567"/>
        <w:rPr>
          <w:rFonts w:eastAsia="Calibri" w:cs="Times New Roman"/>
          <w:bCs/>
          <w:i/>
          <w:iCs/>
          <w:color w:val="auto"/>
          <w:sz w:val="20"/>
          <w:szCs w:val="20"/>
          <w:lang w:val="es-ES" w:eastAsia="en-US"/>
        </w:rPr>
      </w:pPr>
      <w:r w:rsidRPr="003F042E">
        <w:rPr>
          <w:rFonts w:eastAsia="Calibri" w:cs="Times New Roman"/>
          <w:b/>
          <w:bCs/>
          <w:i/>
          <w:iCs/>
          <w:color w:val="auto"/>
          <w:sz w:val="20"/>
          <w:szCs w:val="20"/>
          <w:lang w:val="es-ES" w:eastAsia="en-US"/>
        </w:rPr>
        <w:t>“RECIBOS DE PAGO</w:t>
      </w:r>
      <w:r w:rsidRPr="003F042E">
        <w:rPr>
          <w:rFonts w:eastAsia="Calibri" w:cs="Times New Roman"/>
          <w:bCs/>
          <w:i/>
          <w:iCs/>
          <w:color w:val="auto"/>
          <w:sz w:val="20"/>
          <w:szCs w:val="20"/>
          <w:lang w:val="es-ES" w:eastAsia="en-US"/>
        </w:rPr>
        <w:t xml:space="preserve"> </w:t>
      </w:r>
      <w:r w:rsidRPr="003F042E">
        <w:rPr>
          <w:rFonts w:eastAsia="Calibri" w:cs="Times New Roman"/>
          <w:b/>
          <w:bCs/>
          <w:i/>
          <w:iCs/>
          <w:color w:val="auto"/>
          <w:sz w:val="20"/>
          <w:szCs w:val="20"/>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w:t>
      </w:r>
      <w:r w:rsidRPr="003F042E">
        <w:rPr>
          <w:rFonts w:eastAsia="Calibri" w:cs="Times New Roman"/>
          <w:b/>
          <w:bCs/>
          <w:i/>
          <w:iCs/>
          <w:color w:val="auto"/>
          <w:sz w:val="20"/>
          <w:szCs w:val="20"/>
          <w:lang w:val="es-ES" w:eastAsia="en-US"/>
        </w:rPr>
        <w:lastRenderedPageBreak/>
        <w:t xml:space="preserve">LOS TRABAJADORES AL SERVICIO DEL ESTADO). </w:t>
      </w:r>
      <w:r w:rsidRPr="003F042E">
        <w:rPr>
          <w:rFonts w:eastAsia="Calibri" w:cs="Times New Roman"/>
          <w:bCs/>
          <w:i/>
          <w:iCs/>
          <w:color w:val="auto"/>
          <w:sz w:val="20"/>
          <w:szCs w:val="20"/>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8489AF7" w14:textId="77777777" w:rsidR="003F042E" w:rsidRPr="003F042E" w:rsidRDefault="003F042E" w:rsidP="00701F40">
      <w:pPr>
        <w:spacing w:after="0" w:line="360" w:lineRule="auto"/>
        <w:rPr>
          <w:rFonts w:eastAsia="Calibri" w:cs="Times New Roman"/>
          <w:b/>
          <w:bCs/>
          <w:i/>
          <w:iCs/>
          <w:color w:val="auto"/>
          <w:lang w:val="es-ES" w:eastAsia="en-US"/>
        </w:rPr>
      </w:pPr>
    </w:p>
    <w:p w14:paraId="246DD2CB" w14:textId="77777777" w:rsidR="003F042E" w:rsidRPr="003F042E" w:rsidRDefault="003F042E" w:rsidP="00701F40">
      <w:pPr>
        <w:spacing w:after="0" w:line="360" w:lineRule="auto"/>
        <w:rPr>
          <w:rFonts w:eastAsia="Calibri" w:cs="Times New Roman"/>
          <w:bCs/>
          <w:color w:val="auto"/>
          <w:lang w:val="es-ES" w:eastAsia="en-US"/>
        </w:rPr>
      </w:pPr>
      <w:r w:rsidRPr="003F042E">
        <w:rPr>
          <w:rFonts w:eastAsia="Calibri" w:cs="Times New Roman"/>
          <w:bCs/>
          <w:color w:val="auto"/>
          <w:lang w:val="es-ES" w:eastAsia="en-US"/>
        </w:rPr>
        <w:t xml:space="preserve">De la tesis transcrita, se desprende que </w:t>
      </w:r>
      <w:r w:rsidRPr="003F042E">
        <w:rPr>
          <w:rFonts w:eastAsia="Calibri" w:cs="Times New Roman"/>
          <w:b/>
          <w:bCs/>
          <w:color w:val="auto"/>
          <w:lang w:val="es-ES" w:eastAsia="en-US"/>
        </w:rPr>
        <w:t>en materia burocrática</w:t>
      </w:r>
      <w:r w:rsidRPr="003F042E">
        <w:rPr>
          <w:rFonts w:eastAsia="Calibri" w:cs="Times New Roman"/>
          <w:bCs/>
          <w:color w:val="auto"/>
          <w:lang w:val="es-ES" w:eastAsia="en-US"/>
        </w:rPr>
        <w:t xml:space="preserve"> </w:t>
      </w:r>
      <w:r w:rsidRPr="003F042E">
        <w:rPr>
          <w:rFonts w:eastAsia="Calibri" w:cs="Times New Roman"/>
          <w:b/>
          <w:bCs/>
          <w:color w:val="auto"/>
          <w:lang w:val="es-ES" w:eastAsia="en-US"/>
        </w:rPr>
        <w:t>los recibos de pago acreditan los conceptos y montos que en ellos se insertan</w:t>
      </w:r>
      <w:r w:rsidRPr="003F042E">
        <w:rPr>
          <w:rFonts w:eastAsia="Calibri" w:cs="Times New Roman"/>
          <w:bCs/>
          <w:color w:val="auto"/>
          <w:lang w:val="es-ES" w:eastAsia="en-US"/>
        </w:rPr>
        <w:t>, y constituyen prueba para demostrar las percepciones y montos que reciben los servidores públicos.</w:t>
      </w:r>
    </w:p>
    <w:p w14:paraId="14F335BF" w14:textId="77777777" w:rsidR="003F042E" w:rsidRDefault="003F042E" w:rsidP="00701F40">
      <w:pPr>
        <w:spacing w:after="0" w:line="360" w:lineRule="auto"/>
        <w:rPr>
          <w:rFonts w:eastAsia="Calibri" w:cs="Tahoma"/>
          <w:bCs/>
          <w:color w:val="FF0000"/>
          <w:lang w:val="es-ES"/>
        </w:rPr>
      </w:pPr>
    </w:p>
    <w:p w14:paraId="12392504" w14:textId="20863F3B" w:rsidR="00770D19" w:rsidRPr="00457880" w:rsidRDefault="00457880" w:rsidP="00701F40">
      <w:pPr>
        <w:spacing w:after="0" w:line="360" w:lineRule="auto"/>
        <w:rPr>
          <w:rFonts w:eastAsia="Calibri" w:cs="Tahoma"/>
          <w:bCs/>
          <w:color w:val="auto"/>
          <w:lang w:val="es-ES"/>
        </w:rPr>
      </w:pPr>
      <w:r w:rsidRPr="00457880">
        <w:rPr>
          <w:rFonts w:eastAsia="Calibri" w:cs="Tahoma"/>
          <w:bCs/>
          <w:color w:val="auto"/>
          <w:lang w:val="es-ES"/>
        </w:rPr>
        <w:t>En esa misma consecución de ideas, en relación con la información solicitada este Instituto localizo en el Portal de Información de Oficio Mexiquense (IPOMEX) del Sujeto Obligado en el artículo 92 fracción VII “El directorio de todos los servidores públicos”, que la servidora pública, Brenda Selene Hernández López es la Titular de la Unidad de Transparencia, tal como se desprende de la siguiente captura de pantalla:</w:t>
      </w:r>
    </w:p>
    <w:p w14:paraId="16FE7593" w14:textId="77777777" w:rsidR="00457880" w:rsidRDefault="00457880" w:rsidP="00701F40">
      <w:pPr>
        <w:spacing w:after="0" w:line="360" w:lineRule="auto"/>
        <w:rPr>
          <w:rFonts w:eastAsia="Calibri" w:cs="Tahoma"/>
          <w:bCs/>
          <w:color w:val="FF0000"/>
          <w:lang w:val="es-ES"/>
        </w:rPr>
      </w:pPr>
    </w:p>
    <w:p w14:paraId="55EBBD61" w14:textId="3E548ABA" w:rsidR="00457880" w:rsidRDefault="00457880" w:rsidP="00701F40">
      <w:pPr>
        <w:spacing w:after="0" w:line="360" w:lineRule="auto"/>
        <w:jc w:val="center"/>
        <w:rPr>
          <w:rFonts w:eastAsia="Calibri" w:cs="Tahoma"/>
          <w:bCs/>
          <w:color w:val="FF0000"/>
          <w:lang w:val="es-ES"/>
        </w:rPr>
      </w:pPr>
      <w:r w:rsidRPr="00457880">
        <w:rPr>
          <w:rFonts w:eastAsia="Calibri" w:cs="Tahoma"/>
          <w:bCs/>
          <w:noProof/>
          <w:color w:val="FF0000"/>
        </w:rPr>
        <w:drawing>
          <wp:inline distT="0" distB="0" distL="0" distR="0" wp14:anchorId="4C5ACEF9" wp14:editId="23214446">
            <wp:extent cx="5124014" cy="866775"/>
            <wp:effectExtent l="0" t="0" r="635" b="0"/>
            <wp:docPr id="7723276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27608" name=""/>
                    <pic:cNvPicPr/>
                  </pic:nvPicPr>
                  <pic:blipFill rotWithShape="1">
                    <a:blip r:embed="rId11"/>
                    <a:srcRect b="49892"/>
                    <a:stretch/>
                  </pic:blipFill>
                  <pic:spPr bwMode="auto">
                    <a:xfrm>
                      <a:off x="0" y="0"/>
                      <a:ext cx="5183314" cy="876806"/>
                    </a:xfrm>
                    <a:prstGeom prst="rect">
                      <a:avLst/>
                    </a:prstGeom>
                    <a:ln>
                      <a:noFill/>
                    </a:ln>
                    <a:extLst>
                      <a:ext uri="{53640926-AAD7-44D8-BBD7-CCE9431645EC}">
                        <a14:shadowObscured xmlns:a14="http://schemas.microsoft.com/office/drawing/2010/main"/>
                      </a:ext>
                    </a:extLst>
                  </pic:spPr>
                </pic:pic>
              </a:graphicData>
            </a:graphic>
          </wp:inline>
        </w:drawing>
      </w:r>
    </w:p>
    <w:p w14:paraId="447A7349" w14:textId="77777777" w:rsidR="00D35717" w:rsidRDefault="00D35717" w:rsidP="00701F40">
      <w:pPr>
        <w:spacing w:after="0" w:line="360" w:lineRule="auto"/>
      </w:pPr>
    </w:p>
    <w:p w14:paraId="6D81ED3D" w14:textId="0B407FFB" w:rsidR="009359F6" w:rsidRDefault="009359F6" w:rsidP="00701F40">
      <w:pPr>
        <w:spacing w:after="0" w:line="360" w:lineRule="auto"/>
      </w:pPr>
      <w:r w:rsidRPr="007E4F1C">
        <w:lastRenderedPageBreak/>
        <w:t xml:space="preserve">Ahora bien, es necesario precisar que el Particular no refirió de que temporalidad requería los recibos; </w:t>
      </w:r>
      <w:r>
        <w:t>para lo cual</w:t>
      </w:r>
      <w:r w:rsidRPr="007E4F1C">
        <w:t>, el Criterio Reiterado 04/2024, emitido por el Pleno de este Instituto, establece que cuando los particulares no refieran el periodo respecto de cual se requiere la información relacionada con la nómina, el Sujeto Obligado deberá entregar lo correspondiente a las dos últimas quincenas pagadas, a la fecha de presentación de la solicitud.</w:t>
      </w:r>
    </w:p>
    <w:p w14:paraId="3A872422" w14:textId="77777777" w:rsidR="009359F6" w:rsidRDefault="009359F6" w:rsidP="00701F40">
      <w:pPr>
        <w:spacing w:after="0" w:line="360" w:lineRule="auto"/>
      </w:pPr>
    </w:p>
    <w:p w14:paraId="4C859C16" w14:textId="0E575024" w:rsidR="007E4F1C" w:rsidRDefault="009359F6" w:rsidP="00701F40">
      <w:pPr>
        <w:spacing w:after="0" w:line="360" w:lineRule="auto"/>
      </w:pPr>
      <w:r>
        <w:t>Por tal supuesto</w:t>
      </w:r>
      <w:r w:rsidR="007E4F1C">
        <w:t xml:space="preserve">, se logra vislumbrar que la pretensión del ahora Recurrente es obtener </w:t>
      </w:r>
      <w:r w:rsidR="007E4F1C" w:rsidRPr="004A1ED5">
        <w:rPr>
          <w:color w:val="auto"/>
        </w:rPr>
        <w:t xml:space="preserve">los recibos </w:t>
      </w:r>
      <w:r w:rsidR="007E4F1C" w:rsidRPr="00290B4F">
        <w:rPr>
          <w:color w:val="auto"/>
        </w:rPr>
        <w:t xml:space="preserve">de nómina de la servidora pública Brenda Selene Hernández López, Titular de la </w:t>
      </w:r>
      <w:r w:rsidR="007E4F1C" w:rsidRPr="00D05E50">
        <w:rPr>
          <w:color w:val="auto"/>
        </w:rPr>
        <w:t>Unidad de Transparencia, correspondientes a la primera y segunda quincena del mes de mayo de dos mil veinticinco</w:t>
      </w:r>
      <w:r w:rsidR="007E4F1C">
        <w:rPr>
          <w:color w:val="auto"/>
        </w:rPr>
        <w:t>.</w:t>
      </w:r>
    </w:p>
    <w:p w14:paraId="611E6866" w14:textId="77777777" w:rsidR="007E4F1C" w:rsidRDefault="007E4F1C" w:rsidP="00701F40">
      <w:pPr>
        <w:spacing w:after="0" w:line="360" w:lineRule="auto"/>
        <w:rPr>
          <w:rFonts w:eastAsia="Calibri" w:cs="Tahoma"/>
          <w:bCs/>
          <w:color w:val="FF0000"/>
          <w:lang w:val="es-ES"/>
        </w:rPr>
      </w:pPr>
    </w:p>
    <w:p w14:paraId="29AA9DC8" w14:textId="332AC0DC" w:rsidR="00AB4497" w:rsidRDefault="003223CA" w:rsidP="00701F40">
      <w:pPr>
        <w:spacing w:after="0" w:line="360" w:lineRule="auto"/>
      </w:pPr>
      <w:r>
        <w:t xml:space="preserve">Establecida dicha circunstancia, se procede analizar la respuesta entregada por el Ente Recurrido para atender la solicitud, para lo cual, es necesario precisar que de las constancias que obran en el expediente, se advierte que en respuesta turno la solicitud a la </w:t>
      </w:r>
      <w:r>
        <w:rPr>
          <w:b/>
          <w:bCs/>
        </w:rPr>
        <w:t>Subdirección de Recursos Humanos;</w:t>
      </w:r>
      <w:r w:rsidR="00D35717">
        <w:rPr>
          <w:b/>
          <w:bCs/>
        </w:rPr>
        <w:t xml:space="preserve"> </w:t>
      </w:r>
      <w:r w:rsidR="00AB4497">
        <w:t>por lo que, 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 de acuerdo a las facultades, competencias y funciones-, con el objeto de que dichas áreas realicen una búsqueda exhaustiva y razonable de la información requerida.</w:t>
      </w:r>
    </w:p>
    <w:p w14:paraId="24C3E84B" w14:textId="77777777" w:rsidR="00AB4497" w:rsidRDefault="00AB4497" w:rsidP="00701F40">
      <w:pPr>
        <w:spacing w:after="0" w:line="360" w:lineRule="auto"/>
      </w:pPr>
    </w:p>
    <w:p w14:paraId="6F03CEE0" w14:textId="6BDBCB89" w:rsidR="007E4F1C" w:rsidRDefault="00AB4497" w:rsidP="00701F40">
      <w:pPr>
        <w:spacing w:after="0" w:line="360" w:lineRule="auto"/>
      </w:pPr>
      <w:r>
        <w:t xml:space="preserve"> Así, a efecto de verificar que el Sujeto Obligado cumplió con dicho procedimiento, es necesario traer a colación el</w:t>
      </w:r>
      <w:r w:rsidR="00C2605C">
        <w:t xml:space="preserve"> artículo 21 fracción I del Bando Municipal dos mil veinticinco </w:t>
      </w:r>
      <w:r w:rsidR="00C2605C">
        <w:lastRenderedPageBreak/>
        <w:t xml:space="preserve">del Ayuntamiento de Zinacantepec, por medio del cual se establece que el Presidente Municipal para el ejercicio de sus funciones, se auxiliará de diversas unidades administrativas, dependencias y organismos, dentro de los cuales se encuentra la </w:t>
      </w:r>
      <w:r w:rsidR="00C2605C" w:rsidRPr="006B2245">
        <w:rPr>
          <w:u w:val="single"/>
        </w:rPr>
        <w:t>Dirección de Administración.</w:t>
      </w:r>
    </w:p>
    <w:p w14:paraId="58B37D73" w14:textId="77777777" w:rsidR="00C2605C" w:rsidRPr="003223CA" w:rsidRDefault="00C2605C" w:rsidP="00701F40">
      <w:pPr>
        <w:spacing w:after="0" w:line="360" w:lineRule="auto"/>
        <w:rPr>
          <w:rFonts w:eastAsia="Calibri" w:cs="Tahoma"/>
          <w:color w:val="FF0000"/>
          <w:lang w:val="es-ES"/>
        </w:rPr>
      </w:pPr>
    </w:p>
    <w:p w14:paraId="0E13FC9F" w14:textId="6CF5E1E0" w:rsidR="007E4F1C" w:rsidRPr="00652E54" w:rsidRDefault="00652E54" w:rsidP="00701F40">
      <w:pPr>
        <w:spacing w:after="0" w:line="360" w:lineRule="auto"/>
        <w:rPr>
          <w:rFonts w:eastAsia="Calibri" w:cs="Tahoma"/>
          <w:bCs/>
          <w:color w:val="auto"/>
          <w:lang w:val="es-ES"/>
        </w:rPr>
      </w:pPr>
      <w:r w:rsidRPr="00652E54">
        <w:rPr>
          <w:rFonts w:eastAsia="Calibri" w:cs="Tahoma"/>
          <w:bCs/>
          <w:color w:val="auto"/>
          <w:lang w:val="es-ES"/>
        </w:rPr>
        <w:t xml:space="preserve">En esa misma consecución de ideas, el Manual General de Organización de la Administración Pública Municipal del Ayuntamiento de Zinacantepec dos mil veintidós, dos mil veinticuatro, </w:t>
      </w:r>
      <w:r w:rsidR="007554E5">
        <w:rPr>
          <w:rFonts w:eastAsia="Calibri" w:cs="Tahoma"/>
          <w:bCs/>
          <w:color w:val="auto"/>
          <w:lang w:val="es-ES"/>
        </w:rPr>
        <w:t xml:space="preserve">aún aplicable, </w:t>
      </w:r>
      <w:r w:rsidRPr="00652E54">
        <w:rPr>
          <w:rFonts w:eastAsia="Calibri" w:cs="Tahoma"/>
          <w:bCs/>
          <w:color w:val="auto"/>
          <w:lang w:val="es-ES"/>
        </w:rPr>
        <w:t xml:space="preserve">establece que la Dirección de Administración se encarga de </w:t>
      </w:r>
      <w:r w:rsidRPr="00652E54">
        <w:rPr>
          <w:color w:val="auto"/>
        </w:rPr>
        <w:t xml:space="preserve">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la cual, dentro de sus funciones se encarga entre otras cosas de </w:t>
      </w:r>
      <w:r w:rsidRPr="00652E54">
        <w:rPr>
          <w:b/>
          <w:bCs/>
          <w:color w:val="auto"/>
        </w:rPr>
        <w:t>vigilar la elaboración de las nóminas ordinarias y extraordinarias.</w:t>
      </w:r>
    </w:p>
    <w:p w14:paraId="37557D5D" w14:textId="77777777" w:rsidR="007E4F1C" w:rsidRDefault="007E4F1C" w:rsidP="00701F40">
      <w:pPr>
        <w:spacing w:after="0" w:line="360" w:lineRule="auto"/>
        <w:rPr>
          <w:rFonts w:eastAsia="Calibri" w:cs="Tahoma"/>
          <w:bCs/>
          <w:color w:val="FF0000"/>
          <w:lang w:val="es-ES"/>
        </w:rPr>
      </w:pPr>
    </w:p>
    <w:p w14:paraId="671721DD" w14:textId="61440EE3" w:rsidR="0091609E" w:rsidRDefault="0091609E" w:rsidP="00701F40">
      <w:pPr>
        <w:spacing w:after="0" w:line="360" w:lineRule="auto"/>
        <w:rPr>
          <w:rFonts w:eastAsia="Calibri" w:cs="Tahoma"/>
          <w:b/>
          <w:color w:val="auto"/>
          <w:lang w:val="es-ES"/>
        </w:rPr>
      </w:pPr>
      <w:r w:rsidRPr="0091609E">
        <w:rPr>
          <w:rFonts w:eastAsia="Calibri" w:cs="Tahoma"/>
          <w:bCs/>
          <w:color w:val="auto"/>
          <w:lang w:val="es-ES"/>
        </w:rPr>
        <w:t xml:space="preserve">En ese sentido, en el artículo 92 fracción II A “Estructura Orgánica” del Portal de Información Pública de Oficio Mexiquense establece que la Subdirección de Recursos Humanos de la Dirección de Administración dentro de sus atribuciones y funciones se encarga entre otras cosas de </w:t>
      </w:r>
      <w:r w:rsidRPr="0091609E">
        <w:rPr>
          <w:rFonts w:eastAsia="Calibri" w:cs="Tahoma"/>
          <w:b/>
          <w:color w:val="auto"/>
          <w:lang w:val="es-ES"/>
        </w:rPr>
        <w:t>administrar los recursos materiales y humanos a su cargo</w:t>
      </w:r>
      <w:r>
        <w:rPr>
          <w:rFonts w:eastAsia="Calibri" w:cs="Tahoma"/>
          <w:b/>
          <w:color w:val="auto"/>
          <w:lang w:val="es-ES"/>
        </w:rPr>
        <w:t xml:space="preserve"> y v</w:t>
      </w:r>
      <w:r w:rsidRPr="0091609E">
        <w:rPr>
          <w:rFonts w:eastAsia="Calibri" w:cs="Tahoma"/>
          <w:b/>
          <w:color w:val="auto"/>
          <w:lang w:val="es-ES"/>
        </w:rPr>
        <w:t>igilar la elaboración de nóminas ordinarias y extraordinarias</w:t>
      </w:r>
      <w:r>
        <w:rPr>
          <w:rFonts w:eastAsia="Calibri" w:cs="Tahoma"/>
          <w:b/>
          <w:color w:val="auto"/>
          <w:lang w:val="es-ES"/>
        </w:rPr>
        <w:t>.</w:t>
      </w:r>
    </w:p>
    <w:p w14:paraId="0C43DA56" w14:textId="77777777" w:rsidR="009359F6" w:rsidRDefault="009359F6" w:rsidP="00701F40">
      <w:pPr>
        <w:spacing w:after="0" w:line="360" w:lineRule="auto"/>
        <w:rPr>
          <w:rFonts w:eastAsia="Calibri" w:cs="Tahoma"/>
          <w:b/>
          <w:color w:val="auto"/>
          <w:lang w:val="es-ES"/>
        </w:rPr>
      </w:pPr>
    </w:p>
    <w:p w14:paraId="6766A8CC" w14:textId="29F3B551" w:rsidR="00CA667B" w:rsidRPr="0091609E" w:rsidRDefault="00CA667B" w:rsidP="00701F40">
      <w:pPr>
        <w:spacing w:after="0" w:line="360" w:lineRule="auto"/>
        <w:rPr>
          <w:rFonts w:eastAsia="Calibri" w:cs="Tahoma"/>
          <w:bCs/>
          <w:color w:val="auto"/>
          <w:lang w:val="es-ES"/>
        </w:rPr>
      </w:pPr>
      <w:r>
        <w:t>Así y de lo plasmado en párrafos anteriores, se logra colegir que el Sujeto Obligado cumplió con el procedimiento de búsqueda establecido en la Ley de Transparencia y Acceso a la Información Pública del Estado de México y Municipios, pues turnó la solicitud de información al área competente para conocer de lo solicitado.</w:t>
      </w:r>
    </w:p>
    <w:p w14:paraId="76841FF5" w14:textId="77777777" w:rsidR="0091609E" w:rsidRDefault="0091609E" w:rsidP="00701F40">
      <w:pPr>
        <w:spacing w:after="0" w:line="360" w:lineRule="auto"/>
        <w:rPr>
          <w:rFonts w:eastAsia="Calibri" w:cs="Tahoma"/>
          <w:bCs/>
          <w:color w:val="auto"/>
          <w:lang w:val="es-ES"/>
        </w:rPr>
      </w:pPr>
    </w:p>
    <w:p w14:paraId="58DFE6A4" w14:textId="3890D1DB" w:rsidR="00AF69E7" w:rsidRDefault="00AF69E7" w:rsidP="00701F40">
      <w:pPr>
        <w:spacing w:after="0" w:line="360" w:lineRule="auto"/>
        <w:rPr>
          <w:color w:val="auto"/>
        </w:rPr>
      </w:pPr>
      <w:r>
        <w:lastRenderedPageBreak/>
        <w:t>Ahora bien, en respuesta la</w:t>
      </w:r>
      <w:r w:rsidRPr="00AF69E7">
        <w:rPr>
          <w:b/>
          <w:bCs/>
        </w:rPr>
        <w:t xml:space="preserve"> </w:t>
      </w:r>
      <w:r w:rsidRPr="00AF69E7">
        <w:t>Subdirección de Recursos Humanos</w:t>
      </w:r>
      <w:r>
        <w:t xml:space="preserve"> en respuesta </w:t>
      </w:r>
      <w:r w:rsidRPr="004A1ED5">
        <w:rPr>
          <w:color w:val="auto"/>
        </w:rPr>
        <w:t>remitió l</w:t>
      </w:r>
      <w:r>
        <w:rPr>
          <w:color w:val="auto"/>
        </w:rPr>
        <w:t>a versión pública de los</w:t>
      </w:r>
      <w:r w:rsidRPr="004A1ED5">
        <w:rPr>
          <w:color w:val="auto"/>
        </w:rPr>
        <w:t xml:space="preserve"> recibos </w:t>
      </w:r>
      <w:r w:rsidRPr="00290B4F">
        <w:rPr>
          <w:color w:val="auto"/>
        </w:rPr>
        <w:t xml:space="preserve">de nómina de la servidora pública Brenda Selene Hernández López, Titular de la </w:t>
      </w:r>
      <w:r w:rsidRPr="00D05E50">
        <w:rPr>
          <w:color w:val="auto"/>
        </w:rPr>
        <w:t>Unidad de Transparencia, correspondientes a la primera y segunda quincena del mes de mayo de dos mil veinticinco</w:t>
      </w:r>
      <w:r>
        <w:rPr>
          <w:color w:val="auto"/>
        </w:rPr>
        <w:t xml:space="preserve">, </w:t>
      </w:r>
      <w:r w:rsidR="00C14C54">
        <w:rPr>
          <w:color w:val="auto"/>
        </w:rPr>
        <w:t>a</w:t>
      </w:r>
      <w:r>
        <w:rPr>
          <w:color w:val="auto"/>
        </w:rPr>
        <w:t>sí</w:t>
      </w:r>
      <w:r w:rsidR="00E260AE">
        <w:rPr>
          <w:color w:val="auto"/>
        </w:rPr>
        <w:t xml:space="preserve"> mismo, adjunt</w:t>
      </w:r>
      <w:r w:rsidR="00D35717">
        <w:rPr>
          <w:color w:val="auto"/>
        </w:rPr>
        <w:t>ó</w:t>
      </w:r>
      <w:r>
        <w:rPr>
          <w:color w:val="auto"/>
        </w:rPr>
        <w:t xml:space="preserve"> el cuadro de clasificación de los datos testados</w:t>
      </w:r>
      <w:r w:rsidR="00D35717">
        <w:rPr>
          <w:color w:val="auto"/>
        </w:rPr>
        <w:t>.</w:t>
      </w:r>
    </w:p>
    <w:p w14:paraId="10C65C1E" w14:textId="77777777" w:rsidR="00D35717" w:rsidRDefault="00D35717" w:rsidP="00701F40">
      <w:pPr>
        <w:spacing w:after="0" w:line="360" w:lineRule="auto"/>
        <w:rPr>
          <w:color w:val="auto"/>
        </w:rPr>
      </w:pPr>
    </w:p>
    <w:p w14:paraId="04DF9414" w14:textId="33325C2E" w:rsidR="00D35717" w:rsidRPr="00D35717" w:rsidRDefault="00D35717" w:rsidP="00701F40">
      <w:pPr>
        <w:spacing w:after="0" w:line="360" w:lineRule="auto"/>
        <w:rPr>
          <w:rFonts w:eastAsia="Times New Roman" w:cs="Times New Roman"/>
          <w:color w:val="auto"/>
          <w:lang w:eastAsia="es-ES"/>
        </w:rPr>
      </w:pPr>
      <w:r>
        <w:rPr>
          <w:rFonts w:eastAsia="Times New Roman" w:cs="Times New Roman"/>
          <w:bCs/>
          <w:color w:val="auto"/>
          <w:lang w:val="es-ES" w:eastAsia="es-ES"/>
        </w:rPr>
        <w:t xml:space="preserve">De la revisión de los recibos de nómina proporcionados, se logra vislumbrar que corresponden a los solicitados, pues son de la servidora pública requerida y de la temporalidad precisada; </w:t>
      </w:r>
      <w:r w:rsidRPr="00D35717">
        <w:rPr>
          <w:rFonts w:eastAsia="Times New Roman" w:cs="Times New Roman"/>
          <w:bCs/>
          <w:color w:val="auto"/>
          <w:lang w:val="es-ES" w:eastAsia="es-ES"/>
        </w:rPr>
        <w:t>d</w:t>
      </w:r>
      <w:r w:rsidRPr="00D35717">
        <w:rPr>
          <w:rFonts w:eastAsia="Times New Roman" w:cs="Times New Roman"/>
          <w:iCs/>
          <w:color w:val="auto"/>
          <w:lang w:eastAsia="es-ES"/>
        </w:rPr>
        <w:t>icha</w:t>
      </w:r>
      <w:r w:rsidRPr="00D35717">
        <w:rPr>
          <w:rFonts w:eastAsia="Times New Roman" w:cs="Times New Roman"/>
          <w:color w:val="auto"/>
          <w:lang w:val="es-ES" w:eastAsia="es-ES"/>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0406B22" w14:textId="77777777" w:rsidR="00D35717" w:rsidRPr="00D35717" w:rsidRDefault="00D35717" w:rsidP="00701F40">
      <w:pPr>
        <w:spacing w:after="0" w:line="360" w:lineRule="auto"/>
        <w:rPr>
          <w:rFonts w:eastAsia="Times New Roman" w:cs="Times New Roman"/>
          <w:color w:val="auto"/>
          <w:lang w:val="es-ES" w:eastAsia="es-ES"/>
        </w:rPr>
      </w:pPr>
    </w:p>
    <w:p w14:paraId="125AB3BD" w14:textId="77777777" w:rsidR="00D35717" w:rsidRPr="00D35717" w:rsidRDefault="00D35717" w:rsidP="00701F40">
      <w:pPr>
        <w:spacing w:after="0" w:line="360" w:lineRule="auto"/>
        <w:rPr>
          <w:rFonts w:eastAsia="Times New Roman" w:cs="Tahoma"/>
          <w:i/>
          <w:iCs/>
          <w:color w:val="auto"/>
          <w:sz w:val="20"/>
          <w:szCs w:val="20"/>
          <w:lang w:val="es-ES" w:eastAsia="es-ES"/>
        </w:rPr>
      </w:pPr>
      <w:r w:rsidRPr="00D35717">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D35717">
        <w:rPr>
          <w:rFonts w:eastAsia="Times New Roman" w:cs="Tahoma"/>
          <w:i/>
          <w:iCs/>
          <w:color w:val="auto"/>
          <w:szCs w:val="24"/>
          <w:lang w:val="es-ES" w:eastAsia="es-ES"/>
        </w:rPr>
        <w:t>ad hoc</w:t>
      </w:r>
      <w:r w:rsidRPr="00D35717">
        <w:rPr>
          <w:rFonts w:eastAsia="Times New Roman" w:cs="Tahoma"/>
          <w:color w:val="auto"/>
          <w:szCs w:val="24"/>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3CAE0D53" w14:textId="77777777" w:rsidR="00D35717" w:rsidRPr="00D35717" w:rsidRDefault="00D35717" w:rsidP="00701F40">
      <w:pPr>
        <w:spacing w:after="0" w:line="360" w:lineRule="auto"/>
        <w:rPr>
          <w:rFonts w:eastAsia="Calibri" w:cs="Times New Roman"/>
          <w:color w:val="000000"/>
          <w:lang w:eastAsia="en-US"/>
        </w:rPr>
      </w:pPr>
    </w:p>
    <w:p w14:paraId="3F599B95" w14:textId="5BF1727A" w:rsidR="00D35717" w:rsidRDefault="00D35717" w:rsidP="00701F40">
      <w:pPr>
        <w:spacing w:after="0" w:line="360" w:lineRule="auto"/>
        <w:rPr>
          <w:rFonts w:eastAsia="Times New Roman" w:cs="Tahoma"/>
          <w:color w:val="0D0D0D"/>
          <w:lang w:val="es-ES" w:eastAsia="es-ES"/>
        </w:rPr>
      </w:pPr>
      <w:r w:rsidRPr="00D35717">
        <w:rPr>
          <w:rFonts w:eastAsia="Times New Roman" w:cs="Tahoma"/>
          <w:color w:val="0D0D0D"/>
          <w:lang w:val="es-ES" w:eastAsia="es-ES"/>
        </w:rPr>
        <w:t>De tales circunstancias, se concluye que los sujetos obligados únicamente se encuentran constreñidos a proporcionar la información que dé cuenta de lo peticionado, como obre en sus archivos, sin tener que elaborarlos a las necesidades del Recurrente;</w:t>
      </w:r>
      <w:r>
        <w:rPr>
          <w:rFonts w:eastAsia="Times New Roman" w:cs="Tahoma"/>
          <w:color w:val="0D0D0D"/>
          <w:lang w:val="es-ES" w:eastAsia="es-ES"/>
        </w:rPr>
        <w:t xml:space="preserve"> lo cual aconteció, pues proporcionó los documentos que daban cuenta de la información solicitada.</w:t>
      </w:r>
    </w:p>
    <w:p w14:paraId="1E09A699" w14:textId="77777777" w:rsidR="00701F40" w:rsidRDefault="00701F40" w:rsidP="00701F40">
      <w:pPr>
        <w:spacing w:after="0" w:line="360" w:lineRule="auto"/>
        <w:rPr>
          <w:rFonts w:eastAsia="Times New Roman" w:cs="Tahoma"/>
          <w:color w:val="0D0D0D"/>
          <w:lang w:val="es-ES" w:eastAsia="es-ES"/>
        </w:rPr>
      </w:pPr>
    </w:p>
    <w:p w14:paraId="6971BEB5" w14:textId="0CF991CD" w:rsidR="00C67395" w:rsidRPr="006D7259" w:rsidRDefault="00701F40" w:rsidP="00701F40">
      <w:pPr>
        <w:spacing w:after="0" w:line="360" w:lineRule="auto"/>
        <w:rPr>
          <w:rFonts w:eastAsia="Calibri" w:cs="Tahoma"/>
          <w:bCs/>
          <w:color w:val="auto"/>
          <w:lang w:val="es-ES"/>
        </w:rPr>
      </w:pPr>
      <w:r>
        <w:t xml:space="preserve">Además, durante la sustanciación del Recurso de Revisión el Sujeto Obligado remitió el </w:t>
      </w:r>
      <w:r>
        <w:rPr>
          <w:color w:val="auto"/>
        </w:rPr>
        <w:t>acta CT/ZIN/EXT/0011/2025 de la Décima Primera Sesión Extraordinaria del Comité de Transparencia de Zinacantepec, por medio de la cual se emitió el acuerdo CT</w:t>
      </w:r>
      <w:r>
        <w:t>/S11/EXT/AC02/2025 mediante el que se aprobó la versión pública de los recibos de nómina remitidos en respuesta y  valido la clasificación de los siguientes datos.</w:t>
      </w:r>
    </w:p>
    <w:p w14:paraId="6E35F040" w14:textId="77777777" w:rsidR="00C67395" w:rsidRDefault="00C67395" w:rsidP="00701F40">
      <w:pPr>
        <w:spacing w:after="0" w:line="360" w:lineRule="auto"/>
        <w:rPr>
          <w:rFonts w:eastAsia="Calibri" w:cs="Tahoma"/>
          <w:bCs/>
          <w:color w:val="FF0000"/>
          <w:lang w:val="es-ES"/>
        </w:rPr>
      </w:pPr>
    </w:p>
    <w:p w14:paraId="48A06EEE" w14:textId="77777777" w:rsidR="006D7259" w:rsidRPr="001A5CE2" w:rsidRDefault="006D7259" w:rsidP="00701F40">
      <w:pPr>
        <w:pStyle w:val="Prrafodelista"/>
        <w:numPr>
          <w:ilvl w:val="0"/>
          <w:numId w:val="24"/>
        </w:numPr>
        <w:spacing w:line="360" w:lineRule="auto"/>
        <w:rPr>
          <w:color w:val="auto"/>
        </w:rPr>
      </w:pPr>
      <w:r w:rsidRPr="001A5CE2">
        <w:rPr>
          <w:color w:val="auto"/>
        </w:rPr>
        <w:t>Clave Única de Registro de Población;</w:t>
      </w:r>
    </w:p>
    <w:p w14:paraId="43A42B87" w14:textId="77777777" w:rsidR="006D7259" w:rsidRPr="001A5CE2" w:rsidRDefault="006D7259" w:rsidP="00701F40">
      <w:pPr>
        <w:pStyle w:val="Prrafodelista"/>
        <w:numPr>
          <w:ilvl w:val="0"/>
          <w:numId w:val="24"/>
        </w:numPr>
        <w:spacing w:line="360" w:lineRule="auto"/>
        <w:rPr>
          <w:color w:val="auto"/>
        </w:rPr>
      </w:pPr>
      <w:r w:rsidRPr="001A5CE2">
        <w:rPr>
          <w:color w:val="auto"/>
        </w:rPr>
        <w:t>Registro Federal de Contribuyentes del servidor público;</w:t>
      </w:r>
    </w:p>
    <w:p w14:paraId="26DE23B2" w14:textId="77777777" w:rsidR="006D7259" w:rsidRPr="001A5CE2" w:rsidRDefault="006D7259" w:rsidP="00701F40">
      <w:pPr>
        <w:pStyle w:val="Prrafodelista"/>
        <w:numPr>
          <w:ilvl w:val="0"/>
          <w:numId w:val="24"/>
        </w:numPr>
        <w:spacing w:line="360" w:lineRule="auto"/>
        <w:rPr>
          <w:color w:val="auto"/>
        </w:rPr>
      </w:pPr>
      <w:r w:rsidRPr="001A5CE2">
        <w:rPr>
          <w:color w:val="auto"/>
        </w:rPr>
        <w:t>Número de seguridad social del Instituto de Seguridad Social del Estado de México y Municipios;</w:t>
      </w:r>
    </w:p>
    <w:p w14:paraId="76AB94FF" w14:textId="493F9258" w:rsidR="006D7259" w:rsidRPr="001A5CE2" w:rsidRDefault="006D7259" w:rsidP="00701F40">
      <w:pPr>
        <w:pStyle w:val="Prrafodelista"/>
        <w:numPr>
          <w:ilvl w:val="0"/>
          <w:numId w:val="24"/>
        </w:numPr>
        <w:spacing w:line="360" w:lineRule="auto"/>
        <w:rPr>
          <w:rFonts w:eastAsia="Calibri" w:cs="Tahoma"/>
          <w:bCs/>
          <w:color w:val="auto"/>
          <w:lang w:val="es-ES"/>
        </w:rPr>
      </w:pPr>
      <w:r w:rsidRPr="001A5CE2">
        <w:rPr>
          <w:color w:val="auto"/>
        </w:rPr>
        <w:t>Código bidimensional o QR;</w:t>
      </w:r>
    </w:p>
    <w:p w14:paraId="71592011" w14:textId="1A9D4621" w:rsidR="006D7259" w:rsidRPr="001A5CE2" w:rsidRDefault="006D7259" w:rsidP="00701F40">
      <w:pPr>
        <w:pStyle w:val="Prrafodelista"/>
        <w:numPr>
          <w:ilvl w:val="0"/>
          <w:numId w:val="24"/>
        </w:numPr>
        <w:spacing w:line="360" w:lineRule="auto"/>
        <w:rPr>
          <w:color w:val="auto"/>
        </w:rPr>
      </w:pPr>
      <w:r w:rsidRPr="001A5CE2">
        <w:rPr>
          <w:color w:val="auto"/>
        </w:rPr>
        <w:t>Sellos digitales del emisor y del Servicio de Administración Tributaria y cadena original del complemento de certificación digital del órgano previamente señalad;</w:t>
      </w:r>
    </w:p>
    <w:p w14:paraId="5A45AD2E" w14:textId="042E6182" w:rsidR="006D7259" w:rsidRPr="001A5CE2" w:rsidRDefault="006D7259" w:rsidP="00701F40">
      <w:pPr>
        <w:pStyle w:val="Prrafodelista"/>
        <w:numPr>
          <w:ilvl w:val="0"/>
          <w:numId w:val="24"/>
        </w:numPr>
        <w:spacing w:line="360" w:lineRule="auto"/>
        <w:rPr>
          <w:color w:val="auto"/>
        </w:rPr>
      </w:pPr>
      <w:r w:rsidRPr="001A5CE2">
        <w:rPr>
          <w:color w:val="auto"/>
        </w:rPr>
        <w:t>Número de trabajador; y</w:t>
      </w:r>
    </w:p>
    <w:p w14:paraId="6EF3EDC4" w14:textId="5C3667D4" w:rsidR="006D7259" w:rsidRPr="001A5CE2" w:rsidRDefault="006D7259" w:rsidP="00701F40">
      <w:pPr>
        <w:pStyle w:val="Prrafodelista"/>
        <w:numPr>
          <w:ilvl w:val="0"/>
          <w:numId w:val="24"/>
        </w:numPr>
        <w:spacing w:line="360" w:lineRule="auto"/>
        <w:rPr>
          <w:rFonts w:eastAsia="Calibri" w:cs="Tahoma"/>
          <w:bCs/>
          <w:color w:val="auto"/>
          <w:lang w:val="es-ES"/>
        </w:rPr>
      </w:pPr>
      <w:r w:rsidRPr="001A5CE2">
        <w:rPr>
          <w:color w:val="auto"/>
        </w:rPr>
        <w:t>Cuenta Bancaria</w:t>
      </w:r>
    </w:p>
    <w:p w14:paraId="1A7D64A9" w14:textId="77777777" w:rsidR="006D7259" w:rsidRDefault="006D7259" w:rsidP="00701F40">
      <w:pPr>
        <w:spacing w:after="0" w:line="360" w:lineRule="auto"/>
        <w:rPr>
          <w:rFonts w:eastAsia="Calibri" w:cs="Tahoma"/>
          <w:bCs/>
          <w:color w:val="auto"/>
          <w:lang w:val="es-ES"/>
        </w:rPr>
      </w:pPr>
    </w:p>
    <w:p w14:paraId="6E763280" w14:textId="77777777" w:rsidR="006D7259" w:rsidRPr="006D7259" w:rsidRDefault="006D7259" w:rsidP="00701F40">
      <w:pPr>
        <w:widowControl w:val="0"/>
        <w:spacing w:after="0" w:line="360" w:lineRule="auto"/>
        <w:rPr>
          <w:rFonts w:eastAsia="Calibri" w:cs="Times New Roman"/>
          <w:bCs/>
          <w:color w:val="auto"/>
          <w:lang w:val="es-ES" w:eastAsia="es-ES"/>
        </w:rPr>
      </w:pPr>
      <w:r w:rsidRPr="006D7259">
        <w:rPr>
          <w:rFonts w:eastAsia="Calibri" w:cs="Times New Roman"/>
          <w:bCs/>
          <w:color w:val="auto"/>
          <w:lang w:val="es-ES" w:eastAsia="es-ES"/>
        </w:rPr>
        <w:t>Al respecto, resulta procedente analizar si dichos datos son públicos o privados; en principio, cabe mencionar que el artículo 143, fracción I,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477C5315" w14:textId="77777777" w:rsidR="006D7259" w:rsidRDefault="006D7259" w:rsidP="00701F40">
      <w:pPr>
        <w:widowControl w:val="0"/>
        <w:spacing w:after="0" w:line="360" w:lineRule="auto"/>
        <w:rPr>
          <w:rFonts w:eastAsia="Calibri" w:cs="Times New Roman"/>
          <w:bCs/>
          <w:color w:val="FF0000"/>
          <w:lang w:val="es-ES" w:eastAsia="es-ES"/>
        </w:rPr>
      </w:pPr>
    </w:p>
    <w:p w14:paraId="0C4323A8" w14:textId="77777777" w:rsidR="00701F40" w:rsidRPr="006D7259" w:rsidRDefault="00701F40" w:rsidP="00701F40">
      <w:pPr>
        <w:widowControl w:val="0"/>
        <w:spacing w:after="0" w:line="360" w:lineRule="auto"/>
        <w:rPr>
          <w:rFonts w:eastAsia="Calibri" w:cs="Times New Roman"/>
          <w:bCs/>
          <w:color w:val="FF0000"/>
          <w:lang w:val="es-ES" w:eastAsia="es-ES"/>
        </w:rPr>
      </w:pPr>
    </w:p>
    <w:p w14:paraId="078C2CC4" w14:textId="77777777" w:rsidR="006D7259" w:rsidRPr="006D7259" w:rsidRDefault="006D7259" w:rsidP="00701F40">
      <w:pPr>
        <w:widowControl w:val="0"/>
        <w:spacing w:after="0" w:line="360" w:lineRule="auto"/>
        <w:rPr>
          <w:rFonts w:eastAsia="Calibri" w:cs="Times New Roman"/>
          <w:bCs/>
          <w:color w:val="auto"/>
          <w:lang w:val="es-ES" w:eastAsia="es-ES"/>
        </w:rPr>
      </w:pPr>
      <w:r w:rsidRPr="006D7259">
        <w:rPr>
          <w:rFonts w:eastAsia="Calibri" w:cs="Times New Roman"/>
          <w:bCs/>
          <w:color w:val="auto"/>
          <w:lang w:val="es-ES" w:eastAsia="es-ES"/>
        </w:rPr>
        <w:t xml:space="preserve">Asimismo, el artículo 145 de la de la Ley previamente citada, prevé que para que los Sujetos Obligados puedan permitir el acceso a la información confidencial, requieren obtener el </w:t>
      </w:r>
      <w:r w:rsidRPr="006D7259">
        <w:rPr>
          <w:rFonts w:eastAsia="Calibri" w:cs="Times New Roman"/>
          <w:bCs/>
          <w:color w:val="auto"/>
          <w:lang w:val="es-ES" w:eastAsia="es-ES"/>
        </w:rPr>
        <w:lastRenderedPageBreak/>
        <w:t>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79E1067" w14:textId="77777777" w:rsidR="006D7259" w:rsidRPr="006D7259" w:rsidRDefault="006D7259" w:rsidP="00701F40">
      <w:pPr>
        <w:widowControl w:val="0"/>
        <w:spacing w:after="0" w:line="360" w:lineRule="auto"/>
        <w:rPr>
          <w:rFonts w:eastAsia="Calibri" w:cs="Times New Roman"/>
          <w:bCs/>
          <w:color w:val="auto"/>
          <w:lang w:val="es-ES" w:eastAsia="es-ES"/>
        </w:rPr>
      </w:pPr>
    </w:p>
    <w:p w14:paraId="75E817E8" w14:textId="77777777" w:rsidR="006D7259" w:rsidRPr="006D7259" w:rsidRDefault="006D7259" w:rsidP="00701F40">
      <w:pPr>
        <w:widowControl w:val="0"/>
        <w:spacing w:after="0" w:line="360" w:lineRule="auto"/>
        <w:rPr>
          <w:rFonts w:eastAsia="Calibri" w:cs="Times New Roman"/>
          <w:bCs/>
          <w:color w:val="auto"/>
          <w:lang w:val="es-ES" w:eastAsia="es-ES"/>
        </w:rPr>
      </w:pPr>
      <w:r w:rsidRPr="006D7259">
        <w:rPr>
          <w:rFonts w:eastAsia="Calibri" w:cs="Times New Roman"/>
          <w:bCs/>
          <w:color w:val="auto"/>
          <w:lang w:val="es-ES" w:eastAsia="es-ES"/>
        </w:rPr>
        <w:t>En términos de lo expuesto, la documentación y aquellos datos que se consideren confidenciales, serán una limitante del derecho de acceso a la información, siempre y cuando:</w:t>
      </w:r>
    </w:p>
    <w:p w14:paraId="63EA0CF9" w14:textId="77777777" w:rsidR="006D7259" w:rsidRPr="006D7259" w:rsidRDefault="006D7259" w:rsidP="00701F40">
      <w:pPr>
        <w:widowControl w:val="0"/>
        <w:spacing w:after="0" w:line="360" w:lineRule="auto"/>
        <w:rPr>
          <w:rFonts w:eastAsia="Calibri" w:cs="Times New Roman"/>
          <w:bCs/>
          <w:color w:val="FF0000"/>
          <w:lang w:val="es-ES" w:eastAsia="es-ES"/>
        </w:rPr>
      </w:pPr>
    </w:p>
    <w:p w14:paraId="2500A9AA" w14:textId="77777777" w:rsidR="006D7259" w:rsidRPr="006D7259" w:rsidRDefault="006D7259" w:rsidP="00701F40">
      <w:pPr>
        <w:widowControl w:val="0"/>
        <w:numPr>
          <w:ilvl w:val="1"/>
          <w:numId w:val="25"/>
        </w:numPr>
        <w:spacing w:after="0" w:line="360" w:lineRule="auto"/>
        <w:contextualSpacing/>
        <w:rPr>
          <w:rFonts w:eastAsia="Calibri" w:cs="Times New Roman"/>
          <w:bCs/>
          <w:color w:val="auto"/>
          <w:lang w:val="es-ES" w:eastAsia="es-ES"/>
        </w:rPr>
      </w:pPr>
      <w:r w:rsidRPr="006D7259">
        <w:rPr>
          <w:rFonts w:eastAsia="Calibri" w:cs="Times New Roman"/>
          <w:bCs/>
          <w:color w:val="auto"/>
          <w:lang w:val="es-ES" w:eastAsia="es-ES"/>
        </w:rPr>
        <w:t xml:space="preserve">Se trate de datos personales o información privada; esto es, información concerniente a una persona física o jurídico colectiva y que esta sea identificada o identificable. </w:t>
      </w:r>
    </w:p>
    <w:p w14:paraId="2579A63E" w14:textId="77777777" w:rsidR="006D7259" w:rsidRPr="006D7259" w:rsidRDefault="006D7259" w:rsidP="00701F40">
      <w:pPr>
        <w:widowControl w:val="0"/>
        <w:spacing w:after="0" w:line="360" w:lineRule="auto"/>
        <w:rPr>
          <w:rFonts w:eastAsia="Calibri" w:cs="Times New Roman"/>
          <w:bCs/>
          <w:color w:val="auto"/>
          <w:lang w:val="es-ES" w:eastAsia="es-ES"/>
        </w:rPr>
      </w:pPr>
    </w:p>
    <w:p w14:paraId="46EB56F0" w14:textId="77777777" w:rsidR="006D7259" w:rsidRPr="006D7259" w:rsidRDefault="006D7259" w:rsidP="00701F40">
      <w:pPr>
        <w:widowControl w:val="0"/>
        <w:numPr>
          <w:ilvl w:val="1"/>
          <w:numId w:val="25"/>
        </w:numPr>
        <w:spacing w:after="0" w:line="360" w:lineRule="auto"/>
        <w:contextualSpacing/>
        <w:rPr>
          <w:rFonts w:eastAsia="Calibri" w:cs="Times New Roman"/>
          <w:bCs/>
          <w:color w:val="auto"/>
          <w:lang w:val="es-ES" w:eastAsia="es-ES"/>
        </w:rPr>
      </w:pPr>
      <w:r w:rsidRPr="006D7259">
        <w:rPr>
          <w:rFonts w:eastAsia="Calibri" w:cs="Times New Roman"/>
          <w:bCs/>
          <w:color w:val="auto"/>
          <w:lang w:val="es-ES" w:eastAsia="es-ES"/>
        </w:rPr>
        <w:t>Para la difusión de los datos, se requiera el consentimiento del titular.</w:t>
      </w:r>
    </w:p>
    <w:p w14:paraId="4D731ACA" w14:textId="77777777" w:rsidR="006D7259" w:rsidRPr="006D7259" w:rsidRDefault="006D7259" w:rsidP="00701F40">
      <w:pPr>
        <w:widowControl w:val="0"/>
        <w:spacing w:after="0" w:line="360" w:lineRule="auto"/>
        <w:rPr>
          <w:rFonts w:eastAsia="Calibri" w:cs="Times New Roman"/>
          <w:bCs/>
          <w:color w:val="FF0000"/>
          <w:lang w:val="es-ES" w:eastAsia="es-ES"/>
        </w:rPr>
      </w:pPr>
    </w:p>
    <w:p w14:paraId="53D79CE9" w14:textId="77777777" w:rsidR="006D7259" w:rsidRPr="006D7259" w:rsidRDefault="006D7259" w:rsidP="00701F40">
      <w:pPr>
        <w:widowControl w:val="0"/>
        <w:spacing w:after="0" w:line="360" w:lineRule="auto"/>
        <w:rPr>
          <w:rFonts w:eastAsia="Calibri" w:cs="Times New Roman"/>
          <w:bCs/>
          <w:color w:val="auto"/>
          <w:lang w:val="es-ES" w:eastAsia="es-ES"/>
        </w:rPr>
      </w:pPr>
      <w:r w:rsidRPr="006D7259">
        <w:rPr>
          <w:rFonts w:eastAsia="Calibri" w:cs="Times New Roman"/>
          <w:bCs/>
          <w:color w:val="auto"/>
          <w:lang w:val="es-ES" w:eastAsia="es-ES"/>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11AB7535" w14:textId="77777777" w:rsidR="006D7259" w:rsidRPr="006D7259" w:rsidRDefault="006D7259" w:rsidP="00701F40">
      <w:pPr>
        <w:widowControl w:val="0"/>
        <w:spacing w:after="0" w:line="360" w:lineRule="auto"/>
        <w:rPr>
          <w:rFonts w:eastAsia="Calibri" w:cs="Times New Roman"/>
          <w:bCs/>
          <w:color w:val="FF0000"/>
          <w:lang w:val="es-ES" w:eastAsia="es-ES"/>
        </w:rPr>
      </w:pPr>
    </w:p>
    <w:p w14:paraId="79BC2E91" w14:textId="77777777" w:rsidR="006D7259" w:rsidRPr="006D7259" w:rsidRDefault="006D7259" w:rsidP="00701F40">
      <w:pPr>
        <w:widowControl w:val="0"/>
        <w:spacing w:after="0" w:line="360" w:lineRule="auto"/>
        <w:rPr>
          <w:rFonts w:eastAsia="Calibri" w:cs="Times New Roman"/>
          <w:bCs/>
          <w:color w:val="auto"/>
          <w:lang w:val="es-ES" w:eastAsia="es-ES"/>
        </w:rPr>
      </w:pPr>
      <w:r w:rsidRPr="006D7259">
        <w:rPr>
          <w:rFonts w:eastAsia="Calibri" w:cs="Times New Roman"/>
          <w:bCs/>
          <w:color w:val="auto"/>
          <w:lang w:val="es-ES" w:eastAsia="es-ES"/>
        </w:rPr>
        <w:t>Además, en el artículo 5° de dicho ordenamiento jurídico, establece que es la Ley aplicable para todo tratamiento de datos personales.</w:t>
      </w:r>
    </w:p>
    <w:p w14:paraId="43537958" w14:textId="77777777" w:rsidR="006D7259" w:rsidRPr="006D7259" w:rsidRDefault="006D7259" w:rsidP="00701F40">
      <w:pPr>
        <w:widowControl w:val="0"/>
        <w:spacing w:after="0" w:line="360" w:lineRule="auto"/>
        <w:rPr>
          <w:rFonts w:eastAsia="Calibri" w:cs="Times New Roman"/>
          <w:bCs/>
          <w:color w:val="auto"/>
          <w:lang w:val="es-ES" w:eastAsia="es-ES"/>
        </w:rPr>
      </w:pPr>
    </w:p>
    <w:p w14:paraId="74630ACB" w14:textId="2D79D054" w:rsidR="006D7259" w:rsidRDefault="006D7259" w:rsidP="00701F40">
      <w:pPr>
        <w:widowControl w:val="0"/>
        <w:spacing w:after="0" w:line="360" w:lineRule="auto"/>
        <w:rPr>
          <w:rFonts w:eastAsia="Calibri" w:cs="Times New Roman"/>
          <w:bCs/>
          <w:color w:val="auto"/>
          <w:lang w:val="es-ES" w:eastAsia="es-ES"/>
        </w:rPr>
      </w:pPr>
      <w:r w:rsidRPr="006D7259">
        <w:rPr>
          <w:rFonts w:eastAsia="Calibri" w:cs="Times New Roman"/>
          <w:bCs/>
          <w:color w:val="auto"/>
          <w:lang w:val="es-ES"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analizarán si los datos mencionados, son confidenciales o públicos.</w:t>
      </w:r>
    </w:p>
    <w:p w14:paraId="6507FC19" w14:textId="77777777" w:rsidR="006D7259" w:rsidRDefault="006D7259" w:rsidP="00701F40">
      <w:pPr>
        <w:widowControl w:val="0"/>
        <w:spacing w:after="0" w:line="360" w:lineRule="auto"/>
        <w:rPr>
          <w:rFonts w:eastAsia="Calibri" w:cs="Times New Roman"/>
          <w:bCs/>
          <w:color w:val="auto"/>
          <w:lang w:val="es-ES" w:eastAsia="es-ES"/>
        </w:rPr>
      </w:pPr>
    </w:p>
    <w:p w14:paraId="4F9859CC" w14:textId="673D35DB" w:rsidR="001909C2" w:rsidRPr="001909C2" w:rsidRDefault="001909C2" w:rsidP="00701F40">
      <w:pPr>
        <w:widowControl w:val="0"/>
        <w:numPr>
          <w:ilvl w:val="0"/>
          <w:numId w:val="26"/>
        </w:numPr>
        <w:spacing w:after="0" w:line="360" w:lineRule="auto"/>
        <w:contextualSpacing/>
        <w:rPr>
          <w:rFonts w:eastAsia="Calibri" w:cs="Times New Roman"/>
          <w:b/>
          <w:color w:val="auto"/>
          <w:lang w:eastAsia="en-US"/>
        </w:rPr>
      </w:pPr>
      <w:r w:rsidRPr="001909C2">
        <w:rPr>
          <w:rFonts w:eastAsia="Calibri" w:cs="Times New Roman"/>
          <w:b/>
          <w:color w:val="auto"/>
          <w:lang w:eastAsia="en-US"/>
        </w:rPr>
        <w:t>Número de trabajador</w:t>
      </w:r>
    </w:p>
    <w:p w14:paraId="1506BCC1" w14:textId="77777777" w:rsidR="00C14C54" w:rsidRDefault="00C14C54" w:rsidP="00701F40">
      <w:pPr>
        <w:widowControl w:val="0"/>
        <w:spacing w:after="0" w:line="360" w:lineRule="auto"/>
      </w:pPr>
    </w:p>
    <w:p w14:paraId="27F4EB69" w14:textId="162498CD" w:rsidR="006D7259" w:rsidRDefault="00C14C54" w:rsidP="00701F40">
      <w:pPr>
        <w:widowControl w:val="0"/>
        <w:spacing w:after="0" w:line="360" w:lineRule="auto"/>
      </w:pPr>
      <w:r>
        <w:t>En relación, con el número de empleado, clave de trabajo de los servidores públicos o su equivalente, independencia del nombre que reciba, constituye un instrumento de control interno que permite a las dependencias y entidades identificar a sus trabajadores y a estos les facilita la realización de gestiones en su carácter de empleado.</w:t>
      </w:r>
    </w:p>
    <w:p w14:paraId="68E00FC5" w14:textId="77777777" w:rsidR="00C14C54" w:rsidRDefault="00C14C54" w:rsidP="00701F40">
      <w:pPr>
        <w:widowControl w:val="0"/>
        <w:spacing w:after="0" w:line="360" w:lineRule="auto"/>
      </w:pPr>
    </w:p>
    <w:p w14:paraId="3D119279" w14:textId="7114376C" w:rsidR="00C14C54" w:rsidRDefault="00C14C54" w:rsidP="00701F40">
      <w:pPr>
        <w:widowControl w:val="0"/>
        <w:spacing w:after="0" w:line="360" w:lineRule="auto"/>
      </w:pPr>
      <w: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07D88043" w14:textId="77777777" w:rsidR="00C14C54" w:rsidRDefault="00C14C54" w:rsidP="00701F40">
      <w:pPr>
        <w:widowControl w:val="0"/>
        <w:spacing w:after="0" w:line="360" w:lineRule="auto"/>
      </w:pPr>
    </w:p>
    <w:p w14:paraId="54A84DB0" w14:textId="582ADD1B" w:rsidR="00C14C54" w:rsidRDefault="00C14C54" w:rsidP="00701F40">
      <w:pPr>
        <w:widowControl w:val="0"/>
        <w:spacing w:after="0" w:line="360" w:lineRule="auto"/>
      </w:pPr>
      <w:r>
        <w:t xml:space="preserve">Lo anterior, toma sustento en el Criterio de Interpretación, de la Segunda Época, con número de registro SO/006/2019, emitido por el Instituto Nacional de Transparencia, Acceso a la </w:t>
      </w:r>
      <w:r>
        <w:lastRenderedPageBreak/>
        <w:t>Información y Protección de Datos Personales, que establece lo siguiente:</w:t>
      </w:r>
    </w:p>
    <w:p w14:paraId="7113646C" w14:textId="77777777" w:rsidR="00C14C54" w:rsidRDefault="00C14C54" w:rsidP="00701F40">
      <w:pPr>
        <w:widowControl w:val="0"/>
        <w:spacing w:after="0" w:line="360" w:lineRule="auto"/>
      </w:pPr>
    </w:p>
    <w:p w14:paraId="7DBF5D04" w14:textId="2D2C3566" w:rsidR="00C14C54" w:rsidRPr="00C14C54" w:rsidRDefault="00C14C54" w:rsidP="00701F40">
      <w:pPr>
        <w:spacing w:after="0" w:line="360" w:lineRule="auto"/>
        <w:ind w:left="567" w:right="567"/>
        <w:rPr>
          <w:rFonts w:eastAsia="Times New Roman" w:cs="Arial"/>
          <w:bCs/>
          <w:i/>
          <w:iCs/>
          <w:color w:val="auto"/>
          <w:sz w:val="20"/>
          <w:lang w:eastAsia="es-ES"/>
        </w:rPr>
      </w:pPr>
      <w:r w:rsidRPr="00C14C54">
        <w:rPr>
          <w:rFonts w:eastAsia="Times New Roman" w:cs="Arial"/>
          <w:b/>
          <w:i/>
          <w:iCs/>
          <w:color w:val="auto"/>
          <w:sz w:val="20"/>
          <w:lang w:eastAsia="es-ES"/>
        </w:rPr>
        <w:t>“Número de empleado.</w:t>
      </w:r>
      <w:r w:rsidRPr="00C14C54">
        <w:rPr>
          <w:rFonts w:eastAsia="Times New Roman" w:cs="Arial"/>
          <w:bCs/>
          <w:i/>
          <w:iCs/>
          <w:color w:val="auto"/>
          <w:sz w:val="20"/>
          <w:lang w:eastAsia="es-E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8AC9924" w14:textId="77777777" w:rsidR="00C14C54" w:rsidRDefault="00C14C54" w:rsidP="00701F40">
      <w:pPr>
        <w:widowControl w:val="0"/>
        <w:spacing w:after="0" w:line="360" w:lineRule="auto"/>
      </w:pPr>
    </w:p>
    <w:p w14:paraId="7D7A2247" w14:textId="3807A59A" w:rsidR="00C14C54" w:rsidRDefault="00C14C54" w:rsidP="00701F40">
      <w:pPr>
        <w:widowControl w:val="0"/>
        <w:spacing w:after="0" w:line="360" w:lineRule="auto"/>
      </w:pPr>
      <w:r>
        <w:t>Así, se colige que solamente procederá la clasificación del número de empleado, cuando se integre con datos personales de los servidores públicos o funcione como clave de acceso que no requiera una contraseña para ingresar a sistemas o bases de datos.</w:t>
      </w:r>
    </w:p>
    <w:p w14:paraId="59047DC6" w14:textId="77777777" w:rsidR="00C14C54" w:rsidRDefault="00C14C54" w:rsidP="00701F40">
      <w:pPr>
        <w:widowControl w:val="0"/>
        <w:spacing w:after="0" w:line="360" w:lineRule="auto"/>
      </w:pPr>
    </w:p>
    <w:p w14:paraId="19250B74" w14:textId="0E8E07EC" w:rsidR="00C14C54" w:rsidRDefault="00C14C54" w:rsidP="00701F40">
      <w:pPr>
        <w:widowControl w:val="0"/>
        <w:spacing w:after="0" w:line="360" w:lineRule="auto"/>
      </w:pPr>
      <w:r>
        <w:t xml:space="preserve">En el presente caso, el Sujeto Obligado indicó que el número de empleado se integra por datos personales de los trabajadores y funciona </w:t>
      </w:r>
      <w:r w:rsidR="00F362DF">
        <w:t>como clave de acceso para ingresar a sistemas o bases de datos personales, por lo que en el caso en concreto procede su clasificación en términos de lo previsto en el artículo 143, fracción I de la Ley de Transparencia y Acceso a la Información Pública del Estado de México y Municipios.</w:t>
      </w:r>
    </w:p>
    <w:p w14:paraId="4919B9F4" w14:textId="77777777" w:rsidR="00F362DF" w:rsidRDefault="00F362DF" w:rsidP="00701F40">
      <w:pPr>
        <w:widowControl w:val="0"/>
        <w:spacing w:after="0" w:line="360" w:lineRule="auto"/>
      </w:pPr>
    </w:p>
    <w:p w14:paraId="5D6B1EF1" w14:textId="77777777" w:rsidR="001A5CE2" w:rsidRPr="001A5CE2" w:rsidRDefault="001A5CE2" w:rsidP="00701F40">
      <w:pPr>
        <w:numPr>
          <w:ilvl w:val="0"/>
          <w:numId w:val="28"/>
        </w:numPr>
        <w:spacing w:after="0" w:line="360" w:lineRule="auto"/>
        <w:rPr>
          <w:rFonts w:eastAsia="Calibri" w:cs="Times New Roman"/>
          <w:b/>
          <w:color w:val="000000"/>
          <w:lang w:eastAsia="en-US"/>
        </w:rPr>
      </w:pPr>
      <w:r w:rsidRPr="001A5CE2">
        <w:rPr>
          <w:rFonts w:eastAsia="Calibri" w:cs="Times New Roman"/>
          <w:b/>
          <w:color w:val="000000"/>
          <w:lang w:eastAsia="en-US"/>
        </w:rPr>
        <w:t>Clave Única de Registro de Población (CURP)</w:t>
      </w:r>
    </w:p>
    <w:p w14:paraId="718EEF5F" w14:textId="77777777" w:rsidR="001A5CE2" w:rsidRPr="001A5CE2" w:rsidRDefault="001A5CE2" w:rsidP="00701F40">
      <w:pPr>
        <w:spacing w:after="0" w:line="360" w:lineRule="auto"/>
        <w:rPr>
          <w:rFonts w:eastAsia="Calibri" w:cs="Times New Roman"/>
          <w:color w:val="000000"/>
          <w:lang w:eastAsia="en-US"/>
        </w:rPr>
      </w:pPr>
    </w:p>
    <w:p w14:paraId="1381F7F7"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C127A4C" w14:textId="77777777" w:rsidR="001A5CE2" w:rsidRPr="001A5CE2" w:rsidRDefault="001A5CE2" w:rsidP="00701F40">
      <w:pPr>
        <w:spacing w:after="0" w:line="360" w:lineRule="auto"/>
        <w:rPr>
          <w:rFonts w:eastAsia="Calibri" w:cs="Times New Roman"/>
          <w:color w:val="000000"/>
          <w:lang w:eastAsia="en-US"/>
        </w:rPr>
      </w:pPr>
    </w:p>
    <w:p w14:paraId="6BEA9EF5"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 xml:space="preserve">Acorde con lo anterior, el artículo 22 del Reglamento Interior de la Secretaría de Gobernación, establece en su fracción III, que la Dirección General del Registro Nacional de Población e </w:t>
      </w:r>
      <w:r w:rsidRPr="001A5CE2">
        <w:rPr>
          <w:rFonts w:eastAsia="Calibri" w:cs="Times New Roman"/>
          <w:color w:val="000000"/>
          <w:lang w:eastAsia="en-US"/>
        </w:rPr>
        <w:lastRenderedPageBreak/>
        <w:t>Identificación Personal tiene la atribución de asignar y depurar la Clave Única de Registro de Población a todas las personas residentes en el país, así como a los mexicanos que residan en el extranjero.</w:t>
      </w:r>
    </w:p>
    <w:p w14:paraId="22E105D5" w14:textId="77777777" w:rsidR="001A5CE2" w:rsidRPr="001A5CE2" w:rsidRDefault="001A5CE2" w:rsidP="00701F40">
      <w:pPr>
        <w:spacing w:after="0" w:line="360" w:lineRule="auto"/>
        <w:rPr>
          <w:rFonts w:eastAsia="Calibri" w:cs="Times New Roman"/>
          <w:color w:val="000000"/>
          <w:lang w:eastAsia="en-US"/>
        </w:rPr>
      </w:pPr>
    </w:p>
    <w:p w14:paraId="2DA9745A" w14:textId="3C52A4A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 xml:space="preserve">En ese orden de ideas, la Secretaría de Gobernación en las direcciones </w:t>
      </w:r>
      <w:hyperlink r:id="rId12" w:history="1">
        <w:r w:rsidRPr="001A5CE2">
          <w:rPr>
            <w:rFonts w:eastAsia="Calibri" w:cs="Times New Roman"/>
            <w:color w:val="0563C1"/>
            <w:u w:val="single"/>
            <w:lang w:eastAsia="en-US"/>
          </w:rPr>
          <w:t>https://consultas.curp.gob.mx/CurpSP/html/informacionecurpPS.html</w:t>
        </w:r>
      </w:hyperlink>
      <w:r w:rsidRPr="001A5CE2">
        <w:rPr>
          <w:rFonts w:eastAsia="Calibri" w:cs="Times New Roman"/>
          <w:color w:val="000000"/>
          <w:lang w:eastAsia="en-US"/>
        </w:rPr>
        <w:t xml:space="preserve"> y </w:t>
      </w:r>
      <w:hyperlink r:id="rId13" w:history="1">
        <w:r w:rsidRPr="001A5CE2">
          <w:rPr>
            <w:rFonts w:eastAsia="Calibri" w:cs="Times New Roman"/>
            <w:color w:val="0563C1"/>
            <w:u w:val="single"/>
            <w:lang w:eastAsia="en-US"/>
          </w:rPr>
          <w:t>https://www.gob.mx/segob/renapo/acciones-y-programas/clave-unica-de-registro-de-poblacion-curp-142226</w:t>
        </w:r>
      </w:hyperlink>
      <w:r w:rsidRPr="001A5CE2">
        <w:rPr>
          <w:rFonts w:eastAsia="Calibri" w:cs="Times New Roman"/>
          <w:color w:val="000000"/>
          <w:lang w:eastAsia="en-US"/>
        </w:rPr>
        <w:t xml:space="preserve"> (consultadas el seis de</w:t>
      </w:r>
      <w:r w:rsidR="00C84755">
        <w:rPr>
          <w:rFonts w:eastAsia="Calibri" w:cs="Times New Roman"/>
          <w:color w:val="000000"/>
          <w:lang w:eastAsia="en-US"/>
        </w:rPr>
        <w:t xml:space="preserve"> </w:t>
      </w:r>
      <w:r w:rsidR="003C0011">
        <w:rPr>
          <w:rFonts w:eastAsia="Calibri" w:cs="Times New Roman"/>
          <w:color w:val="000000"/>
          <w:lang w:eastAsia="en-US"/>
        </w:rPr>
        <w:t>agosto de dos mil veinticinco</w:t>
      </w:r>
      <w:r w:rsidRPr="001A5CE2">
        <w:rPr>
          <w:rFonts w:eastAsia="Calibri" w:cs="Times New Roman"/>
          <w:color w:val="000000"/>
          <w:lang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A5CE2">
        <w:rPr>
          <w:rFonts w:eastAsia="Calibri" w:cs="Times New Roman"/>
          <w:b/>
          <w:color w:val="000000"/>
          <w:lang w:eastAsia="en-US"/>
        </w:rPr>
        <w:t>se generan a partir de los datos contenidos en el documento probatorio de la identidad</w:t>
      </w:r>
      <w:r w:rsidRPr="001A5CE2">
        <w:rPr>
          <w:rFonts w:eastAsia="Calibri" w:cs="Times New Roman"/>
          <w:color w:val="000000"/>
          <w:lang w:eastAsia="en-US"/>
        </w:rPr>
        <w:t xml:space="preserve"> </w:t>
      </w:r>
      <w:r w:rsidRPr="001A5CE2">
        <w:rPr>
          <w:rFonts w:eastAsia="Calibri" w:cs="Times New Roman"/>
          <w:b/>
          <w:color w:val="000000"/>
          <w:lang w:eastAsia="en-US"/>
        </w:rPr>
        <w:t xml:space="preserve">del interesado </w:t>
      </w:r>
      <w:r w:rsidRPr="001A5CE2">
        <w:rPr>
          <w:rFonts w:eastAsia="Calibri" w:cs="Times New Roman"/>
          <w:color w:val="000000"/>
          <w:lang w:eastAsia="en-US"/>
        </w:rPr>
        <w:t>(acta de nacimiento, carta de naturalización o documento migratorio) de la siguiente forma:</w:t>
      </w:r>
    </w:p>
    <w:p w14:paraId="58E16E78" w14:textId="77777777" w:rsidR="001A5CE2" w:rsidRPr="001A5CE2" w:rsidRDefault="001A5CE2" w:rsidP="00701F40">
      <w:pPr>
        <w:spacing w:after="0" w:line="360" w:lineRule="auto"/>
        <w:rPr>
          <w:rFonts w:eastAsia="Calibri" w:cs="Times New Roman"/>
          <w:color w:val="000000"/>
          <w:lang w:eastAsia="en-US"/>
        </w:rPr>
      </w:pPr>
    </w:p>
    <w:p w14:paraId="5B57E043" w14:textId="77777777" w:rsidR="001A5CE2" w:rsidRPr="001A5CE2" w:rsidRDefault="001A5CE2" w:rsidP="00701F40">
      <w:pPr>
        <w:numPr>
          <w:ilvl w:val="0"/>
          <w:numId w:val="29"/>
        </w:numPr>
        <w:spacing w:after="0" w:line="360" w:lineRule="auto"/>
        <w:rPr>
          <w:rFonts w:eastAsia="Calibri" w:cs="Times New Roman"/>
          <w:color w:val="000000"/>
          <w:lang w:eastAsia="en-US"/>
        </w:rPr>
      </w:pPr>
      <w:r w:rsidRPr="001A5CE2">
        <w:rPr>
          <w:rFonts w:eastAsia="Calibri" w:cs="Times New Roman"/>
          <w:color w:val="000000"/>
          <w:lang w:eastAsia="en-US"/>
        </w:rPr>
        <w:t>El primero y segundo apellidos, así como al nombre de pila;</w:t>
      </w:r>
    </w:p>
    <w:p w14:paraId="55434F0B" w14:textId="77777777" w:rsidR="001A5CE2" w:rsidRPr="001A5CE2" w:rsidRDefault="001A5CE2" w:rsidP="00701F40">
      <w:pPr>
        <w:numPr>
          <w:ilvl w:val="0"/>
          <w:numId w:val="29"/>
        </w:numPr>
        <w:spacing w:after="0" w:line="360" w:lineRule="auto"/>
        <w:rPr>
          <w:rFonts w:eastAsia="Calibri" w:cs="Times New Roman"/>
          <w:color w:val="000000"/>
          <w:lang w:eastAsia="en-US"/>
        </w:rPr>
      </w:pPr>
      <w:r w:rsidRPr="001A5CE2">
        <w:rPr>
          <w:rFonts w:eastAsia="Calibri" w:cs="Times New Roman"/>
          <w:color w:val="000000"/>
          <w:lang w:eastAsia="en-US"/>
        </w:rPr>
        <w:t>La fecha de nacimiento;</w:t>
      </w:r>
    </w:p>
    <w:p w14:paraId="123C37A2" w14:textId="77777777" w:rsidR="001A5CE2" w:rsidRPr="001A5CE2" w:rsidRDefault="001A5CE2" w:rsidP="00701F40">
      <w:pPr>
        <w:numPr>
          <w:ilvl w:val="0"/>
          <w:numId w:val="29"/>
        </w:numPr>
        <w:spacing w:after="0" w:line="360" w:lineRule="auto"/>
        <w:rPr>
          <w:rFonts w:eastAsia="Calibri" w:cs="Times New Roman"/>
          <w:color w:val="000000"/>
          <w:lang w:eastAsia="en-US"/>
        </w:rPr>
      </w:pPr>
      <w:r w:rsidRPr="001A5CE2">
        <w:rPr>
          <w:rFonts w:eastAsia="Calibri" w:cs="Times New Roman"/>
          <w:color w:val="000000"/>
          <w:lang w:eastAsia="en-US"/>
        </w:rPr>
        <w:t>El sexo, y</w:t>
      </w:r>
    </w:p>
    <w:p w14:paraId="2B2F0524" w14:textId="77777777" w:rsidR="001A5CE2" w:rsidRPr="001A5CE2" w:rsidRDefault="001A5CE2" w:rsidP="00701F40">
      <w:pPr>
        <w:numPr>
          <w:ilvl w:val="0"/>
          <w:numId w:val="29"/>
        </w:numPr>
        <w:spacing w:after="0" w:line="360" w:lineRule="auto"/>
        <w:rPr>
          <w:rFonts w:eastAsia="Calibri" w:cs="Times New Roman"/>
          <w:color w:val="000000"/>
          <w:lang w:eastAsia="en-US"/>
        </w:rPr>
      </w:pPr>
      <w:r w:rsidRPr="001A5CE2">
        <w:rPr>
          <w:rFonts w:eastAsia="Calibri" w:cs="Times New Roman"/>
          <w:color w:val="000000"/>
          <w:lang w:eastAsia="en-US"/>
        </w:rPr>
        <w:t>La entidad federativa de nacimiento.</w:t>
      </w:r>
    </w:p>
    <w:p w14:paraId="45E4EDE6" w14:textId="77777777" w:rsidR="001A5CE2" w:rsidRPr="001A5CE2" w:rsidRDefault="001A5CE2" w:rsidP="00701F40">
      <w:pPr>
        <w:spacing w:after="0" w:line="360" w:lineRule="auto"/>
        <w:rPr>
          <w:rFonts w:eastAsia="Calibri" w:cs="Times New Roman"/>
          <w:color w:val="000000"/>
          <w:lang w:eastAsia="en-US"/>
        </w:rPr>
      </w:pPr>
    </w:p>
    <w:p w14:paraId="7A8776C1"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Los dos últimos elementos de la Clave Única de Registro de Población evitan la duplicidad de la Clave y garantizan su correcta integración.</w:t>
      </w:r>
    </w:p>
    <w:p w14:paraId="39E3C106" w14:textId="77777777" w:rsidR="001A5CE2" w:rsidRPr="001A5CE2" w:rsidRDefault="001A5CE2" w:rsidP="00701F40">
      <w:pPr>
        <w:spacing w:after="0" w:line="360" w:lineRule="auto"/>
        <w:rPr>
          <w:rFonts w:eastAsia="Calibri" w:cs="Times New Roman"/>
          <w:color w:val="000000"/>
          <w:lang w:eastAsia="en-US"/>
        </w:rPr>
      </w:pPr>
    </w:p>
    <w:p w14:paraId="7170E735"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w:t>
      </w:r>
      <w:r w:rsidRPr="001A5CE2">
        <w:rPr>
          <w:rFonts w:eastAsia="Calibri" w:cs="Times New Roman"/>
          <w:color w:val="000000"/>
          <w:lang w:eastAsia="en-US"/>
        </w:rPr>
        <w:lastRenderedPageBreak/>
        <w:t>públicas, ya que además no guarda relación con el desempeño laboral de un individuo, simplemente se trata de un trámite administrativo requerido por la autoridad federal para hacer identificables a las personas.</w:t>
      </w:r>
    </w:p>
    <w:p w14:paraId="1362C8E7" w14:textId="77777777" w:rsidR="001A5CE2" w:rsidRPr="001A5CE2" w:rsidRDefault="001A5CE2" w:rsidP="00701F40">
      <w:pPr>
        <w:spacing w:after="0" w:line="360" w:lineRule="auto"/>
        <w:rPr>
          <w:rFonts w:eastAsia="Calibri" w:cs="Times New Roman"/>
          <w:color w:val="000000"/>
          <w:lang w:eastAsia="en-US"/>
        </w:rPr>
      </w:pPr>
    </w:p>
    <w:p w14:paraId="4FC20814" w14:textId="3B92B58C"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Situación que se robustece, con el Criterio de Interpretación, de la Segunda Época, con número de registro SO/018/2017, emitido por el</w:t>
      </w:r>
      <w:r w:rsidR="00701F40">
        <w:rPr>
          <w:rFonts w:eastAsia="Calibri" w:cs="Times New Roman"/>
          <w:color w:val="000000"/>
          <w:lang w:eastAsia="en-US"/>
        </w:rPr>
        <w:t xml:space="preserve"> entonces</w:t>
      </w:r>
      <w:r w:rsidRPr="001A5CE2">
        <w:rPr>
          <w:rFonts w:eastAsia="Calibri" w:cs="Times New Roman"/>
          <w:color w:val="000000"/>
          <w:lang w:eastAsia="en-US"/>
        </w:rPr>
        <w:t xml:space="preserve"> Instituto Nacional de Transparencia, Acceso a la Información y Protección de Datos Personales, que establece lo siguiente:</w:t>
      </w:r>
    </w:p>
    <w:p w14:paraId="61BCD003" w14:textId="77777777" w:rsidR="001A5CE2" w:rsidRPr="001A5CE2" w:rsidRDefault="001A5CE2" w:rsidP="00701F40">
      <w:pPr>
        <w:spacing w:after="0" w:line="360" w:lineRule="auto"/>
        <w:ind w:left="567" w:right="567"/>
        <w:rPr>
          <w:rFonts w:eastAsia="Calibri" w:cs="Times New Roman"/>
          <w:color w:val="000000"/>
          <w:sz w:val="20"/>
          <w:szCs w:val="20"/>
          <w:lang w:eastAsia="en-US"/>
        </w:rPr>
      </w:pPr>
    </w:p>
    <w:p w14:paraId="238500BF" w14:textId="77777777" w:rsidR="001A5CE2" w:rsidRPr="001A5CE2" w:rsidRDefault="001A5CE2" w:rsidP="00701F40">
      <w:pPr>
        <w:spacing w:after="0" w:line="360" w:lineRule="auto"/>
        <w:ind w:left="567" w:right="567"/>
        <w:rPr>
          <w:rFonts w:eastAsia="Calibri" w:cs="Times New Roman"/>
          <w:i/>
          <w:color w:val="000000"/>
          <w:sz w:val="20"/>
          <w:szCs w:val="20"/>
          <w:lang w:eastAsia="en-US"/>
        </w:rPr>
      </w:pPr>
      <w:r w:rsidRPr="001A5CE2">
        <w:rPr>
          <w:rFonts w:eastAsia="Calibri" w:cs="Times New Roman"/>
          <w:b/>
          <w:i/>
          <w:color w:val="000000"/>
          <w:sz w:val="20"/>
          <w:szCs w:val="20"/>
          <w:lang w:eastAsia="en-US"/>
        </w:rPr>
        <w:t xml:space="preserve">“Clave Única de Registro de Población (CURP). </w:t>
      </w:r>
      <w:r w:rsidRPr="001A5CE2">
        <w:rPr>
          <w:rFonts w:eastAsia="Calibri" w:cs="Times New Roman"/>
          <w:i/>
          <w:color w:val="000000"/>
          <w:sz w:val="20"/>
          <w:szCs w:val="2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07A6A51" w14:textId="77777777" w:rsidR="001A5CE2" w:rsidRPr="001A5CE2" w:rsidRDefault="001A5CE2" w:rsidP="00701F40">
      <w:pPr>
        <w:spacing w:after="0" w:line="360" w:lineRule="auto"/>
        <w:rPr>
          <w:rFonts w:eastAsia="Calibri" w:cs="Times New Roman"/>
          <w:color w:val="000000"/>
          <w:lang w:eastAsia="en-US"/>
        </w:rPr>
      </w:pPr>
    </w:p>
    <w:p w14:paraId="334D717B" w14:textId="77777777" w:rsidR="001A5CE2" w:rsidRPr="001A5CE2" w:rsidRDefault="001A5CE2" w:rsidP="00701F40">
      <w:pPr>
        <w:spacing w:after="0" w:line="360" w:lineRule="auto"/>
        <w:rPr>
          <w:rFonts w:eastAsia="Calibri" w:cs="Times New Roman"/>
          <w:b/>
          <w:bCs/>
          <w:color w:val="000000"/>
          <w:lang w:eastAsia="en-US"/>
        </w:rPr>
      </w:pPr>
      <w:r w:rsidRPr="001A5CE2">
        <w:rPr>
          <w:rFonts w:eastAsia="Calibri" w:cs="Times New Roman"/>
          <w:color w:val="000000"/>
          <w:lang w:eastAsia="en-US"/>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Cabe señalar que dicho dato es accesible.</w:t>
      </w:r>
    </w:p>
    <w:p w14:paraId="3D073D2C" w14:textId="77777777" w:rsidR="001A5CE2" w:rsidRPr="001A5CE2" w:rsidRDefault="001A5CE2" w:rsidP="00701F40">
      <w:pPr>
        <w:spacing w:after="0" w:line="360" w:lineRule="auto"/>
        <w:rPr>
          <w:rFonts w:eastAsia="Calibri" w:cs="Times New Roman"/>
          <w:color w:val="000000"/>
          <w:lang w:eastAsia="en-US"/>
        </w:rPr>
      </w:pPr>
    </w:p>
    <w:p w14:paraId="59C29162" w14:textId="77777777" w:rsidR="001A5CE2" w:rsidRPr="001A5CE2" w:rsidRDefault="001A5CE2" w:rsidP="00701F40">
      <w:pPr>
        <w:numPr>
          <w:ilvl w:val="0"/>
          <w:numId w:val="28"/>
        </w:numPr>
        <w:spacing w:after="0" w:line="360" w:lineRule="auto"/>
        <w:rPr>
          <w:rFonts w:eastAsia="Calibri" w:cs="Times New Roman"/>
          <w:b/>
          <w:color w:val="000000"/>
          <w:lang w:eastAsia="en-US"/>
        </w:rPr>
      </w:pPr>
      <w:r w:rsidRPr="001A5CE2">
        <w:rPr>
          <w:rFonts w:eastAsia="Calibri" w:cs="Times New Roman"/>
          <w:b/>
          <w:color w:val="000000"/>
          <w:lang w:eastAsia="en-US"/>
        </w:rPr>
        <w:t>Registro Federal de Contribuyentes (RFC)</w:t>
      </w:r>
    </w:p>
    <w:p w14:paraId="1850329F" w14:textId="77777777" w:rsidR="001A5CE2" w:rsidRPr="001A5CE2" w:rsidRDefault="001A5CE2" w:rsidP="00701F40">
      <w:pPr>
        <w:spacing w:after="0" w:line="360" w:lineRule="auto"/>
        <w:rPr>
          <w:rFonts w:eastAsia="Calibri" w:cs="Times New Roman"/>
          <w:color w:val="000000"/>
          <w:lang w:eastAsia="en-US"/>
        </w:rPr>
      </w:pPr>
    </w:p>
    <w:p w14:paraId="57B2C551"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1A5CE2">
        <w:rPr>
          <w:rFonts w:eastAsia="Calibri" w:cs="Times New Roman"/>
          <w:color w:val="000000"/>
          <w:lang w:eastAsia="en-US"/>
        </w:rPr>
        <w:lastRenderedPageBreak/>
        <w:t>donde consta la clave que asigna este órgano desconcentrado de la Secretaría de Hacienda y Crédito Público, de acuerdo al artículo 27 del Código Fiscal de la Federación.</w:t>
      </w:r>
    </w:p>
    <w:p w14:paraId="0048A02D" w14:textId="77777777" w:rsidR="001A5CE2" w:rsidRPr="001A5CE2" w:rsidRDefault="001A5CE2" w:rsidP="00701F40">
      <w:pPr>
        <w:spacing w:after="0" w:line="360" w:lineRule="auto"/>
        <w:rPr>
          <w:rFonts w:eastAsia="Calibri" w:cs="Times New Roman"/>
          <w:color w:val="000000"/>
          <w:lang w:eastAsia="en-US"/>
        </w:rPr>
      </w:pPr>
    </w:p>
    <w:p w14:paraId="7D359976"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C4D5023" w14:textId="77777777" w:rsidR="001A5CE2" w:rsidRPr="001A5CE2" w:rsidRDefault="001A5CE2" w:rsidP="00701F40">
      <w:pPr>
        <w:spacing w:after="0" w:line="360" w:lineRule="auto"/>
        <w:rPr>
          <w:rFonts w:eastAsia="Calibri" w:cs="Times New Roman"/>
          <w:color w:val="000000"/>
          <w:lang w:eastAsia="en-US"/>
        </w:rPr>
      </w:pPr>
    </w:p>
    <w:p w14:paraId="0D0811C7"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99EC894" w14:textId="77777777" w:rsidR="001A5CE2" w:rsidRPr="001A5CE2" w:rsidRDefault="001A5CE2" w:rsidP="00701F40">
      <w:pPr>
        <w:spacing w:after="0" w:line="360" w:lineRule="auto"/>
        <w:rPr>
          <w:rFonts w:eastAsia="Calibri" w:cs="Times New Roman"/>
          <w:color w:val="000000"/>
          <w:lang w:eastAsia="en-US"/>
        </w:rPr>
      </w:pPr>
    </w:p>
    <w:p w14:paraId="2B817B9B"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16FB8BC" w14:textId="77777777" w:rsidR="001A5CE2" w:rsidRPr="001A5CE2" w:rsidRDefault="001A5CE2" w:rsidP="00701F40">
      <w:pPr>
        <w:spacing w:after="0" w:line="360" w:lineRule="auto"/>
        <w:rPr>
          <w:rFonts w:eastAsia="Calibri" w:cs="Times New Roman"/>
          <w:color w:val="000000"/>
          <w:lang w:eastAsia="en-US"/>
        </w:rPr>
      </w:pPr>
    </w:p>
    <w:p w14:paraId="560ECC74" w14:textId="3E1C0088"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Lo anterior, resulta congruente con el Criterio de Interpretación, de la Segunda Época, con número de registro SO/019/2017, emitido por el</w:t>
      </w:r>
      <w:r w:rsidR="00701F40">
        <w:rPr>
          <w:rFonts w:eastAsia="Calibri" w:cs="Times New Roman"/>
          <w:color w:val="000000"/>
          <w:lang w:eastAsia="en-US"/>
        </w:rPr>
        <w:t xml:space="preserve"> entonces</w:t>
      </w:r>
      <w:r w:rsidRPr="001A5CE2">
        <w:rPr>
          <w:rFonts w:eastAsia="Calibri" w:cs="Times New Roman"/>
          <w:color w:val="000000"/>
          <w:lang w:eastAsia="en-US"/>
        </w:rPr>
        <w:t xml:space="preserve"> Instituto Nacional de Transparencia, Acceso a la Información y Protección de Datos Personales, en el cual se señala lo siguiente:</w:t>
      </w:r>
    </w:p>
    <w:p w14:paraId="10C654E9" w14:textId="77777777" w:rsidR="001A5CE2" w:rsidRPr="001A5CE2" w:rsidRDefault="001A5CE2" w:rsidP="00701F40">
      <w:pPr>
        <w:spacing w:after="0" w:line="360" w:lineRule="auto"/>
        <w:rPr>
          <w:rFonts w:eastAsia="Calibri" w:cs="Times New Roman"/>
          <w:color w:val="000000"/>
          <w:lang w:eastAsia="en-US"/>
        </w:rPr>
      </w:pPr>
    </w:p>
    <w:p w14:paraId="23B42F29" w14:textId="77777777" w:rsidR="001A5CE2" w:rsidRPr="001A5CE2" w:rsidRDefault="001A5CE2" w:rsidP="00701F40">
      <w:pPr>
        <w:spacing w:after="0" w:line="360" w:lineRule="auto"/>
        <w:ind w:left="567" w:right="567"/>
        <w:rPr>
          <w:rFonts w:eastAsia="Calibri" w:cs="Times New Roman"/>
          <w:i/>
          <w:color w:val="000000"/>
          <w:sz w:val="20"/>
          <w:szCs w:val="20"/>
          <w:lang w:eastAsia="en-US"/>
        </w:rPr>
      </w:pPr>
      <w:r w:rsidRPr="001A5CE2">
        <w:rPr>
          <w:rFonts w:eastAsia="Calibri" w:cs="Times New Roman"/>
          <w:b/>
          <w:i/>
          <w:color w:val="000000"/>
          <w:sz w:val="20"/>
          <w:szCs w:val="20"/>
          <w:lang w:eastAsia="en-US"/>
        </w:rPr>
        <w:lastRenderedPageBreak/>
        <w:t>“Registro Federal de Contribuyentes (RFC) de personas físicas.</w:t>
      </w:r>
      <w:r w:rsidRPr="001A5CE2">
        <w:rPr>
          <w:rFonts w:eastAsia="Calibri" w:cs="Times New Roman"/>
          <w:i/>
          <w:color w:val="000000"/>
          <w:sz w:val="20"/>
          <w:szCs w:val="20"/>
          <w:lang w:eastAsia="en-US"/>
        </w:rPr>
        <w:t xml:space="preserve"> El RFC es una clave de carácter fiscal, única e irrepetible, que permite identificar al titular, su edad y fecha de nacimiento, por lo que es un dato personal de carácter confidencial.”</w:t>
      </w:r>
    </w:p>
    <w:p w14:paraId="5281FA6E" w14:textId="77777777" w:rsidR="001A5CE2" w:rsidRPr="001A5CE2" w:rsidRDefault="001A5CE2" w:rsidP="00701F40">
      <w:pPr>
        <w:spacing w:after="0" w:line="360" w:lineRule="auto"/>
        <w:rPr>
          <w:rFonts w:eastAsia="Calibri" w:cs="Times New Roman"/>
          <w:color w:val="000000"/>
          <w:lang w:eastAsia="en-US"/>
        </w:rPr>
      </w:pPr>
    </w:p>
    <w:p w14:paraId="5F713330"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Cabe señalar que dicho dato es accesible.</w:t>
      </w:r>
    </w:p>
    <w:p w14:paraId="14C5A17D" w14:textId="77777777" w:rsidR="001A5CE2" w:rsidRPr="001A5CE2" w:rsidRDefault="001A5CE2" w:rsidP="00701F40">
      <w:pPr>
        <w:tabs>
          <w:tab w:val="center" w:pos="4522"/>
        </w:tabs>
        <w:spacing w:after="0" w:line="360" w:lineRule="auto"/>
        <w:rPr>
          <w:rFonts w:eastAsia="Calibri" w:cs="Times New Roman"/>
          <w:color w:val="000000"/>
          <w:lang w:eastAsia="en-US"/>
        </w:rPr>
      </w:pPr>
    </w:p>
    <w:p w14:paraId="7CD10535" w14:textId="77777777" w:rsidR="001A5CE2" w:rsidRPr="001A5CE2" w:rsidRDefault="001A5CE2" w:rsidP="00701F40">
      <w:pPr>
        <w:numPr>
          <w:ilvl w:val="0"/>
          <w:numId w:val="28"/>
        </w:numPr>
        <w:spacing w:after="0" w:line="360" w:lineRule="auto"/>
        <w:rPr>
          <w:rFonts w:eastAsia="Calibri" w:cs="Times New Roman"/>
          <w:b/>
          <w:color w:val="000000"/>
          <w:lang w:eastAsia="en-US"/>
        </w:rPr>
      </w:pPr>
      <w:r w:rsidRPr="001A5CE2">
        <w:rPr>
          <w:rFonts w:eastAsia="Calibri" w:cs="Times New Roman"/>
          <w:b/>
          <w:color w:val="000000"/>
          <w:lang w:eastAsia="en-US"/>
        </w:rPr>
        <w:t>Número de seguridad social del Instituto de Seguridad Social del Estado de México y Municipios</w:t>
      </w:r>
    </w:p>
    <w:p w14:paraId="79C1C96C" w14:textId="77777777" w:rsidR="001A5CE2" w:rsidRPr="001A5CE2" w:rsidRDefault="001A5CE2" w:rsidP="00701F40">
      <w:pPr>
        <w:spacing w:after="0" w:line="360" w:lineRule="auto"/>
        <w:rPr>
          <w:rFonts w:eastAsia="Calibri" w:cs="Times New Roman"/>
          <w:b/>
          <w:color w:val="000000"/>
          <w:lang w:eastAsia="en-US"/>
        </w:rPr>
      </w:pPr>
    </w:p>
    <w:p w14:paraId="1A592827"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96613A4" w14:textId="77777777" w:rsidR="001A5CE2" w:rsidRPr="001A5CE2" w:rsidRDefault="001A5CE2" w:rsidP="00701F40">
      <w:pPr>
        <w:spacing w:after="0" w:line="360" w:lineRule="auto"/>
        <w:rPr>
          <w:rFonts w:eastAsia="Calibri" w:cs="Times New Roman"/>
          <w:color w:val="000000"/>
          <w:lang w:eastAsia="en-US"/>
        </w:rPr>
      </w:pPr>
    </w:p>
    <w:p w14:paraId="0C0C729E"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w:t>
      </w:r>
      <w:r w:rsidRPr="001A5CE2">
        <w:rPr>
          <w:rFonts w:eastAsia="Calibri" w:cs="Times New Roman"/>
          <w:color w:val="000000"/>
          <w:lang w:eastAsia="en-US"/>
        </w:rPr>
        <w:lastRenderedPageBreak/>
        <w:t>se consignan diversos datos personales y se le asigna una clave para hacer identificable al trabajador con el objetivo de poder proporcionar los servicios que brinda el Instituto de Seguridad Social del Estado de México y Municipios.</w:t>
      </w:r>
    </w:p>
    <w:p w14:paraId="5495CA6C" w14:textId="77777777" w:rsidR="001A5CE2" w:rsidRPr="001A5CE2" w:rsidRDefault="001A5CE2" w:rsidP="00701F40">
      <w:pPr>
        <w:spacing w:after="0" w:line="360" w:lineRule="auto"/>
        <w:rPr>
          <w:rFonts w:eastAsia="Calibri" w:cs="Times New Roman"/>
          <w:color w:val="000000"/>
          <w:lang w:eastAsia="en-US"/>
        </w:rPr>
      </w:pPr>
    </w:p>
    <w:p w14:paraId="118385D3"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DB1BB67" w14:textId="77777777" w:rsidR="001A5CE2" w:rsidRPr="001A5CE2" w:rsidRDefault="001A5CE2" w:rsidP="00701F40">
      <w:pPr>
        <w:spacing w:after="0" w:line="360" w:lineRule="auto"/>
        <w:rPr>
          <w:rFonts w:eastAsia="Calibri" w:cs="Times New Roman"/>
          <w:color w:val="000000"/>
          <w:lang w:eastAsia="en-US"/>
        </w:rPr>
      </w:pPr>
    </w:p>
    <w:p w14:paraId="266F50C3" w14:textId="77777777" w:rsidR="001A5CE2" w:rsidRPr="001A5CE2" w:rsidRDefault="001A5CE2" w:rsidP="00701F40">
      <w:pPr>
        <w:spacing w:after="0" w:line="360" w:lineRule="auto"/>
        <w:rPr>
          <w:rFonts w:eastAsia="Calibri" w:cs="Times New Roman"/>
          <w:color w:val="000000"/>
          <w:lang w:eastAsia="en-US"/>
        </w:rPr>
      </w:pPr>
      <w:r w:rsidRPr="001A5CE2">
        <w:rPr>
          <w:rFonts w:eastAsia="Calibri" w:cs="Times New Roman"/>
          <w:color w:val="000000"/>
          <w:lang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Cabe señalar que dicho dato es accesible.</w:t>
      </w:r>
    </w:p>
    <w:p w14:paraId="382585EB" w14:textId="77777777" w:rsidR="00C14C54" w:rsidRDefault="00C14C54" w:rsidP="00701F40">
      <w:pPr>
        <w:widowControl w:val="0"/>
        <w:spacing w:after="0" w:line="360" w:lineRule="auto"/>
      </w:pPr>
    </w:p>
    <w:p w14:paraId="7B6783DD" w14:textId="77777777" w:rsidR="006D7259" w:rsidRPr="006D7259" w:rsidRDefault="006D7259" w:rsidP="00701F40">
      <w:pPr>
        <w:widowControl w:val="0"/>
        <w:numPr>
          <w:ilvl w:val="0"/>
          <w:numId w:val="26"/>
        </w:numPr>
        <w:spacing w:after="0" w:line="360" w:lineRule="auto"/>
        <w:contextualSpacing/>
        <w:rPr>
          <w:rFonts w:eastAsia="Calibri" w:cs="Times New Roman"/>
          <w:b/>
          <w:bCs/>
          <w:color w:val="auto"/>
          <w:lang w:val="es-ES" w:eastAsia="es-ES"/>
        </w:rPr>
      </w:pPr>
      <w:r w:rsidRPr="006D7259">
        <w:rPr>
          <w:rFonts w:eastAsia="Calibri" w:cs="Times New Roman"/>
          <w:b/>
          <w:color w:val="auto"/>
          <w:lang w:eastAsia="en-US"/>
        </w:rPr>
        <w:t>Código bidimensional o Qr</w:t>
      </w:r>
    </w:p>
    <w:p w14:paraId="4D3AA2AE" w14:textId="77777777" w:rsidR="006D7259" w:rsidRPr="006D7259" w:rsidRDefault="006D7259" w:rsidP="00701F40">
      <w:pPr>
        <w:widowControl w:val="0"/>
        <w:spacing w:after="0" w:line="360" w:lineRule="auto"/>
        <w:rPr>
          <w:rFonts w:eastAsia="Calibri" w:cs="Times New Roman"/>
          <w:bCs/>
          <w:color w:val="FF0000"/>
          <w:lang w:val="es-ES" w:eastAsia="es-ES"/>
        </w:rPr>
      </w:pPr>
    </w:p>
    <w:p w14:paraId="5D7FCE8B" w14:textId="77777777" w:rsidR="006D7259" w:rsidRPr="006D7259" w:rsidRDefault="006D7259" w:rsidP="00701F40">
      <w:pPr>
        <w:widowControl w:val="0"/>
        <w:spacing w:after="0" w:line="360" w:lineRule="auto"/>
        <w:rPr>
          <w:rFonts w:eastAsia="Calibri" w:cs="Times New Roman"/>
          <w:color w:val="000000"/>
          <w:lang w:eastAsia="en-US"/>
        </w:rPr>
      </w:pPr>
      <w:r w:rsidRPr="006D7259">
        <w:rPr>
          <w:rFonts w:eastAsia="Calibri" w:cs="Times New Roman"/>
          <w:color w:val="000000"/>
          <w:lang w:eastAsia="en-US"/>
        </w:rPr>
        <w:t xml:space="preserve">En principio,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r w:rsidRPr="006D7259">
        <w:rPr>
          <w:rFonts w:eastAsia="Calibri" w:cs="Times New Roman"/>
          <w:color w:val="000000"/>
          <w:lang w:eastAsia="en-US"/>
        </w:rPr>
        <w:lastRenderedPageBreak/>
        <w:t>http://dof.gob.mx/nota_detalle.php?codigo=5492254&amp;fecha=28/07/2017. Incluso con la captura de dicho código, a través de la aplicación móvil del Servicio de Administración Tributaria, permite el acceso al Registro Federal de Contribuyentes, como del Sujeto Obligado, como de los servidores públicos.</w:t>
      </w:r>
    </w:p>
    <w:p w14:paraId="0B238277" w14:textId="77777777" w:rsidR="006D7259" w:rsidRPr="006D7259" w:rsidRDefault="006D7259" w:rsidP="00701F40">
      <w:pPr>
        <w:widowControl w:val="0"/>
        <w:spacing w:after="0" w:line="360" w:lineRule="auto"/>
        <w:rPr>
          <w:rFonts w:eastAsia="Calibri" w:cs="Times New Roman"/>
          <w:color w:val="000000"/>
          <w:lang w:eastAsia="en-US"/>
        </w:rPr>
      </w:pPr>
    </w:p>
    <w:p w14:paraId="6C50CC25" w14:textId="77777777" w:rsidR="006D7259" w:rsidRPr="006D7259" w:rsidRDefault="006D7259" w:rsidP="00701F40">
      <w:pPr>
        <w:widowControl w:val="0"/>
        <w:spacing w:after="0" w:line="360" w:lineRule="auto"/>
        <w:rPr>
          <w:rFonts w:eastAsia="Calibri" w:cs="Times New Roman"/>
          <w:color w:val="000000"/>
          <w:lang w:eastAsia="en-US"/>
        </w:rPr>
      </w:pPr>
      <w:r w:rsidRPr="006D7259">
        <w:rPr>
          <w:rFonts w:eastAsia="Calibri" w:cs="Times New Roman"/>
          <w:color w:val="000000"/>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72B49B21" w14:textId="77777777" w:rsidR="006D7259" w:rsidRPr="006D7259" w:rsidRDefault="006D7259" w:rsidP="00701F40">
      <w:pPr>
        <w:widowControl w:val="0"/>
        <w:spacing w:after="0" w:line="360" w:lineRule="auto"/>
        <w:rPr>
          <w:rFonts w:eastAsia="Calibri" w:cs="Times New Roman"/>
          <w:color w:val="000000"/>
          <w:lang w:eastAsia="en-US"/>
        </w:rPr>
      </w:pPr>
    </w:p>
    <w:p w14:paraId="15B02C37" w14:textId="7B83702D" w:rsidR="006D7259" w:rsidRPr="006D7259" w:rsidRDefault="006D7259" w:rsidP="00701F40">
      <w:pPr>
        <w:widowControl w:val="0"/>
        <w:numPr>
          <w:ilvl w:val="0"/>
          <w:numId w:val="27"/>
        </w:numPr>
        <w:spacing w:after="0" w:line="360" w:lineRule="auto"/>
        <w:contextualSpacing/>
        <w:rPr>
          <w:rFonts w:eastAsia="Calibri" w:cs="Times New Roman"/>
          <w:b/>
          <w:bCs/>
          <w:color w:val="auto"/>
          <w:lang w:val="es-ES" w:eastAsia="es-ES"/>
        </w:rPr>
      </w:pPr>
      <w:r w:rsidRPr="006D7259">
        <w:rPr>
          <w:rFonts w:eastAsia="Calibri" w:cs="Times New Roman"/>
          <w:b/>
          <w:color w:val="auto"/>
          <w:lang w:eastAsia="en-US"/>
        </w:rPr>
        <w:t>Sellos digitales del emisor y del Servicio de Administración Tributaria y cadena original del complemento de certificación digital del órgano previamente señalado</w:t>
      </w:r>
      <w:r w:rsidR="00701F40">
        <w:rPr>
          <w:rFonts w:eastAsia="Calibri" w:cs="Times New Roman"/>
          <w:b/>
          <w:color w:val="auto"/>
          <w:lang w:eastAsia="en-US"/>
        </w:rPr>
        <w:t>.</w:t>
      </w:r>
    </w:p>
    <w:p w14:paraId="229CEAC3" w14:textId="77777777" w:rsidR="006D7259" w:rsidRPr="006D7259" w:rsidRDefault="006D7259" w:rsidP="00701F40">
      <w:pPr>
        <w:widowControl w:val="0"/>
        <w:spacing w:after="0" w:line="360" w:lineRule="auto"/>
        <w:rPr>
          <w:rFonts w:eastAsia="Calibri" w:cs="Times New Roman"/>
          <w:b/>
          <w:bCs/>
          <w:color w:val="auto"/>
          <w:lang w:val="es-ES" w:eastAsia="es-ES"/>
        </w:rPr>
      </w:pPr>
    </w:p>
    <w:p w14:paraId="78E6F7D4" w14:textId="77777777" w:rsidR="006D7259" w:rsidRPr="006D7259" w:rsidRDefault="006D7259" w:rsidP="00701F40">
      <w:pPr>
        <w:spacing w:after="0" w:line="360" w:lineRule="auto"/>
        <w:rPr>
          <w:rFonts w:eastAsia="Calibri" w:cs="Times New Roman"/>
          <w:color w:val="000000"/>
          <w:lang w:eastAsia="en-US"/>
        </w:rPr>
      </w:pPr>
      <w:r w:rsidRPr="006D7259">
        <w:rPr>
          <w:rFonts w:eastAsia="Calibri" w:cs="Times New Roman"/>
          <w:color w:val="000000"/>
          <w:lang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FBE7AAC" w14:textId="77777777" w:rsidR="006D7259" w:rsidRPr="006D7259" w:rsidRDefault="006D7259" w:rsidP="00701F40">
      <w:pPr>
        <w:widowControl w:val="0"/>
        <w:spacing w:after="0" w:line="360" w:lineRule="auto"/>
        <w:rPr>
          <w:rFonts w:eastAsia="Calibri" w:cs="Times New Roman"/>
          <w:color w:val="000000"/>
          <w:lang w:eastAsia="en-US"/>
        </w:rPr>
      </w:pPr>
    </w:p>
    <w:p w14:paraId="5974FFA9" w14:textId="4D18CB55" w:rsidR="006D7259" w:rsidRPr="006D7259" w:rsidRDefault="006D7259" w:rsidP="00701F40">
      <w:pPr>
        <w:widowControl w:val="0"/>
        <w:spacing w:after="0" w:line="360" w:lineRule="auto"/>
        <w:rPr>
          <w:rFonts w:eastAsia="Calibri" w:cs="Times New Roman"/>
          <w:color w:val="000000"/>
          <w:lang w:eastAsia="en-US"/>
        </w:rPr>
      </w:pPr>
      <w:r w:rsidRPr="006D7259">
        <w:rPr>
          <w:rFonts w:eastAsia="Calibri" w:cs="Times New Roman"/>
          <w:color w:val="000000"/>
          <w:lang w:eastAsia="en-US"/>
        </w:rPr>
        <w:t xml:space="preserve">Las cadenas originales y sellos que se agregan a las facturas, tienen una secuencia de </w:t>
      </w:r>
      <w:r w:rsidRPr="006D7259">
        <w:rPr>
          <w:rFonts w:eastAsia="Calibri" w:cs="Times New Roman"/>
          <w:color w:val="000000"/>
          <w:lang w:eastAsia="en-US"/>
        </w:rPr>
        <w:lastRenderedPageBreak/>
        <w:t>generación, determinados con base en el ANEXO 20 de la Segunda Resolución de modificaciones a la Resolución Miscelánea Fiscal</w:t>
      </w:r>
      <w:r w:rsidR="00701F40">
        <w:rPr>
          <w:rFonts w:eastAsia="Calibri" w:cs="Times New Roman"/>
          <w:color w:val="000000"/>
          <w:lang w:eastAsia="en-US"/>
        </w:rPr>
        <w:t>,</w:t>
      </w:r>
      <w:r w:rsidRPr="006D7259">
        <w:rPr>
          <w:rFonts w:eastAsia="Calibri" w:cs="Times New Roman"/>
          <w:color w:val="000000"/>
          <w:lang w:eastAsia="en-US"/>
        </w:rPr>
        <w:t xml:space="preserve"> precisa los datos de los que se componen los elementos de seguridad y se puntualiza que dicha información está encriptada.</w:t>
      </w:r>
    </w:p>
    <w:p w14:paraId="7880D4CD" w14:textId="77777777" w:rsidR="006D7259" w:rsidRPr="006D7259" w:rsidRDefault="006D7259" w:rsidP="00701F40">
      <w:pPr>
        <w:widowControl w:val="0"/>
        <w:spacing w:after="0" w:line="360" w:lineRule="auto"/>
        <w:rPr>
          <w:rFonts w:eastAsia="Calibri" w:cs="Times New Roman"/>
          <w:color w:val="000000"/>
          <w:lang w:eastAsia="en-US"/>
        </w:rPr>
      </w:pPr>
    </w:p>
    <w:p w14:paraId="0170B796"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 xml:space="preserve">“… </w:t>
      </w:r>
    </w:p>
    <w:p w14:paraId="5C3F9363"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Elementos utilizados en la generación de Sellos Digitales:</w:t>
      </w:r>
    </w:p>
    <w:p w14:paraId="0E062904"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p>
    <w:p w14:paraId="1D603A8C"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 xml:space="preserve">• Cadena Original, el elemento a sellar, en este caso de un comprobante fiscal digital a través de Internet. </w:t>
      </w:r>
    </w:p>
    <w:p w14:paraId="0FB2DA43"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 xml:space="preserve">• Certificado de Sello Digital y su correspondiente clave privada. </w:t>
      </w:r>
    </w:p>
    <w:p w14:paraId="5B6C082A"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 xml:space="preserve">• Algoritmos de criptografía de clave pública para firma electrónica avanzada. </w:t>
      </w:r>
    </w:p>
    <w:p w14:paraId="5A822C91"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 xml:space="preserve">• Especificaciones de conversión de la firma electrónica avanzada a Base 64. </w:t>
      </w:r>
    </w:p>
    <w:p w14:paraId="4EF49370"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 xml:space="preserve">Para la generación de sellos digitales se utiliza criptografía de clave pública aplicada a una cadena original. </w:t>
      </w:r>
    </w:p>
    <w:p w14:paraId="17C90496"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Criptografía de la Clave Pública</w:t>
      </w:r>
    </w:p>
    <w:p w14:paraId="15C19A41"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 xml:space="preserve"> 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 </w:t>
      </w:r>
    </w:p>
    <w:p w14:paraId="3F476616" w14:textId="77777777" w:rsidR="006D7259" w:rsidRPr="006D7259" w:rsidRDefault="006D7259" w:rsidP="00701F40">
      <w:pPr>
        <w:tabs>
          <w:tab w:val="left" w:pos="4667"/>
        </w:tabs>
        <w:spacing w:after="0" w:line="360" w:lineRule="auto"/>
        <w:ind w:left="567" w:right="567"/>
        <w:rPr>
          <w:rFonts w:eastAsia="Calibri" w:cs="Times New Roman"/>
          <w:i/>
          <w:iCs/>
          <w:color w:val="auto"/>
          <w:sz w:val="20"/>
          <w:szCs w:val="20"/>
          <w:lang w:eastAsia="en-US"/>
        </w:rPr>
      </w:pPr>
      <w:r w:rsidRPr="006D7259">
        <w:rPr>
          <w:rFonts w:eastAsia="Calibri" w:cs="Times New Roman"/>
          <w:i/>
          <w:iCs/>
          <w:color w:val="auto"/>
          <w:sz w:val="20"/>
          <w:szCs w:val="20"/>
          <w:lang w:eastAsia="en-US"/>
        </w:rPr>
        <w:t>…”</w:t>
      </w:r>
    </w:p>
    <w:p w14:paraId="312435DB" w14:textId="77777777" w:rsidR="006D7259" w:rsidRPr="006D7259" w:rsidRDefault="006D7259" w:rsidP="00701F40">
      <w:pPr>
        <w:tabs>
          <w:tab w:val="left" w:pos="4667"/>
        </w:tabs>
        <w:spacing w:after="0" w:line="360" w:lineRule="auto"/>
        <w:ind w:right="567"/>
        <w:rPr>
          <w:rFonts w:eastAsia="Calibri" w:cs="Times New Roman"/>
          <w:iCs/>
          <w:color w:val="auto"/>
          <w:sz w:val="20"/>
          <w:szCs w:val="20"/>
          <w:lang w:eastAsia="en-US"/>
        </w:rPr>
      </w:pPr>
    </w:p>
    <w:p w14:paraId="5532E08F" w14:textId="08D6F2E0" w:rsidR="006D7259" w:rsidRPr="006D7259" w:rsidRDefault="006D7259" w:rsidP="00701F40">
      <w:pPr>
        <w:widowControl w:val="0"/>
        <w:spacing w:after="0" w:line="360" w:lineRule="auto"/>
        <w:rPr>
          <w:color w:val="auto"/>
        </w:rPr>
      </w:pPr>
      <w:r w:rsidRPr="006D7259">
        <w:rPr>
          <w:color w:val="auto"/>
        </w:rPr>
        <w:t>Es decir, por sí solos las cadenas originales y los sellos originales no contienen datos personales confidenciales</w:t>
      </w:r>
      <w:r w:rsidR="00701F40">
        <w:rPr>
          <w:color w:val="auto"/>
        </w:rPr>
        <w:t xml:space="preserve"> en primera instancia</w:t>
      </w:r>
      <w:r w:rsidRPr="006D7259">
        <w:rPr>
          <w:color w:val="auto"/>
        </w:rPr>
        <w:t>, por lo que</w:t>
      </w:r>
      <w:r w:rsidR="00701F40">
        <w:rPr>
          <w:color w:val="auto"/>
        </w:rPr>
        <w:t>, en dicho supuesto,</w:t>
      </w:r>
      <w:r w:rsidRPr="006D7259">
        <w:rPr>
          <w:color w:val="auto"/>
        </w:rPr>
        <w:t xml:space="preserv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1BDDAB2A" w14:textId="77777777" w:rsidR="006D7259" w:rsidRPr="006D7259" w:rsidRDefault="006D7259" w:rsidP="00701F40">
      <w:pPr>
        <w:widowControl w:val="0"/>
        <w:spacing w:after="0" w:line="360" w:lineRule="auto"/>
        <w:rPr>
          <w:color w:val="auto"/>
        </w:rPr>
      </w:pPr>
    </w:p>
    <w:p w14:paraId="322A24F6" w14:textId="4D307A1F" w:rsidR="003C1D07" w:rsidRPr="006D7259" w:rsidRDefault="00701F40" w:rsidP="00701F40">
      <w:pPr>
        <w:widowControl w:val="0"/>
        <w:spacing w:after="0" w:line="360" w:lineRule="auto"/>
        <w:rPr>
          <w:color w:val="auto"/>
        </w:rPr>
      </w:pPr>
      <w:r>
        <w:rPr>
          <w:color w:val="auto"/>
        </w:rPr>
        <w:t>No obstante</w:t>
      </w:r>
      <w:r w:rsidR="006D7259" w:rsidRPr="006D7259">
        <w:rPr>
          <w:color w:val="auto"/>
        </w:rPr>
        <w:t xml:space="preserve">, en algunos casos, las cadenas originales y sellos digitales, pueden conformar de datos confidenciales, tales como el Registro Federal de Contribuyentes o la Clave Única de Registro de Población; </w:t>
      </w:r>
      <w:r>
        <w:rPr>
          <w:color w:val="auto"/>
        </w:rPr>
        <w:t xml:space="preserve">lo cual acontece en el presente caso, pues conforme a lo señalado por el Comité de Transparencia, estas contienen el primer dato mencionado, de la servidora pública y </w:t>
      </w:r>
      <w:r w:rsidR="003C1D07" w:rsidRPr="00701F40">
        <w:rPr>
          <w:color w:val="auto"/>
        </w:rPr>
        <w:t>por lo cual se actualiza su clasificación, en términos del artículo 143, fracción I de la Ley de la materia.</w:t>
      </w:r>
    </w:p>
    <w:p w14:paraId="7CD56625" w14:textId="15D8B70E" w:rsidR="006D7259" w:rsidRPr="006D7259" w:rsidRDefault="006D7259" w:rsidP="00701F40">
      <w:pPr>
        <w:widowControl w:val="0"/>
        <w:spacing w:after="0" w:line="360" w:lineRule="auto"/>
        <w:rPr>
          <w:color w:val="auto"/>
        </w:rPr>
      </w:pPr>
    </w:p>
    <w:p w14:paraId="730E1701" w14:textId="16F88B33" w:rsidR="006D7259" w:rsidRPr="001A5CE2" w:rsidRDefault="001A5CE2" w:rsidP="00701F40">
      <w:pPr>
        <w:pStyle w:val="Prrafodelista"/>
        <w:numPr>
          <w:ilvl w:val="0"/>
          <w:numId w:val="27"/>
        </w:numPr>
        <w:spacing w:line="360" w:lineRule="auto"/>
        <w:rPr>
          <w:rFonts w:eastAsia="Calibri" w:cs="Tahoma"/>
          <w:b/>
          <w:bCs/>
          <w:color w:val="auto"/>
          <w:lang w:val="es-ES"/>
        </w:rPr>
      </w:pPr>
      <w:r w:rsidRPr="001A5CE2">
        <w:rPr>
          <w:b/>
          <w:bCs/>
        </w:rPr>
        <w:t>Cuenta bancaria de servidores públicos</w:t>
      </w:r>
    </w:p>
    <w:p w14:paraId="5343EB88" w14:textId="77777777" w:rsidR="001A5CE2" w:rsidRDefault="001A5CE2" w:rsidP="00701F40">
      <w:pPr>
        <w:spacing w:after="0" w:line="360" w:lineRule="auto"/>
        <w:rPr>
          <w:rFonts w:eastAsia="Calibri" w:cs="Tahoma"/>
          <w:b/>
          <w:bCs/>
          <w:color w:val="auto"/>
          <w:lang w:val="es-ES"/>
        </w:rPr>
      </w:pPr>
    </w:p>
    <w:p w14:paraId="3E4CF7BA" w14:textId="2EE3E08C" w:rsidR="001A5CE2" w:rsidRDefault="001A5CE2" w:rsidP="00701F40">
      <w:pPr>
        <w:spacing w:after="0" w:line="360" w:lineRule="auto"/>
      </w:pPr>
      <w: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40DC0E39" w14:textId="77777777" w:rsidR="001A5CE2" w:rsidRDefault="001A5CE2" w:rsidP="00701F40">
      <w:pPr>
        <w:spacing w:after="0" w:line="360" w:lineRule="auto"/>
      </w:pPr>
    </w:p>
    <w:p w14:paraId="1175C2FD" w14:textId="3826BAE1" w:rsidR="001A5CE2" w:rsidRDefault="001A5CE2" w:rsidP="00701F40">
      <w:pPr>
        <w:spacing w:after="0" w:line="360" w:lineRule="auto"/>
      </w:pPr>
      <w:r>
        <w:t>A mayor abundamiento, resulta necesario traer a colación el Criterio SO/010/2017, emitido por el Instituto Nacional de Transparencia, Acceso a la Información y Protección de Datos Personales, mismo que establece lo siguiente:</w:t>
      </w:r>
    </w:p>
    <w:p w14:paraId="4F90939E" w14:textId="6993A27A" w:rsidR="001A5CE2" w:rsidRPr="001A5CE2" w:rsidRDefault="001A5CE2" w:rsidP="00701F40">
      <w:pPr>
        <w:tabs>
          <w:tab w:val="left" w:pos="4667"/>
        </w:tabs>
        <w:spacing w:after="0" w:line="360" w:lineRule="auto"/>
        <w:ind w:left="567" w:right="567"/>
        <w:rPr>
          <w:rFonts w:eastAsia="Calibri" w:cs="Times New Roman"/>
          <w:i/>
          <w:iCs/>
          <w:color w:val="auto"/>
          <w:sz w:val="20"/>
          <w:szCs w:val="20"/>
          <w:lang w:eastAsia="en-US"/>
        </w:rPr>
      </w:pPr>
      <w:r w:rsidRPr="001A5CE2">
        <w:rPr>
          <w:rFonts w:eastAsia="Calibri" w:cs="Times New Roman"/>
          <w:b/>
          <w:bCs/>
          <w:i/>
          <w:iCs/>
          <w:color w:val="auto"/>
          <w:sz w:val="20"/>
          <w:szCs w:val="20"/>
          <w:lang w:eastAsia="en-US"/>
        </w:rPr>
        <w:t>“Cuentas bancarias y/o CLABE interbancaria de personas físicas y morales privadas.</w:t>
      </w:r>
      <w:r w:rsidRPr="001A5CE2">
        <w:rPr>
          <w:rFonts w:eastAsia="Calibri" w:cs="Times New Roman"/>
          <w:i/>
          <w:iCs/>
          <w:color w:val="auto"/>
          <w:sz w:val="20"/>
          <w:szCs w:val="20"/>
          <w:lang w:eastAsia="en-U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w:t>
      </w:r>
      <w:r w:rsidRPr="001A5CE2">
        <w:rPr>
          <w:rFonts w:eastAsia="Calibri" w:cs="Times New Roman"/>
          <w:i/>
          <w:iCs/>
          <w:color w:val="auto"/>
          <w:sz w:val="20"/>
          <w:szCs w:val="20"/>
          <w:lang w:eastAsia="en-US"/>
        </w:rPr>
        <w:lastRenderedPageBreak/>
        <w:t>clasificada con fundamento en los artículos 116 de la Ley General de Transparencia y Acceso a la Información Pública y 113 de la Ley Federal de Transparencia y Acceso a la Información Pública.”</w:t>
      </w:r>
    </w:p>
    <w:p w14:paraId="2A87EB1C" w14:textId="77777777" w:rsidR="001A5CE2" w:rsidRDefault="001A5CE2" w:rsidP="00701F40">
      <w:pPr>
        <w:spacing w:after="0" w:line="360" w:lineRule="auto"/>
      </w:pPr>
    </w:p>
    <w:p w14:paraId="62680F0D" w14:textId="48BB200F" w:rsidR="001A5CE2" w:rsidRDefault="001A5CE2" w:rsidP="00701F40">
      <w:pPr>
        <w:spacing w:after="0" w:line="360" w:lineRule="auto"/>
      </w:pPr>
      <w: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FC4B2D2" w14:textId="77777777" w:rsidR="001A5CE2" w:rsidRDefault="001A5CE2" w:rsidP="00701F40">
      <w:pPr>
        <w:spacing w:after="0" w:line="360" w:lineRule="auto"/>
      </w:pPr>
    </w:p>
    <w:p w14:paraId="726CDE36" w14:textId="43A682F7" w:rsidR="009B2C9C" w:rsidRDefault="001A5CE2" w:rsidP="00701F40">
      <w:pPr>
        <w:spacing w:after="0" w:line="360" w:lineRule="auto"/>
        <w:rPr>
          <w:rFonts w:eastAsia="Calibri" w:cs="Tahoma"/>
          <w:bCs/>
          <w:color w:val="000000"/>
          <w:lang w:eastAsia="en-US"/>
        </w:rPr>
      </w:pPr>
      <w:r w:rsidRPr="001A5CE2">
        <w:rPr>
          <w:rFonts w:eastAsia="Calibri" w:cs="Tahoma"/>
          <w:bCs/>
          <w:color w:val="000000"/>
          <w:lang w:eastAsia="en-US"/>
        </w:rPr>
        <w:t xml:space="preserve">Sobre dicha situación, el Sujeto Obligado, </w:t>
      </w:r>
      <w:r w:rsidR="004A6EBF">
        <w:rPr>
          <w:rFonts w:eastAsia="Calibri" w:cs="Tahoma"/>
          <w:bCs/>
          <w:color w:val="000000"/>
          <w:lang w:eastAsia="en-US"/>
        </w:rPr>
        <w:t>en respuesta proporciono los recibos de nómina solicitados</w:t>
      </w:r>
      <w:r w:rsidR="00701F40">
        <w:rPr>
          <w:rFonts w:eastAsia="Calibri" w:cs="Tahoma"/>
          <w:bCs/>
          <w:color w:val="000000"/>
          <w:lang w:eastAsia="en-US"/>
        </w:rPr>
        <w:t>, en versión pública, con su cuadro de clasificación</w:t>
      </w:r>
      <w:r w:rsidR="009B2C9C">
        <w:rPr>
          <w:rFonts w:eastAsia="Calibri" w:cs="Tahoma"/>
          <w:bCs/>
          <w:color w:val="000000"/>
          <w:lang w:eastAsia="en-US"/>
        </w:rPr>
        <w:t>, en donde clasificó los datos de naturaleza privada, pues, además, fueron validados por la propia titular de los datos, a saber, la responsable de la Unidad de Transparencia, no obstante se omitió la entrega del Acuerdo de Clasificación.</w:t>
      </w:r>
    </w:p>
    <w:p w14:paraId="6C0C15FC" w14:textId="77777777" w:rsidR="009B2C9C" w:rsidRDefault="009B2C9C" w:rsidP="00701F40">
      <w:pPr>
        <w:spacing w:after="0" w:line="360" w:lineRule="auto"/>
        <w:rPr>
          <w:rFonts w:eastAsia="Calibri" w:cs="Tahoma"/>
          <w:bCs/>
          <w:color w:val="000000"/>
          <w:lang w:eastAsia="en-US"/>
        </w:rPr>
      </w:pPr>
    </w:p>
    <w:p w14:paraId="056C846F" w14:textId="519C3B49" w:rsidR="009B2C9C" w:rsidRDefault="009B2C9C" w:rsidP="009B2C9C">
      <w:pPr>
        <w:spacing w:after="0" w:line="360" w:lineRule="auto"/>
        <w:rPr>
          <w:lang w:val="es-ES"/>
        </w:rPr>
      </w:pPr>
      <w:r>
        <w:rPr>
          <w:rFonts w:eastAsia="Calibri" w:cs="Tahoma"/>
          <w:bCs/>
          <w:color w:val="000000"/>
          <w:lang w:eastAsia="en-US"/>
        </w:rPr>
        <w:t xml:space="preserve">No obstante, durante la sustanciación del Medio de Impugnación, el Sujeto Obligado remitió </w:t>
      </w:r>
      <w:r w:rsidRPr="001A5CE2">
        <w:rPr>
          <w:rFonts w:eastAsia="Calibri" w:cs="Tahoma"/>
          <w:bCs/>
          <w:color w:val="000000"/>
          <w:lang w:eastAsia="en-US"/>
        </w:rPr>
        <w:t>Acuerdo número</w:t>
      </w:r>
      <w:r w:rsidRPr="004A6EBF">
        <w:rPr>
          <w:color w:val="auto"/>
        </w:rPr>
        <w:t xml:space="preserve"> </w:t>
      </w:r>
      <w:r>
        <w:rPr>
          <w:color w:val="auto"/>
        </w:rPr>
        <w:t>CT</w:t>
      </w:r>
      <w:r>
        <w:t>/S11/EXT/AC02/2025,</w:t>
      </w:r>
      <w:r>
        <w:rPr>
          <w:rFonts w:cs="Tahoma"/>
          <w:lang w:val="es-ES_tradnl"/>
        </w:rPr>
        <w:t xml:space="preserve"> emitido por el Comité de Transparencia, en donde de manera fundada y motivada, acredita la clasificación de los datos y válida la versión pública, por lo que, atendió lo establecido en el artículo 168 de la Ley de Transparencia y Acceso a la Información Pública del Estado de México y Municipios, mismo que fue suscrito por la Titular de la Unidad de Transparencia (la dueña de los datos personales)</w:t>
      </w:r>
      <w:r>
        <w:rPr>
          <w:rFonts w:eastAsia="Times New Roman" w:cs="Tahoma"/>
          <w:bCs/>
          <w:color w:val="auto"/>
          <w:lang w:eastAsia="es-ES"/>
        </w:rPr>
        <w:t>; por lo que, se considera que la impugnación que se dirime ha quedado sin materia.</w:t>
      </w:r>
    </w:p>
    <w:p w14:paraId="76C6799E" w14:textId="77777777" w:rsidR="009B2C9C" w:rsidRDefault="009B2C9C" w:rsidP="00701F40">
      <w:pPr>
        <w:spacing w:after="0" w:line="360" w:lineRule="auto"/>
        <w:rPr>
          <w:rFonts w:eastAsia="Calibri" w:cs="Tahoma"/>
          <w:bCs/>
          <w:color w:val="000000"/>
          <w:lang w:eastAsia="en-US"/>
        </w:rPr>
      </w:pPr>
    </w:p>
    <w:p w14:paraId="1B2EB8EE" w14:textId="21E534C1" w:rsidR="004A6EBF" w:rsidRPr="004A6EBF" w:rsidRDefault="004A6EBF" w:rsidP="00701F40">
      <w:pPr>
        <w:keepNext/>
        <w:keepLines/>
        <w:spacing w:after="0" w:line="360" w:lineRule="auto"/>
        <w:outlineLvl w:val="1"/>
        <w:rPr>
          <w:rFonts w:eastAsia="Times New Roman" w:cs="Times New Roman"/>
          <w:b/>
          <w:bCs/>
          <w:color w:val="auto"/>
          <w:lang w:eastAsia="en-US"/>
        </w:rPr>
      </w:pPr>
      <w:bookmarkStart w:id="12" w:name="_Toc193383153"/>
      <w:bookmarkStart w:id="13" w:name="_Toc206089166"/>
      <w:r w:rsidRPr="004A6EBF">
        <w:rPr>
          <w:rFonts w:eastAsia="Times New Roman" w:cs="Times New Roman"/>
          <w:b/>
          <w:bCs/>
          <w:color w:val="auto"/>
          <w:lang w:eastAsia="en-US"/>
        </w:rPr>
        <w:t>CUARTO. Decisión</w:t>
      </w:r>
      <w:bookmarkEnd w:id="12"/>
      <w:bookmarkEnd w:id="13"/>
    </w:p>
    <w:p w14:paraId="6A7946B8" w14:textId="77777777" w:rsidR="004A6EBF" w:rsidRPr="004A6EBF" w:rsidRDefault="004A6EBF" w:rsidP="00701F40">
      <w:pPr>
        <w:spacing w:after="0" w:line="360" w:lineRule="auto"/>
        <w:rPr>
          <w:rFonts w:eastAsia="Calibri" w:cs="Times New Roman"/>
          <w:b/>
          <w:color w:val="000000"/>
          <w:lang w:eastAsia="en-US"/>
        </w:rPr>
      </w:pPr>
    </w:p>
    <w:p w14:paraId="499AECE4" w14:textId="6F27637B" w:rsidR="004A6EBF" w:rsidRPr="004A6EBF" w:rsidRDefault="004A6EBF" w:rsidP="00701F40">
      <w:pPr>
        <w:spacing w:after="0" w:line="360" w:lineRule="auto"/>
        <w:contextualSpacing/>
        <w:rPr>
          <w:rFonts w:eastAsia="Calibri" w:cs="Tahoma"/>
          <w:bCs/>
          <w:iCs/>
          <w:color w:val="000000"/>
          <w:lang w:eastAsia="en-US"/>
        </w:rPr>
      </w:pPr>
      <w:r w:rsidRPr="004A6EBF">
        <w:rPr>
          <w:rFonts w:eastAsia="Calibri" w:cs="Tahoma"/>
          <w:bCs/>
          <w:iCs/>
          <w:color w:val="000000"/>
          <w:lang w:eastAsia="en-US"/>
        </w:rPr>
        <w:lastRenderedPageBreak/>
        <w:t xml:space="preserve">Con fundamento en lo dispuesto en el artículo 186, fracción I, de la Ley de Transparencia y Acceso a la Información Pública del Estado de México y Municipios, se considera procedente </w:t>
      </w:r>
      <w:r w:rsidRPr="004A6EBF">
        <w:rPr>
          <w:rFonts w:eastAsia="Calibri" w:cs="Tahoma"/>
          <w:b/>
          <w:bCs/>
          <w:iCs/>
          <w:color w:val="000000"/>
          <w:lang w:eastAsia="en-US"/>
        </w:rPr>
        <w:t xml:space="preserve">SOBRESEER </w:t>
      </w:r>
      <w:r w:rsidRPr="004A6EBF">
        <w:rPr>
          <w:rFonts w:eastAsia="Calibri" w:cs="Tahoma"/>
          <w:bCs/>
          <w:iCs/>
          <w:color w:val="000000"/>
          <w:lang w:eastAsia="en-US"/>
        </w:rPr>
        <w:t xml:space="preserve">el Recurso de Revisión, en virtud de que se actualiza la hipótesis normativa prevista en la fracción </w:t>
      </w:r>
      <w:r w:rsidR="009B2C9C">
        <w:rPr>
          <w:rFonts w:eastAsia="Calibri" w:cs="Tahoma"/>
          <w:bCs/>
          <w:iCs/>
          <w:color w:val="000000"/>
          <w:lang w:eastAsia="en-US"/>
        </w:rPr>
        <w:t>III</w:t>
      </w:r>
      <w:r w:rsidRPr="004A6EBF">
        <w:rPr>
          <w:rFonts w:eastAsia="Calibri" w:cs="Tahoma"/>
          <w:bCs/>
          <w:iCs/>
          <w:color w:val="000000"/>
          <w:lang w:eastAsia="en-US"/>
        </w:rPr>
        <w:t>, del artículo 192, del citado ordenamiento legal.</w:t>
      </w:r>
    </w:p>
    <w:p w14:paraId="577EBDD2" w14:textId="77777777" w:rsidR="004A6EBF" w:rsidRPr="004A6EBF" w:rsidRDefault="004A6EBF" w:rsidP="00701F40">
      <w:pPr>
        <w:spacing w:after="0" w:line="360" w:lineRule="auto"/>
        <w:rPr>
          <w:rFonts w:eastAsia="Calibri" w:cs="Times New Roman"/>
          <w:b/>
          <w:color w:val="000000"/>
          <w:lang w:eastAsia="en-US"/>
        </w:rPr>
      </w:pPr>
    </w:p>
    <w:p w14:paraId="63177E11" w14:textId="77777777" w:rsidR="004A6EBF" w:rsidRPr="004A6EBF" w:rsidRDefault="004A6EBF" w:rsidP="00701F40">
      <w:pPr>
        <w:spacing w:after="0" w:line="360" w:lineRule="auto"/>
        <w:rPr>
          <w:rFonts w:eastAsia="Calibri" w:cs="Tahoma"/>
          <w:bCs/>
          <w:iCs/>
          <w:color w:val="000000"/>
          <w:lang w:eastAsia="en-US"/>
        </w:rPr>
      </w:pPr>
    </w:p>
    <w:p w14:paraId="174C3768" w14:textId="77777777" w:rsidR="004A6EBF" w:rsidRPr="004A6EBF" w:rsidRDefault="004A6EBF" w:rsidP="00701F40">
      <w:pPr>
        <w:spacing w:after="0" w:line="360" w:lineRule="auto"/>
        <w:rPr>
          <w:rFonts w:eastAsia="Calibri"/>
          <w:b/>
          <w:color w:val="000000"/>
          <w:lang w:eastAsia="en-US"/>
        </w:rPr>
      </w:pPr>
      <w:r w:rsidRPr="004A6EBF">
        <w:rPr>
          <w:rFonts w:eastAsia="Calibri" w:cs="Times New Roman"/>
          <w:b/>
          <w:color w:val="000000"/>
          <w:lang w:eastAsia="en-US"/>
        </w:rPr>
        <w:t>Términos de la Resolución para conocimiento del Particular</w:t>
      </w:r>
    </w:p>
    <w:p w14:paraId="61F65377" w14:textId="77777777" w:rsidR="004A6EBF" w:rsidRPr="004A6EBF" w:rsidRDefault="004A6EBF" w:rsidP="00701F40">
      <w:pPr>
        <w:spacing w:after="0" w:line="360" w:lineRule="auto"/>
        <w:rPr>
          <w:rFonts w:eastAsia="Calibri" w:cs="Times New Roman"/>
          <w:b/>
          <w:color w:val="000000"/>
          <w:lang w:eastAsia="en-US"/>
        </w:rPr>
      </w:pPr>
    </w:p>
    <w:p w14:paraId="54C5B4BD" w14:textId="4727A891" w:rsidR="004A6EBF" w:rsidRPr="004A6EBF" w:rsidRDefault="004A6EBF" w:rsidP="00701F40">
      <w:pPr>
        <w:spacing w:after="0" w:line="360" w:lineRule="auto"/>
        <w:ind w:right="-28"/>
        <w:contextualSpacing/>
        <w:rPr>
          <w:rFonts w:eastAsia="Calibri" w:cs="Times New Roman"/>
          <w:color w:val="000000"/>
        </w:rPr>
      </w:pPr>
      <w:r w:rsidRPr="004A6EBF">
        <w:rPr>
          <w:rFonts w:eastAsia="Calibri" w:cs="Times New Roman"/>
          <w:color w:val="000000"/>
        </w:rPr>
        <w:t xml:space="preserve">Se le hace del conocimiento al Particular, que, en el presente caso, se le concede </w:t>
      </w:r>
      <w:r>
        <w:rPr>
          <w:rFonts w:eastAsia="Calibri" w:cs="Times New Roman"/>
          <w:color w:val="000000"/>
        </w:rPr>
        <w:t xml:space="preserve">parcialmente </w:t>
      </w:r>
      <w:r w:rsidRPr="004A6EBF">
        <w:rPr>
          <w:rFonts w:eastAsia="Calibri" w:cs="Times New Roman"/>
          <w:color w:val="000000"/>
        </w:rPr>
        <w:t xml:space="preserve">la razón, pues </w:t>
      </w:r>
      <w:r>
        <w:rPr>
          <w:rFonts w:eastAsia="Calibri" w:cs="Times New Roman"/>
          <w:color w:val="000000"/>
        </w:rPr>
        <w:t>el si bien el Sujeto Obligado proporciono los recibos de nómina solicitados</w:t>
      </w:r>
      <w:r w:rsidR="007554E5">
        <w:rPr>
          <w:rFonts w:eastAsia="Calibri" w:cs="Times New Roman"/>
          <w:color w:val="000000"/>
        </w:rPr>
        <w:t xml:space="preserve"> y </w:t>
      </w:r>
      <w:r>
        <w:rPr>
          <w:rFonts w:eastAsia="Calibri" w:cs="Times New Roman"/>
          <w:color w:val="000000"/>
        </w:rPr>
        <w:t xml:space="preserve">mediante informe justificado proporciono el acuerdo por el que se aprobó la versión pública de los mismo, </w:t>
      </w:r>
      <w:r w:rsidRPr="004A6EBF">
        <w:rPr>
          <w:rFonts w:eastAsia="Calibri" w:cs="Times New Roman"/>
          <w:color w:val="000000"/>
        </w:rPr>
        <w:t xml:space="preserve">lo hizo de manera incorrecta, sin embargo, </w:t>
      </w:r>
      <w:r>
        <w:rPr>
          <w:rFonts w:eastAsia="Calibri" w:cs="Times New Roman"/>
          <w:color w:val="000000"/>
        </w:rPr>
        <w:t xml:space="preserve">la información </w:t>
      </w:r>
      <w:r w:rsidRPr="004A6EBF">
        <w:rPr>
          <w:rFonts w:eastAsia="Calibri" w:cs="Times New Roman"/>
          <w:color w:val="000000"/>
        </w:rPr>
        <w:t>ya fue puesta a su disposición por lo que dejó sin materia el Medio de Impugnación.</w:t>
      </w:r>
    </w:p>
    <w:p w14:paraId="359BAAE0" w14:textId="41ECEF65" w:rsidR="001A5CE2" w:rsidRPr="001A5CE2" w:rsidRDefault="001A5CE2" w:rsidP="00701F40">
      <w:pPr>
        <w:spacing w:after="0" w:line="360" w:lineRule="auto"/>
        <w:rPr>
          <w:rFonts w:eastAsia="Calibri" w:cs="Tahoma"/>
          <w:b/>
          <w:bCs/>
          <w:color w:val="auto"/>
          <w:lang w:val="es-ES"/>
        </w:rPr>
      </w:pPr>
    </w:p>
    <w:p w14:paraId="27175053" w14:textId="77777777" w:rsidR="007554E5" w:rsidRPr="007554E5" w:rsidRDefault="007554E5" w:rsidP="00701F40">
      <w:pPr>
        <w:spacing w:after="0" w:line="360" w:lineRule="auto"/>
        <w:ind w:right="-28"/>
        <w:rPr>
          <w:rFonts w:eastAsia="Calibri" w:cs="Tahoma"/>
          <w:color w:val="000000"/>
          <w:lang w:eastAsia="en-US"/>
        </w:rPr>
      </w:pPr>
      <w:r w:rsidRPr="007554E5">
        <w:rPr>
          <w:rFonts w:eastAsia="Calibri" w:cs="Tahoma"/>
          <w:bCs/>
          <w:iCs/>
          <w:color w:val="auto"/>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4713DE5" w14:textId="77777777" w:rsidR="007554E5" w:rsidRPr="007554E5" w:rsidRDefault="007554E5" w:rsidP="00701F40">
      <w:pPr>
        <w:spacing w:after="0" w:line="360" w:lineRule="auto"/>
        <w:rPr>
          <w:rFonts w:eastAsia="Calibri" w:cs="Times New Roman"/>
          <w:color w:val="000000"/>
          <w:lang w:eastAsia="en-US"/>
        </w:rPr>
      </w:pPr>
    </w:p>
    <w:p w14:paraId="47604771" w14:textId="77777777" w:rsidR="007554E5" w:rsidRPr="007554E5" w:rsidRDefault="007554E5" w:rsidP="00701F40">
      <w:pPr>
        <w:spacing w:after="0" w:line="360" w:lineRule="auto"/>
        <w:rPr>
          <w:rFonts w:eastAsia="Calibri" w:cs="Times New Roman"/>
          <w:color w:val="000000"/>
          <w:lang w:eastAsia="en-US"/>
        </w:rPr>
      </w:pPr>
      <w:r w:rsidRPr="007554E5">
        <w:rPr>
          <w:rFonts w:eastAsia="Calibri" w:cs="Times New Roman"/>
          <w:color w:val="000000"/>
          <w:lang w:eastAsia="en-US"/>
        </w:rPr>
        <w:t>Por lo expuesto y fundado, este Pleno:</w:t>
      </w:r>
    </w:p>
    <w:p w14:paraId="53A19E4E" w14:textId="77777777" w:rsidR="007554E5" w:rsidRPr="007554E5" w:rsidRDefault="007554E5" w:rsidP="00701F40">
      <w:pPr>
        <w:spacing w:after="0" w:line="360" w:lineRule="auto"/>
        <w:rPr>
          <w:rFonts w:eastAsia="Calibri" w:cs="Times New Roman"/>
          <w:color w:val="000000"/>
          <w:lang w:eastAsia="en-US"/>
        </w:rPr>
      </w:pPr>
    </w:p>
    <w:p w14:paraId="7A42F185" w14:textId="77777777" w:rsidR="007554E5" w:rsidRPr="007554E5" w:rsidRDefault="007554E5" w:rsidP="00701F40">
      <w:pPr>
        <w:keepNext/>
        <w:keepLines/>
        <w:spacing w:after="0" w:line="360" w:lineRule="auto"/>
        <w:jc w:val="center"/>
        <w:outlineLvl w:val="0"/>
        <w:rPr>
          <w:rFonts w:eastAsia="Times New Roman" w:cs="Times New Roman"/>
          <w:b/>
          <w:bCs/>
          <w:color w:val="auto"/>
          <w:lang w:eastAsia="en-US"/>
        </w:rPr>
      </w:pPr>
      <w:bookmarkStart w:id="14" w:name="_Toc193383156"/>
      <w:bookmarkStart w:id="15" w:name="_Toc206089167"/>
      <w:r w:rsidRPr="007554E5">
        <w:rPr>
          <w:rFonts w:eastAsia="Times New Roman" w:cs="Times New Roman"/>
          <w:b/>
          <w:bCs/>
          <w:color w:val="auto"/>
          <w:lang w:eastAsia="en-US"/>
        </w:rPr>
        <w:t>R E S U E L V E</w:t>
      </w:r>
      <w:bookmarkEnd w:id="14"/>
      <w:bookmarkEnd w:id="15"/>
    </w:p>
    <w:p w14:paraId="75387DB0" w14:textId="77777777" w:rsidR="007554E5" w:rsidRPr="007554E5" w:rsidRDefault="007554E5" w:rsidP="00701F40">
      <w:pPr>
        <w:spacing w:after="0" w:line="360" w:lineRule="auto"/>
        <w:rPr>
          <w:rFonts w:eastAsia="Calibri" w:cs="Times New Roman"/>
          <w:color w:val="000000"/>
          <w:lang w:eastAsia="en-US"/>
        </w:rPr>
      </w:pPr>
    </w:p>
    <w:p w14:paraId="020383A8" w14:textId="77777777" w:rsidR="009B2C9C" w:rsidRDefault="007554E5" w:rsidP="009B2C9C">
      <w:pPr>
        <w:spacing w:after="0" w:line="360" w:lineRule="auto"/>
        <w:rPr>
          <w:rFonts w:eastAsia="Calibri" w:cs="Times New Roman"/>
          <w:bCs/>
          <w:color w:val="auto"/>
          <w:lang w:eastAsia="es-ES"/>
        </w:rPr>
      </w:pPr>
      <w:r w:rsidRPr="007554E5">
        <w:rPr>
          <w:rFonts w:eastAsia="Calibri" w:cs="Tahoma"/>
          <w:b/>
          <w:bCs/>
          <w:color w:val="000000"/>
          <w:lang w:eastAsia="en-US"/>
        </w:rPr>
        <w:t xml:space="preserve">PRIMERO. </w:t>
      </w:r>
      <w:r w:rsidRPr="007554E5">
        <w:rPr>
          <w:rFonts w:eastAsia="Calibri" w:cs="Tahoma"/>
          <w:color w:val="000000"/>
          <w:lang w:eastAsia="en-US"/>
        </w:rPr>
        <w:t xml:space="preserve">Se </w:t>
      </w:r>
      <w:r w:rsidRPr="007554E5">
        <w:rPr>
          <w:rFonts w:eastAsia="Calibri" w:cs="Tahoma"/>
          <w:b/>
          <w:bCs/>
          <w:color w:val="000000"/>
          <w:lang w:eastAsia="en-US"/>
        </w:rPr>
        <w:t xml:space="preserve">SOBRESEE </w:t>
      </w:r>
      <w:r w:rsidRPr="007554E5">
        <w:rPr>
          <w:rFonts w:eastAsia="Calibri" w:cs="Tahoma"/>
          <w:color w:val="000000"/>
          <w:lang w:eastAsia="en-US"/>
        </w:rPr>
        <w:t>el Recurso de Revisión 0</w:t>
      </w:r>
      <w:r>
        <w:rPr>
          <w:rFonts w:eastAsia="Calibri" w:cs="Tahoma"/>
          <w:color w:val="000000"/>
          <w:lang w:eastAsia="en-US"/>
        </w:rPr>
        <w:t>7981</w:t>
      </w:r>
      <w:r w:rsidRPr="007554E5">
        <w:rPr>
          <w:rFonts w:eastAsia="Calibri" w:cs="Tahoma"/>
          <w:color w:val="000000"/>
          <w:lang w:eastAsia="en-US"/>
        </w:rPr>
        <w:t xml:space="preserve">/INFOEM/IP/RR/2025, </w:t>
      </w:r>
      <w:r w:rsidR="009B2C9C">
        <w:rPr>
          <w:rFonts w:cs="Arial"/>
          <w:bCs/>
          <w:color w:val="auto"/>
          <w:lang w:val="es-ES"/>
        </w:rPr>
        <w:t>en términos del artículo 192, fracción III, de la Ley de Transparencia y Acceso a la Información Pública del Estado de México y Municipios,</w:t>
      </w:r>
      <w:r w:rsidR="009B2C9C">
        <w:rPr>
          <w:rFonts w:eastAsia="Calibri" w:cs="Tahoma"/>
          <w:b/>
          <w:bCs/>
          <w:iCs/>
          <w:color w:val="auto"/>
        </w:rPr>
        <w:t xml:space="preserve"> </w:t>
      </w:r>
      <w:r w:rsidR="009B2C9C">
        <w:rPr>
          <w:rFonts w:eastAsia="Calibri" w:cs="Tahoma"/>
          <w:iCs/>
          <w:color w:val="auto"/>
        </w:rPr>
        <w:t xml:space="preserve">porque el Sujeto Obligado, al modificar la respuesta a la </w:t>
      </w:r>
      <w:r w:rsidR="009B2C9C">
        <w:rPr>
          <w:rFonts w:eastAsia="Calibri" w:cs="Tahoma"/>
          <w:iCs/>
          <w:color w:val="auto"/>
        </w:rPr>
        <w:lastRenderedPageBreak/>
        <w:t xml:space="preserve">solicitud de acceso a la información con número </w:t>
      </w:r>
      <w:r w:rsidR="009B2C9C" w:rsidRPr="00074EA3">
        <w:rPr>
          <w:color w:val="auto"/>
        </w:rPr>
        <w:t>00448/ZINACANT/IP/2025</w:t>
      </w:r>
      <w:r w:rsidR="009B2C9C">
        <w:rPr>
          <w:rFonts w:eastAsia="Calibri" w:cs="Tahoma"/>
          <w:iCs/>
          <w:color w:val="auto"/>
        </w:rPr>
        <w:t>,</w:t>
      </w:r>
      <w:r w:rsidR="009B2C9C">
        <w:rPr>
          <w:rFonts w:eastAsia="Calibri" w:cs="Times New Roman"/>
          <w:bCs/>
          <w:color w:val="auto"/>
          <w:lang w:eastAsia="es-ES"/>
        </w:rPr>
        <w:t xml:space="preserve"> </w:t>
      </w:r>
      <w:r w:rsidR="009B2C9C">
        <w:rPr>
          <w:rFonts w:eastAsia="Calibri" w:cs="Tahoma"/>
          <w:iCs/>
          <w:color w:val="auto"/>
        </w:rPr>
        <w:t>el Medio de Impugnación, quedó sin materia, en términos de los Considerandos</w:t>
      </w:r>
      <w:r w:rsidR="009B2C9C">
        <w:rPr>
          <w:rFonts w:eastAsia="Calibri" w:cs="Tahoma"/>
          <w:b/>
          <w:bCs/>
          <w:iCs/>
          <w:color w:val="auto"/>
        </w:rPr>
        <w:t xml:space="preserve"> TERCERO </w:t>
      </w:r>
      <w:r w:rsidR="009B2C9C">
        <w:rPr>
          <w:rFonts w:eastAsia="Calibri" w:cs="Tahoma"/>
          <w:bCs/>
          <w:iCs/>
          <w:color w:val="auto"/>
        </w:rPr>
        <w:t>y</w:t>
      </w:r>
      <w:r w:rsidR="009B2C9C">
        <w:rPr>
          <w:rFonts w:eastAsia="Calibri" w:cs="Tahoma"/>
          <w:b/>
          <w:bCs/>
          <w:iCs/>
          <w:color w:val="auto"/>
        </w:rPr>
        <w:t xml:space="preserve"> CUARTO </w:t>
      </w:r>
      <w:r w:rsidR="009B2C9C">
        <w:rPr>
          <w:rFonts w:eastAsia="Calibri" w:cs="Tahoma"/>
          <w:iCs/>
          <w:color w:val="auto"/>
        </w:rPr>
        <w:t>de la presente Resolución.</w:t>
      </w:r>
    </w:p>
    <w:p w14:paraId="5193B834" w14:textId="77777777" w:rsidR="007554E5" w:rsidRPr="007554E5" w:rsidRDefault="007554E5" w:rsidP="00701F40">
      <w:pPr>
        <w:spacing w:after="0" w:line="360" w:lineRule="auto"/>
        <w:ind w:right="113"/>
        <w:contextualSpacing/>
        <w:rPr>
          <w:rFonts w:eastAsia="Calibri" w:cs="Arial"/>
          <w:b/>
          <w:color w:val="000000"/>
          <w:lang w:eastAsia="en-US"/>
        </w:rPr>
      </w:pPr>
    </w:p>
    <w:p w14:paraId="2B0E82F3" w14:textId="77777777" w:rsidR="007554E5" w:rsidRPr="007554E5" w:rsidRDefault="007554E5" w:rsidP="00701F40">
      <w:pPr>
        <w:spacing w:after="0" w:line="360" w:lineRule="auto"/>
        <w:contextualSpacing/>
        <w:rPr>
          <w:rFonts w:eastAsia="Calibri" w:cs="Tahoma"/>
          <w:color w:val="000000"/>
          <w:lang w:eastAsia="en-US"/>
        </w:rPr>
      </w:pPr>
      <w:r w:rsidRPr="007554E5">
        <w:rPr>
          <w:rFonts w:eastAsia="Calibri" w:cs="Tahoma"/>
          <w:b/>
          <w:bCs/>
          <w:color w:val="000000"/>
          <w:lang w:eastAsia="en-US"/>
        </w:rPr>
        <w:t>SEGUNDO.</w:t>
      </w:r>
      <w:r w:rsidRPr="007554E5">
        <w:rPr>
          <w:rFonts w:eastAsia="Calibri" w:cs="Tahoma"/>
          <w:color w:val="000000"/>
          <w:lang w:eastAsia="en-US"/>
        </w:rPr>
        <w:t xml:space="preserve"> </w:t>
      </w:r>
      <w:r w:rsidRPr="007554E5">
        <w:rPr>
          <w:rFonts w:eastAsia="Calibri" w:cs="Tahoma"/>
          <w:b/>
          <w:bCs/>
          <w:color w:val="000000"/>
          <w:lang w:eastAsia="en-US"/>
        </w:rPr>
        <w:t>NOTIFÍQUESE POR SAIMEX</w:t>
      </w:r>
      <w:r w:rsidRPr="007554E5">
        <w:rPr>
          <w:rFonts w:eastAsia="Calibri" w:cs="Tahoma"/>
          <w:color w:val="000000"/>
          <w:lang w:eastAsia="en-US"/>
        </w:rPr>
        <w:t xml:space="preserve"> la presente resolución al Titular de la Unidad de Transparencia del Sujeto Obligado.</w:t>
      </w:r>
    </w:p>
    <w:p w14:paraId="66C278DF" w14:textId="77777777" w:rsidR="007554E5" w:rsidRPr="007554E5" w:rsidRDefault="007554E5" w:rsidP="00701F40">
      <w:pPr>
        <w:spacing w:after="0" w:line="360" w:lineRule="auto"/>
        <w:contextualSpacing/>
        <w:rPr>
          <w:rFonts w:eastAsia="Calibri" w:cs="Tahoma"/>
          <w:color w:val="000000"/>
          <w:lang w:eastAsia="en-US"/>
        </w:rPr>
      </w:pPr>
    </w:p>
    <w:p w14:paraId="4DA3DF9F" w14:textId="77777777" w:rsidR="007554E5" w:rsidRPr="007554E5" w:rsidRDefault="007554E5" w:rsidP="00701F40">
      <w:pPr>
        <w:spacing w:after="0" w:line="360" w:lineRule="auto"/>
        <w:contextualSpacing/>
        <w:rPr>
          <w:rFonts w:eastAsia="Calibri" w:cs="Tahoma"/>
          <w:color w:val="000000"/>
          <w:lang w:eastAsia="en-US"/>
        </w:rPr>
      </w:pPr>
      <w:r w:rsidRPr="007554E5">
        <w:rPr>
          <w:rFonts w:eastAsia="Calibri" w:cs="Tahoma"/>
          <w:b/>
          <w:color w:val="000000"/>
          <w:lang w:eastAsia="en-US"/>
        </w:rPr>
        <w:t>TERCERO. NOTIFÍQUESE POR SAIMEX</w:t>
      </w:r>
      <w:r w:rsidRPr="007554E5">
        <w:rPr>
          <w:rFonts w:eastAsia="Calibri" w:cs="Tahoma"/>
          <w:color w:val="000000"/>
          <w:lang w:eastAsia="en-US"/>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C6C416" w14:textId="77777777" w:rsidR="007554E5" w:rsidRPr="007554E5" w:rsidRDefault="007554E5" w:rsidP="00701F40">
      <w:pPr>
        <w:spacing w:after="0" w:line="360" w:lineRule="auto"/>
        <w:contextualSpacing/>
        <w:rPr>
          <w:rFonts w:eastAsia="Calibri" w:cs="Tahoma"/>
          <w:color w:val="000000"/>
          <w:lang w:eastAsia="en-US"/>
        </w:rPr>
      </w:pPr>
    </w:p>
    <w:p w14:paraId="23867F40" w14:textId="13A4C4AD" w:rsidR="007554E5" w:rsidRPr="007554E5" w:rsidRDefault="007554E5" w:rsidP="00701F40">
      <w:pPr>
        <w:spacing w:after="0" w:line="360" w:lineRule="auto"/>
        <w:rPr>
          <w:rFonts w:eastAsia="Calibri" w:cs="Tahoma"/>
          <w:bCs/>
          <w:color w:val="000000"/>
          <w:lang w:eastAsia="en-US"/>
        </w:rPr>
      </w:pPr>
      <w:r w:rsidRPr="007554E5">
        <w:rPr>
          <w:rFonts w:eastAsia="Calibri" w:cs="Tahoma"/>
          <w:bCs/>
          <w:color w:val="000000"/>
          <w:lang w:eastAsia="en-US"/>
        </w:rPr>
        <w:t xml:space="preserve">ASÍ LO RESUELVE, POR </w:t>
      </w:r>
      <w:r w:rsidRPr="007554E5">
        <w:rPr>
          <w:rFonts w:eastAsia="Calibri" w:cs="Tahoma"/>
          <w:b/>
          <w:color w:val="000000"/>
          <w:lang w:eastAsia="en-US"/>
        </w:rPr>
        <w:t>UNANIMIDAD</w:t>
      </w:r>
      <w:r w:rsidRPr="007554E5">
        <w:rPr>
          <w:rFonts w:eastAsia="Calibri" w:cs="Tahoma"/>
          <w:bCs/>
          <w:color w:val="000000"/>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37BF0">
        <w:rPr>
          <w:rFonts w:eastAsia="Calibri" w:cs="Tahoma"/>
          <w:bCs/>
          <w:color w:val="000000"/>
          <w:lang w:eastAsia="en-US"/>
        </w:rPr>
        <w:t>VIGÉSIMA OCTAVA</w:t>
      </w:r>
      <w:r w:rsidR="006467C0">
        <w:rPr>
          <w:rFonts w:eastAsia="Calibri" w:cs="Tahoma"/>
          <w:bCs/>
          <w:color w:val="000000"/>
          <w:lang w:eastAsia="en-US"/>
        </w:rPr>
        <w:t xml:space="preserve"> SESIÓN</w:t>
      </w:r>
      <w:r w:rsidR="00537BF0">
        <w:rPr>
          <w:rFonts w:eastAsia="Calibri" w:cs="Tahoma"/>
          <w:bCs/>
          <w:color w:val="000000"/>
          <w:lang w:eastAsia="en-US"/>
        </w:rPr>
        <w:t xml:space="preserve"> </w:t>
      </w:r>
      <w:r w:rsidRPr="007554E5">
        <w:rPr>
          <w:rFonts w:eastAsia="Calibri" w:cs="Tahoma"/>
          <w:bCs/>
          <w:color w:val="000000"/>
          <w:lang w:eastAsia="en-US"/>
        </w:rPr>
        <w:t xml:space="preserve">ORDINARIA, CELEBRADA EL </w:t>
      </w:r>
      <w:r w:rsidR="00537BF0">
        <w:rPr>
          <w:rFonts w:eastAsia="Calibri" w:cs="Tahoma"/>
          <w:bCs/>
          <w:color w:val="000000"/>
          <w:lang w:eastAsia="en-US"/>
        </w:rPr>
        <w:t xml:space="preserve">TRECE DE AGOSTO </w:t>
      </w:r>
      <w:r w:rsidRPr="007554E5">
        <w:rPr>
          <w:rFonts w:eastAsia="Calibri" w:cs="Tahoma"/>
          <w:bCs/>
          <w:color w:val="000000"/>
          <w:lang w:eastAsia="en-US"/>
        </w:rPr>
        <w:t>DE DOS MIL VEINTICINCO, ANTE EL SECRETARIO TÉCNICO DEL PLENO, ALEXIS TAPIA RAMÍREZ.</w:t>
      </w:r>
    </w:p>
    <w:p w14:paraId="79CC8F71" w14:textId="77777777" w:rsidR="007554E5" w:rsidRPr="007554E5" w:rsidRDefault="007554E5" w:rsidP="00701F40">
      <w:pPr>
        <w:spacing w:after="0" w:line="360" w:lineRule="auto"/>
        <w:rPr>
          <w:rFonts w:eastAsia="Times New Roman" w:cs="Times New Roman"/>
          <w:color w:val="auto"/>
          <w:lang w:eastAsia="es-ES"/>
        </w:rPr>
      </w:pPr>
    </w:p>
    <w:p w14:paraId="543B4974" w14:textId="77777777" w:rsidR="00545835" w:rsidRDefault="00545835" w:rsidP="00701F40">
      <w:pPr>
        <w:spacing w:after="0" w:line="360" w:lineRule="auto"/>
        <w:rPr>
          <w:color w:val="FF0000"/>
        </w:rPr>
      </w:pPr>
    </w:p>
    <w:p w14:paraId="64263EC3" w14:textId="77777777" w:rsidR="00260BA5" w:rsidRDefault="00260BA5" w:rsidP="00701F40">
      <w:pPr>
        <w:spacing w:after="0" w:line="360" w:lineRule="auto"/>
        <w:rPr>
          <w:color w:val="FF0000"/>
        </w:rPr>
      </w:pPr>
    </w:p>
    <w:p w14:paraId="2A42B920" w14:textId="77777777" w:rsidR="00260BA5" w:rsidRDefault="00260BA5" w:rsidP="00701F40">
      <w:pPr>
        <w:spacing w:after="0" w:line="360" w:lineRule="auto"/>
        <w:rPr>
          <w:color w:val="FF0000"/>
        </w:rPr>
      </w:pPr>
    </w:p>
    <w:p w14:paraId="5CC4C4E2" w14:textId="77777777" w:rsidR="00260BA5" w:rsidRDefault="00260BA5" w:rsidP="00701F40">
      <w:pPr>
        <w:spacing w:after="0" w:line="360" w:lineRule="auto"/>
        <w:rPr>
          <w:color w:val="FF0000"/>
        </w:rPr>
      </w:pPr>
    </w:p>
    <w:p w14:paraId="03C1FE27" w14:textId="77777777" w:rsidR="00260BA5" w:rsidRDefault="00260BA5" w:rsidP="00701F40">
      <w:pPr>
        <w:spacing w:after="0" w:line="360" w:lineRule="auto"/>
        <w:rPr>
          <w:color w:val="FF0000"/>
        </w:rPr>
      </w:pPr>
    </w:p>
    <w:p w14:paraId="443FCECC" w14:textId="77777777" w:rsidR="00260BA5" w:rsidRPr="00074EA3" w:rsidRDefault="00260BA5" w:rsidP="00701F40">
      <w:pPr>
        <w:spacing w:after="0" w:line="360" w:lineRule="auto"/>
        <w:rPr>
          <w:color w:val="FF0000"/>
        </w:rPr>
      </w:pPr>
    </w:p>
    <w:sectPr w:rsidR="00260BA5" w:rsidRPr="00074EA3"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A2EF0" w14:textId="77777777" w:rsidR="00E876BB" w:rsidRDefault="00E876BB">
      <w:pPr>
        <w:spacing w:after="0" w:line="240" w:lineRule="auto"/>
      </w:pPr>
      <w:r>
        <w:separator/>
      </w:r>
    </w:p>
  </w:endnote>
  <w:endnote w:type="continuationSeparator" w:id="0">
    <w:p w14:paraId="07988AD8" w14:textId="77777777" w:rsidR="00E876BB" w:rsidRDefault="00E8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59B72174" w:rsidR="00105060" w:rsidRDefault="001050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02D2">
      <w:rPr>
        <w:b/>
        <w:noProof/>
        <w:color w:val="000000"/>
        <w:sz w:val="24"/>
        <w:szCs w:val="24"/>
      </w:rPr>
      <w:t>31</w:t>
    </w:r>
    <w:r>
      <w:rPr>
        <w:b/>
        <w:color w:val="000000"/>
        <w:sz w:val="24"/>
        <w:szCs w:val="24"/>
      </w:rPr>
      <w:fldChar w:fldCharType="end"/>
    </w:r>
  </w:p>
  <w:p w14:paraId="7EB9860B" w14:textId="77777777" w:rsidR="00105060" w:rsidRDefault="0010506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105060" w:rsidRDefault="001050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366B6">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366B6">
      <w:rPr>
        <w:b/>
        <w:noProof/>
        <w:color w:val="000000"/>
        <w:sz w:val="24"/>
        <w:szCs w:val="24"/>
      </w:rPr>
      <w:t>31</w:t>
    </w:r>
    <w:r>
      <w:rPr>
        <w:b/>
        <w:color w:val="000000"/>
        <w:sz w:val="24"/>
        <w:szCs w:val="24"/>
      </w:rPr>
      <w:fldChar w:fldCharType="end"/>
    </w:r>
  </w:p>
  <w:p w14:paraId="0D7FA8D9" w14:textId="77777777" w:rsidR="00105060" w:rsidRDefault="0010506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105060" w:rsidRDefault="001050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366B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366B6">
      <w:rPr>
        <w:b/>
        <w:noProof/>
        <w:color w:val="000000"/>
        <w:sz w:val="24"/>
        <w:szCs w:val="24"/>
      </w:rPr>
      <w:t>31</w:t>
    </w:r>
    <w:r>
      <w:rPr>
        <w:b/>
        <w:color w:val="000000"/>
        <w:sz w:val="24"/>
        <w:szCs w:val="24"/>
      </w:rPr>
      <w:fldChar w:fldCharType="end"/>
    </w:r>
  </w:p>
  <w:p w14:paraId="6796AF5F" w14:textId="77777777" w:rsidR="00105060" w:rsidRDefault="0010506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43C49" w14:textId="77777777" w:rsidR="00E876BB" w:rsidRDefault="00E876BB">
      <w:pPr>
        <w:spacing w:after="0" w:line="240" w:lineRule="auto"/>
      </w:pPr>
      <w:r>
        <w:separator/>
      </w:r>
    </w:p>
  </w:footnote>
  <w:footnote w:type="continuationSeparator" w:id="0">
    <w:p w14:paraId="4F4B5411" w14:textId="77777777" w:rsidR="00E876BB" w:rsidRDefault="00E87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105060" w:rsidRDefault="0010506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05060" w14:paraId="10C29E94" w14:textId="77777777">
      <w:trPr>
        <w:trHeight w:val="132"/>
      </w:trPr>
      <w:tc>
        <w:tcPr>
          <w:tcW w:w="2691" w:type="dxa"/>
        </w:tcPr>
        <w:p w14:paraId="7D85A4B8" w14:textId="77777777" w:rsidR="00105060" w:rsidRDefault="00105060">
          <w:pPr>
            <w:tabs>
              <w:tab w:val="right" w:pos="8838"/>
            </w:tabs>
            <w:ind w:right="-105"/>
            <w:rPr>
              <w:b/>
            </w:rPr>
          </w:pPr>
          <w:r>
            <w:rPr>
              <w:b/>
            </w:rPr>
            <w:t>Recurso de Revisión:</w:t>
          </w:r>
        </w:p>
      </w:tc>
      <w:tc>
        <w:tcPr>
          <w:tcW w:w="3405" w:type="dxa"/>
        </w:tcPr>
        <w:p w14:paraId="0B0D1A9D" w14:textId="77777777" w:rsidR="00105060" w:rsidRDefault="00105060">
          <w:pPr>
            <w:tabs>
              <w:tab w:val="right" w:pos="8838"/>
            </w:tabs>
            <w:ind w:left="-28" w:right="-32"/>
          </w:pPr>
          <w:r>
            <w:t>03846/INFOEM/IP/RR/2020</w:t>
          </w:r>
        </w:p>
      </w:tc>
    </w:tr>
    <w:tr w:rsidR="00105060" w14:paraId="2F47AC72" w14:textId="77777777">
      <w:trPr>
        <w:trHeight w:val="261"/>
      </w:trPr>
      <w:tc>
        <w:tcPr>
          <w:tcW w:w="2691" w:type="dxa"/>
        </w:tcPr>
        <w:p w14:paraId="154A4752" w14:textId="77777777" w:rsidR="00105060" w:rsidRDefault="00105060">
          <w:pPr>
            <w:tabs>
              <w:tab w:val="right" w:pos="8838"/>
            </w:tabs>
            <w:ind w:right="-105"/>
            <w:rPr>
              <w:b/>
            </w:rPr>
          </w:pPr>
          <w:r>
            <w:rPr>
              <w:b/>
            </w:rPr>
            <w:t>Sujeto Obligado:</w:t>
          </w:r>
        </w:p>
      </w:tc>
      <w:tc>
        <w:tcPr>
          <w:tcW w:w="3405" w:type="dxa"/>
        </w:tcPr>
        <w:p w14:paraId="5D9EC711" w14:textId="77777777" w:rsidR="00105060" w:rsidRDefault="00105060">
          <w:pPr>
            <w:tabs>
              <w:tab w:val="right" w:pos="8838"/>
            </w:tabs>
            <w:ind w:right="-32"/>
          </w:pPr>
          <w:r>
            <w:t>Ayuntamiento de Temascalcingo</w:t>
          </w:r>
        </w:p>
      </w:tc>
    </w:tr>
    <w:tr w:rsidR="00105060" w14:paraId="11FBB450" w14:textId="77777777">
      <w:trPr>
        <w:trHeight w:val="261"/>
      </w:trPr>
      <w:tc>
        <w:tcPr>
          <w:tcW w:w="2691" w:type="dxa"/>
        </w:tcPr>
        <w:p w14:paraId="6BAF6003" w14:textId="77777777" w:rsidR="00105060" w:rsidRDefault="00105060">
          <w:pPr>
            <w:tabs>
              <w:tab w:val="right" w:pos="8838"/>
            </w:tabs>
            <w:ind w:right="-105"/>
            <w:rPr>
              <w:b/>
            </w:rPr>
          </w:pPr>
          <w:r>
            <w:rPr>
              <w:b/>
            </w:rPr>
            <w:t>Comisionado Ponente:</w:t>
          </w:r>
        </w:p>
      </w:tc>
      <w:tc>
        <w:tcPr>
          <w:tcW w:w="3405" w:type="dxa"/>
        </w:tcPr>
        <w:p w14:paraId="420341AF" w14:textId="77777777" w:rsidR="00105060" w:rsidRDefault="00105060">
          <w:pPr>
            <w:tabs>
              <w:tab w:val="right" w:pos="8838"/>
            </w:tabs>
            <w:ind w:right="-32"/>
            <w:rPr>
              <w:b/>
            </w:rPr>
          </w:pPr>
          <w:r>
            <w:t>Luis Gustavo Parra Noriega</w:t>
          </w:r>
        </w:p>
      </w:tc>
    </w:tr>
  </w:tbl>
  <w:p w14:paraId="00411D75" w14:textId="77777777" w:rsidR="00105060" w:rsidRDefault="00E876B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105060" w:rsidRDefault="00E876B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105060" w14:paraId="40D5D5A3" w14:textId="77777777" w:rsidTr="008246F7">
      <w:trPr>
        <w:trHeight w:val="138"/>
      </w:trPr>
      <w:tc>
        <w:tcPr>
          <w:tcW w:w="2693" w:type="dxa"/>
          <w:vAlign w:val="center"/>
        </w:tcPr>
        <w:p w14:paraId="43377EBE" w14:textId="77777777" w:rsidR="00105060" w:rsidRDefault="00105060" w:rsidP="008C266D">
          <w:pPr>
            <w:tabs>
              <w:tab w:val="right" w:pos="8838"/>
            </w:tabs>
            <w:ind w:left="-108" w:right="-105"/>
            <w:jc w:val="left"/>
            <w:rPr>
              <w:b/>
            </w:rPr>
          </w:pPr>
        </w:p>
        <w:p w14:paraId="1DB5C8D0" w14:textId="7E98B3D2" w:rsidR="00105060" w:rsidRDefault="00105060" w:rsidP="008C266D">
          <w:pPr>
            <w:tabs>
              <w:tab w:val="right" w:pos="8838"/>
            </w:tabs>
            <w:ind w:left="-108" w:right="-105"/>
            <w:jc w:val="left"/>
            <w:rPr>
              <w:b/>
            </w:rPr>
          </w:pPr>
          <w:r>
            <w:rPr>
              <w:b/>
            </w:rPr>
            <w:t>Recurso de Revisión:</w:t>
          </w:r>
        </w:p>
      </w:tc>
      <w:tc>
        <w:tcPr>
          <w:tcW w:w="3969" w:type="dxa"/>
        </w:tcPr>
        <w:p w14:paraId="5BCC69C4" w14:textId="77777777" w:rsidR="00105060" w:rsidRPr="00EF0C39" w:rsidRDefault="00105060" w:rsidP="008C266D">
          <w:pPr>
            <w:tabs>
              <w:tab w:val="right" w:pos="8838"/>
            </w:tabs>
            <w:ind w:right="57"/>
          </w:pPr>
        </w:p>
        <w:p w14:paraId="61E59D71" w14:textId="505B189D" w:rsidR="00105060" w:rsidRPr="00EF0C39" w:rsidRDefault="00105060" w:rsidP="00074EA3">
          <w:pPr>
            <w:tabs>
              <w:tab w:val="right" w:pos="8838"/>
            </w:tabs>
            <w:ind w:right="180"/>
          </w:pPr>
          <w:r w:rsidRPr="00074EA3">
            <w:t>07981/INFOEM/IP/RR/2025</w:t>
          </w:r>
        </w:p>
      </w:tc>
    </w:tr>
    <w:tr w:rsidR="00105060" w14:paraId="7A281F30" w14:textId="77777777" w:rsidTr="008246F7">
      <w:trPr>
        <w:trHeight w:val="273"/>
      </w:trPr>
      <w:tc>
        <w:tcPr>
          <w:tcW w:w="2693" w:type="dxa"/>
        </w:tcPr>
        <w:p w14:paraId="6671A308" w14:textId="77777777" w:rsidR="00105060" w:rsidRDefault="00105060" w:rsidP="008C266D">
          <w:pPr>
            <w:tabs>
              <w:tab w:val="right" w:pos="8838"/>
            </w:tabs>
            <w:ind w:left="-108" w:right="-105"/>
            <w:rPr>
              <w:b/>
            </w:rPr>
          </w:pPr>
          <w:r>
            <w:rPr>
              <w:b/>
            </w:rPr>
            <w:t>Sujeto Obligado:</w:t>
          </w:r>
        </w:p>
      </w:tc>
      <w:tc>
        <w:tcPr>
          <w:tcW w:w="3969" w:type="dxa"/>
        </w:tcPr>
        <w:p w14:paraId="30885B6D" w14:textId="4FCFACCD" w:rsidR="00105060" w:rsidRPr="00EF0C39" w:rsidRDefault="00105060" w:rsidP="007B4717">
          <w:pPr>
            <w:tabs>
              <w:tab w:val="right" w:pos="8838"/>
            </w:tabs>
            <w:ind w:right="180"/>
          </w:pPr>
          <w:r w:rsidRPr="00074EA3">
            <w:t>Ayuntamiento de Zinacantepec</w:t>
          </w:r>
        </w:p>
      </w:tc>
    </w:tr>
    <w:tr w:rsidR="00105060" w14:paraId="00C22F2F" w14:textId="77777777" w:rsidTr="008246F7">
      <w:trPr>
        <w:trHeight w:val="273"/>
      </w:trPr>
      <w:tc>
        <w:tcPr>
          <w:tcW w:w="2693" w:type="dxa"/>
        </w:tcPr>
        <w:p w14:paraId="70417649" w14:textId="77777777" w:rsidR="00105060" w:rsidRDefault="00105060" w:rsidP="008C266D">
          <w:pPr>
            <w:tabs>
              <w:tab w:val="right" w:pos="8838"/>
            </w:tabs>
            <w:ind w:left="-108" w:right="-105"/>
            <w:rPr>
              <w:b/>
            </w:rPr>
          </w:pPr>
          <w:r>
            <w:rPr>
              <w:b/>
            </w:rPr>
            <w:t>Comisionado Ponente:</w:t>
          </w:r>
        </w:p>
      </w:tc>
      <w:tc>
        <w:tcPr>
          <w:tcW w:w="3969" w:type="dxa"/>
        </w:tcPr>
        <w:p w14:paraId="5E6EB38B" w14:textId="77777777" w:rsidR="00105060" w:rsidRPr="00EF0C39" w:rsidRDefault="00105060" w:rsidP="008C266D">
          <w:pPr>
            <w:tabs>
              <w:tab w:val="right" w:pos="8838"/>
            </w:tabs>
            <w:ind w:right="-170"/>
          </w:pPr>
          <w:r w:rsidRPr="00EF0C39">
            <w:t>Luis Gustavo Parra Noriega</w:t>
          </w:r>
        </w:p>
        <w:p w14:paraId="1A63C67B" w14:textId="77777777" w:rsidR="00105060" w:rsidRPr="00EF0C39" w:rsidRDefault="00105060" w:rsidP="008C266D">
          <w:pPr>
            <w:tabs>
              <w:tab w:val="right" w:pos="8838"/>
            </w:tabs>
            <w:ind w:right="-170"/>
            <w:rPr>
              <w:b/>
            </w:rPr>
          </w:pPr>
        </w:p>
      </w:tc>
    </w:tr>
  </w:tbl>
  <w:p w14:paraId="3498D107" w14:textId="7E17876C" w:rsidR="00105060" w:rsidRDefault="0010506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105060" w:rsidRDefault="00105060">
    <w:pPr>
      <w:widowControl w:val="0"/>
      <w:pBdr>
        <w:top w:val="nil"/>
        <w:left w:val="nil"/>
        <w:bottom w:val="nil"/>
        <w:right w:val="nil"/>
        <w:between w:val="nil"/>
      </w:pBdr>
      <w:spacing w:after="0" w:line="276" w:lineRule="auto"/>
      <w:jc w:val="left"/>
      <w:rPr>
        <w:color w:val="000000"/>
      </w:rPr>
    </w:pP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05060" w14:paraId="6B3232BD" w14:textId="77777777" w:rsidTr="008246F7">
      <w:trPr>
        <w:trHeight w:val="132"/>
      </w:trPr>
      <w:tc>
        <w:tcPr>
          <w:tcW w:w="2551" w:type="dxa"/>
        </w:tcPr>
        <w:p w14:paraId="38F16E2F" w14:textId="77777777" w:rsidR="00105060" w:rsidRDefault="00105060">
          <w:pPr>
            <w:tabs>
              <w:tab w:val="right" w:pos="8838"/>
            </w:tabs>
            <w:ind w:right="-105"/>
            <w:rPr>
              <w:b/>
            </w:rPr>
          </w:pPr>
          <w:r>
            <w:rPr>
              <w:b/>
            </w:rPr>
            <w:t>Recurso de Revisión:</w:t>
          </w:r>
        </w:p>
      </w:tc>
      <w:tc>
        <w:tcPr>
          <w:tcW w:w="4253" w:type="dxa"/>
        </w:tcPr>
        <w:p w14:paraId="211CDC0A" w14:textId="58507437" w:rsidR="00105060" w:rsidRPr="00026C6B" w:rsidRDefault="00105060" w:rsidP="00074EA3">
          <w:pPr>
            <w:tabs>
              <w:tab w:val="right" w:pos="8838"/>
            </w:tabs>
            <w:ind w:right="-250"/>
          </w:pPr>
          <w:r w:rsidRPr="00074EA3">
            <w:t> 07981/INFOEM/IP/RR/2025</w:t>
          </w:r>
        </w:p>
      </w:tc>
    </w:tr>
    <w:tr w:rsidR="00105060" w14:paraId="6AA3CC58" w14:textId="77777777" w:rsidTr="008246F7">
      <w:trPr>
        <w:trHeight w:val="132"/>
      </w:trPr>
      <w:tc>
        <w:tcPr>
          <w:tcW w:w="2551" w:type="dxa"/>
        </w:tcPr>
        <w:p w14:paraId="7FD164F5" w14:textId="77777777" w:rsidR="00105060" w:rsidRDefault="00105060">
          <w:pPr>
            <w:tabs>
              <w:tab w:val="left" w:pos="1875"/>
            </w:tabs>
            <w:ind w:right="-105"/>
            <w:rPr>
              <w:b/>
            </w:rPr>
          </w:pPr>
          <w:r>
            <w:rPr>
              <w:b/>
            </w:rPr>
            <w:t>Recurrente:</w:t>
          </w:r>
          <w:r>
            <w:rPr>
              <w:b/>
            </w:rPr>
            <w:tab/>
          </w:r>
        </w:p>
      </w:tc>
      <w:tc>
        <w:tcPr>
          <w:tcW w:w="4253" w:type="dxa"/>
        </w:tcPr>
        <w:p w14:paraId="1F1B0537" w14:textId="279E830D" w:rsidR="00105060" w:rsidRPr="00EF0C39" w:rsidRDefault="00105060" w:rsidP="006D7FDA">
          <w:pPr>
            <w:tabs>
              <w:tab w:val="right" w:pos="8838"/>
            </w:tabs>
            <w:ind w:right="-250"/>
          </w:pPr>
        </w:p>
      </w:tc>
    </w:tr>
    <w:tr w:rsidR="00105060" w14:paraId="5113CAA6" w14:textId="77777777" w:rsidTr="008246F7">
      <w:trPr>
        <w:trHeight w:val="261"/>
      </w:trPr>
      <w:tc>
        <w:tcPr>
          <w:tcW w:w="2551" w:type="dxa"/>
        </w:tcPr>
        <w:p w14:paraId="28E3431B" w14:textId="30EC7C18" w:rsidR="00105060" w:rsidRDefault="00105060">
          <w:pPr>
            <w:tabs>
              <w:tab w:val="right" w:pos="8838"/>
            </w:tabs>
            <w:ind w:right="-105"/>
            <w:rPr>
              <w:b/>
            </w:rPr>
          </w:pPr>
          <w:r>
            <w:rPr>
              <w:b/>
            </w:rPr>
            <w:t>Sujeto Obligado:</w:t>
          </w:r>
        </w:p>
      </w:tc>
      <w:tc>
        <w:tcPr>
          <w:tcW w:w="4253" w:type="dxa"/>
        </w:tcPr>
        <w:p w14:paraId="3192354E" w14:textId="05BDFDC1" w:rsidR="00105060" w:rsidRPr="00026C6B" w:rsidRDefault="00105060" w:rsidP="00074EA3">
          <w:pPr>
            <w:tabs>
              <w:tab w:val="right" w:pos="8838"/>
            </w:tabs>
            <w:ind w:right="-250"/>
          </w:pPr>
          <w:r w:rsidRPr="00074EA3">
            <w:t>Ayuntamiento de Zinacantepec</w:t>
          </w:r>
        </w:p>
      </w:tc>
    </w:tr>
    <w:tr w:rsidR="00105060" w14:paraId="5D4C2A35" w14:textId="77777777" w:rsidTr="008246F7">
      <w:trPr>
        <w:trHeight w:val="261"/>
      </w:trPr>
      <w:tc>
        <w:tcPr>
          <w:tcW w:w="2551" w:type="dxa"/>
        </w:tcPr>
        <w:p w14:paraId="7F522FEC" w14:textId="77777777" w:rsidR="00105060" w:rsidRDefault="00105060">
          <w:pPr>
            <w:tabs>
              <w:tab w:val="right" w:pos="8838"/>
            </w:tabs>
            <w:ind w:right="-105"/>
            <w:rPr>
              <w:b/>
            </w:rPr>
          </w:pPr>
          <w:r>
            <w:rPr>
              <w:b/>
            </w:rPr>
            <w:t>Comisionado Ponente:</w:t>
          </w:r>
        </w:p>
      </w:tc>
      <w:tc>
        <w:tcPr>
          <w:tcW w:w="4253" w:type="dxa"/>
        </w:tcPr>
        <w:p w14:paraId="0F0566F9" w14:textId="77777777" w:rsidR="00105060" w:rsidRPr="00EF0C39" w:rsidRDefault="00105060" w:rsidP="00C46A25">
          <w:pPr>
            <w:tabs>
              <w:tab w:val="right" w:pos="8838"/>
            </w:tabs>
            <w:ind w:right="-32"/>
            <w:rPr>
              <w:b/>
            </w:rPr>
          </w:pPr>
          <w:r w:rsidRPr="00EF0C39">
            <w:t>Luis Gustavo Parra Noriega</w:t>
          </w:r>
        </w:p>
      </w:tc>
    </w:tr>
  </w:tbl>
  <w:p w14:paraId="4DFC2598" w14:textId="77777777" w:rsidR="00105060" w:rsidRDefault="00E876B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21A"/>
    <w:multiLevelType w:val="hybridMultilevel"/>
    <w:tmpl w:val="401E2F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A9C2D73"/>
    <w:multiLevelType w:val="hybridMultilevel"/>
    <w:tmpl w:val="A5CC0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A13C62"/>
    <w:multiLevelType w:val="hybridMultilevel"/>
    <w:tmpl w:val="8356E72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0E6FF3"/>
    <w:multiLevelType w:val="hybridMultilevel"/>
    <w:tmpl w:val="24E6E27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D807D5"/>
    <w:multiLevelType w:val="hybridMultilevel"/>
    <w:tmpl w:val="6ABC321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20"/>
  </w:num>
  <w:num w:numId="6">
    <w:abstractNumId w:val="13"/>
  </w:num>
  <w:num w:numId="7">
    <w:abstractNumId w:val="19"/>
  </w:num>
  <w:num w:numId="8">
    <w:abstractNumId w:val="23"/>
  </w:num>
  <w:num w:numId="9">
    <w:abstractNumId w:val="9"/>
  </w:num>
  <w:num w:numId="10">
    <w:abstractNumId w:val="18"/>
  </w:num>
  <w:num w:numId="11">
    <w:abstractNumId w:val="7"/>
  </w:num>
  <w:num w:numId="12">
    <w:abstractNumId w:val="27"/>
  </w:num>
  <w:num w:numId="13">
    <w:abstractNumId w:val="24"/>
  </w:num>
  <w:num w:numId="14">
    <w:abstractNumId w:val="26"/>
  </w:num>
  <w:num w:numId="15">
    <w:abstractNumId w:val="2"/>
  </w:num>
  <w:num w:numId="16">
    <w:abstractNumId w:val="2"/>
  </w:num>
  <w:num w:numId="17">
    <w:abstractNumId w:val="21"/>
  </w:num>
  <w:num w:numId="18">
    <w:abstractNumId w:val="17"/>
  </w:num>
  <w:num w:numId="19">
    <w:abstractNumId w:val="15"/>
  </w:num>
  <w:num w:numId="20">
    <w:abstractNumId w:val="14"/>
  </w:num>
  <w:num w:numId="21">
    <w:abstractNumId w:val="4"/>
  </w:num>
  <w:num w:numId="22">
    <w:abstractNumId w:val="12"/>
  </w:num>
  <w:num w:numId="23">
    <w:abstractNumId w:val="0"/>
  </w:num>
  <w:num w:numId="24">
    <w:abstractNumId w:val="3"/>
  </w:num>
  <w:num w:numId="25">
    <w:abstractNumId w:val="22"/>
  </w:num>
  <w:num w:numId="26">
    <w:abstractNumId w:val="5"/>
  </w:num>
  <w:num w:numId="27">
    <w:abstractNumId w:val="25"/>
  </w:num>
  <w:num w:numId="28">
    <w:abstractNumId w:val="1"/>
  </w:num>
  <w:num w:numId="29">
    <w:abstractNumId w:val="16"/>
  </w:num>
  <w:num w:numId="3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35D0"/>
    <w:rsid w:val="00014169"/>
    <w:rsid w:val="00014EE2"/>
    <w:rsid w:val="00016290"/>
    <w:rsid w:val="000201B0"/>
    <w:rsid w:val="00021BE0"/>
    <w:rsid w:val="00023BBD"/>
    <w:rsid w:val="000255D3"/>
    <w:rsid w:val="0002588C"/>
    <w:rsid w:val="00026B5A"/>
    <w:rsid w:val="00026C6B"/>
    <w:rsid w:val="00030531"/>
    <w:rsid w:val="0003084A"/>
    <w:rsid w:val="000316C2"/>
    <w:rsid w:val="00033026"/>
    <w:rsid w:val="0003318A"/>
    <w:rsid w:val="00033683"/>
    <w:rsid w:val="00033F2C"/>
    <w:rsid w:val="0003782D"/>
    <w:rsid w:val="000410E6"/>
    <w:rsid w:val="0004134C"/>
    <w:rsid w:val="00041571"/>
    <w:rsid w:val="000415B4"/>
    <w:rsid w:val="000426D2"/>
    <w:rsid w:val="00050E2E"/>
    <w:rsid w:val="0005769F"/>
    <w:rsid w:val="00057905"/>
    <w:rsid w:val="000602BA"/>
    <w:rsid w:val="00061123"/>
    <w:rsid w:val="000641B3"/>
    <w:rsid w:val="00067326"/>
    <w:rsid w:val="000709AA"/>
    <w:rsid w:val="00070CAD"/>
    <w:rsid w:val="000735F0"/>
    <w:rsid w:val="00073949"/>
    <w:rsid w:val="00074EA3"/>
    <w:rsid w:val="00075996"/>
    <w:rsid w:val="00075A71"/>
    <w:rsid w:val="00075CAF"/>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5B44"/>
    <w:rsid w:val="000A706F"/>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2E89"/>
    <w:rsid w:val="000D392E"/>
    <w:rsid w:val="000D3AD3"/>
    <w:rsid w:val="000D46ED"/>
    <w:rsid w:val="000D6774"/>
    <w:rsid w:val="000D7457"/>
    <w:rsid w:val="000E3169"/>
    <w:rsid w:val="000F3B49"/>
    <w:rsid w:val="000F4583"/>
    <w:rsid w:val="000F4AC1"/>
    <w:rsid w:val="000F562C"/>
    <w:rsid w:val="000F6219"/>
    <w:rsid w:val="000F6E36"/>
    <w:rsid w:val="00105060"/>
    <w:rsid w:val="001055EA"/>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5D"/>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7DE"/>
    <w:rsid w:val="00181D59"/>
    <w:rsid w:val="00184025"/>
    <w:rsid w:val="00184ED6"/>
    <w:rsid w:val="00185925"/>
    <w:rsid w:val="001909C2"/>
    <w:rsid w:val="00192C48"/>
    <w:rsid w:val="00193CE3"/>
    <w:rsid w:val="00195EC3"/>
    <w:rsid w:val="0019787E"/>
    <w:rsid w:val="001A0321"/>
    <w:rsid w:val="001A2062"/>
    <w:rsid w:val="001A3C87"/>
    <w:rsid w:val="001A5A72"/>
    <w:rsid w:val="001A5B6F"/>
    <w:rsid w:val="001A5CE2"/>
    <w:rsid w:val="001A6C0E"/>
    <w:rsid w:val="001A7F04"/>
    <w:rsid w:val="001B2090"/>
    <w:rsid w:val="001B34AA"/>
    <w:rsid w:val="001B7EFB"/>
    <w:rsid w:val="001C638A"/>
    <w:rsid w:val="001D1635"/>
    <w:rsid w:val="001D24CD"/>
    <w:rsid w:val="001D3FB9"/>
    <w:rsid w:val="001D4F21"/>
    <w:rsid w:val="001D5DBE"/>
    <w:rsid w:val="001D7724"/>
    <w:rsid w:val="001D7D0E"/>
    <w:rsid w:val="001D7F0C"/>
    <w:rsid w:val="001E4284"/>
    <w:rsid w:val="001E4ECA"/>
    <w:rsid w:val="001E6077"/>
    <w:rsid w:val="001E789A"/>
    <w:rsid w:val="001F285F"/>
    <w:rsid w:val="001F5043"/>
    <w:rsid w:val="001F6FD5"/>
    <w:rsid w:val="00200E63"/>
    <w:rsid w:val="002019AA"/>
    <w:rsid w:val="002025F4"/>
    <w:rsid w:val="00203F8C"/>
    <w:rsid w:val="00204DE3"/>
    <w:rsid w:val="0020727C"/>
    <w:rsid w:val="002075C1"/>
    <w:rsid w:val="00211CD8"/>
    <w:rsid w:val="00216EC5"/>
    <w:rsid w:val="002207FA"/>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0BA5"/>
    <w:rsid w:val="0026163E"/>
    <w:rsid w:val="00261B92"/>
    <w:rsid w:val="00261CB4"/>
    <w:rsid w:val="00261DF6"/>
    <w:rsid w:val="0026345D"/>
    <w:rsid w:val="00263D41"/>
    <w:rsid w:val="00266E26"/>
    <w:rsid w:val="00267457"/>
    <w:rsid w:val="00271E85"/>
    <w:rsid w:val="00273A4E"/>
    <w:rsid w:val="00274745"/>
    <w:rsid w:val="00274EC1"/>
    <w:rsid w:val="002779C0"/>
    <w:rsid w:val="00280625"/>
    <w:rsid w:val="00280CF8"/>
    <w:rsid w:val="00282176"/>
    <w:rsid w:val="002822A3"/>
    <w:rsid w:val="0028277C"/>
    <w:rsid w:val="00286FEB"/>
    <w:rsid w:val="00287374"/>
    <w:rsid w:val="00290B4F"/>
    <w:rsid w:val="0029130B"/>
    <w:rsid w:val="00291318"/>
    <w:rsid w:val="0029310D"/>
    <w:rsid w:val="00293A22"/>
    <w:rsid w:val="00294C03"/>
    <w:rsid w:val="00295482"/>
    <w:rsid w:val="0029784D"/>
    <w:rsid w:val="002A02CD"/>
    <w:rsid w:val="002A376A"/>
    <w:rsid w:val="002A3A8E"/>
    <w:rsid w:val="002A4A57"/>
    <w:rsid w:val="002A5DEB"/>
    <w:rsid w:val="002B2FEA"/>
    <w:rsid w:val="002B5A2D"/>
    <w:rsid w:val="002B772B"/>
    <w:rsid w:val="002C0C3A"/>
    <w:rsid w:val="002C3C0A"/>
    <w:rsid w:val="002C4A39"/>
    <w:rsid w:val="002C516D"/>
    <w:rsid w:val="002C7C43"/>
    <w:rsid w:val="002D2107"/>
    <w:rsid w:val="002D2619"/>
    <w:rsid w:val="002D2A77"/>
    <w:rsid w:val="002D6CA6"/>
    <w:rsid w:val="002E2627"/>
    <w:rsid w:val="002E2D9D"/>
    <w:rsid w:val="002E34B7"/>
    <w:rsid w:val="002E5C60"/>
    <w:rsid w:val="002E6125"/>
    <w:rsid w:val="002F0510"/>
    <w:rsid w:val="002F0526"/>
    <w:rsid w:val="002F08A1"/>
    <w:rsid w:val="002F12B4"/>
    <w:rsid w:val="002F1D7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1EB9"/>
    <w:rsid w:val="0031200F"/>
    <w:rsid w:val="00312EFE"/>
    <w:rsid w:val="003131F2"/>
    <w:rsid w:val="00313684"/>
    <w:rsid w:val="00314919"/>
    <w:rsid w:val="003155C2"/>
    <w:rsid w:val="00316458"/>
    <w:rsid w:val="00320D4E"/>
    <w:rsid w:val="003223CA"/>
    <w:rsid w:val="0032276A"/>
    <w:rsid w:val="0032438A"/>
    <w:rsid w:val="00325B13"/>
    <w:rsid w:val="00325D1E"/>
    <w:rsid w:val="00330566"/>
    <w:rsid w:val="00330942"/>
    <w:rsid w:val="00333468"/>
    <w:rsid w:val="0033681E"/>
    <w:rsid w:val="00336E20"/>
    <w:rsid w:val="00341669"/>
    <w:rsid w:val="00342465"/>
    <w:rsid w:val="00345E3B"/>
    <w:rsid w:val="00353296"/>
    <w:rsid w:val="0035368D"/>
    <w:rsid w:val="00354255"/>
    <w:rsid w:val="00354FD0"/>
    <w:rsid w:val="00355D05"/>
    <w:rsid w:val="00356E1B"/>
    <w:rsid w:val="003602C9"/>
    <w:rsid w:val="0036042F"/>
    <w:rsid w:val="00365B82"/>
    <w:rsid w:val="003663BF"/>
    <w:rsid w:val="00366BB8"/>
    <w:rsid w:val="00376AEF"/>
    <w:rsid w:val="00381132"/>
    <w:rsid w:val="003814AE"/>
    <w:rsid w:val="0038398F"/>
    <w:rsid w:val="00384E94"/>
    <w:rsid w:val="00385DD2"/>
    <w:rsid w:val="003876F1"/>
    <w:rsid w:val="00390A24"/>
    <w:rsid w:val="00391317"/>
    <w:rsid w:val="003949BA"/>
    <w:rsid w:val="0039615C"/>
    <w:rsid w:val="00397991"/>
    <w:rsid w:val="003A103F"/>
    <w:rsid w:val="003A2B31"/>
    <w:rsid w:val="003A47C4"/>
    <w:rsid w:val="003A4CF8"/>
    <w:rsid w:val="003A4EEC"/>
    <w:rsid w:val="003B3C6F"/>
    <w:rsid w:val="003B5A66"/>
    <w:rsid w:val="003B6E04"/>
    <w:rsid w:val="003B6F0C"/>
    <w:rsid w:val="003C0011"/>
    <w:rsid w:val="003C13CD"/>
    <w:rsid w:val="003C1D07"/>
    <w:rsid w:val="003C28F2"/>
    <w:rsid w:val="003C331A"/>
    <w:rsid w:val="003C5F59"/>
    <w:rsid w:val="003C5FE0"/>
    <w:rsid w:val="003C7338"/>
    <w:rsid w:val="003D0D51"/>
    <w:rsid w:val="003D1DC8"/>
    <w:rsid w:val="003D25DC"/>
    <w:rsid w:val="003D35DB"/>
    <w:rsid w:val="003D6C3F"/>
    <w:rsid w:val="003E00B8"/>
    <w:rsid w:val="003E1C9F"/>
    <w:rsid w:val="003E20C8"/>
    <w:rsid w:val="003E33FE"/>
    <w:rsid w:val="003E4CFD"/>
    <w:rsid w:val="003E540A"/>
    <w:rsid w:val="003E5DCA"/>
    <w:rsid w:val="003E6941"/>
    <w:rsid w:val="003F042E"/>
    <w:rsid w:val="003F0A87"/>
    <w:rsid w:val="003F1D74"/>
    <w:rsid w:val="003F1FCA"/>
    <w:rsid w:val="003F2BF4"/>
    <w:rsid w:val="003F2C8E"/>
    <w:rsid w:val="003F4C6D"/>
    <w:rsid w:val="003F5F91"/>
    <w:rsid w:val="003F6C55"/>
    <w:rsid w:val="0040398B"/>
    <w:rsid w:val="004044DE"/>
    <w:rsid w:val="0041096D"/>
    <w:rsid w:val="00413093"/>
    <w:rsid w:val="00417AAE"/>
    <w:rsid w:val="00417F3A"/>
    <w:rsid w:val="00420209"/>
    <w:rsid w:val="004214D5"/>
    <w:rsid w:val="00422311"/>
    <w:rsid w:val="00425942"/>
    <w:rsid w:val="00430DD8"/>
    <w:rsid w:val="004326F9"/>
    <w:rsid w:val="00434B43"/>
    <w:rsid w:val="004352C6"/>
    <w:rsid w:val="004366B6"/>
    <w:rsid w:val="00436F80"/>
    <w:rsid w:val="0044017B"/>
    <w:rsid w:val="00442432"/>
    <w:rsid w:val="0044320C"/>
    <w:rsid w:val="0044451C"/>
    <w:rsid w:val="00445A40"/>
    <w:rsid w:val="00446CA3"/>
    <w:rsid w:val="004475C6"/>
    <w:rsid w:val="004479B9"/>
    <w:rsid w:val="0045046D"/>
    <w:rsid w:val="00455EA5"/>
    <w:rsid w:val="00456B23"/>
    <w:rsid w:val="00457880"/>
    <w:rsid w:val="0046140F"/>
    <w:rsid w:val="00461DF2"/>
    <w:rsid w:val="00462ED0"/>
    <w:rsid w:val="004649E0"/>
    <w:rsid w:val="0046597D"/>
    <w:rsid w:val="00467659"/>
    <w:rsid w:val="00471E99"/>
    <w:rsid w:val="004721AA"/>
    <w:rsid w:val="00473151"/>
    <w:rsid w:val="00474793"/>
    <w:rsid w:val="00475E62"/>
    <w:rsid w:val="00481F23"/>
    <w:rsid w:val="00483320"/>
    <w:rsid w:val="004843F2"/>
    <w:rsid w:val="00484E27"/>
    <w:rsid w:val="00487556"/>
    <w:rsid w:val="00492333"/>
    <w:rsid w:val="0049696B"/>
    <w:rsid w:val="0049788F"/>
    <w:rsid w:val="004A10B0"/>
    <w:rsid w:val="004A10E6"/>
    <w:rsid w:val="004A1ED5"/>
    <w:rsid w:val="004A6EBF"/>
    <w:rsid w:val="004A7874"/>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22FF"/>
    <w:rsid w:val="004E3063"/>
    <w:rsid w:val="004E47CC"/>
    <w:rsid w:val="004F0490"/>
    <w:rsid w:val="004F56D3"/>
    <w:rsid w:val="004F59FB"/>
    <w:rsid w:val="004F76F4"/>
    <w:rsid w:val="004F7F19"/>
    <w:rsid w:val="00500B4F"/>
    <w:rsid w:val="005018D0"/>
    <w:rsid w:val="00506126"/>
    <w:rsid w:val="0051107B"/>
    <w:rsid w:val="00511E76"/>
    <w:rsid w:val="00512046"/>
    <w:rsid w:val="00512879"/>
    <w:rsid w:val="00512960"/>
    <w:rsid w:val="0051497B"/>
    <w:rsid w:val="00515399"/>
    <w:rsid w:val="00521F1D"/>
    <w:rsid w:val="00521F47"/>
    <w:rsid w:val="005222C6"/>
    <w:rsid w:val="00522A47"/>
    <w:rsid w:val="00523008"/>
    <w:rsid w:val="00524283"/>
    <w:rsid w:val="00525A14"/>
    <w:rsid w:val="00526EC4"/>
    <w:rsid w:val="00527563"/>
    <w:rsid w:val="005302BB"/>
    <w:rsid w:val="00530B10"/>
    <w:rsid w:val="0053198B"/>
    <w:rsid w:val="00531A8A"/>
    <w:rsid w:val="00535A8D"/>
    <w:rsid w:val="00536382"/>
    <w:rsid w:val="00536941"/>
    <w:rsid w:val="00537BF0"/>
    <w:rsid w:val="00537C32"/>
    <w:rsid w:val="00545835"/>
    <w:rsid w:val="00545D04"/>
    <w:rsid w:val="00547659"/>
    <w:rsid w:val="005501BA"/>
    <w:rsid w:val="00550C0B"/>
    <w:rsid w:val="005520E3"/>
    <w:rsid w:val="00552C67"/>
    <w:rsid w:val="0055558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21C9"/>
    <w:rsid w:val="005B6BFA"/>
    <w:rsid w:val="005C03D2"/>
    <w:rsid w:val="005C20B7"/>
    <w:rsid w:val="005C3BAC"/>
    <w:rsid w:val="005C4598"/>
    <w:rsid w:val="005C4CCD"/>
    <w:rsid w:val="005C6174"/>
    <w:rsid w:val="005C690F"/>
    <w:rsid w:val="005C6E2D"/>
    <w:rsid w:val="005C6E43"/>
    <w:rsid w:val="005C757F"/>
    <w:rsid w:val="005D1E83"/>
    <w:rsid w:val="005D2071"/>
    <w:rsid w:val="005D22D8"/>
    <w:rsid w:val="005D31EC"/>
    <w:rsid w:val="005D38F1"/>
    <w:rsid w:val="005D4959"/>
    <w:rsid w:val="005D53B0"/>
    <w:rsid w:val="005D7325"/>
    <w:rsid w:val="005D73EF"/>
    <w:rsid w:val="005E0BD4"/>
    <w:rsid w:val="005E16CC"/>
    <w:rsid w:val="005E7F8A"/>
    <w:rsid w:val="005F199D"/>
    <w:rsid w:val="005F36FE"/>
    <w:rsid w:val="005F38B6"/>
    <w:rsid w:val="005F4B93"/>
    <w:rsid w:val="005F5498"/>
    <w:rsid w:val="005F773E"/>
    <w:rsid w:val="005F785A"/>
    <w:rsid w:val="00600A20"/>
    <w:rsid w:val="00602E5C"/>
    <w:rsid w:val="006033D0"/>
    <w:rsid w:val="006037C1"/>
    <w:rsid w:val="006059DA"/>
    <w:rsid w:val="00606B1A"/>
    <w:rsid w:val="00613084"/>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467C0"/>
    <w:rsid w:val="00651294"/>
    <w:rsid w:val="00652E54"/>
    <w:rsid w:val="0065404B"/>
    <w:rsid w:val="00654DE3"/>
    <w:rsid w:val="00655068"/>
    <w:rsid w:val="00655B7F"/>
    <w:rsid w:val="00656579"/>
    <w:rsid w:val="0065675E"/>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7BCB"/>
    <w:rsid w:val="00690202"/>
    <w:rsid w:val="0069037C"/>
    <w:rsid w:val="00692763"/>
    <w:rsid w:val="00692CEE"/>
    <w:rsid w:val="00694971"/>
    <w:rsid w:val="0069657C"/>
    <w:rsid w:val="006A0CDD"/>
    <w:rsid w:val="006B0607"/>
    <w:rsid w:val="006B083B"/>
    <w:rsid w:val="006B2245"/>
    <w:rsid w:val="006B3839"/>
    <w:rsid w:val="006B4C0B"/>
    <w:rsid w:val="006B634B"/>
    <w:rsid w:val="006C0BD7"/>
    <w:rsid w:val="006C17DE"/>
    <w:rsid w:val="006C1E67"/>
    <w:rsid w:val="006C25E4"/>
    <w:rsid w:val="006C3470"/>
    <w:rsid w:val="006C3817"/>
    <w:rsid w:val="006C43E9"/>
    <w:rsid w:val="006C6EBC"/>
    <w:rsid w:val="006C7CD1"/>
    <w:rsid w:val="006C7E76"/>
    <w:rsid w:val="006D16BD"/>
    <w:rsid w:val="006D1CE7"/>
    <w:rsid w:val="006D2366"/>
    <w:rsid w:val="006D2960"/>
    <w:rsid w:val="006D49E4"/>
    <w:rsid w:val="006D62AC"/>
    <w:rsid w:val="006D65A5"/>
    <w:rsid w:val="006D6790"/>
    <w:rsid w:val="006D7259"/>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1F40"/>
    <w:rsid w:val="00702D5F"/>
    <w:rsid w:val="007041F9"/>
    <w:rsid w:val="00704B14"/>
    <w:rsid w:val="00705FBB"/>
    <w:rsid w:val="0070680E"/>
    <w:rsid w:val="0071036C"/>
    <w:rsid w:val="00712ED6"/>
    <w:rsid w:val="007145F5"/>
    <w:rsid w:val="00715343"/>
    <w:rsid w:val="00716DFD"/>
    <w:rsid w:val="00717D87"/>
    <w:rsid w:val="007248C4"/>
    <w:rsid w:val="007279D2"/>
    <w:rsid w:val="0073003B"/>
    <w:rsid w:val="00730D6D"/>
    <w:rsid w:val="00731FB9"/>
    <w:rsid w:val="007331D2"/>
    <w:rsid w:val="00741DC7"/>
    <w:rsid w:val="007428C7"/>
    <w:rsid w:val="00743915"/>
    <w:rsid w:val="0074523A"/>
    <w:rsid w:val="00747CDF"/>
    <w:rsid w:val="00751A94"/>
    <w:rsid w:val="00754B31"/>
    <w:rsid w:val="007554E5"/>
    <w:rsid w:val="0076190F"/>
    <w:rsid w:val="00762A7C"/>
    <w:rsid w:val="00763D4C"/>
    <w:rsid w:val="00764BBE"/>
    <w:rsid w:val="0076657F"/>
    <w:rsid w:val="007709FF"/>
    <w:rsid w:val="00770BF5"/>
    <w:rsid w:val="00770D19"/>
    <w:rsid w:val="00770DC0"/>
    <w:rsid w:val="00770E69"/>
    <w:rsid w:val="00771614"/>
    <w:rsid w:val="007723F6"/>
    <w:rsid w:val="00774229"/>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4F9A"/>
    <w:rsid w:val="007C636E"/>
    <w:rsid w:val="007C76F2"/>
    <w:rsid w:val="007C7BAF"/>
    <w:rsid w:val="007D04B8"/>
    <w:rsid w:val="007D086D"/>
    <w:rsid w:val="007D354B"/>
    <w:rsid w:val="007D6307"/>
    <w:rsid w:val="007E0603"/>
    <w:rsid w:val="007E172B"/>
    <w:rsid w:val="007E1EF5"/>
    <w:rsid w:val="007E25E4"/>
    <w:rsid w:val="007E4F1C"/>
    <w:rsid w:val="007E6087"/>
    <w:rsid w:val="007E6354"/>
    <w:rsid w:val="007E64DE"/>
    <w:rsid w:val="007E6532"/>
    <w:rsid w:val="007E65E1"/>
    <w:rsid w:val="007E79A0"/>
    <w:rsid w:val="007E7B3F"/>
    <w:rsid w:val="007F4407"/>
    <w:rsid w:val="007F6273"/>
    <w:rsid w:val="007F75BA"/>
    <w:rsid w:val="00800641"/>
    <w:rsid w:val="008027F2"/>
    <w:rsid w:val="00802C8A"/>
    <w:rsid w:val="00803119"/>
    <w:rsid w:val="00803884"/>
    <w:rsid w:val="008064DC"/>
    <w:rsid w:val="0081186D"/>
    <w:rsid w:val="00812FF1"/>
    <w:rsid w:val="0081756A"/>
    <w:rsid w:val="008201FA"/>
    <w:rsid w:val="008234EA"/>
    <w:rsid w:val="008246F7"/>
    <w:rsid w:val="00826071"/>
    <w:rsid w:val="00826E84"/>
    <w:rsid w:val="00830986"/>
    <w:rsid w:val="00832312"/>
    <w:rsid w:val="00836749"/>
    <w:rsid w:val="0084143D"/>
    <w:rsid w:val="008415EA"/>
    <w:rsid w:val="008416D9"/>
    <w:rsid w:val="008441D0"/>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37E8"/>
    <w:rsid w:val="008C40B1"/>
    <w:rsid w:val="008D28E1"/>
    <w:rsid w:val="008D3B3F"/>
    <w:rsid w:val="008D43A8"/>
    <w:rsid w:val="008D46FC"/>
    <w:rsid w:val="008D58F4"/>
    <w:rsid w:val="008D7C22"/>
    <w:rsid w:val="008E02D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07567"/>
    <w:rsid w:val="00910872"/>
    <w:rsid w:val="00913279"/>
    <w:rsid w:val="00913AC7"/>
    <w:rsid w:val="00915E1E"/>
    <w:rsid w:val="0091609E"/>
    <w:rsid w:val="00916347"/>
    <w:rsid w:val="009215C2"/>
    <w:rsid w:val="00922F61"/>
    <w:rsid w:val="00922F8C"/>
    <w:rsid w:val="00926758"/>
    <w:rsid w:val="00927131"/>
    <w:rsid w:val="009319F4"/>
    <w:rsid w:val="00933E27"/>
    <w:rsid w:val="00934D26"/>
    <w:rsid w:val="009359F6"/>
    <w:rsid w:val="00937325"/>
    <w:rsid w:val="00937C87"/>
    <w:rsid w:val="00940831"/>
    <w:rsid w:val="00940E97"/>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1D54"/>
    <w:rsid w:val="00983208"/>
    <w:rsid w:val="00983A37"/>
    <w:rsid w:val="00983F77"/>
    <w:rsid w:val="00986D91"/>
    <w:rsid w:val="00992901"/>
    <w:rsid w:val="009948FA"/>
    <w:rsid w:val="00996BDA"/>
    <w:rsid w:val="0099716B"/>
    <w:rsid w:val="009973CB"/>
    <w:rsid w:val="009A08E5"/>
    <w:rsid w:val="009A5A8E"/>
    <w:rsid w:val="009B19D8"/>
    <w:rsid w:val="009B1B0E"/>
    <w:rsid w:val="009B2C9C"/>
    <w:rsid w:val="009B2DAB"/>
    <w:rsid w:val="009B3CF8"/>
    <w:rsid w:val="009B3E17"/>
    <w:rsid w:val="009B614F"/>
    <w:rsid w:val="009B7120"/>
    <w:rsid w:val="009C04AF"/>
    <w:rsid w:val="009C11B4"/>
    <w:rsid w:val="009C1F1B"/>
    <w:rsid w:val="009C2655"/>
    <w:rsid w:val="009C3818"/>
    <w:rsid w:val="009C3A1D"/>
    <w:rsid w:val="009C3C89"/>
    <w:rsid w:val="009C5A71"/>
    <w:rsid w:val="009C6467"/>
    <w:rsid w:val="009D07C4"/>
    <w:rsid w:val="009D41AB"/>
    <w:rsid w:val="009D4333"/>
    <w:rsid w:val="009D443C"/>
    <w:rsid w:val="009D4BA7"/>
    <w:rsid w:val="009D7D07"/>
    <w:rsid w:val="009E03A4"/>
    <w:rsid w:val="009E0F24"/>
    <w:rsid w:val="009E24F0"/>
    <w:rsid w:val="009E263E"/>
    <w:rsid w:val="009E29E8"/>
    <w:rsid w:val="009E2E2A"/>
    <w:rsid w:val="009E4128"/>
    <w:rsid w:val="009E4A04"/>
    <w:rsid w:val="009F1B94"/>
    <w:rsid w:val="009F2202"/>
    <w:rsid w:val="009F3790"/>
    <w:rsid w:val="009F39DF"/>
    <w:rsid w:val="009F6813"/>
    <w:rsid w:val="00A03F8F"/>
    <w:rsid w:val="00A042BC"/>
    <w:rsid w:val="00A045F2"/>
    <w:rsid w:val="00A071E9"/>
    <w:rsid w:val="00A1369B"/>
    <w:rsid w:val="00A15402"/>
    <w:rsid w:val="00A16D8E"/>
    <w:rsid w:val="00A20875"/>
    <w:rsid w:val="00A244C7"/>
    <w:rsid w:val="00A26E75"/>
    <w:rsid w:val="00A33F9B"/>
    <w:rsid w:val="00A361DB"/>
    <w:rsid w:val="00A363DD"/>
    <w:rsid w:val="00A36DDE"/>
    <w:rsid w:val="00A36E65"/>
    <w:rsid w:val="00A37912"/>
    <w:rsid w:val="00A37EDE"/>
    <w:rsid w:val="00A41789"/>
    <w:rsid w:val="00A41A9E"/>
    <w:rsid w:val="00A420BD"/>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556D"/>
    <w:rsid w:val="00AA6BA1"/>
    <w:rsid w:val="00AB0BA1"/>
    <w:rsid w:val="00AB1C9F"/>
    <w:rsid w:val="00AB328F"/>
    <w:rsid w:val="00AB4497"/>
    <w:rsid w:val="00AB4AC2"/>
    <w:rsid w:val="00AB4F34"/>
    <w:rsid w:val="00AB51A8"/>
    <w:rsid w:val="00AC0AE0"/>
    <w:rsid w:val="00AC45E1"/>
    <w:rsid w:val="00AC4EC9"/>
    <w:rsid w:val="00AC5582"/>
    <w:rsid w:val="00AC5D01"/>
    <w:rsid w:val="00AC6D92"/>
    <w:rsid w:val="00AC70CA"/>
    <w:rsid w:val="00AC7111"/>
    <w:rsid w:val="00AD3E0D"/>
    <w:rsid w:val="00AD468B"/>
    <w:rsid w:val="00AD4F7B"/>
    <w:rsid w:val="00AD7954"/>
    <w:rsid w:val="00AE23FB"/>
    <w:rsid w:val="00AE256C"/>
    <w:rsid w:val="00AE5058"/>
    <w:rsid w:val="00AE6691"/>
    <w:rsid w:val="00AF4BF2"/>
    <w:rsid w:val="00AF4DA4"/>
    <w:rsid w:val="00AF592A"/>
    <w:rsid w:val="00AF69E7"/>
    <w:rsid w:val="00AF7546"/>
    <w:rsid w:val="00B00C4E"/>
    <w:rsid w:val="00B02499"/>
    <w:rsid w:val="00B02796"/>
    <w:rsid w:val="00B02A3F"/>
    <w:rsid w:val="00B03235"/>
    <w:rsid w:val="00B03A57"/>
    <w:rsid w:val="00B04A35"/>
    <w:rsid w:val="00B04BE1"/>
    <w:rsid w:val="00B050D9"/>
    <w:rsid w:val="00B123FB"/>
    <w:rsid w:val="00B1247F"/>
    <w:rsid w:val="00B153FA"/>
    <w:rsid w:val="00B22A17"/>
    <w:rsid w:val="00B22B9F"/>
    <w:rsid w:val="00B22F78"/>
    <w:rsid w:val="00B27131"/>
    <w:rsid w:val="00B27951"/>
    <w:rsid w:val="00B31892"/>
    <w:rsid w:val="00B32689"/>
    <w:rsid w:val="00B331EC"/>
    <w:rsid w:val="00B35F83"/>
    <w:rsid w:val="00B36A30"/>
    <w:rsid w:val="00B37A6D"/>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482"/>
    <w:rsid w:val="00B84F6E"/>
    <w:rsid w:val="00B90713"/>
    <w:rsid w:val="00B92069"/>
    <w:rsid w:val="00B9500B"/>
    <w:rsid w:val="00B970C0"/>
    <w:rsid w:val="00BA1D80"/>
    <w:rsid w:val="00BA4E6F"/>
    <w:rsid w:val="00BA56A8"/>
    <w:rsid w:val="00BA784F"/>
    <w:rsid w:val="00BA7A1E"/>
    <w:rsid w:val="00BB05C0"/>
    <w:rsid w:val="00BB3F28"/>
    <w:rsid w:val="00BB4FD9"/>
    <w:rsid w:val="00BB5711"/>
    <w:rsid w:val="00BB5722"/>
    <w:rsid w:val="00BB6693"/>
    <w:rsid w:val="00BB6BB6"/>
    <w:rsid w:val="00BB6CD0"/>
    <w:rsid w:val="00BC02E9"/>
    <w:rsid w:val="00BC17E4"/>
    <w:rsid w:val="00BC2AB9"/>
    <w:rsid w:val="00BC3EC5"/>
    <w:rsid w:val="00BC43BF"/>
    <w:rsid w:val="00BC46B6"/>
    <w:rsid w:val="00BC5546"/>
    <w:rsid w:val="00BC7F67"/>
    <w:rsid w:val="00BD2771"/>
    <w:rsid w:val="00BD35AA"/>
    <w:rsid w:val="00BD3C78"/>
    <w:rsid w:val="00BD6505"/>
    <w:rsid w:val="00BE288A"/>
    <w:rsid w:val="00BE57BB"/>
    <w:rsid w:val="00BE7092"/>
    <w:rsid w:val="00BE7118"/>
    <w:rsid w:val="00BF0C25"/>
    <w:rsid w:val="00BF362A"/>
    <w:rsid w:val="00BF381B"/>
    <w:rsid w:val="00BF5AD6"/>
    <w:rsid w:val="00BF7869"/>
    <w:rsid w:val="00C06004"/>
    <w:rsid w:val="00C06389"/>
    <w:rsid w:val="00C06C06"/>
    <w:rsid w:val="00C11279"/>
    <w:rsid w:val="00C11A18"/>
    <w:rsid w:val="00C12B98"/>
    <w:rsid w:val="00C13A67"/>
    <w:rsid w:val="00C13CD5"/>
    <w:rsid w:val="00C14C54"/>
    <w:rsid w:val="00C157A7"/>
    <w:rsid w:val="00C16735"/>
    <w:rsid w:val="00C2045C"/>
    <w:rsid w:val="00C218B8"/>
    <w:rsid w:val="00C231AA"/>
    <w:rsid w:val="00C231EB"/>
    <w:rsid w:val="00C24DAF"/>
    <w:rsid w:val="00C2605C"/>
    <w:rsid w:val="00C26633"/>
    <w:rsid w:val="00C27AAC"/>
    <w:rsid w:val="00C335A8"/>
    <w:rsid w:val="00C34810"/>
    <w:rsid w:val="00C362E2"/>
    <w:rsid w:val="00C4052B"/>
    <w:rsid w:val="00C409B6"/>
    <w:rsid w:val="00C40CD5"/>
    <w:rsid w:val="00C40DD3"/>
    <w:rsid w:val="00C41F61"/>
    <w:rsid w:val="00C42A8E"/>
    <w:rsid w:val="00C42EF8"/>
    <w:rsid w:val="00C44308"/>
    <w:rsid w:val="00C446C9"/>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395"/>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755"/>
    <w:rsid w:val="00C849B4"/>
    <w:rsid w:val="00C85CD7"/>
    <w:rsid w:val="00C91A6F"/>
    <w:rsid w:val="00C91E33"/>
    <w:rsid w:val="00C930C8"/>
    <w:rsid w:val="00C95611"/>
    <w:rsid w:val="00C97FC1"/>
    <w:rsid w:val="00CA45CB"/>
    <w:rsid w:val="00CA4C3A"/>
    <w:rsid w:val="00CA4E57"/>
    <w:rsid w:val="00CA54BE"/>
    <w:rsid w:val="00CA667B"/>
    <w:rsid w:val="00CA7AA6"/>
    <w:rsid w:val="00CA7ADA"/>
    <w:rsid w:val="00CA7C07"/>
    <w:rsid w:val="00CA7EAE"/>
    <w:rsid w:val="00CA7F1D"/>
    <w:rsid w:val="00CB5C38"/>
    <w:rsid w:val="00CC1C87"/>
    <w:rsid w:val="00CC1CC8"/>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3BC3"/>
    <w:rsid w:val="00CE405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3CED"/>
    <w:rsid w:val="00D04C47"/>
    <w:rsid w:val="00D05E50"/>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5717"/>
    <w:rsid w:val="00D36A13"/>
    <w:rsid w:val="00D36A9F"/>
    <w:rsid w:val="00D42E23"/>
    <w:rsid w:val="00D466A8"/>
    <w:rsid w:val="00D46E14"/>
    <w:rsid w:val="00D474D0"/>
    <w:rsid w:val="00D51004"/>
    <w:rsid w:val="00D5128D"/>
    <w:rsid w:val="00D52E5B"/>
    <w:rsid w:val="00D52EC1"/>
    <w:rsid w:val="00D579E6"/>
    <w:rsid w:val="00D61FF9"/>
    <w:rsid w:val="00D62480"/>
    <w:rsid w:val="00D629E3"/>
    <w:rsid w:val="00D64273"/>
    <w:rsid w:val="00D64C4F"/>
    <w:rsid w:val="00D66DDB"/>
    <w:rsid w:val="00D70766"/>
    <w:rsid w:val="00D7252C"/>
    <w:rsid w:val="00D7768F"/>
    <w:rsid w:val="00D82691"/>
    <w:rsid w:val="00D837B0"/>
    <w:rsid w:val="00D83FBA"/>
    <w:rsid w:val="00D86931"/>
    <w:rsid w:val="00D906B2"/>
    <w:rsid w:val="00D91F3E"/>
    <w:rsid w:val="00D92325"/>
    <w:rsid w:val="00D95A1B"/>
    <w:rsid w:val="00DA1EA0"/>
    <w:rsid w:val="00DA2E83"/>
    <w:rsid w:val="00DA3868"/>
    <w:rsid w:val="00DA3A68"/>
    <w:rsid w:val="00DA3BB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2423"/>
    <w:rsid w:val="00DD4191"/>
    <w:rsid w:val="00DD6D9D"/>
    <w:rsid w:val="00DD732B"/>
    <w:rsid w:val="00DE00CB"/>
    <w:rsid w:val="00DE02CA"/>
    <w:rsid w:val="00DE224D"/>
    <w:rsid w:val="00DE41C5"/>
    <w:rsid w:val="00DF176D"/>
    <w:rsid w:val="00DF43D9"/>
    <w:rsid w:val="00DF59CE"/>
    <w:rsid w:val="00DF7F84"/>
    <w:rsid w:val="00E022A1"/>
    <w:rsid w:val="00E0245B"/>
    <w:rsid w:val="00E02A52"/>
    <w:rsid w:val="00E03B69"/>
    <w:rsid w:val="00E0447A"/>
    <w:rsid w:val="00E052B8"/>
    <w:rsid w:val="00E10780"/>
    <w:rsid w:val="00E12804"/>
    <w:rsid w:val="00E134FA"/>
    <w:rsid w:val="00E22006"/>
    <w:rsid w:val="00E22EA8"/>
    <w:rsid w:val="00E23058"/>
    <w:rsid w:val="00E25D40"/>
    <w:rsid w:val="00E260AE"/>
    <w:rsid w:val="00E319EF"/>
    <w:rsid w:val="00E31CB8"/>
    <w:rsid w:val="00E332FF"/>
    <w:rsid w:val="00E354BF"/>
    <w:rsid w:val="00E35B2A"/>
    <w:rsid w:val="00E361ED"/>
    <w:rsid w:val="00E40395"/>
    <w:rsid w:val="00E40CA6"/>
    <w:rsid w:val="00E41747"/>
    <w:rsid w:val="00E44D06"/>
    <w:rsid w:val="00E46240"/>
    <w:rsid w:val="00E54144"/>
    <w:rsid w:val="00E547F7"/>
    <w:rsid w:val="00E57404"/>
    <w:rsid w:val="00E57797"/>
    <w:rsid w:val="00E57A6E"/>
    <w:rsid w:val="00E637E7"/>
    <w:rsid w:val="00E64BEF"/>
    <w:rsid w:val="00E64E18"/>
    <w:rsid w:val="00E66BEB"/>
    <w:rsid w:val="00E71771"/>
    <w:rsid w:val="00E71F80"/>
    <w:rsid w:val="00E73985"/>
    <w:rsid w:val="00E7452D"/>
    <w:rsid w:val="00E74CB0"/>
    <w:rsid w:val="00E81B7C"/>
    <w:rsid w:val="00E85AC5"/>
    <w:rsid w:val="00E864E9"/>
    <w:rsid w:val="00E865E5"/>
    <w:rsid w:val="00E876BB"/>
    <w:rsid w:val="00E909E3"/>
    <w:rsid w:val="00E91D41"/>
    <w:rsid w:val="00E9742F"/>
    <w:rsid w:val="00EA372C"/>
    <w:rsid w:val="00EB020F"/>
    <w:rsid w:val="00EB29D9"/>
    <w:rsid w:val="00EB33A4"/>
    <w:rsid w:val="00EB386A"/>
    <w:rsid w:val="00EB4D69"/>
    <w:rsid w:val="00EB6216"/>
    <w:rsid w:val="00EB6635"/>
    <w:rsid w:val="00EB67C3"/>
    <w:rsid w:val="00EB6CF0"/>
    <w:rsid w:val="00EB726D"/>
    <w:rsid w:val="00EC1274"/>
    <w:rsid w:val="00EC285A"/>
    <w:rsid w:val="00EC3047"/>
    <w:rsid w:val="00EC4067"/>
    <w:rsid w:val="00EC4F2E"/>
    <w:rsid w:val="00EC5C68"/>
    <w:rsid w:val="00EC6576"/>
    <w:rsid w:val="00ED3627"/>
    <w:rsid w:val="00ED37B8"/>
    <w:rsid w:val="00ED3C94"/>
    <w:rsid w:val="00ED5B5F"/>
    <w:rsid w:val="00ED67BB"/>
    <w:rsid w:val="00EE1006"/>
    <w:rsid w:val="00EE1B70"/>
    <w:rsid w:val="00EE30A1"/>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4805"/>
    <w:rsid w:val="00F2609A"/>
    <w:rsid w:val="00F26C65"/>
    <w:rsid w:val="00F316B5"/>
    <w:rsid w:val="00F362DF"/>
    <w:rsid w:val="00F378E3"/>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847"/>
    <w:rsid w:val="00F70A24"/>
    <w:rsid w:val="00F71565"/>
    <w:rsid w:val="00F7237E"/>
    <w:rsid w:val="00F73D29"/>
    <w:rsid w:val="00F7642B"/>
    <w:rsid w:val="00F80790"/>
    <w:rsid w:val="00F8788F"/>
    <w:rsid w:val="00F87926"/>
    <w:rsid w:val="00F908B7"/>
    <w:rsid w:val="00F91851"/>
    <w:rsid w:val="00F933B4"/>
    <w:rsid w:val="00F936DE"/>
    <w:rsid w:val="00F93F64"/>
    <w:rsid w:val="00F955F5"/>
    <w:rsid w:val="00FA03D1"/>
    <w:rsid w:val="00FA2ED3"/>
    <w:rsid w:val="00FA3A0C"/>
    <w:rsid w:val="00FA3EA6"/>
    <w:rsid w:val="00FA6B8E"/>
    <w:rsid w:val="00FB0D59"/>
    <w:rsid w:val="00FB1BAA"/>
    <w:rsid w:val="00FB1BCD"/>
    <w:rsid w:val="00FB1D33"/>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F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492403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61044423">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3366650">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09921897">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047973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999454-7241-4002-84BB-7ECA838D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7530</Words>
  <Characters>41421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2025-08-15T05:31:00Z</cp:lastPrinted>
  <dcterms:created xsi:type="dcterms:W3CDTF">2025-08-22T18:12:00Z</dcterms:created>
  <dcterms:modified xsi:type="dcterms:W3CDTF">2025-08-22T18:12:00Z</dcterms:modified>
</cp:coreProperties>
</file>