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bookmarkStart w:colFirst="0" w:colLast="0" w:name="_heading=h.2et92p0"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seis de agosto de dos mil veinticinco.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05909/INFOEM/IP/RR/2025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un particular que no proporcionó nombre o seudónimo para ser identificado, </w:t>
      </w:r>
      <w:r w:rsidDel="00000000" w:rsidR="00000000" w:rsidRPr="00000000">
        <w:rPr>
          <w:rFonts w:ascii="Palatino Linotype" w:cs="Palatino Linotype" w:eastAsia="Palatino Linotype" w:hAnsi="Palatino Linotype"/>
          <w:sz w:val="22"/>
          <w:szCs w:val="22"/>
          <w:rtl w:val="0"/>
        </w:rPr>
        <w:t xml:space="preserve">en lo sucesivo se le denominará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00014/TEXCALTI/IP/2025</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Ayuntamiento de Texcaltitlán,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p>
    <w:p w:rsidR="00000000" w:rsidDel="00000000" w:rsidP="00000000" w:rsidRDefault="00000000" w:rsidRPr="00000000" w14:paraId="00000004">
      <w:pPr>
        <w:numPr>
          <w:ilvl w:val="0"/>
          <w:numId w:val="5"/>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 N T E C E D E N T E S:</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color w:val="000000"/>
          <w:sz w:val="22"/>
          <w:szCs w:val="22"/>
        </w:rPr>
      </w:pPr>
      <w:r w:rsidDel="00000000" w:rsidR="00000000" w:rsidRPr="00000000">
        <w:rPr>
          <w:rtl w:val="0"/>
        </w:rPr>
      </w:r>
    </w:p>
    <w:p w:rsidR="00000000" w:rsidDel="00000000" w:rsidP="00000000" w:rsidRDefault="00000000" w:rsidRPr="00000000" w14:paraId="00000006">
      <w:pPr>
        <w:numPr>
          <w:ilvl w:val="1"/>
          <w:numId w:val="6"/>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Solicitud de acceso a la información. </w:t>
      </w:r>
      <w:r w:rsidDel="00000000" w:rsidR="00000000" w:rsidRPr="00000000">
        <w:rPr>
          <w:rFonts w:ascii="Palatino Linotype" w:cs="Palatino Linotype" w:eastAsia="Palatino Linotype" w:hAnsi="Palatino Linotype"/>
          <w:color w:val="000000"/>
          <w:sz w:val="22"/>
          <w:szCs w:val="22"/>
          <w:rtl w:val="0"/>
        </w:rPr>
        <w:t xml:space="preserve">Con fecha </w:t>
      </w:r>
      <w:r w:rsidDel="00000000" w:rsidR="00000000" w:rsidRPr="00000000">
        <w:rPr>
          <w:rFonts w:ascii="Palatino Linotype" w:cs="Palatino Linotype" w:eastAsia="Palatino Linotype" w:hAnsi="Palatino Linotype"/>
          <w:b w:val="1"/>
          <w:color w:val="000000"/>
          <w:sz w:val="22"/>
          <w:szCs w:val="22"/>
          <w:rtl w:val="0"/>
        </w:rPr>
        <w:t xml:space="preserve">primero de mayo de dos mil veinticinco</w:t>
      </w:r>
      <w:r w:rsidDel="00000000" w:rsidR="00000000" w:rsidRPr="00000000">
        <w:rPr>
          <w:rFonts w:ascii="Palatino Linotype" w:cs="Palatino Linotype" w:eastAsia="Palatino Linotype" w:hAnsi="Palatino Linotype"/>
          <w:color w:val="000000"/>
          <w:sz w:val="22"/>
          <w:szCs w:val="22"/>
          <w:rtl w:val="0"/>
        </w:rPr>
        <w:t xml:space="preserve">, la persona solicitante presentó la solicitud de acceso a información pública ante 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a través del Sistema de Acceso a la Información Mexiquense, en lo subsecuente el SAIMEX; sin embargo, al corresponder a un día inhábil se tuvo por presentada el día </w:t>
      </w:r>
      <w:r w:rsidDel="00000000" w:rsidR="00000000" w:rsidRPr="00000000">
        <w:rPr>
          <w:rFonts w:ascii="Palatino Linotype" w:cs="Palatino Linotype" w:eastAsia="Palatino Linotype" w:hAnsi="Palatino Linotype"/>
          <w:b w:val="1"/>
          <w:color w:val="000000"/>
          <w:sz w:val="22"/>
          <w:szCs w:val="22"/>
          <w:rtl w:val="0"/>
        </w:rPr>
        <w:t xml:space="preserve">dos de mayo de dos mil veinticinco</w:t>
      </w:r>
      <w:r w:rsidDel="00000000" w:rsidR="00000000" w:rsidRPr="00000000">
        <w:rPr>
          <w:rFonts w:ascii="Palatino Linotype" w:cs="Palatino Linotype" w:eastAsia="Palatino Linotype" w:hAnsi="Palatino Linotype"/>
          <w:color w:val="000000"/>
          <w:sz w:val="22"/>
          <w:szCs w:val="22"/>
          <w:rtl w:val="0"/>
        </w:rPr>
        <w:t xml:space="preserve">, mediante la cual requirió lo siguiente:</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color w:val="000000"/>
          <w:sz w:val="22"/>
          <w:szCs w:val="22"/>
        </w:rPr>
      </w:pPr>
      <w:r w:rsidDel="00000000" w:rsidR="00000000" w:rsidRPr="00000000">
        <w:rPr>
          <w:rtl w:val="0"/>
        </w:rPr>
      </w:r>
    </w:p>
    <w:p w:rsidR="00000000" w:rsidDel="00000000" w:rsidP="00000000" w:rsidRDefault="00000000" w:rsidRPr="00000000" w14:paraId="0000000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“Puestos y sueldos que ha tenido desde su ingreso a la fecha la servidora pública Mayra Esperanza Ortiz Calixto”</w:t>
      </w:r>
    </w:p>
    <w:p w:rsidR="00000000" w:rsidDel="00000000" w:rsidP="00000000" w:rsidRDefault="00000000" w:rsidRPr="00000000" w14:paraId="00000009">
      <w:pPr>
        <w:spacing w:line="360" w:lineRule="auto"/>
        <w:ind w:left="709"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0C">
      <w:pPr>
        <w:numPr>
          <w:ilvl w:val="0"/>
          <w:numId w:val="6"/>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Respuesta. </w:t>
      </w:r>
      <w:r w:rsidDel="00000000" w:rsidR="00000000" w:rsidRPr="00000000">
        <w:rPr>
          <w:rFonts w:ascii="Palatino Linotype" w:cs="Palatino Linotype" w:eastAsia="Palatino Linotype" w:hAnsi="Palatino Linotype"/>
          <w:color w:val="000000"/>
          <w:sz w:val="22"/>
          <w:szCs w:val="22"/>
          <w:rtl w:val="0"/>
        </w:rPr>
        <w:t xml:space="preserve">Con fecha </w:t>
      </w:r>
      <w:r w:rsidDel="00000000" w:rsidR="00000000" w:rsidRPr="00000000">
        <w:rPr>
          <w:rFonts w:ascii="Palatino Linotype" w:cs="Palatino Linotype" w:eastAsia="Palatino Linotype" w:hAnsi="Palatino Linotype"/>
          <w:b w:val="1"/>
          <w:color w:val="000000"/>
          <w:sz w:val="22"/>
          <w:szCs w:val="22"/>
          <w:rtl w:val="0"/>
        </w:rPr>
        <w:t xml:space="preserve">veintitrés de mayo de dos mil veinticinco</w:t>
      </w:r>
      <w:r w:rsidDel="00000000" w:rsidR="00000000" w:rsidRPr="00000000">
        <w:rPr>
          <w:rFonts w:ascii="Palatino Linotype" w:cs="Palatino Linotype" w:eastAsia="Palatino Linotype" w:hAnsi="Palatino Linotype"/>
          <w:color w:val="000000"/>
          <w:sz w:val="22"/>
          <w:szCs w:val="22"/>
          <w:rtl w:val="0"/>
        </w:rPr>
        <w:t xml:space="preserve">, 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envió su respuesta a la solicitud de acceso a la información a través del SAIMEX, la cual versa como sigue: </w:t>
      </w:r>
    </w:p>
    <w:p w:rsidR="00000000" w:rsidDel="00000000" w:rsidP="00000000" w:rsidRDefault="00000000" w:rsidRPr="00000000" w14:paraId="0000000D">
      <w:pPr>
        <w:tabs>
          <w:tab w:val="left" w:leader="none" w:pos="7371"/>
        </w:tabs>
        <w:spacing w:line="360" w:lineRule="auto"/>
        <w:ind w:left="567" w:right="616" w:firstLine="0"/>
        <w:jc w:val="both"/>
        <w:rPr>
          <w:rFonts w:ascii="Palatino Linotype" w:cs="Palatino Linotype" w:eastAsia="Palatino Linotype" w:hAnsi="Palatino Linotype"/>
          <w:i w:val="1"/>
          <w:sz w:val="22"/>
          <w:szCs w:val="22"/>
        </w:rPr>
      </w:pPr>
      <w:bookmarkStart w:colFirst="0" w:colLast="0" w:name="_heading=h.3znysh7" w:id="1"/>
      <w:bookmarkEnd w:id="1"/>
      <w:r w:rsidDel="00000000" w:rsidR="00000000" w:rsidRPr="00000000">
        <w:rPr>
          <w:rtl w:val="0"/>
        </w:rPr>
      </w:r>
    </w:p>
    <w:p w:rsidR="00000000" w:rsidDel="00000000" w:rsidP="00000000" w:rsidRDefault="00000000" w:rsidRPr="00000000" w14:paraId="0000000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LE DA CONTESTACIÓN A LA SOLICITUD REQUERIDA.</w:t>
      </w:r>
    </w:p>
    <w:p w:rsidR="00000000" w:rsidDel="00000000" w:rsidP="00000000" w:rsidRDefault="00000000" w:rsidRPr="00000000" w14:paraId="0000000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Joan Jair Martinez Olivares” (Sic)</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Adjuntando a su respuesta el archivo electrónico denominado “</w:t>
      </w:r>
      <w:r w:rsidDel="00000000" w:rsidR="00000000" w:rsidRPr="00000000">
        <w:rPr>
          <w:rFonts w:ascii="Palatino Linotype" w:cs="Palatino Linotype" w:eastAsia="Palatino Linotype" w:hAnsi="Palatino Linotype"/>
          <w:b w:val="1"/>
          <w:i w:val="1"/>
          <w:color w:val="000000"/>
          <w:sz w:val="22"/>
          <w:szCs w:val="22"/>
          <w:rtl w:val="0"/>
        </w:rPr>
        <w:t xml:space="preserve">CONTESTACION 0014.pdf</w:t>
      </w:r>
      <w:r w:rsidDel="00000000" w:rsidR="00000000" w:rsidRPr="00000000">
        <w:rPr>
          <w:rFonts w:ascii="Palatino Linotype" w:cs="Palatino Linotype" w:eastAsia="Palatino Linotype" w:hAnsi="Palatino Linotype"/>
          <w:color w:val="000000"/>
          <w:sz w:val="22"/>
          <w:szCs w:val="22"/>
          <w:rtl w:val="0"/>
        </w:rPr>
        <w:t xml:space="preserve">”, el cual contiene el oficio numero TEX/TES/041/2025, de fecha veintidós de mayo de dos mil veinticinco, signado por el Tesorero Municipal, en el que informó que después de una exhaustiva búsqueda en el archivo de tesorería solo se localizaron datos correspondientes del año 2020 a la fecha, siendo estos los siguientes:</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Pr>
        <w:drawing>
          <wp:inline distB="0" distT="0" distL="0" distR="0">
            <wp:extent cx="5612130" cy="1130300"/>
            <wp:effectExtent b="0" l="0" r="0" t="0"/>
            <wp:docPr id="161334314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61213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15">
      <w:pPr>
        <w:numPr>
          <w:ilvl w:val="0"/>
          <w:numId w:val="6"/>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Interposición del recurso de revisión. </w:t>
      </w:r>
      <w:r w:rsidDel="00000000" w:rsidR="00000000" w:rsidRPr="00000000">
        <w:rPr>
          <w:rFonts w:ascii="Palatino Linotype" w:cs="Palatino Linotype" w:eastAsia="Palatino Linotype" w:hAnsi="Palatino Linotype"/>
          <w:color w:val="000000"/>
          <w:sz w:val="22"/>
          <w:szCs w:val="22"/>
          <w:rtl w:val="0"/>
        </w:rPr>
        <w:t xml:space="preserve">Inconforme con la respuesta del </w:t>
      </w:r>
      <w:r w:rsidDel="00000000" w:rsidR="00000000" w:rsidRPr="00000000">
        <w:rPr>
          <w:rFonts w:ascii="Palatino Linotype" w:cs="Palatino Linotype" w:eastAsia="Palatino Linotype" w:hAnsi="Palatino Linotype"/>
          <w:b w:val="1"/>
          <w:color w:val="000000"/>
          <w:sz w:val="22"/>
          <w:szCs w:val="22"/>
          <w:rtl w:val="0"/>
        </w:rPr>
        <w:t xml:space="preserve">Sujeto Obligado </w:t>
      </w:r>
      <w:r w:rsidDel="00000000" w:rsidR="00000000" w:rsidRPr="00000000">
        <w:rPr>
          <w:rFonts w:ascii="Palatino Linotype" w:cs="Palatino Linotype" w:eastAsia="Palatino Linotype" w:hAnsi="Palatino Linotype"/>
          <w:color w:val="000000"/>
          <w:sz w:val="22"/>
          <w:szCs w:val="22"/>
          <w:rtl w:val="0"/>
        </w:rPr>
        <w:t xml:space="preserve">la parte</w:t>
      </w:r>
      <w:r w:rsidDel="00000000" w:rsidR="00000000" w:rsidRPr="00000000">
        <w:rPr>
          <w:rFonts w:ascii="Palatino Linotype" w:cs="Palatino Linotype" w:eastAsia="Palatino Linotype" w:hAnsi="Palatino Linotype"/>
          <w:b w:val="1"/>
          <w:color w:val="000000"/>
          <w:sz w:val="22"/>
          <w:szCs w:val="22"/>
          <w:rtl w:val="0"/>
        </w:rPr>
        <w:t xml:space="preserve"> Recurrente</w:t>
      </w:r>
      <w:r w:rsidDel="00000000" w:rsidR="00000000" w:rsidRPr="00000000">
        <w:rPr>
          <w:rFonts w:ascii="Palatino Linotype" w:cs="Palatino Linotype" w:eastAsia="Palatino Linotype" w:hAnsi="Palatino Linotype"/>
          <w:color w:val="000000"/>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color w:val="000000"/>
          <w:sz w:val="22"/>
          <w:szCs w:val="22"/>
          <w:rtl w:val="0"/>
        </w:rPr>
        <w:t xml:space="preserve">veinticuatro de mayo de dos mil veinticinco</w:t>
      </w:r>
      <w:r w:rsidDel="00000000" w:rsidR="00000000" w:rsidRPr="00000000">
        <w:rPr>
          <w:rFonts w:ascii="Palatino Linotype" w:cs="Palatino Linotype" w:eastAsia="Palatino Linotype" w:hAnsi="Palatino Linotype"/>
          <w:color w:val="000000"/>
          <w:sz w:val="22"/>
          <w:szCs w:val="22"/>
          <w:rtl w:val="0"/>
        </w:rPr>
        <w:t xml:space="preserve">, sin embargo, al corresponder a un día inhábil se tuvo por presentada el día </w:t>
      </w:r>
      <w:r w:rsidDel="00000000" w:rsidR="00000000" w:rsidRPr="00000000">
        <w:rPr>
          <w:rFonts w:ascii="Palatino Linotype" w:cs="Palatino Linotype" w:eastAsia="Palatino Linotype" w:hAnsi="Palatino Linotype"/>
          <w:b w:val="1"/>
          <w:color w:val="000000"/>
          <w:sz w:val="22"/>
          <w:szCs w:val="22"/>
          <w:rtl w:val="0"/>
        </w:rPr>
        <w:t xml:space="preserve">veintiséis de mayo de dos mil veinticinco</w:t>
      </w:r>
      <w:r w:rsidDel="00000000" w:rsidR="00000000" w:rsidRPr="00000000">
        <w:rPr>
          <w:rFonts w:ascii="Palatino Linotype" w:cs="Palatino Linotype" w:eastAsia="Palatino Linotype" w:hAnsi="Palatino Linotype"/>
          <w:color w:val="000000"/>
          <w:sz w:val="22"/>
          <w:szCs w:val="22"/>
          <w:rtl w:val="0"/>
        </w:rPr>
        <w:t xml:space="preserve">, a través del cual expresó lo siguiente:</w:t>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17">
      <w:pPr>
        <w:spacing w:line="360"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Acto impugnado. </w:t>
      </w: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No entrega datos reales ya que la servidora pública trabaja desde antes del 2016</w:t>
      </w:r>
      <w:r w:rsidDel="00000000" w:rsidR="00000000" w:rsidRPr="00000000">
        <w:rPr>
          <w:rFonts w:ascii="Palatino Linotype" w:cs="Palatino Linotype" w:eastAsia="Palatino Linotype" w:hAnsi="Palatino Linotype"/>
          <w:i w:val="1"/>
          <w:color w:val="000000"/>
          <w:sz w:val="22"/>
          <w:szCs w:val="22"/>
          <w:rtl w:val="0"/>
        </w:rPr>
        <w:t xml:space="preserve">” </w:t>
      </w:r>
    </w:p>
    <w:p w:rsidR="00000000" w:rsidDel="00000000" w:rsidP="00000000" w:rsidRDefault="00000000" w:rsidRPr="00000000" w14:paraId="00000018">
      <w:pPr>
        <w:spacing w:line="360" w:lineRule="auto"/>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b w:val="1"/>
          <w:i w:val="1"/>
          <w:color w:val="000000"/>
          <w:sz w:val="22"/>
          <w:szCs w:val="22"/>
          <w:u w:val="single"/>
        </w:rPr>
      </w:pPr>
      <w:r w:rsidDel="00000000" w:rsidR="00000000" w:rsidRPr="00000000">
        <w:rPr>
          <w:rFonts w:ascii="Palatino Linotype" w:cs="Palatino Linotype" w:eastAsia="Palatino Linotype" w:hAnsi="Palatino Linotype"/>
          <w:b w:val="1"/>
          <w:color w:val="000000"/>
          <w:sz w:val="22"/>
          <w:szCs w:val="22"/>
          <w:rtl w:val="0"/>
        </w:rPr>
        <w:t xml:space="preserve">Motivos de inconformidad. </w:t>
      </w:r>
      <w:r w:rsidDel="00000000" w:rsidR="00000000" w:rsidRPr="00000000">
        <w:rPr>
          <w:rFonts w:ascii="Palatino Linotype" w:cs="Palatino Linotype" w:eastAsia="Palatino Linotype" w:hAnsi="Palatino Linotype"/>
          <w:i w:val="1"/>
          <w:color w:val="000000"/>
          <w:sz w:val="22"/>
          <w:szCs w:val="22"/>
          <w:rtl w:val="0"/>
        </w:rPr>
        <w:t xml:space="preserve">“No entrega datos reales ya que la servidora pública trabaja desde antes del 2016, o por que oculta la información real?”</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1B">
      <w:pPr>
        <w:numPr>
          <w:ilvl w:val="0"/>
          <w:numId w:val="6"/>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Turno. </w:t>
      </w:r>
      <w:r w:rsidDel="00000000" w:rsidR="00000000" w:rsidRPr="00000000">
        <w:rPr>
          <w:rFonts w:ascii="Palatino Linotype" w:cs="Palatino Linotype" w:eastAsia="Palatino Linotype" w:hAnsi="Palatino Linotype"/>
          <w:color w:val="000000"/>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color w:val="000000"/>
          <w:sz w:val="22"/>
          <w:szCs w:val="22"/>
          <w:rtl w:val="0"/>
        </w:rPr>
        <w:t xml:space="preserve">05909/INFOEM/IP/RR/2025</w:t>
      </w:r>
      <w:r w:rsidDel="00000000" w:rsidR="00000000" w:rsidRPr="00000000">
        <w:rPr>
          <w:rFonts w:ascii="Palatino Linotype" w:cs="Palatino Linotype" w:eastAsia="Palatino Linotype" w:hAnsi="Palatino Linotype"/>
          <w:color w:val="000000"/>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color w:val="000000"/>
          <w:sz w:val="22"/>
          <w:szCs w:val="22"/>
          <w:rtl w:val="0"/>
        </w:rPr>
        <w:t xml:space="preserve">Guadalupe Ramírez Peña</w:t>
      </w:r>
      <w:r w:rsidDel="00000000" w:rsidR="00000000" w:rsidRPr="00000000">
        <w:rPr>
          <w:rFonts w:ascii="Palatino Linotype" w:cs="Palatino Linotype" w:eastAsia="Palatino Linotype" w:hAnsi="Palatino Linotype"/>
          <w:color w:val="000000"/>
          <w:sz w:val="22"/>
          <w:szCs w:val="22"/>
          <w:rtl w:val="0"/>
        </w:rPr>
        <w:t xml:space="preserve">, para su análisis, estudio, elaboración del proyecto y presentación ante el Pleno de este Instituto.</w:t>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1D">
      <w:pPr>
        <w:numPr>
          <w:ilvl w:val="0"/>
          <w:numId w:val="6"/>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color w:val="000000"/>
          <w:sz w:val="22"/>
          <w:szCs w:val="22"/>
        </w:rPr>
      </w:pPr>
      <w:bookmarkStart w:colFirst="0" w:colLast="0" w:name="_heading=h.gjdgxs" w:id="2"/>
      <w:bookmarkEnd w:id="2"/>
      <w:r w:rsidDel="00000000" w:rsidR="00000000" w:rsidRPr="00000000">
        <w:rPr>
          <w:rFonts w:ascii="Palatino Linotype" w:cs="Palatino Linotype" w:eastAsia="Palatino Linotype" w:hAnsi="Palatino Linotype"/>
          <w:b w:val="1"/>
          <w:color w:val="000000"/>
          <w:sz w:val="22"/>
          <w:szCs w:val="22"/>
          <w:rtl w:val="0"/>
        </w:rPr>
        <w:t xml:space="preserve">Admisión del recurso de revisión: </w:t>
      </w:r>
      <w:r w:rsidDel="00000000" w:rsidR="00000000" w:rsidRPr="00000000">
        <w:rPr>
          <w:rFonts w:ascii="Palatino Linotype" w:cs="Palatino Linotype" w:eastAsia="Palatino Linotype" w:hAnsi="Palatino Linotype"/>
          <w:color w:val="000000"/>
          <w:sz w:val="22"/>
          <w:szCs w:val="22"/>
          <w:rtl w:val="0"/>
        </w:rPr>
        <w:t xml:space="preserve">En fecha </w:t>
      </w:r>
      <w:r w:rsidDel="00000000" w:rsidR="00000000" w:rsidRPr="00000000">
        <w:rPr>
          <w:rFonts w:ascii="Palatino Linotype" w:cs="Palatino Linotype" w:eastAsia="Palatino Linotype" w:hAnsi="Palatino Linotype"/>
          <w:b w:val="1"/>
          <w:color w:val="000000"/>
          <w:sz w:val="22"/>
          <w:szCs w:val="22"/>
          <w:rtl w:val="0"/>
        </w:rPr>
        <w:t xml:space="preserve">veintinueve de mayo de dos mil veinticinco, </w:t>
      </w:r>
      <w:r w:rsidDel="00000000" w:rsidR="00000000" w:rsidRPr="00000000">
        <w:rPr>
          <w:rFonts w:ascii="Palatino Linotype" w:cs="Palatino Linotype" w:eastAsia="Palatino Linotype" w:hAnsi="Palatino Linotype"/>
          <w:color w:val="000000"/>
          <w:sz w:val="22"/>
          <w:szCs w:val="22"/>
          <w:rtl w:val="0"/>
        </w:rPr>
        <w:t xml:space="preserve">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presentara su informe justificado.</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1F">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Manifestaciones</w:t>
      </w:r>
      <w:r w:rsidDel="00000000" w:rsidR="00000000" w:rsidRPr="00000000">
        <w:rPr>
          <w:rFonts w:ascii="Palatino Linotype" w:cs="Palatino Linotype" w:eastAsia="Palatino Linotype" w:hAnsi="Palatino Linotype"/>
          <w:color w:val="000000"/>
          <w:sz w:val="22"/>
          <w:szCs w:val="22"/>
          <w:rtl w:val="0"/>
        </w:rPr>
        <w:t xml:space="preserve">: De las constancias que obran en el expediente electrónico del </w:t>
      </w:r>
      <w:r w:rsidDel="00000000" w:rsidR="00000000" w:rsidRPr="00000000">
        <w:rPr>
          <w:rFonts w:ascii="Palatino Linotype" w:cs="Palatino Linotype" w:eastAsia="Palatino Linotype" w:hAnsi="Palatino Linotype"/>
          <w:b w:val="1"/>
          <w:color w:val="000000"/>
          <w:sz w:val="22"/>
          <w:szCs w:val="22"/>
          <w:rtl w:val="0"/>
        </w:rPr>
        <w:t xml:space="preserve">SAIMEX</w:t>
      </w:r>
      <w:r w:rsidDel="00000000" w:rsidR="00000000" w:rsidRPr="00000000">
        <w:rPr>
          <w:rFonts w:ascii="Palatino Linotype" w:cs="Palatino Linotype" w:eastAsia="Palatino Linotype" w:hAnsi="Palatino Linotype"/>
          <w:color w:val="000000"/>
          <w:sz w:val="22"/>
          <w:szCs w:val="22"/>
          <w:rtl w:val="0"/>
        </w:rPr>
        <w:t xml:space="preserve"> se desprende que en fecha </w:t>
      </w:r>
      <w:r w:rsidDel="00000000" w:rsidR="00000000" w:rsidRPr="00000000">
        <w:rPr>
          <w:rFonts w:ascii="Palatino Linotype" w:cs="Palatino Linotype" w:eastAsia="Palatino Linotype" w:hAnsi="Palatino Linotype"/>
          <w:b w:val="1"/>
          <w:color w:val="000000"/>
          <w:sz w:val="22"/>
          <w:szCs w:val="22"/>
          <w:rtl w:val="0"/>
        </w:rPr>
        <w:t xml:space="preserve">treinta de mayo de dos mil veinticinco</w:t>
      </w:r>
      <w:r w:rsidDel="00000000" w:rsidR="00000000" w:rsidRPr="00000000">
        <w:rPr>
          <w:rFonts w:ascii="Palatino Linotype" w:cs="Palatino Linotype" w:eastAsia="Palatino Linotype" w:hAnsi="Palatino Linotype"/>
          <w:color w:val="000000"/>
          <w:sz w:val="22"/>
          <w:szCs w:val="22"/>
          <w:rtl w:val="0"/>
        </w:rPr>
        <w:t xml:space="preserve">, 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rindió su informe justificado, a través de los siguientes archivos electrónicos: </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CONTESTACION 0014.pdf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Oficio numero TEX/TES/041/2025, de fecha veintidós de mayo de dos mil veinticinco, signado por el Tesorero Municipal, en el que informó que después de una exhaustiva búsqueda en el archivo de tesorería solo se localizaron datos correspondientes del año 2020 a la fecha. </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350"/>
        </w:tabs>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RESPUESTA RECURSO DE REVISION (2).pdf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Contiene el Acta de la Tercera Sesión Ordinaria del Comité de Transparencia, de fecha veintisiete de mayo de dos mil veinticinco, en el que se aprobó la clasificación como información confidencial de forma parcial, los datos personales contenidos en las nóminas de la ex servidora pública referida en la solicitud, para dar cumplimiento al Recurso de Revisión número 05910/INFOEM/IP/RR/2025 y 05909/INFOEM/IP/RR/2025.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50"/>
        </w:tabs>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Así mismo contiene los Comprobantes Fiscales Digitales relativos a los pagos realizados a la servidora pública referida en la solicitud. </w:t>
      </w:r>
    </w:p>
    <w:p w:rsidR="00000000" w:rsidDel="00000000" w:rsidP="00000000" w:rsidRDefault="00000000" w:rsidRPr="00000000" w14:paraId="0000002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7">
      <w:pPr>
        <w:numPr>
          <w:ilvl w:val="0"/>
          <w:numId w:val="9"/>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Ampliación del plazo.</w:t>
      </w:r>
      <w:r w:rsidDel="00000000" w:rsidR="00000000" w:rsidRPr="00000000">
        <w:rPr>
          <w:rFonts w:ascii="Palatino Linotype" w:cs="Palatino Linotype" w:eastAsia="Palatino Linotype" w:hAnsi="Palatino Linotype"/>
          <w:color w:val="000000"/>
          <w:sz w:val="22"/>
          <w:szCs w:val="22"/>
          <w:rtl w:val="0"/>
        </w:rPr>
        <w:t xml:space="preserve"> En fecha </w:t>
      </w:r>
      <w:r w:rsidDel="00000000" w:rsidR="00000000" w:rsidRPr="00000000">
        <w:rPr>
          <w:rFonts w:ascii="Palatino Linotype" w:cs="Palatino Linotype" w:eastAsia="Palatino Linotype" w:hAnsi="Palatino Linotype"/>
          <w:b w:val="1"/>
          <w:color w:val="000000"/>
          <w:sz w:val="22"/>
          <w:szCs w:val="22"/>
          <w:rtl w:val="0"/>
        </w:rPr>
        <w:t xml:space="preserve">dieciséis de julio de dos mil veinticinco</w:t>
      </w:r>
      <w:r w:rsidDel="00000000" w:rsidR="00000000" w:rsidRPr="00000000">
        <w:rPr>
          <w:rFonts w:ascii="Palatino Linotype" w:cs="Palatino Linotype" w:eastAsia="Palatino Linotype" w:hAnsi="Palatino Linotype"/>
          <w:color w:val="000000"/>
          <w:sz w:val="22"/>
          <w:szCs w:val="22"/>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28">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3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1">
      <w:pPr>
        <w:spacing w:line="360" w:lineRule="auto"/>
        <w:jc w:val="both"/>
        <w:rPr>
          <w:rFonts w:ascii="Palatino Linotype" w:cs="Palatino Linotype" w:eastAsia="Palatino Linotype" w:hAnsi="Palatino Linotype"/>
          <w:strike w:val="1"/>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3">
      <w:pPr>
        <w:numPr>
          <w:ilvl w:val="0"/>
          <w:numId w:val="2"/>
        </w:numPr>
        <w:spacing w:line="360" w:lineRule="auto"/>
        <w:ind w:left="92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Complejidad del Asunto:</w:t>
      </w:r>
      <w:r w:rsidDel="00000000" w:rsidR="00000000" w:rsidRPr="00000000">
        <w:rPr>
          <w:rFonts w:ascii="Palatino Linotype" w:cs="Palatino Linotype" w:eastAsia="Palatino Linotype" w:hAnsi="Palatino Linotype"/>
          <w:sz w:val="22"/>
          <w:szCs w:val="22"/>
          <w:rtl w:val="0"/>
        </w:rPr>
        <w:t xml:space="preserve"> La complejidad de la prueba, la pluralidad de sujetos procesales, el tiempo transcurrido, las características y contexto del recurso. </w:t>
      </w:r>
    </w:p>
    <w:p w:rsidR="00000000" w:rsidDel="00000000" w:rsidP="00000000" w:rsidRDefault="00000000" w:rsidRPr="00000000" w14:paraId="00000034">
      <w:pPr>
        <w:numPr>
          <w:ilvl w:val="0"/>
          <w:numId w:val="2"/>
        </w:numPr>
        <w:spacing w:line="360" w:lineRule="auto"/>
        <w:ind w:left="92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Actividad Procesal del interesado.</w:t>
      </w:r>
      <w:r w:rsidDel="00000000" w:rsidR="00000000" w:rsidRPr="00000000">
        <w:rPr>
          <w:rFonts w:ascii="Palatino Linotype" w:cs="Palatino Linotype" w:eastAsia="Palatino Linotype" w:hAnsi="Palatino Linotype"/>
          <w:sz w:val="22"/>
          <w:szCs w:val="22"/>
          <w:rtl w:val="0"/>
        </w:rPr>
        <w:t xml:space="preserve"> Acciones u omisiones del interesado.</w:t>
      </w:r>
    </w:p>
    <w:p w:rsidR="00000000" w:rsidDel="00000000" w:rsidP="00000000" w:rsidRDefault="00000000" w:rsidRPr="00000000" w14:paraId="00000035">
      <w:pPr>
        <w:numPr>
          <w:ilvl w:val="0"/>
          <w:numId w:val="2"/>
        </w:numPr>
        <w:spacing w:line="360" w:lineRule="auto"/>
        <w:ind w:left="92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Conducta de la Autoridad: </w:t>
      </w:r>
      <w:r w:rsidDel="00000000" w:rsidR="00000000" w:rsidRPr="00000000">
        <w:rPr>
          <w:rFonts w:ascii="Palatino Linotype" w:cs="Palatino Linotype" w:eastAsia="Palatino Linotype" w:hAnsi="Palatino Linotype"/>
          <w:sz w:val="22"/>
          <w:szCs w:val="22"/>
          <w:rtl w:val="0"/>
        </w:rPr>
        <w:t xml:space="preserve">Las Acciones u omisiones realizadas en el procedimiento. Así como si la autoridad actuó con la debida diligencia.</w:t>
      </w:r>
    </w:p>
    <w:p w:rsidR="00000000" w:rsidDel="00000000" w:rsidP="00000000" w:rsidRDefault="00000000" w:rsidRPr="00000000" w14:paraId="00000036">
      <w:pPr>
        <w:numPr>
          <w:ilvl w:val="0"/>
          <w:numId w:val="2"/>
        </w:numPr>
        <w:spacing w:line="360" w:lineRule="auto"/>
        <w:ind w:left="927"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afectación generada en la situación jurídica de la persona involucrada en el proceso:</w:t>
      </w:r>
      <w:r w:rsidDel="00000000" w:rsidR="00000000" w:rsidRPr="00000000">
        <w:rPr>
          <w:rFonts w:ascii="Palatino Linotype" w:cs="Palatino Linotype" w:eastAsia="Palatino Linotype" w:hAnsi="Palatino Linotype"/>
          <w:sz w:val="22"/>
          <w:szCs w:val="22"/>
          <w:rtl w:val="0"/>
        </w:rPr>
        <w:t xml:space="preserve"> Violación a sus derechos humanos.</w:t>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A">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sz w:val="22"/>
          <w:szCs w:val="22"/>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2"/>
          <w:szCs w:val="22"/>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3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0">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41">
      <w:pPr>
        <w:spacing w:line="276" w:lineRule="auto"/>
        <w:ind w:left="567" w:right="616"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42">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43">
      <w:pPr>
        <w:spacing w:line="360"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este organismo garante comprometido con la tutela de los derechos humanos confiados, señala que este exceso de plazo legal para resolver el presente asunto, resulta de carácter excepcional.</w:t>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46">
      <w:pPr>
        <w:numPr>
          <w:ilvl w:val="0"/>
          <w:numId w:val="6"/>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seis de agosto de dos mil veinticinco</w:t>
      </w:r>
      <w:r w:rsidDel="00000000" w:rsidR="00000000" w:rsidRPr="00000000">
        <w:rPr>
          <w:rFonts w:ascii="Palatino Linotype" w:cs="Palatino Linotype" w:eastAsia="Palatino Linotype" w:hAnsi="Palatino Linotype"/>
          <w:color w:val="000000"/>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A">
      <w:pPr>
        <w:numPr>
          <w:ilvl w:val="0"/>
          <w:numId w:val="5"/>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color w:val="000000"/>
          <w:sz w:val="22"/>
          <w:szCs w:val="22"/>
        </w:rPr>
      </w:pPr>
      <w:bookmarkStart w:colFirst="0" w:colLast="0" w:name="_heading=h.30j0zll" w:id="3"/>
      <w:bookmarkEnd w:id="3"/>
      <w:r w:rsidDel="00000000" w:rsidR="00000000" w:rsidRPr="00000000">
        <w:rPr>
          <w:rFonts w:ascii="Palatino Linotype" w:cs="Palatino Linotype" w:eastAsia="Palatino Linotype" w:hAnsi="Palatino Linotype"/>
          <w:b w:val="1"/>
          <w:color w:val="000000"/>
          <w:sz w:val="22"/>
          <w:szCs w:val="22"/>
          <w:rtl w:val="0"/>
        </w:rPr>
        <w:t xml:space="preserve">C O N S I D E R A N D O:</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color w:val="000000"/>
          <w:sz w:val="22"/>
          <w:szCs w:val="22"/>
        </w:rPr>
      </w:pPr>
      <w:r w:rsidDel="00000000" w:rsidR="00000000" w:rsidRPr="00000000">
        <w:rPr>
          <w:rtl w:val="0"/>
        </w:rPr>
      </w:r>
    </w:p>
    <w:p w:rsidR="00000000" w:rsidDel="00000000" w:rsidP="00000000" w:rsidRDefault="00000000" w:rsidRPr="00000000" w14:paraId="0000004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D">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4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veintitrés de mayo de dos mil veinticinco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veinticuatro de mayo de dos mil veinticinco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color w:val="000000"/>
          <w:sz w:val="22"/>
          <w:szCs w:val="22"/>
          <w:rtl w:val="0"/>
        </w:rPr>
        <w:t xml:space="preserve"> sin embargo, al corresponder a un día inhábil se tuvo por presentada el día </w:t>
      </w:r>
      <w:r w:rsidDel="00000000" w:rsidR="00000000" w:rsidRPr="00000000">
        <w:rPr>
          <w:rFonts w:ascii="Palatino Linotype" w:cs="Palatino Linotype" w:eastAsia="Palatino Linotype" w:hAnsi="Palatino Linotype"/>
          <w:b w:val="1"/>
          <w:color w:val="000000"/>
          <w:sz w:val="22"/>
          <w:szCs w:val="22"/>
          <w:rtl w:val="0"/>
        </w:rPr>
        <w:t xml:space="preserve">veintiséis de mayo de dos mil veinticinco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el primer día hábil en que tuvo conocimiento de la respuesta. </w:t>
      </w:r>
    </w:p>
    <w:p w:rsidR="00000000" w:rsidDel="00000000" w:rsidP="00000000" w:rsidRDefault="00000000" w:rsidRPr="00000000" w14:paraId="00000051">
      <w:pPr>
        <w:spacing w:after="240" w:before="240"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Asimismo, por cuanto hace a la procedibilidad de</w:t>
      </w:r>
      <w:r w:rsidDel="00000000" w:rsidR="00000000" w:rsidRPr="00000000">
        <w:rPr>
          <w:rFonts w:ascii="Palatino Linotype" w:cs="Palatino Linotype" w:eastAsia="Palatino Linotype" w:hAnsi="Palatino Linotype"/>
          <w:sz w:val="22"/>
          <w:szCs w:val="22"/>
          <w:rtl w:val="0"/>
        </w:rPr>
        <w:t xml:space="preserve">l</w:t>
      </w:r>
      <w:r w:rsidDel="00000000" w:rsidR="00000000" w:rsidRPr="00000000">
        <w:rPr>
          <w:rFonts w:ascii="Palatino Linotype" w:cs="Palatino Linotype" w:eastAsia="Palatino Linotype" w:hAnsi="Palatino Linotype"/>
          <w:color w:val="000000"/>
          <w:sz w:val="22"/>
          <w:szCs w:val="22"/>
          <w:rtl w:val="0"/>
        </w:rPr>
        <w:t xml:space="preserve"> recurso de </w:t>
      </w:r>
      <w:r w:rsidDel="00000000" w:rsidR="00000000" w:rsidRPr="00000000">
        <w:rPr>
          <w:rFonts w:ascii="Palatino Linotype" w:cs="Palatino Linotype" w:eastAsia="Palatino Linotype" w:hAnsi="Palatino Linotype"/>
          <w:sz w:val="22"/>
          <w:szCs w:val="22"/>
          <w:rtl w:val="0"/>
        </w:rPr>
        <w:t xml:space="preserve">revisión</w:t>
      </w:r>
      <w:r w:rsidDel="00000000" w:rsidR="00000000" w:rsidRPr="00000000">
        <w:rPr>
          <w:rFonts w:ascii="Palatino Linotype" w:cs="Palatino Linotype" w:eastAsia="Palatino Linotype" w:hAnsi="Palatino Linotype"/>
          <w:color w:val="000000"/>
          <w:sz w:val="22"/>
          <w:szCs w:val="22"/>
          <w:rtl w:val="0"/>
        </w:rPr>
        <w:t xml:space="preserve">, es de suma importancia señalar que la parte</w:t>
      </w:r>
      <w:r w:rsidDel="00000000" w:rsidR="00000000" w:rsidRPr="00000000">
        <w:rPr>
          <w:rFonts w:ascii="Palatino Linotype" w:cs="Palatino Linotype" w:eastAsia="Palatino Linotype" w:hAnsi="Palatino Linotype"/>
          <w:b w:val="1"/>
          <w:color w:val="000000"/>
          <w:sz w:val="22"/>
          <w:szCs w:val="22"/>
          <w:rtl w:val="0"/>
        </w:rPr>
        <w:t xml:space="preserve"> Recurrente</w:t>
      </w:r>
      <w:r w:rsidDel="00000000" w:rsidR="00000000" w:rsidRPr="00000000">
        <w:rPr>
          <w:rFonts w:ascii="Palatino Linotype" w:cs="Palatino Linotype" w:eastAsia="Palatino Linotype" w:hAnsi="Palatino Linotype"/>
          <w:color w:val="000000"/>
          <w:sz w:val="22"/>
          <w:szCs w:val="22"/>
          <w:rtl w:val="0"/>
        </w:rPr>
        <w:t xml:space="preserve">, no señaló un nombre con el que pueda ser identificado, tal como se advierte en el detalle de seguimiento del SAIMEX, no obstante,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40" w:before="240"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"Las </w:t>
      </w:r>
      <w:r w:rsidDel="00000000" w:rsidR="00000000" w:rsidRPr="00000000">
        <w:rPr>
          <w:rFonts w:ascii="Palatino Linotype" w:cs="Palatino Linotype" w:eastAsia="Palatino Linotype" w:hAnsi="Palatino Linotype"/>
          <w:b w:val="1"/>
          <w:i w:val="1"/>
          <w:color w:val="000000"/>
          <w:sz w:val="22"/>
          <w:szCs w:val="22"/>
          <w:rtl w:val="0"/>
        </w:rPr>
        <w:t xml:space="preserve">solicitudes anónimas</w:t>
      </w:r>
      <w:r w:rsidDel="00000000" w:rsidR="00000000" w:rsidRPr="00000000">
        <w:rPr>
          <w:rFonts w:ascii="Palatino Linotype" w:cs="Palatino Linotype" w:eastAsia="Palatino Linotype" w:hAnsi="Palatino Linotype"/>
          <w:i w:val="1"/>
          <w:color w:val="000000"/>
          <w:sz w:val="22"/>
          <w:szCs w:val="22"/>
          <w:rtl w:val="0"/>
        </w:rPr>
        <w:t xml:space="preserve">,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53">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Del="00000000" w:rsidR="00000000" w:rsidRPr="00000000">
        <w:rPr>
          <w:rFonts w:ascii="Palatino Linotype" w:cs="Palatino Linotype" w:eastAsia="Palatino Linotype" w:hAnsi="Palatino Linotype"/>
          <w:b w:val="1"/>
          <w:sz w:val="22"/>
          <w:szCs w:val="22"/>
          <w:rtl w:val="0"/>
        </w:rPr>
        <w:t xml:space="preserve">EL SAIMEX.</w:t>
      </w:r>
    </w:p>
    <w:p w:rsidR="00000000" w:rsidDel="00000000" w:rsidP="00000000" w:rsidRDefault="00000000" w:rsidRPr="00000000" w14:paraId="00000054">
      <w:pP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 de la ley de la materia, que a la letra dice:</w:t>
      </w:r>
    </w:p>
    <w:p w:rsidR="00000000" w:rsidDel="00000000" w:rsidP="00000000" w:rsidRDefault="00000000" w:rsidRPr="00000000" w14:paraId="0000005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8">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9">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a la información solicitada;</w:t>
      </w:r>
    </w:p>
    <w:p w:rsidR="00000000" w:rsidDel="00000000" w:rsidP="00000000" w:rsidRDefault="00000000" w:rsidRPr="00000000" w14:paraId="0000005A">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B">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Tercero. Materia de Revisión</w:t>
      </w:r>
      <w:r w:rsidDel="00000000" w:rsidR="00000000" w:rsidRPr="00000000">
        <w:rPr>
          <w:rFonts w:ascii="Palatino Linotype" w:cs="Palatino Linotype" w:eastAsia="Palatino Linotype" w:hAnsi="Palatino Linotype"/>
          <w:color w:val="000000"/>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rsidR="00000000" w:rsidDel="00000000" w:rsidP="00000000" w:rsidRDefault="00000000" w:rsidRPr="00000000" w14:paraId="0000005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del Sujeto Obligado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5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0">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61">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62">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6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65">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9">
      <w:pPr>
        <w:spacing w:line="360" w:lineRule="auto"/>
        <w:ind w:right="-93"/>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6A">
      <w:pPr>
        <w:spacing w:line="360" w:lineRule="auto"/>
        <w:ind w:right="-93"/>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Del="00000000" w:rsidR="00000000" w:rsidRPr="00000000">
        <w:rPr>
          <w:rFonts w:ascii="Palatino Linotype" w:cs="Palatino Linotype" w:eastAsia="Palatino Linotype" w:hAnsi="Palatino Linotype"/>
          <w:sz w:val="22"/>
          <w:szCs w:val="22"/>
          <w:rtl w:val="0"/>
        </w:rPr>
        <w:t xml:space="preserve">sólo</w:t>
      </w:r>
      <w:r w:rsidDel="00000000" w:rsidR="00000000" w:rsidRPr="00000000">
        <w:rPr>
          <w:rFonts w:ascii="Palatino Linotype" w:cs="Palatino Linotype" w:eastAsia="Palatino Linotype" w:hAnsi="Palatino Linotype"/>
          <w:color w:val="000000"/>
          <w:sz w:val="22"/>
          <w:szCs w:val="22"/>
          <w:rtl w:val="0"/>
        </w:rPr>
        <w:t xml:space="preserve"> se </w:t>
      </w:r>
      <w:r w:rsidDel="00000000" w:rsidR="00000000" w:rsidRPr="00000000">
        <w:rPr>
          <w:rFonts w:ascii="Palatino Linotype" w:cs="Palatino Linotype" w:eastAsia="Palatino Linotype" w:hAnsi="Palatino Linotype"/>
          <w:sz w:val="22"/>
          <w:szCs w:val="22"/>
          <w:rtl w:val="0"/>
        </w:rPr>
        <w:t xml:space="preserve">concretarán</w:t>
      </w:r>
      <w:r w:rsidDel="00000000" w:rsidR="00000000" w:rsidRPr="00000000">
        <w:rPr>
          <w:rFonts w:ascii="Palatino Linotype" w:cs="Palatino Linotype" w:eastAsia="Palatino Linotype" w:hAnsi="Palatino Linotype"/>
          <w:color w:val="000000"/>
          <w:sz w:val="22"/>
          <w:szCs w:val="22"/>
          <w:rtl w:val="0"/>
        </w:rPr>
        <w:t xml:space="preserve">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6B">
      <w:pPr>
        <w:spacing w:line="360" w:lineRule="auto"/>
        <w:ind w:right="-93"/>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6C">
      <w:pPr>
        <w:spacing w:line="360" w:lineRule="auto"/>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color w:val="000000"/>
          <w:sz w:val="22"/>
          <w:szCs w:val="22"/>
          <w:rtl w:val="0"/>
        </w:rPr>
        <w:t xml:space="preserve"> </w:t>
      </w:r>
    </w:p>
    <w:p w:rsidR="00000000" w:rsidDel="00000000" w:rsidP="00000000" w:rsidRDefault="00000000" w:rsidRPr="00000000" w14:paraId="0000006D">
      <w:pPr>
        <w:spacing w:line="276" w:lineRule="auto"/>
        <w:ind w:left="851" w:right="850" w:firstLine="0"/>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6E">
      <w:pP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color w:val="000000"/>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6F">
      <w:pPr>
        <w:spacing w:line="276" w:lineRule="auto"/>
        <w:ind w:left="567" w:right="616"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70">
      <w:pPr>
        <w:spacing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w:t>
      </w:r>
      <w:r w:rsidDel="00000000" w:rsidR="00000000" w:rsidRPr="00000000">
        <w:rPr>
          <w:rFonts w:ascii="Palatino Linotype" w:cs="Palatino Linotype" w:eastAsia="Palatino Linotype" w:hAnsi="Palatino Linotype"/>
          <w:color w:val="000000"/>
          <w:sz w:val="22"/>
          <w:szCs w:val="22"/>
          <w:rtl w:val="0"/>
        </w:rPr>
        <w:t xml:space="preserve">sólo proporcionarán la información pública que </w:t>
      </w:r>
      <w:r w:rsidDel="00000000" w:rsidR="00000000" w:rsidRPr="00000000">
        <w:rPr>
          <w:rFonts w:ascii="Palatino Linotype" w:cs="Palatino Linotype" w:eastAsia="Palatino Linotype" w:hAnsi="Palatino Linotype"/>
          <w:sz w:val="22"/>
          <w:szCs w:val="22"/>
          <w:rtl w:val="0"/>
        </w:rPr>
        <w:t xml:space="preserve">generen</w:t>
      </w:r>
      <w:r w:rsidDel="00000000" w:rsidR="00000000" w:rsidRPr="00000000">
        <w:rPr>
          <w:rFonts w:ascii="Palatino Linotype" w:cs="Palatino Linotype" w:eastAsia="Palatino Linotype" w:hAnsi="Palatino Linotype"/>
          <w:color w:val="000000"/>
          <w:sz w:val="22"/>
          <w:szCs w:val="22"/>
          <w:rtl w:val="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71">
      <w:pP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7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7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7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6">
      <w:pP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 Documento:</w:t>
      </w:r>
      <w:r w:rsidDel="00000000" w:rsidR="00000000" w:rsidRPr="00000000">
        <w:rPr>
          <w:rFonts w:ascii="Palatino Linotype" w:cs="Palatino Linotype" w:eastAsia="Palatino Linotype" w:hAnsi="Palatino Linotype"/>
          <w:i w:val="1"/>
          <w:color w:val="000000"/>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77">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79">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A">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7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7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7D">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E">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7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8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83">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lo siguiente: </w:t>
      </w:r>
    </w:p>
    <w:p w:rsidR="00000000" w:rsidDel="00000000" w:rsidP="00000000" w:rsidRDefault="00000000" w:rsidRPr="00000000" w14:paraId="00000084">
      <w:pPr>
        <w:numPr>
          <w:ilvl w:val="0"/>
          <w:numId w:val="1"/>
        </w:numPr>
        <w:pBdr>
          <w:top w:space="0" w:sz="0" w:val="nil"/>
          <w:left w:space="0" w:sz="0" w:val="nil"/>
          <w:bottom w:space="0" w:sz="0" w:val="nil"/>
          <w:right w:space="0" w:sz="0" w:val="nil"/>
          <w:between w:space="0" w:sz="0" w:val="nil"/>
        </w:pBdr>
        <w:spacing w:after="240" w:before="240" w:line="360" w:lineRule="auto"/>
        <w:ind w:left="720" w:right="616" w:hanging="36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 De la servidora pública referida en la solicitud de información, los puestos y sueldos que ha tenido desde su ingreso a la fecha de la solicitud. </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Tesorero Municipal informó que después de realizar una búsqueda en sus archivos, solo se localizaron datos correspondientes del año 2020 a la fecha</w:t>
      </w:r>
      <w:r w:rsidDel="00000000" w:rsidR="00000000" w:rsidRPr="00000000">
        <w:rPr>
          <w:rFonts w:ascii="Palatino Linotype" w:cs="Palatino Linotype" w:eastAsia="Palatino Linotype" w:hAnsi="Palatino Linotype"/>
          <w:color w:val="000000"/>
          <w:sz w:val="22"/>
          <w:szCs w:val="22"/>
          <w:rtl w:val="0"/>
        </w:rPr>
        <w:t xml:space="preserve">. </w:t>
      </w:r>
    </w:p>
    <w:p w:rsidR="00000000" w:rsidDel="00000000" w:rsidP="00000000" w:rsidRDefault="00000000" w:rsidRPr="00000000" w14:paraId="00000086">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Inconforme con la respuesta,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procedió a interponer el presente recurso de revisión, señalando en sus razones o motivos de inconformidad, que la servidora pública trabaja desde antes del dos mil dijeseis por lo que no entregan la información. </w:t>
      </w:r>
    </w:p>
    <w:p w:rsidR="00000000" w:rsidDel="00000000" w:rsidP="00000000" w:rsidRDefault="00000000" w:rsidRPr="00000000" w14:paraId="00000087">
      <w:pPr>
        <w:widowControl w:val="0"/>
        <w:tabs>
          <w:tab w:val="left" w:leader="none" w:pos="1701"/>
          <w:tab w:val="left" w:leader="none" w:pos="1843"/>
        </w:tabs>
        <w:spacing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Por otra parte, de las constancias que obran en 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se advierte que </w:t>
      </w:r>
      <w:r w:rsidDel="00000000" w:rsidR="00000000" w:rsidRPr="00000000">
        <w:rPr>
          <w:rFonts w:ascii="Palatino Linotype" w:cs="Palatino Linotype" w:eastAsia="Palatino Linotype" w:hAnsi="Palatino Linotype"/>
          <w:color w:val="000000"/>
          <w:sz w:val="22"/>
          <w:szCs w:val="22"/>
          <w:rtl w:val="0"/>
        </w:rPr>
        <w:t xml:space="preserve">el </w:t>
      </w:r>
      <w:r w:rsidDel="00000000" w:rsidR="00000000" w:rsidRPr="00000000">
        <w:rPr>
          <w:rFonts w:ascii="Palatino Linotype" w:cs="Palatino Linotype" w:eastAsia="Palatino Linotype" w:hAnsi="Palatino Linotype"/>
          <w:b w:val="1"/>
          <w:color w:val="000000"/>
          <w:sz w:val="22"/>
          <w:szCs w:val="22"/>
          <w:rtl w:val="0"/>
        </w:rPr>
        <w:t xml:space="preserve">Recurrente</w:t>
      </w:r>
      <w:r w:rsidDel="00000000" w:rsidR="00000000" w:rsidRPr="00000000">
        <w:rPr>
          <w:rFonts w:ascii="Palatino Linotype" w:cs="Palatino Linotype" w:eastAsia="Palatino Linotype" w:hAnsi="Palatino Linotype"/>
          <w:color w:val="000000"/>
          <w:sz w:val="22"/>
          <w:szCs w:val="22"/>
          <w:rtl w:val="0"/>
        </w:rPr>
        <w:t xml:space="preserve"> no realizó manifestaciones, alegatos o pruebas que a su derecho convinieran y por su parte el </w:t>
      </w:r>
      <w:r w:rsidDel="00000000" w:rsidR="00000000" w:rsidRPr="00000000">
        <w:rPr>
          <w:rFonts w:ascii="Palatino Linotype" w:cs="Palatino Linotype" w:eastAsia="Palatino Linotype" w:hAnsi="Palatino Linotype"/>
          <w:b w:val="1"/>
          <w:color w:val="000000"/>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rindió su informe justificado</w:t>
      </w:r>
      <w:r w:rsidDel="00000000" w:rsidR="00000000" w:rsidRPr="00000000">
        <w:rPr>
          <w:rFonts w:ascii="Palatino Linotype" w:cs="Palatino Linotype" w:eastAsia="Palatino Linotype" w:hAnsi="Palatino Linotype"/>
          <w:color w:val="000000"/>
          <w:sz w:val="22"/>
          <w:szCs w:val="22"/>
          <w:rtl w:val="0"/>
        </w:rPr>
        <w:t xml:space="preserve"> en el que hizo entrega de los recibos de nómina de la persona referida en la solicitud, en versión pública, acompañada del acta del Comité de Transparencia en el que se aprobó la clasificación. </w:t>
      </w:r>
    </w:p>
    <w:p w:rsidR="00000000" w:rsidDel="00000000" w:rsidP="00000000" w:rsidRDefault="00000000" w:rsidRPr="00000000" w14:paraId="00000088">
      <w:pPr>
        <w:widowControl w:val="0"/>
        <w:tabs>
          <w:tab w:val="left" w:leader="none" w:pos="1701"/>
          <w:tab w:val="left" w:leader="none" w:pos="1843"/>
        </w:tabs>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Establecido lo anterior, primeramente resulta conveniente establecer que del agravio del particular, se aprecia que se inconforma únicamente por la falta de entrega de la información a partir de su ingreso, al señalar </w:t>
      </w:r>
      <w:r w:rsidDel="00000000" w:rsidR="00000000" w:rsidRPr="00000000">
        <w:rPr>
          <w:rFonts w:ascii="Palatino Linotype" w:cs="Palatino Linotype" w:eastAsia="Palatino Linotype" w:hAnsi="Palatino Linotype"/>
          <w:i w:val="1"/>
          <w:sz w:val="22"/>
          <w:szCs w:val="22"/>
          <w:rtl w:val="0"/>
        </w:rPr>
        <w:t xml:space="preserve">“…No entrega datos reales ya que la servidora pública trabaja desde antes del 2016,…”</w:t>
      </w:r>
      <w:r w:rsidDel="00000000" w:rsidR="00000000" w:rsidRPr="00000000">
        <w:rPr>
          <w:rFonts w:ascii="Palatino Linotype" w:cs="Palatino Linotype" w:eastAsia="Palatino Linotype" w:hAnsi="Palatino Linotype"/>
          <w:sz w:val="22"/>
          <w:szCs w:val="22"/>
          <w:rtl w:val="0"/>
        </w:rPr>
        <w:t xml:space="preserve">; es decir, no mostró agravio respecto a la información que fue remitida en respuesta. En consecuencia, la información de la que no mostró inconformidad debe declarase consentida, pues se entiende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ésta conforme con la información proporcionada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B">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sz w:val="22"/>
          <w:szCs w:val="22"/>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8C">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se reitera, que la parte de la respuesta que no fue impugnada debe declararse consentida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toda vez que no se realizaron manifestaciones de inconformidad, por lo que no pueden producirse efectos jurídicos tendentes a revocar, confirmar o modificar el acto reclamado ya que se infiere un consentimiento ante la falta de impugnación eficaz. </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a lo anterior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b w:val="1"/>
          <w:i w:val="1"/>
          <w:smallCaps w:val="1"/>
          <w:sz w:val="22"/>
          <w:szCs w:val="22"/>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mallCaps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3">
      <w:pPr>
        <w:spacing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Por lo expuesto, el presente asunto se limitará a analizar lo relativo a los documentos que den cuenta de los puestos y sueldos que ha tenido la servidora pública, desde su ingreso a treinta y uno de diciembre de dos mil diecinueve. </w:t>
      </w:r>
      <w:r w:rsidDel="00000000" w:rsidR="00000000" w:rsidRPr="00000000">
        <w:rPr>
          <w:rtl w:val="0"/>
        </w:rPr>
      </w:r>
    </w:p>
    <w:p w:rsidR="00000000" w:rsidDel="00000000" w:rsidP="00000000" w:rsidRDefault="00000000" w:rsidRPr="00000000" w14:paraId="00000094">
      <w:pPr>
        <w:widowControl w:val="0"/>
        <w:tabs>
          <w:tab w:val="left" w:leader="none" w:pos="1701"/>
          <w:tab w:val="left" w:leader="none" w:pos="1843"/>
        </w:tabs>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95">
      <w:pPr>
        <w:widowControl w:val="0"/>
        <w:tabs>
          <w:tab w:val="left" w:leader="none" w:pos="1701"/>
          <w:tab w:val="left" w:leader="none" w:pos="1843"/>
        </w:tabs>
        <w:spacing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Dicho esto, se procede al análisis pormenorizado de los requerimientos de información, a efecto de determinar si con la información remitida en respuesta, 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colmó el derecho de acceso a la información de la parte </w:t>
      </w:r>
      <w:r w:rsidDel="00000000" w:rsidR="00000000" w:rsidRPr="00000000">
        <w:rPr>
          <w:rFonts w:ascii="Palatino Linotype" w:cs="Palatino Linotype" w:eastAsia="Palatino Linotype" w:hAnsi="Palatino Linotype"/>
          <w:b w:val="1"/>
          <w:color w:val="000000"/>
          <w:sz w:val="22"/>
          <w:szCs w:val="22"/>
          <w:rtl w:val="0"/>
        </w:rPr>
        <w:t xml:space="preserve">Recurrente</w:t>
      </w:r>
      <w:r w:rsidDel="00000000" w:rsidR="00000000" w:rsidRPr="00000000">
        <w:rPr>
          <w:rFonts w:ascii="Palatino Linotype" w:cs="Palatino Linotype" w:eastAsia="Palatino Linotype" w:hAnsi="Palatino Linotype"/>
          <w:color w:val="000000"/>
          <w:sz w:val="22"/>
          <w:szCs w:val="22"/>
          <w:rtl w:val="0"/>
        </w:rPr>
        <w:t xml:space="preserve"> o en su defecto ordenar su entrega. </w:t>
      </w:r>
    </w:p>
    <w:p w:rsidR="00000000" w:rsidDel="00000000" w:rsidP="00000000" w:rsidRDefault="00000000" w:rsidRPr="00000000" w14:paraId="00000096">
      <w:pPr>
        <w:widowControl w:val="0"/>
        <w:tabs>
          <w:tab w:val="left" w:leader="none" w:pos="1701"/>
          <w:tab w:val="left" w:leader="none" w:pos="1843"/>
        </w:tabs>
        <w:spacing w:line="360" w:lineRule="auto"/>
        <w:jc w:val="both"/>
        <w:rPr>
          <w:rFonts w:ascii="Palatino Linotype" w:cs="Palatino Linotype" w:eastAsia="Palatino Linotype" w:hAnsi="Palatino Linotype"/>
          <w:b w:val="1"/>
          <w:color w:val="000000"/>
          <w:sz w:val="22"/>
          <w:szCs w:val="22"/>
        </w:rPr>
      </w:pPr>
      <w:r w:rsidDel="00000000" w:rsidR="00000000" w:rsidRPr="00000000">
        <w:rPr>
          <w:rtl w:val="0"/>
        </w:rPr>
      </w:r>
    </w:p>
    <w:p w:rsidR="00000000" w:rsidDel="00000000" w:rsidP="00000000" w:rsidRDefault="00000000" w:rsidRPr="00000000" w14:paraId="00000097">
      <w:pPr>
        <w:widowControl w:val="0"/>
        <w:tabs>
          <w:tab w:val="left" w:leader="none" w:pos="1701"/>
          <w:tab w:val="left" w:leader="none" w:pos="1843"/>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color w:val="000000"/>
          <w:sz w:val="22"/>
          <w:szCs w:val="22"/>
          <w:rtl w:val="0"/>
        </w:rPr>
        <w:t xml:space="preserve">Previo al análisis de la respuesta es necesario precisar </w:t>
      </w:r>
      <w:r w:rsidDel="00000000" w:rsidR="00000000" w:rsidRPr="00000000">
        <w:rPr>
          <w:rFonts w:ascii="Palatino Linotype" w:cs="Palatino Linotype" w:eastAsia="Palatino Linotype" w:hAnsi="Palatino Linotype"/>
          <w:sz w:val="22"/>
          <w:szCs w:val="22"/>
          <w:rtl w:val="0"/>
        </w:rPr>
        <w:t xml:space="preserve">que el Manual de Organización del Ayuntamiento de Texcaltitlán vigente, establece que, para el despacho, estudio y planeación de los diversos asuntos de la administración municipal,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contará con una Tesorería Municipal, quien contará con las siguientes funciones: </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left" w:leader="none" w:pos="709"/>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Tesorería Municipal</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leader="none" w:pos="709"/>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Funciones</w:t>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left" w:leader="none" w:pos="709"/>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Presentar al ejecutivo municipal y al ayuntamiento el presupuesto de ingresos y egresos conforme a la normatividad vigente;</w:t>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left" w:leader="none" w:pos="709"/>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Atender de manera personal a la ciudadanía que así lo solicite;</w:t>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leader="none" w:pos="709"/>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Efectuar los estudios pertinentes en materia financiera y económica para la definición de las políticas, planes y programas que correspondan;</w:t>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leader="none" w:pos="709"/>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Proponer la contratación de financiamiento, cuando así lo requiera el Municipio y lo permitan las normas vigentes en la materia;.</w:t>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leader="none" w:pos="709"/>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left" w:leader="none" w:pos="709"/>
        </w:tabs>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leader="none" w:pos="709"/>
        </w:tabs>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referido Manual de Organización establece que la Tesorería Municipal se auxiliara del área de Recursos Humanos, misma que tiene como objetivo llevar el control de los archivos y recursos necesarios para el cumplimento de las labores del ayuntamiento; así como monitorear el uso de personal que se encuentran adscrito a las diferentes áreas del gobierno municipal, a fin de garantizar su óptimo desempeño. Aunado a ello contara con las siguientes funciones: </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RECURSOS HUMANOS</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Funciones</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 Llevar el control y realizar de expedientes del personal.</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Verificar las asistencias y horarios de personal de acuerdo a puesto y rango.</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Realizar el seguimiento correspondiente de los nuevos ingresos y bajas de personal</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Realizar periódicamente una actualización servidores públicos</w:t>
      </w:r>
      <w:r w:rsidDel="00000000" w:rsidR="00000000" w:rsidRPr="00000000">
        <w:rPr>
          <w:rFonts w:ascii="Palatino Linotype" w:cs="Palatino Linotype" w:eastAsia="Palatino Linotype" w:hAnsi="Palatino Linotype"/>
          <w:i w:val="1"/>
          <w:sz w:val="22"/>
          <w:szCs w:val="22"/>
          <w:rtl w:val="0"/>
        </w:rPr>
        <w:t xml:space="preserve"> (altas, bajas) según</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corresponda.</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Coordinar y proporcionar a los servidores públicos el apoyo necesario para que puedan cumplir con sus actividades correspondientes a cada área…”</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A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anteriormente expuesto, se advierte que la unidad administrativa que cuenta con atribuciones para llevar el control y realizar de expedientes del personal del municipio, es la Tesorería Municipal a través de Recursos Humanos. </w:t>
      </w:r>
    </w:p>
    <w:p w:rsidR="00000000" w:rsidDel="00000000" w:rsidP="00000000" w:rsidRDefault="00000000" w:rsidRPr="00000000" w14:paraId="000000A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se advierte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turnó la solicitud de información a la unidad administrativa competente, de modo que, 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00000000" w:rsidDel="00000000" w:rsidP="00000000" w:rsidRDefault="00000000" w:rsidRPr="00000000" w14:paraId="000000B1">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2">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000000" w:rsidDel="00000000" w:rsidP="00000000" w:rsidRDefault="00000000" w:rsidRPr="00000000" w14:paraId="000000B3">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sujetos obligados otorgarán acceso a los documentos que se encuentren en sus archivos o que estén obligados a documentar de acuerdo con sus facultades, competencias o funciones, en el formato en que el solicitante manifieste, de entre aquellos formatos existentes.</w:t>
      </w:r>
    </w:p>
    <w:p w:rsidR="00000000" w:rsidDel="00000000" w:rsidP="00000000" w:rsidRDefault="00000000" w:rsidRPr="00000000" w14:paraId="000000B4">
      <w:pPr>
        <w:tabs>
          <w:tab w:val="left" w:leader="none" w:pos="4962"/>
        </w:tabs>
        <w:spacing w:line="360" w:lineRule="auto"/>
        <w:ind w:right="-2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circunstancia, se logra colegir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color w:val="ff0000"/>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cumplió con el procedimiento de búsqueda establecido en el artículo 162 de la Ley de Transparencia y Acceso a la Información Pública del Estado de México y Municipios, toda vez que turnó la solicitud a la Tesorería Municipal. </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la Ley del Trabajo de los Servidores Públicos del Estado y Municipios, establece en su artículo 5 que la relación de trabajo entre las instituciones públicas y sus servidores públicos se entiende establecida mediante</w:t>
      </w:r>
      <w:r w:rsidDel="00000000" w:rsidR="00000000" w:rsidRPr="00000000">
        <w:rPr>
          <w:rFonts w:ascii="Palatino Linotype" w:cs="Palatino Linotype" w:eastAsia="Palatino Linotype" w:hAnsi="Palatino Linotype"/>
          <w:b w:val="1"/>
          <w:sz w:val="22"/>
          <w:szCs w:val="22"/>
          <w:u w:val="single"/>
          <w:rtl w:val="0"/>
        </w:rPr>
        <w:t xml:space="preserve"> nombramiento, formato único de movimiento de personal, contrato o por cualquier otro acto que tenga como consecuencia la prestación personal subordinada del servicio y la percepción de un sueldo. </w:t>
      </w:r>
      <w:r w:rsidDel="00000000" w:rsidR="00000000" w:rsidRPr="00000000">
        <w:rPr>
          <w:rtl w:val="0"/>
        </w:rPr>
      </w:r>
    </w:p>
    <w:p w:rsidR="00000000" w:rsidDel="00000000" w:rsidP="00000000" w:rsidRDefault="00000000" w:rsidRPr="00000000" w14:paraId="000000B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el artículo 45 de la Ley en comento, establece que los servidores públicos prestarán sus servicios mediante nombramiento, contrato o formato único de Movimientos de Personal expedidos por quien estuviere facultado legalmente para extenderlo.</w:t>
      </w:r>
    </w:p>
    <w:p w:rsidR="00000000" w:rsidDel="00000000" w:rsidP="00000000" w:rsidRDefault="00000000" w:rsidRPr="00000000" w14:paraId="000000B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la Ley de Seguridad Social para los Servidores Públicos del Estado de México y Municipios, establece que:</w:t>
      </w:r>
    </w:p>
    <w:p w:rsidR="00000000" w:rsidDel="00000000" w:rsidP="00000000" w:rsidRDefault="00000000" w:rsidRPr="00000000" w14:paraId="000000B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Los derechos que otorga la presente ley a los servidores públicos se </w:t>
      </w:r>
      <w:r w:rsidDel="00000000" w:rsidR="00000000" w:rsidRPr="00000000">
        <w:rPr>
          <w:rFonts w:ascii="Palatino Linotype" w:cs="Palatino Linotype" w:eastAsia="Palatino Linotype" w:hAnsi="Palatino Linotype"/>
          <w:b w:val="1"/>
          <w:i w:val="1"/>
          <w:sz w:val="22"/>
          <w:szCs w:val="22"/>
          <w:u w:val="single"/>
          <w:rtl w:val="0"/>
        </w:rPr>
        <w:t xml:space="preserve">generan a partir de su ingreso al servicio independientemente de la fecha en que el Instituto reciba las cuotas y aportaciones establecidas.</w:t>
      </w:r>
      <w:r w:rsidDel="00000000" w:rsidR="00000000" w:rsidRPr="00000000">
        <w:rPr>
          <w:rFonts w:ascii="Palatino Linotype" w:cs="Palatino Linotype" w:eastAsia="Palatino Linotype" w:hAnsi="Palatino Linotype"/>
          <w:i w:val="1"/>
          <w:sz w:val="22"/>
          <w:szCs w:val="22"/>
          <w:rtl w:val="0"/>
        </w:rPr>
        <w:t xml:space="preserve"> Las instituciones públicas deberán remitir al Instituto, en un plazo no mayor de 10 días hábiles a partir del ingreso al servicio del servidor público, los datos necesarios para su registro y control.”</w:t>
      </w:r>
    </w:p>
    <w:p w:rsidR="00000000" w:rsidDel="00000000" w:rsidP="00000000" w:rsidRDefault="00000000" w:rsidRPr="00000000" w14:paraId="000000B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artículo 49 de la Ley del Trabajo de los Servidores Públicos del Estado de México y Municipios determina los requisitos para tener por formalizada una relación de trabajo entre el servidor y las entidades públicas, los cuales se enlistan a continuación: </w:t>
      </w:r>
    </w:p>
    <w:p w:rsidR="00000000" w:rsidDel="00000000" w:rsidP="00000000" w:rsidRDefault="00000000" w:rsidRPr="00000000" w14:paraId="000000C0">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1">
      <w:pPr>
        <w:spacing w:line="276" w:lineRule="auto"/>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Los nombramientos, contratos o formato único de Movimientos de Personal de los servidores públicos deberán contener:</w:t>
      </w:r>
    </w:p>
    <w:p w:rsidR="00000000" w:rsidDel="00000000" w:rsidP="00000000" w:rsidRDefault="00000000" w:rsidRPr="00000000" w14:paraId="000000C2">
      <w:pPr>
        <w:spacing w:line="276" w:lineRule="auto"/>
        <w:ind w:left="851"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3">
      <w:pPr>
        <w:spacing w:line="276" w:lineRule="auto"/>
        <w:ind w:left="851"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Nombre completo del servidor público; </w:t>
      </w:r>
    </w:p>
    <w:p w:rsidR="00000000" w:rsidDel="00000000" w:rsidP="00000000" w:rsidRDefault="00000000" w:rsidRPr="00000000" w14:paraId="000000C4">
      <w:pPr>
        <w:spacing w:line="276" w:lineRule="auto"/>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Cargo para el que es designado</w:t>
      </w:r>
      <w:r w:rsidDel="00000000" w:rsidR="00000000" w:rsidRPr="00000000">
        <w:rPr>
          <w:rFonts w:ascii="Palatino Linotype" w:cs="Palatino Linotype" w:eastAsia="Palatino Linotype" w:hAnsi="Palatino Linotype"/>
          <w:i w:val="1"/>
          <w:sz w:val="22"/>
          <w:szCs w:val="22"/>
          <w:rtl w:val="0"/>
        </w:rPr>
        <w:t xml:space="preserve">, fecha de inicio de sus servicios y </w:t>
      </w:r>
      <w:r w:rsidDel="00000000" w:rsidR="00000000" w:rsidRPr="00000000">
        <w:rPr>
          <w:rFonts w:ascii="Palatino Linotype" w:cs="Palatino Linotype" w:eastAsia="Palatino Linotype" w:hAnsi="Palatino Linotype"/>
          <w:b w:val="1"/>
          <w:i w:val="1"/>
          <w:sz w:val="22"/>
          <w:szCs w:val="22"/>
          <w:rtl w:val="0"/>
        </w:rPr>
        <w:t xml:space="preserve">lugar de adscripción;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C5">
      <w:pPr>
        <w:spacing w:line="276" w:lineRule="auto"/>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Carácter del nombramiento, ya sea de servidores públicos generales o de confianza, así como la temporalidad del mismo; </w:t>
      </w:r>
    </w:p>
    <w:p w:rsidR="00000000" w:rsidDel="00000000" w:rsidP="00000000" w:rsidRDefault="00000000" w:rsidRPr="00000000" w14:paraId="000000C6">
      <w:pPr>
        <w:spacing w:line="276" w:lineRule="auto"/>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Remuneración correspondiente al puesto</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C7">
      <w:pPr>
        <w:spacing w:line="276" w:lineRule="auto"/>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Jornada de trabajo; </w:t>
      </w:r>
    </w:p>
    <w:p w:rsidR="00000000" w:rsidDel="00000000" w:rsidP="00000000" w:rsidRDefault="00000000" w:rsidRPr="00000000" w14:paraId="000000C8">
      <w:pPr>
        <w:spacing w:line="276" w:lineRule="auto"/>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Derogada; </w:t>
      </w:r>
    </w:p>
    <w:p w:rsidR="00000000" w:rsidDel="00000000" w:rsidP="00000000" w:rsidRDefault="00000000" w:rsidRPr="00000000" w14:paraId="000000C9">
      <w:pPr>
        <w:spacing w:line="276" w:lineRule="auto"/>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Firma del servidor público autorizado para emitir el nombramiento, contrato o formato único de Movimientos de Personal, así como el fundamento legal de esa atribución.”</w:t>
      </w:r>
    </w:p>
    <w:p w:rsidR="00000000" w:rsidDel="00000000" w:rsidP="00000000" w:rsidRDefault="00000000" w:rsidRPr="00000000" w14:paraId="000000CA">
      <w:pPr>
        <w:spacing w:line="276" w:lineRule="auto"/>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C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anteriormente se señaló, las relaciones laborales, se tendrán establecidas ya sea por nombramiento, formato único de movimiento de personal, contrato o por cualquier otro acto que tenga como consecuencia la prestación personal subordinada del servicio y la percepción de un sueldo, en el cual se deberá establecer como uno de los requisitos mínimos </w:t>
      </w:r>
      <w:r w:rsidDel="00000000" w:rsidR="00000000" w:rsidRPr="00000000">
        <w:rPr>
          <w:rFonts w:ascii="Palatino Linotype" w:cs="Palatino Linotype" w:eastAsia="Palatino Linotype" w:hAnsi="Palatino Linotype"/>
          <w:b w:val="1"/>
          <w:sz w:val="22"/>
          <w:szCs w:val="22"/>
          <w:rtl w:val="0"/>
        </w:rPr>
        <w:t xml:space="preserve">el nombre, cargo, lugar de adscripción, remuneración correspondiente al puesto y jornada de trabajo</w:t>
      </w:r>
      <w:r w:rsidDel="00000000" w:rsidR="00000000" w:rsidRPr="00000000">
        <w:rPr>
          <w:rFonts w:ascii="Palatino Linotype" w:cs="Palatino Linotype" w:eastAsia="Palatino Linotype" w:hAnsi="Palatino Linotype"/>
          <w:sz w:val="22"/>
          <w:szCs w:val="22"/>
          <w:rtl w:val="0"/>
        </w:rPr>
        <w:t xml:space="preserve">, documento que de manera enunciativa mas no limitativa puede dar atención a la solicitud de información de mérito, pues este permitiría dar cuenta de los movimientos del servidor público dentro de la institución pública con motivo de la prestación de sus servicios. </w:t>
      </w:r>
    </w:p>
    <w:p w:rsidR="00000000" w:rsidDel="00000000" w:rsidP="00000000" w:rsidRDefault="00000000" w:rsidRPr="00000000" w14:paraId="000000C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Expuesto lo anterior, cabe recordar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hizo entrega del siguiente listado del que se advierte el puesto, año y salario anual percibido por la persona referida en la solicitud durante los años del dos mil veinte al dos mil veinticuatro, tal y como se advierte a continuación: </w:t>
      </w:r>
    </w:p>
    <w:p w:rsidR="00000000" w:rsidDel="00000000" w:rsidP="00000000" w:rsidRDefault="00000000" w:rsidRPr="00000000" w14:paraId="000000C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130300"/>
            <wp:effectExtent b="0" l="0" r="0" t="0"/>
            <wp:docPr id="161334314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61213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embargo, como ya fue precisado en párrafos que anteceden el hoy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se adoleció por la falta de entrega de la información a partir de su ingreso, toda vez que dicha persona entro a laborar antes del año dos mil dieciséis, motivo por el que en Informe Justificado hizo entrega de diversos comprobantes de pago y recibos de nómina de la servidora pública; de los que se puede advertir que en efecto, la relación laboral con el Ayuntamiento de Texcaltitlán inicio el dieciséis de febrero de dos mil dieciséis, con el puesto de Secretaria, tal y como se muestra a continuación: </w:t>
      </w:r>
    </w:p>
    <w:p w:rsidR="00000000" w:rsidDel="00000000" w:rsidP="00000000" w:rsidRDefault="00000000" w:rsidRPr="00000000" w14:paraId="000000D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685925"/>
            <wp:effectExtent b="0" l="0" r="0" t="0"/>
            <wp:docPr id="1613343144" name="image5.png"/>
            <a:graphic>
              <a:graphicData uri="http://schemas.openxmlformats.org/drawingml/2006/picture">
                <pic:pic>
                  <pic:nvPicPr>
                    <pic:cNvPr id="0" name="image5.png"/>
                    <pic:cNvPicPr preferRelativeResize="0"/>
                  </pic:nvPicPr>
                  <pic:blipFill>
                    <a:blip r:embed="rId9"/>
                    <a:srcRect b="35149" l="0" r="0" t="0"/>
                    <a:stretch>
                      <a:fillRect/>
                    </a:stretch>
                  </pic:blipFill>
                  <pic:spPr>
                    <a:xfrm>
                      <a:off x="0" y="0"/>
                      <a:ext cx="5612130" cy="16859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-41909</wp:posOffset>
                </wp:positionH>
                <wp:positionV relativeFrom="paragraph">
                  <wp:posOffset>176530</wp:posOffset>
                </wp:positionV>
                <wp:extent cx="2305050" cy="142875"/>
                <wp:effectExtent b="0" l="0" r="0" t="0"/>
                <wp:wrapNone/>
                <wp:docPr id="1613343139" name=""/>
                <a:graphic>
                  <a:graphicData uri="http://schemas.microsoft.com/office/word/2010/wordprocessingShape">
                    <wps:wsp>
                      <wps:cNvSpPr/>
                      <wps:cNvPr id="2" name="Shape 2"/>
                      <wps:spPr>
                        <a:xfrm>
                          <a:off x="4203000" y="3718088"/>
                          <a:ext cx="2286000" cy="123825"/>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-41909</wp:posOffset>
                </wp:positionH>
                <wp:positionV relativeFrom="paragraph">
                  <wp:posOffset>176530</wp:posOffset>
                </wp:positionV>
                <wp:extent cx="2305050" cy="142875"/>
                <wp:effectExtent b="0" l="0" r="0" t="0"/>
                <wp:wrapNone/>
                <wp:docPr id="1613343139"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2305050" cy="1428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24766</wp:posOffset>
                </wp:positionH>
                <wp:positionV relativeFrom="paragraph">
                  <wp:posOffset>1014730</wp:posOffset>
                </wp:positionV>
                <wp:extent cx="1685925" cy="152400"/>
                <wp:effectExtent b="0" l="0" r="0" t="0"/>
                <wp:wrapNone/>
                <wp:docPr id="1613343140" name=""/>
                <a:graphic>
                  <a:graphicData uri="http://schemas.microsoft.com/office/word/2010/wordprocessingShape">
                    <wps:wsp>
                      <wps:cNvSpPr/>
                      <wps:cNvPr id="3" name="Shape 3"/>
                      <wps:spPr>
                        <a:xfrm>
                          <a:off x="4512563" y="3713325"/>
                          <a:ext cx="1666875" cy="133350"/>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24766</wp:posOffset>
                </wp:positionH>
                <wp:positionV relativeFrom="paragraph">
                  <wp:posOffset>1014730</wp:posOffset>
                </wp:positionV>
                <wp:extent cx="1685925" cy="152400"/>
                <wp:effectExtent b="0" l="0" r="0" t="0"/>
                <wp:wrapNone/>
                <wp:docPr id="1613343140"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1685925" cy="152400"/>
                        </a:xfrm>
                        <a:prstGeom prst="rect"/>
                        <a:ln/>
                      </pic:spPr>
                    </pic:pic>
                  </a:graphicData>
                </a:graphic>
              </wp:anchor>
            </w:drawing>
          </mc:Fallback>
        </mc:AlternateConten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como ya fue precisado,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aras de garantizar el derecho de acceso a la información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hizo entrega de diversos comprobantes de pago de los que si bien en algunos se puede visualizar el sueldo que percibía durante los años de dos mil dieciséis al dos mil veintidós, también lo es que de algunos no se advierte el puesto que ocupaba, a manera de ejemplo se inserta uno para mayor referencia: </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4745990"/>
            <wp:effectExtent b="0" l="0" r="0" t="0"/>
            <wp:docPr id="161334314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612130" cy="474599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misma tesitura, y de la revisión a la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fue omiso en pronunciarse al respecto; de modo que no fue congruente ni exhaustivo en su informe de conformidad con el Criterio 02/17 emitido por el entonces Instituto Nacional de Transparencia, Acceso a la Información y Protección de Datos Personales el cual establece lo siguiente:</w:t>
      </w:r>
    </w:p>
    <w:p w:rsidR="00000000" w:rsidDel="00000000" w:rsidP="00000000" w:rsidRDefault="00000000" w:rsidRPr="00000000" w14:paraId="000000D8">
      <w:pPr>
        <w:pBdr>
          <w:top w:space="0" w:sz="0" w:val="nil"/>
          <w:left w:space="0" w:sz="0" w:val="nil"/>
          <w:bottom w:space="0" w:sz="0" w:val="nil"/>
          <w:right w:space="0" w:sz="0" w:val="nil"/>
          <w:between w:space="0" w:sz="0" w:val="nil"/>
        </w:pBdr>
        <w:ind w:left="851" w:right="7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Congruencia y exhaustividad. Sus alcances para garantizar el derecho de acceso a la información.</w:t>
      </w:r>
      <w:r w:rsidDel="00000000" w:rsidR="00000000" w:rsidRPr="00000000">
        <w:rPr>
          <w:rFonts w:ascii="Palatino Linotype" w:cs="Palatino Linotype" w:eastAsia="Palatino Linotype" w:hAnsi="Palatino Linotype"/>
          <w:i w:val="1"/>
          <w:sz w:val="22"/>
          <w:szCs w:val="22"/>
          <w:rtl w:val="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los sujetos obligados para garantizar el derecho de acceso a la Información, deberán cumplir con los principios de exhaustividad y congruencia, esto es, que la congruencia </w:t>
      </w:r>
      <w:r w:rsidDel="00000000" w:rsidR="00000000" w:rsidRPr="00000000">
        <w:rPr>
          <w:rFonts w:ascii="Palatino Linotype" w:cs="Palatino Linotype" w:eastAsia="Palatino Linotype" w:hAnsi="Palatino Linotype"/>
          <w:b w:val="1"/>
          <w:sz w:val="22"/>
          <w:szCs w:val="22"/>
          <w:rtl w:val="0"/>
        </w:rPr>
        <w:t xml:space="preserve">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sz w:val="22"/>
          <w:szCs w:val="22"/>
          <w:rtl w:val="0"/>
        </w:rPr>
        <w:t xml:space="preserve">, mientras que la exhaustividad establece que el sujeto obligado </w:t>
      </w:r>
      <w:r w:rsidDel="00000000" w:rsidR="00000000" w:rsidRPr="00000000">
        <w:rPr>
          <w:rFonts w:ascii="Palatino Linotype" w:cs="Palatino Linotype" w:eastAsia="Palatino Linotype" w:hAnsi="Palatino Linotype"/>
          <w:b w:val="1"/>
          <w:sz w:val="22"/>
          <w:szCs w:val="22"/>
          <w:rtl w:val="0"/>
        </w:rPr>
        <w:t xml:space="preserve">deberá atender de manera expresa cada uno de los puntos solicitados</w:t>
      </w:r>
      <w:r w:rsidDel="00000000" w:rsidR="00000000" w:rsidRPr="00000000">
        <w:rPr>
          <w:rFonts w:ascii="Palatino Linotype" w:cs="Palatino Linotype" w:eastAsia="Palatino Linotype" w:hAnsi="Palatino Linotype"/>
          <w:sz w:val="22"/>
          <w:szCs w:val="22"/>
          <w:rtl w:val="0"/>
        </w:rPr>
        <w:t xml:space="preserve">, situación que en el presente caso </w:t>
      </w:r>
      <w:r w:rsidDel="00000000" w:rsidR="00000000" w:rsidRPr="00000000">
        <w:rPr>
          <w:rFonts w:ascii="Palatino Linotype" w:cs="Palatino Linotype" w:eastAsia="Palatino Linotype" w:hAnsi="Palatino Linotype"/>
          <w:b w:val="1"/>
          <w:sz w:val="22"/>
          <w:szCs w:val="22"/>
          <w:u w:val="single"/>
          <w:rtl w:val="0"/>
        </w:rPr>
        <w:t xml:space="preserve">no aconteció</w:t>
      </w:r>
      <w:r w:rsidDel="00000000" w:rsidR="00000000" w:rsidRPr="00000000">
        <w:rPr>
          <w:rFonts w:ascii="Palatino Linotype" w:cs="Palatino Linotype" w:eastAsia="Palatino Linotype" w:hAnsi="Palatino Linotype"/>
          <w:sz w:val="22"/>
          <w:szCs w:val="22"/>
          <w:rtl w:val="0"/>
        </w:rPr>
        <w:t xml:space="preserve">, pues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no fue congruente ni exhaustivo en proporcionar la información que requirió específicamente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que, es de mencionar que, de la respuesta otorgada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se advierte que, este haya proporcionado el cargo que ostenta la servidora pública referida en la solicitud; así como el sueldo bruto y neto percibido del dieciséis de febrero de dos mil dieciséis al treinta y uno de diciembre de dos mil diecinueve y del primero de enero al dos de mayo de dos mil veinticinco; y si bien en informe justificado hizo entrega de los recibos de nómina, que pueden dar cuenta del sueldo, lo cierto es que de algunos no se advierte el cargo, dejando con ello en estado de incertidumbre a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situación por la que no puede tenerse por </w:t>
      </w:r>
      <w:r w:rsidDel="00000000" w:rsidR="00000000" w:rsidRPr="00000000">
        <w:rPr>
          <w:rFonts w:ascii="Palatino Linotype" w:cs="Palatino Linotype" w:eastAsia="Palatino Linotype" w:hAnsi="Palatino Linotype"/>
          <w:b w:val="1"/>
          <w:sz w:val="22"/>
          <w:szCs w:val="22"/>
          <w:rtl w:val="0"/>
        </w:rPr>
        <w:t xml:space="preserve">colmado </w:t>
      </w:r>
      <w:r w:rsidDel="00000000" w:rsidR="00000000" w:rsidRPr="00000000">
        <w:rPr>
          <w:rFonts w:ascii="Palatino Linotype" w:cs="Palatino Linotype" w:eastAsia="Palatino Linotype" w:hAnsi="Palatino Linotype"/>
          <w:sz w:val="22"/>
          <w:szCs w:val="22"/>
          <w:rtl w:val="0"/>
        </w:rPr>
        <w:t xml:space="preserve">el requerimiento y, por ende, lo procedente es </w:t>
      </w:r>
      <w:r w:rsidDel="00000000" w:rsidR="00000000" w:rsidRPr="00000000">
        <w:rPr>
          <w:rFonts w:ascii="Palatino Linotype" w:cs="Palatino Linotype" w:eastAsia="Palatino Linotype" w:hAnsi="Palatino Linotype"/>
          <w:b w:val="1"/>
          <w:sz w:val="22"/>
          <w:szCs w:val="22"/>
          <w:rtl w:val="0"/>
        </w:rPr>
        <w:t xml:space="preserve">Modificar </w:t>
      </w:r>
      <w:r w:rsidDel="00000000" w:rsidR="00000000" w:rsidRPr="00000000">
        <w:rPr>
          <w:rFonts w:ascii="Palatino Linotype" w:cs="Palatino Linotype" w:eastAsia="Palatino Linotype" w:hAnsi="Palatino Linotype"/>
          <w:sz w:val="22"/>
          <w:szCs w:val="22"/>
          <w:rtl w:val="0"/>
        </w:rPr>
        <w:t xml:space="preserve">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y ordenar la entrega del o los documentos que den cuenta de los cargos ocupados por la servidora pública; así como el sueldo bruto y neto percibido del dieciséis de febrero de dos mil dieciséis al treinta y uno de diciembre de dos mil diecinueve y del primero de enero al dos de mayo de dos mil veinticinco, de ser procedente en versión pública. </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000000" w:rsidDel="00000000" w:rsidP="00000000" w:rsidRDefault="00000000" w:rsidRPr="00000000" w14:paraId="000000DE">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DF">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w:t>
      </w:r>
      <w:r w:rsidDel="00000000" w:rsidR="00000000" w:rsidRPr="00000000">
        <w:rPr>
          <w:rFonts w:ascii="Palatino Linotype" w:cs="Palatino Linotype" w:eastAsia="Palatino Linotype" w:hAnsi="Palatino Linotype"/>
          <w:i w:val="1"/>
          <w:sz w:val="22"/>
          <w:szCs w:val="22"/>
          <w:rtl w:val="0"/>
        </w:rPr>
        <w:t xml:space="preserve"> Información clasificada: Aquella considerada por la presente Ley como reservada o confidencial; </w:t>
      </w:r>
    </w:p>
    <w:p w:rsidR="00000000" w:rsidDel="00000000" w:rsidP="00000000" w:rsidRDefault="00000000" w:rsidRPr="00000000" w14:paraId="000000E0">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w:t>
      </w:r>
      <w:r w:rsidDel="00000000" w:rsidR="00000000" w:rsidRPr="00000000">
        <w:rPr>
          <w:rFonts w:ascii="Palatino Linotype" w:cs="Palatino Linotype" w:eastAsia="Palatino Linotype" w:hAnsi="Palatino Linotype"/>
          <w:i w:val="1"/>
          <w:sz w:val="22"/>
          <w:szCs w:val="22"/>
          <w:rtl w:val="0"/>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E1">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2">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XXXIV</w:t>
      </w:r>
      <w:r w:rsidDel="00000000" w:rsidR="00000000" w:rsidRPr="00000000">
        <w:rPr>
          <w:rFonts w:ascii="Palatino Linotype" w:cs="Palatino Linotype" w:eastAsia="Palatino Linotype" w:hAnsi="Palatino Linotype"/>
          <w:i w:val="1"/>
          <w:sz w:val="22"/>
          <w:szCs w:val="22"/>
          <w:rtl w:val="0"/>
        </w:rPr>
        <w:t xml:space="preserve">.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000000" w:rsidDel="00000000" w:rsidP="00000000" w:rsidRDefault="00000000" w:rsidRPr="00000000" w14:paraId="000000E3">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4">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w:t>
      </w:r>
      <w:r w:rsidDel="00000000" w:rsidR="00000000" w:rsidRPr="00000000">
        <w:rPr>
          <w:rFonts w:ascii="Palatino Linotype" w:cs="Palatino Linotype" w:eastAsia="Palatino Linotype" w:hAnsi="Palatino Linotype"/>
          <w:i w:val="1"/>
          <w:sz w:val="22"/>
          <w:szCs w:val="22"/>
          <w:rtl w:val="0"/>
        </w:rPr>
        <w:t xml:space="preserve"> Versión pública: Documento en el que se elimine, suprime o borra la información clasificada como reservada o confidencial para permitir su acceso</w:t>
      </w:r>
    </w:p>
    <w:p w:rsidR="00000000" w:rsidDel="00000000" w:rsidP="00000000" w:rsidRDefault="00000000" w:rsidRPr="00000000" w14:paraId="000000E5">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0E6">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122.</w:t>
      </w:r>
      <w:r w:rsidDel="00000000" w:rsidR="00000000" w:rsidRPr="00000000">
        <w:rPr>
          <w:rFonts w:ascii="Palatino Linotype" w:cs="Palatino Linotype" w:eastAsia="Palatino Linotype" w:hAnsi="Palatino Linotype"/>
          <w:i w:val="1"/>
          <w:sz w:val="22"/>
          <w:szCs w:val="22"/>
          <w:rtl w:val="0"/>
        </w:rPr>
        <w:t xml:space="preserve"> La clasificación es el proceso mediante el cual el sujeto obligado determina que la información en su poder actualiza alguno de los supuestos de reserva o confidencialidad, de conformidad con lo dispuesto en el presente título.</w:t>
      </w:r>
    </w:p>
    <w:p w:rsidR="00000000" w:rsidDel="00000000" w:rsidP="00000000" w:rsidRDefault="00000000" w:rsidRPr="00000000" w14:paraId="000000E7">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supuestos de reserva o confidencialidad previstos en las leyes deberán ser acordes con las bases, principios y disposiciones establecidos en la Ley General y, en ningún caso, podrán contravenirla.</w:t>
      </w:r>
    </w:p>
    <w:p w:rsidR="00000000" w:rsidDel="00000000" w:rsidP="00000000" w:rsidRDefault="00000000" w:rsidRPr="00000000" w14:paraId="000000E8">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serán los responsables de clasificar la información, de conformidad con lo dispuesto en la presente Ley y demás disposiciones jurídicas aplicables</w:t>
      </w:r>
    </w:p>
    <w:p w:rsidR="00000000" w:rsidDel="00000000" w:rsidP="00000000" w:rsidRDefault="00000000" w:rsidRPr="00000000" w14:paraId="000000E9">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135.</w:t>
      </w:r>
      <w:r w:rsidDel="00000000" w:rsidR="00000000" w:rsidRPr="00000000">
        <w:rPr>
          <w:rFonts w:ascii="Palatino Linotype" w:cs="Palatino Linotype" w:eastAsia="Palatino Linotype" w:hAnsi="Palatino Linotype"/>
          <w:i w:val="1"/>
          <w:sz w:val="22"/>
          <w:szCs w:val="22"/>
          <w:rtl w:val="0"/>
        </w:rPr>
        <w:t xml:space="preserve"> Los lineamientos generales que se emitan al respecto en materia de clasificación de la información reservada y confidencial y, para la elaboración de versiones públicas, serán de observancia obligatoria para los sujetos obligados.</w:t>
      </w:r>
    </w:p>
    <w:p w:rsidR="00000000" w:rsidDel="00000000" w:rsidP="00000000" w:rsidRDefault="00000000" w:rsidRPr="00000000" w14:paraId="000000EA">
      <w:pPr>
        <w:tabs>
          <w:tab w:val="left" w:leader="none" w:pos="709"/>
        </w:tabs>
        <w:ind w:left="851"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0EB">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EC">
      <w:pPr>
        <w:tabs>
          <w:tab w:val="left" w:leader="none" w:pos="709"/>
        </w:tabs>
        <w:ind w:left="851"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Se refiera a la información privada y los datos personales concernientes a una persona física o jurídica colectiva identificada o identificable; </w:t>
      </w:r>
    </w:p>
    <w:p w:rsidR="00000000" w:rsidDel="00000000" w:rsidP="00000000" w:rsidRDefault="00000000" w:rsidRPr="00000000" w14:paraId="000000ED">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000000" w:rsidDel="00000000" w:rsidP="00000000" w:rsidRDefault="00000000" w:rsidRPr="00000000" w14:paraId="000000EE">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0EF">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F0">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F1">
      <w:pPr>
        <w:tabs>
          <w:tab w:val="left" w:leader="none" w:pos="709"/>
        </w:tabs>
        <w:ind w:left="851"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147. Para que los sujetos obligados puedan permitir el acceso a información confidencial requieren obtener el consentimiento de los particulares titulares de la información.</w:t>
      </w:r>
    </w:p>
    <w:p w:rsidR="00000000" w:rsidDel="00000000" w:rsidP="00000000" w:rsidRDefault="00000000" w:rsidRPr="00000000" w14:paraId="000000F2">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148.</w:t>
      </w:r>
      <w:r w:rsidDel="00000000" w:rsidR="00000000" w:rsidRPr="00000000">
        <w:rPr>
          <w:rFonts w:ascii="Palatino Linotype" w:cs="Palatino Linotype" w:eastAsia="Palatino Linotype" w:hAnsi="Palatino Linotype"/>
          <w:i w:val="1"/>
          <w:sz w:val="22"/>
          <w:szCs w:val="22"/>
          <w:rtl w:val="0"/>
        </w:rPr>
        <w:t xml:space="preserve"> No se requerirá el consentimiento del titular de la información confidencial cuando:</w:t>
      </w:r>
    </w:p>
    <w:p w:rsidR="00000000" w:rsidDel="00000000" w:rsidP="00000000" w:rsidRDefault="00000000" w:rsidRPr="00000000" w14:paraId="000000F3">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información se encuentre en registros públicos o fuentes de acceso público;</w:t>
      </w:r>
    </w:p>
    <w:p w:rsidR="00000000" w:rsidDel="00000000" w:rsidP="00000000" w:rsidRDefault="00000000" w:rsidRPr="00000000" w14:paraId="000000F4">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Por Ley tenga el carácter de pública;</w:t>
      </w:r>
    </w:p>
    <w:p w:rsidR="00000000" w:rsidDel="00000000" w:rsidP="00000000" w:rsidRDefault="00000000" w:rsidRPr="00000000" w14:paraId="000000F5">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Exista una orden judicial;</w:t>
      </w:r>
    </w:p>
    <w:p w:rsidR="00000000" w:rsidDel="00000000" w:rsidP="00000000" w:rsidRDefault="00000000" w:rsidRPr="00000000" w14:paraId="000000F6">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Por razones de seguridad pública, o para proteger los derechos de terceros, se requiera su publicación; o</w:t>
      </w:r>
    </w:p>
    <w:p w:rsidR="00000000" w:rsidDel="00000000" w:rsidP="00000000" w:rsidRDefault="00000000" w:rsidRPr="00000000" w14:paraId="000000F7">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000000" w:rsidDel="00000000" w:rsidP="00000000" w:rsidRDefault="00000000" w:rsidRPr="00000000" w14:paraId="000000F8">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000000" w:rsidDel="00000000" w:rsidP="00000000" w:rsidRDefault="00000000" w:rsidRPr="00000000" w14:paraId="000000F9">
      <w:pPr>
        <w:tabs>
          <w:tab w:val="left" w:leader="none" w:pos="709"/>
        </w:tabs>
        <w:ind w:left="851"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acuerdo que clasifique la información como confidencial deberá contener un razonamiento lógico en el que demuestre que la información se encuentra en alguna o algunas de las hipótesis previstas en la presente Ley.” (Sic)</w:t>
      </w:r>
    </w:p>
    <w:p w:rsidR="00000000" w:rsidDel="00000000" w:rsidP="00000000" w:rsidRDefault="00000000" w:rsidRPr="00000000" w14:paraId="000000F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rsidR="00000000" w:rsidDel="00000000" w:rsidP="00000000" w:rsidRDefault="00000000" w:rsidRPr="00000000" w14:paraId="000000F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000000" w:rsidDel="00000000" w:rsidP="00000000" w:rsidRDefault="00000000" w:rsidRPr="00000000" w14:paraId="000000F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000000" w:rsidDel="00000000" w:rsidP="00000000" w:rsidRDefault="00000000" w:rsidRPr="00000000" w14:paraId="0000010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1">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168</w:t>
      </w:r>
      <w:r w:rsidDel="00000000" w:rsidR="00000000" w:rsidRPr="00000000">
        <w:rPr>
          <w:rFonts w:ascii="Palatino Linotype" w:cs="Palatino Linotype" w:eastAsia="Palatino Linotype" w:hAnsi="Palatino Linotype"/>
          <w:i w:val="1"/>
          <w:sz w:val="22"/>
          <w:szCs w:val="22"/>
          <w:rtl w:val="0"/>
        </w:rPr>
        <w:t xml:space="preserve">. En caso de que los sujetos obligados consideren que los documentos o la información deban ser clasificados, se sujetará a lo siguiente:</w:t>
      </w:r>
    </w:p>
    <w:p w:rsidR="00000000" w:rsidDel="00000000" w:rsidP="00000000" w:rsidRDefault="00000000" w:rsidRPr="00000000" w14:paraId="00000102">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Área deberá remitir la solicitud, así como un escrito en el que </w:t>
      </w:r>
      <w:r w:rsidDel="00000000" w:rsidR="00000000" w:rsidRPr="00000000">
        <w:rPr>
          <w:rFonts w:ascii="Palatino Linotype" w:cs="Palatino Linotype" w:eastAsia="Palatino Linotype" w:hAnsi="Palatino Linotype"/>
          <w:b w:val="1"/>
          <w:i w:val="1"/>
          <w:sz w:val="22"/>
          <w:szCs w:val="22"/>
          <w:rtl w:val="0"/>
        </w:rPr>
        <w:t xml:space="preserve">funde y motive la clasificación al Comité de Transparencia</w:t>
      </w:r>
      <w:r w:rsidDel="00000000" w:rsidR="00000000" w:rsidRPr="00000000">
        <w:rPr>
          <w:rFonts w:ascii="Palatino Linotype" w:cs="Palatino Linotype" w:eastAsia="Palatino Linotype" w:hAnsi="Palatino Linotype"/>
          <w:i w:val="1"/>
          <w:sz w:val="22"/>
          <w:szCs w:val="22"/>
          <w:rtl w:val="0"/>
        </w:rPr>
        <w:t xml:space="preserve">, mismo que deberá resolver para:</w:t>
      </w:r>
    </w:p>
    <w:p w:rsidR="00000000" w:rsidDel="00000000" w:rsidP="00000000" w:rsidRDefault="00000000" w:rsidRPr="00000000" w14:paraId="00000103">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a</w:t>
      </w:r>
      <w:r w:rsidDel="00000000" w:rsidR="00000000" w:rsidRPr="00000000">
        <w:rPr>
          <w:rFonts w:ascii="Palatino Linotype" w:cs="Palatino Linotype" w:eastAsia="Palatino Linotype" w:hAnsi="Palatino Linotype"/>
          <w:b w:val="1"/>
          <w:i w:val="1"/>
          <w:sz w:val="22"/>
          <w:szCs w:val="22"/>
          <w:rtl w:val="0"/>
        </w:rPr>
        <w:t xml:space="preserve">) Confirmar la clasificación;</w:t>
      </w:r>
    </w:p>
    <w:p w:rsidR="00000000" w:rsidDel="00000000" w:rsidP="00000000" w:rsidRDefault="00000000" w:rsidRPr="00000000" w14:paraId="00000104">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Modificar la clasificación y otorgar total o parcialmente el acceso a la información; y c) Revocar la clasificación y conceder el acceso a la información.</w:t>
      </w:r>
    </w:p>
    <w:p w:rsidR="00000000" w:rsidDel="00000000" w:rsidP="00000000" w:rsidRDefault="00000000" w:rsidRPr="00000000" w14:paraId="0000010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Comité de Transparencia podrá tener acceso a la información que esté en poder del Área correspondiente, de la cual se haya solicitado su clasificación; y</w:t>
      </w:r>
    </w:p>
    <w:p w:rsidR="00000000" w:rsidDel="00000000" w:rsidP="00000000" w:rsidRDefault="00000000" w:rsidRPr="00000000" w14:paraId="00000106">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resolución del Comité de Transparencia será notificada al interesado en el plazo de respuesta a la solicitud que establece esta Ley.” (Sic)</w:t>
      </w:r>
    </w:p>
    <w:p w:rsidR="00000000" w:rsidDel="00000000" w:rsidP="00000000" w:rsidRDefault="00000000" w:rsidRPr="00000000" w14:paraId="0000010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8">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proceder a testar los datos personales que se encuentren contenidos en los documentos a entregar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10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sz w:val="22"/>
          <w:szCs w:val="22"/>
          <w:rtl w:val="0"/>
        </w:rPr>
        <w:t xml:space="preserve">Registro Federal de Contribuyentes</w:t>
      </w:r>
      <w:r w:rsidDel="00000000" w:rsidR="00000000" w:rsidRPr="00000000">
        <w:rPr>
          <w:rFonts w:ascii="Palatino Linotype" w:cs="Palatino Linotype" w:eastAsia="Palatino Linotype" w:hAnsi="Palatino Linotype"/>
          <w:sz w:val="22"/>
          <w:szCs w:val="22"/>
          <w:rtl w:val="0"/>
        </w:rPr>
        <w:t xml:space="preserve"> (RFC), la </w:t>
      </w:r>
      <w:r w:rsidDel="00000000" w:rsidR="00000000" w:rsidRPr="00000000">
        <w:rPr>
          <w:rFonts w:ascii="Palatino Linotype" w:cs="Palatino Linotype" w:eastAsia="Palatino Linotype" w:hAnsi="Palatino Linotype"/>
          <w:b w:val="1"/>
          <w:sz w:val="22"/>
          <w:szCs w:val="22"/>
          <w:rtl w:val="0"/>
        </w:rPr>
        <w:t xml:space="preserve">Clave Única de Registro de Población</w:t>
      </w:r>
      <w:r w:rsidDel="00000000" w:rsidR="00000000" w:rsidRPr="00000000">
        <w:rPr>
          <w:rFonts w:ascii="Palatino Linotype" w:cs="Palatino Linotype" w:eastAsia="Palatino Linotype" w:hAnsi="Palatino Linotype"/>
          <w:sz w:val="22"/>
          <w:szCs w:val="22"/>
          <w:rtl w:val="0"/>
        </w:rPr>
        <w:t xml:space="preserve"> (CURP) y la </w:t>
      </w:r>
      <w:r w:rsidDel="00000000" w:rsidR="00000000" w:rsidRPr="00000000">
        <w:rPr>
          <w:rFonts w:ascii="Palatino Linotype" w:cs="Palatino Linotype" w:eastAsia="Palatino Linotype" w:hAnsi="Palatino Linotype"/>
          <w:b w:val="1"/>
          <w:sz w:val="22"/>
          <w:szCs w:val="22"/>
          <w:rtl w:val="0"/>
        </w:rPr>
        <w:t xml:space="preserve">Clave de cualquier tipo de seguridad social</w:t>
      </w:r>
      <w:r w:rsidDel="00000000" w:rsidR="00000000" w:rsidRPr="00000000">
        <w:rPr>
          <w:rFonts w:ascii="Palatino Linotype" w:cs="Palatino Linotype" w:eastAsia="Palatino Linotype" w:hAnsi="Palatino Linotype"/>
          <w:sz w:val="22"/>
          <w:szCs w:val="22"/>
          <w:rtl w:val="0"/>
        </w:rPr>
        <w:t xml:space="preserve"> (ISSEMYM, u otros), así como, el</w:t>
      </w:r>
      <w:r w:rsidDel="00000000" w:rsidR="00000000" w:rsidRPr="00000000">
        <w:rPr>
          <w:rFonts w:ascii="Palatino Linotype" w:cs="Palatino Linotype" w:eastAsia="Palatino Linotype" w:hAnsi="Palatino Linotype"/>
          <w:b w:val="1"/>
          <w:sz w:val="22"/>
          <w:szCs w:val="22"/>
          <w:rtl w:val="0"/>
        </w:rPr>
        <w:t xml:space="preserve"> número de empleado, </w:t>
      </w:r>
      <w:r w:rsidDel="00000000" w:rsidR="00000000" w:rsidRPr="00000000">
        <w:rPr>
          <w:rFonts w:ascii="Palatino Linotype" w:cs="Palatino Linotype" w:eastAsia="Palatino Linotype" w:hAnsi="Palatino Linotype"/>
          <w:sz w:val="22"/>
          <w:szCs w:val="22"/>
          <w:rtl w:val="0"/>
        </w:rPr>
        <w:t xml:space="preserve">así como de ser el caso, el </w:t>
      </w:r>
      <w:r w:rsidDel="00000000" w:rsidR="00000000" w:rsidRPr="00000000">
        <w:rPr>
          <w:rFonts w:ascii="Palatino Linotype" w:cs="Palatino Linotype" w:eastAsia="Palatino Linotype" w:hAnsi="Palatino Linotype"/>
          <w:b w:val="1"/>
          <w:sz w:val="22"/>
          <w:szCs w:val="22"/>
          <w:rtl w:val="0"/>
        </w:rPr>
        <w:t xml:space="preserve">folio fiscal</w:t>
      </w:r>
      <w:r w:rsidDel="00000000" w:rsidR="00000000" w:rsidRPr="00000000">
        <w:rPr>
          <w:rFonts w:ascii="Palatino Linotype" w:cs="Palatino Linotype" w:eastAsia="Palatino Linotype" w:hAnsi="Palatino Linotype"/>
          <w:sz w:val="22"/>
          <w:szCs w:val="22"/>
          <w:rtl w:val="0"/>
        </w:rPr>
        <w:t xml:space="preserve">, la  </w:t>
      </w:r>
      <w:r w:rsidDel="00000000" w:rsidR="00000000" w:rsidRPr="00000000">
        <w:rPr>
          <w:rFonts w:ascii="Palatino Linotype" w:cs="Palatino Linotype" w:eastAsia="Palatino Linotype" w:hAnsi="Palatino Linotype"/>
          <w:b w:val="1"/>
          <w:sz w:val="22"/>
          <w:szCs w:val="22"/>
          <w:rtl w:val="0"/>
        </w:rPr>
        <w:t xml:space="preserve">cadena original, </w:t>
      </w:r>
      <w:r w:rsidDel="00000000" w:rsidR="00000000" w:rsidRPr="00000000">
        <w:rPr>
          <w:rFonts w:ascii="Palatino Linotype" w:cs="Palatino Linotype" w:eastAsia="Palatino Linotype" w:hAnsi="Palatino Linotype"/>
          <w:sz w:val="22"/>
          <w:szCs w:val="22"/>
          <w:rtl w:val="0"/>
        </w:rPr>
        <w:t xml:space="preserve">los</w:t>
      </w:r>
      <w:r w:rsidDel="00000000" w:rsidR="00000000" w:rsidRPr="00000000">
        <w:rPr>
          <w:rFonts w:ascii="Palatino Linotype" w:cs="Palatino Linotype" w:eastAsia="Palatino Linotype" w:hAnsi="Palatino Linotype"/>
          <w:b w:val="1"/>
          <w:sz w:val="22"/>
          <w:szCs w:val="22"/>
          <w:rtl w:val="0"/>
        </w:rPr>
        <w:t xml:space="preserve"> códigos bidimensionales o códigos QR,</w:t>
      </w:r>
      <w:r w:rsidDel="00000000" w:rsidR="00000000" w:rsidRPr="00000000">
        <w:rPr>
          <w:rFonts w:ascii="Palatino Linotype" w:cs="Palatino Linotype" w:eastAsia="Palatino Linotype" w:hAnsi="Palatino Linotype"/>
          <w:sz w:val="22"/>
          <w:szCs w:val="22"/>
          <w:rtl w:val="0"/>
        </w:rPr>
        <w:t xml:space="preserve"> y cualquier información de carácter fiscal, bajo las siguientes consideraciones. </w:t>
      </w:r>
    </w:p>
    <w:p w:rsidR="00000000" w:rsidDel="00000000" w:rsidP="00000000" w:rsidRDefault="00000000" w:rsidRPr="00000000" w14:paraId="0000010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cuanto al RFC, este constituye un dato personal, ya que para su obtención es necesario acreditar ante la autoridad fiscal previamente la identidad de la persona, su fecha de nacimiento, entre otros aspectos.</w:t>
      </w:r>
    </w:p>
    <w:p w:rsidR="00000000" w:rsidDel="00000000" w:rsidP="00000000" w:rsidRDefault="00000000" w:rsidRPr="00000000" w14:paraId="0000010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10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compartido por el Instituto Nacional de Transparencia, Acceso a la Información y Protección de Datos (INAI) a través del Criterio 19/17, el cual es del tenor literal siguiente:</w:t>
      </w:r>
    </w:p>
    <w:p w:rsidR="00000000" w:rsidDel="00000000" w:rsidP="00000000" w:rsidRDefault="00000000" w:rsidRPr="00000000" w14:paraId="0000010D">
      <w:pPr>
        <w:spacing w:after="12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Registro Federal de Contribuyentes (RFC) de personas físicas. </w:t>
      </w:r>
      <w:r w:rsidDel="00000000" w:rsidR="00000000" w:rsidRPr="00000000">
        <w:rPr>
          <w:rFonts w:ascii="Palatino Linotype" w:cs="Palatino Linotype" w:eastAsia="Palatino Linotype" w:hAnsi="Palatino Linotype"/>
          <w:i w:val="1"/>
          <w:sz w:val="22"/>
          <w:szCs w:val="22"/>
          <w:rtl w:val="0"/>
        </w:rPr>
        <w:t xml:space="preserve">El RFC es una clave de carácter fiscal, única e irrepetible, que permite identificar al titular, su edad y fecha de nacimiento, por lo que es un dato personal de carácter confidencial.” (Sic)</w:t>
      </w: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00000" w:rsidDel="00000000" w:rsidP="00000000" w:rsidRDefault="00000000" w:rsidRPr="00000000" w14:paraId="0000011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es compartido por el Instituto Nacional de Transparencia, Acceso a la Información y Protección de Datos (INAI)</w:t>
      </w:r>
      <w:r w:rsidDel="00000000" w:rsidR="00000000" w:rsidRPr="00000000">
        <w:rPr>
          <w:rFonts w:ascii="Palatino Linotype" w:cs="Palatino Linotype" w:eastAsia="Palatino Linotype" w:hAnsi="Palatino Linotype"/>
          <w:b w:val="1"/>
          <w:sz w:val="22"/>
          <w:szCs w:val="22"/>
          <w:rtl w:val="0"/>
        </w:rPr>
        <w:t xml:space="preserve">, conforme al </w:t>
      </w:r>
      <w:r w:rsidDel="00000000" w:rsidR="00000000" w:rsidRPr="00000000">
        <w:rPr>
          <w:rFonts w:ascii="Palatino Linotype" w:cs="Palatino Linotype" w:eastAsia="Palatino Linotype" w:hAnsi="Palatino Linotype"/>
          <w:sz w:val="22"/>
          <w:szCs w:val="22"/>
          <w:rtl w:val="0"/>
        </w:rPr>
        <w:t xml:space="preserve">criterio número 18/17, el cual refiere: </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120"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Clave Única de Registro de Población (CURP). </w:t>
      </w:r>
      <w:r w:rsidDel="00000000" w:rsidR="00000000" w:rsidRPr="00000000">
        <w:rPr>
          <w:rFonts w:ascii="Palatino Linotype" w:cs="Palatino Linotype" w:eastAsia="Palatino Linotype" w:hAnsi="Palatino Linotype"/>
          <w:i w:val="1"/>
          <w:sz w:val="22"/>
          <w:szCs w:val="22"/>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r w:rsidDel="00000000" w:rsidR="00000000" w:rsidRPr="00000000">
        <w:rPr>
          <w:rtl w:val="0"/>
        </w:rPr>
      </w:r>
    </w:p>
    <w:p w:rsidR="00000000" w:rsidDel="00000000" w:rsidP="00000000" w:rsidRDefault="00000000" w:rsidRPr="00000000" w14:paraId="0000011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000000" w:rsidDel="00000000" w:rsidP="00000000" w:rsidRDefault="00000000" w:rsidRPr="00000000" w14:paraId="00000113">
      <w:pPr>
        <w:spacing w:after="240" w:before="24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El número de ficha de identificación única de los trabajadores es información de carácter confidencial.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dicha información es susceptible de clasificarse con el carácter de confidencial</w:t>
      </w:r>
      <w:r w:rsidDel="00000000" w:rsidR="00000000" w:rsidRPr="00000000">
        <w:rPr>
          <w:rFonts w:ascii="Palatino Linotype" w:cs="Palatino Linotype" w:eastAsia="Palatino Linotype" w:hAnsi="Palatino Linotype"/>
          <w:i w:val="1"/>
          <w:sz w:val="22"/>
          <w:szCs w:val="22"/>
          <w:rtl w:val="0"/>
        </w:rPr>
        <w:t xml:space="preserve">, en términos de lo establecido en el artículo 18, fracción II de la Ley Federal de Transparencia y Acceso a la Información Pública Gubernamental, en virtud de que a través de la misma es posible conocer información personal de su titular.” (Sic)</w:t>
      </w:r>
    </w:p>
    <w:p w:rsidR="00000000" w:rsidDel="00000000" w:rsidP="00000000" w:rsidRDefault="00000000" w:rsidRPr="00000000" w14:paraId="00000114">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5">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16">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11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1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p>
    <w:p w:rsidR="00000000" w:rsidDel="00000000" w:rsidP="00000000" w:rsidRDefault="00000000" w:rsidRPr="00000000" w14:paraId="0000011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propuesta…”(Sic)</w:t>
      </w:r>
    </w:p>
    <w:p w:rsidR="00000000" w:rsidDel="00000000" w:rsidP="00000000" w:rsidRDefault="00000000" w:rsidRPr="00000000" w14:paraId="0000011D">
      <w:pPr>
        <w:ind w:left="992" w:right="10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Denotándose de dichos elementos normativos que el determinar la clasificación de la información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1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12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2">
      <w:pPr>
        <w:spacing w:after="24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sz w:val="22"/>
          <w:szCs w:val="22"/>
          <w:rtl w:val="0"/>
        </w:rPr>
        <w:t xml:space="preserve"> deberá contener un razonamiento lógico en el que demuestre que la información se encuentra en alguna o algunas de las hipótesis previstas en la presente Ley.” </w:t>
      </w:r>
    </w:p>
    <w:p w:rsidR="00000000" w:rsidDel="00000000" w:rsidP="00000000" w:rsidRDefault="00000000" w:rsidRPr="00000000" w14:paraId="00000123">
      <w:pPr>
        <w:spacing w:before="240"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4">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125">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se destaca que la versión pública que elabore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sz w:val="22"/>
          <w:szCs w:val="22"/>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127">
      <w:pPr>
        <w:ind w:left="709" w:right="70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28">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129">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12A">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u w:val="single"/>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reserva o </w:t>
      </w:r>
      <w:r w:rsidDel="00000000" w:rsidR="00000000" w:rsidRPr="00000000">
        <w:rPr>
          <w:rFonts w:ascii="Palatino Linotype" w:cs="Palatino Linotype" w:eastAsia="Palatino Linotype" w:hAnsi="Palatino Linotype"/>
          <w:b w:val="1"/>
          <w:i w:val="1"/>
          <w:sz w:val="22"/>
          <w:szCs w:val="22"/>
          <w:u w:val="single"/>
          <w:rtl w:val="0"/>
        </w:rPr>
        <w:t xml:space="preserve">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12B">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12C">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12D">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12E">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12F">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130">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r w:rsidDel="00000000" w:rsidR="00000000" w:rsidRPr="00000000">
        <w:rPr>
          <w:rtl w:val="0"/>
        </w:rPr>
      </w:r>
    </w:p>
    <w:p w:rsidR="00000000" w:rsidDel="00000000" w:rsidP="00000000" w:rsidRDefault="00000000" w:rsidRPr="00000000" w14:paraId="00000131">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del Comité de Transparencia, el órgano garante </w:t>
      </w:r>
    </w:p>
    <w:p w:rsidR="00000000" w:rsidDel="00000000" w:rsidP="00000000" w:rsidRDefault="00000000" w:rsidRPr="00000000" w14:paraId="00000132">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133">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134">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135">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136">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137">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000000" w:rsidDel="00000000" w:rsidP="00000000" w:rsidRDefault="00000000" w:rsidRPr="00000000" w14:paraId="00000138">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139">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13A">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13B">
      <w:pPr>
        <w:tabs>
          <w:tab w:val="left" w:leader="none" w:pos="851"/>
          <w:tab w:val="left" w:leader="none" w:pos="8080"/>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13C">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D">
      <w:pPr>
        <w:tabs>
          <w:tab w:val="left" w:leader="none" w:pos="851"/>
          <w:tab w:val="left" w:leader="none" w:pos="8080"/>
        </w:tabs>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3E">
      <w:pPr>
        <w:tabs>
          <w:tab w:val="left" w:leader="none" w:pos="851"/>
          <w:tab w:val="left" w:leader="none" w:pos="8080"/>
        </w:tabs>
        <w:ind w:left="851" w:right="616" w:firstLine="0"/>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r w:rsidDel="00000000" w:rsidR="00000000" w:rsidRPr="00000000">
        <w:rPr>
          <w:rtl w:val="0"/>
        </w:rPr>
      </w:r>
    </w:p>
    <w:p w:rsidR="00000000" w:rsidDel="00000000" w:rsidP="00000000" w:rsidRDefault="00000000" w:rsidRPr="00000000" w14:paraId="0000013F">
      <w:pPr>
        <w:tabs>
          <w:tab w:val="left" w:leader="none" w:pos="851"/>
          <w:tab w:val="left" w:leader="none" w:pos="8080"/>
        </w:tabs>
        <w:spacing w:after="160"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w:t>
      </w:r>
    </w:p>
    <w:p w:rsidR="00000000" w:rsidDel="00000000" w:rsidP="00000000" w:rsidRDefault="00000000" w:rsidRPr="00000000" w14:paraId="00000140">
      <w:pPr>
        <w:tabs>
          <w:tab w:val="left" w:leader="none" w:pos="851"/>
          <w:tab w:val="left" w:leader="none" w:pos="8080"/>
        </w:tabs>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000000" w:rsidDel="00000000" w:rsidP="00000000" w:rsidRDefault="00000000" w:rsidRPr="00000000" w14:paraId="00000141">
      <w:pPr>
        <w:tabs>
          <w:tab w:val="left" w:leader="none" w:pos="851"/>
          <w:tab w:val="left" w:leader="none" w:pos="8080"/>
        </w:tabs>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w:t>
      </w:r>
    </w:p>
    <w:p w:rsidR="00000000" w:rsidDel="00000000" w:rsidP="00000000" w:rsidRDefault="00000000" w:rsidRPr="00000000" w14:paraId="00000142">
      <w:pPr>
        <w:tabs>
          <w:tab w:val="left" w:leader="none" w:pos="851"/>
          <w:tab w:val="left" w:leader="none" w:pos="8080"/>
        </w:tabs>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143">
      <w:pPr>
        <w:tabs>
          <w:tab w:val="left" w:leader="none" w:pos="851"/>
          <w:tab w:val="left" w:leader="none" w:pos="8080"/>
        </w:tabs>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w:t>
      </w:r>
    </w:p>
    <w:p w:rsidR="00000000" w:rsidDel="00000000" w:rsidP="00000000" w:rsidRDefault="00000000" w:rsidRPr="00000000" w14:paraId="00000144">
      <w:pPr>
        <w:tabs>
          <w:tab w:val="left" w:leader="none" w:pos="851"/>
          <w:tab w:val="left" w:leader="none" w:pos="8080"/>
        </w:tabs>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w:t>
      </w:r>
    </w:p>
    <w:p w:rsidR="00000000" w:rsidDel="00000000" w:rsidP="00000000" w:rsidRDefault="00000000" w:rsidRPr="00000000" w14:paraId="00000145">
      <w:pPr>
        <w:tabs>
          <w:tab w:val="left" w:leader="none" w:pos="851"/>
          <w:tab w:val="left" w:leader="none" w:pos="8080"/>
        </w:tabs>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w:t>
      </w:r>
    </w:p>
    <w:p w:rsidR="00000000" w:rsidDel="00000000" w:rsidP="00000000" w:rsidRDefault="00000000" w:rsidRPr="00000000" w14:paraId="00000146">
      <w:pPr>
        <w:tabs>
          <w:tab w:val="left" w:leader="none" w:pos="851"/>
          <w:tab w:val="left" w:leader="none" w:pos="8080"/>
        </w:tabs>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147">
      <w:pPr>
        <w:tabs>
          <w:tab w:val="left" w:leader="none" w:pos="851"/>
          <w:tab w:val="left" w:leader="none" w:pos="8080"/>
        </w:tabs>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w:t>
      </w:r>
    </w:p>
    <w:p w:rsidR="00000000" w:rsidDel="00000000" w:rsidP="00000000" w:rsidRDefault="00000000" w:rsidRPr="00000000" w14:paraId="00000148">
      <w:pPr>
        <w:tabs>
          <w:tab w:val="left" w:leader="none" w:pos="851"/>
          <w:tab w:val="left" w:leader="none" w:pos="8080"/>
        </w:tabs>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149">
      <w:pPr>
        <w:tabs>
          <w:tab w:val="left" w:leader="none" w:pos="851"/>
          <w:tab w:val="left" w:leader="none" w:pos="8080"/>
        </w:tabs>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w:t>
      </w:r>
    </w:p>
    <w:p w:rsidR="00000000" w:rsidDel="00000000" w:rsidP="00000000" w:rsidRDefault="00000000" w:rsidRPr="00000000" w14:paraId="0000014A">
      <w:pPr>
        <w:tabs>
          <w:tab w:val="left" w:leader="none" w:pos="851"/>
          <w:tab w:val="left" w:leader="none" w:pos="8080"/>
        </w:tabs>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w:t>
      </w:r>
    </w:p>
    <w:p w:rsidR="00000000" w:rsidDel="00000000" w:rsidP="00000000" w:rsidRDefault="00000000" w:rsidRPr="00000000" w14:paraId="0000014B">
      <w:pPr>
        <w:tabs>
          <w:tab w:val="left" w:leader="none" w:pos="851"/>
          <w:tab w:val="left" w:leader="none" w:pos="8080"/>
        </w:tabs>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w:t>
      </w:r>
    </w:p>
    <w:p w:rsidR="00000000" w:rsidDel="00000000" w:rsidP="00000000" w:rsidRDefault="00000000" w:rsidRPr="00000000" w14:paraId="0000014C">
      <w:pPr>
        <w:tabs>
          <w:tab w:val="left" w:leader="none" w:pos="851"/>
          <w:tab w:val="left" w:leader="none" w:pos="8080"/>
        </w:tabs>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4D">
      <w:pPr>
        <w:tabs>
          <w:tab w:val="left" w:leader="none" w:pos="851"/>
          <w:tab w:val="left" w:leader="none" w:pos="8080"/>
        </w:tabs>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4E">
      <w:pPr>
        <w:tabs>
          <w:tab w:val="left" w:leader="none" w:pos="851"/>
          <w:tab w:val="left" w:leader="none" w:pos="8080"/>
        </w:tabs>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4F">
      <w:pPr>
        <w:tabs>
          <w:tab w:val="left" w:leader="none" w:pos="851"/>
          <w:tab w:val="left" w:leader="none" w:pos="8080"/>
        </w:tabs>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150">
      <w:pPr>
        <w:tabs>
          <w:tab w:val="left" w:leader="none" w:pos="851"/>
          <w:tab w:val="left" w:leader="none" w:pos="8080"/>
        </w:tabs>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51">
      <w:pPr>
        <w:tabs>
          <w:tab w:val="left" w:leader="none" w:pos="851"/>
          <w:tab w:val="left" w:leader="none" w:pos="8080"/>
        </w:tabs>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52">
      <w:pPr>
        <w:tabs>
          <w:tab w:val="left" w:leader="none" w:pos="851"/>
          <w:tab w:val="left" w:leader="none" w:pos="8080"/>
        </w:tabs>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153">
      <w:pPr>
        <w:tabs>
          <w:tab w:val="left" w:leader="none" w:pos="851"/>
          <w:tab w:val="left" w:leader="none" w:pos="8080"/>
        </w:tabs>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54">
      <w:pPr>
        <w:tabs>
          <w:tab w:val="left" w:leader="none" w:pos="851"/>
          <w:tab w:val="left" w:leader="none" w:pos="8080"/>
        </w:tabs>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55">
      <w:pPr>
        <w:tabs>
          <w:tab w:val="left" w:leader="none" w:pos="851"/>
          <w:tab w:val="left" w:leader="none" w:pos="8080"/>
        </w:tabs>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156">
      <w:pPr>
        <w:tabs>
          <w:tab w:val="left" w:leader="none" w:pos="851"/>
          <w:tab w:val="left" w:leader="none" w:pos="8080"/>
        </w:tabs>
        <w:spacing w:after="1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5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15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A">
      <w:pPr>
        <w:shd w:fill="ffffff" w:val="clea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la entrega de documentos en su versión pública debe acompañarse necesariamente del Acuerdo del Comité de Transparencia que la sustente, en el que se expongan los fundamentos y razonamientos que llevaron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bookmarkStart w:colFirst="0" w:colLast="0" w:name="_heading=h.3dy6vkm" w:id="4"/>
      <w:bookmarkEnd w:id="4"/>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noveno, cuadragésimo y cuadragésimo primero, fracciones IV y V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5C">
      <w:pPr>
        <w:spacing w:line="360" w:lineRule="auto"/>
        <w:ind w:left="567"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15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w:t>
      </w:r>
      <w:r w:rsidDel="00000000" w:rsidR="00000000" w:rsidRPr="00000000">
        <w:rPr>
          <w:rFonts w:ascii="Palatino Linotype" w:cs="Palatino Linotype" w:eastAsia="Palatino Linotype" w:hAnsi="Palatino Linotype"/>
          <w:sz w:val="22"/>
          <w:szCs w:val="22"/>
          <w:rtl w:val="0"/>
        </w:rPr>
        <w:t xml:space="preserve"> Resultan </w:t>
      </w:r>
      <w:r w:rsidDel="00000000" w:rsidR="00000000" w:rsidRPr="00000000">
        <w:rPr>
          <w:rFonts w:ascii="Palatino Linotype" w:cs="Palatino Linotype" w:eastAsia="Palatino Linotype" w:hAnsi="Palatino Linotype"/>
          <w:b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los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05909/INFOEM/IP/RR/2025</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sz w:val="22"/>
          <w:szCs w:val="22"/>
          <w:rtl w:val="0"/>
        </w:rPr>
        <w:t xml:space="preserve">Considerando 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5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Se </w:t>
      </w:r>
      <w:r w:rsidDel="00000000" w:rsidR="00000000" w:rsidRPr="00000000">
        <w:rPr>
          <w:rFonts w:ascii="Palatino Linotype" w:cs="Palatino Linotype" w:eastAsia="Palatino Linotype" w:hAnsi="Palatino Linotype"/>
          <w:b w:val="1"/>
          <w:sz w:val="22"/>
          <w:szCs w:val="22"/>
          <w:rtl w:val="0"/>
        </w:rPr>
        <w:t xml:space="preserve">ordena</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en términos del </w:t>
      </w:r>
      <w:r w:rsidDel="00000000" w:rsidR="00000000" w:rsidRPr="00000000">
        <w:rPr>
          <w:rFonts w:ascii="Palatino Linotype" w:cs="Palatino Linotype" w:eastAsia="Palatino Linotype" w:hAnsi="Palatino Linotype"/>
          <w:b w:val="1"/>
          <w:sz w:val="22"/>
          <w:szCs w:val="22"/>
          <w:rtl w:val="0"/>
        </w:rPr>
        <w:t xml:space="preserve">Considerando Cuarto y Quinto</w:t>
      </w:r>
      <w:r w:rsidDel="00000000" w:rsidR="00000000" w:rsidRPr="00000000">
        <w:rPr>
          <w:rFonts w:ascii="Palatino Linotype" w:cs="Palatino Linotype" w:eastAsia="Palatino Linotype" w:hAnsi="Palatino Linotype"/>
          <w:sz w:val="22"/>
          <w:szCs w:val="22"/>
          <w:rtl w:val="0"/>
        </w:rPr>
        <w:t xml:space="preserve">, haga entrega vía Sistema de Acceso a la Información Mexiquense, de ser procedente en versión pública, de lo siguiente: </w:t>
      </w:r>
    </w:p>
    <w:p w:rsidR="00000000" w:rsidDel="00000000" w:rsidP="00000000" w:rsidRDefault="00000000" w:rsidRPr="00000000" w14:paraId="0000016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1">
      <w:pPr>
        <w:numPr>
          <w:ilvl w:val="0"/>
          <w:numId w:val="1"/>
        </w:numPr>
        <w:pBdr>
          <w:top w:space="0" w:sz="0" w:val="nil"/>
          <w:left w:space="0" w:sz="0" w:val="nil"/>
          <w:bottom w:space="0" w:sz="0" w:val="nil"/>
          <w:right w:space="0" w:sz="0" w:val="nil"/>
          <w:between w:space="0" w:sz="0" w:val="nil"/>
        </w:pBdr>
        <w:spacing w:line="276" w:lineRule="auto"/>
        <w:ind w:left="851" w:right="616" w:hanging="360"/>
        <w:jc w:val="both"/>
        <w:rPr>
          <w:rFonts w:ascii="Palatino Linotype" w:cs="Palatino Linotype" w:eastAsia="Palatino Linotype" w:hAnsi="Palatino Linotype"/>
          <w:b w:val="1"/>
          <w:i w:val="1"/>
          <w:color w:val="000000"/>
          <w:sz w:val="22"/>
          <w:szCs w:val="22"/>
        </w:rPr>
      </w:pPr>
      <w:bookmarkStart w:colFirst="0" w:colLast="0" w:name="_heading=h.1fob9te" w:id="5"/>
      <w:bookmarkEnd w:id="5"/>
      <w:r w:rsidDel="00000000" w:rsidR="00000000" w:rsidRPr="00000000">
        <w:rPr>
          <w:rFonts w:ascii="Palatino Linotype" w:cs="Palatino Linotype" w:eastAsia="Palatino Linotype" w:hAnsi="Palatino Linotype"/>
          <w:b w:val="1"/>
          <w:i w:val="1"/>
          <w:color w:val="000000"/>
          <w:sz w:val="22"/>
          <w:szCs w:val="22"/>
          <w:rtl w:val="0"/>
        </w:rPr>
        <w:t xml:space="preserve">De la servidora pública referida en la solicitud de información: </w:t>
      </w:r>
    </w:p>
    <w:p w:rsidR="00000000" w:rsidDel="00000000" w:rsidP="00000000" w:rsidRDefault="00000000" w:rsidRPr="00000000" w14:paraId="00000162">
      <w:pPr>
        <w:numPr>
          <w:ilvl w:val="0"/>
          <w:numId w:val="3"/>
        </w:numPr>
        <w:pBdr>
          <w:top w:space="0" w:sz="0" w:val="nil"/>
          <w:left w:space="0" w:sz="0" w:val="nil"/>
          <w:bottom w:space="0" w:sz="0" w:val="nil"/>
          <w:right w:space="0" w:sz="0" w:val="nil"/>
          <w:between w:space="0" w:sz="0" w:val="nil"/>
        </w:pBdr>
        <w:spacing w:line="276" w:lineRule="auto"/>
        <w:ind w:left="1080" w:right="616"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El o los documentos que den cuenta de los cargos que </w:t>
      </w:r>
      <w:r w:rsidDel="00000000" w:rsidR="00000000" w:rsidRPr="00000000">
        <w:rPr>
          <w:rFonts w:ascii="Palatino Linotype" w:cs="Palatino Linotype" w:eastAsia="Palatino Linotype" w:hAnsi="Palatino Linotype"/>
          <w:i w:val="1"/>
          <w:sz w:val="22"/>
          <w:szCs w:val="22"/>
          <w:rtl w:val="0"/>
        </w:rPr>
        <w:t xml:space="preserve">ostentó</w:t>
      </w:r>
      <w:r w:rsidDel="00000000" w:rsidR="00000000" w:rsidRPr="00000000">
        <w:rPr>
          <w:rFonts w:ascii="Palatino Linotype" w:cs="Palatino Linotype" w:eastAsia="Palatino Linotype" w:hAnsi="Palatino Linotype"/>
          <w:i w:val="1"/>
          <w:color w:val="000000"/>
          <w:sz w:val="22"/>
          <w:szCs w:val="22"/>
          <w:rtl w:val="0"/>
        </w:rPr>
        <w:t xml:space="preserve">; así como del sueldo bruto y neto percibido mensual, del dieciséis de febrero de dos mil dieciséis al treinta y uno de diciembre de dos mil diecinueve y del primero de enero al dos de mayo de dos mil veinticinco.</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Del="00000000" w:rsidR="00000000" w:rsidRPr="00000000">
        <w:rPr>
          <w:rFonts w:ascii="Palatino Linotype" w:cs="Palatino Linotype" w:eastAsia="Palatino Linotype" w:hAnsi="Palatino Linotype"/>
          <w:b w:val="1"/>
          <w:i w:val="1"/>
          <w:color w:val="000000"/>
          <w:sz w:val="22"/>
          <w:szCs w:val="22"/>
          <w:rtl w:val="0"/>
        </w:rPr>
        <w:t xml:space="preserve">Recurrente.</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Para el caso de que la información que se ordena entregar del primero de enero al dos de mayo de dos mil veinticinco, no obre en los archivos del Sujeto Obligado, por no haberse generado, poseído o administrado, este deberá hacerlo del conocimiento del Particular en términos del artículo 19, párrafo segundo, de la Ley de Transparencia y Acceso a la Información Pública del Estado de México y Municipios, para tenerse por colmado dicho requerimiento. </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line="276" w:lineRule="auto"/>
        <w:ind w:left="1080" w:right="616"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168">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Tercero.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la presente resolución a la </w:t>
      </w:r>
      <w:r w:rsidDel="00000000" w:rsidR="00000000" w:rsidRPr="00000000">
        <w:rPr>
          <w:rFonts w:ascii="Palatino Linotype" w:cs="Palatino Linotype" w:eastAsia="Palatino Linotype" w:hAnsi="Palatino Linotype"/>
          <w:b w:val="1"/>
          <w:sz w:val="22"/>
          <w:szCs w:val="22"/>
          <w:rtl w:val="0"/>
        </w:rPr>
        <w:t xml:space="preserve">Titular de la Unidad de Transparencia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16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000000" w:rsidDel="00000000" w:rsidP="00000000" w:rsidRDefault="00000000" w:rsidRPr="00000000" w14:paraId="0000016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w:t>
      </w:r>
      <w:r w:rsidDel="00000000" w:rsidR="00000000" w:rsidRPr="00000000">
        <w:rPr>
          <w:rFonts w:ascii="Palatino Linotype" w:cs="Palatino Linotype" w:eastAsia="Palatino Linotype" w:hAnsi="Palatino Linotype"/>
          <w:sz w:val="22"/>
          <w:szCs w:val="22"/>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16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E">
      <w:pPr>
        <w:spacing w:line="360" w:lineRule="auto"/>
        <w:jc w:val="both"/>
        <w:rPr>
          <w:rFonts w:ascii="Palatino Linotype" w:cs="Palatino Linotype" w:eastAsia="Palatino Linotype" w:hAnsi="Palatino Linotype"/>
          <w:sz w:val="22"/>
          <w:szCs w:val="22"/>
        </w:rPr>
        <w:sectPr>
          <w:headerReference r:id="rId12" w:type="default"/>
          <w:headerReference r:id="rId13" w:type="first"/>
          <w:footerReference r:id="rId14" w:type="default"/>
          <w:footerReference r:id="rId15"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color w:val="222222"/>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ORDINARIA CELEBRADA EL SEIS DE AGOSTO DE DOS MIL VEINTICINCO, ANTE EL SECRETARIO TÉCNICO DEL PLENO ALEXIS TAPIA RAMÍREZ</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6F">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6"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4">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-638172</wp:posOffset>
          </wp:positionH>
          <wp:positionV relativeFrom="paragraph">
            <wp:posOffset>-450211</wp:posOffset>
          </wp:positionV>
          <wp:extent cx="7809876" cy="10165823"/>
          <wp:effectExtent b="0" l="0" r="0" t="0"/>
          <wp:wrapNone/>
          <wp:docPr id="161334314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17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72">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05909/INFOEM/IP/RR/2025</w:t>
          </w:r>
        </w:p>
      </w:tc>
    </w:tr>
    <w:tr>
      <w:trPr>
        <w:cantSplit w:val="0"/>
        <w:trHeight w:val="228" w:hRule="atLeast"/>
        <w:tblHeader w:val="0"/>
      </w:trPr>
      <w:tc>
        <w:tcPr>
          <w:vAlign w:val="center"/>
        </w:tcPr>
        <w:p w:rsidR="00000000" w:rsidDel="00000000" w:rsidP="00000000" w:rsidRDefault="00000000" w:rsidRPr="00000000" w14:paraId="0000017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74">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Texcaltitlán</w:t>
          </w:r>
        </w:p>
      </w:tc>
    </w:tr>
    <w:tr>
      <w:trPr>
        <w:cantSplit w:val="0"/>
        <w:tblHeader w:val="0"/>
      </w:trPr>
      <w:tc>
        <w:tcPr>
          <w:vAlign w:val="center"/>
        </w:tcPr>
        <w:p w:rsidR="00000000" w:rsidDel="00000000" w:rsidP="00000000" w:rsidRDefault="00000000" w:rsidRPr="00000000" w14:paraId="0000017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76">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77">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8">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-798189</wp:posOffset>
          </wp:positionH>
          <wp:positionV relativeFrom="paragraph">
            <wp:posOffset>-399410</wp:posOffset>
          </wp:positionV>
          <wp:extent cx="7809876" cy="10165823"/>
          <wp:effectExtent b="0" l="0" r="0" t="0"/>
          <wp:wrapNone/>
          <wp:docPr id="161334314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7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7A">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05909/INFOEM/IP/RR/2025 </w:t>
          </w:r>
        </w:p>
      </w:tc>
    </w:tr>
    <w:tr>
      <w:trPr>
        <w:cantSplit w:val="0"/>
        <w:tblHeader w:val="0"/>
      </w:trPr>
      <w:tc>
        <w:tcPr>
          <w:vAlign w:val="center"/>
        </w:tcPr>
        <w:p w:rsidR="00000000" w:rsidDel="00000000" w:rsidP="00000000" w:rsidRDefault="00000000" w:rsidRPr="00000000" w14:paraId="0000017B">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7C">
          <w:pPr>
            <w:ind w:left="-115" w:right="-533"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7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7E">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Texcaltitlán</w:t>
          </w:r>
        </w:p>
      </w:tc>
    </w:tr>
    <w:tr>
      <w:trPr>
        <w:cantSplit w:val="0"/>
        <w:tblHeader w:val="0"/>
      </w:trPr>
      <w:tc>
        <w:tcPr>
          <w:vAlign w:val="center"/>
        </w:tcPr>
        <w:p w:rsidR="00000000" w:rsidDel="00000000" w:rsidP="00000000" w:rsidRDefault="00000000" w:rsidRPr="00000000" w14:paraId="0000017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80">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3">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6">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6"/>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7"/>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table" w:styleId="a" w:customStyle="1">
    <w:basedOn w:val="TableNormal4"/>
    <w:tblPr>
      <w:tblStyleRowBandSize w:val="1"/>
      <w:tblStyleColBandSize w:val="1"/>
      <w:tblCellMar>
        <w:left w:w="108.0" w:type="dxa"/>
        <w:right w:w="108.0" w:type="dxa"/>
      </w:tblCellMar>
    </w:tblPr>
  </w:style>
  <w:style w:type="table" w:styleId="a0" w:customStyle="1">
    <w:basedOn w:val="TableNormal4"/>
    <w:tblPr>
      <w:tblStyleRowBandSize w:val="1"/>
      <w:tblStyleColBandSize w:val="1"/>
      <w:tblCellMar>
        <w:left w:w="115.0" w:type="dxa"/>
        <w:right w:w="115.0" w:type="dxa"/>
      </w:tblCellMar>
    </w:tblPr>
  </w:style>
  <w:style w:type="table" w:styleId="a1" w:customStyle="1">
    <w:basedOn w:val="TableNormal4"/>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4"/>
    <w:tblPr>
      <w:tblStyleRowBandSize w:val="1"/>
      <w:tblStyleColBandSize w:val="1"/>
      <w:tblCellMar>
        <w:left w:w="108.0" w:type="dxa"/>
        <w:right w:w="108.0" w:type="dxa"/>
      </w:tblCellMar>
    </w:tblPr>
  </w:style>
  <w:style w:type="table" w:styleId="a3" w:customStyle="1">
    <w:basedOn w:val="TableNormal4"/>
    <w:tblPr>
      <w:tblStyleRowBandSize w:val="1"/>
      <w:tblStyleColBandSize w:val="1"/>
      <w:tblCellMar>
        <w:left w:w="108.0" w:type="dxa"/>
        <w:right w:w="108.0" w:type="dxa"/>
      </w:tblCellMar>
    </w:tblPr>
  </w:style>
  <w:style w:type="table" w:styleId="a4" w:customStyle="1">
    <w:basedOn w:val="TableNormal4"/>
    <w:tblPr>
      <w:tblStyleRowBandSize w:val="1"/>
      <w:tblStyleColBandSize w:val="1"/>
      <w:tblCellMar>
        <w:left w:w="108.0" w:type="dxa"/>
        <w:right w:w="108.0" w:type="dxa"/>
      </w:tblCellMar>
    </w:tblPr>
  </w:style>
  <w:style w:type="table" w:styleId="a5" w:customStyle="1">
    <w:basedOn w:val="TableNormal4"/>
    <w:tblPr>
      <w:tblStyleRowBandSize w:val="1"/>
      <w:tblStyleColBandSize w:val="1"/>
      <w:tblCellMar>
        <w:left w:w="108.0" w:type="dxa"/>
        <w:right w:w="108.0" w:type="dxa"/>
      </w:tblCellMar>
    </w:tblPr>
  </w:style>
  <w:style w:type="table" w:styleId="a6" w:customStyle="1">
    <w:basedOn w:val="TableNormal4"/>
    <w:tblPr>
      <w:tblStyleRowBandSize w:val="1"/>
      <w:tblStyleColBandSize w:val="1"/>
      <w:tblCellMar>
        <w:left w:w="108.0" w:type="dxa"/>
        <w:right w:w="108.0" w:type="dxa"/>
      </w:tblCellMar>
    </w:tblPr>
  </w:style>
  <w:style w:type="table" w:styleId="a7" w:customStyle="1">
    <w:basedOn w:val="TableNormal4"/>
    <w:tblPr>
      <w:tblStyleRowBandSize w:val="1"/>
      <w:tblStyleColBandSize w:val="1"/>
      <w:tblCellMar>
        <w:left w:w="108.0" w:type="dxa"/>
        <w:right w:w="108.0" w:type="dxa"/>
      </w:tblCellMar>
    </w:tblPr>
  </w:style>
  <w:style w:type="table" w:styleId="a8" w:customStyle="1">
    <w:basedOn w:val="TableNormal4"/>
    <w:tblPr>
      <w:tblStyleRowBandSize w:val="1"/>
      <w:tblStyleColBandSize w:val="1"/>
      <w:tblCellMar>
        <w:left w:w="108.0" w:type="dxa"/>
        <w:right w:w="108.0" w:type="dxa"/>
      </w:tblCellMar>
    </w:tblPr>
  </w:style>
  <w:style w:type="table" w:styleId="a9" w:customStyle="1">
    <w:basedOn w:val="TableNormal4"/>
    <w:tblPr>
      <w:tblStyleRowBandSize w:val="1"/>
      <w:tblStyleColBandSize w:val="1"/>
      <w:tblCellMar>
        <w:left w:w="115.0" w:type="dxa"/>
        <w:right w:w="115.0" w:type="dxa"/>
      </w:tblCellMar>
    </w:tblPr>
  </w:style>
  <w:style w:type="table" w:styleId="aa" w:customStyle="1">
    <w:basedOn w:val="TableNormal4"/>
    <w:tblPr>
      <w:tblStyleRowBandSize w:val="1"/>
      <w:tblStyleColBandSize w:val="1"/>
      <w:tblCellMar>
        <w:left w:w="115.0" w:type="dxa"/>
        <w:right w:w="115.0" w:type="dxa"/>
      </w:tblCellMar>
    </w:tblPr>
  </w:style>
  <w:style w:type="table" w:styleId="ab" w:customStyle="1">
    <w:basedOn w:val="TableNormal4"/>
    <w:tblPr>
      <w:tblStyleRowBandSize w:val="1"/>
      <w:tblStyleColBandSize w:val="1"/>
      <w:tblCellMar>
        <w:left w:w="115.0" w:type="dxa"/>
        <w:right w:w="115.0" w:type="dxa"/>
      </w:tblCellMar>
    </w:tblPr>
  </w:style>
  <w:style w:type="table" w:styleId="ac" w:customStyle="1">
    <w:basedOn w:val="TableNormal3"/>
    <w:tblPr>
      <w:tblStyleRowBandSize w:val="1"/>
      <w:tblStyleColBandSize w:val="1"/>
      <w:tblCellMar>
        <w:left w:w="115.0" w:type="dxa"/>
        <w:right w:w="115.0" w:type="dxa"/>
      </w:tblCellMar>
    </w:tblPr>
  </w:style>
  <w:style w:type="table" w:styleId="ad" w:customStyle="1">
    <w:basedOn w:val="TableNormal3"/>
    <w:tblPr>
      <w:tblStyleRowBandSize w:val="1"/>
      <w:tblStyleColBandSize w:val="1"/>
      <w:tblCellMar>
        <w:left w:w="115.0" w:type="dxa"/>
        <w:right w:w="115.0" w:type="dxa"/>
      </w:tblCellMar>
    </w:tblPr>
  </w:style>
  <w:style w:type="table" w:styleId="ae" w:customStyle="1">
    <w:basedOn w:val="TableNormal3"/>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qFormat w:val="1"/>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6"/>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af" w:customStyle="1">
    <w:basedOn w:val="TableNormal2"/>
    <w:tblPr>
      <w:tblStyleRowBandSize w:val="1"/>
      <w:tblStyleColBandSize w:val="1"/>
      <w:tblCellMar>
        <w:left w:w="115.0" w:type="dxa"/>
        <w:right w:w="115.0" w:type="dxa"/>
      </w:tblCellMar>
    </w:tblPr>
  </w:style>
  <w:style w:type="table" w:styleId="af0" w:customStyle="1">
    <w:basedOn w:val="TableNormal2"/>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table" w:styleId="af1" w:customStyle="1">
    <w:basedOn w:val="TableNormal1"/>
    <w:tblPr>
      <w:tblStyleRowBandSize w:val="1"/>
      <w:tblStyleColBandSize w:val="1"/>
      <w:tblCellMar>
        <w:left w:w="115.0" w:type="dxa"/>
        <w:right w:w="115.0" w:type="dxa"/>
      </w:tblCellMar>
    </w:tblPr>
  </w:style>
  <w:style w:type="table" w:styleId="af2" w:customStyle="1">
    <w:basedOn w:val="TableNormal1"/>
    <w:tblPr>
      <w:tblStyleRowBandSize w:val="1"/>
      <w:tblStyleColBandSize w:val="1"/>
      <w:tblCellMar>
        <w:left w:w="115.0" w:type="dxa"/>
        <w:right w:w="115.0" w:type="dxa"/>
      </w:tblCellMar>
    </w:tblPr>
  </w:style>
  <w:style w:type="table" w:styleId="af3" w:customStyle="1">
    <w:basedOn w:val="TableNormal0"/>
    <w:tblPr>
      <w:tblStyleRowBandSize w:val="1"/>
      <w:tblStyleColBandSize w:val="1"/>
      <w:tblCellMar>
        <w:left w:w="115.0" w:type="dxa"/>
        <w:right w:w="115.0" w:type="dxa"/>
      </w:tblCellMar>
    </w:tblPr>
  </w:style>
  <w:style w:type="table" w:styleId="af4"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6.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2.xml"/><Relationship Id="rId14" Type="http://schemas.openxmlformats.org/officeDocument/2006/relationships/footer" Target="footer1.xml"/><Relationship Id="rId16"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FCWHhVELZCVCaNVtK05/0CiSUQ==">CgMxLjAyCWguMmV0OTJwMDIJaC4zem55c2g3MghoLmdqZGd4czIJaC4zMGowemxsMgloLjNkeTZ2a20yCWguMWZvYjl0ZTgAciExSl9pS2twVzN2UEZVTVJsYm0wLXhTbXZTRTNiNDhoYmg=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2025-09-03T20:36:00Z</dcterms:created>
  <dc:creator>USER</dc:creator>
</cp:coreProperties>
</file>