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7D56AA" w14:textId="77777777" w:rsidR="000A2FD5" w:rsidRPr="00271FF4" w:rsidRDefault="00BD2EBF">
      <w:pPr>
        <w:spacing w:before="240" w:after="240" w:line="360" w:lineRule="auto"/>
        <w:jc w:val="both"/>
        <w:rPr>
          <w:rFonts w:ascii="Palatino Linotype" w:eastAsia="Palatino Linotype" w:hAnsi="Palatino Linotype" w:cs="Palatino Linotype"/>
          <w:sz w:val="22"/>
          <w:szCs w:val="22"/>
        </w:rPr>
      </w:pPr>
      <w:bookmarkStart w:id="0" w:name="_heading=h.1fob9te" w:colFirst="0" w:colLast="0"/>
      <w:bookmarkEnd w:id="0"/>
      <w:r w:rsidRPr="00271FF4">
        <w:rPr>
          <w:rFonts w:ascii="Palatino Linotype" w:eastAsia="Palatino Linotype" w:hAnsi="Palatino Linotype" w:cs="Palatino Linotype"/>
          <w:sz w:val="22"/>
          <w:szCs w:val="22"/>
        </w:rPr>
        <w:t xml:space="preserve">Resolución del Pleno del Instituto de Transparencia, Acceso a la Información Pública y Protección de Datos Personales del Estado de México y Municipios, con domicilio en Metepec, Estado de México, </w:t>
      </w:r>
      <w:r w:rsidRPr="00271FF4">
        <w:rPr>
          <w:rFonts w:ascii="Palatino Linotype" w:eastAsia="Palatino Linotype" w:hAnsi="Palatino Linotype" w:cs="Palatino Linotype"/>
          <w:b/>
          <w:sz w:val="22"/>
          <w:szCs w:val="22"/>
        </w:rPr>
        <w:t>a quince de enero de dos mil veinticinco</w:t>
      </w:r>
      <w:r w:rsidRPr="00271FF4">
        <w:rPr>
          <w:rFonts w:ascii="Palatino Linotype" w:eastAsia="Palatino Linotype" w:hAnsi="Palatino Linotype" w:cs="Palatino Linotype"/>
          <w:sz w:val="22"/>
          <w:szCs w:val="22"/>
        </w:rPr>
        <w:t xml:space="preserve">. </w:t>
      </w:r>
    </w:p>
    <w:p w14:paraId="1C726817" w14:textId="16FA2BB2" w:rsidR="000A2FD5" w:rsidRPr="00271FF4" w:rsidRDefault="00BD2EBF">
      <w:pPr>
        <w:spacing w:before="240" w:after="240" w:line="360" w:lineRule="auto"/>
        <w:jc w:val="both"/>
        <w:rPr>
          <w:rFonts w:ascii="Palatino Linotype" w:eastAsia="Palatino Linotype" w:hAnsi="Palatino Linotype" w:cs="Palatino Linotype"/>
          <w:sz w:val="22"/>
          <w:szCs w:val="22"/>
        </w:rPr>
      </w:pPr>
      <w:bookmarkStart w:id="1" w:name="_heading=h.4d34og8" w:colFirst="0" w:colLast="0"/>
      <w:bookmarkEnd w:id="1"/>
      <w:r w:rsidRPr="00271FF4">
        <w:rPr>
          <w:rFonts w:ascii="Palatino Linotype" w:eastAsia="Palatino Linotype" w:hAnsi="Palatino Linotype" w:cs="Palatino Linotype"/>
          <w:b/>
          <w:sz w:val="22"/>
          <w:szCs w:val="22"/>
        </w:rPr>
        <w:t>Visto</w:t>
      </w:r>
      <w:r w:rsidRPr="00271FF4">
        <w:rPr>
          <w:rFonts w:ascii="Palatino Linotype" w:eastAsia="Palatino Linotype" w:hAnsi="Palatino Linotype" w:cs="Palatino Linotype"/>
          <w:sz w:val="22"/>
          <w:szCs w:val="22"/>
        </w:rPr>
        <w:t xml:space="preserve"> el expediente formado con motivo del recurso de revisión </w:t>
      </w:r>
      <w:r w:rsidRPr="00271FF4">
        <w:rPr>
          <w:rFonts w:ascii="Palatino Linotype" w:eastAsia="Palatino Linotype" w:hAnsi="Palatino Linotype" w:cs="Palatino Linotype"/>
          <w:b/>
          <w:sz w:val="22"/>
          <w:szCs w:val="22"/>
        </w:rPr>
        <w:t>07454/INFOEM/IP/RR/2024</w:t>
      </w:r>
      <w:r w:rsidRPr="00271FF4">
        <w:rPr>
          <w:rFonts w:ascii="Palatino Linotype" w:eastAsia="Palatino Linotype" w:hAnsi="Palatino Linotype" w:cs="Palatino Linotype"/>
          <w:sz w:val="22"/>
          <w:szCs w:val="22"/>
        </w:rPr>
        <w:t>, interpuesto por</w:t>
      </w:r>
      <w:r w:rsidRPr="00271FF4">
        <w:rPr>
          <w:rFonts w:ascii="Palatino Linotype" w:eastAsia="Palatino Linotype" w:hAnsi="Palatino Linotype" w:cs="Palatino Linotype"/>
          <w:b/>
          <w:sz w:val="22"/>
          <w:szCs w:val="22"/>
        </w:rPr>
        <w:t xml:space="preserve"> </w:t>
      </w:r>
      <w:r w:rsidR="00AC7B0A" w:rsidRPr="00AC7B0A">
        <w:rPr>
          <w:rFonts w:ascii="Palatino Linotype" w:eastAsia="Palatino Linotype" w:hAnsi="Palatino Linotype" w:cs="Palatino Linotype"/>
          <w:b/>
          <w:sz w:val="22"/>
          <w:szCs w:val="22"/>
        </w:rPr>
        <w:t>XXXXXX XXXXXXXX XXXXXX</w:t>
      </w:r>
      <w:r w:rsidRPr="00271FF4">
        <w:rPr>
          <w:rFonts w:ascii="Palatino Linotype" w:eastAsia="Palatino Linotype" w:hAnsi="Palatino Linotype" w:cs="Palatino Linotype"/>
          <w:b/>
          <w:sz w:val="22"/>
          <w:szCs w:val="22"/>
        </w:rPr>
        <w:t>,</w:t>
      </w:r>
      <w:r w:rsidRPr="00271FF4">
        <w:rPr>
          <w:rFonts w:ascii="Palatino Linotype" w:eastAsia="Palatino Linotype" w:hAnsi="Palatino Linotype" w:cs="Palatino Linotype"/>
          <w:sz w:val="22"/>
          <w:szCs w:val="22"/>
        </w:rPr>
        <w:t xml:space="preserve"> en lo sucesivo</w:t>
      </w:r>
      <w:r w:rsidRPr="00271FF4">
        <w:rPr>
          <w:rFonts w:ascii="Palatino Linotype" w:eastAsia="Palatino Linotype" w:hAnsi="Palatino Linotype" w:cs="Palatino Linotype"/>
          <w:b/>
          <w:sz w:val="22"/>
          <w:szCs w:val="22"/>
        </w:rPr>
        <w:t xml:space="preserve"> la parte</w:t>
      </w:r>
      <w:r w:rsidRPr="00271FF4">
        <w:rPr>
          <w:rFonts w:ascii="Palatino Linotype" w:eastAsia="Palatino Linotype" w:hAnsi="Palatino Linotype" w:cs="Palatino Linotype"/>
          <w:sz w:val="22"/>
          <w:szCs w:val="22"/>
        </w:rPr>
        <w:t xml:space="preserve"> </w:t>
      </w:r>
      <w:r w:rsidRPr="00271FF4">
        <w:rPr>
          <w:rFonts w:ascii="Palatino Linotype" w:eastAsia="Palatino Linotype" w:hAnsi="Palatino Linotype" w:cs="Palatino Linotype"/>
          <w:b/>
          <w:sz w:val="22"/>
          <w:szCs w:val="22"/>
        </w:rPr>
        <w:t>Recurrente,</w:t>
      </w:r>
      <w:r w:rsidRPr="00271FF4">
        <w:rPr>
          <w:rFonts w:ascii="Palatino Linotype" w:eastAsia="Palatino Linotype" w:hAnsi="Palatino Linotype" w:cs="Palatino Linotype"/>
          <w:sz w:val="22"/>
          <w:szCs w:val="22"/>
        </w:rPr>
        <w:t xml:space="preserve"> en contra de la respuesta a su solicitud por parte del</w:t>
      </w:r>
      <w:r w:rsidRPr="00271FF4">
        <w:rPr>
          <w:rFonts w:ascii="Verdana" w:eastAsia="Verdana" w:hAnsi="Verdana" w:cs="Verdana"/>
          <w:b/>
          <w:sz w:val="14"/>
          <w:szCs w:val="14"/>
        </w:rPr>
        <w:t xml:space="preserve"> </w:t>
      </w:r>
      <w:r w:rsidRPr="00271FF4">
        <w:rPr>
          <w:rFonts w:ascii="Palatino Linotype" w:eastAsia="Palatino Linotype" w:hAnsi="Palatino Linotype" w:cs="Palatino Linotype"/>
          <w:b/>
          <w:sz w:val="22"/>
          <w:szCs w:val="22"/>
        </w:rPr>
        <w:t>Instituto de la Función Registral del Estado de México</w:t>
      </w:r>
      <w:r w:rsidRPr="00271FF4">
        <w:rPr>
          <w:rFonts w:ascii="Palatino Linotype" w:eastAsia="Palatino Linotype" w:hAnsi="Palatino Linotype" w:cs="Palatino Linotype"/>
          <w:sz w:val="22"/>
          <w:szCs w:val="22"/>
        </w:rPr>
        <w:t>,</w:t>
      </w:r>
      <w:r w:rsidRPr="00271FF4">
        <w:rPr>
          <w:rFonts w:ascii="Palatino Linotype" w:eastAsia="Palatino Linotype" w:hAnsi="Palatino Linotype" w:cs="Palatino Linotype"/>
          <w:b/>
          <w:sz w:val="22"/>
          <w:szCs w:val="22"/>
        </w:rPr>
        <w:t xml:space="preserve"> </w:t>
      </w:r>
      <w:r w:rsidRPr="00271FF4">
        <w:rPr>
          <w:rFonts w:ascii="Palatino Linotype" w:eastAsia="Palatino Linotype" w:hAnsi="Palatino Linotype" w:cs="Palatino Linotype"/>
          <w:sz w:val="22"/>
          <w:szCs w:val="22"/>
        </w:rPr>
        <w:t xml:space="preserve">en lo sucesivo el </w:t>
      </w:r>
      <w:r w:rsidRPr="00271FF4">
        <w:rPr>
          <w:rFonts w:ascii="Palatino Linotype" w:eastAsia="Palatino Linotype" w:hAnsi="Palatino Linotype" w:cs="Palatino Linotype"/>
          <w:b/>
          <w:sz w:val="22"/>
          <w:szCs w:val="22"/>
        </w:rPr>
        <w:t xml:space="preserve">Sujeto Obligado, </w:t>
      </w:r>
      <w:r w:rsidRPr="00271FF4">
        <w:rPr>
          <w:rFonts w:ascii="Palatino Linotype" w:eastAsia="Palatino Linotype" w:hAnsi="Palatino Linotype" w:cs="Palatino Linotype"/>
          <w:sz w:val="22"/>
          <w:szCs w:val="22"/>
        </w:rPr>
        <w:t xml:space="preserve">se procede a dictar la presente resolución con base en los siguientes: </w:t>
      </w:r>
    </w:p>
    <w:p w14:paraId="6C0FF3E6" w14:textId="77777777" w:rsidR="000A2FD5" w:rsidRPr="00271FF4" w:rsidRDefault="00BD2EBF">
      <w:pPr>
        <w:spacing w:before="240" w:after="240" w:line="360" w:lineRule="auto"/>
        <w:jc w:val="center"/>
        <w:rPr>
          <w:rFonts w:ascii="Palatino Linotype" w:eastAsia="Palatino Linotype" w:hAnsi="Palatino Linotype" w:cs="Palatino Linotype"/>
          <w:b/>
          <w:sz w:val="22"/>
          <w:szCs w:val="22"/>
        </w:rPr>
      </w:pPr>
      <w:r w:rsidRPr="00271FF4">
        <w:rPr>
          <w:rFonts w:ascii="Palatino Linotype" w:eastAsia="Palatino Linotype" w:hAnsi="Palatino Linotype" w:cs="Palatino Linotype"/>
          <w:b/>
          <w:sz w:val="22"/>
          <w:szCs w:val="22"/>
        </w:rPr>
        <w:t>I. A N T E C E D E N T E S</w:t>
      </w:r>
    </w:p>
    <w:p w14:paraId="3B0CAB93" w14:textId="77777777" w:rsidR="000A2FD5" w:rsidRPr="00271FF4" w:rsidRDefault="00BD2EBF">
      <w:pPr>
        <w:spacing w:before="240" w:after="240"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b/>
          <w:sz w:val="22"/>
          <w:szCs w:val="22"/>
        </w:rPr>
        <w:t>1. Solicitud de acceso a la información.</w:t>
      </w:r>
      <w:r w:rsidRPr="00271FF4">
        <w:rPr>
          <w:rFonts w:ascii="Palatino Linotype" w:eastAsia="Palatino Linotype" w:hAnsi="Palatino Linotype" w:cs="Palatino Linotype"/>
          <w:sz w:val="22"/>
          <w:szCs w:val="22"/>
        </w:rPr>
        <w:t xml:space="preserve"> El </w:t>
      </w:r>
      <w:r w:rsidRPr="00271FF4">
        <w:rPr>
          <w:rFonts w:ascii="Palatino Linotype" w:eastAsia="Palatino Linotype" w:hAnsi="Palatino Linotype" w:cs="Palatino Linotype"/>
          <w:b/>
          <w:sz w:val="22"/>
          <w:szCs w:val="22"/>
        </w:rPr>
        <w:t>treinta y uno de octubre de dos mil veinticuatro,</w:t>
      </w:r>
      <w:r w:rsidRPr="00271FF4">
        <w:rPr>
          <w:rFonts w:ascii="Palatino Linotype" w:eastAsia="Palatino Linotype" w:hAnsi="Palatino Linotype" w:cs="Palatino Linotype"/>
          <w:sz w:val="22"/>
          <w:szCs w:val="22"/>
        </w:rPr>
        <w:t xml:space="preserve"> </w:t>
      </w:r>
      <w:r w:rsidRPr="00271FF4">
        <w:rPr>
          <w:rFonts w:ascii="Palatino Linotype" w:eastAsia="Palatino Linotype" w:hAnsi="Palatino Linotype" w:cs="Palatino Linotype"/>
          <w:b/>
          <w:sz w:val="22"/>
          <w:szCs w:val="22"/>
        </w:rPr>
        <w:t>la parte</w:t>
      </w:r>
      <w:r w:rsidRPr="00271FF4">
        <w:rPr>
          <w:rFonts w:ascii="Palatino Linotype" w:eastAsia="Palatino Linotype" w:hAnsi="Palatino Linotype" w:cs="Palatino Linotype"/>
          <w:sz w:val="22"/>
          <w:szCs w:val="22"/>
        </w:rPr>
        <w:t xml:space="preserve"> </w:t>
      </w:r>
      <w:r w:rsidRPr="00271FF4">
        <w:rPr>
          <w:rFonts w:ascii="Palatino Linotype" w:eastAsia="Palatino Linotype" w:hAnsi="Palatino Linotype" w:cs="Palatino Linotype"/>
          <w:b/>
          <w:sz w:val="22"/>
          <w:szCs w:val="22"/>
        </w:rPr>
        <w:t xml:space="preserve">Recurrente </w:t>
      </w:r>
      <w:r w:rsidRPr="00271FF4">
        <w:rPr>
          <w:rFonts w:ascii="Palatino Linotype" w:eastAsia="Palatino Linotype" w:hAnsi="Palatino Linotype" w:cs="Palatino Linotype"/>
          <w:sz w:val="22"/>
          <w:szCs w:val="22"/>
        </w:rPr>
        <w:t xml:space="preserve">presentó, a través del Sistema de Acceso a la Información Mexiquense, en lo subsecuente el </w:t>
      </w:r>
      <w:r w:rsidRPr="00271FF4">
        <w:rPr>
          <w:rFonts w:ascii="Palatino Linotype" w:eastAsia="Palatino Linotype" w:hAnsi="Palatino Linotype" w:cs="Palatino Linotype"/>
          <w:b/>
          <w:sz w:val="22"/>
          <w:szCs w:val="22"/>
        </w:rPr>
        <w:t>SAIMEX,</w:t>
      </w:r>
      <w:r w:rsidRPr="00271FF4">
        <w:rPr>
          <w:rFonts w:ascii="Palatino Linotype" w:eastAsia="Palatino Linotype" w:hAnsi="Palatino Linotype" w:cs="Palatino Linotype"/>
          <w:sz w:val="22"/>
          <w:szCs w:val="22"/>
        </w:rPr>
        <w:t xml:space="preserve"> ante el </w:t>
      </w:r>
      <w:r w:rsidRPr="00271FF4">
        <w:rPr>
          <w:rFonts w:ascii="Palatino Linotype" w:eastAsia="Palatino Linotype" w:hAnsi="Palatino Linotype" w:cs="Palatino Linotype"/>
          <w:b/>
          <w:sz w:val="22"/>
          <w:szCs w:val="22"/>
        </w:rPr>
        <w:t>Sujeto Obligado</w:t>
      </w:r>
      <w:r w:rsidRPr="00271FF4">
        <w:rPr>
          <w:rFonts w:ascii="Palatino Linotype" w:eastAsia="Palatino Linotype" w:hAnsi="Palatino Linotype" w:cs="Palatino Linotype"/>
          <w:sz w:val="22"/>
          <w:szCs w:val="22"/>
        </w:rPr>
        <w:t>, la solicitud de acceso a la información pública, a la que se le asignó el número</w:t>
      </w:r>
      <w:r w:rsidRPr="00271FF4">
        <w:t xml:space="preserve"> </w:t>
      </w:r>
      <w:r w:rsidRPr="00271FF4">
        <w:rPr>
          <w:rFonts w:ascii="Palatino Linotype" w:eastAsia="Palatino Linotype" w:hAnsi="Palatino Linotype" w:cs="Palatino Linotype"/>
          <w:b/>
          <w:sz w:val="22"/>
          <w:szCs w:val="22"/>
        </w:rPr>
        <w:t xml:space="preserve">00144/IFR/IP/2024, </w:t>
      </w:r>
      <w:r w:rsidRPr="00271FF4">
        <w:rPr>
          <w:rFonts w:ascii="Palatino Linotype" w:eastAsia="Palatino Linotype" w:hAnsi="Palatino Linotype" w:cs="Palatino Linotype"/>
          <w:sz w:val="22"/>
          <w:szCs w:val="22"/>
        </w:rPr>
        <w:t xml:space="preserve">mediante la cual requirió la información siguiente: </w:t>
      </w:r>
    </w:p>
    <w:p w14:paraId="701F0B54" w14:textId="77777777" w:rsidR="000A2FD5" w:rsidRPr="00271FF4" w:rsidRDefault="00BD2EBF">
      <w:pPr>
        <w:spacing w:before="240" w:after="240"/>
        <w:ind w:left="567" w:right="902"/>
        <w:jc w:val="both"/>
        <w:rPr>
          <w:rFonts w:ascii="Palatino Linotype" w:eastAsia="Palatino Linotype" w:hAnsi="Palatino Linotype" w:cs="Palatino Linotype"/>
          <w:i/>
          <w:sz w:val="22"/>
          <w:szCs w:val="22"/>
        </w:rPr>
      </w:pPr>
      <w:bookmarkStart w:id="2" w:name="_heading=h.gjdgxs" w:colFirst="0" w:colLast="0"/>
      <w:bookmarkEnd w:id="2"/>
      <w:r w:rsidRPr="00271FF4">
        <w:rPr>
          <w:rFonts w:ascii="Palatino Linotype" w:eastAsia="Palatino Linotype" w:hAnsi="Palatino Linotype" w:cs="Palatino Linotype"/>
          <w:i/>
          <w:sz w:val="22"/>
          <w:szCs w:val="22"/>
        </w:rPr>
        <w:t xml:space="preserve">“SOLICITO DE LA SERVIDORA PÚBLICA MARÍA LILIA ARIZMENDI HERNÁNDEZ JEFE DEL DEPARTAMENTO DE PERSONAL DEL IFREM LO SIGUIENTE: QUE INDIQUE BAJO PROTESTA DE DECIR VERDAD EL NOMBRE Y CARGO DE LOS SERVIDORES PÚBLICOS QUE SE ENCONTRABAN LABORANDO DE ENERO A LA FECHA (31 OCTUBRE DE 2024) EN EL DEPARTAMENTO DE RECURSOS MATERIALES Y EL MOTIVO DE SU SEPARACIÓN A ESOS CARGOS CON SOPORTE DOCUMENTAL” (Sic) </w:t>
      </w:r>
    </w:p>
    <w:p w14:paraId="7202890D" w14:textId="77777777" w:rsidR="000A2FD5" w:rsidRPr="00271FF4" w:rsidRDefault="00BD2EBF">
      <w:pPr>
        <w:spacing w:before="240" w:after="240" w:line="360" w:lineRule="auto"/>
        <w:ind w:right="902"/>
        <w:rPr>
          <w:rFonts w:ascii="Palatino Linotype" w:eastAsia="Palatino Linotype" w:hAnsi="Palatino Linotype" w:cs="Palatino Linotype"/>
          <w:sz w:val="22"/>
          <w:szCs w:val="22"/>
        </w:rPr>
      </w:pPr>
      <w:r w:rsidRPr="00271FF4">
        <w:rPr>
          <w:rFonts w:ascii="Palatino Linotype" w:eastAsia="Palatino Linotype" w:hAnsi="Palatino Linotype" w:cs="Palatino Linotype"/>
          <w:b/>
          <w:sz w:val="22"/>
          <w:szCs w:val="22"/>
        </w:rPr>
        <w:t>Modalidad de Entrega:</w:t>
      </w:r>
      <w:r w:rsidRPr="00271FF4">
        <w:rPr>
          <w:rFonts w:ascii="Palatino Linotype" w:eastAsia="Palatino Linotype" w:hAnsi="Palatino Linotype" w:cs="Palatino Linotype"/>
          <w:sz w:val="22"/>
          <w:szCs w:val="22"/>
        </w:rPr>
        <w:t xml:space="preserve"> a través </w:t>
      </w:r>
      <w:r w:rsidRPr="00271FF4">
        <w:rPr>
          <w:rFonts w:ascii="Palatino Linotype" w:eastAsia="Palatino Linotype" w:hAnsi="Palatino Linotype" w:cs="Palatino Linotype"/>
          <w:b/>
          <w:sz w:val="22"/>
          <w:szCs w:val="22"/>
        </w:rPr>
        <w:t>de SAIMEX.</w:t>
      </w:r>
    </w:p>
    <w:p w14:paraId="6650BB85" w14:textId="77777777" w:rsidR="000A2FD5" w:rsidRPr="00271FF4" w:rsidRDefault="00BD2EBF">
      <w:pPr>
        <w:pBdr>
          <w:top w:val="nil"/>
          <w:left w:val="nil"/>
          <w:bottom w:val="nil"/>
          <w:right w:val="nil"/>
          <w:between w:val="nil"/>
        </w:pBdr>
        <w:tabs>
          <w:tab w:val="left" w:pos="142"/>
          <w:tab w:val="left" w:pos="284"/>
        </w:tabs>
        <w:spacing w:before="240" w:after="240" w:line="360" w:lineRule="auto"/>
        <w:jc w:val="both"/>
        <w:rPr>
          <w:rFonts w:ascii="Palatino Linotype" w:eastAsia="Palatino Linotype" w:hAnsi="Palatino Linotype" w:cs="Palatino Linotype"/>
          <w:b/>
          <w:sz w:val="22"/>
          <w:szCs w:val="22"/>
        </w:rPr>
      </w:pPr>
      <w:bookmarkStart w:id="3" w:name="_heading=h.3dy6vkm" w:colFirst="0" w:colLast="0"/>
      <w:bookmarkEnd w:id="3"/>
      <w:r w:rsidRPr="00271FF4">
        <w:rPr>
          <w:rFonts w:ascii="Palatino Linotype" w:eastAsia="Palatino Linotype" w:hAnsi="Palatino Linotype" w:cs="Palatino Linotype"/>
          <w:b/>
          <w:sz w:val="22"/>
          <w:szCs w:val="22"/>
        </w:rPr>
        <w:lastRenderedPageBreak/>
        <w:t xml:space="preserve">2. Respuesta. </w:t>
      </w:r>
      <w:r w:rsidRPr="00271FF4">
        <w:rPr>
          <w:rFonts w:ascii="Palatino Linotype" w:eastAsia="Palatino Linotype" w:hAnsi="Palatino Linotype" w:cs="Palatino Linotype"/>
          <w:sz w:val="22"/>
          <w:szCs w:val="22"/>
        </w:rPr>
        <w:t xml:space="preserve">El </w:t>
      </w:r>
      <w:r w:rsidRPr="00271FF4">
        <w:rPr>
          <w:rFonts w:ascii="Palatino Linotype" w:eastAsia="Palatino Linotype" w:hAnsi="Palatino Linotype" w:cs="Palatino Linotype"/>
          <w:b/>
          <w:sz w:val="22"/>
          <w:szCs w:val="22"/>
        </w:rPr>
        <w:t>veinticinco de noviembre de dos mil veinticuatro</w:t>
      </w:r>
      <w:r w:rsidRPr="00271FF4">
        <w:rPr>
          <w:rFonts w:ascii="Palatino Linotype" w:eastAsia="Palatino Linotype" w:hAnsi="Palatino Linotype" w:cs="Palatino Linotype"/>
          <w:sz w:val="22"/>
          <w:szCs w:val="22"/>
        </w:rPr>
        <w:t xml:space="preserve">, el </w:t>
      </w:r>
      <w:r w:rsidRPr="00271FF4">
        <w:rPr>
          <w:rFonts w:ascii="Palatino Linotype" w:eastAsia="Palatino Linotype" w:hAnsi="Palatino Linotype" w:cs="Palatino Linotype"/>
          <w:b/>
          <w:sz w:val="22"/>
          <w:szCs w:val="22"/>
        </w:rPr>
        <w:t xml:space="preserve">Sujeto Obligado </w:t>
      </w:r>
      <w:r w:rsidRPr="00271FF4">
        <w:rPr>
          <w:rFonts w:ascii="Palatino Linotype" w:eastAsia="Palatino Linotype" w:hAnsi="Palatino Linotype" w:cs="Palatino Linotype"/>
          <w:sz w:val="22"/>
          <w:szCs w:val="22"/>
        </w:rPr>
        <w:t xml:space="preserve">envió su respuesta a la solicitud de acceso a la información a través de SAIMEX, sustancialmente en los términos siguientes:   </w:t>
      </w:r>
    </w:p>
    <w:p w14:paraId="4236CAA3" w14:textId="45688414" w:rsidR="000A2FD5" w:rsidRPr="00271FF4" w:rsidRDefault="00BD2EBF">
      <w:pPr>
        <w:spacing w:before="240" w:after="240"/>
        <w:ind w:left="567" w:right="902"/>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 xml:space="preserve">“...C. </w:t>
      </w:r>
      <w:r w:rsidR="00AC7B0A">
        <w:rPr>
          <w:rFonts w:ascii="Palatino Linotype" w:eastAsia="Palatino Linotype" w:hAnsi="Palatino Linotype" w:cs="Palatino Linotype"/>
          <w:i/>
          <w:sz w:val="22"/>
          <w:szCs w:val="22"/>
        </w:rPr>
        <w:t>XXXXXXXXXX</w:t>
      </w:r>
      <w:r w:rsidRPr="00271FF4">
        <w:rPr>
          <w:rFonts w:ascii="Palatino Linotype" w:eastAsia="Palatino Linotype" w:hAnsi="Palatino Linotype" w:cs="Palatino Linotype"/>
          <w:i/>
          <w:sz w:val="22"/>
          <w:szCs w:val="22"/>
        </w:rPr>
        <w:t>: Le informo que esta Unidad de Transparencia, mediante oficio número 233C0101040202L/672/2024, emite respuesta a su solicitud, mismo que se anexa en ARCHIVOS ANEXOS.” (Sic)</w:t>
      </w:r>
    </w:p>
    <w:p w14:paraId="4B08A994" w14:textId="77777777" w:rsidR="000A2FD5" w:rsidRPr="00271FF4" w:rsidRDefault="00BD2EBF">
      <w:pPr>
        <w:spacing w:before="240" w:after="240" w:line="360" w:lineRule="auto"/>
        <w:ind w:right="49"/>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 xml:space="preserve">Adjunto a la respuesta el </w:t>
      </w:r>
      <w:r w:rsidRPr="00271FF4">
        <w:rPr>
          <w:rFonts w:ascii="Palatino Linotype" w:eastAsia="Palatino Linotype" w:hAnsi="Palatino Linotype" w:cs="Palatino Linotype"/>
          <w:b/>
          <w:sz w:val="22"/>
          <w:szCs w:val="22"/>
        </w:rPr>
        <w:t xml:space="preserve">Sujeto Obligado </w:t>
      </w:r>
      <w:r w:rsidRPr="00271FF4">
        <w:rPr>
          <w:rFonts w:ascii="Palatino Linotype" w:eastAsia="Palatino Linotype" w:hAnsi="Palatino Linotype" w:cs="Palatino Linotype"/>
          <w:sz w:val="22"/>
          <w:szCs w:val="22"/>
        </w:rPr>
        <w:t>aportó un archivo electrónico que contiene la siguiente información:</w:t>
      </w:r>
    </w:p>
    <w:p w14:paraId="265E6EDB" w14:textId="77777777" w:rsidR="000A2FD5" w:rsidRPr="00271FF4" w:rsidRDefault="00BD2EBF">
      <w:pPr>
        <w:numPr>
          <w:ilvl w:val="0"/>
          <w:numId w:val="3"/>
        </w:numPr>
        <w:pBdr>
          <w:top w:val="nil"/>
          <w:left w:val="nil"/>
          <w:bottom w:val="nil"/>
          <w:right w:val="nil"/>
          <w:between w:val="nil"/>
        </w:pBdr>
        <w:spacing w:line="276" w:lineRule="auto"/>
        <w:ind w:right="49"/>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Oficio número 233C0101040202L/672/2024 del 21 de noviembre de 2024, a través del cual el Encargado del Departamento de Normatividad y Responsable de la Unidad de Transparencia informó a la persona solicitante la respuesta del servidor público habilitado de la Dirección de Administración y Finanzas, consistente en una relación con los nombres de cinco servidores públicos que se separaron de su cargo, señalando el puesto, modalidad de empleo, área de adscripción y motivo de separación:</w:t>
      </w:r>
    </w:p>
    <w:p w14:paraId="0FCF841B" w14:textId="77777777" w:rsidR="000A2FD5" w:rsidRPr="00271FF4" w:rsidRDefault="000A2FD5">
      <w:pPr>
        <w:pBdr>
          <w:top w:val="nil"/>
          <w:left w:val="nil"/>
          <w:bottom w:val="nil"/>
          <w:right w:val="nil"/>
          <w:between w:val="nil"/>
        </w:pBdr>
        <w:spacing w:line="276" w:lineRule="auto"/>
        <w:ind w:left="360" w:right="49"/>
        <w:jc w:val="both"/>
        <w:rPr>
          <w:rFonts w:ascii="Palatino Linotype" w:eastAsia="Palatino Linotype" w:hAnsi="Palatino Linotype" w:cs="Palatino Linotype"/>
          <w:sz w:val="22"/>
          <w:szCs w:val="22"/>
        </w:rPr>
      </w:pPr>
    </w:p>
    <w:p w14:paraId="270BAA4B" w14:textId="77777777" w:rsidR="000A2FD5" w:rsidRPr="00271FF4" w:rsidRDefault="00BD2EBF">
      <w:pPr>
        <w:pBdr>
          <w:top w:val="nil"/>
          <w:left w:val="nil"/>
          <w:bottom w:val="nil"/>
          <w:right w:val="nil"/>
          <w:between w:val="nil"/>
        </w:pBdr>
        <w:spacing w:line="276" w:lineRule="auto"/>
        <w:ind w:left="360" w:right="49"/>
        <w:jc w:val="center"/>
        <w:rPr>
          <w:rFonts w:ascii="Palatino Linotype" w:eastAsia="Palatino Linotype" w:hAnsi="Palatino Linotype" w:cs="Palatino Linotype"/>
          <w:sz w:val="22"/>
          <w:szCs w:val="22"/>
        </w:rPr>
      </w:pPr>
      <w:r w:rsidRPr="00271FF4">
        <w:rPr>
          <w:rFonts w:ascii="Palatino Linotype" w:eastAsia="Palatino Linotype" w:hAnsi="Palatino Linotype" w:cs="Palatino Linotype"/>
          <w:noProof/>
          <w:sz w:val="22"/>
          <w:szCs w:val="22"/>
        </w:rPr>
        <w:drawing>
          <wp:inline distT="0" distB="0" distL="0" distR="0" wp14:anchorId="7E3D21C1" wp14:editId="0A44DB4F">
            <wp:extent cx="4906060" cy="1562318"/>
            <wp:effectExtent l="0" t="0" r="0" b="0"/>
            <wp:docPr id="35"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8"/>
                    <a:srcRect/>
                    <a:stretch>
                      <a:fillRect/>
                    </a:stretch>
                  </pic:blipFill>
                  <pic:spPr>
                    <a:xfrm>
                      <a:off x="0" y="0"/>
                      <a:ext cx="4906060" cy="1562318"/>
                    </a:xfrm>
                    <a:prstGeom prst="rect">
                      <a:avLst/>
                    </a:prstGeom>
                    <a:ln/>
                  </pic:spPr>
                </pic:pic>
              </a:graphicData>
            </a:graphic>
          </wp:inline>
        </w:drawing>
      </w:r>
    </w:p>
    <w:p w14:paraId="0590D8B7" w14:textId="77777777" w:rsidR="000A2FD5" w:rsidRPr="00271FF4" w:rsidRDefault="000A2FD5">
      <w:pPr>
        <w:pBdr>
          <w:top w:val="nil"/>
          <w:left w:val="nil"/>
          <w:bottom w:val="nil"/>
          <w:right w:val="nil"/>
          <w:between w:val="nil"/>
        </w:pBdr>
        <w:spacing w:line="276" w:lineRule="auto"/>
        <w:ind w:left="360" w:right="49"/>
        <w:jc w:val="both"/>
        <w:rPr>
          <w:rFonts w:ascii="Palatino Linotype" w:eastAsia="Palatino Linotype" w:hAnsi="Palatino Linotype" w:cs="Palatino Linotype"/>
          <w:sz w:val="22"/>
          <w:szCs w:val="22"/>
        </w:rPr>
      </w:pPr>
    </w:p>
    <w:p w14:paraId="20D69350" w14:textId="77777777" w:rsidR="000A2FD5" w:rsidRPr="00271FF4" w:rsidRDefault="00BD2EBF">
      <w:pPr>
        <w:pBdr>
          <w:top w:val="nil"/>
          <w:left w:val="nil"/>
          <w:bottom w:val="nil"/>
          <w:right w:val="nil"/>
          <w:between w:val="nil"/>
        </w:pBdr>
        <w:spacing w:line="360" w:lineRule="auto"/>
        <w:ind w:right="49"/>
        <w:jc w:val="both"/>
        <w:rPr>
          <w:rFonts w:ascii="Palatino Linotype" w:eastAsia="Palatino Linotype" w:hAnsi="Palatino Linotype" w:cs="Palatino Linotype"/>
          <w:b/>
          <w:sz w:val="22"/>
          <w:szCs w:val="22"/>
        </w:rPr>
      </w:pPr>
      <w:r w:rsidRPr="00271FF4">
        <w:rPr>
          <w:rFonts w:ascii="Palatino Linotype" w:eastAsia="Palatino Linotype" w:hAnsi="Palatino Linotype" w:cs="Palatino Linotype"/>
          <w:b/>
          <w:sz w:val="22"/>
          <w:szCs w:val="22"/>
        </w:rPr>
        <w:t xml:space="preserve">3. Interposición del recurso de revisión. </w:t>
      </w:r>
      <w:r w:rsidRPr="00271FF4">
        <w:rPr>
          <w:rFonts w:ascii="Palatino Linotype" w:eastAsia="Palatino Linotype" w:hAnsi="Palatino Linotype" w:cs="Palatino Linotype"/>
          <w:sz w:val="22"/>
          <w:szCs w:val="22"/>
        </w:rPr>
        <w:t xml:space="preserve">Inconforme con los términos de la respuesta emitida por parte del </w:t>
      </w:r>
      <w:r w:rsidRPr="00271FF4">
        <w:rPr>
          <w:rFonts w:ascii="Palatino Linotype" w:eastAsia="Palatino Linotype" w:hAnsi="Palatino Linotype" w:cs="Palatino Linotype"/>
          <w:b/>
          <w:sz w:val="22"/>
          <w:szCs w:val="22"/>
        </w:rPr>
        <w:t>Sujeto Obligado</w:t>
      </w:r>
      <w:r w:rsidRPr="00271FF4">
        <w:rPr>
          <w:rFonts w:ascii="Palatino Linotype" w:eastAsia="Palatino Linotype" w:hAnsi="Palatino Linotype" w:cs="Palatino Linotype"/>
          <w:sz w:val="22"/>
          <w:szCs w:val="22"/>
        </w:rPr>
        <w:t>, el</w:t>
      </w:r>
      <w:r w:rsidRPr="00271FF4">
        <w:rPr>
          <w:rFonts w:ascii="Palatino Linotype" w:eastAsia="Palatino Linotype" w:hAnsi="Palatino Linotype" w:cs="Palatino Linotype"/>
          <w:b/>
          <w:sz w:val="22"/>
          <w:szCs w:val="22"/>
        </w:rPr>
        <w:t xml:space="preserve"> tres de diciembre de dos mil veinticuatro,</w:t>
      </w:r>
      <w:r w:rsidRPr="00271FF4">
        <w:rPr>
          <w:rFonts w:ascii="Palatino Linotype" w:eastAsia="Palatino Linotype" w:hAnsi="Palatino Linotype" w:cs="Palatino Linotype"/>
          <w:sz w:val="22"/>
          <w:szCs w:val="22"/>
        </w:rPr>
        <w:t xml:space="preserve"> </w:t>
      </w:r>
      <w:r w:rsidRPr="00271FF4">
        <w:rPr>
          <w:rFonts w:ascii="Palatino Linotype" w:eastAsia="Palatino Linotype" w:hAnsi="Palatino Linotype" w:cs="Palatino Linotype"/>
          <w:b/>
          <w:sz w:val="22"/>
          <w:szCs w:val="22"/>
        </w:rPr>
        <w:t>la parte</w:t>
      </w:r>
      <w:r w:rsidRPr="00271FF4">
        <w:rPr>
          <w:rFonts w:ascii="Palatino Linotype" w:eastAsia="Palatino Linotype" w:hAnsi="Palatino Linotype" w:cs="Palatino Linotype"/>
          <w:sz w:val="22"/>
          <w:szCs w:val="22"/>
        </w:rPr>
        <w:t xml:space="preserve"> </w:t>
      </w:r>
      <w:r w:rsidRPr="00271FF4">
        <w:rPr>
          <w:rFonts w:ascii="Palatino Linotype" w:eastAsia="Palatino Linotype" w:hAnsi="Palatino Linotype" w:cs="Palatino Linotype"/>
          <w:b/>
          <w:sz w:val="22"/>
          <w:szCs w:val="22"/>
        </w:rPr>
        <w:t>Recurrente</w:t>
      </w:r>
      <w:r w:rsidRPr="00271FF4">
        <w:rPr>
          <w:rFonts w:ascii="Palatino Linotype" w:eastAsia="Palatino Linotype" w:hAnsi="Palatino Linotype" w:cs="Palatino Linotype"/>
          <w:sz w:val="22"/>
          <w:szCs w:val="22"/>
        </w:rPr>
        <w:t xml:space="preserve"> interpuso el recurso de revisión a través de </w:t>
      </w:r>
      <w:r w:rsidRPr="00271FF4">
        <w:rPr>
          <w:rFonts w:ascii="Palatino Linotype" w:eastAsia="Palatino Linotype" w:hAnsi="Palatino Linotype" w:cs="Palatino Linotype"/>
          <w:b/>
          <w:sz w:val="22"/>
          <w:szCs w:val="22"/>
        </w:rPr>
        <w:t xml:space="preserve">SAIMEX, </w:t>
      </w:r>
      <w:r w:rsidRPr="00271FF4">
        <w:rPr>
          <w:rFonts w:ascii="Palatino Linotype" w:eastAsia="Palatino Linotype" w:hAnsi="Palatino Linotype" w:cs="Palatino Linotype"/>
          <w:sz w:val="22"/>
          <w:szCs w:val="22"/>
        </w:rPr>
        <w:t>en donde se manifestó de la siguiente manera:</w:t>
      </w:r>
    </w:p>
    <w:p w14:paraId="62DE2BB1" w14:textId="77777777" w:rsidR="000A2FD5" w:rsidRPr="00271FF4" w:rsidRDefault="00BD2EBF">
      <w:pPr>
        <w:tabs>
          <w:tab w:val="left" w:pos="2745"/>
        </w:tabs>
        <w:spacing w:before="240" w:after="240" w:line="276" w:lineRule="auto"/>
        <w:ind w:left="567" w:right="900"/>
        <w:jc w:val="both"/>
        <w:rPr>
          <w:rFonts w:ascii="Palatino Linotype" w:eastAsia="Palatino Linotype" w:hAnsi="Palatino Linotype" w:cs="Palatino Linotype"/>
          <w:b/>
          <w:sz w:val="22"/>
          <w:szCs w:val="22"/>
        </w:rPr>
      </w:pPr>
      <w:r w:rsidRPr="00271FF4">
        <w:rPr>
          <w:rFonts w:ascii="Palatino Linotype" w:eastAsia="Palatino Linotype" w:hAnsi="Palatino Linotype" w:cs="Palatino Linotype"/>
          <w:b/>
          <w:sz w:val="22"/>
          <w:szCs w:val="22"/>
        </w:rPr>
        <w:lastRenderedPageBreak/>
        <w:t xml:space="preserve">a) Acto impugnado: </w:t>
      </w:r>
      <w:r w:rsidRPr="00271FF4">
        <w:rPr>
          <w:rFonts w:ascii="Palatino Linotype" w:eastAsia="Palatino Linotype" w:hAnsi="Palatino Linotype" w:cs="Palatino Linotype"/>
          <w:i/>
          <w:sz w:val="22"/>
          <w:szCs w:val="22"/>
        </w:rPr>
        <w:t xml:space="preserve">“el oficio de contestación a la </w:t>
      </w:r>
      <w:proofErr w:type="spellStart"/>
      <w:r w:rsidRPr="00271FF4">
        <w:rPr>
          <w:rFonts w:ascii="Palatino Linotype" w:eastAsia="Palatino Linotype" w:hAnsi="Palatino Linotype" w:cs="Palatino Linotype"/>
          <w:i/>
          <w:sz w:val="22"/>
          <w:szCs w:val="22"/>
        </w:rPr>
        <w:t>solicitus</w:t>
      </w:r>
      <w:proofErr w:type="spellEnd"/>
      <w:r w:rsidRPr="00271FF4">
        <w:rPr>
          <w:rFonts w:ascii="Palatino Linotype" w:eastAsia="Palatino Linotype" w:hAnsi="Palatino Linotype" w:cs="Palatino Linotype"/>
          <w:i/>
          <w:sz w:val="22"/>
          <w:szCs w:val="22"/>
        </w:rPr>
        <w:t xml:space="preserve"> de información con número de folio 00144/IFR/IP/2024, con numero 233C0101040202L/672/2024, POR NO ESTAR COMPLETA LA INFORMACIÓN SOLICITADA” (Sic)</w:t>
      </w:r>
    </w:p>
    <w:p w14:paraId="003F1805" w14:textId="77777777" w:rsidR="000A2FD5" w:rsidRPr="00271FF4" w:rsidRDefault="00BD2EBF">
      <w:pPr>
        <w:spacing w:line="276" w:lineRule="auto"/>
        <w:ind w:left="567" w:right="900"/>
        <w:jc w:val="both"/>
        <w:rPr>
          <w:rFonts w:ascii="Palatino Linotype" w:eastAsia="Palatino Linotype" w:hAnsi="Palatino Linotype" w:cs="Palatino Linotype"/>
          <w:i/>
          <w:sz w:val="22"/>
          <w:szCs w:val="22"/>
        </w:rPr>
      </w:pPr>
      <w:bookmarkStart w:id="4" w:name="_heading=h.30j0zll" w:colFirst="0" w:colLast="0"/>
      <w:bookmarkEnd w:id="4"/>
      <w:r w:rsidRPr="00271FF4">
        <w:rPr>
          <w:rFonts w:ascii="Palatino Linotype" w:eastAsia="Palatino Linotype" w:hAnsi="Palatino Linotype" w:cs="Palatino Linotype"/>
          <w:b/>
          <w:sz w:val="22"/>
          <w:szCs w:val="22"/>
        </w:rPr>
        <w:t>b) Razones o motivos de inconformidad</w:t>
      </w:r>
      <w:r w:rsidRPr="00271FF4">
        <w:rPr>
          <w:rFonts w:ascii="Palatino Linotype" w:eastAsia="Palatino Linotype" w:hAnsi="Palatino Linotype" w:cs="Palatino Linotype"/>
          <w:sz w:val="22"/>
          <w:szCs w:val="22"/>
        </w:rPr>
        <w:t xml:space="preserve">: </w:t>
      </w:r>
      <w:r w:rsidRPr="00271FF4">
        <w:rPr>
          <w:rFonts w:ascii="Palatino Linotype" w:eastAsia="Palatino Linotype" w:hAnsi="Palatino Linotype" w:cs="Palatino Linotype"/>
          <w:i/>
          <w:sz w:val="22"/>
          <w:szCs w:val="22"/>
        </w:rPr>
        <w:t>“RESPECTO A LA SOLICITUD DE INFORMACIÓN SE INDICÓ DE MANERA CLARA QUE SE REQUERÍA DOCUMENTACIÓN SOPORTE NO QUE ME INDICARAN EN UNA TABLA LOS DATOS SOLICITADOS, ES DECIR DE LOS DATOS COLOCADOS EN SU TABLA DE WORD, ME DEBIERON ADJUNTAR DOCUMENTOS SOPORTE, POR LO QUE A TRAVÉS DE ESTE RECURSO SOLICITO DEN CUMPLIMIENTO A MI PETICIÓN” (Sic)</w:t>
      </w:r>
    </w:p>
    <w:p w14:paraId="0F892ED1" w14:textId="77777777" w:rsidR="000A2FD5" w:rsidRPr="00271FF4" w:rsidRDefault="000A2FD5">
      <w:pPr>
        <w:spacing w:line="276" w:lineRule="auto"/>
        <w:ind w:left="567" w:right="900"/>
        <w:jc w:val="both"/>
        <w:rPr>
          <w:rFonts w:ascii="Palatino Linotype" w:eastAsia="Palatino Linotype" w:hAnsi="Palatino Linotype" w:cs="Palatino Linotype"/>
          <w:i/>
          <w:sz w:val="22"/>
          <w:szCs w:val="22"/>
        </w:rPr>
      </w:pPr>
    </w:p>
    <w:p w14:paraId="1CD5C7D8" w14:textId="77777777" w:rsidR="000A2FD5" w:rsidRPr="00271FF4" w:rsidRDefault="00BD2EBF">
      <w:pPr>
        <w:spacing w:line="360" w:lineRule="auto"/>
        <w:ind w:right="51"/>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b/>
          <w:sz w:val="22"/>
          <w:szCs w:val="22"/>
        </w:rPr>
        <w:t xml:space="preserve">4. Turno. </w:t>
      </w:r>
      <w:r w:rsidRPr="00271FF4">
        <w:rPr>
          <w:rFonts w:ascii="Palatino Linotype" w:eastAsia="Palatino Linotype" w:hAnsi="Palatino Linotype" w:cs="Palatino Linotype"/>
          <w:sz w:val="22"/>
          <w:szCs w:val="22"/>
        </w:rPr>
        <w:t xml:space="preserve">De conformidad con el artículo 185 fracción I de la Ley de Transparencia y Acceso a la Información Pública del Estado de México y Municipios vigente, el presente recurso de revisión se turnó por el sistema electrónico del Instituto de Transparencia, Acceso a la Información Pública y Protección de Datos Personales del Estado de México y Municipios, a la Comisionada </w:t>
      </w:r>
      <w:r w:rsidRPr="00271FF4">
        <w:rPr>
          <w:rFonts w:ascii="Palatino Linotype" w:eastAsia="Palatino Linotype" w:hAnsi="Palatino Linotype" w:cs="Palatino Linotype"/>
          <w:b/>
          <w:sz w:val="22"/>
          <w:szCs w:val="22"/>
        </w:rPr>
        <w:t xml:space="preserve">Guadalupe Ramírez Peña, </w:t>
      </w:r>
      <w:r w:rsidRPr="00271FF4">
        <w:rPr>
          <w:rFonts w:ascii="Palatino Linotype" w:eastAsia="Palatino Linotype" w:hAnsi="Palatino Linotype" w:cs="Palatino Linotype"/>
          <w:sz w:val="22"/>
          <w:szCs w:val="22"/>
        </w:rPr>
        <w:t xml:space="preserve">a efecto de que analizara sobre su admisión o su </w:t>
      </w:r>
      <w:proofErr w:type="spellStart"/>
      <w:r w:rsidRPr="00271FF4">
        <w:rPr>
          <w:rFonts w:ascii="Palatino Linotype" w:eastAsia="Palatino Linotype" w:hAnsi="Palatino Linotype" w:cs="Palatino Linotype"/>
          <w:sz w:val="22"/>
          <w:szCs w:val="22"/>
        </w:rPr>
        <w:t>desechamiento</w:t>
      </w:r>
      <w:proofErr w:type="spellEnd"/>
      <w:r w:rsidRPr="00271FF4">
        <w:rPr>
          <w:rFonts w:ascii="Palatino Linotype" w:eastAsia="Palatino Linotype" w:hAnsi="Palatino Linotype" w:cs="Palatino Linotype"/>
          <w:sz w:val="22"/>
          <w:szCs w:val="22"/>
        </w:rPr>
        <w:t>.</w:t>
      </w:r>
    </w:p>
    <w:p w14:paraId="506068FD" w14:textId="77777777" w:rsidR="000A2FD5" w:rsidRPr="00271FF4" w:rsidRDefault="000A2FD5">
      <w:pPr>
        <w:spacing w:line="360" w:lineRule="auto"/>
        <w:ind w:right="51"/>
        <w:jc w:val="both"/>
        <w:rPr>
          <w:rFonts w:ascii="Palatino Linotype" w:eastAsia="Palatino Linotype" w:hAnsi="Palatino Linotype" w:cs="Palatino Linotype"/>
          <w:sz w:val="22"/>
          <w:szCs w:val="22"/>
        </w:rPr>
      </w:pPr>
    </w:p>
    <w:p w14:paraId="1DA894D1" w14:textId="77777777" w:rsidR="000A2FD5" w:rsidRPr="00271FF4" w:rsidRDefault="00BD2EBF">
      <w:pP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b/>
          <w:sz w:val="22"/>
          <w:szCs w:val="22"/>
        </w:rPr>
        <w:t>5. Admisión del Recurso de revisión.</w:t>
      </w:r>
      <w:r w:rsidRPr="00271FF4">
        <w:rPr>
          <w:rFonts w:ascii="Palatino Linotype" w:eastAsia="Palatino Linotype" w:hAnsi="Palatino Linotype" w:cs="Palatino Linotype"/>
          <w:sz w:val="22"/>
          <w:szCs w:val="22"/>
        </w:rPr>
        <w:t xml:space="preserve"> El </w:t>
      </w:r>
      <w:r w:rsidRPr="00271FF4">
        <w:rPr>
          <w:rFonts w:ascii="Palatino Linotype" w:eastAsia="Palatino Linotype" w:hAnsi="Palatino Linotype" w:cs="Palatino Linotype"/>
          <w:b/>
          <w:sz w:val="22"/>
          <w:szCs w:val="22"/>
        </w:rPr>
        <w:t xml:space="preserve">seis de diciembre de dos mil veinticuatro, </w:t>
      </w:r>
      <w:r w:rsidRPr="00271FF4">
        <w:rPr>
          <w:rFonts w:ascii="Palatino Linotype" w:eastAsia="Palatino Linotype" w:hAnsi="Palatino Linotype" w:cs="Palatino Linotype"/>
          <w:sz w:val="22"/>
          <w:szCs w:val="22"/>
        </w:rPr>
        <w:t xml:space="preserve">este Instituto de Transparencia, Acceso a la Información Pública y Protección de Datos Personales del Estado de México y Municipios, admitió a trámite el recurso de revisión que ahora se resuelve, dando un plazo máximo de siete días hábiles para que las partes manifestaran lo que a su derecho resultara conveniente, ofrecieran pruebas, formularan alegatos y el </w:t>
      </w:r>
      <w:r w:rsidRPr="00271FF4">
        <w:rPr>
          <w:rFonts w:ascii="Palatino Linotype" w:eastAsia="Palatino Linotype" w:hAnsi="Palatino Linotype" w:cs="Palatino Linotype"/>
          <w:b/>
          <w:sz w:val="22"/>
          <w:szCs w:val="22"/>
        </w:rPr>
        <w:t xml:space="preserve">Sujeto Obligado </w:t>
      </w:r>
      <w:r w:rsidRPr="00271FF4">
        <w:rPr>
          <w:rFonts w:ascii="Palatino Linotype" w:eastAsia="Palatino Linotype" w:hAnsi="Palatino Linotype" w:cs="Palatino Linotype"/>
          <w:sz w:val="22"/>
          <w:szCs w:val="22"/>
        </w:rPr>
        <w:t>presentara su informe justificado.</w:t>
      </w:r>
    </w:p>
    <w:p w14:paraId="6761E6C5"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31DF1365" w14:textId="77777777" w:rsidR="000A2FD5" w:rsidRPr="00271FF4" w:rsidRDefault="00BD2EBF">
      <w:pPr>
        <w:pBdr>
          <w:top w:val="nil"/>
          <w:left w:val="nil"/>
          <w:bottom w:val="nil"/>
          <w:right w:val="nil"/>
          <w:between w:val="nil"/>
        </w:pBdr>
        <w:tabs>
          <w:tab w:val="left" w:pos="284"/>
        </w:tabs>
        <w:spacing w:line="360" w:lineRule="auto"/>
        <w:ind w:right="49"/>
        <w:jc w:val="both"/>
        <w:rPr>
          <w:rFonts w:ascii="Palatino Linotype" w:eastAsia="Palatino Linotype" w:hAnsi="Palatino Linotype" w:cs="Palatino Linotype"/>
          <w:sz w:val="22"/>
          <w:szCs w:val="22"/>
        </w:rPr>
      </w:pPr>
      <w:bookmarkStart w:id="5" w:name="_heading=h.2s8eyo1" w:colFirst="0" w:colLast="0"/>
      <w:bookmarkEnd w:id="5"/>
      <w:r w:rsidRPr="00271FF4">
        <w:rPr>
          <w:rFonts w:ascii="Palatino Linotype" w:eastAsia="Palatino Linotype" w:hAnsi="Palatino Linotype" w:cs="Palatino Linotype"/>
          <w:b/>
          <w:sz w:val="22"/>
          <w:szCs w:val="22"/>
        </w:rPr>
        <w:t>6. Manifestaciones</w:t>
      </w:r>
      <w:r w:rsidRPr="00271FF4">
        <w:rPr>
          <w:rFonts w:ascii="Palatino Linotype" w:eastAsia="Palatino Linotype" w:hAnsi="Palatino Linotype" w:cs="Palatino Linotype"/>
          <w:sz w:val="22"/>
          <w:szCs w:val="22"/>
        </w:rPr>
        <w:t xml:space="preserve">. De las constancias que integran el expediente en que se actúa se advierte </w:t>
      </w:r>
      <w:proofErr w:type="gramStart"/>
      <w:r w:rsidRPr="00271FF4">
        <w:rPr>
          <w:rFonts w:ascii="Palatino Linotype" w:eastAsia="Palatino Linotype" w:hAnsi="Palatino Linotype" w:cs="Palatino Linotype"/>
          <w:sz w:val="22"/>
          <w:szCs w:val="22"/>
        </w:rPr>
        <w:t>que</w:t>
      </w:r>
      <w:proofErr w:type="gramEnd"/>
      <w:r w:rsidRPr="00271FF4">
        <w:rPr>
          <w:rFonts w:ascii="Palatino Linotype" w:eastAsia="Palatino Linotype" w:hAnsi="Palatino Linotype" w:cs="Palatino Linotype"/>
          <w:sz w:val="22"/>
          <w:szCs w:val="22"/>
        </w:rPr>
        <w:t xml:space="preserve"> durante el periodo de manifestaciones, el </w:t>
      </w:r>
      <w:r w:rsidRPr="00271FF4">
        <w:rPr>
          <w:rFonts w:ascii="Palatino Linotype" w:eastAsia="Palatino Linotype" w:hAnsi="Palatino Linotype" w:cs="Palatino Linotype"/>
          <w:b/>
          <w:sz w:val="22"/>
          <w:szCs w:val="22"/>
        </w:rPr>
        <w:t xml:space="preserve">Sujeto Obligado </w:t>
      </w:r>
      <w:r w:rsidRPr="00271FF4">
        <w:rPr>
          <w:rFonts w:ascii="Palatino Linotype" w:eastAsia="Palatino Linotype" w:hAnsi="Palatino Linotype" w:cs="Palatino Linotype"/>
          <w:sz w:val="22"/>
          <w:szCs w:val="22"/>
        </w:rPr>
        <w:t xml:space="preserve">el </w:t>
      </w:r>
      <w:r w:rsidRPr="00271FF4">
        <w:rPr>
          <w:rFonts w:ascii="Palatino Linotype" w:eastAsia="Palatino Linotype" w:hAnsi="Palatino Linotype" w:cs="Palatino Linotype"/>
          <w:b/>
          <w:sz w:val="22"/>
          <w:szCs w:val="22"/>
        </w:rPr>
        <w:t xml:space="preserve">diecisiete de </w:t>
      </w:r>
      <w:r w:rsidRPr="00271FF4">
        <w:rPr>
          <w:rFonts w:ascii="Palatino Linotype" w:eastAsia="Palatino Linotype" w:hAnsi="Palatino Linotype" w:cs="Palatino Linotype"/>
          <w:b/>
          <w:sz w:val="22"/>
          <w:szCs w:val="22"/>
        </w:rPr>
        <w:lastRenderedPageBreak/>
        <w:t xml:space="preserve">diciembre de dos mil veinticuatro </w:t>
      </w:r>
      <w:r w:rsidRPr="00271FF4">
        <w:rPr>
          <w:rFonts w:ascii="Palatino Linotype" w:eastAsia="Palatino Linotype" w:hAnsi="Palatino Linotype" w:cs="Palatino Linotype"/>
          <w:sz w:val="22"/>
          <w:szCs w:val="22"/>
        </w:rPr>
        <w:t>rindió su informe justificado a través de un archivo electrónico que contiene la siguiente información:</w:t>
      </w:r>
    </w:p>
    <w:p w14:paraId="55F7DEE2" w14:textId="77777777" w:rsidR="000A2FD5" w:rsidRPr="00271FF4" w:rsidRDefault="000A2FD5">
      <w:pPr>
        <w:pBdr>
          <w:top w:val="nil"/>
          <w:left w:val="nil"/>
          <w:bottom w:val="nil"/>
          <w:right w:val="nil"/>
          <w:between w:val="nil"/>
        </w:pBdr>
        <w:tabs>
          <w:tab w:val="left" w:pos="284"/>
        </w:tabs>
        <w:spacing w:line="360" w:lineRule="auto"/>
        <w:ind w:right="49"/>
        <w:jc w:val="both"/>
        <w:rPr>
          <w:rFonts w:ascii="Palatino Linotype" w:eastAsia="Palatino Linotype" w:hAnsi="Palatino Linotype" w:cs="Palatino Linotype"/>
          <w:sz w:val="22"/>
          <w:szCs w:val="22"/>
        </w:rPr>
      </w:pPr>
    </w:p>
    <w:p w14:paraId="212E7219" w14:textId="77777777" w:rsidR="000A2FD5" w:rsidRPr="00271FF4" w:rsidRDefault="00BD2EBF">
      <w:pPr>
        <w:numPr>
          <w:ilvl w:val="0"/>
          <w:numId w:val="4"/>
        </w:numPr>
        <w:pBdr>
          <w:top w:val="nil"/>
          <w:left w:val="nil"/>
          <w:bottom w:val="nil"/>
          <w:right w:val="nil"/>
          <w:between w:val="nil"/>
        </w:pBdr>
        <w:tabs>
          <w:tab w:val="left" w:pos="426"/>
        </w:tabs>
        <w:spacing w:line="276" w:lineRule="auto"/>
        <w:ind w:right="49"/>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Oficio 233C0101040000L/2711/2024 del 17 de diciembre de 2024, a través del cual la Titular de la Unidad de Transparencia rinde informe justificado, en el que ratifica la respuesta inicial y con relación a los motivos de inconformidad de la parte Recurrente relativo a la falta de entrega del soporte documental solicitado refiere que al hacer entrega de un oficio en el cual se sustenta la información requerida se cumple con brindar el soporte documental, aunado a que conforme la Ley no existe un formato especifico o tipo de documento que deba integrar con motivo de dicho soporte.</w:t>
      </w:r>
    </w:p>
    <w:p w14:paraId="0DDBF570" w14:textId="77777777" w:rsidR="000A2FD5" w:rsidRPr="00271FF4" w:rsidRDefault="000A2FD5">
      <w:pPr>
        <w:pBdr>
          <w:top w:val="nil"/>
          <w:left w:val="nil"/>
          <w:bottom w:val="nil"/>
          <w:right w:val="nil"/>
          <w:between w:val="nil"/>
        </w:pBdr>
        <w:tabs>
          <w:tab w:val="left" w:pos="426"/>
        </w:tabs>
        <w:spacing w:line="276" w:lineRule="auto"/>
        <w:ind w:right="49"/>
        <w:jc w:val="both"/>
        <w:rPr>
          <w:rFonts w:ascii="Palatino Linotype" w:eastAsia="Palatino Linotype" w:hAnsi="Palatino Linotype" w:cs="Palatino Linotype"/>
          <w:sz w:val="22"/>
          <w:szCs w:val="22"/>
        </w:rPr>
      </w:pPr>
    </w:p>
    <w:p w14:paraId="4A6380AF" w14:textId="77777777" w:rsidR="000A2FD5" w:rsidRPr="00271FF4" w:rsidRDefault="00BD2EBF">
      <w:pPr>
        <w:pBdr>
          <w:top w:val="nil"/>
          <w:left w:val="nil"/>
          <w:bottom w:val="nil"/>
          <w:right w:val="nil"/>
          <w:between w:val="nil"/>
        </w:pBdr>
        <w:tabs>
          <w:tab w:val="left" w:pos="426"/>
        </w:tabs>
        <w:spacing w:line="276" w:lineRule="auto"/>
        <w:ind w:right="49"/>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Documento el anterior que se puso a la vista de la parte Recurrente a fin de que rindiera su informe justificado o bien realizara manifestaciones que conforme a derecho resultaran procedentes; no obstante, fue omisa en ejercer dicha prerrogativa.</w:t>
      </w:r>
    </w:p>
    <w:p w14:paraId="664C9FD9" w14:textId="77777777" w:rsidR="000A2FD5" w:rsidRPr="00271FF4" w:rsidRDefault="000A2FD5">
      <w:pPr>
        <w:pBdr>
          <w:top w:val="nil"/>
          <w:left w:val="nil"/>
          <w:bottom w:val="nil"/>
          <w:right w:val="nil"/>
          <w:between w:val="nil"/>
        </w:pBdr>
        <w:tabs>
          <w:tab w:val="left" w:pos="426"/>
        </w:tabs>
        <w:spacing w:line="276" w:lineRule="auto"/>
        <w:ind w:right="49"/>
        <w:jc w:val="both"/>
        <w:rPr>
          <w:rFonts w:ascii="Palatino Linotype" w:eastAsia="Palatino Linotype" w:hAnsi="Palatino Linotype" w:cs="Palatino Linotype"/>
          <w:sz w:val="22"/>
          <w:szCs w:val="22"/>
        </w:rPr>
      </w:pPr>
    </w:p>
    <w:p w14:paraId="249D45B7" w14:textId="77777777" w:rsidR="000A2FD5" w:rsidRPr="00271FF4" w:rsidRDefault="00BD2EBF">
      <w:pPr>
        <w:pBdr>
          <w:top w:val="nil"/>
          <w:left w:val="nil"/>
          <w:bottom w:val="nil"/>
          <w:right w:val="nil"/>
          <w:between w:val="nil"/>
        </w:pBdr>
        <w:tabs>
          <w:tab w:val="left" w:pos="360"/>
        </w:tabs>
        <w:spacing w:line="360" w:lineRule="auto"/>
        <w:ind w:right="49"/>
        <w:jc w:val="both"/>
        <w:rPr>
          <w:rFonts w:ascii="Palatino Linotype" w:eastAsia="Palatino Linotype" w:hAnsi="Palatino Linotype" w:cs="Palatino Linotype"/>
          <w:sz w:val="22"/>
          <w:szCs w:val="22"/>
        </w:rPr>
      </w:pPr>
      <w:bookmarkStart w:id="6" w:name="_heading=h.1ksv4uv" w:colFirst="0" w:colLast="0"/>
      <w:bookmarkEnd w:id="6"/>
      <w:r w:rsidRPr="00271FF4">
        <w:rPr>
          <w:rFonts w:ascii="Palatino Linotype" w:eastAsia="Palatino Linotype" w:hAnsi="Palatino Linotype" w:cs="Palatino Linotype"/>
          <w:b/>
          <w:sz w:val="22"/>
          <w:szCs w:val="22"/>
        </w:rPr>
        <w:t xml:space="preserve">7. Cierre de instrucción. </w:t>
      </w:r>
      <w:r w:rsidRPr="00271FF4">
        <w:rPr>
          <w:rFonts w:ascii="Palatino Linotype" w:eastAsia="Palatino Linotype" w:hAnsi="Palatino Linotype" w:cs="Palatino Linotype"/>
          <w:sz w:val="22"/>
          <w:szCs w:val="22"/>
        </w:rPr>
        <w:t xml:space="preserve">Una vez transcurrido el periodo otorgado a las partes para realizar sus manifestaciones y no habiendo documentos que integrar al expediente, con fecha </w:t>
      </w:r>
      <w:r w:rsidRPr="00271FF4">
        <w:rPr>
          <w:rFonts w:ascii="Palatino Linotype" w:eastAsia="Palatino Linotype" w:hAnsi="Palatino Linotype" w:cs="Palatino Linotype"/>
          <w:b/>
          <w:sz w:val="22"/>
          <w:szCs w:val="22"/>
        </w:rPr>
        <w:t>catorce de enero de dos mil veinticinco,</w:t>
      </w:r>
      <w:r w:rsidRPr="00271FF4">
        <w:rPr>
          <w:rFonts w:ascii="Palatino Linotype" w:eastAsia="Palatino Linotype" w:hAnsi="Palatino Linotype" w:cs="Palatino Linotype"/>
          <w:sz w:val="22"/>
          <w:szCs w:val="22"/>
        </w:rPr>
        <w:t xml:space="preserve"> la Comisionada Ponente determinó el cierre de instrucción en términos de la fracción VI del artículo 185 de la Ley de Transparencia y Acceso a la Información Pública del Estado de México y Municipios.</w:t>
      </w:r>
    </w:p>
    <w:p w14:paraId="408836F3" w14:textId="77777777" w:rsidR="000A2FD5" w:rsidRPr="00271FF4" w:rsidRDefault="000A2FD5">
      <w:pPr>
        <w:pBdr>
          <w:top w:val="nil"/>
          <w:left w:val="nil"/>
          <w:bottom w:val="nil"/>
          <w:right w:val="nil"/>
          <w:between w:val="nil"/>
        </w:pBdr>
        <w:tabs>
          <w:tab w:val="left" w:pos="360"/>
        </w:tabs>
        <w:spacing w:line="360" w:lineRule="auto"/>
        <w:ind w:right="49"/>
        <w:jc w:val="both"/>
        <w:rPr>
          <w:rFonts w:ascii="Palatino Linotype" w:eastAsia="Palatino Linotype" w:hAnsi="Palatino Linotype" w:cs="Palatino Linotype"/>
          <w:sz w:val="22"/>
          <w:szCs w:val="22"/>
        </w:rPr>
      </w:pPr>
    </w:p>
    <w:p w14:paraId="44B0EE54" w14:textId="77777777" w:rsidR="000A2FD5" w:rsidRPr="00271FF4" w:rsidRDefault="00BD2EBF">
      <w:pPr>
        <w:pBdr>
          <w:top w:val="nil"/>
          <w:left w:val="nil"/>
          <w:bottom w:val="nil"/>
          <w:right w:val="nil"/>
          <w:between w:val="nil"/>
        </w:pBdr>
        <w:tabs>
          <w:tab w:val="left" w:pos="284"/>
        </w:tabs>
        <w:spacing w:line="360" w:lineRule="auto"/>
        <w:ind w:right="49"/>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 xml:space="preserve">En razón de que fue debidamente sustanciado el expediente electrónico y no existe diligencia pendiente de desahogo, se emite la Resolución que conforme a Derecho proceda, de acuerdo con los siguientes: </w:t>
      </w:r>
    </w:p>
    <w:p w14:paraId="52B3F57D" w14:textId="77777777" w:rsidR="000A2FD5" w:rsidRPr="00271FF4" w:rsidRDefault="00BD2EBF">
      <w:pPr>
        <w:widowControl w:val="0"/>
        <w:spacing w:before="240" w:after="240" w:line="360" w:lineRule="auto"/>
        <w:jc w:val="center"/>
        <w:rPr>
          <w:rFonts w:ascii="Palatino Linotype" w:eastAsia="Palatino Linotype" w:hAnsi="Palatino Linotype" w:cs="Palatino Linotype"/>
          <w:b/>
          <w:sz w:val="22"/>
          <w:szCs w:val="22"/>
        </w:rPr>
      </w:pPr>
      <w:r w:rsidRPr="00271FF4">
        <w:rPr>
          <w:rFonts w:ascii="Palatino Linotype" w:eastAsia="Palatino Linotype" w:hAnsi="Palatino Linotype" w:cs="Palatino Linotype"/>
          <w:b/>
          <w:sz w:val="22"/>
          <w:szCs w:val="22"/>
        </w:rPr>
        <w:t>II. C O N S I D E R A N D O S</w:t>
      </w:r>
    </w:p>
    <w:p w14:paraId="5CDDA89B" w14:textId="77777777" w:rsidR="000A2FD5" w:rsidRPr="00271FF4" w:rsidRDefault="00BD2EBF">
      <w:pP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b/>
          <w:sz w:val="22"/>
          <w:szCs w:val="22"/>
        </w:rPr>
        <w:t>Primero. Competencia.</w:t>
      </w:r>
      <w:r w:rsidRPr="00271FF4">
        <w:rPr>
          <w:rFonts w:ascii="Palatino Linotype" w:eastAsia="Palatino Linotype" w:hAnsi="Palatino Linotype" w:cs="Palatino Linotype"/>
          <w:sz w:val="22"/>
          <w:szCs w:val="22"/>
        </w:rPr>
        <w:t xml:space="preserve"> El Instituto de Transparencia, Acceso a la Información Pública y Protección de Datos Personales del Estado de México y Municipios, es competente para </w:t>
      </w:r>
      <w:r w:rsidRPr="00271FF4">
        <w:rPr>
          <w:rFonts w:ascii="Palatino Linotype" w:eastAsia="Palatino Linotype" w:hAnsi="Palatino Linotype" w:cs="Palatino Linotype"/>
          <w:sz w:val="22"/>
          <w:szCs w:val="22"/>
        </w:rPr>
        <w:lastRenderedPageBreak/>
        <w:t>conocer y resolver el presente recurso de revisión interpuesto por la parte recurrente, conforme a lo dispuesto en los artículos 6, apartado A de la Constitución Política de los Estados Unidos Mexicanos; 5 párrafos trigésimo tercero, trigésimo cuarto y trigésimo quinto fracciones IV y V de la Constitución Política del Estado Libre y Soberano de México; 2, fracción II; 29, 36 fracciones I y II; 176, 178, 181, 185, fracción I, 186 y 188 de la Ley Transparencia y Acceso a la Información Pública del Estado de México y Municipios; 9, fracciones I y XXIII y 11 del Reglamento Interior del Instituto de Transparencia, Acceso a la Información Pública y Protección de Datos Personales del Estado de México y Municipios.</w:t>
      </w:r>
    </w:p>
    <w:p w14:paraId="3E9A273D"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3AE01C56" w14:textId="77777777" w:rsidR="000A2FD5" w:rsidRPr="00271FF4" w:rsidRDefault="00BD2EBF">
      <w:pPr>
        <w:spacing w:line="360" w:lineRule="auto"/>
        <w:jc w:val="both"/>
        <w:rPr>
          <w:rFonts w:ascii="Palatino Linotype" w:eastAsia="Palatino Linotype" w:hAnsi="Palatino Linotype" w:cs="Palatino Linotype"/>
          <w:sz w:val="22"/>
          <w:szCs w:val="22"/>
        </w:rPr>
      </w:pPr>
      <w:bookmarkStart w:id="7" w:name="_heading=h.tyjcwt" w:colFirst="0" w:colLast="0"/>
      <w:bookmarkEnd w:id="7"/>
      <w:r w:rsidRPr="00271FF4">
        <w:rPr>
          <w:rFonts w:ascii="Palatino Linotype" w:eastAsia="Palatino Linotype" w:hAnsi="Palatino Linotype" w:cs="Palatino Linotype"/>
          <w:b/>
          <w:sz w:val="22"/>
          <w:szCs w:val="22"/>
        </w:rPr>
        <w:t>Segundo. Oportunidad y Procedibilidad del Recurso de Revisión</w:t>
      </w:r>
      <w:r w:rsidRPr="00271FF4">
        <w:rPr>
          <w:rFonts w:ascii="Palatino Linotype" w:eastAsia="Palatino Linotype" w:hAnsi="Palatino Linotype" w:cs="Palatino Linotype"/>
          <w:sz w:val="22"/>
          <w:szCs w:val="22"/>
        </w:rPr>
        <w:t>. Previo al estudio del fondo del asunto, se procede a analizar los requisitos de oportunidad y procedibilidad que debe reunir el recurso de revisión interpuesto, previstos en los artículos 178 y 180 de la Ley de Transparencia y Acceso a la Información Pública del Estado de México y Municipios.</w:t>
      </w:r>
    </w:p>
    <w:p w14:paraId="42ABEC87"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589DD65A" w14:textId="77777777" w:rsidR="000A2FD5" w:rsidRPr="00271FF4" w:rsidRDefault="00BD2EBF">
      <w:pP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 xml:space="preserve">El recurso de revisión fue interpuesto dentro del plazo de quince días hábiles, previsto en el artículo 178 de la Ley de Transparencia y Acceso a la Información Pública del Estado de México y Municipios, toda vez que el </w:t>
      </w:r>
      <w:r w:rsidRPr="00271FF4">
        <w:rPr>
          <w:rFonts w:ascii="Palatino Linotype" w:eastAsia="Palatino Linotype" w:hAnsi="Palatino Linotype" w:cs="Palatino Linotype"/>
          <w:b/>
          <w:sz w:val="22"/>
          <w:szCs w:val="22"/>
        </w:rPr>
        <w:t xml:space="preserve">Sujeto Obligado </w:t>
      </w:r>
      <w:r w:rsidRPr="00271FF4">
        <w:rPr>
          <w:rFonts w:ascii="Palatino Linotype" w:eastAsia="Palatino Linotype" w:hAnsi="Palatino Linotype" w:cs="Palatino Linotype"/>
          <w:sz w:val="22"/>
          <w:szCs w:val="22"/>
        </w:rPr>
        <w:t xml:space="preserve">remitió la respuesta a la solicitud de información el </w:t>
      </w:r>
      <w:r w:rsidRPr="00271FF4">
        <w:rPr>
          <w:rFonts w:ascii="Palatino Linotype" w:eastAsia="Palatino Linotype" w:hAnsi="Palatino Linotype" w:cs="Palatino Linotype"/>
          <w:b/>
          <w:sz w:val="22"/>
          <w:szCs w:val="22"/>
        </w:rPr>
        <w:t xml:space="preserve">veinticinco de noviembre de dos mil veinticuatro, </w:t>
      </w:r>
      <w:r w:rsidRPr="00271FF4">
        <w:rPr>
          <w:rFonts w:ascii="Palatino Linotype" w:eastAsia="Palatino Linotype" w:hAnsi="Palatino Linotype" w:cs="Palatino Linotype"/>
          <w:sz w:val="22"/>
          <w:szCs w:val="22"/>
        </w:rPr>
        <w:t xml:space="preserve">mientras que el recurso de revisión interpuesto por </w:t>
      </w:r>
      <w:r w:rsidRPr="00271FF4">
        <w:rPr>
          <w:rFonts w:ascii="Palatino Linotype" w:eastAsia="Palatino Linotype" w:hAnsi="Palatino Linotype" w:cs="Palatino Linotype"/>
          <w:b/>
          <w:sz w:val="22"/>
          <w:szCs w:val="22"/>
        </w:rPr>
        <w:t>la parte</w:t>
      </w:r>
      <w:r w:rsidRPr="00271FF4">
        <w:rPr>
          <w:rFonts w:ascii="Palatino Linotype" w:eastAsia="Palatino Linotype" w:hAnsi="Palatino Linotype" w:cs="Palatino Linotype"/>
          <w:sz w:val="22"/>
          <w:szCs w:val="22"/>
        </w:rPr>
        <w:t xml:space="preserve"> </w:t>
      </w:r>
      <w:r w:rsidRPr="00271FF4">
        <w:rPr>
          <w:rFonts w:ascii="Palatino Linotype" w:eastAsia="Palatino Linotype" w:hAnsi="Palatino Linotype" w:cs="Palatino Linotype"/>
          <w:b/>
          <w:sz w:val="22"/>
          <w:szCs w:val="22"/>
        </w:rPr>
        <w:t>Recurrente</w:t>
      </w:r>
      <w:r w:rsidRPr="00271FF4">
        <w:rPr>
          <w:rFonts w:ascii="Palatino Linotype" w:eastAsia="Palatino Linotype" w:hAnsi="Palatino Linotype" w:cs="Palatino Linotype"/>
          <w:sz w:val="22"/>
          <w:szCs w:val="22"/>
        </w:rPr>
        <w:t xml:space="preserve">, se tuvo por presentado el </w:t>
      </w:r>
      <w:r w:rsidRPr="00271FF4">
        <w:rPr>
          <w:rFonts w:ascii="Palatino Linotype" w:eastAsia="Palatino Linotype" w:hAnsi="Palatino Linotype" w:cs="Palatino Linotype"/>
          <w:b/>
          <w:sz w:val="22"/>
          <w:szCs w:val="22"/>
        </w:rPr>
        <w:t>tres de diciembre de dos mil veinticuatro</w:t>
      </w:r>
      <w:r w:rsidRPr="00271FF4">
        <w:rPr>
          <w:rFonts w:ascii="Palatino Linotype" w:eastAsia="Palatino Linotype" w:hAnsi="Palatino Linotype" w:cs="Palatino Linotype"/>
          <w:sz w:val="22"/>
          <w:szCs w:val="22"/>
        </w:rPr>
        <w:t xml:space="preserve"> esto es, al </w:t>
      </w:r>
      <w:r w:rsidRPr="00271FF4">
        <w:rPr>
          <w:rFonts w:ascii="Palatino Linotype" w:eastAsia="Palatino Linotype" w:hAnsi="Palatino Linotype" w:cs="Palatino Linotype"/>
          <w:b/>
          <w:sz w:val="22"/>
          <w:szCs w:val="22"/>
          <w:u w:val="single"/>
        </w:rPr>
        <w:t>sexto</w:t>
      </w:r>
      <w:r w:rsidRPr="00271FF4">
        <w:rPr>
          <w:rFonts w:ascii="Palatino Linotype" w:eastAsia="Palatino Linotype" w:hAnsi="Palatino Linotype" w:cs="Palatino Linotype"/>
          <w:sz w:val="22"/>
          <w:szCs w:val="22"/>
        </w:rPr>
        <w:t xml:space="preserve"> día hábil siguiente a aquel </w:t>
      </w:r>
      <w:r w:rsidRPr="00271FF4">
        <w:rPr>
          <w:rFonts w:ascii="Palatino Linotype" w:eastAsia="Palatino Linotype" w:hAnsi="Palatino Linotype" w:cs="Palatino Linotype"/>
          <w:b/>
          <w:sz w:val="22"/>
          <w:szCs w:val="22"/>
        </w:rPr>
        <w:t>en que se tuvo conocimiento de la respuesta impugnada</w:t>
      </w:r>
      <w:r w:rsidRPr="00271FF4">
        <w:rPr>
          <w:rFonts w:ascii="Palatino Linotype" w:eastAsia="Palatino Linotype" w:hAnsi="Palatino Linotype" w:cs="Palatino Linotype"/>
          <w:sz w:val="22"/>
          <w:szCs w:val="22"/>
        </w:rPr>
        <w:t xml:space="preserve">. </w:t>
      </w:r>
    </w:p>
    <w:p w14:paraId="3A351655" w14:textId="77777777" w:rsidR="000A2FD5" w:rsidRPr="00271FF4" w:rsidRDefault="00BD2EBF">
      <w:pPr>
        <w:spacing w:before="240" w:after="240"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En este sentido, se concluye que el presente recurso de revisión se encuentra dentro de los márgenes temporales previstos en las disposiciones legales referidas.</w:t>
      </w:r>
    </w:p>
    <w:p w14:paraId="21A69A57" w14:textId="77777777" w:rsidR="000A2FD5" w:rsidRPr="00271FF4" w:rsidRDefault="00BD2EBF">
      <w:pPr>
        <w:tabs>
          <w:tab w:val="left" w:pos="7938"/>
        </w:tabs>
        <w:spacing w:line="360" w:lineRule="auto"/>
        <w:jc w:val="both"/>
        <w:rPr>
          <w:rFonts w:ascii="Palatino Linotype" w:eastAsia="Palatino Linotype" w:hAnsi="Palatino Linotype" w:cs="Palatino Linotype"/>
          <w:sz w:val="22"/>
          <w:szCs w:val="22"/>
        </w:rPr>
      </w:pPr>
      <w:bookmarkStart w:id="8" w:name="_heading=h.3znysh7" w:colFirst="0" w:colLast="0"/>
      <w:bookmarkEnd w:id="8"/>
      <w:r w:rsidRPr="00271FF4">
        <w:rPr>
          <w:rFonts w:ascii="Palatino Linotype" w:eastAsia="Palatino Linotype" w:hAnsi="Palatino Linotype" w:cs="Palatino Linotype"/>
          <w:sz w:val="22"/>
          <w:szCs w:val="22"/>
        </w:rPr>
        <w:lastRenderedPageBreak/>
        <w:t>Al mismo tiempo, por cuanto hace a la procedibilidad del recurso de revisión, una vez realizado el análisis del formato de interposición del recurso, se concluye la acreditación plena de los elementos formales precisados por el artículo 180 de la Ley de Transparencia y Acceso a la Información Pública del Estado de México y Municipios, en atención a que fue presentado mediante el formato visible en el SAIMEX.</w:t>
      </w:r>
    </w:p>
    <w:p w14:paraId="0F7BBED2" w14:textId="77777777" w:rsidR="000A2FD5" w:rsidRPr="00271FF4" w:rsidRDefault="000A2FD5">
      <w:pPr>
        <w:tabs>
          <w:tab w:val="left" w:pos="7938"/>
        </w:tabs>
        <w:spacing w:line="360" w:lineRule="auto"/>
        <w:jc w:val="both"/>
        <w:rPr>
          <w:rFonts w:ascii="Palatino Linotype" w:eastAsia="Palatino Linotype" w:hAnsi="Palatino Linotype" w:cs="Palatino Linotype"/>
          <w:sz w:val="22"/>
          <w:szCs w:val="22"/>
        </w:rPr>
      </w:pPr>
    </w:p>
    <w:p w14:paraId="19542F25" w14:textId="77777777" w:rsidR="000A2FD5" w:rsidRPr="00271FF4" w:rsidRDefault="00BD2EBF">
      <w:pP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 xml:space="preserve">Finalmente, se advierte que resulta procedente la interposición del recurso, según lo manifestado por </w:t>
      </w:r>
      <w:r w:rsidRPr="00271FF4">
        <w:rPr>
          <w:rFonts w:ascii="Palatino Linotype" w:eastAsia="Palatino Linotype" w:hAnsi="Palatino Linotype" w:cs="Palatino Linotype"/>
          <w:b/>
          <w:sz w:val="22"/>
          <w:szCs w:val="22"/>
        </w:rPr>
        <w:t>la parte</w:t>
      </w:r>
      <w:r w:rsidRPr="00271FF4">
        <w:rPr>
          <w:rFonts w:ascii="Palatino Linotype" w:eastAsia="Palatino Linotype" w:hAnsi="Palatino Linotype" w:cs="Palatino Linotype"/>
          <w:sz w:val="22"/>
          <w:szCs w:val="22"/>
        </w:rPr>
        <w:t xml:space="preserve"> </w:t>
      </w:r>
      <w:r w:rsidRPr="00271FF4">
        <w:rPr>
          <w:rFonts w:ascii="Palatino Linotype" w:eastAsia="Palatino Linotype" w:hAnsi="Palatino Linotype" w:cs="Palatino Linotype"/>
          <w:b/>
          <w:sz w:val="22"/>
          <w:szCs w:val="22"/>
        </w:rPr>
        <w:t>Recurrente</w:t>
      </w:r>
      <w:r w:rsidRPr="00271FF4">
        <w:rPr>
          <w:rFonts w:ascii="Palatino Linotype" w:eastAsia="Palatino Linotype" w:hAnsi="Palatino Linotype" w:cs="Palatino Linotype"/>
          <w:sz w:val="22"/>
          <w:szCs w:val="22"/>
        </w:rPr>
        <w:t xml:space="preserve"> en sus motivos de inconformidad, de acuerdo al artículo 179, fracción V del ordenamiento legal citado, que a la letra dice: </w:t>
      </w:r>
    </w:p>
    <w:p w14:paraId="4DA16267"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4348D997" w14:textId="77777777" w:rsidR="000A2FD5" w:rsidRPr="00271FF4" w:rsidRDefault="00BD2EBF">
      <w:pPr>
        <w:ind w:left="567" w:right="902"/>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w:t>
      </w:r>
      <w:r w:rsidRPr="00271FF4">
        <w:rPr>
          <w:rFonts w:ascii="Palatino Linotype" w:eastAsia="Palatino Linotype" w:hAnsi="Palatino Linotype" w:cs="Palatino Linotype"/>
          <w:b/>
          <w:i/>
          <w:sz w:val="22"/>
          <w:szCs w:val="22"/>
        </w:rPr>
        <w:t>Artículo 179.</w:t>
      </w:r>
      <w:r w:rsidRPr="00271FF4">
        <w:rPr>
          <w:rFonts w:ascii="Palatino Linotype" w:eastAsia="Palatino Linotype" w:hAnsi="Palatino Linotype" w:cs="Palatino Linotype"/>
          <w:i/>
          <w:sz w:val="22"/>
          <w:szCs w:val="22"/>
        </w:rPr>
        <w:t xml:space="preserve"> El recurso de revisión es un medio de protección que la Ley otorga a los particulares, para hacer valer su derecho de acceso a la información pública, y procederá en contra de las siguientes causas:</w:t>
      </w:r>
    </w:p>
    <w:p w14:paraId="5CD05D54" w14:textId="77777777" w:rsidR="000A2FD5" w:rsidRPr="00271FF4" w:rsidRDefault="00BD2EBF">
      <w:pPr>
        <w:ind w:left="567" w:right="902"/>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w:t>
      </w:r>
    </w:p>
    <w:p w14:paraId="409959CD" w14:textId="77777777" w:rsidR="000A2FD5" w:rsidRPr="00271FF4" w:rsidRDefault="00BD2EBF">
      <w:pPr>
        <w:ind w:left="567" w:right="902"/>
        <w:jc w:val="both"/>
        <w:rPr>
          <w:rFonts w:ascii="Palatino Linotype" w:eastAsia="Palatino Linotype" w:hAnsi="Palatino Linotype" w:cs="Palatino Linotype"/>
          <w:b/>
          <w:i/>
          <w:sz w:val="22"/>
          <w:szCs w:val="22"/>
        </w:rPr>
      </w:pPr>
      <w:r w:rsidRPr="00271FF4">
        <w:rPr>
          <w:rFonts w:ascii="Palatino Linotype" w:eastAsia="Palatino Linotype" w:hAnsi="Palatino Linotype" w:cs="Palatino Linotype"/>
          <w:b/>
          <w:i/>
          <w:sz w:val="22"/>
          <w:szCs w:val="22"/>
        </w:rPr>
        <w:t>V. La entrega de información incompleta;</w:t>
      </w:r>
    </w:p>
    <w:p w14:paraId="5616D1BB" w14:textId="77777777" w:rsidR="000A2FD5" w:rsidRPr="00271FF4" w:rsidRDefault="00BD2EBF">
      <w:pPr>
        <w:ind w:left="567" w:right="902"/>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 xml:space="preserve"> […]”</w:t>
      </w:r>
    </w:p>
    <w:p w14:paraId="4478DEFB" w14:textId="77777777" w:rsidR="000A2FD5" w:rsidRPr="00271FF4" w:rsidRDefault="000A2FD5">
      <w:pPr>
        <w:ind w:left="567"/>
        <w:rPr>
          <w:rFonts w:ascii="Palatino Linotype" w:eastAsia="Palatino Linotype" w:hAnsi="Palatino Linotype" w:cs="Palatino Linotype"/>
          <w:b/>
          <w:i/>
          <w:sz w:val="22"/>
          <w:szCs w:val="22"/>
        </w:rPr>
      </w:pPr>
    </w:p>
    <w:p w14:paraId="6C0F1A2C" w14:textId="77777777" w:rsidR="000A2FD5" w:rsidRPr="00271FF4" w:rsidRDefault="00BD2EBF">
      <w:pPr>
        <w:ind w:left="567" w:right="900"/>
        <w:jc w:val="right"/>
        <w:rPr>
          <w:rFonts w:ascii="Palatino Linotype" w:eastAsia="Palatino Linotype" w:hAnsi="Palatino Linotype" w:cs="Palatino Linotype"/>
          <w:b/>
          <w:i/>
          <w:sz w:val="22"/>
          <w:szCs w:val="22"/>
        </w:rPr>
      </w:pPr>
      <w:r w:rsidRPr="00271FF4">
        <w:rPr>
          <w:rFonts w:ascii="Palatino Linotype" w:eastAsia="Palatino Linotype" w:hAnsi="Palatino Linotype" w:cs="Palatino Linotype"/>
          <w:b/>
          <w:i/>
          <w:sz w:val="22"/>
          <w:szCs w:val="22"/>
        </w:rPr>
        <w:t xml:space="preserve"> </w:t>
      </w:r>
      <w:r w:rsidRPr="00271FF4">
        <w:rPr>
          <w:rFonts w:ascii="Palatino Linotype" w:eastAsia="Palatino Linotype" w:hAnsi="Palatino Linotype" w:cs="Palatino Linotype"/>
          <w:i/>
          <w:sz w:val="22"/>
          <w:szCs w:val="22"/>
        </w:rPr>
        <w:t>(Énfasis añadido)</w:t>
      </w:r>
    </w:p>
    <w:p w14:paraId="1A6C05C5" w14:textId="77777777" w:rsidR="000A2FD5" w:rsidRPr="00271FF4" w:rsidRDefault="000A2FD5">
      <w:pPr>
        <w:spacing w:line="360" w:lineRule="auto"/>
        <w:jc w:val="both"/>
        <w:rPr>
          <w:rFonts w:ascii="Palatino Linotype" w:eastAsia="Palatino Linotype" w:hAnsi="Palatino Linotype" w:cs="Palatino Linotype"/>
          <w:b/>
          <w:sz w:val="22"/>
          <w:szCs w:val="22"/>
        </w:rPr>
      </w:pPr>
    </w:p>
    <w:p w14:paraId="3D260CBD" w14:textId="77777777" w:rsidR="000A2FD5" w:rsidRPr="00271FF4" w:rsidRDefault="00BD2EBF">
      <w:pPr>
        <w:spacing w:line="360" w:lineRule="auto"/>
        <w:jc w:val="both"/>
        <w:rPr>
          <w:rFonts w:ascii="Palatino Linotype" w:eastAsia="Palatino Linotype" w:hAnsi="Palatino Linotype" w:cs="Palatino Linotype"/>
          <w:b/>
          <w:sz w:val="22"/>
          <w:szCs w:val="22"/>
        </w:rPr>
      </w:pPr>
      <w:r w:rsidRPr="00271FF4">
        <w:rPr>
          <w:rFonts w:ascii="Palatino Linotype" w:eastAsia="Palatino Linotype" w:hAnsi="Palatino Linotype" w:cs="Palatino Linotype"/>
          <w:b/>
          <w:sz w:val="22"/>
          <w:szCs w:val="22"/>
        </w:rPr>
        <w:t xml:space="preserve">Tercero. Materia de la revisión. </w:t>
      </w:r>
      <w:r w:rsidRPr="00271FF4">
        <w:rPr>
          <w:rFonts w:ascii="Palatino Linotype" w:eastAsia="Palatino Linotype" w:hAnsi="Palatino Linotype" w:cs="Palatino Linotype"/>
          <w:sz w:val="22"/>
          <w:szCs w:val="22"/>
        </w:rPr>
        <w:t xml:space="preserve">De la revisión a las constancias y documentos que obran en el expediente electrónico se advierte que, el tema sobre el que este Organismo Garante de Transparencia y Acceso a la Información se pronunciará será: </w:t>
      </w:r>
      <w:r w:rsidRPr="00271FF4">
        <w:rPr>
          <w:rFonts w:ascii="Palatino Linotype" w:eastAsia="Palatino Linotype" w:hAnsi="Palatino Linotype" w:cs="Palatino Linotype"/>
          <w:b/>
          <w:sz w:val="22"/>
          <w:szCs w:val="22"/>
        </w:rPr>
        <w:t>verificar si la respuesta e informe justificado entregados por el Sujeto Obligado son adecuados y suficientes para satisfacer el derecho de acceso a la información pública de la parte Recurrente,</w:t>
      </w:r>
      <w:r w:rsidRPr="00271FF4">
        <w:rPr>
          <w:rFonts w:ascii="Palatino Linotype" w:eastAsia="Palatino Linotype" w:hAnsi="Palatino Linotype" w:cs="Palatino Linotype"/>
          <w:sz w:val="22"/>
          <w:szCs w:val="22"/>
        </w:rPr>
        <w:t xml:space="preserve"> o en su defecto, en caso de ser procedente, ordenar la entrega de la información oportuna.</w:t>
      </w:r>
    </w:p>
    <w:p w14:paraId="77C39502"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25387294" w14:textId="77777777" w:rsidR="000A2FD5" w:rsidRPr="00271FF4" w:rsidRDefault="00BD2EBF">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b/>
          <w:sz w:val="22"/>
          <w:szCs w:val="22"/>
        </w:rPr>
        <w:t xml:space="preserve">Cuarto. Estudio del asunto. </w:t>
      </w:r>
      <w:r w:rsidRPr="00271FF4">
        <w:rPr>
          <w:rFonts w:ascii="Palatino Linotype" w:eastAsia="Palatino Linotype" w:hAnsi="Palatino Linotype" w:cs="Palatino Linotype"/>
          <w:sz w:val="22"/>
          <w:szCs w:val="22"/>
        </w:rPr>
        <w:t xml:space="preserve">Antes de entrar al análisis de los pronunciamientos del </w:t>
      </w:r>
      <w:r w:rsidRPr="00271FF4">
        <w:rPr>
          <w:rFonts w:ascii="Palatino Linotype" w:eastAsia="Palatino Linotype" w:hAnsi="Palatino Linotype" w:cs="Palatino Linotype"/>
          <w:b/>
          <w:sz w:val="22"/>
          <w:szCs w:val="22"/>
        </w:rPr>
        <w:t>Sujeto Obligado</w:t>
      </w:r>
      <w:r w:rsidRPr="00271FF4">
        <w:rPr>
          <w:rFonts w:ascii="Palatino Linotype" w:eastAsia="Palatino Linotype" w:hAnsi="Palatino Linotype" w:cs="Palatino Linotype"/>
          <w:sz w:val="22"/>
          <w:szCs w:val="22"/>
        </w:rPr>
        <w:t xml:space="preserve"> en la respuesta proporcionada, es necesario mencionar que el derecho de acceso </w:t>
      </w:r>
      <w:r w:rsidRPr="00271FF4">
        <w:rPr>
          <w:rFonts w:ascii="Palatino Linotype" w:eastAsia="Palatino Linotype" w:hAnsi="Palatino Linotype" w:cs="Palatino Linotype"/>
          <w:sz w:val="22"/>
          <w:szCs w:val="22"/>
        </w:rPr>
        <w:lastRenderedPageBreak/>
        <w:t>a la información está consagrado en instrumentos internacionales de los cuales el Estado Mexicano se ha adherido, sin oponer reserva alguna sobre lo que nos interesa, adoptando dichas disposiciones al Derecho Interno, específicamente a nivel Constitucional, tal y como lo prevén los arábigos 1 párrafos primero, segundo y tercero y 6 apartado A fracciones I, II, III, IV, V, VI y VII que a la letra señalan:</w:t>
      </w:r>
    </w:p>
    <w:p w14:paraId="01904D32" w14:textId="77777777" w:rsidR="000A2FD5" w:rsidRPr="00271FF4" w:rsidRDefault="000A2FD5">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p>
    <w:p w14:paraId="17EE17D6" w14:textId="77777777" w:rsidR="000A2FD5" w:rsidRPr="00271FF4" w:rsidRDefault="00BD2EBF">
      <w:pPr>
        <w:pBdr>
          <w:top w:val="nil"/>
          <w:left w:val="nil"/>
          <w:bottom w:val="nil"/>
          <w:right w:val="nil"/>
          <w:between w:val="nil"/>
        </w:pBdr>
        <w:spacing w:line="276" w:lineRule="auto"/>
        <w:ind w:left="851" w:right="850"/>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b/>
          <w:i/>
          <w:sz w:val="22"/>
          <w:szCs w:val="22"/>
          <w:u w:val="single"/>
        </w:rPr>
        <w:t>Artículo 1o. En los Estados Unidos Mexicanos todas las personas gozarán de los derechos humanos reconocidos en esta Constitución y en los tratados internacionales de los que el Estado Mexicano sea parte</w:t>
      </w:r>
      <w:r w:rsidRPr="00271FF4">
        <w:rPr>
          <w:rFonts w:ascii="Palatino Linotype" w:eastAsia="Palatino Linotype" w:hAnsi="Palatino Linotype" w:cs="Palatino Linotype"/>
          <w:i/>
          <w:sz w:val="22"/>
          <w:szCs w:val="22"/>
        </w:rPr>
        <w:t>, así como de las garantías para su protección, cuyo ejercicio no podrá restringirse ni suspenderse, salvo en los casos y bajo las condiciones que esta Constitución establece.</w:t>
      </w:r>
    </w:p>
    <w:p w14:paraId="241527B7" w14:textId="77777777" w:rsidR="000A2FD5" w:rsidRPr="00271FF4" w:rsidRDefault="00BD2EBF">
      <w:pPr>
        <w:pBdr>
          <w:top w:val="nil"/>
          <w:left w:val="nil"/>
          <w:bottom w:val="nil"/>
          <w:right w:val="nil"/>
          <w:between w:val="nil"/>
        </w:pBdr>
        <w:spacing w:line="276" w:lineRule="auto"/>
        <w:ind w:left="851" w:right="850"/>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b/>
          <w:i/>
          <w:sz w:val="22"/>
          <w:szCs w:val="22"/>
        </w:rPr>
        <w:t>Las normas relativas a los derechos humanos se interpretarán de conformidad con esta Constitución y con los tratados internacionales de la materia favoreciendo en todo tiempo a las personas la protección más amplia.</w:t>
      </w:r>
    </w:p>
    <w:p w14:paraId="5AA15495" w14:textId="77777777" w:rsidR="000A2FD5" w:rsidRPr="00271FF4" w:rsidRDefault="00BD2EBF">
      <w:pPr>
        <w:pBdr>
          <w:top w:val="nil"/>
          <w:left w:val="nil"/>
          <w:bottom w:val="nil"/>
          <w:right w:val="nil"/>
          <w:between w:val="nil"/>
        </w:pBdr>
        <w:spacing w:line="276" w:lineRule="auto"/>
        <w:ind w:left="851" w:right="850"/>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b/>
          <w:i/>
          <w:sz w:val="22"/>
          <w:szCs w:val="22"/>
          <w:u w:val="single"/>
        </w:rPr>
        <w:t>Todas las autoridades, en el ámbito de sus competencias, tienen la obligación de promover, respetar, proteger y garantizar los derechos humanos de conformidad con los principios de universalidad, interdependencia, indivisibilidad y progresividad.</w:t>
      </w:r>
      <w:r w:rsidRPr="00271FF4">
        <w:rPr>
          <w:rFonts w:ascii="Palatino Linotype" w:eastAsia="Palatino Linotype" w:hAnsi="Palatino Linotype" w:cs="Palatino Linotype"/>
          <w:i/>
          <w:sz w:val="22"/>
          <w:szCs w:val="22"/>
        </w:rPr>
        <w:t xml:space="preserve"> En consecuencia, el Estado deberá prevenir, investigar, sancionar y reparar las violaciones a los derechos humanos, en los términos que establezca la ley</w:t>
      </w:r>
    </w:p>
    <w:p w14:paraId="7A36CA0E" w14:textId="77777777" w:rsidR="000A2FD5" w:rsidRPr="00271FF4" w:rsidRDefault="00BD2EBF">
      <w:pPr>
        <w:pBdr>
          <w:top w:val="nil"/>
          <w:left w:val="nil"/>
          <w:bottom w:val="nil"/>
          <w:right w:val="nil"/>
          <w:between w:val="nil"/>
        </w:pBdr>
        <w:spacing w:line="276" w:lineRule="auto"/>
        <w:ind w:left="851" w:right="850"/>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i/>
          <w:sz w:val="22"/>
          <w:szCs w:val="22"/>
        </w:rPr>
        <w:t>[…]</w:t>
      </w:r>
    </w:p>
    <w:p w14:paraId="22F26F3A" w14:textId="77777777" w:rsidR="000A2FD5" w:rsidRPr="00271FF4" w:rsidRDefault="00BD2EBF">
      <w:pPr>
        <w:pBdr>
          <w:top w:val="nil"/>
          <w:left w:val="nil"/>
          <w:bottom w:val="nil"/>
          <w:right w:val="nil"/>
          <w:between w:val="nil"/>
        </w:pBdr>
        <w:spacing w:line="276" w:lineRule="auto"/>
        <w:ind w:left="851" w:right="901"/>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b/>
          <w:i/>
          <w:sz w:val="22"/>
          <w:szCs w:val="22"/>
        </w:rPr>
        <w:t>“Artículo 6o.</w:t>
      </w:r>
    </w:p>
    <w:p w14:paraId="49A1CC87" w14:textId="77777777" w:rsidR="000A2FD5" w:rsidRPr="00271FF4" w:rsidRDefault="00BD2EBF">
      <w:pPr>
        <w:pBdr>
          <w:top w:val="nil"/>
          <w:left w:val="nil"/>
          <w:bottom w:val="nil"/>
          <w:right w:val="nil"/>
          <w:between w:val="nil"/>
        </w:pBdr>
        <w:spacing w:line="276" w:lineRule="auto"/>
        <w:ind w:left="851" w:right="901"/>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i/>
          <w:sz w:val="22"/>
          <w:szCs w:val="22"/>
        </w:rPr>
        <w:t>[...]</w:t>
      </w:r>
    </w:p>
    <w:p w14:paraId="5F302352" w14:textId="77777777" w:rsidR="000A2FD5" w:rsidRPr="00271FF4" w:rsidRDefault="00BD2EBF">
      <w:pPr>
        <w:pBdr>
          <w:top w:val="nil"/>
          <w:left w:val="nil"/>
          <w:bottom w:val="nil"/>
          <w:right w:val="nil"/>
          <w:between w:val="nil"/>
        </w:pBdr>
        <w:spacing w:line="276" w:lineRule="auto"/>
        <w:ind w:left="851" w:right="851"/>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b/>
          <w:i/>
          <w:sz w:val="22"/>
          <w:szCs w:val="22"/>
        </w:rPr>
        <w:t xml:space="preserve">A. Para el ejercicio del derecho de acceso a la información, la Federación y </w:t>
      </w:r>
      <w:r w:rsidRPr="00271FF4">
        <w:rPr>
          <w:rFonts w:ascii="Palatino Linotype" w:eastAsia="Palatino Linotype" w:hAnsi="Palatino Linotype" w:cs="Palatino Linotype"/>
          <w:b/>
          <w:i/>
          <w:sz w:val="22"/>
          <w:szCs w:val="22"/>
          <w:u w:val="single"/>
        </w:rPr>
        <w:t>las entidades federativas</w:t>
      </w:r>
      <w:r w:rsidRPr="00271FF4">
        <w:rPr>
          <w:rFonts w:ascii="Palatino Linotype" w:eastAsia="Palatino Linotype" w:hAnsi="Palatino Linotype" w:cs="Palatino Linotype"/>
          <w:b/>
          <w:i/>
          <w:sz w:val="22"/>
          <w:szCs w:val="22"/>
        </w:rPr>
        <w:t>,</w:t>
      </w:r>
      <w:r w:rsidRPr="00271FF4">
        <w:rPr>
          <w:rFonts w:ascii="Palatino Linotype" w:eastAsia="Palatino Linotype" w:hAnsi="Palatino Linotype" w:cs="Palatino Linotype"/>
          <w:i/>
          <w:sz w:val="22"/>
          <w:szCs w:val="22"/>
        </w:rPr>
        <w:t xml:space="preserve"> en el ámbito de sus respectivas competencias, se regirán por los siguientes principios y bases:</w:t>
      </w:r>
    </w:p>
    <w:p w14:paraId="54C7D72E" w14:textId="77777777" w:rsidR="000A2FD5" w:rsidRPr="00271FF4" w:rsidRDefault="00BD2EBF">
      <w:pPr>
        <w:pBdr>
          <w:top w:val="nil"/>
          <w:left w:val="nil"/>
          <w:bottom w:val="nil"/>
          <w:right w:val="nil"/>
          <w:between w:val="nil"/>
        </w:pBdr>
        <w:spacing w:line="276" w:lineRule="auto"/>
        <w:ind w:left="851" w:right="851"/>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i/>
          <w:sz w:val="22"/>
          <w:szCs w:val="22"/>
        </w:rPr>
        <w:t> </w:t>
      </w:r>
      <w:r w:rsidRPr="00271FF4">
        <w:rPr>
          <w:rFonts w:ascii="Palatino Linotype" w:eastAsia="Palatino Linotype" w:hAnsi="Palatino Linotype" w:cs="Palatino Linotype"/>
          <w:b/>
          <w:i/>
          <w:sz w:val="22"/>
          <w:szCs w:val="22"/>
        </w:rPr>
        <w:t xml:space="preserve">I. </w:t>
      </w:r>
      <w:r w:rsidRPr="00271FF4">
        <w:rPr>
          <w:rFonts w:ascii="Palatino Linotype" w:eastAsia="Palatino Linotype" w:hAnsi="Palatino Linotype" w:cs="Palatino Linotype"/>
          <w:b/>
          <w:i/>
          <w:sz w:val="22"/>
          <w:szCs w:val="22"/>
          <w:u w:val="single"/>
        </w:rPr>
        <w:t>Toda la información en posesión de cualquier autoridad, entidad, órgano y organismo de los Poderes</w:t>
      </w:r>
      <w:r w:rsidRPr="00271FF4">
        <w:rPr>
          <w:rFonts w:ascii="Palatino Linotype" w:eastAsia="Palatino Linotype" w:hAnsi="Palatino Linotype" w:cs="Palatino Linotype"/>
          <w:i/>
          <w:sz w:val="22"/>
          <w:szCs w:val="22"/>
        </w:rPr>
        <w:t xml:space="preserve"> Ejecutivo, Legislativo </w:t>
      </w:r>
      <w:r w:rsidRPr="00271FF4">
        <w:rPr>
          <w:rFonts w:ascii="Palatino Linotype" w:eastAsia="Palatino Linotype" w:hAnsi="Palatino Linotype" w:cs="Palatino Linotype"/>
          <w:b/>
          <w:i/>
          <w:sz w:val="22"/>
          <w:szCs w:val="22"/>
          <w:u w:val="single"/>
        </w:rPr>
        <w:t>y Judicial</w:t>
      </w:r>
      <w:r w:rsidRPr="00271FF4">
        <w:rPr>
          <w:rFonts w:ascii="Palatino Linotype" w:eastAsia="Palatino Linotype" w:hAnsi="Palatino Linotype" w:cs="Palatino Linotype"/>
          <w:i/>
          <w:sz w:val="22"/>
          <w:szCs w:val="22"/>
        </w:rPr>
        <w:t xml:space="preserve">, órganos autónomos, partidos políticos, fideicomisos y fondos públicos, así como de </w:t>
      </w:r>
      <w:r w:rsidRPr="00271FF4">
        <w:rPr>
          <w:rFonts w:ascii="Palatino Linotype" w:eastAsia="Palatino Linotype" w:hAnsi="Palatino Linotype" w:cs="Palatino Linotype"/>
          <w:i/>
          <w:sz w:val="22"/>
          <w:szCs w:val="22"/>
        </w:rPr>
        <w:lastRenderedPageBreak/>
        <w:t xml:space="preserve">cualquier persona física, moral o sindicato que reciba y ejerza recursos públicos o realice actos de autoridad en el ámbito federal, estatal y municipal, </w:t>
      </w:r>
      <w:r w:rsidRPr="00271FF4">
        <w:rPr>
          <w:rFonts w:ascii="Palatino Linotype" w:eastAsia="Palatino Linotype" w:hAnsi="Palatino Linotype" w:cs="Palatino Linotype"/>
          <w:b/>
          <w:i/>
          <w:sz w:val="22"/>
          <w:szCs w:val="22"/>
        </w:rPr>
        <w:t>es pública y sólo podrá ser reservada temporalmente por razones de interés público y seguridad nacional,</w:t>
      </w:r>
      <w:r w:rsidRPr="00271FF4">
        <w:rPr>
          <w:rFonts w:ascii="Palatino Linotype" w:eastAsia="Palatino Linotype" w:hAnsi="Palatino Linotype" w:cs="Palatino Linotype"/>
          <w:i/>
          <w:sz w:val="22"/>
          <w:szCs w:val="22"/>
        </w:rPr>
        <w:t xml:space="preserve"> en los términos que fijen las leyes. En la interpretación de este derecho deberá prevalecer el principio de máxima publicidad. Los sujetos obligados deberán documentar todo acto que derive del ejercicio de sus facultades, competencias o funciones, la ley determinará los supuestos específicos bajo los cuales procederá la declaración de inexistencia de la información.</w:t>
      </w:r>
    </w:p>
    <w:p w14:paraId="1196EA1D" w14:textId="77777777" w:rsidR="000A2FD5" w:rsidRPr="00271FF4" w:rsidRDefault="00BD2EBF">
      <w:pPr>
        <w:pBdr>
          <w:top w:val="nil"/>
          <w:left w:val="nil"/>
          <w:bottom w:val="nil"/>
          <w:right w:val="nil"/>
          <w:between w:val="nil"/>
        </w:pBdr>
        <w:spacing w:line="276" w:lineRule="auto"/>
        <w:ind w:left="851" w:right="851"/>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i/>
          <w:sz w:val="22"/>
          <w:szCs w:val="22"/>
        </w:rPr>
        <w:t> </w:t>
      </w:r>
      <w:r w:rsidRPr="00271FF4">
        <w:rPr>
          <w:rFonts w:ascii="Palatino Linotype" w:eastAsia="Palatino Linotype" w:hAnsi="Palatino Linotype" w:cs="Palatino Linotype"/>
          <w:b/>
          <w:i/>
          <w:sz w:val="22"/>
          <w:szCs w:val="22"/>
        </w:rPr>
        <w:t>II. La información que se refiere a la vida privada y los datos personales será protegida en los términos y con las excepciones que fijen las leyes.</w:t>
      </w:r>
    </w:p>
    <w:p w14:paraId="65A00B50" w14:textId="77777777" w:rsidR="000A2FD5" w:rsidRPr="00271FF4" w:rsidRDefault="00BD2EBF">
      <w:pPr>
        <w:pBdr>
          <w:top w:val="nil"/>
          <w:left w:val="nil"/>
          <w:bottom w:val="nil"/>
          <w:right w:val="nil"/>
          <w:between w:val="nil"/>
        </w:pBdr>
        <w:spacing w:line="276" w:lineRule="auto"/>
        <w:ind w:left="851" w:right="851"/>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i/>
          <w:sz w:val="22"/>
          <w:szCs w:val="22"/>
        </w:rPr>
        <w:t> </w:t>
      </w:r>
      <w:r w:rsidRPr="00271FF4">
        <w:rPr>
          <w:rFonts w:ascii="Palatino Linotype" w:eastAsia="Palatino Linotype" w:hAnsi="Palatino Linotype" w:cs="Palatino Linotype"/>
          <w:b/>
          <w:i/>
          <w:sz w:val="22"/>
          <w:szCs w:val="22"/>
        </w:rPr>
        <w:t xml:space="preserve">III. </w:t>
      </w:r>
      <w:r w:rsidRPr="00271FF4">
        <w:rPr>
          <w:rFonts w:ascii="Palatino Linotype" w:eastAsia="Palatino Linotype" w:hAnsi="Palatino Linotype" w:cs="Palatino Linotype"/>
          <w:b/>
          <w:i/>
          <w:sz w:val="22"/>
          <w:szCs w:val="22"/>
          <w:u w:val="single"/>
        </w:rPr>
        <w:t>Toda persona, sin necesidad de acreditar interés alguno o justificar su utilización, tendrá acceso gratuito a la información pública,</w:t>
      </w:r>
      <w:r w:rsidRPr="00271FF4">
        <w:rPr>
          <w:rFonts w:ascii="Palatino Linotype" w:eastAsia="Palatino Linotype" w:hAnsi="Palatino Linotype" w:cs="Palatino Linotype"/>
          <w:i/>
          <w:sz w:val="22"/>
          <w:szCs w:val="22"/>
        </w:rPr>
        <w:t xml:space="preserve"> a sus datos personales o a la rectificación de éstos.</w:t>
      </w:r>
    </w:p>
    <w:p w14:paraId="47DEDF6B" w14:textId="77777777" w:rsidR="000A2FD5" w:rsidRPr="00271FF4" w:rsidRDefault="00BD2EBF">
      <w:pPr>
        <w:pBdr>
          <w:top w:val="nil"/>
          <w:left w:val="nil"/>
          <w:bottom w:val="nil"/>
          <w:right w:val="nil"/>
          <w:between w:val="nil"/>
        </w:pBdr>
        <w:spacing w:line="276" w:lineRule="auto"/>
        <w:ind w:left="851" w:right="851"/>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i/>
          <w:sz w:val="22"/>
          <w:szCs w:val="22"/>
        </w:rPr>
        <w:t> </w:t>
      </w:r>
      <w:r w:rsidRPr="00271FF4">
        <w:rPr>
          <w:rFonts w:ascii="Palatino Linotype" w:eastAsia="Palatino Linotype" w:hAnsi="Palatino Linotype" w:cs="Palatino Linotype"/>
          <w:b/>
          <w:i/>
          <w:sz w:val="22"/>
          <w:szCs w:val="22"/>
        </w:rPr>
        <w:t xml:space="preserve">IV. </w:t>
      </w:r>
      <w:r w:rsidRPr="00271FF4">
        <w:rPr>
          <w:rFonts w:ascii="Palatino Linotype" w:eastAsia="Palatino Linotype" w:hAnsi="Palatino Linotype" w:cs="Palatino Linotype"/>
          <w:i/>
          <w:sz w:val="22"/>
          <w:szCs w:val="22"/>
        </w:rPr>
        <w:t>Se establecerán mecanismos de acceso a la información y procedimientos de revisión expeditos que se sustanciarán ante los organismos autónomos especializados e imparciales que establece esta Constitución.</w:t>
      </w:r>
    </w:p>
    <w:p w14:paraId="4C2DE02A" w14:textId="77777777" w:rsidR="000A2FD5" w:rsidRPr="00271FF4" w:rsidRDefault="00BD2EBF">
      <w:pPr>
        <w:pBdr>
          <w:top w:val="nil"/>
          <w:left w:val="nil"/>
          <w:bottom w:val="nil"/>
          <w:right w:val="nil"/>
          <w:between w:val="nil"/>
        </w:pBdr>
        <w:spacing w:line="276" w:lineRule="auto"/>
        <w:ind w:left="851" w:right="851"/>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b/>
          <w:i/>
          <w:sz w:val="22"/>
          <w:szCs w:val="22"/>
        </w:rPr>
        <w:t xml:space="preserve">V. </w:t>
      </w:r>
      <w:r w:rsidRPr="00271FF4">
        <w:rPr>
          <w:rFonts w:ascii="Palatino Linotype" w:eastAsia="Palatino Linotype" w:hAnsi="Palatino Linotype" w:cs="Palatino Linotype"/>
          <w:i/>
          <w:sz w:val="22"/>
          <w:szCs w:val="22"/>
        </w:rPr>
        <w:t>Los sujetos obligados deberán preservar sus documentos en archivos administrativos actualizados y publicarán, a través de los medios electrónicos disponibles, la información completa y actualizada sobre el ejercicio de los recursos públicos y los indicadores que permitan rendir cuenta del cumplimiento de sus objetivos y de los resultados obtenidos.</w:t>
      </w:r>
    </w:p>
    <w:p w14:paraId="16FD925D" w14:textId="77777777" w:rsidR="000A2FD5" w:rsidRPr="00271FF4" w:rsidRDefault="00BD2EBF">
      <w:pPr>
        <w:pBdr>
          <w:top w:val="nil"/>
          <w:left w:val="nil"/>
          <w:bottom w:val="nil"/>
          <w:right w:val="nil"/>
          <w:between w:val="nil"/>
        </w:pBdr>
        <w:spacing w:line="276" w:lineRule="auto"/>
        <w:ind w:left="851" w:right="851"/>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i/>
          <w:sz w:val="22"/>
          <w:szCs w:val="22"/>
        </w:rPr>
        <w:t> </w:t>
      </w:r>
      <w:r w:rsidRPr="00271FF4">
        <w:rPr>
          <w:rFonts w:ascii="Palatino Linotype" w:eastAsia="Palatino Linotype" w:hAnsi="Palatino Linotype" w:cs="Palatino Linotype"/>
          <w:b/>
          <w:i/>
          <w:sz w:val="22"/>
          <w:szCs w:val="22"/>
        </w:rPr>
        <w:t xml:space="preserve">VI. </w:t>
      </w:r>
      <w:r w:rsidRPr="00271FF4">
        <w:rPr>
          <w:rFonts w:ascii="Palatino Linotype" w:eastAsia="Palatino Linotype" w:hAnsi="Palatino Linotype" w:cs="Palatino Linotype"/>
          <w:i/>
          <w:sz w:val="22"/>
          <w:szCs w:val="22"/>
        </w:rPr>
        <w:t>Las leyes determinarán la manera en que los sujetos obligados deberán hacer pública la información relativa a los recursos públicos que entreguen a personas físicas o morales.</w:t>
      </w:r>
    </w:p>
    <w:p w14:paraId="18E4AADE" w14:textId="77777777" w:rsidR="000A2FD5" w:rsidRPr="00271FF4" w:rsidRDefault="00BD2EBF">
      <w:pPr>
        <w:pBdr>
          <w:top w:val="nil"/>
          <w:left w:val="nil"/>
          <w:bottom w:val="nil"/>
          <w:right w:val="nil"/>
          <w:between w:val="nil"/>
        </w:pBdr>
        <w:spacing w:line="276" w:lineRule="auto"/>
        <w:ind w:left="851" w:right="851"/>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 </w:t>
      </w:r>
      <w:r w:rsidRPr="00271FF4">
        <w:rPr>
          <w:rFonts w:ascii="Palatino Linotype" w:eastAsia="Palatino Linotype" w:hAnsi="Palatino Linotype" w:cs="Palatino Linotype"/>
          <w:b/>
          <w:i/>
          <w:sz w:val="22"/>
          <w:szCs w:val="22"/>
        </w:rPr>
        <w:t xml:space="preserve">VII. </w:t>
      </w:r>
      <w:r w:rsidRPr="00271FF4">
        <w:rPr>
          <w:rFonts w:ascii="Palatino Linotype" w:eastAsia="Palatino Linotype" w:hAnsi="Palatino Linotype" w:cs="Palatino Linotype"/>
          <w:i/>
          <w:sz w:val="22"/>
          <w:szCs w:val="22"/>
        </w:rPr>
        <w:t>La inobservancia a las disposiciones en materia de acceso a la información pública será sancionada en los términos que dispongan las leyes. [...]”</w:t>
      </w:r>
    </w:p>
    <w:p w14:paraId="177BB927" w14:textId="77777777" w:rsidR="000A2FD5" w:rsidRPr="00271FF4" w:rsidRDefault="000A2FD5">
      <w:pPr>
        <w:pBdr>
          <w:top w:val="nil"/>
          <w:left w:val="nil"/>
          <w:bottom w:val="nil"/>
          <w:right w:val="nil"/>
          <w:between w:val="nil"/>
        </w:pBdr>
        <w:spacing w:line="276" w:lineRule="auto"/>
        <w:ind w:left="851" w:right="851"/>
        <w:jc w:val="both"/>
        <w:rPr>
          <w:rFonts w:ascii="Palatino Linotype" w:eastAsia="Palatino Linotype" w:hAnsi="Palatino Linotype" w:cs="Palatino Linotype"/>
          <w:sz w:val="22"/>
          <w:szCs w:val="22"/>
        </w:rPr>
      </w:pPr>
    </w:p>
    <w:p w14:paraId="007AD0FB" w14:textId="77777777" w:rsidR="000A2FD5" w:rsidRPr="00271FF4" w:rsidRDefault="00BD2EBF">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 xml:space="preserve">Esto es, que cualquier persona tiene el derecho al acceso de la información pública, información que consiste en aquella que sea generada, obtenida, adquirida, transformada, administrada o en posesión de los Sujetos Obligados, como así también lo señala la Ley de Transparencia y Acceso a la Información Pública del Estado de México y Municipios en su artículo 4, que toda la información generada, obtenida, adquirida, transformada, </w:t>
      </w:r>
      <w:r w:rsidRPr="00271FF4">
        <w:rPr>
          <w:rFonts w:ascii="Palatino Linotype" w:eastAsia="Palatino Linotype" w:hAnsi="Palatino Linotype" w:cs="Palatino Linotype"/>
          <w:sz w:val="22"/>
          <w:szCs w:val="22"/>
        </w:rPr>
        <w:lastRenderedPageBreak/>
        <w:t>administrada o en posesión de los sujetos obligados, es pública y accesible, de manera permanente a cualquier persona, privilegiando el principio de máxima publicidad, como así lo establece dicha determinación, que a continuación se transcribe para un mejor entendimiento:</w:t>
      </w:r>
    </w:p>
    <w:p w14:paraId="02AFEF6D" w14:textId="77777777" w:rsidR="000A2FD5" w:rsidRPr="00271FF4" w:rsidRDefault="000A2FD5">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p>
    <w:p w14:paraId="3280CB97" w14:textId="77777777" w:rsidR="000A2FD5" w:rsidRPr="00271FF4" w:rsidRDefault="00BD2EBF">
      <w:pPr>
        <w:spacing w:line="276" w:lineRule="auto"/>
        <w:ind w:left="567" w:right="616"/>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w:t>
      </w:r>
      <w:r w:rsidRPr="00271FF4">
        <w:rPr>
          <w:rFonts w:ascii="Palatino Linotype" w:eastAsia="Palatino Linotype" w:hAnsi="Palatino Linotype" w:cs="Palatino Linotype"/>
          <w:b/>
          <w:i/>
          <w:sz w:val="22"/>
          <w:szCs w:val="22"/>
        </w:rPr>
        <w:t>Artículo 4</w:t>
      </w:r>
      <w:r w:rsidRPr="00271FF4">
        <w:rPr>
          <w:rFonts w:ascii="Palatino Linotype" w:eastAsia="Palatino Linotype" w:hAnsi="Palatino Linotype" w:cs="Palatino Linotype"/>
          <w:i/>
          <w:sz w:val="22"/>
          <w:szCs w:val="22"/>
        </w:rPr>
        <w:t xml:space="preserve">. El derecho humano de acceso a la información pública es la prerrogativa de las personas para buscar, difundir, investigar, recabar, recibir y solicitar información pública, sin necesidad de acreditar personalidad ni interés jurídico. </w:t>
      </w:r>
    </w:p>
    <w:p w14:paraId="120F3E87" w14:textId="77777777" w:rsidR="000A2FD5" w:rsidRPr="00271FF4" w:rsidRDefault="000A2FD5">
      <w:pPr>
        <w:spacing w:line="276" w:lineRule="auto"/>
        <w:ind w:left="567" w:right="616"/>
        <w:jc w:val="both"/>
        <w:rPr>
          <w:rFonts w:ascii="Palatino Linotype" w:eastAsia="Palatino Linotype" w:hAnsi="Palatino Linotype" w:cs="Palatino Linotype"/>
          <w:i/>
          <w:sz w:val="22"/>
          <w:szCs w:val="22"/>
        </w:rPr>
      </w:pPr>
    </w:p>
    <w:p w14:paraId="6DDE83FD" w14:textId="77777777" w:rsidR="000A2FD5" w:rsidRPr="00271FF4" w:rsidRDefault="00BD2EBF">
      <w:pPr>
        <w:spacing w:line="276" w:lineRule="auto"/>
        <w:ind w:left="567" w:right="616"/>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b/>
          <w:i/>
          <w:sz w:val="22"/>
          <w:szCs w:val="22"/>
        </w:rPr>
        <w:t>Toda la información generada, obtenida, adquirida, transformada, administrada o en posesión de los sujetos obligados es pública y accesible de manera permanente a cualquier persona</w:t>
      </w:r>
      <w:r w:rsidRPr="00271FF4">
        <w:rPr>
          <w:rFonts w:ascii="Palatino Linotype" w:eastAsia="Palatino Linotype" w:hAnsi="Palatino Linotype" w:cs="Palatino Linotype"/>
          <w:i/>
          <w:sz w:val="22"/>
          <w:szCs w:val="22"/>
        </w:rPr>
        <w:t>, en los términos y condiciones que se establezcan en los tratados internacionales de los que el Estado mexicano sea parte, en la Ley General, la presente Ley y demás disposiciones de la materia, privilegiando el principio de máxima publicidad de la información. Solo podrá ser clasificada excepcionalmente Ley de Transparencia y Acceso a la Información Pública del Estado de México y Municipios 29 como reservada temporalmente por razones de interés público, en los términos de las causas legítimas y estrictamente necesarias previstas por esta Ley.</w:t>
      </w:r>
    </w:p>
    <w:p w14:paraId="0C7A7949" w14:textId="77777777" w:rsidR="000A2FD5" w:rsidRPr="00271FF4" w:rsidRDefault="000A2FD5">
      <w:pPr>
        <w:spacing w:line="276" w:lineRule="auto"/>
        <w:ind w:left="567" w:right="616"/>
        <w:jc w:val="both"/>
        <w:rPr>
          <w:rFonts w:ascii="Palatino Linotype" w:eastAsia="Palatino Linotype" w:hAnsi="Palatino Linotype" w:cs="Palatino Linotype"/>
          <w:i/>
          <w:sz w:val="22"/>
          <w:szCs w:val="22"/>
        </w:rPr>
      </w:pPr>
    </w:p>
    <w:p w14:paraId="518BA4D5" w14:textId="77777777" w:rsidR="000A2FD5" w:rsidRPr="00271FF4" w:rsidRDefault="00BD2EBF">
      <w:pPr>
        <w:spacing w:line="276" w:lineRule="auto"/>
        <w:ind w:left="567" w:right="616"/>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b/>
          <w:i/>
          <w:sz w:val="22"/>
          <w:szCs w:val="22"/>
        </w:rPr>
        <w:t>Los sujetos obligados deben poner en práctica, políticas y programas de acceso a la información que se apeguen a criterios de publicidad, veracidad, oportunidad, precisión y suficiencia en beneficio de los solicitantes</w:t>
      </w:r>
      <w:r w:rsidRPr="00271FF4">
        <w:rPr>
          <w:rFonts w:ascii="Palatino Linotype" w:eastAsia="Palatino Linotype" w:hAnsi="Palatino Linotype" w:cs="Palatino Linotype"/>
          <w:i/>
          <w:sz w:val="22"/>
          <w:szCs w:val="22"/>
        </w:rPr>
        <w:t>.”</w:t>
      </w:r>
    </w:p>
    <w:p w14:paraId="753F6BDF"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1D1A4AD1" w14:textId="77777777" w:rsidR="000A2FD5" w:rsidRPr="00271FF4" w:rsidRDefault="00BD2EBF">
      <w:pP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Esto es, que los Sujetos Obligados tiene la obligación o deber de atender las solicitudes de acceso a la información pública que se les hagan de su conocimiento y proporcionar la información pública que obren en su poder conforme el estado que se encuentra y no hacer un procesamiento de la misma, ni presentarla conforme al interés del solicitante; como así lo establece el artículo 12 de la Ley de Transparencia y Acceso a la Información Pública del Estado de México y Municipios, que a la letra dice:</w:t>
      </w:r>
    </w:p>
    <w:p w14:paraId="14B4F0B2"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7C829C0D" w14:textId="77777777" w:rsidR="000A2FD5" w:rsidRPr="00271FF4" w:rsidRDefault="00BD2EBF">
      <w:pPr>
        <w:spacing w:line="276" w:lineRule="auto"/>
        <w:ind w:left="567" w:right="616"/>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b/>
          <w:i/>
          <w:sz w:val="22"/>
          <w:szCs w:val="22"/>
        </w:rPr>
        <w:t>“Artículo 12.-</w:t>
      </w:r>
      <w:r w:rsidRPr="00271FF4">
        <w:rPr>
          <w:rFonts w:ascii="Palatino Linotype" w:eastAsia="Palatino Linotype" w:hAnsi="Palatino Linotype" w:cs="Palatino Linotype"/>
          <w:i/>
          <w:sz w:val="22"/>
          <w:szCs w:val="22"/>
        </w:rPr>
        <w:t xml:space="preserve"> Quienes generen, recopilen, administren, manejen, procesen, archiven o conserven información pública serán responsables de la misma en los términos de las disposiciones jurídicas aplicables. </w:t>
      </w:r>
    </w:p>
    <w:p w14:paraId="39A99230" w14:textId="77777777" w:rsidR="000A2FD5" w:rsidRPr="00271FF4" w:rsidRDefault="000A2FD5">
      <w:pPr>
        <w:spacing w:line="276" w:lineRule="auto"/>
        <w:ind w:left="567" w:right="616"/>
        <w:jc w:val="both"/>
        <w:rPr>
          <w:rFonts w:ascii="Palatino Linotype" w:eastAsia="Palatino Linotype" w:hAnsi="Palatino Linotype" w:cs="Palatino Linotype"/>
          <w:i/>
          <w:sz w:val="22"/>
          <w:szCs w:val="22"/>
        </w:rPr>
      </w:pPr>
    </w:p>
    <w:p w14:paraId="395A11D5" w14:textId="77777777" w:rsidR="000A2FD5" w:rsidRPr="00271FF4" w:rsidRDefault="00BD2EBF">
      <w:pPr>
        <w:spacing w:line="276" w:lineRule="auto"/>
        <w:ind w:left="567" w:right="616"/>
        <w:jc w:val="both"/>
        <w:rPr>
          <w:rFonts w:ascii="Palatino Linotype" w:eastAsia="Palatino Linotype" w:hAnsi="Palatino Linotype" w:cs="Palatino Linotype"/>
          <w:b/>
          <w:i/>
          <w:sz w:val="22"/>
          <w:szCs w:val="22"/>
        </w:rPr>
      </w:pPr>
      <w:r w:rsidRPr="00271FF4">
        <w:rPr>
          <w:rFonts w:ascii="Palatino Linotype" w:eastAsia="Palatino Linotype" w:hAnsi="Palatino Linotype" w:cs="Palatino Linotype"/>
          <w:b/>
          <w:i/>
          <w:sz w:val="22"/>
          <w:szCs w:val="22"/>
        </w:rPr>
        <w:t>Los sujetos obligados sólo proporcionarán la información pública que se les requiera y que obre en sus archivos y en el estado en que ésta se encuentre</w:t>
      </w:r>
      <w:r w:rsidRPr="00271FF4">
        <w:rPr>
          <w:rFonts w:ascii="Palatino Linotype" w:eastAsia="Palatino Linotype" w:hAnsi="Palatino Linotype" w:cs="Palatino Linotype"/>
          <w:i/>
          <w:sz w:val="22"/>
          <w:szCs w:val="22"/>
        </w:rPr>
        <w:t xml:space="preserve">. </w:t>
      </w:r>
      <w:r w:rsidRPr="00271FF4">
        <w:rPr>
          <w:rFonts w:ascii="Palatino Linotype" w:eastAsia="Palatino Linotype" w:hAnsi="Palatino Linotype" w:cs="Palatino Linotype"/>
          <w:b/>
          <w:i/>
          <w:sz w:val="22"/>
          <w:szCs w:val="22"/>
        </w:rPr>
        <w:t xml:space="preserve">La obligación de proporcionar información no comprende el procesamiento de la misma, ni el presentarla conforme al interés del solicitante; no estarán obligados a generarla, resumirla, efectuar cálculos o practicar investigaciones”. </w:t>
      </w:r>
    </w:p>
    <w:p w14:paraId="4F6ADC6A" w14:textId="77777777" w:rsidR="000A2FD5" w:rsidRPr="00271FF4" w:rsidRDefault="000A2FD5">
      <w:pPr>
        <w:spacing w:line="360" w:lineRule="auto"/>
        <w:ind w:left="567" w:right="616"/>
        <w:jc w:val="both"/>
        <w:rPr>
          <w:rFonts w:ascii="Palatino Linotype" w:eastAsia="Palatino Linotype" w:hAnsi="Palatino Linotype" w:cs="Palatino Linotype"/>
          <w:i/>
          <w:sz w:val="22"/>
          <w:szCs w:val="22"/>
        </w:rPr>
      </w:pPr>
    </w:p>
    <w:p w14:paraId="5196A5A6" w14:textId="77777777" w:rsidR="000A2FD5" w:rsidRPr="00271FF4" w:rsidRDefault="00BD2EBF">
      <w:pPr>
        <w:spacing w:line="360" w:lineRule="auto"/>
        <w:ind w:right="-93"/>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Es decir, que todo sujeto obligado que genere, recopile, administre, procese, archive, posea o conserven, son responsables de la misma teniendo a su vez la obligación de proporcionar la información que se les requiera sin necesidad de resumirla, efectuar procedimientos para obtenerla, calcular y practicar investigaciones; en otras palabras, que los Sujetos Obligados sólo se concretaran a proporcionar la información solicitada que tengan en su poder en el estado que se encuentran, sin necesidad de concretarse al interés o términos específicos del solicitante.</w:t>
      </w:r>
    </w:p>
    <w:p w14:paraId="1B5DB4AA" w14:textId="77777777" w:rsidR="000A2FD5" w:rsidRPr="00271FF4" w:rsidRDefault="000A2FD5">
      <w:pPr>
        <w:spacing w:line="360" w:lineRule="auto"/>
        <w:ind w:right="-93"/>
        <w:jc w:val="both"/>
        <w:rPr>
          <w:rFonts w:ascii="Palatino Linotype" w:eastAsia="Palatino Linotype" w:hAnsi="Palatino Linotype" w:cs="Palatino Linotype"/>
          <w:sz w:val="22"/>
          <w:szCs w:val="22"/>
        </w:rPr>
      </w:pPr>
    </w:p>
    <w:p w14:paraId="74E88BB0" w14:textId="77777777" w:rsidR="000A2FD5" w:rsidRPr="00271FF4" w:rsidRDefault="00BD2EBF">
      <w:pPr>
        <w:spacing w:line="360" w:lineRule="auto"/>
        <w:jc w:val="both"/>
        <w:rPr>
          <w:rFonts w:ascii="Palatino Linotype" w:eastAsia="Palatino Linotype" w:hAnsi="Palatino Linotype" w:cs="Palatino Linotype"/>
          <w:b/>
          <w:sz w:val="22"/>
          <w:szCs w:val="22"/>
        </w:rPr>
      </w:pPr>
      <w:r w:rsidRPr="00271FF4">
        <w:rPr>
          <w:rFonts w:ascii="Palatino Linotype" w:eastAsia="Palatino Linotype" w:hAnsi="Palatino Linotype" w:cs="Palatino Linotype"/>
          <w:sz w:val="22"/>
          <w:szCs w:val="22"/>
        </w:rPr>
        <w:t>Sirve de apoyo a lo anterior, el criterio 03-17, expuesto por el Instituto Nacional de Transparencia, Acceso a la Información y Protección de Datos Personales, que dice:</w:t>
      </w:r>
      <w:r w:rsidRPr="00271FF4">
        <w:rPr>
          <w:rFonts w:ascii="Palatino Linotype" w:eastAsia="Palatino Linotype" w:hAnsi="Palatino Linotype" w:cs="Palatino Linotype"/>
          <w:b/>
          <w:sz w:val="22"/>
          <w:szCs w:val="22"/>
        </w:rPr>
        <w:t xml:space="preserve"> </w:t>
      </w:r>
    </w:p>
    <w:p w14:paraId="1843C60B" w14:textId="77777777" w:rsidR="000A2FD5" w:rsidRPr="00271FF4" w:rsidRDefault="000A2FD5">
      <w:pPr>
        <w:spacing w:line="360" w:lineRule="auto"/>
        <w:jc w:val="both"/>
        <w:rPr>
          <w:rFonts w:ascii="Palatino Linotype" w:eastAsia="Palatino Linotype" w:hAnsi="Palatino Linotype" w:cs="Palatino Linotype"/>
          <w:b/>
          <w:sz w:val="22"/>
          <w:szCs w:val="22"/>
        </w:rPr>
      </w:pPr>
    </w:p>
    <w:p w14:paraId="7B114512" w14:textId="77777777" w:rsidR="000A2FD5" w:rsidRPr="00271FF4" w:rsidRDefault="00BD2EBF">
      <w:pPr>
        <w:spacing w:line="276" w:lineRule="auto"/>
        <w:ind w:left="567" w:right="616"/>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w:t>
      </w:r>
      <w:r w:rsidRPr="00271FF4">
        <w:rPr>
          <w:rFonts w:ascii="Palatino Linotype" w:eastAsia="Palatino Linotype" w:hAnsi="Palatino Linotype" w:cs="Palatino Linotype"/>
          <w:b/>
          <w:i/>
          <w:sz w:val="22"/>
          <w:szCs w:val="22"/>
        </w:rPr>
        <w:t>No existe obligación de elaborar documentos ad hoc para atender las solicitudes de acceso a la información.</w:t>
      </w:r>
      <w:r w:rsidRPr="00271FF4">
        <w:rPr>
          <w:rFonts w:ascii="Palatino Linotype" w:eastAsia="Palatino Linotype" w:hAnsi="Palatino Linotype" w:cs="Palatino Linotype"/>
          <w:i/>
          <w:sz w:val="22"/>
          <w:szCs w:val="22"/>
        </w:rPr>
        <w:t xml:space="preserve"> Los artículos 129 de la Ley General de Transparencia y Acceso a la Información Pública y 130, párrafo cuarto, de la Ley Federal de Transparencia y Acceso a la Información Pública, señalan que los sujetos obligados deberán otorgar acceso a los documentos que se encuentren en sus archivos o que estén obligados a documentar, de acuerdo con sus facultades, competencias o funciones, </w:t>
      </w:r>
      <w:r w:rsidRPr="00271FF4">
        <w:rPr>
          <w:rFonts w:ascii="Palatino Linotype" w:eastAsia="Palatino Linotype" w:hAnsi="Palatino Linotype" w:cs="Palatino Linotype"/>
          <w:i/>
          <w:sz w:val="22"/>
          <w:szCs w:val="22"/>
        </w:rPr>
        <w:lastRenderedPageBreak/>
        <w:t xml:space="preserve">conforme a las características físicas de la información o del lugar donde se encuentre. Por lo anterior, los sujetos obligados deben garantizar el derecho de acceso a la información del particular, proporcionando la información con la que cuentan en el formato en que la misma obre en sus archivos; sin necesidad de elaborar documentos ad hoc para atender las solicitudes de información”. </w:t>
      </w:r>
    </w:p>
    <w:p w14:paraId="6093C2C4" w14:textId="77777777" w:rsidR="000A2FD5" w:rsidRPr="00271FF4" w:rsidRDefault="000A2FD5">
      <w:pPr>
        <w:spacing w:line="360" w:lineRule="auto"/>
        <w:ind w:right="-93"/>
        <w:jc w:val="both"/>
        <w:rPr>
          <w:rFonts w:ascii="Palatino Linotype" w:eastAsia="Palatino Linotype" w:hAnsi="Palatino Linotype" w:cs="Palatino Linotype"/>
          <w:sz w:val="22"/>
          <w:szCs w:val="22"/>
        </w:rPr>
      </w:pPr>
    </w:p>
    <w:p w14:paraId="1FA3C387" w14:textId="77777777" w:rsidR="000A2FD5" w:rsidRPr="00271FF4" w:rsidRDefault="00BD2EBF">
      <w:pP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En esa tesitura, el artículo 24 en su último párrafo de la Ley de la Materia, dispone que los Sujetos Obligados sólo proporcionarán la información pública que generen, administren o posean en el ejercicio de sus atribuciones; por consiguiente, la información pública se encuentra a disposición de cualquier persona, lo que implica que es deber de los Sujetos Obligados, garantizar el Derecho de Acceso a la Información Pública.</w:t>
      </w:r>
    </w:p>
    <w:p w14:paraId="6890E237"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19433F76" w14:textId="77777777" w:rsidR="000A2FD5" w:rsidRPr="00271FF4" w:rsidRDefault="00BD2EBF">
      <w:pPr>
        <w:spacing w:line="360" w:lineRule="auto"/>
        <w:ind w:right="49"/>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Siempre y cuando no se trate de información reservada o clasificada, que difundirla pondría en riesgo la seguridad jurídica y física del titular de la información, debiendo tener audacia los Sujetos Obligados para cuidar esta información a través del acuerdo clasificatorio del comité de transparencia y la versión pública que emita el servidor público habilitado de cada Sujeto Obligado; como así se establece en la Ley de Transparencia y Acceso a la Información Pública del Estado de México y Municipios.</w:t>
      </w:r>
    </w:p>
    <w:p w14:paraId="43E63F6C" w14:textId="77777777" w:rsidR="000A2FD5" w:rsidRPr="00271FF4" w:rsidRDefault="000A2FD5">
      <w:pPr>
        <w:spacing w:line="360" w:lineRule="auto"/>
        <w:ind w:right="49"/>
        <w:jc w:val="both"/>
        <w:rPr>
          <w:rFonts w:ascii="Palatino Linotype" w:eastAsia="Palatino Linotype" w:hAnsi="Palatino Linotype" w:cs="Palatino Linotype"/>
          <w:sz w:val="22"/>
          <w:szCs w:val="22"/>
        </w:rPr>
      </w:pPr>
    </w:p>
    <w:p w14:paraId="731BFCDB" w14:textId="77777777" w:rsidR="000A2FD5" w:rsidRPr="00271FF4" w:rsidRDefault="00BD2EBF">
      <w:pP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 xml:space="preserve">En conclusión, el derecho de acceso a la información pública, consiste en que la información solicitada conste en un documento en cualquiera de sus formas, a saber: 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 de los Sujetos Obligados; los que, podrán estar en cualquier medio, sea escrito, impreso, sonoro, visual, electrónico, informático u holográfico de conformidad con el artículo 3, fracción XI de la Ley de la materia, el cual señala lo siguiente: </w:t>
      </w:r>
    </w:p>
    <w:p w14:paraId="13C0499C" w14:textId="77777777" w:rsidR="000A2FD5" w:rsidRPr="00271FF4" w:rsidRDefault="000A2FD5">
      <w:pPr>
        <w:spacing w:line="360" w:lineRule="auto"/>
        <w:ind w:left="851" w:right="899"/>
        <w:jc w:val="both"/>
        <w:rPr>
          <w:rFonts w:ascii="Palatino Linotype" w:eastAsia="Palatino Linotype" w:hAnsi="Palatino Linotype" w:cs="Palatino Linotype"/>
          <w:i/>
          <w:sz w:val="22"/>
          <w:szCs w:val="22"/>
        </w:rPr>
      </w:pPr>
    </w:p>
    <w:p w14:paraId="52D49673" w14:textId="77777777" w:rsidR="000A2FD5" w:rsidRPr="00271FF4" w:rsidRDefault="00BD2EBF">
      <w:pPr>
        <w:spacing w:line="276" w:lineRule="auto"/>
        <w:ind w:left="567" w:right="616"/>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w:t>
      </w:r>
      <w:r w:rsidRPr="00271FF4">
        <w:rPr>
          <w:rFonts w:ascii="Palatino Linotype" w:eastAsia="Palatino Linotype" w:hAnsi="Palatino Linotype" w:cs="Palatino Linotype"/>
          <w:b/>
          <w:i/>
          <w:sz w:val="22"/>
          <w:szCs w:val="22"/>
        </w:rPr>
        <w:t xml:space="preserve">Artículo 3. </w:t>
      </w:r>
      <w:r w:rsidRPr="00271FF4">
        <w:rPr>
          <w:rFonts w:ascii="Palatino Linotype" w:eastAsia="Palatino Linotype" w:hAnsi="Palatino Linotype" w:cs="Palatino Linotype"/>
          <w:i/>
          <w:sz w:val="22"/>
          <w:szCs w:val="22"/>
        </w:rPr>
        <w:t>Para los efectos de la presente Ley se entenderá por:</w:t>
      </w:r>
    </w:p>
    <w:p w14:paraId="409C9D22" w14:textId="77777777" w:rsidR="000A2FD5" w:rsidRPr="00271FF4" w:rsidRDefault="00BD2EBF">
      <w:pPr>
        <w:spacing w:line="276" w:lineRule="auto"/>
        <w:ind w:left="567" w:right="616"/>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w:t>
      </w:r>
    </w:p>
    <w:p w14:paraId="5344F5A5" w14:textId="77777777" w:rsidR="000A2FD5" w:rsidRPr="00271FF4" w:rsidRDefault="00BD2EBF">
      <w:pPr>
        <w:spacing w:line="276" w:lineRule="auto"/>
        <w:ind w:left="567" w:right="616"/>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b/>
          <w:i/>
          <w:sz w:val="22"/>
          <w:szCs w:val="22"/>
        </w:rPr>
        <w:t>XI. Documento:</w:t>
      </w:r>
      <w:r w:rsidRPr="00271FF4">
        <w:rPr>
          <w:rFonts w:ascii="Palatino Linotype" w:eastAsia="Palatino Linotype" w:hAnsi="Palatino Linotype" w:cs="Palatino Linotype"/>
          <w:i/>
          <w:sz w:val="22"/>
          <w:szCs w:val="22"/>
        </w:rPr>
        <w:t xml:space="preserve"> Los expedientes, reportes, estudios, actas</w:t>
      </w:r>
      <w:r w:rsidRPr="00271FF4">
        <w:rPr>
          <w:rFonts w:ascii="Palatino Linotype" w:eastAsia="Palatino Linotype" w:hAnsi="Palatino Linotype" w:cs="Palatino Linotype"/>
          <w:b/>
          <w:i/>
          <w:sz w:val="22"/>
          <w:szCs w:val="22"/>
        </w:rPr>
        <w:t>,</w:t>
      </w:r>
      <w:r w:rsidRPr="00271FF4">
        <w:rPr>
          <w:rFonts w:ascii="Palatino Linotype" w:eastAsia="Palatino Linotype" w:hAnsi="Palatino Linotype" w:cs="Palatino Linotype"/>
          <w:i/>
          <w:sz w:val="22"/>
          <w:szCs w:val="22"/>
        </w:rPr>
        <w:t xml:space="preserve"> resoluciones, oficios, correspondencia, acuerdos, directivas, directrices, circulares, contratos, convenios, instructivos, notas, memorandos, estadísticas o bien, cualquier otro registro que documente el ejercicio de las facultades, funciones y competencias de los sujetos obligados, sus servidores públicos e integrantes, sin importar su fuente o fecha de elaboración. Los documentos podrán estar en cualquier medio, sea escrito, impreso, sonoro, visual, electrónico, informático u holográfico…” </w:t>
      </w:r>
    </w:p>
    <w:p w14:paraId="1790A20C" w14:textId="77777777" w:rsidR="000A2FD5" w:rsidRPr="00271FF4" w:rsidRDefault="000A2FD5">
      <w:pPr>
        <w:spacing w:line="360" w:lineRule="auto"/>
        <w:ind w:left="851" w:right="899"/>
        <w:jc w:val="both"/>
        <w:rPr>
          <w:rFonts w:ascii="Palatino Linotype" w:eastAsia="Palatino Linotype" w:hAnsi="Palatino Linotype" w:cs="Palatino Linotype"/>
          <w:sz w:val="22"/>
          <w:szCs w:val="22"/>
        </w:rPr>
      </w:pPr>
    </w:p>
    <w:p w14:paraId="22A55771" w14:textId="77777777" w:rsidR="000A2FD5" w:rsidRPr="00271FF4" w:rsidRDefault="00BD2EBF">
      <w:pP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Siendo aplicable, el Criterio de interpretación en el orden administrativo número 0002-11, emitido por Acuerdo del Pleno del Instituto de Transparencia y Acceso a la Información Pública del Estado de México y Municipios; publicado en el Periódico Oficial del Gobierno del Estado Libre y Soberano de México “Gaceta del Gobierno”, el diecinueve de octubre de dos mil once, cuyo rubro y texto refieren lo siguiente:</w:t>
      </w:r>
    </w:p>
    <w:p w14:paraId="3C183C8E"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08D7D766" w14:textId="77777777" w:rsidR="000A2FD5" w:rsidRPr="00271FF4" w:rsidRDefault="00BD2EBF">
      <w:pPr>
        <w:spacing w:line="276" w:lineRule="auto"/>
        <w:ind w:left="567" w:right="616"/>
        <w:jc w:val="both"/>
        <w:rPr>
          <w:rFonts w:ascii="Palatino Linotype" w:eastAsia="Palatino Linotype" w:hAnsi="Palatino Linotype" w:cs="Palatino Linotype"/>
          <w:b/>
          <w:i/>
          <w:sz w:val="22"/>
          <w:szCs w:val="22"/>
        </w:rPr>
      </w:pPr>
      <w:r w:rsidRPr="00271FF4">
        <w:rPr>
          <w:rFonts w:ascii="Palatino Linotype" w:eastAsia="Palatino Linotype" w:hAnsi="Palatino Linotype" w:cs="Palatino Linotype"/>
          <w:b/>
          <w:sz w:val="22"/>
          <w:szCs w:val="22"/>
        </w:rPr>
        <w:t>“</w:t>
      </w:r>
      <w:r w:rsidRPr="00271FF4">
        <w:rPr>
          <w:rFonts w:ascii="Palatino Linotype" w:eastAsia="Palatino Linotype" w:hAnsi="Palatino Linotype" w:cs="Palatino Linotype"/>
          <w:b/>
          <w:i/>
          <w:sz w:val="22"/>
          <w:szCs w:val="22"/>
        </w:rPr>
        <w:t>CRITERIO 0002-11. INFORMACIÓN PÚBLICA, CONCEPTO DE, EN MATERIA DE TRANSPARENCIA. INTERPRETACIÓN SISTEMÁTICA DE LOS ARTÍCULOS 2°, FRACCIÓN V, XV, Y XVI, 3°, 4°, 11 Y 41.</w:t>
      </w:r>
      <w:r w:rsidRPr="00271FF4">
        <w:rPr>
          <w:rFonts w:ascii="Palatino Linotype" w:eastAsia="Palatino Linotype" w:hAnsi="Palatino Linotype" w:cs="Palatino Linotype"/>
          <w:i/>
          <w:sz w:val="22"/>
          <w:szCs w:val="22"/>
        </w:rPr>
        <w:t xml:space="preserve"> De conformidad con los artículos antes referidos, el derecho de acceso a la información pública, se define en cuanto a su alcance y resultado material, el acceso a los archivos, registros y documentos públicos, administrados, generados o en posesión de los órganos u organismos públicos, en virtud del ejercicio de sus funciones de derecho público, sin importar su fuente, soporte o fecha de elaboración.</w:t>
      </w:r>
    </w:p>
    <w:p w14:paraId="5B6F264A" w14:textId="77777777" w:rsidR="000A2FD5" w:rsidRPr="00271FF4" w:rsidRDefault="00BD2EBF">
      <w:pPr>
        <w:spacing w:line="276" w:lineRule="auto"/>
        <w:ind w:left="567" w:right="616"/>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 xml:space="preserve">En </w:t>
      </w:r>
      <w:proofErr w:type="gramStart"/>
      <w:r w:rsidRPr="00271FF4">
        <w:rPr>
          <w:rFonts w:ascii="Palatino Linotype" w:eastAsia="Palatino Linotype" w:hAnsi="Palatino Linotype" w:cs="Palatino Linotype"/>
          <w:i/>
          <w:sz w:val="22"/>
          <w:szCs w:val="22"/>
        </w:rPr>
        <w:t>consecuencia</w:t>
      </w:r>
      <w:proofErr w:type="gramEnd"/>
      <w:r w:rsidRPr="00271FF4">
        <w:rPr>
          <w:rFonts w:ascii="Palatino Linotype" w:eastAsia="Palatino Linotype" w:hAnsi="Palatino Linotype" w:cs="Palatino Linotype"/>
          <w:i/>
          <w:sz w:val="22"/>
          <w:szCs w:val="22"/>
        </w:rPr>
        <w:t xml:space="preserve"> el acceso a la información se refiere a que se cumplan cualquiera de los siguientes tres supuestos:</w:t>
      </w:r>
    </w:p>
    <w:p w14:paraId="521CD49A" w14:textId="77777777" w:rsidR="000A2FD5" w:rsidRPr="00271FF4" w:rsidRDefault="00BD2EBF">
      <w:pPr>
        <w:spacing w:line="276" w:lineRule="auto"/>
        <w:ind w:left="567" w:right="616"/>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 xml:space="preserve">1) Que se trate de información registrada en cualquier soporte documental, </w:t>
      </w:r>
      <w:proofErr w:type="gramStart"/>
      <w:r w:rsidRPr="00271FF4">
        <w:rPr>
          <w:rFonts w:ascii="Palatino Linotype" w:eastAsia="Palatino Linotype" w:hAnsi="Palatino Linotype" w:cs="Palatino Linotype"/>
          <w:i/>
          <w:sz w:val="22"/>
          <w:szCs w:val="22"/>
        </w:rPr>
        <w:t>que</w:t>
      </w:r>
      <w:proofErr w:type="gramEnd"/>
      <w:r w:rsidRPr="00271FF4">
        <w:rPr>
          <w:rFonts w:ascii="Palatino Linotype" w:eastAsia="Palatino Linotype" w:hAnsi="Palatino Linotype" w:cs="Palatino Linotype"/>
          <w:i/>
          <w:sz w:val="22"/>
          <w:szCs w:val="22"/>
        </w:rPr>
        <w:t xml:space="preserve"> en ejercicio de las atribuciones conferidas, sea generada por los Sujetos Obligados;</w:t>
      </w:r>
    </w:p>
    <w:p w14:paraId="3714EB1E" w14:textId="77777777" w:rsidR="000A2FD5" w:rsidRPr="00271FF4" w:rsidRDefault="00BD2EBF">
      <w:pPr>
        <w:spacing w:line="276" w:lineRule="auto"/>
        <w:ind w:left="567" w:right="616"/>
        <w:jc w:val="both"/>
        <w:rPr>
          <w:rFonts w:ascii="Palatino Linotype" w:eastAsia="Palatino Linotype" w:hAnsi="Palatino Linotype" w:cs="Palatino Linotype"/>
          <w:b/>
          <w:i/>
          <w:sz w:val="22"/>
          <w:szCs w:val="22"/>
        </w:rPr>
      </w:pPr>
      <w:r w:rsidRPr="00271FF4">
        <w:rPr>
          <w:rFonts w:ascii="Palatino Linotype" w:eastAsia="Palatino Linotype" w:hAnsi="Palatino Linotype" w:cs="Palatino Linotype"/>
          <w:b/>
          <w:i/>
          <w:sz w:val="22"/>
          <w:szCs w:val="22"/>
        </w:rPr>
        <w:lastRenderedPageBreak/>
        <w:t xml:space="preserve">2) Que se trate de información registrada en cualquier soporte documental, </w:t>
      </w:r>
      <w:proofErr w:type="gramStart"/>
      <w:r w:rsidRPr="00271FF4">
        <w:rPr>
          <w:rFonts w:ascii="Palatino Linotype" w:eastAsia="Palatino Linotype" w:hAnsi="Palatino Linotype" w:cs="Palatino Linotype"/>
          <w:b/>
          <w:i/>
          <w:sz w:val="22"/>
          <w:szCs w:val="22"/>
        </w:rPr>
        <w:t>que</w:t>
      </w:r>
      <w:proofErr w:type="gramEnd"/>
      <w:r w:rsidRPr="00271FF4">
        <w:rPr>
          <w:rFonts w:ascii="Palatino Linotype" w:eastAsia="Palatino Linotype" w:hAnsi="Palatino Linotype" w:cs="Palatino Linotype"/>
          <w:b/>
          <w:i/>
          <w:sz w:val="22"/>
          <w:szCs w:val="22"/>
        </w:rPr>
        <w:t xml:space="preserve"> en ejercicio de las atribuciones conferidas, sea administrada por los Sujetos Obligados, y</w:t>
      </w:r>
    </w:p>
    <w:p w14:paraId="388CA934" w14:textId="77777777" w:rsidR="000A2FD5" w:rsidRPr="00271FF4" w:rsidRDefault="00BD2EBF">
      <w:pPr>
        <w:spacing w:line="276" w:lineRule="auto"/>
        <w:ind w:left="567" w:right="616"/>
        <w:jc w:val="both"/>
        <w:rPr>
          <w:rFonts w:ascii="Palatino Linotype" w:eastAsia="Palatino Linotype" w:hAnsi="Palatino Linotype" w:cs="Palatino Linotype"/>
          <w:b/>
          <w:i/>
          <w:sz w:val="22"/>
          <w:szCs w:val="22"/>
        </w:rPr>
      </w:pPr>
      <w:r w:rsidRPr="00271FF4">
        <w:rPr>
          <w:rFonts w:ascii="Palatino Linotype" w:eastAsia="Palatino Linotype" w:hAnsi="Palatino Linotype" w:cs="Palatino Linotype"/>
          <w:b/>
          <w:i/>
          <w:sz w:val="22"/>
          <w:szCs w:val="22"/>
        </w:rPr>
        <w:t xml:space="preserve">3) Que se trate de información registrada en cualquier soporte documental, </w:t>
      </w:r>
      <w:proofErr w:type="gramStart"/>
      <w:r w:rsidRPr="00271FF4">
        <w:rPr>
          <w:rFonts w:ascii="Palatino Linotype" w:eastAsia="Palatino Linotype" w:hAnsi="Palatino Linotype" w:cs="Palatino Linotype"/>
          <w:b/>
          <w:i/>
          <w:sz w:val="22"/>
          <w:szCs w:val="22"/>
        </w:rPr>
        <w:t>que</w:t>
      </w:r>
      <w:proofErr w:type="gramEnd"/>
      <w:r w:rsidRPr="00271FF4">
        <w:rPr>
          <w:rFonts w:ascii="Palatino Linotype" w:eastAsia="Palatino Linotype" w:hAnsi="Palatino Linotype" w:cs="Palatino Linotype"/>
          <w:b/>
          <w:i/>
          <w:sz w:val="22"/>
          <w:szCs w:val="22"/>
        </w:rPr>
        <w:t xml:space="preserve"> en ejercicio de las atribuciones conferidas, se encuentre en posesión de los Sujetos Obligados.” </w:t>
      </w:r>
    </w:p>
    <w:p w14:paraId="0743F86D" w14:textId="77777777" w:rsidR="000A2FD5" w:rsidRPr="00271FF4" w:rsidRDefault="000A2FD5">
      <w:pPr>
        <w:spacing w:line="276" w:lineRule="auto"/>
        <w:ind w:left="567" w:right="616"/>
        <w:jc w:val="both"/>
        <w:rPr>
          <w:rFonts w:ascii="Palatino Linotype" w:eastAsia="Palatino Linotype" w:hAnsi="Palatino Linotype" w:cs="Palatino Linotype"/>
          <w:b/>
          <w:i/>
          <w:sz w:val="22"/>
          <w:szCs w:val="22"/>
        </w:rPr>
      </w:pPr>
    </w:p>
    <w:p w14:paraId="559E1A7B" w14:textId="77777777" w:rsidR="000A2FD5" w:rsidRPr="00271FF4" w:rsidRDefault="00BD2EBF">
      <w:pP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 xml:space="preserve">De ahí que el </w:t>
      </w:r>
      <w:r w:rsidRPr="00271FF4">
        <w:rPr>
          <w:rFonts w:ascii="Palatino Linotype" w:eastAsia="Palatino Linotype" w:hAnsi="Palatino Linotype" w:cs="Palatino Linotype"/>
          <w:b/>
          <w:sz w:val="22"/>
          <w:szCs w:val="22"/>
        </w:rPr>
        <w:t>Sujeto Obligado</w:t>
      </w:r>
      <w:r w:rsidRPr="00271FF4">
        <w:rPr>
          <w:rFonts w:ascii="Palatino Linotype" w:eastAsia="Palatino Linotype" w:hAnsi="Palatino Linotype" w:cs="Palatino Linotype"/>
          <w:sz w:val="22"/>
          <w:szCs w:val="22"/>
        </w:rPr>
        <w:t xml:space="preserve"> cuenta con el deber de satisfacer las solicitudes de acceso a la información que le sean formuladas y entregar la información pública que obre en sus archivos pudiendo ser de manera electrónica; más aún si la misma se trata de información relativa a obligaciones de transparencia, la cual se relaciona con aquella que se genere de acuerdo con sus facultades, atribuciones y obligaciones señaladas por la Ley en la materia</w:t>
      </w:r>
      <w:r w:rsidRPr="00271FF4">
        <w:rPr>
          <w:rFonts w:ascii="Palatino Linotype" w:eastAsia="Palatino Linotype" w:hAnsi="Palatino Linotype" w:cs="Palatino Linotype"/>
          <w:sz w:val="22"/>
          <w:szCs w:val="22"/>
          <w:vertAlign w:val="superscript"/>
        </w:rPr>
        <w:footnoteReference w:id="1"/>
      </w:r>
      <w:r w:rsidRPr="00271FF4">
        <w:rPr>
          <w:rFonts w:ascii="Palatino Linotype" w:eastAsia="Palatino Linotype" w:hAnsi="Palatino Linotype" w:cs="Palatino Linotype"/>
          <w:sz w:val="22"/>
          <w:szCs w:val="22"/>
        </w:rPr>
        <w:t>, así como de interés público, es decir, aquella que resulta relevante o beneficiosa para la sociedad y no simplemente de interés individual, y cuya divulgación resulta útil para que el público comprenda las actividades que llevan a cabo los Sujetos Obligados</w:t>
      </w:r>
      <w:r w:rsidRPr="00271FF4">
        <w:rPr>
          <w:rFonts w:ascii="Palatino Linotype" w:eastAsia="Palatino Linotype" w:hAnsi="Palatino Linotype" w:cs="Palatino Linotype"/>
          <w:sz w:val="22"/>
          <w:szCs w:val="22"/>
          <w:vertAlign w:val="superscript"/>
        </w:rPr>
        <w:footnoteReference w:id="2"/>
      </w:r>
      <w:r w:rsidRPr="00271FF4">
        <w:rPr>
          <w:rFonts w:ascii="Palatino Linotype" w:eastAsia="Palatino Linotype" w:hAnsi="Palatino Linotype" w:cs="Palatino Linotype"/>
          <w:sz w:val="22"/>
          <w:szCs w:val="22"/>
        </w:rPr>
        <w:t>, como pudiera tratarse de aquella relacionada con las obligaciones de transparencia señaladas en los artículos 92 y 100 de la Ley de la Materia.</w:t>
      </w:r>
    </w:p>
    <w:p w14:paraId="2D6AB2F5" w14:textId="77777777" w:rsidR="000A2FD5" w:rsidRPr="00271FF4" w:rsidRDefault="000A2FD5">
      <w:pPr>
        <w:pBdr>
          <w:top w:val="nil"/>
          <w:left w:val="nil"/>
          <w:bottom w:val="nil"/>
          <w:right w:val="nil"/>
          <w:between w:val="nil"/>
        </w:pBdr>
        <w:spacing w:line="360" w:lineRule="auto"/>
        <w:ind w:right="-150"/>
        <w:jc w:val="both"/>
        <w:rPr>
          <w:rFonts w:ascii="Palatino Linotype" w:eastAsia="Palatino Linotype" w:hAnsi="Palatino Linotype" w:cs="Palatino Linotype"/>
          <w:sz w:val="22"/>
          <w:szCs w:val="22"/>
        </w:rPr>
      </w:pPr>
    </w:p>
    <w:p w14:paraId="71602569" w14:textId="77777777" w:rsidR="000A2FD5" w:rsidRPr="00271FF4" w:rsidRDefault="00BD2EBF">
      <w:pPr>
        <w:pBdr>
          <w:top w:val="nil"/>
          <w:left w:val="nil"/>
          <w:bottom w:val="nil"/>
          <w:right w:val="nil"/>
          <w:between w:val="nil"/>
        </w:pBdr>
        <w:spacing w:line="360" w:lineRule="auto"/>
        <w:ind w:right="-150"/>
        <w:jc w:val="both"/>
        <w:rPr>
          <w:rFonts w:ascii="Palatino Linotype" w:eastAsia="Palatino Linotype" w:hAnsi="Palatino Linotype" w:cs="Palatino Linotype"/>
          <w:sz w:val="22"/>
          <w:szCs w:val="22"/>
        </w:rPr>
      </w:pPr>
      <w:bookmarkStart w:id="9" w:name="_heading=h.1y810tw" w:colFirst="0" w:colLast="0"/>
      <w:bookmarkEnd w:id="9"/>
      <w:r w:rsidRPr="00271FF4">
        <w:rPr>
          <w:rFonts w:ascii="Palatino Linotype" w:eastAsia="Palatino Linotype" w:hAnsi="Palatino Linotype" w:cs="Palatino Linotype"/>
          <w:sz w:val="22"/>
          <w:szCs w:val="22"/>
        </w:rPr>
        <w:t xml:space="preserve">Para ello, conviene iniciar el presente estudio señalando que la persona solicitante requirió del </w:t>
      </w:r>
      <w:r w:rsidRPr="00271FF4">
        <w:rPr>
          <w:rFonts w:ascii="Palatino Linotype" w:eastAsia="Palatino Linotype" w:hAnsi="Palatino Linotype" w:cs="Palatino Linotype"/>
          <w:b/>
          <w:sz w:val="22"/>
          <w:szCs w:val="22"/>
        </w:rPr>
        <w:t xml:space="preserve">Sujeto Obligado, </w:t>
      </w:r>
      <w:r w:rsidRPr="00271FF4">
        <w:rPr>
          <w:rFonts w:ascii="Palatino Linotype" w:eastAsia="Palatino Linotype" w:hAnsi="Palatino Linotype" w:cs="Palatino Linotype"/>
          <w:sz w:val="22"/>
          <w:szCs w:val="22"/>
        </w:rPr>
        <w:t xml:space="preserve">particularmente a la </w:t>
      </w:r>
      <w:proofErr w:type="gramStart"/>
      <w:r w:rsidRPr="00271FF4">
        <w:rPr>
          <w:rFonts w:ascii="Palatino Linotype" w:eastAsia="Palatino Linotype" w:hAnsi="Palatino Linotype" w:cs="Palatino Linotype"/>
          <w:sz w:val="22"/>
          <w:szCs w:val="22"/>
        </w:rPr>
        <w:t>Jefa</w:t>
      </w:r>
      <w:proofErr w:type="gramEnd"/>
      <w:r w:rsidRPr="00271FF4">
        <w:rPr>
          <w:rFonts w:ascii="Palatino Linotype" w:eastAsia="Palatino Linotype" w:hAnsi="Palatino Linotype" w:cs="Palatino Linotype"/>
          <w:sz w:val="22"/>
          <w:szCs w:val="22"/>
        </w:rPr>
        <w:t xml:space="preserve"> de Departamento de Personal, lo siguiente:</w:t>
      </w:r>
    </w:p>
    <w:p w14:paraId="10882722" w14:textId="77777777" w:rsidR="000A2FD5" w:rsidRPr="00271FF4" w:rsidRDefault="000A2FD5">
      <w:pPr>
        <w:pBdr>
          <w:top w:val="nil"/>
          <w:left w:val="nil"/>
          <w:bottom w:val="nil"/>
          <w:right w:val="nil"/>
          <w:between w:val="nil"/>
        </w:pBdr>
        <w:spacing w:line="360" w:lineRule="auto"/>
        <w:ind w:right="-150"/>
        <w:jc w:val="both"/>
        <w:rPr>
          <w:rFonts w:ascii="Palatino Linotype" w:eastAsia="Palatino Linotype" w:hAnsi="Palatino Linotype" w:cs="Palatino Linotype"/>
          <w:sz w:val="22"/>
          <w:szCs w:val="22"/>
        </w:rPr>
      </w:pPr>
    </w:p>
    <w:p w14:paraId="5251EBBD" w14:textId="77777777" w:rsidR="000A2FD5" w:rsidRPr="00271FF4" w:rsidRDefault="00BD2EBF">
      <w:pPr>
        <w:numPr>
          <w:ilvl w:val="0"/>
          <w:numId w:val="5"/>
        </w:numPr>
        <w:pBdr>
          <w:top w:val="nil"/>
          <w:left w:val="nil"/>
          <w:bottom w:val="nil"/>
          <w:right w:val="nil"/>
          <w:between w:val="nil"/>
        </w:pBdr>
        <w:spacing w:line="360" w:lineRule="auto"/>
        <w:ind w:right="-150"/>
        <w:jc w:val="both"/>
        <w:rPr>
          <w:rFonts w:ascii="Palatino Linotype" w:eastAsia="Palatino Linotype" w:hAnsi="Palatino Linotype" w:cs="Palatino Linotype"/>
          <w:b/>
          <w:sz w:val="22"/>
          <w:szCs w:val="22"/>
        </w:rPr>
      </w:pPr>
      <w:r w:rsidRPr="00271FF4">
        <w:rPr>
          <w:rFonts w:ascii="Palatino Linotype" w:eastAsia="Palatino Linotype" w:hAnsi="Palatino Linotype" w:cs="Palatino Linotype"/>
          <w:b/>
          <w:sz w:val="22"/>
          <w:szCs w:val="22"/>
        </w:rPr>
        <w:lastRenderedPageBreak/>
        <w:t>Indicara bajo protesta de decir verdad el nombre y cargo de los servidores públicos que se encontraban laborando del 01 de enero al 31 de octubre de 2024 en el Departamento de Recursos Materiales.</w:t>
      </w:r>
    </w:p>
    <w:p w14:paraId="2BCD87D4" w14:textId="77777777" w:rsidR="000A2FD5" w:rsidRPr="00271FF4" w:rsidRDefault="000A2FD5">
      <w:pPr>
        <w:pBdr>
          <w:top w:val="nil"/>
          <w:left w:val="nil"/>
          <w:bottom w:val="nil"/>
          <w:right w:val="nil"/>
          <w:between w:val="nil"/>
        </w:pBdr>
        <w:spacing w:line="360" w:lineRule="auto"/>
        <w:ind w:left="360" w:right="-150"/>
        <w:jc w:val="both"/>
        <w:rPr>
          <w:rFonts w:ascii="Palatino Linotype" w:eastAsia="Palatino Linotype" w:hAnsi="Palatino Linotype" w:cs="Palatino Linotype"/>
          <w:b/>
          <w:sz w:val="10"/>
          <w:szCs w:val="10"/>
        </w:rPr>
      </w:pPr>
    </w:p>
    <w:p w14:paraId="06E0A583" w14:textId="77777777" w:rsidR="000A2FD5" w:rsidRPr="00271FF4" w:rsidRDefault="00BD2EBF">
      <w:pPr>
        <w:numPr>
          <w:ilvl w:val="0"/>
          <w:numId w:val="5"/>
        </w:numPr>
        <w:pBdr>
          <w:top w:val="nil"/>
          <w:left w:val="nil"/>
          <w:bottom w:val="nil"/>
          <w:right w:val="nil"/>
          <w:between w:val="nil"/>
        </w:pBdr>
        <w:spacing w:line="360" w:lineRule="auto"/>
        <w:ind w:right="-150"/>
        <w:jc w:val="both"/>
        <w:rPr>
          <w:rFonts w:ascii="Palatino Linotype" w:eastAsia="Palatino Linotype" w:hAnsi="Palatino Linotype" w:cs="Palatino Linotype"/>
          <w:b/>
          <w:sz w:val="22"/>
          <w:szCs w:val="22"/>
        </w:rPr>
      </w:pPr>
      <w:r w:rsidRPr="00271FF4">
        <w:rPr>
          <w:rFonts w:ascii="Palatino Linotype" w:eastAsia="Palatino Linotype" w:hAnsi="Palatino Linotype" w:cs="Palatino Linotype"/>
          <w:b/>
          <w:sz w:val="22"/>
          <w:szCs w:val="22"/>
        </w:rPr>
        <w:t>El motivo de la separación de los servidores públicos referidos en el punto anterior con su el soporte documental respectivo.</w:t>
      </w:r>
    </w:p>
    <w:p w14:paraId="733A4FBB" w14:textId="77777777" w:rsidR="000A2FD5" w:rsidRPr="00271FF4" w:rsidRDefault="000A2FD5">
      <w:pPr>
        <w:pBdr>
          <w:top w:val="nil"/>
          <w:left w:val="nil"/>
          <w:bottom w:val="nil"/>
          <w:right w:val="nil"/>
          <w:between w:val="nil"/>
        </w:pBdr>
        <w:spacing w:line="276" w:lineRule="auto"/>
        <w:ind w:right="49"/>
        <w:jc w:val="both"/>
        <w:rPr>
          <w:rFonts w:ascii="Palatino Linotype" w:eastAsia="Palatino Linotype" w:hAnsi="Palatino Linotype" w:cs="Palatino Linotype"/>
          <w:sz w:val="22"/>
          <w:szCs w:val="22"/>
        </w:rPr>
      </w:pPr>
    </w:p>
    <w:p w14:paraId="1F119B2B" w14:textId="77777777" w:rsidR="000A2FD5" w:rsidRPr="00271FF4" w:rsidRDefault="00BD2EBF">
      <w:pPr>
        <w:pBdr>
          <w:top w:val="nil"/>
          <w:left w:val="nil"/>
          <w:bottom w:val="nil"/>
          <w:right w:val="nil"/>
          <w:between w:val="nil"/>
        </w:pBdr>
        <w:spacing w:line="360" w:lineRule="auto"/>
        <w:ind w:right="49"/>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 xml:space="preserve">En respuesta, el </w:t>
      </w:r>
      <w:r w:rsidRPr="00271FF4">
        <w:rPr>
          <w:rFonts w:ascii="Palatino Linotype" w:eastAsia="Palatino Linotype" w:hAnsi="Palatino Linotype" w:cs="Palatino Linotype"/>
          <w:b/>
          <w:sz w:val="22"/>
          <w:szCs w:val="22"/>
        </w:rPr>
        <w:t xml:space="preserve">Sujeto Obligado </w:t>
      </w:r>
      <w:r w:rsidRPr="00271FF4">
        <w:rPr>
          <w:rFonts w:ascii="Palatino Linotype" w:eastAsia="Palatino Linotype" w:hAnsi="Palatino Linotype" w:cs="Palatino Linotype"/>
          <w:sz w:val="22"/>
          <w:szCs w:val="22"/>
        </w:rPr>
        <w:t>por conducto del servidor público habilitado de la Dirección de Administración y Finanzas entregó una relación con los nombres de cinco servidores públicos que se separaron de su cargo, señalando: el puesto, modalidad de empleo, área de adscripción y motivo de separación.</w:t>
      </w:r>
    </w:p>
    <w:p w14:paraId="017A7932" w14:textId="77777777" w:rsidR="000A2FD5" w:rsidRPr="00271FF4" w:rsidRDefault="000A2FD5">
      <w:pPr>
        <w:pBdr>
          <w:top w:val="nil"/>
          <w:left w:val="nil"/>
          <w:bottom w:val="nil"/>
          <w:right w:val="nil"/>
          <w:between w:val="nil"/>
        </w:pBdr>
        <w:spacing w:line="360" w:lineRule="auto"/>
        <w:ind w:right="49"/>
        <w:jc w:val="both"/>
        <w:rPr>
          <w:rFonts w:ascii="Palatino Linotype" w:eastAsia="Palatino Linotype" w:hAnsi="Palatino Linotype" w:cs="Palatino Linotype"/>
          <w:b/>
          <w:i/>
          <w:sz w:val="22"/>
          <w:szCs w:val="22"/>
        </w:rPr>
      </w:pPr>
    </w:p>
    <w:p w14:paraId="52882BF5" w14:textId="77777777" w:rsidR="000A2FD5" w:rsidRPr="00271FF4" w:rsidRDefault="00BD2EBF">
      <w:pPr>
        <w:spacing w:line="360" w:lineRule="auto"/>
        <w:ind w:right="49"/>
        <w:jc w:val="both"/>
        <w:rPr>
          <w:rFonts w:ascii="Palatino Linotype" w:eastAsia="Palatino Linotype" w:hAnsi="Palatino Linotype" w:cs="Palatino Linotype"/>
          <w:b/>
          <w:sz w:val="22"/>
          <w:szCs w:val="22"/>
          <w:u w:val="single"/>
        </w:rPr>
      </w:pPr>
      <w:r w:rsidRPr="00271FF4">
        <w:rPr>
          <w:rFonts w:ascii="Palatino Linotype" w:eastAsia="Palatino Linotype" w:hAnsi="Palatino Linotype" w:cs="Palatino Linotype"/>
          <w:sz w:val="22"/>
          <w:szCs w:val="22"/>
        </w:rPr>
        <w:t xml:space="preserve">Inconforme con la respuesta la parte </w:t>
      </w:r>
      <w:r w:rsidRPr="00271FF4">
        <w:rPr>
          <w:rFonts w:ascii="Palatino Linotype" w:eastAsia="Palatino Linotype" w:hAnsi="Palatino Linotype" w:cs="Palatino Linotype"/>
          <w:b/>
          <w:sz w:val="22"/>
          <w:szCs w:val="22"/>
        </w:rPr>
        <w:t xml:space="preserve">Recurrente, </w:t>
      </w:r>
      <w:r w:rsidRPr="00271FF4">
        <w:rPr>
          <w:rFonts w:ascii="Palatino Linotype" w:eastAsia="Palatino Linotype" w:hAnsi="Palatino Linotype" w:cs="Palatino Linotype"/>
          <w:sz w:val="22"/>
          <w:szCs w:val="22"/>
        </w:rPr>
        <w:t>promovió el presente recurso de revisión en el que a manera de motivos de inconformidad se adolece medularmente de la entrega de información incompleta, ya que no se hizo entrega del soporte documental requerido, pues refiere el particular que el pidió documentación soporte no que se le indicara en una tabla los datos requeridos.</w:t>
      </w:r>
    </w:p>
    <w:p w14:paraId="4D0B4A12" w14:textId="77777777" w:rsidR="000A2FD5" w:rsidRPr="00271FF4" w:rsidRDefault="000A2FD5">
      <w:pPr>
        <w:spacing w:line="360" w:lineRule="auto"/>
        <w:ind w:right="49"/>
        <w:jc w:val="both"/>
        <w:rPr>
          <w:rFonts w:ascii="Palatino Linotype" w:eastAsia="Palatino Linotype" w:hAnsi="Palatino Linotype" w:cs="Palatino Linotype"/>
          <w:b/>
          <w:sz w:val="22"/>
          <w:szCs w:val="22"/>
          <w:u w:val="single"/>
        </w:rPr>
      </w:pPr>
    </w:p>
    <w:p w14:paraId="45256157" w14:textId="77777777" w:rsidR="000A2FD5" w:rsidRPr="00271FF4" w:rsidRDefault="00BD2EBF">
      <w:pP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Admitido el presente recurso de revisión, en términos del artículo 185 fracción II</w:t>
      </w:r>
      <w:r w:rsidRPr="00271FF4">
        <w:rPr>
          <w:rFonts w:ascii="Palatino Linotype" w:eastAsia="Palatino Linotype" w:hAnsi="Palatino Linotype" w:cs="Palatino Linotype"/>
          <w:sz w:val="22"/>
          <w:szCs w:val="22"/>
          <w:vertAlign w:val="superscript"/>
        </w:rPr>
        <w:footnoteReference w:id="3"/>
      </w:r>
      <w:r w:rsidRPr="00271FF4">
        <w:rPr>
          <w:rFonts w:ascii="Palatino Linotype" w:eastAsia="Palatino Linotype" w:hAnsi="Palatino Linotype" w:cs="Palatino Linotype"/>
          <w:sz w:val="22"/>
          <w:szCs w:val="22"/>
        </w:rPr>
        <w:t xml:space="preserve"> de la Ley de Transparencia y Acceso a la Información Pública del Estado de México y Municipios, se integró el expediente y se puso a disposición de las partes para que, en un plazo máximo de siete días hábiles, manifestaran lo que a su derecho resultara conveniente.</w:t>
      </w:r>
    </w:p>
    <w:p w14:paraId="4614276A"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0E38DB10" w14:textId="77777777" w:rsidR="000A2FD5" w:rsidRPr="00271FF4" w:rsidRDefault="00BD2EBF">
      <w:pP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lastRenderedPageBreak/>
        <w:t>Cabe resaltar que durante la etapa de manifestaciones</w:t>
      </w:r>
      <w:r w:rsidRPr="00271FF4">
        <w:rPr>
          <w:rFonts w:ascii="Palatino Linotype" w:eastAsia="Palatino Linotype" w:hAnsi="Palatino Linotype" w:cs="Palatino Linotype"/>
          <w:b/>
          <w:sz w:val="22"/>
          <w:szCs w:val="22"/>
        </w:rPr>
        <w:t xml:space="preserve">, </w:t>
      </w:r>
      <w:r w:rsidRPr="00271FF4">
        <w:rPr>
          <w:rFonts w:ascii="Palatino Linotype" w:eastAsia="Palatino Linotype" w:hAnsi="Palatino Linotype" w:cs="Palatino Linotype"/>
          <w:sz w:val="22"/>
          <w:szCs w:val="22"/>
        </w:rPr>
        <w:t xml:space="preserve">el </w:t>
      </w:r>
      <w:r w:rsidRPr="00271FF4">
        <w:rPr>
          <w:rFonts w:ascii="Palatino Linotype" w:eastAsia="Palatino Linotype" w:hAnsi="Palatino Linotype" w:cs="Palatino Linotype"/>
          <w:b/>
          <w:sz w:val="22"/>
          <w:szCs w:val="22"/>
        </w:rPr>
        <w:t xml:space="preserve">Sujeto Obligado </w:t>
      </w:r>
      <w:r w:rsidRPr="00271FF4">
        <w:rPr>
          <w:rFonts w:ascii="Palatino Linotype" w:eastAsia="Palatino Linotype" w:hAnsi="Palatino Linotype" w:cs="Palatino Linotype"/>
          <w:sz w:val="22"/>
          <w:szCs w:val="22"/>
        </w:rPr>
        <w:t xml:space="preserve">rindió su informe justificado en el que ratificó la respuesta inicial y con relación a los motivos de inconformidad de la parte </w:t>
      </w:r>
      <w:r w:rsidRPr="00271FF4">
        <w:rPr>
          <w:rFonts w:ascii="Palatino Linotype" w:eastAsia="Palatino Linotype" w:hAnsi="Palatino Linotype" w:cs="Palatino Linotype"/>
          <w:b/>
          <w:sz w:val="22"/>
          <w:szCs w:val="22"/>
        </w:rPr>
        <w:t>Recurrente</w:t>
      </w:r>
      <w:r w:rsidRPr="00271FF4">
        <w:rPr>
          <w:rFonts w:ascii="Palatino Linotype" w:eastAsia="Palatino Linotype" w:hAnsi="Palatino Linotype" w:cs="Palatino Linotype"/>
          <w:sz w:val="22"/>
          <w:szCs w:val="22"/>
        </w:rPr>
        <w:t>, relativo a la falta de entrega del soporte documental solicitado, refiere que al hacer entrega de un oficio en el cual se sustenta la información requerida se cumple con brindar el soporte documental, aunado a que conforme la Ley no existe un formato especifico o tipo de documento que deba integrar con motivo de dicho soporte.</w:t>
      </w:r>
    </w:p>
    <w:p w14:paraId="3638A837" w14:textId="77777777" w:rsidR="000A2FD5" w:rsidRPr="00271FF4" w:rsidRDefault="000A2FD5">
      <w:pPr>
        <w:pBdr>
          <w:top w:val="nil"/>
          <w:left w:val="nil"/>
          <w:bottom w:val="nil"/>
          <w:right w:val="nil"/>
          <w:between w:val="nil"/>
        </w:pBdr>
        <w:spacing w:line="360" w:lineRule="auto"/>
        <w:ind w:right="49"/>
        <w:jc w:val="both"/>
        <w:rPr>
          <w:rFonts w:ascii="Palatino Linotype" w:eastAsia="Palatino Linotype" w:hAnsi="Palatino Linotype" w:cs="Palatino Linotype"/>
          <w:sz w:val="22"/>
          <w:szCs w:val="22"/>
        </w:rPr>
      </w:pPr>
    </w:p>
    <w:p w14:paraId="369A10AF" w14:textId="77777777" w:rsidR="000A2FD5" w:rsidRPr="00271FF4" w:rsidRDefault="00BD2EBF">
      <w:pPr>
        <w:pBdr>
          <w:top w:val="nil"/>
          <w:left w:val="nil"/>
          <w:bottom w:val="nil"/>
          <w:right w:val="nil"/>
          <w:between w:val="nil"/>
        </w:pBdr>
        <w:spacing w:line="360" w:lineRule="auto"/>
        <w:ind w:right="49"/>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 xml:space="preserve">Por su lado, la parte </w:t>
      </w:r>
      <w:r w:rsidRPr="00271FF4">
        <w:rPr>
          <w:rFonts w:ascii="Palatino Linotype" w:eastAsia="Palatino Linotype" w:hAnsi="Palatino Linotype" w:cs="Palatino Linotype"/>
          <w:b/>
          <w:sz w:val="22"/>
          <w:szCs w:val="22"/>
        </w:rPr>
        <w:t xml:space="preserve">Recurrente </w:t>
      </w:r>
      <w:r w:rsidRPr="00271FF4">
        <w:rPr>
          <w:rFonts w:ascii="Palatino Linotype" w:eastAsia="Palatino Linotype" w:hAnsi="Palatino Linotype" w:cs="Palatino Linotype"/>
          <w:sz w:val="22"/>
          <w:szCs w:val="22"/>
        </w:rPr>
        <w:t>fue omisa en hacer valer manifestaciones o rendir alegatos que conforme a derecho resultaran procedentes.</w:t>
      </w:r>
    </w:p>
    <w:p w14:paraId="4F7EE716"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527404D8" w14:textId="77777777" w:rsidR="000A2FD5" w:rsidRPr="00271FF4" w:rsidRDefault="00BD2EBF">
      <w:pPr>
        <w:spacing w:line="360" w:lineRule="auto"/>
        <w:ind w:right="96"/>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 xml:space="preserve">Acotado lo anterior, no pasa por desapercibido que de los motivos de inconformidad se advierte que la parte </w:t>
      </w:r>
      <w:r w:rsidRPr="00271FF4">
        <w:rPr>
          <w:rFonts w:ascii="Palatino Linotype" w:eastAsia="Palatino Linotype" w:hAnsi="Palatino Linotype" w:cs="Palatino Linotype"/>
          <w:b/>
          <w:sz w:val="22"/>
          <w:szCs w:val="22"/>
        </w:rPr>
        <w:t>Recurrente</w:t>
      </w:r>
      <w:r w:rsidRPr="00271FF4">
        <w:rPr>
          <w:rFonts w:ascii="Palatino Linotype" w:eastAsia="Palatino Linotype" w:hAnsi="Palatino Linotype" w:cs="Palatino Linotype"/>
          <w:sz w:val="22"/>
          <w:szCs w:val="22"/>
        </w:rPr>
        <w:t xml:space="preserve"> hizo una ampliación de su solicitud de información; ello, porque de manera primigenia la persona solicitante requirió soporte documental de los motivos de separación de los servidores públicos que se encontraban laborando del 01 de enero al 31 de octubre de 2024 en el Departamento de Recursos Materiales; y, es vía recurso de revisión en el que respecto del soporte documental indica que lo requirió de todos los datos contenidos en la tabla que le remitió en respuesta el </w:t>
      </w:r>
      <w:r w:rsidRPr="00271FF4">
        <w:rPr>
          <w:rFonts w:ascii="Palatino Linotype" w:eastAsia="Palatino Linotype" w:hAnsi="Palatino Linotype" w:cs="Palatino Linotype"/>
          <w:b/>
          <w:sz w:val="22"/>
          <w:szCs w:val="22"/>
        </w:rPr>
        <w:t>Sujeto Obligado;</w:t>
      </w:r>
      <w:r w:rsidRPr="00271FF4">
        <w:rPr>
          <w:rFonts w:ascii="Palatino Linotype" w:eastAsia="Palatino Linotype" w:hAnsi="Palatino Linotype" w:cs="Palatino Linotype"/>
          <w:sz w:val="22"/>
          <w:szCs w:val="22"/>
        </w:rPr>
        <w:t xml:space="preserve"> datos que además de relacionarse con los motivos de separación de los referidos servidores públicos, también tratan del nombre, puesto, adscripción y modalidad de empleo de los aludidos servidores públicos, cuya documentación soporte respecto de esta información no fue peticionada.</w:t>
      </w:r>
    </w:p>
    <w:p w14:paraId="47EAA1BE" w14:textId="77777777" w:rsidR="000A2FD5" w:rsidRPr="00271FF4" w:rsidRDefault="000A2FD5">
      <w:pPr>
        <w:spacing w:line="360" w:lineRule="auto"/>
        <w:ind w:right="96"/>
        <w:jc w:val="both"/>
        <w:rPr>
          <w:rFonts w:ascii="Palatino Linotype" w:eastAsia="Palatino Linotype" w:hAnsi="Palatino Linotype" w:cs="Palatino Linotype"/>
          <w:sz w:val="22"/>
          <w:szCs w:val="22"/>
        </w:rPr>
      </w:pPr>
    </w:p>
    <w:p w14:paraId="0F4BD69C" w14:textId="77777777" w:rsidR="000A2FD5" w:rsidRPr="00271FF4" w:rsidRDefault="00BD2EBF">
      <w:pPr>
        <w:spacing w:line="360" w:lineRule="auto"/>
        <w:ind w:right="96"/>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 xml:space="preserve">De esta manera, lo anterior configura lo que se conoce como </w:t>
      </w:r>
      <w:r w:rsidRPr="00271FF4">
        <w:rPr>
          <w:rFonts w:ascii="Palatino Linotype" w:eastAsia="Palatino Linotype" w:hAnsi="Palatino Linotype" w:cs="Palatino Linotype"/>
          <w:i/>
          <w:sz w:val="22"/>
          <w:szCs w:val="22"/>
        </w:rPr>
        <w:t xml:space="preserve">plus </w:t>
      </w:r>
      <w:proofErr w:type="spellStart"/>
      <w:r w:rsidRPr="00271FF4">
        <w:rPr>
          <w:rFonts w:ascii="Palatino Linotype" w:eastAsia="Palatino Linotype" w:hAnsi="Palatino Linotype" w:cs="Palatino Linotype"/>
          <w:i/>
          <w:sz w:val="22"/>
          <w:szCs w:val="22"/>
        </w:rPr>
        <w:t>petitio</w:t>
      </w:r>
      <w:proofErr w:type="spellEnd"/>
      <w:r w:rsidRPr="00271FF4">
        <w:rPr>
          <w:rFonts w:ascii="Palatino Linotype" w:eastAsia="Palatino Linotype" w:hAnsi="Palatino Linotype" w:cs="Palatino Linotype"/>
          <w:b/>
          <w:i/>
          <w:sz w:val="22"/>
          <w:szCs w:val="22"/>
        </w:rPr>
        <w:t xml:space="preserve">, </w:t>
      </w:r>
      <w:r w:rsidRPr="00271FF4">
        <w:rPr>
          <w:rFonts w:ascii="Palatino Linotype" w:eastAsia="Palatino Linotype" w:hAnsi="Palatino Linotype" w:cs="Palatino Linotype"/>
          <w:sz w:val="22"/>
          <w:szCs w:val="22"/>
        </w:rPr>
        <w:t xml:space="preserve">que consiste en una ampliación a su requerimiento informativo, argumentos que no son susceptibles de </w:t>
      </w:r>
      <w:r w:rsidRPr="00271FF4">
        <w:rPr>
          <w:rFonts w:ascii="Palatino Linotype" w:eastAsia="Palatino Linotype" w:hAnsi="Palatino Linotype" w:cs="Palatino Linotype"/>
          <w:sz w:val="22"/>
          <w:szCs w:val="22"/>
        </w:rPr>
        <w:lastRenderedPageBreak/>
        <w:t xml:space="preserve">ser valorados en términos de la fracción VII del Artículo 191 de la Ley de Transparencia y Acceso a la Información Pública del Estado de México y Municipios,  pues la parte </w:t>
      </w:r>
      <w:r w:rsidRPr="00271FF4">
        <w:rPr>
          <w:rFonts w:ascii="Palatino Linotype" w:eastAsia="Palatino Linotype" w:hAnsi="Palatino Linotype" w:cs="Palatino Linotype"/>
          <w:b/>
          <w:sz w:val="22"/>
          <w:szCs w:val="22"/>
        </w:rPr>
        <w:t>Recurrente</w:t>
      </w:r>
      <w:r w:rsidRPr="00271FF4">
        <w:rPr>
          <w:rFonts w:ascii="Palatino Linotype" w:eastAsia="Palatino Linotype" w:hAnsi="Palatino Linotype" w:cs="Palatino Linotype"/>
          <w:sz w:val="22"/>
          <w:szCs w:val="22"/>
        </w:rPr>
        <w:t xml:space="preserve"> formuló nuevos cuestionamientos, en los que solicitó información que no formó parte de su solicitud inicial y por lo tanto no son inatendibles a través del recurso de revisión. </w:t>
      </w:r>
    </w:p>
    <w:p w14:paraId="6B74D751" w14:textId="77777777" w:rsidR="000A2FD5" w:rsidRPr="00271FF4" w:rsidRDefault="000A2FD5">
      <w:pPr>
        <w:spacing w:line="360" w:lineRule="auto"/>
        <w:ind w:right="96"/>
        <w:jc w:val="both"/>
        <w:rPr>
          <w:sz w:val="22"/>
          <w:szCs w:val="22"/>
        </w:rPr>
      </w:pPr>
    </w:p>
    <w:p w14:paraId="7C75248D" w14:textId="77777777" w:rsidR="000A2FD5" w:rsidRPr="00271FF4" w:rsidRDefault="00BD2EBF">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En este tenor, es posible determinar que para el caso que nos ocupa, los argumentos formulados como motivos de inconformidad son una ampliación a la solicitud inicial y corresponden a nuevos requerimientos de información, que no se encuentran relacionados con lo solicitado en un primer momento.</w:t>
      </w:r>
    </w:p>
    <w:p w14:paraId="3508253E" w14:textId="77777777" w:rsidR="000A2FD5" w:rsidRPr="00271FF4" w:rsidRDefault="000A2FD5">
      <w:pPr>
        <w:pBdr>
          <w:top w:val="nil"/>
          <w:left w:val="nil"/>
          <w:bottom w:val="nil"/>
          <w:right w:val="nil"/>
          <w:between w:val="nil"/>
        </w:pBdr>
        <w:spacing w:line="360" w:lineRule="auto"/>
        <w:jc w:val="both"/>
        <w:rPr>
          <w:sz w:val="22"/>
          <w:szCs w:val="22"/>
        </w:rPr>
      </w:pPr>
    </w:p>
    <w:p w14:paraId="14898448" w14:textId="77777777" w:rsidR="000A2FD5" w:rsidRPr="00271FF4" w:rsidRDefault="00BD2EBF">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En este orden de ideas, una vez formulada su solicitud inicial,</w:t>
      </w:r>
      <w:r w:rsidRPr="00271FF4">
        <w:rPr>
          <w:rFonts w:ascii="Palatino Linotype" w:eastAsia="Palatino Linotype" w:hAnsi="Palatino Linotype" w:cs="Palatino Linotype"/>
          <w:i/>
          <w:sz w:val="22"/>
          <w:szCs w:val="22"/>
        </w:rPr>
        <w:t xml:space="preserve"> </w:t>
      </w:r>
      <w:r w:rsidRPr="00271FF4">
        <w:rPr>
          <w:rFonts w:ascii="Palatino Linotype" w:eastAsia="Palatino Linotype" w:hAnsi="Palatino Linotype" w:cs="Palatino Linotype"/>
          <w:sz w:val="22"/>
          <w:szCs w:val="22"/>
        </w:rPr>
        <w:t>los particulares no pueden modificarla o ampliarla a través de posteriores promociones o en el momento de ingresar su recurso de revisión; por tanto, la materia de las solicitudes de información se circunscribe a que se permita el acceso a los documentos inicialmente solicitados y en su caso a los aclarados o corregidos.</w:t>
      </w:r>
    </w:p>
    <w:p w14:paraId="7AA47FF1" w14:textId="77777777" w:rsidR="000A2FD5" w:rsidRPr="00271FF4" w:rsidRDefault="000A2FD5">
      <w:pPr>
        <w:pBdr>
          <w:top w:val="nil"/>
          <w:left w:val="nil"/>
          <w:bottom w:val="nil"/>
          <w:right w:val="nil"/>
          <w:between w:val="nil"/>
        </w:pBdr>
        <w:spacing w:line="360" w:lineRule="auto"/>
        <w:jc w:val="both"/>
        <w:rPr>
          <w:sz w:val="22"/>
          <w:szCs w:val="22"/>
        </w:rPr>
      </w:pPr>
    </w:p>
    <w:p w14:paraId="13CD2CD3" w14:textId="77777777" w:rsidR="000A2FD5" w:rsidRPr="00271FF4" w:rsidRDefault="00BD2EBF">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Robustece lo anterior lo plasmado en el criterio orientador número 01/17 emitido por el Instituto Nacional de Transparencia, Acceso a la Información y Protección de Datos Personales, INAI, que lleva por rubro y texto lo que a continuación se transcribe:</w:t>
      </w:r>
    </w:p>
    <w:p w14:paraId="413D6043" w14:textId="77777777" w:rsidR="000A2FD5" w:rsidRPr="00271FF4" w:rsidRDefault="000A2FD5">
      <w:pPr>
        <w:pBdr>
          <w:top w:val="nil"/>
          <w:left w:val="nil"/>
          <w:bottom w:val="nil"/>
          <w:right w:val="nil"/>
          <w:between w:val="nil"/>
        </w:pBdr>
        <w:spacing w:line="360" w:lineRule="auto"/>
        <w:jc w:val="both"/>
        <w:rPr>
          <w:sz w:val="22"/>
          <w:szCs w:val="22"/>
        </w:rPr>
      </w:pPr>
    </w:p>
    <w:p w14:paraId="6AA2BA5C" w14:textId="77777777" w:rsidR="000A2FD5" w:rsidRPr="00271FF4" w:rsidRDefault="00BD2EBF">
      <w:pPr>
        <w:pBdr>
          <w:top w:val="nil"/>
          <w:left w:val="nil"/>
          <w:bottom w:val="nil"/>
          <w:right w:val="nil"/>
          <w:between w:val="nil"/>
        </w:pBdr>
        <w:spacing w:line="276" w:lineRule="auto"/>
        <w:ind w:left="567" w:right="616"/>
        <w:jc w:val="both"/>
        <w:rPr>
          <w:sz w:val="22"/>
          <w:szCs w:val="22"/>
        </w:rPr>
      </w:pPr>
      <w:r w:rsidRPr="00271FF4">
        <w:rPr>
          <w:rFonts w:ascii="Palatino Linotype" w:eastAsia="Palatino Linotype" w:hAnsi="Palatino Linotype" w:cs="Palatino Linotype"/>
          <w:i/>
          <w:sz w:val="22"/>
          <w:szCs w:val="22"/>
        </w:rPr>
        <w:t>“</w:t>
      </w:r>
      <w:r w:rsidRPr="00271FF4">
        <w:rPr>
          <w:rFonts w:ascii="Palatino Linotype" w:eastAsia="Palatino Linotype" w:hAnsi="Palatino Linotype" w:cs="Palatino Linotype"/>
          <w:b/>
          <w:i/>
          <w:sz w:val="22"/>
          <w:szCs w:val="22"/>
        </w:rPr>
        <w:t xml:space="preserve">Es improcedente ampliar las solicitudes de acceso a información, a través de la interposición del recurso de revisión. </w:t>
      </w:r>
      <w:r w:rsidRPr="00271FF4">
        <w:rPr>
          <w:rFonts w:ascii="Palatino Linotype" w:eastAsia="Palatino Linotype" w:hAnsi="Palatino Linotype" w:cs="Palatino Linotype"/>
          <w:i/>
          <w:sz w:val="22"/>
          <w:szCs w:val="22"/>
        </w:rPr>
        <w:t xml:space="preserve">En términos de los artículos 155, fracción VII de la Ley General de Transparencia y Acceso a la Información Pública, y 161, fracción VII de la Ley Federal de Transparencia y Acceso a la Información Pública, en aquellos casos en que los recurrentes, mediante su recurso de revisión, amplíen los alcances de la solicitud de información inicial, los nuevos contenidos no podrán </w:t>
      </w:r>
      <w:r w:rsidRPr="00271FF4">
        <w:rPr>
          <w:rFonts w:ascii="Palatino Linotype" w:eastAsia="Palatino Linotype" w:hAnsi="Palatino Linotype" w:cs="Palatino Linotype"/>
          <w:i/>
          <w:sz w:val="22"/>
          <w:szCs w:val="22"/>
        </w:rPr>
        <w:lastRenderedPageBreak/>
        <w:t>constituir materia del procedimiento a sustanciarse por el Instituto Nacional de Transparencia, Acceso a la Información y Protección de Datos Personales; actualizándose la hipótesis de improcedencia respectiva</w:t>
      </w:r>
      <w:r w:rsidRPr="00271FF4">
        <w:rPr>
          <w:rFonts w:ascii="Palatino Linotype" w:eastAsia="Palatino Linotype" w:hAnsi="Palatino Linotype" w:cs="Palatino Linotype"/>
          <w:b/>
          <w:i/>
          <w:sz w:val="22"/>
          <w:szCs w:val="22"/>
        </w:rPr>
        <w:t>.</w:t>
      </w:r>
      <w:r w:rsidRPr="00271FF4">
        <w:rPr>
          <w:rFonts w:ascii="Palatino Linotype" w:eastAsia="Palatino Linotype" w:hAnsi="Palatino Linotype" w:cs="Palatino Linotype"/>
          <w:i/>
          <w:sz w:val="22"/>
          <w:szCs w:val="22"/>
        </w:rPr>
        <w:t>”</w:t>
      </w:r>
    </w:p>
    <w:p w14:paraId="7FD45B52" w14:textId="77777777" w:rsidR="000A2FD5" w:rsidRPr="00271FF4" w:rsidRDefault="000A2FD5">
      <w:pPr>
        <w:spacing w:line="360" w:lineRule="auto"/>
        <w:ind w:right="96"/>
        <w:jc w:val="both"/>
        <w:rPr>
          <w:rFonts w:ascii="Palatino Linotype" w:eastAsia="Palatino Linotype" w:hAnsi="Palatino Linotype" w:cs="Palatino Linotype"/>
          <w:sz w:val="22"/>
          <w:szCs w:val="22"/>
        </w:rPr>
      </w:pPr>
    </w:p>
    <w:p w14:paraId="10C05B51" w14:textId="77777777" w:rsidR="000A2FD5" w:rsidRPr="00271FF4" w:rsidRDefault="00BD2EBF">
      <w:pPr>
        <w:spacing w:line="360" w:lineRule="auto"/>
        <w:ind w:right="96"/>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No obstante, lo anterior se dejan a salvo los derechos del particular para que formule una nueva solicitud en la que requiera la documentación soporte respecto del</w:t>
      </w:r>
      <w:r w:rsidRPr="00271FF4">
        <w:t xml:space="preserve"> </w:t>
      </w:r>
      <w:r w:rsidRPr="00271FF4">
        <w:rPr>
          <w:rFonts w:ascii="Palatino Linotype" w:eastAsia="Palatino Linotype" w:hAnsi="Palatino Linotype" w:cs="Palatino Linotype"/>
          <w:sz w:val="22"/>
          <w:szCs w:val="22"/>
        </w:rPr>
        <w:t xml:space="preserve">nombre, puesto, adscripción y modalidad de empleo de los servidores públicos que se encontraban laborando del 01 de enero al 31 de octubre de 2024 en el Departamento de Recursos Materiales. </w:t>
      </w:r>
    </w:p>
    <w:p w14:paraId="3E7BF616" w14:textId="77777777" w:rsidR="000A2FD5" w:rsidRPr="00271FF4" w:rsidRDefault="000A2FD5">
      <w:pPr>
        <w:pBdr>
          <w:top w:val="nil"/>
          <w:left w:val="nil"/>
          <w:bottom w:val="nil"/>
          <w:right w:val="nil"/>
          <w:between w:val="nil"/>
        </w:pBdr>
        <w:spacing w:line="360" w:lineRule="auto"/>
        <w:ind w:right="49"/>
        <w:jc w:val="both"/>
        <w:rPr>
          <w:rFonts w:ascii="Palatino Linotype" w:eastAsia="Palatino Linotype" w:hAnsi="Palatino Linotype" w:cs="Palatino Linotype"/>
          <w:sz w:val="22"/>
          <w:szCs w:val="22"/>
        </w:rPr>
      </w:pPr>
    </w:p>
    <w:p w14:paraId="349C84A8" w14:textId="77777777" w:rsidR="000A2FD5" w:rsidRPr="00271FF4" w:rsidRDefault="00BD2EBF">
      <w:pPr>
        <w:pBdr>
          <w:top w:val="nil"/>
          <w:left w:val="nil"/>
          <w:bottom w:val="nil"/>
          <w:right w:val="nil"/>
          <w:between w:val="nil"/>
        </w:pBdr>
        <w:spacing w:line="360" w:lineRule="auto"/>
        <w:ind w:right="49"/>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 xml:space="preserve">Precisado lo anterior, también se destaca que en el caso </w:t>
      </w:r>
      <w:r w:rsidRPr="00271FF4">
        <w:rPr>
          <w:rFonts w:ascii="Palatino Linotype" w:eastAsia="Palatino Linotype" w:hAnsi="Palatino Linotype" w:cs="Palatino Linotype"/>
          <w:b/>
          <w:sz w:val="22"/>
          <w:szCs w:val="22"/>
        </w:rPr>
        <w:t>los motivos de inconformidad no versan sobre la totalidad de la información requerida</w:t>
      </w:r>
      <w:r w:rsidRPr="00271FF4">
        <w:rPr>
          <w:rFonts w:ascii="Palatino Linotype" w:eastAsia="Palatino Linotype" w:hAnsi="Palatino Linotype" w:cs="Palatino Linotype"/>
          <w:sz w:val="22"/>
          <w:szCs w:val="22"/>
        </w:rPr>
        <w:t>, sino de que no se entregó</w:t>
      </w:r>
      <w:r w:rsidRPr="00271FF4">
        <w:t xml:space="preserve"> </w:t>
      </w:r>
      <w:r w:rsidRPr="00271FF4">
        <w:rPr>
          <w:rFonts w:ascii="Palatino Linotype" w:eastAsia="Palatino Linotype" w:hAnsi="Palatino Linotype" w:cs="Palatino Linotype"/>
          <w:b/>
          <w:sz w:val="22"/>
          <w:szCs w:val="22"/>
          <w:u w:val="single"/>
        </w:rPr>
        <w:t>el soporte documental requerido, que atendiendo la literalidad de la solicitud de información consiste en el soporte documental del motivo de separación de su cargo de los servidores públicos que laboraron en el Departamento de Recursos Materiales en el periodo indicado</w:t>
      </w:r>
      <w:r w:rsidRPr="00271FF4">
        <w:rPr>
          <w:rFonts w:ascii="Palatino Linotype" w:eastAsia="Palatino Linotype" w:hAnsi="Palatino Linotype" w:cs="Palatino Linotype"/>
          <w:sz w:val="22"/>
          <w:szCs w:val="22"/>
        </w:rPr>
        <w:t xml:space="preserve">; en consecuencia, deben declararse consentidos los demás rubros de la solicitud, toda vez que, al no haberse realizado manifestaciones de inconformidad al respecto, no pueden producirse efectos jurídicos tendentes a revocar, confirmar o modificar el acto reclamado, ya que, en el caso concreto se infiere que la información proporcionada por el </w:t>
      </w:r>
      <w:r w:rsidRPr="00271FF4">
        <w:rPr>
          <w:rFonts w:ascii="Palatino Linotype" w:eastAsia="Palatino Linotype" w:hAnsi="Palatino Linotype" w:cs="Palatino Linotype"/>
          <w:b/>
          <w:sz w:val="22"/>
          <w:szCs w:val="22"/>
        </w:rPr>
        <w:t>Sujeto Obligado,</w:t>
      </w:r>
      <w:r w:rsidRPr="00271FF4">
        <w:rPr>
          <w:rFonts w:ascii="Palatino Linotype" w:eastAsia="Palatino Linotype" w:hAnsi="Palatino Linotype" w:cs="Palatino Linotype"/>
          <w:sz w:val="22"/>
          <w:szCs w:val="22"/>
        </w:rPr>
        <w:t xml:space="preserve"> satisface parte de la solicitud presentada.</w:t>
      </w:r>
    </w:p>
    <w:p w14:paraId="7399F2A0"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73FDDCE8" w14:textId="77777777" w:rsidR="000A2FD5" w:rsidRPr="00271FF4" w:rsidRDefault="00BD2EBF">
      <w:pP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 xml:space="preserve">Lo anterior es así, debido a que cuando la parte </w:t>
      </w:r>
      <w:r w:rsidRPr="00271FF4">
        <w:rPr>
          <w:rFonts w:ascii="Palatino Linotype" w:eastAsia="Palatino Linotype" w:hAnsi="Palatino Linotype" w:cs="Palatino Linotype"/>
          <w:b/>
          <w:sz w:val="22"/>
          <w:szCs w:val="22"/>
        </w:rPr>
        <w:t xml:space="preserve">Recurrente </w:t>
      </w:r>
      <w:r w:rsidRPr="00271FF4">
        <w:rPr>
          <w:rFonts w:ascii="Palatino Linotype" w:eastAsia="Palatino Linotype" w:hAnsi="Palatino Linotype" w:cs="Palatino Linotype"/>
          <w:sz w:val="22"/>
          <w:szCs w:val="22"/>
        </w:rPr>
        <w:t xml:space="preserve">impugna la respuesta del </w:t>
      </w:r>
      <w:r w:rsidRPr="00271FF4">
        <w:rPr>
          <w:rFonts w:ascii="Palatino Linotype" w:eastAsia="Palatino Linotype" w:hAnsi="Palatino Linotype" w:cs="Palatino Linotype"/>
          <w:b/>
          <w:sz w:val="22"/>
          <w:szCs w:val="22"/>
        </w:rPr>
        <w:t>Sujeto Obligado</w:t>
      </w:r>
      <w:r w:rsidRPr="00271FF4">
        <w:rPr>
          <w:rFonts w:ascii="Palatino Linotype" w:eastAsia="Palatino Linotype" w:hAnsi="Palatino Linotype" w:cs="Palatino Linotype"/>
          <w:sz w:val="22"/>
          <w:szCs w:val="22"/>
        </w:rPr>
        <w:t xml:space="preserve">, y este no expresa Razón o Motivo de Inconformidad en contra de todos los rubros solicitados, los rubros no impugnados deben declararse atendidos, pues se entiende que la parte </w:t>
      </w:r>
      <w:r w:rsidRPr="00271FF4">
        <w:rPr>
          <w:rFonts w:ascii="Palatino Linotype" w:eastAsia="Palatino Linotype" w:hAnsi="Palatino Linotype" w:cs="Palatino Linotype"/>
          <w:b/>
          <w:sz w:val="22"/>
          <w:szCs w:val="22"/>
        </w:rPr>
        <w:t>Recurrente</w:t>
      </w:r>
      <w:r w:rsidRPr="00271FF4">
        <w:rPr>
          <w:rFonts w:ascii="Palatino Linotype" w:eastAsia="Palatino Linotype" w:hAnsi="Palatino Linotype" w:cs="Palatino Linotype"/>
          <w:sz w:val="22"/>
          <w:szCs w:val="22"/>
        </w:rPr>
        <w:t xml:space="preserve"> ésta conforme con la información entregada al no contravenir la misma. Sirve de Apoyo a lo anterior, por analogía la Tesis Jurisprudencial Número 3ª./J.7/91, </w:t>
      </w:r>
      <w:r w:rsidRPr="00271FF4">
        <w:rPr>
          <w:rFonts w:ascii="Palatino Linotype" w:eastAsia="Palatino Linotype" w:hAnsi="Palatino Linotype" w:cs="Palatino Linotype"/>
          <w:sz w:val="22"/>
          <w:szCs w:val="22"/>
        </w:rPr>
        <w:lastRenderedPageBreak/>
        <w:t>Publicada en el Semanario Judicial de la Federación y su Gaceta bajo el número de registro 174,177, que establece lo siguiente:</w:t>
      </w:r>
    </w:p>
    <w:p w14:paraId="6D10A8FD"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332FE3BA" w14:textId="77777777" w:rsidR="000A2FD5" w:rsidRPr="00271FF4" w:rsidRDefault="00BD2EBF">
      <w:pPr>
        <w:spacing w:line="276" w:lineRule="auto"/>
        <w:ind w:left="567" w:right="616"/>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b/>
          <w:i/>
          <w:sz w:val="22"/>
          <w:szCs w:val="22"/>
        </w:rPr>
        <w:t xml:space="preserve">“REVISIÓN EN AMPARO. LOS RESOLUTIVOS NO COMBATIDOS DEBEN DECLARARSE FIRMES. </w:t>
      </w:r>
      <w:r w:rsidRPr="00271FF4">
        <w:rPr>
          <w:rFonts w:ascii="Palatino Linotype" w:eastAsia="Palatino Linotype" w:hAnsi="Palatino Linotype" w:cs="Palatino Linotype"/>
          <w:i/>
          <w:sz w:val="22"/>
          <w:szCs w:val="22"/>
        </w:rPr>
        <w:t>Cuando algún resolutivo de la sentencia impugnada afecta a la recurrente, y ésta no expresa agravio en contra de las consideraciones que le sirven de base, dicho resolutivo debe declararse firme. Esto es, en el caso referido, no obstante que la materia de la revisión comprende a todos los resolutivos que afectan a la recurrente, deben declararse firmes aquéllos en contra de los cuales no se formuló agravio y dicha declaración de firmeza debe reflejarse en la parte considerativa y en los resolutivos debe confirmarse la sentencia recurrida en la parte correspondiente.”</w:t>
      </w:r>
    </w:p>
    <w:p w14:paraId="4F402D1D" w14:textId="77777777" w:rsidR="000A2FD5" w:rsidRPr="00271FF4" w:rsidRDefault="000A2FD5">
      <w:pPr>
        <w:spacing w:line="276" w:lineRule="auto"/>
        <w:ind w:left="567" w:right="616"/>
        <w:jc w:val="both"/>
        <w:rPr>
          <w:rFonts w:ascii="Palatino Linotype" w:eastAsia="Palatino Linotype" w:hAnsi="Palatino Linotype" w:cs="Palatino Linotype"/>
          <w:i/>
          <w:sz w:val="22"/>
          <w:szCs w:val="22"/>
        </w:rPr>
      </w:pPr>
    </w:p>
    <w:p w14:paraId="6C0F8381" w14:textId="77777777" w:rsidR="000A2FD5" w:rsidRPr="00271FF4" w:rsidRDefault="00BD2EBF">
      <w:pP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Consecuentemente, se insiste, ante la falta de impugnación eficaz de todos los rubros solicitados, los no controvertidos deben declararse consentidos.</w:t>
      </w:r>
    </w:p>
    <w:p w14:paraId="2A34E121"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49AD6CCE" w14:textId="77777777" w:rsidR="000A2FD5" w:rsidRPr="00271FF4" w:rsidRDefault="00BD2EBF">
      <w:pP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 xml:space="preserve">Lo anterior se sustenta con lo plasmado en el criterio 01/20 emitido por el Instituto Nacional de Transparencia, Acceso a la Información, y Protección de Datos Personales, INAI, que lleva por rubro y texto los siguientes: </w:t>
      </w:r>
    </w:p>
    <w:p w14:paraId="1D33EF0F"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6C66CC37" w14:textId="77777777" w:rsidR="000A2FD5" w:rsidRPr="00271FF4" w:rsidRDefault="00BD2EBF">
      <w:pPr>
        <w:pBdr>
          <w:top w:val="nil"/>
          <w:left w:val="nil"/>
          <w:bottom w:val="nil"/>
          <w:right w:val="nil"/>
          <w:between w:val="nil"/>
        </w:pBdr>
        <w:spacing w:line="276" w:lineRule="auto"/>
        <w:ind w:left="567" w:right="902"/>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w:t>
      </w:r>
      <w:r w:rsidRPr="00271FF4">
        <w:rPr>
          <w:rFonts w:ascii="Palatino Linotype" w:eastAsia="Palatino Linotype" w:hAnsi="Palatino Linotype" w:cs="Palatino Linotype"/>
          <w:b/>
          <w:i/>
          <w:sz w:val="22"/>
          <w:szCs w:val="22"/>
        </w:rPr>
        <w:t xml:space="preserve">Actos consentidos tácitamente. Improcedencia de su análisis. </w:t>
      </w:r>
      <w:r w:rsidRPr="00271FF4">
        <w:rPr>
          <w:rFonts w:ascii="Palatino Linotype" w:eastAsia="Palatino Linotype" w:hAnsi="Palatino Linotype" w:cs="Palatino Linotype"/>
          <w:i/>
          <w:sz w:val="22"/>
          <w:szCs w:val="22"/>
        </w:rPr>
        <w:t>Si en su recurso de revisión, la persona recurrente no expresó inconformidad alguna con ciertas partes de la respuesta otorgada, se entienden tácitamente consentidas, por ende, no deben formar parte del estudio de fondo de la resolución que emite el Instituto.”</w:t>
      </w:r>
    </w:p>
    <w:p w14:paraId="3EB55BE8" w14:textId="77777777" w:rsidR="000A2FD5" w:rsidRPr="00271FF4" w:rsidRDefault="000A2FD5">
      <w:pPr>
        <w:pBdr>
          <w:top w:val="nil"/>
          <w:left w:val="nil"/>
          <w:bottom w:val="nil"/>
          <w:right w:val="nil"/>
          <w:between w:val="nil"/>
        </w:pBdr>
        <w:spacing w:line="360" w:lineRule="auto"/>
        <w:ind w:left="567" w:right="902"/>
        <w:jc w:val="both"/>
        <w:rPr>
          <w:rFonts w:ascii="Palatino Linotype" w:eastAsia="Palatino Linotype" w:hAnsi="Palatino Linotype" w:cs="Palatino Linotype"/>
          <w:i/>
          <w:sz w:val="22"/>
          <w:szCs w:val="22"/>
        </w:rPr>
      </w:pPr>
    </w:p>
    <w:p w14:paraId="4E93ABEC" w14:textId="77777777" w:rsidR="000A2FD5" w:rsidRPr="00271FF4" w:rsidRDefault="00BD2EBF">
      <w:pP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Asimismo, resulta aplicable por analogía la tesis jurisprudencial número VI.3o.C. J/60, publicada en el Semanario Judicial de la Federación y su Gaceta bajo el número de registro 176,608 que a la letra dice:</w:t>
      </w:r>
    </w:p>
    <w:p w14:paraId="12375202" w14:textId="77777777" w:rsidR="000A2FD5" w:rsidRPr="00271FF4" w:rsidRDefault="000A2FD5">
      <w:pPr>
        <w:spacing w:line="360" w:lineRule="auto"/>
        <w:ind w:left="851" w:right="900"/>
        <w:jc w:val="both"/>
        <w:rPr>
          <w:rFonts w:ascii="Palatino Linotype" w:eastAsia="Palatino Linotype" w:hAnsi="Palatino Linotype" w:cs="Palatino Linotype"/>
          <w:b/>
          <w:i/>
          <w:smallCaps/>
          <w:sz w:val="22"/>
          <w:szCs w:val="22"/>
        </w:rPr>
      </w:pPr>
    </w:p>
    <w:p w14:paraId="6F51BEF6" w14:textId="77777777" w:rsidR="000A2FD5" w:rsidRPr="00271FF4" w:rsidRDefault="00BD2EBF">
      <w:pPr>
        <w:tabs>
          <w:tab w:val="left" w:pos="851"/>
          <w:tab w:val="left" w:pos="1276"/>
        </w:tabs>
        <w:spacing w:line="276" w:lineRule="auto"/>
        <w:ind w:left="567" w:right="709"/>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b/>
          <w:i/>
          <w:smallCaps/>
          <w:sz w:val="22"/>
          <w:szCs w:val="22"/>
        </w:rPr>
        <w:lastRenderedPageBreak/>
        <w:t xml:space="preserve">“ACTOS CONSENTIDOS. SON LOS QUE NO SE IMPUGNAN MEDIANTE EL RECURSO IDÓNEO. </w:t>
      </w:r>
      <w:r w:rsidRPr="00271FF4">
        <w:rPr>
          <w:rFonts w:ascii="Palatino Linotype" w:eastAsia="Palatino Linotype" w:hAnsi="Palatino Linotype" w:cs="Palatino Linotype"/>
          <w:i/>
          <w:sz w:val="22"/>
          <w:szCs w:val="22"/>
        </w:rPr>
        <w:t xml:space="preserve">Debe reputarse como consentido el acto que no se impugnó por el medio establecido por la ley, </w:t>
      </w:r>
      <w:proofErr w:type="gramStart"/>
      <w:r w:rsidRPr="00271FF4">
        <w:rPr>
          <w:rFonts w:ascii="Palatino Linotype" w:eastAsia="Palatino Linotype" w:hAnsi="Palatino Linotype" w:cs="Palatino Linotype"/>
          <w:i/>
          <w:sz w:val="22"/>
          <w:szCs w:val="22"/>
        </w:rPr>
        <w:t>ya que</w:t>
      </w:r>
      <w:proofErr w:type="gramEnd"/>
      <w:r w:rsidRPr="00271FF4">
        <w:rPr>
          <w:rFonts w:ascii="Palatino Linotype" w:eastAsia="Palatino Linotype" w:hAnsi="Palatino Linotype" w:cs="Palatino Linotype"/>
          <w:i/>
          <w:sz w:val="22"/>
          <w:szCs w:val="22"/>
        </w:rPr>
        <w:t xml:space="preserve"> si se hizo uso de otro no previsto por ella o si se hace una simple manifestación de inconformidad, tales actuaciones no producen efectos jurídicos tendientes a revocar, confirmar o modificar el acto reclamado en amparo, lo que significa consentimiento del mismo por falta de impugnación eficaz.”</w:t>
      </w:r>
    </w:p>
    <w:p w14:paraId="2E17D1F6" w14:textId="77777777" w:rsidR="000A2FD5" w:rsidRPr="00271FF4" w:rsidRDefault="000A2FD5">
      <w:pPr>
        <w:pBdr>
          <w:top w:val="nil"/>
          <w:left w:val="nil"/>
          <w:bottom w:val="nil"/>
          <w:right w:val="nil"/>
          <w:between w:val="nil"/>
        </w:pBdr>
        <w:spacing w:line="360" w:lineRule="auto"/>
        <w:ind w:right="49"/>
        <w:jc w:val="both"/>
        <w:rPr>
          <w:rFonts w:ascii="Palatino Linotype" w:eastAsia="Palatino Linotype" w:hAnsi="Palatino Linotype" w:cs="Palatino Linotype"/>
          <w:sz w:val="22"/>
          <w:szCs w:val="22"/>
        </w:rPr>
      </w:pPr>
    </w:p>
    <w:p w14:paraId="62DEA81A" w14:textId="77777777" w:rsidR="000A2FD5" w:rsidRPr="00271FF4" w:rsidRDefault="00BD2EBF">
      <w:pPr>
        <w:pBdr>
          <w:top w:val="nil"/>
          <w:left w:val="nil"/>
          <w:bottom w:val="nil"/>
          <w:right w:val="nil"/>
          <w:between w:val="nil"/>
        </w:pBdr>
        <w:spacing w:line="360" w:lineRule="auto"/>
        <w:ind w:right="49"/>
        <w:jc w:val="both"/>
        <w:rPr>
          <w:rFonts w:ascii="Palatino Linotype" w:eastAsia="Palatino Linotype" w:hAnsi="Palatino Linotype" w:cs="Palatino Linotype"/>
          <w:b/>
          <w:sz w:val="22"/>
          <w:szCs w:val="22"/>
          <w:u w:val="single"/>
        </w:rPr>
      </w:pPr>
      <w:r w:rsidRPr="00271FF4">
        <w:rPr>
          <w:rFonts w:ascii="Palatino Linotype" w:eastAsia="Palatino Linotype" w:hAnsi="Palatino Linotype" w:cs="Palatino Linotype"/>
          <w:sz w:val="22"/>
          <w:szCs w:val="22"/>
        </w:rPr>
        <w:t xml:space="preserve">Dicho lo anterior, en el presente asunto únicamente procederá el estudio de la falta de entrega de: </w:t>
      </w:r>
      <w:r w:rsidRPr="00271FF4">
        <w:rPr>
          <w:rFonts w:ascii="Palatino Linotype" w:eastAsia="Palatino Linotype" w:hAnsi="Palatino Linotype" w:cs="Palatino Linotype"/>
          <w:b/>
          <w:sz w:val="22"/>
          <w:szCs w:val="22"/>
          <w:u w:val="single"/>
        </w:rPr>
        <w:t>el soporte documental del motivo de separación de su cargo de los servidores públicos que laboraron en el Departamento de Recursos Materiales en el periodo indicado.</w:t>
      </w:r>
    </w:p>
    <w:p w14:paraId="12E3D034" w14:textId="77777777" w:rsidR="000A2FD5" w:rsidRPr="00271FF4" w:rsidRDefault="000A2FD5">
      <w:pPr>
        <w:pBdr>
          <w:top w:val="nil"/>
          <w:left w:val="nil"/>
          <w:bottom w:val="nil"/>
          <w:right w:val="nil"/>
          <w:between w:val="nil"/>
        </w:pBdr>
        <w:spacing w:line="360" w:lineRule="auto"/>
        <w:ind w:right="49"/>
        <w:jc w:val="both"/>
        <w:rPr>
          <w:rFonts w:ascii="Palatino Linotype" w:eastAsia="Palatino Linotype" w:hAnsi="Palatino Linotype" w:cs="Palatino Linotype"/>
          <w:b/>
          <w:sz w:val="22"/>
          <w:szCs w:val="22"/>
          <w:u w:val="single"/>
        </w:rPr>
      </w:pPr>
    </w:p>
    <w:p w14:paraId="48B71DCD" w14:textId="77777777" w:rsidR="000A2FD5" w:rsidRPr="00271FF4" w:rsidRDefault="00BD2EBF">
      <w:pPr>
        <w:pBdr>
          <w:top w:val="nil"/>
          <w:left w:val="nil"/>
          <w:bottom w:val="nil"/>
          <w:right w:val="nil"/>
          <w:between w:val="nil"/>
        </w:pBdr>
        <w:spacing w:line="360" w:lineRule="auto"/>
        <w:ind w:right="49"/>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Una vez expuestas las posturas de las partes, conviene recordar que en el caso quien se pronunció fue el servidor público habilitado de la Dirección de Administración y Finanzas; unidad administrativa que conforme el Manual General de Organización del Instituto de la Función Registral del Estado de México cuenta con un Departamento de Personal, con las siguientes funciones:</w:t>
      </w:r>
    </w:p>
    <w:p w14:paraId="33FF232E" w14:textId="77777777" w:rsidR="000A2FD5" w:rsidRPr="00271FF4" w:rsidRDefault="000A2FD5">
      <w:pPr>
        <w:pBdr>
          <w:top w:val="nil"/>
          <w:left w:val="nil"/>
          <w:bottom w:val="nil"/>
          <w:right w:val="nil"/>
          <w:between w:val="nil"/>
        </w:pBdr>
        <w:spacing w:line="360" w:lineRule="auto"/>
        <w:ind w:right="49"/>
        <w:jc w:val="both"/>
        <w:rPr>
          <w:rFonts w:ascii="Palatino Linotype" w:eastAsia="Palatino Linotype" w:hAnsi="Palatino Linotype" w:cs="Palatino Linotype"/>
          <w:i/>
          <w:sz w:val="22"/>
          <w:szCs w:val="22"/>
        </w:rPr>
      </w:pPr>
    </w:p>
    <w:p w14:paraId="5DF57027" w14:textId="77777777" w:rsidR="000A2FD5" w:rsidRPr="00271FF4" w:rsidRDefault="00BD2EBF">
      <w:pPr>
        <w:pBdr>
          <w:top w:val="nil"/>
          <w:left w:val="nil"/>
          <w:bottom w:val="nil"/>
          <w:right w:val="nil"/>
          <w:between w:val="nil"/>
        </w:pBdr>
        <w:spacing w:line="276" w:lineRule="auto"/>
        <w:ind w:left="567" w:right="616"/>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 xml:space="preserve">“227B15000 DIRECCIÓN DE ADMINISTRACIÓN Y FINANZAS </w:t>
      </w:r>
    </w:p>
    <w:p w14:paraId="2BDC7D35" w14:textId="77777777" w:rsidR="000A2FD5" w:rsidRPr="00271FF4" w:rsidRDefault="000A2FD5">
      <w:pPr>
        <w:pBdr>
          <w:top w:val="nil"/>
          <w:left w:val="nil"/>
          <w:bottom w:val="nil"/>
          <w:right w:val="nil"/>
          <w:between w:val="nil"/>
        </w:pBdr>
        <w:spacing w:line="276" w:lineRule="auto"/>
        <w:ind w:left="567" w:right="616"/>
        <w:jc w:val="both"/>
        <w:rPr>
          <w:rFonts w:ascii="Palatino Linotype" w:eastAsia="Palatino Linotype" w:hAnsi="Palatino Linotype" w:cs="Palatino Linotype"/>
          <w:i/>
          <w:sz w:val="14"/>
          <w:szCs w:val="14"/>
        </w:rPr>
      </w:pPr>
    </w:p>
    <w:p w14:paraId="44BC2974" w14:textId="77777777" w:rsidR="000A2FD5" w:rsidRPr="00271FF4" w:rsidRDefault="00BD2EBF">
      <w:pPr>
        <w:pBdr>
          <w:top w:val="nil"/>
          <w:left w:val="nil"/>
          <w:bottom w:val="nil"/>
          <w:right w:val="nil"/>
          <w:between w:val="nil"/>
        </w:pBdr>
        <w:spacing w:line="276" w:lineRule="auto"/>
        <w:ind w:left="567" w:right="616"/>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 xml:space="preserve">OBJETIVO: Coordinar y organizar la implementación de acciones tendientes a apoyar los planes y programas que tienen encomendadas las unidades administrativas y Oficinas Registrales del Instituto de la Función Registral del Estado de México, así como proporcionar y controlar el aprovisiona lento oportuno de los recursos humanos, materiales, financieros y técnicos. </w:t>
      </w:r>
    </w:p>
    <w:p w14:paraId="018F20C2" w14:textId="77777777" w:rsidR="000A2FD5" w:rsidRPr="00271FF4" w:rsidRDefault="000A2FD5">
      <w:pPr>
        <w:pBdr>
          <w:top w:val="nil"/>
          <w:left w:val="nil"/>
          <w:bottom w:val="nil"/>
          <w:right w:val="nil"/>
          <w:between w:val="nil"/>
        </w:pBdr>
        <w:spacing w:line="276" w:lineRule="auto"/>
        <w:ind w:left="567" w:right="616"/>
        <w:jc w:val="both"/>
        <w:rPr>
          <w:rFonts w:ascii="Palatino Linotype" w:eastAsia="Palatino Linotype" w:hAnsi="Palatino Linotype" w:cs="Palatino Linotype"/>
          <w:i/>
          <w:sz w:val="22"/>
          <w:szCs w:val="22"/>
        </w:rPr>
      </w:pPr>
    </w:p>
    <w:p w14:paraId="6AE86F3E" w14:textId="77777777" w:rsidR="000A2FD5" w:rsidRPr="00271FF4" w:rsidRDefault="00BD2EBF">
      <w:pPr>
        <w:pBdr>
          <w:top w:val="nil"/>
          <w:left w:val="nil"/>
          <w:bottom w:val="nil"/>
          <w:right w:val="nil"/>
          <w:between w:val="nil"/>
        </w:pBdr>
        <w:spacing w:line="276" w:lineRule="auto"/>
        <w:ind w:left="567" w:right="616"/>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FUNCIONES:</w:t>
      </w:r>
    </w:p>
    <w:p w14:paraId="72008346" w14:textId="77777777" w:rsidR="000A2FD5" w:rsidRPr="00271FF4" w:rsidRDefault="00BD2EBF">
      <w:pPr>
        <w:pBdr>
          <w:top w:val="nil"/>
          <w:left w:val="nil"/>
          <w:bottom w:val="nil"/>
          <w:right w:val="nil"/>
          <w:between w:val="nil"/>
        </w:pBdr>
        <w:spacing w:line="276" w:lineRule="auto"/>
        <w:ind w:left="567" w:right="616"/>
        <w:jc w:val="both"/>
        <w:rPr>
          <w:rFonts w:ascii="Palatino Linotype" w:eastAsia="Palatino Linotype" w:hAnsi="Palatino Linotype" w:cs="Palatino Linotype"/>
          <w:b/>
          <w:i/>
          <w:sz w:val="22"/>
          <w:szCs w:val="22"/>
        </w:rPr>
      </w:pPr>
      <w:r w:rsidRPr="00271FF4">
        <w:rPr>
          <w:rFonts w:ascii="Palatino Linotype" w:eastAsia="Palatino Linotype" w:hAnsi="Palatino Linotype" w:cs="Palatino Linotype"/>
          <w:b/>
          <w:i/>
          <w:sz w:val="22"/>
          <w:szCs w:val="22"/>
        </w:rPr>
        <w:t>-Administrar y controlar el aprovisionamiento de los recursos humanos, materiales, financieros y técnicos requeridos por el Instituto.</w:t>
      </w:r>
    </w:p>
    <w:p w14:paraId="18B91370" w14:textId="77777777" w:rsidR="000A2FD5" w:rsidRPr="00271FF4" w:rsidRDefault="00BD2EBF">
      <w:pPr>
        <w:pBdr>
          <w:top w:val="nil"/>
          <w:left w:val="nil"/>
          <w:bottom w:val="nil"/>
          <w:right w:val="nil"/>
          <w:between w:val="nil"/>
        </w:pBdr>
        <w:spacing w:line="276" w:lineRule="auto"/>
        <w:ind w:left="567" w:right="616"/>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w:t>
      </w:r>
    </w:p>
    <w:p w14:paraId="0F2B5EAC" w14:textId="77777777" w:rsidR="000A2FD5" w:rsidRPr="00271FF4" w:rsidRDefault="000A2FD5">
      <w:pPr>
        <w:pBdr>
          <w:top w:val="nil"/>
          <w:left w:val="nil"/>
          <w:bottom w:val="nil"/>
          <w:right w:val="nil"/>
          <w:between w:val="nil"/>
        </w:pBdr>
        <w:spacing w:line="360" w:lineRule="auto"/>
        <w:ind w:right="49"/>
        <w:jc w:val="both"/>
        <w:rPr>
          <w:rFonts w:ascii="Palatino Linotype" w:eastAsia="Palatino Linotype" w:hAnsi="Palatino Linotype" w:cs="Palatino Linotype"/>
          <w:i/>
          <w:sz w:val="22"/>
          <w:szCs w:val="22"/>
        </w:rPr>
      </w:pPr>
    </w:p>
    <w:p w14:paraId="0DDB9BB1" w14:textId="77777777" w:rsidR="000A2FD5" w:rsidRPr="00271FF4" w:rsidRDefault="00BD2EBF">
      <w:pPr>
        <w:pBdr>
          <w:top w:val="nil"/>
          <w:left w:val="nil"/>
          <w:bottom w:val="nil"/>
          <w:right w:val="nil"/>
          <w:between w:val="nil"/>
        </w:pBdr>
        <w:spacing w:line="276" w:lineRule="auto"/>
        <w:ind w:left="567" w:right="616"/>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 xml:space="preserve">227B15202 DEPARTAMENTO DE PERSONAL </w:t>
      </w:r>
    </w:p>
    <w:p w14:paraId="3CF09969" w14:textId="77777777" w:rsidR="000A2FD5" w:rsidRPr="00271FF4" w:rsidRDefault="000A2FD5">
      <w:pPr>
        <w:pBdr>
          <w:top w:val="nil"/>
          <w:left w:val="nil"/>
          <w:bottom w:val="nil"/>
          <w:right w:val="nil"/>
          <w:between w:val="nil"/>
        </w:pBdr>
        <w:spacing w:line="276" w:lineRule="auto"/>
        <w:ind w:left="567" w:right="616"/>
        <w:jc w:val="both"/>
        <w:rPr>
          <w:rFonts w:ascii="Palatino Linotype" w:eastAsia="Palatino Linotype" w:hAnsi="Palatino Linotype" w:cs="Palatino Linotype"/>
          <w:i/>
          <w:sz w:val="22"/>
          <w:szCs w:val="22"/>
        </w:rPr>
      </w:pPr>
    </w:p>
    <w:p w14:paraId="753A2F40" w14:textId="77777777" w:rsidR="000A2FD5" w:rsidRPr="00271FF4" w:rsidRDefault="00BD2EBF">
      <w:pPr>
        <w:pBdr>
          <w:top w:val="nil"/>
          <w:left w:val="nil"/>
          <w:bottom w:val="nil"/>
          <w:right w:val="nil"/>
          <w:between w:val="nil"/>
        </w:pBdr>
        <w:spacing w:line="276" w:lineRule="auto"/>
        <w:ind w:left="567" w:right="616"/>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 xml:space="preserve">OBJETIVO: Gestionar, controlar y supervisar los movimientos administrativos de los servidores públicos del Instituto, conforme a las políticas y procedimientos establecidos por la Secretaría de Finanzas, asegurando que se lleve a cabo conforme a la normatividad y marco legal que compete al área de personal. </w:t>
      </w:r>
    </w:p>
    <w:p w14:paraId="5433AFD9" w14:textId="77777777" w:rsidR="000A2FD5" w:rsidRPr="00271FF4" w:rsidRDefault="000A2FD5">
      <w:pPr>
        <w:pBdr>
          <w:top w:val="nil"/>
          <w:left w:val="nil"/>
          <w:bottom w:val="nil"/>
          <w:right w:val="nil"/>
          <w:between w:val="nil"/>
        </w:pBdr>
        <w:spacing w:line="276" w:lineRule="auto"/>
        <w:ind w:left="567" w:right="616"/>
        <w:jc w:val="both"/>
        <w:rPr>
          <w:rFonts w:ascii="Palatino Linotype" w:eastAsia="Palatino Linotype" w:hAnsi="Palatino Linotype" w:cs="Palatino Linotype"/>
          <w:i/>
          <w:sz w:val="22"/>
          <w:szCs w:val="22"/>
        </w:rPr>
      </w:pPr>
    </w:p>
    <w:p w14:paraId="5DEDEC93" w14:textId="77777777" w:rsidR="000A2FD5" w:rsidRPr="00271FF4" w:rsidRDefault="00BD2EBF">
      <w:pPr>
        <w:pBdr>
          <w:top w:val="nil"/>
          <w:left w:val="nil"/>
          <w:bottom w:val="nil"/>
          <w:right w:val="nil"/>
          <w:between w:val="nil"/>
        </w:pBdr>
        <w:spacing w:line="276" w:lineRule="auto"/>
        <w:ind w:left="567" w:right="616"/>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 xml:space="preserve">FUNCIONES: </w:t>
      </w:r>
    </w:p>
    <w:p w14:paraId="0B99ADF4" w14:textId="77777777" w:rsidR="000A2FD5" w:rsidRPr="00271FF4" w:rsidRDefault="00BD2EBF">
      <w:pPr>
        <w:pBdr>
          <w:top w:val="nil"/>
          <w:left w:val="nil"/>
          <w:bottom w:val="nil"/>
          <w:right w:val="nil"/>
          <w:between w:val="nil"/>
        </w:pBdr>
        <w:spacing w:line="276" w:lineRule="auto"/>
        <w:ind w:left="567" w:right="616"/>
        <w:jc w:val="both"/>
        <w:rPr>
          <w:rFonts w:ascii="Palatino Linotype" w:eastAsia="Palatino Linotype" w:hAnsi="Palatino Linotype" w:cs="Palatino Linotype"/>
          <w:b/>
          <w:i/>
          <w:sz w:val="22"/>
          <w:szCs w:val="22"/>
        </w:rPr>
      </w:pPr>
      <w:r w:rsidRPr="00271FF4">
        <w:rPr>
          <w:rFonts w:ascii="Palatino Linotype" w:eastAsia="Palatino Linotype" w:hAnsi="Palatino Linotype" w:cs="Palatino Linotype"/>
          <w:b/>
          <w:i/>
          <w:sz w:val="22"/>
          <w:szCs w:val="22"/>
        </w:rPr>
        <w:t xml:space="preserve">- Realizar los movimientos y trámites administrativos del personal del Instituto como son: altas, bajas, cambio de adscripción, incidencias, licencias, promociones, incapacidades, vacaciones, comisiones y permisos, de conformidad la normatividad y procedimientos establecidos por la Dirección General de </w:t>
      </w:r>
      <w:proofErr w:type="gramStart"/>
      <w:r w:rsidRPr="00271FF4">
        <w:rPr>
          <w:rFonts w:ascii="Palatino Linotype" w:eastAsia="Palatino Linotype" w:hAnsi="Palatino Linotype" w:cs="Palatino Linotype"/>
          <w:b/>
          <w:i/>
          <w:sz w:val="22"/>
          <w:szCs w:val="22"/>
        </w:rPr>
        <w:t>Personal.[</w:t>
      </w:r>
      <w:proofErr w:type="gramEnd"/>
      <w:r w:rsidRPr="00271FF4">
        <w:rPr>
          <w:rFonts w:ascii="Palatino Linotype" w:eastAsia="Palatino Linotype" w:hAnsi="Palatino Linotype" w:cs="Palatino Linotype"/>
          <w:b/>
          <w:i/>
          <w:sz w:val="22"/>
          <w:szCs w:val="22"/>
        </w:rPr>
        <w:t>…]”</w:t>
      </w:r>
    </w:p>
    <w:p w14:paraId="21B3285C" w14:textId="77777777" w:rsidR="000A2FD5" w:rsidRPr="00271FF4" w:rsidRDefault="00BD2EBF">
      <w:pPr>
        <w:pBdr>
          <w:top w:val="nil"/>
          <w:left w:val="nil"/>
          <w:bottom w:val="nil"/>
          <w:right w:val="nil"/>
          <w:between w:val="nil"/>
        </w:pBdr>
        <w:spacing w:line="276" w:lineRule="auto"/>
        <w:ind w:left="567" w:right="616"/>
        <w:jc w:val="right"/>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(Énfasis añadido)</w:t>
      </w:r>
    </w:p>
    <w:p w14:paraId="7120062B" w14:textId="77777777" w:rsidR="000A2FD5" w:rsidRPr="00271FF4" w:rsidRDefault="000A2FD5">
      <w:pPr>
        <w:pBdr>
          <w:top w:val="nil"/>
          <w:left w:val="nil"/>
          <w:bottom w:val="nil"/>
          <w:right w:val="nil"/>
          <w:between w:val="nil"/>
        </w:pBdr>
        <w:spacing w:line="276" w:lineRule="auto"/>
        <w:ind w:left="567" w:right="616"/>
        <w:jc w:val="right"/>
        <w:rPr>
          <w:rFonts w:ascii="Palatino Linotype" w:eastAsia="Palatino Linotype" w:hAnsi="Palatino Linotype" w:cs="Palatino Linotype"/>
          <w:i/>
          <w:sz w:val="22"/>
          <w:szCs w:val="22"/>
        </w:rPr>
      </w:pPr>
    </w:p>
    <w:p w14:paraId="74999B06" w14:textId="77777777" w:rsidR="000A2FD5" w:rsidRPr="00271FF4" w:rsidRDefault="00BD2EBF">
      <w:pPr>
        <w:pBdr>
          <w:top w:val="nil"/>
          <w:left w:val="nil"/>
          <w:bottom w:val="nil"/>
          <w:right w:val="nil"/>
          <w:between w:val="nil"/>
        </w:pBdr>
        <w:spacing w:line="360" w:lineRule="auto"/>
        <w:ind w:right="49"/>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 xml:space="preserve">Como se advierte de lo anterior, la </w:t>
      </w:r>
      <w:r w:rsidRPr="00271FF4">
        <w:rPr>
          <w:rFonts w:ascii="Palatino Linotype" w:eastAsia="Palatino Linotype" w:hAnsi="Palatino Linotype" w:cs="Palatino Linotype"/>
          <w:b/>
          <w:sz w:val="22"/>
          <w:szCs w:val="22"/>
        </w:rPr>
        <w:t>Dirección de Administración y Finanzas</w:t>
      </w:r>
      <w:r w:rsidRPr="00271FF4">
        <w:rPr>
          <w:rFonts w:ascii="Palatino Linotype" w:eastAsia="Palatino Linotype" w:hAnsi="Palatino Linotype" w:cs="Palatino Linotype"/>
          <w:sz w:val="22"/>
          <w:szCs w:val="22"/>
        </w:rPr>
        <w:t xml:space="preserve"> tiene dentro de sus funciones administrar y controlar el aprovisionamiento de los recursos humanos que requiere el ente público, y cuenta dentro de su estructura orgánica con un Departamento de Personal que se encarga de realizar los movimientos y trámites administrativos del personal, entre otros, altas y bajas.</w:t>
      </w:r>
    </w:p>
    <w:p w14:paraId="43DD3BAD" w14:textId="77777777" w:rsidR="000A2FD5" w:rsidRPr="00271FF4" w:rsidRDefault="000A2FD5">
      <w:pPr>
        <w:pBdr>
          <w:top w:val="nil"/>
          <w:left w:val="nil"/>
          <w:bottom w:val="nil"/>
          <w:right w:val="nil"/>
          <w:between w:val="nil"/>
        </w:pBdr>
        <w:spacing w:line="360" w:lineRule="auto"/>
        <w:ind w:right="49"/>
        <w:jc w:val="both"/>
        <w:rPr>
          <w:rFonts w:ascii="Palatino Linotype" w:eastAsia="Palatino Linotype" w:hAnsi="Palatino Linotype" w:cs="Palatino Linotype"/>
          <w:sz w:val="22"/>
          <w:szCs w:val="22"/>
        </w:rPr>
      </w:pPr>
    </w:p>
    <w:p w14:paraId="1947377D" w14:textId="77777777" w:rsidR="000A2FD5" w:rsidRPr="00271FF4" w:rsidRDefault="00BD2EBF">
      <w:pPr>
        <w:pBdr>
          <w:top w:val="nil"/>
          <w:left w:val="nil"/>
          <w:bottom w:val="nil"/>
          <w:right w:val="nil"/>
          <w:between w:val="nil"/>
        </w:pBdr>
        <w:spacing w:line="360" w:lineRule="auto"/>
        <w:ind w:right="49"/>
        <w:jc w:val="both"/>
        <w:rPr>
          <w:sz w:val="22"/>
          <w:szCs w:val="22"/>
        </w:rPr>
      </w:pPr>
      <w:r w:rsidRPr="00271FF4">
        <w:rPr>
          <w:rFonts w:ascii="Palatino Linotype" w:eastAsia="Palatino Linotype" w:hAnsi="Palatino Linotype" w:cs="Palatino Linotype"/>
          <w:sz w:val="22"/>
          <w:szCs w:val="22"/>
        </w:rPr>
        <w:t xml:space="preserve">Por lo tanto, al pronunciarse la </w:t>
      </w:r>
      <w:r w:rsidRPr="00271FF4">
        <w:rPr>
          <w:rFonts w:ascii="Palatino Linotype" w:eastAsia="Palatino Linotype" w:hAnsi="Palatino Linotype" w:cs="Palatino Linotype"/>
          <w:b/>
          <w:sz w:val="22"/>
          <w:szCs w:val="22"/>
        </w:rPr>
        <w:t>Dirección de Administración y Finanzas</w:t>
      </w:r>
      <w:r w:rsidRPr="00271FF4">
        <w:rPr>
          <w:rFonts w:ascii="Palatino Linotype" w:eastAsia="Palatino Linotype" w:hAnsi="Palatino Linotype" w:cs="Palatino Linotype"/>
          <w:sz w:val="22"/>
          <w:szCs w:val="22"/>
        </w:rPr>
        <w:t xml:space="preserve"> en este asunto, se colige que quien dio atención al requerimiento de información fue la unidad administrativa competente, que conforme sus atribuciones puede contar con la información requerida dando cumplimiento al procedimiento para la atención a las solicitudes de acceso a la información, el cual se encuentra establecido en los artículos 151, 159, 160, 162, 163, 164, 165 y 166, de la Ley de Transparencia y Acceso a la Información Pública del Estado de México y Municipios, es el siguiente:</w:t>
      </w:r>
    </w:p>
    <w:p w14:paraId="5C286F81" w14:textId="77777777" w:rsidR="000A2FD5" w:rsidRPr="00271FF4" w:rsidRDefault="000A2FD5">
      <w:pPr>
        <w:spacing w:line="360" w:lineRule="auto"/>
        <w:rPr>
          <w:sz w:val="22"/>
          <w:szCs w:val="22"/>
        </w:rPr>
      </w:pPr>
    </w:p>
    <w:p w14:paraId="164A9171" w14:textId="77777777" w:rsidR="000A2FD5" w:rsidRPr="00271FF4" w:rsidRDefault="00BD2EBF">
      <w:pPr>
        <w:numPr>
          <w:ilvl w:val="0"/>
          <w:numId w:val="1"/>
        </w:numPr>
        <w:spacing w:line="276"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Las Unidades de Transparencia de los Sujetos Obligados deben garantizar las medidas y condiciones de accesibilidad para que toda persona puede ejercer el derecho de acceso a la información; por lo que, son las responsables de hacer las notificaciones correspondientes, además de llevar a cabo de todas las gestiones necesarias para facilitar el acceso de la información;</w:t>
      </w:r>
    </w:p>
    <w:p w14:paraId="45BA4CE7" w14:textId="77777777" w:rsidR="000A2FD5" w:rsidRPr="00271FF4" w:rsidRDefault="000A2FD5">
      <w:pPr>
        <w:spacing w:line="276" w:lineRule="auto"/>
        <w:ind w:left="360"/>
        <w:jc w:val="both"/>
        <w:rPr>
          <w:rFonts w:ascii="Palatino Linotype" w:eastAsia="Palatino Linotype" w:hAnsi="Palatino Linotype" w:cs="Palatino Linotype"/>
          <w:sz w:val="22"/>
          <w:szCs w:val="22"/>
        </w:rPr>
      </w:pPr>
    </w:p>
    <w:p w14:paraId="1725243E" w14:textId="77777777" w:rsidR="000A2FD5" w:rsidRPr="00271FF4" w:rsidRDefault="00BD2EBF">
      <w:pPr>
        <w:numPr>
          <w:ilvl w:val="0"/>
          <w:numId w:val="1"/>
        </w:numPr>
        <w:spacing w:line="276"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Los Sujetos Obligados podrán requerirle a los Solicitantes, que complementen, corrijan o amplíen su solicitud de información, cuando resulten los datos proporcionados insuficientes, incorrectos, incompletos o erróneos; solicitar dicha aclaración, interrumpirá el plazo para dar respuesta y comenzará a computarse el día siguiente al desahogo de esta;</w:t>
      </w:r>
    </w:p>
    <w:p w14:paraId="06EC2EB3" w14:textId="77777777" w:rsidR="000A2FD5" w:rsidRPr="00271FF4" w:rsidRDefault="000A2FD5">
      <w:pPr>
        <w:spacing w:line="276" w:lineRule="auto"/>
        <w:ind w:left="720"/>
        <w:rPr>
          <w:rFonts w:ascii="Palatino Linotype" w:eastAsia="Palatino Linotype" w:hAnsi="Palatino Linotype" w:cs="Palatino Linotype"/>
          <w:sz w:val="22"/>
          <w:szCs w:val="22"/>
        </w:rPr>
      </w:pPr>
    </w:p>
    <w:p w14:paraId="2DC84A24" w14:textId="77777777" w:rsidR="000A2FD5" w:rsidRPr="00271FF4" w:rsidRDefault="00BD2EBF">
      <w:pPr>
        <w:numPr>
          <w:ilvl w:val="0"/>
          <w:numId w:val="1"/>
        </w:numPr>
        <w:spacing w:line="276"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 xml:space="preserve">Las respuestas a los requerimientos informativos deberán notificarse al interesado en el menor tiempo posible, que no podrá exceder </w:t>
      </w:r>
      <w:r w:rsidRPr="00271FF4">
        <w:rPr>
          <w:rFonts w:ascii="Palatino Linotype" w:eastAsia="Palatino Linotype" w:hAnsi="Palatino Linotype" w:cs="Palatino Linotype"/>
          <w:b/>
          <w:sz w:val="22"/>
          <w:szCs w:val="22"/>
        </w:rPr>
        <w:t>quince días, contados a partir del día siguiente a la presentación de ésta.</w:t>
      </w:r>
      <w:r w:rsidRPr="00271FF4">
        <w:rPr>
          <w:rFonts w:ascii="Palatino Linotype" w:eastAsia="Palatino Linotype" w:hAnsi="Palatino Linotype" w:cs="Palatino Linotype"/>
          <w:sz w:val="22"/>
          <w:szCs w:val="22"/>
        </w:rPr>
        <w:t xml:space="preserve"> Excepcionalmente, el plazo referido podrá ampliarse por siete días hábiles más, cuando existan razones fundadas y motivadas, a través del Comité de Transparencia;</w:t>
      </w:r>
    </w:p>
    <w:p w14:paraId="77D11AFF" w14:textId="77777777" w:rsidR="000A2FD5" w:rsidRPr="00271FF4" w:rsidRDefault="000A2FD5">
      <w:pPr>
        <w:spacing w:line="276" w:lineRule="auto"/>
        <w:ind w:left="720"/>
        <w:rPr>
          <w:rFonts w:ascii="Palatino Linotype" w:eastAsia="Palatino Linotype" w:hAnsi="Palatino Linotype" w:cs="Palatino Linotype"/>
          <w:sz w:val="22"/>
          <w:szCs w:val="22"/>
        </w:rPr>
      </w:pPr>
    </w:p>
    <w:p w14:paraId="2C059343" w14:textId="77777777" w:rsidR="000A2FD5" w:rsidRPr="00271FF4" w:rsidRDefault="00BD2EBF">
      <w:pPr>
        <w:numPr>
          <w:ilvl w:val="0"/>
          <w:numId w:val="1"/>
        </w:numPr>
        <w:spacing w:line="276" w:lineRule="auto"/>
        <w:jc w:val="both"/>
        <w:rPr>
          <w:rFonts w:ascii="Palatino Linotype" w:eastAsia="Palatino Linotype" w:hAnsi="Palatino Linotype" w:cs="Palatino Linotype"/>
          <w:b/>
          <w:sz w:val="22"/>
          <w:szCs w:val="22"/>
          <w:u w:val="single"/>
        </w:rPr>
      </w:pPr>
      <w:r w:rsidRPr="00271FF4">
        <w:rPr>
          <w:rFonts w:ascii="Palatino Linotype" w:eastAsia="Palatino Linotype" w:hAnsi="Palatino Linotype" w:cs="Palatino Linotype"/>
          <w:b/>
          <w:sz w:val="22"/>
          <w:szCs w:val="22"/>
          <w:u w:val="single"/>
        </w:rPr>
        <w:t>Las Unidades de Transparencia garantizarán que las solicitudes se turnen a todas las áreas competentes que cuenten con la información o deban tenerla de acuerdo con sus facultades, funciones y atribuciones, para que realicen una búsqueda exhaustiva y razonable de la documentación solicitada, con el fin de que proporcionen las expresiones documentales que se encuentren en sus archivos o que estén constreñidos a elaborar;</w:t>
      </w:r>
    </w:p>
    <w:p w14:paraId="6CEF3718" w14:textId="77777777" w:rsidR="000A2FD5" w:rsidRPr="00271FF4" w:rsidRDefault="000A2FD5">
      <w:pPr>
        <w:spacing w:line="276" w:lineRule="auto"/>
        <w:ind w:left="720"/>
        <w:rPr>
          <w:rFonts w:ascii="Palatino Linotype" w:eastAsia="Palatino Linotype" w:hAnsi="Palatino Linotype" w:cs="Palatino Linotype"/>
          <w:b/>
          <w:sz w:val="22"/>
          <w:szCs w:val="22"/>
          <w:u w:val="single"/>
        </w:rPr>
      </w:pPr>
    </w:p>
    <w:p w14:paraId="3021980B" w14:textId="77777777" w:rsidR="000A2FD5" w:rsidRPr="00271FF4" w:rsidRDefault="00BD2EBF">
      <w:pPr>
        <w:numPr>
          <w:ilvl w:val="0"/>
          <w:numId w:val="1"/>
        </w:numPr>
        <w:spacing w:line="276" w:lineRule="auto"/>
        <w:jc w:val="both"/>
        <w:rPr>
          <w:rFonts w:ascii="Palatino Linotype" w:eastAsia="Palatino Linotype" w:hAnsi="Palatino Linotype" w:cs="Palatino Linotype"/>
          <w:b/>
          <w:sz w:val="22"/>
          <w:szCs w:val="22"/>
        </w:rPr>
      </w:pPr>
      <w:r w:rsidRPr="00271FF4">
        <w:rPr>
          <w:rFonts w:ascii="Palatino Linotype" w:eastAsia="Palatino Linotype" w:hAnsi="Palatino Linotype" w:cs="Palatino Linotype"/>
          <w:sz w:val="22"/>
          <w:szCs w:val="22"/>
        </w:rPr>
        <w:t>El acceso se dará en la modalidad de entrega y en su caso, de envío elegido por el solicitante, cuando no pueda entregarse en dicha modalidad, el Sujeto Obligado deberá ofrecer otras; por lo cual, deberá fundamentar y motivar la necesidad de modificar el medio de entrega, y</w:t>
      </w:r>
    </w:p>
    <w:p w14:paraId="13D2AF72" w14:textId="77777777" w:rsidR="000A2FD5" w:rsidRPr="00271FF4" w:rsidRDefault="000A2FD5">
      <w:pPr>
        <w:spacing w:line="276" w:lineRule="auto"/>
        <w:ind w:left="360"/>
        <w:jc w:val="both"/>
        <w:rPr>
          <w:rFonts w:ascii="Palatino Linotype" w:eastAsia="Palatino Linotype" w:hAnsi="Palatino Linotype" w:cs="Palatino Linotype"/>
          <w:b/>
          <w:sz w:val="22"/>
          <w:szCs w:val="22"/>
        </w:rPr>
      </w:pPr>
    </w:p>
    <w:p w14:paraId="14A16CE7" w14:textId="77777777" w:rsidR="000A2FD5" w:rsidRPr="00271FF4" w:rsidRDefault="00BD2EBF">
      <w:pPr>
        <w:numPr>
          <w:ilvl w:val="0"/>
          <w:numId w:val="1"/>
        </w:numPr>
        <w:spacing w:line="276" w:lineRule="auto"/>
        <w:jc w:val="both"/>
        <w:rPr>
          <w:rFonts w:ascii="Palatino Linotype" w:eastAsia="Palatino Linotype" w:hAnsi="Palatino Linotype" w:cs="Palatino Linotype"/>
          <w:b/>
          <w:sz w:val="22"/>
          <w:szCs w:val="22"/>
        </w:rPr>
      </w:pPr>
      <w:r w:rsidRPr="00271FF4">
        <w:rPr>
          <w:rFonts w:ascii="Palatino Linotype" w:eastAsia="Palatino Linotype" w:hAnsi="Palatino Linotype" w:cs="Palatino Linotype"/>
          <w:sz w:val="22"/>
          <w:szCs w:val="22"/>
        </w:rPr>
        <w:t xml:space="preserve">Las Unidades de Transparencia, tendrán disponible la información requerida durante un plazo mínimo de sesenta días hábiles, contados a partir de que el solicitante hubiere </w:t>
      </w:r>
      <w:r w:rsidRPr="00271FF4">
        <w:rPr>
          <w:rFonts w:ascii="Palatino Linotype" w:eastAsia="Palatino Linotype" w:hAnsi="Palatino Linotype" w:cs="Palatino Linotype"/>
          <w:sz w:val="22"/>
          <w:szCs w:val="22"/>
        </w:rPr>
        <w:lastRenderedPageBreak/>
        <w:t>realizado, en su caso, el pago respectivo, el cual deberá efectuarse en un plazo no mayor a treinta días hábiles; por lo que, una vez transcurrida dicha temporalidad, los Sujetos Obligados darán por concluida la solicitud y procederán de ser el caso, a la destrucción del material.</w:t>
      </w:r>
    </w:p>
    <w:p w14:paraId="0FDB8E25" w14:textId="77777777" w:rsidR="000A2FD5" w:rsidRPr="00271FF4" w:rsidRDefault="000A2FD5">
      <w:pPr>
        <w:spacing w:line="360" w:lineRule="auto"/>
        <w:rPr>
          <w:sz w:val="22"/>
          <w:szCs w:val="22"/>
        </w:rPr>
      </w:pPr>
    </w:p>
    <w:p w14:paraId="74E8EC11" w14:textId="77777777" w:rsidR="000A2FD5" w:rsidRPr="00271FF4" w:rsidRDefault="00BD2EBF">
      <w:pPr>
        <w:spacing w:line="360" w:lineRule="auto"/>
        <w:ind w:right="49"/>
        <w:jc w:val="both"/>
        <w:rPr>
          <w:rFonts w:ascii="Palatino Linotype" w:eastAsia="Palatino Linotype" w:hAnsi="Palatino Linotype" w:cs="Palatino Linotype"/>
          <w:b/>
          <w:sz w:val="22"/>
          <w:szCs w:val="22"/>
          <w:u w:val="single"/>
        </w:rPr>
      </w:pPr>
      <w:r w:rsidRPr="00271FF4">
        <w:rPr>
          <w:rFonts w:ascii="Palatino Linotype" w:eastAsia="Palatino Linotype" w:hAnsi="Palatino Linotype" w:cs="Palatino Linotype"/>
          <w:sz w:val="22"/>
          <w:szCs w:val="22"/>
        </w:rPr>
        <w:t xml:space="preserve">En ese sentido, se tiene que, </w:t>
      </w:r>
      <w:r w:rsidRPr="00271FF4">
        <w:rPr>
          <w:rFonts w:ascii="Palatino Linotype" w:eastAsia="Palatino Linotype" w:hAnsi="Palatino Linotype" w:cs="Palatino Linotype"/>
          <w:b/>
          <w:sz w:val="22"/>
          <w:szCs w:val="22"/>
          <w:u w:val="single"/>
        </w:rPr>
        <w:t>el procedimiento de búsqueda de la información se tiene por atendido.</w:t>
      </w:r>
    </w:p>
    <w:p w14:paraId="26B54515" w14:textId="77777777" w:rsidR="000A2FD5" w:rsidRPr="00271FF4" w:rsidRDefault="000A2FD5">
      <w:pPr>
        <w:pBdr>
          <w:top w:val="nil"/>
          <w:left w:val="nil"/>
          <w:bottom w:val="nil"/>
          <w:right w:val="nil"/>
          <w:between w:val="nil"/>
        </w:pBdr>
        <w:spacing w:line="360" w:lineRule="auto"/>
        <w:ind w:right="49"/>
        <w:jc w:val="both"/>
        <w:rPr>
          <w:rFonts w:ascii="Palatino Linotype" w:eastAsia="Palatino Linotype" w:hAnsi="Palatino Linotype" w:cs="Palatino Linotype"/>
          <w:sz w:val="22"/>
          <w:szCs w:val="22"/>
        </w:rPr>
      </w:pPr>
    </w:p>
    <w:p w14:paraId="132808AE" w14:textId="77777777" w:rsidR="000A2FD5" w:rsidRPr="00271FF4" w:rsidRDefault="00BD2EBF">
      <w:pPr>
        <w:pBdr>
          <w:top w:val="nil"/>
          <w:left w:val="nil"/>
          <w:bottom w:val="nil"/>
          <w:right w:val="nil"/>
          <w:between w:val="nil"/>
        </w:pBdr>
        <w:spacing w:line="360" w:lineRule="auto"/>
        <w:ind w:right="49"/>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Acotado lo anterior, resulta importante señalar que sobre el requerimiento materia de revisión “</w:t>
      </w:r>
      <w:r w:rsidRPr="00271FF4">
        <w:rPr>
          <w:rFonts w:ascii="Palatino Linotype" w:eastAsia="Palatino Linotype" w:hAnsi="Palatino Linotype" w:cs="Palatino Linotype"/>
          <w:b/>
          <w:i/>
          <w:sz w:val="22"/>
          <w:szCs w:val="22"/>
        </w:rPr>
        <w:t>soporte documental del motivo de separación de su cargo de los servidores públicos que laboraron en el Departamento de Recursos Materiales en el periodo requerido</w:t>
      </w:r>
      <w:r w:rsidRPr="00271FF4">
        <w:rPr>
          <w:rFonts w:ascii="Palatino Linotype" w:eastAsia="Palatino Linotype" w:hAnsi="Palatino Linotype" w:cs="Palatino Linotype"/>
          <w:sz w:val="22"/>
          <w:szCs w:val="22"/>
        </w:rPr>
        <w:t>”, en respuesta el servidor público habilitado competente entregó una relación con los nombres de cinco servidores públicos que se separaron de su cargo en el periodo solicitado, señalando: el puesto, modalidad de empleo, área de adscripción y motivo de separación, como se muestra:</w:t>
      </w:r>
      <w:r w:rsidRPr="00271FF4">
        <w:rPr>
          <w:noProof/>
        </w:rPr>
        <mc:AlternateContent>
          <mc:Choice Requires="wpg">
            <w:drawing>
              <wp:anchor distT="0" distB="0" distL="114300" distR="114300" simplePos="0" relativeHeight="251658240" behindDoc="0" locked="0" layoutInCell="1" hidden="0" allowOverlap="1" wp14:anchorId="0E9E1249" wp14:editId="613030EA">
                <wp:simplePos x="0" y="0"/>
                <wp:positionH relativeFrom="column">
                  <wp:posOffset>4038600</wp:posOffset>
                </wp:positionH>
                <wp:positionV relativeFrom="paragraph">
                  <wp:posOffset>1892300</wp:posOffset>
                </wp:positionV>
                <wp:extent cx="1228725" cy="1638300"/>
                <wp:effectExtent l="0" t="0" r="0" b="0"/>
                <wp:wrapNone/>
                <wp:docPr id="32" name="Rectángulo 32"/>
                <wp:cNvGraphicFramePr/>
                <a:graphic xmlns:a="http://schemas.openxmlformats.org/drawingml/2006/main">
                  <a:graphicData uri="http://schemas.microsoft.com/office/word/2010/wordprocessingShape">
                    <wps:wsp>
                      <wps:cNvSpPr/>
                      <wps:spPr>
                        <a:xfrm>
                          <a:off x="4745925" y="2975138"/>
                          <a:ext cx="1200150" cy="1609725"/>
                        </a:xfrm>
                        <a:prstGeom prst="rect">
                          <a:avLst/>
                        </a:prstGeom>
                        <a:noFill/>
                        <a:ln w="28575" cap="flat" cmpd="sng">
                          <a:solidFill>
                            <a:srgbClr val="FF0000"/>
                          </a:solidFill>
                          <a:prstDash val="solid"/>
                          <a:round/>
                          <a:headEnd type="none" w="sm" len="sm"/>
                          <a:tailEnd type="none" w="sm" len="sm"/>
                        </a:ln>
                      </wps:spPr>
                      <wps:txbx>
                        <w:txbxContent>
                          <w:p w14:paraId="16A46E70" w14:textId="77777777" w:rsidR="000A2FD5" w:rsidRDefault="000A2FD5">
                            <w:pPr>
                              <w:textDirection w:val="btLr"/>
                            </w:pPr>
                          </w:p>
                        </w:txbxContent>
                      </wps:txbx>
                      <wps:bodyPr spcFirstLastPara="1" wrap="square" lIns="91425" tIns="91425" rIns="91425" bIns="91425" anchor="ctr"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cr="http://schemas.microsoft.com/office/comments/2020/reactions" xmlns:oel="http://schemas.microsoft.com/office/2019/extlst">
            <w:drawing>
              <wp:anchor allowOverlap="1" behindDoc="0" distB="0" distT="0" distL="114300" distR="114300" hidden="0" layoutInCell="1" locked="0" relativeHeight="0" simplePos="0">
                <wp:simplePos x="0" y="0"/>
                <wp:positionH relativeFrom="column">
                  <wp:posOffset>4038600</wp:posOffset>
                </wp:positionH>
                <wp:positionV relativeFrom="paragraph">
                  <wp:posOffset>1892300</wp:posOffset>
                </wp:positionV>
                <wp:extent cx="1228725" cy="1638300"/>
                <wp:effectExtent b="0" l="0" r="0" t="0"/>
                <wp:wrapNone/>
                <wp:docPr id="32" name="image3.png"/>
                <a:graphic>
                  <a:graphicData uri="http://schemas.openxmlformats.org/drawingml/2006/picture">
                    <pic:pic>
                      <pic:nvPicPr>
                        <pic:cNvPr id="0" name="image3.png"/>
                        <pic:cNvPicPr preferRelativeResize="0"/>
                      </pic:nvPicPr>
                      <pic:blipFill>
                        <a:blip r:embed="rId9"/>
                        <a:srcRect/>
                        <a:stretch>
                          <a:fillRect/>
                        </a:stretch>
                      </pic:blipFill>
                      <pic:spPr>
                        <a:xfrm>
                          <a:off x="0" y="0"/>
                          <a:ext cx="1228725" cy="1638300"/>
                        </a:xfrm>
                        <a:prstGeom prst="rect"/>
                        <a:ln/>
                      </pic:spPr>
                    </pic:pic>
                  </a:graphicData>
                </a:graphic>
              </wp:anchor>
            </w:drawing>
          </mc:Fallback>
        </mc:AlternateContent>
      </w:r>
    </w:p>
    <w:p w14:paraId="01E1AAB8" w14:textId="77777777" w:rsidR="000A2FD5" w:rsidRPr="00271FF4" w:rsidRDefault="00BD2EBF">
      <w:pPr>
        <w:pBdr>
          <w:top w:val="nil"/>
          <w:left w:val="nil"/>
          <w:bottom w:val="nil"/>
          <w:right w:val="nil"/>
          <w:between w:val="nil"/>
        </w:pBdr>
        <w:spacing w:line="360" w:lineRule="auto"/>
        <w:ind w:right="49"/>
        <w:jc w:val="center"/>
        <w:rPr>
          <w:rFonts w:ascii="Palatino Linotype" w:eastAsia="Palatino Linotype" w:hAnsi="Palatino Linotype" w:cs="Palatino Linotype"/>
          <w:sz w:val="22"/>
          <w:szCs w:val="22"/>
        </w:rPr>
      </w:pPr>
      <w:r w:rsidRPr="00271FF4">
        <w:rPr>
          <w:rFonts w:ascii="Palatino Linotype" w:eastAsia="Palatino Linotype" w:hAnsi="Palatino Linotype" w:cs="Palatino Linotype"/>
          <w:noProof/>
          <w:sz w:val="22"/>
          <w:szCs w:val="22"/>
        </w:rPr>
        <w:drawing>
          <wp:inline distT="0" distB="0" distL="0" distR="0" wp14:anchorId="10D17C45" wp14:editId="4F990ED3">
            <wp:extent cx="4906080" cy="1371797"/>
            <wp:effectExtent l="0" t="0" r="0" b="0"/>
            <wp:docPr id="36"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8"/>
                    <a:srcRect/>
                    <a:stretch>
                      <a:fillRect/>
                    </a:stretch>
                  </pic:blipFill>
                  <pic:spPr>
                    <a:xfrm>
                      <a:off x="0" y="0"/>
                      <a:ext cx="4906080" cy="1371797"/>
                    </a:xfrm>
                    <a:prstGeom prst="rect">
                      <a:avLst/>
                    </a:prstGeom>
                    <a:ln/>
                  </pic:spPr>
                </pic:pic>
              </a:graphicData>
            </a:graphic>
          </wp:inline>
        </w:drawing>
      </w:r>
    </w:p>
    <w:p w14:paraId="495F0E77" w14:textId="77777777" w:rsidR="000A2FD5" w:rsidRPr="00271FF4" w:rsidRDefault="000A2FD5">
      <w:pPr>
        <w:pBdr>
          <w:top w:val="nil"/>
          <w:left w:val="nil"/>
          <w:bottom w:val="nil"/>
          <w:right w:val="nil"/>
          <w:between w:val="nil"/>
        </w:pBdr>
        <w:spacing w:line="360" w:lineRule="auto"/>
        <w:ind w:right="49"/>
        <w:jc w:val="both"/>
        <w:rPr>
          <w:rFonts w:ascii="Palatino Linotype" w:eastAsia="Palatino Linotype" w:hAnsi="Palatino Linotype" w:cs="Palatino Linotype"/>
          <w:sz w:val="22"/>
          <w:szCs w:val="22"/>
        </w:rPr>
      </w:pPr>
    </w:p>
    <w:p w14:paraId="5EBAB8DB" w14:textId="77777777" w:rsidR="000A2FD5" w:rsidRPr="00271FF4" w:rsidRDefault="00BD2EBF">
      <w:pPr>
        <w:pBdr>
          <w:top w:val="nil"/>
          <w:left w:val="nil"/>
          <w:bottom w:val="nil"/>
          <w:right w:val="nil"/>
          <w:between w:val="nil"/>
        </w:pBdr>
        <w:spacing w:line="360" w:lineRule="auto"/>
        <w:ind w:right="49"/>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De dicha respuesta, se desprende que el motivo de separación de los cinco servidores públicos que estaban adscritos al Departamento de Recursos Materiales en el periodo requerido, fue por renuncia voluntaria.</w:t>
      </w:r>
    </w:p>
    <w:p w14:paraId="3C52A14B" w14:textId="77777777" w:rsidR="000A2FD5" w:rsidRPr="00271FF4" w:rsidRDefault="000A2FD5">
      <w:pPr>
        <w:pBdr>
          <w:top w:val="nil"/>
          <w:left w:val="nil"/>
          <w:bottom w:val="nil"/>
          <w:right w:val="nil"/>
          <w:between w:val="nil"/>
        </w:pBdr>
        <w:spacing w:line="360" w:lineRule="auto"/>
        <w:ind w:right="49"/>
        <w:jc w:val="both"/>
        <w:rPr>
          <w:rFonts w:ascii="Palatino Linotype" w:eastAsia="Palatino Linotype" w:hAnsi="Palatino Linotype" w:cs="Palatino Linotype"/>
          <w:sz w:val="22"/>
          <w:szCs w:val="22"/>
        </w:rPr>
      </w:pPr>
    </w:p>
    <w:p w14:paraId="49029E20" w14:textId="77777777" w:rsidR="000A2FD5" w:rsidRPr="00271FF4" w:rsidRDefault="00BD2EBF">
      <w:pPr>
        <w:pBdr>
          <w:top w:val="nil"/>
          <w:left w:val="nil"/>
          <w:bottom w:val="nil"/>
          <w:right w:val="nil"/>
          <w:between w:val="nil"/>
        </w:pBdr>
        <w:spacing w:line="360" w:lineRule="auto"/>
        <w:ind w:right="49"/>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lastRenderedPageBreak/>
        <w:t xml:space="preserve">De esta manera, si bien se indicó el motivo de separación de los servidores públicos requeridos, dicha respuesta cumple de manera parcial lo solicitado, ya que como lo señaló el particular vía recurso de revisión, no le fue entregado el soporte documental que sustenta el motivo de separación, el cual atendiendo la respuesta del </w:t>
      </w:r>
      <w:r w:rsidRPr="00271FF4">
        <w:rPr>
          <w:rFonts w:ascii="Palatino Linotype" w:eastAsia="Palatino Linotype" w:hAnsi="Palatino Linotype" w:cs="Palatino Linotype"/>
          <w:b/>
          <w:sz w:val="22"/>
          <w:szCs w:val="22"/>
        </w:rPr>
        <w:t>Sujeto Obligado</w:t>
      </w:r>
      <w:r w:rsidRPr="00271FF4">
        <w:rPr>
          <w:rFonts w:ascii="Palatino Linotype" w:eastAsia="Palatino Linotype" w:hAnsi="Palatino Linotype" w:cs="Palatino Linotype"/>
          <w:sz w:val="22"/>
          <w:szCs w:val="22"/>
        </w:rPr>
        <w:t xml:space="preserve"> se advierte que consiste en las renuncias voluntarias presentadas por los servidores públicos, al ser los documentos que sustentan el motivo de separación del cargo.</w:t>
      </w:r>
    </w:p>
    <w:p w14:paraId="04791057" w14:textId="77777777" w:rsidR="000A2FD5" w:rsidRPr="00271FF4" w:rsidRDefault="000A2FD5">
      <w:pPr>
        <w:pBdr>
          <w:top w:val="nil"/>
          <w:left w:val="nil"/>
          <w:bottom w:val="nil"/>
          <w:right w:val="nil"/>
          <w:between w:val="nil"/>
        </w:pBdr>
        <w:spacing w:line="360" w:lineRule="auto"/>
        <w:ind w:right="49"/>
        <w:jc w:val="both"/>
        <w:rPr>
          <w:rFonts w:ascii="Palatino Linotype" w:eastAsia="Palatino Linotype" w:hAnsi="Palatino Linotype" w:cs="Palatino Linotype"/>
          <w:sz w:val="22"/>
          <w:szCs w:val="22"/>
        </w:rPr>
      </w:pPr>
    </w:p>
    <w:p w14:paraId="33747D7F" w14:textId="77777777" w:rsidR="000A2FD5" w:rsidRPr="00271FF4" w:rsidRDefault="00BD2EBF">
      <w:pPr>
        <w:pBdr>
          <w:top w:val="nil"/>
          <w:left w:val="nil"/>
          <w:bottom w:val="nil"/>
          <w:right w:val="nil"/>
          <w:between w:val="nil"/>
        </w:pBdr>
        <w:spacing w:line="360" w:lineRule="auto"/>
        <w:ind w:right="49"/>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Al respecto, es de señalar que el diccionario de la real academia española define a la “</w:t>
      </w:r>
      <w:r w:rsidRPr="00271FF4">
        <w:rPr>
          <w:rFonts w:ascii="Palatino Linotype" w:eastAsia="Palatino Linotype" w:hAnsi="Palatino Linotype" w:cs="Palatino Linotype"/>
          <w:b/>
          <w:sz w:val="22"/>
          <w:szCs w:val="22"/>
        </w:rPr>
        <w:t>Renuncia</w:t>
      </w:r>
      <w:r w:rsidRPr="00271FF4">
        <w:rPr>
          <w:rFonts w:ascii="Palatino Linotype" w:eastAsia="Palatino Linotype" w:hAnsi="Palatino Linotype" w:cs="Palatino Linotype"/>
          <w:sz w:val="22"/>
          <w:szCs w:val="22"/>
        </w:rPr>
        <w:t>” como:</w:t>
      </w:r>
    </w:p>
    <w:p w14:paraId="16FF4B34" w14:textId="77777777" w:rsidR="000A2FD5" w:rsidRPr="00271FF4" w:rsidRDefault="000A2FD5">
      <w:pPr>
        <w:spacing w:line="360" w:lineRule="auto"/>
        <w:rPr>
          <w:rFonts w:ascii="Palatino Linotype" w:eastAsia="Palatino Linotype" w:hAnsi="Palatino Linotype" w:cs="Palatino Linotype"/>
          <w:sz w:val="22"/>
          <w:szCs w:val="22"/>
        </w:rPr>
      </w:pPr>
    </w:p>
    <w:p w14:paraId="5AF4CA1A" w14:textId="77777777" w:rsidR="000A2FD5" w:rsidRPr="00271FF4" w:rsidRDefault="00BD2EBF">
      <w:pPr>
        <w:pBdr>
          <w:top w:val="nil"/>
          <w:left w:val="nil"/>
          <w:bottom w:val="nil"/>
          <w:right w:val="nil"/>
          <w:between w:val="nil"/>
        </w:pBdr>
        <w:spacing w:line="360" w:lineRule="auto"/>
        <w:ind w:left="567" w:right="616"/>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i/>
          <w:sz w:val="22"/>
          <w:szCs w:val="22"/>
        </w:rPr>
        <w:t>“</w:t>
      </w:r>
      <w:r w:rsidRPr="00271FF4">
        <w:rPr>
          <w:rFonts w:ascii="Palatino Linotype" w:eastAsia="Palatino Linotype" w:hAnsi="Palatino Linotype" w:cs="Palatino Linotype"/>
          <w:b/>
          <w:i/>
          <w:sz w:val="22"/>
          <w:szCs w:val="22"/>
        </w:rPr>
        <w:t>Renuncia:</w:t>
      </w:r>
    </w:p>
    <w:p w14:paraId="7BFA3AD5" w14:textId="77777777" w:rsidR="000A2FD5" w:rsidRPr="00271FF4" w:rsidRDefault="00BD2EBF">
      <w:pPr>
        <w:pBdr>
          <w:top w:val="nil"/>
          <w:left w:val="nil"/>
          <w:bottom w:val="nil"/>
          <w:right w:val="nil"/>
          <w:between w:val="nil"/>
        </w:pBdr>
        <w:spacing w:line="360" w:lineRule="auto"/>
        <w:ind w:left="567" w:right="616"/>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i/>
          <w:sz w:val="22"/>
          <w:szCs w:val="22"/>
        </w:rPr>
        <w:t>Terminación del contrato de trabajo por decisión unilateral del trabajador” (Sic)</w:t>
      </w:r>
    </w:p>
    <w:p w14:paraId="49AFF317" w14:textId="77777777" w:rsidR="000A2FD5" w:rsidRPr="00271FF4" w:rsidRDefault="00BD2EBF">
      <w:pPr>
        <w:pBdr>
          <w:top w:val="nil"/>
          <w:left w:val="nil"/>
          <w:bottom w:val="nil"/>
          <w:right w:val="nil"/>
          <w:between w:val="nil"/>
        </w:pBdr>
        <w:spacing w:before="240" w:after="240"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Esto es, que la conclusión de una relación laboral se puede dar por renuncia del trabajador por una decisión unilateral de este.</w:t>
      </w:r>
    </w:p>
    <w:p w14:paraId="7E0DA0FA" w14:textId="77777777" w:rsidR="000A2FD5" w:rsidRPr="00271FF4" w:rsidRDefault="00BD2EBF">
      <w:pPr>
        <w:pBdr>
          <w:top w:val="nil"/>
          <w:left w:val="nil"/>
          <w:bottom w:val="nil"/>
          <w:right w:val="nil"/>
          <w:between w:val="nil"/>
        </w:pBdr>
        <w:spacing w:before="240" w:after="240"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 xml:space="preserve">Lo que conveniente traer a colación lo señalado por el artículo 89 de la Ley del Trabajo de los Servidores Públicos del Estado y Municipios, en donde se establece que la terminación de la relación laboral, se puede dar por diversas razones las cuales son: </w:t>
      </w:r>
      <w:r w:rsidRPr="00271FF4">
        <w:rPr>
          <w:rFonts w:ascii="Palatino Linotype" w:eastAsia="Palatino Linotype" w:hAnsi="Palatino Linotype" w:cs="Palatino Linotype"/>
          <w:b/>
          <w:sz w:val="22"/>
          <w:szCs w:val="22"/>
        </w:rPr>
        <w:t>I. La renuncia del servidor público</w:t>
      </w:r>
      <w:r w:rsidRPr="00271FF4">
        <w:rPr>
          <w:rFonts w:ascii="Palatino Linotype" w:eastAsia="Palatino Linotype" w:hAnsi="Palatino Linotype" w:cs="Palatino Linotype"/>
          <w:sz w:val="22"/>
          <w:szCs w:val="22"/>
        </w:rPr>
        <w:t>; II. El mutuo consentimiento de las partes; III. El vencimiento del término o conclusión de la obra determinantes de la contratación; IV. La muerte del servidor público; y V. La incapacidad permanente del servidor público que le impida el desempeño de sus labores.</w:t>
      </w:r>
    </w:p>
    <w:p w14:paraId="6BE59F0A" w14:textId="77777777" w:rsidR="000A2FD5" w:rsidRPr="00271FF4" w:rsidRDefault="00BD2EBF">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proofErr w:type="gramStart"/>
      <w:r w:rsidRPr="00271FF4">
        <w:rPr>
          <w:rFonts w:ascii="Palatino Linotype" w:eastAsia="Palatino Linotype" w:hAnsi="Palatino Linotype" w:cs="Palatino Linotype"/>
          <w:sz w:val="22"/>
          <w:szCs w:val="22"/>
        </w:rPr>
        <w:t>Asimismo,  la</w:t>
      </w:r>
      <w:proofErr w:type="gramEnd"/>
      <w:r w:rsidRPr="00271FF4">
        <w:rPr>
          <w:rFonts w:ascii="Palatino Linotype" w:eastAsia="Palatino Linotype" w:hAnsi="Palatino Linotype" w:cs="Palatino Linotype"/>
          <w:sz w:val="22"/>
          <w:szCs w:val="22"/>
        </w:rPr>
        <w:t xml:space="preserve"> Guía técnica 07. La administración del personal municipal del Instituto Nacional de Administración Pública (consultable en: </w:t>
      </w:r>
      <w:hyperlink r:id="rId10">
        <w:r w:rsidRPr="00271FF4">
          <w:rPr>
            <w:rFonts w:ascii="Palatino Linotype" w:eastAsia="Palatino Linotype" w:hAnsi="Palatino Linotype" w:cs="Palatino Linotype"/>
            <w:sz w:val="22"/>
            <w:szCs w:val="22"/>
            <w:u w:val="single"/>
          </w:rPr>
          <w:t>https://biblio.juridicas.unam.mx/bjv/resultados?ti=guia+tecnica</w:t>
        </w:r>
      </w:hyperlink>
      <w:r w:rsidRPr="00271FF4">
        <w:rPr>
          <w:rFonts w:ascii="Palatino Linotype" w:eastAsia="Palatino Linotype" w:hAnsi="Palatino Linotype" w:cs="Palatino Linotype"/>
          <w:sz w:val="22"/>
          <w:szCs w:val="22"/>
        </w:rPr>
        <w:t xml:space="preserve">) en la cual se estable </w:t>
      </w:r>
      <w:proofErr w:type="gramStart"/>
      <w:r w:rsidRPr="00271FF4">
        <w:rPr>
          <w:rFonts w:ascii="Palatino Linotype" w:eastAsia="Palatino Linotype" w:hAnsi="Palatino Linotype" w:cs="Palatino Linotype"/>
          <w:sz w:val="22"/>
          <w:szCs w:val="22"/>
        </w:rPr>
        <w:t>que</w:t>
      </w:r>
      <w:proofErr w:type="gramEnd"/>
      <w:r w:rsidRPr="00271FF4">
        <w:rPr>
          <w:rFonts w:ascii="Palatino Linotype" w:eastAsia="Palatino Linotype" w:hAnsi="Palatino Linotype" w:cs="Palatino Linotype"/>
          <w:sz w:val="22"/>
          <w:szCs w:val="22"/>
        </w:rPr>
        <w:t xml:space="preserve"> </w:t>
      </w:r>
      <w:r w:rsidRPr="00271FF4">
        <w:rPr>
          <w:rFonts w:ascii="Palatino Linotype" w:eastAsia="Palatino Linotype" w:hAnsi="Palatino Linotype" w:cs="Palatino Linotype"/>
          <w:sz w:val="22"/>
          <w:szCs w:val="22"/>
        </w:rPr>
        <w:lastRenderedPageBreak/>
        <w:t>dentro de las actividades básicas de la administración de personal, tal como lo es la terminación de la relación laboral, esta actividad es definida de la siguiente manera: </w:t>
      </w:r>
    </w:p>
    <w:p w14:paraId="63132529" w14:textId="77777777" w:rsidR="000A2FD5" w:rsidRPr="00271FF4" w:rsidRDefault="000A2FD5">
      <w:pPr>
        <w:spacing w:line="360" w:lineRule="auto"/>
        <w:rPr>
          <w:rFonts w:ascii="Palatino Linotype" w:eastAsia="Palatino Linotype" w:hAnsi="Palatino Linotype" w:cs="Palatino Linotype"/>
          <w:sz w:val="22"/>
          <w:szCs w:val="22"/>
        </w:rPr>
      </w:pPr>
    </w:p>
    <w:p w14:paraId="708590B3" w14:textId="77777777" w:rsidR="000A2FD5" w:rsidRPr="00271FF4" w:rsidRDefault="00BD2EBF">
      <w:pPr>
        <w:pBdr>
          <w:top w:val="nil"/>
          <w:left w:val="nil"/>
          <w:bottom w:val="nil"/>
          <w:right w:val="nil"/>
          <w:between w:val="nil"/>
        </w:pBdr>
        <w:spacing w:line="360" w:lineRule="auto"/>
        <w:ind w:left="567" w:right="618"/>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b/>
          <w:i/>
          <w:sz w:val="22"/>
          <w:szCs w:val="22"/>
        </w:rPr>
        <w:t>“Terminación de la relación laboral</w:t>
      </w:r>
      <w:r w:rsidRPr="00271FF4">
        <w:rPr>
          <w:rFonts w:ascii="Palatino Linotype" w:eastAsia="Palatino Linotype" w:hAnsi="Palatino Linotype" w:cs="Palatino Linotype"/>
          <w:i/>
          <w:sz w:val="22"/>
          <w:szCs w:val="22"/>
        </w:rPr>
        <w:t xml:space="preserve">: </w:t>
      </w:r>
      <w:r w:rsidRPr="00271FF4">
        <w:rPr>
          <w:rFonts w:ascii="Palatino Linotype" w:eastAsia="Palatino Linotype" w:hAnsi="Palatino Linotype" w:cs="Palatino Linotype"/>
          <w:b/>
          <w:i/>
          <w:sz w:val="22"/>
          <w:szCs w:val="22"/>
        </w:rPr>
        <w:t>Un empleado puede dejar de prestar sus servicios al municipio por diferentes casusas, como son</w:t>
      </w:r>
      <w:r w:rsidRPr="00271FF4">
        <w:rPr>
          <w:rFonts w:ascii="Palatino Linotype" w:eastAsia="Palatino Linotype" w:hAnsi="Palatino Linotype" w:cs="Palatino Linotype"/>
          <w:i/>
          <w:sz w:val="22"/>
          <w:szCs w:val="22"/>
        </w:rPr>
        <w:t xml:space="preserve">: jubilación, </w:t>
      </w:r>
      <w:r w:rsidRPr="00271FF4">
        <w:rPr>
          <w:rFonts w:ascii="Palatino Linotype" w:eastAsia="Palatino Linotype" w:hAnsi="Palatino Linotype" w:cs="Palatino Linotype"/>
          <w:b/>
          <w:i/>
          <w:sz w:val="22"/>
          <w:szCs w:val="22"/>
        </w:rPr>
        <w:t>renuncia</w:t>
      </w:r>
      <w:r w:rsidRPr="00271FF4">
        <w:rPr>
          <w:rFonts w:ascii="Palatino Linotype" w:eastAsia="Palatino Linotype" w:hAnsi="Palatino Linotype" w:cs="Palatino Linotype"/>
          <w:i/>
          <w:sz w:val="22"/>
          <w:szCs w:val="22"/>
        </w:rPr>
        <w:t>, terminación, suspensión o rescisión del contrato.” (Sic)</w:t>
      </w:r>
    </w:p>
    <w:p w14:paraId="4F0D1811" w14:textId="77777777" w:rsidR="000A2FD5" w:rsidRPr="00271FF4" w:rsidRDefault="000A2FD5">
      <w:pPr>
        <w:spacing w:line="360" w:lineRule="auto"/>
        <w:rPr>
          <w:rFonts w:ascii="Palatino Linotype" w:eastAsia="Palatino Linotype" w:hAnsi="Palatino Linotype" w:cs="Palatino Linotype"/>
          <w:sz w:val="22"/>
          <w:szCs w:val="22"/>
        </w:rPr>
      </w:pPr>
    </w:p>
    <w:p w14:paraId="44611386" w14:textId="77777777" w:rsidR="000A2FD5" w:rsidRPr="00271FF4" w:rsidRDefault="00BD2EBF">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 xml:space="preserve">De lo anterior, se dispone que la terminación de la relación laboral de los Servidores Públicos con el </w:t>
      </w:r>
      <w:r w:rsidRPr="00271FF4">
        <w:rPr>
          <w:rFonts w:ascii="Palatino Linotype" w:eastAsia="Palatino Linotype" w:hAnsi="Palatino Linotype" w:cs="Palatino Linotype"/>
          <w:b/>
          <w:sz w:val="22"/>
          <w:szCs w:val="22"/>
        </w:rPr>
        <w:t>Sujeto Obligado</w:t>
      </w:r>
      <w:r w:rsidRPr="00271FF4">
        <w:rPr>
          <w:rFonts w:ascii="Palatino Linotype" w:eastAsia="Palatino Linotype" w:hAnsi="Palatino Linotype" w:cs="Palatino Linotype"/>
          <w:sz w:val="22"/>
          <w:szCs w:val="22"/>
        </w:rPr>
        <w:t>, se puede dar por consentimiento unilateral del Servidor Público mediante la renuncia presentada por este último. </w:t>
      </w:r>
    </w:p>
    <w:p w14:paraId="5B36E33B" w14:textId="77777777" w:rsidR="000A2FD5" w:rsidRPr="00271FF4" w:rsidRDefault="000A2FD5">
      <w:pPr>
        <w:spacing w:line="360" w:lineRule="auto"/>
        <w:rPr>
          <w:rFonts w:ascii="Palatino Linotype" w:eastAsia="Palatino Linotype" w:hAnsi="Palatino Linotype" w:cs="Palatino Linotype"/>
          <w:sz w:val="22"/>
          <w:szCs w:val="22"/>
        </w:rPr>
      </w:pPr>
    </w:p>
    <w:p w14:paraId="63B82952" w14:textId="77777777" w:rsidR="000A2FD5" w:rsidRPr="00271FF4" w:rsidRDefault="00BD2EBF">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Sobre esta circunstancia, tiene relevancias traer al estudio, lo previsto en el artículo 24, fracción XXII, de la Ley de Transparencia y Acceso a la Información Pública del Estado de México y Municipios, el cual establece que los sujetos obligados deberán documentar todo acto que derive del ejercicio de sus facultades, competencias o funciones. </w:t>
      </w:r>
    </w:p>
    <w:p w14:paraId="2B16154B" w14:textId="77777777" w:rsidR="000A2FD5" w:rsidRPr="00271FF4" w:rsidRDefault="000A2FD5">
      <w:pPr>
        <w:spacing w:line="360" w:lineRule="auto"/>
        <w:rPr>
          <w:rFonts w:ascii="Palatino Linotype" w:eastAsia="Palatino Linotype" w:hAnsi="Palatino Linotype" w:cs="Palatino Linotype"/>
          <w:sz w:val="22"/>
          <w:szCs w:val="22"/>
        </w:rPr>
      </w:pPr>
    </w:p>
    <w:p w14:paraId="093BA44F" w14:textId="77777777" w:rsidR="000A2FD5" w:rsidRPr="00271FF4" w:rsidRDefault="00BD2EBF">
      <w:pPr>
        <w:pBdr>
          <w:top w:val="nil"/>
          <w:left w:val="nil"/>
          <w:bottom w:val="nil"/>
          <w:right w:val="nil"/>
          <w:between w:val="nil"/>
        </w:pBdr>
        <w:spacing w:line="360" w:lineRule="auto"/>
        <w:ind w:right="-93"/>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 xml:space="preserve">Adicionalmente sirve como </w:t>
      </w:r>
      <w:proofErr w:type="gramStart"/>
      <w:r w:rsidRPr="00271FF4">
        <w:rPr>
          <w:rFonts w:ascii="Palatino Linotype" w:eastAsia="Palatino Linotype" w:hAnsi="Palatino Linotype" w:cs="Palatino Linotype"/>
          <w:sz w:val="22"/>
          <w:szCs w:val="22"/>
        </w:rPr>
        <w:t>analogía  el</w:t>
      </w:r>
      <w:proofErr w:type="gramEnd"/>
      <w:r w:rsidRPr="00271FF4">
        <w:rPr>
          <w:rFonts w:ascii="Palatino Linotype" w:eastAsia="Palatino Linotype" w:hAnsi="Palatino Linotype" w:cs="Palatino Linotype"/>
          <w:sz w:val="22"/>
          <w:szCs w:val="22"/>
        </w:rPr>
        <w:t xml:space="preserve"> criterio  004/2006 y  15/2006 del Comité de Información emitido por el Poder Judicial sobre la publicidad de la información de los expedientes laborales de los servidores públicos que señala lo siguiente:</w:t>
      </w:r>
    </w:p>
    <w:p w14:paraId="501B17CE" w14:textId="77777777" w:rsidR="000A2FD5" w:rsidRPr="00271FF4" w:rsidRDefault="000A2FD5">
      <w:pPr>
        <w:spacing w:line="360" w:lineRule="auto"/>
        <w:rPr>
          <w:rFonts w:ascii="Palatino Linotype" w:eastAsia="Palatino Linotype" w:hAnsi="Palatino Linotype" w:cs="Palatino Linotype"/>
          <w:sz w:val="22"/>
          <w:szCs w:val="22"/>
        </w:rPr>
      </w:pPr>
    </w:p>
    <w:p w14:paraId="3A6D2103" w14:textId="77777777" w:rsidR="000A2FD5" w:rsidRPr="00271FF4" w:rsidRDefault="00BD2EBF">
      <w:pPr>
        <w:pBdr>
          <w:top w:val="nil"/>
          <w:left w:val="nil"/>
          <w:bottom w:val="nil"/>
          <w:right w:val="nil"/>
          <w:between w:val="nil"/>
        </w:pBdr>
        <w:spacing w:line="276" w:lineRule="auto"/>
        <w:ind w:left="709" w:right="616"/>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b/>
          <w:i/>
          <w:sz w:val="22"/>
          <w:szCs w:val="22"/>
        </w:rPr>
        <w:t>Criterio 04/2006</w:t>
      </w:r>
    </w:p>
    <w:p w14:paraId="07984E81" w14:textId="77777777" w:rsidR="000A2FD5" w:rsidRPr="00271FF4" w:rsidRDefault="00BD2EBF">
      <w:pPr>
        <w:pBdr>
          <w:top w:val="nil"/>
          <w:left w:val="nil"/>
          <w:bottom w:val="nil"/>
          <w:right w:val="nil"/>
          <w:between w:val="nil"/>
        </w:pBdr>
        <w:spacing w:line="276" w:lineRule="auto"/>
        <w:ind w:left="709" w:right="616"/>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i/>
          <w:sz w:val="22"/>
          <w:szCs w:val="22"/>
        </w:rPr>
        <w:t>NOMBRAMIENTOS Y</w:t>
      </w:r>
      <w:r w:rsidRPr="00271FF4">
        <w:rPr>
          <w:rFonts w:ascii="Palatino Linotype" w:eastAsia="Palatino Linotype" w:hAnsi="Palatino Linotype" w:cs="Palatino Linotype"/>
          <w:b/>
          <w:i/>
          <w:sz w:val="22"/>
          <w:szCs w:val="22"/>
        </w:rPr>
        <w:t xml:space="preserve"> AVISOS DE BAJA DE LOS SERVIDORES PÚBLICOS DE LA SUPREMA CORTE DE JUSTICIA DE LA NACIÓN. EL DOCUMENTO EN EL QUE CONSTEN ES PÚBLICO, CON EXCEPCIÓN DE LOS DATOS PERSONALES QUE CONTENGAN, LOS QUE CONSTITUYEN INFORMACIÓN CONFIDENCIAL QUE DEBE SUPRIMIRSE DE LA VERSIÓN PÚBLICA QUE SE GENERE. </w:t>
      </w:r>
    </w:p>
    <w:p w14:paraId="7908593E" w14:textId="77777777" w:rsidR="000A2FD5" w:rsidRPr="00271FF4" w:rsidRDefault="00BD2EBF">
      <w:pPr>
        <w:pBdr>
          <w:top w:val="nil"/>
          <w:left w:val="nil"/>
          <w:bottom w:val="nil"/>
          <w:right w:val="nil"/>
          <w:between w:val="nil"/>
        </w:pBdr>
        <w:spacing w:line="276" w:lineRule="auto"/>
        <w:ind w:left="709" w:right="616"/>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b/>
          <w:i/>
          <w:sz w:val="22"/>
          <w:szCs w:val="22"/>
          <w:u w:val="single"/>
        </w:rPr>
        <w:lastRenderedPageBreak/>
        <w:t xml:space="preserve">Los documentos </w:t>
      </w:r>
      <w:r w:rsidRPr="00271FF4">
        <w:rPr>
          <w:rFonts w:ascii="Palatino Linotype" w:eastAsia="Palatino Linotype" w:hAnsi="Palatino Linotype" w:cs="Palatino Linotype"/>
          <w:b/>
          <w:i/>
          <w:sz w:val="22"/>
          <w:szCs w:val="22"/>
        </w:rPr>
        <w:t>relativos a los nombramientos y</w:t>
      </w:r>
      <w:r w:rsidRPr="00271FF4">
        <w:rPr>
          <w:rFonts w:ascii="Palatino Linotype" w:eastAsia="Palatino Linotype" w:hAnsi="Palatino Linotype" w:cs="Palatino Linotype"/>
          <w:b/>
          <w:i/>
          <w:sz w:val="22"/>
          <w:szCs w:val="22"/>
          <w:u w:val="single"/>
        </w:rPr>
        <w:t xml:space="preserve"> avisos de baja de los servidores públicos de la Suprema Corte de Justicia de la Nación constituyen información pública, toda vez que se trata de actos administrativos relativos al manejo de su personal y, por ende, justifican parte del ejercicio del presupuesto público asignado.</w:t>
      </w:r>
      <w:r w:rsidRPr="00271FF4">
        <w:rPr>
          <w:rFonts w:ascii="Palatino Linotype" w:eastAsia="Palatino Linotype" w:hAnsi="Palatino Linotype" w:cs="Palatino Linotype"/>
          <w:i/>
          <w:sz w:val="22"/>
          <w:szCs w:val="22"/>
        </w:rPr>
        <w:t xml:space="preserve"> En este sentido, si bien se trata de información de</w:t>
      </w:r>
      <w:r w:rsidRPr="00271FF4">
        <w:rPr>
          <w:rFonts w:ascii="Palatino Linotype" w:eastAsia="Palatino Linotype" w:hAnsi="Palatino Linotype" w:cs="Palatino Linotype"/>
          <w:b/>
          <w:i/>
          <w:sz w:val="22"/>
          <w:szCs w:val="22"/>
        </w:rPr>
        <w:t xml:space="preserve"> </w:t>
      </w:r>
      <w:r w:rsidRPr="00271FF4">
        <w:rPr>
          <w:rFonts w:ascii="Palatino Linotype" w:eastAsia="Palatino Linotype" w:hAnsi="Palatino Linotype" w:cs="Palatino Linotype"/>
          <w:i/>
          <w:sz w:val="22"/>
          <w:szCs w:val="22"/>
        </w:rPr>
        <w:t>naturaleza pública, lo cierto es que en acatamiento a lo dispuesto</w:t>
      </w:r>
      <w:r w:rsidRPr="00271FF4">
        <w:rPr>
          <w:rFonts w:ascii="Palatino Linotype" w:eastAsia="Palatino Linotype" w:hAnsi="Palatino Linotype" w:cs="Palatino Linotype"/>
          <w:b/>
          <w:i/>
          <w:sz w:val="22"/>
          <w:szCs w:val="22"/>
        </w:rPr>
        <w:t xml:space="preserve"> </w:t>
      </w:r>
      <w:r w:rsidRPr="00271FF4">
        <w:rPr>
          <w:rFonts w:ascii="Palatino Linotype" w:eastAsia="Palatino Linotype" w:hAnsi="Palatino Linotype" w:cs="Palatino Linotype"/>
          <w:i/>
          <w:sz w:val="22"/>
          <w:szCs w:val="22"/>
        </w:rPr>
        <w:t>en la Ley Federal de Transparencia y Acceso a la Información</w:t>
      </w:r>
      <w:r w:rsidRPr="00271FF4">
        <w:rPr>
          <w:rFonts w:ascii="Palatino Linotype" w:eastAsia="Palatino Linotype" w:hAnsi="Palatino Linotype" w:cs="Palatino Linotype"/>
          <w:b/>
          <w:i/>
          <w:sz w:val="22"/>
          <w:szCs w:val="22"/>
        </w:rPr>
        <w:t xml:space="preserve"> </w:t>
      </w:r>
      <w:r w:rsidRPr="00271FF4">
        <w:rPr>
          <w:rFonts w:ascii="Palatino Linotype" w:eastAsia="Palatino Linotype" w:hAnsi="Palatino Linotype" w:cs="Palatino Linotype"/>
          <w:i/>
          <w:sz w:val="22"/>
          <w:szCs w:val="22"/>
        </w:rPr>
        <w:t xml:space="preserve">Pública Gubernamental </w:t>
      </w:r>
      <w:r w:rsidRPr="00271FF4">
        <w:rPr>
          <w:rFonts w:ascii="Palatino Linotype" w:eastAsia="Palatino Linotype" w:hAnsi="Palatino Linotype" w:cs="Palatino Linotype"/>
          <w:i/>
          <w:sz w:val="22"/>
          <w:szCs w:val="22"/>
          <w:u w:val="single"/>
        </w:rPr>
        <w:t>para dar acceso a los referidos</w:t>
      </w:r>
      <w:r w:rsidRPr="00271FF4">
        <w:rPr>
          <w:rFonts w:ascii="Palatino Linotype" w:eastAsia="Palatino Linotype" w:hAnsi="Palatino Linotype" w:cs="Palatino Linotype"/>
          <w:b/>
          <w:i/>
          <w:sz w:val="22"/>
          <w:szCs w:val="22"/>
          <w:u w:val="single"/>
        </w:rPr>
        <w:t xml:space="preserve"> </w:t>
      </w:r>
      <w:r w:rsidRPr="00271FF4">
        <w:rPr>
          <w:rFonts w:ascii="Palatino Linotype" w:eastAsia="Palatino Linotype" w:hAnsi="Palatino Linotype" w:cs="Palatino Linotype"/>
          <w:i/>
          <w:sz w:val="22"/>
          <w:szCs w:val="22"/>
          <w:u w:val="single"/>
        </w:rPr>
        <w:t>documentos es necesario generar una versión pública de la</w:t>
      </w:r>
      <w:r w:rsidRPr="00271FF4">
        <w:rPr>
          <w:rFonts w:ascii="Palatino Linotype" w:eastAsia="Palatino Linotype" w:hAnsi="Palatino Linotype" w:cs="Palatino Linotype"/>
          <w:b/>
          <w:i/>
          <w:sz w:val="22"/>
          <w:szCs w:val="22"/>
          <w:u w:val="single"/>
        </w:rPr>
        <w:t xml:space="preserve"> </w:t>
      </w:r>
      <w:r w:rsidRPr="00271FF4">
        <w:rPr>
          <w:rFonts w:ascii="Palatino Linotype" w:eastAsia="Palatino Linotype" w:hAnsi="Palatino Linotype" w:cs="Palatino Linotype"/>
          <w:i/>
          <w:sz w:val="22"/>
          <w:szCs w:val="22"/>
          <w:u w:val="single"/>
        </w:rPr>
        <w:t>que se supriman los datos confidenciales que contengan, como</w:t>
      </w:r>
      <w:r w:rsidRPr="00271FF4">
        <w:rPr>
          <w:rFonts w:ascii="Palatino Linotype" w:eastAsia="Palatino Linotype" w:hAnsi="Palatino Linotype" w:cs="Palatino Linotype"/>
          <w:b/>
          <w:i/>
          <w:sz w:val="22"/>
          <w:szCs w:val="22"/>
          <w:u w:val="single"/>
        </w:rPr>
        <w:t xml:space="preserve"> </w:t>
      </w:r>
      <w:r w:rsidRPr="00271FF4">
        <w:rPr>
          <w:rFonts w:ascii="Palatino Linotype" w:eastAsia="Palatino Linotype" w:hAnsi="Palatino Linotype" w:cs="Palatino Linotype"/>
          <w:i/>
          <w:sz w:val="22"/>
          <w:szCs w:val="22"/>
          <w:u w:val="single"/>
        </w:rPr>
        <w:t>pueden ser el domicilio, el estado civil o el teléfono particular</w:t>
      </w:r>
      <w:r w:rsidRPr="00271FF4">
        <w:rPr>
          <w:rFonts w:ascii="Palatino Linotype" w:eastAsia="Palatino Linotype" w:hAnsi="Palatino Linotype" w:cs="Palatino Linotype"/>
          <w:b/>
          <w:i/>
          <w:sz w:val="22"/>
          <w:szCs w:val="22"/>
          <w:u w:val="single"/>
        </w:rPr>
        <w:t xml:space="preserve"> </w:t>
      </w:r>
      <w:r w:rsidRPr="00271FF4">
        <w:rPr>
          <w:rFonts w:ascii="Palatino Linotype" w:eastAsia="Palatino Linotype" w:hAnsi="Palatino Linotype" w:cs="Palatino Linotype"/>
          <w:i/>
          <w:sz w:val="22"/>
          <w:szCs w:val="22"/>
          <w:u w:val="single"/>
        </w:rPr>
        <w:t>del servidor público respectivo.</w:t>
      </w:r>
    </w:p>
    <w:p w14:paraId="50548A12" w14:textId="77777777" w:rsidR="000A2FD5" w:rsidRPr="00271FF4" w:rsidRDefault="00BD2EBF">
      <w:pPr>
        <w:pBdr>
          <w:top w:val="nil"/>
          <w:left w:val="nil"/>
          <w:bottom w:val="nil"/>
          <w:right w:val="nil"/>
          <w:between w:val="nil"/>
        </w:pBdr>
        <w:spacing w:line="276" w:lineRule="auto"/>
        <w:ind w:left="709" w:right="616"/>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b/>
          <w:i/>
          <w:sz w:val="22"/>
          <w:szCs w:val="22"/>
        </w:rPr>
        <w:t xml:space="preserve">Clasificación de Información 10/2006-A, </w:t>
      </w:r>
      <w:r w:rsidRPr="00271FF4">
        <w:rPr>
          <w:rFonts w:ascii="Palatino Linotype" w:eastAsia="Palatino Linotype" w:hAnsi="Palatino Linotype" w:cs="Palatino Linotype"/>
          <w:i/>
          <w:sz w:val="22"/>
          <w:szCs w:val="22"/>
        </w:rPr>
        <w:t>derivada de la solicitud</w:t>
      </w:r>
      <w:r w:rsidRPr="00271FF4">
        <w:rPr>
          <w:rFonts w:ascii="Palatino Linotype" w:eastAsia="Palatino Linotype" w:hAnsi="Palatino Linotype" w:cs="Palatino Linotype"/>
          <w:b/>
          <w:i/>
          <w:sz w:val="22"/>
          <w:szCs w:val="22"/>
        </w:rPr>
        <w:t xml:space="preserve"> </w:t>
      </w:r>
      <w:r w:rsidRPr="00271FF4">
        <w:rPr>
          <w:rFonts w:ascii="Palatino Linotype" w:eastAsia="Palatino Linotype" w:hAnsi="Palatino Linotype" w:cs="Palatino Linotype"/>
          <w:i/>
          <w:sz w:val="22"/>
          <w:szCs w:val="22"/>
        </w:rPr>
        <w:t>de acceso a la información presentada por Aldo González</w:t>
      </w:r>
      <w:r w:rsidRPr="00271FF4">
        <w:rPr>
          <w:rFonts w:ascii="Palatino Linotype" w:eastAsia="Palatino Linotype" w:hAnsi="Palatino Linotype" w:cs="Palatino Linotype"/>
          <w:b/>
          <w:i/>
          <w:sz w:val="22"/>
          <w:szCs w:val="22"/>
        </w:rPr>
        <w:t xml:space="preserve"> </w:t>
      </w:r>
      <w:proofErr w:type="gramStart"/>
      <w:r w:rsidRPr="00271FF4">
        <w:rPr>
          <w:rFonts w:ascii="Palatino Linotype" w:eastAsia="Palatino Linotype" w:hAnsi="Palatino Linotype" w:cs="Palatino Linotype"/>
          <w:i/>
          <w:sz w:val="22"/>
          <w:szCs w:val="22"/>
        </w:rPr>
        <w:t>Gutiérrez.-</w:t>
      </w:r>
      <w:proofErr w:type="gramEnd"/>
      <w:r w:rsidRPr="00271FF4">
        <w:rPr>
          <w:rFonts w:ascii="Palatino Linotype" w:eastAsia="Palatino Linotype" w:hAnsi="Palatino Linotype" w:cs="Palatino Linotype"/>
          <w:i/>
          <w:sz w:val="22"/>
          <w:szCs w:val="22"/>
        </w:rPr>
        <w:t xml:space="preserve"> 11 de abril de 2006.- Unanimidad de votos.</w:t>
      </w:r>
    </w:p>
    <w:p w14:paraId="5641B9C4" w14:textId="77777777" w:rsidR="000A2FD5" w:rsidRPr="00271FF4" w:rsidRDefault="000A2FD5">
      <w:pPr>
        <w:spacing w:line="360" w:lineRule="auto"/>
        <w:rPr>
          <w:rFonts w:ascii="Palatino Linotype" w:eastAsia="Palatino Linotype" w:hAnsi="Palatino Linotype" w:cs="Palatino Linotype"/>
          <w:sz w:val="22"/>
          <w:szCs w:val="22"/>
        </w:rPr>
      </w:pPr>
    </w:p>
    <w:p w14:paraId="32807D41" w14:textId="77777777" w:rsidR="000A2FD5" w:rsidRPr="00271FF4" w:rsidRDefault="00BD2EBF">
      <w:pPr>
        <w:pBdr>
          <w:top w:val="nil"/>
          <w:left w:val="nil"/>
          <w:bottom w:val="nil"/>
          <w:right w:val="nil"/>
          <w:between w:val="nil"/>
        </w:pBdr>
        <w:spacing w:line="360" w:lineRule="auto"/>
        <w:ind w:right="-93"/>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 xml:space="preserve">Por lo que este Instituto, no quiere dejar de indicar que el documento soporte solicitado, </w:t>
      </w:r>
      <w:r w:rsidRPr="00271FF4">
        <w:rPr>
          <w:rFonts w:ascii="Palatino Linotype" w:eastAsia="Palatino Linotype" w:hAnsi="Palatino Linotype" w:cs="Palatino Linotype"/>
          <w:b/>
          <w:sz w:val="22"/>
          <w:szCs w:val="22"/>
        </w:rPr>
        <w:t>se trata de información pública,</w:t>
      </w:r>
      <w:r w:rsidRPr="00271FF4">
        <w:rPr>
          <w:rFonts w:ascii="Palatino Linotype" w:eastAsia="Palatino Linotype" w:hAnsi="Palatino Linotype" w:cs="Palatino Linotype"/>
          <w:sz w:val="22"/>
          <w:szCs w:val="22"/>
        </w:rPr>
        <w:t xml:space="preserve"> ya que nada impide que los interesados obtengan acceso a la información que por definición legal es pública, como aquellos documentos que deban poseerse o administrarse con motivo de las bajas de servidores públicos. Toda vez que la Ley de Transparencia y Acceso a la Información Pública del Estado de México y Municipios, establece expresamente entre sus objetivos proveer lo necesario para que toda persona pueda tener acceso a la información mediante procedimientos sencillos y expeditos, transparentar la gestión pública mediante la difusión de la información y favorecer la rendición de cuentas.</w:t>
      </w:r>
    </w:p>
    <w:p w14:paraId="0651F36B" w14:textId="77777777" w:rsidR="000A2FD5" w:rsidRPr="00271FF4" w:rsidRDefault="000A2FD5">
      <w:pPr>
        <w:pBdr>
          <w:top w:val="nil"/>
          <w:left w:val="nil"/>
          <w:bottom w:val="nil"/>
          <w:right w:val="nil"/>
          <w:between w:val="nil"/>
        </w:pBdr>
        <w:spacing w:line="360" w:lineRule="auto"/>
        <w:ind w:right="-93"/>
        <w:jc w:val="both"/>
        <w:rPr>
          <w:rFonts w:ascii="Palatino Linotype" w:eastAsia="Palatino Linotype" w:hAnsi="Palatino Linotype" w:cs="Palatino Linotype"/>
          <w:sz w:val="22"/>
          <w:szCs w:val="22"/>
        </w:rPr>
      </w:pPr>
    </w:p>
    <w:p w14:paraId="10F40A52" w14:textId="77777777" w:rsidR="000A2FD5" w:rsidRPr="00271FF4" w:rsidRDefault="00BD2EBF">
      <w:pPr>
        <w:widowControl w:val="0"/>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 xml:space="preserve">Asimismo, atendiendo la naturaleza jurídica del documento al que pretende acceder el peticionario, resulta conveniente insertar el contenido de la Tesis Aislada en materia laboral, con número de registro 202502, Novena Época, Tomo III, </w:t>
      </w:r>
      <w:proofErr w:type="gramStart"/>
      <w:r w:rsidRPr="00271FF4">
        <w:rPr>
          <w:rFonts w:ascii="Palatino Linotype" w:eastAsia="Palatino Linotype" w:hAnsi="Palatino Linotype" w:cs="Palatino Linotype"/>
          <w:sz w:val="22"/>
          <w:szCs w:val="22"/>
        </w:rPr>
        <w:t>Mayo</w:t>
      </w:r>
      <w:proofErr w:type="gramEnd"/>
      <w:r w:rsidRPr="00271FF4">
        <w:rPr>
          <w:rFonts w:ascii="Palatino Linotype" w:eastAsia="Palatino Linotype" w:hAnsi="Palatino Linotype" w:cs="Palatino Linotype"/>
          <w:sz w:val="22"/>
          <w:szCs w:val="22"/>
        </w:rPr>
        <w:t xml:space="preserve"> de 1996, </w:t>
      </w:r>
      <w:proofErr w:type="spellStart"/>
      <w:r w:rsidRPr="00271FF4">
        <w:rPr>
          <w:rFonts w:ascii="Palatino Linotype" w:eastAsia="Palatino Linotype" w:hAnsi="Palatino Linotype" w:cs="Palatino Linotype"/>
          <w:sz w:val="22"/>
          <w:szCs w:val="22"/>
        </w:rPr>
        <w:t>Pag.</w:t>
      </w:r>
      <w:proofErr w:type="spellEnd"/>
      <w:r w:rsidRPr="00271FF4">
        <w:rPr>
          <w:rFonts w:ascii="Palatino Linotype" w:eastAsia="Palatino Linotype" w:hAnsi="Palatino Linotype" w:cs="Palatino Linotype"/>
          <w:sz w:val="22"/>
          <w:szCs w:val="22"/>
        </w:rPr>
        <w:t xml:space="preserve"> 693, publicada en el Semanario Judicial de la Federación y su Gaceta:</w:t>
      </w:r>
    </w:p>
    <w:p w14:paraId="7D3C92F9" w14:textId="77777777" w:rsidR="000A2FD5" w:rsidRPr="00271FF4" w:rsidRDefault="000A2FD5">
      <w:pPr>
        <w:widowControl w:val="0"/>
        <w:spacing w:line="360" w:lineRule="auto"/>
        <w:jc w:val="both"/>
        <w:rPr>
          <w:rFonts w:ascii="Palatino Linotype" w:eastAsia="Palatino Linotype" w:hAnsi="Palatino Linotype" w:cs="Palatino Linotype"/>
          <w:sz w:val="22"/>
          <w:szCs w:val="22"/>
        </w:rPr>
      </w:pPr>
    </w:p>
    <w:p w14:paraId="17DF5A96" w14:textId="77777777" w:rsidR="000A2FD5" w:rsidRPr="00271FF4" w:rsidRDefault="00BD2EBF">
      <w:pPr>
        <w:widowControl w:val="0"/>
        <w:ind w:left="851" w:right="902"/>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b/>
          <w:i/>
          <w:sz w:val="22"/>
          <w:szCs w:val="22"/>
        </w:rPr>
        <w:lastRenderedPageBreak/>
        <w:t>RENUNCIA AL TRABAJO, DEBE CONSTAR DE MANERA INDUBITABLE</w:t>
      </w:r>
      <w:r w:rsidRPr="00271FF4">
        <w:rPr>
          <w:rFonts w:ascii="Palatino Linotype" w:eastAsia="Palatino Linotype" w:hAnsi="Palatino Linotype" w:cs="Palatino Linotype"/>
          <w:i/>
          <w:sz w:val="22"/>
          <w:szCs w:val="22"/>
        </w:rPr>
        <w:t xml:space="preserve">. La renuncia consiste en la manifestación unilateral del trabajador, expresando su deseo o intención de ya no prestar sus servicios al patrón, según lo definió la entonces Cuarta Sala de la Suprema Corte de Justicia de la Nación, en la tesis jurisprudencial por contradicción No. 37/94, publicada en la página 23, de la Gaceta del Semanario Judicial de la Federación, número 81, septiembre de 1994 que dice: "RENUNCIA VERBAL. VALIDEZ LEGAL DE </w:t>
      </w:r>
      <w:proofErr w:type="gramStart"/>
      <w:r w:rsidRPr="00271FF4">
        <w:rPr>
          <w:rFonts w:ascii="Palatino Linotype" w:eastAsia="Palatino Linotype" w:hAnsi="Palatino Linotype" w:cs="Palatino Linotype"/>
          <w:i/>
          <w:sz w:val="22"/>
          <w:szCs w:val="22"/>
        </w:rPr>
        <w:t>LA.-</w:t>
      </w:r>
      <w:proofErr w:type="gramEnd"/>
      <w:r w:rsidRPr="00271FF4">
        <w:rPr>
          <w:rFonts w:ascii="Palatino Linotype" w:eastAsia="Palatino Linotype" w:hAnsi="Palatino Linotype" w:cs="Palatino Linotype"/>
          <w:i/>
          <w:sz w:val="22"/>
          <w:szCs w:val="22"/>
        </w:rPr>
        <w:t xml:space="preserve"> La renuncia a seguir prestando servicios representa el libre ejercicio de un derecho del trabajador y es un acto unilateral que por sí solo surte efectos, procediendo la terminación de la relación laboral. Dicha renuncia sea oral o por escrito no necesita del cumplimiento de posteriores formalidades o requisitos y, por lo mismo, para su validez no requiere de ratificación ni de aprobación por la autoridad laboral, puesto que no constituye un convenio de aquellos a los que alude el artículo 33 de la Ley Federal del Trabajo"; </w:t>
      </w:r>
      <w:r w:rsidRPr="00271FF4">
        <w:rPr>
          <w:rFonts w:ascii="Palatino Linotype" w:eastAsia="Palatino Linotype" w:hAnsi="Palatino Linotype" w:cs="Palatino Linotype"/>
          <w:b/>
          <w:i/>
          <w:sz w:val="22"/>
          <w:szCs w:val="22"/>
        </w:rPr>
        <w:t>sin embargo, para que se tenga por actualizado ese supuesto de renuncia, la misma debe acreditarse de manera fehaciente e indubitable de modo tal, que no quede lugar a dudas en cuanto a esa manifestación unilateral de la voluntad con la que el trabajador decide poner fin a la relación laboral.</w:t>
      </w:r>
    </w:p>
    <w:p w14:paraId="6EA2F758" w14:textId="77777777" w:rsidR="000A2FD5" w:rsidRPr="00271FF4" w:rsidRDefault="000A2FD5">
      <w:pPr>
        <w:pBdr>
          <w:top w:val="nil"/>
          <w:left w:val="nil"/>
          <w:bottom w:val="nil"/>
          <w:right w:val="nil"/>
          <w:between w:val="nil"/>
        </w:pBdr>
        <w:spacing w:line="360" w:lineRule="auto"/>
        <w:ind w:right="-93"/>
        <w:jc w:val="both"/>
        <w:rPr>
          <w:rFonts w:ascii="Palatino Linotype" w:eastAsia="Palatino Linotype" w:hAnsi="Palatino Linotype" w:cs="Palatino Linotype"/>
          <w:sz w:val="22"/>
          <w:szCs w:val="22"/>
        </w:rPr>
      </w:pPr>
    </w:p>
    <w:p w14:paraId="7CF7D66A" w14:textId="77777777" w:rsidR="000A2FD5" w:rsidRPr="00271FF4" w:rsidRDefault="00BD2EBF">
      <w:pP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 xml:space="preserve">De la tesis jurisprudencial, se advierte que, en el documento, obran o pueden obrar manifestaciones personales de quien renuncia a un trabajo, estas manifestaciones, cuando son personales, en nada benefician a la transparencia y sí son considerados datos personales, susceptibles de clasificación, pero la clasificación sólo puede abarcar este dato, no así todo el documento pues este da cuenta de la terminación de la relación laboral; en este orden de ideas, cuando dentro de la renuncia establece que esta se da por motivos personales y se especifican dichos motivos, estos sí deben ser clasificados a través de un acuerdo de clasificación en donde se funde y motive la eliminación del dato y se autorice la entrega de una versión pública, por lo que no puede clasificarse todo el documento, por contener una palabra, parte o sección confidencial. </w:t>
      </w:r>
    </w:p>
    <w:p w14:paraId="4AE98CA1" w14:textId="77777777" w:rsidR="000A2FD5" w:rsidRPr="00271FF4" w:rsidRDefault="000A2FD5">
      <w:pPr>
        <w:spacing w:line="360" w:lineRule="auto"/>
        <w:rPr>
          <w:rFonts w:ascii="Palatino Linotype" w:eastAsia="Palatino Linotype" w:hAnsi="Palatino Linotype" w:cs="Palatino Linotype"/>
          <w:sz w:val="22"/>
          <w:szCs w:val="22"/>
        </w:rPr>
      </w:pPr>
    </w:p>
    <w:p w14:paraId="7CC4DA85" w14:textId="77777777" w:rsidR="000A2FD5" w:rsidRPr="00271FF4" w:rsidRDefault="00BD2EBF">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lastRenderedPageBreak/>
        <w:t>De esta manera, el documento que evidencie la renuncia de servidores públicos, este Organismo Garante ha señalado que debe tenerse especial cuidado respecto de su contenido, toda vez que se insiste en que en los motivos o causas que les dieron origen, podrían desprenderse información relativa a la vida privada de las personas, o bien, podría contener argumentos que le conciernen en esencia al interesado, y que por tal motivo, dicha información es susceptible de clasificarse como confidencial, a través de la versión pública que deje a la vista el resto de la información requerida, en términos de lo señalado por el considerando quinto del presente fallo.</w:t>
      </w:r>
    </w:p>
    <w:p w14:paraId="27001EF2" w14:textId="77777777" w:rsidR="000A2FD5" w:rsidRPr="00271FF4" w:rsidRDefault="000A2FD5">
      <w:pPr>
        <w:spacing w:line="360" w:lineRule="auto"/>
        <w:ind w:right="141"/>
        <w:jc w:val="both"/>
        <w:rPr>
          <w:rFonts w:ascii="Palatino Linotype" w:eastAsia="Palatino Linotype" w:hAnsi="Palatino Linotype" w:cs="Palatino Linotype"/>
          <w:sz w:val="22"/>
          <w:szCs w:val="22"/>
        </w:rPr>
      </w:pPr>
    </w:p>
    <w:p w14:paraId="4AB002DB" w14:textId="77777777" w:rsidR="000A2FD5" w:rsidRPr="00271FF4" w:rsidRDefault="00BD2EBF">
      <w:pPr>
        <w:spacing w:line="360" w:lineRule="auto"/>
        <w:ind w:right="141"/>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 xml:space="preserve">Ahora si bien vía informe justificado el </w:t>
      </w:r>
      <w:r w:rsidRPr="00271FF4">
        <w:rPr>
          <w:rFonts w:ascii="Palatino Linotype" w:eastAsia="Palatino Linotype" w:hAnsi="Palatino Linotype" w:cs="Palatino Linotype"/>
          <w:b/>
          <w:sz w:val="22"/>
          <w:szCs w:val="22"/>
        </w:rPr>
        <w:t xml:space="preserve">Sujeto Obligado </w:t>
      </w:r>
      <w:r w:rsidRPr="00271FF4">
        <w:rPr>
          <w:rFonts w:ascii="Palatino Linotype" w:eastAsia="Palatino Linotype" w:hAnsi="Palatino Linotype" w:cs="Palatino Linotype"/>
          <w:sz w:val="22"/>
          <w:szCs w:val="22"/>
        </w:rPr>
        <w:t>señaló que al hacer entrega de un oficio en el cual se sustenta la información requerida se cumple con brindar el soporte documental, y que conforme la Ley no existe un formato especifico o tipo de documento que deba integrar con motivo de dicho soporte; dicho pronunciamiento no colma el requerimiento del particular, en virtud de que el soporte documental que en este caso sustenta el motivo de separación de los servidores públicos referidos en respuesta es la renuncia voluntaria que presentaron.</w:t>
      </w:r>
    </w:p>
    <w:p w14:paraId="5D6A5656" w14:textId="77777777" w:rsidR="000A2FD5" w:rsidRPr="00271FF4" w:rsidRDefault="000A2FD5">
      <w:pPr>
        <w:spacing w:line="360" w:lineRule="auto"/>
        <w:ind w:right="141"/>
        <w:jc w:val="both"/>
        <w:rPr>
          <w:rFonts w:ascii="Palatino Linotype" w:eastAsia="Palatino Linotype" w:hAnsi="Palatino Linotype" w:cs="Palatino Linotype"/>
          <w:sz w:val="22"/>
          <w:szCs w:val="22"/>
        </w:rPr>
      </w:pPr>
    </w:p>
    <w:p w14:paraId="537F05B8" w14:textId="77777777" w:rsidR="000A2FD5" w:rsidRPr="00271FF4" w:rsidRDefault="00BD2EBF">
      <w:pPr>
        <w:spacing w:line="360" w:lineRule="auto"/>
        <w:ind w:right="141"/>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Por lo tanto, se advierte la existencia de documentales que dan atención de manera específica al requerimiento de información del particular.</w:t>
      </w:r>
    </w:p>
    <w:p w14:paraId="4B0B53F0" w14:textId="77777777" w:rsidR="000A2FD5" w:rsidRPr="00271FF4" w:rsidRDefault="000A2FD5">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p>
    <w:p w14:paraId="0C9FEDD7" w14:textId="77777777" w:rsidR="000A2FD5" w:rsidRPr="00271FF4" w:rsidRDefault="00BD2EBF">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 xml:space="preserve">De esta manera, a fin de restituir al particular en el ejercicio de su derecho de acceso a la información pública, resulta procedente </w:t>
      </w:r>
      <w:r w:rsidRPr="00271FF4">
        <w:rPr>
          <w:rFonts w:ascii="Palatino Linotype" w:eastAsia="Palatino Linotype" w:hAnsi="Palatino Linotype" w:cs="Palatino Linotype"/>
          <w:b/>
          <w:sz w:val="22"/>
          <w:szCs w:val="22"/>
        </w:rPr>
        <w:t xml:space="preserve">Modificar </w:t>
      </w:r>
      <w:r w:rsidRPr="00271FF4">
        <w:rPr>
          <w:rFonts w:ascii="Palatino Linotype" w:eastAsia="Palatino Linotype" w:hAnsi="Palatino Linotype" w:cs="Palatino Linotype"/>
          <w:sz w:val="22"/>
          <w:szCs w:val="22"/>
        </w:rPr>
        <w:t xml:space="preserve">la respuesta del </w:t>
      </w:r>
      <w:r w:rsidRPr="00271FF4">
        <w:rPr>
          <w:rFonts w:ascii="Palatino Linotype" w:eastAsia="Palatino Linotype" w:hAnsi="Palatino Linotype" w:cs="Palatino Linotype"/>
          <w:b/>
          <w:sz w:val="22"/>
          <w:szCs w:val="22"/>
        </w:rPr>
        <w:t xml:space="preserve">Sujeto Obligado </w:t>
      </w:r>
      <w:r w:rsidRPr="00271FF4">
        <w:rPr>
          <w:rFonts w:ascii="Palatino Linotype" w:eastAsia="Palatino Linotype" w:hAnsi="Palatino Linotype" w:cs="Palatino Linotype"/>
          <w:sz w:val="22"/>
          <w:szCs w:val="22"/>
        </w:rPr>
        <w:t>y ordenar se entregue, de ser procedente en versión pública, los documentos donde conste lo siguiente:</w:t>
      </w:r>
    </w:p>
    <w:p w14:paraId="6E7407CD" w14:textId="77777777" w:rsidR="000A2FD5" w:rsidRPr="00271FF4" w:rsidRDefault="000A2FD5">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p>
    <w:p w14:paraId="745C343D" w14:textId="77777777" w:rsidR="000A2FD5" w:rsidRPr="00271FF4" w:rsidRDefault="00BD2EBF">
      <w:pPr>
        <w:numPr>
          <w:ilvl w:val="0"/>
          <w:numId w:val="2"/>
        </w:numPr>
        <w:pBdr>
          <w:top w:val="nil"/>
          <w:left w:val="nil"/>
          <w:bottom w:val="nil"/>
          <w:right w:val="nil"/>
          <w:between w:val="nil"/>
        </w:pBdr>
        <w:spacing w:line="360" w:lineRule="auto"/>
        <w:jc w:val="both"/>
        <w:rPr>
          <w:rFonts w:ascii="Palatino Linotype" w:eastAsia="Palatino Linotype" w:hAnsi="Palatino Linotype" w:cs="Palatino Linotype"/>
          <w:b/>
          <w:sz w:val="22"/>
          <w:szCs w:val="22"/>
        </w:rPr>
      </w:pPr>
      <w:r w:rsidRPr="00271FF4">
        <w:rPr>
          <w:rFonts w:ascii="Palatino Linotype" w:eastAsia="Palatino Linotype" w:hAnsi="Palatino Linotype" w:cs="Palatino Linotype"/>
          <w:b/>
          <w:sz w:val="22"/>
          <w:szCs w:val="22"/>
        </w:rPr>
        <w:lastRenderedPageBreak/>
        <w:t>Las renuncias presentadas por los cinco servidores públicos referidos en el oficio de respuesta número 233C0101040202L/672/2024 del 21 de noviembre de 2024.</w:t>
      </w:r>
    </w:p>
    <w:p w14:paraId="104CF03D" w14:textId="77777777" w:rsidR="000A2FD5" w:rsidRPr="00271FF4" w:rsidRDefault="000A2FD5">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p>
    <w:p w14:paraId="72A9132C" w14:textId="77777777" w:rsidR="000A2FD5" w:rsidRPr="00271FF4" w:rsidRDefault="00BD2EBF">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b/>
          <w:sz w:val="22"/>
          <w:szCs w:val="22"/>
        </w:rPr>
        <w:t xml:space="preserve">Quinto. Versión Pública. </w:t>
      </w:r>
      <w:r w:rsidRPr="00271FF4">
        <w:rPr>
          <w:rFonts w:ascii="Palatino Linotype" w:eastAsia="Palatino Linotype" w:hAnsi="Palatino Linotype" w:cs="Palatino Linotype"/>
          <w:sz w:val="22"/>
          <w:szCs w:val="22"/>
        </w:rPr>
        <w:t xml:space="preserve">Finalmente, para la entrega de la información que se determina ordenar, el </w:t>
      </w:r>
      <w:r w:rsidRPr="00271FF4">
        <w:rPr>
          <w:rFonts w:ascii="Palatino Linotype" w:eastAsia="Palatino Linotype" w:hAnsi="Palatino Linotype" w:cs="Palatino Linotype"/>
          <w:b/>
          <w:sz w:val="22"/>
          <w:szCs w:val="22"/>
        </w:rPr>
        <w:t>Sujeto Obligado</w:t>
      </w:r>
      <w:r w:rsidRPr="00271FF4">
        <w:rPr>
          <w:rFonts w:ascii="Palatino Linotype" w:eastAsia="Palatino Linotype" w:hAnsi="Palatino Linotype" w:cs="Palatino Linotype"/>
          <w:sz w:val="22"/>
          <w:szCs w:val="22"/>
        </w:rPr>
        <w:t xml:space="preserve"> deberá realizar un análisis con la finalidad de advertir si esta contiene datos que deben ser clasificados en los términos que la misma Ley en la materia señala, en ese sentido, el </w:t>
      </w:r>
      <w:r w:rsidRPr="00271FF4">
        <w:rPr>
          <w:rFonts w:ascii="Palatino Linotype" w:eastAsia="Palatino Linotype" w:hAnsi="Palatino Linotype" w:cs="Palatino Linotype"/>
          <w:b/>
          <w:sz w:val="22"/>
          <w:szCs w:val="22"/>
        </w:rPr>
        <w:t>Sujeto Obligado</w:t>
      </w:r>
      <w:r w:rsidRPr="00271FF4">
        <w:rPr>
          <w:rFonts w:ascii="Palatino Linotype" w:eastAsia="Palatino Linotype" w:hAnsi="Palatino Linotype" w:cs="Palatino Linotype"/>
          <w:sz w:val="22"/>
          <w:szCs w:val="22"/>
        </w:rPr>
        <w:t xml:space="preserve"> tendrá que elaborar la versión pública de los documentos que vaya entregar para dar cumplimiento a esta resolución a fin de satisfacer el derecho de acceso a la información pública del recurrente sin menoscabar el derecho a la protección de los datos personales de terceros.</w:t>
      </w:r>
    </w:p>
    <w:p w14:paraId="5B5175F8" w14:textId="77777777" w:rsidR="000A2FD5" w:rsidRPr="00271FF4" w:rsidRDefault="000A2FD5">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p>
    <w:p w14:paraId="5F279604" w14:textId="77777777" w:rsidR="000A2FD5" w:rsidRPr="00271FF4" w:rsidRDefault="00BD2EBF">
      <w:pPr>
        <w:spacing w:line="360" w:lineRule="auto"/>
        <w:ind w:right="50"/>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Lo anterior, de conformidad a lo que señalan los artículos 3 fracciones IX, XX, XXI y XLV, 91, 132 fracciones II y III, y 143 fracción I de la Ley de Transparencia y Acceso a la Información Pública del Estado de México y Municipios que establecen:</w:t>
      </w:r>
    </w:p>
    <w:p w14:paraId="0CB2F903" w14:textId="77777777" w:rsidR="000A2FD5" w:rsidRPr="00271FF4" w:rsidRDefault="000A2FD5">
      <w:pPr>
        <w:spacing w:line="360" w:lineRule="auto"/>
        <w:ind w:right="50"/>
        <w:jc w:val="both"/>
        <w:rPr>
          <w:rFonts w:ascii="Palatino Linotype" w:eastAsia="Palatino Linotype" w:hAnsi="Palatino Linotype" w:cs="Palatino Linotype"/>
          <w:sz w:val="22"/>
          <w:szCs w:val="22"/>
        </w:rPr>
      </w:pPr>
    </w:p>
    <w:p w14:paraId="4907AE99" w14:textId="77777777" w:rsidR="000A2FD5" w:rsidRPr="00271FF4" w:rsidRDefault="00BD2EBF">
      <w:pPr>
        <w:spacing w:line="276" w:lineRule="auto"/>
        <w:ind w:left="567" w:right="902"/>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w:t>
      </w:r>
      <w:r w:rsidRPr="00271FF4">
        <w:rPr>
          <w:rFonts w:ascii="Palatino Linotype" w:eastAsia="Palatino Linotype" w:hAnsi="Palatino Linotype" w:cs="Palatino Linotype"/>
          <w:b/>
          <w:i/>
          <w:sz w:val="22"/>
          <w:szCs w:val="22"/>
        </w:rPr>
        <w:t>Artículo 3</w:t>
      </w:r>
      <w:r w:rsidRPr="00271FF4">
        <w:rPr>
          <w:rFonts w:ascii="Palatino Linotype" w:eastAsia="Palatino Linotype" w:hAnsi="Palatino Linotype" w:cs="Palatino Linotype"/>
          <w:i/>
          <w:sz w:val="22"/>
          <w:szCs w:val="22"/>
        </w:rPr>
        <w:t>. Para los efectos de la presente Ley se entenderá por:</w:t>
      </w:r>
    </w:p>
    <w:p w14:paraId="46C1FA80" w14:textId="77777777" w:rsidR="000A2FD5" w:rsidRPr="00271FF4" w:rsidRDefault="00BD2EBF">
      <w:pPr>
        <w:spacing w:line="276" w:lineRule="auto"/>
        <w:ind w:left="567" w:right="902"/>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w:t>
      </w:r>
    </w:p>
    <w:p w14:paraId="1AB3CEF4" w14:textId="77777777" w:rsidR="000A2FD5" w:rsidRPr="00271FF4" w:rsidRDefault="00BD2EBF">
      <w:pPr>
        <w:spacing w:line="276" w:lineRule="auto"/>
        <w:ind w:left="567" w:right="902"/>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b/>
          <w:i/>
          <w:sz w:val="22"/>
          <w:szCs w:val="22"/>
        </w:rPr>
        <w:t>IX. Datos personales:</w:t>
      </w:r>
      <w:r w:rsidRPr="00271FF4">
        <w:rPr>
          <w:rFonts w:ascii="Palatino Linotype" w:eastAsia="Palatino Linotype" w:hAnsi="Palatino Linotype" w:cs="Palatino Linotype"/>
          <w:i/>
          <w:sz w:val="22"/>
          <w:szCs w:val="22"/>
        </w:rPr>
        <w:t xml:space="preserve"> La información concerniente a una persona, identificada o identificable según lo dispuesto por la Ley de Protección de Datos Personales del Estado de México; </w:t>
      </w:r>
    </w:p>
    <w:p w14:paraId="7F1720EE" w14:textId="77777777" w:rsidR="000A2FD5" w:rsidRPr="00271FF4" w:rsidRDefault="00BD2EBF">
      <w:pPr>
        <w:spacing w:line="276" w:lineRule="auto"/>
        <w:ind w:left="567" w:right="902"/>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b/>
          <w:i/>
          <w:sz w:val="22"/>
          <w:szCs w:val="22"/>
        </w:rPr>
        <w:t>XX. Información clasificada</w:t>
      </w:r>
      <w:r w:rsidRPr="00271FF4">
        <w:rPr>
          <w:rFonts w:ascii="Palatino Linotype" w:eastAsia="Palatino Linotype" w:hAnsi="Palatino Linotype" w:cs="Palatino Linotype"/>
          <w:i/>
          <w:sz w:val="22"/>
          <w:szCs w:val="22"/>
        </w:rPr>
        <w:t>: Aquella considerada por la presente Ley como reservada o confidencial;</w:t>
      </w:r>
    </w:p>
    <w:p w14:paraId="355756CD" w14:textId="77777777" w:rsidR="000A2FD5" w:rsidRPr="00271FF4" w:rsidRDefault="00BD2EBF">
      <w:pPr>
        <w:spacing w:line="276" w:lineRule="auto"/>
        <w:ind w:left="567" w:right="902"/>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b/>
          <w:i/>
          <w:sz w:val="22"/>
          <w:szCs w:val="22"/>
        </w:rPr>
        <w:t>XXI. Información confidencial:</w:t>
      </w:r>
      <w:r w:rsidRPr="00271FF4">
        <w:rPr>
          <w:rFonts w:ascii="Palatino Linotype" w:eastAsia="Palatino Linotype" w:hAnsi="Palatino Linotype" w:cs="Palatino Linotype"/>
          <w:i/>
          <w:sz w:val="22"/>
          <w:szCs w:val="22"/>
        </w:rPr>
        <w:t xml:space="preserve"> Se considera como información confidencial los secretos bancario, fiduciario, industrial, comercial, fiscal, bursátil y postal, cuya titularidad corresponda a particulares, sujetos de derecho internacional o a sujetos obligados cuando no involucren el ejercicio de recursos públicos;</w:t>
      </w:r>
    </w:p>
    <w:p w14:paraId="72A9D88D" w14:textId="77777777" w:rsidR="000A2FD5" w:rsidRPr="00271FF4" w:rsidRDefault="00BD2EBF">
      <w:pPr>
        <w:spacing w:line="276" w:lineRule="auto"/>
        <w:ind w:left="567" w:right="902"/>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b/>
          <w:i/>
          <w:sz w:val="22"/>
          <w:szCs w:val="22"/>
        </w:rPr>
        <w:t>XLV. Versión pública:</w:t>
      </w:r>
      <w:r w:rsidRPr="00271FF4">
        <w:rPr>
          <w:rFonts w:ascii="Palatino Linotype" w:eastAsia="Palatino Linotype" w:hAnsi="Palatino Linotype" w:cs="Palatino Linotype"/>
          <w:i/>
          <w:sz w:val="22"/>
          <w:szCs w:val="22"/>
        </w:rPr>
        <w:t xml:space="preserve"> Documento en el que se elimine, suprime o borra la información clasificada como reservada o confidencial para permitir su acceso.</w:t>
      </w:r>
    </w:p>
    <w:p w14:paraId="78E59081" w14:textId="77777777" w:rsidR="000A2FD5" w:rsidRPr="00271FF4" w:rsidRDefault="00BD2EBF">
      <w:pPr>
        <w:spacing w:line="276" w:lineRule="auto"/>
        <w:ind w:left="567" w:right="902"/>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lastRenderedPageBreak/>
        <w:t>[…]</w:t>
      </w:r>
    </w:p>
    <w:p w14:paraId="19E5ABA9" w14:textId="77777777" w:rsidR="000A2FD5" w:rsidRPr="00271FF4" w:rsidRDefault="00BD2EBF">
      <w:pPr>
        <w:spacing w:line="276" w:lineRule="auto"/>
        <w:ind w:left="567" w:right="902"/>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b/>
          <w:i/>
          <w:sz w:val="22"/>
          <w:szCs w:val="22"/>
        </w:rPr>
        <w:t xml:space="preserve">Artículo 91. </w:t>
      </w:r>
      <w:r w:rsidRPr="00271FF4">
        <w:rPr>
          <w:rFonts w:ascii="Palatino Linotype" w:eastAsia="Palatino Linotype" w:hAnsi="Palatino Linotype" w:cs="Palatino Linotype"/>
          <w:i/>
          <w:sz w:val="22"/>
          <w:szCs w:val="22"/>
        </w:rPr>
        <w:t>El acceso a la información pública será restringido excepcionalmente, cuando ésta sea clasificada como reservada o confidencial.</w:t>
      </w:r>
    </w:p>
    <w:p w14:paraId="1AF7438B" w14:textId="77777777" w:rsidR="000A2FD5" w:rsidRPr="00271FF4" w:rsidRDefault="00BD2EBF">
      <w:pPr>
        <w:spacing w:line="276" w:lineRule="auto"/>
        <w:ind w:left="567" w:right="902"/>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b/>
          <w:i/>
          <w:sz w:val="22"/>
          <w:szCs w:val="22"/>
        </w:rPr>
        <w:t xml:space="preserve">Artículo 132. </w:t>
      </w:r>
      <w:r w:rsidRPr="00271FF4">
        <w:rPr>
          <w:rFonts w:ascii="Palatino Linotype" w:eastAsia="Palatino Linotype" w:hAnsi="Palatino Linotype" w:cs="Palatino Linotype"/>
          <w:i/>
          <w:sz w:val="22"/>
          <w:szCs w:val="22"/>
        </w:rPr>
        <w:t>La clasificación de la información se llevará a cabo en el momento en que:</w:t>
      </w:r>
    </w:p>
    <w:p w14:paraId="1AE6FA79" w14:textId="77777777" w:rsidR="000A2FD5" w:rsidRPr="00271FF4" w:rsidRDefault="00BD2EBF">
      <w:pPr>
        <w:spacing w:line="276" w:lineRule="auto"/>
        <w:ind w:left="567" w:right="902"/>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b/>
          <w:i/>
          <w:sz w:val="22"/>
          <w:szCs w:val="22"/>
        </w:rPr>
        <w:t>I</w:t>
      </w:r>
      <w:r w:rsidRPr="00271FF4">
        <w:rPr>
          <w:rFonts w:ascii="Palatino Linotype" w:eastAsia="Palatino Linotype" w:hAnsi="Palatino Linotype" w:cs="Palatino Linotype"/>
          <w:i/>
          <w:sz w:val="22"/>
          <w:szCs w:val="22"/>
        </w:rPr>
        <w:t>. Se reciba una solicitud de acceso a la información;</w:t>
      </w:r>
    </w:p>
    <w:p w14:paraId="2A23B8AB" w14:textId="77777777" w:rsidR="000A2FD5" w:rsidRPr="00271FF4" w:rsidRDefault="00BD2EBF">
      <w:pPr>
        <w:spacing w:line="276" w:lineRule="auto"/>
        <w:ind w:left="567" w:right="902"/>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b/>
          <w:i/>
          <w:sz w:val="22"/>
          <w:szCs w:val="22"/>
        </w:rPr>
        <w:t>II</w:t>
      </w:r>
      <w:r w:rsidRPr="00271FF4">
        <w:rPr>
          <w:rFonts w:ascii="Palatino Linotype" w:eastAsia="Palatino Linotype" w:hAnsi="Palatino Linotype" w:cs="Palatino Linotype"/>
          <w:i/>
          <w:sz w:val="22"/>
          <w:szCs w:val="22"/>
        </w:rPr>
        <w:t>. Se determine mediante resolución de autoridad competente; o</w:t>
      </w:r>
    </w:p>
    <w:p w14:paraId="37704141" w14:textId="77777777" w:rsidR="000A2FD5" w:rsidRPr="00271FF4" w:rsidRDefault="00BD2EBF">
      <w:pPr>
        <w:spacing w:line="276" w:lineRule="auto"/>
        <w:ind w:left="567" w:right="902"/>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b/>
          <w:i/>
          <w:sz w:val="22"/>
          <w:szCs w:val="22"/>
        </w:rPr>
        <w:t>III</w:t>
      </w:r>
      <w:r w:rsidRPr="00271FF4">
        <w:rPr>
          <w:rFonts w:ascii="Palatino Linotype" w:eastAsia="Palatino Linotype" w:hAnsi="Palatino Linotype" w:cs="Palatino Linotype"/>
          <w:i/>
          <w:sz w:val="22"/>
          <w:szCs w:val="22"/>
        </w:rPr>
        <w:t>. Se generen versiones públicas para dar cumplimiento a las obligaciones de transparencia previstas en esta Ley.</w:t>
      </w:r>
    </w:p>
    <w:p w14:paraId="688418E0" w14:textId="77777777" w:rsidR="000A2FD5" w:rsidRPr="00271FF4" w:rsidRDefault="00BD2EBF">
      <w:pPr>
        <w:spacing w:line="276" w:lineRule="auto"/>
        <w:ind w:left="567" w:right="902"/>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w:t>
      </w:r>
    </w:p>
    <w:p w14:paraId="2EBB4768" w14:textId="77777777" w:rsidR="000A2FD5" w:rsidRPr="00271FF4" w:rsidRDefault="00BD2EBF">
      <w:pPr>
        <w:spacing w:line="276" w:lineRule="auto"/>
        <w:ind w:left="567" w:right="902"/>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b/>
          <w:i/>
          <w:sz w:val="22"/>
          <w:szCs w:val="22"/>
        </w:rPr>
        <w:t>Artículo 143</w:t>
      </w:r>
      <w:r w:rsidRPr="00271FF4">
        <w:rPr>
          <w:rFonts w:ascii="Palatino Linotype" w:eastAsia="Palatino Linotype" w:hAnsi="Palatino Linotype" w:cs="Palatino Linotype"/>
          <w:i/>
          <w:sz w:val="22"/>
          <w:szCs w:val="22"/>
        </w:rPr>
        <w:t>. Para los efectos de esta Ley se considera información confidencial, la clasificada como tal, de manera permanente, por su naturaleza, cuando:</w:t>
      </w:r>
    </w:p>
    <w:p w14:paraId="61AF2830" w14:textId="77777777" w:rsidR="000A2FD5" w:rsidRPr="00271FF4" w:rsidRDefault="00BD2EBF">
      <w:pPr>
        <w:spacing w:line="276" w:lineRule="auto"/>
        <w:ind w:left="567" w:right="902"/>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b/>
          <w:i/>
          <w:sz w:val="22"/>
          <w:szCs w:val="22"/>
        </w:rPr>
        <w:t>I.</w:t>
      </w:r>
      <w:r w:rsidRPr="00271FF4">
        <w:rPr>
          <w:rFonts w:ascii="Palatino Linotype" w:eastAsia="Palatino Linotype" w:hAnsi="Palatino Linotype" w:cs="Palatino Linotype"/>
          <w:i/>
          <w:sz w:val="22"/>
          <w:szCs w:val="22"/>
        </w:rPr>
        <w:t xml:space="preserve"> Se refiera a la información privada y los datos personales concernientes a una persona física o jurídico colectiva identificada o identificable;</w:t>
      </w:r>
    </w:p>
    <w:p w14:paraId="17A59740" w14:textId="77777777" w:rsidR="000A2FD5" w:rsidRPr="00271FF4" w:rsidRDefault="00BD2EBF">
      <w:pPr>
        <w:spacing w:line="276" w:lineRule="auto"/>
        <w:ind w:left="567" w:right="902"/>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b/>
          <w:i/>
          <w:sz w:val="22"/>
          <w:szCs w:val="22"/>
        </w:rPr>
        <w:t>II.</w:t>
      </w:r>
      <w:r w:rsidRPr="00271FF4">
        <w:rPr>
          <w:rFonts w:ascii="Palatino Linotype" w:eastAsia="Palatino Linotype" w:hAnsi="Palatino Linotype" w:cs="Palatino Linotype"/>
          <w:i/>
          <w:sz w:val="22"/>
          <w:szCs w:val="22"/>
        </w:rPr>
        <w:t xml:space="preserve"> Los secretos bancario, fiduciario, industrial, comercial, fiscal, bursátil y postal, cuya titularidad corresponda a particulares, sujetos de derecho internacional o a sujetos obligados cuando no involucren el ejercicio de recursos públicos; y</w:t>
      </w:r>
    </w:p>
    <w:p w14:paraId="46A8359C" w14:textId="77777777" w:rsidR="000A2FD5" w:rsidRPr="00271FF4" w:rsidRDefault="00BD2EBF">
      <w:pPr>
        <w:spacing w:line="276" w:lineRule="auto"/>
        <w:ind w:left="567" w:right="902"/>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b/>
          <w:i/>
          <w:sz w:val="22"/>
          <w:szCs w:val="22"/>
        </w:rPr>
        <w:t>III</w:t>
      </w:r>
      <w:r w:rsidRPr="00271FF4">
        <w:rPr>
          <w:rFonts w:ascii="Palatino Linotype" w:eastAsia="Palatino Linotype" w:hAnsi="Palatino Linotype" w:cs="Palatino Linotype"/>
          <w:i/>
          <w:sz w:val="22"/>
          <w:szCs w:val="22"/>
        </w:rPr>
        <w:t>. La que presenten los particulares a los sujetos obligados, de conformidad con lo dispuesto por las leyes o los tratados internacionales.</w:t>
      </w:r>
    </w:p>
    <w:p w14:paraId="3E1D86D3" w14:textId="77777777" w:rsidR="000A2FD5" w:rsidRPr="00271FF4" w:rsidRDefault="00BD2EBF">
      <w:pPr>
        <w:spacing w:line="276" w:lineRule="auto"/>
        <w:ind w:left="567" w:right="902"/>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La información confidencial no estará sujeta a temporalidad alguna y sólo podrán tener acceso a ella los titulares de la misma, sus representantes y los servidores públicos facultados para ello.</w:t>
      </w:r>
    </w:p>
    <w:p w14:paraId="0DCA2EBD" w14:textId="77777777" w:rsidR="000A2FD5" w:rsidRPr="00271FF4" w:rsidRDefault="00BD2EBF">
      <w:pPr>
        <w:spacing w:line="276" w:lineRule="auto"/>
        <w:ind w:left="567" w:right="902"/>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No se considerará confidencial la información que se encuentre en los registros públicos o en fuentes de acceso público, ni tampoco la que sea considerada por la presente ley como información pública.”</w:t>
      </w:r>
    </w:p>
    <w:p w14:paraId="206FB339"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783B4BC6" w14:textId="77777777" w:rsidR="000A2FD5" w:rsidRPr="00271FF4" w:rsidRDefault="00BD2EBF">
      <w:pP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 xml:space="preserve">Igualmente, los Lineamientos Generales en Materia de Clasificación y Desclasificación de la Información, así como para la elaboración de Versiones Públicas, emitidos por el Consejo Nacional del Sistema Nacional de Transparencia, Acceso a la Información Pública y Protección de Datos Personales, tienen por objeto establecer los criterios con base en los cuales los sujetos obligados clasificarán como reservada o </w:t>
      </w:r>
      <w:r w:rsidRPr="00271FF4">
        <w:rPr>
          <w:rFonts w:ascii="Palatino Linotype" w:eastAsia="Palatino Linotype" w:hAnsi="Palatino Linotype" w:cs="Palatino Linotype"/>
          <w:b/>
          <w:sz w:val="22"/>
          <w:szCs w:val="22"/>
        </w:rPr>
        <w:t>confidencial</w:t>
      </w:r>
      <w:r w:rsidRPr="00271FF4">
        <w:rPr>
          <w:rFonts w:ascii="Palatino Linotype" w:eastAsia="Palatino Linotype" w:hAnsi="Palatino Linotype" w:cs="Palatino Linotype"/>
          <w:sz w:val="22"/>
          <w:szCs w:val="22"/>
        </w:rPr>
        <w:t xml:space="preserve"> la información que </w:t>
      </w:r>
      <w:r w:rsidRPr="00271FF4">
        <w:rPr>
          <w:rFonts w:ascii="Palatino Linotype" w:eastAsia="Palatino Linotype" w:hAnsi="Palatino Linotype" w:cs="Palatino Linotype"/>
          <w:sz w:val="22"/>
          <w:szCs w:val="22"/>
        </w:rPr>
        <w:lastRenderedPageBreak/>
        <w:t>posean, desclasificarán y generarán, en su caso, versiones públicas de expedientes o documentos que contengan partes o secciones clasificadas.</w:t>
      </w:r>
    </w:p>
    <w:p w14:paraId="15D6E25E"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6FB6F84D" w14:textId="77777777" w:rsidR="000A2FD5" w:rsidRPr="00271FF4" w:rsidRDefault="00BD2EBF">
      <w:pP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 xml:space="preserve">De esta manera, atendiendo la naturaleza de la información que se ordena puede contener datos de índole confidencial, por lo que el </w:t>
      </w:r>
      <w:r w:rsidRPr="00271FF4">
        <w:rPr>
          <w:rFonts w:ascii="Palatino Linotype" w:eastAsia="Palatino Linotype" w:hAnsi="Palatino Linotype" w:cs="Palatino Linotype"/>
          <w:b/>
          <w:sz w:val="22"/>
          <w:szCs w:val="22"/>
        </w:rPr>
        <w:t xml:space="preserve">Sujeto Obligado </w:t>
      </w:r>
      <w:r w:rsidRPr="00271FF4">
        <w:rPr>
          <w:rFonts w:ascii="Palatino Linotype" w:eastAsia="Palatino Linotype" w:hAnsi="Palatino Linotype" w:cs="Palatino Linotype"/>
          <w:sz w:val="22"/>
          <w:szCs w:val="22"/>
        </w:rPr>
        <w:t>deberá tomar en consideración la información que actualice tal supuesto, con base en lo indicado en el considerando anterior.</w:t>
      </w:r>
    </w:p>
    <w:p w14:paraId="59609F1A"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6AC48F78" w14:textId="77777777" w:rsidR="000A2FD5" w:rsidRPr="00271FF4" w:rsidRDefault="00BD2EBF">
      <w:pP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Asimismo, dentro de los datos que pueden ser considerados de índole confidencial se encuentran de manera enunciativa más no limitativa, la huella dactilar, y el número de empleado, este último sólo en el caso de que su integración se ubique en el supuesto que se indica más adelante.</w:t>
      </w:r>
    </w:p>
    <w:p w14:paraId="11C0E56F"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302E89F3" w14:textId="77777777" w:rsidR="000A2FD5" w:rsidRPr="00271FF4" w:rsidRDefault="00BD2EBF">
      <w:pP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b/>
          <w:sz w:val="22"/>
          <w:szCs w:val="22"/>
          <w:u w:val="single"/>
        </w:rPr>
        <w:t>En lo que corresponde a la huella dactilar</w:t>
      </w:r>
      <w:r w:rsidRPr="00271FF4">
        <w:rPr>
          <w:rFonts w:ascii="Palatino Linotype" w:eastAsia="Palatino Linotype" w:hAnsi="Palatino Linotype" w:cs="Palatino Linotype"/>
          <w:sz w:val="22"/>
          <w:szCs w:val="22"/>
        </w:rPr>
        <w:t>, la Academia Mexicana de la Lengua y el Diccionario de la Real Academia de la Lengua Española, establecen que la huella dactilar, es la impresión que suele dejar la yema del dedo en un objeto al tocarlo, o la que se obtiene impregnándola previamente en una materia colorante. Por su parte, en el documento electrónico intitulado “Nuevas Tecnologías Biométricas”, publicado por el Instituto Nacional de Ciencias Penales y la Procuraduría General de la República, se indica que existen tres principios fundamentales para la identificación de las huellas dactilares, a saber: </w:t>
      </w:r>
    </w:p>
    <w:p w14:paraId="046EF2B7" w14:textId="77777777" w:rsidR="000A2FD5" w:rsidRPr="00271FF4" w:rsidRDefault="00BD2EBF">
      <w:pPr>
        <w:rPr>
          <w:sz w:val="22"/>
          <w:szCs w:val="22"/>
        </w:rPr>
      </w:pPr>
      <w:r w:rsidRPr="00271FF4">
        <w:rPr>
          <w:sz w:val="22"/>
          <w:szCs w:val="22"/>
        </w:rPr>
        <w:br/>
      </w:r>
    </w:p>
    <w:p w14:paraId="2F621C3D" w14:textId="77777777" w:rsidR="000A2FD5" w:rsidRPr="00271FF4" w:rsidRDefault="00BD2EBF">
      <w:pPr>
        <w:numPr>
          <w:ilvl w:val="0"/>
          <w:numId w:val="7"/>
        </w:numPr>
        <w:spacing w:line="276" w:lineRule="auto"/>
        <w:ind w:left="567" w:right="901" w:hanging="141"/>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Primer principio. La huella es una característica individual. No hay dos huellas con características en las crestas que sean idénticas. </w:t>
      </w:r>
    </w:p>
    <w:p w14:paraId="61E22E1E" w14:textId="77777777" w:rsidR="000A2FD5" w:rsidRPr="00271FF4" w:rsidRDefault="00BD2EBF">
      <w:pPr>
        <w:spacing w:line="276" w:lineRule="auto"/>
        <w:ind w:left="567" w:right="901" w:hanging="141"/>
        <w:rPr>
          <w:sz w:val="22"/>
          <w:szCs w:val="22"/>
        </w:rPr>
      </w:pPr>
      <w:r w:rsidRPr="00271FF4">
        <w:rPr>
          <w:sz w:val="22"/>
          <w:szCs w:val="22"/>
        </w:rPr>
        <w:br/>
      </w:r>
    </w:p>
    <w:p w14:paraId="3D102C8F" w14:textId="77777777" w:rsidR="000A2FD5" w:rsidRPr="00271FF4" w:rsidRDefault="00BD2EBF">
      <w:pPr>
        <w:numPr>
          <w:ilvl w:val="0"/>
          <w:numId w:val="8"/>
        </w:numPr>
        <w:spacing w:line="276" w:lineRule="auto"/>
        <w:ind w:left="567" w:right="901" w:hanging="141"/>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lastRenderedPageBreak/>
        <w:t>Segundo principio. Una huella permanece sin cambios durante toda la vida de un individuo (sin embargo, puede adquirir cicatrices o cualquier otra deformación que impida su identificación clara). </w:t>
      </w:r>
    </w:p>
    <w:p w14:paraId="308A46DD" w14:textId="77777777" w:rsidR="000A2FD5" w:rsidRPr="00271FF4" w:rsidRDefault="00BD2EBF">
      <w:pPr>
        <w:spacing w:line="276" w:lineRule="auto"/>
        <w:ind w:left="567" w:right="901" w:hanging="141"/>
        <w:rPr>
          <w:sz w:val="22"/>
          <w:szCs w:val="22"/>
        </w:rPr>
      </w:pPr>
      <w:r w:rsidRPr="00271FF4">
        <w:rPr>
          <w:sz w:val="22"/>
          <w:szCs w:val="22"/>
        </w:rPr>
        <w:br/>
      </w:r>
    </w:p>
    <w:p w14:paraId="43CD48C1" w14:textId="77777777" w:rsidR="000A2FD5" w:rsidRPr="00271FF4" w:rsidRDefault="00BD2EBF">
      <w:pPr>
        <w:numPr>
          <w:ilvl w:val="0"/>
          <w:numId w:val="6"/>
        </w:numPr>
        <w:spacing w:line="276" w:lineRule="auto"/>
        <w:ind w:left="567" w:right="901" w:hanging="141"/>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Tercer principio. Las huellas tienen patrones que se forman con sus crestas, lo que hace posible clasificarlas sistemáticamente para agilizar las búsquedas. </w:t>
      </w:r>
    </w:p>
    <w:p w14:paraId="356CDDFE" w14:textId="77777777" w:rsidR="000A2FD5" w:rsidRPr="00271FF4" w:rsidRDefault="000A2FD5">
      <w:pPr>
        <w:rPr>
          <w:sz w:val="22"/>
          <w:szCs w:val="22"/>
        </w:rPr>
      </w:pPr>
    </w:p>
    <w:p w14:paraId="2C8D36DC" w14:textId="77777777" w:rsidR="000A2FD5" w:rsidRPr="00271FF4" w:rsidRDefault="00BD2EBF">
      <w:pPr>
        <w:spacing w:line="360" w:lineRule="auto"/>
        <w:jc w:val="both"/>
        <w:rPr>
          <w:sz w:val="22"/>
          <w:szCs w:val="22"/>
        </w:rPr>
      </w:pPr>
      <w:r w:rsidRPr="00271FF4">
        <w:rPr>
          <w:rFonts w:ascii="Palatino Linotype" w:eastAsia="Palatino Linotype" w:hAnsi="Palatino Linotype" w:cs="Palatino Linotype"/>
          <w:sz w:val="22"/>
          <w:szCs w:val="22"/>
        </w:rPr>
        <w:t>Conforme a lo expuesto, es indubitable que la huella dactilar es una característica propia de un individuo que permite su reconocimiento. Por tanto, sin duda, se considera que es una característica individual que se utiliza como medio de identificación de las personas y, por tanto, constituye un dato personal, de conformidad con lo establecido en el artículo 143, fracción I de la Ley de la materia.</w:t>
      </w:r>
    </w:p>
    <w:p w14:paraId="407E6ABE" w14:textId="77777777" w:rsidR="000A2FD5" w:rsidRPr="00271FF4" w:rsidRDefault="000A2FD5">
      <w:pPr>
        <w:spacing w:line="360" w:lineRule="auto"/>
        <w:rPr>
          <w:sz w:val="22"/>
          <w:szCs w:val="22"/>
        </w:rPr>
      </w:pPr>
    </w:p>
    <w:p w14:paraId="4CD1C62D" w14:textId="77777777" w:rsidR="000A2FD5" w:rsidRPr="00271FF4" w:rsidRDefault="00BD2EBF">
      <w:pPr>
        <w:spacing w:line="360" w:lineRule="auto"/>
        <w:jc w:val="both"/>
        <w:rPr>
          <w:sz w:val="22"/>
          <w:szCs w:val="22"/>
        </w:rPr>
      </w:pPr>
      <w:r w:rsidRPr="00271FF4">
        <w:rPr>
          <w:rFonts w:ascii="Palatino Linotype" w:eastAsia="Palatino Linotype" w:hAnsi="Palatino Linotype" w:cs="Palatino Linotype"/>
          <w:sz w:val="22"/>
          <w:szCs w:val="22"/>
        </w:rPr>
        <w:t>Ahora bien, no obstante que dicho dato no recolectara mediante escaneo que permita su sistematización y procesamiento electrónico, es de indicar que incluso su recolección en tinta y papel, también permite su escaneo, lo que puede propiciar un mal uno de dicho dato, sino se aplican las medidas de protección adecuada, tal como lo refiere la Tesis Aislada HUELLA DACTILAR. ES APTA PARA ACREDITAR EL CONSENTIMIENTO EN LA CELEBRACIÓN DE UN CONTRATO.</w:t>
      </w:r>
    </w:p>
    <w:p w14:paraId="26AC8D4F" w14:textId="77777777" w:rsidR="000A2FD5" w:rsidRPr="00271FF4" w:rsidRDefault="000A2FD5">
      <w:pPr>
        <w:rPr>
          <w:sz w:val="22"/>
          <w:szCs w:val="22"/>
        </w:rPr>
      </w:pPr>
    </w:p>
    <w:p w14:paraId="44B5C4D3" w14:textId="77777777" w:rsidR="000A2FD5" w:rsidRPr="00271FF4" w:rsidRDefault="00BD2EBF">
      <w:pPr>
        <w:ind w:left="567" w:right="567"/>
        <w:jc w:val="both"/>
        <w:rPr>
          <w:sz w:val="22"/>
          <w:szCs w:val="22"/>
        </w:rPr>
      </w:pPr>
      <w:r w:rsidRPr="00271FF4">
        <w:rPr>
          <w:rFonts w:ascii="Palatino Linotype" w:eastAsia="Palatino Linotype" w:hAnsi="Palatino Linotype" w:cs="Palatino Linotype"/>
          <w:b/>
          <w:i/>
          <w:sz w:val="22"/>
          <w:szCs w:val="22"/>
        </w:rPr>
        <w:t>“La huella dactilar es un elemento jurídicamente reconocido para demostrar tanto la individualización de su autor como la manifestación de su voluntad con el contenido de un documento, porque es más idónea para individualizar al sujeto, pues las técnicas dactiloscópicas desarrolladas permiten afirmar que no hay dos personas que posean idénticas huellas dactilares;</w:t>
      </w:r>
      <w:r w:rsidRPr="00271FF4">
        <w:rPr>
          <w:rFonts w:ascii="Palatino Linotype" w:eastAsia="Palatino Linotype" w:hAnsi="Palatino Linotype" w:cs="Palatino Linotype"/>
          <w:i/>
          <w:sz w:val="22"/>
          <w:szCs w:val="22"/>
        </w:rPr>
        <w:t xml:space="preserve"> en cambio, los caracteres de la letra pueden ser imitados y, en algunos casos, podrá resultar difícil al perito decidir sobre la autenticidad de una firma. Como ejemplo de la eficacia de esa función individualizadora se tiene el artículo 76 del Código Civil para el Distrito Federal, que concibe a la huella como una firma útil para identificar a los nacidos en un parto múltiple. Por lo que toca a la función de acreditar la manifestación del consentimiento, </w:t>
      </w:r>
      <w:r w:rsidRPr="00271FF4">
        <w:rPr>
          <w:rFonts w:ascii="Palatino Linotype" w:eastAsia="Palatino Linotype" w:hAnsi="Palatino Linotype" w:cs="Palatino Linotype"/>
          <w:i/>
          <w:sz w:val="22"/>
          <w:szCs w:val="22"/>
        </w:rPr>
        <w:lastRenderedPageBreak/>
        <w:t xml:space="preserve">el citado código prevé diversos supuestos, </w:t>
      </w:r>
      <w:proofErr w:type="gramStart"/>
      <w:r w:rsidRPr="00271FF4">
        <w:rPr>
          <w:rFonts w:ascii="Palatino Linotype" w:eastAsia="Palatino Linotype" w:hAnsi="Palatino Linotype" w:cs="Palatino Linotype"/>
          <w:i/>
          <w:sz w:val="22"/>
          <w:szCs w:val="22"/>
        </w:rPr>
        <w:t>como</w:t>
      </w:r>
      <w:proofErr w:type="gramEnd"/>
      <w:r w:rsidRPr="00271FF4">
        <w:rPr>
          <w:rFonts w:ascii="Palatino Linotype" w:eastAsia="Palatino Linotype" w:hAnsi="Palatino Linotype" w:cs="Palatino Linotype"/>
          <w:i/>
          <w:sz w:val="22"/>
          <w:szCs w:val="22"/>
        </w:rPr>
        <w:t xml:space="preserve"> por ejemplo, la solicitud del matrimonio (artículo 97, fracción III, segundo párrafo) y la celebración misma de éste (artículo 103, fracción IX, tercer párrafo). Tratándose de los contratos, la impresión de la huella cumple esa doble función, pues si bien es cierto que dicho código en su artículo 1834 establece como requisito adicional la firma de la persona que intervenga a ruego del autor de la huella, ello ocurre de manera excepcional para los casos en que éste no sepa o no pueda leer ni escribir, pero aun en este caso el conocimiento del contenido del documento y, en consecuencia, la eficacia de la manifestación de la voluntad del autor respecto del contenido del contrato, se asegura con la necesidad de la intervención de la persona que solicite el autor. De esta manera, si en un contrato se encuentran plasmadas huellas atribuidas a una de las partes acompañadas de firmas igualmente atribuidas a él, quedando demostrado que dichas huellas sí corresponden a dicho autor, debe tenerse por acreditado el consentimiento en la celebración del contrato, incluso, con independencia de que la prueba pericial haya determinado la falsificación de las firmas correspondientes, más aún cuando el autor no negó expresamente haber estampado sus huellas en el contrato.(Énfasis añadido)</w:t>
      </w:r>
    </w:p>
    <w:p w14:paraId="0C4CA42E" w14:textId="77777777" w:rsidR="000A2FD5" w:rsidRPr="00271FF4" w:rsidRDefault="000A2FD5">
      <w:pPr>
        <w:rPr>
          <w:sz w:val="22"/>
          <w:szCs w:val="22"/>
        </w:rPr>
      </w:pPr>
    </w:p>
    <w:p w14:paraId="73431DCC" w14:textId="77777777" w:rsidR="000A2FD5" w:rsidRPr="00271FF4" w:rsidRDefault="00BD2EBF">
      <w:pPr>
        <w:spacing w:line="360" w:lineRule="auto"/>
        <w:jc w:val="both"/>
        <w:rPr>
          <w:sz w:val="22"/>
          <w:szCs w:val="22"/>
        </w:rPr>
      </w:pPr>
      <w:r w:rsidRPr="00271FF4">
        <w:rPr>
          <w:rFonts w:ascii="Palatino Linotype" w:eastAsia="Palatino Linotype" w:hAnsi="Palatino Linotype" w:cs="Palatino Linotype"/>
          <w:sz w:val="22"/>
          <w:szCs w:val="22"/>
        </w:rPr>
        <w:t xml:space="preserve"> En la actualidad existen sistemas denominados AFIS por sus siglas en inglés </w:t>
      </w:r>
      <w:proofErr w:type="spellStart"/>
      <w:r w:rsidRPr="00271FF4">
        <w:rPr>
          <w:rFonts w:ascii="Palatino Linotype" w:eastAsia="Palatino Linotype" w:hAnsi="Palatino Linotype" w:cs="Palatino Linotype"/>
          <w:i/>
          <w:sz w:val="22"/>
          <w:szCs w:val="22"/>
        </w:rPr>
        <w:t>Automated</w:t>
      </w:r>
      <w:proofErr w:type="spellEnd"/>
      <w:r w:rsidRPr="00271FF4">
        <w:rPr>
          <w:rFonts w:ascii="Palatino Linotype" w:eastAsia="Palatino Linotype" w:hAnsi="Palatino Linotype" w:cs="Palatino Linotype"/>
          <w:i/>
          <w:sz w:val="22"/>
          <w:szCs w:val="22"/>
        </w:rPr>
        <w:t xml:space="preserve"> </w:t>
      </w:r>
      <w:proofErr w:type="spellStart"/>
      <w:r w:rsidRPr="00271FF4">
        <w:rPr>
          <w:rFonts w:ascii="Palatino Linotype" w:eastAsia="Palatino Linotype" w:hAnsi="Palatino Linotype" w:cs="Palatino Linotype"/>
          <w:i/>
          <w:sz w:val="22"/>
          <w:szCs w:val="22"/>
        </w:rPr>
        <w:t>Fingerprint</w:t>
      </w:r>
      <w:proofErr w:type="spellEnd"/>
      <w:r w:rsidRPr="00271FF4">
        <w:rPr>
          <w:rFonts w:ascii="Palatino Linotype" w:eastAsia="Palatino Linotype" w:hAnsi="Palatino Linotype" w:cs="Palatino Linotype"/>
          <w:i/>
          <w:sz w:val="22"/>
          <w:szCs w:val="22"/>
        </w:rPr>
        <w:t xml:space="preserve"> </w:t>
      </w:r>
      <w:proofErr w:type="spellStart"/>
      <w:r w:rsidRPr="00271FF4">
        <w:rPr>
          <w:rFonts w:ascii="Palatino Linotype" w:eastAsia="Palatino Linotype" w:hAnsi="Palatino Linotype" w:cs="Palatino Linotype"/>
          <w:i/>
          <w:sz w:val="22"/>
          <w:szCs w:val="22"/>
        </w:rPr>
        <w:t>Identification</w:t>
      </w:r>
      <w:proofErr w:type="spellEnd"/>
      <w:r w:rsidRPr="00271FF4">
        <w:rPr>
          <w:rFonts w:ascii="Palatino Linotype" w:eastAsia="Palatino Linotype" w:hAnsi="Palatino Linotype" w:cs="Palatino Linotype"/>
          <w:i/>
          <w:sz w:val="22"/>
          <w:szCs w:val="22"/>
        </w:rPr>
        <w:t xml:space="preserve"> </w:t>
      </w:r>
      <w:proofErr w:type="spellStart"/>
      <w:r w:rsidRPr="00271FF4">
        <w:rPr>
          <w:rFonts w:ascii="Palatino Linotype" w:eastAsia="Palatino Linotype" w:hAnsi="Palatino Linotype" w:cs="Palatino Linotype"/>
          <w:i/>
          <w:sz w:val="22"/>
          <w:szCs w:val="22"/>
        </w:rPr>
        <w:t>System</w:t>
      </w:r>
      <w:proofErr w:type="spellEnd"/>
      <w:r w:rsidRPr="00271FF4">
        <w:rPr>
          <w:rFonts w:ascii="Palatino Linotype" w:eastAsia="Palatino Linotype" w:hAnsi="Palatino Linotype" w:cs="Palatino Linotype"/>
          <w:sz w:val="22"/>
          <w:szCs w:val="22"/>
        </w:rPr>
        <w:t xml:space="preserve"> que son sistemas informáticos que permiten la captura, consulta y comparación automática de huellas dactilares, para la captura y adquisición existen diversas formas de realizarlo y una de ellas es a través de la fotografía de una huella dactilar que se encuentra impresa en un papel, que sólo depende de la calidad de la imagen para su comparación para la individualización del autor por medio de los sistemas AFIS. </w:t>
      </w:r>
    </w:p>
    <w:p w14:paraId="70DB17F0" w14:textId="77777777" w:rsidR="000A2FD5" w:rsidRPr="00271FF4" w:rsidRDefault="000A2FD5">
      <w:pPr>
        <w:spacing w:line="360" w:lineRule="auto"/>
        <w:rPr>
          <w:sz w:val="22"/>
          <w:szCs w:val="22"/>
        </w:rPr>
      </w:pPr>
    </w:p>
    <w:p w14:paraId="203243B5" w14:textId="77777777" w:rsidR="000A2FD5" w:rsidRPr="00271FF4" w:rsidRDefault="00BD2EBF">
      <w:pPr>
        <w:spacing w:line="360" w:lineRule="auto"/>
        <w:jc w:val="both"/>
        <w:rPr>
          <w:sz w:val="22"/>
          <w:szCs w:val="22"/>
        </w:rPr>
      </w:pPr>
      <w:r w:rsidRPr="00271FF4">
        <w:rPr>
          <w:rFonts w:ascii="Palatino Linotype" w:eastAsia="Palatino Linotype" w:hAnsi="Palatino Linotype" w:cs="Palatino Linotype"/>
          <w:sz w:val="22"/>
          <w:szCs w:val="22"/>
        </w:rPr>
        <w:t xml:space="preserve">En términos de la calidad de la imagen se debe observar que en la NOM-151-SCFI-2016 publicada en el Diario Oficial de la Federación el 30 de </w:t>
      </w:r>
      <w:proofErr w:type="gramStart"/>
      <w:r w:rsidRPr="00271FF4">
        <w:rPr>
          <w:rFonts w:ascii="Palatino Linotype" w:eastAsia="Palatino Linotype" w:hAnsi="Palatino Linotype" w:cs="Palatino Linotype"/>
          <w:sz w:val="22"/>
          <w:szCs w:val="22"/>
        </w:rPr>
        <w:t>Marzo</w:t>
      </w:r>
      <w:proofErr w:type="gramEnd"/>
      <w:r w:rsidRPr="00271FF4">
        <w:rPr>
          <w:rFonts w:ascii="Palatino Linotype" w:eastAsia="Palatino Linotype" w:hAnsi="Palatino Linotype" w:cs="Palatino Linotype"/>
          <w:sz w:val="22"/>
          <w:szCs w:val="22"/>
        </w:rPr>
        <w:t xml:space="preserve"> de 2017, se determina que la calidad propicia para realizar la digitalización de documentos físicos en formato de imagen es de 200 píxeles por pulgada o superior para representaciones en blanco y negro, color o escala de grises, para garantizar el contenido y la integridad de los documentos digitalizados. Desde esta perspectiva es viable digitalizar la imagen de una huella digital con una calidad mínima para poder ser puesta a disposición de un sistema AFIS por medio </w:t>
      </w:r>
      <w:r w:rsidRPr="00271FF4">
        <w:rPr>
          <w:rFonts w:ascii="Palatino Linotype" w:eastAsia="Palatino Linotype" w:hAnsi="Palatino Linotype" w:cs="Palatino Linotype"/>
          <w:sz w:val="22"/>
          <w:szCs w:val="22"/>
        </w:rPr>
        <w:lastRenderedPageBreak/>
        <w:t>de escáneres y multifuncionales de venta al público general de diversas marcas y que pueden proporcionar una resolución de hasta 600 pixeles por pulgada. </w:t>
      </w:r>
    </w:p>
    <w:p w14:paraId="435C316C" w14:textId="77777777" w:rsidR="000A2FD5" w:rsidRPr="00271FF4" w:rsidRDefault="000A2FD5">
      <w:pPr>
        <w:spacing w:line="360" w:lineRule="auto"/>
        <w:rPr>
          <w:sz w:val="22"/>
          <w:szCs w:val="22"/>
        </w:rPr>
      </w:pPr>
    </w:p>
    <w:p w14:paraId="42E0DEB1" w14:textId="77777777" w:rsidR="000A2FD5" w:rsidRPr="00271FF4" w:rsidRDefault="00BD2EBF">
      <w:pPr>
        <w:spacing w:line="360" w:lineRule="auto"/>
        <w:jc w:val="both"/>
        <w:rPr>
          <w:sz w:val="22"/>
          <w:szCs w:val="22"/>
        </w:rPr>
      </w:pPr>
      <w:r w:rsidRPr="00271FF4">
        <w:rPr>
          <w:rFonts w:ascii="Palatino Linotype" w:eastAsia="Palatino Linotype" w:hAnsi="Palatino Linotype" w:cs="Palatino Linotype"/>
          <w:sz w:val="22"/>
          <w:szCs w:val="22"/>
        </w:rPr>
        <w:t>En conclusión, con el uso de las tecnologías de digitalización e impresión puestas a disposición de público general, es posible realizar la adquisición y reproducción de la huella digital que se encuentra en un documento y adicionalmente se puede sistematizar la comparación y análisis de las digitalizaciones a través de sistemas especializados para esta finalidad que pueden encontrarse de forma gratuita en internet.</w:t>
      </w:r>
    </w:p>
    <w:p w14:paraId="47CBF9B4" w14:textId="77777777" w:rsidR="000A2FD5" w:rsidRPr="00271FF4" w:rsidRDefault="000A2FD5">
      <w:pPr>
        <w:spacing w:line="360" w:lineRule="auto"/>
        <w:rPr>
          <w:sz w:val="22"/>
          <w:szCs w:val="22"/>
        </w:rPr>
      </w:pPr>
    </w:p>
    <w:p w14:paraId="77373A37" w14:textId="77777777" w:rsidR="000A2FD5" w:rsidRPr="00271FF4" w:rsidRDefault="00BD2EBF">
      <w:pPr>
        <w:spacing w:line="360" w:lineRule="auto"/>
        <w:jc w:val="both"/>
        <w:rPr>
          <w:sz w:val="22"/>
          <w:szCs w:val="22"/>
        </w:rPr>
      </w:pPr>
      <w:r w:rsidRPr="00271FF4">
        <w:rPr>
          <w:rFonts w:ascii="Palatino Linotype" w:eastAsia="Palatino Linotype" w:hAnsi="Palatino Linotype" w:cs="Palatino Linotype"/>
          <w:sz w:val="22"/>
          <w:szCs w:val="22"/>
        </w:rPr>
        <w:t>Por lo anterior, la huella dactilar no sólo constituye un dato personal confidencial de carácter biométrico, sino que su tratamiento debe llevarse a cabo a través de medidas de seguridad que garanticen su adecuado tratamiento, por lo que debe ser clasificado como confidencial en términos del artículo 143, fracción I, de la Ley de Transparencia y Acceso a la Información Pública del Estado de México y Municipios.</w:t>
      </w:r>
    </w:p>
    <w:p w14:paraId="1CC1494B"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3E2578B8" w14:textId="77777777" w:rsidR="000A2FD5" w:rsidRPr="00271FF4" w:rsidRDefault="00BD2EBF">
      <w:pP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Ahora, con relación al número de empleado de servidores públicos o su equivalente, con independencia del nombre que reciba, constituye un instrumento de control interno que permite a las dependencias y entidades identificar a sus trabajadores y a estos les facilita la realización de gestiones en su carácter de empleado.</w:t>
      </w:r>
    </w:p>
    <w:p w14:paraId="3E9506B5" w14:textId="77777777" w:rsidR="000A2FD5" w:rsidRPr="00271FF4" w:rsidRDefault="000A2FD5">
      <w:pPr>
        <w:spacing w:line="360" w:lineRule="auto"/>
        <w:jc w:val="both"/>
        <w:rPr>
          <w:sz w:val="22"/>
          <w:szCs w:val="22"/>
        </w:rPr>
      </w:pPr>
    </w:p>
    <w:p w14:paraId="762F1BC0" w14:textId="77777777" w:rsidR="000A2FD5" w:rsidRPr="00271FF4" w:rsidRDefault="00BD2EBF">
      <w:pPr>
        <w:pBdr>
          <w:top w:val="nil"/>
          <w:left w:val="nil"/>
          <w:bottom w:val="nil"/>
          <w:right w:val="nil"/>
          <w:between w:val="nil"/>
        </w:pBdr>
        <w:spacing w:line="360" w:lineRule="auto"/>
        <w:ind w:left="34"/>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En ese sentido, cuando el número de empleado se integre de datos personales de los trabajadores, procede su clasificación en términos de lo previsto en el artículo 143, fracción I de la Ley de Transparencia y Acceso a la Información Pública del Estado de México y Municipios; sin embargo, cuando dicho dato se conforma de dígitos, letras o símbolos que no revelan datos personales, no reviste el carácter de confidencial, al no dar por sí solo acceso a datos personales.</w:t>
      </w:r>
    </w:p>
    <w:p w14:paraId="08489854" w14:textId="77777777" w:rsidR="000A2FD5" w:rsidRPr="00271FF4" w:rsidRDefault="000A2FD5">
      <w:pPr>
        <w:pBdr>
          <w:top w:val="nil"/>
          <w:left w:val="nil"/>
          <w:bottom w:val="nil"/>
          <w:right w:val="nil"/>
          <w:between w:val="nil"/>
        </w:pBdr>
        <w:spacing w:line="360" w:lineRule="auto"/>
        <w:ind w:left="34"/>
        <w:jc w:val="both"/>
        <w:rPr>
          <w:sz w:val="22"/>
          <w:szCs w:val="22"/>
        </w:rPr>
      </w:pPr>
    </w:p>
    <w:p w14:paraId="6408807E" w14:textId="77777777" w:rsidR="000A2FD5" w:rsidRPr="00271FF4" w:rsidRDefault="00BD2EBF">
      <w:pPr>
        <w:pBdr>
          <w:top w:val="nil"/>
          <w:left w:val="nil"/>
          <w:bottom w:val="nil"/>
          <w:right w:val="nil"/>
          <w:between w:val="nil"/>
        </w:pBdr>
        <w:spacing w:line="360" w:lineRule="auto"/>
        <w:ind w:left="34"/>
        <w:jc w:val="both"/>
        <w:rPr>
          <w:sz w:val="22"/>
          <w:szCs w:val="22"/>
        </w:rPr>
      </w:pPr>
      <w:r w:rsidRPr="00271FF4">
        <w:rPr>
          <w:rFonts w:ascii="Palatino Linotype" w:eastAsia="Palatino Linotype" w:hAnsi="Palatino Linotype" w:cs="Palatino Linotype"/>
          <w:sz w:val="22"/>
          <w:szCs w:val="22"/>
        </w:rPr>
        <w:t>Lo anterior, toma sustento en el Criterio 06/19, emitido por el Instituto Nacional de Transparencia, Acceso a la Información y Protección de Datos Personales, que establece lo siguiente:</w:t>
      </w:r>
    </w:p>
    <w:p w14:paraId="35364188" w14:textId="77777777" w:rsidR="000A2FD5" w:rsidRPr="00271FF4" w:rsidRDefault="00BD2EBF">
      <w:pPr>
        <w:pBdr>
          <w:top w:val="nil"/>
          <w:left w:val="nil"/>
          <w:bottom w:val="nil"/>
          <w:right w:val="nil"/>
          <w:between w:val="nil"/>
        </w:pBdr>
        <w:ind w:left="34"/>
        <w:jc w:val="both"/>
        <w:rPr>
          <w:sz w:val="22"/>
          <w:szCs w:val="22"/>
        </w:rPr>
      </w:pPr>
      <w:r w:rsidRPr="00271FF4">
        <w:rPr>
          <w:rFonts w:ascii="Palatino Linotype" w:eastAsia="Palatino Linotype" w:hAnsi="Palatino Linotype" w:cs="Palatino Linotype"/>
          <w:sz w:val="22"/>
          <w:szCs w:val="22"/>
        </w:rPr>
        <w:t> </w:t>
      </w:r>
    </w:p>
    <w:p w14:paraId="7D7CDD7D" w14:textId="77777777" w:rsidR="000A2FD5" w:rsidRPr="00271FF4" w:rsidRDefault="00BD2EBF">
      <w:pPr>
        <w:pBdr>
          <w:top w:val="nil"/>
          <w:left w:val="nil"/>
          <w:bottom w:val="nil"/>
          <w:right w:val="nil"/>
          <w:between w:val="nil"/>
        </w:pBdr>
        <w:spacing w:line="276" w:lineRule="auto"/>
        <w:ind w:left="601" w:right="851"/>
        <w:jc w:val="both"/>
        <w:rPr>
          <w:i/>
          <w:sz w:val="22"/>
          <w:szCs w:val="22"/>
        </w:rPr>
      </w:pPr>
      <w:r w:rsidRPr="00271FF4">
        <w:rPr>
          <w:rFonts w:ascii="Palatino Linotype" w:eastAsia="Palatino Linotype" w:hAnsi="Palatino Linotype" w:cs="Palatino Linotype"/>
          <w:i/>
          <w:sz w:val="22"/>
          <w:szCs w:val="22"/>
        </w:rPr>
        <w:t>“</w:t>
      </w:r>
      <w:r w:rsidRPr="00271FF4">
        <w:rPr>
          <w:rFonts w:ascii="Palatino Linotype" w:eastAsia="Palatino Linotype" w:hAnsi="Palatino Linotype" w:cs="Palatino Linotype"/>
          <w:b/>
          <w:i/>
          <w:sz w:val="22"/>
          <w:szCs w:val="22"/>
        </w:rPr>
        <w:t>Número de empleado</w:t>
      </w:r>
      <w:r w:rsidRPr="00271FF4">
        <w:rPr>
          <w:rFonts w:ascii="Palatino Linotype" w:eastAsia="Palatino Linotype" w:hAnsi="Palatino Linotype" w:cs="Palatino Linotype"/>
          <w:i/>
          <w:sz w:val="22"/>
          <w:szCs w:val="22"/>
        </w:rPr>
        <w:t>. Cuando el número de empleado o su equivalente, se integra con datos personales de los trabajadores o funciona como una clave de acceso que no requiere adicionalmente de una contraseña para ingresar a sistemas o bases de datos personales, procede su clasificación como información confidencial.”</w:t>
      </w:r>
    </w:p>
    <w:p w14:paraId="3A49F182" w14:textId="77777777" w:rsidR="000A2FD5" w:rsidRPr="00271FF4" w:rsidRDefault="00BD2EBF">
      <w:pPr>
        <w:pBdr>
          <w:top w:val="nil"/>
          <w:left w:val="nil"/>
          <w:bottom w:val="nil"/>
          <w:right w:val="nil"/>
          <w:between w:val="nil"/>
        </w:pBdr>
        <w:ind w:left="34"/>
        <w:jc w:val="both"/>
        <w:rPr>
          <w:sz w:val="22"/>
          <w:szCs w:val="22"/>
        </w:rPr>
      </w:pPr>
      <w:r w:rsidRPr="00271FF4">
        <w:rPr>
          <w:rFonts w:ascii="Palatino Linotype" w:eastAsia="Palatino Linotype" w:hAnsi="Palatino Linotype" w:cs="Palatino Linotype"/>
          <w:sz w:val="22"/>
          <w:szCs w:val="22"/>
        </w:rPr>
        <w:t> </w:t>
      </w:r>
    </w:p>
    <w:p w14:paraId="41C2CDAF" w14:textId="77777777" w:rsidR="000A2FD5" w:rsidRPr="00271FF4" w:rsidRDefault="00BD2EBF">
      <w:pPr>
        <w:pBdr>
          <w:top w:val="nil"/>
          <w:left w:val="nil"/>
          <w:bottom w:val="nil"/>
          <w:right w:val="nil"/>
          <w:between w:val="nil"/>
        </w:pBdr>
        <w:spacing w:line="360" w:lineRule="auto"/>
        <w:ind w:left="34"/>
        <w:jc w:val="both"/>
        <w:rPr>
          <w:sz w:val="22"/>
          <w:szCs w:val="22"/>
        </w:rPr>
      </w:pPr>
      <w:r w:rsidRPr="00271FF4">
        <w:rPr>
          <w:rFonts w:ascii="Palatino Linotype" w:eastAsia="Palatino Linotype" w:hAnsi="Palatino Linotype" w:cs="Palatino Linotype"/>
          <w:sz w:val="22"/>
          <w:szCs w:val="22"/>
        </w:rPr>
        <w:t>Así, se colige que solamente procederá la clasificación del número de empleado, cuando se integre con datos personales de los servidores públicos o funcione como clave de acceso que no requiera una contraseña para ingresar a sistemas o bases de datos.</w:t>
      </w:r>
    </w:p>
    <w:p w14:paraId="69599B06" w14:textId="77777777" w:rsidR="000A2FD5" w:rsidRPr="00271FF4" w:rsidRDefault="00BD2EBF">
      <w:pPr>
        <w:pBdr>
          <w:top w:val="nil"/>
          <w:left w:val="nil"/>
          <w:bottom w:val="nil"/>
          <w:right w:val="nil"/>
          <w:between w:val="nil"/>
        </w:pBdr>
        <w:spacing w:line="360" w:lineRule="auto"/>
        <w:ind w:left="34"/>
        <w:jc w:val="both"/>
        <w:rPr>
          <w:sz w:val="22"/>
          <w:szCs w:val="22"/>
        </w:rPr>
      </w:pPr>
      <w:r w:rsidRPr="00271FF4">
        <w:rPr>
          <w:rFonts w:ascii="Palatino Linotype" w:eastAsia="Palatino Linotype" w:hAnsi="Palatino Linotype" w:cs="Palatino Linotype"/>
          <w:sz w:val="22"/>
          <w:szCs w:val="22"/>
        </w:rPr>
        <w:t> </w:t>
      </w:r>
    </w:p>
    <w:p w14:paraId="2D9D16F6" w14:textId="77777777" w:rsidR="000A2FD5" w:rsidRPr="00271FF4" w:rsidRDefault="00BD2EBF">
      <w:pPr>
        <w:pBdr>
          <w:top w:val="nil"/>
          <w:left w:val="nil"/>
          <w:bottom w:val="nil"/>
          <w:right w:val="nil"/>
          <w:between w:val="nil"/>
        </w:pBdr>
        <w:spacing w:line="360" w:lineRule="auto"/>
        <w:ind w:left="34"/>
        <w:jc w:val="both"/>
        <w:rPr>
          <w:sz w:val="22"/>
          <w:szCs w:val="22"/>
        </w:rPr>
      </w:pPr>
      <w:r w:rsidRPr="00271FF4">
        <w:rPr>
          <w:rFonts w:ascii="Palatino Linotype" w:eastAsia="Palatino Linotype" w:hAnsi="Palatino Linotype" w:cs="Palatino Linotype"/>
          <w:sz w:val="22"/>
          <w:szCs w:val="22"/>
        </w:rPr>
        <w:t xml:space="preserve">De tales circunstancias, se considera que el </w:t>
      </w:r>
      <w:r w:rsidRPr="00271FF4">
        <w:rPr>
          <w:rFonts w:ascii="Palatino Linotype" w:eastAsia="Palatino Linotype" w:hAnsi="Palatino Linotype" w:cs="Palatino Linotype"/>
          <w:b/>
          <w:sz w:val="22"/>
          <w:szCs w:val="22"/>
        </w:rPr>
        <w:t>Sujeto Obligado</w:t>
      </w:r>
      <w:r w:rsidRPr="00271FF4">
        <w:rPr>
          <w:rFonts w:ascii="Palatino Linotype" w:eastAsia="Palatino Linotype" w:hAnsi="Palatino Linotype" w:cs="Palatino Linotype"/>
          <w:sz w:val="22"/>
          <w:szCs w:val="22"/>
        </w:rPr>
        <w:t xml:space="preserve"> deberá proporcionar dicho dato, en el caso, de que este se conforme únicamente de números, símbolos o dígitos, que de ninguna manera puedan revelar datos personales o de acceso a sistemas con información de los trabajadores; en el caso contrario, procederá su clasificación, en términos del artículo 143, fracción I, de la Ley de la materia.</w:t>
      </w:r>
    </w:p>
    <w:p w14:paraId="7E86B6C7"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111EE137" w14:textId="77777777" w:rsidR="000A2FD5" w:rsidRPr="00271FF4" w:rsidRDefault="00BD2EBF">
      <w:pP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 xml:space="preserve">Entorno a lo que aquí nos interesa, los Lineamientos Quincuagésimo, Quincuagésimo primero, Quincuagésimo segundo, Quincuagésimo cuarto y Quincuagésimo quinto señalan las formalidades que deberá llevar el acuerdo de clasificación que deberá emitir el </w:t>
      </w:r>
      <w:r w:rsidRPr="00271FF4">
        <w:rPr>
          <w:rFonts w:ascii="Palatino Linotype" w:eastAsia="Palatino Linotype" w:hAnsi="Palatino Linotype" w:cs="Palatino Linotype"/>
          <w:b/>
          <w:sz w:val="22"/>
          <w:szCs w:val="22"/>
        </w:rPr>
        <w:t>Sujeto Obligado</w:t>
      </w:r>
      <w:r w:rsidRPr="00271FF4">
        <w:rPr>
          <w:rFonts w:ascii="Palatino Linotype" w:eastAsia="Palatino Linotype" w:hAnsi="Palatino Linotype" w:cs="Palatino Linotype"/>
          <w:sz w:val="22"/>
          <w:szCs w:val="22"/>
        </w:rPr>
        <w:t>, siendo estas las siguientes:</w:t>
      </w:r>
    </w:p>
    <w:p w14:paraId="68B2A444"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2854A1C4" w14:textId="77777777" w:rsidR="000A2FD5" w:rsidRPr="00271FF4" w:rsidRDefault="00BD2EBF">
      <w:pPr>
        <w:spacing w:line="276" w:lineRule="auto"/>
        <w:ind w:left="567"/>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 xml:space="preserve">“CAPÍTULO VIII </w:t>
      </w:r>
    </w:p>
    <w:p w14:paraId="51CEA69B" w14:textId="77777777" w:rsidR="000A2FD5" w:rsidRPr="00271FF4" w:rsidRDefault="00BD2EBF">
      <w:pPr>
        <w:spacing w:line="276" w:lineRule="auto"/>
        <w:ind w:left="567"/>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 xml:space="preserve">DE LOS ELEMENTOS PARA LA CLASIFICACIÓN </w:t>
      </w:r>
    </w:p>
    <w:p w14:paraId="7FDA704E" w14:textId="77777777" w:rsidR="000A2FD5" w:rsidRPr="00271FF4" w:rsidRDefault="00BD2EBF">
      <w:pPr>
        <w:spacing w:line="276" w:lineRule="auto"/>
        <w:ind w:left="567" w:right="900"/>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b/>
          <w:i/>
          <w:sz w:val="22"/>
          <w:szCs w:val="22"/>
        </w:rPr>
        <w:lastRenderedPageBreak/>
        <w:t xml:space="preserve">Quincuagésimo. </w:t>
      </w:r>
      <w:r w:rsidRPr="00271FF4">
        <w:rPr>
          <w:rFonts w:ascii="Palatino Linotype" w:eastAsia="Palatino Linotype" w:hAnsi="Palatino Linotype" w:cs="Palatino Linotype"/>
          <w:i/>
          <w:sz w:val="22"/>
          <w:szCs w:val="22"/>
        </w:rPr>
        <w:t xml:space="preserve">Los titulares de las áreas de los sujetos obligados podrán establecer sus propios modelos o formatos para la elaboración de versiones públicas de documentos o expedientes, siempre y cuando cumplan lo establecido en los presentes Lineamientos, así como en las correspondientes Leyes Generales. </w:t>
      </w:r>
    </w:p>
    <w:p w14:paraId="7A136508" w14:textId="77777777" w:rsidR="000A2FD5" w:rsidRPr="00271FF4" w:rsidRDefault="00BD2EBF">
      <w:pPr>
        <w:spacing w:line="276" w:lineRule="auto"/>
        <w:ind w:left="567" w:right="900"/>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b/>
          <w:i/>
          <w:sz w:val="22"/>
          <w:szCs w:val="22"/>
        </w:rPr>
        <w:t xml:space="preserve">Quincuagésimo primero. </w:t>
      </w:r>
      <w:r w:rsidRPr="00271FF4">
        <w:rPr>
          <w:rFonts w:ascii="Palatino Linotype" w:eastAsia="Palatino Linotype" w:hAnsi="Palatino Linotype" w:cs="Palatino Linotype"/>
          <w:i/>
          <w:sz w:val="22"/>
          <w:szCs w:val="22"/>
        </w:rPr>
        <w:t xml:space="preserve">Toda acta del Comité de Transparencia deberá contener: </w:t>
      </w:r>
    </w:p>
    <w:p w14:paraId="5517D81E" w14:textId="77777777" w:rsidR="000A2FD5" w:rsidRPr="00271FF4" w:rsidRDefault="00BD2EBF">
      <w:pPr>
        <w:spacing w:line="276" w:lineRule="auto"/>
        <w:ind w:left="567" w:right="900"/>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 xml:space="preserve">I. El número de sesión y fecha; </w:t>
      </w:r>
    </w:p>
    <w:p w14:paraId="0ECAEC9D" w14:textId="77777777" w:rsidR="000A2FD5" w:rsidRPr="00271FF4" w:rsidRDefault="00BD2EBF">
      <w:pPr>
        <w:spacing w:line="276" w:lineRule="auto"/>
        <w:ind w:left="567" w:right="900"/>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 xml:space="preserve">II. El nombre del área que solicitó la clasificación de información; </w:t>
      </w:r>
    </w:p>
    <w:p w14:paraId="19E4043A" w14:textId="77777777" w:rsidR="000A2FD5" w:rsidRPr="00271FF4" w:rsidRDefault="00BD2EBF">
      <w:pPr>
        <w:spacing w:line="276" w:lineRule="auto"/>
        <w:ind w:left="567" w:right="900"/>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 xml:space="preserve">III. La fundamentación legal y motivación correspondiente; </w:t>
      </w:r>
    </w:p>
    <w:p w14:paraId="5B82D998" w14:textId="77777777" w:rsidR="000A2FD5" w:rsidRPr="00271FF4" w:rsidRDefault="00BD2EBF">
      <w:pPr>
        <w:spacing w:line="276" w:lineRule="auto"/>
        <w:ind w:left="567" w:right="900"/>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 xml:space="preserve">IV. La resolución o resoluciones aprobadas; y </w:t>
      </w:r>
    </w:p>
    <w:p w14:paraId="45E282B8" w14:textId="77777777" w:rsidR="000A2FD5" w:rsidRPr="00271FF4" w:rsidRDefault="00BD2EBF">
      <w:pPr>
        <w:spacing w:line="276" w:lineRule="auto"/>
        <w:ind w:left="567" w:right="900"/>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 xml:space="preserve">V. La rúbrica o firma digital de cada integrante del Comité de Transparencia. </w:t>
      </w:r>
    </w:p>
    <w:p w14:paraId="1DBDB944" w14:textId="77777777" w:rsidR="000A2FD5" w:rsidRPr="00271FF4" w:rsidRDefault="00BD2EBF">
      <w:pPr>
        <w:spacing w:line="276" w:lineRule="auto"/>
        <w:ind w:left="567" w:right="900"/>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w:t>
      </w:r>
    </w:p>
    <w:p w14:paraId="1279392D" w14:textId="77777777" w:rsidR="000A2FD5" w:rsidRPr="00271FF4" w:rsidRDefault="00BD2EBF">
      <w:pPr>
        <w:spacing w:line="276" w:lineRule="auto"/>
        <w:ind w:left="567" w:right="900"/>
        <w:jc w:val="both"/>
        <w:rPr>
          <w:rFonts w:ascii="Palatino Linotype" w:eastAsia="Palatino Linotype" w:hAnsi="Palatino Linotype" w:cs="Palatino Linotype"/>
          <w:b/>
          <w:i/>
          <w:sz w:val="22"/>
          <w:szCs w:val="22"/>
          <w:u w:val="single"/>
        </w:rPr>
      </w:pPr>
      <w:r w:rsidRPr="00271FF4">
        <w:rPr>
          <w:rFonts w:ascii="Palatino Linotype" w:eastAsia="Palatino Linotype" w:hAnsi="Palatino Linotype" w:cs="Palatino Linotype"/>
          <w:i/>
          <w:sz w:val="22"/>
          <w:szCs w:val="22"/>
        </w:rPr>
        <w:t xml:space="preserve">En los casos de resoluciones del Comité de Transparencia en las que se </w:t>
      </w:r>
      <w:r w:rsidRPr="00271FF4">
        <w:rPr>
          <w:rFonts w:ascii="Palatino Linotype" w:eastAsia="Palatino Linotype" w:hAnsi="Palatino Linotype" w:cs="Palatino Linotype"/>
          <w:b/>
          <w:i/>
          <w:sz w:val="22"/>
          <w:szCs w:val="22"/>
          <w:u w:val="single"/>
        </w:rPr>
        <w:t>confirme la clasificación de información confidencial solo se deberán de identificar los tipos de datos protegidos, de conformidad con el lineamiento trigésimo octavo.</w:t>
      </w:r>
    </w:p>
    <w:p w14:paraId="4F933429" w14:textId="77777777" w:rsidR="000A2FD5" w:rsidRPr="00271FF4" w:rsidRDefault="00BD2EBF">
      <w:pPr>
        <w:spacing w:line="276" w:lineRule="auto"/>
        <w:ind w:left="567" w:right="900"/>
        <w:jc w:val="both"/>
        <w:rPr>
          <w:rFonts w:ascii="Palatino Linotype" w:eastAsia="Palatino Linotype" w:hAnsi="Palatino Linotype" w:cs="Palatino Linotype"/>
          <w:b/>
          <w:i/>
          <w:sz w:val="22"/>
          <w:szCs w:val="22"/>
        </w:rPr>
      </w:pPr>
      <w:r w:rsidRPr="00271FF4">
        <w:rPr>
          <w:rFonts w:ascii="Palatino Linotype" w:eastAsia="Palatino Linotype" w:hAnsi="Palatino Linotype" w:cs="Palatino Linotype"/>
          <w:b/>
          <w:i/>
          <w:sz w:val="22"/>
          <w:szCs w:val="22"/>
        </w:rPr>
        <w:t xml:space="preserve">Quincuagésimo segundo. </w:t>
      </w:r>
      <w:r w:rsidRPr="00271FF4">
        <w:rPr>
          <w:rFonts w:ascii="Palatino Linotype" w:eastAsia="Palatino Linotype" w:hAnsi="Palatino Linotype" w:cs="Palatino Linotype"/>
          <w:i/>
          <w:sz w:val="22"/>
          <w:szCs w:val="22"/>
        </w:rPr>
        <w:t xml:space="preserve">Para la clasificación y elaboración de versiones públicas de documentos que contengan información clasificada como reservada o </w:t>
      </w:r>
      <w:r w:rsidRPr="00271FF4">
        <w:rPr>
          <w:rFonts w:ascii="Palatino Linotype" w:eastAsia="Palatino Linotype" w:hAnsi="Palatino Linotype" w:cs="Palatino Linotype"/>
          <w:b/>
          <w:i/>
          <w:sz w:val="22"/>
          <w:szCs w:val="22"/>
        </w:rPr>
        <w:t>confidencial,</w:t>
      </w:r>
      <w:r w:rsidRPr="00271FF4">
        <w:rPr>
          <w:rFonts w:ascii="Palatino Linotype" w:eastAsia="Palatino Linotype" w:hAnsi="Palatino Linotype" w:cs="Palatino Linotype"/>
          <w:i/>
          <w:sz w:val="22"/>
          <w:szCs w:val="22"/>
        </w:rPr>
        <w:t xml:space="preserve"> las áreas de los sujetos obligados deberán tomar las medidas pertinentes tendientes a asegurar que el espacio utilizado para testar la información no podrá ser empleado para la sobreposición de contenido distinto al autorizado por el Comité.</w:t>
      </w:r>
    </w:p>
    <w:p w14:paraId="5D44E74D" w14:textId="77777777" w:rsidR="000A2FD5" w:rsidRPr="00271FF4" w:rsidRDefault="00BD2EBF">
      <w:pPr>
        <w:spacing w:line="276" w:lineRule="auto"/>
        <w:ind w:left="567" w:right="900"/>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 xml:space="preserve">En el caso específico de la clasificación y elaboración de versiones públicas de documentos que contengan información confidencial, las áreas de los sujetos obligados deberán: </w:t>
      </w:r>
    </w:p>
    <w:p w14:paraId="376A7015" w14:textId="77777777" w:rsidR="000A2FD5" w:rsidRPr="00271FF4" w:rsidRDefault="00BD2EBF">
      <w:pPr>
        <w:spacing w:line="276" w:lineRule="auto"/>
        <w:ind w:left="567" w:right="900"/>
        <w:jc w:val="both"/>
        <w:rPr>
          <w:rFonts w:ascii="Palatino Linotype" w:eastAsia="Palatino Linotype" w:hAnsi="Palatino Linotype" w:cs="Palatino Linotype"/>
          <w:b/>
          <w:i/>
          <w:sz w:val="22"/>
          <w:szCs w:val="22"/>
        </w:rPr>
      </w:pPr>
      <w:r w:rsidRPr="00271FF4">
        <w:rPr>
          <w:rFonts w:ascii="Palatino Linotype" w:eastAsia="Palatino Linotype" w:hAnsi="Palatino Linotype" w:cs="Palatino Linotype"/>
          <w:b/>
          <w:i/>
          <w:sz w:val="22"/>
          <w:szCs w:val="22"/>
        </w:rPr>
        <w:t xml:space="preserve">I. Fijar la fecha en que se elaboró la versión pública y la fecha en la cual el Comité de Transparencia confirmó dicha versión; </w:t>
      </w:r>
    </w:p>
    <w:p w14:paraId="095A99D1" w14:textId="77777777" w:rsidR="000A2FD5" w:rsidRPr="00271FF4" w:rsidRDefault="00BD2EBF">
      <w:pPr>
        <w:spacing w:line="276" w:lineRule="auto"/>
        <w:ind w:left="567" w:right="900"/>
        <w:jc w:val="both"/>
        <w:rPr>
          <w:rFonts w:ascii="Palatino Linotype" w:eastAsia="Palatino Linotype" w:hAnsi="Palatino Linotype" w:cs="Palatino Linotype"/>
          <w:b/>
          <w:i/>
          <w:sz w:val="22"/>
          <w:szCs w:val="22"/>
        </w:rPr>
      </w:pPr>
      <w:r w:rsidRPr="00271FF4">
        <w:rPr>
          <w:rFonts w:ascii="Palatino Linotype" w:eastAsia="Palatino Linotype" w:hAnsi="Palatino Linotype" w:cs="Palatino Linotype"/>
          <w:b/>
          <w:i/>
          <w:sz w:val="22"/>
          <w:szCs w:val="22"/>
        </w:rPr>
        <w:t xml:space="preserve">II. Señalar dentro del documento el tipo de información confidencial que fue testada en cada caso específico, de conformidad con el lineamiento trigésimo octavo; y </w:t>
      </w:r>
    </w:p>
    <w:p w14:paraId="73CBA5A3" w14:textId="77777777" w:rsidR="000A2FD5" w:rsidRPr="00271FF4" w:rsidRDefault="00BD2EBF">
      <w:pPr>
        <w:spacing w:line="276" w:lineRule="auto"/>
        <w:ind w:left="567" w:right="900"/>
        <w:jc w:val="both"/>
        <w:rPr>
          <w:rFonts w:ascii="Palatino Linotype" w:eastAsia="Palatino Linotype" w:hAnsi="Palatino Linotype" w:cs="Palatino Linotype"/>
          <w:b/>
          <w:i/>
          <w:sz w:val="22"/>
          <w:szCs w:val="22"/>
        </w:rPr>
      </w:pPr>
      <w:r w:rsidRPr="00271FF4">
        <w:rPr>
          <w:rFonts w:ascii="Palatino Linotype" w:eastAsia="Palatino Linotype" w:hAnsi="Palatino Linotype" w:cs="Palatino Linotype"/>
          <w:b/>
          <w:i/>
          <w:sz w:val="22"/>
          <w:szCs w:val="22"/>
        </w:rPr>
        <w:t xml:space="preserve">III. Señalar las personas o instancias autorizadas a acceder a la información clasificada. </w:t>
      </w:r>
    </w:p>
    <w:p w14:paraId="669E5FB0" w14:textId="77777777" w:rsidR="000A2FD5" w:rsidRPr="00271FF4" w:rsidRDefault="00BD2EBF">
      <w:pPr>
        <w:spacing w:line="276" w:lineRule="auto"/>
        <w:ind w:left="567" w:right="900"/>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lastRenderedPageBreak/>
        <w:t xml:space="preserve">En los documentos de difusión electrónica, señalar en la primera hoja y en el nombre del archivo, que la versión pública corresponde a un documento que contiene </w:t>
      </w:r>
      <w:r w:rsidRPr="00271FF4">
        <w:rPr>
          <w:rFonts w:ascii="Palatino Linotype" w:eastAsia="Palatino Linotype" w:hAnsi="Palatino Linotype" w:cs="Palatino Linotype"/>
          <w:b/>
          <w:i/>
          <w:sz w:val="22"/>
          <w:szCs w:val="22"/>
          <w:u w:val="single"/>
        </w:rPr>
        <w:t>información confidencial.</w:t>
      </w:r>
      <w:r w:rsidRPr="00271FF4">
        <w:rPr>
          <w:rFonts w:ascii="Palatino Linotype" w:eastAsia="Palatino Linotype" w:hAnsi="Palatino Linotype" w:cs="Palatino Linotype"/>
          <w:i/>
          <w:sz w:val="22"/>
          <w:szCs w:val="22"/>
        </w:rPr>
        <w:t xml:space="preserve"> </w:t>
      </w:r>
    </w:p>
    <w:p w14:paraId="64C9DE58" w14:textId="77777777" w:rsidR="000A2FD5" w:rsidRPr="00271FF4" w:rsidRDefault="00BD2EBF">
      <w:pPr>
        <w:spacing w:line="276" w:lineRule="auto"/>
        <w:ind w:left="567" w:right="900"/>
        <w:jc w:val="both"/>
        <w:rPr>
          <w:rFonts w:ascii="Palatino Linotype" w:eastAsia="Palatino Linotype" w:hAnsi="Palatino Linotype" w:cs="Palatino Linotype"/>
          <w:b/>
          <w:i/>
          <w:sz w:val="22"/>
          <w:szCs w:val="22"/>
        </w:rPr>
      </w:pPr>
      <w:r w:rsidRPr="00271FF4">
        <w:rPr>
          <w:rFonts w:ascii="Palatino Linotype" w:eastAsia="Palatino Linotype" w:hAnsi="Palatino Linotype" w:cs="Palatino Linotype"/>
          <w:b/>
          <w:i/>
          <w:sz w:val="22"/>
          <w:szCs w:val="22"/>
        </w:rPr>
        <w:t>[…]</w:t>
      </w:r>
    </w:p>
    <w:p w14:paraId="2F63B607" w14:textId="77777777" w:rsidR="000A2FD5" w:rsidRPr="00271FF4" w:rsidRDefault="00BD2EBF">
      <w:pPr>
        <w:spacing w:line="276" w:lineRule="auto"/>
        <w:ind w:left="567" w:right="900"/>
        <w:jc w:val="both"/>
        <w:rPr>
          <w:rFonts w:ascii="Palatino Linotype" w:eastAsia="Palatino Linotype" w:hAnsi="Palatino Linotype" w:cs="Palatino Linotype"/>
          <w:b/>
          <w:i/>
          <w:sz w:val="22"/>
          <w:szCs w:val="22"/>
        </w:rPr>
      </w:pPr>
      <w:r w:rsidRPr="00271FF4">
        <w:rPr>
          <w:rFonts w:ascii="Palatino Linotype" w:eastAsia="Palatino Linotype" w:hAnsi="Palatino Linotype" w:cs="Palatino Linotype"/>
          <w:b/>
          <w:i/>
          <w:sz w:val="22"/>
          <w:szCs w:val="22"/>
        </w:rPr>
        <w:t xml:space="preserve">Quincuagésimo cuarto. </w:t>
      </w:r>
      <w:r w:rsidRPr="00271FF4">
        <w:rPr>
          <w:rFonts w:ascii="Palatino Linotype" w:eastAsia="Palatino Linotype" w:hAnsi="Palatino Linotype" w:cs="Palatino Linotype"/>
          <w:i/>
          <w:sz w:val="22"/>
          <w:szCs w:val="22"/>
        </w:rPr>
        <w:t xml:space="preserve">Cuando el Comité de Transparencia confirme la clasificación de documentos reservados y/o </w:t>
      </w:r>
      <w:r w:rsidRPr="00271FF4">
        <w:rPr>
          <w:rFonts w:ascii="Palatino Linotype" w:eastAsia="Palatino Linotype" w:hAnsi="Palatino Linotype" w:cs="Palatino Linotype"/>
          <w:b/>
          <w:i/>
          <w:sz w:val="22"/>
          <w:szCs w:val="22"/>
        </w:rPr>
        <w:t>confidenciales</w:t>
      </w:r>
      <w:r w:rsidRPr="00271FF4">
        <w:rPr>
          <w:rFonts w:ascii="Palatino Linotype" w:eastAsia="Palatino Linotype" w:hAnsi="Palatino Linotype" w:cs="Palatino Linotype"/>
          <w:i/>
          <w:sz w:val="22"/>
          <w:szCs w:val="22"/>
        </w:rPr>
        <w:t>, sea total o parcialmente; se deberá anexar al expediente la resolución que determinó la clasificación o, en su defecto, identificar en la carátula del expediente del cual formen parte, la fecha y sesión del Comité de Transparencia en la que se confirmó dicha clasificación.</w:t>
      </w:r>
      <w:r w:rsidRPr="00271FF4">
        <w:rPr>
          <w:rFonts w:ascii="Palatino Linotype" w:eastAsia="Palatino Linotype" w:hAnsi="Palatino Linotype" w:cs="Palatino Linotype"/>
          <w:b/>
          <w:i/>
          <w:sz w:val="22"/>
          <w:szCs w:val="22"/>
        </w:rPr>
        <w:t xml:space="preserve"> </w:t>
      </w:r>
    </w:p>
    <w:p w14:paraId="1F4AFF24" w14:textId="77777777" w:rsidR="000A2FD5" w:rsidRPr="00271FF4" w:rsidRDefault="00BD2EBF">
      <w:pPr>
        <w:spacing w:line="276" w:lineRule="auto"/>
        <w:ind w:left="567" w:right="900"/>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b/>
          <w:i/>
          <w:sz w:val="22"/>
          <w:szCs w:val="22"/>
        </w:rPr>
        <w:t xml:space="preserve">Quincuagésimo quinto. </w:t>
      </w:r>
      <w:r w:rsidRPr="00271FF4">
        <w:rPr>
          <w:rFonts w:ascii="Palatino Linotype" w:eastAsia="Palatino Linotype" w:hAnsi="Palatino Linotype" w:cs="Palatino Linotype"/>
          <w:i/>
          <w:sz w:val="22"/>
          <w:szCs w:val="22"/>
        </w:rPr>
        <w:t xml:space="preserve">Cada área del sujeto obligado podrá designar formalmente a una o más personas como responsables del </w:t>
      </w:r>
      <w:proofErr w:type="spellStart"/>
      <w:r w:rsidRPr="00271FF4">
        <w:rPr>
          <w:rFonts w:ascii="Palatino Linotype" w:eastAsia="Palatino Linotype" w:hAnsi="Palatino Linotype" w:cs="Palatino Linotype"/>
          <w:i/>
          <w:sz w:val="22"/>
          <w:szCs w:val="22"/>
        </w:rPr>
        <w:t>testado</w:t>
      </w:r>
      <w:proofErr w:type="spellEnd"/>
      <w:r w:rsidRPr="00271FF4">
        <w:rPr>
          <w:rFonts w:ascii="Palatino Linotype" w:eastAsia="Palatino Linotype" w:hAnsi="Palatino Linotype" w:cs="Palatino Linotype"/>
          <w:i/>
          <w:sz w:val="22"/>
          <w:szCs w:val="22"/>
        </w:rPr>
        <w:t xml:space="preserve">, que sean encargadas de la adecuada elaboración o supervisión de las versiones públicas de los documentos o expedientes, verificando que cumplan con los requisitos señalados en las Leyes Generales, los presentes Lineamientos y demás normativa aplicable antes de su confirmación por el Comité de Transparencia.” (Énfasis añadido) </w:t>
      </w:r>
    </w:p>
    <w:p w14:paraId="1B2ABE54" w14:textId="77777777" w:rsidR="000A2FD5" w:rsidRPr="00271FF4" w:rsidRDefault="000A2FD5">
      <w:pPr>
        <w:spacing w:line="276" w:lineRule="auto"/>
        <w:ind w:left="567" w:right="900"/>
        <w:jc w:val="both"/>
        <w:rPr>
          <w:rFonts w:ascii="Palatino Linotype" w:eastAsia="Palatino Linotype" w:hAnsi="Palatino Linotype" w:cs="Palatino Linotype"/>
          <w:sz w:val="22"/>
          <w:szCs w:val="22"/>
        </w:rPr>
      </w:pPr>
    </w:p>
    <w:p w14:paraId="51D46379" w14:textId="77777777" w:rsidR="000A2FD5" w:rsidRPr="00271FF4" w:rsidRDefault="00BD2EBF">
      <w:pPr>
        <w:spacing w:before="240" w:after="240" w:line="360" w:lineRule="auto"/>
        <w:jc w:val="both"/>
        <w:rPr>
          <w:rFonts w:ascii="Palatino Linotype" w:eastAsia="Palatino Linotype" w:hAnsi="Palatino Linotype" w:cs="Palatino Linotype"/>
        </w:rPr>
      </w:pPr>
      <w:r w:rsidRPr="00271FF4">
        <w:rPr>
          <w:rFonts w:ascii="Palatino Linotype" w:eastAsia="Palatino Linotype" w:hAnsi="Palatino Linotype" w:cs="Palatino Linotype"/>
        </w:rPr>
        <w:t>Asimismo, deberá observar los Lineamientos Quincuagésimo sexto, Quincuagésimo séptimo y Quincuagésimo octavo, establecen lo siguiente:</w:t>
      </w:r>
    </w:p>
    <w:p w14:paraId="5BF8F352" w14:textId="77777777" w:rsidR="000A2FD5" w:rsidRPr="00271FF4" w:rsidRDefault="00BD2EBF">
      <w:pPr>
        <w:ind w:left="851" w:right="902"/>
        <w:jc w:val="both"/>
        <w:rPr>
          <w:rFonts w:ascii="Palatino Linotype" w:eastAsia="Palatino Linotype" w:hAnsi="Palatino Linotype" w:cs="Palatino Linotype"/>
          <w:i/>
        </w:rPr>
      </w:pPr>
      <w:r w:rsidRPr="00271FF4">
        <w:rPr>
          <w:rFonts w:ascii="Palatino Linotype" w:eastAsia="Palatino Linotype" w:hAnsi="Palatino Linotype" w:cs="Palatino Linotype"/>
          <w:i/>
        </w:rPr>
        <w:t>“</w:t>
      </w:r>
      <w:r w:rsidRPr="00271FF4">
        <w:rPr>
          <w:rFonts w:ascii="Palatino Linotype" w:eastAsia="Palatino Linotype" w:hAnsi="Palatino Linotype" w:cs="Palatino Linotype"/>
          <w:b/>
          <w:i/>
        </w:rPr>
        <w:t>Quincuagésimo sexto</w:t>
      </w:r>
      <w:r w:rsidRPr="00271FF4">
        <w:rPr>
          <w:rFonts w:ascii="Palatino Linotype" w:eastAsia="Palatino Linotype" w:hAnsi="Palatino Linotype" w:cs="Palatino Linotype"/>
          <w:i/>
        </w:rPr>
        <w:t>. Cuando la elaboración de la versión pública del documento o expediente que contenga partes o secciones reservadas o confidenciales, genere costos por reproducción por derivar de una solicitud de información o determinación de una autoridad competente, ésta será elaborada hasta que se haya acreditado el pago correspondiente.</w:t>
      </w:r>
    </w:p>
    <w:p w14:paraId="789B6CDF" w14:textId="77777777" w:rsidR="000A2FD5" w:rsidRPr="00271FF4" w:rsidRDefault="00BD2EBF">
      <w:pPr>
        <w:ind w:left="851" w:right="902"/>
        <w:jc w:val="both"/>
        <w:rPr>
          <w:rFonts w:ascii="Palatino Linotype" w:eastAsia="Palatino Linotype" w:hAnsi="Palatino Linotype" w:cs="Palatino Linotype"/>
          <w:i/>
        </w:rPr>
      </w:pPr>
      <w:r w:rsidRPr="00271FF4">
        <w:rPr>
          <w:rFonts w:ascii="Palatino Linotype" w:eastAsia="Palatino Linotype" w:hAnsi="Palatino Linotype" w:cs="Palatino Linotype"/>
          <w:b/>
          <w:i/>
        </w:rPr>
        <w:t>Quincuagésimo séptimo</w:t>
      </w:r>
      <w:r w:rsidRPr="00271FF4">
        <w:rPr>
          <w:rFonts w:ascii="Palatino Linotype" w:eastAsia="Palatino Linotype" w:hAnsi="Palatino Linotype" w:cs="Palatino Linotype"/>
          <w:i/>
        </w:rPr>
        <w:t xml:space="preserve">. Se considera, en principio, como información pública y no podrá omitirse de las versiones públicas la siguiente: </w:t>
      </w:r>
    </w:p>
    <w:p w14:paraId="7DACB047" w14:textId="77777777" w:rsidR="000A2FD5" w:rsidRPr="00271FF4" w:rsidRDefault="00BD2EBF">
      <w:pPr>
        <w:ind w:left="851" w:right="902"/>
        <w:jc w:val="both"/>
        <w:rPr>
          <w:rFonts w:ascii="Palatino Linotype" w:eastAsia="Palatino Linotype" w:hAnsi="Palatino Linotype" w:cs="Palatino Linotype"/>
          <w:i/>
        </w:rPr>
      </w:pPr>
      <w:r w:rsidRPr="00271FF4">
        <w:rPr>
          <w:rFonts w:ascii="Palatino Linotype" w:eastAsia="Palatino Linotype" w:hAnsi="Palatino Linotype" w:cs="Palatino Linotype"/>
          <w:b/>
          <w:i/>
        </w:rPr>
        <w:t>I</w:t>
      </w:r>
      <w:r w:rsidRPr="00271FF4">
        <w:rPr>
          <w:rFonts w:ascii="Palatino Linotype" w:eastAsia="Palatino Linotype" w:hAnsi="Palatino Linotype" w:cs="Palatino Linotype"/>
          <w:i/>
        </w:rPr>
        <w:t xml:space="preserve">. La relativa a las Obligaciones de Transparencia que contempla el Título V de la Ley General y las demás disposiciones legales aplicables; </w:t>
      </w:r>
    </w:p>
    <w:p w14:paraId="64F38B01" w14:textId="77777777" w:rsidR="000A2FD5" w:rsidRPr="00271FF4" w:rsidRDefault="00BD2EBF">
      <w:pPr>
        <w:ind w:left="851" w:right="902"/>
        <w:jc w:val="both"/>
        <w:rPr>
          <w:rFonts w:ascii="Palatino Linotype" w:eastAsia="Palatino Linotype" w:hAnsi="Palatino Linotype" w:cs="Palatino Linotype"/>
          <w:i/>
        </w:rPr>
      </w:pPr>
      <w:r w:rsidRPr="00271FF4">
        <w:rPr>
          <w:rFonts w:ascii="Palatino Linotype" w:eastAsia="Palatino Linotype" w:hAnsi="Palatino Linotype" w:cs="Palatino Linotype"/>
          <w:b/>
          <w:i/>
        </w:rPr>
        <w:t>II.</w:t>
      </w:r>
      <w:r w:rsidRPr="00271FF4">
        <w:rPr>
          <w:rFonts w:ascii="Palatino Linotype" w:eastAsia="Palatino Linotype" w:hAnsi="Palatino Linotype" w:cs="Palatino Linotype"/>
          <w:i/>
        </w:rPr>
        <w:t xml:space="preserve"> El nombre de los integrantes de los sujetos obligados en los documentos, y sus firmas autógrafas o digitales, cuando sean utilizados en el ejercicio de las facultades conferidas para el desempeño del servicio público, y</w:t>
      </w:r>
    </w:p>
    <w:p w14:paraId="6E287EE6" w14:textId="77777777" w:rsidR="000A2FD5" w:rsidRPr="00271FF4" w:rsidRDefault="00BD2EBF">
      <w:pPr>
        <w:ind w:left="851" w:right="902"/>
        <w:jc w:val="both"/>
        <w:rPr>
          <w:rFonts w:ascii="Palatino Linotype" w:eastAsia="Palatino Linotype" w:hAnsi="Palatino Linotype" w:cs="Palatino Linotype"/>
          <w:i/>
        </w:rPr>
      </w:pPr>
      <w:r w:rsidRPr="00271FF4">
        <w:rPr>
          <w:rFonts w:ascii="Palatino Linotype" w:eastAsia="Palatino Linotype" w:hAnsi="Palatino Linotype" w:cs="Palatino Linotype"/>
          <w:b/>
          <w:i/>
        </w:rPr>
        <w:lastRenderedPageBreak/>
        <w:t>III</w:t>
      </w:r>
      <w:r w:rsidRPr="00271FF4">
        <w:rPr>
          <w:rFonts w:ascii="Palatino Linotype" w:eastAsia="Palatino Linotype" w:hAnsi="Palatino Linotype" w:cs="Palatino Linotype"/>
          <w:i/>
        </w:rPr>
        <w:t xml:space="preserve">. La información que documente decisiones y los actos de autoridad concluidos de los sujetos obligados, así como el ejercicio de las facultades o actividades de los servidores públicos, de manera que se pueda valorar el desempeño de los mismos. </w:t>
      </w:r>
    </w:p>
    <w:p w14:paraId="22994015" w14:textId="77777777" w:rsidR="000A2FD5" w:rsidRPr="00271FF4" w:rsidRDefault="00BD2EBF">
      <w:pPr>
        <w:ind w:left="851" w:right="902"/>
        <w:jc w:val="both"/>
        <w:rPr>
          <w:rFonts w:ascii="Palatino Linotype" w:eastAsia="Palatino Linotype" w:hAnsi="Palatino Linotype" w:cs="Palatino Linotype"/>
          <w:i/>
        </w:rPr>
      </w:pPr>
      <w:r w:rsidRPr="00271FF4">
        <w:rPr>
          <w:rFonts w:ascii="Palatino Linotype" w:eastAsia="Palatino Linotype" w:hAnsi="Palatino Linotype" w:cs="Palatino Linotype"/>
          <w:i/>
        </w:rPr>
        <w:t xml:space="preserve">Lo anterior, siempre y cuando no se acredite alguna causal de clasificación, prevista en las leyes o en los tratados internacionales suscritas por el Estado mexicano.  </w:t>
      </w:r>
    </w:p>
    <w:p w14:paraId="6C3C2949" w14:textId="77777777" w:rsidR="000A2FD5" w:rsidRPr="00271FF4" w:rsidRDefault="00BD2EBF">
      <w:pPr>
        <w:ind w:left="851" w:right="902"/>
        <w:jc w:val="both"/>
        <w:rPr>
          <w:rFonts w:ascii="Palatino Linotype" w:eastAsia="Palatino Linotype" w:hAnsi="Palatino Linotype" w:cs="Palatino Linotype"/>
          <w:i/>
        </w:rPr>
      </w:pPr>
      <w:r w:rsidRPr="00271FF4">
        <w:rPr>
          <w:rFonts w:ascii="Palatino Linotype" w:eastAsia="Palatino Linotype" w:hAnsi="Palatino Linotype" w:cs="Palatino Linotype"/>
          <w:b/>
          <w:i/>
        </w:rPr>
        <w:t>Quincuagésimo octavo</w:t>
      </w:r>
      <w:r w:rsidRPr="00271FF4">
        <w:rPr>
          <w:rFonts w:ascii="Palatino Linotype" w:eastAsia="Palatino Linotype" w:hAnsi="Palatino Linotype" w:cs="Palatino Linotype"/>
          <w:i/>
        </w:rPr>
        <w:t>. Los sujetos obligados garantizarán que los sistemas o medios empleados para eliminar la información en las versiones públicas sean irreversibles, de tal forma que no permitan su recuperación o la visualización de la misma.”</w:t>
      </w:r>
    </w:p>
    <w:p w14:paraId="5B08D68B" w14:textId="77777777" w:rsidR="000A2FD5" w:rsidRPr="00271FF4" w:rsidRDefault="000A2FD5">
      <w:pPr>
        <w:spacing w:line="360" w:lineRule="auto"/>
        <w:jc w:val="both"/>
        <w:rPr>
          <w:rFonts w:ascii="Palatino Linotype" w:eastAsia="Palatino Linotype" w:hAnsi="Palatino Linotype" w:cs="Palatino Linotype"/>
        </w:rPr>
      </w:pPr>
    </w:p>
    <w:p w14:paraId="7D1B8A9A" w14:textId="77777777" w:rsidR="000A2FD5" w:rsidRPr="00271FF4" w:rsidRDefault="00BD2EBF">
      <w:pP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 xml:space="preserve">Por lo tanto, la entrega de documentos en su versión pública debe acompañarse necesariamente del Acuerdo del Comité de Transparencia que la sustente el cual debe estar debidamente fundado y motivado, en el que se expongan los fundamentos y razonamientos que llevaron al </w:t>
      </w:r>
      <w:r w:rsidRPr="00271FF4">
        <w:rPr>
          <w:rFonts w:ascii="Palatino Linotype" w:eastAsia="Palatino Linotype" w:hAnsi="Palatino Linotype" w:cs="Palatino Linotype"/>
          <w:b/>
          <w:sz w:val="22"/>
          <w:szCs w:val="22"/>
        </w:rPr>
        <w:t>Sujeto Obligado</w:t>
      </w:r>
      <w:r w:rsidRPr="00271FF4">
        <w:rPr>
          <w:rFonts w:ascii="Palatino Linotype" w:eastAsia="Palatino Linotype" w:hAnsi="Palatino Linotype" w:cs="Palatino Linotype"/>
          <w:sz w:val="22"/>
          <w:szCs w:val="22"/>
        </w:rPr>
        <w:t xml:space="preserve"> a testar, suprimir o eliminar datos de dicho soporte documental, ya que no hacerlo, se reitera que lo entregado no tendría un sustento jurídico ni resultaría ser una versión pública, sino más bien una documentación ilegible, incompleta o tachada; ya que el no justificar las causas o motivos por las que no se aprecian determinados datos -ya sea porque se testan o suprimen- deja al solicitante en estado de incertidumbre, al no conocer o comprender porque no aparecen en la documentación respectiva.</w:t>
      </w:r>
    </w:p>
    <w:p w14:paraId="24A13CAB"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58A13660" w14:textId="77777777" w:rsidR="000A2FD5" w:rsidRPr="00271FF4" w:rsidRDefault="00BD2EBF">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Así, con fundamento en lo prescrito en los artículos 5 párrafos trigésimo tercero, trigésimo cuarto y trigésimo quinto de la Constitución Política del Estado Libre y Soberano de México; 2, fracción II; 29, 36 fracciones I y II; 176, 178, 181, 185 y 186 fracción III de la Ley de Transparencia y Acceso a la Información Pública del Estado de México y Municipios, este Pleno:</w:t>
      </w:r>
    </w:p>
    <w:p w14:paraId="3BAFDAF0" w14:textId="77777777" w:rsidR="000A2FD5" w:rsidRPr="00271FF4" w:rsidRDefault="00BD2EBF">
      <w:pPr>
        <w:pBdr>
          <w:top w:val="nil"/>
          <w:left w:val="nil"/>
          <w:bottom w:val="nil"/>
          <w:right w:val="nil"/>
          <w:between w:val="nil"/>
        </w:pBdr>
        <w:spacing w:line="360" w:lineRule="auto"/>
        <w:jc w:val="center"/>
        <w:rPr>
          <w:rFonts w:ascii="Palatino Linotype" w:eastAsia="Palatino Linotype" w:hAnsi="Palatino Linotype" w:cs="Palatino Linotype"/>
          <w:b/>
          <w:sz w:val="22"/>
          <w:szCs w:val="22"/>
        </w:rPr>
      </w:pPr>
      <w:bookmarkStart w:id="10" w:name="_heading=h.ijv98pntcd5s" w:colFirst="0" w:colLast="0"/>
      <w:bookmarkEnd w:id="10"/>
      <w:r w:rsidRPr="00271FF4">
        <w:rPr>
          <w:rFonts w:ascii="Palatino Linotype" w:eastAsia="Palatino Linotype" w:hAnsi="Palatino Linotype" w:cs="Palatino Linotype"/>
          <w:b/>
          <w:sz w:val="22"/>
          <w:szCs w:val="22"/>
        </w:rPr>
        <w:lastRenderedPageBreak/>
        <w:t>III. R E S U E L V E</w:t>
      </w:r>
    </w:p>
    <w:p w14:paraId="646F0FC3" w14:textId="77777777" w:rsidR="000A2FD5" w:rsidRPr="00271FF4" w:rsidRDefault="000A2FD5">
      <w:pPr>
        <w:spacing w:line="360" w:lineRule="auto"/>
        <w:jc w:val="both"/>
        <w:rPr>
          <w:rFonts w:ascii="Palatino Linotype" w:eastAsia="Palatino Linotype" w:hAnsi="Palatino Linotype" w:cs="Palatino Linotype"/>
          <w:b/>
          <w:sz w:val="22"/>
          <w:szCs w:val="22"/>
        </w:rPr>
      </w:pPr>
      <w:bookmarkStart w:id="11" w:name="_heading=h.26in1rg" w:colFirst="0" w:colLast="0"/>
      <w:bookmarkEnd w:id="11"/>
    </w:p>
    <w:p w14:paraId="13BC9F3C" w14:textId="77777777" w:rsidR="000A2FD5" w:rsidRPr="00271FF4" w:rsidRDefault="00BD2EBF">
      <w:pPr>
        <w:spacing w:line="360" w:lineRule="auto"/>
        <w:jc w:val="both"/>
        <w:rPr>
          <w:rFonts w:ascii="Palatino Linotype" w:eastAsia="Palatino Linotype" w:hAnsi="Palatino Linotype" w:cs="Palatino Linotype"/>
          <w:b/>
          <w:sz w:val="22"/>
          <w:szCs w:val="22"/>
        </w:rPr>
      </w:pPr>
      <w:bookmarkStart w:id="12" w:name="_heading=h.3rdcrjn" w:colFirst="0" w:colLast="0"/>
      <w:bookmarkEnd w:id="12"/>
      <w:r w:rsidRPr="00271FF4">
        <w:rPr>
          <w:rFonts w:ascii="Palatino Linotype" w:eastAsia="Palatino Linotype" w:hAnsi="Palatino Linotype" w:cs="Palatino Linotype"/>
          <w:b/>
          <w:sz w:val="22"/>
          <w:szCs w:val="22"/>
        </w:rPr>
        <w:t xml:space="preserve">Primero. </w:t>
      </w:r>
      <w:r w:rsidRPr="00271FF4">
        <w:rPr>
          <w:rFonts w:ascii="Palatino Linotype" w:eastAsia="Palatino Linotype" w:hAnsi="Palatino Linotype" w:cs="Palatino Linotype"/>
          <w:sz w:val="22"/>
          <w:szCs w:val="22"/>
        </w:rPr>
        <w:t xml:space="preserve">Resultan </w:t>
      </w:r>
      <w:r w:rsidRPr="00271FF4">
        <w:rPr>
          <w:rFonts w:ascii="Palatino Linotype" w:eastAsia="Palatino Linotype" w:hAnsi="Palatino Linotype" w:cs="Palatino Linotype"/>
          <w:b/>
          <w:sz w:val="22"/>
          <w:szCs w:val="22"/>
        </w:rPr>
        <w:t>fundados</w:t>
      </w:r>
      <w:r w:rsidRPr="00271FF4">
        <w:rPr>
          <w:rFonts w:ascii="Palatino Linotype" w:eastAsia="Palatino Linotype" w:hAnsi="Palatino Linotype" w:cs="Palatino Linotype"/>
          <w:sz w:val="22"/>
          <w:szCs w:val="22"/>
        </w:rPr>
        <w:t xml:space="preserve"> los motivos de inconformidad hechos valer por la parte </w:t>
      </w:r>
      <w:r w:rsidRPr="00271FF4">
        <w:rPr>
          <w:rFonts w:ascii="Palatino Linotype" w:eastAsia="Palatino Linotype" w:hAnsi="Palatino Linotype" w:cs="Palatino Linotype"/>
          <w:b/>
          <w:sz w:val="22"/>
          <w:szCs w:val="22"/>
        </w:rPr>
        <w:t xml:space="preserve">Recurrente </w:t>
      </w:r>
      <w:r w:rsidRPr="00271FF4">
        <w:rPr>
          <w:rFonts w:ascii="Palatino Linotype" w:eastAsia="Palatino Linotype" w:hAnsi="Palatino Linotype" w:cs="Palatino Linotype"/>
          <w:sz w:val="22"/>
          <w:szCs w:val="22"/>
        </w:rPr>
        <w:t xml:space="preserve">en el recurso de revisión </w:t>
      </w:r>
      <w:r w:rsidRPr="00271FF4">
        <w:rPr>
          <w:rFonts w:ascii="Palatino Linotype" w:eastAsia="Palatino Linotype" w:hAnsi="Palatino Linotype" w:cs="Palatino Linotype"/>
          <w:b/>
          <w:sz w:val="22"/>
          <w:szCs w:val="22"/>
        </w:rPr>
        <w:t xml:space="preserve">07454/INFOEM/IP/RR/2024, </w:t>
      </w:r>
      <w:r w:rsidRPr="00271FF4">
        <w:rPr>
          <w:rFonts w:ascii="Palatino Linotype" w:eastAsia="Palatino Linotype" w:hAnsi="Palatino Linotype" w:cs="Palatino Linotype"/>
          <w:sz w:val="22"/>
          <w:szCs w:val="22"/>
        </w:rPr>
        <w:t xml:space="preserve">por lo que, en términos del Considerando </w:t>
      </w:r>
      <w:r w:rsidRPr="00271FF4">
        <w:rPr>
          <w:rFonts w:ascii="Palatino Linotype" w:eastAsia="Palatino Linotype" w:hAnsi="Palatino Linotype" w:cs="Palatino Linotype"/>
          <w:b/>
          <w:sz w:val="22"/>
          <w:szCs w:val="22"/>
        </w:rPr>
        <w:t>Cuarto</w:t>
      </w:r>
      <w:r w:rsidRPr="00271FF4">
        <w:rPr>
          <w:rFonts w:ascii="Palatino Linotype" w:eastAsia="Palatino Linotype" w:hAnsi="Palatino Linotype" w:cs="Palatino Linotype"/>
          <w:sz w:val="22"/>
          <w:szCs w:val="22"/>
        </w:rPr>
        <w:t xml:space="preserve"> de la presente resolución, se</w:t>
      </w:r>
      <w:r w:rsidRPr="00271FF4">
        <w:rPr>
          <w:rFonts w:ascii="Palatino Linotype" w:eastAsia="Palatino Linotype" w:hAnsi="Palatino Linotype" w:cs="Palatino Linotype"/>
          <w:b/>
          <w:sz w:val="22"/>
          <w:szCs w:val="22"/>
        </w:rPr>
        <w:t xml:space="preserve"> Modifica </w:t>
      </w:r>
      <w:r w:rsidRPr="00271FF4">
        <w:rPr>
          <w:rFonts w:ascii="Palatino Linotype" w:eastAsia="Palatino Linotype" w:hAnsi="Palatino Linotype" w:cs="Palatino Linotype"/>
          <w:sz w:val="22"/>
          <w:szCs w:val="22"/>
        </w:rPr>
        <w:t>la respuesta</w:t>
      </w:r>
      <w:r w:rsidRPr="00271FF4">
        <w:rPr>
          <w:rFonts w:ascii="Palatino Linotype" w:eastAsia="Palatino Linotype" w:hAnsi="Palatino Linotype" w:cs="Palatino Linotype"/>
          <w:b/>
          <w:sz w:val="22"/>
          <w:szCs w:val="22"/>
        </w:rPr>
        <w:t xml:space="preserve"> </w:t>
      </w:r>
      <w:r w:rsidRPr="00271FF4">
        <w:rPr>
          <w:rFonts w:ascii="Palatino Linotype" w:eastAsia="Palatino Linotype" w:hAnsi="Palatino Linotype" w:cs="Palatino Linotype"/>
          <w:sz w:val="22"/>
          <w:szCs w:val="22"/>
        </w:rPr>
        <w:t xml:space="preserve">del </w:t>
      </w:r>
      <w:r w:rsidRPr="00271FF4">
        <w:rPr>
          <w:rFonts w:ascii="Palatino Linotype" w:eastAsia="Palatino Linotype" w:hAnsi="Palatino Linotype" w:cs="Palatino Linotype"/>
          <w:b/>
          <w:sz w:val="22"/>
          <w:szCs w:val="22"/>
        </w:rPr>
        <w:t>Sujeto Obligado.</w:t>
      </w:r>
    </w:p>
    <w:p w14:paraId="463569C8" w14:textId="77777777" w:rsidR="000A2FD5" w:rsidRPr="00271FF4" w:rsidRDefault="000A2FD5">
      <w:pPr>
        <w:spacing w:line="360" w:lineRule="auto"/>
        <w:jc w:val="both"/>
        <w:rPr>
          <w:rFonts w:ascii="Palatino Linotype" w:eastAsia="Palatino Linotype" w:hAnsi="Palatino Linotype" w:cs="Palatino Linotype"/>
          <w:b/>
          <w:sz w:val="22"/>
          <w:szCs w:val="22"/>
        </w:rPr>
      </w:pPr>
    </w:p>
    <w:p w14:paraId="0A280536" w14:textId="77777777" w:rsidR="000A2FD5" w:rsidRPr="00271FF4" w:rsidRDefault="00BD2EBF">
      <w:pPr>
        <w:spacing w:line="360" w:lineRule="auto"/>
        <w:jc w:val="both"/>
        <w:rPr>
          <w:rFonts w:ascii="Palatino Linotype" w:eastAsia="Palatino Linotype" w:hAnsi="Palatino Linotype" w:cs="Palatino Linotype"/>
          <w:sz w:val="22"/>
          <w:szCs w:val="22"/>
        </w:rPr>
      </w:pPr>
      <w:bookmarkStart w:id="13" w:name="_heading=h.2et92p0" w:colFirst="0" w:colLast="0"/>
      <w:bookmarkEnd w:id="13"/>
      <w:r w:rsidRPr="00271FF4">
        <w:rPr>
          <w:rFonts w:ascii="Palatino Linotype" w:eastAsia="Palatino Linotype" w:hAnsi="Palatino Linotype" w:cs="Palatino Linotype"/>
          <w:b/>
          <w:sz w:val="22"/>
          <w:szCs w:val="22"/>
        </w:rPr>
        <w:t xml:space="preserve">Segundo. </w:t>
      </w:r>
      <w:r w:rsidRPr="00271FF4">
        <w:rPr>
          <w:rFonts w:ascii="Palatino Linotype" w:eastAsia="Palatino Linotype" w:hAnsi="Palatino Linotype" w:cs="Palatino Linotype"/>
          <w:sz w:val="22"/>
          <w:szCs w:val="22"/>
        </w:rPr>
        <w:t xml:space="preserve">Se </w:t>
      </w:r>
      <w:r w:rsidRPr="00271FF4">
        <w:rPr>
          <w:rFonts w:ascii="Palatino Linotype" w:eastAsia="Palatino Linotype" w:hAnsi="Palatino Linotype" w:cs="Palatino Linotype"/>
          <w:b/>
          <w:sz w:val="22"/>
          <w:szCs w:val="22"/>
        </w:rPr>
        <w:t>Ordena</w:t>
      </w:r>
      <w:r w:rsidRPr="00271FF4">
        <w:rPr>
          <w:rFonts w:ascii="Palatino Linotype" w:eastAsia="Palatino Linotype" w:hAnsi="Palatino Linotype" w:cs="Palatino Linotype"/>
          <w:sz w:val="22"/>
          <w:szCs w:val="22"/>
        </w:rPr>
        <w:t xml:space="preserve"> al </w:t>
      </w:r>
      <w:r w:rsidRPr="00271FF4">
        <w:rPr>
          <w:rFonts w:ascii="Palatino Linotype" w:eastAsia="Palatino Linotype" w:hAnsi="Palatino Linotype" w:cs="Palatino Linotype"/>
          <w:b/>
          <w:sz w:val="22"/>
          <w:szCs w:val="22"/>
        </w:rPr>
        <w:t>Sujeto Obligado</w:t>
      </w:r>
      <w:r w:rsidRPr="00271FF4">
        <w:rPr>
          <w:rFonts w:ascii="Palatino Linotype" w:eastAsia="Palatino Linotype" w:hAnsi="Palatino Linotype" w:cs="Palatino Linotype"/>
          <w:sz w:val="22"/>
          <w:szCs w:val="22"/>
        </w:rPr>
        <w:t xml:space="preserve">, en términos de los Considerandos </w:t>
      </w:r>
      <w:r w:rsidRPr="00271FF4">
        <w:rPr>
          <w:rFonts w:ascii="Palatino Linotype" w:eastAsia="Palatino Linotype" w:hAnsi="Palatino Linotype" w:cs="Palatino Linotype"/>
          <w:b/>
          <w:sz w:val="22"/>
          <w:szCs w:val="22"/>
        </w:rPr>
        <w:t xml:space="preserve">Cuarto y Quinto </w:t>
      </w:r>
      <w:r w:rsidRPr="00271FF4">
        <w:rPr>
          <w:rFonts w:ascii="Palatino Linotype" w:eastAsia="Palatino Linotype" w:hAnsi="Palatino Linotype" w:cs="Palatino Linotype"/>
          <w:sz w:val="22"/>
          <w:szCs w:val="22"/>
        </w:rPr>
        <w:t xml:space="preserve">de esta resolución, </w:t>
      </w:r>
      <w:r w:rsidRPr="00271FF4">
        <w:rPr>
          <w:rFonts w:ascii="Palatino Linotype" w:eastAsia="Palatino Linotype" w:hAnsi="Palatino Linotype" w:cs="Palatino Linotype"/>
          <w:b/>
          <w:sz w:val="22"/>
          <w:szCs w:val="22"/>
        </w:rPr>
        <w:t xml:space="preserve">haga entrega vía Sistema de Acceso a la Información Mexiquense (SAIMEX), </w:t>
      </w:r>
      <w:r w:rsidRPr="00271FF4">
        <w:rPr>
          <w:rFonts w:ascii="Palatino Linotype" w:eastAsia="Palatino Linotype" w:hAnsi="Palatino Linotype" w:cs="Palatino Linotype"/>
          <w:sz w:val="22"/>
          <w:szCs w:val="22"/>
        </w:rPr>
        <w:t>de ser procedente en versión pública, los documentos donde conste lo siguiente:</w:t>
      </w:r>
    </w:p>
    <w:p w14:paraId="3C5C9D24"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48055494" w14:textId="77777777" w:rsidR="000A2FD5" w:rsidRPr="00271FF4" w:rsidRDefault="00BD2EBF">
      <w:pPr>
        <w:numPr>
          <w:ilvl w:val="0"/>
          <w:numId w:val="2"/>
        </w:numPr>
        <w:pBdr>
          <w:top w:val="nil"/>
          <w:left w:val="nil"/>
          <w:bottom w:val="nil"/>
          <w:right w:val="nil"/>
          <w:between w:val="nil"/>
        </w:pBdr>
        <w:spacing w:line="360" w:lineRule="auto"/>
        <w:jc w:val="both"/>
        <w:rPr>
          <w:rFonts w:ascii="Palatino Linotype" w:eastAsia="Palatino Linotype" w:hAnsi="Palatino Linotype" w:cs="Palatino Linotype"/>
          <w:b/>
          <w:sz w:val="22"/>
          <w:szCs w:val="22"/>
        </w:rPr>
      </w:pPr>
      <w:r w:rsidRPr="00271FF4">
        <w:rPr>
          <w:rFonts w:ascii="Palatino Linotype" w:eastAsia="Palatino Linotype" w:hAnsi="Palatino Linotype" w:cs="Palatino Linotype"/>
          <w:b/>
          <w:sz w:val="22"/>
          <w:szCs w:val="22"/>
        </w:rPr>
        <w:t>Las renuncias presentadas por los cinco servidores públicos que se encontraban adscritos al Departamento de Recursos Materiales, referidos en el oficio de respuesta número 233C0101040202L/672/2024 del 21 de noviembre de 2024.</w:t>
      </w:r>
    </w:p>
    <w:p w14:paraId="0F8A9E31" w14:textId="77777777" w:rsidR="000A2FD5" w:rsidRPr="00271FF4" w:rsidRDefault="000A2FD5">
      <w:pPr>
        <w:pBdr>
          <w:top w:val="nil"/>
          <w:left w:val="nil"/>
          <w:bottom w:val="nil"/>
          <w:right w:val="nil"/>
          <w:between w:val="nil"/>
        </w:pBdr>
        <w:ind w:left="720"/>
        <w:rPr>
          <w:rFonts w:ascii="Palatino Linotype" w:eastAsia="Palatino Linotype" w:hAnsi="Palatino Linotype" w:cs="Palatino Linotype"/>
          <w:b/>
          <w:sz w:val="22"/>
          <w:szCs w:val="22"/>
        </w:rPr>
      </w:pPr>
    </w:p>
    <w:p w14:paraId="53E36AE8" w14:textId="77777777" w:rsidR="000A2FD5" w:rsidRPr="00271FF4" w:rsidRDefault="00BD2EBF">
      <w:pPr>
        <w:pBdr>
          <w:top w:val="nil"/>
          <w:left w:val="nil"/>
          <w:bottom w:val="nil"/>
          <w:right w:val="nil"/>
          <w:between w:val="nil"/>
        </w:pBdr>
        <w:spacing w:line="276" w:lineRule="auto"/>
        <w:ind w:left="284" w:right="49"/>
        <w:jc w:val="both"/>
        <w:rPr>
          <w:rFonts w:ascii="Palatino Linotype" w:eastAsia="Palatino Linotype" w:hAnsi="Palatino Linotype" w:cs="Palatino Linotype"/>
          <w:i/>
          <w:sz w:val="22"/>
          <w:szCs w:val="22"/>
        </w:rPr>
      </w:pPr>
      <w:r w:rsidRPr="00271FF4">
        <w:rPr>
          <w:rFonts w:ascii="Palatino Linotype" w:eastAsia="Palatino Linotype" w:hAnsi="Palatino Linotype" w:cs="Palatino Linotype"/>
          <w:i/>
          <w:sz w:val="22"/>
          <w:szCs w:val="22"/>
        </w:rPr>
        <w:t xml:space="preserve">Para la entrega en versión pública, se deberá emitir el Acuerdo del Comité de Transparencia de acuerdo con la Ley de Transparencia y Acceso a la Información Pública del Estado de México y Municipios, en el que funde y motive las razones sobre los datos que se supriman o eliminen de los soportes documentales objeto de la versión públicas que se formule y se pongan a disposición de </w:t>
      </w:r>
      <w:r w:rsidRPr="00271FF4">
        <w:rPr>
          <w:rFonts w:ascii="Palatino Linotype" w:eastAsia="Palatino Linotype" w:hAnsi="Palatino Linotype" w:cs="Palatino Linotype"/>
          <w:b/>
          <w:i/>
          <w:sz w:val="22"/>
          <w:szCs w:val="22"/>
        </w:rPr>
        <w:t>la parte Recurrente</w:t>
      </w:r>
      <w:r w:rsidRPr="00271FF4">
        <w:rPr>
          <w:rFonts w:ascii="Palatino Linotype" w:eastAsia="Palatino Linotype" w:hAnsi="Palatino Linotype" w:cs="Palatino Linotype"/>
          <w:i/>
          <w:sz w:val="22"/>
          <w:szCs w:val="22"/>
        </w:rPr>
        <w:t>, mismo que igualmente hará de su conocimiento.</w:t>
      </w:r>
    </w:p>
    <w:p w14:paraId="56892D75" w14:textId="77777777" w:rsidR="000A2FD5" w:rsidRPr="00271FF4" w:rsidRDefault="000A2FD5">
      <w:pPr>
        <w:pBdr>
          <w:top w:val="nil"/>
          <w:left w:val="nil"/>
          <w:bottom w:val="nil"/>
          <w:right w:val="nil"/>
          <w:between w:val="nil"/>
        </w:pBdr>
        <w:spacing w:line="276" w:lineRule="auto"/>
        <w:ind w:left="284" w:right="49"/>
        <w:jc w:val="both"/>
        <w:rPr>
          <w:rFonts w:ascii="Palatino Linotype" w:eastAsia="Palatino Linotype" w:hAnsi="Palatino Linotype" w:cs="Palatino Linotype"/>
          <w:i/>
          <w:sz w:val="22"/>
          <w:szCs w:val="22"/>
        </w:rPr>
      </w:pPr>
    </w:p>
    <w:p w14:paraId="67A1BFE9" w14:textId="77777777" w:rsidR="000A2FD5" w:rsidRPr="00271FF4" w:rsidRDefault="00BD2EBF">
      <w:pPr>
        <w:spacing w:line="360" w:lineRule="auto"/>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b/>
          <w:sz w:val="22"/>
          <w:szCs w:val="22"/>
        </w:rPr>
        <w:t xml:space="preserve">Tercero. Notifíquese, </w:t>
      </w:r>
      <w:r w:rsidRPr="00271FF4">
        <w:rPr>
          <w:rFonts w:ascii="Palatino Linotype" w:eastAsia="Palatino Linotype" w:hAnsi="Palatino Linotype" w:cs="Palatino Linotype"/>
          <w:sz w:val="22"/>
          <w:szCs w:val="22"/>
        </w:rPr>
        <w:t xml:space="preserve">vía </w:t>
      </w:r>
      <w:r w:rsidRPr="00271FF4">
        <w:rPr>
          <w:rFonts w:ascii="Palatino Linotype" w:eastAsia="Palatino Linotype" w:hAnsi="Palatino Linotype" w:cs="Palatino Linotype"/>
          <w:b/>
          <w:sz w:val="22"/>
          <w:szCs w:val="22"/>
        </w:rPr>
        <w:t>SAIMEX</w:t>
      </w:r>
      <w:r w:rsidRPr="00271FF4">
        <w:rPr>
          <w:rFonts w:ascii="Palatino Linotype" w:eastAsia="Palatino Linotype" w:hAnsi="Palatino Linotype" w:cs="Palatino Linotype"/>
          <w:sz w:val="22"/>
          <w:szCs w:val="22"/>
        </w:rPr>
        <w:t xml:space="preserve">, al Titular de la Unidad de Transparencia del </w:t>
      </w:r>
      <w:r w:rsidRPr="00271FF4">
        <w:rPr>
          <w:rFonts w:ascii="Palatino Linotype" w:eastAsia="Palatino Linotype" w:hAnsi="Palatino Linotype" w:cs="Palatino Linotype"/>
          <w:b/>
          <w:sz w:val="22"/>
          <w:szCs w:val="22"/>
        </w:rPr>
        <w:t>Sujeto Obligado,</w:t>
      </w:r>
      <w:r w:rsidRPr="00271FF4">
        <w:rPr>
          <w:rFonts w:ascii="Palatino Linotype" w:eastAsia="Palatino Linotype" w:hAnsi="Palatino Linotype" w:cs="Palatino Linotype"/>
          <w:sz w:val="22"/>
          <w:szCs w:val="22"/>
        </w:rPr>
        <w:t xml:space="preserve"> la presente resolución para que conforme a los artículos 186, último párrafo y 189, párrafo segundo y 194 de la Ley de Transparencia y Acceso a la Información Pública del Estado de México y Municipios;  dé cumplimiento a lo ordenado dentro del plazo de diez días hábiles, e informe a este Instituto en un plazo de tres días hábiles siguientes sobre </w:t>
      </w:r>
      <w:r w:rsidRPr="00271FF4">
        <w:rPr>
          <w:rFonts w:ascii="Palatino Linotype" w:eastAsia="Palatino Linotype" w:hAnsi="Palatino Linotype" w:cs="Palatino Linotype"/>
          <w:sz w:val="22"/>
          <w:szCs w:val="22"/>
        </w:rPr>
        <w:lastRenderedPageBreak/>
        <w:t>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434C48C0"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608FD84C" w14:textId="77777777" w:rsidR="000A2FD5" w:rsidRPr="00271FF4" w:rsidRDefault="00BD2EBF">
      <w:pPr>
        <w:spacing w:line="360" w:lineRule="auto"/>
        <w:ind w:right="49"/>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b/>
          <w:sz w:val="22"/>
          <w:szCs w:val="22"/>
        </w:rPr>
        <w:t>Cuarto.</w:t>
      </w:r>
      <w:r w:rsidRPr="00271FF4">
        <w:rPr>
          <w:rFonts w:ascii="Palatino Linotype" w:eastAsia="Palatino Linotype" w:hAnsi="Palatino Linotype" w:cs="Palatino Linotype"/>
          <w:sz w:val="22"/>
          <w:szCs w:val="22"/>
        </w:rPr>
        <w:t xml:space="preserve"> De conformidad con el artículo 198 de la Ley de Transparencia y Acceso a la Información Pública del Estado de México y Municipios, de considerarlo procedente, el </w:t>
      </w:r>
      <w:r w:rsidRPr="00271FF4">
        <w:rPr>
          <w:rFonts w:ascii="Palatino Linotype" w:eastAsia="Palatino Linotype" w:hAnsi="Palatino Linotype" w:cs="Palatino Linotype"/>
          <w:b/>
          <w:sz w:val="22"/>
          <w:szCs w:val="22"/>
        </w:rPr>
        <w:t>Sujeto Obligado</w:t>
      </w:r>
      <w:r w:rsidRPr="00271FF4">
        <w:rPr>
          <w:rFonts w:ascii="Palatino Linotype" w:eastAsia="Palatino Linotype" w:hAnsi="Palatino Linotype" w:cs="Palatino Linotype"/>
          <w:sz w:val="22"/>
          <w:szCs w:val="22"/>
        </w:rPr>
        <w:t xml:space="preserve"> de manera fundada y motivada, podrá solicitar una ampliación de plazo para el cumplimiento de la presente resolución.</w:t>
      </w:r>
    </w:p>
    <w:p w14:paraId="0969C0B1" w14:textId="77777777" w:rsidR="000A2FD5" w:rsidRPr="00271FF4" w:rsidRDefault="000A2FD5">
      <w:pPr>
        <w:spacing w:line="360" w:lineRule="auto"/>
        <w:ind w:right="49"/>
        <w:jc w:val="both"/>
        <w:rPr>
          <w:rFonts w:ascii="Palatino Linotype" w:eastAsia="Palatino Linotype" w:hAnsi="Palatino Linotype" w:cs="Palatino Linotype"/>
          <w:sz w:val="22"/>
          <w:szCs w:val="22"/>
        </w:rPr>
      </w:pPr>
    </w:p>
    <w:p w14:paraId="3911FB0D" w14:textId="77777777" w:rsidR="000A2FD5" w:rsidRPr="00271FF4" w:rsidRDefault="00BD2EBF">
      <w:pPr>
        <w:spacing w:line="360" w:lineRule="auto"/>
        <w:ind w:right="49"/>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b/>
          <w:sz w:val="22"/>
          <w:szCs w:val="22"/>
        </w:rPr>
        <w:t xml:space="preserve">Quinto. Notifíquese </w:t>
      </w:r>
      <w:r w:rsidRPr="00271FF4">
        <w:rPr>
          <w:rFonts w:ascii="Palatino Linotype" w:eastAsia="Palatino Linotype" w:hAnsi="Palatino Linotype" w:cs="Palatino Linotype"/>
          <w:sz w:val="22"/>
          <w:szCs w:val="22"/>
        </w:rPr>
        <w:t>vía SAIMEX</w:t>
      </w:r>
      <w:r w:rsidRPr="00271FF4">
        <w:rPr>
          <w:rFonts w:ascii="Palatino Linotype" w:eastAsia="Palatino Linotype" w:hAnsi="Palatino Linotype" w:cs="Palatino Linotype"/>
          <w:b/>
          <w:sz w:val="22"/>
          <w:szCs w:val="22"/>
        </w:rPr>
        <w:t xml:space="preserve">, </w:t>
      </w:r>
      <w:r w:rsidRPr="00271FF4">
        <w:rPr>
          <w:rFonts w:ascii="Palatino Linotype" w:eastAsia="Palatino Linotype" w:hAnsi="Palatino Linotype" w:cs="Palatino Linotype"/>
          <w:sz w:val="22"/>
          <w:szCs w:val="22"/>
        </w:rPr>
        <w:t xml:space="preserve">la presente resolución a la parte </w:t>
      </w:r>
      <w:r w:rsidRPr="00271FF4">
        <w:rPr>
          <w:rFonts w:ascii="Palatino Linotype" w:eastAsia="Palatino Linotype" w:hAnsi="Palatino Linotype" w:cs="Palatino Linotype"/>
          <w:b/>
          <w:sz w:val="22"/>
          <w:szCs w:val="22"/>
        </w:rPr>
        <w:t>Recurrente</w:t>
      </w:r>
      <w:r w:rsidRPr="00271FF4">
        <w:rPr>
          <w:rFonts w:ascii="Palatino Linotype" w:eastAsia="Palatino Linotype" w:hAnsi="Palatino Linotype" w:cs="Palatino Linotype"/>
          <w:sz w:val="22"/>
          <w:szCs w:val="22"/>
        </w:rPr>
        <w:t>, y hágase del conocimiento que en caso de que considere que la presente resolución le causa algún perjuicio, podrá promover el Juicio de Amparo en los términos de las leyes aplicables, de acuerdo a lo estipulado por el artículo 196 de la Ley de Transparencia y Acceso a la Información Pública del Estado de México y Municipios.</w:t>
      </w:r>
    </w:p>
    <w:p w14:paraId="01D8F6C5" w14:textId="77777777" w:rsidR="000A2FD5" w:rsidRPr="00271FF4" w:rsidRDefault="000A2FD5">
      <w:pPr>
        <w:spacing w:line="360" w:lineRule="auto"/>
        <w:ind w:right="49"/>
        <w:jc w:val="both"/>
        <w:rPr>
          <w:rFonts w:ascii="Palatino Linotype" w:eastAsia="Palatino Linotype" w:hAnsi="Palatino Linotype" w:cs="Palatino Linotype"/>
          <w:sz w:val="22"/>
          <w:szCs w:val="22"/>
        </w:rPr>
      </w:pPr>
    </w:p>
    <w:p w14:paraId="7B7F9D42" w14:textId="77777777" w:rsidR="000A2FD5" w:rsidRPr="00271FF4" w:rsidRDefault="00BD2EBF">
      <w:pPr>
        <w:spacing w:line="360" w:lineRule="auto"/>
        <w:ind w:right="-93"/>
        <w:jc w:val="both"/>
        <w:rPr>
          <w:rFonts w:ascii="Palatino Linotype" w:eastAsia="Palatino Linotype" w:hAnsi="Palatino Linotype" w:cs="Palatino Linotype"/>
          <w:sz w:val="22"/>
          <w:szCs w:val="22"/>
        </w:rPr>
      </w:pPr>
      <w:r w:rsidRPr="00271FF4">
        <w:rPr>
          <w:rFonts w:ascii="Palatino Linotype" w:eastAsia="Palatino Linotype" w:hAnsi="Palatino Linotype" w:cs="Palatino Linotype"/>
          <w:sz w:val="22"/>
          <w:szCs w:val="22"/>
        </w:rPr>
        <w:t>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PRIMERA SESIÓN ORDINARIA CELEBRADA EL QUINCE DE ENERO DE DOS MIL VEINTICINCO, ANTE EL SECRETARIO TÉCNICO DEL PLENO ALEXIS TAPIA RAMÍREZ.</w:t>
      </w:r>
    </w:p>
    <w:p w14:paraId="69C0E7EF"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288EAF71"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04ED3FF2" w14:textId="77777777" w:rsidR="000A2FD5" w:rsidRPr="00271FF4" w:rsidRDefault="000A2FD5">
      <w:pPr>
        <w:spacing w:line="360" w:lineRule="auto"/>
        <w:jc w:val="both"/>
        <w:rPr>
          <w:rFonts w:ascii="Palatino Linotype" w:eastAsia="Palatino Linotype" w:hAnsi="Palatino Linotype" w:cs="Palatino Linotype"/>
          <w:sz w:val="22"/>
          <w:szCs w:val="22"/>
        </w:rPr>
      </w:pPr>
      <w:bookmarkStart w:id="14" w:name="_heading=h.1t3h5sf" w:colFirst="0" w:colLast="0"/>
      <w:bookmarkEnd w:id="14"/>
    </w:p>
    <w:p w14:paraId="1CBADBBE"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478CBDAC"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7D554B6B"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4C3B4334"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188DFB22"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19E807A5"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7579F292"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625BBCA1"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74605469"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2E933DE0"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61B98C6B"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264CE11B"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6E64826D"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20EC8397"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2C80F23A"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69D961A7"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5384218D"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0F080EEB"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4331080A" w14:textId="77777777" w:rsidR="000A2FD5" w:rsidRPr="00271FF4" w:rsidRDefault="000A2FD5">
      <w:pPr>
        <w:spacing w:line="360" w:lineRule="auto"/>
        <w:jc w:val="both"/>
        <w:rPr>
          <w:rFonts w:ascii="Palatino Linotype" w:eastAsia="Palatino Linotype" w:hAnsi="Palatino Linotype" w:cs="Palatino Linotype"/>
          <w:sz w:val="22"/>
          <w:szCs w:val="22"/>
        </w:rPr>
      </w:pPr>
    </w:p>
    <w:p w14:paraId="4B0E4A17" w14:textId="77777777" w:rsidR="000A2FD5" w:rsidRPr="00271FF4" w:rsidRDefault="000A2FD5">
      <w:pPr>
        <w:spacing w:line="360" w:lineRule="auto"/>
        <w:jc w:val="both"/>
        <w:rPr>
          <w:rFonts w:ascii="Palatino Linotype" w:eastAsia="Palatino Linotype" w:hAnsi="Palatino Linotype" w:cs="Palatino Linotype"/>
          <w:sz w:val="22"/>
          <w:szCs w:val="22"/>
        </w:rPr>
      </w:pPr>
    </w:p>
    <w:sectPr w:rsidR="000A2FD5" w:rsidRPr="00271FF4">
      <w:headerReference w:type="default" r:id="rId11"/>
      <w:footerReference w:type="default" r:id="rId12"/>
      <w:headerReference w:type="first" r:id="rId13"/>
      <w:footerReference w:type="first" r:id="rId14"/>
      <w:pgSz w:w="12240" w:h="15840"/>
      <w:pgMar w:top="1985" w:right="1701" w:bottom="1701" w:left="1701" w:header="709" w:footer="709"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F114D3" w14:textId="77777777" w:rsidR="00BD2EBF" w:rsidRDefault="00BD2EBF">
      <w:r>
        <w:separator/>
      </w:r>
    </w:p>
  </w:endnote>
  <w:endnote w:type="continuationSeparator" w:id="0">
    <w:p w14:paraId="1BC44A3E" w14:textId="77777777" w:rsidR="00BD2EBF" w:rsidRDefault="00BD2E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3261DD" w14:textId="77777777" w:rsidR="000A2FD5" w:rsidRDefault="00BD2EBF">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b/>
        <w:color w:val="000000"/>
        <w:sz w:val="20"/>
        <w:szCs w:val="20"/>
      </w:rPr>
      <w:t xml:space="preserve">Página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PAGE</w:instrText>
    </w:r>
    <w:r>
      <w:rPr>
        <w:rFonts w:ascii="Palatino Linotype" w:eastAsia="Palatino Linotype" w:hAnsi="Palatino Linotype" w:cs="Palatino Linotype"/>
        <w:b/>
        <w:color w:val="000000"/>
        <w:sz w:val="20"/>
        <w:szCs w:val="20"/>
      </w:rPr>
      <w:fldChar w:fldCharType="separate"/>
    </w:r>
    <w:r w:rsidR="00271FF4">
      <w:rPr>
        <w:rFonts w:ascii="Palatino Linotype" w:eastAsia="Palatino Linotype" w:hAnsi="Palatino Linotype" w:cs="Palatino Linotype"/>
        <w:b/>
        <w:noProof/>
        <w:color w:val="000000"/>
        <w:sz w:val="20"/>
        <w:szCs w:val="20"/>
      </w:rPr>
      <w:t>2</w:t>
    </w:r>
    <w:r>
      <w:rPr>
        <w:rFonts w:ascii="Palatino Linotype" w:eastAsia="Palatino Linotype" w:hAnsi="Palatino Linotype" w:cs="Palatino Linotype"/>
        <w:b/>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271FF4">
      <w:rPr>
        <w:rFonts w:ascii="Palatino Linotype" w:eastAsia="Palatino Linotype" w:hAnsi="Palatino Linotype" w:cs="Palatino Linotype"/>
        <w:b/>
        <w:noProof/>
        <w:color w:val="000000"/>
        <w:sz w:val="20"/>
        <w:szCs w:val="20"/>
      </w:rPr>
      <w:t>3</w:t>
    </w:r>
    <w:r>
      <w:rPr>
        <w:rFonts w:ascii="Palatino Linotype" w:eastAsia="Palatino Linotype" w:hAnsi="Palatino Linotype" w:cs="Palatino Linotype"/>
        <w:b/>
        <w:color w:val="000000"/>
        <w:sz w:val="20"/>
        <w:szCs w:val="20"/>
      </w:rPr>
      <w:fldChar w:fldCharType="end"/>
    </w:r>
  </w:p>
  <w:p w14:paraId="24E11163" w14:textId="77777777" w:rsidR="000A2FD5" w:rsidRDefault="000A2FD5">
    <w:pPr>
      <w:pBdr>
        <w:top w:val="nil"/>
        <w:left w:val="nil"/>
        <w:bottom w:val="nil"/>
        <w:right w:val="nil"/>
        <w:between w:val="nil"/>
      </w:pBdr>
      <w:tabs>
        <w:tab w:val="center" w:pos="4252"/>
        <w:tab w:val="right" w:pos="8504"/>
      </w:tabs>
      <w:ind w:firstLine="708"/>
      <w:rPr>
        <w:rFonts w:ascii="Cambria" w:eastAsia="Cambria" w:hAnsi="Cambria" w:cs="Cambria"/>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ACBD0" w14:textId="77777777" w:rsidR="000A2FD5" w:rsidRDefault="00BD2EBF">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b/>
        <w:color w:val="000000"/>
        <w:sz w:val="20"/>
        <w:szCs w:val="20"/>
      </w:rPr>
      <w:t xml:space="preserve">Página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PAGE</w:instrText>
    </w:r>
    <w:r>
      <w:rPr>
        <w:rFonts w:ascii="Palatino Linotype" w:eastAsia="Palatino Linotype" w:hAnsi="Palatino Linotype" w:cs="Palatino Linotype"/>
        <w:b/>
        <w:color w:val="000000"/>
        <w:sz w:val="20"/>
        <w:szCs w:val="20"/>
      </w:rPr>
      <w:fldChar w:fldCharType="separate"/>
    </w:r>
    <w:r w:rsidR="00271FF4">
      <w:rPr>
        <w:rFonts w:ascii="Palatino Linotype" w:eastAsia="Palatino Linotype" w:hAnsi="Palatino Linotype" w:cs="Palatino Linotype"/>
        <w:b/>
        <w:noProof/>
        <w:color w:val="000000"/>
        <w:sz w:val="20"/>
        <w:szCs w:val="20"/>
      </w:rPr>
      <w:t>1</w:t>
    </w:r>
    <w:r>
      <w:rPr>
        <w:rFonts w:ascii="Palatino Linotype" w:eastAsia="Palatino Linotype" w:hAnsi="Palatino Linotype" w:cs="Palatino Linotype"/>
        <w:b/>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271FF4">
      <w:rPr>
        <w:rFonts w:ascii="Palatino Linotype" w:eastAsia="Palatino Linotype" w:hAnsi="Palatino Linotype" w:cs="Palatino Linotype"/>
        <w:b/>
        <w:noProof/>
        <w:color w:val="000000"/>
        <w:sz w:val="20"/>
        <w:szCs w:val="20"/>
      </w:rPr>
      <w:t>2</w:t>
    </w:r>
    <w:r>
      <w:rPr>
        <w:rFonts w:ascii="Palatino Linotype" w:eastAsia="Palatino Linotype" w:hAnsi="Palatino Linotype" w:cs="Palatino Linotype"/>
        <w:b/>
        <w:color w:val="000000"/>
        <w:sz w:val="20"/>
        <w:szCs w:val="20"/>
      </w:rPr>
      <w:fldChar w:fldCharType="end"/>
    </w:r>
  </w:p>
  <w:p w14:paraId="7F39E298" w14:textId="77777777" w:rsidR="000A2FD5" w:rsidRDefault="000A2FD5">
    <w:pPr>
      <w:pBdr>
        <w:top w:val="nil"/>
        <w:left w:val="nil"/>
        <w:bottom w:val="nil"/>
        <w:right w:val="nil"/>
        <w:between w:val="nil"/>
      </w:pBdr>
      <w:tabs>
        <w:tab w:val="center" w:pos="4252"/>
        <w:tab w:val="right" w:pos="8504"/>
      </w:tabs>
      <w:rPr>
        <w:rFonts w:ascii="Cambria" w:eastAsia="Cambria" w:hAnsi="Cambria" w:cs="Cambria"/>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C06A4C" w14:textId="77777777" w:rsidR="00BD2EBF" w:rsidRDefault="00BD2EBF">
      <w:r>
        <w:separator/>
      </w:r>
    </w:p>
  </w:footnote>
  <w:footnote w:type="continuationSeparator" w:id="0">
    <w:p w14:paraId="63FC96BA" w14:textId="77777777" w:rsidR="00BD2EBF" w:rsidRDefault="00BD2EBF">
      <w:r>
        <w:continuationSeparator/>
      </w:r>
    </w:p>
  </w:footnote>
  <w:footnote w:id="1">
    <w:p w14:paraId="38060E15" w14:textId="77777777" w:rsidR="000A2FD5" w:rsidRDefault="00BD2EBF">
      <w:pPr>
        <w:pBdr>
          <w:top w:val="nil"/>
          <w:left w:val="nil"/>
          <w:bottom w:val="nil"/>
          <w:right w:val="nil"/>
          <w:between w:val="nil"/>
        </w:pBdr>
        <w:rPr>
          <w:rFonts w:ascii="Cambria" w:eastAsia="Cambria" w:hAnsi="Cambria" w:cs="Cambria"/>
          <w:color w:val="000000"/>
          <w:sz w:val="20"/>
          <w:szCs w:val="20"/>
        </w:rPr>
      </w:pPr>
      <w:r>
        <w:rPr>
          <w:vertAlign w:val="superscript"/>
        </w:rPr>
        <w:footnoteRef/>
      </w:r>
      <w:r>
        <w:rPr>
          <w:rFonts w:ascii="Cambria" w:eastAsia="Cambria" w:hAnsi="Cambria" w:cs="Cambria"/>
          <w:color w:val="000000"/>
          <w:sz w:val="20"/>
          <w:szCs w:val="20"/>
        </w:rPr>
        <w:t xml:space="preserve"> </w:t>
      </w:r>
      <w:r>
        <w:rPr>
          <w:rFonts w:ascii="Palatino Linotype" w:eastAsia="Palatino Linotype" w:hAnsi="Palatino Linotype" w:cs="Palatino Linotype"/>
          <w:color w:val="000000"/>
          <w:sz w:val="16"/>
          <w:szCs w:val="16"/>
        </w:rPr>
        <w:t>Artículo 92. Los sujetos obligados deberán poner a disposición del público de manera permanente y actualizada de forma sencilla, precisa y entendible, en los respectivos medios electrónicos, de acuerdo con sus facultades, atribuciones, funciones u objeto social, según corresponda, la información, por lo menos, de los temas, documentos y políticas que a continuación se señalan:</w:t>
      </w:r>
      <w:r>
        <w:rPr>
          <w:rFonts w:ascii="Cambria" w:eastAsia="Cambria" w:hAnsi="Cambria" w:cs="Cambria"/>
          <w:color w:val="000000"/>
          <w:sz w:val="20"/>
          <w:szCs w:val="20"/>
        </w:rPr>
        <w:t xml:space="preserve"> (…)</w:t>
      </w:r>
    </w:p>
  </w:footnote>
  <w:footnote w:id="2">
    <w:p w14:paraId="5B570BE0" w14:textId="77777777" w:rsidR="000A2FD5" w:rsidRDefault="00BD2EBF">
      <w:pPr>
        <w:pBdr>
          <w:top w:val="nil"/>
          <w:left w:val="nil"/>
          <w:bottom w:val="nil"/>
          <w:right w:val="nil"/>
          <w:between w:val="nil"/>
        </w:pBdr>
        <w:jc w:val="both"/>
        <w:rPr>
          <w:rFonts w:ascii="Palatino Linotype" w:eastAsia="Palatino Linotype" w:hAnsi="Palatino Linotype" w:cs="Palatino Linotype"/>
          <w:color w:val="000000"/>
          <w:sz w:val="16"/>
          <w:szCs w:val="16"/>
        </w:rPr>
      </w:pPr>
      <w:r>
        <w:rPr>
          <w:vertAlign w:val="superscript"/>
        </w:rPr>
        <w:footnoteRef/>
      </w:r>
      <w:r>
        <w:rPr>
          <w:rFonts w:ascii="Palatino Linotype" w:eastAsia="Palatino Linotype" w:hAnsi="Palatino Linotype" w:cs="Palatino Linotype"/>
          <w:color w:val="000000"/>
          <w:sz w:val="19"/>
          <w:szCs w:val="19"/>
        </w:rPr>
        <w:t xml:space="preserve"> </w:t>
      </w:r>
      <w:r>
        <w:rPr>
          <w:rFonts w:ascii="Palatino Linotype" w:eastAsia="Palatino Linotype" w:hAnsi="Palatino Linotype" w:cs="Palatino Linotype"/>
          <w:color w:val="000000"/>
          <w:sz w:val="16"/>
          <w:szCs w:val="16"/>
        </w:rPr>
        <w:t>“Artículo 3. Para los efectos de la presente Ley se entenderá por: (…) XXII. Información de interés público: Se refiere a la información que resulta relevante o beneficiosa para la sociedad y no simplemente de interés individual, cuya divulgación resulta útil para que el público comprenda las actividades que llevan a cabo los sujetos obligados…”</w:t>
      </w:r>
    </w:p>
  </w:footnote>
  <w:footnote w:id="3">
    <w:p w14:paraId="356F7ED2" w14:textId="77777777" w:rsidR="000A2FD5" w:rsidRDefault="00BD2EBF">
      <w:pPr>
        <w:ind w:left="720" w:hanging="720"/>
        <w:jc w:val="both"/>
        <w:rPr>
          <w:rFonts w:ascii="Palatino Linotype" w:eastAsia="Palatino Linotype" w:hAnsi="Palatino Linotype" w:cs="Palatino Linotype"/>
          <w:color w:val="000000"/>
          <w:sz w:val="16"/>
          <w:szCs w:val="16"/>
        </w:rPr>
      </w:pPr>
      <w:r>
        <w:rPr>
          <w:vertAlign w:val="superscript"/>
        </w:rPr>
        <w:footnoteRef/>
      </w:r>
      <w:r>
        <w:rPr>
          <w:rFonts w:ascii="Palatino Linotype" w:eastAsia="Palatino Linotype" w:hAnsi="Palatino Linotype" w:cs="Palatino Linotype"/>
          <w:color w:val="000000"/>
          <w:sz w:val="16"/>
          <w:szCs w:val="16"/>
        </w:rPr>
        <w:t xml:space="preserve"> “</w:t>
      </w:r>
      <w:r>
        <w:rPr>
          <w:rFonts w:ascii="Palatino Linotype" w:eastAsia="Palatino Linotype" w:hAnsi="Palatino Linotype" w:cs="Palatino Linotype"/>
          <w:b/>
          <w:color w:val="000000"/>
          <w:sz w:val="16"/>
          <w:szCs w:val="16"/>
        </w:rPr>
        <w:t>Artículo 185.</w:t>
      </w:r>
      <w:r>
        <w:rPr>
          <w:rFonts w:ascii="Palatino Linotype" w:eastAsia="Palatino Linotype" w:hAnsi="Palatino Linotype" w:cs="Palatino Linotype"/>
          <w:color w:val="000000"/>
          <w:sz w:val="16"/>
          <w:szCs w:val="16"/>
        </w:rPr>
        <w:t xml:space="preserve"> El Instituto resolverá el recurso de revisión conforme a lo siguiente: (…)</w:t>
      </w:r>
    </w:p>
    <w:p w14:paraId="11610E17" w14:textId="77777777" w:rsidR="000A2FD5" w:rsidRDefault="00BD2EBF">
      <w:pPr>
        <w:jc w:val="both"/>
        <w:rPr>
          <w:rFonts w:ascii="Palatino Linotype" w:eastAsia="Palatino Linotype" w:hAnsi="Palatino Linotype" w:cs="Palatino Linotype"/>
          <w:color w:val="000000"/>
          <w:sz w:val="16"/>
          <w:szCs w:val="16"/>
        </w:rPr>
      </w:pPr>
      <w:r>
        <w:rPr>
          <w:rFonts w:ascii="Palatino Linotype" w:eastAsia="Palatino Linotype" w:hAnsi="Palatino Linotype" w:cs="Palatino Linotype"/>
          <w:color w:val="000000"/>
          <w:sz w:val="16"/>
          <w:szCs w:val="16"/>
        </w:rPr>
        <w:t>II. Admitido el recurso de revisión, la o el Comisionado ponente deberá integrar un expediente y ponerlo a disposición de las partes, para que, en un plazo máximo de siete días hábiles, manifiesten lo que a su derecho convenga;”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976D83" w14:textId="77777777" w:rsidR="000A2FD5" w:rsidRDefault="00BD2EBF">
    <w:pPr>
      <w:rPr>
        <w:rFonts w:ascii="Cambria" w:eastAsia="Cambria" w:hAnsi="Cambria" w:cs="Cambria"/>
        <w:color w:val="000000"/>
      </w:rPr>
    </w:pPr>
    <w:r>
      <w:rPr>
        <w:noProof/>
      </w:rPr>
      <w:drawing>
        <wp:anchor distT="0" distB="0" distL="0" distR="0" simplePos="0" relativeHeight="251658240" behindDoc="1" locked="0" layoutInCell="1" hidden="0" allowOverlap="1" wp14:anchorId="36557EFB" wp14:editId="08F52BCB">
          <wp:simplePos x="0" y="0"/>
          <wp:positionH relativeFrom="column">
            <wp:posOffset>-1080109</wp:posOffset>
          </wp:positionH>
          <wp:positionV relativeFrom="paragraph">
            <wp:posOffset>-488284</wp:posOffset>
          </wp:positionV>
          <wp:extent cx="7809865" cy="10165715"/>
          <wp:effectExtent l="0" t="0" r="0" b="0"/>
          <wp:wrapNone/>
          <wp:docPr id="3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809865" cy="10165715"/>
                  </a:xfrm>
                  <a:prstGeom prst="rect">
                    <a:avLst/>
                  </a:prstGeom>
                  <a:ln/>
                </pic:spPr>
              </pic:pic>
            </a:graphicData>
          </a:graphic>
        </wp:anchor>
      </w:drawing>
    </w:r>
  </w:p>
  <w:tbl>
    <w:tblPr>
      <w:tblStyle w:val="a"/>
      <w:tblW w:w="7087" w:type="dxa"/>
      <w:tblInd w:w="3261" w:type="dxa"/>
      <w:tblLayout w:type="fixed"/>
      <w:tblLook w:val="0400" w:firstRow="0" w:lastRow="0" w:firstColumn="0" w:lastColumn="0" w:noHBand="0" w:noVBand="1"/>
    </w:tblPr>
    <w:tblGrid>
      <w:gridCol w:w="2489"/>
      <w:gridCol w:w="4598"/>
    </w:tblGrid>
    <w:tr w:rsidR="000A2FD5" w14:paraId="615CC078" w14:textId="77777777">
      <w:tc>
        <w:tcPr>
          <w:tcW w:w="2489" w:type="dxa"/>
          <w:shd w:val="clear" w:color="auto" w:fill="auto"/>
        </w:tcPr>
        <w:p w14:paraId="53510B5D" w14:textId="77777777" w:rsidR="000A2FD5" w:rsidRDefault="00BD2EBF">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4598" w:type="dxa"/>
          <w:shd w:val="clear" w:color="auto" w:fill="auto"/>
          <w:vAlign w:val="center"/>
        </w:tcPr>
        <w:p w14:paraId="672DC147" w14:textId="77777777" w:rsidR="000A2FD5" w:rsidRDefault="00BD2EBF">
          <w:pPr>
            <w:ind w:right="17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07454/INFOEM/IP/RR/2024</w:t>
          </w:r>
        </w:p>
      </w:tc>
    </w:tr>
    <w:tr w:rsidR="000A2FD5" w14:paraId="22DB072A" w14:textId="77777777">
      <w:trPr>
        <w:trHeight w:val="228"/>
      </w:trPr>
      <w:tc>
        <w:tcPr>
          <w:tcW w:w="2489" w:type="dxa"/>
          <w:shd w:val="clear" w:color="auto" w:fill="auto"/>
          <w:vAlign w:val="center"/>
        </w:tcPr>
        <w:p w14:paraId="3E50A937" w14:textId="77777777" w:rsidR="000A2FD5" w:rsidRDefault="00BD2EBF">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4598" w:type="dxa"/>
          <w:shd w:val="clear" w:color="auto" w:fill="auto"/>
          <w:vAlign w:val="center"/>
        </w:tcPr>
        <w:p w14:paraId="377872DB" w14:textId="77777777" w:rsidR="000A2FD5" w:rsidRDefault="00BD2EBF">
          <w:pPr>
            <w:ind w:left="-45" w:right="1586"/>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Instituto de la Función Registral del Estado de México</w:t>
          </w:r>
        </w:p>
      </w:tc>
    </w:tr>
    <w:tr w:rsidR="000A2FD5" w14:paraId="259AD012" w14:textId="77777777">
      <w:tc>
        <w:tcPr>
          <w:tcW w:w="2489" w:type="dxa"/>
          <w:shd w:val="clear" w:color="auto" w:fill="auto"/>
          <w:vAlign w:val="center"/>
        </w:tcPr>
        <w:p w14:paraId="47AE944C" w14:textId="77777777" w:rsidR="000A2FD5" w:rsidRDefault="00BD2EBF">
          <w:pPr>
            <w:ind w:right="-108"/>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4598" w:type="dxa"/>
          <w:shd w:val="clear" w:color="auto" w:fill="auto"/>
          <w:vAlign w:val="center"/>
        </w:tcPr>
        <w:p w14:paraId="0F7C10BD" w14:textId="77777777" w:rsidR="000A2FD5" w:rsidRDefault="00BD2EBF">
          <w:pPr>
            <w:ind w:right="17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Guadalupe Ramírez Peña</w:t>
          </w:r>
        </w:p>
      </w:tc>
    </w:tr>
  </w:tbl>
  <w:p w14:paraId="3F2CF8DD" w14:textId="77777777" w:rsidR="000A2FD5" w:rsidRDefault="00BD2EBF">
    <w:pPr>
      <w:rPr>
        <w:rFonts w:ascii="Cambria" w:eastAsia="Cambria" w:hAnsi="Cambria" w:cs="Cambria"/>
        <w:color w:val="000000"/>
      </w:rPr>
    </w:pPr>
    <w:r>
      <w:rPr>
        <w:rFonts w:ascii="Cambria" w:eastAsia="Cambria" w:hAnsi="Cambria" w:cs="Cambria"/>
        <w:color w:val="000000"/>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C9527" w14:textId="77777777" w:rsidR="000A2FD5" w:rsidRDefault="00BD2EBF">
    <w:pPr>
      <w:widowControl w:val="0"/>
      <w:pBdr>
        <w:top w:val="nil"/>
        <w:left w:val="nil"/>
        <w:bottom w:val="nil"/>
        <w:right w:val="nil"/>
        <w:between w:val="nil"/>
      </w:pBdr>
      <w:spacing w:line="276" w:lineRule="auto"/>
      <w:rPr>
        <w:rFonts w:ascii="Palatino Linotype" w:eastAsia="Palatino Linotype" w:hAnsi="Palatino Linotype" w:cs="Palatino Linotype"/>
        <w:color w:val="000000"/>
        <w:sz w:val="16"/>
        <w:szCs w:val="16"/>
      </w:rPr>
    </w:pPr>
    <w:r>
      <w:rPr>
        <w:noProof/>
      </w:rPr>
      <w:drawing>
        <wp:anchor distT="0" distB="0" distL="0" distR="0" simplePos="0" relativeHeight="251659264" behindDoc="1" locked="0" layoutInCell="1" hidden="0" allowOverlap="1" wp14:anchorId="409DBE99" wp14:editId="7EA5C1BB">
          <wp:simplePos x="0" y="0"/>
          <wp:positionH relativeFrom="column">
            <wp:posOffset>-1079487</wp:posOffset>
          </wp:positionH>
          <wp:positionV relativeFrom="paragraph">
            <wp:posOffset>-328916</wp:posOffset>
          </wp:positionV>
          <wp:extent cx="7809865" cy="10165715"/>
          <wp:effectExtent l="0" t="0" r="0" b="0"/>
          <wp:wrapNone/>
          <wp:docPr id="3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809865" cy="10165715"/>
                  </a:xfrm>
                  <a:prstGeom prst="rect">
                    <a:avLst/>
                  </a:prstGeom>
                  <a:ln/>
                </pic:spPr>
              </pic:pic>
            </a:graphicData>
          </a:graphic>
        </wp:anchor>
      </w:drawing>
    </w:r>
  </w:p>
  <w:tbl>
    <w:tblPr>
      <w:tblStyle w:val="a0"/>
      <w:tblW w:w="6945" w:type="dxa"/>
      <w:tblInd w:w="3261" w:type="dxa"/>
      <w:tblLayout w:type="fixed"/>
      <w:tblLook w:val="0400" w:firstRow="0" w:lastRow="0" w:firstColumn="0" w:lastColumn="0" w:noHBand="0" w:noVBand="1"/>
    </w:tblPr>
    <w:tblGrid>
      <w:gridCol w:w="2551"/>
      <w:gridCol w:w="4394"/>
    </w:tblGrid>
    <w:tr w:rsidR="000A2FD5" w14:paraId="3A12F942" w14:textId="77777777">
      <w:tc>
        <w:tcPr>
          <w:tcW w:w="2551" w:type="dxa"/>
          <w:shd w:val="clear" w:color="auto" w:fill="auto"/>
          <w:vAlign w:val="center"/>
        </w:tcPr>
        <w:p w14:paraId="2442D482" w14:textId="77777777" w:rsidR="000A2FD5" w:rsidRDefault="00BD2EBF">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4394" w:type="dxa"/>
          <w:shd w:val="clear" w:color="auto" w:fill="auto"/>
          <w:vAlign w:val="center"/>
        </w:tcPr>
        <w:p w14:paraId="32DF42D0" w14:textId="77777777" w:rsidR="000A2FD5" w:rsidRDefault="00BD2EBF">
          <w:pPr>
            <w:tabs>
              <w:tab w:val="left" w:pos="3153"/>
            </w:tabs>
            <w:ind w:left="-4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07454/INFOEM/IP/RR/2024</w:t>
          </w:r>
        </w:p>
      </w:tc>
    </w:tr>
    <w:tr w:rsidR="000A2FD5" w14:paraId="1787FFFD" w14:textId="77777777">
      <w:trPr>
        <w:trHeight w:val="130"/>
      </w:trPr>
      <w:tc>
        <w:tcPr>
          <w:tcW w:w="2551" w:type="dxa"/>
          <w:shd w:val="clear" w:color="auto" w:fill="auto"/>
          <w:vAlign w:val="center"/>
        </w:tcPr>
        <w:p w14:paraId="04F12EB3" w14:textId="77777777" w:rsidR="000A2FD5" w:rsidRDefault="00BD2EBF">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Recurrente:</w:t>
          </w:r>
        </w:p>
      </w:tc>
      <w:tc>
        <w:tcPr>
          <w:tcW w:w="4394" w:type="dxa"/>
          <w:shd w:val="clear" w:color="auto" w:fill="auto"/>
          <w:vAlign w:val="center"/>
        </w:tcPr>
        <w:p w14:paraId="339934B6" w14:textId="3E245223" w:rsidR="000A2FD5" w:rsidRDefault="00AC7B0A">
          <w:pPr>
            <w:ind w:left="-45" w:right="1444"/>
            <w:jc w:val="both"/>
            <w:rPr>
              <w:rFonts w:ascii="Palatino Linotype" w:eastAsia="Palatino Linotype" w:hAnsi="Palatino Linotype" w:cs="Palatino Linotype"/>
              <w:b/>
              <w:sz w:val="22"/>
              <w:szCs w:val="22"/>
            </w:rPr>
          </w:pPr>
          <w:bookmarkStart w:id="15" w:name="_Hlk188440178"/>
          <w:r>
            <w:rPr>
              <w:rFonts w:ascii="Palatino Linotype" w:eastAsia="Palatino Linotype" w:hAnsi="Palatino Linotype" w:cs="Palatino Linotype"/>
              <w:b/>
              <w:sz w:val="22"/>
              <w:szCs w:val="22"/>
            </w:rPr>
            <w:t>XXXXXX XXXXXXXX XXXXXX</w:t>
          </w:r>
          <w:bookmarkEnd w:id="15"/>
          <w:r>
            <w:rPr>
              <w:rFonts w:ascii="Palatino Linotype" w:eastAsia="Palatino Linotype" w:hAnsi="Palatino Linotype" w:cs="Palatino Linotype"/>
              <w:b/>
              <w:sz w:val="22"/>
              <w:szCs w:val="22"/>
            </w:rPr>
            <w:t xml:space="preserve"> </w:t>
          </w:r>
        </w:p>
      </w:tc>
    </w:tr>
    <w:tr w:rsidR="000A2FD5" w14:paraId="1F0F1CA4" w14:textId="77777777">
      <w:trPr>
        <w:trHeight w:val="228"/>
      </w:trPr>
      <w:tc>
        <w:tcPr>
          <w:tcW w:w="2551" w:type="dxa"/>
          <w:shd w:val="clear" w:color="auto" w:fill="auto"/>
          <w:vAlign w:val="center"/>
        </w:tcPr>
        <w:p w14:paraId="57744687" w14:textId="77777777" w:rsidR="000A2FD5" w:rsidRDefault="00BD2EBF">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4394" w:type="dxa"/>
          <w:shd w:val="clear" w:color="auto" w:fill="auto"/>
          <w:vAlign w:val="center"/>
        </w:tcPr>
        <w:p w14:paraId="22C29D09" w14:textId="77777777" w:rsidR="000A2FD5" w:rsidRDefault="00BD2EBF">
          <w:pPr>
            <w:ind w:left="-45" w:right="1586"/>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Instituto de la Función Registral del Estado de México</w:t>
          </w:r>
        </w:p>
      </w:tc>
    </w:tr>
    <w:tr w:rsidR="000A2FD5" w14:paraId="4A4FB2FC" w14:textId="77777777">
      <w:tc>
        <w:tcPr>
          <w:tcW w:w="2551" w:type="dxa"/>
          <w:shd w:val="clear" w:color="auto" w:fill="auto"/>
          <w:vAlign w:val="center"/>
        </w:tcPr>
        <w:p w14:paraId="21CA862A" w14:textId="77777777" w:rsidR="000A2FD5" w:rsidRDefault="00BD2EBF">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4394" w:type="dxa"/>
          <w:shd w:val="clear" w:color="auto" w:fill="auto"/>
          <w:vAlign w:val="center"/>
        </w:tcPr>
        <w:p w14:paraId="7189B0C7" w14:textId="77777777" w:rsidR="000A2FD5" w:rsidRDefault="00BD2EBF">
          <w:pPr>
            <w:ind w:left="-45" w:right="-533"/>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Guadalupe Ramírez Peña</w:t>
          </w:r>
        </w:p>
      </w:tc>
    </w:tr>
  </w:tbl>
  <w:p w14:paraId="6E924E94" w14:textId="77777777" w:rsidR="000A2FD5" w:rsidRDefault="000A2FD5">
    <w:pPr>
      <w:pBdr>
        <w:top w:val="nil"/>
        <w:left w:val="nil"/>
        <w:bottom w:val="nil"/>
        <w:right w:val="nil"/>
        <w:between w:val="nil"/>
      </w:pBdr>
      <w:tabs>
        <w:tab w:val="center" w:pos="4252"/>
        <w:tab w:val="right" w:pos="8504"/>
      </w:tabs>
      <w:rPr>
        <w:rFonts w:ascii="Cambria" w:eastAsia="Cambria" w:hAnsi="Cambria" w:cs="Cambria"/>
        <w:color w:val="000000"/>
      </w:rPr>
    </w:pPr>
  </w:p>
  <w:p w14:paraId="7DDD6638" w14:textId="77777777" w:rsidR="000A2FD5" w:rsidRDefault="000A2FD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845560"/>
    <w:multiLevelType w:val="multilevel"/>
    <w:tmpl w:val="F99C74B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 w15:restartNumberingAfterBreak="0">
    <w:nsid w:val="1CB62763"/>
    <w:multiLevelType w:val="multilevel"/>
    <w:tmpl w:val="79E4B5E0"/>
    <w:lvl w:ilvl="0">
      <w:start w:val="1"/>
      <w:numFmt w:val="decimal"/>
      <w:pStyle w:val="Listaconvietas2"/>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25F97540"/>
    <w:multiLevelType w:val="multilevel"/>
    <w:tmpl w:val="F2AE93C4"/>
    <w:lvl w:ilvl="0">
      <w:start w:val="2"/>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 w15:restartNumberingAfterBreak="0">
    <w:nsid w:val="264A1FE0"/>
    <w:multiLevelType w:val="multilevel"/>
    <w:tmpl w:val="25102F08"/>
    <w:lvl w:ilvl="0">
      <w:start w:val="1"/>
      <w:numFmt w:val="decimal"/>
      <w:lvlText w:val="%1."/>
      <w:lvlJc w:val="left"/>
      <w:pPr>
        <w:ind w:left="360" w:hanging="360"/>
      </w:p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 w15:restartNumberingAfterBreak="0">
    <w:nsid w:val="498F46E4"/>
    <w:multiLevelType w:val="multilevel"/>
    <w:tmpl w:val="98FA56D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 w15:restartNumberingAfterBreak="0">
    <w:nsid w:val="5A22046D"/>
    <w:multiLevelType w:val="multilevel"/>
    <w:tmpl w:val="E03AD668"/>
    <w:lvl w:ilvl="0">
      <w:start w:val="1"/>
      <w:numFmt w:val="bullet"/>
      <w:lvlText w:val="●"/>
      <w:lvlJc w:val="left"/>
      <w:pPr>
        <w:ind w:left="360" w:hanging="360"/>
      </w:pPr>
      <w:rPr>
        <w:rFonts w:ascii="Noto Sans Symbols" w:eastAsia="Noto Sans Symbols" w:hAnsi="Noto Sans Symbols" w:cs="Noto Sans Symbols"/>
        <w:sz w:val="20"/>
        <w:szCs w:val="20"/>
      </w:rPr>
    </w:lvl>
    <w:lvl w:ilvl="1">
      <w:start w:val="1"/>
      <w:numFmt w:val="bullet"/>
      <w:lvlText w:val="o"/>
      <w:lvlJc w:val="left"/>
      <w:pPr>
        <w:ind w:left="1080" w:hanging="360"/>
      </w:pPr>
      <w:rPr>
        <w:rFonts w:ascii="Courier New" w:eastAsia="Courier New" w:hAnsi="Courier New" w:cs="Courier New"/>
        <w:sz w:val="20"/>
        <w:szCs w:val="20"/>
      </w:rPr>
    </w:lvl>
    <w:lvl w:ilvl="2">
      <w:start w:val="1"/>
      <w:numFmt w:val="bullet"/>
      <w:lvlText w:val="▪"/>
      <w:lvlJc w:val="left"/>
      <w:pPr>
        <w:ind w:left="1800" w:hanging="360"/>
      </w:pPr>
      <w:rPr>
        <w:rFonts w:ascii="Noto Sans Symbols" w:eastAsia="Noto Sans Symbols" w:hAnsi="Noto Sans Symbols" w:cs="Noto Sans Symbols"/>
        <w:sz w:val="20"/>
        <w:szCs w:val="20"/>
      </w:rPr>
    </w:lvl>
    <w:lvl w:ilvl="3">
      <w:start w:val="1"/>
      <w:numFmt w:val="bullet"/>
      <w:lvlText w:val="▪"/>
      <w:lvlJc w:val="left"/>
      <w:pPr>
        <w:ind w:left="2520" w:hanging="360"/>
      </w:pPr>
      <w:rPr>
        <w:rFonts w:ascii="Noto Sans Symbols" w:eastAsia="Noto Sans Symbols" w:hAnsi="Noto Sans Symbols" w:cs="Noto Sans Symbols"/>
        <w:sz w:val="20"/>
        <w:szCs w:val="20"/>
      </w:rPr>
    </w:lvl>
    <w:lvl w:ilvl="4">
      <w:start w:val="1"/>
      <w:numFmt w:val="bullet"/>
      <w:lvlText w:val="▪"/>
      <w:lvlJc w:val="left"/>
      <w:pPr>
        <w:ind w:left="3240" w:hanging="360"/>
      </w:pPr>
      <w:rPr>
        <w:rFonts w:ascii="Noto Sans Symbols" w:eastAsia="Noto Sans Symbols" w:hAnsi="Noto Sans Symbols" w:cs="Noto Sans Symbols"/>
        <w:sz w:val="20"/>
        <w:szCs w:val="20"/>
      </w:rPr>
    </w:lvl>
    <w:lvl w:ilvl="5">
      <w:start w:val="1"/>
      <w:numFmt w:val="bullet"/>
      <w:lvlText w:val="▪"/>
      <w:lvlJc w:val="left"/>
      <w:pPr>
        <w:ind w:left="3960" w:hanging="360"/>
      </w:pPr>
      <w:rPr>
        <w:rFonts w:ascii="Noto Sans Symbols" w:eastAsia="Noto Sans Symbols" w:hAnsi="Noto Sans Symbols" w:cs="Noto Sans Symbols"/>
        <w:sz w:val="20"/>
        <w:szCs w:val="20"/>
      </w:rPr>
    </w:lvl>
    <w:lvl w:ilvl="6">
      <w:start w:val="1"/>
      <w:numFmt w:val="bullet"/>
      <w:lvlText w:val="▪"/>
      <w:lvlJc w:val="left"/>
      <w:pPr>
        <w:ind w:left="4680" w:hanging="360"/>
      </w:pPr>
      <w:rPr>
        <w:rFonts w:ascii="Noto Sans Symbols" w:eastAsia="Noto Sans Symbols" w:hAnsi="Noto Sans Symbols" w:cs="Noto Sans Symbols"/>
        <w:sz w:val="20"/>
        <w:szCs w:val="20"/>
      </w:rPr>
    </w:lvl>
    <w:lvl w:ilvl="7">
      <w:start w:val="1"/>
      <w:numFmt w:val="bullet"/>
      <w:lvlText w:val="▪"/>
      <w:lvlJc w:val="left"/>
      <w:pPr>
        <w:ind w:left="5400" w:hanging="360"/>
      </w:pPr>
      <w:rPr>
        <w:rFonts w:ascii="Noto Sans Symbols" w:eastAsia="Noto Sans Symbols" w:hAnsi="Noto Sans Symbols" w:cs="Noto Sans Symbols"/>
        <w:sz w:val="20"/>
        <w:szCs w:val="20"/>
      </w:rPr>
    </w:lvl>
    <w:lvl w:ilvl="8">
      <w:start w:val="1"/>
      <w:numFmt w:val="bullet"/>
      <w:lvlText w:val="▪"/>
      <w:lvlJc w:val="left"/>
      <w:pPr>
        <w:ind w:left="6120" w:hanging="360"/>
      </w:pPr>
      <w:rPr>
        <w:rFonts w:ascii="Noto Sans Symbols" w:eastAsia="Noto Sans Symbols" w:hAnsi="Noto Sans Symbols" w:cs="Noto Sans Symbols"/>
        <w:sz w:val="20"/>
        <w:szCs w:val="20"/>
      </w:rPr>
    </w:lvl>
  </w:abstractNum>
  <w:abstractNum w:abstractNumId="6" w15:restartNumberingAfterBreak="0">
    <w:nsid w:val="5EC31C10"/>
    <w:multiLevelType w:val="multilevel"/>
    <w:tmpl w:val="A6349C80"/>
    <w:lvl w:ilvl="0">
      <w:start w:val="1"/>
      <w:numFmt w:val="bullet"/>
      <w:pStyle w:val="Listaconvietas3"/>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 w15:restartNumberingAfterBreak="0">
    <w:nsid w:val="607355A9"/>
    <w:multiLevelType w:val="multilevel"/>
    <w:tmpl w:val="F238FDD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8" w15:restartNumberingAfterBreak="0">
    <w:nsid w:val="710D5217"/>
    <w:multiLevelType w:val="multilevel"/>
    <w:tmpl w:val="E65E20B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abstractNumId w:val="5"/>
  </w:num>
  <w:num w:numId="2">
    <w:abstractNumId w:val="7"/>
  </w:num>
  <w:num w:numId="3">
    <w:abstractNumId w:val="2"/>
  </w:num>
  <w:num w:numId="4">
    <w:abstractNumId w:val="0"/>
  </w:num>
  <w:num w:numId="5">
    <w:abstractNumId w:val="3"/>
  </w:num>
  <w:num w:numId="6">
    <w:abstractNumId w:val="6"/>
  </w:num>
  <w:num w:numId="7">
    <w:abstractNumId w:val="8"/>
  </w:num>
  <w:num w:numId="8">
    <w:abstractNumId w:val="4"/>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2FD5"/>
    <w:rsid w:val="000A2FD5"/>
    <w:rsid w:val="00271FF4"/>
    <w:rsid w:val="00AC7B0A"/>
    <w:rsid w:val="00BD2EB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319EC6"/>
  <w15:docId w15:val="{082BEBDA-920E-447F-ACB4-F17855CCD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5936"/>
  </w:style>
  <w:style w:type="paragraph" w:styleId="Ttulo1">
    <w:name w:val="heading 1"/>
    <w:basedOn w:val="Normal"/>
    <w:next w:val="Normal"/>
    <w:uiPriority w:val="9"/>
    <w:qFormat/>
    <w:pPr>
      <w:keepNext/>
      <w:keepLines/>
      <w:spacing w:before="240"/>
      <w:outlineLvl w:val="0"/>
    </w:pPr>
    <w:rPr>
      <w:rFonts w:ascii="Calibri" w:eastAsia="Calibri" w:hAnsi="Calibri" w:cs="Calibri"/>
      <w:color w:val="366091"/>
      <w:sz w:val="32"/>
      <w:szCs w:val="32"/>
      <w:lang w:val="es-ES"/>
    </w:rPr>
  </w:style>
  <w:style w:type="paragraph" w:styleId="Ttulo2">
    <w:name w:val="heading 2"/>
    <w:basedOn w:val="Normal"/>
    <w:next w:val="Normal"/>
    <w:uiPriority w:val="9"/>
    <w:semiHidden/>
    <w:unhideWhenUsed/>
    <w:qFormat/>
    <w:pPr>
      <w:keepNext/>
      <w:keepLines/>
      <w:spacing w:before="40"/>
      <w:outlineLvl w:val="1"/>
    </w:pPr>
    <w:rPr>
      <w:rFonts w:ascii="Calibri" w:eastAsia="Calibri" w:hAnsi="Calibri" w:cs="Calibri"/>
      <w:color w:val="366091"/>
      <w:sz w:val="26"/>
      <w:szCs w:val="26"/>
      <w:lang w:val="es-ES"/>
    </w:rPr>
  </w:style>
  <w:style w:type="paragraph" w:styleId="Ttulo3">
    <w:name w:val="heading 3"/>
    <w:basedOn w:val="Normal"/>
    <w:next w:val="Normal"/>
    <w:uiPriority w:val="9"/>
    <w:semiHidden/>
    <w:unhideWhenUsed/>
    <w:qFormat/>
    <w:pPr>
      <w:keepNext/>
      <w:spacing w:before="240" w:after="60"/>
      <w:ind w:left="2160" w:hanging="720"/>
      <w:outlineLvl w:val="2"/>
    </w:pPr>
    <w:rPr>
      <w:rFonts w:ascii="Calibri" w:eastAsia="Calibri" w:hAnsi="Calibri" w:cs="Calibri"/>
      <w:b/>
      <w:sz w:val="26"/>
      <w:szCs w:val="26"/>
      <w:lang w:val="es-ES"/>
    </w:rPr>
  </w:style>
  <w:style w:type="paragraph" w:styleId="Ttulo4">
    <w:name w:val="heading 4"/>
    <w:basedOn w:val="Normal"/>
    <w:next w:val="Normal"/>
    <w:uiPriority w:val="9"/>
    <w:semiHidden/>
    <w:unhideWhenUsed/>
    <w:qFormat/>
    <w:pPr>
      <w:keepNext/>
      <w:spacing w:before="240" w:after="60"/>
      <w:ind w:left="2880" w:hanging="720"/>
      <w:outlineLvl w:val="3"/>
    </w:pPr>
    <w:rPr>
      <w:rFonts w:ascii="Cambria" w:eastAsia="Cambria" w:hAnsi="Cambria" w:cs="Cambria"/>
      <w:b/>
      <w:sz w:val="28"/>
      <w:szCs w:val="28"/>
      <w:lang w:val="es-ES"/>
    </w:rPr>
  </w:style>
  <w:style w:type="paragraph" w:styleId="Ttulo5">
    <w:name w:val="heading 5"/>
    <w:basedOn w:val="Normal"/>
    <w:next w:val="Normal"/>
    <w:uiPriority w:val="9"/>
    <w:semiHidden/>
    <w:unhideWhenUsed/>
    <w:qFormat/>
    <w:pPr>
      <w:spacing w:before="240" w:after="60"/>
      <w:ind w:left="3600" w:hanging="720"/>
      <w:outlineLvl w:val="4"/>
    </w:pPr>
    <w:rPr>
      <w:rFonts w:ascii="Cambria" w:eastAsia="Cambria" w:hAnsi="Cambria" w:cs="Cambria"/>
      <w:b/>
      <w:i/>
      <w:sz w:val="26"/>
      <w:szCs w:val="26"/>
      <w:lang w:val="es-ES"/>
    </w:rPr>
  </w:style>
  <w:style w:type="paragraph" w:styleId="Ttulo6">
    <w:name w:val="heading 6"/>
    <w:basedOn w:val="Normal"/>
    <w:next w:val="Normal"/>
    <w:uiPriority w:val="9"/>
    <w:semiHidden/>
    <w:unhideWhenUsed/>
    <w:qFormat/>
    <w:pPr>
      <w:spacing w:before="240" w:after="60"/>
      <w:ind w:left="4320" w:hanging="720"/>
      <w:outlineLvl w:val="5"/>
    </w:pPr>
    <w:rPr>
      <w:b/>
      <w:sz w:val="22"/>
      <w:szCs w:val="22"/>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lang w:val="es-ES"/>
    </w:rPr>
  </w:style>
  <w:style w:type="table" w:customStyle="1" w:styleId="TableNormal0">
    <w:name w:val="Table Normal"/>
    <w:tblPr>
      <w:tblCellMar>
        <w:top w:w="0" w:type="dxa"/>
        <w:left w:w="0" w:type="dxa"/>
        <w:bottom w:w="0" w:type="dxa"/>
        <w:right w:w="0" w:type="dxa"/>
      </w:tblCellMar>
    </w:tblPr>
  </w:style>
  <w:style w:type="table" w:customStyle="1" w:styleId="TableNormal8">
    <w:name w:val="Table Normal8"/>
    <w:tblPr>
      <w:tblCellMar>
        <w:top w:w="0" w:type="dxa"/>
        <w:left w:w="0" w:type="dxa"/>
        <w:bottom w:w="0" w:type="dxa"/>
        <w:right w:w="0" w:type="dxa"/>
      </w:tblCellMar>
    </w:tblPr>
  </w:style>
  <w:style w:type="table" w:customStyle="1" w:styleId="TableNormal7">
    <w:name w:val="Table Normal7"/>
    <w:tblPr>
      <w:tblCellMar>
        <w:top w:w="0" w:type="dxa"/>
        <w:left w:w="0" w:type="dxa"/>
        <w:bottom w:w="0" w:type="dxa"/>
        <w:right w:w="0" w:type="dxa"/>
      </w:tblCellMar>
    </w:tblPr>
  </w:style>
  <w:style w:type="table" w:customStyle="1" w:styleId="TableNormal6">
    <w:name w:val="Table Normal6"/>
    <w:tblPr>
      <w:tblCellMar>
        <w:top w:w="0" w:type="dxa"/>
        <w:left w:w="0" w:type="dxa"/>
        <w:bottom w:w="0" w:type="dxa"/>
        <w:right w:w="0" w:type="dxa"/>
      </w:tblCellMar>
    </w:tblPr>
  </w:style>
  <w:style w:type="table" w:customStyle="1" w:styleId="TableNormal5">
    <w:name w:val="Table Normal5"/>
    <w:tblPr>
      <w:tblCellMar>
        <w:top w:w="0" w:type="dxa"/>
        <w:left w:w="0" w:type="dxa"/>
        <w:bottom w:w="0" w:type="dxa"/>
        <w:right w:w="0" w:type="dxa"/>
      </w:tblCellMar>
    </w:tblPr>
  </w:style>
  <w:style w:type="table" w:customStyle="1" w:styleId="TableNormal4">
    <w:name w:val="Table Normal4"/>
    <w:tblPr>
      <w:tblCellMar>
        <w:top w:w="0" w:type="dxa"/>
        <w:left w:w="0" w:type="dxa"/>
        <w:bottom w:w="0" w:type="dxa"/>
        <w:right w:w="0" w:type="dxa"/>
      </w:tblCellMar>
    </w:tblPr>
  </w:style>
  <w:style w:type="table" w:customStyle="1" w:styleId="TableNormal3">
    <w:name w:val="Table Normal3"/>
    <w:tblPr>
      <w:tblCellMar>
        <w:top w:w="0" w:type="dxa"/>
        <w:left w:w="0" w:type="dxa"/>
        <w:bottom w:w="0" w:type="dxa"/>
        <w:right w:w="0" w:type="dxa"/>
      </w:tblCellMar>
    </w:tblPr>
  </w:style>
  <w:style w:type="table" w:customStyle="1" w:styleId="TableNormal2">
    <w:name w:val="Table Normal2"/>
    <w:tblPr>
      <w:tblCellMar>
        <w:top w:w="0" w:type="dxa"/>
        <w:left w:w="0" w:type="dxa"/>
        <w:bottom w:w="0" w:type="dxa"/>
        <w:right w:w="0" w:type="dxa"/>
      </w:tblCellMar>
    </w:tblPr>
  </w:style>
  <w:style w:type="table" w:customStyle="1" w:styleId="TableNormal1">
    <w:name w:val="Table Normal1"/>
    <w:tblPr>
      <w:tblCellMar>
        <w:top w:w="0" w:type="dxa"/>
        <w:left w:w="0" w:type="dxa"/>
        <w:bottom w:w="0" w:type="dxa"/>
        <w:right w:w="0" w:type="dxa"/>
      </w:tblCellMar>
    </w:tbl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16">
    <w:name w:val="16"/>
    <w:basedOn w:val="TableNormal1"/>
    <w:tblPr>
      <w:tblStyleRowBandSize w:val="1"/>
      <w:tblStyleColBandSize w:val="1"/>
      <w:tblCellMar>
        <w:left w:w="115" w:type="dxa"/>
        <w:right w:w="115" w:type="dxa"/>
      </w:tblCellMar>
    </w:tblPr>
  </w:style>
  <w:style w:type="table" w:customStyle="1" w:styleId="15">
    <w:name w:val="15"/>
    <w:basedOn w:val="TableNormal1"/>
    <w:tblPr>
      <w:tblStyleRowBandSize w:val="1"/>
      <w:tblStyleColBandSize w:val="1"/>
      <w:tblCellMar>
        <w:left w:w="115" w:type="dxa"/>
        <w:right w:w="115" w:type="dxa"/>
      </w:tblCellMar>
    </w:tblPr>
  </w:style>
  <w:style w:type="paragraph" w:styleId="Encabezado">
    <w:name w:val="header"/>
    <w:basedOn w:val="Normal"/>
    <w:link w:val="EncabezadoCar"/>
    <w:uiPriority w:val="99"/>
    <w:unhideWhenUsed/>
    <w:rsid w:val="00FE2A5A"/>
    <w:pPr>
      <w:tabs>
        <w:tab w:val="center" w:pos="4419"/>
        <w:tab w:val="right" w:pos="8838"/>
      </w:tabs>
    </w:pPr>
    <w:rPr>
      <w:lang w:val="es-ES"/>
    </w:rPr>
  </w:style>
  <w:style w:type="character" w:customStyle="1" w:styleId="EncabezadoCar">
    <w:name w:val="Encabezado Car"/>
    <w:basedOn w:val="Fuentedeprrafopredeter"/>
    <w:link w:val="Encabezado"/>
    <w:uiPriority w:val="99"/>
    <w:rsid w:val="00FE2A5A"/>
  </w:style>
  <w:style w:type="paragraph" w:styleId="Piedepgina">
    <w:name w:val="footer"/>
    <w:basedOn w:val="Normal"/>
    <w:link w:val="PiedepginaCar"/>
    <w:uiPriority w:val="99"/>
    <w:unhideWhenUsed/>
    <w:rsid w:val="00FE2A5A"/>
    <w:pPr>
      <w:tabs>
        <w:tab w:val="center" w:pos="4419"/>
        <w:tab w:val="right" w:pos="8838"/>
      </w:tabs>
    </w:pPr>
    <w:rPr>
      <w:lang w:val="es-ES"/>
    </w:rPr>
  </w:style>
  <w:style w:type="character" w:customStyle="1" w:styleId="PiedepginaCar">
    <w:name w:val="Pie de página Car"/>
    <w:basedOn w:val="Fuentedeprrafopredeter"/>
    <w:link w:val="Piedepgina"/>
    <w:uiPriority w:val="99"/>
    <w:rsid w:val="00FE2A5A"/>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72"/>
    <w:qFormat/>
    <w:rsid w:val="00FE2A5A"/>
    <w:pPr>
      <w:ind w:left="720"/>
      <w:contextualSpacing/>
    </w:pPr>
    <w:rPr>
      <w:lang w:val="es-ES"/>
    </w:rPr>
  </w:style>
  <w:style w:type="table" w:styleId="Tablaconcuadrcula">
    <w:name w:val="Table Grid"/>
    <w:basedOn w:val="Tablanormal"/>
    <w:uiPriority w:val="39"/>
    <w:rsid w:val="005135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9012F5"/>
    <w:pPr>
      <w:spacing w:before="100" w:beforeAutospacing="1" w:after="100" w:afterAutospacing="1"/>
    </w:pPr>
    <w:rPr>
      <w:lang w:val="es-ES"/>
    </w:rPr>
  </w:style>
  <w:style w:type="table" w:customStyle="1" w:styleId="14">
    <w:name w:val="14"/>
    <w:basedOn w:val="TableNormal1"/>
    <w:tblPr>
      <w:tblStyleRowBandSize w:val="1"/>
      <w:tblStyleColBandSize w:val="1"/>
      <w:tblCellMar>
        <w:left w:w="115" w:type="dxa"/>
        <w:right w:w="115" w:type="dxa"/>
      </w:tblCellMar>
    </w:tblPr>
  </w:style>
  <w:style w:type="table" w:customStyle="1" w:styleId="13">
    <w:name w:val="13"/>
    <w:basedOn w:val="TableNormal1"/>
    <w:tblPr>
      <w:tblStyleRowBandSize w:val="1"/>
      <w:tblStyleColBandSize w:val="1"/>
      <w:tblCellMar>
        <w:left w:w="115" w:type="dxa"/>
        <w:right w:w="115" w:type="dxa"/>
      </w:tblCellMar>
    </w:tblPr>
  </w:style>
  <w:style w:type="character" w:customStyle="1" w:styleId="apple-tab-span">
    <w:name w:val="apple-tab-span"/>
    <w:basedOn w:val="Fuentedeprrafopredeter"/>
    <w:rsid w:val="00355FC9"/>
  </w:style>
  <w:style w:type="table" w:customStyle="1" w:styleId="12">
    <w:name w:val="12"/>
    <w:basedOn w:val="TableNormal2"/>
    <w:tblPr>
      <w:tblStyleRowBandSize w:val="1"/>
      <w:tblStyleColBandSize w:val="1"/>
      <w:tblCellMar>
        <w:left w:w="115" w:type="dxa"/>
        <w:right w:w="115" w:type="dxa"/>
      </w:tblCellMar>
    </w:tblPr>
  </w:style>
  <w:style w:type="table" w:customStyle="1" w:styleId="11">
    <w:name w:val="11"/>
    <w:basedOn w:val="TableNormal2"/>
    <w:tblPr>
      <w:tblStyleRowBandSize w:val="1"/>
      <w:tblStyleColBandSize w:val="1"/>
      <w:tblCellMar>
        <w:left w:w="115" w:type="dxa"/>
        <w:right w:w="115" w:type="dxa"/>
      </w:tblCellMar>
    </w:tblPr>
  </w:style>
  <w:style w:type="character" w:styleId="Hipervnculo">
    <w:name w:val="Hyperlink"/>
    <w:basedOn w:val="Fuentedeprrafopredeter"/>
    <w:uiPriority w:val="99"/>
    <w:unhideWhenUsed/>
    <w:rsid w:val="00043B73"/>
    <w:rPr>
      <w:color w:val="0000FF" w:themeColor="hyperlink"/>
      <w:u w:val="single"/>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F759CF"/>
    <w:rPr>
      <w:sz w:val="20"/>
      <w:szCs w:val="20"/>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qFormat/>
    <w:rsid w:val="00F759CF"/>
    <w:rPr>
      <w:sz w:val="20"/>
      <w:szCs w:val="20"/>
    </w:rPr>
  </w:style>
  <w:style w:type="character" w:styleId="Refdenotaalpie">
    <w:name w:val="footnote reference"/>
    <w:aliases w:val="Ref. de nota al pie 2,Footnotes refss,Texto de nota al pie,Appel note de bas de page,referencia nota al pie,BVI fnr,Footnote number,4_G,16 Point,Superscript 6 Point,Texto nota al pie,Footnote Reference Char3,Ref,de nota al pie,註腳內容,f"/>
    <w:basedOn w:val="Fuentedeprrafopredeter"/>
    <w:uiPriority w:val="99"/>
    <w:unhideWhenUsed/>
    <w:qFormat/>
    <w:rsid w:val="00F759CF"/>
    <w:rPr>
      <w:vertAlign w:val="superscript"/>
    </w:rPr>
  </w:style>
  <w:style w:type="table" w:customStyle="1" w:styleId="10">
    <w:name w:val="10"/>
    <w:basedOn w:val="TableNormal3"/>
    <w:tblPr>
      <w:tblStyleRowBandSize w:val="1"/>
      <w:tblStyleColBandSize w:val="1"/>
      <w:tblCellMar>
        <w:left w:w="115" w:type="dxa"/>
        <w:right w:w="115" w:type="dxa"/>
      </w:tblCellMar>
    </w:tblPr>
  </w:style>
  <w:style w:type="table" w:customStyle="1" w:styleId="9">
    <w:name w:val="9"/>
    <w:basedOn w:val="TableNormal3"/>
    <w:tblPr>
      <w:tblStyleRowBandSize w:val="1"/>
      <w:tblStyleColBandSize w:val="1"/>
      <w:tblCellMar>
        <w:left w:w="115" w:type="dxa"/>
        <w:right w:w="115" w:type="dxa"/>
      </w:tblCellMar>
    </w:tbl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72"/>
    <w:qFormat/>
    <w:locked/>
    <w:rsid w:val="00283BF5"/>
    <w:rPr>
      <w:lang w:val="es-ES"/>
    </w:rPr>
  </w:style>
  <w:style w:type="table" w:customStyle="1" w:styleId="8">
    <w:name w:val="8"/>
    <w:basedOn w:val="TableNormal4"/>
    <w:tblPr>
      <w:tblStyleRowBandSize w:val="1"/>
      <w:tblStyleColBandSize w:val="1"/>
      <w:tblCellMar>
        <w:left w:w="115" w:type="dxa"/>
        <w:right w:w="115" w:type="dxa"/>
      </w:tblCellMar>
    </w:tblPr>
  </w:style>
  <w:style w:type="table" w:customStyle="1" w:styleId="7">
    <w:name w:val="7"/>
    <w:basedOn w:val="TableNormal4"/>
    <w:tblPr>
      <w:tblStyleRowBandSize w:val="1"/>
      <w:tblStyleColBandSize w:val="1"/>
      <w:tblCellMar>
        <w:left w:w="115" w:type="dxa"/>
        <w:right w:w="115" w:type="dxa"/>
      </w:tblCellMar>
    </w:tblPr>
  </w:style>
  <w:style w:type="table" w:customStyle="1" w:styleId="6">
    <w:name w:val="6"/>
    <w:basedOn w:val="TableNormal5"/>
    <w:tblPr>
      <w:tblStyleRowBandSize w:val="1"/>
      <w:tblStyleColBandSize w:val="1"/>
      <w:tblCellMar>
        <w:left w:w="115" w:type="dxa"/>
        <w:right w:w="115" w:type="dxa"/>
      </w:tblCellMar>
    </w:tblPr>
  </w:style>
  <w:style w:type="table" w:customStyle="1" w:styleId="5">
    <w:name w:val="5"/>
    <w:basedOn w:val="TableNormal5"/>
    <w:tblPr>
      <w:tblStyleRowBandSize w:val="1"/>
      <w:tblStyleColBandSize w:val="1"/>
      <w:tblCellMar>
        <w:left w:w="115" w:type="dxa"/>
        <w:right w:w="115" w:type="dxa"/>
      </w:tblCellMar>
    </w:tblPr>
  </w:style>
  <w:style w:type="paragraph" w:styleId="Listaconvietas3">
    <w:name w:val="List Bullet 3"/>
    <w:basedOn w:val="Normal"/>
    <w:uiPriority w:val="99"/>
    <w:unhideWhenUsed/>
    <w:rsid w:val="0077142E"/>
    <w:pPr>
      <w:numPr>
        <w:numId w:val="6"/>
      </w:numPr>
      <w:contextualSpacing/>
    </w:pPr>
  </w:style>
  <w:style w:type="table" w:customStyle="1" w:styleId="4">
    <w:name w:val="4"/>
    <w:basedOn w:val="TableNormal6"/>
    <w:tblPr>
      <w:tblStyleRowBandSize w:val="1"/>
      <w:tblStyleColBandSize w:val="1"/>
      <w:tblCellMar>
        <w:left w:w="115" w:type="dxa"/>
        <w:right w:w="115" w:type="dxa"/>
      </w:tblCellMar>
    </w:tblPr>
  </w:style>
  <w:style w:type="table" w:customStyle="1" w:styleId="3">
    <w:name w:val="3"/>
    <w:basedOn w:val="TableNormal6"/>
    <w:tblPr>
      <w:tblStyleRowBandSize w:val="1"/>
      <w:tblStyleColBandSize w:val="1"/>
      <w:tblCellMar>
        <w:left w:w="115" w:type="dxa"/>
        <w:right w:w="115" w:type="dxa"/>
      </w:tblCellMar>
    </w:tblPr>
  </w:style>
  <w:style w:type="table" w:customStyle="1" w:styleId="2">
    <w:name w:val="2"/>
    <w:basedOn w:val="TableNormal7"/>
    <w:tblPr>
      <w:tblStyleRowBandSize w:val="1"/>
      <w:tblStyleColBandSize w:val="1"/>
      <w:tblCellMar>
        <w:left w:w="115" w:type="dxa"/>
        <w:right w:w="115" w:type="dxa"/>
      </w:tblCellMar>
    </w:tblPr>
  </w:style>
  <w:style w:type="table" w:customStyle="1" w:styleId="1">
    <w:name w:val="1"/>
    <w:basedOn w:val="TableNormal7"/>
    <w:tblPr>
      <w:tblStyleRowBandSize w:val="1"/>
      <w:tblStyleColBandSize w:val="1"/>
      <w:tblCellMar>
        <w:left w:w="115" w:type="dxa"/>
        <w:right w:w="115" w:type="dxa"/>
      </w:tblCellMar>
    </w:tblPr>
  </w:style>
  <w:style w:type="paragraph" w:styleId="Listaconvietas2">
    <w:name w:val="List Bullet 2"/>
    <w:basedOn w:val="Normal"/>
    <w:uiPriority w:val="99"/>
    <w:unhideWhenUsed/>
    <w:rsid w:val="00B910CA"/>
    <w:pPr>
      <w:numPr>
        <w:numId w:val="9"/>
      </w:numPr>
      <w:contextualSpacing/>
    </w:pPr>
  </w:style>
  <w:style w:type="paragraph" w:styleId="Textodeglobo">
    <w:name w:val="Balloon Text"/>
    <w:basedOn w:val="Normal"/>
    <w:link w:val="TextodegloboCar"/>
    <w:uiPriority w:val="99"/>
    <w:semiHidden/>
    <w:unhideWhenUsed/>
    <w:rsid w:val="003B3B2A"/>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3B3B2A"/>
    <w:rPr>
      <w:rFonts w:ascii="Segoe UI" w:hAnsi="Segoe UI" w:cs="Segoe UI"/>
      <w:sz w:val="18"/>
      <w:szCs w:val="18"/>
    </w:rPr>
  </w:style>
  <w:style w:type="character" w:styleId="Hipervnculovisitado">
    <w:name w:val="FollowedHyperlink"/>
    <w:basedOn w:val="Fuentedeprrafopredeter"/>
    <w:uiPriority w:val="99"/>
    <w:semiHidden/>
    <w:unhideWhenUsed/>
    <w:rsid w:val="00E9311B"/>
    <w:rPr>
      <w:color w:val="800080" w:themeColor="followedHyperlink"/>
      <w:u w:val="single"/>
    </w:rPr>
  </w:style>
  <w:style w:type="table" w:customStyle="1" w:styleId="18">
    <w:name w:val="18"/>
    <w:basedOn w:val="TableNormal8"/>
    <w:tblPr>
      <w:tblStyleRowBandSize w:val="1"/>
      <w:tblStyleColBandSize w:val="1"/>
      <w:tblCellMar>
        <w:left w:w="115" w:type="dxa"/>
        <w:right w:w="115" w:type="dxa"/>
      </w:tblCellMar>
    </w:tblPr>
  </w:style>
  <w:style w:type="table" w:customStyle="1" w:styleId="17">
    <w:name w:val="17"/>
    <w:basedOn w:val="TableNormal8"/>
    <w:tblPr>
      <w:tblStyleRowBandSize w:val="1"/>
      <w:tblStyleColBandSize w:val="1"/>
      <w:tblCellMar>
        <w:left w:w="115" w:type="dxa"/>
        <w:right w:w="115" w:type="dxa"/>
      </w:tblCellMar>
    </w:tblPr>
  </w:style>
  <w:style w:type="table" w:customStyle="1" w:styleId="a">
    <w:basedOn w:val="TableNormal0"/>
    <w:tblPr>
      <w:tblStyleRowBandSize w:val="1"/>
      <w:tblStyleColBandSize w:val="1"/>
      <w:tblCellMar>
        <w:left w:w="115" w:type="dxa"/>
        <w:right w:w="115" w:type="dxa"/>
      </w:tblCellMar>
    </w:tblPr>
  </w:style>
  <w:style w:type="table" w:customStyle="1" w:styleId="a0">
    <w:basedOn w:val="TableNormal0"/>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biblio.juridicas.unam.mx/bjv/resultados?ti=guia+tecnica" TargetMode="Externa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J+/G4dW/HfQw6A2UzysCCkPqJrg==">CgMxLjAyCWguMWZvYjl0ZTIJaC40ZDM0b2c4MghoLmdqZGd4czIJaC4zZHk2dmttMgloLjMwajB6bGwyCWguMnM4ZXlvMTIJaC4xa3N2NHV2MghoLnR5amN3dDIJaC4zem55c2g3MgloLjF5ODEwdHcyDmguaWp2OThwbnRjZDVzMgloLjI2aW4xcmcyCWguM3JkY3JqbjIJaC4yZXQ5MnAwMgloLjF0M2g1c2Y4AHIhMWRlRGE4U1RtQXdIMDQ3QzI4WFgxNzB0VFh2LWFFdWJj</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40</Pages>
  <Words>10649</Words>
  <Characters>58572</Characters>
  <Application>Microsoft Office Word</Application>
  <DocSecurity>0</DocSecurity>
  <Lines>488</Lines>
  <Paragraphs>138</Paragraphs>
  <ScaleCrop>false</ScaleCrop>
  <Company/>
  <LinksUpToDate>false</LinksUpToDate>
  <CharactersWithSpaces>69083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Maricela Villagómez Martínez</cp:lastModifiedBy>
  <cp:revision>2</cp:revision>
  <dcterms:created xsi:type="dcterms:W3CDTF">2025-01-22T18:11:00Z</dcterms:created>
  <dcterms:modified xsi:type="dcterms:W3CDTF">2025-01-22T18:11:00Z</dcterms:modified>
</cp:coreProperties>
</file>