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F6E" w:rsidRPr="00293B61" w:rsidRDefault="00FA4F87">
      <w:pPr>
        <w:spacing w:line="360" w:lineRule="auto"/>
        <w:ind w:right="-592"/>
        <w:jc w:val="both"/>
        <w:rPr>
          <w:rFonts w:ascii="Palatino Linotype" w:eastAsia="Palatino Linotype" w:hAnsi="Palatino Linotype" w:cs="Palatino Linotype"/>
        </w:rPr>
      </w:pPr>
      <w:r w:rsidRPr="00293B61">
        <w:rPr>
          <w:rFonts w:ascii="Palatino Linotype" w:eastAsia="Palatino Linotype" w:hAnsi="Palatino Linotype" w:cs="Palatino Linotype"/>
        </w:rPr>
        <w:t>Resolución del Pleno del Instituto de Transparencia, Acceso a la Información Pública y Protección de Datos Per</w:t>
      </w:r>
      <w:bookmarkStart w:id="0" w:name="_GoBack"/>
      <w:bookmarkEnd w:id="0"/>
      <w:r w:rsidRPr="00293B61">
        <w:rPr>
          <w:rFonts w:ascii="Palatino Linotype" w:eastAsia="Palatino Linotype" w:hAnsi="Palatino Linotype" w:cs="Palatino Linotype"/>
        </w:rPr>
        <w:t>sonales del Estado de México y Municipios, con domicilio en Metepec, Estado de México; de fecha seis (06) de febrero de dos mil veinticinco.</w:t>
      </w:r>
    </w:p>
    <w:p w:rsidR="00A64F6E" w:rsidRPr="00293B61" w:rsidRDefault="00A64F6E">
      <w:pPr>
        <w:spacing w:line="360" w:lineRule="auto"/>
        <w:ind w:right="-592"/>
        <w:jc w:val="both"/>
        <w:rPr>
          <w:rFonts w:ascii="Palatino Linotype" w:eastAsia="Palatino Linotype" w:hAnsi="Palatino Linotype" w:cs="Palatino Linotype"/>
        </w:rPr>
      </w:pPr>
    </w:p>
    <w:p w:rsidR="00A64F6E" w:rsidRPr="00293B61" w:rsidRDefault="00FA4F87">
      <w:pPr>
        <w:spacing w:line="360" w:lineRule="auto"/>
        <w:ind w:right="-592"/>
        <w:jc w:val="both"/>
        <w:rPr>
          <w:rFonts w:ascii="Palatino Linotype" w:eastAsia="Palatino Linotype" w:hAnsi="Palatino Linotype" w:cs="Palatino Linotype"/>
        </w:rPr>
      </w:pPr>
      <w:r w:rsidRPr="00293B61">
        <w:rPr>
          <w:rFonts w:ascii="Palatino Linotype" w:eastAsia="Palatino Linotype" w:hAnsi="Palatino Linotype" w:cs="Palatino Linotype"/>
          <w:b/>
        </w:rPr>
        <w:t>VISTO</w:t>
      </w:r>
      <w:r w:rsidRPr="00293B61">
        <w:rPr>
          <w:rFonts w:ascii="Palatino Linotype" w:eastAsia="Palatino Linotype" w:hAnsi="Palatino Linotype" w:cs="Palatino Linotype"/>
        </w:rPr>
        <w:t xml:space="preserve"> el expediente electrónico formado con motivo del recurso de revisión </w:t>
      </w:r>
      <w:r w:rsidRPr="00293B61">
        <w:rPr>
          <w:rFonts w:ascii="Palatino Linotype" w:eastAsia="Palatino Linotype" w:hAnsi="Palatino Linotype" w:cs="Palatino Linotype"/>
          <w:b/>
        </w:rPr>
        <w:t xml:space="preserve">07248/INFOEM/IP/RR/2024, </w:t>
      </w:r>
      <w:r w:rsidRPr="00293B61">
        <w:rPr>
          <w:rFonts w:ascii="Palatino Linotype" w:eastAsia="Palatino Linotype" w:hAnsi="Palatino Linotype" w:cs="Palatino Linotype"/>
        </w:rPr>
        <w:t xml:space="preserve">promovido por </w:t>
      </w:r>
      <w:r w:rsidR="009E7899">
        <w:rPr>
          <w:rFonts w:ascii="Palatino Linotype" w:eastAsia="Palatino Linotype" w:hAnsi="Palatino Linotype" w:cs="Palatino Linotype"/>
          <w:b/>
        </w:rPr>
        <w:t>XXXXXXXX</w:t>
      </w:r>
      <w:r w:rsidRPr="00293B61">
        <w:rPr>
          <w:rFonts w:ascii="Palatino Linotype" w:eastAsia="Palatino Linotype" w:hAnsi="Palatino Linotype" w:cs="Palatino Linotype"/>
        </w:rPr>
        <w:t xml:space="preserve">, a quien en lo sucesivo llamaremos </w:t>
      </w:r>
      <w:r w:rsidRPr="00293B61">
        <w:rPr>
          <w:rFonts w:ascii="Palatino Linotype" w:eastAsia="Palatino Linotype" w:hAnsi="Palatino Linotype" w:cs="Palatino Linotype"/>
          <w:b/>
        </w:rPr>
        <w:t>EL RECURRENTE,</w:t>
      </w:r>
      <w:r w:rsidRPr="00293B61">
        <w:rPr>
          <w:rFonts w:ascii="Palatino Linotype" w:eastAsia="Palatino Linotype" w:hAnsi="Palatino Linotype" w:cs="Palatino Linotype"/>
        </w:rPr>
        <w:t xml:space="preserve"> en contra de la respuesta de la </w:t>
      </w:r>
      <w:r w:rsidRPr="00293B61">
        <w:rPr>
          <w:rFonts w:ascii="Palatino Linotype" w:eastAsia="Palatino Linotype" w:hAnsi="Palatino Linotype" w:cs="Palatino Linotype"/>
          <w:b/>
        </w:rPr>
        <w:t xml:space="preserve">Unidad de Asuntos Internos, </w:t>
      </w:r>
      <w:r w:rsidRPr="00293B61">
        <w:rPr>
          <w:rFonts w:ascii="Palatino Linotype" w:eastAsia="Palatino Linotype" w:hAnsi="Palatino Linotype" w:cs="Palatino Linotype"/>
        </w:rPr>
        <w:t>en adelante el</w:t>
      </w:r>
      <w:r w:rsidRPr="00293B61">
        <w:rPr>
          <w:rFonts w:ascii="Palatino Linotype" w:eastAsia="Palatino Linotype" w:hAnsi="Palatino Linotype" w:cs="Palatino Linotype"/>
          <w:b/>
        </w:rPr>
        <w:t xml:space="preserve"> SUJETO OBLIGADO</w:t>
      </w:r>
      <w:r w:rsidRPr="00293B61">
        <w:rPr>
          <w:rFonts w:ascii="Palatino Linotype" w:eastAsia="Palatino Linotype" w:hAnsi="Palatino Linotype" w:cs="Palatino Linotype"/>
        </w:rPr>
        <w:t xml:space="preserve">, por lo que se procede a dictar la presente resolución, con base en los siguientes: </w:t>
      </w:r>
    </w:p>
    <w:p w:rsidR="00A64F6E" w:rsidRPr="00293B61" w:rsidRDefault="00A64F6E">
      <w:pPr>
        <w:spacing w:line="360" w:lineRule="auto"/>
        <w:ind w:right="-592"/>
        <w:jc w:val="both"/>
        <w:rPr>
          <w:rFonts w:ascii="Palatino Linotype" w:eastAsia="Palatino Linotype" w:hAnsi="Palatino Linotype" w:cs="Palatino Linotype"/>
        </w:rPr>
      </w:pPr>
    </w:p>
    <w:p w:rsidR="00A64F6E" w:rsidRPr="00293B61" w:rsidRDefault="00FA4F87">
      <w:pPr>
        <w:keepNext/>
        <w:keepLines/>
        <w:spacing w:line="360" w:lineRule="auto"/>
        <w:ind w:right="-592"/>
        <w:jc w:val="center"/>
        <w:rPr>
          <w:rFonts w:ascii="Palatino Linotype" w:eastAsia="Palatino Linotype" w:hAnsi="Palatino Linotype" w:cs="Palatino Linotype"/>
          <w:b/>
        </w:rPr>
      </w:pPr>
      <w:bookmarkStart w:id="1" w:name="_heading=h.gjdgxs" w:colFirst="0" w:colLast="0"/>
      <w:bookmarkEnd w:id="1"/>
      <w:r w:rsidRPr="00293B61">
        <w:rPr>
          <w:rFonts w:ascii="Palatino Linotype" w:eastAsia="Palatino Linotype" w:hAnsi="Palatino Linotype" w:cs="Palatino Linotype"/>
          <w:b/>
        </w:rPr>
        <w:t>A N T E C E D E N T E S</w:t>
      </w:r>
    </w:p>
    <w:p w:rsidR="00A64F6E" w:rsidRPr="00293B61" w:rsidRDefault="00A64F6E">
      <w:pPr>
        <w:spacing w:line="360" w:lineRule="auto"/>
        <w:ind w:right="-592"/>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t xml:space="preserve">El veintiséis de septiembre de dos mil veinticuatro, se presentó ante el </w:t>
      </w:r>
      <w:r w:rsidRPr="00293B61">
        <w:rPr>
          <w:rFonts w:ascii="Palatino Linotype" w:eastAsia="Palatino Linotype" w:hAnsi="Palatino Linotype" w:cs="Palatino Linotype"/>
          <w:b/>
        </w:rPr>
        <w:t>SUJETO OBLIGADO</w:t>
      </w:r>
      <w:r w:rsidRPr="00293B61">
        <w:rPr>
          <w:rFonts w:ascii="Palatino Linotype" w:eastAsia="Palatino Linotype" w:hAnsi="Palatino Linotype" w:cs="Palatino Linotype"/>
        </w:rPr>
        <w:t xml:space="preserve"> vía Sistema de Acceso a la Información Mexiquense (</w:t>
      </w:r>
      <w:r w:rsidRPr="00293B61">
        <w:rPr>
          <w:rFonts w:ascii="Palatino Linotype" w:eastAsia="Palatino Linotype" w:hAnsi="Palatino Linotype" w:cs="Palatino Linotype"/>
          <w:b/>
        </w:rPr>
        <w:t>SAIMEX)</w:t>
      </w:r>
      <w:r w:rsidRPr="00293B61">
        <w:rPr>
          <w:rFonts w:ascii="Palatino Linotype" w:eastAsia="Palatino Linotype" w:hAnsi="Palatino Linotype" w:cs="Palatino Linotype"/>
        </w:rPr>
        <w:t xml:space="preserve">, la solicitud de información pública registrada con el número </w:t>
      </w:r>
      <w:r w:rsidRPr="00293B61">
        <w:rPr>
          <w:rFonts w:ascii="Palatino Linotype" w:eastAsia="Palatino Linotype" w:hAnsi="Palatino Linotype" w:cs="Palatino Linotype"/>
          <w:b/>
        </w:rPr>
        <w:t xml:space="preserve">00247/UAI/IP/2024, </w:t>
      </w:r>
      <w:r w:rsidRPr="00293B61">
        <w:rPr>
          <w:rFonts w:ascii="Palatino Linotype" w:eastAsia="Palatino Linotype" w:hAnsi="Palatino Linotype" w:cs="Palatino Linotype"/>
        </w:rPr>
        <w:t xml:space="preserve">mediante la cual se requirió lo siguiente: </w:t>
      </w:r>
    </w:p>
    <w:p w:rsidR="00A64F6E" w:rsidRPr="00293B61" w:rsidRDefault="00A64F6E">
      <w:pPr>
        <w:ind w:right="-592"/>
        <w:jc w:val="both"/>
        <w:rPr>
          <w:rFonts w:ascii="Palatino Linotype" w:eastAsia="Palatino Linotype" w:hAnsi="Palatino Linotype" w:cs="Palatino Linotype"/>
          <w:i/>
        </w:rPr>
      </w:pPr>
    </w:p>
    <w:p w:rsidR="00A64F6E" w:rsidRPr="00293B61" w:rsidRDefault="00FA4F87">
      <w:pPr>
        <w:ind w:left="567" w:right="-592"/>
        <w:jc w:val="both"/>
        <w:rPr>
          <w:rFonts w:ascii="Palatino Linotype" w:eastAsia="Palatino Linotype" w:hAnsi="Palatino Linotype" w:cs="Palatino Linotype"/>
          <w:i/>
          <w:color w:val="000000"/>
        </w:rPr>
      </w:pPr>
      <w:r w:rsidRPr="00293B61">
        <w:rPr>
          <w:rFonts w:ascii="Palatino Linotype" w:eastAsia="Palatino Linotype" w:hAnsi="Palatino Linotype" w:cs="Palatino Linotype"/>
          <w:i/>
          <w:color w:val="000000"/>
        </w:rPr>
        <w:t>“total de quejas y denuncias, incluso anónimas, con motivo de faltas administrativas o infracciones disciplinarias cometidas por los Integrantes de la Secretaría, preservando, en enero de 2023.”(Sic)</w:t>
      </w:r>
    </w:p>
    <w:p w:rsidR="00A64F6E" w:rsidRPr="00293B61" w:rsidRDefault="00A64F6E">
      <w:pPr>
        <w:ind w:right="-592"/>
        <w:jc w:val="both"/>
        <w:rPr>
          <w:rFonts w:ascii="Palatino Linotype" w:eastAsia="Palatino Linotype" w:hAnsi="Palatino Linotype" w:cs="Palatino Linotype"/>
          <w:i/>
        </w:rPr>
      </w:pPr>
    </w:p>
    <w:p w:rsidR="00910252" w:rsidRPr="00293B61" w:rsidRDefault="00910252">
      <w:pPr>
        <w:ind w:right="-592"/>
        <w:jc w:val="both"/>
        <w:rPr>
          <w:rFonts w:ascii="Palatino Linotype" w:eastAsia="Palatino Linotype" w:hAnsi="Palatino Linotype" w:cs="Palatino Linotype"/>
          <w:i/>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t xml:space="preserve">Se hace constar que se señaló como modalidad de entrega de la información a través de </w:t>
      </w:r>
      <w:r w:rsidRPr="00293B61">
        <w:rPr>
          <w:rFonts w:ascii="Palatino Linotype" w:eastAsia="Palatino Linotype" w:hAnsi="Palatino Linotype" w:cs="Palatino Linotype"/>
          <w:b/>
        </w:rPr>
        <w:t>SAIMEX.</w:t>
      </w:r>
    </w:p>
    <w:p w:rsidR="00A64F6E" w:rsidRPr="00293B61" w:rsidRDefault="00A64F6E">
      <w:pPr>
        <w:spacing w:line="360" w:lineRule="auto"/>
        <w:ind w:right="-592"/>
        <w:jc w:val="both"/>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lastRenderedPageBreak/>
        <w:t xml:space="preserve">El dieciséis de octubre de dos mil veinticuatro, el </w:t>
      </w:r>
      <w:r w:rsidRPr="00293B61">
        <w:rPr>
          <w:rFonts w:ascii="Palatino Linotype" w:eastAsia="Palatino Linotype" w:hAnsi="Palatino Linotype" w:cs="Palatino Linotype"/>
          <w:b/>
        </w:rPr>
        <w:t>SUJETO OBLIGADO</w:t>
      </w:r>
      <w:r w:rsidRPr="00293B61">
        <w:rPr>
          <w:rFonts w:ascii="Palatino Linotype" w:eastAsia="Palatino Linotype" w:hAnsi="Palatino Linotype" w:cs="Palatino Linotype"/>
        </w:rPr>
        <w:t xml:space="preserve"> notificó una prórroga para atender la solicitud de información, en los siguientes términos:</w:t>
      </w:r>
    </w:p>
    <w:p w:rsidR="00A64F6E" w:rsidRPr="00293B61" w:rsidRDefault="00FA4F87">
      <w:pPr>
        <w:ind w:left="567" w:right="-25"/>
        <w:jc w:val="both"/>
        <w:rPr>
          <w:rFonts w:ascii="Palatino Linotype" w:eastAsia="Palatino Linotype" w:hAnsi="Palatino Linotype" w:cs="Palatino Linotype"/>
          <w:i/>
          <w:sz w:val="22"/>
          <w:szCs w:val="22"/>
        </w:rPr>
      </w:pPr>
      <w:r w:rsidRPr="00293B61">
        <w:rPr>
          <w:rFonts w:ascii="Palatino Linotype" w:eastAsia="Palatino Linotype" w:hAnsi="Palatino Linotype" w:cs="Palatino Linotype"/>
          <w:i/>
          <w:sz w:val="22"/>
          <w:szCs w:val="22"/>
        </w:rPr>
        <w:t>“</w:t>
      </w:r>
      <w:r w:rsidRPr="00293B61">
        <w:rPr>
          <w:rFonts w:ascii="Palatino Linotype" w:eastAsia="Palatino Linotype" w:hAnsi="Palatino Linotype" w:cs="Palatino Linotype"/>
          <w:i/>
          <w:color w:val="000000"/>
          <w:sz w:val="22"/>
          <w:szCs w:val="22"/>
        </w:rPr>
        <w:t>se aprueba la ampliación de plazo mediante acuerdo UAI/CT/EXTRAORDINARIA/2024/06/04</w:t>
      </w:r>
      <w:r w:rsidRPr="00293B61">
        <w:rPr>
          <w:rFonts w:ascii="Palatino Linotype" w:eastAsia="Palatino Linotype" w:hAnsi="Palatino Linotype" w:cs="Palatino Linotype"/>
          <w:i/>
          <w:sz w:val="22"/>
          <w:szCs w:val="22"/>
        </w:rPr>
        <w:t>” (Sic)</w:t>
      </w:r>
    </w:p>
    <w:p w:rsidR="00A64F6E" w:rsidRPr="00293B61" w:rsidRDefault="00A64F6E">
      <w:pPr>
        <w:ind w:right="-25"/>
        <w:jc w:val="both"/>
        <w:rPr>
          <w:rFonts w:ascii="Palatino Linotype" w:eastAsia="Palatino Linotype" w:hAnsi="Palatino Linotype" w:cs="Palatino Linotype"/>
          <w:i/>
          <w:sz w:val="22"/>
          <w:szCs w:val="22"/>
        </w:rPr>
      </w:pPr>
    </w:p>
    <w:p w:rsidR="00A64F6E" w:rsidRPr="00293B61" w:rsidRDefault="00FA4F87">
      <w:pPr>
        <w:ind w:right="-25"/>
        <w:jc w:val="both"/>
        <w:rPr>
          <w:rFonts w:ascii="Palatino Linotype" w:eastAsia="Palatino Linotype" w:hAnsi="Palatino Linotype" w:cs="Palatino Linotype"/>
          <w:sz w:val="22"/>
          <w:szCs w:val="22"/>
        </w:rPr>
      </w:pPr>
      <w:r w:rsidRPr="00293B61">
        <w:rPr>
          <w:rFonts w:ascii="Palatino Linotype" w:eastAsia="Palatino Linotype" w:hAnsi="Palatino Linotype" w:cs="Palatino Linotype"/>
          <w:sz w:val="22"/>
          <w:szCs w:val="22"/>
        </w:rPr>
        <w:t xml:space="preserve">Se adjuntó el archivo electrónico denominado </w:t>
      </w:r>
      <w:r w:rsidRPr="00293B61">
        <w:rPr>
          <w:rFonts w:ascii="Palatino Linotype" w:eastAsia="Palatino Linotype" w:hAnsi="Palatino Linotype" w:cs="Palatino Linotype"/>
          <w:b/>
          <w:sz w:val="22"/>
          <w:szCs w:val="22"/>
        </w:rPr>
        <w:t>“</w:t>
      </w:r>
      <w:hyperlink r:id="rId8">
        <w:r w:rsidRPr="00293B61">
          <w:rPr>
            <w:rFonts w:ascii="Palatino Linotype" w:eastAsia="Palatino Linotype" w:hAnsi="Palatino Linotype" w:cs="Palatino Linotype"/>
            <w:b/>
            <w:color w:val="000000"/>
            <w:sz w:val="22"/>
            <w:szCs w:val="22"/>
          </w:rPr>
          <w:t>f-247.pdf</w:t>
        </w:r>
      </w:hyperlink>
      <w:r w:rsidRPr="00293B61">
        <w:rPr>
          <w:rFonts w:ascii="Palatino Linotype" w:eastAsia="Palatino Linotype" w:hAnsi="Palatino Linotype" w:cs="Palatino Linotype"/>
          <w:b/>
          <w:sz w:val="22"/>
          <w:szCs w:val="22"/>
        </w:rPr>
        <w:t>”,</w:t>
      </w:r>
      <w:r w:rsidRPr="00293B61">
        <w:rPr>
          <w:rFonts w:ascii="Palatino Linotype" w:eastAsia="Palatino Linotype" w:hAnsi="Palatino Linotype" w:cs="Palatino Linotype"/>
          <w:sz w:val="22"/>
          <w:szCs w:val="22"/>
        </w:rPr>
        <w:t xml:space="preserve"> consistente en un oficio suscrito por el Titular de la Unidad de Transparencia, por medio del cual, se informó que el 14 de octubre de 2024, el Comité de Transparencia emitió el Acuerdo UAI/CT/EXTRAORDINARIA/2024/06/04 en el cual se aprobó por unanimidad de votos la ampliación de plazo de la solicitud 00247/UAI/IP/2024.</w:t>
      </w:r>
    </w:p>
    <w:p w:rsidR="00A64F6E" w:rsidRPr="00293B61" w:rsidRDefault="00A64F6E">
      <w:pPr>
        <w:ind w:right="-592"/>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t xml:space="preserve">El veintinueve de octubre de dos mil veinticuatro, el </w:t>
      </w:r>
      <w:r w:rsidRPr="00293B61">
        <w:rPr>
          <w:rFonts w:ascii="Palatino Linotype" w:eastAsia="Palatino Linotype" w:hAnsi="Palatino Linotype" w:cs="Palatino Linotype"/>
          <w:b/>
        </w:rPr>
        <w:t>SUJETO OBLIGADO</w:t>
      </w:r>
      <w:r w:rsidRPr="00293B61">
        <w:rPr>
          <w:rFonts w:ascii="Palatino Linotype" w:eastAsia="Palatino Linotype" w:hAnsi="Palatino Linotype" w:cs="Palatino Linotype"/>
          <w:b/>
          <w:i/>
        </w:rPr>
        <w:t xml:space="preserve"> </w:t>
      </w:r>
      <w:r w:rsidRPr="00293B61">
        <w:rPr>
          <w:rFonts w:ascii="Palatino Linotype" w:eastAsia="Palatino Linotype" w:hAnsi="Palatino Linotype" w:cs="Palatino Linotype"/>
        </w:rPr>
        <w:t>dio respuesta a la solicitud de información en los siguientes términos:</w:t>
      </w:r>
    </w:p>
    <w:p w:rsidR="00A64F6E" w:rsidRPr="00293B61" w:rsidRDefault="00FA4F87">
      <w:pPr>
        <w:ind w:left="567" w:right="-25"/>
        <w:jc w:val="both"/>
        <w:rPr>
          <w:rFonts w:ascii="Palatino Linotype" w:eastAsia="Palatino Linotype" w:hAnsi="Palatino Linotype" w:cs="Palatino Linotype"/>
          <w:i/>
          <w:color w:val="000000"/>
          <w:sz w:val="22"/>
          <w:szCs w:val="22"/>
        </w:rPr>
      </w:pPr>
      <w:r w:rsidRPr="00293B61">
        <w:rPr>
          <w:rFonts w:ascii="Palatino Linotype" w:eastAsia="Palatino Linotype" w:hAnsi="Palatino Linotype" w:cs="Palatino Linotype"/>
          <w:i/>
          <w:sz w:val="22"/>
          <w:szCs w:val="22"/>
        </w:rPr>
        <w:t>“…</w:t>
      </w:r>
      <w:r w:rsidRPr="00293B61">
        <w:rPr>
          <w:rFonts w:ascii="Palatino Linotype" w:eastAsia="Palatino Linotype" w:hAnsi="Palatino Linotype" w:cs="Palatino Linotype"/>
          <w:color w:val="000000"/>
          <w:sz w:val="22"/>
          <w:szCs w:val="22"/>
        </w:rPr>
        <w:t>Se adjunta respuesta a su solicitud</w:t>
      </w:r>
      <w:r w:rsidRPr="00293B61">
        <w:rPr>
          <w:rFonts w:ascii="Palatino Linotype" w:eastAsia="Palatino Linotype" w:hAnsi="Palatino Linotype" w:cs="Palatino Linotype"/>
          <w:i/>
          <w:color w:val="000000"/>
          <w:sz w:val="22"/>
          <w:szCs w:val="22"/>
        </w:rPr>
        <w:t>…” (Sic)</w:t>
      </w:r>
    </w:p>
    <w:p w:rsidR="00A64F6E" w:rsidRPr="00293B61" w:rsidRDefault="00A64F6E">
      <w:pPr>
        <w:ind w:right="-25"/>
        <w:jc w:val="both"/>
        <w:rPr>
          <w:rFonts w:ascii="Palatino Linotype" w:eastAsia="Palatino Linotype" w:hAnsi="Palatino Linotype" w:cs="Palatino Linotype"/>
          <w:i/>
          <w:sz w:val="22"/>
          <w:szCs w:val="22"/>
        </w:rPr>
      </w:pPr>
    </w:p>
    <w:p w:rsidR="00A64F6E" w:rsidRPr="00293B61" w:rsidRDefault="00FA4F87">
      <w:pPr>
        <w:ind w:right="-25"/>
        <w:jc w:val="both"/>
        <w:rPr>
          <w:rFonts w:ascii="Palatino Linotype" w:eastAsia="Palatino Linotype" w:hAnsi="Palatino Linotype" w:cs="Palatino Linotype"/>
          <w:sz w:val="22"/>
          <w:szCs w:val="22"/>
        </w:rPr>
      </w:pPr>
      <w:r w:rsidRPr="00293B61">
        <w:rPr>
          <w:rFonts w:ascii="Palatino Linotype" w:eastAsia="Palatino Linotype" w:hAnsi="Palatino Linotype" w:cs="Palatino Linotype"/>
          <w:sz w:val="22"/>
          <w:szCs w:val="22"/>
        </w:rPr>
        <w:t>Archivos electrónicos adjuntos:</w:t>
      </w:r>
    </w:p>
    <w:p w:rsidR="00A64F6E" w:rsidRPr="00293B61" w:rsidRDefault="00A64F6E">
      <w:pPr>
        <w:ind w:right="-25"/>
        <w:rPr>
          <w:rFonts w:ascii="Palatino Linotype" w:eastAsia="Palatino Linotype" w:hAnsi="Palatino Linotype" w:cs="Palatino Linotype"/>
          <w:color w:val="000000"/>
          <w:sz w:val="22"/>
          <w:szCs w:val="22"/>
        </w:rPr>
      </w:pPr>
    </w:p>
    <w:p w:rsidR="00A64F6E" w:rsidRPr="00293B61" w:rsidRDefault="00224F7C">
      <w:pPr>
        <w:ind w:left="567" w:right="-25"/>
        <w:jc w:val="both"/>
        <w:rPr>
          <w:rFonts w:ascii="Palatino Linotype" w:eastAsia="Palatino Linotype" w:hAnsi="Palatino Linotype" w:cs="Palatino Linotype"/>
          <w:sz w:val="22"/>
          <w:szCs w:val="22"/>
        </w:rPr>
      </w:pPr>
      <w:hyperlink r:id="rId9">
        <w:r w:rsidR="00FA4F87" w:rsidRPr="00293B61">
          <w:rPr>
            <w:rFonts w:ascii="Palatino Linotype" w:eastAsia="Palatino Linotype" w:hAnsi="Palatino Linotype" w:cs="Palatino Linotype"/>
            <w:b/>
            <w:color w:val="000000"/>
            <w:sz w:val="22"/>
            <w:szCs w:val="22"/>
          </w:rPr>
          <w:t>247.pdf</w:t>
        </w:r>
      </w:hyperlink>
      <w:r w:rsidR="00FA4F87" w:rsidRPr="00293B61">
        <w:rPr>
          <w:rFonts w:ascii="Palatino Linotype" w:eastAsia="Palatino Linotype" w:hAnsi="Palatino Linotype" w:cs="Palatino Linotype"/>
          <w:sz w:val="22"/>
          <w:szCs w:val="22"/>
        </w:rPr>
        <w:t xml:space="preserve">: Oficio suscrito por el Titular de la Unidad de Transparencia, por medio del cual, refirió que la Dirección de Investigación y Supervisión, remitió la información correspondiente mediante el oficio 206C03301040000L/14732/2024, en los siguientes términos: </w:t>
      </w:r>
      <w:r w:rsidR="00FA4F87" w:rsidRPr="00293B61">
        <w:rPr>
          <w:rFonts w:ascii="Palatino Linotype" w:eastAsia="Palatino Linotype" w:hAnsi="Palatino Linotype" w:cs="Palatino Linotype"/>
          <w:i/>
          <w:sz w:val="22"/>
          <w:szCs w:val="22"/>
        </w:rPr>
        <w:t>“… se hace de su conocimiento, que se realizó una búsqueda exhaustiva y razonable de la información solicitada, de conformidad con lo dispuesto en el artículo 162 de la Ley de Transparencia y Acceso a la Información Pública del Estado de México y Municipios; por lo que, se informa  el total de quejas y denuncias anónimas con motivo de faltas administrativas o infracciones cometidas por los integrantes de la Secretaría de Seguridad de enero de 2023 a septiembre de 2024, conforme a los siguiente:</w:t>
      </w:r>
    </w:p>
    <w:p w:rsidR="00A64F6E" w:rsidRPr="00293B61" w:rsidRDefault="00A64F6E">
      <w:pPr>
        <w:ind w:left="567" w:right="-25"/>
        <w:rPr>
          <w:rFonts w:ascii="Palatino Linotype" w:eastAsia="Palatino Linotype" w:hAnsi="Palatino Linotype" w:cs="Palatino Linotype"/>
          <w:i/>
          <w:sz w:val="22"/>
          <w:szCs w:val="22"/>
        </w:rPr>
      </w:pPr>
    </w:p>
    <w:p w:rsidR="00A64F6E" w:rsidRPr="00293B61" w:rsidRDefault="00FA4F87">
      <w:pPr>
        <w:ind w:left="567" w:right="-25"/>
        <w:rPr>
          <w:rFonts w:ascii="Palatino Linotype" w:eastAsia="Palatino Linotype" w:hAnsi="Palatino Linotype" w:cs="Palatino Linotype"/>
          <w:i/>
          <w:sz w:val="22"/>
          <w:szCs w:val="22"/>
        </w:rPr>
      </w:pPr>
      <w:r w:rsidRPr="00293B61">
        <w:rPr>
          <w:rFonts w:ascii="Palatino Linotype" w:eastAsia="Palatino Linotype" w:hAnsi="Palatino Linotype" w:cs="Palatino Linotype"/>
          <w:i/>
          <w:sz w:val="22"/>
          <w:szCs w:val="22"/>
        </w:rPr>
        <w:t>MES: Enero 2023</w:t>
      </w:r>
    </w:p>
    <w:p w:rsidR="00A64F6E" w:rsidRPr="00293B61" w:rsidRDefault="00FA4F87">
      <w:pPr>
        <w:ind w:left="567" w:right="-25"/>
        <w:rPr>
          <w:rFonts w:ascii="Palatino Linotype" w:eastAsia="Palatino Linotype" w:hAnsi="Palatino Linotype" w:cs="Palatino Linotype"/>
          <w:i/>
          <w:sz w:val="22"/>
          <w:szCs w:val="22"/>
        </w:rPr>
      </w:pPr>
      <w:r w:rsidRPr="00293B61">
        <w:rPr>
          <w:rFonts w:ascii="Palatino Linotype" w:eastAsia="Palatino Linotype" w:hAnsi="Palatino Linotype" w:cs="Palatino Linotype"/>
          <w:i/>
          <w:sz w:val="22"/>
          <w:szCs w:val="22"/>
        </w:rPr>
        <w:t>TOTAL DE QUEJAS Y DENUNCIAS: 30” (Sic)</w:t>
      </w:r>
    </w:p>
    <w:p w:rsidR="00A64F6E" w:rsidRPr="00293B61" w:rsidRDefault="00A64F6E">
      <w:pPr>
        <w:ind w:right="-592"/>
        <w:rPr>
          <w:rFonts w:ascii="Palatino Linotype" w:eastAsia="Palatino Linotype" w:hAnsi="Palatino Linotype" w:cs="Palatino Linotype"/>
          <w:i/>
        </w:rPr>
      </w:pPr>
    </w:p>
    <w:p w:rsidR="00A64F6E" w:rsidRPr="00293B61" w:rsidRDefault="00FA4F87">
      <w:pPr>
        <w:numPr>
          <w:ilvl w:val="0"/>
          <w:numId w:val="1"/>
        </w:numPr>
        <w:spacing w:line="360" w:lineRule="auto"/>
        <w:ind w:left="0" w:right="-592" w:firstLine="0"/>
        <w:jc w:val="both"/>
      </w:pPr>
      <w:bookmarkStart w:id="2" w:name="_heading=h.30j0zll" w:colFirst="0" w:colLast="0"/>
      <w:bookmarkEnd w:id="2"/>
      <w:r w:rsidRPr="00293B61">
        <w:rPr>
          <w:rFonts w:ascii="Palatino Linotype" w:eastAsia="Palatino Linotype" w:hAnsi="Palatino Linotype" w:cs="Palatino Linotype"/>
        </w:rPr>
        <w:t xml:space="preserve">El diecinueve de noviembre de dos mil veinticuatro, el </w:t>
      </w:r>
      <w:r w:rsidRPr="00293B61">
        <w:rPr>
          <w:rFonts w:ascii="Palatino Linotype" w:eastAsia="Palatino Linotype" w:hAnsi="Palatino Linotype" w:cs="Palatino Linotype"/>
          <w:b/>
        </w:rPr>
        <w:t>RECURRENTE</w:t>
      </w:r>
      <w:r w:rsidRPr="00293B61">
        <w:rPr>
          <w:rFonts w:ascii="Palatino Linotype" w:eastAsia="Palatino Linotype" w:hAnsi="Palatino Linotype" w:cs="Palatino Linotype"/>
        </w:rPr>
        <w:t xml:space="preserve"> interpuso el recurso de revisión, en contra de la respuesta, señalando como:</w:t>
      </w:r>
    </w:p>
    <w:p w:rsidR="00A64F6E" w:rsidRPr="00293B61" w:rsidRDefault="00FA4F87">
      <w:pPr>
        <w:numPr>
          <w:ilvl w:val="0"/>
          <w:numId w:val="2"/>
        </w:numPr>
        <w:ind w:right="-592"/>
        <w:jc w:val="both"/>
        <w:rPr>
          <w:rFonts w:ascii="Palatino Linotype" w:eastAsia="Palatino Linotype" w:hAnsi="Palatino Linotype" w:cs="Palatino Linotype"/>
          <w:sz w:val="22"/>
          <w:szCs w:val="22"/>
        </w:rPr>
      </w:pPr>
      <w:r w:rsidRPr="00293B61">
        <w:rPr>
          <w:rFonts w:ascii="Palatino Linotype" w:eastAsia="Palatino Linotype" w:hAnsi="Palatino Linotype" w:cs="Palatino Linotype"/>
          <w:b/>
          <w:sz w:val="22"/>
          <w:szCs w:val="22"/>
        </w:rPr>
        <w:t>Acto impugnado:</w:t>
      </w:r>
      <w:r w:rsidRPr="00293B61">
        <w:rPr>
          <w:rFonts w:ascii="Palatino Linotype" w:eastAsia="Palatino Linotype" w:hAnsi="Palatino Linotype" w:cs="Palatino Linotype"/>
          <w:i/>
          <w:color w:val="000000"/>
          <w:sz w:val="22"/>
          <w:szCs w:val="22"/>
        </w:rPr>
        <w:t xml:space="preserve"> “.” (Sic)</w:t>
      </w:r>
    </w:p>
    <w:p w:rsidR="00A64F6E" w:rsidRPr="00293B61" w:rsidRDefault="00FA4F87">
      <w:pPr>
        <w:numPr>
          <w:ilvl w:val="0"/>
          <w:numId w:val="2"/>
        </w:numPr>
        <w:ind w:right="-592"/>
        <w:jc w:val="both"/>
        <w:rPr>
          <w:rFonts w:ascii="Palatino Linotype" w:eastAsia="Palatino Linotype" w:hAnsi="Palatino Linotype" w:cs="Palatino Linotype"/>
          <w:sz w:val="22"/>
          <w:szCs w:val="22"/>
        </w:rPr>
      </w:pPr>
      <w:r w:rsidRPr="00293B61">
        <w:rPr>
          <w:rFonts w:ascii="Palatino Linotype" w:eastAsia="Palatino Linotype" w:hAnsi="Palatino Linotype" w:cs="Palatino Linotype"/>
          <w:b/>
          <w:sz w:val="22"/>
          <w:szCs w:val="22"/>
        </w:rPr>
        <w:t>Razones o Motivos de inconformidad:</w:t>
      </w:r>
      <w:r w:rsidRPr="00293B61">
        <w:rPr>
          <w:rFonts w:ascii="Palatino Linotype" w:eastAsia="Palatino Linotype" w:hAnsi="Palatino Linotype" w:cs="Palatino Linotype"/>
          <w:b/>
          <w:i/>
          <w:color w:val="2E75B5"/>
          <w:sz w:val="22"/>
          <w:szCs w:val="22"/>
        </w:rPr>
        <w:t xml:space="preserve"> </w:t>
      </w:r>
      <w:r w:rsidRPr="00293B61">
        <w:rPr>
          <w:rFonts w:ascii="Palatino Linotype" w:eastAsia="Palatino Linotype" w:hAnsi="Palatino Linotype" w:cs="Palatino Linotype"/>
          <w:i/>
          <w:sz w:val="22"/>
          <w:szCs w:val="22"/>
        </w:rPr>
        <w:t>“</w:t>
      </w:r>
      <w:r w:rsidRPr="00293B61">
        <w:rPr>
          <w:rFonts w:ascii="Palatino Linotype" w:eastAsia="Palatino Linotype" w:hAnsi="Palatino Linotype" w:cs="Palatino Linotype"/>
          <w:i/>
          <w:color w:val="000000"/>
          <w:sz w:val="22"/>
          <w:szCs w:val="22"/>
        </w:rPr>
        <w:t>.</w:t>
      </w:r>
      <w:r w:rsidRPr="00293B61">
        <w:rPr>
          <w:rFonts w:ascii="Palatino Linotype" w:eastAsia="Palatino Linotype" w:hAnsi="Palatino Linotype" w:cs="Palatino Linotype"/>
          <w:i/>
          <w:sz w:val="22"/>
          <w:szCs w:val="22"/>
        </w:rPr>
        <w:t>” (Sic)</w:t>
      </w:r>
    </w:p>
    <w:p w:rsidR="00910252" w:rsidRPr="00293B61" w:rsidRDefault="00910252" w:rsidP="00910252">
      <w:pPr>
        <w:ind w:right="-592"/>
        <w:jc w:val="both"/>
        <w:rPr>
          <w:rFonts w:ascii="Palatino Linotype" w:eastAsia="Palatino Linotype" w:hAnsi="Palatino Linotype" w:cs="Palatino Linotype"/>
          <w:sz w:val="22"/>
          <w:szCs w:val="22"/>
        </w:rPr>
      </w:pPr>
    </w:p>
    <w:p w:rsidR="00910252" w:rsidRPr="00293B61" w:rsidRDefault="00910252" w:rsidP="00910252">
      <w:pPr>
        <w:ind w:right="-592"/>
        <w:jc w:val="both"/>
        <w:rPr>
          <w:rFonts w:ascii="Palatino Linotype" w:eastAsia="Palatino Linotype" w:hAnsi="Palatino Linotype" w:cs="Palatino Linotype"/>
          <w:sz w:val="22"/>
          <w:szCs w:val="22"/>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lastRenderedPageBreak/>
        <w:t xml:space="preserve">Se registró el recurso de revisión bajo el número de expediente al rubro indicado, asimismo con fundamento en lo dispuesto por el artículo 185 fracción I de la </w:t>
      </w:r>
      <w:r w:rsidRPr="00293B61">
        <w:rPr>
          <w:rFonts w:ascii="Palatino Linotype" w:eastAsia="Palatino Linotype" w:hAnsi="Palatino Linotype" w:cs="Palatino Linotype"/>
          <w:b/>
        </w:rPr>
        <w:t xml:space="preserve">Ley de Transparencia y Acceso a la Información Pública del Estado de México y Municipios </w:t>
      </w:r>
      <w:r w:rsidRPr="00293B61">
        <w:rPr>
          <w:rFonts w:ascii="Palatino Linotype" w:eastAsia="Palatino Linotype" w:hAnsi="Palatino Linotype" w:cs="Palatino Linotype"/>
        </w:rPr>
        <w:t xml:space="preserve">se turna a la </w:t>
      </w:r>
      <w:r w:rsidRPr="00293B61">
        <w:rPr>
          <w:rFonts w:ascii="Palatino Linotype" w:eastAsia="Palatino Linotype" w:hAnsi="Palatino Linotype" w:cs="Palatino Linotype"/>
          <w:b/>
        </w:rPr>
        <w:t xml:space="preserve">Comisionada María del Rosario Mejía Ayala, </w:t>
      </w:r>
      <w:r w:rsidRPr="00293B61">
        <w:rPr>
          <w:rFonts w:ascii="Palatino Linotype" w:eastAsia="Palatino Linotype" w:hAnsi="Palatino Linotype" w:cs="Palatino Linotype"/>
        </w:rPr>
        <w:t xml:space="preserve">para su análisis. </w:t>
      </w:r>
    </w:p>
    <w:p w:rsidR="00A64F6E" w:rsidRPr="00293B61" w:rsidRDefault="00A64F6E">
      <w:pPr>
        <w:spacing w:line="360" w:lineRule="auto"/>
        <w:ind w:right="-592"/>
        <w:jc w:val="both"/>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rPr>
          <w:color w:val="000000"/>
        </w:rPr>
      </w:pPr>
      <w:r w:rsidRPr="00293B61">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veintisiete de noviembre de dos mil veinticuatro, puso a disposición de las partes el expediente electrónico vía </w:t>
      </w:r>
      <w:r w:rsidRPr="00293B61">
        <w:rPr>
          <w:rFonts w:ascii="Palatino Linotype" w:eastAsia="Palatino Linotype" w:hAnsi="Palatino Linotype" w:cs="Palatino Linotype"/>
          <w:b/>
        </w:rPr>
        <w:t xml:space="preserve">SAIMEX </w:t>
      </w:r>
      <w:r w:rsidRPr="00293B61">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293B61">
        <w:rPr>
          <w:rFonts w:ascii="Palatino Linotype" w:eastAsia="Palatino Linotype" w:hAnsi="Palatino Linotype" w:cs="Palatino Linotype"/>
          <w:b/>
        </w:rPr>
        <w:t>SUJETO OBLIGADO</w:t>
      </w:r>
      <w:r w:rsidRPr="00293B61">
        <w:rPr>
          <w:rFonts w:ascii="Palatino Linotype" w:eastAsia="Palatino Linotype" w:hAnsi="Palatino Linotype" w:cs="Palatino Linotype"/>
        </w:rPr>
        <w:t xml:space="preserve"> presentará el informe justificado procedente. </w:t>
      </w:r>
    </w:p>
    <w:p w:rsidR="00A64F6E" w:rsidRPr="00293B61" w:rsidRDefault="00A64F6E">
      <w:pPr>
        <w:spacing w:line="360" w:lineRule="auto"/>
        <w:ind w:right="-592"/>
        <w:jc w:val="both"/>
        <w:rPr>
          <w:rFonts w:ascii="Palatino Linotype" w:eastAsia="Palatino Linotype" w:hAnsi="Palatino Linotype" w:cs="Palatino Linotype"/>
          <w:i/>
          <w:color w:val="000000"/>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t xml:space="preserve">El nueve de diciembre de dos mil veinticuatro, el </w:t>
      </w:r>
      <w:r w:rsidRPr="00293B61">
        <w:rPr>
          <w:rFonts w:ascii="Palatino Linotype" w:eastAsia="Palatino Linotype" w:hAnsi="Palatino Linotype" w:cs="Palatino Linotype"/>
          <w:b/>
        </w:rPr>
        <w:t>SUJETO OBLIGADO</w:t>
      </w:r>
      <w:r w:rsidRPr="00293B61">
        <w:rPr>
          <w:rFonts w:ascii="Palatino Linotype" w:eastAsia="Palatino Linotype" w:hAnsi="Palatino Linotype" w:cs="Palatino Linotype"/>
        </w:rPr>
        <w:t xml:space="preserve"> rindió el informe justificado correspondiente, por medio del archivo electrónico denominado </w:t>
      </w:r>
      <w:r w:rsidRPr="00293B61">
        <w:rPr>
          <w:rFonts w:ascii="Palatino Linotype" w:eastAsia="Palatino Linotype" w:hAnsi="Palatino Linotype" w:cs="Palatino Linotype"/>
          <w:b/>
        </w:rPr>
        <w:t xml:space="preserve">“RR 7248.pdf”, </w:t>
      </w:r>
      <w:r w:rsidRPr="00293B61">
        <w:rPr>
          <w:rFonts w:ascii="Palatino Linotype" w:eastAsia="Palatino Linotype" w:hAnsi="Palatino Linotype" w:cs="Palatino Linotype"/>
        </w:rPr>
        <w:t xml:space="preserve">consistente en un oficio suscrito por la Subdirectora de Información, Programación y Seguimiento, a través del cual, </w:t>
      </w:r>
      <w:r w:rsidRPr="00293B61">
        <w:rPr>
          <w:rFonts w:ascii="Palatino Linotype" w:eastAsia="Palatino Linotype" w:hAnsi="Palatino Linotype" w:cs="Palatino Linotype"/>
          <w:b/>
        </w:rPr>
        <w:t>ratificó la respuesta.</w:t>
      </w:r>
    </w:p>
    <w:p w:rsidR="00A64F6E" w:rsidRPr="00293B61" w:rsidRDefault="00A64F6E">
      <w:pPr>
        <w:ind w:right="-592"/>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t xml:space="preserve">El treinta de enero de dos mil veinticinco, </w:t>
      </w:r>
      <w:r w:rsidRPr="00293B61">
        <w:rPr>
          <w:rFonts w:ascii="Palatino Linotype" w:eastAsia="Palatino Linotype" w:hAnsi="Palatino Linotype" w:cs="Palatino Linotype"/>
          <w:color w:val="000000"/>
        </w:rPr>
        <w:t>se notificó el acuerdo mediante el cual se amplió el plazo para emitir resolución por un término de 15 días adicionales.</w:t>
      </w:r>
    </w:p>
    <w:p w:rsidR="00A64F6E" w:rsidRPr="00293B61" w:rsidRDefault="00A64F6E">
      <w:pPr>
        <w:ind w:right="-592"/>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A64F6E" w:rsidRPr="00293B61" w:rsidRDefault="00A64F6E">
      <w:pPr>
        <w:ind w:right="-592"/>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A64F6E" w:rsidRPr="00293B61" w:rsidRDefault="00A64F6E">
      <w:pPr>
        <w:ind w:right="-592"/>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64F6E" w:rsidRPr="00293B61" w:rsidRDefault="00A64F6E">
      <w:pPr>
        <w:ind w:right="-592"/>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A64F6E" w:rsidRPr="00293B61" w:rsidRDefault="00A64F6E">
      <w:pPr>
        <w:ind w:right="-592"/>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rsidR="00A64F6E" w:rsidRPr="00293B61" w:rsidRDefault="00FA4F87">
      <w:pPr>
        <w:pBdr>
          <w:top w:val="nil"/>
          <w:left w:val="nil"/>
          <w:bottom w:val="nil"/>
          <w:right w:val="nil"/>
          <w:between w:val="nil"/>
        </w:pBdr>
        <w:ind w:left="567" w:right="-25"/>
        <w:jc w:val="both"/>
        <w:rPr>
          <w:rFonts w:ascii="Palatino Linotype" w:eastAsia="Palatino Linotype" w:hAnsi="Palatino Linotype" w:cs="Palatino Linotype"/>
          <w:color w:val="000000"/>
          <w:sz w:val="22"/>
          <w:szCs w:val="22"/>
        </w:rPr>
      </w:pPr>
      <w:r w:rsidRPr="00293B61">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A64F6E" w:rsidRPr="00293B61" w:rsidRDefault="00FA4F87">
      <w:pPr>
        <w:pBdr>
          <w:top w:val="nil"/>
          <w:left w:val="nil"/>
          <w:bottom w:val="nil"/>
          <w:right w:val="nil"/>
          <w:between w:val="nil"/>
        </w:pBdr>
        <w:ind w:left="567" w:right="-25"/>
        <w:jc w:val="both"/>
        <w:rPr>
          <w:rFonts w:ascii="Palatino Linotype" w:eastAsia="Palatino Linotype" w:hAnsi="Palatino Linotype" w:cs="Palatino Linotype"/>
          <w:color w:val="000000"/>
          <w:sz w:val="22"/>
          <w:szCs w:val="22"/>
        </w:rPr>
      </w:pPr>
      <w:r w:rsidRPr="00293B61">
        <w:rPr>
          <w:rFonts w:ascii="Palatino Linotype" w:eastAsia="Palatino Linotype" w:hAnsi="Palatino Linotype" w:cs="Palatino Linotype"/>
          <w:color w:val="000000"/>
          <w:sz w:val="22"/>
          <w:szCs w:val="22"/>
        </w:rPr>
        <w:t>b) Actividad Procesal del interesado: Acciones u omisiones del interesado.</w:t>
      </w:r>
    </w:p>
    <w:p w:rsidR="00A64F6E" w:rsidRPr="00293B61" w:rsidRDefault="00FA4F87">
      <w:pPr>
        <w:pBdr>
          <w:top w:val="nil"/>
          <w:left w:val="nil"/>
          <w:bottom w:val="nil"/>
          <w:right w:val="nil"/>
          <w:between w:val="nil"/>
        </w:pBdr>
        <w:ind w:left="567" w:right="-25"/>
        <w:jc w:val="both"/>
        <w:rPr>
          <w:rFonts w:ascii="Palatino Linotype" w:eastAsia="Palatino Linotype" w:hAnsi="Palatino Linotype" w:cs="Palatino Linotype"/>
          <w:color w:val="000000"/>
          <w:sz w:val="22"/>
          <w:szCs w:val="22"/>
        </w:rPr>
      </w:pPr>
      <w:r w:rsidRPr="00293B61">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A64F6E" w:rsidRPr="00293B61" w:rsidRDefault="00FA4F87">
      <w:pPr>
        <w:pBdr>
          <w:top w:val="nil"/>
          <w:left w:val="nil"/>
          <w:bottom w:val="nil"/>
          <w:right w:val="nil"/>
          <w:between w:val="nil"/>
        </w:pBdr>
        <w:ind w:left="567" w:right="-25"/>
        <w:jc w:val="both"/>
        <w:rPr>
          <w:rFonts w:ascii="Palatino Linotype" w:eastAsia="Palatino Linotype" w:hAnsi="Palatino Linotype" w:cs="Palatino Linotype"/>
          <w:color w:val="000000"/>
          <w:sz w:val="22"/>
          <w:szCs w:val="22"/>
        </w:rPr>
      </w:pPr>
      <w:r w:rsidRPr="00293B61">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A64F6E" w:rsidRPr="00293B61" w:rsidRDefault="00A64F6E">
      <w:pPr>
        <w:spacing w:line="360" w:lineRule="auto"/>
        <w:ind w:right="-592"/>
        <w:jc w:val="both"/>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64F6E" w:rsidRPr="00293B61" w:rsidRDefault="00A64F6E">
      <w:pPr>
        <w:spacing w:line="360" w:lineRule="auto"/>
        <w:ind w:left="360" w:right="-592"/>
        <w:jc w:val="both"/>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293B61">
        <w:rPr>
          <w:rFonts w:ascii="Palatino Linotype" w:eastAsia="Palatino Linotype" w:hAnsi="Palatino Linotype" w:cs="Palatino Linotype"/>
        </w:rPr>
        <w:t>del rubro</w:t>
      </w:r>
      <w:r w:rsidRPr="00293B61">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293B61">
        <w:rPr>
          <w:rFonts w:ascii="Palatino Linotype" w:eastAsia="Palatino Linotype" w:hAnsi="Palatino Linotype" w:cs="Palatino Linotype"/>
        </w:rPr>
        <w:t>Semanario</w:t>
      </w:r>
      <w:r w:rsidRPr="00293B61">
        <w:rPr>
          <w:rFonts w:ascii="Palatino Linotype" w:eastAsia="Palatino Linotype" w:hAnsi="Palatino Linotype" w:cs="Palatino Linotype"/>
          <w:color w:val="000000"/>
        </w:rPr>
        <w:t xml:space="preserve"> Judicial de la Federación con el registro digital 205635.</w:t>
      </w:r>
    </w:p>
    <w:p w:rsidR="00A64F6E" w:rsidRPr="00293B61" w:rsidRDefault="00A64F6E">
      <w:pPr>
        <w:spacing w:line="360" w:lineRule="auto"/>
        <w:ind w:right="-592"/>
        <w:jc w:val="both"/>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A64F6E" w:rsidRPr="00293B61" w:rsidRDefault="00A64F6E">
      <w:pPr>
        <w:spacing w:line="360" w:lineRule="auto"/>
        <w:ind w:right="-592"/>
        <w:jc w:val="both"/>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rsidR="00A64F6E" w:rsidRPr="00293B61" w:rsidRDefault="00FA4F87">
      <w:pPr>
        <w:pBdr>
          <w:top w:val="nil"/>
          <w:left w:val="nil"/>
          <w:bottom w:val="nil"/>
          <w:right w:val="nil"/>
          <w:between w:val="nil"/>
        </w:pBdr>
        <w:tabs>
          <w:tab w:val="left" w:pos="8364"/>
        </w:tabs>
        <w:ind w:left="567" w:right="-25"/>
        <w:jc w:val="both"/>
        <w:rPr>
          <w:rFonts w:ascii="Palatino Linotype" w:eastAsia="Palatino Linotype" w:hAnsi="Palatino Linotype" w:cs="Palatino Linotype"/>
          <w:color w:val="000000"/>
          <w:sz w:val="22"/>
          <w:szCs w:val="22"/>
        </w:rPr>
      </w:pPr>
      <w:r w:rsidRPr="00293B61">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sidRPr="00293B61">
        <w:rPr>
          <w:rFonts w:ascii="Palatino Linotype" w:eastAsia="Palatino Linotype" w:hAnsi="Palatino Linotype" w:cs="Palatino Linotype"/>
          <w:sz w:val="22"/>
          <w:szCs w:val="22"/>
        </w:rPr>
        <w:t>a</w:t>
      </w:r>
      <w:r w:rsidRPr="00293B61">
        <w:rPr>
          <w:rFonts w:ascii="Palatino Linotype" w:eastAsia="Palatino Linotype" w:hAnsi="Palatino Linotype" w:cs="Palatino Linotype"/>
          <w:color w:val="000000"/>
          <w:sz w:val="22"/>
          <w:szCs w:val="22"/>
        </w:rPr>
        <w:t>nario Judicial de la Federación y su gaceta, con el registro digital 2002351.</w:t>
      </w:r>
    </w:p>
    <w:p w:rsidR="00A64F6E" w:rsidRPr="00293B61" w:rsidRDefault="00A64F6E">
      <w:pPr>
        <w:pBdr>
          <w:top w:val="nil"/>
          <w:left w:val="nil"/>
          <w:bottom w:val="nil"/>
          <w:right w:val="nil"/>
          <w:between w:val="nil"/>
        </w:pBdr>
        <w:tabs>
          <w:tab w:val="left" w:pos="8364"/>
        </w:tabs>
        <w:ind w:left="567" w:right="-25"/>
        <w:jc w:val="both"/>
        <w:rPr>
          <w:rFonts w:ascii="Palatino Linotype" w:eastAsia="Palatino Linotype" w:hAnsi="Palatino Linotype" w:cs="Palatino Linotype"/>
          <w:sz w:val="22"/>
          <w:szCs w:val="22"/>
        </w:rPr>
      </w:pPr>
    </w:p>
    <w:p w:rsidR="00A64F6E" w:rsidRPr="00293B61" w:rsidRDefault="00FA4F87">
      <w:pPr>
        <w:pBdr>
          <w:top w:val="nil"/>
          <w:left w:val="nil"/>
          <w:bottom w:val="nil"/>
          <w:right w:val="nil"/>
          <w:between w:val="nil"/>
        </w:pBdr>
        <w:tabs>
          <w:tab w:val="left" w:pos="8364"/>
        </w:tabs>
        <w:ind w:left="567" w:right="-25"/>
        <w:jc w:val="both"/>
        <w:rPr>
          <w:rFonts w:ascii="Palatino Linotype" w:eastAsia="Palatino Linotype" w:hAnsi="Palatino Linotype" w:cs="Palatino Linotype"/>
          <w:color w:val="000000"/>
          <w:sz w:val="22"/>
          <w:szCs w:val="22"/>
        </w:rPr>
      </w:pPr>
      <w:r w:rsidRPr="00293B61">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sidRPr="00293B61">
        <w:rPr>
          <w:rFonts w:ascii="Palatino Linotype" w:eastAsia="Palatino Linotype" w:hAnsi="Palatino Linotype" w:cs="Palatino Linotype"/>
          <w:sz w:val="22"/>
          <w:szCs w:val="22"/>
        </w:rPr>
        <w:t>a</w:t>
      </w:r>
      <w:r w:rsidRPr="00293B61">
        <w:rPr>
          <w:rFonts w:ascii="Palatino Linotype" w:eastAsia="Palatino Linotype" w:hAnsi="Palatino Linotype" w:cs="Palatino Linotype"/>
          <w:color w:val="000000"/>
          <w:sz w:val="22"/>
          <w:szCs w:val="22"/>
        </w:rPr>
        <w:t>nario Judicial de la Federación y su gaceta, con el registro digital 2002350.</w:t>
      </w:r>
    </w:p>
    <w:p w:rsidR="00A64F6E" w:rsidRPr="00293B61" w:rsidRDefault="00A64F6E">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i/>
          <w:color w:val="000000"/>
        </w:rPr>
      </w:pPr>
    </w:p>
    <w:p w:rsidR="00A64F6E" w:rsidRPr="00293B61" w:rsidRDefault="00FA4F87">
      <w:pPr>
        <w:numPr>
          <w:ilvl w:val="0"/>
          <w:numId w:val="1"/>
        </w:numPr>
        <w:spacing w:line="360" w:lineRule="auto"/>
        <w:ind w:left="0" w:right="-592" w:firstLine="0"/>
        <w:jc w:val="both"/>
        <w:rPr>
          <w:rFonts w:ascii="Palatino Linotype" w:eastAsia="Palatino Linotype" w:hAnsi="Palatino Linotype" w:cs="Palatino Linotype"/>
          <w:b/>
        </w:rPr>
      </w:pPr>
      <w:r w:rsidRPr="00293B61">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A64F6E" w:rsidRPr="00293B61" w:rsidRDefault="00A64F6E">
      <w:pPr>
        <w:spacing w:line="360" w:lineRule="auto"/>
        <w:ind w:right="-592"/>
        <w:jc w:val="both"/>
        <w:rPr>
          <w:rFonts w:ascii="Palatino Linotype" w:eastAsia="Palatino Linotype" w:hAnsi="Palatino Linotype" w:cs="Palatino Linotype"/>
          <w:b/>
          <w:u w:val="single"/>
        </w:rPr>
      </w:pPr>
    </w:p>
    <w:p w:rsidR="00A64F6E" w:rsidRPr="00293B61" w:rsidRDefault="00FA4F87">
      <w:pPr>
        <w:numPr>
          <w:ilvl w:val="0"/>
          <w:numId w:val="1"/>
        </w:numPr>
        <w:spacing w:line="360" w:lineRule="auto"/>
        <w:ind w:left="0" w:right="-592" w:firstLine="0"/>
        <w:jc w:val="both"/>
        <w:rPr>
          <w:rFonts w:ascii="Palatino Linotype" w:eastAsia="Palatino Linotype" w:hAnsi="Palatino Linotype" w:cs="Palatino Linotype"/>
          <w:b/>
        </w:rPr>
      </w:pPr>
      <w:bookmarkStart w:id="3" w:name="_heading=h.1fob9te" w:colFirst="0" w:colLast="0"/>
      <w:bookmarkEnd w:id="3"/>
      <w:r w:rsidRPr="00293B61">
        <w:rPr>
          <w:rFonts w:ascii="Palatino Linotype" w:eastAsia="Palatino Linotype" w:hAnsi="Palatino Linotype" w:cs="Palatino Linotype"/>
        </w:rPr>
        <w:t>La Comisionada Ponente decretó cierre de instrucción mediante el acuerdo del seis de febrero de dos mil veinticinco; por lo que ordenó turnar el expediente a resolución, misma que ahora se pronuncia; y----------------------------------------------------------------------------</w:t>
      </w:r>
    </w:p>
    <w:p w:rsidR="00A64F6E" w:rsidRPr="00293B61" w:rsidRDefault="00A64F6E">
      <w:pPr>
        <w:spacing w:line="360" w:lineRule="auto"/>
        <w:ind w:right="-592"/>
        <w:jc w:val="both"/>
        <w:rPr>
          <w:rFonts w:ascii="Palatino Linotype" w:eastAsia="Palatino Linotype" w:hAnsi="Palatino Linotype" w:cs="Palatino Linotype"/>
        </w:rPr>
      </w:pPr>
      <w:bookmarkStart w:id="4" w:name="_heading=h.fike097wm3f0" w:colFirst="0" w:colLast="0"/>
      <w:bookmarkEnd w:id="4"/>
    </w:p>
    <w:p w:rsidR="00A64F6E" w:rsidRPr="00293B61" w:rsidRDefault="00FA4F87">
      <w:pPr>
        <w:keepNext/>
        <w:keepLines/>
        <w:spacing w:line="360" w:lineRule="auto"/>
        <w:ind w:right="-592"/>
        <w:jc w:val="center"/>
        <w:rPr>
          <w:rFonts w:ascii="Palatino Linotype" w:eastAsia="Palatino Linotype" w:hAnsi="Palatino Linotype" w:cs="Palatino Linotype"/>
        </w:rPr>
      </w:pPr>
      <w:bookmarkStart w:id="5" w:name="_heading=h.7fa9gb96oy76" w:colFirst="0" w:colLast="0"/>
      <w:bookmarkStart w:id="6" w:name="_heading=h.cf8m0611s6m1" w:colFirst="0" w:colLast="0"/>
      <w:bookmarkEnd w:id="5"/>
      <w:bookmarkEnd w:id="6"/>
      <w:r w:rsidRPr="00293B61">
        <w:rPr>
          <w:rFonts w:ascii="Palatino Linotype" w:eastAsia="Palatino Linotype" w:hAnsi="Palatino Linotype" w:cs="Palatino Linotype"/>
          <w:b/>
        </w:rPr>
        <w:t xml:space="preserve">C O N S I D E R A N D O </w:t>
      </w:r>
    </w:p>
    <w:p w:rsidR="00A64F6E" w:rsidRPr="00293B61" w:rsidRDefault="00A64F6E">
      <w:pPr>
        <w:spacing w:line="360" w:lineRule="auto"/>
        <w:ind w:right="-592"/>
        <w:rPr>
          <w:rFonts w:ascii="Palatino Linotype" w:eastAsia="Palatino Linotype" w:hAnsi="Palatino Linotype" w:cs="Palatino Linotype"/>
        </w:rPr>
      </w:pPr>
    </w:p>
    <w:p w:rsidR="00A64F6E" w:rsidRPr="00293B61" w:rsidRDefault="00FA4F87">
      <w:pPr>
        <w:keepNext/>
        <w:keepLines/>
        <w:spacing w:line="360" w:lineRule="auto"/>
        <w:ind w:right="-592"/>
        <w:rPr>
          <w:rFonts w:ascii="Palatino Linotype" w:eastAsia="Palatino Linotype" w:hAnsi="Palatino Linotype" w:cs="Palatino Linotype"/>
          <w:b/>
        </w:rPr>
      </w:pPr>
      <w:bookmarkStart w:id="7" w:name="_heading=h.3znysh7" w:colFirst="0" w:colLast="0"/>
      <w:bookmarkEnd w:id="7"/>
      <w:r w:rsidRPr="00293B61">
        <w:rPr>
          <w:rFonts w:ascii="Palatino Linotype" w:eastAsia="Palatino Linotype" w:hAnsi="Palatino Linotype" w:cs="Palatino Linotype"/>
          <w:b/>
        </w:rPr>
        <w:t>PRIMERO. De la competencia</w:t>
      </w: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t xml:space="preserve">Este </w:t>
      </w:r>
      <w:r w:rsidRPr="00293B61">
        <w:rPr>
          <w:rFonts w:ascii="Palatino Linotype" w:eastAsia="Palatino Linotype" w:hAnsi="Palatino Linotype" w:cs="Palatino Linotype"/>
          <w:color w:val="222222"/>
        </w:rPr>
        <w:t xml:space="preserve">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w:t>
      </w:r>
      <w:r w:rsidRPr="00293B61">
        <w:rPr>
          <w:rFonts w:ascii="Palatino Linotype" w:eastAsia="Palatino Linotype" w:hAnsi="Palatino Linotype" w:cs="Palatino Linotype"/>
          <w:color w:val="222222"/>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A64F6E" w:rsidRPr="00293B61" w:rsidRDefault="00FA4F87">
      <w:pPr>
        <w:keepNext/>
        <w:keepLines/>
        <w:spacing w:line="360" w:lineRule="auto"/>
        <w:ind w:right="-592"/>
        <w:rPr>
          <w:rFonts w:ascii="Palatino Linotype" w:eastAsia="Palatino Linotype" w:hAnsi="Palatino Linotype" w:cs="Palatino Linotype"/>
          <w:b/>
        </w:rPr>
      </w:pPr>
      <w:bookmarkStart w:id="8" w:name="_heading=h.2et92p0" w:colFirst="0" w:colLast="0"/>
      <w:bookmarkEnd w:id="8"/>
      <w:r w:rsidRPr="00293B61">
        <w:rPr>
          <w:rFonts w:ascii="Palatino Linotype" w:eastAsia="Palatino Linotype" w:hAnsi="Palatino Linotype" w:cs="Palatino Linotype"/>
          <w:b/>
        </w:rPr>
        <w:t>SEGUNDO. De la oportunidad y procedencia.</w:t>
      </w: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t xml:space="preserve">El medio de impugnación fue presentado a través del </w:t>
      </w:r>
      <w:r w:rsidRPr="00293B61">
        <w:rPr>
          <w:rFonts w:ascii="Palatino Linotype" w:eastAsia="Palatino Linotype" w:hAnsi="Palatino Linotype" w:cs="Palatino Linotype"/>
          <w:b/>
        </w:rPr>
        <w:t>SAIMEX,</w:t>
      </w:r>
      <w:r w:rsidRPr="00293B61">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293B61">
        <w:rPr>
          <w:rFonts w:ascii="Palatino Linotype" w:eastAsia="Palatino Linotype" w:hAnsi="Palatino Linotype" w:cs="Palatino Linotype"/>
          <w:b/>
        </w:rPr>
        <w:t>SUJETO OBLIGADO</w:t>
      </w:r>
      <w:r w:rsidRPr="00293B61">
        <w:rPr>
          <w:rFonts w:ascii="Palatino Linotype" w:eastAsia="Palatino Linotype" w:hAnsi="Palatino Linotype" w:cs="Palatino Linotype"/>
        </w:rPr>
        <w:t xml:space="preserve"> entregó respuesta a la solicitud el veintinueve de octubre de dos mil veinticuatro, de tal forma que el plazo para interponer el recurso de revisión transcurrió del treinta de octubre al veintiuno de noviembre de dos mil veinticuatro; en consecuencia, presentó su inconformidad el diecinueve de noviembre de dos mil veinticuatro, por lo que se encuentra dentro de los márgenes temporales previstos en el artículo 178 de la </w:t>
      </w:r>
      <w:r w:rsidRPr="00293B61">
        <w:rPr>
          <w:rFonts w:ascii="Palatino Linotype" w:eastAsia="Palatino Linotype" w:hAnsi="Palatino Linotype" w:cs="Palatino Linotype"/>
          <w:b/>
        </w:rPr>
        <w:t xml:space="preserve">Ley de Transparencia y Acceso a la Información Pública del Estado de México y Municipios </w:t>
      </w:r>
      <w:r w:rsidRPr="00293B61">
        <w:rPr>
          <w:rFonts w:ascii="Palatino Linotype" w:eastAsia="Palatino Linotype" w:hAnsi="Palatino Linotype" w:cs="Palatino Linotype"/>
        </w:rPr>
        <w:t>vigente.</w:t>
      </w:r>
    </w:p>
    <w:p w:rsidR="00A64F6E" w:rsidRPr="00293B61" w:rsidRDefault="00A64F6E">
      <w:pPr>
        <w:spacing w:line="360" w:lineRule="auto"/>
        <w:ind w:right="-592"/>
        <w:jc w:val="both"/>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pPr>
      <w:bookmarkStart w:id="9" w:name="_heading=h.tyjcwt" w:colFirst="0" w:colLast="0"/>
      <w:bookmarkEnd w:id="9"/>
      <w:r w:rsidRPr="00293B61">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A64F6E" w:rsidRPr="00293B61" w:rsidRDefault="00A64F6E">
      <w:pPr>
        <w:spacing w:line="360" w:lineRule="auto"/>
        <w:ind w:right="-592"/>
        <w:jc w:val="both"/>
        <w:rPr>
          <w:rFonts w:ascii="Palatino Linotype" w:eastAsia="Palatino Linotype" w:hAnsi="Palatino Linotype" w:cs="Palatino Linotype"/>
        </w:rPr>
      </w:pPr>
    </w:p>
    <w:p w:rsidR="00A64F6E" w:rsidRPr="00293B61" w:rsidRDefault="00FA4F87">
      <w:pPr>
        <w:keepNext/>
        <w:keepLines/>
        <w:spacing w:line="360" w:lineRule="auto"/>
        <w:ind w:right="-592"/>
        <w:rPr>
          <w:rFonts w:ascii="Palatino Linotype" w:eastAsia="Palatino Linotype" w:hAnsi="Palatino Linotype" w:cs="Palatino Linotype"/>
          <w:b/>
        </w:rPr>
      </w:pPr>
      <w:bookmarkStart w:id="10" w:name="_heading=h.3dy6vkm" w:colFirst="0" w:colLast="0"/>
      <w:bookmarkEnd w:id="10"/>
      <w:r w:rsidRPr="00293B61">
        <w:rPr>
          <w:rFonts w:ascii="Palatino Linotype" w:eastAsia="Palatino Linotype" w:hAnsi="Palatino Linotype" w:cs="Palatino Linotype"/>
          <w:b/>
        </w:rPr>
        <w:t>TERCERO. De las causales del sobreseimiento.</w:t>
      </w:r>
    </w:p>
    <w:p w:rsidR="00A64F6E" w:rsidRPr="00293B61" w:rsidRDefault="00FA4F87">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293B61">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w:t>
      </w:r>
      <w:r w:rsidRPr="00293B61">
        <w:rPr>
          <w:rFonts w:ascii="Palatino Linotype" w:eastAsia="Palatino Linotype" w:hAnsi="Palatino Linotype" w:cs="Palatino Linotype"/>
          <w:color w:val="000000"/>
        </w:rPr>
        <w:lastRenderedPageBreak/>
        <w:t xml:space="preserve">determinar la confirmación; revocación o modificación; desechamiento o </w:t>
      </w:r>
      <w:r w:rsidRPr="00293B61">
        <w:rPr>
          <w:rFonts w:ascii="Palatino Linotype" w:eastAsia="Palatino Linotype" w:hAnsi="Palatino Linotype" w:cs="Palatino Linotype"/>
          <w:b/>
          <w:color w:val="000000"/>
          <w:u w:val="single"/>
        </w:rPr>
        <w:t>sobreseimiento</w:t>
      </w:r>
      <w:r w:rsidRPr="00293B61">
        <w:rPr>
          <w:rFonts w:ascii="Palatino Linotype" w:eastAsia="Palatino Linotype" w:hAnsi="Palatino Linotype" w:cs="Palatino Linotype"/>
          <w:color w:val="000000"/>
        </w:rPr>
        <w:t xml:space="preserve">; y, en su caso, ordenar la entrega de la información respecto a la falta de respuesta por parte del </w:t>
      </w:r>
      <w:r w:rsidRPr="00293B61">
        <w:rPr>
          <w:rFonts w:ascii="Palatino Linotype" w:eastAsia="Palatino Linotype" w:hAnsi="Palatino Linotype" w:cs="Palatino Linotype"/>
          <w:b/>
          <w:color w:val="000000"/>
        </w:rPr>
        <w:t>SUJETO</w:t>
      </w:r>
      <w:r w:rsidRPr="00293B61">
        <w:rPr>
          <w:rFonts w:ascii="Palatino Linotype" w:eastAsia="Palatino Linotype" w:hAnsi="Palatino Linotype" w:cs="Palatino Linotype"/>
          <w:color w:val="000000"/>
        </w:rPr>
        <w:t xml:space="preserve"> </w:t>
      </w:r>
      <w:r w:rsidRPr="00293B61">
        <w:rPr>
          <w:rFonts w:ascii="Palatino Linotype" w:eastAsia="Palatino Linotype" w:hAnsi="Palatino Linotype" w:cs="Palatino Linotype"/>
          <w:b/>
          <w:color w:val="000000"/>
        </w:rPr>
        <w:t>OBLIGADO</w:t>
      </w:r>
      <w:r w:rsidRPr="00293B61">
        <w:rPr>
          <w:rFonts w:ascii="Palatino Linotype" w:eastAsia="Palatino Linotype" w:hAnsi="Palatino Linotype" w:cs="Palatino Linotype"/>
          <w:color w:val="000000"/>
        </w:rPr>
        <w:t>.</w:t>
      </w:r>
    </w:p>
    <w:p w:rsidR="00A64F6E" w:rsidRPr="00293B61" w:rsidRDefault="00A64F6E">
      <w:pPr>
        <w:pBdr>
          <w:top w:val="nil"/>
          <w:left w:val="nil"/>
          <w:bottom w:val="nil"/>
          <w:right w:val="nil"/>
          <w:between w:val="nil"/>
        </w:pBdr>
        <w:tabs>
          <w:tab w:val="left" w:pos="0"/>
        </w:tabs>
        <w:spacing w:line="360" w:lineRule="auto"/>
        <w:ind w:right="-592"/>
        <w:jc w:val="both"/>
        <w:rPr>
          <w:rFonts w:ascii="Palatino Linotype" w:eastAsia="Palatino Linotype" w:hAnsi="Palatino Linotype" w:cs="Palatino Linotype"/>
          <w:color w:val="000000"/>
        </w:rPr>
      </w:pPr>
    </w:p>
    <w:p w:rsidR="00A64F6E" w:rsidRPr="00293B61" w:rsidRDefault="00FA4F87">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293B61">
        <w:rPr>
          <w:rFonts w:ascii="Palatino Linotype" w:eastAsia="Palatino Linotype" w:hAnsi="Palatino Linotype" w:cs="Palatino Linotype"/>
          <w:color w:val="000000"/>
        </w:rPr>
        <w:t xml:space="preserve">De acuerdo con el precepto legal contenido en la fracción IV del artículo 192 de la </w:t>
      </w:r>
      <w:r w:rsidRPr="00293B61">
        <w:rPr>
          <w:rFonts w:ascii="Palatino Linotype" w:eastAsia="Palatino Linotype" w:hAnsi="Palatino Linotype" w:cs="Palatino Linotype"/>
          <w:b/>
          <w:color w:val="000000"/>
        </w:rPr>
        <w:t>Ley de Transparencia y Acceso a la Información Pública del Estado de México y Municipios</w:t>
      </w:r>
      <w:r w:rsidRPr="00293B61">
        <w:rPr>
          <w:rFonts w:ascii="Palatino Linotype" w:eastAsia="Palatino Linotype" w:hAnsi="Palatino Linotype" w:cs="Palatino Linotype"/>
          <w:color w:val="000000"/>
        </w:rPr>
        <w:t>, el recurso será sobreseído, cuando una vez admitido, aparezca alguna causal de improcedencia en términos de la misma Ley.</w:t>
      </w:r>
    </w:p>
    <w:p w:rsidR="00A64F6E" w:rsidRPr="00293B61" w:rsidRDefault="00A64F6E">
      <w:pPr>
        <w:pBdr>
          <w:top w:val="nil"/>
          <w:left w:val="nil"/>
          <w:bottom w:val="nil"/>
          <w:right w:val="nil"/>
          <w:between w:val="nil"/>
        </w:pBdr>
        <w:tabs>
          <w:tab w:val="left" w:pos="0"/>
        </w:tabs>
        <w:spacing w:line="360" w:lineRule="auto"/>
        <w:ind w:right="-592"/>
        <w:jc w:val="both"/>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rPr>
          <w:rFonts w:ascii="Palatino Linotype" w:eastAsia="Palatino Linotype" w:hAnsi="Palatino Linotype" w:cs="Palatino Linotype"/>
          <w:b/>
          <w:color w:val="000000"/>
        </w:rPr>
      </w:pPr>
      <w:r w:rsidRPr="00293B61">
        <w:rPr>
          <w:rFonts w:ascii="Palatino Linotype" w:eastAsia="Palatino Linotype" w:hAnsi="Palatino Linotype" w:cs="Palatino Linotype"/>
          <w:color w:val="000000"/>
        </w:rPr>
        <w:t xml:space="preserve">Como se ha señalado, el </w:t>
      </w:r>
      <w:r w:rsidRPr="00293B61">
        <w:rPr>
          <w:rFonts w:ascii="Palatino Linotype" w:eastAsia="Palatino Linotype" w:hAnsi="Palatino Linotype" w:cs="Palatino Linotype"/>
          <w:b/>
          <w:color w:val="000000"/>
        </w:rPr>
        <w:t xml:space="preserve">RECURRENTE </w:t>
      </w:r>
      <w:r w:rsidRPr="00293B61">
        <w:rPr>
          <w:rFonts w:ascii="Palatino Linotype" w:eastAsia="Palatino Linotype" w:hAnsi="Palatino Linotype" w:cs="Palatino Linotype"/>
          <w:color w:val="000000"/>
        </w:rPr>
        <w:t>solicitó el total de quejas y denuncias, incluso anónimas, con motivo de faltas administrativas o infracciones disciplinarias cometidas por los Integrantes de la Secretaría en enero de 2023.</w:t>
      </w:r>
    </w:p>
    <w:p w:rsidR="00A64F6E" w:rsidRPr="00293B61" w:rsidRDefault="00A64F6E">
      <w:pPr>
        <w:spacing w:line="360" w:lineRule="auto"/>
        <w:ind w:right="-592"/>
        <w:jc w:val="both"/>
        <w:rPr>
          <w:rFonts w:ascii="Palatino Linotype" w:eastAsia="Palatino Linotype" w:hAnsi="Palatino Linotype" w:cs="Palatino Linotype"/>
          <w:i/>
          <w:color w:val="000000"/>
        </w:rPr>
      </w:pPr>
    </w:p>
    <w:p w:rsidR="00A64F6E" w:rsidRPr="00293B61" w:rsidRDefault="00FA4F87">
      <w:pPr>
        <w:numPr>
          <w:ilvl w:val="0"/>
          <w:numId w:val="1"/>
        </w:numPr>
        <w:spacing w:line="360" w:lineRule="auto"/>
        <w:ind w:left="0" w:right="-592" w:firstLine="0"/>
        <w:jc w:val="both"/>
        <w:rPr>
          <w:color w:val="000000"/>
        </w:rPr>
      </w:pPr>
      <w:r w:rsidRPr="00293B61">
        <w:rPr>
          <w:rFonts w:ascii="Palatino Linotype" w:eastAsia="Palatino Linotype" w:hAnsi="Palatino Linotype" w:cs="Palatino Linotype"/>
          <w:color w:val="000000"/>
        </w:rPr>
        <w:t xml:space="preserve">En respuesta, el </w:t>
      </w:r>
      <w:r w:rsidRPr="00293B61">
        <w:rPr>
          <w:rFonts w:ascii="Palatino Linotype" w:eastAsia="Palatino Linotype" w:hAnsi="Palatino Linotype" w:cs="Palatino Linotype"/>
          <w:b/>
          <w:color w:val="000000"/>
        </w:rPr>
        <w:t>SUJETO OBLIGADO</w:t>
      </w:r>
      <w:r w:rsidRPr="00293B61">
        <w:rPr>
          <w:rFonts w:ascii="Palatino Linotype" w:eastAsia="Palatino Linotype" w:hAnsi="Palatino Linotype" w:cs="Palatino Linotype"/>
          <w:color w:val="000000"/>
        </w:rPr>
        <w:t xml:space="preserve"> por medio de la Dirección de Investigación y Supervisión, informó que se habían realizado un total de 30 quejas y denuncias en el mes de enero de 2023.</w:t>
      </w:r>
    </w:p>
    <w:p w:rsidR="00A64F6E" w:rsidRPr="00293B61" w:rsidRDefault="00A64F6E">
      <w:pPr>
        <w:spacing w:line="360" w:lineRule="auto"/>
        <w:ind w:right="-592"/>
        <w:jc w:val="both"/>
        <w:rPr>
          <w:rFonts w:ascii="Palatino Linotype" w:eastAsia="Palatino Linotype" w:hAnsi="Palatino Linotype" w:cs="Palatino Linotype"/>
          <w:i/>
          <w:color w:val="000000"/>
          <w:u w:val="single"/>
        </w:rPr>
      </w:pPr>
    </w:p>
    <w:p w:rsidR="00A64F6E" w:rsidRPr="00293B61" w:rsidRDefault="00FA4F87">
      <w:pPr>
        <w:numPr>
          <w:ilvl w:val="0"/>
          <w:numId w:val="1"/>
        </w:numPr>
        <w:spacing w:line="360" w:lineRule="auto"/>
        <w:ind w:left="0" w:right="-592" w:firstLine="0"/>
        <w:jc w:val="both"/>
        <w:rPr>
          <w:rFonts w:ascii="Palatino Linotype" w:eastAsia="Palatino Linotype" w:hAnsi="Palatino Linotype" w:cs="Palatino Linotype"/>
          <w:b/>
          <w:color w:val="000000"/>
        </w:rPr>
      </w:pPr>
      <w:bookmarkStart w:id="11" w:name="_heading=h.1t3h5sf" w:colFirst="0" w:colLast="0"/>
      <w:bookmarkEnd w:id="11"/>
      <w:r w:rsidRPr="00293B61">
        <w:rPr>
          <w:rFonts w:ascii="Palatino Linotype" w:eastAsia="Palatino Linotype" w:hAnsi="Palatino Linotype" w:cs="Palatino Linotype"/>
          <w:color w:val="000000"/>
        </w:rPr>
        <w:t xml:space="preserve">Posteriormente, el </w:t>
      </w:r>
      <w:r w:rsidRPr="00293B61">
        <w:rPr>
          <w:rFonts w:ascii="Palatino Linotype" w:eastAsia="Palatino Linotype" w:hAnsi="Palatino Linotype" w:cs="Palatino Linotype"/>
          <w:b/>
          <w:color w:val="000000"/>
        </w:rPr>
        <w:t xml:space="preserve">RECURRENTE </w:t>
      </w:r>
      <w:r w:rsidRPr="00293B61">
        <w:rPr>
          <w:rFonts w:ascii="Palatino Linotype" w:eastAsia="Palatino Linotype" w:hAnsi="Palatino Linotype" w:cs="Palatino Linotype"/>
          <w:color w:val="000000"/>
        </w:rPr>
        <w:t>interpuso el recurso de revisión, mediante el cual señaló como “Acto Impugnado” y “Razones o Motivos de Inconformidad”, lo siguiente:</w:t>
      </w:r>
      <w:r w:rsidRPr="00293B61">
        <w:rPr>
          <w:rFonts w:ascii="Palatino Linotype" w:eastAsia="Palatino Linotype" w:hAnsi="Palatino Linotype" w:cs="Palatino Linotype"/>
          <w:i/>
          <w:color w:val="000000"/>
        </w:rPr>
        <w:t xml:space="preserve"> </w:t>
      </w:r>
      <w:r w:rsidRPr="00293B61">
        <w:rPr>
          <w:rFonts w:ascii="Palatino Linotype" w:eastAsia="Palatino Linotype" w:hAnsi="Palatino Linotype" w:cs="Palatino Linotype"/>
          <w:b/>
          <w:i/>
          <w:color w:val="000000"/>
          <w:u w:val="single"/>
        </w:rPr>
        <w:t>“.” (Sic)</w:t>
      </w:r>
    </w:p>
    <w:p w:rsidR="00A64F6E" w:rsidRPr="00293B61" w:rsidRDefault="00A64F6E">
      <w:pPr>
        <w:spacing w:line="360" w:lineRule="auto"/>
        <w:ind w:right="-592"/>
        <w:jc w:val="both"/>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t xml:space="preserve">Precisado lo anterior, </w:t>
      </w:r>
      <w:r w:rsidRPr="00293B61">
        <w:rPr>
          <w:rFonts w:ascii="Palatino Linotype" w:eastAsia="Palatino Linotype" w:hAnsi="Palatino Linotype" w:cs="Palatino Linotype"/>
        </w:rPr>
        <w:t xml:space="preserve">se advierte que hay elementos entregados en respuesta por parte del </w:t>
      </w:r>
      <w:r w:rsidRPr="00293B61">
        <w:rPr>
          <w:rFonts w:ascii="Palatino Linotype" w:eastAsia="Palatino Linotype" w:hAnsi="Palatino Linotype" w:cs="Palatino Linotype"/>
          <w:b/>
        </w:rPr>
        <w:t>SUJETO OBLIGADO</w:t>
      </w:r>
      <w:r w:rsidRPr="00293B61">
        <w:rPr>
          <w:rFonts w:ascii="Palatino Linotype" w:eastAsia="Palatino Linotype" w:hAnsi="Palatino Linotype" w:cs="Palatino Linotype"/>
        </w:rPr>
        <w:t xml:space="preserve"> sobre los cuales el </w:t>
      </w:r>
      <w:r w:rsidRPr="00293B61">
        <w:rPr>
          <w:rFonts w:ascii="Palatino Linotype" w:eastAsia="Palatino Linotype" w:hAnsi="Palatino Linotype" w:cs="Palatino Linotype"/>
          <w:b/>
        </w:rPr>
        <w:t>RECURRENTE</w:t>
      </w:r>
      <w:r w:rsidRPr="00293B61">
        <w:rPr>
          <w:rFonts w:ascii="Palatino Linotype" w:eastAsia="Palatino Linotype" w:hAnsi="Palatino Linotype" w:cs="Palatino Linotype"/>
        </w:rPr>
        <w:t xml:space="preserve"> no se conformó.</w:t>
      </w:r>
    </w:p>
    <w:p w:rsidR="00A64F6E" w:rsidRPr="00293B61" w:rsidRDefault="00A64F6E">
      <w:pPr>
        <w:spacing w:line="360" w:lineRule="auto"/>
        <w:ind w:right="-592"/>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rPr>
          <w:color w:val="000000"/>
        </w:rPr>
      </w:pPr>
      <w:r w:rsidRPr="00293B61">
        <w:rPr>
          <w:rFonts w:ascii="Palatino Linotype" w:eastAsia="Palatino Linotype" w:hAnsi="Palatino Linotype" w:cs="Palatino Linotype"/>
          <w:color w:val="000000"/>
        </w:rPr>
        <w:lastRenderedPageBreak/>
        <w:t xml:space="preserve">En </w:t>
      </w:r>
      <w:r w:rsidRPr="00293B61">
        <w:rPr>
          <w:rFonts w:ascii="Palatino Linotype" w:eastAsia="Palatino Linotype" w:hAnsi="Palatino Linotype" w:cs="Palatino Linotype"/>
        </w:rPr>
        <w:t>este sentido,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w:t>
      </w:r>
    </w:p>
    <w:p w:rsidR="00A64F6E" w:rsidRPr="00293B61" w:rsidRDefault="00A64F6E">
      <w:pPr>
        <w:spacing w:line="360" w:lineRule="auto"/>
        <w:ind w:right="-592"/>
        <w:jc w:val="both"/>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rPr>
          <w:color w:val="000000"/>
        </w:rPr>
      </w:pPr>
      <w:r w:rsidRPr="00293B61">
        <w:rPr>
          <w:rFonts w:ascii="Palatino Linotype" w:eastAsia="Palatino Linotype" w:hAnsi="Palatino Linotype" w:cs="Palatino Linotype"/>
          <w:color w:val="000000"/>
        </w:rPr>
        <w:t xml:space="preserve">Sirve </w:t>
      </w:r>
      <w:r w:rsidRPr="00293B61">
        <w:rPr>
          <w:rFonts w:ascii="Palatino Linotype" w:eastAsia="Palatino Linotype" w:hAnsi="Palatino Linotype" w:cs="Palatino Linotype"/>
        </w:rPr>
        <w:t>de sustento, la tesis jurisprudencial número VI.3o.C. J/60, publicada en el Semanario Judicial de la Federación y su Gaceta bajo el número de registro 176,608 que a la letra dice:</w:t>
      </w:r>
    </w:p>
    <w:p w:rsidR="00A64F6E" w:rsidRPr="00293B61" w:rsidRDefault="00FA4F87">
      <w:pPr>
        <w:tabs>
          <w:tab w:val="left" w:pos="851"/>
        </w:tabs>
        <w:ind w:left="567" w:right="115"/>
        <w:jc w:val="both"/>
        <w:rPr>
          <w:rFonts w:ascii="Palatino Linotype" w:eastAsia="Palatino Linotype" w:hAnsi="Palatino Linotype" w:cs="Palatino Linotype"/>
          <w:i/>
          <w:sz w:val="22"/>
          <w:szCs w:val="22"/>
        </w:rPr>
      </w:pPr>
      <w:r w:rsidRPr="00293B61">
        <w:rPr>
          <w:rFonts w:ascii="Palatino Linotype" w:eastAsia="Palatino Linotype" w:hAnsi="Palatino Linotype" w:cs="Palatino Linotype"/>
          <w:b/>
          <w:i/>
          <w:sz w:val="22"/>
          <w:szCs w:val="22"/>
        </w:rPr>
        <w:t xml:space="preserve">“ACTOS CONSENTIDOS. SON LOS QUE NO SE IMPUGNAN MEDIANTE EL RECURSO IDÓNEO. </w:t>
      </w:r>
      <w:r w:rsidRPr="00293B61">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A64F6E" w:rsidRPr="00293B61" w:rsidRDefault="00A64F6E">
      <w:pPr>
        <w:spacing w:line="360" w:lineRule="auto"/>
        <w:ind w:right="-592"/>
        <w:jc w:val="both"/>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rPr>
          <w:color w:val="000000"/>
        </w:rPr>
      </w:pPr>
      <w:r w:rsidRPr="00293B61">
        <w:rPr>
          <w:rFonts w:ascii="Palatino Linotype" w:eastAsia="Palatino Linotype" w:hAnsi="Palatino Linotype" w:cs="Palatino Linotype"/>
          <w:color w:val="000000"/>
        </w:rPr>
        <w:t xml:space="preserve">De </w:t>
      </w:r>
      <w:r w:rsidRPr="00293B61">
        <w:rPr>
          <w:rFonts w:ascii="Palatino Linotype" w:eastAsia="Palatino Linotype" w:hAnsi="Palatino Linotype" w:cs="Palatino Linotype"/>
        </w:rPr>
        <w:t xml:space="preserve">la interpretación del criterio antes citado, se advierte que cuando el Particular impugnó la respuesta del </w:t>
      </w:r>
      <w:r w:rsidRPr="00293B61">
        <w:rPr>
          <w:rFonts w:ascii="Palatino Linotype" w:eastAsia="Palatino Linotype" w:hAnsi="Palatino Linotype" w:cs="Palatino Linotype"/>
          <w:b/>
        </w:rPr>
        <w:t>SUJETO OBLIGADO</w:t>
      </w:r>
      <w:r w:rsidRPr="00293B61">
        <w:rPr>
          <w:rFonts w:ascii="Palatino Linotype" w:eastAsia="Palatino Linotype" w:hAnsi="Palatino Linotype" w:cs="Palatino Linotype"/>
        </w:rPr>
        <w:t xml:space="preserve">, no expresó razón o motivo de inconformidad en contra de los rubros solicitados, por tanto, estos deben declararse atendidos, pues se entiende que el </w:t>
      </w:r>
      <w:r w:rsidRPr="00293B61">
        <w:rPr>
          <w:rFonts w:ascii="Palatino Linotype" w:eastAsia="Palatino Linotype" w:hAnsi="Palatino Linotype" w:cs="Palatino Linotype"/>
          <w:b/>
        </w:rPr>
        <w:t>RECURRENTE</w:t>
      </w:r>
      <w:r w:rsidRPr="00293B61">
        <w:rPr>
          <w:rFonts w:ascii="Palatino Linotype" w:eastAsia="Palatino Linotype" w:hAnsi="Palatino Linotype" w:cs="Palatino Linotype"/>
        </w:rPr>
        <w:t xml:space="preserve"> está conforme con la respuesta proporcionada por el</w:t>
      </w:r>
      <w:r w:rsidRPr="00293B61">
        <w:rPr>
          <w:rFonts w:ascii="Palatino Linotype" w:eastAsia="Palatino Linotype" w:hAnsi="Palatino Linotype" w:cs="Palatino Linotype"/>
          <w:b/>
        </w:rPr>
        <w:t xml:space="preserve"> SUJETO OBLIGADO,</w:t>
      </w:r>
      <w:r w:rsidRPr="00293B61">
        <w:rPr>
          <w:rFonts w:ascii="Palatino Linotype" w:eastAsia="Palatino Linotype" w:hAnsi="Palatino Linotype" w:cs="Palatino Linotype"/>
        </w:rPr>
        <w:t xml:space="preserve"> al no contravenir la misma.</w:t>
      </w:r>
    </w:p>
    <w:p w:rsidR="00A64F6E" w:rsidRPr="00293B61" w:rsidRDefault="00A64F6E">
      <w:pPr>
        <w:spacing w:line="360" w:lineRule="auto"/>
        <w:ind w:right="-592"/>
        <w:jc w:val="both"/>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rPr>
          <w:color w:val="000000"/>
        </w:rPr>
      </w:pPr>
      <w:r w:rsidRPr="00293B61">
        <w:rPr>
          <w:rFonts w:ascii="Palatino Linotype" w:eastAsia="Palatino Linotype" w:hAnsi="Palatino Linotype" w:cs="Palatino Linotype"/>
          <w:color w:val="000000"/>
        </w:rPr>
        <w:t xml:space="preserve">Ante </w:t>
      </w:r>
      <w:r w:rsidRPr="00293B61">
        <w:rPr>
          <w:rFonts w:ascii="Palatino Linotype" w:eastAsia="Palatino Linotype" w:hAnsi="Palatino Linotype" w:cs="Palatino Linotype"/>
        </w:rPr>
        <w:t>ello, es importante traer a contexto la Tesis Jurisprudencial Número 3ª./J.7/91, Publicada en el Semanario Judicial de la Federación y su Gaceta bajo el número de registro 174,177, que establece lo siguiente:</w:t>
      </w:r>
    </w:p>
    <w:p w:rsidR="00A64F6E" w:rsidRPr="00293B61" w:rsidRDefault="00FA4F87">
      <w:pPr>
        <w:ind w:left="567" w:right="-25"/>
        <w:jc w:val="both"/>
        <w:rPr>
          <w:rFonts w:ascii="Palatino Linotype" w:eastAsia="Palatino Linotype" w:hAnsi="Palatino Linotype" w:cs="Palatino Linotype"/>
          <w:i/>
          <w:sz w:val="22"/>
          <w:szCs w:val="22"/>
        </w:rPr>
      </w:pPr>
      <w:r w:rsidRPr="00293B61">
        <w:rPr>
          <w:rFonts w:ascii="Palatino Linotype" w:eastAsia="Palatino Linotype" w:hAnsi="Palatino Linotype" w:cs="Palatino Linotype"/>
          <w:b/>
          <w:i/>
          <w:sz w:val="22"/>
          <w:szCs w:val="22"/>
        </w:rPr>
        <w:t xml:space="preserve">“REVISIÓN EN AMPARO. LOS RESOLUTIVOS NO COMBATIDOS DEBEN DECLARARSE FIRMES. </w:t>
      </w:r>
      <w:r w:rsidRPr="00293B61">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w:t>
      </w:r>
      <w:r w:rsidRPr="00293B61">
        <w:rPr>
          <w:rFonts w:ascii="Palatino Linotype" w:eastAsia="Palatino Linotype" w:hAnsi="Palatino Linotype" w:cs="Palatino Linotype"/>
          <w:i/>
          <w:sz w:val="22"/>
          <w:szCs w:val="22"/>
        </w:rPr>
        <w:lastRenderedPageBreak/>
        <w:t>aquéllos en contra de los cuales no se formuló agravio y dicha declaración de firmeza debe reflejarse en la parte considerativa y en los resolutivos debe confirmarse la sentencia recurrida en la parte correspondiente.”</w:t>
      </w:r>
    </w:p>
    <w:p w:rsidR="00A64F6E" w:rsidRPr="00293B61" w:rsidRDefault="00A64F6E">
      <w:pPr>
        <w:spacing w:line="360" w:lineRule="auto"/>
        <w:ind w:right="-592"/>
        <w:jc w:val="both"/>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rPr>
          <w:color w:val="000000"/>
        </w:rPr>
      </w:pPr>
      <w:r w:rsidRPr="00293B61">
        <w:rPr>
          <w:rFonts w:ascii="Palatino Linotype" w:eastAsia="Palatino Linotype" w:hAnsi="Palatino Linotype" w:cs="Palatino Linotype"/>
          <w:color w:val="000000"/>
        </w:rPr>
        <w:t xml:space="preserve">Una vez hecha la precisión anterior, se advierte que </w:t>
      </w:r>
      <w:r w:rsidRPr="00293B61">
        <w:rPr>
          <w:rFonts w:ascii="Palatino Linotype" w:eastAsia="Palatino Linotype" w:hAnsi="Palatino Linotype" w:cs="Palatino Linotype"/>
        </w:rPr>
        <w:t>este Instituto no se encuentra facultado para dudar de la veracidad de las respuestas emitidas por los Sujetos Obligados ni de la que ponen a disposición de los solicitantes; situación que se aleja de las atribuciones de este Órgano Garante</w:t>
      </w:r>
      <w:r w:rsidRPr="00293B61">
        <w:rPr>
          <w:rFonts w:ascii="Palatino Linotype" w:eastAsia="Palatino Linotype" w:hAnsi="Palatino Linotype" w:cs="Palatino Linotype"/>
          <w:color w:val="000000"/>
        </w:rPr>
        <w:t xml:space="preserve"> que al momento que ponen a disposición ésta, la misma tiene el carácter oficial y se presume veraz, tan es así que la misma queda registrada en el </w:t>
      </w:r>
      <w:r w:rsidRPr="00293B61">
        <w:rPr>
          <w:rFonts w:ascii="Palatino Linotype" w:eastAsia="Palatino Linotype" w:hAnsi="Palatino Linotype" w:cs="Palatino Linotype"/>
          <w:b/>
          <w:color w:val="000000"/>
        </w:rPr>
        <w:t>SAIMEX.</w:t>
      </w:r>
    </w:p>
    <w:p w:rsidR="00A64F6E" w:rsidRPr="00293B61" w:rsidRDefault="00A64F6E">
      <w:pPr>
        <w:spacing w:line="360" w:lineRule="auto"/>
        <w:ind w:right="-592"/>
        <w:jc w:val="both"/>
        <w:rPr>
          <w:rFonts w:ascii="Palatino Linotype" w:eastAsia="Palatino Linotype" w:hAnsi="Palatino Linotype" w:cs="Palatino Linotype"/>
          <w:b/>
          <w:color w:val="000000"/>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t xml:space="preserve">Puntualizando lo anterior, es necesario precisar que, </w:t>
      </w:r>
      <w:r w:rsidRPr="00293B61">
        <w:rPr>
          <w:rFonts w:ascii="Palatino Linotype" w:eastAsia="Palatino Linotype" w:hAnsi="Palatino Linotype" w:cs="Palatino Linotype"/>
          <w:b/>
        </w:rPr>
        <w:t xml:space="preserve">los motivos de inconformidad no guardan relación con la respuesta </w:t>
      </w:r>
      <w:r w:rsidRPr="00293B61">
        <w:rPr>
          <w:rFonts w:ascii="Palatino Linotype" w:eastAsia="Palatino Linotype" w:hAnsi="Palatino Linotype" w:cs="Palatino Linotype"/>
        </w:rPr>
        <w:t xml:space="preserve">emitida por parte del </w:t>
      </w:r>
      <w:r w:rsidRPr="00293B61">
        <w:rPr>
          <w:rFonts w:ascii="Palatino Linotype" w:eastAsia="Palatino Linotype" w:hAnsi="Palatino Linotype" w:cs="Palatino Linotype"/>
          <w:b/>
        </w:rPr>
        <w:t>SUJETO OBLIGADO</w:t>
      </w:r>
      <w:r w:rsidRPr="00293B61">
        <w:rPr>
          <w:rFonts w:ascii="Palatino Linotype" w:eastAsia="Palatino Linotype" w:hAnsi="Palatino Linotype" w:cs="Palatino Linotype"/>
        </w:rPr>
        <w:t xml:space="preserve">, por lo tanto, actualiza una causal de improcedencia como se determina en los siguientes párrafos. </w:t>
      </w:r>
    </w:p>
    <w:p w:rsidR="00A64F6E" w:rsidRPr="00293B61" w:rsidRDefault="00A64F6E">
      <w:pPr>
        <w:spacing w:line="360" w:lineRule="auto"/>
        <w:ind w:right="-592"/>
        <w:jc w:val="both"/>
        <w:rPr>
          <w:rFonts w:ascii="Palatino Linotype" w:eastAsia="Palatino Linotype" w:hAnsi="Palatino Linotype" w:cs="Palatino Linotype"/>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color w:val="000000"/>
        </w:rPr>
        <w:t xml:space="preserve">Resulta necesario traer a contexto la Jurisprudencia No. 29 visible a foja 19 del Apéndice al Semanario Judicial de la Federación 1917-1995, </w:t>
      </w:r>
      <w:r w:rsidRPr="00293B61">
        <w:rPr>
          <w:rFonts w:ascii="Palatino Linotype" w:eastAsia="Palatino Linotype" w:hAnsi="Palatino Linotype" w:cs="Palatino Linotype"/>
        </w:rPr>
        <w:t>Tomo</w:t>
      </w:r>
      <w:r w:rsidRPr="00293B61">
        <w:rPr>
          <w:rFonts w:ascii="Palatino Linotype" w:eastAsia="Palatino Linotype" w:hAnsi="Palatino Linotype" w:cs="Palatino Linotype"/>
          <w:color w:val="000000"/>
        </w:rPr>
        <w:t xml:space="preserve"> VI, Materia Común, Primera Parte, Tesis de la Suprema Corte de Justicia, que contiene:</w:t>
      </w:r>
    </w:p>
    <w:p w:rsidR="00A64F6E" w:rsidRPr="00293B61" w:rsidRDefault="00FA4F87">
      <w:pPr>
        <w:shd w:val="clear" w:color="auto" w:fill="FFFFFF"/>
        <w:spacing w:before="240" w:after="240"/>
        <w:ind w:left="567" w:right="-25"/>
        <w:jc w:val="both"/>
        <w:rPr>
          <w:rFonts w:ascii="Palatino Linotype" w:eastAsia="Palatino Linotype" w:hAnsi="Palatino Linotype" w:cs="Palatino Linotype"/>
          <w:i/>
          <w:color w:val="000000"/>
          <w:sz w:val="22"/>
          <w:szCs w:val="22"/>
        </w:rPr>
      </w:pPr>
      <w:r w:rsidRPr="00293B61">
        <w:rPr>
          <w:rFonts w:ascii="Palatino Linotype" w:eastAsia="Palatino Linotype" w:hAnsi="Palatino Linotype" w:cs="Palatino Linotype"/>
          <w:b/>
          <w:i/>
          <w:color w:val="000000"/>
          <w:sz w:val="22"/>
          <w:szCs w:val="22"/>
        </w:rPr>
        <w:t>AGRAVIOS EN LA REVISION. DEBEN ESTAR EN RELACION DIRECTA CON LOS FUNDAMENTOS Y CONSIDERACIONES DE LA SENTENCIA</w:t>
      </w:r>
      <w:r w:rsidRPr="00293B61">
        <w:rPr>
          <w:rFonts w:ascii="Palatino Linotype" w:eastAsia="Palatino Linotype" w:hAnsi="Palatino Linotype" w:cs="Palatino Linotype"/>
          <w:i/>
          <w:color w:val="000000"/>
          <w:sz w:val="22"/>
          <w:szCs w:val="22"/>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rsidR="00A64F6E" w:rsidRPr="00293B61" w:rsidRDefault="00A64F6E">
      <w:pPr>
        <w:shd w:val="clear" w:color="auto" w:fill="FFFFFF"/>
        <w:spacing w:before="240" w:after="240"/>
        <w:ind w:right="-592"/>
        <w:jc w:val="both"/>
        <w:rPr>
          <w:rFonts w:ascii="Palatino Linotype" w:eastAsia="Palatino Linotype" w:hAnsi="Palatino Linotype" w:cs="Palatino Linotype"/>
          <w:i/>
          <w:color w:val="000000"/>
        </w:rPr>
      </w:pPr>
    </w:p>
    <w:p w:rsidR="00A64F6E" w:rsidRPr="00293B61" w:rsidRDefault="00FA4F87">
      <w:pPr>
        <w:numPr>
          <w:ilvl w:val="0"/>
          <w:numId w:val="1"/>
        </w:numPr>
        <w:spacing w:before="240" w:after="240" w:line="360" w:lineRule="auto"/>
        <w:ind w:left="0" w:right="-592" w:firstLine="0"/>
        <w:jc w:val="both"/>
      </w:pPr>
      <w:r w:rsidRPr="00293B61">
        <w:rPr>
          <w:rFonts w:ascii="Palatino Linotype" w:eastAsia="Palatino Linotype" w:hAnsi="Palatino Linotype" w:cs="Palatino Linotype"/>
          <w:color w:val="000000"/>
        </w:rPr>
        <w:lastRenderedPageBreak/>
        <w:t>Señalado lo anterior, se determina que el recurso de revisión no actualiza ninguna causal de procedencia que se relacione con la solicitud o la respuesta. En consecuencia, l</w:t>
      </w:r>
      <w:r w:rsidRPr="00293B61">
        <w:rPr>
          <w:rFonts w:ascii="Palatino Linotype" w:eastAsia="Palatino Linotype" w:hAnsi="Palatino Linotype" w:cs="Palatino Linotype"/>
        </w:rPr>
        <w:t>a falta de actualización de causal de procedencia trae consigo que el recurso de revisión sea desechado por improcedente, de acuerdo con el artículo 191 de la citada ley:</w:t>
      </w:r>
    </w:p>
    <w:p w:rsidR="00A64F6E" w:rsidRPr="00293B61" w:rsidRDefault="00FA4F87">
      <w:pPr>
        <w:pBdr>
          <w:top w:val="nil"/>
          <w:left w:val="nil"/>
          <w:bottom w:val="nil"/>
          <w:right w:val="nil"/>
          <w:between w:val="nil"/>
        </w:pBdr>
        <w:tabs>
          <w:tab w:val="left" w:pos="567"/>
        </w:tabs>
        <w:ind w:left="567" w:right="-592"/>
        <w:jc w:val="both"/>
        <w:rPr>
          <w:rFonts w:ascii="Palatino Linotype" w:eastAsia="Palatino Linotype" w:hAnsi="Palatino Linotype" w:cs="Palatino Linotype"/>
          <w:i/>
          <w:color w:val="000000"/>
          <w:sz w:val="22"/>
          <w:szCs w:val="22"/>
        </w:rPr>
      </w:pPr>
      <w:r w:rsidRPr="00293B61">
        <w:rPr>
          <w:rFonts w:ascii="Palatino Linotype" w:eastAsia="Palatino Linotype" w:hAnsi="Palatino Linotype" w:cs="Palatino Linotype"/>
          <w:b/>
          <w:i/>
          <w:color w:val="000000"/>
          <w:sz w:val="22"/>
          <w:szCs w:val="22"/>
        </w:rPr>
        <w:t>“Artículo 191.</w:t>
      </w:r>
      <w:r w:rsidRPr="00293B61">
        <w:rPr>
          <w:rFonts w:ascii="Palatino Linotype" w:eastAsia="Palatino Linotype" w:hAnsi="Palatino Linotype" w:cs="Palatino Linotype"/>
          <w:i/>
          <w:color w:val="000000"/>
          <w:sz w:val="22"/>
          <w:szCs w:val="22"/>
        </w:rPr>
        <w:t xml:space="preserve"> El recurso será desechado por improcedente cuando:</w:t>
      </w:r>
    </w:p>
    <w:p w:rsidR="00A64F6E" w:rsidRPr="00293B61" w:rsidRDefault="00FA4F87">
      <w:pPr>
        <w:tabs>
          <w:tab w:val="left" w:pos="567"/>
        </w:tabs>
        <w:ind w:left="567" w:right="-592"/>
        <w:jc w:val="both"/>
        <w:rPr>
          <w:rFonts w:ascii="Palatino Linotype" w:eastAsia="Palatino Linotype" w:hAnsi="Palatino Linotype" w:cs="Palatino Linotype"/>
          <w:i/>
          <w:sz w:val="22"/>
          <w:szCs w:val="22"/>
        </w:rPr>
      </w:pPr>
      <w:r w:rsidRPr="00293B61">
        <w:rPr>
          <w:rFonts w:ascii="Palatino Linotype" w:eastAsia="Palatino Linotype" w:hAnsi="Palatino Linotype" w:cs="Palatino Linotype"/>
          <w:i/>
          <w:sz w:val="22"/>
          <w:szCs w:val="22"/>
        </w:rPr>
        <w:t>(…)</w:t>
      </w:r>
    </w:p>
    <w:p w:rsidR="00A64F6E" w:rsidRPr="00293B61" w:rsidRDefault="00FA4F87">
      <w:pPr>
        <w:pBdr>
          <w:top w:val="nil"/>
          <w:left w:val="nil"/>
          <w:bottom w:val="nil"/>
          <w:right w:val="nil"/>
          <w:between w:val="nil"/>
        </w:pBdr>
        <w:tabs>
          <w:tab w:val="left" w:pos="567"/>
        </w:tabs>
        <w:ind w:left="567" w:right="-592"/>
        <w:jc w:val="both"/>
        <w:rPr>
          <w:rFonts w:ascii="Palatino Linotype" w:eastAsia="Palatino Linotype" w:hAnsi="Palatino Linotype" w:cs="Palatino Linotype"/>
          <w:b/>
          <w:i/>
          <w:color w:val="000000"/>
          <w:sz w:val="22"/>
          <w:szCs w:val="22"/>
        </w:rPr>
      </w:pPr>
      <w:r w:rsidRPr="00293B61">
        <w:rPr>
          <w:rFonts w:ascii="Palatino Linotype" w:eastAsia="Palatino Linotype" w:hAnsi="Palatino Linotype" w:cs="Palatino Linotype"/>
          <w:b/>
          <w:i/>
          <w:color w:val="000000"/>
          <w:sz w:val="22"/>
          <w:szCs w:val="22"/>
        </w:rPr>
        <w:t xml:space="preserve">III. No actualice alguno de los supuestos previstos en la presente Ley; </w:t>
      </w:r>
    </w:p>
    <w:p w:rsidR="00A64F6E" w:rsidRPr="00293B61" w:rsidRDefault="00FA4F87">
      <w:pPr>
        <w:pBdr>
          <w:top w:val="nil"/>
          <w:left w:val="nil"/>
          <w:bottom w:val="nil"/>
          <w:right w:val="nil"/>
          <w:between w:val="nil"/>
        </w:pBdr>
        <w:tabs>
          <w:tab w:val="left" w:pos="567"/>
        </w:tabs>
        <w:ind w:left="567" w:right="-592"/>
        <w:jc w:val="both"/>
        <w:rPr>
          <w:rFonts w:ascii="Palatino Linotype" w:eastAsia="Palatino Linotype" w:hAnsi="Palatino Linotype" w:cs="Palatino Linotype"/>
          <w:i/>
          <w:color w:val="000000"/>
          <w:sz w:val="22"/>
          <w:szCs w:val="22"/>
        </w:rPr>
      </w:pPr>
      <w:r w:rsidRPr="00293B61">
        <w:rPr>
          <w:rFonts w:ascii="Palatino Linotype" w:eastAsia="Palatino Linotype" w:hAnsi="Palatino Linotype" w:cs="Palatino Linotype"/>
          <w:i/>
          <w:color w:val="000000"/>
          <w:sz w:val="22"/>
          <w:szCs w:val="22"/>
        </w:rPr>
        <w:t>(…)”</w:t>
      </w:r>
    </w:p>
    <w:p w:rsidR="00A64F6E" w:rsidRPr="00293B61" w:rsidRDefault="00A64F6E">
      <w:pPr>
        <w:tabs>
          <w:tab w:val="left" w:pos="567"/>
        </w:tabs>
        <w:ind w:right="-592"/>
        <w:jc w:val="both"/>
        <w:rPr>
          <w:rFonts w:ascii="Palatino Linotype" w:eastAsia="Palatino Linotype" w:hAnsi="Palatino Linotype" w:cs="Palatino Linotype"/>
          <w:i/>
        </w:rPr>
      </w:pPr>
    </w:p>
    <w:p w:rsidR="00A64F6E" w:rsidRPr="00293B61" w:rsidRDefault="00FA4F87">
      <w:pPr>
        <w:numPr>
          <w:ilvl w:val="0"/>
          <w:numId w:val="1"/>
        </w:numPr>
        <w:spacing w:line="360" w:lineRule="auto"/>
        <w:ind w:left="0" w:right="-592" w:firstLine="0"/>
        <w:jc w:val="both"/>
      </w:pPr>
      <w:r w:rsidRPr="00293B61">
        <w:rPr>
          <w:rFonts w:ascii="Palatino Linotype" w:eastAsia="Palatino Linotype" w:hAnsi="Palatino Linotype" w:cs="Palatino Linotype"/>
        </w:rPr>
        <w:t>Al no actualizar ninguna causal de procedencia, el recurso de revisión debe ser desechados por improcedentes; sin embargo, una vez admitido, procederá el sobreseimiento de acuerdo con lo que establece el artículo 192 fracción IV, de la multicitada Ley de Transparencia:</w:t>
      </w:r>
    </w:p>
    <w:p w:rsidR="00A64F6E" w:rsidRPr="00293B61" w:rsidRDefault="00FA4F87">
      <w:pPr>
        <w:pBdr>
          <w:top w:val="nil"/>
          <w:left w:val="nil"/>
          <w:bottom w:val="nil"/>
          <w:right w:val="nil"/>
          <w:between w:val="nil"/>
        </w:pBdr>
        <w:tabs>
          <w:tab w:val="left" w:pos="567"/>
        </w:tabs>
        <w:ind w:left="567" w:right="-25"/>
        <w:jc w:val="both"/>
        <w:rPr>
          <w:rFonts w:ascii="Palatino Linotype" w:eastAsia="Palatino Linotype" w:hAnsi="Palatino Linotype" w:cs="Palatino Linotype"/>
          <w:i/>
          <w:color w:val="000000"/>
          <w:sz w:val="22"/>
          <w:szCs w:val="22"/>
        </w:rPr>
      </w:pPr>
      <w:r w:rsidRPr="00293B61">
        <w:rPr>
          <w:rFonts w:ascii="Palatino Linotype" w:eastAsia="Palatino Linotype" w:hAnsi="Palatino Linotype" w:cs="Palatino Linotype"/>
          <w:b/>
          <w:i/>
          <w:color w:val="000000"/>
          <w:sz w:val="22"/>
          <w:szCs w:val="22"/>
        </w:rPr>
        <w:t>“Artículo 192.</w:t>
      </w:r>
      <w:r w:rsidRPr="00293B61">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rsidR="00A64F6E" w:rsidRPr="00293B61" w:rsidRDefault="00FA4F87">
      <w:pPr>
        <w:pBdr>
          <w:top w:val="nil"/>
          <w:left w:val="nil"/>
          <w:bottom w:val="nil"/>
          <w:right w:val="nil"/>
          <w:between w:val="nil"/>
        </w:pBdr>
        <w:tabs>
          <w:tab w:val="left" w:pos="567"/>
        </w:tabs>
        <w:ind w:left="567" w:right="-25"/>
        <w:jc w:val="both"/>
        <w:rPr>
          <w:rFonts w:ascii="Palatino Linotype" w:eastAsia="Palatino Linotype" w:hAnsi="Palatino Linotype" w:cs="Palatino Linotype"/>
          <w:i/>
          <w:color w:val="000000"/>
          <w:sz w:val="22"/>
          <w:szCs w:val="22"/>
        </w:rPr>
      </w:pPr>
      <w:r w:rsidRPr="00293B61">
        <w:rPr>
          <w:rFonts w:ascii="Palatino Linotype" w:eastAsia="Palatino Linotype" w:hAnsi="Palatino Linotype" w:cs="Palatino Linotype"/>
          <w:i/>
          <w:color w:val="000000"/>
          <w:sz w:val="22"/>
          <w:szCs w:val="22"/>
        </w:rPr>
        <w:t>(…)</w:t>
      </w:r>
    </w:p>
    <w:p w:rsidR="00A64F6E" w:rsidRPr="00293B61" w:rsidRDefault="00FA4F87">
      <w:pPr>
        <w:pBdr>
          <w:top w:val="nil"/>
          <w:left w:val="nil"/>
          <w:bottom w:val="nil"/>
          <w:right w:val="nil"/>
          <w:between w:val="nil"/>
        </w:pBdr>
        <w:tabs>
          <w:tab w:val="left" w:pos="567"/>
        </w:tabs>
        <w:ind w:left="567" w:right="-25"/>
        <w:jc w:val="both"/>
        <w:rPr>
          <w:rFonts w:ascii="Palatino Linotype" w:eastAsia="Palatino Linotype" w:hAnsi="Palatino Linotype" w:cs="Palatino Linotype"/>
          <w:b/>
          <w:i/>
          <w:color w:val="000000"/>
          <w:sz w:val="22"/>
          <w:szCs w:val="22"/>
        </w:rPr>
      </w:pPr>
      <w:r w:rsidRPr="00293B61">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rsidR="00A64F6E" w:rsidRPr="00293B61" w:rsidRDefault="00FA4F87">
      <w:pPr>
        <w:pBdr>
          <w:top w:val="nil"/>
          <w:left w:val="nil"/>
          <w:bottom w:val="nil"/>
          <w:right w:val="nil"/>
          <w:between w:val="nil"/>
        </w:pBdr>
        <w:tabs>
          <w:tab w:val="left" w:pos="567"/>
        </w:tabs>
        <w:ind w:left="567" w:right="-25"/>
        <w:jc w:val="both"/>
        <w:rPr>
          <w:rFonts w:ascii="Palatino Linotype" w:eastAsia="Palatino Linotype" w:hAnsi="Palatino Linotype" w:cs="Palatino Linotype"/>
          <w:i/>
          <w:color w:val="000000"/>
          <w:sz w:val="22"/>
          <w:szCs w:val="22"/>
        </w:rPr>
      </w:pPr>
      <w:r w:rsidRPr="00293B61">
        <w:rPr>
          <w:rFonts w:ascii="Palatino Linotype" w:eastAsia="Palatino Linotype" w:hAnsi="Palatino Linotype" w:cs="Palatino Linotype"/>
          <w:i/>
          <w:color w:val="000000"/>
          <w:sz w:val="22"/>
          <w:szCs w:val="22"/>
        </w:rPr>
        <w:t>(…)”</w:t>
      </w:r>
    </w:p>
    <w:p w:rsidR="00A64F6E" w:rsidRPr="00293B61" w:rsidRDefault="00A64F6E">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rsidR="00A64F6E" w:rsidRPr="00293B61" w:rsidRDefault="00FA4F87">
      <w:pPr>
        <w:numPr>
          <w:ilvl w:val="0"/>
          <w:numId w:val="1"/>
        </w:numPr>
        <w:pBdr>
          <w:top w:val="nil"/>
          <w:left w:val="nil"/>
          <w:bottom w:val="nil"/>
          <w:right w:val="nil"/>
          <w:between w:val="nil"/>
        </w:pBdr>
        <w:spacing w:line="360" w:lineRule="auto"/>
        <w:ind w:left="0" w:right="-592" w:firstLine="0"/>
        <w:jc w:val="both"/>
        <w:rPr>
          <w:color w:val="000000"/>
        </w:rPr>
      </w:pPr>
      <w:r w:rsidRPr="00293B61">
        <w:rPr>
          <w:rFonts w:ascii="Palatino Linotype" w:eastAsia="Palatino Linotype" w:hAnsi="Palatino Linotype" w:cs="Palatino Linotype"/>
          <w:color w:val="000000"/>
        </w:rPr>
        <w:t>Es así como, el recurso de revisión actualiza la causal de sobreseimiento establecida en la fracción IV del artículo 192, en relación a la fracción III del artículo 191, ambos de la Ley de Transparencia y Acceso a la Información Pública del Estado de México y Municipios.</w:t>
      </w:r>
    </w:p>
    <w:p w:rsidR="00A64F6E" w:rsidRPr="00293B61" w:rsidRDefault="00A64F6E">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A64F6E" w:rsidRPr="00293B61" w:rsidRDefault="00FA4F87">
      <w:pPr>
        <w:numPr>
          <w:ilvl w:val="0"/>
          <w:numId w:val="1"/>
        </w:numPr>
        <w:pBdr>
          <w:top w:val="nil"/>
          <w:left w:val="nil"/>
          <w:bottom w:val="nil"/>
          <w:right w:val="nil"/>
          <w:between w:val="nil"/>
        </w:pBdr>
        <w:spacing w:line="360" w:lineRule="auto"/>
        <w:ind w:left="0" w:right="-592" w:firstLine="0"/>
        <w:jc w:val="both"/>
        <w:rPr>
          <w:color w:val="000000"/>
        </w:rPr>
      </w:pPr>
      <w:r w:rsidRPr="00293B61">
        <w:rPr>
          <w:rFonts w:ascii="Palatino Linotype" w:eastAsia="Palatino Linotype" w:hAnsi="Palatino Linotype" w:cs="Palatino Linotype"/>
          <w:color w:val="000000"/>
        </w:rPr>
        <w:t xml:space="preserve">No obstante, a efecto de no vulnerar los derechos del </w:t>
      </w:r>
      <w:r w:rsidRPr="00293B61">
        <w:rPr>
          <w:rFonts w:ascii="Palatino Linotype" w:eastAsia="Palatino Linotype" w:hAnsi="Palatino Linotype" w:cs="Palatino Linotype"/>
          <w:b/>
          <w:color w:val="000000"/>
        </w:rPr>
        <w:t>RECURRENT</w:t>
      </w:r>
      <w:r w:rsidRPr="00293B61">
        <w:rPr>
          <w:rFonts w:ascii="Palatino Linotype" w:eastAsia="Palatino Linotype" w:hAnsi="Palatino Linotype" w:cs="Palatino Linotype"/>
          <w:color w:val="000000"/>
        </w:rPr>
        <w:t>E, este Órgano Garante deja a salvo sus derechos para que, si así lo desea, presente una nueva solicitud de acceso a la información requiriendo información que sea de su interés</w:t>
      </w:r>
    </w:p>
    <w:p w:rsidR="00A64F6E" w:rsidRPr="00293B61" w:rsidRDefault="00A64F6E">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A64F6E" w:rsidRPr="00293B61" w:rsidRDefault="00FA4F87">
      <w:pPr>
        <w:numPr>
          <w:ilvl w:val="0"/>
          <w:numId w:val="1"/>
        </w:numPr>
        <w:spacing w:line="360" w:lineRule="auto"/>
        <w:ind w:left="0" w:right="-592" w:firstLine="0"/>
        <w:jc w:val="both"/>
        <w:rPr>
          <w:color w:val="000000"/>
        </w:rPr>
      </w:pPr>
      <w:bookmarkStart w:id="12" w:name="_heading=h.4d34og8" w:colFirst="0" w:colLast="0"/>
      <w:bookmarkEnd w:id="12"/>
      <w:r w:rsidRPr="00293B61">
        <w:rPr>
          <w:rFonts w:ascii="Palatino Linotype" w:eastAsia="Palatino Linotype" w:hAnsi="Palatino Linotype" w:cs="Palatino Linotype"/>
        </w:rPr>
        <w:lastRenderedPageBreak/>
        <w:t xml:space="preserve">Por lo anteriormente expuesto y fundado, este </w:t>
      </w:r>
      <w:r w:rsidRPr="00293B61">
        <w:rPr>
          <w:rFonts w:ascii="Palatino Linotype" w:eastAsia="Palatino Linotype" w:hAnsi="Palatino Linotype" w:cs="Palatino Linotype"/>
          <w:b/>
        </w:rPr>
        <w:t>ÓRGANO GARANTE</w:t>
      </w:r>
      <w:r w:rsidRPr="00293B61">
        <w:rPr>
          <w:rFonts w:ascii="Palatino Linotype" w:eastAsia="Palatino Linotype" w:hAnsi="Palatino Linotype" w:cs="Palatino Linotype"/>
        </w:rPr>
        <w:t xml:space="preserve"> emite los siguientes:</w:t>
      </w:r>
      <w:r w:rsidRPr="00293B61">
        <w:rPr>
          <w:rFonts w:ascii="Palatino Linotype" w:eastAsia="Palatino Linotype" w:hAnsi="Palatino Linotype" w:cs="Palatino Linotype"/>
          <w:color w:val="000000"/>
        </w:rPr>
        <w:t xml:space="preserve"> </w:t>
      </w:r>
      <w:r w:rsidR="00910252" w:rsidRPr="00293B61">
        <w:rPr>
          <w:rFonts w:ascii="Palatino Linotype" w:eastAsia="Palatino Linotype" w:hAnsi="Palatino Linotype" w:cs="Palatino Linotype"/>
          <w:color w:val="000000"/>
        </w:rPr>
        <w:t>---------------------------------------------------------------------------------------------------------</w:t>
      </w:r>
    </w:p>
    <w:p w:rsidR="00A64F6E" w:rsidRPr="00293B61" w:rsidRDefault="00A64F6E">
      <w:pPr>
        <w:spacing w:line="360" w:lineRule="auto"/>
        <w:ind w:right="-592"/>
        <w:jc w:val="both"/>
        <w:rPr>
          <w:rFonts w:ascii="Palatino Linotype" w:eastAsia="Palatino Linotype" w:hAnsi="Palatino Linotype" w:cs="Palatino Linotype"/>
          <w:color w:val="000000"/>
        </w:rPr>
      </w:pPr>
    </w:p>
    <w:p w:rsidR="00A64F6E" w:rsidRPr="00293B61" w:rsidRDefault="00FA4F87">
      <w:pPr>
        <w:keepNext/>
        <w:keepLines/>
        <w:spacing w:line="360" w:lineRule="auto"/>
        <w:ind w:right="-592"/>
        <w:jc w:val="center"/>
        <w:rPr>
          <w:rFonts w:ascii="Palatino Linotype" w:eastAsia="Palatino Linotype" w:hAnsi="Palatino Linotype" w:cs="Palatino Linotype"/>
          <w:b/>
          <w:color w:val="000000"/>
        </w:rPr>
      </w:pPr>
      <w:r w:rsidRPr="00293B61">
        <w:rPr>
          <w:rFonts w:ascii="Palatino Linotype" w:eastAsia="Palatino Linotype" w:hAnsi="Palatino Linotype" w:cs="Palatino Linotype"/>
          <w:b/>
          <w:color w:val="000000"/>
        </w:rPr>
        <w:t>R E S O L U T I V O S</w:t>
      </w:r>
    </w:p>
    <w:p w:rsidR="00A64F6E" w:rsidRPr="00293B61" w:rsidRDefault="00A64F6E">
      <w:pPr>
        <w:keepNext/>
        <w:keepLines/>
        <w:spacing w:line="360" w:lineRule="auto"/>
        <w:ind w:right="-592"/>
        <w:jc w:val="center"/>
        <w:rPr>
          <w:rFonts w:ascii="Palatino Linotype" w:eastAsia="Palatino Linotype" w:hAnsi="Palatino Linotype" w:cs="Palatino Linotype"/>
          <w:b/>
          <w:color w:val="000000"/>
          <w:sz w:val="18"/>
        </w:rPr>
      </w:pPr>
    </w:p>
    <w:p w:rsidR="00A64F6E" w:rsidRPr="00293B61" w:rsidRDefault="00FA4F87">
      <w:pPr>
        <w:spacing w:line="360" w:lineRule="auto"/>
        <w:ind w:right="-592"/>
        <w:jc w:val="both"/>
        <w:rPr>
          <w:rFonts w:ascii="Palatino Linotype" w:eastAsia="Palatino Linotype" w:hAnsi="Palatino Linotype" w:cs="Palatino Linotype"/>
        </w:rPr>
      </w:pPr>
      <w:r w:rsidRPr="00293B61">
        <w:rPr>
          <w:rFonts w:ascii="Palatino Linotype" w:eastAsia="Palatino Linotype" w:hAnsi="Palatino Linotype" w:cs="Palatino Linotype"/>
          <w:b/>
        </w:rPr>
        <w:t xml:space="preserve">PRIMERO. </w:t>
      </w:r>
      <w:r w:rsidRPr="00293B61">
        <w:rPr>
          <w:rFonts w:ascii="Palatino Linotype" w:eastAsia="Palatino Linotype" w:hAnsi="Palatino Linotype" w:cs="Palatino Linotype"/>
        </w:rPr>
        <w:t xml:space="preserve">Se </w:t>
      </w:r>
      <w:r w:rsidRPr="00293B61">
        <w:rPr>
          <w:rFonts w:ascii="Palatino Linotype" w:eastAsia="Palatino Linotype" w:hAnsi="Palatino Linotype" w:cs="Palatino Linotype"/>
          <w:b/>
        </w:rPr>
        <w:t xml:space="preserve">SOBRESEE </w:t>
      </w:r>
      <w:r w:rsidRPr="00293B61">
        <w:rPr>
          <w:rFonts w:ascii="Palatino Linotype" w:eastAsia="Palatino Linotype" w:hAnsi="Palatino Linotype" w:cs="Palatino Linotype"/>
        </w:rPr>
        <w:t xml:space="preserve">el recurso de revisión número </w:t>
      </w:r>
      <w:r w:rsidRPr="00293B61">
        <w:rPr>
          <w:rFonts w:ascii="Palatino Linotype" w:eastAsia="Palatino Linotype" w:hAnsi="Palatino Linotype" w:cs="Palatino Linotype"/>
          <w:b/>
        </w:rPr>
        <w:t xml:space="preserve">07248/INFOEM/IP/RR/2024 </w:t>
      </w:r>
      <w:r w:rsidRPr="00293B61">
        <w:rPr>
          <w:rFonts w:ascii="Palatino Linotype" w:eastAsia="Palatino Linotype" w:hAnsi="Palatino Linotype" w:cs="Palatino Linotype"/>
        </w:rPr>
        <w:t>de conformidad con el artículo 192</w:t>
      </w:r>
      <w:r w:rsidR="00CD5E8B" w:rsidRPr="00293B61">
        <w:rPr>
          <w:rFonts w:ascii="Palatino Linotype" w:eastAsia="Palatino Linotype" w:hAnsi="Palatino Linotype" w:cs="Palatino Linotype"/>
        </w:rPr>
        <w:t>,</w:t>
      </w:r>
      <w:r w:rsidRPr="00293B61">
        <w:rPr>
          <w:rFonts w:ascii="Palatino Linotype" w:eastAsia="Palatino Linotype" w:hAnsi="Palatino Linotype" w:cs="Palatino Linotype"/>
        </w:rPr>
        <w:t xml:space="preserve"> fracción IV, en relación con el artículo 191</w:t>
      </w:r>
      <w:r w:rsidR="00CD5E8B" w:rsidRPr="00293B61">
        <w:rPr>
          <w:rFonts w:ascii="Palatino Linotype" w:eastAsia="Palatino Linotype" w:hAnsi="Palatino Linotype" w:cs="Palatino Linotype"/>
        </w:rPr>
        <w:t>,</w:t>
      </w:r>
      <w:r w:rsidRPr="00293B61">
        <w:rPr>
          <w:rFonts w:ascii="Palatino Linotype" w:eastAsia="Palatino Linotype" w:hAnsi="Palatino Linotype" w:cs="Palatino Linotype"/>
        </w:rPr>
        <w:t xml:space="preserve"> fracción III</w:t>
      </w:r>
      <w:r w:rsidR="00CD5E8B" w:rsidRPr="00293B61">
        <w:rPr>
          <w:rFonts w:ascii="Palatino Linotype" w:eastAsia="Palatino Linotype" w:hAnsi="Palatino Linotype" w:cs="Palatino Linotype"/>
        </w:rPr>
        <w:t>,</w:t>
      </w:r>
      <w:r w:rsidRPr="00293B61">
        <w:rPr>
          <w:rFonts w:ascii="Palatino Linotype" w:eastAsia="Palatino Linotype" w:hAnsi="Palatino Linotype" w:cs="Palatino Linotype"/>
        </w:rPr>
        <w:t xml:space="preserve"> de la Ley de Transparencia y Acceso a la Información Pública del Estado de México y Municipios, en términos del </w:t>
      </w:r>
      <w:r w:rsidRPr="00293B61">
        <w:rPr>
          <w:rFonts w:ascii="Palatino Linotype" w:eastAsia="Palatino Linotype" w:hAnsi="Palatino Linotype" w:cs="Palatino Linotype"/>
          <w:b/>
        </w:rPr>
        <w:t>Considerando</w:t>
      </w:r>
      <w:r w:rsidRPr="00293B61">
        <w:rPr>
          <w:rFonts w:ascii="Palatino Linotype" w:eastAsia="Palatino Linotype" w:hAnsi="Palatino Linotype" w:cs="Palatino Linotype"/>
        </w:rPr>
        <w:t xml:space="preserve"> </w:t>
      </w:r>
      <w:r w:rsidRPr="00293B61">
        <w:rPr>
          <w:rFonts w:ascii="Palatino Linotype" w:eastAsia="Palatino Linotype" w:hAnsi="Palatino Linotype" w:cs="Palatino Linotype"/>
          <w:b/>
        </w:rPr>
        <w:t>TERCERO</w:t>
      </w:r>
      <w:r w:rsidRPr="00293B61">
        <w:rPr>
          <w:rFonts w:ascii="Palatino Linotype" w:eastAsia="Palatino Linotype" w:hAnsi="Palatino Linotype" w:cs="Palatino Linotype"/>
        </w:rPr>
        <w:t xml:space="preserve"> de la presente resolución.</w:t>
      </w:r>
    </w:p>
    <w:p w:rsidR="00A64F6E" w:rsidRPr="00293B61" w:rsidRDefault="00A64F6E">
      <w:pPr>
        <w:spacing w:line="360" w:lineRule="auto"/>
        <w:ind w:right="-592"/>
        <w:jc w:val="both"/>
        <w:rPr>
          <w:rFonts w:ascii="Palatino Linotype" w:eastAsia="Palatino Linotype" w:hAnsi="Palatino Linotype" w:cs="Palatino Linotype"/>
          <w:sz w:val="10"/>
        </w:rPr>
      </w:pPr>
    </w:p>
    <w:p w:rsidR="00A64F6E" w:rsidRPr="00293B61" w:rsidRDefault="00FA4F87">
      <w:pPr>
        <w:spacing w:line="360" w:lineRule="auto"/>
        <w:ind w:right="-592"/>
        <w:jc w:val="both"/>
        <w:rPr>
          <w:rFonts w:ascii="Palatino Linotype" w:eastAsia="Palatino Linotype" w:hAnsi="Palatino Linotype" w:cs="Palatino Linotype"/>
        </w:rPr>
      </w:pPr>
      <w:r w:rsidRPr="00293B61">
        <w:rPr>
          <w:rFonts w:ascii="Palatino Linotype" w:eastAsia="Palatino Linotype" w:hAnsi="Palatino Linotype" w:cs="Palatino Linotype"/>
          <w:b/>
        </w:rPr>
        <w:t>SEGUNDO.</w:t>
      </w:r>
      <w:r w:rsidRPr="00293B61">
        <w:rPr>
          <w:rFonts w:ascii="Palatino Linotype" w:eastAsia="Palatino Linotype" w:hAnsi="Palatino Linotype" w:cs="Palatino Linotype"/>
          <w:b/>
          <w:color w:val="2E75B5"/>
        </w:rPr>
        <w:t xml:space="preserve"> </w:t>
      </w:r>
      <w:r w:rsidRPr="00293B61">
        <w:rPr>
          <w:rFonts w:ascii="Palatino Linotype" w:eastAsia="Palatino Linotype" w:hAnsi="Palatino Linotype" w:cs="Palatino Linotype"/>
          <w:b/>
        </w:rPr>
        <w:t xml:space="preserve">REMÍTASE </w:t>
      </w:r>
      <w:r w:rsidRPr="00293B61">
        <w:rPr>
          <w:rFonts w:ascii="Palatino Linotype" w:eastAsia="Palatino Linotype" w:hAnsi="Palatino Linotype" w:cs="Palatino Linotype"/>
        </w:rPr>
        <w:t xml:space="preserve">a través del Sistema de Acceso a la Información Mexiquense </w:t>
      </w:r>
      <w:r w:rsidRPr="00293B61">
        <w:rPr>
          <w:rFonts w:ascii="Palatino Linotype" w:eastAsia="Palatino Linotype" w:hAnsi="Palatino Linotype" w:cs="Palatino Linotype"/>
          <w:b/>
        </w:rPr>
        <w:t xml:space="preserve">(SAIMEX) </w:t>
      </w:r>
      <w:r w:rsidRPr="00293B61">
        <w:rPr>
          <w:rFonts w:ascii="Palatino Linotype" w:eastAsia="Palatino Linotype" w:hAnsi="Palatino Linotype" w:cs="Palatino Linotype"/>
        </w:rPr>
        <w:t>la presente resolución al Titular de la Unidad de Transparencia del</w:t>
      </w:r>
      <w:r w:rsidRPr="00293B61">
        <w:rPr>
          <w:rFonts w:ascii="Palatino Linotype" w:eastAsia="Palatino Linotype" w:hAnsi="Palatino Linotype" w:cs="Palatino Linotype"/>
          <w:b/>
        </w:rPr>
        <w:t xml:space="preserve"> SUJETO OBLIGADO.</w:t>
      </w:r>
    </w:p>
    <w:p w:rsidR="00A64F6E" w:rsidRPr="00293B61" w:rsidRDefault="00A64F6E">
      <w:pPr>
        <w:spacing w:line="360" w:lineRule="auto"/>
        <w:ind w:right="-592"/>
        <w:jc w:val="both"/>
        <w:rPr>
          <w:rFonts w:ascii="Palatino Linotype" w:eastAsia="Palatino Linotype" w:hAnsi="Palatino Linotype" w:cs="Palatino Linotype"/>
          <w:sz w:val="10"/>
        </w:rPr>
      </w:pPr>
    </w:p>
    <w:p w:rsidR="00A64F6E" w:rsidRPr="00293B61" w:rsidRDefault="00FA4F87">
      <w:pPr>
        <w:tabs>
          <w:tab w:val="left" w:pos="8080"/>
        </w:tabs>
        <w:spacing w:line="360" w:lineRule="auto"/>
        <w:ind w:right="-592"/>
        <w:jc w:val="both"/>
        <w:rPr>
          <w:rFonts w:ascii="Palatino Linotype" w:eastAsia="Palatino Linotype" w:hAnsi="Palatino Linotype" w:cs="Palatino Linotype"/>
          <w:b/>
          <w:color w:val="000000"/>
        </w:rPr>
      </w:pPr>
      <w:r w:rsidRPr="00293B61">
        <w:rPr>
          <w:rFonts w:ascii="Palatino Linotype" w:eastAsia="Palatino Linotype" w:hAnsi="Palatino Linotype" w:cs="Palatino Linotype"/>
          <w:b/>
        </w:rPr>
        <w:t xml:space="preserve">TERCERO. Notifíquese </w:t>
      </w:r>
      <w:r w:rsidRPr="00293B61">
        <w:rPr>
          <w:rFonts w:ascii="Palatino Linotype" w:eastAsia="Palatino Linotype" w:hAnsi="Palatino Linotype" w:cs="Palatino Linotype"/>
        </w:rPr>
        <w:t xml:space="preserve">al </w:t>
      </w:r>
      <w:r w:rsidRPr="00293B61">
        <w:rPr>
          <w:rFonts w:ascii="Palatino Linotype" w:eastAsia="Palatino Linotype" w:hAnsi="Palatino Linotype" w:cs="Palatino Linotype"/>
          <w:b/>
        </w:rPr>
        <w:t>RECURRENTE</w:t>
      </w:r>
      <w:r w:rsidRPr="00293B61">
        <w:rPr>
          <w:rFonts w:ascii="Palatino Linotype" w:eastAsia="Palatino Linotype" w:hAnsi="Palatino Linotype" w:cs="Palatino Linotype"/>
        </w:rPr>
        <w:t xml:space="preserve"> la presente resolución, a través del Sistema de Acceso a la Información Mexiquense </w:t>
      </w:r>
      <w:r w:rsidRPr="00293B61">
        <w:rPr>
          <w:rFonts w:ascii="Palatino Linotype" w:eastAsia="Palatino Linotype" w:hAnsi="Palatino Linotype" w:cs="Palatino Linotype"/>
          <w:b/>
        </w:rPr>
        <w:t>(SAIMEX).</w:t>
      </w:r>
    </w:p>
    <w:p w:rsidR="00A64F6E" w:rsidRPr="00293B61" w:rsidRDefault="00A64F6E">
      <w:pPr>
        <w:tabs>
          <w:tab w:val="left" w:pos="8080"/>
        </w:tabs>
        <w:spacing w:line="360" w:lineRule="auto"/>
        <w:ind w:right="-592"/>
        <w:jc w:val="both"/>
        <w:rPr>
          <w:rFonts w:ascii="Palatino Linotype" w:eastAsia="Palatino Linotype" w:hAnsi="Palatino Linotype" w:cs="Palatino Linotype"/>
          <w:b/>
          <w:color w:val="000000"/>
          <w:sz w:val="12"/>
        </w:rPr>
      </w:pPr>
    </w:p>
    <w:p w:rsidR="00A64F6E" w:rsidRPr="00293B61" w:rsidRDefault="00FA4F87">
      <w:pPr>
        <w:shd w:val="clear" w:color="auto" w:fill="FFFFFF"/>
        <w:spacing w:line="360" w:lineRule="auto"/>
        <w:ind w:right="-592"/>
        <w:jc w:val="both"/>
        <w:rPr>
          <w:rFonts w:ascii="Palatino Linotype" w:eastAsia="Palatino Linotype" w:hAnsi="Palatino Linotype" w:cs="Palatino Linotype"/>
          <w:color w:val="000000"/>
        </w:rPr>
      </w:pPr>
      <w:r w:rsidRPr="00293B61">
        <w:rPr>
          <w:rFonts w:ascii="Palatino Linotype" w:eastAsia="Palatino Linotype" w:hAnsi="Palatino Linotype" w:cs="Palatino Linotype"/>
          <w:b/>
          <w:color w:val="000000"/>
        </w:rPr>
        <w:t xml:space="preserve">CUARTO. </w:t>
      </w:r>
      <w:r w:rsidRPr="00293B61">
        <w:rPr>
          <w:rFonts w:ascii="Palatino Linotype" w:eastAsia="Palatino Linotype" w:hAnsi="Palatino Linotype" w:cs="Palatino Linotype"/>
        </w:rPr>
        <w:t xml:space="preserve">Se hace del conocimiento del </w:t>
      </w:r>
      <w:r w:rsidRPr="00293B61">
        <w:rPr>
          <w:rFonts w:ascii="Palatino Linotype" w:eastAsia="Palatino Linotype" w:hAnsi="Palatino Linotype" w:cs="Palatino Linotype"/>
          <w:b/>
        </w:rPr>
        <w:t>RECURRENTE</w:t>
      </w:r>
      <w:r w:rsidRPr="00293B61">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A64F6E" w:rsidRPr="00293B61" w:rsidRDefault="00A64F6E">
      <w:pPr>
        <w:spacing w:line="360" w:lineRule="auto"/>
        <w:ind w:right="-592"/>
        <w:jc w:val="both"/>
        <w:rPr>
          <w:rFonts w:ascii="Palatino Linotype" w:eastAsia="Palatino Linotype" w:hAnsi="Palatino Linotype" w:cs="Palatino Linotype"/>
          <w:sz w:val="16"/>
        </w:rPr>
      </w:pPr>
    </w:p>
    <w:p w:rsidR="00CD5E8B" w:rsidRPr="00CD5E8B" w:rsidRDefault="00CD5E8B" w:rsidP="00CD5E8B">
      <w:pPr>
        <w:spacing w:line="360" w:lineRule="auto"/>
        <w:ind w:left="-142" w:right="-595" w:firstLine="1"/>
        <w:jc w:val="both"/>
        <w:rPr>
          <w:rFonts w:ascii="Palatino Linotype" w:hAnsi="Palatino Linotype"/>
        </w:rPr>
      </w:pPr>
      <w:r w:rsidRPr="00293B61">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Pr="00293B61">
        <w:rPr>
          <w:rFonts w:ascii="Palatino Linotype" w:hAnsi="Palatino Linotype"/>
        </w:rPr>
        <w:lastRenderedPageBreak/>
        <w:t>GUADALUPE RAMÍREZ PEÑA; EN LA CUARTA SESIÓN ORDINARIA CELEBRADA EL SEIS (06) DE FEBRERO DE DOS MIL VEINTICINCO, ANTE EL SECRETARIO TÉCNICO DEL PLENO ALEXIS TAPIA RAMÍREZ.</w:t>
      </w:r>
      <w:r w:rsidRPr="00CD5E8B">
        <w:rPr>
          <w:rFonts w:ascii="Palatino Linotype" w:hAnsi="Palatino Linotype"/>
        </w:rPr>
        <w:t xml:space="preserve"> </w:t>
      </w:r>
    </w:p>
    <w:p w:rsidR="00A64F6E" w:rsidRPr="00CD5E8B" w:rsidRDefault="00A64F6E" w:rsidP="00CD5E8B">
      <w:pPr>
        <w:spacing w:line="360" w:lineRule="auto"/>
        <w:ind w:right="-595"/>
        <w:jc w:val="both"/>
        <w:rPr>
          <w:rFonts w:ascii="Palatino Linotype" w:eastAsia="Palatino Linotype" w:hAnsi="Palatino Linotype" w:cs="Palatino Linotype"/>
        </w:rPr>
      </w:pPr>
    </w:p>
    <w:p w:rsidR="00A64F6E" w:rsidRPr="00CD5E8B" w:rsidRDefault="00A64F6E" w:rsidP="00CD5E8B">
      <w:pPr>
        <w:spacing w:line="360" w:lineRule="auto"/>
        <w:ind w:right="-595"/>
        <w:jc w:val="both"/>
        <w:rPr>
          <w:rFonts w:ascii="Palatino Linotype" w:eastAsia="Palatino Linotype" w:hAnsi="Palatino Linotype" w:cs="Palatino Linotype"/>
        </w:rPr>
      </w:pPr>
    </w:p>
    <w:p w:rsidR="00A64F6E" w:rsidRPr="00CD5E8B" w:rsidRDefault="00A64F6E" w:rsidP="00CD5E8B">
      <w:pPr>
        <w:spacing w:line="360" w:lineRule="auto"/>
        <w:ind w:right="-595"/>
        <w:jc w:val="both"/>
        <w:rPr>
          <w:rFonts w:ascii="Palatino Linotype" w:eastAsia="Palatino Linotype" w:hAnsi="Palatino Linotype" w:cs="Palatino Linotype"/>
        </w:rPr>
      </w:pPr>
    </w:p>
    <w:p w:rsidR="00A64F6E" w:rsidRPr="00CD5E8B" w:rsidRDefault="00A64F6E" w:rsidP="00CD5E8B">
      <w:pPr>
        <w:spacing w:line="360" w:lineRule="auto"/>
        <w:ind w:right="-595"/>
        <w:jc w:val="both"/>
        <w:rPr>
          <w:rFonts w:ascii="Palatino Linotype" w:eastAsia="Palatino Linotype" w:hAnsi="Palatino Linotype" w:cs="Palatino Linotype"/>
        </w:rPr>
      </w:pPr>
    </w:p>
    <w:p w:rsidR="00A64F6E" w:rsidRDefault="00A64F6E">
      <w:pPr>
        <w:spacing w:line="360" w:lineRule="auto"/>
        <w:ind w:right="-592"/>
        <w:jc w:val="both"/>
        <w:rPr>
          <w:rFonts w:ascii="Palatino Linotype" w:eastAsia="Palatino Linotype" w:hAnsi="Palatino Linotype" w:cs="Palatino Linotype"/>
        </w:rPr>
      </w:pPr>
    </w:p>
    <w:p w:rsidR="00A64F6E" w:rsidRDefault="00A64F6E">
      <w:pPr>
        <w:spacing w:line="360" w:lineRule="auto"/>
        <w:ind w:right="-592"/>
        <w:jc w:val="both"/>
        <w:rPr>
          <w:rFonts w:ascii="Palatino Linotype" w:eastAsia="Palatino Linotype" w:hAnsi="Palatino Linotype" w:cs="Palatino Linotype"/>
        </w:rPr>
      </w:pPr>
    </w:p>
    <w:p w:rsidR="00A64F6E" w:rsidRDefault="00A64F6E">
      <w:pPr>
        <w:spacing w:line="360" w:lineRule="auto"/>
        <w:ind w:right="-592"/>
        <w:jc w:val="both"/>
        <w:rPr>
          <w:rFonts w:ascii="Palatino Linotype" w:eastAsia="Palatino Linotype" w:hAnsi="Palatino Linotype" w:cs="Palatino Linotype"/>
        </w:rPr>
      </w:pPr>
    </w:p>
    <w:p w:rsidR="00A64F6E" w:rsidRDefault="00A64F6E">
      <w:pPr>
        <w:spacing w:line="360" w:lineRule="auto"/>
        <w:ind w:right="-592"/>
        <w:rPr>
          <w:rFonts w:ascii="Palatino Linotype" w:eastAsia="Palatino Linotype" w:hAnsi="Palatino Linotype" w:cs="Palatino Linotype"/>
        </w:rPr>
      </w:pPr>
    </w:p>
    <w:p w:rsidR="00A64F6E" w:rsidRDefault="00A64F6E">
      <w:pPr>
        <w:spacing w:line="360" w:lineRule="auto"/>
        <w:ind w:right="-592"/>
        <w:rPr>
          <w:rFonts w:ascii="Palatino Linotype" w:eastAsia="Palatino Linotype" w:hAnsi="Palatino Linotype" w:cs="Palatino Linotype"/>
        </w:rPr>
      </w:pPr>
    </w:p>
    <w:p w:rsidR="00A64F6E" w:rsidRDefault="00A64F6E">
      <w:pPr>
        <w:spacing w:line="360" w:lineRule="auto"/>
        <w:ind w:right="-592"/>
        <w:rPr>
          <w:rFonts w:ascii="Palatino Linotype" w:eastAsia="Palatino Linotype" w:hAnsi="Palatino Linotype" w:cs="Palatino Linotype"/>
        </w:rPr>
      </w:pPr>
    </w:p>
    <w:p w:rsidR="00A64F6E" w:rsidRDefault="00A64F6E">
      <w:pPr>
        <w:spacing w:line="360" w:lineRule="auto"/>
        <w:ind w:right="-592"/>
        <w:rPr>
          <w:rFonts w:ascii="Palatino Linotype" w:eastAsia="Palatino Linotype" w:hAnsi="Palatino Linotype" w:cs="Palatino Linotype"/>
        </w:rPr>
      </w:pPr>
    </w:p>
    <w:p w:rsidR="00A64F6E" w:rsidRDefault="00A64F6E">
      <w:pPr>
        <w:spacing w:line="360" w:lineRule="auto"/>
        <w:ind w:right="-592"/>
        <w:rPr>
          <w:rFonts w:ascii="Palatino Linotype" w:eastAsia="Palatino Linotype" w:hAnsi="Palatino Linotype" w:cs="Palatino Linotype"/>
        </w:rPr>
      </w:pPr>
    </w:p>
    <w:p w:rsidR="00A64F6E" w:rsidRDefault="00A64F6E">
      <w:pPr>
        <w:spacing w:line="360" w:lineRule="auto"/>
        <w:ind w:right="-592"/>
        <w:rPr>
          <w:rFonts w:ascii="Palatino Linotype" w:eastAsia="Palatino Linotype" w:hAnsi="Palatino Linotype" w:cs="Palatino Linotype"/>
        </w:rPr>
      </w:pPr>
    </w:p>
    <w:p w:rsidR="00A64F6E" w:rsidRDefault="00A64F6E">
      <w:pPr>
        <w:spacing w:line="360" w:lineRule="auto"/>
        <w:ind w:right="-592"/>
        <w:rPr>
          <w:rFonts w:ascii="Palatino Linotype" w:eastAsia="Palatino Linotype" w:hAnsi="Palatino Linotype" w:cs="Palatino Linotype"/>
        </w:rPr>
      </w:pPr>
    </w:p>
    <w:p w:rsidR="00A64F6E" w:rsidRDefault="00A64F6E">
      <w:pPr>
        <w:spacing w:line="360" w:lineRule="auto"/>
        <w:ind w:right="-592"/>
        <w:rPr>
          <w:rFonts w:ascii="Palatino Linotype" w:eastAsia="Palatino Linotype" w:hAnsi="Palatino Linotype" w:cs="Palatino Linotype"/>
        </w:rPr>
      </w:pPr>
    </w:p>
    <w:p w:rsidR="00A64F6E" w:rsidRDefault="00A64F6E">
      <w:pPr>
        <w:spacing w:line="360" w:lineRule="auto"/>
        <w:ind w:right="-592"/>
        <w:rPr>
          <w:rFonts w:ascii="Palatino Linotype" w:eastAsia="Palatino Linotype" w:hAnsi="Palatino Linotype" w:cs="Palatino Linotype"/>
        </w:rPr>
      </w:pPr>
    </w:p>
    <w:p w:rsidR="00A64F6E" w:rsidRDefault="00A64F6E">
      <w:pPr>
        <w:ind w:right="-592"/>
        <w:rPr>
          <w:rFonts w:ascii="Palatino Linotype" w:eastAsia="Palatino Linotype" w:hAnsi="Palatino Linotype" w:cs="Palatino Linotype"/>
        </w:rPr>
      </w:pPr>
    </w:p>
    <w:sectPr w:rsidR="00A64F6E">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7C" w:rsidRDefault="00224F7C">
      <w:r>
        <w:separator/>
      </w:r>
    </w:p>
  </w:endnote>
  <w:endnote w:type="continuationSeparator" w:id="0">
    <w:p w:rsidR="00224F7C" w:rsidRDefault="0022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6E" w:rsidRDefault="00FA4F8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E7899">
      <w:rPr>
        <w:b/>
        <w:noProof/>
        <w:color w:val="000000"/>
      </w:rPr>
      <w:t>12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E7899">
      <w:rPr>
        <w:b/>
        <w:noProof/>
        <w:color w:val="000000"/>
      </w:rPr>
      <w:t>13</w:t>
    </w:r>
    <w:r>
      <w:rPr>
        <w:b/>
        <w:color w:val="000000"/>
      </w:rPr>
      <w:fldChar w:fldCharType="end"/>
    </w:r>
  </w:p>
  <w:p w:rsidR="00A64F6E" w:rsidRDefault="00A64F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6E" w:rsidRDefault="00FA4F8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E789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E7899">
      <w:rPr>
        <w:b/>
        <w:noProof/>
        <w:color w:val="000000"/>
      </w:rPr>
      <w:t>13</w:t>
    </w:r>
    <w:r>
      <w:rPr>
        <w:b/>
        <w:color w:val="000000"/>
      </w:rPr>
      <w:fldChar w:fldCharType="end"/>
    </w:r>
  </w:p>
  <w:p w:rsidR="00A64F6E" w:rsidRDefault="00A64F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7C" w:rsidRDefault="00224F7C">
      <w:r>
        <w:separator/>
      </w:r>
    </w:p>
  </w:footnote>
  <w:footnote w:type="continuationSeparator" w:id="0">
    <w:p w:rsidR="00224F7C" w:rsidRDefault="0022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6E" w:rsidRDefault="00224F7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10774" w:type="dxa"/>
      <w:tblInd w:w="0" w:type="dxa"/>
      <w:tblLayout w:type="fixed"/>
      <w:tblLook w:val="0400" w:firstRow="0" w:lastRow="0" w:firstColumn="0" w:lastColumn="0" w:noHBand="0" w:noVBand="1"/>
    </w:tblPr>
    <w:tblGrid>
      <w:gridCol w:w="3828"/>
      <w:gridCol w:w="6946"/>
    </w:tblGrid>
    <w:tr w:rsidR="00A64F6E" w:rsidTr="00910252">
      <w:trPr>
        <w:trHeight w:val="1435"/>
      </w:trPr>
      <w:tc>
        <w:tcPr>
          <w:tcW w:w="3828" w:type="dxa"/>
          <w:shd w:val="clear" w:color="auto" w:fill="auto"/>
        </w:tcPr>
        <w:p w:rsidR="00A64F6E" w:rsidRDefault="00A64F6E">
          <w:pPr>
            <w:tabs>
              <w:tab w:val="right" w:pos="4273"/>
            </w:tabs>
            <w:rPr>
              <w:rFonts w:ascii="Garamond" w:eastAsia="Garamond" w:hAnsi="Garamond" w:cs="Garamond"/>
              <w:sz w:val="16"/>
              <w:szCs w:val="16"/>
            </w:rPr>
          </w:pPr>
        </w:p>
      </w:tc>
      <w:tc>
        <w:tcPr>
          <w:tcW w:w="6946" w:type="dxa"/>
          <w:shd w:val="clear" w:color="auto" w:fill="auto"/>
        </w:tcPr>
        <w:tbl>
          <w:tblPr>
            <w:tblStyle w:val="a0"/>
            <w:tblW w:w="6662" w:type="dxa"/>
            <w:tblInd w:w="40" w:type="dxa"/>
            <w:tblLayout w:type="fixed"/>
            <w:tblLook w:val="0400" w:firstRow="0" w:lastRow="0" w:firstColumn="0" w:lastColumn="0" w:noHBand="0" w:noVBand="1"/>
          </w:tblPr>
          <w:tblGrid>
            <w:gridCol w:w="2551"/>
            <w:gridCol w:w="4111"/>
          </w:tblGrid>
          <w:tr w:rsidR="00A64F6E">
            <w:trPr>
              <w:trHeight w:val="150"/>
            </w:trPr>
            <w:tc>
              <w:tcPr>
                <w:tcW w:w="2551" w:type="dxa"/>
                <w:shd w:val="clear" w:color="auto" w:fill="auto"/>
              </w:tcPr>
              <w:p w:rsidR="00A64F6E" w:rsidRDefault="00FA4F8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A64F6E" w:rsidRDefault="00FA4F87">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07248/INFOEM/IP/RR/2024</w:t>
                </w:r>
              </w:p>
            </w:tc>
          </w:tr>
          <w:tr w:rsidR="00A64F6E">
            <w:trPr>
              <w:trHeight w:val="295"/>
            </w:trPr>
            <w:tc>
              <w:tcPr>
                <w:tcW w:w="2551" w:type="dxa"/>
                <w:shd w:val="clear" w:color="auto" w:fill="auto"/>
              </w:tcPr>
              <w:p w:rsidR="00A64F6E" w:rsidRDefault="00FA4F8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A64F6E" w:rsidRDefault="00FA4F87">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Unidad de Asuntos Internos</w:t>
                </w:r>
              </w:p>
            </w:tc>
          </w:tr>
          <w:tr w:rsidR="00A64F6E">
            <w:trPr>
              <w:trHeight w:val="295"/>
            </w:trPr>
            <w:tc>
              <w:tcPr>
                <w:tcW w:w="2551" w:type="dxa"/>
                <w:shd w:val="clear" w:color="auto" w:fill="auto"/>
              </w:tcPr>
              <w:p w:rsidR="00A64F6E" w:rsidRDefault="00FA4F8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A64F6E" w:rsidRDefault="00FA4F87">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A64F6E" w:rsidRDefault="00A64F6E">
                <w:pPr>
                  <w:tabs>
                    <w:tab w:val="right" w:pos="8838"/>
                  </w:tabs>
                  <w:ind w:left="-108" w:right="171"/>
                  <w:jc w:val="both"/>
                  <w:rPr>
                    <w:rFonts w:ascii="Palatino Linotype" w:eastAsia="Palatino Linotype" w:hAnsi="Palatino Linotype" w:cs="Palatino Linotype"/>
                    <w:b/>
                    <w:sz w:val="22"/>
                    <w:szCs w:val="22"/>
                  </w:rPr>
                </w:pPr>
              </w:p>
            </w:tc>
          </w:tr>
        </w:tbl>
        <w:p w:rsidR="00A64F6E" w:rsidRDefault="00A64F6E">
          <w:pPr>
            <w:tabs>
              <w:tab w:val="right" w:pos="8838"/>
            </w:tabs>
            <w:ind w:left="-28"/>
            <w:jc w:val="both"/>
            <w:rPr>
              <w:rFonts w:ascii="Arial" w:eastAsia="Arial" w:hAnsi="Arial" w:cs="Arial"/>
              <w:b/>
              <w:sz w:val="22"/>
              <w:szCs w:val="22"/>
            </w:rPr>
          </w:pPr>
        </w:p>
      </w:tc>
    </w:tr>
  </w:tbl>
  <w:p w:rsidR="00A64F6E" w:rsidRDefault="00224F7C">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0065" w:type="dxa"/>
      <w:tblInd w:w="0" w:type="dxa"/>
      <w:tblLayout w:type="fixed"/>
      <w:tblLook w:val="0400" w:firstRow="0" w:lastRow="0" w:firstColumn="0" w:lastColumn="0" w:noHBand="0" w:noVBand="1"/>
    </w:tblPr>
    <w:tblGrid>
      <w:gridCol w:w="2268"/>
      <w:gridCol w:w="7797"/>
    </w:tblGrid>
    <w:tr w:rsidR="00A64F6E" w:rsidTr="00910252">
      <w:trPr>
        <w:trHeight w:val="1435"/>
      </w:trPr>
      <w:tc>
        <w:tcPr>
          <w:tcW w:w="2268" w:type="dxa"/>
          <w:shd w:val="clear" w:color="auto" w:fill="auto"/>
        </w:tcPr>
        <w:p w:rsidR="00A64F6E" w:rsidRDefault="00A64F6E">
          <w:pPr>
            <w:tabs>
              <w:tab w:val="right" w:pos="4273"/>
            </w:tabs>
            <w:rPr>
              <w:rFonts w:ascii="Garamond" w:eastAsia="Garamond" w:hAnsi="Garamond" w:cs="Garamond"/>
              <w:sz w:val="22"/>
              <w:szCs w:val="22"/>
            </w:rPr>
          </w:pPr>
        </w:p>
      </w:tc>
      <w:tc>
        <w:tcPr>
          <w:tcW w:w="7797" w:type="dxa"/>
          <w:shd w:val="clear" w:color="auto" w:fill="auto"/>
        </w:tcPr>
        <w:tbl>
          <w:tblPr>
            <w:tblStyle w:val="a2"/>
            <w:tblW w:w="6662" w:type="dxa"/>
            <w:tblInd w:w="1586" w:type="dxa"/>
            <w:tblLayout w:type="fixed"/>
            <w:tblLook w:val="0400" w:firstRow="0" w:lastRow="0" w:firstColumn="0" w:lastColumn="0" w:noHBand="0" w:noVBand="1"/>
          </w:tblPr>
          <w:tblGrid>
            <w:gridCol w:w="2444"/>
            <w:gridCol w:w="4218"/>
          </w:tblGrid>
          <w:tr w:rsidR="00A64F6E" w:rsidTr="00910252">
            <w:trPr>
              <w:trHeight w:val="144"/>
            </w:trPr>
            <w:tc>
              <w:tcPr>
                <w:tcW w:w="2444" w:type="dxa"/>
                <w:shd w:val="clear" w:color="auto" w:fill="auto"/>
              </w:tcPr>
              <w:p w:rsidR="00A64F6E" w:rsidRDefault="00FA4F87">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A64F6E" w:rsidRDefault="00FA4F8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07248/INFOEM/IP/RR/2024</w:t>
                </w:r>
              </w:p>
            </w:tc>
          </w:tr>
          <w:tr w:rsidR="00A64F6E" w:rsidTr="00910252">
            <w:trPr>
              <w:trHeight w:val="144"/>
            </w:trPr>
            <w:tc>
              <w:tcPr>
                <w:tcW w:w="2444" w:type="dxa"/>
                <w:shd w:val="clear" w:color="auto" w:fill="auto"/>
              </w:tcPr>
              <w:p w:rsidR="00A64F6E" w:rsidRDefault="00FA4F8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A64F6E" w:rsidRDefault="009E7899">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w:t>
                </w:r>
              </w:p>
              <w:p w:rsidR="009E7899" w:rsidRDefault="009E7899">
                <w:pPr>
                  <w:tabs>
                    <w:tab w:val="left" w:pos="3122"/>
                    <w:tab w:val="right" w:pos="8838"/>
                  </w:tabs>
                  <w:ind w:left="-74" w:right="-105"/>
                  <w:jc w:val="both"/>
                  <w:rPr>
                    <w:rFonts w:ascii="Palatino Linotype" w:eastAsia="Palatino Linotype" w:hAnsi="Palatino Linotype" w:cs="Palatino Linotype"/>
                    <w:sz w:val="22"/>
                    <w:szCs w:val="22"/>
                  </w:rPr>
                </w:pPr>
              </w:p>
            </w:tc>
          </w:tr>
          <w:tr w:rsidR="00A64F6E" w:rsidTr="00910252">
            <w:trPr>
              <w:trHeight w:val="283"/>
            </w:trPr>
            <w:tc>
              <w:tcPr>
                <w:tcW w:w="2444" w:type="dxa"/>
                <w:shd w:val="clear" w:color="auto" w:fill="auto"/>
              </w:tcPr>
              <w:p w:rsidR="00A64F6E" w:rsidRDefault="00FA4F8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A64F6E" w:rsidRDefault="00FA4F87">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Unidad de Asuntos Internos</w:t>
                </w:r>
              </w:p>
            </w:tc>
          </w:tr>
          <w:tr w:rsidR="00A64F6E" w:rsidTr="00910252">
            <w:trPr>
              <w:trHeight w:val="283"/>
            </w:trPr>
            <w:tc>
              <w:tcPr>
                <w:tcW w:w="2444" w:type="dxa"/>
                <w:shd w:val="clear" w:color="auto" w:fill="auto"/>
              </w:tcPr>
              <w:p w:rsidR="00A64F6E" w:rsidRDefault="00FA4F8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A64F6E" w:rsidRDefault="00FA4F8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A64F6E" w:rsidRDefault="00A64F6E">
                <w:pPr>
                  <w:tabs>
                    <w:tab w:val="right" w:pos="8838"/>
                  </w:tabs>
                  <w:ind w:left="-74" w:right="-105"/>
                  <w:jc w:val="both"/>
                  <w:rPr>
                    <w:rFonts w:ascii="Palatino Linotype" w:eastAsia="Palatino Linotype" w:hAnsi="Palatino Linotype" w:cs="Palatino Linotype"/>
                    <w:b/>
                    <w:sz w:val="22"/>
                    <w:szCs w:val="22"/>
                  </w:rPr>
                </w:pPr>
              </w:p>
            </w:tc>
          </w:tr>
        </w:tbl>
        <w:p w:rsidR="00A64F6E" w:rsidRDefault="00A64F6E">
          <w:pPr>
            <w:tabs>
              <w:tab w:val="right" w:pos="8838"/>
            </w:tabs>
            <w:ind w:left="-28"/>
            <w:jc w:val="both"/>
            <w:rPr>
              <w:rFonts w:ascii="Arial" w:eastAsia="Arial" w:hAnsi="Arial" w:cs="Arial"/>
              <w:b/>
              <w:sz w:val="22"/>
              <w:szCs w:val="22"/>
            </w:rPr>
          </w:pPr>
        </w:p>
      </w:tc>
    </w:tr>
  </w:tbl>
  <w:p w:rsidR="00A64F6E" w:rsidRDefault="00224F7C" w:rsidP="00910252">
    <w:pPr>
      <w:pBdr>
        <w:top w:val="nil"/>
        <w:left w:val="nil"/>
        <w:bottom w:val="nil"/>
        <w:right w:val="nil"/>
        <w:between w:val="nil"/>
      </w:pBdr>
      <w:tabs>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D3012"/>
    <w:multiLevelType w:val="multilevel"/>
    <w:tmpl w:val="ABC8951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F9262A"/>
    <w:multiLevelType w:val="multilevel"/>
    <w:tmpl w:val="A8A8D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D45921"/>
    <w:multiLevelType w:val="multilevel"/>
    <w:tmpl w:val="0B38CAA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6E"/>
    <w:rsid w:val="00224F7C"/>
    <w:rsid w:val="00293B61"/>
    <w:rsid w:val="007B64C6"/>
    <w:rsid w:val="00910252"/>
    <w:rsid w:val="009E7899"/>
    <w:rsid w:val="00A64F6E"/>
    <w:rsid w:val="00CD5E8B"/>
    <w:rsid w:val="00D22A61"/>
    <w:rsid w:val="00F34D05"/>
    <w:rsid w:val="00FA4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1AA572D-77AB-415C-8EBC-92629DA3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32"/>
  </w:style>
  <w:style w:type="paragraph" w:styleId="Ttulo1">
    <w:name w:val="heading 1"/>
    <w:basedOn w:val="Normal"/>
    <w:next w:val="Normal"/>
    <w:link w:val="Ttulo1Car"/>
    <w:uiPriority w:val="9"/>
    <w:qFormat/>
    <w:rsid w:val="00797C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D4F8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7CD8"/>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797CD8"/>
    <w:pPr>
      <w:tabs>
        <w:tab w:val="center" w:pos="4419"/>
        <w:tab w:val="right" w:pos="8838"/>
      </w:tabs>
    </w:pPr>
  </w:style>
  <w:style w:type="character" w:customStyle="1" w:styleId="EncabezadoCar">
    <w:name w:val="Encabezado Car"/>
    <w:basedOn w:val="Fuentedeprrafopredeter"/>
    <w:link w:val="Encabezado"/>
    <w:uiPriority w:val="99"/>
    <w:rsid w:val="00797CD8"/>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97CD8"/>
    <w:pPr>
      <w:tabs>
        <w:tab w:val="center" w:pos="4419"/>
        <w:tab w:val="right" w:pos="8838"/>
      </w:tabs>
    </w:pPr>
  </w:style>
  <w:style w:type="character" w:customStyle="1" w:styleId="PiedepginaCar">
    <w:name w:val="Pie de página Car"/>
    <w:basedOn w:val="Fuentedeprrafopredeter"/>
    <w:link w:val="Piedepgina"/>
    <w:uiPriority w:val="99"/>
    <w:rsid w:val="00797CD8"/>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7CD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97CD8"/>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97CD8"/>
    <w:rPr>
      <w:color w:val="0563C1"/>
      <w:u w:val="single"/>
    </w:rPr>
  </w:style>
  <w:style w:type="paragraph" w:styleId="Sinespaciado">
    <w:name w:val="No Spacing"/>
    <w:aliases w:val="Francesa,INAI"/>
    <w:link w:val="SinespaciadoCar"/>
    <w:uiPriority w:val="1"/>
    <w:qFormat/>
    <w:rsid w:val="00797CD8"/>
  </w:style>
  <w:style w:type="character" w:customStyle="1" w:styleId="SinespaciadoCar">
    <w:name w:val="Sin espaciado Car"/>
    <w:aliases w:val="Francesa Car,INAI Car"/>
    <w:link w:val="Sinespaciado"/>
    <w:uiPriority w:val="1"/>
    <w:locked/>
    <w:rsid w:val="00797CD8"/>
    <w:rPr>
      <w:lang w:val="es-MX"/>
    </w:rPr>
  </w:style>
  <w:style w:type="paragraph" w:styleId="TDC1">
    <w:name w:val="toc 1"/>
    <w:basedOn w:val="Normal"/>
    <w:next w:val="Normal"/>
    <w:autoRedefine/>
    <w:uiPriority w:val="39"/>
    <w:unhideWhenUsed/>
    <w:rsid w:val="00797CD8"/>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797CD8"/>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97CD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7CD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7CD8"/>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97CD8"/>
    <w:rPr>
      <w:rFonts w:ascii="Times New Roman" w:eastAsia="Times New Roman" w:hAnsi="Times New Roman" w:cs="Times New Roman"/>
      <w:sz w:val="20"/>
      <w:szCs w:val="20"/>
      <w:lang w:val="es-MX" w:eastAsia="es-MX"/>
    </w:rPr>
  </w:style>
  <w:style w:type="paragraph" w:styleId="Listaconvietas2">
    <w:name w:val="List Bullet 2"/>
    <w:basedOn w:val="Normal"/>
    <w:uiPriority w:val="99"/>
    <w:unhideWhenUsed/>
    <w:rsid w:val="000B718C"/>
    <w:pPr>
      <w:numPr>
        <w:numId w:val="3"/>
      </w:numPr>
      <w:contextualSpacing/>
    </w:pPr>
    <w:rPr>
      <w:sz w:val="20"/>
      <w:szCs w:val="20"/>
      <w:lang w:eastAsia="es-ES"/>
    </w:rPr>
  </w:style>
  <w:style w:type="character" w:styleId="Hipervnculovisitado">
    <w:name w:val="FollowedHyperlink"/>
    <w:basedOn w:val="Fuentedeprrafopredeter"/>
    <w:uiPriority w:val="99"/>
    <w:semiHidden/>
    <w:unhideWhenUsed/>
    <w:rsid w:val="00512488"/>
    <w:rPr>
      <w:color w:val="954F72" w:themeColor="followedHyperlink"/>
      <w:u w:val="single"/>
    </w:rPr>
  </w:style>
  <w:style w:type="character" w:customStyle="1" w:styleId="Ttulo2Car">
    <w:name w:val="Título 2 Car"/>
    <w:basedOn w:val="Fuentedeprrafopredeter"/>
    <w:link w:val="Ttulo2"/>
    <w:uiPriority w:val="9"/>
    <w:rsid w:val="00FD4F8F"/>
    <w:rPr>
      <w:rFonts w:asciiTheme="majorHAnsi" w:eastAsiaTheme="majorEastAsia" w:hAnsiTheme="majorHAnsi" w:cstheme="majorBidi"/>
      <w:color w:val="2E74B5" w:themeColor="accent1" w:themeShade="BF"/>
      <w:sz w:val="26"/>
      <w:szCs w:val="26"/>
      <w:lang w:val="es-MX"/>
    </w:rPr>
  </w:style>
  <w:style w:type="paragraph" w:styleId="Textoindependiente">
    <w:name w:val="Body Text"/>
    <w:basedOn w:val="Normal"/>
    <w:link w:val="TextoindependienteCar"/>
    <w:rsid w:val="00EE36DF"/>
    <w:pPr>
      <w:jc w:val="both"/>
    </w:pPr>
    <w:rPr>
      <w:rFonts w:ascii="Arial" w:hAnsi="Arial"/>
      <w:szCs w:val="20"/>
      <w:lang w:eastAsia="es-ES_tradnl"/>
    </w:rPr>
  </w:style>
  <w:style w:type="character" w:customStyle="1" w:styleId="TextoindependienteCar">
    <w:name w:val="Texto independiente Car"/>
    <w:basedOn w:val="Fuentedeprrafopredeter"/>
    <w:link w:val="Textoindependiente"/>
    <w:rsid w:val="00EE36DF"/>
    <w:rPr>
      <w:rFonts w:ascii="Arial" w:eastAsia="Times New Roman" w:hAnsi="Arial" w:cs="Times New Roman"/>
      <w:sz w:val="24"/>
      <w:szCs w:val="20"/>
      <w:lang w:val="es-MX" w:eastAsia="es-ES_tradnl"/>
    </w:rPr>
  </w:style>
  <w:style w:type="paragraph" w:customStyle="1" w:styleId="Default">
    <w:name w:val="Default"/>
    <w:rsid w:val="00CA54E0"/>
    <w:pPr>
      <w:autoSpaceDE w:val="0"/>
      <w:autoSpaceDN w:val="0"/>
      <w:adjustRightInd w:val="0"/>
    </w:pPr>
    <w:rPr>
      <w:rFonts w:ascii="Arial" w:hAnsi="Arial" w:cs="Arial"/>
      <w:color w:val="000000"/>
    </w:rPr>
  </w:style>
  <w:style w:type="character" w:customStyle="1" w:styleId="Mencinsinresolver1">
    <w:name w:val="Mención sin resolver1"/>
    <w:basedOn w:val="Fuentedeprrafopredeter"/>
    <w:uiPriority w:val="99"/>
    <w:semiHidden/>
    <w:unhideWhenUsed/>
    <w:rsid w:val="000A7237"/>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50121.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62690.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M4XL+lOEeFAvQeO/ThFBN+iV4Q==">CgMxLjAyCGguZ2pkZ3hzMgloLjMwajB6bGwyCWguMWZvYjl0ZTIOaC5maWtlMDk3d20zZjAyDmguN2ZhOWdiOTZveTc2Mg5oLmNmOG0wNjExczZtMTIJaC4zem55c2g3MgloLjJldDkycDAyCGgudHlqY3d0MgloLjNkeTZ2a20yCWguMXQzaDVzZjIJaC40ZDM0b2c4OAByITFkSlJ1aDUyZ2phcGRTMXlZZlpvWVlRV0RBTC1aMThlSg==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3100</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6</cp:revision>
  <cp:lastPrinted>2025-02-07T16:07:00Z</cp:lastPrinted>
  <dcterms:created xsi:type="dcterms:W3CDTF">2025-02-04T23:27:00Z</dcterms:created>
  <dcterms:modified xsi:type="dcterms:W3CDTF">2025-03-25T00:44:00Z</dcterms:modified>
</cp:coreProperties>
</file>