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Palatino Linotype" w:eastAsia="Times New Roman" w:hAnsi="Palatino Linotype" w:cs="Times New Roman"/>
          <w:color w:val="auto"/>
          <w:sz w:val="16"/>
          <w:szCs w:val="16"/>
          <w:lang w:val="es-ES" w:eastAsia="es-ES"/>
        </w:rPr>
        <w:id w:val="1492215735"/>
        <w:docPartObj>
          <w:docPartGallery w:val="Table of Contents"/>
          <w:docPartUnique/>
        </w:docPartObj>
      </w:sdtPr>
      <w:sdtEndPr>
        <w:rPr>
          <w:b/>
          <w:bCs/>
          <w:sz w:val="22"/>
          <w:szCs w:val="20"/>
        </w:rPr>
      </w:sdtEndPr>
      <w:sdtContent>
        <w:p w14:paraId="1AE18B79" w14:textId="6B195B53" w:rsidR="00AE3DA7" w:rsidRPr="001B4A72" w:rsidRDefault="00AE3DA7" w:rsidP="001B4A72">
          <w:pPr>
            <w:pStyle w:val="TtulodeTDC"/>
            <w:spacing w:before="0" w:line="240" w:lineRule="auto"/>
            <w:rPr>
              <w:rFonts w:ascii="Palatino Linotype" w:hAnsi="Palatino Linotype"/>
              <w:color w:val="auto"/>
              <w:sz w:val="24"/>
              <w:szCs w:val="24"/>
              <w:lang w:val="es-ES"/>
            </w:rPr>
          </w:pPr>
          <w:r w:rsidRPr="001B4A72">
            <w:rPr>
              <w:rFonts w:ascii="Palatino Linotype" w:hAnsi="Palatino Linotype"/>
              <w:color w:val="auto"/>
              <w:sz w:val="24"/>
              <w:szCs w:val="24"/>
              <w:lang w:val="es-ES"/>
            </w:rPr>
            <w:t>Contenido</w:t>
          </w:r>
        </w:p>
        <w:p w14:paraId="3EB312A7" w14:textId="77777777" w:rsidR="00AA6EA9" w:rsidRPr="001B4A72" w:rsidRDefault="00AA6EA9" w:rsidP="001B4A72">
          <w:pPr>
            <w:spacing w:line="240" w:lineRule="auto"/>
            <w:rPr>
              <w:sz w:val="16"/>
              <w:szCs w:val="16"/>
              <w:lang w:val="es-ES" w:eastAsia="es-MX"/>
            </w:rPr>
          </w:pPr>
        </w:p>
        <w:p w14:paraId="35AC1F34" w14:textId="77777777" w:rsidR="001B4A72" w:rsidRDefault="00AE3DA7">
          <w:pPr>
            <w:pStyle w:val="TDC1"/>
            <w:tabs>
              <w:tab w:val="right" w:leader="dot" w:pos="9034"/>
            </w:tabs>
            <w:rPr>
              <w:rFonts w:asciiTheme="minorHAnsi" w:eastAsiaTheme="minorEastAsia" w:hAnsiTheme="minorHAnsi" w:cstheme="minorBidi"/>
              <w:noProof/>
              <w:szCs w:val="22"/>
              <w:lang w:eastAsia="es-MX"/>
            </w:rPr>
          </w:pPr>
          <w:r w:rsidRPr="001B4A72">
            <w:rPr>
              <w:sz w:val="16"/>
              <w:szCs w:val="16"/>
            </w:rPr>
            <w:fldChar w:fldCharType="begin"/>
          </w:r>
          <w:r w:rsidRPr="001B4A72">
            <w:rPr>
              <w:sz w:val="16"/>
              <w:szCs w:val="16"/>
            </w:rPr>
            <w:instrText xml:space="preserve"> TOC \o "1-3" \h \z \u </w:instrText>
          </w:r>
          <w:r w:rsidRPr="001B4A72">
            <w:rPr>
              <w:sz w:val="16"/>
              <w:szCs w:val="16"/>
            </w:rPr>
            <w:fldChar w:fldCharType="separate"/>
          </w:r>
          <w:hyperlink w:anchor="_Toc188469826" w:history="1">
            <w:r w:rsidR="001B4A72" w:rsidRPr="0087517A">
              <w:rPr>
                <w:rStyle w:val="Hipervnculo"/>
                <w:noProof/>
              </w:rPr>
              <w:t>ANTECEDENTES</w:t>
            </w:r>
            <w:r w:rsidR="001B4A72">
              <w:rPr>
                <w:noProof/>
                <w:webHidden/>
              </w:rPr>
              <w:tab/>
            </w:r>
            <w:r w:rsidR="001B4A72">
              <w:rPr>
                <w:noProof/>
                <w:webHidden/>
              </w:rPr>
              <w:fldChar w:fldCharType="begin"/>
            </w:r>
            <w:r w:rsidR="001B4A72">
              <w:rPr>
                <w:noProof/>
                <w:webHidden/>
              </w:rPr>
              <w:instrText xml:space="preserve"> PAGEREF _Toc188469826 \h </w:instrText>
            </w:r>
            <w:r w:rsidR="001B4A72">
              <w:rPr>
                <w:noProof/>
                <w:webHidden/>
              </w:rPr>
            </w:r>
            <w:r w:rsidR="001B4A72">
              <w:rPr>
                <w:noProof/>
                <w:webHidden/>
              </w:rPr>
              <w:fldChar w:fldCharType="separate"/>
            </w:r>
            <w:r w:rsidR="00DF2E7D">
              <w:rPr>
                <w:noProof/>
                <w:webHidden/>
              </w:rPr>
              <w:t>1</w:t>
            </w:r>
            <w:r w:rsidR="001B4A72">
              <w:rPr>
                <w:noProof/>
                <w:webHidden/>
              </w:rPr>
              <w:fldChar w:fldCharType="end"/>
            </w:r>
          </w:hyperlink>
        </w:p>
        <w:p w14:paraId="2735EA94" w14:textId="77777777" w:rsidR="001B4A72" w:rsidRDefault="000325E6">
          <w:pPr>
            <w:pStyle w:val="TDC2"/>
            <w:rPr>
              <w:rFonts w:asciiTheme="minorHAnsi" w:eastAsiaTheme="minorEastAsia" w:hAnsiTheme="minorHAnsi" w:cstheme="minorBidi"/>
              <w:noProof/>
              <w:szCs w:val="22"/>
              <w:lang w:eastAsia="es-MX"/>
            </w:rPr>
          </w:pPr>
          <w:hyperlink w:anchor="_Toc188469827" w:history="1">
            <w:r w:rsidR="001B4A72" w:rsidRPr="0087517A">
              <w:rPr>
                <w:rStyle w:val="Hipervnculo"/>
                <w:noProof/>
              </w:rPr>
              <w:t>DE LA SOLICITUD DE INFORMACIÓN</w:t>
            </w:r>
            <w:r w:rsidR="001B4A72">
              <w:rPr>
                <w:noProof/>
                <w:webHidden/>
              </w:rPr>
              <w:tab/>
            </w:r>
            <w:r w:rsidR="001B4A72">
              <w:rPr>
                <w:noProof/>
                <w:webHidden/>
              </w:rPr>
              <w:fldChar w:fldCharType="begin"/>
            </w:r>
            <w:r w:rsidR="001B4A72">
              <w:rPr>
                <w:noProof/>
                <w:webHidden/>
              </w:rPr>
              <w:instrText xml:space="preserve"> PAGEREF _Toc188469827 \h </w:instrText>
            </w:r>
            <w:r w:rsidR="001B4A72">
              <w:rPr>
                <w:noProof/>
                <w:webHidden/>
              </w:rPr>
            </w:r>
            <w:r w:rsidR="001B4A72">
              <w:rPr>
                <w:noProof/>
                <w:webHidden/>
              </w:rPr>
              <w:fldChar w:fldCharType="separate"/>
            </w:r>
            <w:r w:rsidR="00DF2E7D">
              <w:rPr>
                <w:noProof/>
                <w:webHidden/>
              </w:rPr>
              <w:t>1</w:t>
            </w:r>
            <w:r w:rsidR="001B4A72">
              <w:rPr>
                <w:noProof/>
                <w:webHidden/>
              </w:rPr>
              <w:fldChar w:fldCharType="end"/>
            </w:r>
          </w:hyperlink>
        </w:p>
        <w:p w14:paraId="5A74FDB1" w14:textId="77777777" w:rsidR="001B4A72" w:rsidRDefault="000325E6">
          <w:pPr>
            <w:pStyle w:val="TDC3"/>
            <w:rPr>
              <w:rFonts w:asciiTheme="minorHAnsi" w:eastAsiaTheme="minorEastAsia" w:hAnsiTheme="minorHAnsi" w:cstheme="minorBidi"/>
              <w:noProof/>
              <w:szCs w:val="22"/>
              <w:lang w:eastAsia="es-MX"/>
            </w:rPr>
          </w:pPr>
          <w:hyperlink w:anchor="_Toc188469828" w:history="1">
            <w:r w:rsidR="001B4A72" w:rsidRPr="0087517A">
              <w:rPr>
                <w:rStyle w:val="Hipervnculo"/>
                <w:noProof/>
              </w:rPr>
              <w:t>a) Solicitud de información</w:t>
            </w:r>
            <w:r w:rsidR="001B4A72">
              <w:rPr>
                <w:noProof/>
                <w:webHidden/>
              </w:rPr>
              <w:tab/>
            </w:r>
            <w:r w:rsidR="001B4A72">
              <w:rPr>
                <w:noProof/>
                <w:webHidden/>
              </w:rPr>
              <w:fldChar w:fldCharType="begin"/>
            </w:r>
            <w:r w:rsidR="001B4A72">
              <w:rPr>
                <w:noProof/>
                <w:webHidden/>
              </w:rPr>
              <w:instrText xml:space="preserve"> PAGEREF _Toc188469828 \h </w:instrText>
            </w:r>
            <w:r w:rsidR="001B4A72">
              <w:rPr>
                <w:noProof/>
                <w:webHidden/>
              </w:rPr>
            </w:r>
            <w:r w:rsidR="001B4A72">
              <w:rPr>
                <w:noProof/>
                <w:webHidden/>
              </w:rPr>
              <w:fldChar w:fldCharType="separate"/>
            </w:r>
            <w:r w:rsidR="00DF2E7D">
              <w:rPr>
                <w:noProof/>
                <w:webHidden/>
              </w:rPr>
              <w:t>1</w:t>
            </w:r>
            <w:r w:rsidR="001B4A72">
              <w:rPr>
                <w:noProof/>
                <w:webHidden/>
              </w:rPr>
              <w:fldChar w:fldCharType="end"/>
            </w:r>
          </w:hyperlink>
        </w:p>
        <w:p w14:paraId="5535458B" w14:textId="77777777" w:rsidR="001B4A72" w:rsidRDefault="000325E6">
          <w:pPr>
            <w:pStyle w:val="TDC3"/>
            <w:rPr>
              <w:rFonts w:asciiTheme="minorHAnsi" w:eastAsiaTheme="minorEastAsia" w:hAnsiTheme="minorHAnsi" w:cstheme="minorBidi"/>
              <w:noProof/>
              <w:szCs w:val="22"/>
              <w:lang w:eastAsia="es-MX"/>
            </w:rPr>
          </w:pPr>
          <w:hyperlink w:anchor="_Toc188469829" w:history="1">
            <w:r w:rsidR="001B4A72" w:rsidRPr="0087517A">
              <w:rPr>
                <w:rStyle w:val="Hipervnculo"/>
                <w:noProof/>
              </w:rPr>
              <w:t>b) Turno de la solicitud de información</w:t>
            </w:r>
            <w:r w:rsidR="001B4A72">
              <w:rPr>
                <w:noProof/>
                <w:webHidden/>
              </w:rPr>
              <w:tab/>
            </w:r>
            <w:r w:rsidR="001B4A72">
              <w:rPr>
                <w:noProof/>
                <w:webHidden/>
              </w:rPr>
              <w:fldChar w:fldCharType="begin"/>
            </w:r>
            <w:r w:rsidR="001B4A72">
              <w:rPr>
                <w:noProof/>
                <w:webHidden/>
              </w:rPr>
              <w:instrText xml:space="preserve"> PAGEREF _Toc188469829 \h </w:instrText>
            </w:r>
            <w:r w:rsidR="001B4A72">
              <w:rPr>
                <w:noProof/>
                <w:webHidden/>
              </w:rPr>
            </w:r>
            <w:r w:rsidR="001B4A72">
              <w:rPr>
                <w:noProof/>
                <w:webHidden/>
              </w:rPr>
              <w:fldChar w:fldCharType="separate"/>
            </w:r>
            <w:r w:rsidR="00DF2E7D">
              <w:rPr>
                <w:noProof/>
                <w:webHidden/>
              </w:rPr>
              <w:t>2</w:t>
            </w:r>
            <w:r w:rsidR="001B4A72">
              <w:rPr>
                <w:noProof/>
                <w:webHidden/>
              </w:rPr>
              <w:fldChar w:fldCharType="end"/>
            </w:r>
          </w:hyperlink>
        </w:p>
        <w:p w14:paraId="77B9C1F4" w14:textId="77777777" w:rsidR="001B4A72" w:rsidRDefault="000325E6">
          <w:pPr>
            <w:pStyle w:val="TDC3"/>
            <w:rPr>
              <w:rFonts w:asciiTheme="minorHAnsi" w:eastAsiaTheme="minorEastAsia" w:hAnsiTheme="minorHAnsi" w:cstheme="minorBidi"/>
              <w:noProof/>
              <w:szCs w:val="22"/>
              <w:lang w:eastAsia="es-MX"/>
            </w:rPr>
          </w:pPr>
          <w:hyperlink w:anchor="_Toc188469830" w:history="1">
            <w:r w:rsidR="001B4A72" w:rsidRPr="0087517A">
              <w:rPr>
                <w:rStyle w:val="Hipervnculo"/>
                <w:noProof/>
                <w:lang w:val="es-ES"/>
              </w:rPr>
              <w:t xml:space="preserve">c) Respuesta </w:t>
            </w:r>
            <w:r w:rsidR="001B4A72" w:rsidRPr="0087517A">
              <w:rPr>
                <w:rStyle w:val="Hipervnculo"/>
                <w:rFonts w:eastAsia="Calibri"/>
                <w:noProof/>
                <w:lang w:eastAsia="en-US"/>
              </w:rPr>
              <w:t>del Sujeto Obligado</w:t>
            </w:r>
            <w:r w:rsidR="001B4A72">
              <w:rPr>
                <w:noProof/>
                <w:webHidden/>
              </w:rPr>
              <w:tab/>
            </w:r>
            <w:r w:rsidR="001B4A72">
              <w:rPr>
                <w:noProof/>
                <w:webHidden/>
              </w:rPr>
              <w:fldChar w:fldCharType="begin"/>
            </w:r>
            <w:r w:rsidR="001B4A72">
              <w:rPr>
                <w:noProof/>
                <w:webHidden/>
              </w:rPr>
              <w:instrText xml:space="preserve"> PAGEREF _Toc188469830 \h </w:instrText>
            </w:r>
            <w:r w:rsidR="001B4A72">
              <w:rPr>
                <w:noProof/>
                <w:webHidden/>
              </w:rPr>
            </w:r>
            <w:r w:rsidR="001B4A72">
              <w:rPr>
                <w:noProof/>
                <w:webHidden/>
              </w:rPr>
              <w:fldChar w:fldCharType="separate"/>
            </w:r>
            <w:r w:rsidR="00DF2E7D">
              <w:rPr>
                <w:noProof/>
                <w:webHidden/>
              </w:rPr>
              <w:t>2</w:t>
            </w:r>
            <w:r w:rsidR="001B4A72">
              <w:rPr>
                <w:noProof/>
                <w:webHidden/>
              </w:rPr>
              <w:fldChar w:fldCharType="end"/>
            </w:r>
          </w:hyperlink>
        </w:p>
        <w:p w14:paraId="2C52B364" w14:textId="77777777" w:rsidR="001B4A72" w:rsidRDefault="000325E6">
          <w:pPr>
            <w:pStyle w:val="TDC2"/>
            <w:rPr>
              <w:rFonts w:asciiTheme="minorHAnsi" w:eastAsiaTheme="minorEastAsia" w:hAnsiTheme="minorHAnsi" w:cstheme="minorBidi"/>
              <w:noProof/>
              <w:szCs w:val="22"/>
              <w:lang w:eastAsia="es-MX"/>
            </w:rPr>
          </w:pPr>
          <w:hyperlink w:anchor="_Toc188469831" w:history="1">
            <w:r w:rsidR="001B4A72" w:rsidRPr="0087517A">
              <w:rPr>
                <w:rStyle w:val="Hipervnculo"/>
                <w:noProof/>
              </w:rPr>
              <w:t>DEL RECURSO DE REVISIÓN</w:t>
            </w:r>
            <w:r w:rsidR="001B4A72">
              <w:rPr>
                <w:noProof/>
                <w:webHidden/>
              </w:rPr>
              <w:tab/>
            </w:r>
            <w:r w:rsidR="001B4A72">
              <w:rPr>
                <w:noProof/>
                <w:webHidden/>
              </w:rPr>
              <w:fldChar w:fldCharType="begin"/>
            </w:r>
            <w:r w:rsidR="001B4A72">
              <w:rPr>
                <w:noProof/>
                <w:webHidden/>
              </w:rPr>
              <w:instrText xml:space="preserve"> PAGEREF _Toc188469831 \h </w:instrText>
            </w:r>
            <w:r w:rsidR="001B4A72">
              <w:rPr>
                <w:noProof/>
                <w:webHidden/>
              </w:rPr>
            </w:r>
            <w:r w:rsidR="001B4A72">
              <w:rPr>
                <w:noProof/>
                <w:webHidden/>
              </w:rPr>
              <w:fldChar w:fldCharType="separate"/>
            </w:r>
            <w:r w:rsidR="00DF2E7D">
              <w:rPr>
                <w:noProof/>
                <w:webHidden/>
              </w:rPr>
              <w:t>2</w:t>
            </w:r>
            <w:r w:rsidR="001B4A72">
              <w:rPr>
                <w:noProof/>
                <w:webHidden/>
              </w:rPr>
              <w:fldChar w:fldCharType="end"/>
            </w:r>
          </w:hyperlink>
        </w:p>
        <w:p w14:paraId="7BB8BFA4" w14:textId="77777777" w:rsidR="001B4A72" w:rsidRDefault="000325E6">
          <w:pPr>
            <w:pStyle w:val="TDC3"/>
            <w:rPr>
              <w:rFonts w:asciiTheme="minorHAnsi" w:eastAsiaTheme="minorEastAsia" w:hAnsiTheme="minorHAnsi" w:cstheme="minorBidi"/>
              <w:noProof/>
              <w:szCs w:val="22"/>
              <w:lang w:eastAsia="es-MX"/>
            </w:rPr>
          </w:pPr>
          <w:hyperlink w:anchor="_Toc188469832" w:history="1">
            <w:r w:rsidR="001B4A72" w:rsidRPr="0087517A">
              <w:rPr>
                <w:rStyle w:val="Hipervnculo"/>
                <w:noProof/>
              </w:rPr>
              <w:t>a) Interposición del Recurso de Revisión</w:t>
            </w:r>
            <w:r w:rsidR="001B4A72">
              <w:rPr>
                <w:noProof/>
                <w:webHidden/>
              </w:rPr>
              <w:tab/>
            </w:r>
            <w:r w:rsidR="001B4A72">
              <w:rPr>
                <w:noProof/>
                <w:webHidden/>
              </w:rPr>
              <w:fldChar w:fldCharType="begin"/>
            </w:r>
            <w:r w:rsidR="001B4A72">
              <w:rPr>
                <w:noProof/>
                <w:webHidden/>
              </w:rPr>
              <w:instrText xml:space="preserve"> PAGEREF _Toc188469832 \h </w:instrText>
            </w:r>
            <w:r w:rsidR="001B4A72">
              <w:rPr>
                <w:noProof/>
                <w:webHidden/>
              </w:rPr>
            </w:r>
            <w:r w:rsidR="001B4A72">
              <w:rPr>
                <w:noProof/>
                <w:webHidden/>
              </w:rPr>
              <w:fldChar w:fldCharType="separate"/>
            </w:r>
            <w:r w:rsidR="00DF2E7D">
              <w:rPr>
                <w:noProof/>
                <w:webHidden/>
              </w:rPr>
              <w:t>2</w:t>
            </w:r>
            <w:r w:rsidR="001B4A72">
              <w:rPr>
                <w:noProof/>
                <w:webHidden/>
              </w:rPr>
              <w:fldChar w:fldCharType="end"/>
            </w:r>
          </w:hyperlink>
        </w:p>
        <w:p w14:paraId="799CFF3E" w14:textId="77777777" w:rsidR="001B4A72" w:rsidRDefault="000325E6">
          <w:pPr>
            <w:pStyle w:val="TDC3"/>
            <w:rPr>
              <w:rFonts w:asciiTheme="minorHAnsi" w:eastAsiaTheme="minorEastAsia" w:hAnsiTheme="minorHAnsi" w:cstheme="minorBidi"/>
              <w:noProof/>
              <w:szCs w:val="22"/>
              <w:lang w:eastAsia="es-MX"/>
            </w:rPr>
          </w:pPr>
          <w:hyperlink w:anchor="_Toc188469833" w:history="1">
            <w:r w:rsidR="001B4A72" w:rsidRPr="0087517A">
              <w:rPr>
                <w:rStyle w:val="Hipervnculo"/>
                <w:noProof/>
              </w:rPr>
              <w:t>b) Turno del Recurso de Revisión</w:t>
            </w:r>
            <w:r w:rsidR="001B4A72">
              <w:rPr>
                <w:noProof/>
                <w:webHidden/>
              </w:rPr>
              <w:tab/>
            </w:r>
            <w:r w:rsidR="001B4A72">
              <w:rPr>
                <w:noProof/>
                <w:webHidden/>
              </w:rPr>
              <w:fldChar w:fldCharType="begin"/>
            </w:r>
            <w:r w:rsidR="001B4A72">
              <w:rPr>
                <w:noProof/>
                <w:webHidden/>
              </w:rPr>
              <w:instrText xml:space="preserve"> PAGEREF _Toc188469833 \h </w:instrText>
            </w:r>
            <w:r w:rsidR="001B4A72">
              <w:rPr>
                <w:noProof/>
                <w:webHidden/>
              </w:rPr>
            </w:r>
            <w:r w:rsidR="001B4A72">
              <w:rPr>
                <w:noProof/>
                <w:webHidden/>
              </w:rPr>
              <w:fldChar w:fldCharType="separate"/>
            </w:r>
            <w:r w:rsidR="00DF2E7D">
              <w:rPr>
                <w:noProof/>
                <w:webHidden/>
              </w:rPr>
              <w:t>3</w:t>
            </w:r>
            <w:r w:rsidR="001B4A72">
              <w:rPr>
                <w:noProof/>
                <w:webHidden/>
              </w:rPr>
              <w:fldChar w:fldCharType="end"/>
            </w:r>
          </w:hyperlink>
        </w:p>
        <w:p w14:paraId="16F8F9B8" w14:textId="77777777" w:rsidR="001B4A72" w:rsidRDefault="000325E6">
          <w:pPr>
            <w:pStyle w:val="TDC3"/>
            <w:rPr>
              <w:rFonts w:asciiTheme="minorHAnsi" w:eastAsiaTheme="minorEastAsia" w:hAnsiTheme="minorHAnsi" w:cstheme="minorBidi"/>
              <w:noProof/>
              <w:szCs w:val="22"/>
              <w:lang w:eastAsia="es-MX"/>
            </w:rPr>
          </w:pPr>
          <w:hyperlink w:anchor="_Toc188469834" w:history="1">
            <w:r w:rsidR="001B4A72" w:rsidRPr="0087517A">
              <w:rPr>
                <w:rStyle w:val="Hipervnculo"/>
                <w:noProof/>
              </w:rPr>
              <w:t>c) Admisión del Recurso de Revisión</w:t>
            </w:r>
            <w:r w:rsidR="001B4A72">
              <w:rPr>
                <w:noProof/>
                <w:webHidden/>
              </w:rPr>
              <w:tab/>
            </w:r>
            <w:r w:rsidR="001B4A72">
              <w:rPr>
                <w:noProof/>
                <w:webHidden/>
              </w:rPr>
              <w:fldChar w:fldCharType="begin"/>
            </w:r>
            <w:r w:rsidR="001B4A72">
              <w:rPr>
                <w:noProof/>
                <w:webHidden/>
              </w:rPr>
              <w:instrText xml:space="preserve"> PAGEREF _Toc188469834 \h </w:instrText>
            </w:r>
            <w:r w:rsidR="001B4A72">
              <w:rPr>
                <w:noProof/>
                <w:webHidden/>
              </w:rPr>
            </w:r>
            <w:r w:rsidR="001B4A72">
              <w:rPr>
                <w:noProof/>
                <w:webHidden/>
              </w:rPr>
              <w:fldChar w:fldCharType="separate"/>
            </w:r>
            <w:r w:rsidR="00DF2E7D">
              <w:rPr>
                <w:noProof/>
                <w:webHidden/>
              </w:rPr>
              <w:t>3</w:t>
            </w:r>
            <w:r w:rsidR="001B4A72">
              <w:rPr>
                <w:noProof/>
                <w:webHidden/>
              </w:rPr>
              <w:fldChar w:fldCharType="end"/>
            </w:r>
          </w:hyperlink>
        </w:p>
        <w:p w14:paraId="6890B59F" w14:textId="77777777" w:rsidR="001B4A72" w:rsidRDefault="000325E6">
          <w:pPr>
            <w:pStyle w:val="TDC3"/>
            <w:rPr>
              <w:rFonts w:asciiTheme="minorHAnsi" w:eastAsiaTheme="minorEastAsia" w:hAnsiTheme="minorHAnsi" w:cstheme="minorBidi"/>
              <w:noProof/>
              <w:szCs w:val="22"/>
              <w:lang w:eastAsia="es-MX"/>
            </w:rPr>
          </w:pPr>
          <w:hyperlink w:anchor="_Toc188469835" w:history="1">
            <w:r w:rsidR="001B4A72" w:rsidRPr="0087517A">
              <w:rPr>
                <w:rStyle w:val="Hipervnculo"/>
                <w:noProof/>
              </w:rPr>
              <w:t>d) Informe Justificado del Sujeto Obligado</w:t>
            </w:r>
            <w:r w:rsidR="001B4A72">
              <w:rPr>
                <w:noProof/>
                <w:webHidden/>
              </w:rPr>
              <w:tab/>
            </w:r>
            <w:r w:rsidR="001B4A72">
              <w:rPr>
                <w:noProof/>
                <w:webHidden/>
              </w:rPr>
              <w:fldChar w:fldCharType="begin"/>
            </w:r>
            <w:r w:rsidR="001B4A72">
              <w:rPr>
                <w:noProof/>
                <w:webHidden/>
              </w:rPr>
              <w:instrText xml:space="preserve"> PAGEREF _Toc188469835 \h </w:instrText>
            </w:r>
            <w:r w:rsidR="001B4A72">
              <w:rPr>
                <w:noProof/>
                <w:webHidden/>
              </w:rPr>
            </w:r>
            <w:r w:rsidR="001B4A72">
              <w:rPr>
                <w:noProof/>
                <w:webHidden/>
              </w:rPr>
              <w:fldChar w:fldCharType="separate"/>
            </w:r>
            <w:r w:rsidR="00DF2E7D">
              <w:rPr>
                <w:noProof/>
                <w:webHidden/>
              </w:rPr>
              <w:t>4</w:t>
            </w:r>
            <w:r w:rsidR="001B4A72">
              <w:rPr>
                <w:noProof/>
                <w:webHidden/>
              </w:rPr>
              <w:fldChar w:fldCharType="end"/>
            </w:r>
          </w:hyperlink>
        </w:p>
        <w:p w14:paraId="1294944B" w14:textId="77777777" w:rsidR="001B4A72" w:rsidRDefault="000325E6">
          <w:pPr>
            <w:pStyle w:val="TDC3"/>
            <w:rPr>
              <w:rFonts w:asciiTheme="minorHAnsi" w:eastAsiaTheme="minorEastAsia" w:hAnsiTheme="minorHAnsi" w:cstheme="minorBidi"/>
              <w:noProof/>
              <w:szCs w:val="22"/>
              <w:lang w:eastAsia="es-MX"/>
            </w:rPr>
          </w:pPr>
          <w:hyperlink w:anchor="_Toc188469836" w:history="1">
            <w:r w:rsidR="001B4A72" w:rsidRPr="0087517A">
              <w:rPr>
                <w:rStyle w:val="Hipervnculo"/>
                <w:rFonts w:eastAsia="Calibri"/>
                <w:bCs/>
                <w:noProof/>
                <w:lang w:eastAsia="en-US"/>
              </w:rPr>
              <w:t>e)</w:t>
            </w:r>
            <w:r w:rsidR="001B4A72" w:rsidRPr="0087517A">
              <w:rPr>
                <w:rStyle w:val="Hipervnculo"/>
                <w:noProof/>
              </w:rPr>
              <w:t xml:space="preserve"> </w:t>
            </w:r>
            <w:r w:rsidR="001B4A72" w:rsidRPr="0087517A">
              <w:rPr>
                <w:rStyle w:val="Hipervnculo"/>
                <w:noProof/>
                <w:lang w:val="es-ES"/>
              </w:rPr>
              <w:t>Manifestaciones de la Parte Recurrente</w:t>
            </w:r>
            <w:r w:rsidR="001B4A72">
              <w:rPr>
                <w:noProof/>
                <w:webHidden/>
              </w:rPr>
              <w:tab/>
            </w:r>
            <w:r w:rsidR="001B4A72">
              <w:rPr>
                <w:noProof/>
                <w:webHidden/>
              </w:rPr>
              <w:fldChar w:fldCharType="begin"/>
            </w:r>
            <w:r w:rsidR="001B4A72">
              <w:rPr>
                <w:noProof/>
                <w:webHidden/>
              </w:rPr>
              <w:instrText xml:space="preserve"> PAGEREF _Toc188469836 \h </w:instrText>
            </w:r>
            <w:r w:rsidR="001B4A72">
              <w:rPr>
                <w:noProof/>
                <w:webHidden/>
              </w:rPr>
            </w:r>
            <w:r w:rsidR="001B4A72">
              <w:rPr>
                <w:noProof/>
                <w:webHidden/>
              </w:rPr>
              <w:fldChar w:fldCharType="separate"/>
            </w:r>
            <w:r w:rsidR="00DF2E7D">
              <w:rPr>
                <w:noProof/>
                <w:webHidden/>
              </w:rPr>
              <w:t>4</w:t>
            </w:r>
            <w:r w:rsidR="001B4A72">
              <w:rPr>
                <w:noProof/>
                <w:webHidden/>
              </w:rPr>
              <w:fldChar w:fldCharType="end"/>
            </w:r>
          </w:hyperlink>
        </w:p>
        <w:p w14:paraId="6909BA90" w14:textId="77777777" w:rsidR="001B4A72" w:rsidRDefault="000325E6">
          <w:pPr>
            <w:pStyle w:val="TDC3"/>
            <w:rPr>
              <w:rFonts w:asciiTheme="minorHAnsi" w:eastAsiaTheme="minorEastAsia" w:hAnsiTheme="minorHAnsi" w:cstheme="minorBidi"/>
              <w:noProof/>
              <w:szCs w:val="22"/>
              <w:lang w:eastAsia="es-MX"/>
            </w:rPr>
          </w:pPr>
          <w:hyperlink w:anchor="_Toc188469837" w:history="1">
            <w:r w:rsidR="001B4A72" w:rsidRPr="0087517A">
              <w:rPr>
                <w:rStyle w:val="Hipervnculo"/>
                <w:noProof/>
              </w:rPr>
              <w:t>f) Cierre de instrucción</w:t>
            </w:r>
            <w:r w:rsidR="001B4A72">
              <w:rPr>
                <w:noProof/>
                <w:webHidden/>
              </w:rPr>
              <w:tab/>
            </w:r>
            <w:r w:rsidR="001B4A72">
              <w:rPr>
                <w:noProof/>
                <w:webHidden/>
              </w:rPr>
              <w:fldChar w:fldCharType="begin"/>
            </w:r>
            <w:r w:rsidR="001B4A72">
              <w:rPr>
                <w:noProof/>
                <w:webHidden/>
              </w:rPr>
              <w:instrText xml:space="preserve"> PAGEREF _Toc188469837 \h </w:instrText>
            </w:r>
            <w:r w:rsidR="001B4A72">
              <w:rPr>
                <w:noProof/>
                <w:webHidden/>
              </w:rPr>
            </w:r>
            <w:r w:rsidR="001B4A72">
              <w:rPr>
                <w:noProof/>
                <w:webHidden/>
              </w:rPr>
              <w:fldChar w:fldCharType="separate"/>
            </w:r>
            <w:r w:rsidR="00DF2E7D">
              <w:rPr>
                <w:noProof/>
                <w:webHidden/>
              </w:rPr>
              <w:t>4</w:t>
            </w:r>
            <w:r w:rsidR="001B4A72">
              <w:rPr>
                <w:noProof/>
                <w:webHidden/>
              </w:rPr>
              <w:fldChar w:fldCharType="end"/>
            </w:r>
          </w:hyperlink>
        </w:p>
        <w:p w14:paraId="354724CB" w14:textId="77777777" w:rsidR="001B4A72" w:rsidRDefault="000325E6">
          <w:pPr>
            <w:pStyle w:val="TDC1"/>
            <w:tabs>
              <w:tab w:val="right" w:leader="dot" w:pos="9034"/>
            </w:tabs>
            <w:rPr>
              <w:rFonts w:asciiTheme="minorHAnsi" w:eastAsiaTheme="minorEastAsia" w:hAnsiTheme="minorHAnsi" w:cstheme="minorBidi"/>
              <w:noProof/>
              <w:szCs w:val="22"/>
              <w:lang w:eastAsia="es-MX"/>
            </w:rPr>
          </w:pPr>
          <w:hyperlink w:anchor="_Toc188469838" w:history="1">
            <w:r w:rsidR="001B4A72" w:rsidRPr="0087517A">
              <w:rPr>
                <w:rStyle w:val="Hipervnculo"/>
                <w:rFonts w:eastAsiaTheme="minorHAnsi"/>
                <w:noProof/>
                <w:lang w:eastAsia="en-US"/>
              </w:rPr>
              <w:t>CONSIDERANDOS</w:t>
            </w:r>
            <w:r w:rsidR="001B4A72">
              <w:rPr>
                <w:noProof/>
                <w:webHidden/>
              </w:rPr>
              <w:tab/>
            </w:r>
            <w:r w:rsidR="001B4A72">
              <w:rPr>
                <w:noProof/>
                <w:webHidden/>
              </w:rPr>
              <w:fldChar w:fldCharType="begin"/>
            </w:r>
            <w:r w:rsidR="001B4A72">
              <w:rPr>
                <w:noProof/>
                <w:webHidden/>
              </w:rPr>
              <w:instrText xml:space="preserve"> PAGEREF _Toc188469838 \h </w:instrText>
            </w:r>
            <w:r w:rsidR="001B4A72">
              <w:rPr>
                <w:noProof/>
                <w:webHidden/>
              </w:rPr>
            </w:r>
            <w:r w:rsidR="001B4A72">
              <w:rPr>
                <w:noProof/>
                <w:webHidden/>
              </w:rPr>
              <w:fldChar w:fldCharType="separate"/>
            </w:r>
            <w:r w:rsidR="00DF2E7D">
              <w:rPr>
                <w:noProof/>
                <w:webHidden/>
              </w:rPr>
              <w:t>4</w:t>
            </w:r>
            <w:r w:rsidR="001B4A72">
              <w:rPr>
                <w:noProof/>
                <w:webHidden/>
              </w:rPr>
              <w:fldChar w:fldCharType="end"/>
            </w:r>
          </w:hyperlink>
        </w:p>
        <w:p w14:paraId="055B4A9A" w14:textId="77777777" w:rsidR="001B4A72" w:rsidRDefault="000325E6">
          <w:pPr>
            <w:pStyle w:val="TDC2"/>
            <w:rPr>
              <w:rFonts w:asciiTheme="minorHAnsi" w:eastAsiaTheme="minorEastAsia" w:hAnsiTheme="minorHAnsi" w:cstheme="minorBidi"/>
              <w:noProof/>
              <w:szCs w:val="22"/>
              <w:lang w:eastAsia="es-MX"/>
            </w:rPr>
          </w:pPr>
          <w:hyperlink w:anchor="_Toc188469839" w:history="1">
            <w:r w:rsidR="001B4A72" w:rsidRPr="0087517A">
              <w:rPr>
                <w:rStyle w:val="Hipervnculo"/>
                <w:rFonts w:eastAsia="Batang"/>
                <w:noProof/>
              </w:rPr>
              <w:t>PRIMERO. Procedibilidad</w:t>
            </w:r>
            <w:r w:rsidR="001B4A72">
              <w:rPr>
                <w:noProof/>
                <w:webHidden/>
              </w:rPr>
              <w:tab/>
            </w:r>
            <w:r w:rsidR="001B4A72">
              <w:rPr>
                <w:noProof/>
                <w:webHidden/>
              </w:rPr>
              <w:fldChar w:fldCharType="begin"/>
            </w:r>
            <w:r w:rsidR="001B4A72">
              <w:rPr>
                <w:noProof/>
                <w:webHidden/>
              </w:rPr>
              <w:instrText xml:space="preserve"> PAGEREF _Toc188469839 \h </w:instrText>
            </w:r>
            <w:r w:rsidR="001B4A72">
              <w:rPr>
                <w:noProof/>
                <w:webHidden/>
              </w:rPr>
            </w:r>
            <w:r w:rsidR="001B4A72">
              <w:rPr>
                <w:noProof/>
                <w:webHidden/>
              </w:rPr>
              <w:fldChar w:fldCharType="separate"/>
            </w:r>
            <w:r w:rsidR="00DF2E7D">
              <w:rPr>
                <w:noProof/>
                <w:webHidden/>
              </w:rPr>
              <w:t>4</w:t>
            </w:r>
            <w:r w:rsidR="001B4A72">
              <w:rPr>
                <w:noProof/>
                <w:webHidden/>
              </w:rPr>
              <w:fldChar w:fldCharType="end"/>
            </w:r>
          </w:hyperlink>
        </w:p>
        <w:p w14:paraId="1A49BB08" w14:textId="77777777" w:rsidR="001B4A72" w:rsidRDefault="000325E6">
          <w:pPr>
            <w:pStyle w:val="TDC3"/>
            <w:rPr>
              <w:rFonts w:asciiTheme="minorHAnsi" w:eastAsiaTheme="minorEastAsia" w:hAnsiTheme="minorHAnsi" w:cstheme="minorBidi"/>
              <w:noProof/>
              <w:szCs w:val="22"/>
              <w:lang w:eastAsia="es-MX"/>
            </w:rPr>
          </w:pPr>
          <w:hyperlink w:anchor="_Toc188469840" w:history="1">
            <w:r w:rsidR="001B4A72" w:rsidRPr="0087517A">
              <w:rPr>
                <w:rStyle w:val="Hipervnculo"/>
                <w:noProof/>
              </w:rPr>
              <w:t>a) Competencia del Instituto</w:t>
            </w:r>
            <w:r w:rsidR="001B4A72">
              <w:rPr>
                <w:noProof/>
                <w:webHidden/>
              </w:rPr>
              <w:tab/>
            </w:r>
            <w:r w:rsidR="001B4A72">
              <w:rPr>
                <w:noProof/>
                <w:webHidden/>
              </w:rPr>
              <w:fldChar w:fldCharType="begin"/>
            </w:r>
            <w:r w:rsidR="001B4A72">
              <w:rPr>
                <w:noProof/>
                <w:webHidden/>
              </w:rPr>
              <w:instrText xml:space="preserve"> PAGEREF _Toc188469840 \h </w:instrText>
            </w:r>
            <w:r w:rsidR="001B4A72">
              <w:rPr>
                <w:noProof/>
                <w:webHidden/>
              </w:rPr>
            </w:r>
            <w:r w:rsidR="001B4A72">
              <w:rPr>
                <w:noProof/>
                <w:webHidden/>
              </w:rPr>
              <w:fldChar w:fldCharType="separate"/>
            </w:r>
            <w:r w:rsidR="00DF2E7D">
              <w:rPr>
                <w:noProof/>
                <w:webHidden/>
              </w:rPr>
              <w:t>4</w:t>
            </w:r>
            <w:r w:rsidR="001B4A72">
              <w:rPr>
                <w:noProof/>
                <w:webHidden/>
              </w:rPr>
              <w:fldChar w:fldCharType="end"/>
            </w:r>
          </w:hyperlink>
        </w:p>
        <w:p w14:paraId="1998E784" w14:textId="77777777" w:rsidR="001B4A72" w:rsidRDefault="000325E6">
          <w:pPr>
            <w:pStyle w:val="TDC3"/>
            <w:rPr>
              <w:rFonts w:asciiTheme="minorHAnsi" w:eastAsiaTheme="minorEastAsia" w:hAnsiTheme="minorHAnsi" w:cstheme="minorBidi"/>
              <w:noProof/>
              <w:szCs w:val="22"/>
              <w:lang w:eastAsia="es-MX"/>
            </w:rPr>
          </w:pPr>
          <w:hyperlink w:anchor="_Toc188469841" w:history="1">
            <w:r w:rsidR="001B4A72" w:rsidRPr="0087517A">
              <w:rPr>
                <w:rStyle w:val="Hipervnculo"/>
                <w:noProof/>
              </w:rPr>
              <w:t>b) Legitimidad de la parte recurrente</w:t>
            </w:r>
            <w:r w:rsidR="001B4A72">
              <w:rPr>
                <w:noProof/>
                <w:webHidden/>
              </w:rPr>
              <w:tab/>
            </w:r>
            <w:r w:rsidR="001B4A72">
              <w:rPr>
                <w:noProof/>
                <w:webHidden/>
              </w:rPr>
              <w:fldChar w:fldCharType="begin"/>
            </w:r>
            <w:r w:rsidR="001B4A72">
              <w:rPr>
                <w:noProof/>
                <w:webHidden/>
              </w:rPr>
              <w:instrText xml:space="preserve"> PAGEREF _Toc188469841 \h </w:instrText>
            </w:r>
            <w:r w:rsidR="001B4A72">
              <w:rPr>
                <w:noProof/>
                <w:webHidden/>
              </w:rPr>
            </w:r>
            <w:r w:rsidR="001B4A72">
              <w:rPr>
                <w:noProof/>
                <w:webHidden/>
              </w:rPr>
              <w:fldChar w:fldCharType="separate"/>
            </w:r>
            <w:r w:rsidR="00DF2E7D">
              <w:rPr>
                <w:noProof/>
                <w:webHidden/>
              </w:rPr>
              <w:t>5</w:t>
            </w:r>
            <w:r w:rsidR="001B4A72">
              <w:rPr>
                <w:noProof/>
                <w:webHidden/>
              </w:rPr>
              <w:fldChar w:fldCharType="end"/>
            </w:r>
          </w:hyperlink>
        </w:p>
        <w:p w14:paraId="19F682FB" w14:textId="77777777" w:rsidR="001B4A72" w:rsidRDefault="000325E6">
          <w:pPr>
            <w:pStyle w:val="TDC3"/>
            <w:rPr>
              <w:rFonts w:asciiTheme="minorHAnsi" w:eastAsiaTheme="minorEastAsia" w:hAnsiTheme="minorHAnsi" w:cstheme="minorBidi"/>
              <w:noProof/>
              <w:szCs w:val="22"/>
              <w:lang w:eastAsia="es-MX"/>
            </w:rPr>
          </w:pPr>
          <w:hyperlink w:anchor="_Toc188469842" w:history="1">
            <w:r w:rsidR="001B4A72" w:rsidRPr="0087517A">
              <w:rPr>
                <w:rStyle w:val="Hipervnculo"/>
                <w:rFonts w:eastAsia="Calibri"/>
                <w:noProof/>
                <w:lang w:eastAsia="es-ES_tradnl"/>
              </w:rPr>
              <w:t>c) Plazo para interponer el recurso</w:t>
            </w:r>
            <w:r w:rsidR="001B4A72">
              <w:rPr>
                <w:noProof/>
                <w:webHidden/>
              </w:rPr>
              <w:tab/>
            </w:r>
            <w:r w:rsidR="001B4A72">
              <w:rPr>
                <w:noProof/>
                <w:webHidden/>
              </w:rPr>
              <w:fldChar w:fldCharType="begin"/>
            </w:r>
            <w:r w:rsidR="001B4A72">
              <w:rPr>
                <w:noProof/>
                <w:webHidden/>
              </w:rPr>
              <w:instrText xml:space="preserve"> PAGEREF _Toc188469842 \h </w:instrText>
            </w:r>
            <w:r w:rsidR="001B4A72">
              <w:rPr>
                <w:noProof/>
                <w:webHidden/>
              </w:rPr>
            </w:r>
            <w:r w:rsidR="001B4A72">
              <w:rPr>
                <w:noProof/>
                <w:webHidden/>
              </w:rPr>
              <w:fldChar w:fldCharType="separate"/>
            </w:r>
            <w:r w:rsidR="00DF2E7D">
              <w:rPr>
                <w:noProof/>
                <w:webHidden/>
              </w:rPr>
              <w:t>5</w:t>
            </w:r>
            <w:r w:rsidR="001B4A72">
              <w:rPr>
                <w:noProof/>
                <w:webHidden/>
              </w:rPr>
              <w:fldChar w:fldCharType="end"/>
            </w:r>
          </w:hyperlink>
        </w:p>
        <w:p w14:paraId="210B8A5D" w14:textId="77777777" w:rsidR="001B4A72" w:rsidRDefault="000325E6">
          <w:pPr>
            <w:pStyle w:val="TDC3"/>
            <w:rPr>
              <w:rFonts w:asciiTheme="minorHAnsi" w:eastAsiaTheme="minorEastAsia" w:hAnsiTheme="minorHAnsi" w:cstheme="minorBidi"/>
              <w:noProof/>
              <w:szCs w:val="22"/>
              <w:lang w:eastAsia="es-MX"/>
            </w:rPr>
          </w:pPr>
          <w:hyperlink w:anchor="_Toc188469843" w:history="1">
            <w:r w:rsidR="001B4A72" w:rsidRPr="0087517A">
              <w:rPr>
                <w:rStyle w:val="Hipervnculo"/>
                <w:rFonts w:eastAsia="Calibri"/>
                <w:noProof/>
                <w:lang w:eastAsia="es-ES_tradnl"/>
              </w:rPr>
              <w:t xml:space="preserve">d) </w:t>
            </w:r>
            <w:r w:rsidR="001B4A72" w:rsidRPr="0087517A">
              <w:rPr>
                <w:rStyle w:val="Hipervnculo"/>
                <w:noProof/>
              </w:rPr>
              <w:t>Requisitos formales para la interposición del recurso</w:t>
            </w:r>
            <w:r w:rsidR="001B4A72">
              <w:rPr>
                <w:noProof/>
                <w:webHidden/>
              </w:rPr>
              <w:tab/>
            </w:r>
            <w:r w:rsidR="001B4A72">
              <w:rPr>
                <w:noProof/>
                <w:webHidden/>
              </w:rPr>
              <w:fldChar w:fldCharType="begin"/>
            </w:r>
            <w:r w:rsidR="001B4A72">
              <w:rPr>
                <w:noProof/>
                <w:webHidden/>
              </w:rPr>
              <w:instrText xml:space="preserve"> PAGEREF _Toc188469843 \h </w:instrText>
            </w:r>
            <w:r w:rsidR="001B4A72">
              <w:rPr>
                <w:noProof/>
                <w:webHidden/>
              </w:rPr>
            </w:r>
            <w:r w:rsidR="001B4A72">
              <w:rPr>
                <w:noProof/>
                <w:webHidden/>
              </w:rPr>
              <w:fldChar w:fldCharType="separate"/>
            </w:r>
            <w:r w:rsidR="00DF2E7D">
              <w:rPr>
                <w:noProof/>
                <w:webHidden/>
              </w:rPr>
              <w:t>7</w:t>
            </w:r>
            <w:r w:rsidR="001B4A72">
              <w:rPr>
                <w:noProof/>
                <w:webHidden/>
              </w:rPr>
              <w:fldChar w:fldCharType="end"/>
            </w:r>
          </w:hyperlink>
        </w:p>
        <w:p w14:paraId="52C7C795" w14:textId="77777777" w:rsidR="001B4A72" w:rsidRDefault="000325E6">
          <w:pPr>
            <w:pStyle w:val="TDC3"/>
            <w:rPr>
              <w:rFonts w:asciiTheme="minorHAnsi" w:eastAsiaTheme="minorEastAsia" w:hAnsiTheme="minorHAnsi" w:cstheme="minorBidi"/>
              <w:noProof/>
              <w:szCs w:val="22"/>
              <w:lang w:eastAsia="es-MX"/>
            </w:rPr>
          </w:pPr>
          <w:hyperlink w:anchor="_Toc188469844" w:history="1">
            <w:r w:rsidR="001B4A72" w:rsidRPr="0087517A">
              <w:rPr>
                <w:rStyle w:val="Hipervnculo"/>
                <w:noProof/>
              </w:rPr>
              <w:t xml:space="preserve">e) </w:t>
            </w:r>
            <w:r w:rsidR="001B4A72" w:rsidRPr="0087517A">
              <w:rPr>
                <w:rStyle w:val="Hipervnculo"/>
                <w:rFonts w:eastAsia="Calibri"/>
                <w:noProof/>
                <w:lang w:eastAsia="es-ES_tradnl"/>
              </w:rPr>
              <w:t>Elementos de previo especial pronunciamiento</w:t>
            </w:r>
            <w:r w:rsidR="001B4A72">
              <w:rPr>
                <w:noProof/>
                <w:webHidden/>
              </w:rPr>
              <w:tab/>
            </w:r>
            <w:r w:rsidR="001B4A72">
              <w:rPr>
                <w:noProof/>
                <w:webHidden/>
              </w:rPr>
              <w:fldChar w:fldCharType="begin"/>
            </w:r>
            <w:r w:rsidR="001B4A72">
              <w:rPr>
                <w:noProof/>
                <w:webHidden/>
              </w:rPr>
              <w:instrText xml:space="preserve"> PAGEREF _Toc188469844 \h </w:instrText>
            </w:r>
            <w:r w:rsidR="001B4A72">
              <w:rPr>
                <w:noProof/>
                <w:webHidden/>
              </w:rPr>
            </w:r>
            <w:r w:rsidR="001B4A72">
              <w:rPr>
                <w:noProof/>
                <w:webHidden/>
              </w:rPr>
              <w:fldChar w:fldCharType="separate"/>
            </w:r>
            <w:r w:rsidR="00DF2E7D">
              <w:rPr>
                <w:noProof/>
                <w:webHidden/>
              </w:rPr>
              <w:t>7</w:t>
            </w:r>
            <w:r w:rsidR="001B4A72">
              <w:rPr>
                <w:noProof/>
                <w:webHidden/>
              </w:rPr>
              <w:fldChar w:fldCharType="end"/>
            </w:r>
          </w:hyperlink>
        </w:p>
        <w:p w14:paraId="55408900" w14:textId="77777777" w:rsidR="001B4A72" w:rsidRDefault="000325E6">
          <w:pPr>
            <w:pStyle w:val="TDC2"/>
            <w:rPr>
              <w:rFonts w:asciiTheme="minorHAnsi" w:eastAsiaTheme="minorEastAsia" w:hAnsiTheme="minorHAnsi" w:cstheme="minorBidi"/>
              <w:noProof/>
              <w:szCs w:val="22"/>
              <w:lang w:eastAsia="es-MX"/>
            </w:rPr>
          </w:pPr>
          <w:hyperlink w:anchor="_Toc188469845" w:history="1">
            <w:r w:rsidR="001B4A72" w:rsidRPr="0087517A">
              <w:rPr>
                <w:rStyle w:val="Hipervnculo"/>
                <w:noProof/>
              </w:rPr>
              <w:t>SEGUNDO. Análisis de la causal de sobreseimiento.</w:t>
            </w:r>
            <w:r w:rsidR="001B4A72">
              <w:rPr>
                <w:noProof/>
                <w:webHidden/>
              </w:rPr>
              <w:tab/>
            </w:r>
            <w:r w:rsidR="001B4A72">
              <w:rPr>
                <w:noProof/>
                <w:webHidden/>
              </w:rPr>
              <w:fldChar w:fldCharType="begin"/>
            </w:r>
            <w:r w:rsidR="001B4A72">
              <w:rPr>
                <w:noProof/>
                <w:webHidden/>
              </w:rPr>
              <w:instrText xml:space="preserve"> PAGEREF _Toc188469845 \h </w:instrText>
            </w:r>
            <w:r w:rsidR="001B4A72">
              <w:rPr>
                <w:noProof/>
                <w:webHidden/>
              </w:rPr>
            </w:r>
            <w:r w:rsidR="001B4A72">
              <w:rPr>
                <w:noProof/>
                <w:webHidden/>
              </w:rPr>
              <w:fldChar w:fldCharType="separate"/>
            </w:r>
            <w:r w:rsidR="00DF2E7D">
              <w:rPr>
                <w:noProof/>
                <w:webHidden/>
              </w:rPr>
              <w:t>8</w:t>
            </w:r>
            <w:r w:rsidR="001B4A72">
              <w:rPr>
                <w:noProof/>
                <w:webHidden/>
              </w:rPr>
              <w:fldChar w:fldCharType="end"/>
            </w:r>
          </w:hyperlink>
        </w:p>
        <w:p w14:paraId="27D4B817" w14:textId="77777777" w:rsidR="001B4A72" w:rsidRDefault="000325E6">
          <w:pPr>
            <w:pStyle w:val="TDC3"/>
            <w:rPr>
              <w:rFonts w:asciiTheme="minorHAnsi" w:eastAsiaTheme="minorEastAsia" w:hAnsiTheme="minorHAnsi" w:cstheme="minorBidi"/>
              <w:noProof/>
              <w:szCs w:val="22"/>
              <w:lang w:eastAsia="es-MX"/>
            </w:rPr>
          </w:pPr>
          <w:hyperlink w:anchor="_Toc188469846" w:history="1">
            <w:r w:rsidR="001B4A72" w:rsidRPr="0087517A">
              <w:rPr>
                <w:rStyle w:val="Hipervnculo"/>
                <w:noProof/>
              </w:rPr>
              <w:t>a) Mandato de transparencia y responsabilidad del Sujeto Obligado.</w:t>
            </w:r>
            <w:r w:rsidR="001B4A72">
              <w:rPr>
                <w:noProof/>
                <w:webHidden/>
              </w:rPr>
              <w:tab/>
            </w:r>
            <w:r w:rsidR="001B4A72">
              <w:rPr>
                <w:noProof/>
                <w:webHidden/>
              </w:rPr>
              <w:fldChar w:fldCharType="begin"/>
            </w:r>
            <w:r w:rsidR="001B4A72">
              <w:rPr>
                <w:noProof/>
                <w:webHidden/>
              </w:rPr>
              <w:instrText xml:space="preserve"> PAGEREF _Toc188469846 \h </w:instrText>
            </w:r>
            <w:r w:rsidR="001B4A72">
              <w:rPr>
                <w:noProof/>
                <w:webHidden/>
              </w:rPr>
            </w:r>
            <w:r w:rsidR="001B4A72">
              <w:rPr>
                <w:noProof/>
                <w:webHidden/>
              </w:rPr>
              <w:fldChar w:fldCharType="separate"/>
            </w:r>
            <w:r w:rsidR="00DF2E7D">
              <w:rPr>
                <w:noProof/>
                <w:webHidden/>
              </w:rPr>
              <w:t>8</w:t>
            </w:r>
            <w:r w:rsidR="001B4A72">
              <w:rPr>
                <w:noProof/>
                <w:webHidden/>
              </w:rPr>
              <w:fldChar w:fldCharType="end"/>
            </w:r>
          </w:hyperlink>
        </w:p>
        <w:p w14:paraId="26A72432" w14:textId="77777777" w:rsidR="001B4A72" w:rsidRDefault="000325E6">
          <w:pPr>
            <w:pStyle w:val="TDC3"/>
            <w:rPr>
              <w:rFonts w:asciiTheme="minorHAnsi" w:eastAsiaTheme="minorEastAsia" w:hAnsiTheme="minorHAnsi" w:cstheme="minorBidi"/>
              <w:noProof/>
              <w:szCs w:val="22"/>
              <w:lang w:eastAsia="es-MX"/>
            </w:rPr>
          </w:pPr>
          <w:hyperlink w:anchor="_Toc188469847" w:history="1">
            <w:r w:rsidR="001B4A72" w:rsidRPr="0087517A">
              <w:rPr>
                <w:rStyle w:val="Hipervnculo"/>
                <w:rFonts w:eastAsia="Calibri"/>
                <w:noProof/>
                <w:lang w:eastAsia="es-ES_tradnl"/>
              </w:rPr>
              <w:t>b) Controversia a resolver</w:t>
            </w:r>
            <w:r w:rsidR="001B4A72">
              <w:rPr>
                <w:noProof/>
                <w:webHidden/>
              </w:rPr>
              <w:tab/>
            </w:r>
            <w:r w:rsidR="001B4A72">
              <w:rPr>
                <w:noProof/>
                <w:webHidden/>
              </w:rPr>
              <w:fldChar w:fldCharType="begin"/>
            </w:r>
            <w:r w:rsidR="001B4A72">
              <w:rPr>
                <w:noProof/>
                <w:webHidden/>
              </w:rPr>
              <w:instrText xml:space="preserve"> PAGEREF _Toc188469847 \h </w:instrText>
            </w:r>
            <w:r w:rsidR="001B4A72">
              <w:rPr>
                <w:noProof/>
                <w:webHidden/>
              </w:rPr>
            </w:r>
            <w:r w:rsidR="001B4A72">
              <w:rPr>
                <w:noProof/>
                <w:webHidden/>
              </w:rPr>
              <w:fldChar w:fldCharType="separate"/>
            </w:r>
            <w:r w:rsidR="00DF2E7D">
              <w:rPr>
                <w:noProof/>
                <w:webHidden/>
              </w:rPr>
              <w:t>11</w:t>
            </w:r>
            <w:r w:rsidR="001B4A72">
              <w:rPr>
                <w:noProof/>
                <w:webHidden/>
              </w:rPr>
              <w:fldChar w:fldCharType="end"/>
            </w:r>
          </w:hyperlink>
        </w:p>
        <w:p w14:paraId="752463D5" w14:textId="77777777" w:rsidR="001B4A72" w:rsidRDefault="000325E6">
          <w:pPr>
            <w:pStyle w:val="TDC3"/>
            <w:rPr>
              <w:rFonts w:asciiTheme="minorHAnsi" w:eastAsiaTheme="minorEastAsia" w:hAnsiTheme="minorHAnsi" w:cstheme="minorBidi"/>
              <w:noProof/>
              <w:szCs w:val="22"/>
              <w:lang w:eastAsia="es-MX"/>
            </w:rPr>
          </w:pPr>
          <w:hyperlink w:anchor="_Toc188469848" w:history="1">
            <w:r w:rsidR="001B4A72" w:rsidRPr="0087517A">
              <w:rPr>
                <w:rStyle w:val="Hipervnculo"/>
                <w:noProof/>
              </w:rPr>
              <w:t>c) Conclusión</w:t>
            </w:r>
            <w:r w:rsidR="001B4A72">
              <w:rPr>
                <w:noProof/>
                <w:webHidden/>
              </w:rPr>
              <w:tab/>
            </w:r>
            <w:r w:rsidR="001B4A72">
              <w:rPr>
                <w:noProof/>
                <w:webHidden/>
              </w:rPr>
              <w:fldChar w:fldCharType="begin"/>
            </w:r>
            <w:r w:rsidR="001B4A72">
              <w:rPr>
                <w:noProof/>
                <w:webHidden/>
              </w:rPr>
              <w:instrText xml:space="preserve"> PAGEREF _Toc188469848 \h </w:instrText>
            </w:r>
            <w:r w:rsidR="001B4A72">
              <w:rPr>
                <w:noProof/>
                <w:webHidden/>
              </w:rPr>
            </w:r>
            <w:r w:rsidR="001B4A72">
              <w:rPr>
                <w:noProof/>
                <w:webHidden/>
              </w:rPr>
              <w:fldChar w:fldCharType="separate"/>
            </w:r>
            <w:r w:rsidR="00DF2E7D">
              <w:rPr>
                <w:noProof/>
                <w:webHidden/>
              </w:rPr>
              <w:t>16</w:t>
            </w:r>
            <w:r w:rsidR="001B4A72">
              <w:rPr>
                <w:noProof/>
                <w:webHidden/>
              </w:rPr>
              <w:fldChar w:fldCharType="end"/>
            </w:r>
          </w:hyperlink>
        </w:p>
        <w:p w14:paraId="0C82FD7A" w14:textId="58EE00A7" w:rsidR="009B2945" w:rsidRPr="001B4A72" w:rsidRDefault="000325E6" w:rsidP="001B4A72">
          <w:pPr>
            <w:pStyle w:val="TDC1"/>
            <w:tabs>
              <w:tab w:val="right" w:leader="dot" w:pos="9034"/>
            </w:tabs>
            <w:rPr>
              <w:b/>
              <w:bCs/>
              <w:lang w:val="es-ES"/>
            </w:rPr>
          </w:pPr>
          <w:hyperlink w:anchor="_Toc188469849" w:history="1">
            <w:r w:rsidR="001B4A72" w:rsidRPr="0087517A">
              <w:rPr>
                <w:rStyle w:val="Hipervnculo"/>
                <w:noProof/>
              </w:rPr>
              <w:t>RESUELVE</w:t>
            </w:r>
            <w:r w:rsidR="001B4A72">
              <w:rPr>
                <w:noProof/>
                <w:webHidden/>
              </w:rPr>
              <w:tab/>
            </w:r>
            <w:r w:rsidR="001B4A72">
              <w:rPr>
                <w:noProof/>
                <w:webHidden/>
              </w:rPr>
              <w:fldChar w:fldCharType="begin"/>
            </w:r>
            <w:r w:rsidR="001B4A72">
              <w:rPr>
                <w:noProof/>
                <w:webHidden/>
              </w:rPr>
              <w:instrText xml:space="preserve"> PAGEREF _Toc188469849 \h </w:instrText>
            </w:r>
            <w:r w:rsidR="001B4A72">
              <w:rPr>
                <w:noProof/>
                <w:webHidden/>
              </w:rPr>
            </w:r>
            <w:r w:rsidR="001B4A72">
              <w:rPr>
                <w:noProof/>
                <w:webHidden/>
              </w:rPr>
              <w:fldChar w:fldCharType="separate"/>
            </w:r>
            <w:r w:rsidR="00DF2E7D">
              <w:rPr>
                <w:noProof/>
                <w:webHidden/>
              </w:rPr>
              <w:t>16</w:t>
            </w:r>
            <w:r w:rsidR="001B4A72">
              <w:rPr>
                <w:noProof/>
                <w:webHidden/>
              </w:rPr>
              <w:fldChar w:fldCharType="end"/>
            </w:r>
          </w:hyperlink>
          <w:r w:rsidR="00AE3DA7" w:rsidRPr="001B4A72">
            <w:rPr>
              <w:b/>
              <w:bCs/>
              <w:sz w:val="16"/>
              <w:szCs w:val="16"/>
              <w:lang w:val="es-ES"/>
            </w:rPr>
            <w:fldChar w:fldCharType="end"/>
          </w:r>
        </w:p>
      </w:sdtContent>
    </w:sdt>
    <w:p w14:paraId="603A07E2" w14:textId="77777777" w:rsidR="00646436" w:rsidRPr="001B4A72" w:rsidRDefault="00646436" w:rsidP="001B4A72">
      <w:pPr>
        <w:rPr>
          <w:rFonts w:cs="Tahoma"/>
          <w:szCs w:val="22"/>
        </w:rPr>
        <w:sectPr w:rsidR="00646436" w:rsidRPr="001B4A72" w:rsidSect="008B09E4">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59744BAA" w:rsidR="00775BFC" w:rsidRPr="001B4A72" w:rsidRDefault="00775BFC" w:rsidP="001B4A72">
      <w:pPr>
        <w:rPr>
          <w:b/>
        </w:rPr>
      </w:pPr>
      <w:r w:rsidRPr="001B4A72">
        <w:lastRenderedPageBreak/>
        <w:t xml:space="preserve">Resolución del Pleno del Instituto de Transparencia, Acceso a la Información Pública y Protección de Datos Personales del Estado de México y Municipios, con domicilio en Metepec, Estado de México, </w:t>
      </w:r>
      <w:r w:rsidR="00C2617E" w:rsidRPr="001B4A72">
        <w:t xml:space="preserve">del </w:t>
      </w:r>
      <w:r w:rsidR="008734A2" w:rsidRPr="001B4A72">
        <w:rPr>
          <w:b/>
          <w:bCs/>
        </w:rPr>
        <w:t>veintidós de enero de dos mil veinticinco</w:t>
      </w:r>
      <w:r w:rsidR="00BE27D2" w:rsidRPr="001B4A72">
        <w:rPr>
          <w:b/>
        </w:rPr>
        <w:t>.</w:t>
      </w:r>
    </w:p>
    <w:p w14:paraId="0AF3AAC4" w14:textId="77777777" w:rsidR="00775BFC" w:rsidRPr="001B4A72" w:rsidRDefault="00775BFC" w:rsidP="001B4A72"/>
    <w:p w14:paraId="40EAE038" w14:textId="1FD8EFBC" w:rsidR="00775BFC" w:rsidRPr="001B4A72" w:rsidRDefault="00775BFC" w:rsidP="001B4A72">
      <w:r w:rsidRPr="001B4A72">
        <w:rPr>
          <w:b/>
        </w:rPr>
        <w:t xml:space="preserve">VISTO </w:t>
      </w:r>
      <w:r w:rsidRPr="001B4A72">
        <w:t xml:space="preserve">el expediente formado con motivo del Recurso de Revisión </w:t>
      </w:r>
      <w:r w:rsidR="00E228D0" w:rsidRPr="001B4A72">
        <w:rPr>
          <w:rFonts w:eastAsia="Calibri"/>
          <w:b/>
          <w:lang w:eastAsia="en-US"/>
        </w:rPr>
        <w:t>07662/INFOEM/IP/RR/2024</w:t>
      </w:r>
      <w:r w:rsidR="00F17375" w:rsidRPr="001B4A72">
        <w:rPr>
          <w:rFonts w:eastAsia="Calibri"/>
          <w:b/>
          <w:lang w:eastAsia="en-US"/>
        </w:rPr>
        <w:t xml:space="preserve"> </w:t>
      </w:r>
      <w:r w:rsidRPr="001B4A72">
        <w:t xml:space="preserve">interpuesto por </w:t>
      </w:r>
      <w:bookmarkStart w:id="2" w:name="_GoBack"/>
      <w:r w:rsidR="00276A24">
        <w:rPr>
          <w:b/>
          <w:bCs/>
        </w:rPr>
        <w:t xml:space="preserve">XXXXX XXX XXXXXXX XXXXXX </w:t>
      </w:r>
      <w:proofErr w:type="spellStart"/>
      <w:r w:rsidR="00276A24">
        <w:rPr>
          <w:b/>
          <w:bCs/>
        </w:rPr>
        <w:t>XXXXXX</w:t>
      </w:r>
      <w:bookmarkEnd w:id="2"/>
      <w:proofErr w:type="spellEnd"/>
      <w:r w:rsidRPr="001B4A72">
        <w:t xml:space="preserve">, a quien en lo subsecuente se le denominará </w:t>
      </w:r>
      <w:r w:rsidRPr="001B4A72">
        <w:rPr>
          <w:b/>
          <w:bCs/>
        </w:rPr>
        <w:t>LA PARTE RECURRENTE</w:t>
      </w:r>
      <w:r w:rsidRPr="001B4A72">
        <w:t xml:space="preserve">, en contra </w:t>
      </w:r>
      <w:r w:rsidR="006D1510" w:rsidRPr="001B4A72">
        <w:t xml:space="preserve">de la falta de respuesta del </w:t>
      </w:r>
      <w:r w:rsidR="00E228D0" w:rsidRPr="001B4A72">
        <w:rPr>
          <w:b/>
          <w:bCs/>
        </w:rPr>
        <w:t>Ayuntamiento de Ecatepec de Morelos</w:t>
      </w:r>
      <w:r w:rsidRPr="001B4A72">
        <w:t xml:space="preserve">, en adelante </w:t>
      </w:r>
      <w:r w:rsidRPr="001B4A72">
        <w:rPr>
          <w:b/>
          <w:bCs/>
        </w:rPr>
        <w:t>EL SUJETO OBLIGADO</w:t>
      </w:r>
      <w:r w:rsidRPr="001B4A72">
        <w:rPr>
          <w:rFonts w:eastAsia="Calibri"/>
          <w:lang w:eastAsia="en-US"/>
        </w:rPr>
        <w:t xml:space="preserve">, </w:t>
      </w:r>
      <w:r w:rsidRPr="001B4A72">
        <w:t>se emite la presente Resolución con base en los Antecedentes y Considerandos que se exponen a continuación:</w:t>
      </w:r>
    </w:p>
    <w:p w14:paraId="2116968C" w14:textId="77777777" w:rsidR="00775BFC" w:rsidRPr="001B4A72" w:rsidRDefault="00775BFC" w:rsidP="001B4A72"/>
    <w:p w14:paraId="5A444FB6" w14:textId="639D3567" w:rsidR="00664420" w:rsidRPr="001B4A72" w:rsidRDefault="00664420" w:rsidP="001B4A72">
      <w:pPr>
        <w:pStyle w:val="Ttulo1"/>
      </w:pPr>
      <w:bookmarkStart w:id="3" w:name="_Toc188469826"/>
      <w:r w:rsidRPr="001B4A72">
        <w:t>ANTECEDENTES</w:t>
      </w:r>
      <w:bookmarkEnd w:id="3"/>
    </w:p>
    <w:p w14:paraId="7CE9E53D" w14:textId="77777777" w:rsidR="00E37A3F" w:rsidRPr="001B4A72" w:rsidRDefault="00E37A3F" w:rsidP="001B4A72"/>
    <w:p w14:paraId="09B2D38F" w14:textId="6E49D146" w:rsidR="00664420" w:rsidRPr="001B4A72" w:rsidRDefault="00E37A3F" w:rsidP="001B4A72">
      <w:pPr>
        <w:pStyle w:val="Ttulo2"/>
        <w:jc w:val="left"/>
      </w:pPr>
      <w:bookmarkStart w:id="4" w:name="_Toc188469827"/>
      <w:r w:rsidRPr="001B4A72">
        <w:t>DE LA SOLICITUD DE INFORMACIÓN</w:t>
      </w:r>
      <w:bookmarkEnd w:id="4"/>
    </w:p>
    <w:p w14:paraId="2C6AD1A5" w14:textId="0405B3CD" w:rsidR="00664420" w:rsidRPr="001B4A72" w:rsidRDefault="00E37A3F" w:rsidP="001B4A72">
      <w:pPr>
        <w:pStyle w:val="Ttulo3"/>
      </w:pPr>
      <w:bookmarkStart w:id="5" w:name="_Toc188469828"/>
      <w:r w:rsidRPr="001B4A72">
        <w:t xml:space="preserve">a) </w:t>
      </w:r>
      <w:r w:rsidR="006B10B0" w:rsidRPr="001B4A72">
        <w:t>S</w:t>
      </w:r>
      <w:r w:rsidR="00664420" w:rsidRPr="001B4A72">
        <w:t xml:space="preserve">olicitud de </w:t>
      </w:r>
      <w:r w:rsidR="006B10B0" w:rsidRPr="001B4A72">
        <w:t>i</w:t>
      </w:r>
      <w:r w:rsidR="00664420" w:rsidRPr="001B4A72">
        <w:t>nformación</w:t>
      </w:r>
      <w:bookmarkEnd w:id="5"/>
    </w:p>
    <w:p w14:paraId="06DCD29D" w14:textId="649B52C8" w:rsidR="009A2D78" w:rsidRPr="001B4A72" w:rsidRDefault="006B10B0" w:rsidP="001B4A72">
      <w:pPr>
        <w:pStyle w:val="Prrafodelista"/>
        <w:tabs>
          <w:tab w:val="left" w:pos="0"/>
        </w:tabs>
        <w:spacing w:after="240"/>
        <w:ind w:left="0"/>
        <w:contextualSpacing w:val="0"/>
        <w:rPr>
          <w:rFonts w:cs="Tahoma"/>
        </w:rPr>
      </w:pPr>
      <w:r w:rsidRPr="001B4A72">
        <w:rPr>
          <w:rFonts w:cs="Tahoma"/>
        </w:rPr>
        <w:t>El</w:t>
      </w:r>
      <w:r w:rsidR="00664420" w:rsidRPr="001B4A72">
        <w:rPr>
          <w:rFonts w:cs="Tahoma"/>
        </w:rPr>
        <w:t xml:space="preserve"> </w:t>
      </w:r>
      <w:r w:rsidR="00E228D0" w:rsidRPr="001B4A72">
        <w:rPr>
          <w:rFonts w:cs="Tahoma"/>
          <w:b/>
          <w:bCs/>
        </w:rPr>
        <w:t xml:space="preserve">veintiuno de noviembre </w:t>
      </w:r>
      <w:r w:rsidR="007846FB" w:rsidRPr="001B4A72">
        <w:rPr>
          <w:rFonts w:cs="Tahoma"/>
          <w:b/>
          <w:bCs/>
        </w:rPr>
        <w:t>mil veinticuatro</w:t>
      </w:r>
      <w:r w:rsidR="00664420" w:rsidRPr="001B4A72">
        <w:rPr>
          <w:rFonts w:cs="Tahoma"/>
        </w:rPr>
        <w:t xml:space="preserve">, </w:t>
      </w:r>
      <w:r w:rsidRPr="001B4A72">
        <w:rPr>
          <w:b/>
          <w:bCs/>
        </w:rPr>
        <w:t>LA PARTE RECURRENTE</w:t>
      </w:r>
      <w:r w:rsidR="00664420" w:rsidRPr="001B4A72">
        <w:rPr>
          <w:rFonts w:cs="Tahoma"/>
        </w:rPr>
        <w:t xml:space="preserve"> presentó una solicitud de acceso a la información pública </w:t>
      </w:r>
      <w:r w:rsidR="001F3515" w:rsidRPr="001B4A72">
        <w:rPr>
          <w:rFonts w:cs="Tahoma"/>
        </w:rPr>
        <w:t xml:space="preserve">ante el </w:t>
      </w:r>
      <w:r w:rsidR="001F3515" w:rsidRPr="001B4A72">
        <w:rPr>
          <w:rFonts w:cs="Tahoma"/>
          <w:b/>
          <w:bCs/>
        </w:rPr>
        <w:t>SUJETO OBLIGADO</w:t>
      </w:r>
      <w:r w:rsidR="001F3515" w:rsidRPr="001B4A72">
        <w:rPr>
          <w:rFonts w:cs="Tahoma"/>
        </w:rPr>
        <w:t xml:space="preserve">, </w:t>
      </w:r>
      <w:r w:rsidR="00824813" w:rsidRPr="001B4A72">
        <w:rPr>
          <w:rFonts w:cs="Tahoma"/>
        </w:rPr>
        <w:t>a través de</w:t>
      </w:r>
      <w:r w:rsidR="00523227" w:rsidRPr="001B4A72">
        <w:rPr>
          <w:rFonts w:cs="Tahoma"/>
        </w:rPr>
        <w:t>l</w:t>
      </w:r>
      <w:r w:rsidR="00824813" w:rsidRPr="001B4A72">
        <w:rPr>
          <w:rFonts w:cs="Tahoma"/>
        </w:rPr>
        <w:t xml:space="preserve"> Sistema de Acceso a la Información Mexiquense (SAIMEX)</w:t>
      </w:r>
      <w:r w:rsidR="00824813" w:rsidRPr="001B4A72">
        <w:rPr>
          <w:rFonts w:eastAsia="Palatino Linotype" w:cs="Palatino Linotype"/>
          <w:lang w:eastAsia="es-MX"/>
        </w:rPr>
        <w:t xml:space="preserve">. </w:t>
      </w:r>
      <w:r w:rsidR="00A4685B" w:rsidRPr="001B4A72">
        <w:rPr>
          <w:rFonts w:cs="Tahoma"/>
        </w:rPr>
        <w:t>D</w:t>
      </w:r>
      <w:r w:rsidR="009A2D78" w:rsidRPr="001B4A72">
        <w:rPr>
          <w:rFonts w:cs="Tahoma"/>
        </w:rPr>
        <w:t>icha solicitud quedó</w:t>
      </w:r>
      <w:r w:rsidRPr="001B4A72">
        <w:rPr>
          <w:rFonts w:cs="Tahoma"/>
        </w:rPr>
        <w:t xml:space="preserve"> registrada c</w:t>
      </w:r>
      <w:r w:rsidR="00664420" w:rsidRPr="001B4A72">
        <w:rPr>
          <w:rFonts w:cs="Tahoma"/>
        </w:rPr>
        <w:t>on el número de folio</w:t>
      </w:r>
      <w:r w:rsidR="00664420" w:rsidRPr="001B4A72">
        <w:rPr>
          <w:rFonts w:cs="Tahoma"/>
          <w:b/>
          <w:bCs/>
        </w:rPr>
        <w:t xml:space="preserve"> </w:t>
      </w:r>
      <w:r w:rsidR="00E228D0" w:rsidRPr="001B4A72">
        <w:rPr>
          <w:rFonts w:cs="Tahoma"/>
          <w:b/>
          <w:bCs/>
        </w:rPr>
        <w:t xml:space="preserve">01433/ECATEPEC/IP/2024 </w:t>
      </w:r>
      <w:r w:rsidR="002A3601" w:rsidRPr="001B4A72">
        <w:rPr>
          <w:rFonts w:cs="Tahoma"/>
        </w:rPr>
        <w:t xml:space="preserve">y en ella </w:t>
      </w:r>
      <w:r w:rsidR="009A2D78" w:rsidRPr="001B4A72">
        <w:rPr>
          <w:rFonts w:cs="Tahoma"/>
        </w:rPr>
        <w:t>se requirió la siguiente información:</w:t>
      </w:r>
    </w:p>
    <w:p w14:paraId="64B27DE3" w14:textId="4E9F8914" w:rsidR="00664420" w:rsidRPr="001B4A72" w:rsidRDefault="006D1510" w:rsidP="001B4A72">
      <w:pPr>
        <w:pStyle w:val="Puesto"/>
      </w:pPr>
      <w:r w:rsidRPr="001B4A72">
        <w:t>“</w:t>
      </w:r>
      <w:r w:rsidR="006D008D" w:rsidRPr="001B4A72">
        <w:t>Mi escrito que ingrese por Oficialía de Partes en el Municipio de Ecatepec de Morelos con fecha 17 de julio de 2023, que se le asignó el número de folio 011601 (acuse de recibo 18 de julio de 2023, 4:39 horas), y el acuse de recibo de fecha 18 de julio de 2023, de la Dirección de Medio Ambiente y Ecología, no ha tenido respuesta a lo solicitado en la hoja 2, numeral III, que a la letra dice: “III.- Copia simple de la visita de inspección del personal de la Dirección de Medio Ambiente y Ecología para valorar el estado que guarda el árbol y determine los trabajos conducentes.”, por lo que agradeceré considerar las VALORACIONES DE RIESGO de la Dirección de Protección Civil y Bomberos.</w:t>
      </w:r>
      <w:r w:rsidRPr="001B4A72">
        <w:t>” (Sic)</w:t>
      </w:r>
    </w:p>
    <w:p w14:paraId="0BD6321D" w14:textId="6A05CB8A" w:rsidR="00664420" w:rsidRPr="001B4A72" w:rsidRDefault="009A2D78" w:rsidP="001B4A72">
      <w:pPr>
        <w:tabs>
          <w:tab w:val="left" w:pos="4667"/>
        </w:tabs>
        <w:ind w:left="567" w:right="567"/>
        <w:rPr>
          <w:rFonts w:cs="Tahoma"/>
          <w:bCs/>
          <w:szCs w:val="22"/>
        </w:rPr>
      </w:pPr>
      <w:r w:rsidRPr="001B4A72">
        <w:rPr>
          <w:rFonts w:cs="Tahoma"/>
          <w:b/>
          <w:bCs/>
          <w:szCs w:val="22"/>
        </w:rPr>
        <w:lastRenderedPageBreak/>
        <w:t>Modalidad de entrega</w:t>
      </w:r>
      <w:r w:rsidRPr="001B4A72">
        <w:rPr>
          <w:rFonts w:cs="Tahoma"/>
          <w:bCs/>
          <w:szCs w:val="22"/>
        </w:rPr>
        <w:t>: a</w:t>
      </w:r>
      <w:r w:rsidR="00664420" w:rsidRPr="001B4A72">
        <w:rPr>
          <w:rFonts w:cs="Tahoma"/>
          <w:bCs/>
          <w:i/>
          <w:szCs w:val="22"/>
        </w:rPr>
        <w:t xml:space="preserve"> través del </w:t>
      </w:r>
      <w:r w:rsidR="00664420" w:rsidRPr="001B4A72">
        <w:rPr>
          <w:rFonts w:cs="Tahoma"/>
          <w:b/>
          <w:bCs/>
          <w:i/>
          <w:szCs w:val="22"/>
        </w:rPr>
        <w:t>SAIMEX</w:t>
      </w:r>
      <w:r w:rsidRPr="001B4A72">
        <w:rPr>
          <w:rFonts w:cs="Tahoma"/>
          <w:bCs/>
          <w:i/>
          <w:szCs w:val="22"/>
        </w:rPr>
        <w:t>.</w:t>
      </w:r>
    </w:p>
    <w:p w14:paraId="334D2860" w14:textId="77777777" w:rsidR="00664420" w:rsidRPr="001B4A72" w:rsidRDefault="00664420" w:rsidP="001B4A72">
      <w:pPr>
        <w:autoSpaceDE w:val="0"/>
        <w:autoSpaceDN w:val="0"/>
        <w:adjustRightInd w:val="0"/>
        <w:ind w:right="-28"/>
        <w:rPr>
          <w:rFonts w:cs="Tahoma"/>
          <w:bCs/>
          <w:i/>
          <w:szCs w:val="22"/>
        </w:rPr>
      </w:pPr>
    </w:p>
    <w:p w14:paraId="5AC1EE52" w14:textId="34C34E77" w:rsidR="00D036D3" w:rsidRPr="001B4A72" w:rsidRDefault="00E37A3F" w:rsidP="001B4A72">
      <w:pPr>
        <w:pStyle w:val="Ttulo3"/>
      </w:pPr>
      <w:bookmarkStart w:id="6" w:name="_Toc188469829"/>
      <w:r w:rsidRPr="001B4A72">
        <w:t xml:space="preserve">b) </w:t>
      </w:r>
      <w:r w:rsidR="00D036D3" w:rsidRPr="001B4A72">
        <w:t>Turno de la solicitud de información</w:t>
      </w:r>
      <w:bookmarkEnd w:id="6"/>
    </w:p>
    <w:p w14:paraId="7CEE6F8C" w14:textId="7AA398D2" w:rsidR="007D1C55" w:rsidRPr="001B4A72" w:rsidRDefault="00D036D3" w:rsidP="001B4A72">
      <w:r w:rsidRPr="001B4A72">
        <w:t xml:space="preserve">En cumplimiento al artículo 162 de la Ley de Transparencia y Acceso a la Información Pública del Estado de México y Municipios, el </w:t>
      </w:r>
      <w:r w:rsidR="00E228D0" w:rsidRPr="001B4A72">
        <w:rPr>
          <w:rFonts w:eastAsia="Palatino Linotype" w:cs="Palatino Linotype"/>
          <w:b/>
        </w:rPr>
        <w:t>veintiocho</w:t>
      </w:r>
      <w:r w:rsidR="00FA01EE" w:rsidRPr="001B4A72">
        <w:rPr>
          <w:rFonts w:eastAsia="Palatino Linotype" w:cs="Palatino Linotype"/>
          <w:b/>
        </w:rPr>
        <w:t xml:space="preserve"> de noviembre</w:t>
      </w:r>
      <w:r w:rsidR="00002238" w:rsidRPr="001B4A72">
        <w:rPr>
          <w:rFonts w:eastAsia="Palatino Linotype" w:cs="Palatino Linotype"/>
          <w:b/>
        </w:rPr>
        <w:t xml:space="preserve"> de dos mil veinticuatro</w:t>
      </w:r>
      <w:r w:rsidRPr="001B4A72">
        <w:t xml:space="preserve">, </w:t>
      </w:r>
      <w:r w:rsidR="00C2617E" w:rsidRPr="001B4A72">
        <w:t>l</w:t>
      </w:r>
      <w:r w:rsidR="00E228D0" w:rsidRPr="001B4A72">
        <w:t>a</w:t>
      </w:r>
      <w:r w:rsidRPr="001B4A72">
        <w:t xml:space="preserve"> Titular de la Unidad de Transparencia del </w:t>
      </w:r>
      <w:r w:rsidRPr="001B4A72">
        <w:rPr>
          <w:b/>
        </w:rPr>
        <w:t>SUJETO OBLIGADO</w:t>
      </w:r>
      <w:r w:rsidRPr="001B4A72">
        <w:t xml:space="preserve"> turnó la solicitud de información al</w:t>
      </w:r>
      <w:r w:rsidR="007D1C55" w:rsidRPr="001B4A72">
        <w:t xml:space="preserve"> </w:t>
      </w:r>
      <w:r w:rsidRPr="001B4A72">
        <w:t>servidor público habilitado</w:t>
      </w:r>
      <w:r w:rsidR="00002238" w:rsidRPr="001B4A72">
        <w:t xml:space="preserve"> </w:t>
      </w:r>
      <w:r w:rsidRPr="001B4A72">
        <w:t>que estimó pertinente</w:t>
      </w:r>
      <w:r w:rsidR="007D1C55" w:rsidRPr="001B4A72">
        <w:t>.</w:t>
      </w:r>
    </w:p>
    <w:p w14:paraId="7B667FC9" w14:textId="77777777" w:rsidR="007D1C55" w:rsidRPr="001B4A72" w:rsidRDefault="007D1C55" w:rsidP="001B4A72"/>
    <w:p w14:paraId="3212BA4D" w14:textId="6CB3FC8B" w:rsidR="00664420" w:rsidRPr="001B4A72" w:rsidRDefault="00824813" w:rsidP="001B4A72">
      <w:pPr>
        <w:pStyle w:val="Ttulo3"/>
        <w:rPr>
          <w:rFonts w:eastAsia="Calibri"/>
          <w:lang w:eastAsia="en-US"/>
        </w:rPr>
      </w:pPr>
      <w:bookmarkStart w:id="7" w:name="_Toc188469830"/>
      <w:r w:rsidRPr="001B4A72">
        <w:rPr>
          <w:lang w:val="es-ES"/>
        </w:rPr>
        <w:t>c</w:t>
      </w:r>
      <w:r w:rsidR="00E37A3F" w:rsidRPr="001B4A72">
        <w:rPr>
          <w:lang w:val="es-ES"/>
        </w:rPr>
        <w:t xml:space="preserve">) </w:t>
      </w:r>
      <w:r w:rsidR="00664420" w:rsidRPr="001B4A72">
        <w:rPr>
          <w:lang w:val="es-ES"/>
        </w:rPr>
        <w:t xml:space="preserve">Respuesta </w:t>
      </w:r>
      <w:r w:rsidR="00664420" w:rsidRPr="001B4A72">
        <w:rPr>
          <w:rFonts w:eastAsia="Calibri"/>
          <w:lang w:eastAsia="en-US"/>
        </w:rPr>
        <w:t>del Sujeto Obligado</w:t>
      </w:r>
      <w:bookmarkEnd w:id="7"/>
    </w:p>
    <w:p w14:paraId="63B5BEA9" w14:textId="2C951010" w:rsidR="00AC2B99" w:rsidRPr="001B4A72" w:rsidRDefault="00AC2B99" w:rsidP="001B4A72">
      <w:pPr>
        <w:rPr>
          <w:rFonts w:cs="Arial"/>
        </w:rPr>
      </w:pPr>
      <w:r w:rsidRPr="001B4A72">
        <w:t xml:space="preserve">De las constancias que obran en el </w:t>
      </w:r>
      <w:r w:rsidRPr="001B4A72">
        <w:rPr>
          <w:b/>
        </w:rPr>
        <w:t>SAIMEX,</w:t>
      </w:r>
      <w:r w:rsidRPr="001B4A72">
        <w:t xml:space="preserve"> se advierte que </w:t>
      </w:r>
      <w:r w:rsidRPr="001B4A72">
        <w:rPr>
          <w:rFonts w:cs="Arial"/>
          <w:b/>
        </w:rPr>
        <w:t>EL SUJETO OBLIGADO</w:t>
      </w:r>
      <w:r w:rsidRPr="001B4A72">
        <w:rPr>
          <w:rFonts w:cs="Arial"/>
        </w:rPr>
        <w:t xml:space="preserve"> no entregó la respuesta a la solicitud de Información Pública realizada por </w:t>
      </w:r>
      <w:r w:rsidRPr="001B4A72">
        <w:rPr>
          <w:b/>
          <w:bCs/>
        </w:rPr>
        <w:t>LA PARTE RECURRENTE</w:t>
      </w:r>
      <w:r w:rsidRPr="001B4A72">
        <w:rPr>
          <w:rFonts w:cs="Arial"/>
        </w:rPr>
        <w:t>.</w:t>
      </w:r>
    </w:p>
    <w:p w14:paraId="2C78354F" w14:textId="77777777" w:rsidR="00664420" w:rsidRPr="001B4A72" w:rsidRDefault="00664420" w:rsidP="001B4A72">
      <w:pPr>
        <w:autoSpaceDE w:val="0"/>
        <w:autoSpaceDN w:val="0"/>
        <w:adjustRightInd w:val="0"/>
        <w:ind w:right="-28"/>
        <w:rPr>
          <w:rFonts w:cs="Tahoma"/>
          <w:bCs/>
          <w:szCs w:val="22"/>
          <w:lang w:val="es-ES"/>
        </w:rPr>
      </w:pPr>
    </w:p>
    <w:p w14:paraId="5A5DAB9E" w14:textId="77777777" w:rsidR="00E37A3F" w:rsidRPr="001B4A72" w:rsidRDefault="00E37A3F" w:rsidP="001B4A72">
      <w:pPr>
        <w:pStyle w:val="Ttulo2"/>
        <w:jc w:val="left"/>
      </w:pPr>
      <w:bookmarkStart w:id="8" w:name="_Toc188469831"/>
      <w:r w:rsidRPr="001B4A72">
        <w:t>DEL RECURSO DE REVISIÓN</w:t>
      </w:r>
      <w:bookmarkEnd w:id="8"/>
    </w:p>
    <w:p w14:paraId="0B17CD08" w14:textId="77777777" w:rsidR="00664420" w:rsidRPr="001B4A72" w:rsidRDefault="00664420" w:rsidP="001B4A72">
      <w:pPr>
        <w:autoSpaceDE w:val="0"/>
        <w:autoSpaceDN w:val="0"/>
        <w:adjustRightInd w:val="0"/>
        <w:ind w:right="-28"/>
        <w:rPr>
          <w:rFonts w:cs="Tahoma"/>
          <w:bCs/>
          <w:szCs w:val="22"/>
          <w:lang w:val="es-ES"/>
        </w:rPr>
      </w:pPr>
    </w:p>
    <w:p w14:paraId="2B216813" w14:textId="61ADBB2B" w:rsidR="00664420" w:rsidRPr="001B4A72" w:rsidRDefault="006E25BC" w:rsidP="001B4A72">
      <w:pPr>
        <w:pStyle w:val="Ttulo3"/>
      </w:pPr>
      <w:bookmarkStart w:id="9" w:name="_Toc188469832"/>
      <w:r w:rsidRPr="001B4A72">
        <w:rPr>
          <w:szCs w:val="32"/>
        </w:rPr>
        <w:t>a)</w:t>
      </w:r>
      <w:r w:rsidRPr="001B4A72">
        <w:t xml:space="preserve"> </w:t>
      </w:r>
      <w:r w:rsidR="00664420" w:rsidRPr="001B4A72">
        <w:t>Interposición del Recurso de Revisión</w:t>
      </w:r>
      <w:bookmarkEnd w:id="9"/>
    </w:p>
    <w:p w14:paraId="6279C622" w14:textId="6E38BE2D" w:rsidR="00664420" w:rsidRPr="001B4A72" w:rsidRDefault="00664420" w:rsidP="001B4A72">
      <w:pPr>
        <w:autoSpaceDE w:val="0"/>
        <w:autoSpaceDN w:val="0"/>
        <w:adjustRightInd w:val="0"/>
        <w:ind w:right="-28"/>
        <w:rPr>
          <w:rFonts w:cs="Tahoma"/>
          <w:szCs w:val="22"/>
        </w:rPr>
      </w:pPr>
      <w:r w:rsidRPr="001B4A72">
        <w:rPr>
          <w:rFonts w:cs="Tahoma"/>
          <w:szCs w:val="22"/>
        </w:rPr>
        <w:t xml:space="preserve">El </w:t>
      </w:r>
      <w:r w:rsidR="00E228D0" w:rsidRPr="001B4A72">
        <w:rPr>
          <w:rFonts w:cs="Tahoma"/>
          <w:b/>
          <w:bCs/>
          <w:szCs w:val="22"/>
        </w:rPr>
        <w:t>trece de diciembre</w:t>
      </w:r>
      <w:r w:rsidR="009A2B26" w:rsidRPr="001B4A72">
        <w:rPr>
          <w:rFonts w:cs="Tahoma"/>
          <w:b/>
          <w:bCs/>
          <w:szCs w:val="22"/>
        </w:rPr>
        <w:t xml:space="preserve"> </w:t>
      </w:r>
      <w:r w:rsidR="00AC2B99" w:rsidRPr="001B4A72">
        <w:rPr>
          <w:rFonts w:cs="Tahoma"/>
          <w:b/>
          <w:bCs/>
          <w:szCs w:val="22"/>
        </w:rPr>
        <w:t>de dos mil veinticuatro,</w:t>
      </w:r>
      <w:r w:rsidRPr="001B4A72">
        <w:rPr>
          <w:rFonts w:cs="Tahoma"/>
          <w:szCs w:val="22"/>
        </w:rPr>
        <w:t xml:space="preserve"> </w:t>
      </w:r>
      <w:r w:rsidR="00F75D23" w:rsidRPr="001B4A72">
        <w:rPr>
          <w:rFonts w:cs="Tahoma"/>
          <w:b/>
          <w:bCs/>
          <w:szCs w:val="22"/>
        </w:rPr>
        <w:t>LA PARTE RECURRENTE</w:t>
      </w:r>
      <w:r w:rsidR="00F75D23" w:rsidRPr="001B4A72">
        <w:rPr>
          <w:rFonts w:cs="Tahoma"/>
          <w:szCs w:val="22"/>
        </w:rPr>
        <w:t xml:space="preserve"> </w:t>
      </w:r>
      <w:r w:rsidR="00AC2B99" w:rsidRPr="001B4A72">
        <w:rPr>
          <w:rFonts w:cs="Tahoma"/>
          <w:szCs w:val="22"/>
        </w:rPr>
        <w:t>inconforme por la falta de respuesta d</w:t>
      </w:r>
      <w:r w:rsidR="00F75D23" w:rsidRPr="001B4A72">
        <w:rPr>
          <w:rFonts w:cs="Tahoma"/>
          <w:szCs w:val="22"/>
        </w:rPr>
        <w:t xml:space="preserve">el </w:t>
      </w:r>
      <w:r w:rsidR="00F75D23" w:rsidRPr="001B4A72">
        <w:rPr>
          <w:rFonts w:cs="Tahoma"/>
          <w:b/>
          <w:bCs/>
          <w:szCs w:val="22"/>
        </w:rPr>
        <w:t>SUJETO OBLIGADO</w:t>
      </w:r>
      <w:r w:rsidR="00953430" w:rsidRPr="001B4A72">
        <w:rPr>
          <w:rFonts w:cs="Tahoma"/>
          <w:szCs w:val="22"/>
        </w:rPr>
        <w:t xml:space="preserve">, </w:t>
      </w:r>
      <w:r w:rsidR="00FA01EE" w:rsidRPr="001B4A72">
        <w:rPr>
          <w:rFonts w:cs="Tahoma"/>
          <w:szCs w:val="22"/>
        </w:rPr>
        <w:t>interpuso</w:t>
      </w:r>
      <w:r w:rsidR="00AC2B99" w:rsidRPr="001B4A72">
        <w:rPr>
          <w:rFonts w:cs="Tahoma"/>
          <w:szCs w:val="22"/>
        </w:rPr>
        <w:t xml:space="preserve"> el recurso de</w:t>
      </w:r>
      <w:r w:rsidR="00FA01EE" w:rsidRPr="001B4A72">
        <w:rPr>
          <w:rFonts w:cs="Tahoma"/>
          <w:szCs w:val="22"/>
        </w:rPr>
        <w:t xml:space="preserve"> revisión materia de estudio</w:t>
      </w:r>
      <w:r w:rsidR="005A7CE5" w:rsidRPr="001B4A72">
        <w:rPr>
          <w:rFonts w:eastAsia="Palatino Linotype" w:cs="Palatino Linotype"/>
          <w:lang w:eastAsia="es-MX"/>
        </w:rPr>
        <w:t>, el cual</w:t>
      </w:r>
      <w:r w:rsidR="00953430" w:rsidRPr="001B4A72">
        <w:rPr>
          <w:rFonts w:cs="Tahoma"/>
          <w:szCs w:val="22"/>
        </w:rPr>
        <w:t xml:space="preserve"> fue registrado en el SAIMEX con el número de expediente </w:t>
      </w:r>
      <w:r w:rsidR="00E228D0" w:rsidRPr="001B4A72">
        <w:rPr>
          <w:rFonts w:cs="Tahoma"/>
          <w:b/>
          <w:bCs/>
          <w:szCs w:val="22"/>
        </w:rPr>
        <w:t>0766</w:t>
      </w:r>
      <w:r w:rsidR="0094779F" w:rsidRPr="001B4A72">
        <w:rPr>
          <w:rFonts w:cs="Tahoma"/>
          <w:b/>
          <w:bCs/>
          <w:szCs w:val="22"/>
        </w:rPr>
        <w:t>2/INFOEM/IP/RR/2024</w:t>
      </w:r>
      <w:r w:rsidR="00953430" w:rsidRPr="001B4A72">
        <w:rPr>
          <w:rFonts w:cs="Tahoma"/>
          <w:szCs w:val="22"/>
        </w:rPr>
        <w:t xml:space="preserve">, y en el cual </w:t>
      </w:r>
      <w:r w:rsidR="00F91BFF" w:rsidRPr="001B4A72">
        <w:rPr>
          <w:rFonts w:cs="Tahoma"/>
          <w:szCs w:val="22"/>
        </w:rPr>
        <w:t>manifestó</w:t>
      </w:r>
      <w:r w:rsidR="00953430" w:rsidRPr="001B4A72">
        <w:rPr>
          <w:rFonts w:cs="Tahoma"/>
          <w:szCs w:val="22"/>
        </w:rPr>
        <w:t xml:space="preserve"> lo siguiente</w:t>
      </w:r>
      <w:r w:rsidRPr="001B4A72">
        <w:rPr>
          <w:rFonts w:cs="Tahoma"/>
          <w:szCs w:val="22"/>
        </w:rPr>
        <w:t>:</w:t>
      </w:r>
    </w:p>
    <w:p w14:paraId="11E4C4DA" w14:textId="77777777" w:rsidR="00E228D0" w:rsidRPr="001B4A72" w:rsidRDefault="00E228D0" w:rsidP="001B4A72">
      <w:pPr>
        <w:autoSpaceDE w:val="0"/>
        <w:autoSpaceDN w:val="0"/>
        <w:adjustRightInd w:val="0"/>
        <w:ind w:right="-28"/>
        <w:rPr>
          <w:rFonts w:cs="Tahoma"/>
          <w:szCs w:val="22"/>
        </w:rPr>
      </w:pPr>
    </w:p>
    <w:p w14:paraId="0F93EBFF" w14:textId="77777777" w:rsidR="00F91BFF" w:rsidRPr="001B4A72" w:rsidRDefault="00F91BFF" w:rsidP="001B4A72">
      <w:pPr>
        <w:autoSpaceDE w:val="0"/>
        <w:autoSpaceDN w:val="0"/>
        <w:adjustRightInd w:val="0"/>
        <w:ind w:right="-28"/>
        <w:rPr>
          <w:rFonts w:cs="Tahoma"/>
          <w:b/>
          <w:iCs/>
        </w:rPr>
      </w:pPr>
      <w:r w:rsidRPr="001B4A72">
        <w:rPr>
          <w:rFonts w:cs="Tahoma"/>
          <w:b/>
          <w:iCs/>
        </w:rPr>
        <w:t>ACTO IMPUGNADO</w:t>
      </w:r>
    </w:p>
    <w:p w14:paraId="6933B151" w14:textId="77777777" w:rsidR="000F0719" w:rsidRPr="001B4A72" w:rsidRDefault="000F0719" w:rsidP="001B4A72">
      <w:pPr>
        <w:autoSpaceDE w:val="0"/>
        <w:autoSpaceDN w:val="0"/>
        <w:adjustRightInd w:val="0"/>
        <w:ind w:right="-28"/>
        <w:rPr>
          <w:rFonts w:cs="Tahoma"/>
          <w:b/>
          <w:iCs/>
        </w:rPr>
      </w:pPr>
    </w:p>
    <w:p w14:paraId="38D15DCB" w14:textId="1F21A864" w:rsidR="00F91BFF" w:rsidRPr="001B4A72" w:rsidRDefault="00F91BFF" w:rsidP="001B4A72">
      <w:pPr>
        <w:pStyle w:val="Puesto"/>
      </w:pPr>
      <w:r w:rsidRPr="001B4A72">
        <w:t>“</w:t>
      </w:r>
      <w:r w:rsidR="00E228D0" w:rsidRPr="001B4A72">
        <w:t xml:space="preserve">Mi escrito que ingrese por Oficialía de Partes en el Municipio de Ecatepec de Morelos con fecha 17 de julio de 2023, que se le asignó el número de folio 011601 (acuse de recibo 18 de </w:t>
      </w:r>
      <w:r w:rsidR="00E228D0" w:rsidRPr="001B4A72">
        <w:lastRenderedPageBreak/>
        <w:t>julio de 2023, 4:39 horas), y el acuse de recibo de fecha 18 de julio de 2023, de la Dirección de Medio Ambiente y Ecología, no ha tenido respuesta a lo solicitado en la hoja 2, numeral III, que a la letra dice: “III.- Copia simple de la visita de inspección del personal de la Dirección de Medio Ambiente y Ecología para valorar el estado que guarda el árbol y determine los trabajos conducentes.”, por lo que agradeceré considerar las VALORACIONES DE RIESGO de la Dirección de Protección Civil y Bomberos.</w:t>
      </w:r>
      <w:r w:rsidRPr="001B4A72">
        <w:t>” (Sic)</w:t>
      </w:r>
    </w:p>
    <w:p w14:paraId="4EFD1457" w14:textId="77777777" w:rsidR="008266DA" w:rsidRPr="001B4A72" w:rsidRDefault="008266DA" w:rsidP="001B4A72">
      <w:pPr>
        <w:tabs>
          <w:tab w:val="left" w:pos="4667"/>
        </w:tabs>
        <w:ind w:left="851" w:right="822"/>
        <w:rPr>
          <w:rFonts w:cs="Tahoma"/>
          <w:b/>
          <w:iCs/>
        </w:rPr>
      </w:pPr>
    </w:p>
    <w:p w14:paraId="53080B83" w14:textId="77777777" w:rsidR="00F91BFF" w:rsidRPr="001B4A72" w:rsidRDefault="00F91BFF" w:rsidP="001B4A72">
      <w:pPr>
        <w:autoSpaceDE w:val="0"/>
        <w:autoSpaceDN w:val="0"/>
        <w:adjustRightInd w:val="0"/>
        <w:ind w:right="-28"/>
        <w:rPr>
          <w:rFonts w:cs="Tahoma"/>
          <w:b/>
          <w:iCs/>
        </w:rPr>
      </w:pPr>
      <w:r w:rsidRPr="001B4A72">
        <w:rPr>
          <w:rFonts w:cs="Tahoma"/>
          <w:b/>
          <w:iCs/>
        </w:rPr>
        <w:t>RAZONES O MOTIVOS DE LA INCONFORMIDAD</w:t>
      </w:r>
    </w:p>
    <w:p w14:paraId="7F26707A" w14:textId="77777777" w:rsidR="000F0719" w:rsidRPr="001B4A72" w:rsidRDefault="000F0719" w:rsidP="001B4A72">
      <w:pPr>
        <w:tabs>
          <w:tab w:val="left" w:pos="4667"/>
        </w:tabs>
        <w:ind w:left="851" w:right="822"/>
        <w:rPr>
          <w:rFonts w:cs="Tahoma"/>
          <w:b/>
          <w:iCs/>
        </w:rPr>
      </w:pPr>
    </w:p>
    <w:p w14:paraId="76AE8777" w14:textId="082DC5B7" w:rsidR="00F91BFF" w:rsidRPr="001B4A72" w:rsidRDefault="00F91BFF" w:rsidP="001B4A72">
      <w:pPr>
        <w:pStyle w:val="Puesto"/>
      </w:pPr>
      <w:r w:rsidRPr="001B4A72">
        <w:t>“</w:t>
      </w:r>
      <w:r w:rsidR="00E228D0" w:rsidRPr="001B4A72">
        <w:t>Al 13 de diciembre de 2024, no he tenido respuesta del H. Municipio de Ecatepec. Espero la respuesta a mi solicitud de acceso de información.</w:t>
      </w:r>
      <w:r w:rsidRPr="001B4A72">
        <w:t>” (Sic)</w:t>
      </w:r>
    </w:p>
    <w:p w14:paraId="56B238FF" w14:textId="77777777" w:rsidR="00980648" w:rsidRPr="001B4A72" w:rsidRDefault="00980648" w:rsidP="001B4A72">
      <w:pPr>
        <w:tabs>
          <w:tab w:val="left" w:pos="4667"/>
        </w:tabs>
        <w:ind w:right="539"/>
        <w:rPr>
          <w:rFonts w:cs="Tahoma"/>
          <w:bCs/>
          <w:iCs/>
        </w:rPr>
      </w:pPr>
    </w:p>
    <w:p w14:paraId="6804DEF1" w14:textId="0B5250E7" w:rsidR="00664420" w:rsidRPr="001B4A72" w:rsidRDefault="006E25BC" w:rsidP="001B4A72">
      <w:pPr>
        <w:pStyle w:val="Ttulo3"/>
      </w:pPr>
      <w:bookmarkStart w:id="10" w:name="_Toc188469833"/>
      <w:r w:rsidRPr="001B4A72">
        <w:t>b</w:t>
      </w:r>
      <w:r w:rsidR="00664420" w:rsidRPr="001B4A72">
        <w:t>) Turno del Recurso de Revisión</w:t>
      </w:r>
      <w:bookmarkEnd w:id="10"/>
    </w:p>
    <w:p w14:paraId="1173671B" w14:textId="4C250E1C" w:rsidR="00C72DAA" w:rsidRPr="001B4A72" w:rsidRDefault="00C72DAA" w:rsidP="001B4A72">
      <w:r w:rsidRPr="001B4A72">
        <w:t>Con fundamento en el artículo 185, fracción I de la Ley de Transparencia y Acceso a la Información Pública del Estado de México y Municipios, el</w:t>
      </w:r>
      <w:r w:rsidRPr="001B4A72">
        <w:rPr>
          <w:b/>
          <w:bCs/>
        </w:rPr>
        <w:t xml:space="preserve"> </w:t>
      </w:r>
      <w:r w:rsidR="00E228D0" w:rsidRPr="001B4A72">
        <w:rPr>
          <w:rFonts w:eastAsia="Palatino Linotype" w:cs="Palatino Linotype"/>
          <w:b/>
        </w:rPr>
        <w:t>trece de diciembre</w:t>
      </w:r>
      <w:r w:rsidR="00C175A7" w:rsidRPr="001B4A72">
        <w:rPr>
          <w:rFonts w:eastAsia="Palatino Linotype" w:cs="Palatino Linotype"/>
          <w:b/>
        </w:rPr>
        <w:t xml:space="preserve"> de dos mil veinticuatro,</w:t>
      </w:r>
      <w:r w:rsidRPr="001B4A72">
        <w:t xml:space="preserve"> se turnó el recurso de revisión a través del</w:t>
      </w:r>
      <w:r w:rsidRPr="001B4A72">
        <w:rPr>
          <w:rFonts w:eastAsia="Arial Unicode MS"/>
        </w:rPr>
        <w:t xml:space="preserve"> </w:t>
      </w:r>
      <w:r w:rsidRPr="001B4A72">
        <w:rPr>
          <w:rFonts w:eastAsia="Arial Unicode MS"/>
          <w:bCs/>
        </w:rPr>
        <w:t>SAIMEX</w:t>
      </w:r>
      <w:r w:rsidRPr="001B4A72">
        <w:t xml:space="preserve"> a la </w:t>
      </w:r>
      <w:r w:rsidRPr="001B4A72">
        <w:rPr>
          <w:b/>
        </w:rPr>
        <w:t>Comisionada Sharon Cristina Morales Martínez</w:t>
      </w:r>
      <w:r w:rsidRPr="001B4A72">
        <w:rPr>
          <w:bCs/>
        </w:rPr>
        <w:t xml:space="preserve">, </w:t>
      </w:r>
      <w:r w:rsidRPr="001B4A72">
        <w:t>a efecto de decretar su admisión o desechamiento.</w:t>
      </w:r>
    </w:p>
    <w:p w14:paraId="27E5E522" w14:textId="77777777" w:rsidR="007846FB" w:rsidRPr="001B4A72" w:rsidRDefault="007846FB" w:rsidP="001B4A72"/>
    <w:p w14:paraId="3E31EC2D" w14:textId="295256A1" w:rsidR="00664420" w:rsidRPr="001B4A72" w:rsidRDefault="006E25BC" w:rsidP="001B4A72">
      <w:pPr>
        <w:pStyle w:val="Ttulo3"/>
      </w:pPr>
      <w:bookmarkStart w:id="11" w:name="_Toc188469834"/>
      <w:r w:rsidRPr="001B4A72">
        <w:t>c</w:t>
      </w:r>
      <w:r w:rsidR="00664420" w:rsidRPr="001B4A72">
        <w:t>) Admisión del Recurso de Revisión</w:t>
      </w:r>
      <w:bookmarkEnd w:id="11"/>
    </w:p>
    <w:p w14:paraId="240447D5" w14:textId="02B3223F" w:rsidR="000E09C4" w:rsidRPr="001B4A72" w:rsidRDefault="000E09C4" w:rsidP="001B4A72">
      <w:pPr>
        <w:rPr>
          <w:rFonts w:cs="Arial"/>
        </w:rPr>
      </w:pPr>
      <w:r w:rsidRPr="001B4A72">
        <w:rPr>
          <w:rFonts w:cs="Arial"/>
        </w:rPr>
        <w:t xml:space="preserve">El </w:t>
      </w:r>
      <w:r w:rsidR="00E228D0" w:rsidRPr="001B4A72">
        <w:rPr>
          <w:rFonts w:eastAsia="Palatino Linotype" w:cs="Palatino Linotype"/>
          <w:b/>
        </w:rPr>
        <w:t>diecisiete de diciembre</w:t>
      </w:r>
      <w:r w:rsidR="00F65DE0" w:rsidRPr="001B4A72">
        <w:rPr>
          <w:rFonts w:eastAsia="Palatino Linotype" w:cs="Palatino Linotype"/>
          <w:b/>
        </w:rPr>
        <w:t xml:space="preserve"> de dos mil veinticuatro,</w:t>
      </w:r>
      <w:r w:rsidRPr="001B4A72">
        <w:rPr>
          <w:rFonts w:cs="Arial"/>
        </w:rPr>
        <w:t xml:space="preserve"> 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1B4A72">
        <w:rPr>
          <w:rFonts w:cs="Arial"/>
        </w:rPr>
        <w:t>, fracción II</w:t>
      </w:r>
      <w:r w:rsidRPr="001B4A72">
        <w:rPr>
          <w:rFonts w:cs="Arial"/>
        </w:rPr>
        <w:t xml:space="preserve"> de la Ley de Transparencia y Acceso a la Información Pública del Estado de México y Municipios.</w:t>
      </w:r>
    </w:p>
    <w:p w14:paraId="34059657" w14:textId="77777777" w:rsidR="000F0719" w:rsidRPr="001B4A72" w:rsidRDefault="000F0719" w:rsidP="001B4A72">
      <w:pPr>
        <w:rPr>
          <w:rFonts w:cs="Arial"/>
        </w:rPr>
      </w:pPr>
    </w:p>
    <w:p w14:paraId="3B820F58" w14:textId="7A8BE8DC" w:rsidR="00865CF4" w:rsidRPr="001B4A72" w:rsidRDefault="00F65DE0" w:rsidP="001B4A72">
      <w:pPr>
        <w:pStyle w:val="Ttulo3"/>
      </w:pPr>
      <w:bookmarkStart w:id="12" w:name="_Toc188469835"/>
      <w:r w:rsidRPr="001B4A72">
        <w:lastRenderedPageBreak/>
        <w:t>d</w:t>
      </w:r>
      <w:r w:rsidR="00664420" w:rsidRPr="001B4A72">
        <w:t xml:space="preserve">) </w:t>
      </w:r>
      <w:r w:rsidR="00865CF4" w:rsidRPr="001B4A72">
        <w:t>Informe Justificado del Sujeto Obligado</w:t>
      </w:r>
      <w:bookmarkEnd w:id="12"/>
    </w:p>
    <w:p w14:paraId="14A706BE" w14:textId="77777777" w:rsidR="00865CF4" w:rsidRPr="001B4A72" w:rsidRDefault="00865CF4" w:rsidP="001B4A72">
      <w:pPr>
        <w:rPr>
          <w:rFonts w:eastAsia="Arial Unicode MS" w:cs="Arial"/>
        </w:rPr>
      </w:pPr>
      <w:r w:rsidRPr="001B4A72">
        <w:rPr>
          <w:rFonts w:cs="Tahoma"/>
          <w:b/>
          <w:szCs w:val="24"/>
        </w:rPr>
        <w:t xml:space="preserve">EL SUJETO OBLIGADO </w:t>
      </w:r>
      <w:r w:rsidRPr="001B4A72">
        <w:rPr>
          <w:rFonts w:eastAsia="Arial Unicode MS" w:cs="Arial"/>
        </w:rPr>
        <w:t>no rindió su informe justificado dentro del término legalmente concedido para tal efecto.</w:t>
      </w:r>
    </w:p>
    <w:p w14:paraId="66BA6FC7" w14:textId="77777777" w:rsidR="00865CF4" w:rsidRPr="001B4A72" w:rsidRDefault="00865CF4" w:rsidP="001B4A72">
      <w:pPr>
        <w:rPr>
          <w:rFonts w:cs="Tahoma"/>
          <w:bCs/>
          <w:szCs w:val="24"/>
        </w:rPr>
      </w:pPr>
    </w:p>
    <w:p w14:paraId="755B7730" w14:textId="6645EDEC" w:rsidR="00664420" w:rsidRPr="001B4A72" w:rsidRDefault="00F65DE0" w:rsidP="001B4A72">
      <w:pPr>
        <w:pStyle w:val="Ttulo3"/>
        <w:rPr>
          <w:lang w:val="es-ES"/>
        </w:rPr>
      </w:pPr>
      <w:bookmarkStart w:id="13" w:name="_Toc188469836"/>
      <w:r w:rsidRPr="001B4A72">
        <w:rPr>
          <w:rFonts w:eastAsia="Calibri"/>
          <w:bCs/>
          <w:lang w:eastAsia="en-US"/>
        </w:rPr>
        <w:t>e</w:t>
      </w:r>
      <w:r w:rsidR="00664420" w:rsidRPr="001B4A72">
        <w:rPr>
          <w:rFonts w:eastAsia="Calibri"/>
          <w:bCs/>
          <w:lang w:eastAsia="en-US"/>
        </w:rPr>
        <w:t>)</w:t>
      </w:r>
      <w:r w:rsidR="00664420" w:rsidRPr="001B4A72">
        <w:t xml:space="preserve"> </w:t>
      </w:r>
      <w:r w:rsidR="00865CF4" w:rsidRPr="001B4A72">
        <w:rPr>
          <w:lang w:val="es-ES"/>
        </w:rPr>
        <w:t>Manifestaciones de la Parte Recurrente</w:t>
      </w:r>
      <w:bookmarkEnd w:id="13"/>
    </w:p>
    <w:p w14:paraId="24F87764" w14:textId="485538BC" w:rsidR="00664420" w:rsidRPr="001B4A72" w:rsidRDefault="00E228D0" w:rsidP="001B4A72">
      <w:pPr>
        <w:rPr>
          <w:rFonts w:eastAsia="Arial Unicode MS" w:cs="Arial"/>
        </w:rPr>
      </w:pPr>
      <w:r w:rsidRPr="001B4A72">
        <w:rPr>
          <w:rFonts w:cs="Tahoma"/>
          <w:b/>
          <w:szCs w:val="24"/>
        </w:rPr>
        <w:t xml:space="preserve">LA PARTE RECURRENTE </w:t>
      </w:r>
      <w:r w:rsidR="00FD443A" w:rsidRPr="001B4A72">
        <w:rPr>
          <w:rFonts w:cs="Tahoma"/>
          <w:bCs/>
          <w:szCs w:val="24"/>
        </w:rPr>
        <w:t>adjuntó</w:t>
      </w:r>
      <w:r w:rsidRPr="001B4A72">
        <w:rPr>
          <w:rFonts w:cs="Tahoma"/>
          <w:bCs/>
          <w:szCs w:val="24"/>
        </w:rPr>
        <w:t xml:space="preserve"> </w:t>
      </w:r>
      <w:r w:rsidR="00FD443A" w:rsidRPr="001B4A72">
        <w:rPr>
          <w:rFonts w:cs="Tahoma"/>
          <w:bCs/>
          <w:szCs w:val="24"/>
        </w:rPr>
        <w:t xml:space="preserve">a través del SAIMEX, el archivo electrónico denominado </w:t>
      </w:r>
      <w:r w:rsidR="00FD443A" w:rsidRPr="001B4A72">
        <w:rPr>
          <w:rFonts w:cs="Tahoma"/>
          <w:b/>
          <w:bCs/>
          <w:i/>
          <w:szCs w:val="24"/>
        </w:rPr>
        <w:t>“07662-2024-AA.pdf”</w:t>
      </w:r>
      <w:r w:rsidRPr="001B4A72">
        <w:rPr>
          <w:rFonts w:cs="Tahoma"/>
          <w:bCs/>
          <w:szCs w:val="24"/>
        </w:rPr>
        <w:t xml:space="preserve">el </w:t>
      </w:r>
      <w:r w:rsidR="00FD443A" w:rsidRPr="001B4A72">
        <w:rPr>
          <w:rFonts w:eastAsia="Palatino Linotype" w:cs="Palatino Linotype"/>
          <w:b/>
        </w:rPr>
        <w:t>treinta de diciembre de dos mil veinticuatro</w:t>
      </w:r>
      <w:r w:rsidRPr="001B4A72">
        <w:rPr>
          <w:rFonts w:cs="Tahoma"/>
          <w:bCs/>
          <w:szCs w:val="24"/>
        </w:rPr>
        <w:t xml:space="preserve">, </w:t>
      </w:r>
      <w:r w:rsidR="00FD443A" w:rsidRPr="001B4A72">
        <w:rPr>
          <w:rFonts w:cs="Tahoma"/>
          <w:bCs/>
          <w:szCs w:val="24"/>
        </w:rPr>
        <w:t>el cual consiste en el acuerdo de admisión del presente recurso de revisión.</w:t>
      </w:r>
    </w:p>
    <w:p w14:paraId="6923684C" w14:textId="77777777" w:rsidR="00664420" w:rsidRPr="001B4A72" w:rsidRDefault="00664420" w:rsidP="001B4A72">
      <w:pPr>
        <w:rPr>
          <w:rFonts w:cs="Tahoma"/>
          <w:szCs w:val="22"/>
        </w:rPr>
      </w:pPr>
    </w:p>
    <w:p w14:paraId="0E651988" w14:textId="787729CB" w:rsidR="00664420" w:rsidRPr="001B4A72" w:rsidRDefault="00F65DE0" w:rsidP="001B4A72">
      <w:pPr>
        <w:pStyle w:val="Ttulo3"/>
      </w:pPr>
      <w:bookmarkStart w:id="14" w:name="_Toc188469837"/>
      <w:r w:rsidRPr="001B4A72">
        <w:t>f</w:t>
      </w:r>
      <w:r w:rsidR="00664420" w:rsidRPr="001B4A72">
        <w:t>) Cierre de instrucción</w:t>
      </w:r>
      <w:bookmarkEnd w:id="14"/>
    </w:p>
    <w:p w14:paraId="79AF95DC" w14:textId="325D2FA0" w:rsidR="00664420" w:rsidRPr="001B4A72" w:rsidRDefault="00BF091A" w:rsidP="001B4A72">
      <w:pPr>
        <w:rPr>
          <w:rFonts w:cs="Tahoma"/>
          <w:szCs w:val="22"/>
        </w:rPr>
      </w:pPr>
      <w:r w:rsidRPr="001B4A72">
        <w:rPr>
          <w:rFonts w:cs="Tahoma"/>
          <w:szCs w:val="22"/>
        </w:rPr>
        <w:t>Al no existir diligencias pendientes por desahogar</w:t>
      </w:r>
      <w:r w:rsidRPr="001B4A72">
        <w:rPr>
          <w:rFonts w:cs="Arial"/>
        </w:rPr>
        <w:t xml:space="preserve">, el </w:t>
      </w:r>
      <w:r w:rsidR="00FD443A" w:rsidRPr="001B4A72">
        <w:rPr>
          <w:rFonts w:cs="Arial"/>
          <w:b/>
        </w:rPr>
        <w:t>diecisiete de enero de dos mil veinticinco</w:t>
      </w:r>
      <w:r w:rsidR="00F65DE0" w:rsidRPr="001B4A72">
        <w:rPr>
          <w:rFonts w:cs="Arial"/>
          <w:b/>
        </w:rPr>
        <w:t>,</w:t>
      </w:r>
      <w:r w:rsidRPr="001B4A72">
        <w:rPr>
          <w:rFonts w:cs="Arial"/>
        </w:rPr>
        <w:t xml:space="preserve"> la </w:t>
      </w:r>
      <w:r w:rsidRPr="001B4A72">
        <w:rPr>
          <w:rFonts w:cs="Arial"/>
          <w:b/>
          <w:bCs/>
        </w:rPr>
        <w:t xml:space="preserve">Comisionada </w:t>
      </w:r>
      <w:r w:rsidRPr="001B4A72">
        <w:rPr>
          <w:b/>
        </w:rPr>
        <w:t xml:space="preserve">Sharon Cristina Morales Martínez </w:t>
      </w:r>
      <w:r w:rsidRPr="001B4A72">
        <w:rPr>
          <w:rFonts w:cs="Arial"/>
        </w:rPr>
        <w:t>acordó el cierre de instrucción</w:t>
      </w:r>
      <w:r w:rsidR="0011350D" w:rsidRPr="001B4A72">
        <w:rPr>
          <w:rFonts w:cs="Arial"/>
        </w:rPr>
        <w:t xml:space="preserve"> y</w:t>
      </w:r>
      <w:r w:rsidRPr="001B4A72">
        <w:rPr>
          <w:rFonts w:cs="Arial"/>
        </w:rPr>
        <w:t xml:space="preserve"> </w:t>
      </w:r>
      <w:r w:rsidR="0011350D" w:rsidRPr="001B4A72">
        <w:rPr>
          <w:rFonts w:cs="Arial"/>
        </w:rPr>
        <w:t xml:space="preserve">la </w:t>
      </w:r>
      <w:r w:rsidRPr="001B4A72">
        <w:rPr>
          <w:rFonts w:cs="Arial"/>
        </w:rPr>
        <w:t>remisión del expediente a efecto de ser resuelto, de conformidad con lo establecido en el artículo 185 fracciones VI y VIII de la Ley de Transparencia y Acceso a la Información Pública del Estado de México y Municipios</w:t>
      </w:r>
      <w:r w:rsidRPr="001B4A72">
        <w:t>.</w:t>
      </w:r>
      <w:r w:rsidR="0011350D" w:rsidRPr="001B4A72">
        <w:t xml:space="preserve"> Dicho acuerdo </w:t>
      </w:r>
      <w:r w:rsidR="00664420" w:rsidRPr="001B4A72">
        <w:rPr>
          <w:rFonts w:cs="Tahoma"/>
          <w:szCs w:val="22"/>
        </w:rPr>
        <w:t xml:space="preserve">fue notificado a las partes el mismo día a través del </w:t>
      </w:r>
      <w:r w:rsidR="00664420" w:rsidRPr="001B4A72">
        <w:rPr>
          <w:rFonts w:cs="Tahoma"/>
          <w:szCs w:val="22"/>
          <w:lang w:val="es-ES"/>
        </w:rPr>
        <w:t>SAIMEX</w:t>
      </w:r>
      <w:r w:rsidR="00664420" w:rsidRPr="001B4A72">
        <w:rPr>
          <w:rFonts w:cs="Tahoma"/>
          <w:szCs w:val="22"/>
        </w:rPr>
        <w:t>.</w:t>
      </w:r>
    </w:p>
    <w:p w14:paraId="741683E3" w14:textId="77777777" w:rsidR="0011350D" w:rsidRPr="001B4A72" w:rsidRDefault="0011350D" w:rsidP="001B4A72">
      <w:pPr>
        <w:rPr>
          <w:rFonts w:cs="Tahoma"/>
          <w:szCs w:val="22"/>
        </w:rPr>
      </w:pPr>
    </w:p>
    <w:p w14:paraId="7A9629DE" w14:textId="77777777" w:rsidR="00664420" w:rsidRPr="001B4A72" w:rsidRDefault="00664420" w:rsidP="001B4A72">
      <w:pPr>
        <w:pStyle w:val="Ttulo1"/>
        <w:rPr>
          <w:rFonts w:eastAsiaTheme="minorHAnsi"/>
          <w:lang w:eastAsia="en-US"/>
        </w:rPr>
      </w:pPr>
      <w:bookmarkStart w:id="15" w:name="_Toc188469838"/>
      <w:r w:rsidRPr="001B4A72">
        <w:rPr>
          <w:rFonts w:eastAsiaTheme="minorHAnsi"/>
          <w:lang w:eastAsia="en-US"/>
        </w:rPr>
        <w:t>CONSIDERANDOS</w:t>
      </w:r>
      <w:bookmarkEnd w:id="15"/>
    </w:p>
    <w:p w14:paraId="6DD1243B" w14:textId="77777777" w:rsidR="00664420" w:rsidRPr="001B4A72" w:rsidRDefault="00664420" w:rsidP="001B4A72">
      <w:pPr>
        <w:contextualSpacing/>
        <w:jc w:val="center"/>
        <w:rPr>
          <w:rFonts w:eastAsiaTheme="minorHAnsi" w:cs="Tahoma"/>
          <w:b/>
          <w:szCs w:val="22"/>
          <w:lang w:eastAsia="en-US"/>
        </w:rPr>
      </w:pPr>
    </w:p>
    <w:p w14:paraId="0B67CB92" w14:textId="2E307D3B" w:rsidR="00664420" w:rsidRPr="001B4A72" w:rsidRDefault="00664420" w:rsidP="001B4A72">
      <w:pPr>
        <w:pStyle w:val="Ttulo2"/>
        <w:rPr>
          <w:rFonts w:eastAsia="Batang"/>
        </w:rPr>
      </w:pPr>
      <w:bookmarkStart w:id="16" w:name="_Toc188469839"/>
      <w:r w:rsidRPr="001B4A72">
        <w:rPr>
          <w:rFonts w:eastAsia="Batang"/>
        </w:rPr>
        <w:t xml:space="preserve">PRIMERO. </w:t>
      </w:r>
      <w:r w:rsidR="00BA55A8" w:rsidRPr="001B4A72">
        <w:rPr>
          <w:rFonts w:eastAsia="Batang"/>
        </w:rPr>
        <w:t>Procedibilidad</w:t>
      </w:r>
      <w:bookmarkEnd w:id="16"/>
    </w:p>
    <w:p w14:paraId="39C52BC1" w14:textId="56FCC20D" w:rsidR="00BA55A8" w:rsidRPr="001B4A72" w:rsidRDefault="00BA55A8" w:rsidP="001B4A72">
      <w:pPr>
        <w:pStyle w:val="Ttulo3"/>
      </w:pPr>
      <w:bookmarkStart w:id="17" w:name="_Toc188469840"/>
      <w:r w:rsidRPr="001B4A72">
        <w:t>a) Competencia</w:t>
      </w:r>
      <w:r w:rsidR="00150C49" w:rsidRPr="001B4A72">
        <w:t xml:space="preserve"> del Instituto</w:t>
      </w:r>
      <w:bookmarkEnd w:id="17"/>
    </w:p>
    <w:p w14:paraId="56E64942" w14:textId="6572EDF7" w:rsidR="0011350D" w:rsidRPr="001B4A72" w:rsidRDefault="0011350D" w:rsidP="001B4A72">
      <w:pPr>
        <w:rPr>
          <w:rFonts w:cs="Arial"/>
        </w:rPr>
      </w:pPr>
      <w:r w:rsidRPr="001B4A72">
        <w:t xml:space="preserve">Este Instituto de Transparencia, Acceso a la Información Pública y Protección de Datos Personales del Estado de México y Municipios es competente para conocer y resolver </w:t>
      </w:r>
      <w:r w:rsidR="005F65B7" w:rsidRPr="001B4A72">
        <w:t xml:space="preserve">el </w:t>
      </w:r>
      <w:r w:rsidRPr="001B4A72">
        <w:t xml:space="preserve">presente Recurso de Revisión, conforme a lo dispuesto en los artículos 6, Apartado A de la </w:t>
      </w:r>
      <w:r w:rsidRPr="001B4A72">
        <w:lastRenderedPageBreak/>
        <w:t>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1B4A72">
        <w:rPr>
          <w:rFonts w:cs="Arial"/>
        </w:rPr>
        <w:t>; y 9, fracciones I y XXIII y 11 del Reglamento Interior del Instituto de Transparencia, Acceso a la Información Pública y Protección de Datos Personales del Estado de México y Municipios.</w:t>
      </w:r>
    </w:p>
    <w:p w14:paraId="43A74BC9" w14:textId="77777777" w:rsidR="006946E4" w:rsidRPr="001B4A72" w:rsidRDefault="006946E4" w:rsidP="001B4A72">
      <w:pPr>
        <w:rPr>
          <w:rFonts w:cs="Arial"/>
        </w:rPr>
      </w:pPr>
    </w:p>
    <w:p w14:paraId="517A2DD6" w14:textId="4169BE4D" w:rsidR="00664420" w:rsidRPr="001B4A72" w:rsidRDefault="00BA55A8" w:rsidP="001B4A72">
      <w:pPr>
        <w:pStyle w:val="Ttulo3"/>
      </w:pPr>
      <w:bookmarkStart w:id="18" w:name="_Toc188469841"/>
      <w:r w:rsidRPr="001B4A72">
        <w:t>b)</w:t>
      </w:r>
      <w:r w:rsidR="00664420" w:rsidRPr="001B4A72">
        <w:t xml:space="preserve"> </w:t>
      </w:r>
      <w:r w:rsidR="00D91CB4" w:rsidRPr="001B4A72">
        <w:t>Legitimidad</w:t>
      </w:r>
      <w:r w:rsidRPr="001B4A72">
        <w:t xml:space="preserve"> de la parte recurrente</w:t>
      </w:r>
      <w:bookmarkEnd w:id="18"/>
    </w:p>
    <w:p w14:paraId="26FEA382" w14:textId="0B06695C" w:rsidR="00D91CB4" w:rsidRPr="001B4A72" w:rsidRDefault="00D91CB4" w:rsidP="001B4A72">
      <w:pPr>
        <w:rPr>
          <w:rFonts w:cs="Arial"/>
          <w:bCs/>
        </w:rPr>
      </w:pPr>
      <w:r w:rsidRPr="001B4A72">
        <w:rPr>
          <w:rFonts w:cs="Arial"/>
          <w:bCs/>
        </w:rPr>
        <w:t>El recurso de revisión fue interpuesto por parte legítima, ya que se presentó por la misma persona que formuló la solicitud de acceso a la Información Pública,</w:t>
      </w:r>
      <w:r w:rsidRPr="001B4A72">
        <w:rPr>
          <w:rFonts w:cs="Arial"/>
          <w:b/>
          <w:bCs/>
        </w:rPr>
        <w:t xml:space="preserve"> </w:t>
      </w:r>
      <w:r w:rsidRPr="001B4A72">
        <w:rPr>
          <w:rFonts w:cs="Arial"/>
        </w:rPr>
        <w:t>debido a que los datos de acceso</w:t>
      </w:r>
      <w:r w:rsidRPr="001B4A72">
        <w:rPr>
          <w:rFonts w:cs="Arial"/>
          <w:b/>
          <w:bCs/>
        </w:rPr>
        <w:t xml:space="preserve"> </w:t>
      </w:r>
      <w:r w:rsidRPr="001B4A72">
        <w:rPr>
          <w:rFonts w:cs="Arial"/>
        </w:rPr>
        <w:t>SAIMEX</w:t>
      </w:r>
      <w:r w:rsidRPr="001B4A72">
        <w:rPr>
          <w:rFonts w:eastAsia="Calibri" w:cs="Arial"/>
          <w:lang w:eastAsia="en-US"/>
        </w:rPr>
        <w:t xml:space="preserve"> son personales e irrepetibles.</w:t>
      </w:r>
    </w:p>
    <w:p w14:paraId="2C367810" w14:textId="77777777" w:rsidR="00D91CB4" w:rsidRPr="001B4A72" w:rsidRDefault="00D91CB4" w:rsidP="001B4A72"/>
    <w:p w14:paraId="496490FC" w14:textId="1A5F3FDB" w:rsidR="00D91CB4" w:rsidRPr="001B4A72" w:rsidRDefault="00BA55A8" w:rsidP="001B4A72">
      <w:pPr>
        <w:pStyle w:val="Ttulo3"/>
        <w:rPr>
          <w:rFonts w:eastAsia="Calibri"/>
          <w:lang w:eastAsia="es-ES_tradnl"/>
        </w:rPr>
      </w:pPr>
      <w:bookmarkStart w:id="19" w:name="_Toc188469842"/>
      <w:r w:rsidRPr="001B4A72">
        <w:rPr>
          <w:rFonts w:eastAsia="Calibri"/>
          <w:lang w:eastAsia="es-ES_tradnl"/>
        </w:rPr>
        <w:t>c)</w:t>
      </w:r>
      <w:r w:rsidR="00664420" w:rsidRPr="001B4A72">
        <w:rPr>
          <w:rFonts w:eastAsia="Calibri"/>
          <w:lang w:eastAsia="es-ES_tradnl"/>
        </w:rPr>
        <w:t xml:space="preserve"> </w:t>
      </w:r>
      <w:r w:rsidR="00D91CB4" w:rsidRPr="001B4A72">
        <w:rPr>
          <w:rFonts w:eastAsia="Calibri"/>
          <w:lang w:eastAsia="es-ES_tradnl"/>
        </w:rPr>
        <w:t>Plazo para interponer el recurso</w:t>
      </w:r>
      <w:bookmarkEnd w:id="19"/>
    </w:p>
    <w:p w14:paraId="4EF3BCBC" w14:textId="19C001A1" w:rsidR="00F65DE0" w:rsidRPr="001B4A72" w:rsidRDefault="00F65DE0" w:rsidP="001B4A72">
      <w:pPr>
        <w:autoSpaceDE w:val="0"/>
        <w:autoSpaceDN w:val="0"/>
        <w:adjustRightInd w:val="0"/>
        <w:spacing w:after="240"/>
        <w:ind w:right="49"/>
        <w:rPr>
          <w:rFonts w:cs="Arial"/>
          <w:lang w:val="es-ES"/>
        </w:rPr>
      </w:pPr>
      <w:r w:rsidRPr="001B4A72">
        <w:rPr>
          <w:rFonts w:cs="Arial"/>
          <w:lang w:val="es-ES"/>
        </w:rPr>
        <w:t xml:space="preserve">Es de precisar que la Ley de Transparencia </w:t>
      </w:r>
      <w:r w:rsidRPr="001B4A72">
        <w:t>y Acceso a la Información Pública del Estado de México y Municipios</w:t>
      </w:r>
      <w:r w:rsidRPr="001B4A72">
        <w:rPr>
          <w:rFonts w:cs="Arial"/>
          <w:lang w:val="es-ES"/>
        </w:rPr>
        <w:t xml:space="preserve">, describe el </w:t>
      </w:r>
      <w:r w:rsidR="00980648" w:rsidRPr="001B4A72">
        <w:rPr>
          <w:rFonts w:cs="Arial"/>
          <w:lang w:val="es-ES"/>
        </w:rPr>
        <w:t>plazo</w:t>
      </w:r>
      <w:r w:rsidRPr="001B4A72">
        <w:rPr>
          <w:rFonts w:cs="Arial"/>
          <w:lang w:val="es-ES"/>
        </w:rPr>
        <w:t xml:space="preserve"> de procedencia </w:t>
      </w:r>
      <w:r w:rsidR="00824813" w:rsidRPr="001B4A72">
        <w:rPr>
          <w:rFonts w:cs="Arial"/>
          <w:lang w:val="es-ES"/>
        </w:rPr>
        <w:t xml:space="preserve">par la interposición </w:t>
      </w:r>
      <w:r w:rsidRPr="001B4A72">
        <w:rPr>
          <w:rFonts w:cs="Arial"/>
          <w:lang w:val="es-ES"/>
        </w:rPr>
        <w:t>de los Recurso Revisión, como se puede apreciar en el siguiente artículo:</w:t>
      </w:r>
    </w:p>
    <w:p w14:paraId="442FED11" w14:textId="77777777" w:rsidR="00F65DE0" w:rsidRPr="001B4A72" w:rsidRDefault="00F65DE0" w:rsidP="001B4A72">
      <w:pPr>
        <w:autoSpaceDE w:val="0"/>
        <w:autoSpaceDN w:val="0"/>
        <w:adjustRightInd w:val="0"/>
        <w:spacing w:line="240" w:lineRule="auto"/>
        <w:ind w:left="851" w:right="902"/>
        <w:rPr>
          <w:rFonts w:cs="Arial"/>
          <w:i/>
          <w:szCs w:val="22"/>
          <w:lang w:val="es-ES"/>
        </w:rPr>
      </w:pPr>
      <w:r w:rsidRPr="001B4A72">
        <w:rPr>
          <w:rFonts w:cs="Arial"/>
          <w:b/>
          <w:i/>
          <w:szCs w:val="22"/>
          <w:lang w:val="es-ES"/>
        </w:rPr>
        <w:t>“Artículo 163.</w:t>
      </w:r>
      <w:r w:rsidRPr="001B4A72">
        <w:rPr>
          <w:rFonts w:cs="Arial"/>
          <w:i/>
          <w:szCs w:val="22"/>
          <w:lang w:val="es-ES"/>
        </w:rPr>
        <w:t xml:space="preserve"> La Unidad de Transparencia deberá notificar la respuesta a la solicitud al interesado en el menor tiempo posible, que no podrá exceder de quince días hábiles, contados a partir del día siguiente a la presentación de aquélla.</w:t>
      </w:r>
    </w:p>
    <w:p w14:paraId="7DA67C2A" w14:textId="77777777" w:rsidR="00F65DE0" w:rsidRPr="001B4A72" w:rsidRDefault="00F65DE0" w:rsidP="001B4A72">
      <w:pPr>
        <w:autoSpaceDE w:val="0"/>
        <w:autoSpaceDN w:val="0"/>
        <w:adjustRightInd w:val="0"/>
        <w:spacing w:line="240" w:lineRule="auto"/>
        <w:ind w:left="851" w:right="902"/>
        <w:rPr>
          <w:rFonts w:cs="Arial"/>
          <w:i/>
          <w:szCs w:val="22"/>
          <w:lang w:val="es-ES"/>
        </w:rPr>
      </w:pPr>
    </w:p>
    <w:p w14:paraId="76F65309" w14:textId="77777777" w:rsidR="00F65DE0" w:rsidRPr="001B4A72" w:rsidRDefault="00F65DE0" w:rsidP="001B4A72">
      <w:pPr>
        <w:autoSpaceDE w:val="0"/>
        <w:autoSpaceDN w:val="0"/>
        <w:adjustRightInd w:val="0"/>
        <w:spacing w:line="240" w:lineRule="auto"/>
        <w:ind w:left="851" w:right="902"/>
        <w:rPr>
          <w:rFonts w:cs="Arial"/>
          <w:i/>
          <w:szCs w:val="22"/>
          <w:lang w:val="es-ES"/>
        </w:rPr>
      </w:pPr>
      <w:r w:rsidRPr="001B4A72">
        <w:rPr>
          <w:rFonts w:cs="Arial"/>
          <w:i/>
          <w:szCs w:val="22"/>
          <w:lang w:val="es-ES"/>
        </w:rPr>
        <w:t xml:space="preserve">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 </w:t>
      </w:r>
    </w:p>
    <w:p w14:paraId="40A0EF0C" w14:textId="77777777" w:rsidR="00F65DE0" w:rsidRPr="001B4A72" w:rsidRDefault="00F65DE0" w:rsidP="001B4A72">
      <w:pPr>
        <w:rPr>
          <w:rFonts w:cs="Arial"/>
          <w:lang w:val="es-ES"/>
        </w:rPr>
      </w:pPr>
      <w:r w:rsidRPr="001B4A72">
        <w:rPr>
          <w:rFonts w:cs="Arial"/>
          <w:lang w:val="es-ES"/>
        </w:rPr>
        <w:lastRenderedPageBreak/>
        <w:t>De la interpretación al precepto legal antes citado, se obtiene que, el plazo que les asiste a los Sujetos Obligados para entregar la respuesta a una solicitud de Información Pública es de quince días hábiles posteriores a la presentación de ésta; sin embargo, en aquellos casos en que transcurre el referido plazo de quince días hábiles, sin que los Sujetos Obligados entreguen la respuesta a la solicitud de información, ésta se considera negada; por lo que al solicitante le asiste el derecho para poder presentar el correspondiente Recurso Revisión.</w:t>
      </w:r>
    </w:p>
    <w:p w14:paraId="78FF84CF" w14:textId="77777777" w:rsidR="00F65DE0" w:rsidRPr="001B4A72" w:rsidRDefault="00F65DE0" w:rsidP="001B4A72">
      <w:pPr>
        <w:rPr>
          <w:rFonts w:cs="Arial"/>
          <w:lang w:val="es-ES"/>
        </w:rPr>
      </w:pPr>
    </w:p>
    <w:p w14:paraId="7D96F726" w14:textId="77777777" w:rsidR="00F65DE0" w:rsidRPr="001B4A72" w:rsidRDefault="00F65DE0" w:rsidP="001B4A72">
      <w:pPr>
        <w:rPr>
          <w:rFonts w:cs="Arial"/>
          <w:lang w:val="es-ES"/>
        </w:rPr>
      </w:pPr>
      <w:r w:rsidRPr="001B4A72">
        <w:rPr>
          <w:rFonts w:cs="Arial"/>
          <w:lang w:val="es-ES"/>
        </w:rPr>
        <w:t xml:space="preserve">Derivado de lo anterior, se constituye la figura jurídica de la </w:t>
      </w:r>
      <w:r w:rsidRPr="001B4A72">
        <w:rPr>
          <w:rFonts w:cs="Arial"/>
          <w:b/>
          <w:lang w:val="es-ES"/>
        </w:rPr>
        <w:t>NEGATIVA FICTA</w:t>
      </w:r>
      <w:r w:rsidRPr="001B4A72">
        <w:rPr>
          <w:rFonts w:cs="Arial"/>
          <w:lang w:val="es-ES"/>
        </w:rPr>
        <w:t>, la cual consiste en atribuir un efecto negativo al silencio de la autoridad administrativa frente a las instancias y solicitudes que hagan los particulares.</w:t>
      </w:r>
    </w:p>
    <w:p w14:paraId="23947A0C" w14:textId="77777777" w:rsidR="00F65DE0" w:rsidRPr="001B4A72" w:rsidRDefault="00F65DE0" w:rsidP="001B4A72">
      <w:pPr>
        <w:rPr>
          <w:rFonts w:cs="Arial"/>
          <w:szCs w:val="28"/>
          <w:lang w:val="es-ES"/>
        </w:rPr>
      </w:pPr>
    </w:p>
    <w:p w14:paraId="121AE0F9" w14:textId="77777777" w:rsidR="00F65DE0" w:rsidRPr="001B4A72" w:rsidRDefault="00F65DE0" w:rsidP="001B4A72">
      <w:pPr>
        <w:spacing w:after="240"/>
        <w:rPr>
          <w:rFonts w:cs="Arial"/>
          <w:szCs w:val="24"/>
          <w:lang w:val="es-ES"/>
        </w:rPr>
      </w:pPr>
      <w:r w:rsidRPr="001B4A72">
        <w:rPr>
          <w:rFonts w:cs="Arial"/>
          <w:lang w:val="es-ES"/>
        </w:rPr>
        <w:t>Por su parte, el artículo 178 de la Ley de Transparencia local, establece:</w:t>
      </w:r>
    </w:p>
    <w:p w14:paraId="2C35764B" w14:textId="77777777" w:rsidR="00F65DE0" w:rsidRPr="001B4A72" w:rsidRDefault="00F65DE0" w:rsidP="001B4A72">
      <w:pPr>
        <w:pStyle w:val="Puesto"/>
        <w:rPr>
          <w:lang w:val="es-ES"/>
        </w:rPr>
      </w:pPr>
      <w:r w:rsidRPr="001B4A72">
        <w:rPr>
          <w:b/>
          <w:lang w:val="es-ES"/>
        </w:rPr>
        <w:t xml:space="preserve">“Artículo 178. </w:t>
      </w:r>
      <w:r w:rsidRPr="001B4A72">
        <w:rPr>
          <w:lang w:val="es-ES"/>
        </w:rPr>
        <w:t>El solicitante podrá interponer, por sí mismo o a través de su representante, de manera directa o por medios electrónicos, Recurso Revisión ante el Instituto o ante la Unidad de Transparencia que haya conocido de la solicitud dentro de los quince días hábiles, siguientes a la fecha de la notificación de la respuesta.</w:t>
      </w:r>
    </w:p>
    <w:p w14:paraId="1A07D9D0" w14:textId="77777777" w:rsidR="00F65DE0" w:rsidRPr="001B4A72" w:rsidRDefault="00F65DE0" w:rsidP="001B4A72">
      <w:pPr>
        <w:pStyle w:val="Puesto"/>
        <w:rPr>
          <w:lang w:val="es-ES"/>
        </w:rPr>
      </w:pPr>
    </w:p>
    <w:p w14:paraId="3A3BCDBD" w14:textId="77777777" w:rsidR="00F65DE0" w:rsidRPr="001B4A72" w:rsidRDefault="00F65DE0" w:rsidP="001B4A72">
      <w:pPr>
        <w:pStyle w:val="Puesto"/>
        <w:rPr>
          <w:lang w:val="es-ES"/>
        </w:rPr>
      </w:pPr>
      <w:r w:rsidRPr="001B4A72">
        <w:rPr>
          <w:b/>
          <w:u w:val="single"/>
          <w:lang w:val="es-ES"/>
        </w:rPr>
        <w:t>A falta de respuesta del sujeto obligado, dentro de los plazos establecidos en esta Ley, a una solicitud de acceso a la Información Pública, el recurso podrá ser interpuesto en cualquier momento</w:t>
      </w:r>
      <w:r w:rsidRPr="001B4A72">
        <w:rPr>
          <w:lang w:val="es-ES"/>
        </w:rPr>
        <w:t>, acompañado con el documento que pruebe la fecha en que presentó la solicitud.</w:t>
      </w:r>
    </w:p>
    <w:p w14:paraId="2350A8F3" w14:textId="77777777" w:rsidR="00F65DE0" w:rsidRPr="001B4A72" w:rsidRDefault="00F65DE0" w:rsidP="001B4A72">
      <w:pPr>
        <w:pStyle w:val="Puesto"/>
        <w:rPr>
          <w:lang w:val="es-ES"/>
        </w:rPr>
      </w:pPr>
    </w:p>
    <w:p w14:paraId="686E2B39" w14:textId="77777777" w:rsidR="00F65DE0" w:rsidRPr="001B4A72" w:rsidRDefault="00F65DE0" w:rsidP="001B4A72">
      <w:pPr>
        <w:pStyle w:val="Puesto"/>
        <w:rPr>
          <w:lang w:val="es-ES"/>
        </w:rPr>
      </w:pPr>
      <w:r w:rsidRPr="001B4A72">
        <w:rPr>
          <w:lang w:val="es-ES"/>
        </w:rPr>
        <w:t>En el caso de que se interponga ante la Unidad de Transparencia, ésta deberá remitir el Recurso Revisión al Instituto a más tardar al día siguiente de haberlo recibido.”</w:t>
      </w:r>
    </w:p>
    <w:p w14:paraId="657D0558" w14:textId="77777777" w:rsidR="00F65DE0" w:rsidRPr="001B4A72" w:rsidRDefault="00F65DE0" w:rsidP="001B4A72">
      <w:pPr>
        <w:pStyle w:val="Puesto"/>
        <w:rPr>
          <w:lang w:val="es-ES"/>
        </w:rPr>
      </w:pPr>
      <w:r w:rsidRPr="001B4A72">
        <w:rPr>
          <w:lang w:val="es-ES"/>
        </w:rPr>
        <w:t xml:space="preserve">(Énfasis añadido) </w:t>
      </w:r>
    </w:p>
    <w:p w14:paraId="0842E06E" w14:textId="77777777" w:rsidR="00F65DE0" w:rsidRPr="001B4A72" w:rsidRDefault="00F65DE0" w:rsidP="001B4A72">
      <w:pPr>
        <w:rPr>
          <w:rFonts w:cs="Arial"/>
          <w:sz w:val="20"/>
          <w:szCs w:val="24"/>
          <w:lang w:val="es-ES"/>
        </w:rPr>
      </w:pPr>
    </w:p>
    <w:p w14:paraId="08A89F2D" w14:textId="77777777" w:rsidR="00F65DE0" w:rsidRPr="001B4A72" w:rsidRDefault="00F65DE0" w:rsidP="001B4A72">
      <w:pPr>
        <w:rPr>
          <w:rFonts w:cs="Arial"/>
          <w:b/>
          <w:sz w:val="24"/>
          <w:lang w:val="es-ES"/>
        </w:rPr>
      </w:pPr>
      <w:r w:rsidRPr="001B4A72">
        <w:rPr>
          <w:rFonts w:cs="Arial"/>
          <w:lang w:val="es-ES"/>
        </w:rPr>
        <w:t xml:space="preserve">Es así que el Recurso Revisión se ha de interponer dentro del plazo de quince días hábiles contados a partir del día siguiente en que el particular tiene conocimiento de la resolución </w:t>
      </w:r>
      <w:r w:rsidRPr="001B4A72">
        <w:rPr>
          <w:rFonts w:cs="Arial"/>
          <w:lang w:val="es-ES"/>
        </w:rPr>
        <w:lastRenderedPageBreak/>
        <w:t xml:space="preserve">respectiva; de ahí que, para que empiece a computarse necesariamente tiene que existir una respuesta expresa por parte del </w:t>
      </w:r>
      <w:r w:rsidRPr="001B4A72">
        <w:rPr>
          <w:rFonts w:cs="Arial"/>
          <w:b/>
          <w:lang w:val="es-ES"/>
        </w:rPr>
        <w:t>SUJETO OBLIGADO.</w:t>
      </w:r>
    </w:p>
    <w:p w14:paraId="47EF3233" w14:textId="77777777" w:rsidR="00F65DE0" w:rsidRPr="001B4A72" w:rsidRDefault="00F65DE0" w:rsidP="001B4A72">
      <w:pPr>
        <w:rPr>
          <w:rFonts w:cs="Arial"/>
          <w:b/>
          <w:lang w:val="es-ES"/>
        </w:rPr>
      </w:pPr>
    </w:p>
    <w:p w14:paraId="106D37EE" w14:textId="10EB7C60" w:rsidR="00D91CB4" w:rsidRPr="001B4A72" w:rsidRDefault="00F65DE0" w:rsidP="001B4A72">
      <w:pPr>
        <w:rPr>
          <w:rFonts w:eastAsia="Calibri"/>
          <w:lang w:eastAsia="es-ES_tradnl"/>
        </w:rPr>
      </w:pPr>
      <w:r w:rsidRPr="001B4A72">
        <w:rPr>
          <w:rFonts w:cs="Arial"/>
          <w:lang w:val="es-ES"/>
        </w:rPr>
        <w:t xml:space="preserve">Sin embargo, tratándose de negativa ficta no existe resolución que se haga del conocimiento del particular a partir de la cual pueda computarse dicho término, por lo que es pertinente establecer que no hay plazo para la interposición del Recurso Revisión y, por tanto, </w:t>
      </w:r>
      <w:r w:rsidRPr="001B4A72">
        <w:rPr>
          <w:rFonts w:cs="Tahoma"/>
          <w:b/>
          <w:szCs w:val="24"/>
        </w:rPr>
        <w:t>LA PARTE RECURRENTE</w:t>
      </w:r>
      <w:r w:rsidRPr="001B4A72">
        <w:rPr>
          <w:rFonts w:cs="Arial"/>
          <w:b/>
          <w:lang w:val="es-ES"/>
        </w:rPr>
        <w:t xml:space="preserve"> </w:t>
      </w:r>
      <w:r w:rsidRPr="001B4A72">
        <w:rPr>
          <w:rFonts w:cs="Arial"/>
          <w:lang w:val="es-ES"/>
        </w:rPr>
        <w:t>está en libertad de presentar su medio de impugnación en cualquier momento; en consecuencia, se tiene que el presente recurso se interpuso oportunamente.</w:t>
      </w:r>
    </w:p>
    <w:p w14:paraId="49076992" w14:textId="77777777" w:rsidR="00D91CB4" w:rsidRPr="001B4A72" w:rsidRDefault="00D91CB4" w:rsidP="001B4A72">
      <w:pPr>
        <w:rPr>
          <w:rFonts w:eastAsia="Palatino Linotype" w:cs="Palatino Linotype"/>
        </w:rPr>
      </w:pPr>
    </w:p>
    <w:p w14:paraId="6A1E20FC" w14:textId="77777777" w:rsidR="0011707D" w:rsidRPr="001B4A72" w:rsidRDefault="00BA55A8" w:rsidP="001B4A72">
      <w:pPr>
        <w:pStyle w:val="Ttulo3"/>
      </w:pPr>
      <w:bookmarkStart w:id="20" w:name="_Toc188469843"/>
      <w:r w:rsidRPr="001B4A72">
        <w:rPr>
          <w:rFonts w:eastAsia="Calibri"/>
          <w:lang w:eastAsia="es-ES_tradnl"/>
        </w:rPr>
        <w:t>d)</w:t>
      </w:r>
      <w:r w:rsidR="00D91CB4" w:rsidRPr="001B4A72">
        <w:rPr>
          <w:rFonts w:eastAsia="Calibri"/>
          <w:lang w:eastAsia="es-ES_tradnl"/>
        </w:rPr>
        <w:t xml:space="preserve"> </w:t>
      </w:r>
      <w:r w:rsidR="0011707D" w:rsidRPr="001B4A72">
        <w:t>Requisitos formales para la interposición del recurso</w:t>
      </w:r>
      <w:bookmarkEnd w:id="20"/>
    </w:p>
    <w:p w14:paraId="29877658" w14:textId="432CC74F" w:rsidR="0011707D" w:rsidRPr="001B4A72" w:rsidRDefault="0011707D" w:rsidP="001B4A72">
      <w:pPr>
        <w:spacing w:after="240"/>
        <w:rPr>
          <w:rFonts w:cs="Arial"/>
        </w:rPr>
      </w:pPr>
      <w:r w:rsidRPr="001B4A72">
        <w:rPr>
          <w:rFonts w:cs="Arial"/>
          <w:b/>
          <w:bCs/>
        </w:rPr>
        <w:t xml:space="preserve">LA PARTE RECURRENTE </w:t>
      </w:r>
      <w:r w:rsidRPr="001B4A72">
        <w:rPr>
          <w:rFonts w:cs="Arial"/>
        </w:rPr>
        <w:t>acreditó todos y cada uno de los elementos formales exigidos por el artículo 180 de la misma normatividad.</w:t>
      </w:r>
    </w:p>
    <w:p w14:paraId="7500EF88" w14:textId="77777777" w:rsidR="0011707D" w:rsidRPr="001B4A72" w:rsidRDefault="00362A11" w:rsidP="001B4A72">
      <w:pPr>
        <w:pStyle w:val="Ttulo3"/>
        <w:rPr>
          <w:rFonts w:eastAsia="Calibri"/>
          <w:lang w:eastAsia="es-ES_tradnl"/>
        </w:rPr>
      </w:pPr>
      <w:bookmarkStart w:id="21" w:name="_Toc188469844"/>
      <w:r w:rsidRPr="001B4A72">
        <w:t xml:space="preserve">e) </w:t>
      </w:r>
      <w:r w:rsidR="0011707D" w:rsidRPr="001B4A72">
        <w:rPr>
          <w:rFonts w:eastAsia="Calibri"/>
          <w:lang w:eastAsia="es-ES_tradnl"/>
        </w:rPr>
        <w:t>Elementos de previo especial pronunciamiento</w:t>
      </w:r>
      <w:bookmarkEnd w:id="21"/>
    </w:p>
    <w:p w14:paraId="2A531F67" w14:textId="77777777" w:rsidR="0011707D" w:rsidRPr="001B4A72" w:rsidRDefault="0011707D" w:rsidP="001B4A72">
      <w:pPr>
        <w:rPr>
          <w:rFonts w:eastAsia="Palatino Linotype" w:cs="Palatino Linotype"/>
          <w:szCs w:val="22"/>
        </w:rPr>
      </w:pPr>
      <w:r w:rsidRPr="001B4A72">
        <w:rPr>
          <w:rFonts w:eastAsia="Palatino Linotype" w:cs="Palatino Linotype"/>
          <w:szCs w:val="22"/>
        </w:rPr>
        <w:t xml:space="preserve">Por ser de previo y especial pronunciamiento, este Instituto analiza si se actualiza alguna causal de sobreseimiento. El artículo 192 de la Ley Transparencia y Acceso a la Información Pública del Estado de México y Municipios, señala las causales por las cuales se puede sobreseer en todo o en parte, el Recurso de Revisión; así, del análisis realizado por este Instituto, se advierte </w:t>
      </w:r>
      <w:r w:rsidRPr="001B4A72">
        <w:rPr>
          <w:rFonts w:eastAsia="Palatino Linotype" w:cs="Palatino Linotype"/>
          <w:b/>
          <w:szCs w:val="22"/>
        </w:rPr>
        <w:t>que no se actualizan los supuestos de sobreseimiento previstos en las fracciones I, II, III y V</w:t>
      </w:r>
      <w:r w:rsidRPr="001B4A72">
        <w:rPr>
          <w:rFonts w:eastAsia="Palatino Linotype" w:cs="Palatino Linotype"/>
          <w:szCs w:val="22"/>
        </w:rPr>
        <w:t>, toda vez que no hay constancias en el expediente en que se actúa, de que la persona Recurrente se haya desistido, haya fallecido, haya modificado o revocado su respuesta o bien, que el Recurso de Revisión haya quedado sin materia.</w:t>
      </w:r>
    </w:p>
    <w:p w14:paraId="3A2F9791" w14:textId="77777777" w:rsidR="0011707D" w:rsidRPr="001B4A72" w:rsidRDefault="0011707D" w:rsidP="001B4A72">
      <w:pPr>
        <w:rPr>
          <w:rFonts w:eastAsia="Palatino Linotype" w:cs="Palatino Linotype"/>
          <w:szCs w:val="22"/>
        </w:rPr>
      </w:pPr>
    </w:p>
    <w:p w14:paraId="21B42A78" w14:textId="77777777" w:rsidR="0011707D" w:rsidRPr="001B4A72" w:rsidRDefault="0011707D" w:rsidP="001B4A72">
      <w:pPr>
        <w:rPr>
          <w:rFonts w:eastAsia="Palatino Linotype" w:cs="Palatino Linotype"/>
          <w:szCs w:val="22"/>
        </w:rPr>
      </w:pPr>
    </w:p>
    <w:p w14:paraId="13BCD02B" w14:textId="761BC07B" w:rsidR="00980648" w:rsidRPr="001B4A72" w:rsidRDefault="0011707D" w:rsidP="001B4A72">
      <w:pPr>
        <w:rPr>
          <w:rFonts w:eastAsia="Palatino Linotype" w:cs="Palatino Linotype"/>
          <w:szCs w:val="22"/>
        </w:rPr>
      </w:pPr>
      <w:r w:rsidRPr="001B4A72">
        <w:rPr>
          <w:rFonts w:eastAsia="Palatino Linotype" w:cs="Palatino Linotype"/>
          <w:szCs w:val="22"/>
        </w:rPr>
        <w:lastRenderedPageBreak/>
        <w:t xml:space="preserve">No obstante, por lo que hace a la hipótesis prevista en la </w:t>
      </w:r>
      <w:r w:rsidRPr="001B4A72">
        <w:rPr>
          <w:rFonts w:eastAsia="Palatino Linotype" w:cs="Palatino Linotype"/>
          <w:b/>
          <w:szCs w:val="22"/>
        </w:rPr>
        <w:t xml:space="preserve">fracción IV </w:t>
      </w:r>
      <w:r w:rsidRPr="001B4A72">
        <w:rPr>
          <w:rFonts w:eastAsia="Palatino Linotype" w:cs="Palatino Linotype"/>
          <w:szCs w:val="22"/>
        </w:rPr>
        <w:t xml:space="preserve">del artículo 192 de la Ley de la materia, que prevé que, será sobreseído el asunto, cuando una vez admitido el Recurso de Revisión, aparezca alguna causal de improcedencia en términos de la presente Ley; al respecto, resulta necesario traer a colación el artículo 191, fracción VI, de la Ley de la materia, que establece que el Recurso de Revisión será desechado por improcedente, cuando </w:t>
      </w:r>
      <w:r w:rsidRPr="001B4A72">
        <w:rPr>
          <w:rFonts w:eastAsia="Palatino Linotype" w:cs="Palatino Linotype"/>
          <w:b/>
          <w:szCs w:val="22"/>
        </w:rPr>
        <w:t>la solicitud de información se trate de una consulta.</w:t>
      </w:r>
    </w:p>
    <w:p w14:paraId="7744E955" w14:textId="77777777" w:rsidR="00575400" w:rsidRPr="001B4A72" w:rsidRDefault="00575400" w:rsidP="001B4A72">
      <w:pPr>
        <w:rPr>
          <w:rFonts w:cs="Arial"/>
        </w:rPr>
      </w:pPr>
    </w:p>
    <w:p w14:paraId="2A308F59" w14:textId="5B1C211A" w:rsidR="00C049E2" w:rsidRPr="001B4A72" w:rsidRDefault="00C71CEF" w:rsidP="001B4A72">
      <w:pPr>
        <w:pStyle w:val="Ttulo2"/>
      </w:pPr>
      <w:bookmarkStart w:id="22" w:name="_Toc188469845"/>
      <w:r w:rsidRPr="001B4A72">
        <w:t xml:space="preserve">SEGUNDO. </w:t>
      </w:r>
      <w:r w:rsidR="00F058FA" w:rsidRPr="001B4A72">
        <w:t>Análisis de la causal de sobreseimiento.</w:t>
      </w:r>
      <w:bookmarkEnd w:id="22"/>
    </w:p>
    <w:p w14:paraId="6F4F9C86" w14:textId="77777777" w:rsidR="00F058FA" w:rsidRPr="001B4A72" w:rsidRDefault="00F058FA" w:rsidP="001B4A72">
      <w:pPr>
        <w:pStyle w:val="Ttulo3"/>
      </w:pPr>
      <w:bookmarkStart w:id="23" w:name="_Toc188469846"/>
      <w:r w:rsidRPr="001B4A72">
        <w:t>a) Mandato de transparencia y responsabilidad del Sujeto Obligado.</w:t>
      </w:r>
      <w:bookmarkEnd w:id="23"/>
    </w:p>
    <w:p w14:paraId="6901A889" w14:textId="59EEDAE1" w:rsidR="00C049E2" w:rsidRPr="001B4A72" w:rsidRDefault="00C049E2" w:rsidP="001B4A72">
      <w:pPr>
        <w:rPr>
          <w:rFonts w:eastAsia="Palatino Linotype"/>
        </w:rPr>
      </w:pPr>
      <w:r w:rsidRPr="001B4A72">
        <w:rPr>
          <w:rFonts w:eastAsia="Palatino Linotype"/>
        </w:rPr>
        <w:t xml:space="preserve">El </w:t>
      </w:r>
      <w:r w:rsidR="00717E59" w:rsidRPr="001B4A72">
        <w:rPr>
          <w:rFonts w:eastAsia="Palatino Linotype"/>
        </w:rPr>
        <w:t>d</w:t>
      </w:r>
      <w:r w:rsidRPr="001B4A72">
        <w:rPr>
          <w:rFonts w:eastAsia="Palatino Linotype"/>
        </w:rPr>
        <w:t xml:space="preserve">erecho de </w:t>
      </w:r>
      <w:r w:rsidR="00717E59" w:rsidRPr="001B4A72">
        <w:rPr>
          <w:rFonts w:eastAsia="Palatino Linotype"/>
        </w:rPr>
        <w:t>a</w:t>
      </w:r>
      <w:r w:rsidRPr="001B4A72">
        <w:rPr>
          <w:rFonts w:eastAsia="Palatino Linotype"/>
        </w:rPr>
        <w:t xml:space="preserve">cceso a la </w:t>
      </w:r>
      <w:r w:rsidR="00717E59" w:rsidRPr="001B4A72">
        <w:rPr>
          <w:rFonts w:eastAsia="Palatino Linotype"/>
        </w:rPr>
        <w:t>i</w:t>
      </w:r>
      <w:r w:rsidRPr="001B4A72">
        <w:rPr>
          <w:rFonts w:eastAsia="Palatino Linotype"/>
        </w:rPr>
        <w:t xml:space="preserve">nformación </w:t>
      </w:r>
      <w:r w:rsidR="00717E59" w:rsidRPr="001B4A72">
        <w:rPr>
          <w:rFonts w:eastAsia="Palatino Linotype"/>
        </w:rPr>
        <w:t>p</w:t>
      </w:r>
      <w:r w:rsidRPr="001B4A72">
        <w:rPr>
          <w:rFonts w:eastAsia="Palatino Linotype"/>
        </w:rPr>
        <w:t>ública es un derecho humano reconocido en el artículo sexto de la Constitución Política de los Estados Unidos Mexicanos y en el artículo quinto de la Constitución Política del Estado Libre y Soberano de México</w:t>
      </w:r>
      <w:r w:rsidR="00B22A80" w:rsidRPr="001B4A72">
        <w:rPr>
          <w:rFonts w:eastAsia="Palatino Linotype"/>
        </w:rPr>
        <w:t>:</w:t>
      </w:r>
    </w:p>
    <w:p w14:paraId="7FAB8D32" w14:textId="77777777" w:rsidR="00C049E2" w:rsidRPr="001B4A72" w:rsidRDefault="00C049E2" w:rsidP="001B4A72">
      <w:pPr>
        <w:rPr>
          <w:rFonts w:eastAsia="Palatino Linotype"/>
        </w:rPr>
      </w:pPr>
    </w:p>
    <w:p w14:paraId="05320813" w14:textId="77777777" w:rsidR="00C049E2" w:rsidRPr="001B4A72" w:rsidRDefault="00C049E2" w:rsidP="001B4A72">
      <w:pPr>
        <w:spacing w:line="240" w:lineRule="auto"/>
        <w:ind w:left="567" w:right="539"/>
        <w:rPr>
          <w:rFonts w:eastAsia="Palatino Linotype"/>
          <w:b/>
          <w:i/>
        </w:rPr>
      </w:pPr>
      <w:r w:rsidRPr="001B4A72">
        <w:rPr>
          <w:rFonts w:eastAsia="Palatino Linotype"/>
          <w:b/>
          <w:i/>
        </w:rPr>
        <w:t>Constitución Política de los Estados Unidos Mexicanos</w:t>
      </w:r>
    </w:p>
    <w:p w14:paraId="6B6C67B6" w14:textId="77777777" w:rsidR="00C049E2" w:rsidRPr="001B4A72" w:rsidRDefault="00C049E2" w:rsidP="001B4A72">
      <w:pPr>
        <w:spacing w:line="240" w:lineRule="auto"/>
        <w:ind w:left="567" w:right="539"/>
        <w:rPr>
          <w:rFonts w:eastAsia="Palatino Linotype"/>
          <w:b/>
          <w:i/>
        </w:rPr>
      </w:pPr>
      <w:r w:rsidRPr="001B4A72">
        <w:rPr>
          <w:rFonts w:eastAsia="Palatino Linotype"/>
          <w:b/>
          <w:i/>
        </w:rPr>
        <w:t>“Artículo 6.</w:t>
      </w:r>
    </w:p>
    <w:p w14:paraId="38D3B4C4" w14:textId="77777777" w:rsidR="00C049E2" w:rsidRPr="001B4A72" w:rsidRDefault="00C049E2" w:rsidP="001B4A72">
      <w:pPr>
        <w:spacing w:line="240" w:lineRule="auto"/>
        <w:ind w:left="567" w:right="539"/>
        <w:rPr>
          <w:rFonts w:eastAsia="Palatino Linotype"/>
          <w:i/>
        </w:rPr>
      </w:pPr>
      <w:r w:rsidRPr="001B4A72">
        <w:rPr>
          <w:rFonts w:eastAsia="Palatino Linotype"/>
          <w:i/>
        </w:rPr>
        <w:t>(…)</w:t>
      </w:r>
    </w:p>
    <w:p w14:paraId="2CCAA297" w14:textId="6602827B" w:rsidR="00C049E2" w:rsidRPr="001B4A72" w:rsidRDefault="00C049E2" w:rsidP="001B4A72">
      <w:pPr>
        <w:spacing w:line="240" w:lineRule="auto"/>
        <w:ind w:left="567" w:right="539"/>
        <w:rPr>
          <w:rFonts w:eastAsia="Palatino Linotype"/>
          <w:i/>
        </w:rPr>
      </w:pPr>
      <w:r w:rsidRPr="001B4A72">
        <w:rPr>
          <w:rFonts w:eastAsia="Palatino Linotype"/>
          <w:i/>
        </w:rPr>
        <w:t>Para efectos de lo dispuesto en el presente artículo se observará lo siguiente:</w:t>
      </w:r>
    </w:p>
    <w:p w14:paraId="74CC3718" w14:textId="77777777" w:rsidR="00C049E2" w:rsidRPr="001B4A72" w:rsidRDefault="00C049E2" w:rsidP="001B4A72">
      <w:pPr>
        <w:spacing w:line="240" w:lineRule="auto"/>
        <w:ind w:left="567" w:right="539"/>
        <w:rPr>
          <w:rFonts w:eastAsia="Palatino Linotype"/>
          <w:b/>
          <w:i/>
        </w:rPr>
      </w:pPr>
      <w:r w:rsidRPr="001B4A72">
        <w:rPr>
          <w:rFonts w:eastAsia="Palatino Linotype"/>
          <w:b/>
          <w:i/>
        </w:rPr>
        <w:t>A</w:t>
      </w:r>
      <w:r w:rsidRPr="001B4A72">
        <w:rPr>
          <w:rFonts w:eastAsia="Palatino Linotype"/>
          <w:i/>
        </w:rPr>
        <w:t xml:space="preserve">. </w:t>
      </w:r>
      <w:r w:rsidRPr="001B4A72">
        <w:rPr>
          <w:rFonts w:eastAsia="Palatino Linotype"/>
          <w:b/>
          <w:i/>
        </w:rPr>
        <w:t>Para el ejercicio del derecho de acceso a la información</w:t>
      </w:r>
      <w:r w:rsidRPr="001B4A72">
        <w:rPr>
          <w:rFonts w:eastAsia="Palatino Linotype"/>
          <w:i/>
        </w:rPr>
        <w:t xml:space="preserve">, la Federación y </w:t>
      </w:r>
      <w:r w:rsidRPr="001B4A72">
        <w:rPr>
          <w:rFonts w:eastAsia="Palatino Linotype"/>
          <w:b/>
          <w:i/>
        </w:rPr>
        <w:t>las entidades federativas, en el ámbito de sus respectivas competencias, se regirán por los siguientes principios y bases:</w:t>
      </w:r>
    </w:p>
    <w:p w14:paraId="596A956B" w14:textId="77777777" w:rsidR="00C049E2" w:rsidRPr="001B4A72" w:rsidRDefault="00C049E2" w:rsidP="001B4A72">
      <w:pPr>
        <w:spacing w:line="240" w:lineRule="auto"/>
        <w:ind w:left="567" w:right="539"/>
        <w:rPr>
          <w:rFonts w:eastAsia="Palatino Linotype"/>
          <w:i/>
        </w:rPr>
      </w:pPr>
      <w:r w:rsidRPr="001B4A72">
        <w:rPr>
          <w:rFonts w:eastAsia="Palatino Linotype"/>
          <w:b/>
          <w:i/>
        </w:rPr>
        <w:t xml:space="preserve">I. </w:t>
      </w:r>
      <w:r w:rsidRPr="001B4A72">
        <w:rPr>
          <w:rFonts w:eastAsia="Palatino Linotype"/>
          <w:b/>
          <w:i/>
        </w:rPr>
        <w:tab/>
        <w:t>Toda la información en posesión de cualquier</w:t>
      </w:r>
      <w:r w:rsidRPr="001B4A72">
        <w:rPr>
          <w:rFonts w:eastAsia="Palatino Linotype"/>
          <w:i/>
        </w:rPr>
        <w:t xml:space="preserve"> </w:t>
      </w:r>
      <w:r w:rsidRPr="001B4A72">
        <w:rPr>
          <w:rFonts w:eastAsia="Palatino Linotype"/>
          <w:b/>
          <w:i/>
        </w:rPr>
        <w:t>autoridad</w:t>
      </w:r>
      <w:r w:rsidRPr="001B4A72">
        <w:rPr>
          <w:rFonts w:eastAsia="Palatino Linotype"/>
          <w:i/>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1B4A72">
        <w:rPr>
          <w:rFonts w:eastAsia="Palatino Linotype"/>
          <w:b/>
          <w:i/>
        </w:rPr>
        <w:t>municipal</w:t>
      </w:r>
      <w:r w:rsidRPr="001B4A72">
        <w:rPr>
          <w:rFonts w:eastAsia="Palatino Linotype"/>
          <w:i/>
        </w:rPr>
        <w:t xml:space="preserve">, </w:t>
      </w:r>
      <w:r w:rsidRPr="001B4A72">
        <w:rPr>
          <w:rFonts w:eastAsia="Palatino Linotype"/>
          <w:b/>
          <w:i/>
        </w:rPr>
        <w:t>es pública</w:t>
      </w:r>
      <w:r w:rsidRPr="001B4A72">
        <w:rPr>
          <w:rFonts w:eastAsia="Palatino Linotype"/>
          <w:i/>
        </w:rPr>
        <w:t xml:space="preserve"> y sólo podrá ser reservada temporalmente por razones de interés público y seguridad nacional, en los términos que fijen las leyes. </w:t>
      </w:r>
      <w:r w:rsidRPr="001B4A72">
        <w:rPr>
          <w:rFonts w:eastAsia="Palatino Linotype"/>
          <w:b/>
          <w:i/>
        </w:rPr>
        <w:t>En la interpretación de este derecho deberá prevalecer el principio de máxima publicidad. Los sujetos obligados deberán documentar todo acto que derive del ejercicio de sus facultades, competencias o funciones</w:t>
      </w:r>
      <w:r w:rsidRPr="001B4A72">
        <w:rPr>
          <w:rFonts w:eastAsia="Palatino Linotype"/>
          <w:i/>
        </w:rPr>
        <w:t>, la ley determinará los supuestos específicos bajo los cuales procederá la declaración de inexistencia de la información.”</w:t>
      </w:r>
    </w:p>
    <w:p w14:paraId="68F313E4" w14:textId="77777777" w:rsidR="00C049E2" w:rsidRPr="001B4A72" w:rsidRDefault="00C049E2" w:rsidP="001B4A72">
      <w:pPr>
        <w:spacing w:line="240" w:lineRule="auto"/>
        <w:ind w:left="567" w:right="539"/>
        <w:rPr>
          <w:rFonts w:eastAsia="Palatino Linotype"/>
          <w:b/>
          <w:i/>
        </w:rPr>
      </w:pPr>
    </w:p>
    <w:p w14:paraId="504F12DB" w14:textId="77777777" w:rsidR="00C049E2" w:rsidRPr="001B4A72" w:rsidRDefault="00C049E2" w:rsidP="001B4A72">
      <w:pPr>
        <w:spacing w:line="240" w:lineRule="auto"/>
        <w:ind w:left="567" w:right="539"/>
        <w:rPr>
          <w:rFonts w:eastAsia="Palatino Linotype"/>
          <w:b/>
          <w:i/>
        </w:rPr>
      </w:pPr>
      <w:r w:rsidRPr="001B4A72">
        <w:rPr>
          <w:rFonts w:eastAsia="Palatino Linotype"/>
          <w:b/>
          <w:i/>
        </w:rPr>
        <w:lastRenderedPageBreak/>
        <w:t>Constitución Política del Estado Libre y Soberano de México</w:t>
      </w:r>
    </w:p>
    <w:p w14:paraId="04932D29" w14:textId="77777777" w:rsidR="00C049E2" w:rsidRPr="001B4A72" w:rsidRDefault="00C049E2" w:rsidP="001B4A72">
      <w:pPr>
        <w:spacing w:line="240" w:lineRule="auto"/>
        <w:ind w:left="567" w:right="539"/>
        <w:rPr>
          <w:rFonts w:eastAsia="Palatino Linotype"/>
          <w:i/>
        </w:rPr>
      </w:pPr>
      <w:r w:rsidRPr="001B4A72">
        <w:rPr>
          <w:rFonts w:eastAsia="Palatino Linotype"/>
          <w:b/>
          <w:i/>
        </w:rPr>
        <w:t>“Artículo 5</w:t>
      </w:r>
      <w:r w:rsidRPr="001B4A72">
        <w:rPr>
          <w:rFonts w:eastAsia="Palatino Linotype"/>
          <w:i/>
        </w:rPr>
        <w:t xml:space="preserve">.- </w:t>
      </w:r>
    </w:p>
    <w:p w14:paraId="1D3829F4" w14:textId="77777777" w:rsidR="00C049E2" w:rsidRPr="001B4A72" w:rsidRDefault="00C049E2" w:rsidP="001B4A72">
      <w:pPr>
        <w:spacing w:line="240" w:lineRule="auto"/>
        <w:ind w:left="567" w:right="539"/>
        <w:rPr>
          <w:rFonts w:eastAsia="Palatino Linotype"/>
          <w:i/>
        </w:rPr>
      </w:pPr>
      <w:r w:rsidRPr="001B4A72">
        <w:rPr>
          <w:rFonts w:eastAsia="Palatino Linotype"/>
          <w:i/>
        </w:rPr>
        <w:t>(…)</w:t>
      </w:r>
    </w:p>
    <w:p w14:paraId="0EAE47FD" w14:textId="77777777" w:rsidR="00C049E2" w:rsidRPr="001B4A72" w:rsidRDefault="00C049E2" w:rsidP="001B4A72">
      <w:pPr>
        <w:spacing w:line="240" w:lineRule="auto"/>
        <w:ind w:left="567" w:right="539"/>
        <w:rPr>
          <w:rFonts w:eastAsia="Palatino Linotype"/>
          <w:i/>
        </w:rPr>
      </w:pPr>
      <w:r w:rsidRPr="001B4A72">
        <w:rPr>
          <w:rFonts w:eastAsia="Palatino Linotype"/>
          <w:b/>
          <w:i/>
        </w:rPr>
        <w:t>El derecho a la información será garantizado por el Estado. La ley establecerá las previsiones que permitan asegurar la protección, el respeto y la difusión de este derecho</w:t>
      </w:r>
      <w:r w:rsidRPr="001B4A72">
        <w:rPr>
          <w:rFonts w:eastAsia="Palatino Linotype"/>
          <w:i/>
        </w:rPr>
        <w:t>.</w:t>
      </w:r>
    </w:p>
    <w:p w14:paraId="4F0C804A" w14:textId="77777777" w:rsidR="00C049E2" w:rsidRPr="001B4A72" w:rsidRDefault="00C049E2" w:rsidP="001B4A72">
      <w:pPr>
        <w:spacing w:line="240" w:lineRule="auto"/>
        <w:ind w:left="567" w:right="539"/>
        <w:rPr>
          <w:rFonts w:eastAsia="Palatino Linotype"/>
          <w:i/>
        </w:rPr>
      </w:pPr>
      <w:r w:rsidRPr="001B4A72">
        <w:rPr>
          <w:rFonts w:eastAsia="Palatino Linotype"/>
          <w:i/>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1B4A72" w:rsidRDefault="00C049E2" w:rsidP="001B4A72">
      <w:pPr>
        <w:spacing w:line="240" w:lineRule="auto"/>
        <w:ind w:left="567" w:right="539"/>
        <w:rPr>
          <w:rFonts w:eastAsia="Palatino Linotype"/>
          <w:i/>
        </w:rPr>
      </w:pPr>
      <w:r w:rsidRPr="001B4A72">
        <w:rPr>
          <w:rFonts w:eastAsia="Palatino Linotype"/>
          <w:b/>
          <w:i/>
        </w:rPr>
        <w:t>Este derecho se regirá por los principios y bases siguientes</w:t>
      </w:r>
      <w:r w:rsidRPr="001B4A72">
        <w:rPr>
          <w:rFonts w:eastAsia="Palatino Linotype"/>
          <w:i/>
        </w:rPr>
        <w:t>:</w:t>
      </w:r>
    </w:p>
    <w:p w14:paraId="4A3E8CBA" w14:textId="77777777" w:rsidR="00C049E2" w:rsidRPr="001B4A72" w:rsidRDefault="00C049E2" w:rsidP="001B4A72">
      <w:pPr>
        <w:spacing w:line="240" w:lineRule="auto"/>
        <w:ind w:left="567" w:right="539"/>
        <w:rPr>
          <w:rFonts w:eastAsia="Palatino Linotype"/>
          <w:i/>
        </w:rPr>
      </w:pPr>
      <w:r w:rsidRPr="001B4A72">
        <w:rPr>
          <w:rFonts w:eastAsia="Palatino Linotype"/>
          <w:b/>
          <w:i/>
        </w:rPr>
        <w:t>I. Toda la información en posesión de cualquier autoridad, entidad, órgano y organismos de los</w:t>
      </w:r>
      <w:r w:rsidRPr="001B4A72">
        <w:rPr>
          <w:rFonts w:eastAsia="Palatino Linotype"/>
          <w:i/>
        </w:rPr>
        <w:t xml:space="preserve"> Poderes Ejecutivo, Legislativo y Judicial, órganos autónomos, partidos políticos, fideicomisos y fondos públicos estatales y </w:t>
      </w:r>
      <w:r w:rsidRPr="001B4A72">
        <w:rPr>
          <w:rFonts w:eastAsia="Palatino Linotype"/>
          <w:b/>
          <w:i/>
        </w:rPr>
        <w:t>municipales</w:t>
      </w:r>
      <w:r w:rsidRPr="001B4A72">
        <w:rPr>
          <w:rFonts w:eastAsia="Palatino Linotype"/>
          <w:i/>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1B4A72">
        <w:rPr>
          <w:rFonts w:eastAsia="Palatino Linotype"/>
          <w:b/>
          <w:i/>
        </w:rPr>
        <w:t>es pública</w:t>
      </w:r>
      <w:r w:rsidRPr="001B4A72">
        <w:rPr>
          <w:rFonts w:eastAsia="Palatino Linotype"/>
          <w:i/>
        </w:rPr>
        <w:t xml:space="preserve"> y sólo podrá ser reservada temporalmente por razones previstas en la Constitución Política de los Estados Unidos Mexicanos de interés público y seguridad, en los términos que fijen las leyes. </w:t>
      </w:r>
      <w:r w:rsidRPr="001B4A72">
        <w:rPr>
          <w:rFonts w:eastAsia="Palatino Linotype"/>
          <w:b/>
          <w:i/>
        </w:rPr>
        <w:t>En la interpretación de este derecho deberá prevalecer el principio de máxima publicidad</w:t>
      </w:r>
      <w:r w:rsidRPr="001B4A72">
        <w:rPr>
          <w:rFonts w:eastAsia="Palatino Linotype"/>
          <w:i/>
        </w:rPr>
        <w:t xml:space="preserve">. </w:t>
      </w:r>
      <w:r w:rsidRPr="001B4A72">
        <w:rPr>
          <w:rFonts w:eastAsia="Palatino Linotype"/>
          <w:b/>
          <w:i/>
        </w:rPr>
        <w:t>Los sujetos obligados deberán documentar todo acto que derive del ejercicio de sus facultades, competencias o funciones</w:t>
      </w:r>
      <w:r w:rsidRPr="001B4A72">
        <w:rPr>
          <w:rFonts w:eastAsia="Palatino Linotype"/>
          <w:i/>
        </w:rPr>
        <w:t>, la ley determinará los supuestos específicos bajo los cuales procederá la declaración de inexistencia de la información.”</w:t>
      </w:r>
    </w:p>
    <w:p w14:paraId="5CA98E37" w14:textId="77777777" w:rsidR="00C049E2" w:rsidRPr="001B4A72" w:rsidRDefault="00C049E2" w:rsidP="001B4A72">
      <w:pPr>
        <w:rPr>
          <w:rFonts w:eastAsia="Palatino Linotype"/>
          <w:b/>
          <w:i/>
        </w:rPr>
      </w:pPr>
    </w:p>
    <w:p w14:paraId="6FC1BB3B" w14:textId="3BF4A33D" w:rsidR="00C049E2" w:rsidRPr="001B4A72" w:rsidRDefault="00717E59" w:rsidP="001B4A72">
      <w:pPr>
        <w:rPr>
          <w:rFonts w:eastAsia="Palatino Linotype"/>
          <w:i/>
        </w:rPr>
      </w:pPr>
      <w:r w:rsidRPr="001B4A72">
        <w:rPr>
          <w:rFonts w:eastAsia="Palatino Linotype"/>
        </w:rPr>
        <w:t xml:space="preserve">Asimismo, </w:t>
      </w:r>
      <w:r w:rsidR="00C049E2" w:rsidRPr="001B4A72">
        <w:rPr>
          <w:rFonts w:eastAsia="Palatino Linotype"/>
        </w:rPr>
        <w:t>el artículo 150 de la Ley de Transparencia y Acceso a la Información Pública del Estado de México y Municipios</w:t>
      </w:r>
      <w:r w:rsidR="00057B2D" w:rsidRPr="001B4A72">
        <w:rPr>
          <w:rFonts w:eastAsia="Palatino Linotype"/>
        </w:rPr>
        <w:t xml:space="preserve"> </w:t>
      </w:r>
      <w:r w:rsidR="00E9335C" w:rsidRPr="001B4A72">
        <w:rPr>
          <w:rFonts w:eastAsia="Palatino Linotype"/>
        </w:rPr>
        <w:t xml:space="preserve">indica </w:t>
      </w:r>
      <w:r w:rsidR="00057B2D" w:rsidRPr="001B4A72">
        <w:rPr>
          <w:rFonts w:eastAsia="Palatino Linotype"/>
        </w:rPr>
        <w:t>que</w:t>
      </w:r>
      <w:r w:rsidR="00C049E2" w:rsidRPr="001B4A72">
        <w:rPr>
          <w:rFonts w:eastAsia="Palatino Linotype"/>
        </w:rPr>
        <w:t xml:space="preserve"> la solicitud es la garantía primaria del Derecho de Acceso a la Información, además, establece que se regirá </w:t>
      </w:r>
      <w:r w:rsidR="00C049E2" w:rsidRPr="001B4A72">
        <w:rPr>
          <w:rFonts w:eastAsia="Palatino Linotype"/>
          <w:i/>
        </w:rPr>
        <w:t>por los principios de simplicidad, rapidez</w:t>
      </w:r>
      <w:r w:rsidR="005F65B7" w:rsidRPr="001B4A72">
        <w:rPr>
          <w:rFonts w:eastAsia="Palatino Linotype"/>
          <w:i/>
        </w:rPr>
        <w:t>,</w:t>
      </w:r>
      <w:r w:rsidR="00C049E2" w:rsidRPr="001B4A72">
        <w:rPr>
          <w:rFonts w:eastAsia="Palatino Linotype"/>
          <w:i/>
        </w:rPr>
        <w:t xml:space="preserve"> gratuidad del procedimiento, auxilio y orientación a los particulare</w:t>
      </w:r>
      <w:r w:rsidR="001A58B3" w:rsidRPr="001B4A72">
        <w:rPr>
          <w:rFonts w:eastAsia="Palatino Linotype"/>
          <w:i/>
        </w:rPr>
        <w:t>s.</w:t>
      </w:r>
    </w:p>
    <w:p w14:paraId="033466A6" w14:textId="77777777" w:rsidR="001A58B3" w:rsidRPr="001B4A72" w:rsidRDefault="001A58B3" w:rsidP="001B4A72">
      <w:pPr>
        <w:rPr>
          <w:rFonts w:eastAsia="Palatino Linotype"/>
          <w:i/>
        </w:rPr>
      </w:pPr>
    </w:p>
    <w:p w14:paraId="04ADA10B" w14:textId="574A944A" w:rsidR="001A58B3" w:rsidRPr="001B4A72" w:rsidRDefault="00233F17" w:rsidP="001B4A72">
      <w:pPr>
        <w:rPr>
          <w:rFonts w:eastAsia="Palatino Linotype" w:cs="Palatino Linotype"/>
          <w:i/>
          <w:szCs w:val="22"/>
        </w:rPr>
      </w:pPr>
      <w:r w:rsidRPr="001B4A72">
        <w:rPr>
          <w:rFonts w:eastAsia="Palatino Linotype" w:cs="Palatino Linotype"/>
        </w:rPr>
        <w:t xml:space="preserve">Por su parte, el artículo 4 de </w:t>
      </w:r>
      <w:r w:rsidR="001A58B3" w:rsidRPr="001B4A72">
        <w:rPr>
          <w:rFonts w:eastAsia="Palatino Linotype" w:cs="Palatino Linotype"/>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1B4A72">
        <w:rPr>
          <w:rFonts w:eastAsia="Palatino Linotype" w:cs="Palatino Linotype"/>
        </w:rPr>
        <w:t>.</w:t>
      </w:r>
    </w:p>
    <w:p w14:paraId="7552AA79" w14:textId="5C52E4A4" w:rsidR="001A58B3" w:rsidRPr="001B4A72" w:rsidRDefault="001A58B3" w:rsidP="001B4A72">
      <w:pPr>
        <w:rPr>
          <w:rFonts w:eastAsia="Palatino Linotype" w:cs="Palatino Linotype"/>
        </w:rPr>
      </w:pPr>
      <w:r w:rsidRPr="001B4A72">
        <w:rPr>
          <w:rFonts w:eastAsia="Palatino Linotype" w:cs="Palatino Linotype"/>
        </w:rPr>
        <w:lastRenderedPageBreak/>
        <w:t xml:space="preserve">Esto es, que los Sujetos Obligados </w:t>
      </w:r>
      <w:r w:rsidR="00FA5957" w:rsidRPr="001B4A72">
        <w:rPr>
          <w:rFonts w:eastAsia="Palatino Linotype" w:cs="Palatino Linotype"/>
        </w:rPr>
        <w:t>deben</w:t>
      </w:r>
      <w:r w:rsidRPr="001B4A72">
        <w:rPr>
          <w:rFonts w:eastAsia="Palatino Linotype" w:cs="Palatino Linotype"/>
        </w:rPr>
        <w:t xml:space="preserve"> atender las solicitudes de acceso a la información pública que se les </w:t>
      </w:r>
      <w:r w:rsidR="00FA5957" w:rsidRPr="001B4A72">
        <w:rPr>
          <w:rFonts w:eastAsia="Palatino Linotype" w:cs="Palatino Linotype"/>
        </w:rPr>
        <w:t>sean realizadas,</w:t>
      </w:r>
      <w:r w:rsidRPr="001B4A72">
        <w:rPr>
          <w:rFonts w:eastAsia="Palatino Linotype" w:cs="Palatino Linotype"/>
        </w:rPr>
        <w:t xml:space="preserve"> y proporcionar la información pública que obre en su poder</w:t>
      </w:r>
      <w:r w:rsidR="00FA5957" w:rsidRPr="001B4A72">
        <w:rPr>
          <w:rFonts w:eastAsia="Palatino Linotype" w:cs="Palatino Linotype"/>
        </w:rPr>
        <w:t>,</w:t>
      </w:r>
      <w:r w:rsidRPr="001B4A72">
        <w:rPr>
          <w:rFonts w:eastAsia="Palatino Linotype" w:cs="Palatino Linotype"/>
        </w:rPr>
        <w:t xml:space="preserve"> conforme </w:t>
      </w:r>
      <w:r w:rsidR="00FA5957" w:rsidRPr="001B4A72">
        <w:rPr>
          <w:rFonts w:eastAsia="Palatino Linotype" w:cs="Palatino Linotype"/>
        </w:rPr>
        <w:t>a</w:t>
      </w:r>
      <w:r w:rsidRPr="001B4A72">
        <w:rPr>
          <w:rFonts w:eastAsia="Palatino Linotype" w:cs="Palatino Linotype"/>
        </w:rPr>
        <w:t xml:space="preserve">l estado </w:t>
      </w:r>
      <w:r w:rsidR="00FA5957" w:rsidRPr="001B4A72">
        <w:rPr>
          <w:rFonts w:eastAsia="Palatino Linotype" w:cs="Palatino Linotype"/>
        </w:rPr>
        <w:t xml:space="preserve">en </w:t>
      </w:r>
      <w:r w:rsidRPr="001B4A72">
        <w:rPr>
          <w:rFonts w:eastAsia="Palatino Linotype" w:cs="Palatino Linotype"/>
        </w:rPr>
        <w:t>que se encuentr</w:t>
      </w:r>
      <w:r w:rsidR="00FA5957" w:rsidRPr="001B4A72">
        <w:rPr>
          <w:rFonts w:eastAsia="Palatino Linotype" w:cs="Palatino Linotype"/>
        </w:rPr>
        <w:t>e, sin que sea necesario</w:t>
      </w:r>
      <w:r w:rsidRPr="001B4A72">
        <w:rPr>
          <w:rFonts w:eastAsia="Palatino Linotype" w:cs="Palatino Linotype"/>
        </w:rPr>
        <w:t xml:space="preserve"> </w:t>
      </w:r>
      <w:r w:rsidR="00FA5957" w:rsidRPr="001B4A72">
        <w:rPr>
          <w:rFonts w:eastAsia="Palatino Linotype" w:cs="Palatino Linotype"/>
        </w:rPr>
        <w:t>procesar</w:t>
      </w:r>
      <w:r w:rsidRPr="001B4A72">
        <w:rPr>
          <w:rFonts w:eastAsia="Palatino Linotype" w:cs="Palatino Linotype"/>
        </w:rPr>
        <w:t xml:space="preserve"> la misma, ni presentarla conforme al interés del solicitante; </w:t>
      </w:r>
      <w:r w:rsidR="00FA5957" w:rsidRPr="001B4A72">
        <w:rPr>
          <w:rFonts w:eastAsia="Palatino Linotype" w:cs="Palatino Linotype"/>
        </w:rPr>
        <w:t>tal y como</w:t>
      </w:r>
      <w:r w:rsidRPr="001B4A72">
        <w:rPr>
          <w:rFonts w:eastAsia="Palatino Linotype" w:cs="Palatino Linotype"/>
        </w:rPr>
        <w:t xml:space="preserve"> lo establece el artículo 12 de la Ley de Transparencia y Acceso a la Información Pública del Estado de México y Municipios</w:t>
      </w:r>
      <w:r w:rsidR="00970EB3" w:rsidRPr="001B4A72">
        <w:rPr>
          <w:rFonts w:eastAsia="Palatino Linotype" w:cs="Palatino Linotype"/>
        </w:rPr>
        <w:t>.</w:t>
      </w:r>
    </w:p>
    <w:p w14:paraId="73245195" w14:textId="77777777" w:rsidR="00970EB3" w:rsidRPr="001B4A72" w:rsidRDefault="00970EB3" w:rsidP="001B4A72">
      <w:pPr>
        <w:rPr>
          <w:rFonts w:eastAsia="Palatino Linotype" w:cs="Palatino Linotype"/>
        </w:rPr>
      </w:pPr>
    </w:p>
    <w:p w14:paraId="7F62D4DF" w14:textId="775730E1" w:rsidR="001A58B3" w:rsidRPr="001B4A72" w:rsidRDefault="001A58B3" w:rsidP="001B4A72">
      <w:pPr>
        <w:rPr>
          <w:rFonts w:eastAsia="Palatino Linotype" w:cs="Palatino Linotype"/>
        </w:rPr>
      </w:pPr>
      <w:r w:rsidRPr="001B4A72">
        <w:rPr>
          <w:rFonts w:eastAsia="Palatino Linotype" w:cs="Palatino Linotype"/>
        </w:rPr>
        <w:t>Es decir, que todo sujeto obligado que genere, recopile, administre, procese, archive, posea o conserven, son responsables de la misma</w:t>
      </w:r>
      <w:r w:rsidR="00970EB3" w:rsidRPr="001B4A72">
        <w:rPr>
          <w:rFonts w:eastAsia="Palatino Linotype" w:cs="Palatino Linotype"/>
        </w:rPr>
        <w:t>,</w:t>
      </w:r>
      <w:r w:rsidRPr="001B4A72">
        <w:rPr>
          <w:rFonts w:eastAsia="Palatino Linotype" w:cs="Palatino Linotype"/>
        </w:rPr>
        <w:t xml:space="preserve"> teniendo a su vez la obligación de proporcionar la información que se les requiera sin necesidad de resumirla, efectuar procedimientos para obtenerla, calcular </w:t>
      </w:r>
      <w:r w:rsidR="00970EB3" w:rsidRPr="001B4A72">
        <w:rPr>
          <w:rFonts w:eastAsia="Palatino Linotype" w:cs="Palatino Linotype"/>
        </w:rPr>
        <w:t>o</w:t>
      </w:r>
      <w:r w:rsidRPr="001B4A72">
        <w:rPr>
          <w:rFonts w:eastAsia="Palatino Linotype" w:cs="Palatino Linotype"/>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1B4A72" w:rsidRDefault="001A58B3" w:rsidP="001B4A72">
      <w:pPr>
        <w:rPr>
          <w:rFonts w:eastAsia="Palatino Linotype" w:cs="Palatino Linotype"/>
        </w:rPr>
      </w:pPr>
    </w:p>
    <w:p w14:paraId="04E42DFE" w14:textId="573F1198" w:rsidR="001A58B3" w:rsidRPr="001B4A72" w:rsidRDefault="001A58B3" w:rsidP="001B4A72">
      <w:pPr>
        <w:rPr>
          <w:rFonts w:eastAsia="Palatino Linotype" w:cs="Palatino Linotype"/>
        </w:rPr>
      </w:pPr>
      <w:r w:rsidRPr="001B4A72">
        <w:rPr>
          <w:rFonts w:eastAsia="Palatino Linotype" w:cs="Palatino Linotype"/>
        </w:rPr>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1B4A72">
        <w:rPr>
          <w:rFonts w:eastAsia="Palatino Linotype" w:cs="Palatino Linotype"/>
        </w:rPr>
        <w:t>, s</w:t>
      </w:r>
      <w:r w:rsidRPr="001B4A72">
        <w:rPr>
          <w:rFonts w:eastAsia="Palatino Linotype" w:cs="Palatino Linotype"/>
        </w:rPr>
        <w:t xml:space="preserve">iempre y cuando no se trate de información reservada o </w:t>
      </w:r>
      <w:r w:rsidR="00331F35" w:rsidRPr="001B4A72">
        <w:rPr>
          <w:rFonts w:eastAsia="Palatino Linotype" w:cs="Palatino Linotype"/>
        </w:rPr>
        <w:t>confidencial.</w:t>
      </w:r>
    </w:p>
    <w:p w14:paraId="40C5219F" w14:textId="77777777" w:rsidR="001A58B3" w:rsidRPr="001B4A72" w:rsidRDefault="001A58B3" w:rsidP="001B4A72">
      <w:pPr>
        <w:rPr>
          <w:rFonts w:eastAsia="Palatino Linotype" w:cs="Palatino Linotype"/>
        </w:rPr>
      </w:pPr>
    </w:p>
    <w:p w14:paraId="2E629608" w14:textId="01727E15" w:rsidR="00C049E2" w:rsidRPr="001B4A72" w:rsidRDefault="006067C7" w:rsidP="001B4A72">
      <w:pPr>
        <w:rPr>
          <w:rFonts w:eastAsia="Palatino Linotype"/>
        </w:rPr>
      </w:pPr>
      <w:bookmarkStart w:id="24" w:name="_heading=h.2s8eyo1" w:colFirst="0" w:colLast="0"/>
      <w:bookmarkEnd w:id="24"/>
      <w:r w:rsidRPr="001B4A72">
        <w:rPr>
          <w:rFonts w:eastAsia="Palatino Linotype"/>
        </w:rPr>
        <w:t>Con base en lo anterior</w:t>
      </w:r>
      <w:r w:rsidR="00B22A80" w:rsidRPr="001B4A72">
        <w:rPr>
          <w:rFonts w:eastAsia="Palatino Linotype"/>
        </w:rPr>
        <w:t>, se considera que</w:t>
      </w:r>
      <w:r w:rsidR="00C049E2" w:rsidRPr="001B4A72">
        <w:rPr>
          <w:rFonts w:eastAsia="Palatino Linotype"/>
        </w:rPr>
        <w:t xml:space="preserve"> </w:t>
      </w:r>
      <w:r w:rsidR="00B22A80" w:rsidRPr="001B4A72">
        <w:rPr>
          <w:rFonts w:eastAsia="Palatino Linotype"/>
          <w:b/>
          <w:bCs/>
        </w:rPr>
        <w:t>EL</w:t>
      </w:r>
      <w:r w:rsidR="00C049E2" w:rsidRPr="001B4A72">
        <w:rPr>
          <w:rFonts w:eastAsia="Palatino Linotype"/>
        </w:rPr>
        <w:t xml:space="preserve"> </w:t>
      </w:r>
      <w:r w:rsidR="00C049E2" w:rsidRPr="001B4A72">
        <w:rPr>
          <w:rFonts w:eastAsia="Palatino Linotype"/>
          <w:b/>
        </w:rPr>
        <w:t>SUJETO OBLIGADO</w:t>
      </w:r>
      <w:r w:rsidR="00C049E2" w:rsidRPr="001B4A72">
        <w:rPr>
          <w:rFonts w:eastAsia="Palatino Linotype"/>
        </w:rPr>
        <w:t xml:space="preserve"> </w:t>
      </w:r>
      <w:r w:rsidR="00B22A80" w:rsidRPr="001B4A72">
        <w:rPr>
          <w:rFonts w:eastAsia="Palatino Linotype"/>
        </w:rPr>
        <w:t xml:space="preserve">se </w:t>
      </w:r>
      <w:r w:rsidR="00717E59" w:rsidRPr="001B4A72">
        <w:rPr>
          <w:rFonts w:eastAsia="Palatino Linotype"/>
        </w:rPr>
        <w:t>encontraba</w:t>
      </w:r>
      <w:r w:rsidR="00B22A80" w:rsidRPr="001B4A72">
        <w:rPr>
          <w:rFonts w:eastAsia="Palatino Linotype"/>
        </w:rPr>
        <w:t xml:space="preserve"> compelido a</w:t>
      </w:r>
      <w:r w:rsidR="00C049E2" w:rsidRPr="001B4A72">
        <w:rPr>
          <w:rFonts w:eastAsia="Palatino Linotype"/>
        </w:rPr>
        <w:t xml:space="preserve"> atender la solicitud de acceso a la información </w:t>
      </w:r>
      <w:r w:rsidR="00B22A80" w:rsidRPr="001B4A72">
        <w:rPr>
          <w:rFonts w:eastAsia="Palatino Linotype"/>
        </w:rPr>
        <w:t xml:space="preserve">realizada por </w:t>
      </w:r>
      <w:r w:rsidR="00B22A80" w:rsidRPr="001B4A72">
        <w:rPr>
          <w:rFonts w:eastAsia="Palatino Linotype"/>
          <w:b/>
          <w:bCs/>
        </w:rPr>
        <w:t>LA PARTE RECURRENTE</w:t>
      </w:r>
      <w:r w:rsidR="00331F35" w:rsidRPr="001B4A72">
        <w:rPr>
          <w:rFonts w:eastAsia="Palatino Linotype"/>
        </w:rPr>
        <w:t>.</w:t>
      </w:r>
    </w:p>
    <w:p w14:paraId="3AFB9FAE" w14:textId="77777777" w:rsidR="00AA26B0" w:rsidRPr="001B4A72" w:rsidRDefault="00AA26B0" w:rsidP="001B4A72">
      <w:pPr>
        <w:rPr>
          <w:rFonts w:eastAsia="Palatino Linotype"/>
        </w:rPr>
      </w:pPr>
    </w:p>
    <w:p w14:paraId="51A0E8B4" w14:textId="676DCA47" w:rsidR="00664420" w:rsidRPr="001B4A72" w:rsidRDefault="00C71CEF" w:rsidP="001B4A72">
      <w:pPr>
        <w:pStyle w:val="Ttulo3"/>
        <w:rPr>
          <w:rFonts w:eastAsia="Calibri"/>
          <w:lang w:eastAsia="es-ES_tradnl"/>
        </w:rPr>
      </w:pPr>
      <w:bookmarkStart w:id="25" w:name="_Toc188469847"/>
      <w:r w:rsidRPr="001B4A72">
        <w:rPr>
          <w:rFonts w:eastAsia="Calibri"/>
          <w:lang w:eastAsia="es-ES_tradnl"/>
        </w:rPr>
        <w:lastRenderedPageBreak/>
        <w:t>b)</w:t>
      </w:r>
      <w:r w:rsidR="00A53315" w:rsidRPr="001B4A72">
        <w:rPr>
          <w:rFonts w:eastAsia="Calibri"/>
          <w:lang w:eastAsia="es-ES_tradnl"/>
        </w:rPr>
        <w:t xml:space="preserve"> </w:t>
      </w:r>
      <w:r w:rsidR="00A21A20" w:rsidRPr="001B4A72">
        <w:rPr>
          <w:rFonts w:eastAsia="Calibri"/>
          <w:lang w:eastAsia="es-ES_tradnl"/>
        </w:rPr>
        <w:t>Controversia a resolver</w:t>
      </w:r>
      <w:bookmarkEnd w:id="25"/>
    </w:p>
    <w:p w14:paraId="05EB4D96" w14:textId="2605A0E7" w:rsidR="00AE5C5C" w:rsidRPr="001B4A72" w:rsidRDefault="00F058FA" w:rsidP="001B4A72">
      <w:r w:rsidRPr="001B4A72">
        <w:rPr>
          <w:rFonts w:eastAsia="Palatino Linotype" w:cs="Palatino Linotype"/>
          <w:szCs w:val="22"/>
        </w:rPr>
        <w:t xml:space="preserve">Con el objeto de verificar si se actualiza la causal de improcedencia, es necesario precisar que </w:t>
      </w:r>
      <w:r w:rsidRPr="001B4A72">
        <w:rPr>
          <w:rFonts w:eastAsia="Palatino Linotype" w:cs="Palatino Linotype"/>
          <w:b/>
          <w:szCs w:val="22"/>
        </w:rPr>
        <w:t>LA PARTE RECURRENTE</w:t>
      </w:r>
      <w:r w:rsidRPr="001B4A72">
        <w:rPr>
          <w:rFonts w:cs="Arial"/>
          <w:lang w:val="es-ES" w:eastAsia="es-MX"/>
        </w:rPr>
        <w:t xml:space="preserve"> requirió lo siguiente al </w:t>
      </w:r>
      <w:r w:rsidRPr="001B4A72">
        <w:rPr>
          <w:rFonts w:cs="Arial"/>
          <w:b/>
          <w:lang w:val="es-ES" w:eastAsia="es-MX"/>
        </w:rPr>
        <w:t>SUJETO OBLIGADO</w:t>
      </w:r>
      <w:r w:rsidRPr="001B4A72">
        <w:rPr>
          <w:rFonts w:cs="Arial"/>
          <w:lang w:val="es-ES" w:eastAsia="es-MX"/>
        </w:rPr>
        <w:t xml:space="preserve"> </w:t>
      </w:r>
      <w:r w:rsidRPr="001B4A72">
        <w:rPr>
          <w:rFonts w:cs="Arial"/>
          <w:i/>
          <w:lang w:val="es-ES" w:eastAsia="es-MX"/>
        </w:rPr>
        <w:t>“Mi escrito que ingrese por Oficialía de Partes en el Municipio de Ecatepec de Morelos con fecha 17 de julio de 2023, que se le asignó el número de folio 011601 (acuse de recibo 18 de julio de 2023, 4:39 horas), y el acuse de recibo de fecha 18 de julio de 2023, de la Dirección de Medio Ambiente y Ecología, no ha tenido respuesta a lo solicitado en la hoja 2, numeral III, que a la letra dice: “III.- Copia simple de la visita de inspección del personal de la Dirección de Medio Ambiente y Ecología para valorar el estado que guarda el árbol y determine los trabajos conducentes.”, por lo que agradeceré considerar las VALORACIONES DE RIESGO de la Dirección de Protección Civil y Bomberos.”</w:t>
      </w:r>
      <w:r w:rsidRPr="001B4A72">
        <w:rPr>
          <w:rFonts w:cs="Arial"/>
          <w:lang w:val="es-ES" w:eastAsia="es-MX"/>
        </w:rPr>
        <w:t>, a</w:t>
      </w:r>
      <w:r w:rsidR="001C1ADC" w:rsidRPr="001B4A72">
        <w:rPr>
          <w:rFonts w:cs="Arial"/>
          <w:lang w:val="es-ES" w:eastAsia="es-MX"/>
        </w:rPr>
        <w:t>nte</w:t>
      </w:r>
      <w:r w:rsidR="00AE5C5C" w:rsidRPr="001B4A72">
        <w:t xml:space="preserve"> la falta de respuesta a la solicitud, como el envío del Informe Justificado por parte del</w:t>
      </w:r>
      <w:r w:rsidR="00AE5C5C" w:rsidRPr="001B4A72">
        <w:rPr>
          <w:b/>
        </w:rPr>
        <w:t xml:space="preserve"> SUJETO OBLIGADO</w:t>
      </w:r>
      <w:r w:rsidR="00AE5C5C" w:rsidRPr="001B4A72">
        <w:t xml:space="preserve">, </w:t>
      </w:r>
      <w:r w:rsidR="00800823" w:rsidRPr="001B4A72">
        <w:t xml:space="preserve">la </w:t>
      </w:r>
      <w:r w:rsidR="00800823" w:rsidRPr="001B4A72">
        <w:rPr>
          <w:rFonts w:eastAsia="Palatino Linotype" w:cs="Palatino Linotype"/>
          <w:szCs w:val="22"/>
        </w:rPr>
        <w:t>particular</w:t>
      </w:r>
      <w:r w:rsidR="00800823" w:rsidRPr="001B4A72">
        <w:rPr>
          <w:rFonts w:cs="Arial"/>
          <w:lang w:val="es-ES" w:eastAsia="es-MX"/>
        </w:rPr>
        <w:t xml:space="preserve"> </w:t>
      </w:r>
      <w:r w:rsidRPr="001B4A72">
        <w:rPr>
          <w:rFonts w:cs="Arial"/>
          <w:lang w:val="es-ES" w:eastAsia="es-MX"/>
        </w:rPr>
        <w:t>considero que su</w:t>
      </w:r>
      <w:r w:rsidR="00AE5C5C" w:rsidRPr="001B4A72">
        <w:t xml:space="preserve"> derecho de acceso a la Información Pública</w:t>
      </w:r>
      <w:r w:rsidRPr="001B4A72">
        <w:t xml:space="preserve"> había sido vulnerado</w:t>
      </w:r>
      <w:r w:rsidR="00AE5C5C" w:rsidRPr="001B4A72">
        <w:t xml:space="preserve">. </w:t>
      </w:r>
    </w:p>
    <w:p w14:paraId="77FC67B5" w14:textId="0AAB3C55" w:rsidR="00F058FA" w:rsidRPr="001B4A72" w:rsidRDefault="00F058FA" w:rsidP="001B4A72"/>
    <w:p w14:paraId="3F7CDC82" w14:textId="28C01027" w:rsidR="00F058FA" w:rsidRPr="001B4A72" w:rsidRDefault="00F058FA" w:rsidP="001B4A72">
      <w:pPr>
        <w:rPr>
          <w:rFonts w:eastAsia="Palatino Linotype" w:cs="Palatino Linotype"/>
          <w:szCs w:val="22"/>
        </w:rPr>
      </w:pPr>
      <w:r w:rsidRPr="001B4A72">
        <w:rPr>
          <w:rFonts w:eastAsia="Palatino Linotype" w:cs="Palatino Linotype"/>
          <w:szCs w:val="22"/>
        </w:rPr>
        <w:t xml:space="preserve">Conforme a lo anterior, se logra vislumbrar que </w:t>
      </w:r>
      <w:r w:rsidR="00800823" w:rsidRPr="001B4A72">
        <w:rPr>
          <w:rFonts w:eastAsia="Palatino Linotype" w:cs="Palatino Linotype"/>
          <w:b/>
          <w:szCs w:val="22"/>
        </w:rPr>
        <w:t>LA PARTE RECURRENTE</w:t>
      </w:r>
      <w:r w:rsidR="00800823" w:rsidRPr="001B4A72">
        <w:rPr>
          <w:rFonts w:eastAsia="Palatino Linotype" w:cs="Palatino Linotype"/>
          <w:szCs w:val="22"/>
        </w:rPr>
        <w:t xml:space="preserve"> </w:t>
      </w:r>
      <w:r w:rsidRPr="001B4A72">
        <w:rPr>
          <w:rFonts w:eastAsia="Palatino Linotype" w:cs="Palatino Linotype"/>
          <w:szCs w:val="22"/>
        </w:rPr>
        <w:t xml:space="preserve">requiere que se </w:t>
      </w:r>
      <w:r w:rsidR="00800823" w:rsidRPr="001B4A72">
        <w:rPr>
          <w:rFonts w:eastAsia="Palatino Linotype" w:cs="Palatino Linotype"/>
          <w:szCs w:val="22"/>
        </w:rPr>
        <w:t>le haga entrega de la copia simple</w:t>
      </w:r>
      <w:r w:rsidR="00800823" w:rsidRPr="001B4A72">
        <w:t xml:space="preserve"> </w:t>
      </w:r>
      <w:r w:rsidR="00800823" w:rsidRPr="001B4A72">
        <w:rPr>
          <w:rFonts w:eastAsia="Palatino Linotype" w:cs="Palatino Linotype"/>
          <w:szCs w:val="22"/>
        </w:rPr>
        <w:t>de la visita de inspección del personal de la Dirección de Medio Ambiente y Ecología del Ayuntamiento de Ecatepec de Morelos y con base en ello determine los trabajos conducentes, así mismo solicita considerar</w:t>
      </w:r>
      <w:r w:rsidR="00800823" w:rsidRPr="001B4A72">
        <w:t xml:space="preserve"> </w:t>
      </w:r>
      <w:r w:rsidR="00800823" w:rsidRPr="001B4A72">
        <w:rPr>
          <w:rFonts w:eastAsia="Palatino Linotype" w:cs="Palatino Linotype"/>
          <w:szCs w:val="22"/>
        </w:rPr>
        <w:t>las valoraciones de riesgo de la Dirección de Protección Civil y Bomberos</w:t>
      </w:r>
      <w:r w:rsidRPr="001B4A72">
        <w:rPr>
          <w:rFonts w:eastAsia="Palatino Linotype" w:cs="Palatino Linotype"/>
          <w:szCs w:val="22"/>
        </w:rPr>
        <w:t xml:space="preserve">, lo que implica que </w:t>
      </w:r>
      <w:r w:rsidR="00800823" w:rsidRPr="001B4A72">
        <w:rPr>
          <w:rFonts w:eastAsia="Palatino Linotype" w:cs="Palatino Linotype"/>
          <w:b/>
          <w:szCs w:val="22"/>
        </w:rPr>
        <w:t>EL SUJETO OBLIGADO</w:t>
      </w:r>
      <w:r w:rsidR="00800823" w:rsidRPr="001B4A72">
        <w:rPr>
          <w:rFonts w:eastAsia="Palatino Linotype" w:cs="Palatino Linotype"/>
          <w:szCs w:val="22"/>
        </w:rPr>
        <w:t xml:space="preserve"> </w:t>
      </w:r>
      <w:r w:rsidRPr="001B4A72">
        <w:rPr>
          <w:rFonts w:eastAsia="Palatino Linotype" w:cs="Palatino Linotype"/>
          <w:szCs w:val="22"/>
        </w:rPr>
        <w:t>emita un pronunciamiento especifico en el que generé un documento en el que funde, motive y explique una situación particular, por tanto, dicha solicitud escapa del ejercicio del derecho de acceso a la información; sobre dicha situación, es necesario traer a colación los artículos 2°, fracción II; 3°, fracción XI y 18 de la Ley de Transparencia y Acceso a la Información Pública del Estado de México y Municipios, los cuales disponen lo siguiente:</w:t>
      </w:r>
    </w:p>
    <w:p w14:paraId="34242F3C" w14:textId="77777777" w:rsidR="00F058FA" w:rsidRPr="001B4A72" w:rsidRDefault="00F058FA" w:rsidP="001B4A72">
      <w:pPr>
        <w:rPr>
          <w:rFonts w:eastAsia="Palatino Linotype" w:cs="Palatino Linotype"/>
          <w:szCs w:val="22"/>
        </w:rPr>
      </w:pPr>
    </w:p>
    <w:p w14:paraId="6B34D9A0" w14:textId="77777777" w:rsidR="00F058FA" w:rsidRPr="001B4A72" w:rsidRDefault="00F058FA" w:rsidP="001B4A72">
      <w:pPr>
        <w:numPr>
          <w:ilvl w:val="0"/>
          <w:numId w:val="19"/>
        </w:numPr>
        <w:spacing w:after="160"/>
        <w:rPr>
          <w:rFonts w:eastAsia="Palatino Linotype" w:cs="Palatino Linotype"/>
          <w:szCs w:val="22"/>
        </w:rPr>
      </w:pPr>
      <w:r w:rsidRPr="001B4A72">
        <w:rPr>
          <w:rFonts w:eastAsia="Palatino Linotype" w:cs="Palatino Linotype"/>
          <w:szCs w:val="22"/>
        </w:rPr>
        <w:lastRenderedPageBreak/>
        <w:t>Que uno de los objetivos de la Ley es proveer lo necesario para garantizar a toda persona el derecho de acceso a la información pública, y</w:t>
      </w:r>
    </w:p>
    <w:p w14:paraId="09C838C1" w14:textId="77777777" w:rsidR="00F058FA" w:rsidRPr="001B4A72" w:rsidRDefault="00F058FA" w:rsidP="001B4A72">
      <w:pPr>
        <w:numPr>
          <w:ilvl w:val="0"/>
          <w:numId w:val="19"/>
        </w:numPr>
        <w:spacing w:after="160"/>
        <w:rPr>
          <w:rFonts w:eastAsia="Palatino Linotype" w:cs="Palatino Linotype"/>
          <w:szCs w:val="22"/>
        </w:rPr>
      </w:pPr>
      <w:r w:rsidRPr="001B4A72">
        <w:rPr>
          <w:rFonts w:eastAsia="Palatino Linotype" w:cs="Palatino Linotype"/>
          <w:szCs w:val="22"/>
        </w:rPr>
        <w:t xml:space="preserve">Que los </w:t>
      </w:r>
      <w:r w:rsidRPr="001B4A72">
        <w:rPr>
          <w:rFonts w:eastAsia="Palatino Linotype" w:cs="Palatino Linotype"/>
          <w:b/>
          <w:szCs w:val="22"/>
        </w:rPr>
        <w:t xml:space="preserve">documentos </w:t>
      </w:r>
      <w:r w:rsidRPr="001B4A72">
        <w:rPr>
          <w:rFonts w:eastAsia="Palatino Linotype" w:cs="Palatino Linotype"/>
          <w:szCs w:val="22"/>
        </w:rPr>
        <w:t xml:space="preserve">son los expedientes, reportes, estudios, actas, resoluciones, contratos, convenios, instructivos, notas, memorandos, estadísticas o </w:t>
      </w:r>
      <w:r w:rsidRPr="001B4A72">
        <w:rPr>
          <w:rFonts w:eastAsia="Palatino Linotype" w:cs="Palatino Linotype"/>
          <w:b/>
          <w:szCs w:val="22"/>
        </w:rPr>
        <w:t>cualquier registro que documente el ejercicio de facultades, funciones y competencia</w:t>
      </w:r>
      <w:r w:rsidRPr="001B4A72">
        <w:rPr>
          <w:rFonts w:eastAsia="Palatino Linotype" w:cs="Palatino Linotype"/>
          <w:szCs w:val="22"/>
        </w:rPr>
        <w:t> de los Sujetos Obligados, sin importar su fuente y fecha de elaboración y, por último, que los sujetos obligados deberán documentar todo acto que derive del ejercicio de sus facultades, competencias o funciones, considerando desde su origen la eventual publicidad y reutilización de la información que generan. En este orden de ideas, puede concluirse que la Ley de la manera, es una ley de acceso a documentos.</w:t>
      </w:r>
    </w:p>
    <w:p w14:paraId="6C76E3E6" w14:textId="69A28A91" w:rsidR="00F058FA" w:rsidRPr="001B4A72" w:rsidRDefault="00F058FA" w:rsidP="001B4A72">
      <w:pPr>
        <w:rPr>
          <w:rFonts w:eastAsia="Palatino Linotype" w:cs="Palatino Linotype"/>
          <w:szCs w:val="22"/>
        </w:rPr>
      </w:pPr>
      <w:r w:rsidRPr="001B4A72">
        <w:rPr>
          <w:rFonts w:eastAsia="Palatino Linotype" w:cs="Palatino Linotype"/>
          <w:szCs w:val="22"/>
        </w:rPr>
        <w:t xml:space="preserve">En razón de lo anterior, es necesario señalar que del análisis del requerimiento de información presentado ante el Ayuntamiento de Ecatepec de Morelos se logra colegir que </w:t>
      </w:r>
      <w:r w:rsidR="00800823" w:rsidRPr="001B4A72">
        <w:rPr>
          <w:rFonts w:eastAsia="Palatino Linotype" w:cs="Palatino Linotype"/>
          <w:b/>
          <w:szCs w:val="22"/>
        </w:rPr>
        <w:t>LA PARTE RECURRENTE</w:t>
      </w:r>
      <w:r w:rsidRPr="001B4A72">
        <w:rPr>
          <w:rFonts w:eastAsia="Palatino Linotype" w:cs="Palatino Linotype"/>
          <w:szCs w:val="22"/>
        </w:rPr>
        <w:t xml:space="preserve"> requiere un pronunciamiento específico, a una situación concreta y determinada, lo cual implicaría que </w:t>
      </w:r>
      <w:r w:rsidR="00800823" w:rsidRPr="001B4A72">
        <w:rPr>
          <w:rFonts w:eastAsia="Palatino Linotype" w:cs="Palatino Linotype"/>
          <w:b/>
          <w:szCs w:val="22"/>
        </w:rPr>
        <w:t>EL SUJETO OBLIGADO</w:t>
      </w:r>
      <w:r w:rsidR="00800823" w:rsidRPr="001B4A72">
        <w:rPr>
          <w:rFonts w:eastAsia="Palatino Linotype" w:cs="Palatino Linotype"/>
          <w:szCs w:val="22"/>
        </w:rPr>
        <w:t xml:space="preserve"> </w:t>
      </w:r>
      <w:r w:rsidRPr="001B4A72">
        <w:rPr>
          <w:rFonts w:eastAsia="Palatino Linotype" w:cs="Palatino Linotype"/>
          <w:szCs w:val="22"/>
        </w:rPr>
        <w:t xml:space="preserve">elaborara una investigación y diera una respuesta delimitada y </w:t>
      </w:r>
      <w:r w:rsidRPr="001B4A72">
        <w:rPr>
          <w:rFonts w:eastAsia="Palatino Linotype" w:cs="Palatino Linotype"/>
          <w:i/>
          <w:szCs w:val="22"/>
        </w:rPr>
        <w:t xml:space="preserve">ad hoc </w:t>
      </w:r>
      <w:r w:rsidRPr="001B4A72">
        <w:rPr>
          <w:rFonts w:eastAsia="Palatino Linotype" w:cs="Palatino Linotype"/>
          <w:szCs w:val="22"/>
        </w:rPr>
        <w:t>en la que exponga motivos y razones</w:t>
      </w:r>
      <w:r w:rsidRPr="001B4A72">
        <w:rPr>
          <w:rFonts w:eastAsia="Palatino Linotype" w:cs="Palatino Linotype"/>
          <w:i/>
          <w:szCs w:val="22"/>
        </w:rPr>
        <w:t>.</w:t>
      </w:r>
      <w:r w:rsidRPr="001B4A72">
        <w:rPr>
          <w:rFonts w:eastAsia="Palatino Linotype" w:cs="Palatino Linotype"/>
          <w:szCs w:val="22"/>
        </w:rPr>
        <w:t> </w:t>
      </w:r>
    </w:p>
    <w:p w14:paraId="2811DE59" w14:textId="77777777" w:rsidR="00F058FA" w:rsidRPr="001B4A72" w:rsidRDefault="00F058FA" w:rsidP="001B4A72">
      <w:pPr>
        <w:rPr>
          <w:rFonts w:eastAsia="Palatino Linotype" w:cs="Palatino Linotype"/>
          <w:szCs w:val="22"/>
        </w:rPr>
      </w:pPr>
    </w:p>
    <w:p w14:paraId="508BD678" w14:textId="77777777" w:rsidR="00F058FA" w:rsidRPr="001B4A72" w:rsidRDefault="00F058FA" w:rsidP="001B4A72">
      <w:pPr>
        <w:rPr>
          <w:rFonts w:eastAsia="Palatino Linotype" w:cs="Palatino Linotype"/>
          <w:b/>
          <w:szCs w:val="22"/>
        </w:rPr>
      </w:pPr>
      <w:r w:rsidRPr="001B4A72">
        <w:rPr>
          <w:rFonts w:eastAsia="Palatino Linotype" w:cs="Palatino Linotype"/>
          <w:szCs w:val="22"/>
        </w:rPr>
        <w:t xml:space="preserve">Sobre el tema, cabe precisar que de conformidad con los artículos 6°, apartado A, de la Constitución Política de los Estados Unidos Mexicanos, 5° de la Constitución Política del Estado Libre y Soberano de México, 4° de la Ley General de Transparencia y Acceso a la Información Pública y 4° de la Ley de Transparencia y Acceso a la Información Pública del Estado de México y Municipios, toda la información </w:t>
      </w:r>
      <w:r w:rsidRPr="001B4A72">
        <w:rPr>
          <w:rFonts w:eastAsia="Palatino Linotype" w:cs="Palatino Linotype"/>
          <w:b/>
          <w:szCs w:val="22"/>
        </w:rPr>
        <w:t xml:space="preserve">generada, obtenida, adquirida, transformada </w:t>
      </w:r>
      <w:r w:rsidRPr="001B4A72">
        <w:rPr>
          <w:rFonts w:eastAsia="Palatino Linotype" w:cs="Palatino Linotype"/>
          <w:szCs w:val="22"/>
        </w:rPr>
        <w:t xml:space="preserve">por los sujetos obligados, o en su caso, </w:t>
      </w:r>
      <w:r w:rsidRPr="001B4A72">
        <w:rPr>
          <w:rFonts w:eastAsia="Palatino Linotype" w:cs="Palatino Linotype"/>
          <w:b/>
          <w:szCs w:val="22"/>
        </w:rPr>
        <w:t xml:space="preserve">la tengan en su posesión, será pública y accesible para cualquier persona. </w:t>
      </w:r>
      <w:r w:rsidRPr="001B4A72">
        <w:rPr>
          <w:rFonts w:eastAsia="Palatino Linotype" w:cs="Palatino Linotype"/>
          <w:szCs w:val="22"/>
        </w:rPr>
        <w:t xml:space="preserve">Así, se advierte que el derecho de acceso a la información, consiste en una prerrogativa de cualquier persona, a solicitar información pública que conste </w:t>
      </w:r>
      <w:r w:rsidRPr="001B4A72">
        <w:rPr>
          <w:rFonts w:eastAsia="Palatino Linotype" w:cs="Palatino Linotype"/>
          <w:szCs w:val="22"/>
        </w:rPr>
        <w:lastRenderedPageBreak/>
        <w:t xml:space="preserve">en </w:t>
      </w:r>
      <w:r w:rsidRPr="001B4A72">
        <w:rPr>
          <w:rFonts w:eastAsia="Palatino Linotype" w:cs="Palatino Linotype"/>
          <w:b/>
          <w:szCs w:val="22"/>
        </w:rPr>
        <w:t>documentos generados, obtenidos, adquiridos, transformados o que tengan en posesión los sujetos obligados.</w:t>
      </w:r>
    </w:p>
    <w:p w14:paraId="1FAFA724" w14:textId="77777777" w:rsidR="00F058FA" w:rsidRPr="001B4A72" w:rsidRDefault="00F058FA" w:rsidP="001B4A72">
      <w:pPr>
        <w:rPr>
          <w:rFonts w:eastAsia="Palatino Linotype" w:cs="Palatino Linotype"/>
          <w:b/>
          <w:szCs w:val="22"/>
        </w:rPr>
      </w:pPr>
    </w:p>
    <w:p w14:paraId="30ABD8FC" w14:textId="77777777" w:rsidR="00F058FA" w:rsidRPr="001B4A72" w:rsidRDefault="00F058FA" w:rsidP="001B4A72">
      <w:pPr>
        <w:rPr>
          <w:rFonts w:eastAsia="Palatino Linotype" w:cs="Palatino Linotype"/>
          <w:szCs w:val="22"/>
        </w:rPr>
      </w:pPr>
      <w:r w:rsidRPr="001B4A72">
        <w:rPr>
          <w:rFonts w:eastAsia="Palatino Linotype" w:cs="Palatino Linotype"/>
          <w:szCs w:val="22"/>
        </w:rPr>
        <w:t xml:space="preserve">En ese orden de ideas, el artículo 3°, fracción VII, de la Ley General Transparencia, con relación al 3°, fracción XI, de la Ley Local de Transparencia, establecen que los documentos son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4BB00B45" w14:textId="77777777" w:rsidR="00F058FA" w:rsidRPr="001B4A72" w:rsidRDefault="00F058FA" w:rsidP="001B4A72">
      <w:pPr>
        <w:rPr>
          <w:rFonts w:eastAsia="Palatino Linotype" w:cs="Palatino Linotype"/>
          <w:b/>
          <w:szCs w:val="22"/>
        </w:rPr>
      </w:pPr>
    </w:p>
    <w:p w14:paraId="3BAD3A19" w14:textId="77777777" w:rsidR="00F058FA" w:rsidRPr="001B4A72" w:rsidRDefault="00F058FA" w:rsidP="001B4A72">
      <w:pPr>
        <w:rPr>
          <w:rFonts w:eastAsia="Palatino Linotype" w:cs="Palatino Linotype"/>
          <w:b/>
          <w:szCs w:val="22"/>
        </w:rPr>
      </w:pPr>
      <w:r w:rsidRPr="001B4A72">
        <w:rPr>
          <w:rFonts w:eastAsia="Palatino Linotype" w:cs="Palatino Linotype"/>
          <w:szCs w:val="22"/>
        </w:rPr>
        <w:t>En ese contexto, se puede afirmar que, mediante el derecho de acceso a la información pública, los solicitantes pueden acceder a toda aquella información generada por los Sujetos Obligados, es decir, la ciudadanía puede allegarse de aquellos documentos que obren en los archivos por las dependencias gubernamentales. Lo anterior, se robustece pues de conformidad con los 12, 24, último párrafo, y 160 de la Ley de Transparencia y Acceso a la Información Pública del Estado de México y Municipios, los Sujetos Obligados sólo entregarán la información que obre en sus archivos y no estarán obligados a procesarla, resumirla, efectuar cálculos o practicar investigaciones.</w:t>
      </w:r>
    </w:p>
    <w:p w14:paraId="7F9A975C" w14:textId="77777777" w:rsidR="00F058FA" w:rsidRPr="001B4A72" w:rsidRDefault="00F058FA" w:rsidP="001B4A72">
      <w:pPr>
        <w:rPr>
          <w:rFonts w:eastAsia="Palatino Linotype" w:cs="Palatino Linotype"/>
          <w:szCs w:val="22"/>
        </w:rPr>
      </w:pPr>
    </w:p>
    <w:p w14:paraId="68ADB328" w14:textId="77777777" w:rsidR="00F058FA" w:rsidRPr="001B4A72" w:rsidRDefault="00F058FA" w:rsidP="001B4A72">
      <w:pPr>
        <w:rPr>
          <w:rFonts w:eastAsia="Palatino Linotype" w:cs="Palatino Linotype"/>
          <w:szCs w:val="22"/>
        </w:rPr>
      </w:pPr>
      <w:r w:rsidRPr="001B4A72">
        <w:rPr>
          <w:rFonts w:eastAsia="Palatino Linotype" w:cs="Palatino Linotype"/>
          <w:szCs w:val="22"/>
        </w:rPr>
        <w:t xml:space="preserve">De tales circunstancias, se colige que los sujetos obligados únicamente están constreñidos a proporcionar </w:t>
      </w:r>
      <w:r w:rsidRPr="001B4A72">
        <w:rPr>
          <w:rFonts w:eastAsia="Palatino Linotype" w:cs="Palatino Linotype"/>
          <w:b/>
          <w:szCs w:val="22"/>
        </w:rPr>
        <w:t>la documentación que obre en sus archivos</w:t>
      </w:r>
      <w:r w:rsidRPr="001B4A72">
        <w:rPr>
          <w:rFonts w:eastAsia="Palatino Linotype" w:cs="Palatino Linotype"/>
          <w:szCs w:val="22"/>
        </w:rPr>
        <w:t>; por lo que, no están obligados a generar o elaborar documentos </w:t>
      </w:r>
      <w:r w:rsidRPr="001B4A72">
        <w:rPr>
          <w:rFonts w:eastAsia="Palatino Linotype" w:cs="Palatino Linotype"/>
          <w:i/>
          <w:szCs w:val="22"/>
        </w:rPr>
        <w:t>ad hoc, </w:t>
      </w:r>
      <w:r w:rsidRPr="001B4A72">
        <w:rPr>
          <w:rFonts w:eastAsia="Palatino Linotype" w:cs="Palatino Linotype"/>
          <w:szCs w:val="22"/>
        </w:rPr>
        <w:t xml:space="preserve">como es el caso de proporcionar respuesta a un cuestionamiento. Robustece lo anterior el Criterio de Interpretación, con clave de control </w:t>
      </w:r>
      <w:r w:rsidRPr="001B4A72">
        <w:rPr>
          <w:rFonts w:eastAsia="Palatino Linotype" w:cs="Palatino Linotype"/>
          <w:szCs w:val="22"/>
        </w:rPr>
        <w:lastRenderedPageBreak/>
        <w:t>SO/013/2017, de la Segunda Época, emitido por el Instituto Nacional de Transparencia, Acceso a la Información y Protección de Datos Personales, que a continuación se cita:</w:t>
      </w:r>
    </w:p>
    <w:p w14:paraId="6ABF06C8" w14:textId="77777777" w:rsidR="00F058FA" w:rsidRPr="001B4A72" w:rsidRDefault="00F058FA" w:rsidP="001B4A72">
      <w:pPr>
        <w:rPr>
          <w:rFonts w:eastAsia="Palatino Linotype" w:cs="Palatino Linotype"/>
          <w:szCs w:val="22"/>
        </w:rPr>
      </w:pPr>
    </w:p>
    <w:p w14:paraId="3D740D29" w14:textId="77777777" w:rsidR="00F058FA" w:rsidRPr="001B4A72" w:rsidRDefault="00F058FA" w:rsidP="001B4A72">
      <w:pPr>
        <w:spacing w:line="240" w:lineRule="auto"/>
        <w:ind w:left="851" w:right="822"/>
        <w:rPr>
          <w:rFonts w:eastAsia="Palatino Linotype" w:cs="Palatino Linotype"/>
          <w:i/>
        </w:rPr>
      </w:pPr>
      <w:r w:rsidRPr="001B4A72">
        <w:rPr>
          <w:rFonts w:eastAsia="Palatino Linotype" w:cs="Palatino Linotype"/>
          <w:b/>
          <w:i/>
        </w:rPr>
        <w:t xml:space="preserve">“No existe obligación de elaborar documentos ad hoc para atender las solicitudes de acceso a la información. </w:t>
      </w:r>
      <w:r w:rsidRPr="001B4A72">
        <w:rPr>
          <w:rFonts w:eastAsia="Palatino Linotype" w:cs="Palatino Linotype"/>
          <w:i/>
        </w:rPr>
        <w:t>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atenderlas solicitudes de información.”</w:t>
      </w:r>
    </w:p>
    <w:p w14:paraId="2829A3F4" w14:textId="77777777" w:rsidR="00F058FA" w:rsidRPr="001B4A72" w:rsidRDefault="00F058FA" w:rsidP="001B4A72">
      <w:pPr>
        <w:rPr>
          <w:rFonts w:eastAsia="Palatino Linotype" w:cs="Palatino Linotype"/>
          <w:szCs w:val="22"/>
        </w:rPr>
      </w:pPr>
    </w:p>
    <w:p w14:paraId="60839B1C" w14:textId="77777777" w:rsidR="00F058FA" w:rsidRPr="001B4A72" w:rsidRDefault="00F058FA" w:rsidP="001B4A72">
      <w:pPr>
        <w:rPr>
          <w:rFonts w:eastAsia="Palatino Linotype" w:cs="Palatino Linotype"/>
          <w:szCs w:val="22"/>
        </w:rPr>
      </w:pPr>
      <w:r w:rsidRPr="001B4A72">
        <w:rPr>
          <w:rFonts w:eastAsia="Palatino Linotype" w:cs="Palatino Linotype"/>
          <w:szCs w:val="22"/>
        </w:rPr>
        <w:t xml:space="preserve">Conforme a lo anterior, </w:t>
      </w:r>
      <w:r w:rsidRPr="001B4A72">
        <w:rPr>
          <w:rFonts w:eastAsia="Palatino Linotype" w:cs="Palatino Linotype"/>
          <w:b/>
          <w:szCs w:val="22"/>
        </w:rPr>
        <w:t>se advierte que la respuesta a la solicitud de información prevé una consulta</w:t>
      </w:r>
      <w:r w:rsidRPr="001B4A72">
        <w:rPr>
          <w:rFonts w:eastAsia="Palatino Linotype" w:cs="Palatino Linotype"/>
          <w:szCs w:val="22"/>
        </w:rPr>
        <w:t xml:space="preserve"> y no así una solicitud de acceso a información pública que pueda ser atendida mediante una expresión documental; pues corresponde a una pregunta que implicaría elaborar un documento </w:t>
      </w:r>
      <w:r w:rsidRPr="001B4A72">
        <w:rPr>
          <w:rFonts w:eastAsia="Palatino Linotype" w:cs="Palatino Linotype"/>
          <w:i/>
          <w:szCs w:val="22"/>
        </w:rPr>
        <w:t>ad hoc</w:t>
      </w:r>
      <w:r w:rsidRPr="001B4A72">
        <w:rPr>
          <w:rFonts w:eastAsia="Palatino Linotype" w:cs="Palatino Linotype"/>
          <w:szCs w:val="22"/>
        </w:rPr>
        <w:t xml:space="preserve">, pues el Recurrente requiere que el Sujeto Obligado realice una opinión subjetiva del porqué el Sujeto Obligado afirmó la inexistencia del actuar sobre un árbol específico. </w:t>
      </w:r>
    </w:p>
    <w:p w14:paraId="33E26859" w14:textId="77777777" w:rsidR="00F058FA" w:rsidRPr="001B4A72" w:rsidRDefault="00F058FA" w:rsidP="001B4A72">
      <w:pPr>
        <w:rPr>
          <w:rFonts w:eastAsia="Palatino Linotype" w:cs="Palatino Linotype"/>
          <w:szCs w:val="22"/>
        </w:rPr>
      </w:pPr>
    </w:p>
    <w:p w14:paraId="0FC9FCBF" w14:textId="77777777" w:rsidR="00F058FA" w:rsidRPr="001B4A72" w:rsidRDefault="00F058FA" w:rsidP="001B4A72">
      <w:pPr>
        <w:rPr>
          <w:rFonts w:eastAsia="Palatino Linotype" w:cs="Palatino Linotype"/>
          <w:szCs w:val="22"/>
        </w:rPr>
      </w:pPr>
      <w:r w:rsidRPr="001B4A72">
        <w:rPr>
          <w:rFonts w:eastAsia="Palatino Linotype" w:cs="Palatino Linotype"/>
          <w:szCs w:val="22"/>
        </w:rPr>
        <w:t>Lo anterior toma relevancia, pues según Trujillo, Humberto (2019), en el “Diccionario de Transparencia y Acceso a la Información Pública” (p. 122), el derecho de petición, es una prerrogativa constitucional que tienen las personas para solicitar o reclamar a las autoridades públicas; por lo que, las instancias deben recibirlas y realizar una respuesta. Además, la Jurisprudencia XXI.1o.P.A. J/27, de los Tribunales Colegiados de Circuito, localizada en la página 1406, del Semanario Judicial de la Federación y su Gaceta, Tomo XXXIII, marzo 2011, Novena Época, que establece lo siguiente:</w:t>
      </w:r>
    </w:p>
    <w:p w14:paraId="233C1EC1" w14:textId="77777777" w:rsidR="00F058FA" w:rsidRPr="001B4A72" w:rsidRDefault="00F058FA" w:rsidP="001B4A72">
      <w:pPr>
        <w:spacing w:line="240" w:lineRule="auto"/>
        <w:ind w:left="851" w:right="822"/>
        <w:rPr>
          <w:rFonts w:eastAsia="Palatino Linotype" w:cs="Palatino Linotype"/>
          <w:i/>
        </w:rPr>
      </w:pPr>
      <w:r w:rsidRPr="001B4A72">
        <w:rPr>
          <w:rFonts w:eastAsia="Palatino Linotype" w:cs="Palatino Linotype"/>
          <w:b/>
          <w:i/>
        </w:rPr>
        <w:lastRenderedPageBreak/>
        <w:t xml:space="preserve">“DERECHO DE PETICIÓN. SUS ELEMENTOS. </w:t>
      </w:r>
      <w:r w:rsidRPr="001B4A72">
        <w:rPr>
          <w:rFonts w:eastAsia="Palatino Linotype" w:cs="Palatino Linotype"/>
          <w:i/>
        </w:rPr>
        <w:t xml:space="preserve">El denominado "derecho de petición", acorde con los criterios de los tribunales del Poder Judicial de la Federación, es la garantía individual consagrada en el artículo 8o. de la Constitución Política de los Estados Unidos Mexicanos, en función de la cual cualquier gobernado que presente una petición ante una autoridad, tiene derecho a recibir una respuesta. Así, su ejercicio por el particular y la correlativa obligación de la autoridad de producir una respuesta, se caracterizan por los elementos siguientes: A. La petición: debe formularse de manera pacífica y respetuosa, dirigirse a una autoridad y recabarse la constancia de que fue entregada; además de que el peticionario ha de proporcionar el domicilio para recibir la respuesta. B. La respuesta: la autoridad debe emitir un acuerdo en breve término, entendiéndose por éste el que racionalmente se requiera para estudiar la petición y acordarla, que tendrá que ser congruente con la petición y la autoridad debe notificar el acuerdo recaído a la petición en forma personal al gobernado en el domicilio que señaló para tales efectos, sin que exista obligación de resolver en determinado sentido, esto es, el ejercicio del derecho de petición no constriñe a la autoridad ante quien se formuló, a que provea de conformidad lo solicitado por el </w:t>
      </w:r>
      <w:proofErr w:type="spellStart"/>
      <w:r w:rsidRPr="001B4A72">
        <w:rPr>
          <w:rFonts w:eastAsia="Palatino Linotype" w:cs="Palatino Linotype"/>
          <w:i/>
        </w:rPr>
        <w:t>promovente</w:t>
      </w:r>
      <w:proofErr w:type="spellEnd"/>
      <w:r w:rsidRPr="001B4A72">
        <w:rPr>
          <w:rFonts w:eastAsia="Palatino Linotype" w:cs="Palatino Linotype"/>
          <w:i/>
        </w:rPr>
        <w:t>, sino que está en libertad de resolver de conformidad con los ordenamientos que resulten aplicables al caso, y la respuesta o trámite que se dé a la petición debe ser comunicada precisamente por la autoridad ante quien se ejercitó el derecho, y no por otra diversa.”</w:t>
      </w:r>
    </w:p>
    <w:p w14:paraId="547490D4" w14:textId="77777777" w:rsidR="00F058FA" w:rsidRPr="001B4A72" w:rsidRDefault="00F058FA" w:rsidP="001B4A72">
      <w:pPr>
        <w:rPr>
          <w:rFonts w:eastAsia="Palatino Linotype" w:cs="Palatino Linotype"/>
          <w:szCs w:val="22"/>
        </w:rPr>
      </w:pPr>
    </w:p>
    <w:p w14:paraId="16E4F022" w14:textId="77777777" w:rsidR="00F058FA" w:rsidRPr="001B4A72" w:rsidRDefault="00F058FA" w:rsidP="001B4A72">
      <w:pPr>
        <w:rPr>
          <w:rFonts w:eastAsia="Palatino Linotype" w:cs="Palatino Linotype"/>
          <w:szCs w:val="22"/>
        </w:rPr>
      </w:pPr>
      <w:r w:rsidRPr="001B4A72">
        <w:rPr>
          <w:rFonts w:eastAsia="Palatino Linotype" w:cs="Palatino Linotype"/>
          <w:szCs w:val="22"/>
        </w:rPr>
        <w:t>De la Jurisprudencia citada, se advierte que el derecho de petición, es una prerrogativa individual consagrada en el artículo 8° de la Constitución Política de los Estados Unidos Mexicanos, con el fin de que cualquier ciudadano o persona, presente una petición de manera pacífica y respetuosa (pregunta, consulta, duda, acción, entre otros), ante una autoridad, por lo que, tiene derecho de recibir una respuesta.</w:t>
      </w:r>
    </w:p>
    <w:p w14:paraId="67DCF708" w14:textId="77777777" w:rsidR="00F058FA" w:rsidRPr="001B4A72" w:rsidRDefault="00F058FA" w:rsidP="001B4A72">
      <w:pPr>
        <w:rPr>
          <w:rFonts w:eastAsia="Palatino Linotype" w:cs="Palatino Linotype"/>
          <w:szCs w:val="22"/>
        </w:rPr>
      </w:pPr>
    </w:p>
    <w:p w14:paraId="66364857" w14:textId="2CFA94DA" w:rsidR="00F058FA" w:rsidRPr="001B4A72" w:rsidRDefault="00F058FA" w:rsidP="001B4A72">
      <w:r w:rsidRPr="001B4A72">
        <w:rPr>
          <w:rFonts w:eastAsia="Palatino Linotype" w:cs="Palatino Linotype"/>
          <w:b/>
          <w:szCs w:val="22"/>
        </w:rPr>
        <w:t xml:space="preserve">De tal circunstancia, se puede colegir que el requerimiento de información realizado por </w:t>
      </w:r>
      <w:r w:rsidR="00800823" w:rsidRPr="001B4A72">
        <w:rPr>
          <w:rFonts w:eastAsia="Palatino Linotype" w:cs="Palatino Linotype"/>
          <w:b/>
          <w:szCs w:val="22"/>
        </w:rPr>
        <w:t>LA PARTE RECURRENTE</w:t>
      </w:r>
      <w:r w:rsidRPr="001B4A72">
        <w:rPr>
          <w:rFonts w:eastAsia="Palatino Linotype" w:cs="Palatino Linotype"/>
          <w:b/>
          <w:szCs w:val="22"/>
        </w:rPr>
        <w:t xml:space="preserve">, se trata de una consulta y derecho de petición que implicaría la generación de un documento </w:t>
      </w:r>
      <w:r w:rsidRPr="001B4A72">
        <w:rPr>
          <w:rFonts w:eastAsia="Palatino Linotype" w:cs="Palatino Linotype"/>
          <w:b/>
          <w:i/>
          <w:szCs w:val="22"/>
        </w:rPr>
        <w:t>ad hoc</w:t>
      </w:r>
      <w:r w:rsidRPr="001B4A72">
        <w:rPr>
          <w:rFonts w:eastAsia="Palatino Linotype" w:cs="Palatino Linotype"/>
          <w:b/>
          <w:szCs w:val="22"/>
        </w:rPr>
        <w:t>, y, por lo tanto, no es procedente la vía del derecho de acceso a la información.</w:t>
      </w:r>
    </w:p>
    <w:p w14:paraId="556565DD" w14:textId="77777777" w:rsidR="000F0719" w:rsidRPr="001B4A72" w:rsidRDefault="000F0719" w:rsidP="001B4A72"/>
    <w:p w14:paraId="178185D8" w14:textId="17750AB6" w:rsidR="003754F3" w:rsidRPr="001B4A72" w:rsidRDefault="00800823" w:rsidP="001B4A72">
      <w:pPr>
        <w:pStyle w:val="Ttulo3"/>
      </w:pPr>
      <w:bookmarkStart w:id="26" w:name="_Toc173396336"/>
      <w:bookmarkStart w:id="27" w:name="_Toc188469848"/>
      <w:r w:rsidRPr="001B4A72">
        <w:lastRenderedPageBreak/>
        <w:t>c</w:t>
      </w:r>
      <w:r w:rsidR="003754F3" w:rsidRPr="001B4A72">
        <w:t xml:space="preserve">) </w:t>
      </w:r>
      <w:bookmarkStart w:id="28" w:name="_Toc173396339"/>
      <w:bookmarkEnd w:id="26"/>
      <w:r w:rsidR="003754F3" w:rsidRPr="001B4A72">
        <w:t>Conclusión</w:t>
      </w:r>
      <w:bookmarkEnd w:id="27"/>
      <w:bookmarkEnd w:id="28"/>
    </w:p>
    <w:p w14:paraId="6E00D2CA" w14:textId="702F2A69" w:rsidR="00EA1B35" w:rsidRPr="001B4A72" w:rsidRDefault="005A0DFC" w:rsidP="001B4A72">
      <w:pPr>
        <w:rPr>
          <w:rFonts w:cs="Arial"/>
        </w:rPr>
      </w:pPr>
      <w:r w:rsidRPr="001B4A72">
        <w:rPr>
          <w:rFonts w:eastAsia="Palatino Linotype" w:cs="Palatino Linotype"/>
          <w:szCs w:val="22"/>
        </w:rPr>
        <w:t xml:space="preserve">En consecuencia, toda vez de que la solicitud de acceso a la información se trata de una consulta, que implicaría que </w:t>
      </w:r>
      <w:r w:rsidRPr="001B4A72">
        <w:rPr>
          <w:rFonts w:eastAsia="Palatino Linotype" w:cs="Palatino Linotype"/>
          <w:b/>
          <w:szCs w:val="22"/>
        </w:rPr>
        <w:t>EL SUJETO OBLIGADO</w:t>
      </w:r>
      <w:r w:rsidRPr="001B4A72">
        <w:rPr>
          <w:rFonts w:eastAsia="Palatino Linotype" w:cs="Palatino Linotype"/>
          <w:szCs w:val="22"/>
        </w:rPr>
        <w:t xml:space="preserve"> realizará un documento que contenga determinado contenido, con un pronunciamiento específico, el Medio de Impugnación </w:t>
      </w:r>
      <w:r w:rsidRPr="001B4A72">
        <w:rPr>
          <w:rFonts w:eastAsia="Palatino Linotype" w:cs="Palatino Linotype"/>
          <w:b/>
          <w:szCs w:val="22"/>
        </w:rPr>
        <w:t xml:space="preserve">actualiza la causal de desechamiento establecida en el artículo 191, fracción VI, de la Ley de Transparencia y Acceso a la Información Pública del Estado de México y Municipios, </w:t>
      </w:r>
      <w:r w:rsidRPr="001B4A72">
        <w:rPr>
          <w:rFonts w:eastAsia="Palatino Linotype" w:cs="Palatino Linotype"/>
          <w:szCs w:val="22"/>
        </w:rPr>
        <w:t xml:space="preserve">por lo que  lo procedente es </w:t>
      </w:r>
      <w:r w:rsidRPr="001B4A72">
        <w:rPr>
          <w:rFonts w:eastAsia="Palatino Linotype" w:cs="Palatino Linotype"/>
          <w:b/>
          <w:szCs w:val="22"/>
        </w:rPr>
        <w:t xml:space="preserve">SOBRESEER </w:t>
      </w:r>
      <w:r w:rsidRPr="001B4A72">
        <w:rPr>
          <w:rFonts w:eastAsia="Palatino Linotype" w:cs="Palatino Linotype"/>
          <w:szCs w:val="22"/>
        </w:rPr>
        <w:t xml:space="preserve">el presente Recurso de Revisión, al actualizarse el supuesto previsto en el </w:t>
      </w:r>
      <w:r w:rsidRPr="001B4A72">
        <w:rPr>
          <w:rFonts w:eastAsia="Palatino Linotype" w:cs="Palatino Linotype"/>
          <w:b/>
          <w:szCs w:val="22"/>
        </w:rPr>
        <w:t>artículo 192, fracción IV</w:t>
      </w:r>
      <w:r w:rsidRPr="001B4A72">
        <w:rPr>
          <w:rFonts w:eastAsia="Palatino Linotype" w:cs="Palatino Linotype"/>
          <w:szCs w:val="22"/>
        </w:rPr>
        <w:t>, en relación con el diverso 186, fracción I, de ese ordenamiento legal.</w:t>
      </w:r>
      <w:r w:rsidR="00EA1B35" w:rsidRPr="001B4A72">
        <w:rPr>
          <w:rFonts w:cs="Arial"/>
        </w:rPr>
        <w:t>.</w:t>
      </w:r>
    </w:p>
    <w:p w14:paraId="7D88B989" w14:textId="77777777" w:rsidR="000F0719" w:rsidRPr="001B4A72" w:rsidRDefault="000F0719" w:rsidP="001B4A72">
      <w:pPr>
        <w:rPr>
          <w:rFonts w:cs="Arial"/>
        </w:rPr>
      </w:pPr>
    </w:p>
    <w:p w14:paraId="6B187DC8" w14:textId="2ECBDFF2" w:rsidR="002568F8" w:rsidRPr="001B4A72" w:rsidRDefault="002568F8" w:rsidP="001B4A72">
      <w:pPr>
        <w:spacing w:after="240"/>
        <w:ind w:right="-93"/>
        <w:rPr>
          <w:rFonts w:cs="Tahoma"/>
          <w:bCs/>
          <w:szCs w:val="22"/>
        </w:rPr>
      </w:pPr>
      <w:r w:rsidRPr="001B4A72">
        <w:rPr>
          <w:rFonts w:cs="Tahoma"/>
          <w:bCs/>
          <w:szCs w:val="22"/>
        </w:rPr>
        <w:t>Así, con fundamento en lo establecido en los artículos 5, párrafos trigésimo segundo, trigésimo tercero y trigésimo cuarto, fracciones IV y V, de la Constitución Política del Estado Libre y Soberano de México; y en los artículos 2, fracción II, 9, 29, 36, fracciones I y II, 176, 178, 179, 186 y 188 de la Ley de Transparencia y Acceso a la Información Pública del Estado de México y Municipios, este Pleno:</w:t>
      </w:r>
    </w:p>
    <w:p w14:paraId="5C396097" w14:textId="00D14479" w:rsidR="00664420" w:rsidRPr="001B4A72" w:rsidRDefault="00664420" w:rsidP="001B4A72">
      <w:pPr>
        <w:pStyle w:val="Ttulo1"/>
      </w:pPr>
      <w:bookmarkStart w:id="29" w:name="_Toc188469849"/>
      <w:r w:rsidRPr="001B4A72">
        <w:t>RESUELVE</w:t>
      </w:r>
      <w:bookmarkEnd w:id="29"/>
    </w:p>
    <w:p w14:paraId="773C7BF1" w14:textId="77777777" w:rsidR="005A0DFC" w:rsidRPr="001B4A72" w:rsidRDefault="005A0DFC" w:rsidP="001B4A72"/>
    <w:p w14:paraId="7CAD32EB" w14:textId="42271679" w:rsidR="005A0DFC" w:rsidRPr="001B4A72" w:rsidRDefault="005A0DFC" w:rsidP="001B4A72">
      <w:r w:rsidRPr="001B4A72">
        <w:rPr>
          <w:b/>
        </w:rPr>
        <w:t xml:space="preserve">PRIMERO. </w:t>
      </w:r>
      <w:r w:rsidRPr="001B4A72">
        <w:t xml:space="preserve">Se </w:t>
      </w:r>
      <w:r w:rsidRPr="001B4A72">
        <w:rPr>
          <w:b/>
        </w:rPr>
        <w:t>SOBRESEE</w:t>
      </w:r>
      <w:r w:rsidRPr="001B4A72">
        <w:t xml:space="preserve"> </w:t>
      </w:r>
      <w:r w:rsidRPr="001B4A72">
        <w:rPr>
          <w:rFonts w:eastAsia="Palatino Linotype" w:cs="Palatino Linotype"/>
          <w:szCs w:val="22"/>
        </w:rPr>
        <w:t xml:space="preserve">por improcedente, el Recurso de Revisión número </w:t>
      </w:r>
      <w:r w:rsidRPr="001B4A72">
        <w:rPr>
          <w:b/>
        </w:rPr>
        <w:t xml:space="preserve">07662/INFOEM/IP/RR/2024, </w:t>
      </w:r>
      <w:r w:rsidRPr="001B4A72">
        <w:t xml:space="preserve">en términos del artículo 192, fracción IV, con relación al 191, fracción VI, ambos de la Ley de Transparencia y Acceso a la Información Pública del Estado de México y Municipios, en términos del Considerando </w:t>
      </w:r>
      <w:r w:rsidRPr="001B4A72">
        <w:rPr>
          <w:b/>
        </w:rPr>
        <w:t>SEGUNDO</w:t>
      </w:r>
      <w:r w:rsidRPr="001B4A72">
        <w:t xml:space="preserve"> de la presente resolución.</w:t>
      </w:r>
    </w:p>
    <w:p w14:paraId="1B875E34" w14:textId="77777777" w:rsidR="005A0DFC" w:rsidRPr="001B4A72" w:rsidRDefault="005A0DFC" w:rsidP="001B4A72">
      <w:pPr>
        <w:rPr>
          <w:b/>
        </w:rPr>
      </w:pPr>
    </w:p>
    <w:p w14:paraId="3335BC0B" w14:textId="77777777" w:rsidR="005A0DFC" w:rsidRPr="001B4A72" w:rsidRDefault="005A0DFC" w:rsidP="001B4A72">
      <w:pPr>
        <w:ind w:right="-93"/>
      </w:pPr>
      <w:r w:rsidRPr="001B4A72">
        <w:rPr>
          <w:b/>
        </w:rPr>
        <w:lastRenderedPageBreak/>
        <w:t>SEGUNDO.</w:t>
      </w:r>
      <w:r w:rsidRPr="001B4A72">
        <w:t xml:space="preserve"> Notifíquese la presente resolución mediante Sistema de Acceso a la Información Mexiquense (</w:t>
      </w:r>
      <w:r w:rsidRPr="001B4A72">
        <w:rPr>
          <w:b/>
        </w:rPr>
        <w:t>SAIMEX</w:t>
      </w:r>
      <w:r w:rsidRPr="001B4A72">
        <w:t xml:space="preserve">), al Titular de la Unidad de Transparencia del </w:t>
      </w:r>
      <w:r w:rsidRPr="001B4A72">
        <w:rPr>
          <w:b/>
        </w:rPr>
        <w:t>SUJETO OBLIGADO</w:t>
      </w:r>
      <w:r w:rsidRPr="001B4A72">
        <w:t>, para su conocimiento.</w:t>
      </w:r>
    </w:p>
    <w:p w14:paraId="2F7BD2F4" w14:textId="77777777" w:rsidR="005A0DFC" w:rsidRPr="001B4A72" w:rsidRDefault="005A0DFC" w:rsidP="001B4A72">
      <w:pPr>
        <w:rPr>
          <w:b/>
        </w:rPr>
      </w:pPr>
    </w:p>
    <w:p w14:paraId="3C58B621" w14:textId="77777777" w:rsidR="005A0DFC" w:rsidRPr="001B4A72" w:rsidRDefault="005A0DFC" w:rsidP="001B4A72">
      <w:pPr>
        <w:rPr>
          <w:b/>
        </w:rPr>
      </w:pPr>
      <w:r w:rsidRPr="001B4A72">
        <w:rPr>
          <w:b/>
        </w:rPr>
        <w:t>TERCERO.</w:t>
      </w:r>
      <w:r w:rsidRPr="001B4A72">
        <w:t xml:space="preserve"> Notifíquese a </w:t>
      </w:r>
      <w:r w:rsidRPr="001B4A72">
        <w:rPr>
          <w:b/>
        </w:rPr>
        <w:t>LA PARTE RECURRENTE</w:t>
      </w:r>
      <w:r w:rsidRPr="001B4A72">
        <w:t xml:space="preserve"> la presente resolución vía Sistema de Acceso a la Información Mexiquense (SAIMEX)</w:t>
      </w:r>
      <w:r w:rsidRPr="001B4A72">
        <w:rPr>
          <w:b/>
        </w:rPr>
        <w:t>.</w:t>
      </w:r>
    </w:p>
    <w:p w14:paraId="324FE183" w14:textId="77777777" w:rsidR="005A0DFC" w:rsidRPr="001B4A72" w:rsidRDefault="005A0DFC" w:rsidP="001B4A72"/>
    <w:p w14:paraId="3D8B2A0B" w14:textId="77777777" w:rsidR="005A0DFC" w:rsidRPr="001B4A72" w:rsidRDefault="005A0DFC" w:rsidP="001B4A72">
      <w:r w:rsidRPr="001B4A72">
        <w:rPr>
          <w:b/>
        </w:rPr>
        <w:t>CUARTO</w:t>
      </w:r>
      <w:r w:rsidRPr="001B4A72">
        <w:t xml:space="preserve">. Hágase del conocimiento a </w:t>
      </w:r>
      <w:r w:rsidRPr="001B4A72">
        <w:rPr>
          <w:b/>
        </w:rPr>
        <w:t>LA PARTE RECURRENTE</w:t>
      </w:r>
      <w:r w:rsidRPr="001B4A72">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AE0B0CE" w14:textId="67F55871" w:rsidR="007846FB" w:rsidRPr="001B4A72" w:rsidRDefault="007846FB" w:rsidP="001B4A72">
      <w:pPr>
        <w:rPr>
          <w:szCs w:val="22"/>
          <w:lang w:eastAsia="es-ES_tradnl"/>
        </w:rPr>
      </w:pPr>
    </w:p>
    <w:p w14:paraId="79FB7742" w14:textId="77777777" w:rsidR="000F0719" w:rsidRPr="001B4A72" w:rsidRDefault="000F0719" w:rsidP="001B4A72">
      <w:pPr>
        <w:rPr>
          <w:rFonts w:eastAsia="Palatino Linotype" w:cs="Palatino Linotype"/>
          <w:szCs w:val="22"/>
        </w:rPr>
      </w:pPr>
      <w:r w:rsidRPr="001B4A72">
        <w:rPr>
          <w:rFonts w:eastAsia="Palatino Linotype" w:cs="Palatino Linotype"/>
          <w:szCs w:val="22"/>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SEGUNDA SESIÓN ORDINARIA, CELEBRADA EL VEINTIDÓS DE ENERO DE DOS MIL VEINTICINCO, ANTE EL SECRETARIO TÉCNICO DEL PLENO, ALEXIS TAPIA RAMÍREZ.</w:t>
      </w:r>
    </w:p>
    <w:p w14:paraId="4033B731" w14:textId="77777777" w:rsidR="00AF6A7A" w:rsidRPr="001B4A72" w:rsidRDefault="00AF6A7A" w:rsidP="001B4A72">
      <w:pPr>
        <w:rPr>
          <w:rFonts w:eastAsiaTheme="minorEastAsia"/>
          <w:sz w:val="20"/>
          <w:lang w:val="es-419"/>
        </w:rPr>
      </w:pPr>
      <w:r w:rsidRPr="001B4A72">
        <w:rPr>
          <w:rFonts w:eastAsiaTheme="minorEastAsia"/>
          <w:sz w:val="20"/>
          <w:lang w:val="es-ES_tradnl"/>
        </w:rPr>
        <w:t>SCMM/AGZ/DEMF/</w:t>
      </w:r>
      <w:r w:rsidRPr="001B4A72">
        <w:rPr>
          <w:rFonts w:eastAsiaTheme="minorEastAsia"/>
          <w:sz w:val="20"/>
          <w:lang w:val="es-419"/>
        </w:rPr>
        <w:t>CMP</w:t>
      </w:r>
    </w:p>
    <w:p w14:paraId="49D72DA3" w14:textId="77777777" w:rsidR="00664420" w:rsidRPr="001B4A72" w:rsidRDefault="00664420" w:rsidP="001B4A72">
      <w:pPr>
        <w:ind w:right="-93"/>
        <w:rPr>
          <w:rFonts w:eastAsia="Calibri" w:cs="Tahoma"/>
          <w:bCs/>
          <w:szCs w:val="22"/>
          <w:lang w:eastAsia="en-US"/>
        </w:rPr>
      </w:pPr>
    </w:p>
    <w:p w14:paraId="5EFEA0CD" w14:textId="77777777" w:rsidR="00664420" w:rsidRPr="001B4A72" w:rsidRDefault="00664420" w:rsidP="001B4A72">
      <w:pPr>
        <w:ind w:right="-93"/>
        <w:rPr>
          <w:rFonts w:eastAsia="Calibri" w:cs="Tahoma"/>
          <w:szCs w:val="22"/>
          <w:lang w:val="es-ES"/>
        </w:rPr>
      </w:pPr>
    </w:p>
    <w:p w14:paraId="696BC976" w14:textId="77777777" w:rsidR="00664420" w:rsidRPr="001B4A72" w:rsidRDefault="00664420" w:rsidP="001B4A72">
      <w:pPr>
        <w:ind w:right="-93"/>
        <w:rPr>
          <w:rFonts w:eastAsia="Calibri" w:cs="Tahoma"/>
          <w:bCs/>
          <w:szCs w:val="22"/>
          <w:lang w:val="es-ES" w:eastAsia="en-US"/>
        </w:rPr>
      </w:pPr>
    </w:p>
    <w:p w14:paraId="671CB0C5" w14:textId="77777777" w:rsidR="00664420" w:rsidRPr="001B4A72" w:rsidRDefault="00664420" w:rsidP="001B4A72">
      <w:pPr>
        <w:ind w:right="-93"/>
        <w:rPr>
          <w:rFonts w:eastAsia="Calibri" w:cs="Tahoma"/>
          <w:bCs/>
          <w:szCs w:val="22"/>
          <w:lang w:val="es-ES_tradnl" w:eastAsia="en-US"/>
        </w:rPr>
      </w:pPr>
    </w:p>
    <w:p w14:paraId="52B66DE7" w14:textId="77777777" w:rsidR="00664420" w:rsidRPr="001B4A72" w:rsidRDefault="00664420" w:rsidP="001B4A72">
      <w:pPr>
        <w:ind w:right="-93"/>
        <w:rPr>
          <w:rFonts w:eastAsia="Calibri" w:cs="Tahoma"/>
          <w:bCs/>
          <w:szCs w:val="22"/>
          <w:lang w:val="es-ES_tradnl" w:eastAsia="en-US"/>
        </w:rPr>
      </w:pPr>
    </w:p>
    <w:p w14:paraId="3BA305D1" w14:textId="77777777" w:rsidR="00664420" w:rsidRPr="001B4A72" w:rsidRDefault="00664420" w:rsidP="001B4A72">
      <w:pPr>
        <w:ind w:right="-93"/>
        <w:rPr>
          <w:rFonts w:eastAsia="Calibri" w:cs="Tahoma"/>
          <w:bCs/>
          <w:szCs w:val="22"/>
          <w:lang w:val="es-ES_tradnl" w:eastAsia="en-US"/>
        </w:rPr>
      </w:pPr>
    </w:p>
    <w:p w14:paraId="78230707" w14:textId="77777777" w:rsidR="00664420" w:rsidRPr="001B4A72" w:rsidRDefault="00664420" w:rsidP="001B4A72">
      <w:pPr>
        <w:ind w:right="-93"/>
        <w:rPr>
          <w:rFonts w:eastAsia="Calibri" w:cs="Tahoma"/>
          <w:bCs/>
          <w:szCs w:val="22"/>
          <w:lang w:val="es-ES_tradnl" w:eastAsia="en-US"/>
        </w:rPr>
      </w:pPr>
    </w:p>
    <w:p w14:paraId="72D18B28" w14:textId="77777777" w:rsidR="00664420" w:rsidRPr="001B4A72" w:rsidRDefault="00664420" w:rsidP="001B4A72">
      <w:pPr>
        <w:ind w:right="-93"/>
        <w:rPr>
          <w:rFonts w:eastAsia="Calibri" w:cs="Tahoma"/>
          <w:bCs/>
          <w:szCs w:val="22"/>
          <w:lang w:val="es-ES_tradnl" w:eastAsia="en-US"/>
        </w:rPr>
      </w:pPr>
    </w:p>
    <w:p w14:paraId="6BD461DC" w14:textId="77777777" w:rsidR="00664420" w:rsidRPr="001B4A72" w:rsidRDefault="00664420" w:rsidP="001B4A72">
      <w:pPr>
        <w:tabs>
          <w:tab w:val="center" w:pos="4568"/>
        </w:tabs>
        <w:ind w:right="-93"/>
        <w:rPr>
          <w:rFonts w:eastAsia="Calibri" w:cs="Tahoma"/>
          <w:bCs/>
          <w:szCs w:val="22"/>
          <w:lang w:eastAsia="en-US"/>
        </w:rPr>
      </w:pPr>
    </w:p>
    <w:p w14:paraId="4DBB1727" w14:textId="77777777" w:rsidR="00664420" w:rsidRPr="001B4A72" w:rsidRDefault="00664420" w:rsidP="001B4A72">
      <w:pPr>
        <w:tabs>
          <w:tab w:val="center" w:pos="4568"/>
        </w:tabs>
        <w:ind w:right="-93"/>
        <w:rPr>
          <w:rFonts w:eastAsia="Calibri" w:cs="Tahoma"/>
          <w:bCs/>
          <w:szCs w:val="22"/>
          <w:lang w:eastAsia="en-US"/>
        </w:rPr>
      </w:pPr>
    </w:p>
    <w:p w14:paraId="1D74121B" w14:textId="77777777" w:rsidR="00664420" w:rsidRPr="001B4A72" w:rsidRDefault="00664420" w:rsidP="001B4A72">
      <w:pPr>
        <w:tabs>
          <w:tab w:val="center" w:pos="4568"/>
        </w:tabs>
        <w:ind w:right="-93"/>
        <w:rPr>
          <w:rFonts w:eastAsia="Calibri" w:cs="Tahoma"/>
          <w:bCs/>
          <w:szCs w:val="22"/>
          <w:lang w:eastAsia="en-US"/>
        </w:rPr>
      </w:pPr>
    </w:p>
    <w:p w14:paraId="08E74E9C" w14:textId="77777777" w:rsidR="00664420" w:rsidRPr="001B4A72" w:rsidRDefault="00664420" w:rsidP="001B4A72">
      <w:pPr>
        <w:tabs>
          <w:tab w:val="center" w:pos="4568"/>
        </w:tabs>
        <w:ind w:right="-93"/>
        <w:rPr>
          <w:rFonts w:eastAsia="Calibri" w:cs="Tahoma"/>
          <w:bCs/>
          <w:szCs w:val="22"/>
          <w:lang w:eastAsia="en-US"/>
        </w:rPr>
      </w:pPr>
    </w:p>
    <w:p w14:paraId="2CBF5E03" w14:textId="77777777" w:rsidR="00664420" w:rsidRPr="001B4A72" w:rsidRDefault="00664420" w:rsidP="001B4A72">
      <w:pPr>
        <w:tabs>
          <w:tab w:val="center" w:pos="4568"/>
        </w:tabs>
        <w:ind w:right="-93"/>
        <w:rPr>
          <w:rFonts w:eastAsia="Calibri" w:cs="Tahoma"/>
          <w:bCs/>
          <w:szCs w:val="22"/>
          <w:lang w:eastAsia="en-US"/>
        </w:rPr>
      </w:pPr>
    </w:p>
    <w:p w14:paraId="44865A6D" w14:textId="77777777" w:rsidR="00664420" w:rsidRPr="001B4A72" w:rsidRDefault="00664420" w:rsidP="001B4A72">
      <w:pPr>
        <w:tabs>
          <w:tab w:val="center" w:pos="4568"/>
        </w:tabs>
        <w:ind w:right="-93"/>
        <w:rPr>
          <w:rFonts w:eastAsia="Calibri" w:cs="Tahoma"/>
          <w:bCs/>
          <w:szCs w:val="22"/>
          <w:lang w:eastAsia="en-US"/>
        </w:rPr>
      </w:pPr>
    </w:p>
    <w:p w14:paraId="7147F06B" w14:textId="77777777" w:rsidR="00664420" w:rsidRPr="001B4A72" w:rsidRDefault="00664420" w:rsidP="001B4A72">
      <w:pPr>
        <w:tabs>
          <w:tab w:val="center" w:pos="4568"/>
        </w:tabs>
        <w:ind w:right="-93"/>
        <w:rPr>
          <w:rFonts w:eastAsia="Calibri" w:cs="Tahoma"/>
          <w:bCs/>
          <w:szCs w:val="22"/>
          <w:lang w:eastAsia="en-US"/>
        </w:rPr>
      </w:pPr>
    </w:p>
    <w:p w14:paraId="6FDF3D7E" w14:textId="77777777" w:rsidR="00664420" w:rsidRPr="001B4A72" w:rsidRDefault="00664420" w:rsidP="001B4A72">
      <w:pPr>
        <w:tabs>
          <w:tab w:val="center" w:pos="4568"/>
        </w:tabs>
        <w:ind w:right="-93"/>
        <w:rPr>
          <w:rFonts w:eastAsia="Calibri" w:cs="Tahoma"/>
          <w:bCs/>
          <w:szCs w:val="22"/>
          <w:lang w:eastAsia="en-US"/>
        </w:rPr>
      </w:pPr>
    </w:p>
    <w:p w14:paraId="6246F818" w14:textId="77777777" w:rsidR="00664420" w:rsidRPr="001B4A72" w:rsidRDefault="00664420" w:rsidP="001B4A72">
      <w:pPr>
        <w:tabs>
          <w:tab w:val="center" w:pos="4568"/>
        </w:tabs>
        <w:ind w:right="-93"/>
        <w:rPr>
          <w:rFonts w:eastAsia="Calibri" w:cs="Tahoma"/>
          <w:bCs/>
          <w:szCs w:val="22"/>
          <w:lang w:eastAsia="en-US"/>
        </w:rPr>
      </w:pPr>
    </w:p>
    <w:p w14:paraId="57A88B28" w14:textId="77777777" w:rsidR="00664420" w:rsidRPr="001B4A72" w:rsidRDefault="00664420" w:rsidP="001B4A72">
      <w:pPr>
        <w:tabs>
          <w:tab w:val="center" w:pos="4568"/>
        </w:tabs>
        <w:ind w:right="-93"/>
        <w:rPr>
          <w:rFonts w:eastAsia="Calibri" w:cs="Tahoma"/>
          <w:bCs/>
          <w:szCs w:val="22"/>
          <w:lang w:eastAsia="en-US"/>
        </w:rPr>
      </w:pPr>
    </w:p>
    <w:p w14:paraId="77EF6095" w14:textId="77777777" w:rsidR="00664420" w:rsidRPr="001B4A72" w:rsidRDefault="00664420" w:rsidP="001B4A72">
      <w:pPr>
        <w:tabs>
          <w:tab w:val="center" w:pos="4568"/>
        </w:tabs>
        <w:ind w:right="-93"/>
        <w:rPr>
          <w:rFonts w:eastAsia="Calibri" w:cs="Tahoma"/>
          <w:bCs/>
          <w:szCs w:val="22"/>
          <w:lang w:eastAsia="en-US"/>
        </w:rPr>
      </w:pPr>
    </w:p>
    <w:p w14:paraId="35593947" w14:textId="77777777" w:rsidR="00664420" w:rsidRPr="001B4A72" w:rsidRDefault="00664420" w:rsidP="001B4A72">
      <w:pPr>
        <w:tabs>
          <w:tab w:val="center" w:pos="4568"/>
        </w:tabs>
        <w:ind w:right="-93"/>
        <w:rPr>
          <w:rFonts w:eastAsia="Calibri" w:cs="Tahoma"/>
          <w:bCs/>
          <w:szCs w:val="22"/>
          <w:lang w:eastAsia="en-US"/>
        </w:rPr>
      </w:pPr>
    </w:p>
    <w:p w14:paraId="3AF72A17" w14:textId="77777777" w:rsidR="00664420" w:rsidRPr="001B4A72" w:rsidRDefault="00664420" w:rsidP="001B4A72">
      <w:pPr>
        <w:tabs>
          <w:tab w:val="center" w:pos="4568"/>
        </w:tabs>
        <w:ind w:right="-93"/>
        <w:rPr>
          <w:rFonts w:eastAsia="Calibri" w:cs="Tahoma"/>
          <w:bCs/>
          <w:szCs w:val="22"/>
          <w:lang w:eastAsia="en-US"/>
        </w:rPr>
      </w:pPr>
    </w:p>
    <w:p w14:paraId="37169144" w14:textId="77777777" w:rsidR="00664420" w:rsidRPr="001B4A72" w:rsidRDefault="00664420" w:rsidP="001B4A72">
      <w:pPr>
        <w:tabs>
          <w:tab w:val="center" w:pos="4568"/>
        </w:tabs>
        <w:ind w:right="-93"/>
        <w:rPr>
          <w:rFonts w:eastAsia="Calibri" w:cs="Tahoma"/>
          <w:bCs/>
          <w:szCs w:val="22"/>
          <w:lang w:eastAsia="en-US"/>
        </w:rPr>
      </w:pPr>
    </w:p>
    <w:p w14:paraId="77CFC088" w14:textId="77777777" w:rsidR="00664420" w:rsidRPr="001B4A72" w:rsidRDefault="00664420" w:rsidP="001B4A72">
      <w:pPr>
        <w:tabs>
          <w:tab w:val="center" w:pos="4568"/>
        </w:tabs>
        <w:ind w:right="-93"/>
        <w:rPr>
          <w:rFonts w:eastAsia="Calibri" w:cs="Tahoma"/>
          <w:bCs/>
          <w:szCs w:val="22"/>
          <w:lang w:eastAsia="en-US"/>
        </w:rPr>
      </w:pPr>
    </w:p>
    <w:p w14:paraId="781A11A5" w14:textId="77777777" w:rsidR="00664420" w:rsidRPr="001B4A72" w:rsidRDefault="00664420" w:rsidP="001B4A72">
      <w:pPr>
        <w:tabs>
          <w:tab w:val="center" w:pos="4568"/>
        </w:tabs>
        <w:ind w:right="-93"/>
        <w:rPr>
          <w:rFonts w:eastAsia="Calibri" w:cs="Tahoma"/>
          <w:bCs/>
          <w:szCs w:val="22"/>
          <w:lang w:eastAsia="en-US"/>
        </w:rPr>
      </w:pPr>
    </w:p>
    <w:p w14:paraId="5B4ADFF3" w14:textId="77777777" w:rsidR="00A131AC" w:rsidRPr="001B4A72" w:rsidRDefault="00A131AC" w:rsidP="001B4A72"/>
    <w:sectPr w:rsidR="00A131AC" w:rsidRPr="001B4A72" w:rsidSect="008B09E4">
      <w:footerReference w:type="default" r:id="rId14"/>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A94B4" w14:textId="77777777" w:rsidR="000325E6" w:rsidRDefault="000325E6" w:rsidP="00664420">
      <w:pPr>
        <w:spacing w:line="240" w:lineRule="auto"/>
      </w:pPr>
      <w:r>
        <w:separator/>
      </w:r>
    </w:p>
  </w:endnote>
  <w:endnote w:type="continuationSeparator" w:id="0">
    <w:p w14:paraId="66EB1839" w14:textId="77777777" w:rsidR="000325E6" w:rsidRDefault="000325E6"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Aptos">
    <w:altName w:val="Calibri"/>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1707D" w:rsidRDefault="0011707D">
    <w:pPr>
      <w:tabs>
        <w:tab w:val="center" w:pos="4550"/>
        <w:tab w:val="left" w:pos="5818"/>
      </w:tabs>
      <w:ind w:right="260"/>
      <w:jc w:val="right"/>
      <w:rPr>
        <w:color w:val="071320" w:themeColor="text2" w:themeShade="80"/>
        <w:sz w:val="24"/>
        <w:szCs w:val="24"/>
      </w:rPr>
    </w:pPr>
  </w:p>
  <w:p w14:paraId="1BCA7F23" w14:textId="77777777" w:rsidR="0011707D" w:rsidRDefault="0011707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65581C44" w:rsidR="0011707D" w:rsidRDefault="0011707D">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lang w:val="es-ES"/>
      </w:rPr>
      <w:t>Página</w:t>
    </w:r>
    <w:r>
      <w:rPr>
        <w:color w:val="2C7FCE" w:themeColor="text2" w:themeTint="99"/>
        <w:sz w:val="24"/>
        <w:szCs w:val="24"/>
        <w:lang w:val="es-ES"/>
      </w:rPr>
      <w:t xml:space="preserve"> </w:t>
    </w:r>
    <w:r>
      <w:rPr>
        <w:color w:val="0A1D30" w:themeColor="text2" w:themeShade="BF"/>
        <w:sz w:val="24"/>
        <w:szCs w:val="24"/>
      </w:rPr>
      <w:fldChar w:fldCharType="begin"/>
    </w:r>
    <w:r>
      <w:rPr>
        <w:color w:val="0A1D30" w:themeColor="text2" w:themeShade="BF"/>
        <w:sz w:val="24"/>
        <w:szCs w:val="24"/>
      </w:rPr>
      <w:instrText>PAGE   \* MERGEFORMAT</w:instrText>
    </w:r>
    <w:r>
      <w:rPr>
        <w:color w:val="0A1D30" w:themeColor="text2" w:themeShade="BF"/>
        <w:sz w:val="24"/>
        <w:szCs w:val="24"/>
      </w:rPr>
      <w:fldChar w:fldCharType="separate"/>
    </w:r>
    <w:r w:rsidR="00276A24" w:rsidRPr="00276A24">
      <w:rPr>
        <w:noProof/>
        <w:color w:val="0A1D30" w:themeColor="text2" w:themeShade="BF"/>
        <w:sz w:val="24"/>
        <w:szCs w:val="24"/>
        <w:lang w:val="es-ES"/>
      </w:rPr>
      <w:t>6</w:t>
    </w:r>
    <w:r>
      <w:rPr>
        <w:color w:val="0A1D30" w:themeColor="text2" w:themeShade="BF"/>
        <w:sz w:val="24"/>
        <w:szCs w:val="24"/>
      </w:rPr>
      <w:fldChar w:fldCharType="end"/>
    </w:r>
    <w:r>
      <w:rPr>
        <w:color w:val="0A1D30" w:themeColor="text2" w:themeShade="BF"/>
        <w:sz w:val="24"/>
        <w:szCs w:val="24"/>
        <w:lang w:val="es-ES"/>
      </w:rPr>
      <w:t xml:space="preserve"> | </w:t>
    </w:r>
    <w:r>
      <w:rPr>
        <w:color w:val="0A1D30" w:themeColor="text2" w:themeShade="BF"/>
        <w:sz w:val="24"/>
        <w:szCs w:val="24"/>
      </w:rPr>
      <w:fldChar w:fldCharType="begin"/>
    </w:r>
    <w:r>
      <w:rPr>
        <w:color w:val="0A1D30" w:themeColor="text2" w:themeShade="BF"/>
        <w:sz w:val="24"/>
        <w:szCs w:val="24"/>
      </w:rPr>
      <w:instrText>NUMPAGES  \* Arabic  \* MERGEFORMAT</w:instrText>
    </w:r>
    <w:r>
      <w:rPr>
        <w:color w:val="0A1D30" w:themeColor="text2" w:themeShade="BF"/>
        <w:sz w:val="24"/>
        <w:szCs w:val="24"/>
      </w:rPr>
      <w:fldChar w:fldCharType="separate"/>
    </w:r>
    <w:r w:rsidR="00276A24" w:rsidRPr="00276A24">
      <w:rPr>
        <w:noProof/>
        <w:color w:val="0A1D30" w:themeColor="text2" w:themeShade="BF"/>
        <w:sz w:val="24"/>
        <w:szCs w:val="24"/>
        <w:lang w:val="es-ES"/>
      </w:rPr>
      <w:t>19</w:t>
    </w:r>
    <w:r>
      <w:rPr>
        <w:color w:val="0A1D30" w:themeColor="text2" w:themeShade="BF"/>
        <w:sz w:val="24"/>
        <w:szCs w:val="24"/>
      </w:rPr>
      <w:fldChar w:fldCharType="end"/>
    </w:r>
  </w:p>
  <w:p w14:paraId="310E15C0" w14:textId="77777777" w:rsidR="0011707D" w:rsidRDefault="001170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02CBD" w14:textId="77777777" w:rsidR="000325E6" w:rsidRDefault="000325E6" w:rsidP="00664420">
      <w:pPr>
        <w:spacing w:line="240" w:lineRule="auto"/>
      </w:pPr>
      <w:r>
        <w:separator/>
      </w:r>
    </w:p>
  </w:footnote>
  <w:footnote w:type="continuationSeparator" w:id="0">
    <w:p w14:paraId="7CAE27B9" w14:textId="77777777" w:rsidR="000325E6" w:rsidRDefault="000325E6"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1707D" w:rsidRPr="00330DA7" w14:paraId="070A4B18" w14:textId="77777777" w:rsidTr="003F35FD">
      <w:trPr>
        <w:trHeight w:val="144"/>
        <w:jc w:val="right"/>
      </w:trPr>
      <w:tc>
        <w:tcPr>
          <w:tcW w:w="2727" w:type="dxa"/>
        </w:tcPr>
        <w:p w14:paraId="62B7493A" w14:textId="77777777" w:rsidR="0011707D" w:rsidRPr="00330DA7" w:rsidRDefault="0011707D"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60B9CE8D" w:rsidR="0011707D" w:rsidRPr="00A90C72" w:rsidRDefault="0011707D" w:rsidP="003F35FD">
          <w:pPr>
            <w:tabs>
              <w:tab w:val="right" w:pos="8838"/>
            </w:tabs>
            <w:ind w:left="-74" w:right="-105"/>
            <w:rPr>
              <w:rFonts w:eastAsia="Calibri" w:cs="Tahoma"/>
              <w:szCs w:val="22"/>
              <w:lang w:eastAsia="en-US"/>
            </w:rPr>
          </w:pPr>
          <w:r w:rsidRPr="006D008D">
            <w:rPr>
              <w:rFonts w:eastAsia="Calibri" w:cs="Tahoma"/>
              <w:szCs w:val="22"/>
              <w:lang w:eastAsia="en-US"/>
            </w:rPr>
            <w:t>07662/INFOEM/IP/RR/2024</w:t>
          </w:r>
        </w:p>
      </w:tc>
    </w:tr>
    <w:tr w:rsidR="0011707D" w:rsidRPr="00330DA7" w14:paraId="4521E058" w14:textId="77777777" w:rsidTr="003F35FD">
      <w:trPr>
        <w:trHeight w:val="283"/>
        <w:jc w:val="right"/>
      </w:trPr>
      <w:tc>
        <w:tcPr>
          <w:tcW w:w="2727" w:type="dxa"/>
        </w:tcPr>
        <w:p w14:paraId="0B68C086" w14:textId="77777777" w:rsidR="0011707D" w:rsidRPr="00330DA7" w:rsidRDefault="0011707D"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6A3B0393" w:rsidR="0011707D" w:rsidRPr="00952DD0" w:rsidRDefault="0011707D" w:rsidP="003F35FD">
          <w:pPr>
            <w:tabs>
              <w:tab w:val="left" w:pos="2834"/>
              <w:tab w:val="right" w:pos="8838"/>
            </w:tabs>
            <w:ind w:left="-108" w:right="-105"/>
            <w:rPr>
              <w:rFonts w:eastAsia="Calibri" w:cs="Tahoma"/>
              <w:szCs w:val="22"/>
              <w:lang w:eastAsia="en-US"/>
            </w:rPr>
          </w:pPr>
          <w:r w:rsidRPr="006D008D">
            <w:rPr>
              <w:rFonts w:eastAsia="Calibri" w:cs="Tahoma"/>
              <w:szCs w:val="22"/>
              <w:lang w:eastAsia="en-US"/>
            </w:rPr>
            <w:t>Ayuntamiento de Ecatepec de Morelos</w:t>
          </w:r>
        </w:p>
      </w:tc>
    </w:tr>
    <w:tr w:rsidR="0011707D" w:rsidRPr="00330DA7" w14:paraId="6331D9B6" w14:textId="77777777" w:rsidTr="003F35FD">
      <w:trPr>
        <w:trHeight w:val="283"/>
        <w:jc w:val="right"/>
      </w:trPr>
      <w:tc>
        <w:tcPr>
          <w:tcW w:w="2727" w:type="dxa"/>
        </w:tcPr>
        <w:p w14:paraId="3FA86BAE" w14:textId="6897C6C7" w:rsidR="0011707D" w:rsidRPr="00330DA7" w:rsidRDefault="0011707D" w:rsidP="00E834F8">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1707D" w:rsidRPr="00EA66FC" w:rsidRDefault="0011707D"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1707D" w:rsidRPr="00443C6B" w:rsidRDefault="0011707D"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215964445" name="Imagen 21596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1707D" w:rsidRPr="00330DA7" w14:paraId="29CFF901" w14:textId="77777777" w:rsidTr="0087127C">
      <w:trPr>
        <w:trHeight w:val="1435"/>
      </w:trPr>
      <w:tc>
        <w:tcPr>
          <w:tcW w:w="283" w:type="dxa"/>
          <w:shd w:val="clear" w:color="auto" w:fill="auto"/>
        </w:tcPr>
        <w:p w14:paraId="046B9F8F" w14:textId="77777777" w:rsidR="0011707D" w:rsidRPr="00330DA7" w:rsidRDefault="0011707D" w:rsidP="0087127C">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gridCol w:w="3402"/>
          </w:tblGrid>
          <w:tr w:rsidR="0011707D" w:rsidRPr="004F2416" w14:paraId="04F272D2" w14:textId="77777777" w:rsidTr="0087127C">
            <w:trPr>
              <w:trHeight w:val="144"/>
            </w:trPr>
            <w:tc>
              <w:tcPr>
                <w:tcW w:w="2727" w:type="dxa"/>
              </w:tcPr>
              <w:p w14:paraId="2FD4DBF6" w14:textId="77777777" w:rsidR="0011707D" w:rsidRPr="004F2416" w:rsidRDefault="0011707D" w:rsidP="0087127C">
                <w:pPr>
                  <w:tabs>
                    <w:tab w:val="right" w:pos="8838"/>
                  </w:tabs>
                  <w:ind w:left="-74" w:right="-105"/>
                  <w:rPr>
                    <w:rFonts w:eastAsia="Calibri" w:cs="Tahoma"/>
                    <w:b/>
                    <w:szCs w:val="22"/>
                    <w:lang w:eastAsia="en-US"/>
                  </w:rPr>
                </w:pPr>
                <w:bookmarkStart w:id="0" w:name="_Hlk12526980"/>
                <w:r w:rsidRPr="004F2416">
                  <w:rPr>
                    <w:rFonts w:eastAsia="Calibri" w:cs="Tahoma"/>
                    <w:b/>
                    <w:szCs w:val="22"/>
                    <w:lang w:eastAsia="en-US"/>
                  </w:rPr>
                  <w:t>Recurso de Revisión:</w:t>
                </w:r>
              </w:p>
            </w:tc>
            <w:tc>
              <w:tcPr>
                <w:tcW w:w="3402" w:type="dxa"/>
              </w:tcPr>
              <w:p w14:paraId="140729E3" w14:textId="1FE8D94E" w:rsidR="0011707D" w:rsidRPr="004F2416" w:rsidRDefault="0011707D" w:rsidP="0087127C">
                <w:pPr>
                  <w:tabs>
                    <w:tab w:val="right" w:pos="8838"/>
                  </w:tabs>
                  <w:ind w:left="-74" w:right="-105"/>
                  <w:rPr>
                    <w:rFonts w:eastAsia="Calibri" w:cs="Tahoma"/>
                    <w:szCs w:val="22"/>
                    <w:lang w:eastAsia="en-US"/>
                  </w:rPr>
                </w:pPr>
                <w:r w:rsidRPr="006D008D">
                  <w:rPr>
                    <w:rFonts w:eastAsia="Calibri" w:cs="Tahoma"/>
                    <w:szCs w:val="22"/>
                    <w:lang w:eastAsia="en-US"/>
                  </w:rPr>
                  <w:t>07662/INFOEM/IP/RR/2024</w:t>
                </w:r>
              </w:p>
            </w:tc>
            <w:tc>
              <w:tcPr>
                <w:tcW w:w="3402" w:type="dxa"/>
              </w:tcPr>
              <w:p w14:paraId="71DEA1CF" w14:textId="77777777" w:rsidR="0011707D" w:rsidRPr="004F2416" w:rsidRDefault="0011707D" w:rsidP="0087127C">
                <w:pPr>
                  <w:tabs>
                    <w:tab w:val="right" w:pos="8838"/>
                  </w:tabs>
                  <w:ind w:left="-74" w:right="-105"/>
                  <w:rPr>
                    <w:rFonts w:eastAsia="Calibri" w:cs="Tahoma"/>
                    <w:szCs w:val="22"/>
                    <w:lang w:eastAsia="en-US"/>
                  </w:rPr>
                </w:pPr>
              </w:p>
            </w:tc>
          </w:tr>
          <w:tr w:rsidR="0011707D" w:rsidRPr="004F2416" w14:paraId="05C58951" w14:textId="77777777" w:rsidTr="0087127C">
            <w:trPr>
              <w:trHeight w:val="144"/>
            </w:trPr>
            <w:tc>
              <w:tcPr>
                <w:tcW w:w="2727" w:type="dxa"/>
              </w:tcPr>
              <w:p w14:paraId="642B9610" w14:textId="77777777" w:rsidR="0011707D" w:rsidRPr="004F2416" w:rsidRDefault="0011707D" w:rsidP="0087127C">
                <w:pPr>
                  <w:tabs>
                    <w:tab w:val="right" w:pos="8838"/>
                  </w:tabs>
                  <w:ind w:left="-74" w:right="-105"/>
                  <w:rPr>
                    <w:rFonts w:eastAsia="Calibri" w:cs="Tahoma"/>
                    <w:b/>
                    <w:szCs w:val="22"/>
                    <w:lang w:eastAsia="en-US"/>
                  </w:rPr>
                </w:pPr>
                <w:bookmarkStart w:id="1" w:name="_Hlk10641523"/>
                <w:bookmarkEnd w:id="0"/>
                <w:r w:rsidRPr="004F2416">
                  <w:rPr>
                    <w:rFonts w:eastAsia="Calibri" w:cs="Tahoma"/>
                    <w:b/>
                    <w:szCs w:val="22"/>
                    <w:lang w:eastAsia="en-US"/>
                  </w:rPr>
                  <w:t>Recurrente:</w:t>
                </w:r>
              </w:p>
            </w:tc>
            <w:tc>
              <w:tcPr>
                <w:tcW w:w="3402" w:type="dxa"/>
              </w:tcPr>
              <w:p w14:paraId="7728D15B" w14:textId="4CDC8092" w:rsidR="0011707D" w:rsidRPr="004F2416" w:rsidRDefault="00276A24" w:rsidP="0087127C">
                <w:pPr>
                  <w:tabs>
                    <w:tab w:val="left" w:pos="3122"/>
                    <w:tab w:val="right" w:pos="8838"/>
                  </w:tabs>
                  <w:ind w:left="-105" w:right="-105"/>
                  <w:rPr>
                    <w:rFonts w:eastAsia="Calibri" w:cs="Tahoma"/>
                    <w:szCs w:val="22"/>
                    <w:lang w:eastAsia="en-US"/>
                  </w:rPr>
                </w:pPr>
                <w:r>
                  <w:rPr>
                    <w:rFonts w:eastAsia="Calibri" w:cs="Tahoma"/>
                    <w:szCs w:val="22"/>
                    <w:lang w:eastAsia="en-US"/>
                  </w:rPr>
                  <w:t xml:space="preserve">XXXXX XXX XXXXXXX XXXXXX </w:t>
                </w:r>
                <w:proofErr w:type="spellStart"/>
                <w:r>
                  <w:rPr>
                    <w:rFonts w:eastAsia="Calibri" w:cs="Tahoma"/>
                    <w:szCs w:val="22"/>
                    <w:lang w:eastAsia="en-US"/>
                  </w:rPr>
                  <w:t>XXXXXX</w:t>
                </w:r>
                <w:proofErr w:type="spellEnd"/>
              </w:p>
            </w:tc>
            <w:tc>
              <w:tcPr>
                <w:tcW w:w="3402" w:type="dxa"/>
              </w:tcPr>
              <w:p w14:paraId="73F47F53" w14:textId="77777777" w:rsidR="0011707D" w:rsidRPr="004F2416" w:rsidRDefault="0011707D" w:rsidP="0087127C">
                <w:pPr>
                  <w:tabs>
                    <w:tab w:val="left" w:pos="3122"/>
                    <w:tab w:val="right" w:pos="8838"/>
                  </w:tabs>
                  <w:ind w:left="-105" w:right="-105"/>
                  <w:rPr>
                    <w:rFonts w:eastAsia="Calibri" w:cs="Tahoma"/>
                    <w:szCs w:val="22"/>
                    <w:lang w:eastAsia="en-US"/>
                  </w:rPr>
                </w:pPr>
              </w:p>
            </w:tc>
          </w:tr>
          <w:bookmarkEnd w:id="1"/>
          <w:tr w:rsidR="0011707D" w:rsidRPr="004F2416" w14:paraId="00E6CDC1" w14:textId="77777777" w:rsidTr="0087127C">
            <w:trPr>
              <w:trHeight w:val="283"/>
            </w:trPr>
            <w:tc>
              <w:tcPr>
                <w:tcW w:w="2727" w:type="dxa"/>
              </w:tcPr>
              <w:p w14:paraId="0631AD24" w14:textId="77777777" w:rsidR="0011707D" w:rsidRPr="004F2416" w:rsidRDefault="0011707D" w:rsidP="0087127C">
                <w:pPr>
                  <w:tabs>
                    <w:tab w:val="right" w:pos="8838"/>
                  </w:tabs>
                  <w:ind w:left="-74" w:right="-105"/>
                  <w:rPr>
                    <w:rFonts w:eastAsia="Calibri" w:cs="Tahoma"/>
                    <w:b/>
                    <w:szCs w:val="22"/>
                    <w:lang w:eastAsia="en-US"/>
                  </w:rPr>
                </w:pPr>
                <w:r w:rsidRPr="004F2416">
                  <w:rPr>
                    <w:rFonts w:eastAsia="Calibri" w:cs="Tahoma"/>
                    <w:b/>
                    <w:szCs w:val="22"/>
                    <w:lang w:eastAsia="en-US"/>
                  </w:rPr>
                  <w:t>Sujeto Obligado:</w:t>
                </w:r>
              </w:p>
            </w:tc>
            <w:tc>
              <w:tcPr>
                <w:tcW w:w="3402" w:type="dxa"/>
              </w:tcPr>
              <w:p w14:paraId="3ACBE0D8" w14:textId="5B76DACB" w:rsidR="0011707D" w:rsidRPr="004F2416" w:rsidRDefault="0011707D" w:rsidP="0087127C">
                <w:pPr>
                  <w:tabs>
                    <w:tab w:val="left" w:pos="2834"/>
                    <w:tab w:val="right" w:pos="8838"/>
                  </w:tabs>
                  <w:ind w:left="-108" w:right="-105"/>
                  <w:rPr>
                    <w:rFonts w:eastAsia="Calibri" w:cs="Tahoma"/>
                    <w:szCs w:val="22"/>
                    <w:lang w:eastAsia="en-US"/>
                  </w:rPr>
                </w:pPr>
                <w:r w:rsidRPr="006D008D">
                  <w:rPr>
                    <w:rFonts w:eastAsia="Calibri" w:cs="Tahoma"/>
                    <w:szCs w:val="22"/>
                    <w:lang w:eastAsia="en-US"/>
                  </w:rPr>
                  <w:t>Ayuntamiento de Ecatepec de Morelos</w:t>
                </w:r>
              </w:p>
            </w:tc>
            <w:tc>
              <w:tcPr>
                <w:tcW w:w="3402" w:type="dxa"/>
              </w:tcPr>
              <w:p w14:paraId="3A7DA319" w14:textId="77777777" w:rsidR="0011707D" w:rsidRPr="004F2416" w:rsidRDefault="0011707D" w:rsidP="0087127C">
                <w:pPr>
                  <w:tabs>
                    <w:tab w:val="left" w:pos="2834"/>
                    <w:tab w:val="right" w:pos="8838"/>
                  </w:tabs>
                  <w:ind w:left="-108" w:right="-105"/>
                  <w:rPr>
                    <w:rFonts w:eastAsia="Calibri" w:cs="Tahoma"/>
                    <w:szCs w:val="22"/>
                    <w:lang w:eastAsia="en-US"/>
                  </w:rPr>
                </w:pPr>
              </w:p>
            </w:tc>
          </w:tr>
          <w:tr w:rsidR="0011707D" w:rsidRPr="00330DA7" w14:paraId="0F6CD8D2" w14:textId="77777777" w:rsidTr="0087127C">
            <w:trPr>
              <w:trHeight w:val="283"/>
            </w:trPr>
            <w:tc>
              <w:tcPr>
                <w:tcW w:w="2727" w:type="dxa"/>
              </w:tcPr>
              <w:p w14:paraId="31700628" w14:textId="281F62DD" w:rsidR="0011707D" w:rsidRPr="004F2416" w:rsidRDefault="0011707D" w:rsidP="00E834F8">
                <w:pPr>
                  <w:tabs>
                    <w:tab w:val="right" w:pos="8838"/>
                  </w:tabs>
                  <w:ind w:left="-74" w:right="-105"/>
                  <w:rPr>
                    <w:rFonts w:eastAsia="Calibri" w:cs="Tahoma"/>
                    <w:b/>
                    <w:szCs w:val="22"/>
                    <w:lang w:eastAsia="en-US"/>
                  </w:rPr>
                </w:pPr>
                <w:r w:rsidRPr="004F2416">
                  <w:rPr>
                    <w:rFonts w:eastAsia="Calibri" w:cs="Tahoma"/>
                    <w:b/>
                    <w:szCs w:val="22"/>
                    <w:lang w:eastAsia="en-US"/>
                  </w:rPr>
                  <w:t>Comisionad</w:t>
                </w:r>
                <w:r>
                  <w:rPr>
                    <w:rFonts w:eastAsia="Calibri" w:cs="Tahoma"/>
                    <w:b/>
                    <w:szCs w:val="22"/>
                    <w:lang w:eastAsia="en-US"/>
                  </w:rPr>
                  <w:t>a</w:t>
                </w:r>
                <w:r w:rsidRPr="004F2416">
                  <w:rPr>
                    <w:rFonts w:eastAsia="Calibri" w:cs="Tahoma"/>
                    <w:b/>
                    <w:szCs w:val="22"/>
                    <w:lang w:eastAsia="en-US"/>
                  </w:rPr>
                  <w:t xml:space="preserve"> Ponente:</w:t>
                </w:r>
              </w:p>
            </w:tc>
            <w:tc>
              <w:tcPr>
                <w:tcW w:w="3402" w:type="dxa"/>
              </w:tcPr>
              <w:p w14:paraId="31A90A58" w14:textId="75878977" w:rsidR="0011707D" w:rsidRPr="00EA66FC" w:rsidRDefault="0011707D" w:rsidP="0087127C">
                <w:pPr>
                  <w:tabs>
                    <w:tab w:val="right" w:pos="8838"/>
                  </w:tabs>
                  <w:ind w:left="-108" w:right="-105"/>
                  <w:rPr>
                    <w:rFonts w:eastAsia="Calibri" w:cs="Tahoma"/>
                    <w:szCs w:val="22"/>
                    <w:lang w:eastAsia="en-US"/>
                  </w:rPr>
                </w:pPr>
                <w:r w:rsidRPr="004F2416">
                  <w:rPr>
                    <w:rFonts w:eastAsia="Calibri" w:cs="Tahoma"/>
                    <w:szCs w:val="22"/>
                    <w:lang w:eastAsia="en-US"/>
                  </w:rPr>
                  <w:t>Sharon Cristina Morales Martínez</w:t>
                </w:r>
              </w:p>
            </w:tc>
            <w:tc>
              <w:tcPr>
                <w:tcW w:w="3402" w:type="dxa"/>
              </w:tcPr>
              <w:p w14:paraId="3CFEA0D5" w14:textId="77777777" w:rsidR="0011707D" w:rsidRPr="00330DA7" w:rsidRDefault="0011707D" w:rsidP="0087127C">
                <w:pPr>
                  <w:tabs>
                    <w:tab w:val="right" w:pos="8838"/>
                  </w:tabs>
                  <w:ind w:left="-108" w:right="-105"/>
                  <w:rPr>
                    <w:rFonts w:eastAsia="Calibri" w:cs="Tahoma"/>
                    <w:szCs w:val="22"/>
                    <w:lang w:eastAsia="en-US"/>
                  </w:rPr>
                </w:pPr>
              </w:p>
            </w:tc>
          </w:tr>
        </w:tbl>
        <w:p w14:paraId="5DC6AC61" w14:textId="77777777" w:rsidR="0011707D" w:rsidRPr="00330DA7" w:rsidRDefault="0011707D" w:rsidP="0087127C">
          <w:pPr>
            <w:tabs>
              <w:tab w:val="right" w:pos="8838"/>
            </w:tabs>
            <w:ind w:left="-28"/>
            <w:rPr>
              <w:rFonts w:ascii="Arial" w:eastAsia="Calibri" w:hAnsi="Arial" w:cs="Arial"/>
              <w:b/>
              <w:szCs w:val="22"/>
              <w:lang w:eastAsia="en-US"/>
            </w:rPr>
          </w:pPr>
        </w:p>
      </w:tc>
    </w:tr>
  </w:tbl>
  <w:p w14:paraId="2A906731" w14:textId="77777777" w:rsidR="0011707D" w:rsidRPr="00765661" w:rsidRDefault="000325E6" w:rsidP="0087127C">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77.15pt;margin-top:-147.85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4E90"/>
    <w:multiLevelType w:val="hybridMultilevel"/>
    <w:tmpl w:val="3CE818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AF87F1D"/>
    <w:multiLevelType w:val="hybridMultilevel"/>
    <w:tmpl w:val="CD76B8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0135C98"/>
    <w:multiLevelType w:val="multilevel"/>
    <w:tmpl w:val="D9AC341A"/>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243CA5"/>
    <w:multiLevelType w:val="hybridMultilevel"/>
    <w:tmpl w:val="58C858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EE7E42"/>
    <w:multiLevelType w:val="hybridMultilevel"/>
    <w:tmpl w:val="F146C3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0FF1DFA"/>
    <w:multiLevelType w:val="hybridMultilevel"/>
    <w:tmpl w:val="C76608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16961BB"/>
    <w:multiLevelType w:val="hybridMultilevel"/>
    <w:tmpl w:val="2E4472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B939CB"/>
    <w:multiLevelType w:val="hybridMultilevel"/>
    <w:tmpl w:val="F684BBEA"/>
    <w:lvl w:ilvl="0" w:tplc="B4E0ABDE">
      <w:start w:val="1"/>
      <w:numFmt w:val="decimal"/>
      <w:lvlText w:val="%1."/>
      <w:lvlJc w:val="left"/>
      <w:pPr>
        <w:ind w:left="720" w:hanging="360"/>
      </w:pPr>
      <w:rPr>
        <w:rFonts w:ascii="Palatino Linotype" w:eastAsia="Times New Roman" w:hAnsi="Palatino Linotype" w:cs="Tahoma"/>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F48AC"/>
    <w:multiLevelType w:val="hybridMultilevel"/>
    <w:tmpl w:val="68A06272"/>
    <w:lvl w:ilvl="0" w:tplc="44D8A578">
      <w:start w:val="1"/>
      <w:numFmt w:val="lowerLetter"/>
      <w:lvlText w:val="%1)"/>
      <w:lvlJc w:val="left"/>
      <w:pPr>
        <w:ind w:left="360" w:hanging="360"/>
      </w:pPr>
      <w:rPr>
        <w:rFonts w:ascii="Palatino Linotype" w:eastAsiaTheme="minorEastAsia" w:hAnsi="Palatino Linotype" w:cs="Arial"/>
      </w:rPr>
    </w:lvl>
    <w:lvl w:ilvl="1" w:tplc="080A0003">
      <w:numFmt w:val="decimal"/>
      <w:lvlText w:val="o"/>
      <w:lvlJc w:val="left"/>
      <w:pPr>
        <w:ind w:left="1080" w:hanging="360"/>
      </w:pPr>
      <w:rPr>
        <w:rFonts w:ascii="Courier New" w:hAnsi="Courier New" w:cs="Courier New" w:hint="default"/>
      </w:rPr>
    </w:lvl>
    <w:lvl w:ilvl="2" w:tplc="080A0005">
      <w:numFmt w:val="decimal"/>
      <w:lvlText w:val=""/>
      <w:lvlJc w:val="left"/>
      <w:pPr>
        <w:ind w:left="1800" w:hanging="360"/>
      </w:pPr>
      <w:rPr>
        <w:rFonts w:ascii="Wingdings" w:hAnsi="Wingdings" w:hint="default"/>
      </w:rPr>
    </w:lvl>
    <w:lvl w:ilvl="3" w:tplc="080A0001">
      <w:numFmt w:val="decimal"/>
      <w:lvlText w:val=""/>
      <w:lvlJc w:val="left"/>
      <w:pPr>
        <w:ind w:left="2520" w:hanging="360"/>
      </w:pPr>
      <w:rPr>
        <w:rFonts w:ascii="Symbol" w:hAnsi="Symbol" w:hint="default"/>
      </w:rPr>
    </w:lvl>
    <w:lvl w:ilvl="4" w:tplc="080A0003">
      <w:numFmt w:val="decimal"/>
      <w:lvlText w:val="o"/>
      <w:lvlJc w:val="left"/>
      <w:pPr>
        <w:ind w:left="3240" w:hanging="360"/>
      </w:pPr>
      <w:rPr>
        <w:rFonts w:ascii="Courier New" w:hAnsi="Courier New" w:cs="Courier New" w:hint="default"/>
      </w:rPr>
    </w:lvl>
    <w:lvl w:ilvl="5" w:tplc="080A0005">
      <w:numFmt w:val="decimal"/>
      <w:lvlText w:val=""/>
      <w:lvlJc w:val="left"/>
      <w:pPr>
        <w:ind w:left="3960" w:hanging="360"/>
      </w:pPr>
      <w:rPr>
        <w:rFonts w:ascii="Wingdings" w:hAnsi="Wingdings" w:hint="default"/>
      </w:rPr>
    </w:lvl>
    <w:lvl w:ilvl="6" w:tplc="080A0001">
      <w:numFmt w:val="decimal"/>
      <w:lvlText w:val=""/>
      <w:lvlJc w:val="left"/>
      <w:pPr>
        <w:ind w:left="4680" w:hanging="360"/>
      </w:pPr>
      <w:rPr>
        <w:rFonts w:ascii="Symbol" w:hAnsi="Symbol" w:hint="default"/>
      </w:rPr>
    </w:lvl>
    <w:lvl w:ilvl="7" w:tplc="080A0003">
      <w:numFmt w:val="decimal"/>
      <w:lvlText w:val="o"/>
      <w:lvlJc w:val="left"/>
      <w:pPr>
        <w:ind w:left="5400" w:hanging="360"/>
      </w:pPr>
      <w:rPr>
        <w:rFonts w:ascii="Courier New" w:hAnsi="Courier New" w:cs="Courier New" w:hint="default"/>
      </w:rPr>
    </w:lvl>
    <w:lvl w:ilvl="8" w:tplc="080A0005">
      <w:numFmt w:val="decimal"/>
      <w:lvlText w:val=""/>
      <w:lvlJc w:val="left"/>
      <w:pPr>
        <w:ind w:left="6120" w:hanging="360"/>
      </w:pPr>
      <w:rPr>
        <w:rFonts w:ascii="Wingdings" w:hAnsi="Wingdings" w:hint="default"/>
      </w:rPr>
    </w:lvl>
  </w:abstractNum>
  <w:abstractNum w:abstractNumId="9" w15:restartNumberingAfterBreak="0">
    <w:nsid w:val="3F265FBF"/>
    <w:multiLevelType w:val="hybridMultilevel"/>
    <w:tmpl w:val="EE14108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43EE3BF2"/>
    <w:multiLevelType w:val="hybridMultilevel"/>
    <w:tmpl w:val="374A82FA"/>
    <w:lvl w:ilvl="0" w:tplc="E5DA7F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46945663"/>
    <w:multiLevelType w:val="multilevel"/>
    <w:tmpl w:val="D4D69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7537A4D"/>
    <w:multiLevelType w:val="hybridMultilevel"/>
    <w:tmpl w:val="F146C3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8DA04C0"/>
    <w:multiLevelType w:val="hybridMultilevel"/>
    <w:tmpl w:val="F8FA37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E41C06"/>
    <w:multiLevelType w:val="hybridMultilevel"/>
    <w:tmpl w:val="C340F3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C1F1485"/>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70FB16F1"/>
    <w:multiLevelType w:val="hybridMultilevel"/>
    <w:tmpl w:val="374A82F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78A52308"/>
    <w:multiLevelType w:val="hybridMultilevel"/>
    <w:tmpl w:val="B98839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5"/>
  </w:num>
  <w:num w:numId="3">
    <w:abstractNumId w:val="16"/>
  </w:num>
  <w:num w:numId="4">
    <w:abstractNumId w:val="5"/>
  </w:num>
  <w:num w:numId="5">
    <w:abstractNumId w:val="2"/>
  </w:num>
  <w:num w:numId="6">
    <w:abstractNumId w:val="17"/>
  </w:num>
  <w:num w:numId="7">
    <w:abstractNumId w:val="13"/>
  </w:num>
  <w:num w:numId="8">
    <w:abstractNumId w:val="4"/>
  </w:num>
  <w:num w:numId="9">
    <w:abstractNumId w:val="12"/>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8"/>
  </w:num>
  <w:num w:numId="12">
    <w:abstractNumId w:val="7"/>
  </w:num>
  <w:num w:numId="13">
    <w:abstractNumId w:val="1"/>
  </w:num>
  <w:num w:numId="14">
    <w:abstractNumId w:val="3"/>
  </w:num>
  <w:num w:numId="15">
    <w:abstractNumId w:val="14"/>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2238"/>
    <w:rsid w:val="0000629A"/>
    <w:rsid w:val="0002500A"/>
    <w:rsid w:val="000318BC"/>
    <w:rsid w:val="000325E6"/>
    <w:rsid w:val="00057B2D"/>
    <w:rsid w:val="000626CF"/>
    <w:rsid w:val="00082241"/>
    <w:rsid w:val="00091F4C"/>
    <w:rsid w:val="000A2CCC"/>
    <w:rsid w:val="000D0D67"/>
    <w:rsid w:val="000E052E"/>
    <w:rsid w:val="000E09C4"/>
    <w:rsid w:val="000F0719"/>
    <w:rsid w:val="0011350D"/>
    <w:rsid w:val="0011707D"/>
    <w:rsid w:val="00141876"/>
    <w:rsid w:val="00150C49"/>
    <w:rsid w:val="00151010"/>
    <w:rsid w:val="00192DF3"/>
    <w:rsid w:val="001A58B3"/>
    <w:rsid w:val="001A633B"/>
    <w:rsid w:val="001B4A72"/>
    <w:rsid w:val="001C1ADC"/>
    <w:rsid w:val="001C7688"/>
    <w:rsid w:val="001D2DED"/>
    <w:rsid w:val="001F3515"/>
    <w:rsid w:val="002251D8"/>
    <w:rsid w:val="0022536F"/>
    <w:rsid w:val="0023177F"/>
    <w:rsid w:val="00233005"/>
    <w:rsid w:val="002338D4"/>
    <w:rsid w:val="00233F17"/>
    <w:rsid w:val="002568F8"/>
    <w:rsid w:val="00276A24"/>
    <w:rsid w:val="002A3601"/>
    <w:rsid w:val="002B7C6F"/>
    <w:rsid w:val="002C2588"/>
    <w:rsid w:val="002C4294"/>
    <w:rsid w:val="002C5B41"/>
    <w:rsid w:val="00302476"/>
    <w:rsid w:val="0031098F"/>
    <w:rsid w:val="00331F35"/>
    <w:rsid w:val="0034218F"/>
    <w:rsid w:val="00350BF3"/>
    <w:rsid w:val="003620F6"/>
    <w:rsid w:val="00362A11"/>
    <w:rsid w:val="003754F3"/>
    <w:rsid w:val="00380417"/>
    <w:rsid w:val="003A40C1"/>
    <w:rsid w:val="003F35FD"/>
    <w:rsid w:val="0040558E"/>
    <w:rsid w:val="0041385B"/>
    <w:rsid w:val="00426165"/>
    <w:rsid w:val="00441BFA"/>
    <w:rsid w:val="00454FBD"/>
    <w:rsid w:val="004D7CD8"/>
    <w:rsid w:val="004E5068"/>
    <w:rsid w:val="004F2416"/>
    <w:rsid w:val="004F7A00"/>
    <w:rsid w:val="0050447B"/>
    <w:rsid w:val="00523227"/>
    <w:rsid w:val="005365FA"/>
    <w:rsid w:val="005723CB"/>
    <w:rsid w:val="00575400"/>
    <w:rsid w:val="005941FB"/>
    <w:rsid w:val="005A0A5F"/>
    <w:rsid w:val="005A0DFC"/>
    <w:rsid w:val="005A7CE5"/>
    <w:rsid w:val="005B18AF"/>
    <w:rsid w:val="005D5A50"/>
    <w:rsid w:val="005F5301"/>
    <w:rsid w:val="005F65B7"/>
    <w:rsid w:val="006067C7"/>
    <w:rsid w:val="00615506"/>
    <w:rsid w:val="006159AD"/>
    <w:rsid w:val="00622D73"/>
    <w:rsid w:val="00646436"/>
    <w:rsid w:val="006477B0"/>
    <w:rsid w:val="00650C8A"/>
    <w:rsid w:val="00664420"/>
    <w:rsid w:val="00685AD3"/>
    <w:rsid w:val="006946E4"/>
    <w:rsid w:val="006B10B0"/>
    <w:rsid w:val="006D008D"/>
    <w:rsid w:val="006D1510"/>
    <w:rsid w:val="006E25BC"/>
    <w:rsid w:val="006E6BBC"/>
    <w:rsid w:val="006F7768"/>
    <w:rsid w:val="00707BCA"/>
    <w:rsid w:val="00717E59"/>
    <w:rsid w:val="00736C57"/>
    <w:rsid w:val="00757B03"/>
    <w:rsid w:val="00775BFC"/>
    <w:rsid w:val="007846FB"/>
    <w:rsid w:val="007B6074"/>
    <w:rsid w:val="007C5C93"/>
    <w:rsid w:val="007C6EB2"/>
    <w:rsid w:val="007D1C55"/>
    <w:rsid w:val="007D317F"/>
    <w:rsid w:val="007F5D06"/>
    <w:rsid w:val="00800823"/>
    <w:rsid w:val="00824813"/>
    <w:rsid w:val="008266DA"/>
    <w:rsid w:val="0084341B"/>
    <w:rsid w:val="00865CF4"/>
    <w:rsid w:val="00867160"/>
    <w:rsid w:val="0087127C"/>
    <w:rsid w:val="008734A2"/>
    <w:rsid w:val="00876DBC"/>
    <w:rsid w:val="008A6003"/>
    <w:rsid w:val="008A6F88"/>
    <w:rsid w:val="008B09E4"/>
    <w:rsid w:val="008B1E16"/>
    <w:rsid w:val="008C31AC"/>
    <w:rsid w:val="008C4010"/>
    <w:rsid w:val="008C48EE"/>
    <w:rsid w:val="00900C44"/>
    <w:rsid w:val="00910FD2"/>
    <w:rsid w:val="009275A3"/>
    <w:rsid w:val="00931437"/>
    <w:rsid w:val="0094779F"/>
    <w:rsid w:val="00952D40"/>
    <w:rsid w:val="00953430"/>
    <w:rsid w:val="009578F9"/>
    <w:rsid w:val="00970EB3"/>
    <w:rsid w:val="00980648"/>
    <w:rsid w:val="009950D7"/>
    <w:rsid w:val="009A2B26"/>
    <w:rsid w:val="009A2D78"/>
    <w:rsid w:val="009A7C10"/>
    <w:rsid w:val="009B2945"/>
    <w:rsid w:val="009C0477"/>
    <w:rsid w:val="009D0146"/>
    <w:rsid w:val="009D75C9"/>
    <w:rsid w:val="009E6AE1"/>
    <w:rsid w:val="009F797C"/>
    <w:rsid w:val="00A125C7"/>
    <w:rsid w:val="00A131AC"/>
    <w:rsid w:val="00A16D85"/>
    <w:rsid w:val="00A17059"/>
    <w:rsid w:val="00A203C6"/>
    <w:rsid w:val="00A21A20"/>
    <w:rsid w:val="00A3293F"/>
    <w:rsid w:val="00A4685B"/>
    <w:rsid w:val="00A53315"/>
    <w:rsid w:val="00A65695"/>
    <w:rsid w:val="00A713F6"/>
    <w:rsid w:val="00A9208D"/>
    <w:rsid w:val="00AA26B0"/>
    <w:rsid w:val="00AA6EA9"/>
    <w:rsid w:val="00AC2B99"/>
    <w:rsid w:val="00AC2DB8"/>
    <w:rsid w:val="00AC3CA0"/>
    <w:rsid w:val="00AE3DA7"/>
    <w:rsid w:val="00AE5C5C"/>
    <w:rsid w:val="00AF03C4"/>
    <w:rsid w:val="00AF6A7A"/>
    <w:rsid w:val="00B22A80"/>
    <w:rsid w:val="00B62B67"/>
    <w:rsid w:val="00BA55A8"/>
    <w:rsid w:val="00BB2ABF"/>
    <w:rsid w:val="00BB64F4"/>
    <w:rsid w:val="00BD3F4F"/>
    <w:rsid w:val="00BE27D2"/>
    <w:rsid w:val="00BF0221"/>
    <w:rsid w:val="00BF091A"/>
    <w:rsid w:val="00C049E2"/>
    <w:rsid w:val="00C175A7"/>
    <w:rsid w:val="00C2617E"/>
    <w:rsid w:val="00C36795"/>
    <w:rsid w:val="00C461EC"/>
    <w:rsid w:val="00C507D4"/>
    <w:rsid w:val="00C55927"/>
    <w:rsid w:val="00C71CEF"/>
    <w:rsid w:val="00C72DAA"/>
    <w:rsid w:val="00CD0B92"/>
    <w:rsid w:val="00CE29D3"/>
    <w:rsid w:val="00CF2D8B"/>
    <w:rsid w:val="00CF7586"/>
    <w:rsid w:val="00D00CB8"/>
    <w:rsid w:val="00D036D3"/>
    <w:rsid w:val="00D2000B"/>
    <w:rsid w:val="00D2790D"/>
    <w:rsid w:val="00D41B3C"/>
    <w:rsid w:val="00D51ECD"/>
    <w:rsid w:val="00D6170E"/>
    <w:rsid w:val="00D91CB4"/>
    <w:rsid w:val="00DD5F50"/>
    <w:rsid w:val="00DD6EF3"/>
    <w:rsid w:val="00DE1133"/>
    <w:rsid w:val="00DF03AD"/>
    <w:rsid w:val="00DF2E7D"/>
    <w:rsid w:val="00E06F53"/>
    <w:rsid w:val="00E16BF5"/>
    <w:rsid w:val="00E228D0"/>
    <w:rsid w:val="00E37A3F"/>
    <w:rsid w:val="00E62E6A"/>
    <w:rsid w:val="00E834F8"/>
    <w:rsid w:val="00E83EF5"/>
    <w:rsid w:val="00E9335C"/>
    <w:rsid w:val="00E937AE"/>
    <w:rsid w:val="00EA0D03"/>
    <w:rsid w:val="00EA16DC"/>
    <w:rsid w:val="00EA1B35"/>
    <w:rsid w:val="00ED1C1E"/>
    <w:rsid w:val="00F058FA"/>
    <w:rsid w:val="00F07EE6"/>
    <w:rsid w:val="00F1385D"/>
    <w:rsid w:val="00F17375"/>
    <w:rsid w:val="00F33CC8"/>
    <w:rsid w:val="00F65DE0"/>
    <w:rsid w:val="00F65E18"/>
    <w:rsid w:val="00F75D23"/>
    <w:rsid w:val="00F874C5"/>
    <w:rsid w:val="00F91BFF"/>
    <w:rsid w:val="00FA01EE"/>
    <w:rsid w:val="00FA5957"/>
    <w:rsid w:val="00FB6780"/>
    <w:rsid w:val="00FC3CE0"/>
    <w:rsid w:val="00FD06A8"/>
    <w:rsid w:val="00FD443A"/>
    <w:rsid w:val="00FE07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5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basedOn w:val="Fuentedeprrafopredeter"/>
    <w:uiPriority w:val="99"/>
    <w:unhideWhenUsed/>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34218F"/>
    <w:pPr>
      <w:spacing w:line="240" w:lineRule="auto"/>
      <w:jc w:val="left"/>
    </w:pPr>
    <w:rPr>
      <w:rFonts w:asciiTheme="minorHAnsi" w:eastAsiaTheme="minorHAnsi" w:hAnsiTheme="minorHAnsi" w:cstheme="minorBidi"/>
      <w:sz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34218F"/>
    <w:rPr>
      <w:kern w:val="0"/>
      <w:sz w:val="20"/>
      <w:szCs w:val="20"/>
      <w14:ligatures w14:val="none"/>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iPriority w:val="99"/>
    <w:unhideWhenUsed/>
    <w:qFormat/>
    <w:rsid w:val="003421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209">
      <w:bodyDiv w:val="1"/>
      <w:marLeft w:val="0"/>
      <w:marRight w:val="0"/>
      <w:marTop w:val="0"/>
      <w:marBottom w:val="0"/>
      <w:divBdr>
        <w:top w:val="none" w:sz="0" w:space="0" w:color="auto"/>
        <w:left w:val="none" w:sz="0" w:space="0" w:color="auto"/>
        <w:bottom w:val="none" w:sz="0" w:space="0" w:color="auto"/>
        <w:right w:val="none" w:sz="0" w:space="0" w:color="auto"/>
      </w:divBdr>
    </w:div>
    <w:div w:id="592709410">
      <w:bodyDiv w:val="1"/>
      <w:marLeft w:val="0"/>
      <w:marRight w:val="0"/>
      <w:marTop w:val="0"/>
      <w:marBottom w:val="0"/>
      <w:divBdr>
        <w:top w:val="none" w:sz="0" w:space="0" w:color="auto"/>
        <w:left w:val="none" w:sz="0" w:space="0" w:color="auto"/>
        <w:bottom w:val="none" w:sz="0" w:space="0" w:color="auto"/>
        <w:right w:val="none" w:sz="0" w:space="0" w:color="auto"/>
      </w:divBdr>
    </w:div>
    <w:div w:id="949163346">
      <w:bodyDiv w:val="1"/>
      <w:marLeft w:val="0"/>
      <w:marRight w:val="0"/>
      <w:marTop w:val="0"/>
      <w:marBottom w:val="0"/>
      <w:divBdr>
        <w:top w:val="none" w:sz="0" w:space="0" w:color="auto"/>
        <w:left w:val="none" w:sz="0" w:space="0" w:color="auto"/>
        <w:bottom w:val="none" w:sz="0" w:space="0" w:color="auto"/>
        <w:right w:val="none" w:sz="0" w:space="0" w:color="auto"/>
      </w:divBdr>
    </w:div>
    <w:div w:id="1003699447">
      <w:bodyDiv w:val="1"/>
      <w:marLeft w:val="0"/>
      <w:marRight w:val="0"/>
      <w:marTop w:val="0"/>
      <w:marBottom w:val="0"/>
      <w:divBdr>
        <w:top w:val="none" w:sz="0" w:space="0" w:color="auto"/>
        <w:left w:val="none" w:sz="0" w:space="0" w:color="auto"/>
        <w:bottom w:val="none" w:sz="0" w:space="0" w:color="auto"/>
        <w:right w:val="none" w:sz="0" w:space="0" w:color="auto"/>
      </w:divBdr>
    </w:div>
    <w:div w:id="1110511842">
      <w:bodyDiv w:val="1"/>
      <w:marLeft w:val="0"/>
      <w:marRight w:val="0"/>
      <w:marTop w:val="0"/>
      <w:marBottom w:val="0"/>
      <w:divBdr>
        <w:top w:val="none" w:sz="0" w:space="0" w:color="auto"/>
        <w:left w:val="none" w:sz="0" w:space="0" w:color="auto"/>
        <w:bottom w:val="none" w:sz="0" w:space="0" w:color="auto"/>
        <w:right w:val="none" w:sz="0" w:space="0" w:color="auto"/>
      </w:divBdr>
    </w:div>
    <w:div w:id="1255868824">
      <w:bodyDiv w:val="1"/>
      <w:marLeft w:val="0"/>
      <w:marRight w:val="0"/>
      <w:marTop w:val="0"/>
      <w:marBottom w:val="0"/>
      <w:divBdr>
        <w:top w:val="none" w:sz="0" w:space="0" w:color="auto"/>
        <w:left w:val="none" w:sz="0" w:space="0" w:color="auto"/>
        <w:bottom w:val="none" w:sz="0" w:space="0" w:color="auto"/>
        <w:right w:val="none" w:sz="0" w:space="0" w:color="auto"/>
      </w:divBdr>
    </w:div>
    <w:div w:id="1409186669">
      <w:bodyDiv w:val="1"/>
      <w:marLeft w:val="0"/>
      <w:marRight w:val="0"/>
      <w:marTop w:val="0"/>
      <w:marBottom w:val="0"/>
      <w:divBdr>
        <w:top w:val="none" w:sz="0" w:space="0" w:color="auto"/>
        <w:left w:val="none" w:sz="0" w:space="0" w:color="auto"/>
        <w:bottom w:val="none" w:sz="0" w:space="0" w:color="auto"/>
        <w:right w:val="none" w:sz="0" w:space="0" w:color="auto"/>
      </w:divBdr>
    </w:div>
    <w:div w:id="1588078695">
      <w:bodyDiv w:val="1"/>
      <w:marLeft w:val="0"/>
      <w:marRight w:val="0"/>
      <w:marTop w:val="0"/>
      <w:marBottom w:val="0"/>
      <w:divBdr>
        <w:top w:val="none" w:sz="0" w:space="0" w:color="auto"/>
        <w:left w:val="none" w:sz="0" w:space="0" w:color="auto"/>
        <w:bottom w:val="none" w:sz="0" w:space="0" w:color="auto"/>
        <w:right w:val="none" w:sz="0" w:space="0" w:color="auto"/>
      </w:divBdr>
    </w:div>
    <w:div w:id="1781102386">
      <w:bodyDiv w:val="1"/>
      <w:marLeft w:val="0"/>
      <w:marRight w:val="0"/>
      <w:marTop w:val="0"/>
      <w:marBottom w:val="0"/>
      <w:divBdr>
        <w:top w:val="none" w:sz="0" w:space="0" w:color="auto"/>
        <w:left w:val="none" w:sz="0" w:space="0" w:color="auto"/>
        <w:bottom w:val="none" w:sz="0" w:space="0" w:color="auto"/>
        <w:right w:val="none" w:sz="0" w:space="0" w:color="auto"/>
      </w:divBdr>
    </w:div>
    <w:div w:id="1871801255">
      <w:bodyDiv w:val="1"/>
      <w:marLeft w:val="0"/>
      <w:marRight w:val="0"/>
      <w:marTop w:val="0"/>
      <w:marBottom w:val="0"/>
      <w:divBdr>
        <w:top w:val="none" w:sz="0" w:space="0" w:color="auto"/>
        <w:left w:val="none" w:sz="0" w:space="0" w:color="auto"/>
        <w:bottom w:val="none" w:sz="0" w:space="0" w:color="auto"/>
        <w:right w:val="none" w:sz="0" w:space="0" w:color="auto"/>
      </w:divBdr>
    </w:div>
    <w:div w:id="1989481857">
      <w:bodyDiv w:val="1"/>
      <w:marLeft w:val="0"/>
      <w:marRight w:val="0"/>
      <w:marTop w:val="0"/>
      <w:marBottom w:val="0"/>
      <w:divBdr>
        <w:top w:val="none" w:sz="0" w:space="0" w:color="auto"/>
        <w:left w:val="none" w:sz="0" w:space="0" w:color="auto"/>
        <w:bottom w:val="none" w:sz="0" w:space="0" w:color="auto"/>
        <w:right w:val="none" w:sz="0" w:space="0" w:color="auto"/>
      </w:divBdr>
    </w:div>
    <w:div w:id="201642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4.xml><?xml version="1.0" encoding="utf-8"?>
<ds:datastoreItem xmlns:ds="http://schemas.openxmlformats.org/officeDocument/2006/customXml" ds:itemID="{20AB9BF2-6F0B-4A0F-A79B-ACCC086AE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19</Pages>
  <Words>4986</Words>
  <Characters>27423</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Gutierrez Zarate</dc:creator>
  <cp:keywords/>
  <dc:description/>
  <cp:lastModifiedBy>INFOEM381</cp:lastModifiedBy>
  <cp:revision>8</cp:revision>
  <cp:lastPrinted>2025-01-23T19:48:00Z</cp:lastPrinted>
  <dcterms:created xsi:type="dcterms:W3CDTF">2025-01-16T19:44:00Z</dcterms:created>
  <dcterms:modified xsi:type="dcterms:W3CDTF">2025-02-10T20:49:00Z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