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Content>
        <w:p w14:paraId="0EFE9660" w14:textId="77777777" w:rsidR="00342378" w:rsidRPr="009D1B59" w:rsidRDefault="00342378" w:rsidP="000B54EE">
          <w:pPr>
            <w:pStyle w:val="TtuloTDC"/>
            <w:spacing w:before="0" w:line="360" w:lineRule="auto"/>
            <w:rPr>
              <w:rFonts w:ascii="Palatino Linotype" w:hAnsi="Palatino Linotype"/>
              <w:color w:val="auto"/>
              <w:sz w:val="22"/>
              <w:szCs w:val="22"/>
            </w:rPr>
          </w:pPr>
          <w:r w:rsidRPr="009D1B59">
            <w:rPr>
              <w:rFonts w:ascii="Palatino Linotype" w:hAnsi="Palatino Linotype"/>
              <w:color w:val="auto"/>
              <w:sz w:val="22"/>
              <w:szCs w:val="22"/>
              <w:lang w:val="es-ES"/>
            </w:rPr>
            <w:t>Contenido</w:t>
          </w:r>
        </w:p>
        <w:p w14:paraId="57DBA1D6" w14:textId="77777777" w:rsidR="00A11C5C" w:rsidRPr="009D1B59" w:rsidRDefault="00342378"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9D1B59">
            <w:rPr>
              <w:rFonts w:ascii="Palatino Linotype" w:hAnsi="Palatino Linotype"/>
              <w:sz w:val="22"/>
              <w:szCs w:val="22"/>
              <w:lang w:val="es-ES"/>
            </w:rPr>
            <w:fldChar w:fldCharType="begin"/>
          </w:r>
          <w:r w:rsidRPr="009D1B59">
            <w:rPr>
              <w:rFonts w:ascii="Palatino Linotype" w:hAnsi="Palatino Linotype"/>
              <w:sz w:val="22"/>
              <w:szCs w:val="22"/>
              <w:lang w:val="es-ES"/>
            </w:rPr>
            <w:instrText xml:space="preserve"> TOC \o "1-3" \h \z \u </w:instrText>
          </w:r>
          <w:r w:rsidRPr="009D1B59">
            <w:rPr>
              <w:rFonts w:ascii="Palatino Linotype" w:hAnsi="Palatino Linotype"/>
              <w:sz w:val="22"/>
              <w:szCs w:val="22"/>
              <w:lang w:val="es-ES"/>
            </w:rPr>
            <w:fldChar w:fldCharType="separate"/>
          </w:r>
          <w:hyperlink w:anchor="_Toc205306983" w:history="1">
            <w:r w:rsidR="00A11C5C" w:rsidRPr="009D1B59">
              <w:rPr>
                <w:rStyle w:val="Hipervnculo"/>
                <w:rFonts w:ascii="Palatino Linotype" w:hAnsi="Palatino Linotype"/>
                <w:noProof/>
              </w:rPr>
              <w:t>A N T E C E D E N T E S</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_Toc205306983 \h </w:instrText>
            </w:r>
            <w:r w:rsidR="00A11C5C" w:rsidRPr="009D1B59">
              <w:rPr>
                <w:noProof/>
                <w:webHidden/>
              </w:rPr>
            </w:r>
            <w:r w:rsidR="00A11C5C" w:rsidRPr="009D1B59">
              <w:rPr>
                <w:noProof/>
                <w:webHidden/>
              </w:rPr>
              <w:fldChar w:fldCharType="separate"/>
            </w:r>
            <w:r w:rsidR="00C47A37">
              <w:rPr>
                <w:noProof/>
                <w:webHidden/>
              </w:rPr>
              <w:t>2</w:t>
            </w:r>
            <w:r w:rsidR="00A11C5C" w:rsidRPr="009D1B59">
              <w:rPr>
                <w:noProof/>
                <w:webHidden/>
              </w:rPr>
              <w:fldChar w:fldCharType="end"/>
            </w:r>
          </w:hyperlink>
        </w:p>
        <w:p w14:paraId="1FDC7B17"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4" w:history="1">
            <w:r w:rsidR="00A11C5C" w:rsidRPr="009D1B59">
              <w:rPr>
                <w:rStyle w:val="Hipervnculo"/>
                <w:rFonts w:ascii="Palatino Linotype" w:hAnsi="Palatino Linotype"/>
                <w:noProof/>
              </w:rPr>
              <w:t>I. Presentación de la solicitud de información</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_Toc205306984 \h </w:instrText>
            </w:r>
            <w:r w:rsidR="00A11C5C" w:rsidRPr="009D1B59">
              <w:rPr>
                <w:noProof/>
                <w:webHidden/>
              </w:rPr>
            </w:r>
            <w:r w:rsidR="00A11C5C" w:rsidRPr="009D1B59">
              <w:rPr>
                <w:noProof/>
                <w:webHidden/>
              </w:rPr>
              <w:fldChar w:fldCharType="separate"/>
            </w:r>
            <w:r w:rsidR="00C47A37">
              <w:rPr>
                <w:noProof/>
                <w:webHidden/>
              </w:rPr>
              <w:t>2</w:t>
            </w:r>
            <w:r w:rsidR="00A11C5C" w:rsidRPr="009D1B59">
              <w:rPr>
                <w:noProof/>
                <w:webHidden/>
              </w:rPr>
              <w:fldChar w:fldCharType="end"/>
            </w:r>
          </w:hyperlink>
        </w:p>
        <w:p w14:paraId="686AEDDB"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5" w:history="1">
            <w:r w:rsidR="00A11C5C" w:rsidRPr="009D1B59">
              <w:rPr>
                <w:rStyle w:val="Hipervnculo"/>
                <w:rFonts w:ascii="Palatino Linotype" w:hAnsi="Palatino Linotype" w:cs="Tahoma"/>
                <w:noProof/>
              </w:rPr>
              <w:t>II. Respuesta del Sujeto Obligado</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_Toc205306985 \h </w:instrText>
            </w:r>
            <w:r w:rsidR="00A11C5C" w:rsidRPr="009D1B59">
              <w:rPr>
                <w:noProof/>
                <w:webHidden/>
              </w:rPr>
            </w:r>
            <w:r w:rsidR="00A11C5C" w:rsidRPr="009D1B59">
              <w:rPr>
                <w:noProof/>
                <w:webHidden/>
              </w:rPr>
              <w:fldChar w:fldCharType="separate"/>
            </w:r>
            <w:r w:rsidR="00C47A37">
              <w:rPr>
                <w:noProof/>
                <w:webHidden/>
              </w:rPr>
              <w:t>3</w:t>
            </w:r>
            <w:r w:rsidR="00A11C5C" w:rsidRPr="009D1B59">
              <w:rPr>
                <w:noProof/>
                <w:webHidden/>
              </w:rPr>
              <w:fldChar w:fldCharType="end"/>
            </w:r>
          </w:hyperlink>
        </w:p>
        <w:p w14:paraId="6933D5DB"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6" w:history="1">
            <w:r w:rsidR="00A11C5C" w:rsidRPr="009D1B59">
              <w:rPr>
                <w:rStyle w:val="Hipervnculo"/>
                <w:rFonts w:ascii="Palatino Linotype" w:hAnsi="Palatino Linotype" w:cs="Tahoma"/>
                <w:noProof/>
              </w:rPr>
              <w:t>III. Interposición del Recurso de Revisión</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_Toc205306986 \h </w:instrText>
            </w:r>
            <w:r w:rsidR="00A11C5C" w:rsidRPr="009D1B59">
              <w:rPr>
                <w:noProof/>
                <w:webHidden/>
              </w:rPr>
            </w:r>
            <w:r w:rsidR="00A11C5C" w:rsidRPr="009D1B59">
              <w:rPr>
                <w:noProof/>
                <w:webHidden/>
              </w:rPr>
              <w:fldChar w:fldCharType="separate"/>
            </w:r>
            <w:r w:rsidR="00C47A37">
              <w:rPr>
                <w:noProof/>
                <w:webHidden/>
              </w:rPr>
              <w:t>3</w:t>
            </w:r>
            <w:r w:rsidR="00A11C5C" w:rsidRPr="009D1B59">
              <w:rPr>
                <w:noProof/>
                <w:webHidden/>
              </w:rPr>
              <w:fldChar w:fldCharType="end"/>
            </w:r>
          </w:hyperlink>
        </w:p>
        <w:p w14:paraId="04A01099"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7" w:history="1">
            <w:r w:rsidR="00A11C5C" w:rsidRPr="009D1B59">
              <w:rPr>
                <w:rStyle w:val="Hipervnculo"/>
                <w:rFonts w:ascii="Palatino Linotype" w:hAnsi="Palatino Linotype"/>
                <w:noProof/>
              </w:rPr>
              <w:t>IV. Trámite del Recurso de Revisión ante el Instituto</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_Toc205306987 \h </w:instrText>
            </w:r>
            <w:r w:rsidR="00A11C5C" w:rsidRPr="009D1B59">
              <w:rPr>
                <w:noProof/>
                <w:webHidden/>
              </w:rPr>
            </w:r>
            <w:r w:rsidR="00A11C5C" w:rsidRPr="009D1B59">
              <w:rPr>
                <w:noProof/>
                <w:webHidden/>
              </w:rPr>
              <w:fldChar w:fldCharType="separate"/>
            </w:r>
            <w:r w:rsidR="00C47A37">
              <w:rPr>
                <w:noProof/>
                <w:webHidden/>
              </w:rPr>
              <w:t>4</w:t>
            </w:r>
            <w:r w:rsidR="00A11C5C" w:rsidRPr="009D1B59">
              <w:rPr>
                <w:noProof/>
                <w:webHidden/>
              </w:rPr>
              <w:fldChar w:fldCharType="end"/>
            </w:r>
          </w:hyperlink>
        </w:p>
        <w:p w14:paraId="0BA96F7D" w14:textId="77777777" w:rsidR="00A11C5C" w:rsidRPr="009D1B59" w:rsidRDefault="00000000"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3" w:history="1">
            <w:r w:rsidR="00A11C5C" w:rsidRPr="009D1B59">
              <w:rPr>
                <w:rStyle w:val="Hipervnculo"/>
                <w:rFonts w:ascii="Palatino Linotype" w:hAnsi="Palatino Linotype"/>
                <w:noProof/>
              </w:rPr>
              <w:t>C O N S I D E R A N D O S</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_Toc205306993 \h </w:instrText>
            </w:r>
            <w:r w:rsidR="00A11C5C" w:rsidRPr="009D1B59">
              <w:rPr>
                <w:noProof/>
                <w:webHidden/>
              </w:rPr>
            </w:r>
            <w:r w:rsidR="00A11C5C" w:rsidRPr="009D1B59">
              <w:rPr>
                <w:noProof/>
                <w:webHidden/>
              </w:rPr>
              <w:fldChar w:fldCharType="separate"/>
            </w:r>
            <w:r w:rsidR="00C47A37">
              <w:rPr>
                <w:noProof/>
                <w:webHidden/>
              </w:rPr>
              <w:t>6</w:t>
            </w:r>
            <w:r w:rsidR="00A11C5C" w:rsidRPr="009D1B59">
              <w:rPr>
                <w:noProof/>
                <w:webHidden/>
              </w:rPr>
              <w:fldChar w:fldCharType="end"/>
            </w:r>
          </w:hyperlink>
        </w:p>
        <w:p w14:paraId="7E26C0D5"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4" w:history="1">
            <w:r w:rsidR="00A11C5C" w:rsidRPr="009D1B59">
              <w:rPr>
                <w:rStyle w:val="Hipervnculo"/>
                <w:rFonts w:ascii="Palatino Linotype" w:eastAsia="Calibri" w:hAnsi="Palatino Linotype"/>
                <w:noProof/>
                <w:lang w:eastAsia="es-MX"/>
              </w:rPr>
              <w:t xml:space="preserve">PRIMERO. </w:t>
            </w:r>
            <w:r w:rsidR="00A11C5C" w:rsidRPr="009D1B59">
              <w:rPr>
                <w:rStyle w:val="Hipervnculo"/>
                <w:rFonts w:ascii="Palatino Linotype" w:hAnsi="Palatino Linotype"/>
                <w:noProof/>
              </w:rPr>
              <w:t>Competencia</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_Toc205306994 \h </w:instrText>
            </w:r>
            <w:r w:rsidR="00A11C5C" w:rsidRPr="009D1B59">
              <w:rPr>
                <w:noProof/>
                <w:webHidden/>
              </w:rPr>
            </w:r>
            <w:r w:rsidR="00A11C5C" w:rsidRPr="009D1B59">
              <w:rPr>
                <w:noProof/>
                <w:webHidden/>
              </w:rPr>
              <w:fldChar w:fldCharType="separate"/>
            </w:r>
            <w:r w:rsidR="00C47A37">
              <w:rPr>
                <w:noProof/>
                <w:webHidden/>
              </w:rPr>
              <w:t>6</w:t>
            </w:r>
            <w:r w:rsidR="00A11C5C" w:rsidRPr="009D1B59">
              <w:rPr>
                <w:noProof/>
                <w:webHidden/>
              </w:rPr>
              <w:fldChar w:fldCharType="end"/>
            </w:r>
          </w:hyperlink>
        </w:p>
        <w:p w14:paraId="2FC0B4F3"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5" w:history="1">
            <w:r w:rsidR="00A11C5C" w:rsidRPr="009D1B59">
              <w:rPr>
                <w:rStyle w:val="Hipervnculo"/>
                <w:rFonts w:ascii="Palatino Linotype" w:eastAsia="Calibri" w:hAnsi="Palatino Linotype"/>
                <w:noProof/>
                <w:lang w:eastAsia="es-MX"/>
              </w:rPr>
              <w:t>SEGUNDO. Causales de improcedencia y sobreseimiento</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_Toc205306995 \h </w:instrText>
            </w:r>
            <w:r w:rsidR="00A11C5C" w:rsidRPr="009D1B59">
              <w:rPr>
                <w:noProof/>
                <w:webHidden/>
              </w:rPr>
            </w:r>
            <w:r w:rsidR="00A11C5C" w:rsidRPr="009D1B59">
              <w:rPr>
                <w:noProof/>
                <w:webHidden/>
              </w:rPr>
              <w:fldChar w:fldCharType="separate"/>
            </w:r>
            <w:r w:rsidR="00C47A37">
              <w:rPr>
                <w:noProof/>
                <w:webHidden/>
              </w:rPr>
              <w:t>7</w:t>
            </w:r>
            <w:r w:rsidR="00A11C5C" w:rsidRPr="009D1B59">
              <w:rPr>
                <w:noProof/>
                <w:webHidden/>
              </w:rPr>
              <w:fldChar w:fldCharType="end"/>
            </w:r>
          </w:hyperlink>
        </w:p>
        <w:p w14:paraId="0EEA94A3" w14:textId="77777777" w:rsidR="00A11C5C" w:rsidRPr="009D1B59" w:rsidRDefault="00000000" w:rsidP="000B54EE">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6" w:history="1">
            <w:r w:rsidR="00A11C5C" w:rsidRPr="009D1B59">
              <w:rPr>
                <w:rStyle w:val="Hipervnculo"/>
                <w:rFonts w:ascii="Palatino Linotype" w:eastAsia="Calibri" w:hAnsi="Palatino Linotype" w:cs="Arial"/>
                <w:noProof/>
                <w:lang w:eastAsia="es-ES_tradnl"/>
              </w:rPr>
              <w:t>Causales de sobreseimiento</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_Toc205306996 \h </w:instrText>
            </w:r>
            <w:r w:rsidR="00A11C5C" w:rsidRPr="009D1B59">
              <w:rPr>
                <w:noProof/>
                <w:webHidden/>
              </w:rPr>
            </w:r>
            <w:r w:rsidR="00A11C5C" w:rsidRPr="009D1B59">
              <w:rPr>
                <w:noProof/>
                <w:webHidden/>
              </w:rPr>
              <w:fldChar w:fldCharType="separate"/>
            </w:r>
            <w:r w:rsidR="00C47A37">
              <w:rPr>
                <w:noProof/>
                <w:webHidden/>
              </w:rPr>
              <w:t>8</w:t>
            </w:r>
            <w:r w:rsidR="00A11C5C" w:rsidRPr="009D1B59">
              <w:rPr>
                <w:noProof/>
                <w:webHidden/>
              </w:rPr>
              <w:fldChar w:fldCharType="end"/>
            </w:r>
          </w:hyperlink>
        </w:p>
        <w:p w14:paraId="5854FA32"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7" w:history="1">
            <w:r w:rsidR="00A11C5C" w:rsidRPr="009D1B59">
              <w:rPr>
                <w:rStyle w:val="Hipervnculo"/>
                <w:rFonts w:ascii="Palatino Linotype" w:eastAsia="Calibri" w:hAnsi="Palatino Linotype"/>
                <w:noProof/>
                <w:lang w:eastAsia="es-ES_tradnl"/>
              </w:rPr>
              <w:t>TERCERO. Determinación de la Controversia</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_Toc205306997 \h </w:instrText>
            </w:r>
            <w:r w:rsidR="00A11C5C" w:rsidRPr="009D1B59">
              <w:rPr>
                <w:noProof/>
                <w:webHidden/>
              </w:rPr>
            </w:r>
            <w:r w:rsidR="00A11C5C" w:rsidRPr="009D1B59">
              <w:rPr>
                <w:noProof/>
                <w:webHidden/>
              </w:rPr>
              <w:fldChar w:fldCharType="separate"/>
            </w:r>
            <w:r w:rsidR="00C47A37">
              <w:rPr>
                <w:noProof/>
                <w:webHidden/>
              </w:rPr>
              <w:t>8</w:t>
            </w:r>
            <w:r w:rsidR="00A11C5C" w:rsidRPr="009D1B59">
              <w:rPr>
                <w:noProof/>
                <w:webHidden/>
              </w:rPr>
              <w:fldChar w:fldCharType="end"/>
            </w:r>
          </w:hyperlink>
        </w:p>
        <w:p w14:paraId="4F0F26DB"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8" w:history="1">
            <w:r w:rsidR="00A11C5C" w:rsidRPr="009D1B59">
              <w:rPr>
                <w:rStyle w:val="Hipervnculo"/>
                <w:rFonts w:ascii="Palatino Linotype" w:eastAsia="Calibri" w:hAnsi="Palatino Linotype" w:cs="Arial"/>
                <w:noProof/>
                <w:lang w:eastAsia="es-ES_tradnl"/>
              </w:rPr>
              <w:t>CUARTO. Marco normativo aplicable en materia de transparencia y acceso a la información pública</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_Toc205306998 \h </w:instrText>
            </w:r>
            <w:r w:rsidR="00A11C5C" w:rsidRPr="009D1B59">
              <w:rPr>
                <w:noProof/>
                <w:webHidden/>
              </w:rPr>
            </w:r>
            <w:r w:rsidR="00A11C5C" w:rsidRPr="009D1B59">
              <w:rPr>
                <w:noProof/>
                <w:webHidden/>
              </w:rPr>
              <w:fldChar w:fldCharType="separate"/>
            </w:r>
            <w:r w:rsidR="00C47A37">
              <w:rPr>
                <w:noProof/>
                <w:webHidden/>
              </w:rPr>
              <w:t>8</w:t>
            </w:r>
            <w:r w:rsidR="00A11C5C" w:rsidRPr="009D1B59">
              <w:rPr>
                <w:noProof/>
                <w:webHidden/>
              </w:rPr>
              <w:fldChar w:fldCharType="end"/>
            </w:r>
          </w:hyperlink>
        </w:p>
        <w:p w14:paraId="13527F78"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9" w:history="1">
            <w:r w:rsidR="00A11C5C" w:rsidRPr="009D1B59">
              <w:rPr>
                <w:rStyle w:val="Hipervnculo"/>
                <w:rFonts w:ascii="Palatino Linotype" w:eastAsia="Calibri" w:hAnsi="Palatino Linotype"/>
                <w:noProof/>
                <w:lang w:eastAsia="es-ES_tradnl"/>
              </w:rPr>
              <w:t>QUINTO. Estudio de Fondo</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_Toc205306999 \h </w:instrText>
            </w:r>
            <w:r w:rsidR="00A11C5C" w:rsidRPr="009D1B59">
              <w:rPr>
                <w:noProof/>
                <w:webHidden/>
              </w:rPr>
            </w:r>
            <w:r w:rsidR="00A11C5C" w:rsidRPr="009D1B59">
              <w:rPr>
                <w:noProof/>
                <w:webHidden/>
              </w:rPr>
              <w:fldChar w:fldCharType="separate"/>
            </w:r>
            <w:r w:rsidR="00C47A37">
              <w:rPr>
                <w:noProof/>
                <w:webHidden/>
              </w:rPr>
              <w:t>10</w:t>
            </w:r>
            <w:r w:rsidR="00A11C5C" w:rsidRPr="009D1B59">
              <w:rPr>
                <w:noProof/>
                <w:webHidden/>
              </w:rPr>
              <w:fldChar w:fldCharType="end"/>
            </w:r>
          </w:hyperlink>
        </w:p>
        <w:p w14:paraId="5EF0E540" w14:textId="77777777" w:rsidR="00A11C5C" w:rsidRPr="009D1B59"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0" w:history="1">
            <w:r w:rsidR="00A11C5C" w:rsidRPr="009D1B59">
              <w:rPr>
                <w:rStyle w:val="Hipervnculo"/>
                <w:rFonts w:ascii="Palatino Linotype" w:hAnsi="Palatino Linotype"/>
                <w:noProof/>
              </w:rPr>
              <w:t>SEXTO. Decisión</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_Toc205307000 \h </w:instrText>
            </w:r>
            <w:r w:rsidR="00A11C5C" w:rsidRPr="009D1B59">
              <w:rPr>
                <w:noProof/>
                <w:webHidden/>
              </w:rPr>
            </w:r>
            <w:r w:rsidR="00A11C5C" w:rsidRPr="009D1B59">
              <w:rPr>
                <w:noProof/>
                <w:webHidden/>
              </w:rPr>
              <w:fldChar w:fldCharType="separate"/>
            </w:r>
            <w:r w:rsidR="00C47A37">
              <w:rPr>
                <w:noProof/>
                <w:webHidden/>
              </w:rPr>
              <w:t>20</w:t>
            </w:r>
            <w:r w:rsidR="00A11C5C" w:rsidRPr="009D1B59">
              <w:rPr>
                <w:noProof/>
                <w:webHidden/>
              </w:rPr>
              <w:fldChar w:fldCharType="end"/>
            </w:r>
          </w:hyperlink>
        </w:p>
        <w:p w14:paraId="5A97AD1A" w14:textId="77777777" w:rsidR="00A11C5C" w:rsidRPr="009D1B59" w:rsidRDefault="00000000"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1" w:history="1">
            <w:r w:rsidR="00A11C5C" w:rsidRPr="009D1B59">
              <w:rPr>
                <w:rStyle w:val="Hipervnculo"/>
                <w:rFonts w:ascii="Palatino Linotype" w:eastAsia="Calibri" w:hAnsi="Palatino Linotype"/>
                <w:noProof/>
                <w:lang w:eastAsia="en-US"/>
              </w:rPr>
              <w:t>R E S U E L V E</w:t>
            </w:r>
            <w:r w:rsidR="00A11C5C" w:rsidRPr="009D1B59">
              <w:rPr>
                <w:noProof/>
                <w:webHidden/>
              </w:rPr>
              <w:tab/>
            </w:r>
            <w:r w:rsidR="00A11C5C" w:rsidRPr="009D1B59">
              <w:rPr>
                <w:noProof/>
                <w:webHidden/>
              </w:rPr>
              <w:fldChar w:fldCharType="begin"/>
            </w:r>
            <w:r w:rsidR="00A11C5C" w:rsidRPr="009D1B59">
              <w:rPr>
                <w:noProof/>
                <w:webHidden/>
              </w:rPr>
              <w:instrText xml:space="preserve"> PAGEREF _Toc205307001 \h </w:instrText>
            </w:r>
            <w:r w:rsidR="00A11C5C" w:rsidRPr="009D1B59">
              <w:rPr>
                <w:noProof/>
                <w:webHidden/>
              </w:rPr>
            </w:r>
            <w:r w:rsidR="00A11C5C" w:rsidRPr="009D1B59">
              <w:rPr>
                <w:noProof/>
                <w:webHidden/>
              </w:rPr>
              <w:fldChar w:fldCharType="separate"/>
            </w:r>
            <w:r w:rsidR="00C47A37">
              <w:rPr>
                <w:noProof/>
                <w:webHidden/>
              </w:rPr>
              <w:t>21</w:t>
            </w:r>
            <w:r w:rsidR="00A11C5C" w:rsidRPr="009D1B59">
              <w:rPr>
                <w:noProof/>
                <w:webHidden/>
              </w:rPr>
              <w:fldChar w:fldCharType="end"/>
            </w:r>
          </w:hyperlink>
        </w:p>
        <w:p w14:paraId="07D8AB05" w14:textId="77777777" w:rsidR="00342378" w:rsidRPr="009D1B59" w:rsidRDefault="00342378" w:rsidP="000B54EE">
          <w:pPr>
            <w:spacing w:line="360" w:lineRule="auto"/>
          </w:pPr>
          <w:r w:rsidRPr="009D1B59">
            <w:rPr>
              <w:rFonts w:ascii="Palatino Linotype" w:hAnsi="Palatino Linotype"/>
              <w:sz w:val="22"/>
              <w:szCs w:val="22"/>
              <w:lang w:val="es-ES"/>
            </w:rPr>
            <w:fldChar w:fldCharType="end"/>
          </w:r>
        </w:p>
      </w:sdtContent>
    </w:sdt>
    <w:p w14:paraId="1E2599DD" w14:textId="77777777" w:rsidR="00ED76AF" w:rsidRPr="009D1B59" w:rsidRDefault="00ED76AF" w:rsidP="000B54EE">
      <w:pPr>
        <w:tabs>
          <w:tab w:val="left" w:pos="3969"/>
        </w:tabs>
        <w:spacing w:line="360" w:lineRule="auto"/>
        <w:contextualSpacing/>
        <w:jc w:val="both"/>
        <w:rPr>
          <w:rFonts w:ascii="Palatino Linotype" w:hAnsi="Palatino Linotype" w:cs="Tahoma"/>
          <w:sz w:val="22"/>
          <w:szCs w:val="22"/>
        </w:rPr>
      </w:pPr>
    </w:p>
    <w:p w14:paraId="238C6BDC" w14:textId="77777777" w:rsidR="00501E1B" w:rsidRPr="00FB571A" w:rsidRDefault="00501E1B" w:rsidP="000B54EE">
      <w:pPr>
        <w:tabs>
          <w:tab w:val="left" w:pos="3969"/>
        </w:tabs>
        <w:spacing w:line="360" w:lineRule="auto"/>
        <w:contextualSpacing/>
        <w:jc w:val="both"/>
        <w:rPr>
          <w:rFonts w:ascii="Palatino Linotype" w:hAnsi="Palatino Linotype" w:cs="Tahoma"/>
          <w:bCs/>
          <w:sz w:val="22"/>
          <w:szCs w:val="22"/>
        </w:rPr>
      </w:pPr>
    </w:p>
    <w:p w14:paraId="5D128FB7" w14:textId="77777777" w:rsidR="008E3045" w:rsidRDefault="008E3045">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2C20538C" w14:textId="4E447B6F"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785FCA">
        <w:rPr>
          <w:rFonts w:ascii="Palatino Linotype" w:hAnsi="Palatino Linotype" w:cs="Tahoma"/>
          <w:bCs/>
          <w:sz w:val="22"/>
          <w:szCs w:val="22"/>
        </w:rPr>
        <w:t>diecisiete</w:t>
      </w:r>
      <w:r w:rsidR="00F1586E">
        <w:rPr>
          <w:rFonts w:ascii="Palatino Linotype" w:hAnsi="Palatino Linotype" w:cs="Tahoma"/>
          <w:bCs/>
          <w:sz w:val="22"/>
          <w:szCs w:val="22"/>
        </w:rPr>
        <w:t xml:space="preserve"> de diciembre</w:t>
      </w:r>
      <w:r w:rsidR="008E3045">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6F31E332" w14:textId="77777777" w:rsidR="00E35DF9" w:rsidRPr="00FB571A" w:rsidRDefault="00E35DF9" w:rsidP="000B54EE">
      <w:pPr>
        <w:spacing w:line="360" w:lineRule="auto"/>
        <w:contextualSpacing/>
        <w:jc w:val="both"/>
        <w:rPr>
          <w:rFonts w:ascii="Palatino Linotype" w:hAnsi="Palatino Linotype" w:cs="Tahoma"/>
          <w:bCs/>
          <w:sz w:val="22"/>
          <w:szCs w:val="22"/>
        </w:rPr>
      </w:pPr>
    </w:p>
    <w:p w14:paraId="67E5DDFD" w14:textId="0417BC7F"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785FCA" w:rsidRPr="00726A3E">
        <w:rPr>
          <w:rFonts w:ascii="Palatino Linotype" w:hAnsi="Palatino Linotype" w:cs="Tahoma"/>
          <w:b/>
          <w:color w:val="0D0D0D" w:themeColor="text1" w:themeTint="F2"/>
          <w:sz w:val="22"/>
          <w:szCs w:val="22"/>
        </w:rPr>
        <w:t>12991</w:t>
      </w:r>
      <w:r w:rsidR="0089175F" w:rsidRPr="00726A3E">
        <w:rPr>
          <w:rFonts w:ascii="Palatino Linotype" w:hAnsi="Palatino Linotype" w:cs="Tahoma"/>
          <w:b/>
          <w:color w:val="0D0D0D" w:themeColor="text1" w:themeTint="F2"/>
          <w:sz w:val="22"/>
          <w:szCs w:val="22"/>
        </w:rPr>
        <w:t>/INFOEM/IP/RR/202</w:t>
      </w:r>
      <w:r w:rsidR="00CD10BF" w:rsidRPr="000B54EE">
        <w:rPr>
          <w:rFonts w:ascii="Palatino Linotype" w:hAnsi="Palatino Linotype" w:cs="Tahoma"/>
          <w:color w:val="0D0D0D" w:themeColor="text1" w:themeTint="F2"/>
          <w:sz w:val="22"/>
          <w:szCs w:val="22"/>
        </w:rPr>
        <w:t>5</w:t>
      </w:r>
      <w:r w:rsidR="0089175F" w:rsidRPr="000B54EE">
        <w:rPr>
          <w:rFonts w:ascii="Palatino Linotype" w:hAnsi="Palatino Linotype" w:cs="Tahoma"/>
          <w:color w:val="0D0D0D" w:themeColor="text1" w:themeTint="F2"/>
          <w:sz w:val="22"/>
          <w:szCs w:val="22"/>
        </w:rPr>
        <w:t>,</w:t>
      </w:r>
      <w:r w:rsidRPr="000B54EE">
        <w:rPr>
          <w:rFonts w:ascii="Palatino Linotype" w:hAnsi="Palatino Linotype" w:cs="Tahoma"/>
          <w:color w:val="0D0D0D" w:themeColor="text1" w:themeTint="F2"/>
          <w:sz w:val="22"/>
          <w:szCs w:val="22"/>
        </w:rPr>
        <w:t xml:space="preserve"> interpuesto</w:t>
      </w:r>
      <w:r w:rsidR="00C74F5F" w:rsidRPr="000B54EE">
        <w:rPr>
          <w:rFonts w:ascii="Palatino Linotype" w:hAnsi="Palatino Linotype" w:cs="Tahoma"/>
          <w:color w:val="0D0D0D" w:themeColor="text1" w:themeTint="F2"/>
          <w:sz w:val="22"/>
          <w:szCs w:val="22"/>
        </w:rPr>
        <w:t xml:space="preserve"> </w:t>
      </w:r>
      <w:r w:rsidR="007E4927" w:rsidRPr="000B54EE">
        <w:rPr>
          <w:rFonts w:ascii="Palatino Linotype" w:hAnsi="Palatino Linotype" w:cs="Tahoma"/>
          <w:color w:val="0D0D0D" w:themeColor="text1" w:themeTint="F2"/>
          <w:sz w:val="22"/>
          <w:szCs w:val="22"/>
        </w:rPr>
        <w:t>por</w:t>
      </w:r>
      <w:r w:rsidR="00383BDB" w:rsidRPr="000B54EE">
        <w:rPr>
          <w:rFonts w:ascii="Palatino Linotype" w:hAnsi="Palatino Linotype" w:cs="Tahoma"/>
          <w:color w:val="0D0D0D" w:themeColor="text1" w:themeTint="F2"/>
          <w:sz w:val="22"/>
          <w:szCs w:val="22"/>
        </w:rPr>
        <w:t xml:space="preserve"> </w:t>
      </w:r>
      <w:r w:rsidR="000B54EE">
        <w:rPr>
          <w:rFonts w:ascii="Palatino Linotype" w:hAnsi="Palatino Linotype" w:cs="Tahoma"/>
          <w:color w:val="0D0D0D" w:themeColor="text1" w:themeTint="F2"/>
          <w:sz w:val="22"/>
          <w:szCs w:val="22"/>
        </w:rPr>
        <w:t>la persona</w:t>
      </w:r>
      <w:r w:rsidR="00F770EE" w:rsidRPr="000B54EE">
        <w:rPr>
          <w:rFonts w:ascii="Palatino Linotype" w:hAnsi="Palatino Linotype" w:cs="Tahoma"/>
          <w:color w:val="0D0D0D" w:themeColor="text1" w:themeTint="F2"/>
          <w:sz w:val="22"/>
          <w:szCs w:val="22"/>
        </w:rPr>
        <w:t xml:space="preserve"> </w:t>
      </w:r>
      <w:r w:rsidRPr="000B54EE">
        <w:rPr>
          <w:rFonts w:ascii="Palatino Linotype" w:hAnsi="Palatino Linotype" w:cs="Tahoma"/>
          <w:color w:val="0D0D0D" w:themeColor="text1" w:themeTint="F2"/>
          <w:sz w:val="22"/>
          <w:szCs w:val="22"/>
        </w:rPr>
        <w:t>Recurrente o Particular, en contra de la respuesta del Sujeto Obligado</w:t>
      </w:r>
      <w:r w:rsidRPr="000B54EE">
        <w:rPr>
          <w:rFonts w:ascii="Palatino Linotype" w:hAnsi="Palatino Linotype"/>
          <w:sz w:val="22"/>
          <w:szCs w:val="22"/>
        </w:rPr>
        <w:t xml:space="preserve"> </w:t>
      </w:r>
      <w:r w:rsidR="00785FCA" w:rsidRPr="00726A3E">
        <w:rPr>
          <w:rFonts w:ascii="Palatino Linotype" w:eastAsia="Calibri" w:hAnsi="Palatino Linotype" w:cs="Tahoma"/>
          <w:b/>
          <w:sz w:val="22"/>
          <w:szCs w:val="22"/>
          <w:lang w:eastAsia="en-US"/>
        </w:rPr>
        <w:t>Ayuntamiento de Atizapán de Zaragoza</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7882113E" w14:textId="77777777" w:rsidR="00BB1F81" w:rsidRPr="00FB571A" w:rsidRDefault="00BB1F81" w:rsidP="000B54EE">
      <w:pPr>
        <w:spacing w:line="360" w:lineRule="auto"/>
        <w:contextualSpacing/>
        <w:jc w:val="both"/>
        <w:rPr>
          <w:rFonts w:ascii="Palatino Linotype" w:hAnsi="Palatino Linotype" w:cs="Tahoma"/>
          <w:b/>
          <w:color w:val="0D0D0D" w:themeColor="text1" w:themeTint="F2"/>
          <w:sz w:val="18"/>
          <w:szCs w:val="22"/>
        </w:rPr>
      </w:pPr>
    </w:p>
    <w:p w14:paraId="30DC6BAA" w14:textId="77777777" w:rsidR="00E35DF9" w:rsidRPr="00FB571A" w:rsidRDefault="00E35DF9" w:rsidP="000B54EE">
      <w:pPr>
        <w:pStyle w:val="Ttulo1"/>
        <w:spacing w:before="0" w:line="360" w:lineRule="auto"/>
        <w:jc w:val="center"/>
        <w:rPr>
          <w:rFonts w:ascii="Palatino Linotype" w:hAnsi="Palatino Linotype"/>
          <w:b/>
          <w:sz w:val="22"/>
          <w:szCs w:val="22"/>
        </w:rPr>
      </w:pPr>
      <w:bookmarkStart w:id="1" w:name="_Toc205306983"/>
      <w:r w:rsidRPr="00FB571A">
        <w:rPr>
          <w:rFonts w:ascii="Palatino Linotype" w:hAnsi="Palatino Linotype"/>
          <w:b/>
          <w:color w:val="auto"/>
          <w:sz w:val="22"/>
          <w:szCs w:val="22"/>
        </w:rPr>
        <w:t>A N T E C E D E N T E S</w:t>
      </w:r>
      <w:bookmarkEnd w:id="1"/>
    </w:p>
    <w:p w14:paraId="131B2137" w14:textId="77777777" w:rsidR="001E7B8B" w:rsidRPr="00FB571A" w:rsidRDefault="001E7B8B" w:rsidP="000B54EE">
      <w:pPr>
        <w:pStyle w:val="Prrafodelista"/>
        <w:tabs>
          <w:tab w:val="left" w:pos="567"/>
        </w:tabs>
        <w:spacing w:line="360" w:lineRule="auto"/>
        <w:ind w:left="0"/>
        <w:jc w:val="both"/>
        <w:rPr>
          <w:rFonts w:ascii="Palatino Linotype" w:hAnsi="Palatino Linotype" w:cs="Tahoma"/>
          <w:b/>
          <w:szCs w:val="22"/>
        </w:rPr>
      </w:pPr>
    </w:p>
    <w:p w14:paraId="12D60743" w14:textId="77777777" w:rsidR="00E35DF9" w:rsidRPr="00DB28B1" w:rsidRDefault="00E35DF9" w:rsidP="000B54EE">
      <w:pPr>
        <w:pStyle w:val="Ttulo2"/>
        <w:spacing w:before="0" w:line="360" w:lineRule="auto"/>
        <w:rPr>
          <w:rFonts w:ascii="Palatino Linotype" w:hAnsi="Palatino Linotype"/>
          <w:b/>
          <w:color w:val="auto"/>
          <w:sz w:val="22"/>
          <w:szCs w:val="22"/>
        </w:rPr>
      </w:pPr>
      <w:bookmarkStart w:id="2" w:name="_Toc205306984"/>
      <w:r w:rsidRPr="00DB28B1">
        <w:rPr>
          <w:rFonts w:ascii="Palatino Linotype" w:hAnsi="Palatino Linotype"/>
          <w:b/>
          <w:color w:val="auto"/>
          <w:sz w:val="22"/>
          <w:szCs w:val="22"/>
        </w:rPr>
        <w:t>I. Presentación de la solicitud de información</w:t>
      </w:r>
      <w:bookmarkEnd w:id="2"/>
    </w:p>
    <w:p w14:paraId="37E1455F" w14:textId="77777777" w:rsidR="00E35DF9" w:rsidRPr="00FB571A"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582F118C" w14:textId="1F8B5AB0" w:rsidR="00E35DF9" w:rsidRPr="00FB571A" w:rsidRDefault="00BB1F81" w:rsidP="000B54EE">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785FCA">
        <w:rPr>
          <w:rFonts w:ascii="Palatino Linotype" w:hAnsi="Palatino Linotype" w:cs="Tahoma"/>
          <w:sz w:val="22"/>
          <w:szCs w:val="22"/>
        </w:rPr>
        <w:t xml:space="preserve">dieciséis </w:t>
      </w:r>
      <w:r w:rsidR="008266D8">
        <w:rPr>
          <w:rFonts w:ascii="Palatino Linotype" w:hAnsi="Palatino Linotype" w:cs="Tahoma"/>
          <w:sz w:val="22"/>
          <w:szCs w:val="22"/>
        </w:rPr>
        <w:t>de octubre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785FCA">
        <w:rPr>
          <w:rFonts w:ascii="Palatino Linotype" w:hAnsi="Palatino Linotype" w:cs="Tahoma"/>
          <w:sz w:val="22"/>
          <w:szCs w:val="22"/>
        </w:rPr>
        <w:t>Ayuntamiento de Atizapán de Zaragoza</w:t>
      </w:r>
      <w:r w:rsidR="00E35DF9" w:rsidRPr="000B54EE">
        <w:rPr>
          <w:rFonts w:ascii="Palatino Linotype" w:hAnsi="Palatino Linotype" w:cs="Tahoma"/>
          <w:sz w:val="22"/>
          <w:szCs w:val="22"/>
        </w:rPr>
        <w:t xml:space="preserve">, </w:t>
      </w:r>
      <w:r w:rsidR="003A12F1" w:rsidRPr="000B54EE">
        <w:rPr>
          <w:rFonts w:ascii="Palatino Linotype" w:hAnsi="Palatino Linotype" w:cs="Tahoma"/>
          <w:sz w:val="22"/>
          <w:szCs w:val="22"/>
        </w:rPr>
        <w:t xml:space="preserve">misma que fue registrada con el número de folio </w:t>
      </w:r>
      <w:r w:rsidR="00785FCA" w:rsidRPr="00785FCA">
        <w:rPr>
          <w:rFonts w:ascii="Palatino Linotype" w:hAnsi="Palatino Linotype" w:cs="Tahoma"/>
          <w:sz w:val="22"/>
          <w:szCs w:val="22"/>
        </w:rPr>
        <w:t>00573/ATIZARA/IP/2025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20C0FF01" w14:textId="77777777" w:rsidR="00D807FB" w:rsidRPr="00FB571A" w:rsidRDefault="00D807FB" w:rsidP="000B54EE">
      <w:pPr>
        <w:tabs>
          <w:tab w:val="left" w:pos="567"/>
        </w:tabs>
        <w:spacing w:line="360" w:lineRule="auto"/>
        <w:contextualSpacing/>
        <w:jc w:val="both"/>
        <w:rPr>
          <w:rFonts w:ascii="Palatino Linotype" w:hAnsi="Palatino Linotype" w:cs="Tahoma"/>
          <w:sz w:val="22"/>
        </w:rPr>
      </w:pPr>
    </w:p>
    <w:p w14:paraId="2703865B" w14:textId="77777777" w:rsidR="00D807FB" w:rsidRPr="00FB571A"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4D46255A" w14:textId="22BBF670" w:rsidR="000F2B83" w:rsidRPr="00FB571A" w:rsidRDefault="004B553D" w:rsidP="00F1586E">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785FCA" w:rsidRPr="00785FCA">
        <w:rPr>
          <w:rFonts w:ascii="Palatino Linotype" w:hAnsi="Palatino Linotype"/>
          <w:i/>
          <w:iCs/>
          <w:color w:val="000000"/>
          <w:sz w:val="20"/>
          <w:szCs w:val="20"/>
        </w:rPr>
        <w:t xml:space="preserve">SOLICITO COPIA SIMPLE DIGITALIZADA A TRAVÉS DEL SISTEMA ELECTRONICO SAIMEX DE LOS COMPROBANTES DE TODOS LOS PAGOS REALIZADOS A PERSONAS FISICAS Y MORALES POR LA TESORERIA MUNICIAPAL DE 1 DE SEPTIEMBRE AL 15 DE OCTUBRE DE 2025.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1713D4CD" w14:textId="77777777" w:rsidR="007E4927" w:rsidRPr="00FB571A"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6ED76D8C" w14:textId="77777777" w:rsidR="00E35DF9"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59929316" w14:textId="77777777" w:rsidR="008E3045" w:rsidRDefault="008E3045" w:rsidP="000B54EE">
      <w:pPr>
        <w:pStyle w:val="Prrafodelista"/>
        <w:tabs>
          <w:tab w:val="left" w:pos="567"/>
        </w:tabs>
        <w:spacing w:line="360" w:lineRule="auto"/>
        <w:ind w:left="567" w:right="539"/>
        <w:jc w:val="both"/>
        <w:rPr>
          <w:rFonts w:ascii="Palatino Linotype" w:hAnsi="Palatino Linotype" w:cs="Tahoma"/>
          <w:i/>
          <w:sz w:val="20"/>
          <w:szCs w:val="22"/>
        </w:rPr>
      </w:pPr>
    </w:p>
    <w:p w14:paraId="67219D50" w14:textId="77777777" w:rsidR="00681D84" w:rsidRPr="00FB571A" w:rsidRDefault="00954EDD" w:rsidP="000B54EE">
      <w:pPr>
        <w:pStyle w:val="Ttulo2"/>
        <w:spacing w:before="0" w:line="360" w:lineRule="auto"/>
      </w:pPr>
      <w:bookmarkStart w:id="3" w:name="_Toc205306985"/>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0F9CFC9A" w14:textId="77777777" w:rsidR="00E0128F" w:rsidRPr="00FB571A"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519F8B6D" w14:textId="77777777" w:rsidR="00785FCA"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785FCA">
        <w:rPr>
          <w:rFonts w:ascii="Palatino Linotype" w:hAnsi="Palatino Linotype" w:cs="Tahoma"/>
          <w:sz w:val="22"/>
          <w:szCs w:val="22"/>
        </w:rPr>
        <w:t xml:space="preserve">seis </w:t>
      </w:r>
      <w:r w:rsidR="00F1586E">
        <w:rPr>
          <w:rFonts w:ascii="Palatino Linotype" w:hAnsi="Palatino Linotype" w:cs="Tahoma"/>
          <w:sz w:val="22"/>
          <w:szCs w:val="22"/>
        </w:rPr>
        <w:t>de noviembre</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253861">
        <w:rPr>
          <w:rFonts w:ascii="Palatino Linotype" w:hAnsi="Palatino Linotype" w:cs="Tahoma"/>
          <w:sz w:val="22"/>
          <w:szCs w:val="22"/>
        </w:rPr>
        <w:t xml:space="preserve">a que adjuntó </w:t>
      </w:r>
      <w:r w:rsidR="00785FCA">
        <w:rPr>
          <w:rFonts w:ascii="Palatino Linotype" w:hAnsi="Palatino Linotype" w:cs="Tahoma"/>
          <w:sz w:val="22"/>
          <w:szCs w:val="22"/>
        </w:rPr>
        <w:t>los siguientes archivos:</w:t>
      </w:r>
    </w:p>
    <w:p w14:paraId="41089561" w14:textId="77777777" w:rsidR="00785FCA" w:rsidRDefault="00785FCA" w:rsidP="008E3045">
      <w:pPr>
        <w:autoSpaceDE w:val="0"/>
        <w:autoSpaceDN w:val="0"/>
        <w:adjustRightInd w:val="0"/>
        <w:spacing w:line="360" w:lineRule="auto"/>
        <w:contextualSpacing/>
        <w:jc w:val="both"/>
        <w:rPr>
          <w:rFonts w:ascii="Palatino Linotype" w:hAnsi="Palatino Linotype" w:cs="Tahoma"/>
          <w:sz w:val="22"/>
          <w:szCs w:val="22"/>
        </w:rPr>
      </w:pPr>
    </w:p>
    <w:p w14:paraId="22EE3FB3" w14:textId="7D7A0A0A" w:rsidR="00785FCA" w:rsidRDefault="00785FCA" w:rsidP="006F2560">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785FCA">
        <w:rPr>
          <w:rFonts w:ascii="Palatino Linotype" w:hAnsi="Palatino Linotype" w:cs="Tahoma"/>
          <w:b/>
          <w:bCs/>
          <w:i/>
          <w:iCs/>
          <w:szCs w:val="22"/>
        </w:rPr>
        <w:t>00573-ATIZARA-IP-2025_251031_175812.pdf</w:t>
      </w:r>
      <w:r w:rsidRPr="00785FCA">
        <w:rPr>
          <w:rFonts w:ascii="Palatino Linotype" w:hAnsi="Palatino Linotype" w:cs="Tahoma"/>
          <w:szCs w:val="22"/>
        </w:rPr>
        <w:t xml:space="preserve">: Oficio suscrito por el Tesorero Municipal en el que </w:t>
      </w:r>
      <w:r>
        <w:rPr>
          <w:rFonts w:ascii="Palatino Linotype" w:hAnsi="Palatino Linotype" w:cs="Tahoma"/>
          <w:szCs w:val="22"/>
        </w:rPr>
        <w:t>señaló el cambio de modalidad para la entrega de la información.</w:t>
      </w:r>
    </w:p>
    <w:p w14:paraId="2BC0D202" w14:textId="77777777" w:rsidR="00785FCA" w:rsidRPr="00785FCA" w:rsidRDefault="00785FCA" w:rsidP="00785FCA">
      <w:pPr>
        <w:pStyle w:val="Prrafodelista"/>
        <w:autoSpaceDE w:val="0"/>
        <w:autoSpaceDN w:val="0"/>
        <w:adjustRightInd w:val="0"/>
        <w:spacing w:line="360" w:lineRule="auto"/>
        <w:jc w:val="both"/>
        <w:rPr>
          <w:rFonts w:ascii="Palatino Linotype" w:hAnsi="Palatino Linotype" w:cs="Tahoma"/>
          <w:szCs w:val="22"/>
        </w:rPr>
      </w:pPr>
    </w:p>
    <w:p w14:paraId="5E0AD691" w14:textId="731A51D8" w:rsidR="00785FCA" w:rsidRPr="00785FCA" w:rsidRDefault="00785FCA" w:rsidP="006F2560">
      <w:pPr>
        <w:pStyle w:val="Prrafodelista"/>
        <w:numPr>
          <w:ilvl w:val="0"/>
          <w:numId w:val="2"/>
        </w:numPr>
        <w:autoSpaceDE w:val="0"/>
        <w:autoSpaceDN w:val="0"/>
        <w:adjustRightInd w:val="0"/>
        <w:spacing w:line="360" w:lineRule="auto"/>
        <w:jc w:val="both"/>
        <w:rPr>
          <w:rFonts w:ascii="Palatino Linotype" w:hAnsi="Palatino Linotype" w:cs="Tahoma"/>
          <w:b/>
          <w:bCs/>
          <w:i/>
          <w:iCs/>
          <w:szCs w:val="22"/>
        </w:rPr>
      </w:pPr>
      <w:r w:rsidRPr="00785FCA">
        <w:rPr>
          <w:rFonts w:ascii="Palatino Linotype" w:hAnsi="Palatino Linotype" w:cs="Tahoma"/>
          <w:b/>
          <w:bCs/>
          <w:i/>
          <w:iCs/>
          <w:szCs w:val="22"/>
        </w:rPr>
        <w:t>ROf918CambioModalidadATIZARA2025.pdf</w:t>
      </w:r>
      <w:r>
        <w:rPr>
          <w:rFonts w:ascii="Palatino Linotype" w:hAnsi="Palatino Linotype" w:cs="Tahoma"/>
          <w:b/>
          <w:bCs/>
          <w:i/>
          <w:iCs/>
          <w:szCs w:val="22"/>
        </w:rPr>
        <w:t xml:space="preserve">: </w:t>
      </w:r>
      <w:r>
        <w:rPr>
          <w:rFonts w:ascii="Palatino Linotype" w:hAnsi="Palatino Linotype" w:cs="Tahoma"/>
          <w:szCs w:val="22"/>
        </w:rPr>
        <w:t>Oficio suscrito por el Director General de Informática en el que refirió haber registrado una incidencia técnica.</w:t>
      </w:r>
    </w:p>
    <w:p w14:paraId="1A02D9CD" w14:textId="77777777" w:rsidR="00785FCA" w:rsidRDefault="00785FCA" w:rsidP="008E3045">
      <w:pPr>
        <w:autoSpaceDE w:val="0"/>
        <w:autoSpaceDN w:val="0"/>
        <w:adjustRightInd w:val="0"/>
        <w:spacing w:line="360" w:lineRule="auto"/>
        <w:contextualSpacing/>
        <w:jc w:val="both"/>
        <w:rPr>
          <w:rFonts w:ascii="Palatino Linotype" w:hAnsi="Palatino Linotype" w:cs="Tahoma"/>
          <w:sz w:val="22"/>
          <w:szCs w:val="22"/>
        </w:rPr>
      </w:pPr>
    </w:p>
    <w:p w14:paraId="63BBD2FD" w14:textId="77777777" w:rsidR="001A412B" w:rsidRPr="00FB571A" w:rsidRDefault="007812D1" w:rsidP="000B54EE">
      <w:pPr>
        <w:pStyle w:val="Ttulo2"/>
        <w:spacing w:before="0" w:line="360" w:lineRule="auto"/>
        <w:rPr>
          <w:rFonts w:ascii="Palatino Linotype" w:hAnsi="Palatino Linotype" w:cs="Tahoma"/>
          <w:b/>
          <w:color w:val="auto"/>
          <w:sz w:val="22"/>
          <w:szCs w:val="22"/>
        </w:rPr>
      </w:pPr>
      <w:bookmarkStart w:id="4" w:name="_Toc205306986"/>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379A10E6" w14:textId="77777777" w:rsidR="00F87649" w:rsidRPr="00FB571A"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2C870AFE" w14:textId="56E942A6" w:rsidR="009A7587" w:rsidRPr="00FB571A" w:rsidRDefault="009A7587" w:rsidP="000B54EE">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785FCA">
        <w:rPr>
          <w:rFonts w:ascii="Palatino Linotype" w:hAnsi="Palatino Linotype" w:cs="Tahoma"/>
          <w:sz w:val="22"/>
          <w:szCs w:val="22"/>
        </w:rPr>
        <w:t>once</w:t>
      </w:r>
      <w:r w:rsidR="00F1586E">
        <w:rPr>
          <w:rFonts w:ascii="Palatino Linotype" w:hAnsi="Palatino Linotype" w:cs="Tahoma"/>
          <w:sz w:val="22"/>
          <w:szCs w:val="22"/>
        </w:rPr>
        <w:t xml:space="preserve"> de noviembre</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53BD7808" w14:textId="77777777" w:rsidR="00AB6595" w:rsidRPr="00FB571A" w:rsidRDefault="00AB6595" w:rsidP="000B54EE">
      <w:pPr>
        <w:tabs>
          <w:tab w:val="left" w:pos="4995"/>
        </w:tabs>
        <w:spacing w:line="360" w:lineRule="auto"/>
        <w:contextualSpacing/>
        <w:jc w:val="both"/>
        <w:rPr>
          <w:rFonts w:ascii="Palatino Linotype" w:hAnsi="Palatino Linotype" w:cs="Tahoma"/>
          <w:sz w:val="22"/>
          <w:szCs w:val="22"/>
        </w:rPr>
      </w:pPr>
    </w:p>
    <w:p w14:paraId="26B2A8DE" w14:textId="77777777" w:rsidR="00D5699B" w:rsidRPr="00FB571A" w:rsidRDefault="00D5699B"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2F051DF2" w14:textId="72DB43F6" w:rsidR="003D1770" w:rsidRPr="00FB571A" w:rsidRDefault="007E4927" w:rsidP="000B54EE">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785FCA" w:rsidRPr="00785FCA">
        <w:rPr>
          <w:rFonts w:ascii="Palatino Linotype" w:hAnsi="Palatino Linotype" w:cs="Tahoma"/>
          <w:bCs/>
          <w:i/>
          <w:szCs w:val="22"/>
        </w:rPr>
        <w:t xml:space="preserve">RESPUESTA A LA SOLICITUD 00573/ATIZARA/IP/2025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725AA9D3" w14:textId="77777777" w:rsidR="000B54EE" w:rsidRPr="00FB571A" w:rsidRDefault="000B54EE" w:rsidP="000B54EE">
      <w:pPr>
        <w:spacing w:line="360" w:lineRule="auto"/>
        <w:ind w:left="567" w:right="539"/>
        <w:contextualSpacing/>
        <w:jc w:val="both"/>
        <w:rPr>
          <w:rFonts w:ascii="Palatino Linotype" w:hAnsi="Palatino Linotype" w:cs="Tahoma"/>
          <w:bCs/>
          <w:szCs w:val="22"/>
        </w:rPr>
      </w:pPr>
    </w:p>
    <w:p w14:paraId="1B31E67C" w14:textId="77777777" w:rsidR="00CE2F19" w:rsidRPr="00FB571A" w:rsidRDefault="00CE2F19"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6463ED00" w14:textId="4F4B89E7" w:rsidR="00CE2F19" w:rsidRPr="00FB571A" w:rsidRDefault="00CE2F19" w:rsidP="000B54EE">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785FCA" w:rsidRPr="00785FCA">
        <w:rPr>
          <w:rFonts w:ascii="Palatino Linotype" w:hAnsi="Palatino Linotype" w:cs="Tahoma"/>
          <w:bCs/>
          <w:i/>
          <w:szCs w:val="24"/>
        </w:rPr>
        <w:t xml:space="preserve">EL SUJETO OBLIGADO, A TRAVÉS DEL SERVIDOR PÚBLICO HABILITADO, SUGIERE UN CAMBIO EN LA MODALIDAD DE ENTREGA SIN CUMPLIR LAS FORMALIDADES ESTABLECIDAS EN LA LEY NI FUNDAMENTAR EL ORIGEN DE DICHA DETERMINACIÓN. EN EL OFICIO DE RESPUESTA NO SE PUNTUALIZA EL VOLUMEN DE INFORMACIÓN QUE CONLLEVA LA SOLICITUD PRESENTADA Y POR LO TANTO EL CAMBIO EN LA MODALIDAD DE ENTREGA SE APLICA DE MANERA ARBITRARIA </w:t>
      </w:r>
      <w:r w:rsidR="00785FCA" w:rsidRPr="00785FCA">
        <w:rPr>
          <w:rFonts w:ascii="Palatino Linotype" w:hAnsi="Palatino Linotype" w:cs="Tahoma"/>
          <w:bCs/>
          <w:i/>
          <w:szCs w:val="24"/>
        </w:rPr>
        <w:lastRenderedPageBreak/>
        <w:t>E INFUNDADA. ES DE SEÑALAR QUE LA INFORMACIÓN REQUERIDA POR ESTE SOLICITANTE NO SOBREPASA LA CAPACIDAD DE ALMACENAMIENTO DEL SISTEMA ELECTRÓNICO SAIMEX, PUES ÚNICAMENTE SE SOLICITAN LOS COMPROBANTES DE LOS PAGOS REALIZADOS EN LAS FECHAS ESPECIFICADAS EN LA SOLICITUD Y NO LOS EXPEDIENTES COMPLETOS QUE RESPALDAN DICHOS PAGOS. DE TAL MANERA QUE LA RESPUESTA SE CONFORMA DE UNA FOJA POR CADA PAGO REALIZADO, CONFORMANDO UN VOLUMEN DE INFORMACION QUE SÍ PUEDE SER TRABNSMITIDO A TRAVES DE ESTE SISTEMA ELECTRÓNICO. EL SUJETO OBLIGADO INCLUYE DOLOSAMENTE EL VOLUMEN TOTAL DE LOS EXPEDIENTES PARA ELUDIR SU OBLIGACION DE ENTREGAR LA DOCUMENTACION SOLICITADA. POR LO ANETRIOR Y EN FUNCION DE QUE NO EXISTE FUNDAMENTO PARA APLICAR UN CAMBIO EN LA MODALIDAD DE ENTREGA, SOLICITO SE REVOQUE LA RESPUESTA DEL SUJETO OBLIGADO Y SE APLIQUE EL PRINCIPIO DE MAXIMA ACCESIBILIDAD DE LA INFORMACIÓN PÚBLICA ORDENANDO LA ENTREGA DE LA MISMA A TRAVÉS DE ESTE SISTEMA ELECTRONICO SAIMEX.</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6887FD8D" w14:textId="77777777" w:rsidR="00342378" w:rsidRPr="00FB571A" w:rsidRDefault="00342378" w:rsidP="000B54EE">
      <w:pPr>
        <w:spacing w:line="360" w:lineRule="auto"/>
        <w:ind w:right="539"/>
        <w:contextualSpacing/>
        <w:jc w:val="both"/>
        <w:rPr>
          <w:rFonts w:ascii="Palatino Linotype" w:hAnsi="Palatino Linotype" w:cs="Tahoma"/>
          <w:bCs/>
          <w:i/>
          <w:szCs w:val="24"/>
        </w:rPr>
      </w:pPr>
    </w:p>
    <w:p w14:paraId="44170149" w14:textId="77777777" w:rsidR="009A7587" w:rsidRPr="00FB571A" w:rsidRDefault="00BF4B55" w:rsidP="000B54EE">
      <w:pPr>
        <w:pStyle w:val="Ttulo2"/>
        <w:spacing w:before="0" w:line="360" w:lineRule="auto"/>
        <w:rPr>
          <w:rFonts w:ascii="Palatino Linotype" w:eastAsia="Batang" w:hAnsi="Palatino Linotype" w:cs="Tahoma"/>
          <w:b/>
          <w:bCs/>
          <w:color w:val="auto"/>
          <w:sz w:val="22"/>
          <w:szCs w:val="22"/>
        </w:rPr>
      </w:pPr>
      <w:bookmarkStart w:id="6" w:name="_Toc205306987"/>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4199190C" w14:textId="77777777" w:rsidR="007E4927" w:rsidRPr="00FB571A" w:rsidRDefault="007E4927" w:rsidP="000B54EE">
      <w:pPr>
        <w:spacing w:line="360" w:lineRule="auto"/>
        <w:contextualSpacing/>
        <w:jc w:val="both"/>
        <w:rPr>
          <w:rFonts w:ascii="Palatino Linotype" w:eastAsia="Batang" w:hAnsi="Palatino Linotype" w:cs="Tahoma"/>
          <w:b/>
          <w:bCs/>
          <w:sz w:val="22"/>
          <w:szCs w:val="22"/>
        </w:rPr>
      </w:pPr>
    </w:p>
    <w:p w14:paraId="2962BECC" w14:textId="5624A09C" w:rsidR="00C950E3" w:rsidRPr="00FB571A" w:rsidRDefault="009A7587" w:rsidP="000B54EE">
      <w:pPr>
        <w:spacing w:line="360" w:lineRule="auto"/>
        <w:contextualSpacing/>
        <w:jc w:val="both"/>
        <w:rPr>
          <w:rFonts w:ascii="Palatino Linotype" w:eastAsia="Batang" w:hAnsi="Palatino Linotype" w:cs="Tahoma"/>
          <w:bCs/>
          <w:sz w:val="22"/>
          <w:szCs w:val="22"/>
        </w:rPr>
      </w:pPr>
      <w:bookmarkStart w:id="7" w:name="_Toc205306988"/>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785FCA">
        <w:rPr>
          <w:rFonts w:ascii="Palatino Linotype" w:hAnsi="Palatino Linotype" w:cs="Tahoma"/>
          <w:sz w:val="22"/>
          <w:szCs w:val="22"/>
        </w:rPr>
        <w:t>once</w:t>
      </w:r>
      <w:r w:rsidR="00F1586E">
        <w:rPr>
          <w:rFonts w:ascii="Palatino Linotype" w:hAnsi="Palatino Linotype" w:cs="Tahoma"/>
          <w:sz w:val="22"/>
          <w:szCs w:val="22"/>
        </w:rPr>
        <w:t xml:space="preserve"> de noviembre</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785FCA">
        <w:rPr>
          <w:rFonts w:ascii="Palatino Linotype" w:eastAsia="Batang" w:hAnsi="Palatino Linotype" w:cs="Tahoma"/>
          <w:b/>
          <w:bCs/>
          <w:sz w:val="22"/>
          <w:szCs w:val="22"/>
        </w:rPr>
        <w:t>12991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4C3E5EFE" w14:textId="77777777" w:rsidR="00D5699B" w:rsidRPr="00FB571A" w:rsidRDefault="00D5699B" w:rsidP="000B54EE">
      <w:pPr>
        <w:spacing w:line="360" w:lineRule="auto"/>
        <w:contextualSpacing/>
        <w:jc w:val="both"/>
        <w:rPr>
          <w:rFonts w:ascii="Palatino Linotype" w:eastAsia="Batang" w:hAnsi="Palatino Linotype" w:cs="Tahoma"/>
          <w:b/>
          <w:bCs/>
          <w:sz w:val="22"/>
          <w:szCs w:val="22"/>
        </w:rPr>
      </w:pPr>
    </w:p>
    <w:p w14:paraId="0FCF09AC" w14:textId="4750D42C" w:rsidR="00253937" w:rsidRPr="00FB571A" w:rsidRDefault="009A7587" w:rsidP="000B54EE">
      <w:pPr>
        <w:spacing w:line="360" w:lineRule="auto"/>
        <w:contextualSpacing/>
        <w:jc w:val="both"/>
        <w:rPr>
          <w:rFonts w:ascii="Palatino Linotype" w:hAnsi="Palatino Linotype" w:cs="Tahoma"/>
          <w:bCs/>
          <w:sz w:val="22"/>
          <w:szCs w:val="22"/>
          <w:lang w:val="es-ES_tradnl"/>
        </w:rPr>
      </w:pPr>
      <w:bookmarkStart w:id="8" w:name="_Toc205306989"/>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785FCA">
        <w:rPr>
          <w:rFonts w:ascii="Palatino Linotype" w:hAnsi="Palatino Linotype" w:cs="Tahoma"/>
          <w:bCs/>
          <w:sz w:val="22"/>
          <w:szCs w:val="22"/>
        </w:rPr>
        <w:t>catorce</w:t>
      </w:r>
      <w:r w:rsidR="00F1586E">
        <w:rPr>
          <w:rFonts w:ascii="Palatino Linotype" w:hAnsi="Palatino Linotype" w:cs="Tahoma"/>
          <w:bCs/>
          <w:sz w:val="22"/>
          <w:szCs w:val="22"/>
        </w:rPr>
        <w:t xml:space="preserve"> de noviembre</w:t>
      </w:r>
      <w:r w:rsidR="008E1D82">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 xml:space="preserve">Sujeto </w:t>
      </w:r>
      <w:r w:rsidR="001F787A" w:rsidRPr="00FB571A">
        <w:rPr>
          <w:rFonts w:ascii="Palatino Linotype" w:hAnsi="Palatino Linotype" w:cs="Tahoma"/>
          <w:b/>
          <w:bCs/>
          <w:sz w:val="22"/>
          <w:szCs w:val="22"/>
          <w:lang w:val="es-ES_tradnl"/>
        </w:rPr>
        <w:lastRenderedPageBreak/>
        <w:t>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4B2C555" w14:textId="77777777" w:rsidR="00253937" w:rsidRPr="00FB571A" w:rsidRDefault="00253937" w:rsidP="000B54EE">
      <w:pPr>
        <w:spacing w:line="360" w:lineRule="auto"/>
        <w:contextualSpacing/>
        <w:jc w:val="both"/>
        <w:rPr>
          <w:rFonts w:ascii="Palatino Linotype" w:hAnsi="Palatino Linotype" w:cs="Tahoma"/>
          <w:bCs/>
          <w:sz w:val="22"/>
          <w:szCs w:val="22"/>
          <w:lang w:val="es-ES_tradnl"/>
        </w:rPr>
      </w:pPr>
    </w:p>
    <w:p w14:paraId="6C35B7EB" w14:textId="24A2BE42" w:rsidR="00785FCA" w:rsidRDefault="00785FCA" w:rsidP="00785FCA">
      <w:pPr>
        <w:spacing w:line="360" w:lineRule="auto"/>
        <w:jc w:val="both"/>
        <w:rPr>
          <w:rFonts w:ascii="Palatino Linotype" w:eastAsia="Batang" w:hAnsi="Palatino Linotype" w:cs="Tahoma"/>
          <w:bCs/>
          <w:sz w:val="22"/>
          <w:szCs w:val="22"/>
          <w:lang w:val="es-ES_tradnl"/>
        </w:rPr>
      </w:pPr>
      <w:bookmarkStart w:id="9" w:name="_Toc190261913"/>
      <w:bookmarkStart w:id="10" w:name="_Toc196917717"/>
      <w:bookmarkStart w:id="11" w:name="_Toc205306990"/>
      <w:r w:rsidRPr="00FB571A">
        <w:rPr>
          <w:rStyle w:val="Ttulo3Car"/>
          <w:rFonts w:ascii="Palatino Linotype" w:hAnsi="Palatino Linotype"/>
          <w:b/>
          <w:color w:val="auto"/>
          <w:sz w:val="22"/>
          <w:szCs w:val="22"/>
        </w:rPr>
        <w:t>c) Informe Justificado.</w:t>
      </w:r>
      <w:r w:rsidRPr="00FB571A">
        <w:rPr>
          <w:rFonts w:ascii="Palatino Linotype" w:eastAsia="Batang" w:hAnsi="Palatino Linotype" w:cs="Tahoma"/>
          <w:b/>
          <w:bCs/>
          <w:sz w:val="22"/>
          <w:szCs w:val="22"/>
          <w:lang w:val="es-ES_tradnl"/>
        </w:rPr>
        <w:t xml:space="preserve"> </w:t>
      </w:r>
      <w:r w:rsidRPr="00FB571A">
        <w:rPr>
          <w:rFonts w:ascii="Palatino Linotype" w:eastAsia="Batang" w:hAnsi="Palatino Linotype" w:cs="Tahoma"/>
          <w:bCs/>
          <w:sz w:val="22"/>
          <w:szCs w:val="22"/>
          <w:lang w:val="es-ES_tradnl"/>
        </w:rPr>
        <w:t xml:space="preserve">El </w:t>
      </w:r>
      <w:r>
        <w:rPr>
          <w:rFonts w:ascii="Palatino Linotype" w:hAnsi="Palatino Linotype" w:cs="Tahoma"/>
          <w:sz w:val="22"/>
          <w:szCs w:val="22"/>
        </w:rPr>
        <w:t xml:space="preserve">veinticuatro de noviembre </w:t>
      </w:r>
      <w:r w:rsidRPr="00FB571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Pr>
          <w:rFonts w:ascii="Palatino Linotype" w:eastAsia="Batang" w:hAnsi="Palatino Linotype" w:cs="Tahoma"/>
          <w:bCs/>
          <w:sz w:val="22"/>
          <w:szCs w:val="22"/>
          <w:lang w:val="es-ES_tradnl"/>
        </w:rPr>
        <w:t>ratifico su respuesta</w:t>
      </w:r>
      <w:bookmarkStart w:id="12" w:name="_Toc190261914"/>
      <w:bookmarkStart w:id="13" w:name="_Toc196917718"/>
      <w:r>
        <w:rPr>
          <w:rFonts w:ascii="Palatino Linotype" w:eastAsia="Batang" w:hAnsi="Palatino Linotype" w:cs="Tahoma"/>
          <w:bCs/>
          <w:sz w:val="22"/>
          <w:szCs w:val="22"/>
          <w:lang w:val="es-ES_tradnl"/>
        </w:rPr>
        <w:t>:</w:t>
      </w:r>
    </w:p>
    <w:p w14:paraId="63DDB4AB" w14:textId="77777777" w:rsidR="00785FCA" w:rsidRDefault="00785FCA" w:rsidP="00785FCA">
      <w:pPr>
        <w:spacing w:line="360" w:lineRule="auto"/>
        <w:jc w:val="both"/>
        <w:rPr>
          <w:rStyle w:val="Ttulo3Car"/>
          <w:rFonts w:ascii="Palatino Linotype" w:hAnsi="Palatino Linotype"/>
          <w:b/>
          <w:color w:val="auto"/>
          <w:sz w:val="22"/>
        </w:rPr>
      </w:pPr>
    </w:p>
    <w:p w14:paraId="4B68FF87" w14:textId="2218F3B6" w:rsidR="00785FCA" w:rsidRDefault="00785FCA" w:rsidP="00785FCA">
      <w:pPr>
        <w:spacing w:line="360" w:lineRule="auto"/>
        <w:jc w:val="both"/>
        <w:rPr>
          <w:rFonts w:ascii="Palatino Linotype" w:hAnsi="Palatino Linotype" w:cs="Tahoma"/>
          <w:sz w:val="22"/>
          <w:szCs w:val="22"/>
        </w:rPr>
      </w:pPr>
      <w:bookmarkStart w:id="14" w:name="_Toc205306991"/>
      <w:r w:rsidRPr="00FB571A">
        <w:rPr>
          <w:rStyle w:val="Ttulo3Car"/>
          <w:rFonts w:ascii="Palatino Linotype" w:hAnsi="Palatino Linotype"/>
          <w:b/>
          <w:color w:val="auto"/>
          <w:sz w:val="22"/>
        </w:rPr>
        <w:t>d) Vista del Informe Justificado.</w:t>
      </w:r>
      <w:bookmarkEnd w:id="12"/>
      <w:bookmarkEnd w:id="13"/>
      <w:bookmarkEnd w:id="14"/>
      <w:r w:rsidRPr="00FB571A">
        <w:rPr>
          <w:rFonts w:ascii="Palatino Linotype" w:hAnsi="Palatino Linotype" w:cs="Tahoma"/>
          <w:sz w:val="18"/>
          <w:szCs w:val="22"/>
        </w:rPr>
        <w:t xml:space="preserve"> </w:t>
      </w:r>
      <w:r w:rsidRPr="00FB571A">
        <w:rPr>
          <w:rFonts w:ascii="Palatino Linotype" w:hAnsi="Palatino Linotype" w:cs="Tahoma"/>
          <w:sz w:val="22"/>
          <w:szCs w:val="22"/>
        </w:rPr>
        <w:t xml:space="preserve">El </w:t>
      </w:r>
      <w:r>
        <w:rPr>
          <w:rFonts w:ascii="Palatino Linotype" w:hAnsi="Palatino Linotype" w:cs="Tahoma"/>
          <w:sz w:val="22"/>
          <w:szCs w:val="22"/>
        </w:rPr>
        <w:t xml:space="preserve">diez de diciembre </w:t>
      </w:r>
      <w:r w:rsidRPr="00FB571A">
        <w:rPr>
          <w:rFonts w:ascii="Palatino Linotype" w:hAnsi="Palatino Linotype" w:cs="Tahoma"/>
          <w:sz w:val="22"/>
          <w:szCs w:val="22"/>
        </w:rPr>
        <w:t xml:space="preserve">de dos mil veinticinco, se dictó acuerdo mediante el cual se puso a la vista del Particular, el Informe Justificado, el cual le fue notificado, en esa misma fecha, a través del SAIMEX. </w:t>
      </w:r>
    </w:p>
    <w:p w14:paraId="225507FA" w14:textId="77777777" w:rsidR="000D1F7E" w:rsidRPr="00FB571A" w:rsidRDefault="000D1F7E" w:rsidP="00785FCA">
      <w:pPr>
        <w:spacing w:line="360" w:lineRule="auto"/>
        <w:jc w:val="both"/>
        <w:rPr>
          <w:rFonts w:ascii="Palatino Linotype" w:hAnsi="Palatino Linotype" w:cs="Tahoma"/>
          <w:sz w:val="22"/>
          <w:szCs w:val="22"/>
        </w:rPr>
      </w:pPr>
    </w:p>
    <w:p w14:paraId="0E3EB1FA" w14:textId="6AFD43BE" w:rsidR="00253861" w:rsidRDefault="000D1F7E" w:rsidP="000B54EE">
      <w:pPr>
        <w:spacing w:line="360" w:lineRule="auto"/>
        <w:jc w:val="both"/>
        <w:rPr>
          <w:rStyle w:val="Ttulo3Car"/>
          <w:rFonts w:ascii="Palatino Linotype" w:hAnsi="Palatino Linotype"/>
          <w:bCs/>
          <w:color w:val="auto"/>
          <w:sz w:val="22"/>
          <w:szCs w:val="22"/>
        </w:rPr>
      </w:pPr>
      <w:r>
        <w:rPr>
          <w:rStyle w:val="Ttulo3Car"/>
          <w:rFonts w:ascii="Palatino Linotype" w:hAnsi="Palatino Linotype"/>
          <w:b/>
          <w:color w:val="auto"/>
          <w:sz w:val="22"/>
          <w:szCs w:val="22"/>
        </w:rPr>
        <w:t xml:space="preserve">e) Manifestaciones del Recurrente. </w:t>
      </w:r>
      <w:r>
        <w:rPr>
          <w:rStyle w:val="Ttulo3Car"/>
          <w:rFonts w:ascii="Palatino Linotype" w:hAnsi="Palatino Linotype"/>
          <w:bCs/>
          <w:color w:val="auto"/>
          <w:sz w:val="22"/>
          <w:szCs w:val="22"/>
        </w:rPr>
        <w:t>El once de diciembre de dos mil veinticinco el Particular remitió a través del SAIMEX sus manifestaciones en las que señaló lo siguiente:</w:t>
      </w:r>
    </w:p>
    <w:p w14:paraId="1F7A0179" w14:textId="77777777" w:rsidR="000D1F7E" w:rsidRDefault="000D1F7E" w:rsidP="000B54EE">
      <w:pPr>
        <w:spacing w:line="360" w:lineRule="auto"/>
        <w:jc w:val="both"/>
        <w:rPr>
          <w:rFonts w:ascii="Palatino Linotype" w:eastAsiaTheme="majorEastAsia" w:hAnsi="Palatino Linotype" w:cstheme="majorBidi"/>
          <w:bCs/>
          <w:sz w:val="22"/>
          <w:szCs w:val="22"/>
        </w:rPr>
      </w:pPr>
    </w:p>
    <w:p w14:paraId="692AE31F" w14:textId="77777777" w:rsidR="000D1F7E" w:rsidRDefault="000D1F7E" w:rsidP="000D1F7E">
      <w:pPr>
        <w:spacing w:line="360" w:lineRule="auto"/>
        <w:ind w:left="567" w:right="539"/>
        <w:jc w:val="both"/>
        <w:rPr>
          <w:rFonts w:ascii="Palatino Linotype" w:eastAsiaTheme="majorEastAsia" w:hAnsi="Palatino Linotype" w:cstheme="majorBidi"/>
          <w:bCs/>
          <w:i/>
          <w:iCs/>
        </w:rPr>
      </w:pPr>
      <w:r w:rsidRPr="000D1F7E">
        <w:rPr>
          <w:rFonts w:ascii="Palatino Linotype" w:eastAsiaTheme="majorEastAsia" w:hAnsi="Palatino Linotype" w:cstheme="majorBidi"/>
          <w:bCs/>
          <w:i/>
          <w:iCs/>
        </w:rPr>
        <w:t xml:space="preserve">LA RESPUESTA DEL SUJETO OBLIGADO CONFIRMA QUE: </w:t>
      </w:r>
    </w:p>
    <w:p w14:paraId="04F8E178" w14:textId="77777777" w:rsidR="000D1F7E" w:rsidRDefault="000D1F7E" w:rsidP="000D1F7E">
      <w:pPr>
        <w:spacing w:line="360" w:lineRule="auto"/>
        <w:ind w:left="567" w:right="539"/>
        <w:jc w:val="both"/>
        <w:rPr>
          <w:rFonts w:ascii="Palatino Linotype" w:eastAsiaTheme="majorEastAsia" w:hAnsi="Palatino Linotype" w:cstheme="majorBidi"/>
          <w:bCs/>
          <w:i/>
          <w:iCs/>
        </w:rPr>
      </w:pPr>
      <w:r w:rsidRPr="000D1F7E">
        <w:rPr>
          <w:rFonts w:ascii="Palatino Linotype" w:eastAsiaTheme="majorEastAsia" w:hAnsi="Palatino Linotype" w:cstheme="majorBidi"/>
          <w:bCs/>
          <w:i/>
          <w:iCs/>
        </w:rPr>
        <w:t xml:space="preserve">1.- POSEE EN SUS ARCHIVOS LA INFORMACIÓN SOLICITADA </w:t>
      </w:r>
    </w:p>
    <w:p w14:paraId="2599D1D0" w14:textId="1912E571" w:rsidR="000D1F7E" w:rsidRDefault="000D1F7E" w:rsidP="000D1F7E">
      <w:pPr>
        <w:spacing w:line="360" w:lineRule="auto"/>
        <w:ind w:left="567" w:right="539"/>
        <w:jc w:val="both"/>
        <w:rPr>
          <w:rFonts w:ascii="Palatino Linotype" w:eastAsiaTheme="majorEastAsia" w:hAnsi="Palatino Linotype" w:cstheme="majorBidi"/>
          <w:bCs/>
          <w:i/>
          <w:iCs/>
        </w:rPr>
      </w:pPr>
      <w:r w:rsidRPr="000D1F7E">
        <w:rPr>
          <w:rFonts w:ascii="Palatino Linotype" w:eastAsiaTheme="majorEastAsia" w:hAnsi="Palatino Linotype" w:cstheme="majorBidi"/>
          <w:bCs/>
          <w:i/>
          <w:iCs/>
        </w:rPr>
        <w:t xml:space="preserve">2.- QUE FUE OMISO DE REALIZAR UNA BÚSQUEDA EXAHUSTIVA DE LA MISMA COMO MARCA LA LEY, A PESAR DE QUE EN LA SOLICITUD SE EXPRESA CON TODA CLARIDAD Y PRECISIÓN LA INFORMACIÓN REQUERIDA. </w:t>
      </w:r>
    </w:p>
    <w:p w14:paraId="053F3C8A" w14:textId="77777777" w:rsidR="000D1F7E" w:rsidRDefault="000D1F7E" w:rsidP="000D1F7E">
      <w:pPr>
        <w:spacing w:line="360" w:lineRule="auto"/>
        <w:ind w:left="567" w:right="539"/>
        <w:jc w:val="both"/>
        <w:rPr>
          <w:rFonts w:ascii="Palatino Linotype" w:eastAsiaTheme="majorEastAsia" w:hAnsi="Palatino Linotype" w:cstheme="majorBidi"/>
          <w:bCs/>
          <w:i/>
          <w:iCs/>
        </w:rPr>
      </w:pPr>
      <w:r w:rsidRPr="000D1F7E">
        <w:rPr>
          <w:rFonts w:ascii="Palatino Linotype" w:eastAsiaTheme="majorEastAsia" w:hAnsi="Palatino Linotype" w:cstheme="majorBidi"/>
          <w:bCs/>
          <w:i/>
          <w:iCs/>
        </w:rPr>
        <w:t xml:space="preserve">3.- QUE DE ELLO RESULTA INFUNDADO EL CAMBIO EN LA MODALIDAD DE ENTREGA QUE PROPONE </w:t>
      </w:r>
    </w:p>
    <w:p w14:paraId="79D0CB8B" w14:textId="77777777" w:rsidR="000D1F7E" w:rsidRDefault="000D1F7E" w:rsidP="000D1F7E">
      <w:pPr>
        <w:spacing w:line="360" w:lineRule="auto"/>
        <w:ind w:left="567" w:right="539"/>
        <w:jc w:val="both"/>
        <w:rPr>
          <w:rFonts w:ascii="Palatino Linotype" w:eastAsiaTheme="majorEastAsia" w:hAnsi="Palatino Linotype" w:cstheme="majorBidi"/>
          <w:bCs/>
          <w:i/>
          <w:iCs/>
        </w:rPr>
      </w:pPr>
      <w:r w:rsidRPr="000D1F7E">
        <w:rPr>
          <w:rFonts w:ascii="Palatino Linotype" w:eastAsiaTheme="majorEastAsia" w:hAnsi="Palatino Linotype" w:cstheme="majorBidi"/>
          <w:bCs/>
          <w:i/>
          <w:iCs/>
        </w:rPr>
        <w:t>4.- QUE EL SUJETO OBLIGADO NO EMITE EL ACUERDO NECESARIO PARA APROBAR UN EVENTUAL CAMBIO EN LA MODALIDAD DE ENTREGA.</w:t>
      </w:r>
    </w:p>
    <w:p w14:paraId="3A33FD29" w14:textId="77777777" w:rsidR="000D1F7E" w:rsidRDefault="000D1F7E" w:rsidP="000D1F7E">
      <w:pPr>
        <w:spacing w:line="360" w:lineRule="auto"/>
        <w:ind w:left="567" w:right="539"/>
        <w:jc w:val="both"/>
        <w:rPr>
          <w:rFonts w:ascii="Palatino Linotype" w:eastAsiaTheme="majorEastAsia" w:hAnsi="Palatino Linotype" w:cstheme="majorBidi"/>
          <w:bCs/>
          <w:i/>
          <w:iCs/>
        </w:rPr>
      </w:pPr>
      <w:r w:rsidRPr="000D1F7E">
        <w:rPr>
          <w:rFonts w:ascii="Palatino Linotype" w:eastAsiaTheme="majorEastAsia" w:hAnsi="Palatino Linotype" w:cstheme="majorBidi"/>
          <w:bCs/>
          <w:i/>
          <w:iCs/>
        </w:rPr>
        <w:lastRenderedPageBreak/>
        <w:t xml:space="preserve"> 5.- QUE EL VOLUMEN DE SUS EXPEDIENTES NO ES CAUSA PARA INCUMPLIR CON LAS RESPONSABILIDADES DEL SUJETO OBLIGADO EN MATERIA DE TRANSPARECIA Y ACCESO A LA INFORMACIÓN PÚBLICA, DADO QUE VALIDARLO EN LA PRÁCTICA ANULARÍA DE FACTO EL DERECHO A LA INFORMACIÓN DE LOS CIUDADSANOS. </w:t>
      </w:r>
    </w:p>
    <w:p w14:paraId="176FAABA" w14:textId="77777777" w:rsidR="000D1F7E" w:rsidRDefault="000D1F7E" w:rsidP="000D1F7E">
      <w:pPr>
        <w:spacing w:line="360" w:lineRule="auto"/>
        <w:ind w:left="567" w:right="539"/>
        <w:jc w:val="both"/>
        <w:rPr>
          <w:rFonts w:ascii="Palatino Linotype" w:eastAsiaTheme="majorEastAsia" w:hAnsi="Palatino Linotype" w:cstheme="majorBidi"/>
          <w:bCs/>
          <w:i/>
          <w:iCs/>
        </w:rPr>
      </w:pPr>
    </w:p>
    <w:p w14:paraId="579F6A63" w14:textId="7783D42D" w:rsidR="000D1F7E" w:rsidRDefault="000D1F7E" w:rsidP="000D1F7E">
      <w:pPr>
        <w:spacing w:line="360" w:lineRule="auto"/>
        <w:ind w:left="567" w:right="539"/>
        <w:jc w:val="both"/>
        <w:rPr>
          <w:rFonts w:ascii="Palatino Linotype" w:eastAsiaTheme="majorEastAsia" w:hAnsi="Palatino Linotype" w:cstheme="majorBidi"/>
          <w:bCs/>
          <w:i/>
          <w:iCs/>
        </w:rPr>
      </w:pPr>
      <w:r w:rsidRPr="000D1F7E">
        <w:rPr>
          <w:rFonts w:ascii="Palatino Linotype" w:eastAsiaTheme="majorEastAsia" w:hAnsi="Palatino Linotype" w:cstheme="majorBidi"/>
          <w:bCs/>
          <w:i/>
          <w:iCs/>
        </w:rPr>
        <w:t>POR LO ANTERIOR, SOLICITO SE REVOQUE LA RESPUESTA DEL SUJETO OBLIGADO Y SE ORDENE LA ENTREGA DE LA INFORMACION SOLICITADA A TRAVÉS DEL SISTEMA ELECTRÓNIUCO SAIMEX.</w:t>
      </w:r>
    </w:p>
    <w:p w14:paraId="2BF4BD39" w14:textId="77777777" w:rsidR="000D1F7E" w:rsidRPr="000D1F7E" w:rsidRDefault="000D1F7E" w:rsidP="000D1F7E">
      <w:pPr>
        <w:spacing w:line="360" w:lineRule="auto"/>
        <w:ind w:left="567" w:right="539"/>
        <w:jc w:val="both"/>
        <w:rPr>
          <w:rStyle w:val="Ttulo3Car"/>
          <w:rFonts w:ascii="Palatino Linotype" w:hAnsi="Palatino Linotype"/>
          <w:bCs/>
          <w:i/>
          <w:iCs/>
          <w:color w:val="auto"/>
          <w:sz w:val="20"/>
          <w:szCs w:val="20"/>
        </w:rPr>
      </w:pPr>
    </w:p>
    <w:p w14:paraId="163E7DAB" w14:textId="16ACD294" w:rsidR="00ED5DF5" w:rsidRPr="00FB571A" w:rsidRDefault="000D1F7E" w:rsidP="000B54EE">
      <w:pPr>
        <w:spacing w:line="360" w:lineRule="auto"/>
        <w:jc w:val="both"/>
        <w:rPr>
          <w:rFonts w:ascii="Palatino Linotype" w:hAnsi="Palatino Linotype" w:cs="Tahoma"/>
          <w:sz w:val="22"/>
          <w:szCs w:val="22"/>
        </w:rPr>
      </w:pPr>
      <w:bookmarkStart w:id="15" w:name="_Toc205306992"/>
      <w:bookmarkEnd w:id="9"/>
      <w:bookmarkEnd w:id="10"/>
      <w:bookmarkEnd w:id="11"/>
      <w:r>
        <w:rPr>
          <w:rStyle w:val="Ttulo3Car"/>
          <w:rFonts w:ascii="Palatino Linotype" w:hAnsi="Palatino Linotype"/>
          <w:b/>
          <w:color w:val="auto"/>
          <w:sz w:val="22"/>
          <w:szCs w:val="22"/>
        </w:rPr>
        <w:t>f</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5"/>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785FCA">
        <w:rPr>
          <w:rFonts w:ascii="Palatino Linotype" w:hAnsi="Palatino Linotype" w:cs="Tahoma"/>
          <w:sz w:val="22"/>
          <w:szCs w:val="22"/>
        </w:rPr>
        <w:t>dieciséis de diciembre</w:t>
      </w:r>
      <w:r w:rsidR="008266D8">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7667C549" w14:textId="77777777" w:rsidR="0079675C" w:rsidRPr="00FB571A" w:rsidRDefault="0079675C" w:rsidP="000B54EE">
      <w:pPr>
        <w:spacing w:line="360" w:lineRule="auto"/>
        <w:jc w:val="both"/>
        <w:rPr>
          <w:rFonts w:ascii="Palatino Linotype" w:hAnsi="Palatino Linotype" w:cs="Tahoma"/>
          <w:sz w:val="22"/>
          <w:szCs w:val="22"/>
        </w:rPr>
      </w:pPr>
    </w:p>
    <w:p w14:paraId="06087C42" w14:textId="77777777" w:rsidR="004F2D88" w:rsidRDefault="004F2D88" w:rsidP="000B54EE">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0E939179" w14:textId="77777777" w:rsidR="008266D8" w:rsidRPr="00FB571A" w:rsidRDefault="008266D8" w:rsidP="000B54EE">
      <w:pPr>
        <w:spacing w:line="360" w:lineRule="auto"/>
        <w:contextualSpacing/>
        <w:jc w:val="both"/>
        <w:rPr>
          <w:rFonts w:ascii="Palatino Linotype" w:hAnsi="Palatino Linotype" w:cs="Tahoma"/>
          <w:color w:val="000000"/>
          <w:sz w:val="22"/>
          <w:szCs w:val="22"/>
        </w:rPr>
      </w:pPr>
    </w:p>
    <w:p w14:paraId="4E4089DA" w14:textId="77777777" w:rsidR="00EA4E4A" w:rsidRPr="00FB571A" w:rsidRDefault="00EA4E4A" w:rsidP="000B54EE">
      <w:pPr>
        <w:pStyle w:val="Ttulo1"/>
        <w:spacing w:before="0" w:line="360" w:lineRule="auto"/>
        <w:jc w:val="center"/>
        <w:rPr>
          <w:rFonts w:ascii="Palatino Linotype" w:hAnsi="Palatino Linotype"/>
          <w:b/>
          <w:color w:val="auto"/>
          <w:sz w:val="22"/>
          <w:szCs w:val="22"/>
        </w:rPr>
      </w:pPr>
      <w:bookmarkStart w:id="16" w:name="_Toc205306993"/>
      <w:r w:rsidRPr="00FB571A">
        <w:rPr>
          <w:rFonts w:ascii="Palatino Linotype" w:hAnsi="Palatino Linotype"/>
          <w:b/>
          <w:color w:val="auto"/>
          <w:sz w:val="22"/>
          <w:szCs w:val="22"/>
        </w:rPr>
        <w:t>C O N S I D E R A N D O S</w:t>
      </w:r>
      <w:bookmarkEnd w:id="16"/>
    </w:p>
    <w:p w14:paraId="1CF54132" w14:textId="77777777" w:rsidR="00EA4E4A" w:rsidRPr="00FB571A" w:rsidRDefault="00EA4E4A" w:rsidP="000B54EE">
      <w:pPr>
        <w:spacing w:line="360" w:lineRule="auto"/>
        <w:contextualSpacing/>
        <w:jc w:val="both"/>
        <w:rPr>
          <w:rFonts w:ascii="Palatino Linotype" w:hAnsi="Palatino Linotype" w:cs="Tahoma"/>
          <w:b/>
          <w:sz w:val="22"/>
          <w:szCs w:val="22"/>
        </w:rPr>
      </w:pPr>
    </w:p>
    <w:p w14:paraId="07D2DC35" w14:textId="77777777" w:rsidR="00EA4E4A" w:rsidRPr="00FB571A" w:rsidRDefault="00EA4E4A" w:rsidP="000B54EE">
      <w:pPr>
        <w:pStyle w:val="Ttulo2"/>
        <w:spacing w:before="0" w:line="360" w:lineRule="auto"/>
        <w:rPr>
          <w:rFonts w:ascii="Palatino Linotype" w:hAnsi="Palatino Linotype"/>
          <w:b/>
          <w:sz w:val="22"/>
          <w:szCs w:val="22"/>
        </w:rPr>
      </w:pPr>
      <w:bookmarkStart w:id="17" w:name="_Toc205306994"/>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7"/>
    </w:p>
    <w:p w14:paraId="3F5683D8" w14:textId="77777777" w:rsidR="00EA4E4A" w:rsidRPr="00FB571A"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750CBDD9" w14:textId="77777777" w:rsidR="00692FA8" w:rsidRDefault="00692FA8" w:rsidP="00692FA8">
      <w:pPr>
        <w:spacing w:line="360" w:lineRule="auto"/>
        <w:jc w:val="both"/>
        <w:rPr>
          <w:rFonts w:ascii="Palatino Linotype" w:eastAsia="Calibri" w:hAnsi="Palatino Linotype" w:cs="Tahoma"/>
          <w:color w:val="000000"/>
          <w:sz w:val="22"/>
          <w:szCs w:val="22"/>
          <w:lang w:eastAsia="es-MX"/>
        </w:rPr>
      </w:pPr>
      <w:r w:rsidRPr="004310A8">
        <w:rPr>
          <w:rFonts w:ascii="Palatino Linotype" w:eastAsia="Calibri" w:hAnsi="Palatino Linotype" w:cs="Tahoma"/>
          <w:color w:val="000000"/>
          <w:sz w:val="22"/>
          <w:szCs w:val="22"/>
          <w:lang w:eastAsia="es-MX"/>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4DC1982" w14:textId="77777777" w:rsidR="008266D8" w:rsidRPr="00A36B6A" w:rsidRDefault="008266D8" w:rsidP="008266D8">
      <w:pPr>
        <w:spacing w:line="360" w:lineRule="auto"/>
        <w:jc w:val="both"/>
        <w:rPr>
          <w:rFonts w:ascii="Palatino Linotype" w:eastAsia="Palatino Linotype" w:hAnsi="Palatino Linotype" w:cs="Palatino Linotype"/>
          <w:color w:val="000000" w:themeColor="text1"/>
          <w:sz w:val="22"/>
          <w:szCs w:val="22"/>
          <w:lang w:eastAsia="es-MX"/>
        </w:rPr>
      </w:pPr>
    </w:p>
    <w:p w14:paraId="0ACB4475" w14:textId="77777777" w:rsidR="00CE0B4C" w:rsidRPr="00FB571A" w:rsidRDefault="00CE0B4C" w:rsidP="000B54EE">
      <w:pPr>
        <w:pStyle w:val="Ttulo2"/>
        <w:spacing w:before="0" w:line="360" w:lineRule="auto"/>
        <w:rPr>
          <w:rFonts w:ascii="Palatino Linotype" w:eastAsia="Calibri" w:hAnsi="Palatino Linotype"/>
          <w:b/>
          <w:color w:val="auto"/>
          <w:sz w:val="22"/>
          <w:szCs w:val="22"/>
          <w:lang w:eastAsia="es-MX"/>
        </w:rPr>
      </w:pPr>
      <w:bookmarkStart w:id="18" w:name="_Toc205306995"/>
      <w:r w:rsidRPr="00FB571A">
        <w:rPr>
          <w:rFonts w:ascii="Palatino Linotype" w:eastAsia="Calibri" w:hAnsi="Palatino Linotype"/>
          <w:b/>
          <w:color w:val="auto"/>
          <w:sz w:val="22"/>
          <w:szCs w:val="22"/>
          <w:lang w:eastAsia="es-MX"/>
        </w:rPr>
        <w:t>SEGUNDO. Causales de improcedencia y sobreseimiento</w:t>
      </w:r>
      <w:bookmarkEnd w:id="18"/>
    </w:p>
    <w:p w14:paraId="330DE0C5" w14:textId="77777777" w:rsidR="00566562" w:rsidRPr="00FB571A"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674BC1C"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7615025"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B4C6A58"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w:t>
      </w:r>
      <w:r w:rsidRPr="00FB571A">
        <w:rPr>
          <w:rFonts w:ascii="Palatino Linotype" w:eastAsia="Calibri" w:hAnsi="Palatino Linotype" w:cs="Tahoma"/>
          <w:color w:val="000000"/>
          <w:sz w:val="22"/>
          <w:szCs w:val="22"/>
          <w:lang w:eastAsia="es-MX"/>
        </w:rPr>
        <w:lastRenderedPageBreak/>
        <w:t>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D986FB6" w14:textId="77777777" w:rsidR="00BF4B55" w:rsidRPr="00FB571A"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C02665E" w14:textId="77777777" w:rsidR="00CE0B4C" w:rsidRPr="00FB571A"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19" w:name="_Toc205306996"/>
      <w:r w:rsidRPr="00FB571A">
        <w:rPr>
          <w:rFonts w:ascii="Palatino Linotype" w:eastAsia="Calibri" w:hAnsi="Palatino Linotype" w:cs="Arial"/>
          <w:b/>
          <w:color w:val="auto"/>
          <w:sz w:val="22"/>
          <w:szCs w:val="22"/>
          <w:lang w:eastAsia="es-ES_tradnl"/>
        </w:rPr>
        <w:t>Causales de sobreseimiento</w:t>
      </w:r>
      <w:bookmarkEnd w:id="19"/>
    </w:p>
    <w:p w14:paraId="131E0868" w14:textId="77777777" w:rsidR="00B02FEF" w:rsidRPr="00420479" w:rsidRDefault="00B02FEF" w:rsidP="00B02FEF">
      <w:pPr>
        <w:spacing w:line="360" w:lineRule="auto"/>
        <w:jc w:val="both"/>
        <w:rPr>
          <w:rFonts w:ascii="Palatino Linotype" w:eastAsia="Calibri" w:hAnsi="Palatino Linotype" w:cs="Tahoma"/>
          <w:sz w:val="22"/>
          <w:szCs w:val="22"/>
          <w:lang w:eastAsia="es-ES_tradnl"/>
        </w:rPr>
      </w:pPr>
      <w:bookmarkStart w:id="20" w:name="_Toc205306997"/>
    </w:p>
    <w:p w14:paraId="65E32B42" w14:textId="6D7147CD" w:rsidR="00B02FEF" w:rsidRDefault="00785FCA" w:rsidP="00B02FEF">
      <w:pPr>
        <w:spacing w:line="360" w:lineRule="auto"/>
        <w:jc w:val="both"/>
        <w:rPr>
          <w:rFonts w:ascii="Palatino Linotype" w:eastAsia="Calibri" w:hAnsi="Palatino Linotype" w:cs="Tahoma"/>
          <w:sz w:val="22"/>
          <w:szCs w:val="22"/>
          <w:lang w:eastAsia="es-ES_tradnl"/>
        </w:rPr>
      </w:pPr>
      <w:r w:rsidRPr="00785FCA">
        <w:rPr>
          <w:rFonts w:ascii="Palatino Linotype" w:eastAsia="Calibri" w:hAnsi="Palatino Linotype" w:cs="Tahoma"/>
          <w:sz w:val="22"/>
          <w:szCs w:val="22"/>
          <w:lang w:eastAsia="es-ES_tradnl"/>
        </w:rPr>
        <w:t>Por lo que hace a las causales de sobreseimiento, del análisis realizado por este Instituto, se advierte que no se actualiza ninguna de las previstas por el artículo 192 de la Ley de Transparencia y Acceso a la Información Pública del Estado de México y Municipios; 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Por tales motivos, se considera procedente entrar al fondo del presente asunto.</w:t>
      </w:r>
    </w:p>
    <w:p w14:paraId="43185327" w14:textId="77777777" w:rsidR="00785FCA" w:rsidRDefault="00785FCA" w:rsidP="00B02FEF">
      <w:pPr>
        <w:spacing w:line="360" w:lineRule="auto"/>
        <w:jc w:val="both"/>
        <w:rPr>
          <w:rFonts w:ascii="Palatino Linotype" w:eastAsia="Calibri" w:hAnsi="Palatino Linotype" w:cs="Tahoma"/>
          <w:sz w:val="22"/>
          <w:szCs w:val="22"/>
          <w:lang w:eastAsia="es-ES_tradnl"/>
        </w:rPr>
      </w:pPr>
    </w:p>
    <w:p w14:paraId="56FF7F95" w14:textId="77777777" w:rsidR="00CE0B4C" w:rsidRPr="00FB571A" w:rsidRDefault="00CE0B4C" w:rsidP="000B54EE">
      <w:pPr>
        <w:pStyle w:val="Ttulo2"/>
        <w:spacing w:before="0" w:line="360" w:lineRule="auto"/>
        <w:rPr>
          <w:rFonts w:ascii="Palatino Linotype" w:eastAsia="Calibri" w:hAnsi="Palatino Linotype"/>
          <w:b/>
          <w:color w:val="auto"/>
          <w:sz w:val="22"/>
          <w:lang w:val="es-ES" w:eastAsia="es-ES_tradnl"/>
        </w:rPr>
      </w:pPr>
      <w:r w:rsidRPr="00FB571A">
        <w:rPr>
          <w:rFonts w:ascii="Palatino Linotype" w:eastAsia="Calibri" w:hAnsi="Palatino Linotype"/>
          <w:b/>
          <w:color w:val="auto"/>
          <w:sz w:val="22"/>
          <w:lang w:eastAsia="es-ES_tradnl"/>
        </w:rPr>
        <w:t>TERCERO. Determinación de la Controversia</w:t>
      </w:r>
      <w:bookmarkEnd w:id="20"/>
    </w:p>
    <w:p w14:paraId="5CC2FB6C" w14:textId="77777777" w:rsidR="00785FCA" w:rsidRPr="00FB571A"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bookmarkStart w:id="21" w:name="_Toc205306998"/>
    </w:p>
    <w:p w14:paraId="0C315E83" w14:textId="51C026EB" w:rsidR="002715BD"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w:t>
      </w:r>
      <w:r w:rsidR="002715BD" w:rsidRPr="002715BD">
        <w:rPr>
          <w:rFonts w:ascii="Palatino Linotype" w:eastAsia="Calibri" w:hAnsi="Palatino Linotype" w:cs="Tahoma"/>
          <w:iCs/>
          <w:sz w:val="22"/>
          <w:szCs w:val="22"/>
          <w:lang w:val="es-ES" w:eastAsia="es-ES_tradnl"/>
        </w:rPr>
        <w:t>los comprobantes de todos los pagos realizados a personas físicas y morales por la tesorería municipal de</w:t>
      </w:r>
      <w:r w:rsidR="002715BD">
        <w:rPr>
          <w:rFonts w:ascii="Palatino Linotype" w:eastAsia="Calibri" w:hAnsi="Palatino Linotype" w:cs="Tahoma"/>
          <w:iCs/>
          <w:sz w:val="22"/>
          <w:szCs w:val="22"/>
          <w:lang w:val="es-ES" w:eastAsia="es-ES_tradnl"/>
        </w:rPr>
        <w:t xml:space="preserve">l primero </w:t>
      </w:r>
      <w:r w:rsidR="002715BD" w:rsidRPr="002715BD">
        <w:rPr>
          <w:rFonts w:ascii="Palatino Linotype" w:eastAsia="Calibri" w:hAnsi="Palatino Linotype" w:cs="Tahoma"/>
          <w:iCs/>
          <w:sz w:val="22"/>
          <w:szCs w:val="22"/>
          <w:lang w:val="es-ES" w:eastAsia="es-ES_tradnl"/>
        </w:rPr>
        <w:t xml:space="preserve">de septiembre al </w:t>
      </w:r>
      <w:r w:rsidR="002715BD">
        <w:rPr>
          <w:rFonts w:ascii="Palatino Linotype" w:eastAsia="Calibri" w:hAnsi="Palatino Linotype" w:cs="Tahoma"/>
          <w:iCs/>
          <w:sz w:val="22"/>
          <w:szCs w:val="22"/>
          <w:lang w:val="es-ES" w:eastAsia="es-ES_tradnl"/>
        </w:rPr>
        <w:t xml:space="preserve">quince </w:t>
      </w:r>
      <w:r w:rsidR="002715BD" w:rsidRPr="002715BD">
        <w:rPr>
          <w:rFonts w:ascii="Palatino Linotype" w:eastAsia="Calibri" w:hAnsi="Palatino Linotype" w:cs="Tahoma"/>
          <w:iCs/>
          <w:sz w:val="22"/>
          <w:szCs w:val="22"/>
          <w:lang w:val="es-ES" w:eastAsia="es-ES_tradnl"/>
        </w:rPr>
        <w:t xml:space="preserve">de octubre de </w:t>
      </w:r>
      <w:r w:rsidR="002715BD">
        <w:rPr>
          <w:rFonts w:ascii="Palatino Linotype" w:eastAsia="Calibri" w:hAnsi="Palatino Linotype" w:cs="Tahoma"/>
          <w:iCs/>
          <w:sz w:val="22"/>
          <w:szCs w:val="22"/>
          <w:lang w:val="es-ES" w:eastAsia="es-ES_tradnl"/>
        </w:rPr>
        <w:t>dos mil veinticinco</w:t>
      </w:r>
      <w:r w:rsidR="002715BD" w:rsidRPr="002715BD">
        <w:rPr>
          <w:rFonts w:ascii="Palatino Linotype" w:eastAsia="Calibri" w:hAnsi="Palatino Linotype" w:cs="Tahoma"/>
          <w:iCs/>
          <w:sz w:val="22"/>
          <w:szCs w:val="22"/>
          <w:lang w:val="es-ES" w:eastAsia="es-ES_tradnl"/>
        </w:rPr>
        <w:t>.</w:t>
      </w:r>
    </w:p>
    <w:p w14:paraId="678144C5" w14:textId="77777777" w:rsidR="002715BD" w:rsidRDefault="002715BD" w:rsidP="00785FCA">
      <w:pPr>
        <w:tabs>
          <w:tab w:val="left" w:pos="4962"/>
        </w:tabs>
        <w:spacing w:line="360" w:lineRule="auto"/>
        <w:jc w:val="both"/>
        <w:rPr>
          <w:rFonts w:ascii="Palatino Linotype" w:eastAsia="Calibri" w:hAnsi="Palatino Linotype" w:cs="Tahoma"/>
          <w:iCs/>
          <w:sz w:val="22"/>
          <w:szCs w:val="22"/>
          <w:lang w:val="es-ES" w:eastAsia="es-ES_tradnl"/>
        </w:rPr>
      </w:pPr>
    </w:p>
    <w:p w14:paraId="4E2D333E" w14:textId="541B9E0A" w:rsidR="00785FCA" w:rsidRPr="00FB571A"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En respuesta, el Sujeto Obligado</w:t>
      </w:r>
      <w:r>
        <w:rPr>
          <w:rFonts w:ascii="Palatino Linotype" w:eastAsia="Calibri" w:hAnsi="Palatino Linotype" w:cs="Tahoma"/>
          <w:iCs/>
          <w:sz w:val="22"/>
          <w:szCs w:val="22"/>
          <w:lang w:val="es-ES" w:eastAsia="es-ES_tradnl"/>
        </w:rPr>
        <w:t xml:space="preserve"> </w:t>
      </w:r>
      <w:r w:rsidR="002715BD">
        <w:rPr>
          <w:rFonts w:ascii="Palatino Linotype" w:eastAsia="Calibri" w:hAnsi="Palatino Linotype" w:cs="Tahoma"/>
          <w:iCs/>
          <w:sz w:val="22"/>
          <w:szCs w:val="22"/>
          <w:lang w:val="es-ES" w:eastAsia="es-ES_tradnl"/>
        </w:rPr>
        <w:t>cambio la modalidad para la entrega de la información, situación por la cual el Particular se inconformó</w:t>
      </w:r>
      <w:r w:rsidRPr="00FB571A">
        <w:rPr>
          <w:rFonts w:ascii="Palatino Linotype" w:eastAsia="Calibri" w:hAnsi="Palatino Linotype" w:cs="Tahoma"/>
          <w:iCs/>
          <w:sz w:val="22"/>
          <w:szCs w:val="22"/>
          <w:lang w:val="es-ES" w:eastAsia="es-ES_tradnl"/>
        </w:rPr>
        <w:t xml:space="preserve">, </w:t>
      </w:r>
      <w:r w:rsidRPr="00FB571A">
        <w:rPr>
          <w:rFonts w:ascii="Palatino Linotype" w:eastAsia="Calibri" w:hAnsi="Palatino Linotype" w:cs="Tahoma"/>
          <w:bCs/>
          <w:sz w:val="22"/>
          <w:szCs w:val="22"/>
          <w:lang w:val="es-ES_tradnl" w:eastAsia="en-US"/>
        </w:rPr>
        <w:t xml:space="preserve">así </w:t>
      </w:r>
      <w:r w:rsidRPr="00FB571A">
        <w:rPr>
          <w:rFonts w:ascii="Palatino Linotype" w:eastAsia="Calibri" w:hAnsi="Palatino Linotype" w:cs="Tahoma"/>
          <w:color w:val="000000"/>
          <w:sz w:val="22"/>
          <w:szCs w:val="22"/>
        </w:rPr>
        <w:t xml:space="preserve">en el asunto que nos ocupa se actualiza la causal de procedencia señalada en el </w:t>
      </w:r>
      <w:r w:rsidRPr="00FB571A">
        <w:rPr>
          <w:rFonts w:ascii="Palatino Linotype" w:eastAsia="Calibri" w:hAnsi="Palatino Linotype" w:cs="Tahoma"/>
          <w:sz w:val="22"/>
          <w:szCs w:val="22"/>
        </w:rPr>
        <w:t xml:space="preserve">artículo 179, fracción </w:t>
      </w:r>
      <w:r>
        <w:rPr>
          <w:rFonts w:ascii="Palatino Linotype" w:eastAsia="Calibri" w:hAnsi="Palatino Linotype" w:cs="Tahoma"/>
          <w:sz w:val="22"/>
          <w:szCs w:val="22"/>
        </w:rPr>
        <w:t>V</w:t>
      </w:r>
      <w:r w:rsidR="001809B9">
        <w:rPr>
          <w:rFonts w:ascii="Palatino Linotype" w:eastAsia="Calibri" w:hAnsi="Palatino Linotype" w:cs="Tahoma"/>
          <w:sz w:val="22"/>
          <w:szCs w:val="22"/>
        </w:rPr>
        <w:t>II</w:t>
      </w:r>
      <w:r>
        <w:rPr>
          <w:rFonts w:ascii="Palatino Linotype" w:eastAsia="Calibri" w:hAnsi="Palatino Linotype" w:cs="Tahoma"/>
          <w:sz w:val="22"/>
          <w:szCs w:val="22"/>
        </w:rPr>
        <w:t>I</w:t>
      </w:r>
      <w:r w:rsidRPr="00FB571A">
        <w:rPr>
          <w:rFonts w:ascii="Palatino Linotype" w:eastAsia="Calibri" w:hAnsi="Palatino Linotype" w:cs="Tahoma"/>
          <w:sz w:val="22"/>
          <w:szCs w:val="22"/>
        </w:rPr>
        <w:t>, de la Ley de la materia</w:t>
      </w:r>
      <w:r w:rsidRPr="00FB571A">
        <w:rPr>
          <w:rFonts w:ascii="Palatino Linotype" w:eastAsia="Calibri" w:hAnsi="Palatino Linotype" w:cs="Tahoma"/>
          <w:bCs/>
          <w:sz w:val="22"/>
          <w:szCs w:val="22"/>
        </w:rPr>
        <w:t>.</w:t>
      </w:r>
    </w:p>
    <w:p w14:paraId="3713B002" w14:textId="77777777" w:rsidR="00785FCA" w:rsidRPr="00FB571A"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09541871" w14:textId="77777777" w:rsidR="00785FCA" w:rsidRDefault="00785FCA" w:rsidP="00785FCA">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FD5412B" w14:textId="77777777" w:rsidR="00785FCA" w:rsidRPr="00FB571A" w:rsidRDefault="00785FCA" w:rsidP="00785FCA">
      <w:pPr>
        <w:tabs>
          <w:tab w:val="left" w:pos="4962"/>
        </w:tabs>
        <w:spacing w:line="360" w:lineRule="auto"/>
        <w:jc w:val="both"/>
        <w:rPr>
          <w:rFonts w:ascii="Palatino Linotype" w:eastAsia="Calibri" w:hAnsi="Palatino Linotype" w:cs="Tahoma"/>
          <w:iCs/>
          <w:sz w:val="22"/>
          <w:szCs w:val="22"/>
          <w:lang w:eastAsia="es-ES_tradnl"/>
        </w:rPr>
      </w:pPr>
    </w:p>
    <w:p w14:paraId="5AE742E5" w14:textId="77777777" w:rsidR="00CE0B4C" w:rsidRPr="00FB571A" w:rsidRDefault="00CE0B4C" w:rsidP="000B54EE">
      <w:pPr>
        <w:pStyle w:val="Ttulo2"/>
        <w:spacing w:before="0" w:line="360" w:lineRule="auto"/>
        <w:jc w:val="both"/>
        <w:rPr>
          <w:rFonts w:ascii="Palatino Linotype" w:eastAsia="Calibri" w:hAnsi="Palatino Linotype" w:cs="Arial"/>
          <w:b/>
          <w:color w:val="auto"/>
          <w:sz w:val="22"/>
          <w:lang w:eastAsia="es-ES_tradnl"/>
        </w:rPr>
      </w:pPr>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1"/>
    </w:p>
    <w:p w14:paraId="74FE42A0" w14:textId="77777777" w:rsidR="00CE0B4C" w:rsidRPr="00FB571A" w:rsidRDefault="00CE0B4C" w:rsidP="000B54EE">
      <w:pPr>
        <w:spacing w:line="360" w:lineRule="auto"/>
        <w:contextualSpacing/>
        <w:jc w:val="both"/>
        <w:rPr>
          <w:rFonts w:ascii="Palatino Linotype" w:hAnsi="Palatino Linotype" w:cs="Tahoma"/>
          <w:sz w:val="22"/>
          <w:szCs w:val="22"/>
        </w:rPr>
      </w:pPr>
    </w:p>
    <w:p w14:paraId="594EE27E" w14:textId="77777777" w:rsidR="00CE0B4C" w:rsidRPr="00FB571A" w:rsidRDefault="00CE0B4C" w:rsidP="000B54EE">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4253EB0B" w14:textId="77777777" w:rsidR="00CE0B4C" w:rsidRPr="00FB571A" w:rsidRDefault="00CE0B4C" w:rsidP="000B54EE">
      <w:pPr>
        <w:spacing w:line="360" w:lineRule="auto"/>
        <w:contextualSpacing/>
        <w:jc w:val="both"/>
        <w:rPr>
          <w:rFonts w:ascii="Palatino Linotype" w:hAnsi="Palatino Linotype" w:cs="Tahoma"/>
          <w:sz w:val="22"/>
          <w:szCs w:val="22"/>
        </w:rPr>
      </w:pPr>
    </w:p>
    <w:p w14:paraId="286CD4B9"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C5BA9A9"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3887A8F" w14:textId="77777777" w:rsidR="00CE0B4C" w:rsidRPr="00FB571A" w:rsidRDefault="00CE0B4C" w:rsidP="000B54EE">
      <w:pPr>
        <w:spacing w:line="360" w:lineRule="auto"/>
        <w:jc w:val="both"/>
        <w:rPr>
          <w:rFonts w:ascii="Palatino Linotype" w:hAnsi="Palatino Linotype" w:cs="Tahoma"/>
          <w:sz w:val="22"/>
          <w:szCs w:val="22"/>
        </w:rPr>
      </w:pPr>
    </w:p>
    <w:p w14:paraId="45D28256"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37DEF489" w14:textId="77777777" w:rsidR="00EF5683" w:rsidRPr="00FB571A" w:rsidRDefault="00EF5683" w:rsidP="000B54EE">
      <w:pPr>
        <w:spacing w:line="360" w:lineRule="auto"/>
        <w:jc w:val="both"/>
        <w:rPr>
          <w:rFonts w:ascii="Palatino Linotype" w:hAnsi="Palatino Linotype" w:cs="Tahoma"/>
          <w:sz w:val="22"/>
          <w:szCs w:val="22"/>
        </w:rPr>
      </w:pPr>
    </w:p>
    <w:p w14:paraId="7F57F6B2"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C9FFD14" w14:textId="77777777" w:rsidR="005C0E48" w:rsidRDefault="005C0E48" w:rsidP="000B54EE">
      <w:pPr>
        <w:spacing w:line="360" w:lineRule="auto"/>
        <w:jc w:val="both"/>
        <w:rPr>
          <w:rFonts w:ascii="Palatino Linotype" w:hAnsi="Palatino Linotype" w:cs="Tahoma"/>
          <w:sz w:val="22"/>
          <w:szCs w:val="22"/>
        </w:rPr>
      </w:pPr>
    </w:p>
    <w:p w14:paraId="50BCD031"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68BBF3D" w14:textId="77777777" w:rsidR="00EA1A4A" w:rsidRPr="00FB571A" w:rsidRDefault="00EA1A4A" w:rsidP="000B54EE">
      <w:pPr>
        <w:spacing w:line="360" w:lineRule="auto"/>
        <w:jc w:val="both"/>
        <w:rPr>
          <w:rFonts w:ascii="Palatino Linotype" w:hAnsi="Palatino Linotype" w:cs="Tahoma"/>
          <w:sz w:val="22"/>
          <w:szCs w:val="22"/>
        </w:rPr>
      </w:pPr>
    </w:p>
    <w:p w14:paraId="6A348663" w14:textId="77777777" w:rsidR="00CE0B4C" w:rsidRPr="00FB571A" w:rsidRDefault="00CE0B4C" w:rsidP="000B54EE">
      <w:pPr>
        <w:pStyle w:val="Ttulo2"/>
        <w:spacing w:before="0" w:line="360" w:lineRule="auto"/>
        <w:rPr>
          <w:rFonts w:ascii="Palatino Linotype" w:hAnsi="Palatino Linotype"/>
          <w:b/>
          <w:color w:val="auto"/>
          <w:sz w:val="22"/>
          <w:lang w:val="es-ES"/>
        </w:rPr>
      </w:pPr>
      <w:bookmarkStart w:id="22" w:name="_Toc205306999"/>
      <w:r w:rsidRPr="00FB571A">
        <w:rPr>
          <w:rFonts w:ascii="Palatino Linotype" w:eastAsia="Calibri" w:hAnsi="Palatino Linotype"/>
          <w:b/>
          <w:color w:val="auto"/>
          <w:sz w:val="22"/>
          <w:lang w:eastAsia="es-ES_tradnl"/>
        </w:rPr>
        <w:t>QUINTO. Estudio de Fondo</w:t>
      </w:r>
      <w:bookmarkEnd w:id="22"/>
    </w:p>
    <w:p w14:paraId="7C146E49" w14:textId="77777777" w:rsidR="00040101" w:rsidRDefault="00040101" w:rsidP="000B54EE">
      <w:pPr>
        <w:spacing w:line="360" w:lineRule="auto"/>
        <w:ind w:right="-93"/>
        <w:jc w:val="both"/>
        <w:rPr>
          <w:rFonts w:ascii="Palatino Linotype" w:hAnsi="Palatino Linotype" w:cs="Tahoma"/>
          <w:b/>
          <w:sz w:val="22"/>
          <w:szCs w:val="22"/>
          <w:lang w:val="es-ES"/>
        </w:rPr>
      </w:pPr>
    </w:p>
    <w:p w14:paraId="61FF0D9D" w14:textId="77777777" w:rsidR="001809B9" w:rsidRPr="001809B9" w:rsidRDefault="001809B9" w:rsidP="001809B9">
      <w:pPr>
        <w:spacing w:line="360" w:lineRule="auto"/>
        <w:jc w:val="both"/>
        <w:rPr>
          <w:rFonts w:ascii="Palatino Linotype" w:hAnsi="Palatino Linotype" w:cs="Tahoma"/>
          <w:bCs/>
          <w:iCs/>
          <w:color w:val="000000"/>
          <w:sz w:val="22"/>
          <w:szCs w:val="22"/>
        </w:rPr>
      </w:pPr>
      <w:r w:rsidRPr="001809B9">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1809B9">
        <w:rPr>
          <w:rFonts w:ascii="Palatino Linotype" w:hAnsi="Palatino Linotype" w:cs="Tahoma"/>
          <w:bCs/>
          <w:iCs/>
          <w:color w:val="000000"/>
          <w:sz w:val="22"/>
          <w:szCs w:val="22"/>
        </w:rPr>
        <w:t>por lo que, en principio es necesario contextualizar la solicitud de información.</w:t>
      </w:r>
    </w:p>
    <w:p w14:paraId="10BA306F" w14:textId="77777777" w:rsidR="001809B9" w:rsidRPr="001809B9" w:rsidRDefault="001809B9" w:rsidP="001809B9">
      <w:pPr>
        <w:spacing w:line="360" w:lineRule="auto"/>
        <w:jc w:val="both"/>
        <w:rPr>
          <w:rFonts w:ascii="Palatino Linotype" w:hAnsi="Palatino Linotype" w:cs="Tahoma"/>
          <w:bCs/>
          <w:iCs/>
          <w:color w:val="000000"/>
          <w:sz w:val="22"/>
          <w:szCs w:val="22"/>
        </w:rPr>
      </w:pPr>
    </w:p>
    <w:p w14:paraId="51E0BC95"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 xml:space="preserve">Al respecto, el artículo 4°, fracción XVIII, de la Ley General de Contabilidad Gubernamental, establece que </w:t>
      </w:r>
      <w:r w:rsidRPr="001809B9">
        <w:rPr>
          <w:rFonts w:ascii="Palatino Linotype" w:eastAsia="Palatino Linotype" w:hAnsi="Palatino Linotype" w:cs="Palatino Linotype"/>
          <w:b/>
          <w:bCs/>
          <w:color w:val="000000"/>
          <w:sz w:val="22"/>
          <w:szCs w:val="22"/>
          <w:lang w:eastAsia="es-MX"/>
        </w:rPr>
        <w:t>la información financiera consiste en información presupuestaria y contable que se expresa en unidades monetarias las transacciones que realiza un ente público y los eventos económicos identificables y cuantificable</w:t>
      </w:r>
      <w:r w:rsidRPr="001809B9">
        <w:rPr>
          <w:rFonts w:ascii="Palatino Linotype" w:eastAsia="Palatino Linotype" w:hAnsi="Palatino Linotype" w:cs="Palatino Linotype"/>
          <w:color w:val="000000"/>
          <w:sz w:val="22"/>
          <w:szCs w:val="22"/>
          <w:lang w:eastAsia="es-MX"/>
        </w:rPr>
        <w:t xml:space="preserve"> la cual puede representarse por reportes, informes, estados y notas que expresan su situación financiera, los resultados de su operación y los cambios en su patrimonio.</w:t>
      </w:r>
    </w:p>
    <w:p w14:paraId="35AF8B0D"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2A765348"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 xml:space="preserve">Además, el artículo 1º, de la Ley de Fiscalización Superior del Estado de México, el cual establece que el órgano Superior de Fiscalización del Estado de México contará con atribuciones en materia de revisión y fiscalización de los fondos y fideicomisos públicos, </w:t>
      </w:r>
      <w:r w:rsidRPr="001809B9">
        <w:rPr>
          <w:rFonts w:ascii="Palatino Linotype" w:eastAsia="Palatino Linotype" w:hAnsi="Palatino Linotype" w:cs="Palatino Linotype"/>
          <w:color w:val="000000"/>
          <w:sz w:val="22"/>
          <w:szCs w:val="22"/>
          <w:lang w:eastAsia="es-MX"/>
        </w:rPr>
        <w:lastRenderedPageBreak/>
        <w:t>cuentas públicas, deuda pública, y de los actos relativos al ejercicio y aplicación de los recursos públicos de las entidades fiscalizables del estado de México.</w:t>
      </w:r>
    </w:p>
    <w:p w14:paraId="1865B7AB"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1143CBAE" w14:textId="77777777" w:rsidR="001809B9" w:rsidRPr="001809B9" w:rsidRDefault="001809B9" w:rsidP="001809B9">
      <w:pPr>
        <w:spacing w:line="360" w:lineRule="auto"/>
        <w:jc w:val="both"/>
        <w:rPr>
          <w:rFonts w:ascii="Palatino Linotype" w:eastAsia="Calibri" w:hAnsi="Palatino Linotype"/>
          <w:color w:val="000000"/>
          <w:sz w:val="22"/>
          <w:szCs w:val="22"/>
          <w:lang w:eastAsia="es-MX"/>
        </w:rPr>
      </w:pPr>
      <w:r w:rsidRPr="001809B9">
        <w:rPr>
          <w:rFonts w:ascii="Palatino Linotype" w:eastAsia="Calibri" w:hAnsi="Palatino Linotype"/>
          <w:color w:val="000000"/>
          <w:sz w:val="22"/>
          <w:szCs w:val="22"/>
          <w:lang w:eastAsia="es-MX"/>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14:paraId="70E97A4B"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48059644"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 xml:space="preserve">Ahora bien, respecto al </w:t>
      </w:r>
      <w:r w:rsidRPr="001809B9">
        <w:rPr>
          <w:rFonts w:ascii="Palatino Linotype" w:eastAsia="Palatino Linotype" w:hAnsi="Palatino Linotype" w:cs="Palatino Linotype"/>
          <w:b/>
          <w:color w:val="000000"/>
          <w:sz w:val="22"/>
          <w:szCs w:val="22"/>
          <w:u w:val="single"/>
          <w:lang w:eastAsia="es-MX"/>
        </w:rPr>
        <w:t>documento que acredite el pago,</w:t>
      </w:r>
      <w:r w:rsidRPr="001809B9">
        <w:rPr>
          <w:rFonts w:ascii="Palatino Linotype" w:eastAsia="Palatino Linotype" w:hAnsi="Palatino Linotype" w:cs="Palatino Linotype"/>
          <w:color w:val="000000"/>
          <w:sz w:val="22"/>
          <w:szCs w:val="22"/>
          <w:lang w:eastAsia="es-MX"/>
        </w:rPr>
        <w:t xml:space="preserve"> resulta necesario traer a colación, la Resolución Miscelánea Fiscal, establece que </w:t>
      </w:r>
      <w:r w:rsidRPr="001809B9">
        <w:rPr>
          <w:rFonts w:ascii="Palatino Linotype" w:eastAsia="Palatino Linotype" w:hAnsi="Palatino Linotype" w:cs="Palatino Linotype"/>
          <w:b/>
          <w:color w:val="000000"/>
          <w:sz w:val="22"/>
          <w:szCs w:val="22"/>
          <w:u w:val="single"/>
          <w:lang w:eastAsia="es-MX"/>
        </w:rPr>
        <w:t>la factura</w:t>
      </w:r>
      <w:r w:rsidRPr="001809B9">
        <w:rPr>
          <w:rFonts w:ascii="Palatino Linotype" w:eastAsia="Palatino Linotype" w:hAnsi="Palatino Linotype" w:cs="Palatino Linotype"/>
          <w:color w:val="000000"/>
          <w:sz w:val="22"/>
          <w:szCs w:val="22"/>
          <w:lang w:eastAsia="es-MX"/>
        </w:rPr>
        <w:t xml:space="preserve"> es lo mismo, que un Comprobante Fiscal Digital por Internet, por lo que, se puede considerar como el documento que comprueba la realización de una </w:t>
      </w:r>
      <w:r w:rsidRPr="001809B9">
        <w:rPr>
          <w:rFonts w:ascii="Palatino Linotype" w:eastAsia="Palatino Linotype" w:hAnsi="Palatino Linotype" w:cs="Palatino Linotype"/>
          <w:b/>
          <w:color w:val="000000"/>
          <w:sz w:val="22"/>
          <w:szCs w:val="22"/>
          <w:lang w:eastAsia="es-MX"/>
        </w:rPr>
        <w:t xml:space="preserve">transacción </w:t>
      </w:r>
      <w:r w:rsidRPr="001809B9">
        <w:rPr>
          <w:rFonts w:ascii="Palatino Linotype" w:eastAsia="Palatino Linotype" w:hAnsi="Palatino Linotype" w:cs="Palatino Linotype"/>
          <w:color w:val="000000"/>
          <w:sz w:val="22"/>
          <w:szCs w:val="22"/>
          <w:lang w:eastAsia="es-MX"/>
        </w:rPr>
        <w:t>comercial, entre un comprador y un vendedor, mediante el cual, el primero queda obligado a realizar un pago, mientras que el segundo, a entregar o brindar un producto o servicio.</w:t>
      </w:r>
    </w:p>
    <w:p w14:paraId="196294D5"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75F478F5"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3ED13714"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7B3ADFA4"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 xml:space="preserve">En ese contexto, los Sujetos Obligados deben generar pólizas contables que corresponden a un documento en el que se asientan las operaciones desarrolladas, por el municipio y toda la información necesaria para su identificación, de esta manera se trae por analogía la Guía </w:t>
      </w:r>
      <w:r w:rsidRPr="001809B9">
        <w:rPr>
          <w:rFonts w:ascii="Palatino Linotype" w:eastAsia="Palatino Linotype" w:hAnsi="Palatino Linotype" w:cs="Palatino Linotype"/>
          <w:color w:val="000000"/>
          <w:sz w:val="22"/>
          <w:szCs w:val="22"/>
          <w:lang w:eastAsia="es-MX"/>
        </w:rPr>
        <w:lastRenderedPageBreak/>
        <w:t xml:space="preserve">Técnica 8 “La Contabilidad y la Cuenta Pública Municipal”; además, dichas pólizas se dividen en las siguientes: </w:t>
      </w:r>
    </w:p>
    <w:p w14:paraId="1CA28D91"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231DB83D" w14:textId="77777777" w:rsidR="001809B9" w:rsidRPr="001809B9" w:rsidRDefault="001809B9" w:rsidP="006F2560">
      <w:pPr>
        <w:numPr>
          <w:ilvl w:val="0"/>
          <w:numId w:val="3"/>
        </w:numPr>
        <w:spacing w:after="160" w:line="360" w:lineRule="auto"/>
        <w:contextualSpacing/>
        <w:jc w:val="both"/>
        <w:rPr>
          <w:rFonts w:ascii="Palatino Linotype" w:hAnsi="Palatino Linotype"/>
          <w:color w:val="000000"/>
          <w:sz w:val="22"/>
          <w:szCs w:val="24"/>
        </w:rPr>
      </w:pPr>
      <w:r w:rsidRPr="001809B9">
        <w:rPr>
          <w:rFonts w:ascii="Palatino Linotype" w:hAnsi="Palatino Linotype"/>
          <w:b/>
          <w:bCs/>
          <w:color w:val="000000"/>
          <w:sz w:val="22"/>
          <w:szCs w:val="24"/>
        </w:rPr>
        <w:t>Póliza de Ingresos:</w:t>
      </w:r>
      <w:r w:rsidRPr="001809B9">
        <w:rPr>
          <w:rFonts w:ascii="Palatino Linotype" w:hAnsi="Palatino Linotype"/>
          <w:color w:val="000000"/>
          <w:sz w:val="22"/>
          <w:szCs w:val="24"/>
        </w:rPr>
        <w:t xml:space="preserve"> Es aquella donde se anotan las operaciones que representan ingresos, esto es, entradas de dinero para el municipio. </w:t>
      </w:r>
    </w:p>
    <w:p w14:paraId="4631B75A"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7C53E490" w14:textId="77777777" w:rsidR="001809B9" w:rsidRPr="001809B9" w:rsidRDefault="001809B9" w:rsidP="006F2560">
      <w:pPr>
        <w:numPr>
          <w:ilvl w:val="0"/>
          <w:numId w:val="3"/>
        </w:numPr>
        <w:spacing w:after="160" w:line="360" w:lineRule="auto"/>
        <w:contextualSpacing/>
        <w:jc w:val="both"/>
        <w:rPr>
          <w:rFonts w:ascii="Palatino Linotype" w:hAnsi="Palatino Linotype"/>
          <w:color w:val="000000"/>
          <w:sz w:val="22"/>
          <w:szCs w:val="24"/>
        </w:rPr>
      </w:pPr>
      <w:r w:rsidRPr="001809B9">
        <w:rPr>
          <w:rFonts w:ascii="Palatino Linotype" w:hAnsi="Palatino Linotype"/>
          <w:b/>
          <w:bCs/>
          <w:color w:val="000000"/>
          <w:sz w:val="22"/>
          <w:szCs w:val="24"/>
        </w:rPr>
        <w:t>Póliza de Egresos:</w:t>
      </w:r>
      <w:r w:rsidRPr="001809B9">
        <w:rPr>
          <w:rFonts w:ascii="Palatino Linotype" w:hAnsi="Palatino Linotype"/>
          <w:color w:val="000000"/>
          <w:sz w:val="22"/>
          <w:szCs w:val="24"/>
        </w:rPr>
        <w:t xml:space="preserve"> Corresponde a aquella donde se anotan las operaciones que implique egresos, es decir, la salida de dinero, en efectivo o transferencia, para el municipio.</w:t>
      </w:r>
    </w:p>
    <w:p w14:paraId="39746598" w14:textId="77777777" w:rsidR="001809B9" w:rsidRPr="001809B9" w:rsidRDefault="001809B9" w:rsidP="001809B9">
      <w:pPr>
        <w:spacing w:line="360" w:lineRule="auto"/>
        <w:ind w:left="720"/>
        <w:contextualSpacing/>
        <w:jc w:val="both"/>
        <w:rPr>
          <w:rFonts w:ascii="Palatino Linotype" w:hAnsi="Palatino Linotype"/>
          <w:color w:val="000000"/>
          <w:sz w:val="22"/>
          <w:szCs w:val="24"/>
        </w:rPr>
      </w:pPr>
    </w:p>
    <w:p w14:paraId="416A46AB" w14:textId="77777777" w:rsidR="001809B9" w:rsidRPr="001809B9" w:rsidRDefault="001809B9" w:rsidP="006F2560">
      <w:pPr>
        <w:numPr>
          <w:ilvl w:val="0"/>
          <w:numId w:val="3"/>
        </w:numPr>
        <w:spacing w:after="160" w:line="360" w:lineRule="auto"/>
        <w:contextualSpacing/>
        <w:jc w:val="both"/>
        <w:rPr>
          <w:rFonts w:ascii="Palatino Linotype" w:hAnsi="Palatino Linotype"/>
          <w:color w:val="000000"/>
          <w:sz w:val="22"/>
          <w:szCs w:val="24"/>
        </w:rPr>
      </w:pPr>
      <w:r w:rsidRPr="001809B9">
        <w:rPr>
          <w:rFonts w:ascii="Palatino Linotype" w:hAnsi="Palatino Linotype"/>
          <w:b/>
          <w:color w:val="000000"/>
          <w:sz w:val="22"/>
          <w:szCs w:val="24"/>
        </w:rPr>
        <w:t>Póliza Cheque:</w:t>
      </w:r>
      <w:r w:rsidRPr="001809B9">
        <w:rPr>
          <w:rFonts w:ascii="Palatino Linotype" w:hAnsi="Palatino Linotype"/>
          <w:color w:val="000000"/>
          <w:sz w:val="22"/>
          <w:szCs w:val="24"/>
        </w:rPr>
        <w:t xml:space="preserve"> Es la que se elabora cuando la operación implique una salida de dinero del municipio, a través de un cheque.</w:t>
      </w:r>
    </w:p>
    <w:p w14:paraId="2525EEC8" w14:textId="77777777" w:rsidR="001809B9" w:rsidRPr="001809B9" w:rsidRDefault="001809B9" w:rsidP="001809B9">
      <w:pPr>
        <w:spacing w:line="360" w:lineRule="auto"/>
        <w:ind w:left="720"/>
        <w:contextualSpacing/>
        <w:jc w:val="both"/>
        <w:rPr>
          <w:rFonts w:ascii="Palatino Linotype" w:hAnsi="Palatino Linotype"/>
          <w:color w:val="000000"/>
          <w:sz w:val="22"/>
          <w:szCs w:val="24"/>
        </w:rPr>
      </w:pPr>
    </w:p>
    <w:p w14:paraId="3B462E45" w14:textId="77777777" w:rsidR="001809B9" w:rsidRPr="001809B9" w:rsidRDefault="001809B9" w:rsidP="006F2560">
      <w:pPr>
        <w:numPr>
          <w:ilvl w:val="0"/>
          <w:numId w:val="3"/>
        </w:numPr>
        <w:spacing w:after="160" w:line="360" w:lineRule="auto"/>
        <w:contextualSpacing/>
        <w:jc w:val="both"/>
        <w:rPr>
          <w:rFonts w:ascii="Palatino Linotype" w:hAnsi="Palatino Linotype"/>
          <w:color w:val="000000"/>
          <w:sz w:val="22"/>
          <w:szCs w:val="24"/>
        </w:rPr>
      </w:pPr>
      <w:r w:rsidRPr="001809B9">
        <w:rPr>
          <w:rFonts w:ascii="Palatino Linotype" w:hAnsi="Palatino Linotype"/>
          <w:b/>
          <w:color w:val="000000"/>
          <w:sz w:val="22"/>
          <w:szCs w:val="24"/>
        </w:rPr>
        <w:t>Póliza de Diario:</w:t>
      </w:r>
      <w:r w:rsidRPr="001809B9">
        <w:rPr>
          <w:rFonts w:ascii="Palatino Linotype" w:hAnsi="Palatino Linotype"/>
          <w:color w:val="000000"/>
          <w:sz w:val="22"/>
          <w:szCs w:val="24"/>
        </w:rPr>
        <w:t xml:space="preserve"> Es la que se elabora cuando la operación que se está registrando no implica una entrada o una salida (ingreso o egreso) de dinero para el municipio.</w:t>
      </w:r>
    </w:p>
    <w:p w14:paraId="0E69EF13"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110575DC" w14:textId="01A8B9FA" w:rsidR="001809B9" w:rsidRPr="001809B9" w:rsidRDefault="001809B9" w:rsidP="001809B9">
      <w:pPr>
        <w:spacing w:line="360" w:lineRule="auto"/>
        <w:contextualSpacing/>
        <w:jc w:val="both"/>
        <w:rPr>
          <w:rFonts w:ascii="Palatino Linotype" w:eastAsia="Calibri" w:hAnsi="Palatino Linotype" w:cs="Tahoma"/>
          <w:bCs/>
          <w:color w:val="000000"/>
          <w:sz w:val="22"/>
          <w:szCs w:val="22"/>
          <w:lang w:eastAsia="es-MX"/>
        </w:rPr>
      </w:pPr>
      <w:r w:rsidRPr="001809B9">
        <w:rPr>
          <w:rFonts w:ascii="Palatino Linotype" w:eastAsia="Calibri" w:hAnsi="Palatino Linotype" w:cs="Tahoma"/>
          <w:bCs/>
          <w:color w:val="000000"/>
          <w:sz w:val="22"/>
          <w:szCs w:val="22"/>
          <w:lang w:eastAsia="es-MX"/>
        </w:rPr>
        <w:t xml:space="preserve">En ese orden de ideas, este Instituto revisó los </w:t>
      </w:r>
      <w:r w:rsidR="005F1D30" w:rsidRPr="005F1D30">
        <w:rPr>
          <w:rFonts w:ascii="Palatino Linotype" w:eastAsia="Calibri" w:hAnsi="Palatino Linotype" w:cs="Tahoma"/>
          <w:bCs/>
          <w:color w:val="000000"/>
          <w:sz w:val="22"/>
          <w:szCs w:val="22"/>
          <w:lang w:eastAsia="es-MX"/>
        </w:rPr>
        <w:t>Lineamientos para la Integración y Entrega del Informe Trimestrales Estatales y Municipales para el Ejercicio Fiscal 2025</w:t>
      </w:r>
      <w:r w:rsidRPr="001809B9">
        <w:rPr>
          <w:rFonts w:ascii="Palatino Linotype" w:eastAsia="Calibri" w:hAnsi="Palatino Linotype" w:cs="Tahoma"/>
          <w:bCs/>
          <w:color w:val="000000"/>
          <w:sz w:val="22"/>
          <w:szCs w:val="22"/>
          <w:lang w:eastAsia="es-MX"/>
        </w:rPr>
        <w:t xml:space="preserve">, de los cuales se logra advertir que el Municipio debe entregar al Órgano Superior de Fiscalización, en el Módulo 1, entre otros documentos el Diario General de Pólizas, mismo que debe ser generado en formato “PDF” y “XLSX”; además, conforme al Instructivo de llenado de dicho formato, este tiene como finalidad concentrar </w:t>
      </w:r>
      <w:r w:rsidRPr="001809B9">
        <w:rPr>
          <w:rFonts w:ascii="Palatino Linotype" w:eastAsia="Calibri" w:hAnsi="Palatino Linotype" w:cs="Tahoma"/>
          <w:b/>
          <w:bCs/>
          <w:color w:val="000000"/>
          <w:sz w:val="22"/>
          <w:szCs w:val="22"/>
          <w:u w:val="single"/>
          <w:lang w:eastAsia="es-MX"/>
        </w:rPr>
        <w:t>el total de pólizas</w:t>
      </w:r>
      <w:r w:rsidRPr="001809B9">
        <w:rPr>
          <w:rFonts w:ascii="Palatino Linotype" w:eastAsia="Calibri" w:hAnsi="Palatino Linotype" w:cs="Tahoma"/>
          <w:bCs/>
          <w:color w:val="000000"/>
          <w:sz w:val="22"/>
          <w:szCs w:val="22"/>
          <w:lang w:eastAsia="es-MX"/>
        </w:rPr>
        <w:t xml:space="preserve"> que la enditad realizó en un determinado periodo.</w:t>
      </w:r>
    </w:p>
    <w:p w14:paraId="1987371D" w14:textId="77777777" w:rsidR="001809B9" w:rsidRPr="001809B9" w:rsidRDefault="001809B9" w:rsidP="001809B9">
      <w:pPr>
        <w:spacing w:line="360" w:lineRule="auto"/>
        <w:jc w:val="both"/>
        <w:rPr>
          <w:rFonts w:ascii="Palatino Linotype" w:hAnsi="Palatino Linotype" w:cs="Tahoma"/>
          <w:bCs/>
          <w:iCs/>
          <w:color w:val="000000"/>
          <w:sz w:val="22"/>
          <w:szCs w:val="22"/>
        </w:rPr>
      </w:pPr>
    </w:p>
    <w:p w14:paraId="488E570E" w14:textId="3051FCA4"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hAnsi="Palatino Linotype" w:cs="Tahoma"/>
          <w:bCs/>
          <w:iCs/>
          <w:color w:val="000000"/>
          <w:sz w:val="22"/>
          <w:szCs w:val="22"/>
        </w:rPr>
        <w:t xml:space="preserve">En ese orden de ideas, </w:t>
      </w:r>
      <w:r>
        <w:rPr>
          <w:rFonts w:ascii="Palatino Linotype" w:hAnsi="Palatino Linotype" w:cs="Tahoma"/>
          <w:bCs/>
          <w:iCs/>
          <w:color w:val="000000"/>
          <w:sz w:val="22"/>
          <w:szCs w:val="22"/>
        </w:rPr>
        <w:t>la Ley Orgánica Municipal</w:t>
      </w:r>
      <w:r w:rsidRPr="001809B9">
        <w:rPr>
          <w:rFonts w:ascii="Palatino Linotype" w:hAnsi="Palatino Linotype" w:cs="Tahoma"/>
          <w:bCs/>
          <w:iCs/>
          <w:color w:val="000000"/>
          <w:sz w:val="22"/>
          <w:szCs w:val="22"/>
        </w:rPr>
        <w:t xml:space="preserve">, en su artículo </w:t>
      </w:r>
      <w:r>
        <w:rPr>
          <w:rFonts w:ascii="Palatino Linotype" w:hAnsi="Palatino Linotype" w:cs="Tahoma"/>
          <w:bCs/>
          <w:iCs/>
          <w:color w:val="000000"/>
          <w:sz w:val="22"/>
          <w:szCs w:val="22"/>
        </w:rPr>
        <w:t xml:space="preserve">95, señala las atribuciones del </w:t>
      </w:r>
      <w:r w:rsidRPr="001809B9">
        <w:rPr>
          <w:rFonts w:ascii="Palatino Linotype" w:hAnsi="Palatino Linotype" w:cs="Tahoma"/>
          <w:b/>
          <w:iCs/>
          <w:color w:val="000000"/>
          <w:sz w:val="22"/>
          <w:szCs w:val="22"/>
        </w:rPr>
        <w:t>Tesorer</w:t>
      </w:r>
      <w:r>
        <w:rPr>
          <w:rFonts w:ascii="Palatino Linotype" w:hAnsi="Palatino Linotype" w:cs="Tahoma"/>
          <w:b/>
          <w:iCs/>
          <w:color w:val="000000"/>
          <w:sz w:val="22"/>
          <w:szCs w:val="22"/>
        </w:rPr>
        <w:t>o</w:t>
      </w:r>
      <w:r w:rsidRPr="001809B9">
        <w:rPr>
          <w:rFonts w:ascii="Palatino Linotype" w:hAnsi="Palatino Linotype" w:cs="Tahoma"/>
          <w:b/>
          <w:iCs/>
          <w:color w:val="000000"/>
          <w:sz w:val="22"/>
          <w:szCs w:val="22"/>
        </w:rPr>
        <w:t xml:space="preserve"> Municipal, </w:t>
      </w:r>
      <w:r>
        <w:rPr>
          <w:rFonts w:ascii="Palatino Linotype" w:hAnsi="Palatino Linotype" w:cs="Tahoma"/>
          <w:bCs/>
          <w:iCs/>
          <w:color w:val="000000"/>
          <w:sz w:val="22"/>
          <w:szCs w:val="22"/>
        </w:rPr>
        <w:t>dentro de las que se encuentra la de l</w:t>
      </w:r>
      <w:r w:rsidRPr="001809B9">
        <w:rPr>
          <w:rFonts w:ascii="Palatino Linotype" w:hAnsi="Palatino Linotype" w:cs="Tahoma"/>
          <w:bCs/>
          <w:iCs/>
          <w:color w:val="000000"/>
          <w:sz w:val="22"/>
          <w:szCs w:val="22"/>
        </w:rPr>
        <w:t xml:space="preserve">levar los registros contables, </w:t>
      </w:r>
      <w:r w:rsidRPr="001809B9">
        <w:rPr>
          <w:rFonts w:ascii="Palatino Linotype" w:hAnsi="Palatino Linotype" w:cs="Tahoma"/>
          <w:bCs/>
          <w:iCs/>
          <w:color w:val="000000"/>
          <w:sz w:val="22"/>
          <w:szCs w:val="22"/>
        </w:rPr>
        <w:lastRenderedPageBreak/>
        <w:t>financieros y administrativos de los ingresos, egresos, e inventarios</w:t>
      </w:r>
      <w:r w:rsidRPr="001809B9">
        <w:rPr>
          <w:rFonts w:ascii="Palatino Linotype" w:eastAsia="Palatino Linotype" w:hAnsi="Palatino Linotype" w:cs="Palatino Linotype"/>
          <w:color w:val="000000"/>
          <w:sz w:val="22"/>
          <w:szCs w:val="22"/>
          <w:lang w:eastAsia="es-MX"/>
        </w:rPr>
        <w:t>.</w:t>
      </w:r>
      <w:r>
        <w:rPr>
          <w:rFonts w:ascii="Palatino Linotype" w:eastAsia="Palatino Linotype" w:hAnsi="Palatino Linotype" w:cs="Palatino Linotype"/>
          <w:color w:val="000000"/>
          <w:sz w:val="22"/>
          <w:szCs w:val="22"/>
          <w:lang w:eastAsia="es-MX"/>
        </w:rPr>
        <w:t xml:space="preserve"> </w:t>
      </w:r>
      <w:r w:rsidRPr="001809B9">
        <w:rPr>
          <w:rFonts w:ascii="Palatino Linotype" w:hAnsi="Palatino Linotype" w:cs="Tahoma"/>
          <w:bCs/>
          <w:color w:val="000000"/>
          <w:sz w:val="22"/>
          <w:szCs w:val="22"/>
          <w:lang w:val="es-ES_tradnl"/>
        </w:rPr>
        <w:t>De tales circunstancias, se logra vislumbrar que la pretensión de la persona Recurrente, son los comprobantes de pago del primero</w:t>
      </w:r>
      <w:r>
        <w:rPr>
          <w:rFonts w:ascii="Palatino Linotype" w:hAnsi="Palatino Linotype" w:cs="Tahoma"/>
          <w:bCs/>
          <w:color w:val="000000"/>
          <w:sz w:val="22"/>
          <w:szCs w:val="22"/>
          <w:lang w:val="es-ES_tradnl"/>
        </w:rPr>
        <w:t xml:space="preserve"> de septiembre al quince de octubre </w:t>
      </w:r>
      <w:r w:rsidRPr="001809B9">
        <w:rPr>
          <w:rFonts w:ascii="Palatino Linotype" w:hAnsi="Palatino Linotype" w:cs="Tahoma"/>
          <w:bCs/>
          <w:color w:val="000000"/>
          <w:sz w:val="22"/>
          <w:szCs w:val="22"/>
          <w:lang w:val="es-ES_tradnl"/>
        </w:rPr>
        <w:t>del año en curso</w:t>
      </w:r>
      <w:r w:rsidRPr="001809B9">
        <w:rPr>
          <w:rFonts w:ascii="Palatino Linotype" w:eastAsia="Palatino Linotype" w:hAnsi="Palatino Linotype" w:cs="Tahoma"/>
          <w:color w:val="000000"/>
          <w:sz w:val="22"/>
          <w:szCs w:val="22"/>
          <w:lang w:eastAsia="es-MX"/>
        </w:rPr>
        <w:t>.</w:t>
      </w:r>
    </w:p>
    <w:p w14:paraId="17AE944C" w14:textId="77777777" w:rsidR="001809B9" w:rsidRPr="001809B9" w:rsidRDefault="001809B9" w:rsidP="001809B9">
      <w:pPr>
        <w:spacing w:line="360" w:lineRule="auto"/>
        <w:ind w:left="720"/>
        <w:contextualSpacing/>
        <w:jc w:val="both"/>
        <w:rPr>
          <w:rFonts w:ascii="Palatino Linotype" w:hAnsi="Palatino Linotype" w:cs="Tahoma"/>
          <w:color w:val="000000"/>
          <w:sz w:val="22"/>
          <w:szCs w:val="24"/>
        </w:rPr>
      </w:pPr>
    </w:p>
    <w:p w14:paraId="1F7BE3C7" w14:textId="5455EE8D"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 xml:space="preserve">Ahora bien, de las constancias que obran en el expediente electrónico, se advierte que el Sujeto Obligado, turnó la solicitud de información a la Tesorería Municipal; por lo que, es oportuno hacer referencia al </w:t>
      </w:r>
      <w:r w:rsidRPr="001809B9">
        <w:rPr>
          <w:rFonts w:ascii="Palatino Linotype" w:eastAsia="Palatino Linotype" w:hAnsi="Palatino Linotype" w:cs="Palatino Linotype"/>
          <w:b/>
          <w:color w:val="000000"/>
          <w:sz w:val="22"/>
          <w:szCs w:val="22"/>
          <w:lang w:eastAsia="es-MX"/>
        </w:rPr>
        <w:t>procedimiento de búsqueda que deben de seguir los Sujetos Obligados para localizar la información</w:t>
      </w:r>
      <w:r w:rsidRPr="001809B9">
        <w:rPr>
          <w:rFonts w:ascii="Palatino Linotype" w:eastAsia="Palatino Linotype" w:hAnsi="Palatino Linotype" w:cs="Palatino Linotype"/>
          <w:color w:val="000000"/>
          <w:sz w:val="22"/>
          <w:szCs w:val="22"/>
          <w:lang w:eastAsia="es-MX"/>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EDE1DA9" w14:textId="77777777" w:rsidR="001809B9" w:rsidRPr="001809B9" w:rsidRDefault="001809B9" w:rsidP="001809B9">
      <w:pPr>
        <w:spacing w:line="360" w:lineRule="auto"/>
        <w:ind w:left="720"/>
        <w:jc w:val="both"/>
        <w:rPr>
          <w:rFonts w:ascii="Palatino Linotype" w:eastAsia="Palatino Linotype" w:hAnsi="Palatino Linotype" w:cs="Palatino Linotype"/>
          <w:color w:val="000000"/>
          <w:sz w:val="22"/>
          <w:szCs w:val="22"/>
          <w:lang w:eastAsia="es-MX"/>
        </w:rPr>
      </w:pPr>
    </w:p>
    <w:p w14:paraId="5A24CA77" w14:textId="3F293302"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 tan es así que señalo </w:t>
      </w:r>
      <w:r>
        <w:rPr>
          <w:rFonts w:ascii="Palatino Linotype" w:eastAsia="Palatino Linotype" w:hAnsi="Palatino Linotype" w:cs="Palatino Linotype"/>
          <w:color w:val="000000"/>
          <w:sz w:val="22"/>
          <w:szCs w:val="22"/>
          <w:lang w:eastAsia="es-MX"/>
        </w:rPr>
        <w:t>el cambio de modalidad para la entrega de la información.</w:t>
      </w:r>
      <w:r w:rsidRPr="001809B9">
        <w:rPr>
          <w:rFonts w:ascii="Palatino Linotype" w:eastAsia="Palatino Linotype" w:hAnsi="Palatino Linotype" w:cs="Palatino Linotype"/>
          <w:color w:val="000000"/>
          <w:sz w:val="22"/>
          <w:szCs w:val="22"/>
          <w:lang w:eastAsia="es-MX"/>
        </w:rPr>
        <w:t xml:space="preserve"> </w:t>
      </w:r>
    </w:p>
    <w:p w14:paraId="50780AA0" w14:textId="77777777" w:rsid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287C0D64" w14:textId="6D87D679" w:rsid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Como ya se refirió, en respuesta, a través de la Tesorería Municipal refirió</w:t>
      </w:r>
      <w:r>
        <w:rPr>
          <w:rFonts w:ascii="Palatino Linotype" w:eastAsia="Palatino Linotype" w:hAnsi="Palatino Linotype" w:cs="Palatino Linotype"/>
          <w:color w:val="000000"/>
          <w:sz w:val="22"/>
          <w:szCs w:val="22"/>
          <w:lang w:eastAsia="es-MX"/>
        </w:rPr>
        <w:t xml:space="preserve"> que el peso de la información consistía en 5 GB, situación que robusteció en informe justificado al especificar que la información consistía en las Pólizas de egresos que</w:t>
      </w:r>
      <w:r w:rsidR="005F1D30">
        <w:rPr>
          <w:rFonts w:ascii="Palatino Linotype" w:eastAsia="Palatino Linotype" w:hAnsi="Palatino Linotype" w:cs="Palatino Linotype"/>
          <w:color w:val="000000"/>
          <w:sz w:val="22"/>
          <w:szCs w:val="22"/>
          <w:lang w:eastAsia="es-MX"/>
        </w:rPr>
        <w:t xml:space="preserve"> en total</w:t>
      </w:r>
      <w:r>
        <w:rPr>
          <w:rFonts w:ascii="Palatino Linotype" w:eastAsia="Palatino Linotype" w:hAnsi="Palatino Linotype" w:cs="Palatino Linotype"/>
          <w:color w:val="000000"/>
          <w:sz w:val="22"/>
          <w:szCs w:val="22"/>
          <w:lang w:eastAsia="es-MX"/>
        </w:rPr>
        <w:t xml:space="preserve"> rebasan el importe de un millón de pesos, en la temporalidad requerida, los cuales contienen comprobantes de pago realizados consiste en </w:t>
      </w:r>
      <w:proofErr w:type="spellStart"/>
      <w:r>
        <w:rPr>
          <w:rFonts w:ascii="Palatino Linotype" w:eastAsia="Palatino Linotype" w:hAnsi="Palatino Linotype" w:cs="Palatino Linotype"/>
          <w:color w:val="000000"/>
          <w:sz w:val="22"/>
          <w:szCs w:val="22"/>
          <w:lang w:eastAsia="es-MX"/>
        </w:rPr>
        <w:t>en</w:t>
      </w:r>
      <w:proofErr w:type="spellEnd"/>
      <w:r>
        <w:rPr>
          <w:rFonts w:ascii="Palatino Linotype" w:eastAsia="Palatino Linotype" w:hAnsi="Palatino Linotype" w:cs="Palatino Linotype"/>
          <w:color w:val="000000"/>
          <w:sz w:val="22"/>
          <w:szCs w:val="22"/>
          <w:lang w:eastAsia="es-MX"/>
        </w:rPr>
        <w:t xml:space="preserve"> 8,500 fojas las cuales exceden de 5Gb.</w:t>
      </w:r>
    </w:p>
    <w:p w14:paraId="749DD1F2" w14:textId="77777777" w:rsid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040EAF85" w14:textId="77777777" w:rsidR="001809B9" w:rsidRPr="001809B9" w:rsidRDefault="001809B9" w:rsidP="001809B9">
      <w:pPr>
        <w:spacing w:line="360" w:lineRule="auto"/>
        <w:jc w:val="both"/>
        <w:rPr>
          <w:rFonts w:ascii="Palatino Linotype" w:eastAsia="Palatino Linotype" w:hAnsi="Palatino Linotype" w:cs="Tahoma"/>
          <w:color w:val="000000"/>
          <w:sz w:val="22"/>
          <w:szCs w:val="22"/>
          <w:lang w:val="es-ES" w:eastAsia="es-MX"/>
        </w:rPr>
      </w:pPr>
      <w:r w:rsidRPr="001809B9">
        <w:rPr>
          <w:rFonts w:ascii="Palatino Linotype" w:eastAsia="Palatino Linotype" w:hAnsi="Palatino Linotype" w:cs="Tahoma"/>
          <w:iCs/>
          <w:color w:val="000000"/>
          <w:sz w:val="22"/>
          <w:szCs w:val="24"/>
          <w:lang w:val="es-ES_tradnl" w:eastAsia="es-MX"/>
        </w:rPr>
        <w:lastRenderedPageBreak/>
        <w:t>De tal suerte, se procede analizar si procede el cambio de modalidad. A</w:t>
      </w:r>
      <w:r w:rsidRPr="001809B9">
        <w:rPr>
          <w:rFonts w:ascii="Palatino Linotype" w:eastAsia="Palatino Linotype" w:hAnsi="Palatino Linotype" w:cs="Tahoma"/>
          <w:color w:val="000000"/>
          <w:sz w:val="22"/>
          <w:szCs w:val="22"/>
          <w:lang w:val="es-ES" w:eastAsia="es-MX"/>
        </w:rPr>
        <w:t>l respecto, cabe recordar que se requirió la información, a través del Sistema de Acceso a Información Mexiquense (SAIMEX).</w:t>
      </w:r>
    </w:p>
    <w:p w14:paraId="427022A9"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62EE80B7" w14:textId="77777777" w:rsidR="001809B9" w:rsidRPr="001809B9"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 xml:space="preserve">En ese sentido, el artículo 155, fracción V, de la Ley de Transparencia y Acceso a la Información Pública del Estado de México y Municipios, precisa que para presentar una solicitud, el particular podrá señalar </w:t>
      </w:r>
      <w:r w:rsidRPr="001809B9">
        <w:rPr>
          <w:rFonts w:ascii="Palatino Linotype" w:eastAsia="Palatino Linotype" w:hAnsi="Palatino Linotype" w:cs="Palatino Linotype"/>
          <w:b/>
          <w:color w:val="000000"/>
          <w:sz w:val="22"/>
          <w:szCs w:val="22"/>
          <w:lang w:eastAsia="es-MX"/>
        </w:rPr>
        <w:t>la modalidad en la que prefiere se otorgue el acceso a la información</w:t>
      </w:r>
      <w:r w:rsidRPr="001809B9">
        <w:rPr>
          <w:rFonts w:ascii="Palatino Linotype" w:eastAsia="Palatino Linotype" w:hAnsi="Palatino Linotype" w:cs="Palatino Linotype"/>
          <w:color w:val="000000"/>
          <w:sz w:val="22"/>
          <w:szCs w:val="22"/>
          <w:lang w:eastAsia="es-MX"/>
        </w:rPr>
        <w:t>, la cual podrá ser verbal, siempre y cuando sea para fines de orientación, mediante consulta directa, mediante la expedición de copias simples o certificadas o la reproducción en cualquier otro medio, incluidos los electrónicos.</w:t>
      </w:r>
    </w:p>
    <w:p w14:paraId="72CCC5B8" w14:textId="77777777" w:rsidR="001809B9"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69A7364D" w14:textId="77777777" w:rsidR="00BB3882" w:rsidRPr="007B3590" w:rsidRDefault="00BB3882" w:rsidP="00BB3882">
      <w:pPr>
        <w:spacing w:line="360" w:lineRule="auto"/>
        <w:jc w:val="both"/>
        <w:rPr>
          <w:rFonts w:ascii="Palatino Linotype" w:eastAsia="Calibri" w:hAnsi="Palatino Linotype" w:cs="Arial"/>
          <w:b/>
          <w:bCs/>
          <w:sz w:val="22"/>
          <w:szCs w:val="22"/>
        </w:rPr>
      </w:pPr>
      <w:r w:rsidRPr="007B3590">
        <w:rPr>
          <w:rFonts w:ascii="Palatino Linotype" w:eastAsia="Calibri" w:hAnsi="Palatino Linotype" w:cs="Arial"/>
          <w:bCs/>
          <w:sz w:val="22"/>
          <w:szCs w:val="22"/>
        </w:rPr>
        <w:t xml:space="preserve">El artículo 158, dispone que, de manera excepcional, cuando de manera fundada y motivada lo determine el Sujeto Obligado, </w:t>
      </w:r>
      <w:r w:rsidRPr="007B3590">
        <w:rPr>
          <w:rFonts w:ascii="Palatino Linotype" w:eastAsia="Calibri" w:hAnsi="Palatino Linotype" w:cs="Arial"/>
          <w:b/>
          <w:bCs/>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EDB2900" w14:textId="77777777" w:rsidR="00BB3882" w:rsidRPr="007B3590" w:rsidRDefault="00BB3882" w:rsidP="00BB3882">
      <w:pPr>
        <w:spacing w:line="360" w:lineRule="auto"/>
        <w:jc w:val="both"/>
        <w:rPr>
          <w:rFonts w:ascii="Palatino Linotype" w:eastAsia="Calibri" w:hAnsi="Palatino Linotype" w:cs="Arial"/>
          <w:b/>
          <w:bCs/>
          <w:sz w:val="22"/>
          <w:szCs w:val="22"/>
        </w:rPr>
      </w:pPr>
    </w:p>
    <w:p w14:paraId="48C0B699" w14:textId="77777777" w:rsidR="00BB3882" w:rsidRPr="007B3590" w:rsidRDefault="00BB3882" w:rsidP="00BB3882">
      <w:pPr>
        <w:spacing w:line="360" w:lineRule="auto"/>
        <w:jc w:val="both"/>
        <w:rPr>
          <w:rFonts w:ascii="Palatino Linotype" w:eastAsia="Calibri" w:hAnsi="Palatino Linotype" w:cs="Arial"/>
          <w:bCs/>
          <w:sz w:val="22"/>
          <w:szCs w:val="22"/>
        </w:rPr>
      </w:pPr>
      <w:r w:rsidRPr="007B3590">
        <w:rPr>
          <w:rFonts w:ascii="Palatino Linotype" w:eastAsia="Calibri" w:hAnsi="Palatino Linotype" w:cs="Arial"/>
          <w:bCs/>
          <w:sz w:val="22"/>
          <w:szCs w:val="22"/>
        </w:rPr>
        <w:t xml:space="preserve">En ese orden de ideas, el artículo 164 de dicho ordenamiento jurídico, prevé que el acceso se dará en la modalidad de entrega y, en su caso, de envío elegidos por al solicitante. </w:t>
      </w:r>
      <w:r w:rsidRPr="007B3590">
        <w:rPr>
          <w:rFonts w:ascii="Palatino Linotype" w:eastAsia="Calibri" w:hAnsi="Palatino Linotype" w:cs="Arial"/>
          <w:b/>
          <w:bCs/>
          <w:sz w:val="22"/>
          <w:szCs w:val="22"/>
        </w:rPr>
        <w:t>Cuando la información no pueda entregarse o enviarse en la modalidad elegida, el sujeto obligado deberá ofrecer otra u otras modalidades de entrega.</w:t>
      </w:r>
      <w:r w:rsidRPr="007B3590">
        <w:rPr>
          <w:rFonts w:ascii="Palatino Linotype" w:eastAsia="Calibri" w:hAnsi="Palatino Linotype" w:cs="Arial"/>
          <w:bCs/>
          <w:sz w:val="22"/>
          <w:szCs w:val="22"/>
        </w:rPr>
        <w:t xml:space="preserve"> En cualquier caso, </w:t>
      </w:r>
      <w:r w:rsidRPr="007B3590">
        <w:rPr>
          <w:rFonts w:ascii="Palatino Linotype" w:eastAsia="Calibri" w:hAnsi="Palatino Linotype" w:cs="Arial"/>
          <w:b/>
          <w:bCs/>
          <w:sz w:val="22"/>
          <w:szCs w:val="22"/>
        </w:rPr>
        <w:t>se deberá fundar y motivar</w:t>
      </w:r>
      <w:r w:rsidRPr="007B3590">
        <w:rPr>
          <w:rFonts w:ascii="Palatino Linotype" w:eastAsia="Calibri" w:hAnsi="Palatino Linotype" w:cs="Arial"/>
          <w:bCs/>
          <w:sz w:val="22"/>
          <w:szCs w:val="22"/>
        </w:rPr>
        <w:t xml:space="preserve"> la necesidad de ofrecer otras modalidades.</w:t>
      </w:r>
    </w:p>
    <w:p w14:paraId="2429DE01" w14:textId="77777777" w:rsidR="00BB3882" w:rsidRPr="007B3590" w:rsidRDefault="00BB3882" w:rsidP="00BB3882">
      <w:pPr>
        <w:spacing w:line="360" w:lineRule="auto"/>
        <w:jc w:val="both"/>
        <w:rPr>
          <w:rFonts w:ascii="Palatino Linotype" w:eastAsia="Calibri" w:hAnsi="Palatino Linotype" w:cs="Arial"/>
          <w:bCs/>
          <w:sz w:val="22"/>
          <w:szCs w:val="22"/>
        </w:rPr>
      </w:pPr>
    </w:p>
    <w:p w14:paraId="75369EB5" w14:textId="77777777" w:rsidR="00BB3882" w:rsidRDefault="00BB3882" w:rsidP="00BB3882">
      <w:pPr>
        <w:spacing w:line="360" w:lineRule="auto"/>
        <w:jc w:val="both"/>
        <w:rPr>
          <w:rFonts w:ascii="Palatino Linotype" w:eastAsia="Calibri" w:hAnsi="Palatino Linotype" w:cs="Arial"/>
          <w:bCs/>
          <w:sz w:val="22"/>
          <w:szCs w:val="22"/>
        </w:rPr>
      </w:pPr>
      <w:r w:rsidRPr="007B3590">
        <w:rPr>
          <w:rFonts w:ascii="Palatino Linotype" w:eastAsia="Calibri" w:hAnsi="Palatino Linotype" w:cs="Arial"/>
          <w:bCs/>
          <w:sz w:val="22"/>
          <w:szCs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w:t>
      </w:r>
      <w:r w:rsidRPr="007B3590">
        <w:rPr>
          <w:rFonts w:ascii="Palatino Linotype" w:eastAsia="Calibri" w:hAnsi="Palatino Linotype" w:cs="Arial"/>
          <w:bCs/>
          <w:sz w:val="22"/>
          <w:szCs w:val="22"/>
        </w:rPr>
        <w:lastRenderedPageBreak/>
        <w:t xml:space="preserve">consideraciones, la entrega deberá hacerse, </w:t>
      </w:r>
      <w:r w:rsidRPr="007B3590">
        <w:rPr>
          <w:rFonts w:ascii="Palatino Linotype" w:eastAsia="Calibri" w:hAnsi="Palatino Linotype" w:cs="Arial"/>
          <w:b/>
          <w:bCs/>
          <w:sz w:val="22"/>
          <w:szCs w:val="22"/>
        </w:rPr>
        <w:t>en la medida de lo posible, en la forma solicitada por el interesado, salvo que exista un impedimento justificado para atenderla</w:t>
      </w:r>
      <w:r w:rsidRPr="007B3590">
        <w:rPr>
          <w:rFonts w:ascii="Palatino Linotype" w:eastAsia="Calibri" w:hAnsi="Palatino Linotype" w:cs="Arial"/>
          <w:bCs/>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7B3590">
        <w:rPr>
          <w:rFonts w:ascii="Palatino Linotype" w:eastAsia="Calibri" w:hAnsi="Palatino Linotype" w:cs="Arial"/>
          <w:b/>
          <w:bCs/>
          <w:sz w:val="22"/>
          <w:szCs w:val="22"/>
        </w:rPr>
        <w:t>sólo procede, en caso de que se acredite la imposibilidad de atenderla.</w:t>
      </w:r>
      <w:r w:rsidRPr="007B3590">
        <w:rPr>
          <w:rFonts w:ascii="Palatino Linotype" w:eastAsia="Calibri" w:hAnsi="Palatino Linotype" w:cs="Arial"/>
          <w:bCs/>
          <w:sz w:val="22"/>
          <w:szCs w:val="22"/>
        </w:rPr>
        <w:t xml:space="preserve"> </w:t>
      </w:r>
    </w:p>
    <w:p w14:paraId="04C05157" w14:textId="77777777" w:rsidR="005F1D30" w:rsidRPr="007B3590" w:rsidRDefault="005F1D30" w:rsidP="00BB3882">
      <w:pPr>
        <w:spacing w:line="360" w:lineRule="auto"/>
        <w:jc w:val="both"/>
        <w:rPr>
          <w:rFonts w:ascii="Palatino Linotype" w:eastAsia="Calibri" w:hAnsi="Palatino Linotype" w:cs="Arial"/>
          <w:bCs/>
          <w:sz w:val="22"/>
          <w:szCs w:val="22"/>
        </w:rPr>
      </w:pPr>
    </w:p>
    <w:p w14:paraId="4B73777F" w14:textId="77777777" w:rsidR="00BB3882" w:rsidRPr="0023147B" w:rsidRDefault="00BB3882" w:rsidP="00BB3882">
      <w:pPr>
        <w:spacing w:line="360" w:lineRule="auto"/>
        <w:contextualSpacing/>
        <w:jc w:val="both"/>
        <w:rPr>
          <w:rFonts w:ascii="Palatino Linotype" w:eastAsia="Calibri" w:hAnsi="Palatino Linotype" w:cs="Tahoma"/>
          <w:b/>
          <w:color w:val="000000" w:themeColor="text1"/>
          <w:sz w:val="22"/>
          <w:szCs w:val="22"/>
          <w:lang w:eastAsia="en-US"/>
        </w:rPr>
      </w:pPr>
      <w:r w:rsidRPr="0023147B">
        <w:rPr>
          <w:rFonts w:ascii="Palatino Linotype" w:eastAsia="Calibri" w:hAnsi="Palatino Linotype" w:cs="Tahoma"/>
          <w:bCs/>
          <w:sz w:val="22"/>
          <w:szCs w:val="22"/>
          <w:lang w:val="es-ES" w:eastAsia="en-US"/>
        </w:rPr>
        <w:t xml:space="preserve">Así, cuando se justifique el impedimento, </w:t>
      </w:r>
      <w:r w:rsidRPr="0023147B">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23147B">
        <w:rPr>
          <w:rFonts w:ascii="Palatino Linotype" w:eastAsia="Calibri" w:hAnsi="Palatino Linotype" w:cs="Tahoma"/>
          <w:bCs/>
          <w:sz w:val="22"/>
          <w:szCs w:val="22"/>
          <w:lang w:val="es-ES" w:eastAsia="en-US"/>
        </w:rPr>
        <w:t xml:space="preserve">,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w:t>
      </w:r>
      <w:proofErr w:type="spellStart"/>
      <w:r w:rsidRPr="0023147B">
        <w:rPr>
          <w:rFonts w:ascii="Palatino Linotype" w:eastAsia="Calibri" w:hAnsi="Palatino Linotype" w:cs="Tahoma"/>
          <w:bCs/>
          <w:sz w:val="22"/>
          <w:szCs w:val="22"/>
          <w:lang w:val="es-ES" w:eastAsia="en-US"/>
        </w:rPr>
        <w:t>qu</w:t>
      </w:r>
      <w:r w:rsidRPr="0023147B">
        <w:rPr>
          <w:rFonts w:ascii="Palatino Linotype" w:eastAsia="Calibri" w:hAnsi="Palatino Linotype" w:cs="Tahoma"/>
          <w:bCs/>
          <w:color w:val="000000" w:themeColor="text1"/>
          <w:sz w:val="22"/>
          <w:szCs w:val="22"/>
          <w:lang w:eastAsia="en-US"/>
        </w:rPr>
        <w:t>e</w:t>
      </w:r>
      <w:proofErr w:type="spellEnd"/>
      <w:r w:rsidRPr="0023147B">
        <w:rPr>
          <w:rFonts w:ascii="Palatino Linotype" w:eastAsia="Calibri" w:hAnsi="Palatino Linotype" w:cs="Tahoma"/>
          <w:bCs/>
          <w:color w:val="000000" w:themeColor="text1"/>
          <w:sz w:val="22"/>
          <w:szCs w:val="22"/>
          <w:lang w:eastAsia="en-U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23147B">
        <w:rPr>
          <w:rFonts w:ascii="Palatino Linotype" w:eastAsia="Calibri" w:hAnsi="Palatino Linotype" w:cs="Tahoma"/>
          <w:b/>
          <w:color w:val="000000" w:themeColor="text1"/>
          <w:sz w:val="22"/>
          <w:szCs w:val="22"/>
          <w:lang w:eastAsia="en-US"/>
        </w:rPr>
        <w:t>información en todas las modalidades que lo permitan, procurando reducir los costos de entrega.</w:t>
      </w:r>
    </w:p>
    <w:p w14:paraId="27BC12CA" w14:textId="77777777" w:rsidR="00BB3882" w:rsidRPr="007B3590" w:rsidRDefault="00BB3882" w:rsidP="00BB3882">
      <w:pPr>
        <w:spacing w:line="360" w:lineRule="auto"/>
        <w:jc w:val="both"/>
        <w:rPr>
          <w:rFonts w:ascii="Palatino Linotype" w:eastAsia="Calibri" w:hAnsi="Palatino Linotype" w:cs="Arial"/>
          <w:b/>
          <w:sz w:val="22"/>
          <w:szCs w:val="22"/>
        </w:rPr>
      </w:pPr>
    </w:p>
    <w:p w14:paraId="75298614" w14:textId="77777777" w:rsidR="00BB3882" w:rsidRDefault="00BB3882" w:rsidP="00BB3882">
      <w:pPr>
        <w:spacing w:line="360" w:lineRule="auto"/>
        <w:jc w:val="both"/>
        <w:rPr>
          <w:rFonts w:ascii="Palatino Linotype" w:eastAsia="Calibri" w:hAnsi="Palatino Linotype" w:cs="Arial"/>
          <w:bCs/>
          <w:sz w:val="22"/>
          <w:szCs w:val="22"/>
        </w:rPr>
      </w:pPr>
      <w:r w:rsidRPr="007B3590">
        <w:rPr>
          <w:rFonts w:ascii="Palatino Linotype" w:eastAsia="Calibri" w:hAnsi="Palatino Linotype" w:cs="Arial"/>
          <w:bCs/>
          <w:sz w:val="22"/>
          <w:szCs w:val="22"/>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5099E08" w14:textId="77777777" w:rsidR="00BB3882" w:rsidRPr="007B3590" w:rsidRDefault="00BB3882" w:rsidP="00BB3882">
      <w:pPr>
        <w:spacing w:line="360" w:lineRule="auto"/>
        <w:jc w:val="both"/>
        <w:rPr>
          <w:rFonts w:ascii="Palatino Linotype" w:eastAsia="Calibri" w:hAnsi="Palatino Linotype" w:cs="Arial"/>
          <w:bCs/>
          <w:sz w:val="22"/>
          <w:szCs w:val="22"/>
        </w:rPr>
      </w:pPr>
    </w:p>
    <w:p w14:paraId="6D0080FB" w14:textId="77777777" w:rsidR="00BB3882" w:rsidRPr="007B3590" w:rsidRDefault="00BB3882" w:rsidP="006F2560">
      <w:pPr>
        <w:pStyle w:val="Prrafodelista"/>
        <w:numPr>
          <w:ilvl w:val="0"/>
          <w:numId w:val="4"/>
        </w:numPr>
        <w:spacing w:line="360" w:lineRule="auto"/>
        <w:jc w:val="both"/>
        <w:rPr>
          <w:rFonts w:ascii="Palatino Linotype" w:eastAsia="Calibri" w:hAnsi="Palatino Linotype" w:cs="Arial"/>
          <w:bCs/>
          <w:lang w:val="es-ES"/>
        </w:rPr>
      </w:pPr>
      <w:r w:rsidRPr="007B3590">
        <w:rPr>
          <w:rFonts w:ascii="Palatino Linotype" w:eastAsia="Calibri" w:hAnsi="Palatino Linotype" w:cs="Arial"/>
          <w:bCs/>
          <w:lang w:val="es-ES"/>
        </w:rPr>
        <w:t>Las razones por las cuales la información implicaba un análisis, estudio o procesamiento de datos;</w:t>
      </w:r>
    </w:p>
    <w:p w14:paraId="4761027D" w14:textId="77777777" w:rsidR="00BB3882" w:rsidRPr="007B3590" w:rsidRDefault="00BB3882" w:rsidP="006F2560">
      <w:pPr>
        <w:pStyle w:val="Prrafodelista"/>
        <w:numPr>
          <w:ilvl w:val="0"/>
          <w:numId w:val="4"/>
        </w:numPr>
        <w:spacing w:line="360" w:lineRule="auto"/>
        <w:jc w:val="both"/>
        <w:rPr>
          <w:rFonts w:ascii="Palatino Linotype" w:eastAsia="Calibri" w:hAnsi="Palatino Linotype" w:cs="Arial"/>
          <w:bCs/>
          <w:lang w:val="es-ES"/>
        </w:rPr>
      </w:pPr>
      <w:r w:rsidRPr="007B3590">
        <w:rPr>
          <w:rFonts w:ascii="Palatino Linotype" w:eastAsia="Calibri" w:hAnsi="Palatino Linotype" w:cs="Arial"/>
          <w:bCs/>
          <w:lang w:val="es-ES"/>
        </w:rPr>
        <w:t>El tiempo no es suficiente para atender la solicitud en la modalidad elegida, y</w:t>
      </w:r>
    </w:p>
    <w:p w14:paraId="6FA93F10" w14:textId="77777777" w:rsidR="00BB3882" w:rsidRPr="007B3590" w:rsidRDefault="00BB3882" w:rsidP="006F2560">
      <w:pPr>
        <w:pStyle w:val="Prrafodelista"/>
        <w:numPr>
          <w:ilvl w:val="0"/>
          <w:numId w:val="4"/>
        </w:numPr>
        <w:spacing w:line="360" w:lineRule="auto"/>
        <w:jc w:val="both"/>
        <w:rPr>
          <w:rFonts w:ascii="Palatino Linotype" w:eastAsia="Calibri" w:hAnsi="Palatino Linotype" w:cs="Arial"/>
          <w:bCs/>
          <w:lang w:val="es-ES"/>
        </w:rPr>
      </w:pPr>
      <w:r w:rsidRPr="007B3590">
        <w:rPr>
          <w:rFonts w:ascii="Palatino Linotype" w:eastAsia="Calibri" w:hAnsi="Palatino Linotype" w:cs="Arial"/>
          <w:bCs/>
          <w:lang w:val="es-ES"/>
        </w:rPr>
        <w:lastRenderedPageBreak/>
        <w:t>La cantidad de recursos humanos y materiales con los que cuenta el Sujeto Obligado son insuficientes.</w:t>
      </w:r>
    </w:p>
    <w:p w14:paraId="4AE537DB" w14:textId="77777777" w:rsidR="00BB3882" w:rsidRPr="007B3590" w:rsidRDefault="00BB3882" w:rsidP="00BB3882">
      <w:pPr>
        <w:spacing w:line="360" w:lineRule="auto"/>
        <w:jc w:val="both"/>
        <w:rPr>
          <w:rFonts w:ascii="Palatino Linotype" w:hAnsi="Palatino Linotype" w:cs="Arial"/>
          <w:iCs/>
          <w:sz w:val="22"/>
          <w:szCs w:val="22"/>
        </w:rPr>
      </w:pPr>
    </w:p>
    <w:p w14:paraId="569CADE4" w14:textId="37C9A20D" w:rsidR="00BB3882" w:rsidRPr="007B3590" w:rsidRDefault="00BB3882" w:rsidP="00BB3882">
      <w:pPr>
        <w:spacing w:line="360" w:lineRule="auto"/>
        <w:jc w:val="both"/>
        <w:rPr>
          <w:rFonts w:ascii="Palatino Linotype" w:hAnsi="Palatino Linotype" w:cs="Arial"/>
          <w:bCs/>
          <w:sz w:val="22"/>
          <w:szCs w:val="22"/>
        </w:rPr>
      </w:pPr>
      <w:r w:rsidRPr="007B3590">
        <w:rPr>
          <w:rFonts w:ascii="Palatino Linotype" w:hAnsi="Palatino Linotype" w:cs="Arial"/>
          <w:iCs/>
          <w:sz w:val="22"/>
          <w:szCs w:val="22"/>
        </w:rPr>
        <w:t xml:space="preserve">Ahora bien, el Sujeto Obligado, </w:t>
      </w:r>
      <w:r>
        <w:rPr>
          <w:rFonts w:ascii="Palatino Linotype" w:hAnsi="Palatino Linotype" w:cs="Arial"/>
          <w:iCs/>
          <w:sz w:val="22"/>
          <w:szCs w:val="22"/>
        </w:rPr>
        <w:t xml:space="preserve">señaló que ingreso su incidencia </w:t>
      </w:r>
      <w:r w:rsidRPr="007B3590">
        <w:rPr>
          <w:rFonts w:ascii="Palatino Linotype" w:hAnsi="Palatino Linotype" w:cs="Arial"/>
          <w:bCs/>
          <w:sz w:val="22"/>
          <w:szCs w:val="22"/>
        </w:rPr>
        <w:t>al considerar lo siguiente:</w:t>
      </w:r>
    </w:p>
    <w:p w14:paraId="53C7DBCB" w14:textId="77777777" w:rsidR="00BB3882" w:rsidRPr="007B3590" w:rsidRDefault="00BB3882" w:rsidP="00BB3882">
      <w:pPr>
        <w:spacing w:line="360" w:lineRule="auto"/>
        <w:jc w:val="both"/>
        <w:rPr>
          <w:rFonts w:ascii="Palatino Linotype" w:hAnsi="Palatino Linotype" w:cs="Arial"/>
          <w:bCs/>
          <w:sz w:val="22"/>
          <w:szCs w:val="22"/>
        </w:rPr>
      </w:pPr>
    </w:p>
    <w:p w14:paraId="3547DE07" w14:textId="6C8ECA6D" w:rsidR="00BB3882" w:rsidRPr="007B3590" w:rsidRDefault="00BB3882" w:rsidP="006F2560">
      <w:pPr>
        <w:pStyle w:val="Prrafodelista"/>
        <w:numPr>
          <w:ilvl w:val="0"/>
          <w:numId w:val="5"/>
        </w:numPr>
        <w:spacing w:line="360" w:lineRule="auto"/>
        <w:jc w:val="both"/>
        <w:rPr>
          <w:rFonts w:ascii="Palatino Linotype" w:hAnsi="Palatino Linotype" w:cs="Arial"/>
          <w:iCs/>
        </w:rPr>
      </w:pPr>
      <w:r w:rsidRPr="007B3590">
        <w:rPr>
          <w:rFonts w:ascii="Palatino Linotype" w:hAnsi="Palatino Linotype" w:cs="Arial"/>
          <w:iCs/>
        </w:rPr>
        <w:t>Que la información sobrepasa</w:t>
      </w:r>
      <w:r w:rsidR="005F1D30">
        <w:rPr>
          <w:rFonts w:ascii="Palatino Linotype" w:hAnsi="Palatino Linotype" w:cs="Arial"/>
          <w:iCs/>
        </w:rPr>
        <w:t>ba</w:t>
      </w:r>
      <w:r w:rsidRPr="007B3590">
        <w:rPr>
          <w:rFonts w:ascii="Palatino Linotype" w:hAnsi="Palatino Linotype" w:cs="Arial"/>
          <w:iCs/>
        </w:rPr>
        <w:t xml:space="preserve"> las capacidades técnicas administrativas y huma</w:t>
      </w:r>
      <w:r>
        <w:rPr>
          <w:rFonts w:ascii="Palatino Linotype" w:hAnsi="Palatino Linotype" w:cs="Arial"/>
          <w:iCs/>
        </w:rPr>
        <w:t>na</w:t>
      </w:r>
      <w:r w:rsidRPr="007B3590">
        <w:rPr>
          <w:rFonts w:ascii="Palatino Linotype" w:hAnsi="Palatino Linotype" w:cs="Arial"/>
          <w:iCs/>
        </w:rPr>
        <w:t xml:space="preserve">s del Sujeto Obligado. </w:t>
      </w:r>
    </w:p>
    <w:p w14:paraId="211D7FDF" w14:textId="7EE245B2" w:rsidR="00BB3882" w:rsidRPr="007B3590" w:rsidRDefault="00BB3882" w:rsidP="006F2560">
      <w:pPr>
        <w:pStyle w:val="Prrafodelista"/>
        <w:numPr>
          <w:ilvl w:val="0"/>
          <w:numId w:val="5"/>
        </w:numPr>
        <w:spacing w:line="360" w:lineRule="auto"/>
        <w:jc w:val="both"/>
        <w:rPr>
          <w:rFonts w:ascii="Palatino Linotype" w:hAnsi="Palatino Linotype" w:cs="Arial"/>
          <w:iCs/>
        </w:rPr>
      </w:pPr>
      <w:r w:rsidRPr="007B3590">
        <w:rPr>
          <w:rFonts w:ascii="Palatino Linotype" w:hAnsi="Palatino Linotype" w:cs="Arial"/>
          <w:iCs/>
        </w:rPr>
        <w:t xml:space="preserve">Que, incluso el Sistema de Acceso a la Información Mexiquense (SAIMEX) no </w:t>
      </w:r>
      <w:r>
        <w:rPr>
          <w:rFonts w:ascii="Palatino Linotype" w:hAnsi="Palatino Linotype" w:cs="Arial"/>
          <w:iCs/>
        </w:rPr>
        <w:t xml:space="preserve">contaba </w:t>
      </w:r>
      <w:r w:rsidRPr="007B3590">
        <w:rPr>
          <w:rFonts w:ascii="Palatino Linotype" w:hAnsi="Palatino Linotype" w:cs="Arial"/>
          <w:iCs/>
        </w:rPr>
        <w:t>con la capacidad suficiente para subir la información</w:t>
      </w:r>
      <w:r>
        <w:rPr>
          <w:rFonts w:ascii="Palatino Linotype" w:hAnsi="Palatino Linotype" w:cs="Arial"/>
          <w:iCs/>
        </w:rPr>
        <w:t>, pues la información constaba de más de ocho mil hojas, con un peso aproximado de 5 GB.</w:t>
      </w:r>
    </w:p>
    <w:p w14:paraId="03BF52E0" w14:textId="77777777" w:rsidR="00BB3882" w:rsidRPr="007B3590" w:rsidRDefault="00BB3882" w:rsidP="00BB3882">
      <w:pPr>
        <w:spacing w:line="360" w:lineRule="auto"/>
        <w:jc w:val="both"/>
        <w:rPr>
          <w:rFonts w:ascii="Palatino Linotype" w:hAnsi="Palatino Linotype" w:cs="Arial"/>
          <w:iCs/>
          <w:sz w:val="22"/>
          <w:szCs w:val="22"/>
        </w:rPr>
      </w:pPr>
    </w:p>
    <w:p w14:paraId="2742DA16" w14:textId="26CC2E62" w:rsidR="00BB3882" w:rsidRPr="0023147B" w:rsidRDefault="00BB3882" w:rsidP="005F1D30">
      <w:pPr>
        <w:spacing w:line="360" w:lineRule="auto"/>
        <w:jc w:val="both"/>
        <w:rPr>
          <w:rFonts w:ascii="Palatino Linotype" w:eastAsiaTheme="minorHAnsi" w:hAnsi="Palatino Linotype" w:cs="Tahoma"/>
          <w:color w:val="000000" w:themeColor="text1"/>
          <w:sz w:val="22"/>
          <w:szCs w:val="24"/>
          <w:lang w:eastAsia="en-US"/>
        </w:rPr>
      </w:pPr>
      <w:r w:rsidRPr="007B3590">
        <w:rPr>
          <w:rFonts w:ascii="Palatino Linotype" w:hAnsi="Palatino Linotype" w:cs="Arial"/>
          <w:iCs/>
          <w:sz w:val="22"/>
          <w:szCs w:val="22"/>
        </w:rPr>
        <w:t>Aunado a lo anterior, el Sujeto Obligado manifestó que el cambio de modalidad fue soportado por la Dirección General de Informática de este Instituto</w:t>
      </w:r>
      <w:r w:rsidR="005F1D30">
        <w:rPr>
          <w:rFonts w:ascii="Palatino Linotype" w:hAnsi="Palatino Linotype" w:cs="Arial"/>
          <w:iCs/>
          <w:sz w:val="22"/>
          <w:szCs w:val="22"/>
        </w:rPr>
        <w:t>; s</w:t>
      </w:r>
      <w:r w:rsidRPr="0023147B">
        <w:rPr>
          <w:rFonts w:ascii="Palatino Linotype" w:eastAsia="Calibri" w:hAnsi="Palatino Linotype" w:cs="Tahoma"/>
          <w:bCs/>
          <w:iCs/>
          <w:color w:val="000000" w:themeColor="text1"/>
          <w:sz w:val="22"/>
          <w:szCs w:val="22"/>
          <w:lang w:eastAsia="en-US"/>
        </w:rPr>
        <w:t xml:space="preserve">obre dicha circunstancia, </w:t>
      </w:r>
      <w:r w:rsidRPr="0023147B">
        <w:rPr>
          <w:rFonts w:ascii="Palatino Linotype" w:eastAsiaTheme="minorHAnsi" w:hAnsi="Palatino Linotype" w:cs="Tahoma"/>
          <w:color w:val="000000" w:themeColor="text1"/>
          <w:sz w:val="22"/>
          <w:szCs w:val="24"/>
          <w:lang w:eastAsia="en-US"/>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23147B">
        <w:rPr>
          <w:rFonts w:ascii="Palatino Linotype" w:eastAsiaTheme="minorHAnsi" w:hAnsi="Palatino Linotype" w:cs="Tahoma"/>
          <w:b/>
          <w:bCs/>
          <w:color w:val="000000" w:themeColor="text1"/>
          <w:sz w:val="22"/>
          <w:szCs w:val="24"/>
          <w:lang w:eastAsia="en-US"/>
        </w:rPr>
        <w:t>quinientos megabytes</w:t>
      </w:r>
      <w:r w:rsidRPr="0023147B">
        <w:rPr>
          <w:rFonts w:ascii="Palatino Linotype" w:eastAsiaTheme="minorHAnsi" w:hAnsi="Palatino Linotype" w:cs="Tahoma"/>
          <w:color w:val="000000" w:themeColor="text1"/>
          <w:sz w:val="22"/>
          <w:szCs w:val="24"/>
          <w:lang w:eastAsia="en-US"/>
        </w:rPr>
        <w:t xml:space="preserve"> o su equivalente a </w:t>
      </w:r>
      <w:r w:rsidRPr="0023147B">
        <w:rPr>
          <w:rFonts w:ascii="Palatino Linotype" w:eastAsiaTheme="minorHAnsi" w:hAnsi="Palatino Linotype" w:cs="Tahoma"/>
          <w:b/>
          <w:bCs/>
          <w:color w:val="000000" w:themeColor="text1"/>
          <w:sz w:val="22"/>
          <w:szCs w:val="24"/>
          <w:lang w:eastAsia="en-US"/>
        </w:rPr>
        <w:t>ocho mil fojas</w:t>
      </w:r>
      <w:r w:rsidRPr="0023147B">
        <w:rPr>
          <w:rFonts w:ascii="Palatino Linotype" w:eastAsiaTheme="minorHAnsi" w:hAnsi="Palatino Linotype" w:cs="Tahoma"/>
          <w:color w:val="000000" w:themeColor="text1"/>
          <w:sz w:val="22"/>
          <w:szCs w:val="24"/>
          <w:lang w:eastAsia="en-US"/>
        </w:rPr>
        <w:t>.</w:t>
      </w:r>
    </w:p>
    <w:p w14:paraId="4AB53E5B" w14:textId="77777777" w:rsidR="00BB3882" w:rsidRDefault="00BB3882" w:rsidP="00BB3882">
      <w:pPr>
        <w:spacing w:line="360" w:lineRule="auto"/>
        <w:jc w:val="both"/>
        <w:rPr>
          <w:rFonts w:ascii="Palatino Linotype" w:hAnsi="Palatino Linotype" w:cs="Arial"/>
          <w:iCs/>
          <w:sz w:val="22"/>
          <w:szCs w:val="22"/>
        </w:rPr>
      </w:pPr>
    </w:p>
    <w:p w14:paraId="26260406" w14:textId="70D03065" w:rsidR="00BB3882" w:rsidRPr="0023147B" w:rsidRDefault="00BB3882" w:rsidP="00BB3882">
      <w:pPr>
        <w:spacing w:line="360" w:lineRule="auto"/>
        <w:contextualSpacing/>
        <w:jc w:val="both"/>
        <w:rPr>
          <w:rFonts w:ascii="Palatino Linotype" w:hAnsi="Palatino Linotype" w:cs="Tahoma"/>
          <w:bCs/>
          <w:sz w:val="22"/>
          <w:szCs w:val="22"/>
        </w:rPr>
      </w:pPr>
      <w:r w:rsidRPr="0023147B">
        <w:rPr>
          <w:rFonts w:ascii="Palatino Linotype" w:eastAsia="Calibri" w:hAnsi="Palatino Linotype" w:cs="Tahoma"/>
          <w:bCs/>
          <w:iCs/>
          <w:color w:val="000000" w:themeColor="text1"/>
          <w:sz w:val="22"/>
          <w:szCs w:val="22"/>
          <w:lang w:eastAsia="en-US"/>
        </w:rPr>
        <w:t>Conforme a lo anterior, se logra vislumbrar que la información solicitada, sobrepasaba las capacidades técnicas del Sistema de Acceso a la Información Mexiquense</w:t>
      </w:r>
      <w:r w:rsidRPr="0023147B">
        <w:rPr>
          <w:rFonts w:ascii="Palatino Linotype" w:eastAsia="Calibri" w:hAnsi="Palatino Linotype"/>
          <w:color w:val="000000" w:themeColor="text1"/>
          <w:sz w:val="22"/>
          <w:szCs w:val="22"/>
          <w:lang w:eastAsia="en-US"/>
        </w:rPr>
        <w:t xml:space="preserve"> </w:t>
      </w:r>
      <w:r w:rsidRPr="0023147B">
        <w:rPr>
          <w:rFonts w:ascii="Palatino Linotype" w:eastAsia="Calibri" w:hAnsi="Palatino Linotype" w:cs="Tahoma"/>
          <w:bCs/>
          <w:iCs/>
          <w:color w:val="000000" w:themeColor="text1"/>
          <w:sz w:val="22"/>
          <w:szCs w:val="22"/>
          <w:lang w:eastAsia="en-US"/>
        </w:rPr>
        <w:t xml:space="preserve">(SAIMEX), pues son </w:t>
      </w:r>
      <w:r>
        <w:rPr>
          <w:rFonts w:ascii="Palatino Linotype" w:eastAsiaTheme="minorHAnsi" w:hAnsi="Palatino Linotype" w:cs="Tahoma"/>
          <w:iCs/>
          <w:color w:val="000000" w:themeColor="text1"/>
          <w:sz w:val="22"/>
          <w:szCs w:val="22"/>
          <w:lang w:eastAsia="en-US"/>
        </w:rPr>
        <w:t>aproximadamente 85 Gb</w:t>
      </w:r>
      <w:r w:rsidRPr="0023147B">
        <w:rPr>
          <w:rFonts w:ascii="Palatino Linotype" w:eastAsia="Calibri" w:hAnsi="Palatino Linotype" w:cs="Tahoma"/>
          <w:bCs/>
          <w:iCs/>
          <w:color w:val="000000" w:themeColor="text1"/>
          <w:sz w:val="22"/>
          <w:szCs w:val="22"/>
          <w:lang w:eastAsia="en-US"/>
        </w:rPr>
        <w:t>;</w:t>
      </w:r>
      <w:r w:rsidRPr="0023147B">
        <w:rPr>
          <w:rFonts w:ascii="Palatino Linotype" w:hAnsi="Palatino Linotype" w:cs="Tahoma"/>
          <w:bCs/>
          <w:iCs/>
          <w:sz w:val="22"/>
          <w:szCs w:val="22"/>
        </w:rPr>
        <w:t xml:space="preserve"> así</w:t>
      </w:r>
      <w:r w:rsidRPr="0023147B">
        <w:rPr>
          <w:rFonts w:ascii="Palatino Linotype" w:hAnsi="Palatino Linotype"/>
          <w:sz w:val="22"/>
        </w:rPr>
        <w:t xml:space="preserve">, se logra vislumbrar que el Sujeto Obligado </w:t>
      </w:r>
      <w:r w:rsidRPr="0023147B">
        <w:rPr>
          <w:rFonts w:ascii="Palatino Linotype" w:hAnsi="Palatino Linotype" w:cs="Arial"/>
          <w:sz w:val="22"/>
          <w:szCs w:val="22"/>
        </w:rPr>
        <w:t xml:space="preserve">señaló el impedimento para proporcionar la información, en la modalidad elegida por la parte Recurrente, a saber, el </w:t>
      </w:r>
      <w:r w:rsidRPr="0023147B">
        <w:rPr>
          <w:rFonts w:ascii="Palatino Linotype" w:hAnsi="Palatino Linotype" w:cs="Arial"/>
          <w:b/>
          <w:bCs/>
          <w:sz w:val="22"/>
          <w:szCs w:val="22"/>
          <w:lang w:val="es-ES"/>
        </w:rPr>
        <w:t>Sistema de Acceso a la Información Mexiquense (SAIMEX);</w:t>
      </w:r>
      <w:r w:rsidRPr="0023147B">
        <w:rPr>
          <w:rFonts w:ascii="Palatino Linotype" w:hAnsi="Palatino Linotype" w:cs="Arial"/>
          <w:sz w:val="22"/>
          <w:szCs w:val="22"/>
          <w:lang w:val="es-ES"/>
        </w:rPr>
        <w:t xml:space="preserve"> por lo que, resulta procedente el cambio de modalidad.</w:t>
      </w:r>
    </w:p>
    <w:p w14:paraId="1B75214A" w14:textId="77777777" w:rsidR="00BB3882" w:rsidRPr="007B3590" w:rsidRDefault="00BB3882" w:rsidP="00BB3882">
      <w:pPr>
        <w:spacing w:line="360" w:lineRule="auto"/>
        <w:jc w:val="both"/>
        <w:rPr>
          <w:rFonts w:ascii="Palatino Linotype" w:hAnsi="Palatino Linotype" w:cs="Arial"/>
          <w:iCs/>
          <w:sz w:val="22"/>
          <w:szCs w:val="22"/>
        </w:rPr>
      </w:pPr>
    </w:p>
    <w:p w14:paraId="778AD5D1" w14:textId="77777777" w:rsidR="00BB3882" w:rsidRPr="0023147B" w:rsidRDefault="00BB3882" w:rsidP="00BB3882">
      <w:pPr>
        <w:spacing w:line="360" w:lineRule="auto"/>
        <w:jc w:val="both"/>
        <w:rPr>
          <w:rFonts w:ascii="Palatino Linotype" w:hAnsi="Palatino Linotype"/>
          <w:color w:val="000000"/>
          <w:sz w:val="22"/>
          <w:szCs w:val="22"/>
          <w:lang w:eastAsia="en-US"/>
        </w:rPr>
      </w:pPr>
      <w:r w:rsidRPr="0023147B">
        <w:rPr>
          <w:rFonts w:ascii="Palatino Linotype" w:hAnsi="Palatino Linotype"/>
          <w:color w:val="000000"/>
          <w:sz w:val="22"/>
          <w:szCs w:val="22"/>
          <w:lang w:eastAsia="en-US"/>
        </w:rPr>
        <w:lastRenderedPageBreak/>
        <w:t xml:space="preserve">Ahora bien, el Sujeto Obligado puso a disposición la información únicamente en consulta directa; </w:t>
      </w:r>
      <w:r w:rsidRPr="0023147B">
        <w:rPr>
          <w:rFonts w:ascii="Palatino Linotype" w:hAnsi="Palatino Linotype" w:cs="Tahoma"/>
          <w:iCs/>
          <w:sz w:val="22"/>
          <w:szCs w:val="22"/>
        </w:rPr>
        <w:t xml:space="preserve">sobre dicha circunstancia, es de señalar que el Organismo Garante Nacional, a través de diversas resoluciones de los Recursos de Inconformidad, entre las cuales se encuentran el RIA 136/20, RIA 140/20, RIA 153/20 RIA 237/20, RIA 257/20, RIA 258/20, entre otras, ha considerado que no resulta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2439AD23" w14:textId="77777777" w:rsidR="00BB3882" w:rsidRDefault="00BB3882" w:rsidP="00BB3882">
      <w:pPr>
        <w:spacing w:line="360" w:lineRule="auto"/>
        <w:jc w:val="both"/>
        <w:rPr>
          <w:rFonts w:ascii="Palatino Linotype" w:hAnsi="Palatino Linotype" w:cs="Arial"/>
          <w:bCs/>
          <w:sz w:val="22"/>
          <w:szCs w:val="22"/>
          <w:highlight w:val="yellow"/>
        </w:rPr>
      </w:pPr>
    </w:p>
    <w:p w14:paraId="53B3D515" w14:textId="77777777" w:rsidR="00BB3882" w:rsidRPr="0023147B" w:rsidRDefault="00BB3882" w:rsidP="00BB3882">
      <w:pPr>
        <w:spacing w:line="360" w:lineRule="auto"/>
        <w:ind w:right="-28"/>
        <w:contextualSpacing/>
        <w:jc w:val="both"/>
        <w:rPr>
          <w:rFonts w:ascii="Palatino Linotype" w:hAnsi="Palatino Linotype" w:cs="Tahoma"/>
          <w:iCs/>
          <w:sz w:val="22"/>
          <w:szCs w:val="22"/>
        </w:rPr>
      </w:pPr>
      <w:r w:rsidRPr="0023147B">
        <w:rPr>
          <w:rFonts w:ascii="Palatino Linotype" w:hAnsi="Palatino Linotype" w:cs="Tahoma"/>
          <w:iCs/>
          <w:sz w:val="22"/>
          <w:szCs w:val="22"/>
        </w:rPr>
        <w:t xml:space="preserve">Además, precisan que no se debe ceñir el cambio de modalidad, directamente a consulta directa, sino que los sujetos obligados, deben </w:t>
      </w:r>
      <w:r w:rsidRPr="0023147B">
        <w:rPr>
          <w:rFonts w:ascii="Palatino Linotype" w:hAnsi="Palatino Linotype" w:cs="Tahoma"/>
          <w:b/>
          <w:bCs/>
          <w:iCs/>
          <w:sz w:val="22"/>
          <w:szCs w:val="22"/>
        </w:rPr>
        <w:t>de buscar la posibilidad de proporcionarla en las otras formas</w:t>
      </w:r>
      <w:r w:rsidRPr="0023147B">
        <w:rPr>
          <w:rFonts w:ascii="Palatino Linotype" w:hAnsi="Palatino Linotype" w:cs="Tahoma"/>
          <w:iCs/>
          <w:sz w:val="22"/>
          <w:szCs w:val="22"/>
        </w:rPr>
        <w:t xml:space="preserve"> que establecen en la Ley, ya sean electrónicas o físicas.</w:t>
      </w:r>
    </w:p>
    <w:p w14:paraId="35025767" w14:textId="77777777" w:rsidR="00BB3882" w:rsidRPr="0023147B" w:rsidRDefault="00BB3882" w:rsidP="00BB3882">
      <w:pPr>
        <w:spacing w:line="360" w:lineRule="auto"/>
        <w:ind w:right="-28"/>
        <w:contextualSpacing/>
        <w:jc w:val="both"/>
        <w:rPr>
          <w:rFonts w:ascii="Palatino Linotype" w:hAnsi="Palatino Linotype" w:cs="Tahoma"/>
          <w:iCs/>
          <w:sz w:val="22"/>
          <w:szCs w:val="22"/>
        </w:rPr>
      </w:pPr>
    </w:p>
    <w:p w14:paraId="35DFDCEA" w14:textId="77777777" w:rsidR="00BB3882" w:rsidRPr="0023147B" w:rsidRDefault="00BB3882" w:rsidP="00BB3882">
      <w:pPr>
        <w:spacing w:line="360" w:lineRule="auto"/>
        <w:ind w:right="-28"/>
        <w:contextualSpacing/>
        <w:jc w:val="both"/>
        <w:rPr>
          <w:rFonts w:ascii="Palatino Linotype" w:eastAsiaTheme="minorHAnsi" w:hAnsi="Palatino Linotype" w:cs="Tahoma"/>
          <w:color w:val="000000" w:themeColor="text1"/>
          <w:sz w:val="22"/>
          <w:szCs w:val="24"/>
          <w:lang w:eastAsia="en-US"/>
        </w:rPr>
      </w:pPr>
      <w:r w:rsidRPr="0023147B">
        <w:rPr>
          <w:rFonts w:ascii="Palatino Linotype" w:hAnsi="Palatino Linotype" w:cs="Tahoma"/>
          <w:iCs/>
          <w:sz w:val="22"/>
          <w:szCs w:val="22"/>
        </w:rPr>
        <w:t xml:space="preserve">Lo anterior, toma sentido pues el Vigésimo Quinto de los </w:t>
      </w:r>
      <w:r w:rsidRPr="0023147B">
        <w:rPr>
          <w:rFonts w:ascii="Palatino Linotype" w:eastAsiaTheme="minorHAnsi" w:hAnsi="Palatino Linotype" w:cs="Tahoma"/>
          <w:color w:val="000000" w:themeColor="text1"/>
          <w:sz w:val="22"/>
          <w:szCs w:val="24"/>
          <w:lang w:eastAsia="en-US"/>
        </w:rPr>
        <w:t>Lineamientos para la operación del Sistema de Acceso a la Información Mexiquense (SAIMEX) y del Sistema de Acceso, Rectificación, Cancelación y Oposición de Datos Personales del Estado de México (SARCOEM), establece que el Sujeto Obligado de encontrarse impedido para otorgar la información a través de la modalidad elegida, deberá ofrecer al particular las siguientes formas:</w:t>
      </w:r>
    </w:p>
    <w:p w14:paraId="682AD652" w14:textId="77777777" w:rsidR="00BB3882" w:rsidRPr="0023147B" w:rsidRDefault="00BB3882" w:rsidP="00BB3882">
      <w:pPr>
        <w:spacing w:line="360" w:lineRule="auto"/>
        <w:ind w:right="-28"/>
        <w:contextualSpacing/>
        <w:jc w:val="both"/>
        <w:rPr>
          <w:rFonts w:ascii="Palatino Linotype" w:eastAsiaTheme="minorHAnsi" w:hAnsi="Palatino Linotype" w:cs="Tahoma"/>
          <w:color w:val="000000" w:themeColor="text1"/>
          <w:sz w:val="22"/>
          <w:szCs w:val="24"/>
          <w:lang w:eastAsia="en-US"/>
        </w:rPr>
      </w:pPr>
    </w:p>
    <w:p w14:paraId="4E6CF569" w14:textId="77777777" w:rsidR="00BB3882" w:rsidRPr="0023147B" w:rsidRDefault="00BB3882" w:rsidP="006F2560">
      <w:pPr>
        <w:numPr>
          <w:ilvl w:val="0"/>
          <w:numId w:val="6"/>
        </w:numPr>
        <w:spacing w:after="160" w:line="360" w:lineRule="auto"/>
        <w:ind w:right="-28"/>
        <w:contextualSpacing/>
        <w:jc w:val="both"/>
        <w:rPr>
          <w:rFonts w:ascii="Palatino Linotype" w:hAnsi="Palatino Linotype" w:cs="Tahoma"/>
          <w:iCs/>
          <w:sz w:val="22"/>
          <w:szCs w:val="22"/>
        </w:rPr>
      </w:pPr>
      <w:r w:rsidRPr="0023147B">
        <w:rPr>
          <w:rFonts w:ascii="Palatino Linotype" w:hAnsi="Palatino Linotype" w:cs="Tahoma"/>
          <w:iCs/>
          <w:sz w:val="22"/>
          <w:szCs w:val="22"/>
        </w:rPr>
        <w:t>Disco compacto;</w:t>
      </w:r>
    </w:p>
    <w:p w14:paraId="450F8D05" w14:textId="77777777" w:rsidR="00BB3882" w:rsidRPr="0023147B" w:rsidRDefault="00BB3882" w:rsidP="006F2560">
      <w:pPr>
        <w:numPr>
          <w:ilvl w:val="0"/>
          <w:numId w:val="6"/>
        </w:numPr>
        <w:spacing w:after="160" w:line="360" w:lineRule="auto"/>
        <w:ind w:right="-28"/>
        <w:contextualSpacing/>
        <w:jc w:val="both"/>
        <w:rPr>
          <w:rFonts w:ascii="Palatino Linotype" w:hAnsi="Palatino Linotype" w:cs="Tahoma"/>
          <w:iCs/>
          <w:sz w:val="22"/>
          <w:szCs w:val="22"/>
        </w:rPr>
      </w:pPr>
      <w:r w:rsidRPr="0023147B">
        <w:rPr>
          <w:rFonts w:ascii="Palatino Linotype" w:hAnsi="Palatino Linotype" w:cs="Tahoma"/>
          <w:iCs/>
          <w:sz w:val="22"/>
          <w:szCs w:val="22"/>
        </w:rPr>
        <w:t>Dispositivo de</w:t>
      </w:r>
      <w:r w:rsidRPr="0023147B">
        <w:rPr>
          <w:rFonts w:ascii="Palatino Linotype" w:eastAsiaTheme="minorHAnsi" w:hAnsi="Palatino Linotype" w:cstheme="minorBidi"/>
          <w:color w:val="000000" w:themeColor="text1"/>
          <w:sz w:val="22"/>
          <w:szCs w:val="22"/>
          <w:lang w:eastAsia="en-US"/>
        </w:rPr>
        <w:t xml:space="preserve"> almacenamiento aportado por el particular (CD o USB);</w:t>
      </w:r>
    </w:p>
    <w:p w14:paraId="00A1C46C" w14:textId="77777777" w:rsidR="00BB3882" w:rsidRPr="0023147B" w:rsidRDefault="00BB3882" w:rsidP="006F2560">
      <w:pPr>
        <w:numPr>
          <w:ilvl w:val="0"/>
          <w:numId w:val="6"/>
        </w:numPr>
        <w:spacing w:after="160" w:line="360" w:lineRule="auto"/>
        <w:ind w:right="-28"/>
        <w:contextualSpacing/>
        <w:jc w:val="both"/>
        <w:rPr>
          <w:rFonts w:ascii="Palatino Linotype" w:hAnsi="Palatino Linotype" w:cs="Tahoma"/>
          <w:iCs/>
          <w:sz w:val="22"/>
          <w:szCs w:val="22"/>
        </w:rPr>
      </w:pPr>
      <w:r w:rsidRPr="0023147B">
        <w:rPr>
          <w:rFonts w:ascii="Palatino Linotype" w:eastAsiaTheme="minorHAnsi" w:hAnsi="Palatino Linotype" w:cstheme="minorBidi"/>
          <w:color w:val="000000" w:themeColor="text1"/>
          <w:sz w:val="22"/>
          <w:szCs w:val="22"/>
          <w:lang w:eastAsia="en-US"/>
        </w:rPr>
        <w:t>Copias simples o certificadas previo pago de derechos correspondientes, y</w:t>
      </w:r>
    </w:p>
    <w:p w14:paraId="58F92146" w14:textId="77777777" w:rsidR="00BB3882" w:rsidRPr="0023147B" w:rsidRDefault="00BB3882" w:rsidP="006F2560">
      <w:pPr>
        <w:numPr>
          <w:ilvl w:val="0"/>
          <w:numId w:val="6"/>
        </w:numPr>
        <w:spacing w:after="160" w:line="360" w:lineRule="auto"/>
        <w:ind w:right="-28"/>
        <w:contextualSpacing/>
        <w:jc w:val="both"/>
        <w:rPr>
          <w:rFonts w:ascii="Palatino Linotype" w:hAnsi="Palatino Linotype" w:cs="Tahoma"/>
          <w:iCs/>
          <w:sz w:val="22"/>
          <w:szCs w:val="22"/>
        </w:rPr>
      </w:pPr>
      <w:r w:rsidRPr="0023147B">
        <w:rPr>
          <w:rFonts w:ascii="Palatino Linotype" w:eastAsiaTheme="minorHAnsi" w:hAnsi="Palatino Linotype" w:cstheme="minorBidi"/>
          <w:color w:val="000000" w:themeColor="text1"/>
          <w:sz w:val="22"/>
          <w:szCs w:val="22"/>
          <w:lang w:eastAsia="en-US"/>
        </w:rPr>
        <w:t>En su caso, correo electrónico o vínculo electrónico.</w:t>
      </w:r>
    </w:p>
    <w:p w14:paraId="687E638E" w14:textId="77777777" w:rsidR="00BB3882" w:rsidRPr="0023147B" w:rsidRDefault="00BB3882" w:rsidP="00BB3882">
      <w:pPr>
        <w:spacing w:line="360" w:lineRule="auto"/>
        <w:ind w:right="-28"/>
        <w:jc w:val="both"/>
        <w:rPr>
          <w:rFonts w:ascii="Palatino Linotype" w:hAnsi="Palatino Linotype" w:cs="Tahoma"/>
          <w:iCs/>
          <w:sz w:val="22"/>
          <w:szCs w:val="22"/>
        </w:rPr>
      </w:pPr>
    </w:p>
    <w:p w14:paraId="53BE1DD2" w14:textId="77777777" w:rsidR="00BB3882" w:rsidRPr="0023147B" w:rsidRDefault="00BB3882" w:rsidP="00BB3882">
      <w:pPr>
        <w:spacing w:line="360" w:lineRule="auto"/>
        <w:ind w:right="-28"/>
        <w:jc w:val="both"/>
        <w:rPr>
          <w:rFonts w:ascii="Palatino Linotype" w:hAnsi="Palatino Linotype" w:cs="Tahoma"/>
          <w:iCs/>
          <w:sz w:val="22"/>
          <w:szCs w:val="22"/>
        </w:rPr>
      </w:pPr>
      <w:r w:rsidRPr="0023147B">
        <w:rPr>
          <w:rFonts w:ascii="Palatino Linotype" w:hAnsi="Palatino Linotype" w:cs="Tahoma"/>
          <w:iCs/>
          <w:sz w:val="22"/>
          <w:szCs w:val="22"/>
        </w:rPr>
        <w:lastRenderedPageBreak/>
        <w:t>Además, señala que la entrega de la información de los incisos a, b y c, será en la Unidad de Transparencia o a domicilio, por correo postar certificado, previo pago de los derechos correspondientes; asimismo, aclara que, si la persona Solicitante proporciona el dispositivo electrónico para la entrega, la reproducción digital se hará sin costo.</w:t>
      </w:r>
    </w:p>
    <w:p w14:paraId="3F8AD5F5" w14:textId="77777777" w:rsidR="00BB3882" w:rsidRPr="0023147B" w:rsidRDefault="00BB3882" w:rsidP="00BB3882">
      <w:pPr>
        <w:spacing w:line="360" w:lineRule="auto"/>
        <w:ind w:right="-28"/>
        <w:contextualSpacing/>
        <w:jc w:val="both"/>
        <w:rPr>
          <w:rFonts w:ascii="Palatino Linotype" w:hAnsi="Palatino Linotype" w:cs="Tahoma"/>
          <w:iCs/>
          <w:sz w:val="22"/>
          <w:szCs w:val="22"/>
        </w:rPr>
      </w:pPr>
    </w:p>
    <w:p w14:paraId="4C3EFB95" w14:textId="77777777" w:rsidR="00BB3882" w:rsidRPr="0023147B" w:rsidRDefault="00BB3882" w:rsidP="00BB3882">
      <w:pPr>
        <w:spacing w:line="360" w:lineRule="auto"/>
        <w:ind w:right="-28"/>
        <w:contextualSpacing/>
        <w:jc w:val="both"/>
        <w:rPr>
          <w:rFonts w:ascii="Palatino Linotype" w:hAnsi="Palatino Linotype" w:cs="Tahoma"/>
          <w:b/>
          <w:bCs/>
          <w:iCs/>
          <w:sz w:val="22"/>
          <w:szCs w:val="22"/>
        </w:rPr>
      </w:pPr>
      <w:r w:rsidRPr="0023147B">
        <w:rPr>
          <w:rFonts w:ascii="Palatino Linotype" w:hAnsi="Palatino Linotype" w:cs="Tahoma"/>
          <w:iCs/>
          <w:sz w:val="22"/>
          <w:szCs w:val="22"/>
        </w:rPr>
        <w:t>Conforme a lo anterior se considera que, si bien es procedente el cambio de modalidad, el Sujeto Obligado fue restrictivo al señalar como única modalidad de entrega consulta directa, pues estaba en posibilidad de proporcionarla en otras modalidades de entrega</w:t>
      </w:r>
      <w:r>
        <w:rPr>
          <w:rFonts w:ascii="Palatino Linotype" w:hAnsi="Palatino Linotype" w:cs="Tahoma"/>
          <w:iCs/>
          <w:sz w:val="22"/>
          <w:szCs w:val="22"/>
        </w:rPr>
        <w:t xml:space="preserve">, </w:t>
      </w:r>
      <w:r w:rsidRPr="0023147B">
        <w:rPr>
          <w:rFonts w:ascii="Palatino Linotype" w:hAnsi="Palatino Linotype" w:cs="Tahoma"/>
          <w:iCs/>
          <w:sz w:val="22"/>
          <w:szCs w:val="22"/>
        </w:rPr>
        <w:t xml:space="preserve">lo cual da como resultado que el agravió resulte </w:t>
      </w:r>
      <w:r w:rsidRPr="0023147B">
        <w:rPr>
          <w:rFonts w:ascii="Palatino Linotype" w:hAnsi="Palatino Linotype" w:cs="Tahoma"/>
          <w:b/>
          <w:iCs/>
          <w:sz w:val="22"/>
          <w:szCs w:val="22"/>
        </w:rPr>
        <w:t>PARCIALMENTE FUNDADO.</w:t>
      </w:r>
    </w:p>
    <w:p w14:paraId="27466C54" w14:textId="77777777" w:rsidR="00BB3882" w:rsidRPr="0023147B" w:rsidRDefault="00BB3882" w:rsidP="00BB3882">
      <w:pPr>
        <w:spacing w:line="360" w:lineRule="auto"/>
        <w:ind w:right="-28"/>
        <w:contextualSpacing/>
        <w:jc w:val="both"/>
        <w:rPr>
          <w:rFonts w:ascii="Palatino Linotype" w:hAnsi="Palatino Linotype" w:cs="Tahoma"/>
          <w:b/>
          <w:bCs/>
          <w:iCs/>
          <w:sz w:val="22"/>
          <w:szCs w:val="22"/>
        </w:rPr>
      </w:pPr>
    </w:p>
    <w:p w14:paraId="53B6AD41" w14:textId="77777777" w:rsidR="00BB3882" w:rsidRPr="0023147B" w:rsidRDefault="00BB3882" w:rsidP="00BB3882">
      <w:pPr>
        <w:spacing w:line="360" w:lineRule="auto"/>
        <w:contextualSpacing/>
        <w:jc w:val="both"/>
        <w:rPr>
          <w:rFonts w:ascii="Palatino Linotype" w:eastAsia="Calibri" w:hAnsi="Palatino Linotype" w:cs="Tahoma"/>
          <w:iCs/>
          <w:sz w:val="22"/>
          <w:szCs w:val="22"/>
          <w:lang w:val="es-ES"/>
        </w:rPr>
      </w:pPr>
      <w:r w:rsidRPr="0023147B">
        <w:rPr>
          <w:rFonts w:ascii="Palatino Linotype" w:eastAsia="Calibri" w:hAnsi="Palatino Linotype" w:cs="Tahoma"/>
          <w:sz w:val="22"/>
          <w:szCs w:val="22"/>
          <w:lang w:val="es-ES" w:eastAsia="en-US"/>
        </w:rPr>
        <w:t xml:space="preserve">Ahora bien, resulta necesario analizar de manera oficiosa, si la información puede ser adjuntada por correo electrónico; </w:t>
      </w:r>
      <w:r w:rsidRPr="0023147B">
        <w:rPr>
          <w:rFonts w:ascii="Palatino Linotype" w:eastAsia="Calibri" w:hAnsi="Palatino Linotype" w:cs="Tahoma"/>
          <w:iCs/>
          <w:sz w:val="22"/>
          <w:szCs w:val="22"/>
          <w:lang w:val="es-ES"/>
        </w:rPr>
        <w:t>al respecto, dicho medio es un sistema que permite el intercambio de mensajes entre distintas computadoras interconectadas a través de una red.</w:t>
      </w:r>
    </w:p>
    <w:p w14:paraId="22216F2E" w14:textId="77777777" w:rsidR="00BB3882" w:rsidRPr="0023147B" w:rsidRDefault="00BB3882" w:rsidP="00BB3882">
      <w:pPr>
        <w:spacing w:line="360" w:lineRule="auto"/>
        <w:contextualSpacing/>
        <w:jc w:val="both"/>
        <w:rPr>
          <w:rFonts w:ascii="Palatino Linotype" w:eastAsia="Calibri" w:hAnsi="Palatino Linotype" w:cs="Tahoma"/>
          <w:iCs/>
          <w:sz w:val="22"/>
          <w:szCs w:val="22"/>
          <w:lang w:val="es-ES"/>
        </w:rPr>
      </w:pPr>
    </w:p>
    <w:p w14:paraId="77B30602" w14:textId="77777777" w:rsidR="00BB3882" w:rsidRPr="0023147B" w:rsidRDefault="00BB3882" w:rsidP="00BB3882">
      <w:pPr>
        <w:spacing w:line="360" w:lineRule="auto"/>
        <w:contextualSpacing/>
        <w:jc w:val="both"/>
        <w:rPr>
          <w:rFonts w:ascii="Palatino Linotype" w:eastAsia="Calibri" w:hAnsi="Palatino Linotype" w:cs="Tahoma"/>
          <w:sz w:val="22"/>
          <w:szCs w:val="22"/>
          <w:lang w:val="es-ES" w:eastAsia="en-US"/>
        </w:rPr>
      </w:pPr>
      <w:r w:rsidRPr="0023147B">
        <w:rPr>
          <w:rFonts w:ascii="Palatino Linotype" w:eastAsia="Calibri" w:hAnsi="Palatino Linotype" w:cs="Tahoma"/>
          <w:sz w:val="22"/>
          <w:szCs w:val="22"/>
          <w:lang w:val="es-ES"/>
        </w:rPr>
        <w:t xml:space="preserve">En ese contexto, </w:t>
      </w:r>
      <w:r w:rsidRPr="0023147B">
        <w:rPr>
          <w:rFonts w:ascii="Palatino Linotype" w:eastAsia="Calibri" w:hAnsi="Palatino Linotype" w:cs="Tahoma"/>
          <w:iCs/>
          <w:sz w:val="22"/>
          <w:szCs w:val="22"/>
          <w:lang w:val="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en la liga electrónica </w:t>
      </w:r>
      <w:hyperlink r:id="rId8" w:anchor=":~:text=Tama%C3%B1o%20m%C3%A1ximo%20de%20los%20archivos,Drive%20en%20vez%20de%20adjuntarlo" w:history="1">
        <w:r w:rsidRPr="0023147B">
          <w:rPr>
            <w:rFonts w:ascii="Palatino Linotype" w:eastAsia="Calibri" w:hAnsi="Palatino Linotype" w:cs="Tahoma"/>
            <w:iCs/>
            <w:color w:val="0563C1" w:themeColor="hyperlink"/>
            <w:sz w:val="22"/>
            <w:szCs w:val="22"/>
            <w:u w:val="single"/>
            <w:lang w:val="es-ES"/>
          </w:rPr>
          <w:t>https://support.google.com/mail/answer/6584?co=GENIE.Platform%3DDesktop&amp;hl=es#:~:text=Tama%C3%B1o%20m%C3%A1ximo%20de%20los%20archivos,Drive%20en%20vez%20de%20adjuntarlo</w:t>
        </w:r>
      </w:hyperlink>
      <w:r w:rsidRPr="0023147B">
        <w:rPr>
          <w:rFonts w:ascii="Palatino Linotype" w:eastAsia="Calibri" w:hAnsi="Palatino Linotype" w:cs="Tahoma"/>
          <w:iCs/>
          <w:sz w:val="22"/>
          <w:szCs w:val="22"/>
          <w:lang w:val="es-ES"/>
        </w:rPr>
        <w:t>), tal como se muestra continuación:</w:t>
      </w:r>
    </w:p>
    <w:p w14:paraId="29FA73D0" w14:textId="77777777" w:rsidR="00BB3882" w:rsidRPr="0023147B" w:rsidRDefault="00BB3882" w:rsidP="00BB3882">
      <w:pPr>
        <w:spacing w:line="360" w:lineRule="auto"/>
        <w:contextualSpacing/>
        <w:jc w:val="both"/>
        <w:rPr>
          <w:rFonts w:ascii="Palatino Linotype" w:eastAsia="Calibri" w:hAnsi="Palatino Linotype" w:cs="Tahoma"/>
          <w:iCs/>
          <w:sz w:val="22"/>
          <w:szCs w:val="22"/>
          <w:lang w:val="es-ES"/>
        </w:rPr>
      </w:pPr>
    </w:p>
    <w:p w14:paraId="0839BA6C" w14:textId="77777777" w:rsidR="00BB3882" w:rsidRPr="0023147B" w:rsidRDefault="00BB3882" w:rsidP="00BB3882">
      <w:pPr>
        <w:spacing w:line="360" w:lineRule="auto"/>
        <w:ind w:left="567" w:right="567"/>
        <w:contextualSpacing/>
        <w:jc w:val="both"/>
        <w:rPr>
          <w:rFonts w:ascii="Palatino Linotype" w:eastAsia="Calibri" w:hAnsi="Palatino Linotype" w:cs="Tahoma"/>
          <w:bCs/>
          <w:i/>
          <w:lang w:val="es-ES" w:eastAsia="en-US"/>
        </w:rPr>
      </w:pPr>
      <w:r w:rsidRPr="0023147B">
        <w:rPr>
          <w:rFonts w:ascii="Palatino Linotype" w:eastAsia="Calibri" w:hAnsi="Palatino Linotype" w:cs="Tahoma"/>
          <w:bCs/>
          <w:i/>
          <w:lang w:val="es-ES" w:eastAsia="en-US"/>
        </w:rPr>
        <w:t>“</w:t>
      </w:r>
      <w:r w:rsidRPr="0023147B">
        <w:rPr>
          <w:rFonts w:ascii="Palatino Linotype" w:eastAsia="Calibri" w:hAnsi="Palatino Linotype" w:cs="Tahoma"/>
          <w:b/>
          <w:bCs/>
          <w:i/>
          <w:lang w:val="es-ES" w:eastAsia="en-US"/>
        </w:rPr>
        <w:t>Tamaño máximo de los archivos adjuntos</w:t>
      </w:r>
    </w:p>
    <w:p w14:paraId="29B17C21" w14:textId="77777777" w:rsidR="00BB3882" w:rsidRPr="0023147B" w:rsidRDefault="00BB3882" w:rsidP="00BB3882">
      <w:pPr>
        <w:spacing w:line="360" w:lineRule="auto"/>
        <w:ind w:left="567" w:right="567"/>
        <w:contextualSpacing/>
        <w:jc w:val="both"/>
        <w:rPr>
          <w:rFonts w:ascii="Palatino Linotype" w:eastAsia="Calibri" w:hAnsi="Palatino Linotype" w:cs="Tahoma"/>
          <w:bCs/>
          <w:i/>
          <w:lang w:val="es-ES" w:eastAsia="en-US"/>
        </w:rPr>
      </w:pPr>
      <w:r w:rsidRPr="0023147B">
        <w:rPr>
          <w:rFonts w:ascii="Palatino Linotype" w:eastAsia="Calibri" w:hAnsi="Palatino Linotype" w:cs="Tahoma"/>
          <w:bCs/>
          <w:i/>
          <w:lang w:val="es-ES" w:eastAsia="en-US"/>
        </w:rPr>
        <w:t>Puedes enviar uno o varios archivos adjuntos en un mismo mensaje, pero en total no pueden superar los 25 MB. Si el archivo tiene más de 25 MB, Gmail añadirá automáticamente un enlace a Google Drive en vez de adjuntarlo.”</w:t>
      </w:r>
    </w:p>
    <w:p w14:paraId="18F3CEFD" w14:textId="77777777" w:rsidR="00BB3882" w:rsidRPr="0023147B" w:rsidRDefault="00BB3882" w:rsidP="00BB3882">
      <w:pPr>
        <w:spacing w:line="360" w:lineRule="auto"/>
        <w:contextualSpacing/>
        <w:jc w:val="both"/>
        <w:rPr>
          <w:rFonts w:ascii="Palatino Linotype" w:eastAsia="Calibri" w:hAnsi="Palatino Linotype" w:cs="Tahoma"/>
          <w:sz w:val="22"/>
          <w:szCs w:val="22"/>
          <w:lang w:eastAsia="en-US"/>
        </w:rPr>
      </w:pPr>
    </w:p>
    <w:p w14:paraId="5C5880F2" w14:textId="1B1BB446" w:rsidR="00BB3882" w:rsidRPr="0023147B" w:rsidRDefault="00BB3882" w:rsidP="00BB3882">
      <w:pPr>
        <w:spacing w:line="360" w:lineRule="auto"/>
        <w:contextualSpacing/>
        <w:jc w:val="both"/>
        <w:rPr>
          <w:rFonts w:ascii="Palatino Linotype" w:eastAsia="Calibri" w:hAnsi="Palatino Linotype" w:cs="Tahoma"/>
          <w:sz w:val="22"/>
          <w:szCs w:val="22"/>
          <w:lang w:eastAsia="en-US"/>
        </w:rPr>
      </w:pPr>
      <w:r w:rsidRPr="0023147B">
        <w:rPr>
          <w:rFonts w:ascii="Palatino Linotype" w:eastAsia="Calibri" w:hAnsi="Palatino Linotype" w:cs="Tahoma"/>
          <w:sz w:val="22"/>
          <w:szCs w:val="22"/>
          <w:lang w:eastAsia="en-US"/>
        </w:rPr>
        <w:t xml:space="preserve">Como se logra observar, un correo electrónico comúnmente permite únicamente la carga de archivos adjuntos cuyo peso total se traduzca en veinticinco megabytes; por lo que, para proporcionar toda la información solicitada, necesitaría remitir </w:t>
      </w:r>
      <w:r>
        <w:rPr>
          <w:rFonts w:ascii="Palatino Linotype" w:eastAsia="Calibri" w:hAnsi="Palatino Linotype" w:cs="Tahoma"/>
          <w:sz w:val="22"/>
          <w:szCs w:val="22"/>
          <w:lang w:eastAsia="en-US"/>
        </w:rPr>
        <w:t xml:space="preserve">más de </w:t>
      </w:r>
      <w:r w:rsidR="005F1D30">
        <w:rPr>
          <w:rFonts w:ascii="Palatino Linotype" w:eastAsia="Calibri" w:hAnsi="Palatino Linotype" w:cs="Tahoma"/>
          <w:sz w:val="22"/>
          <w:szCs w:val="22"/>
          <w:lang w:eastAsia="en-US"/>
        </w:rPr>
        <w:t>doscientos</w:t>
      </w:r>
      <w:r>
        <w:rPr>
          <w:rFonts w:ascii="Palatino Linotype" w:eastAsia="Calibri" w:hAnsi="Palatino Linotype" w:cs="Tahoma"/>
          <w:sz w:val="22"/>
          <w:szCs w:val="22"/>
          <w:lang w:eastAsia="en-US"/>
        </w:rPr>
        <w:t xml:space="preserve"> correos</w:t>
      </w:r>
      <w:r w:rsidRPr="0023147B">
        <w:rPr>
          <w:rFonts w:ascii="Palatino Linotype" w:eastAsia="Calibri" w:hAnsi="Palatino Linotype" w:cs="Tahoma"/>
          <w:sz w:val="22"/>
          <w:szCs w:val="22"/>
          <w:lang w:eastAsia="en-US"/>
        </w:rPr>
        <w:t>, lo cual generaría una carga desproporcional al Sujeto Obligado, que implicaría que tuviera que dejar de realizar sus funciones sustantivas y esenciales para cumplir con sus funciones; por lo que, este Instituto considera improcedente ordenar dicha modalidad.</w:t>
      </w:r>
    </w:p>
    <w:p w14:paraId="4A57B73A" w14:textId="77777777" w:rsidR="00BB3882" w:rsidRPr="0023147B" w:rsidRDefault="00BB3882" w:rsidP="00BB3882">
      <w:pPr>
        <w:spacing w:line="360" w:lineRule="auto"/>
        <w:contextualSpacing/>
        <w:jc w:val="both"/>
        <w:rPr>
          <w:rFonts w:ascii="Palatino Linotype" w:hAnsi="Palatino Linotype"/>
          <w:color w:val="000000" w:themeColor="text1"/>
          <w:sz w:val="22"/>
        </w:rPr>
      </w:pPr>
    </w:p>
    <w:p w14:paraId="221D1AD1" w14:textId="05F2F28E" w:rsidR="00BB3882" w:rsidRPr="0023147B" w:rsidRDefault="00BB3882" w:rsidP="00BB3882">
      <w:pPr>
        <w:spacing w:line="360" w:lineRule="auto"/>
        <w:contextualSpacing/>
        <w:jc w:val="both"/>
        <w:rPr>
          <w:rFonts w:ascii="Palatino Linotype" w:eastAsia="Calibri" w:hAnsi="Palatino Linotype" w:cs="Tahoma"/>
          <w:sz w:val="22"/>
          <w:szCs w:val="22"/>
          <w:lang w:eastAsia="en-US"/>
        </w:rPr>
      </w:pPr>
      <w:r w:rsidRPr="0023147B">
        <w:rPr>
          <w:rFonts w:ascii="Palatino Linotype" w:eastAsia="Calibri" w:hAnsi="Palatino Linotype" w:cs="Tahoma"/>
          <w:sz w:val="22"/>
          <w:szCs w:val="22"/>
          <w:lang w:eastAsia="en-US"/>
        </w:rPr>
        <w:t xml:space="preserve">Así, resulta procedente ordenar al Sujeto Obligado a poner a disposición </w:t>
      </w:r>
      <w:r>
        <w:rPr>
          <w:rFonts w:ascii="Palatino Linotype" w:eastAsia="Calibri" w:hAnsi="Palatino Linotype" w:cs="Tahoma"/>
          <w:sz w:val="22"/>
          <w:szCs w:val="22"/>
          <w:lang w:eastAsia="en-US"/>
        </w:rPr>
        <w:t>los comprobantes de pago solicitados</w:t>
      </w:r>
      <w:r w:rsidRPr="0023147B">
        <w:rPr>
          <w:rFonts w:ascii="Palatino Linotype" w:eastAsia="Calibri" w:hAnsi="Palatino Linotype" w:cs="Tahoma"/>
          <w:sz w:val="22"/>
          <w:szCs w:val="22"/>
          <w:lang w:eastAsia="en-US"/>
        </w:rPr>
        <w:t>; para lo cual, en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519A893C" w14:textId="77777777" w:rsidR="00BB3882" w:rsidRPr="0023147B" w:rsidRDefault="00BB3882" w:rsidP="00BB3882">
      <w:pPr>
        <w:spacing w:line="360" w:lineRule="auto"/>
        <w:contextualSpacing/>
        <w:jc w:val="both"/>
        <w:rPr>
          <w:rFonts w:ascii="Palatino Linotype" w:eastAsia="Calibri" w:hAnsi="Palatino Linotype" w:cs="Tahoma"/>
          <w:iCs/>
          <w:color w:val="000000" w:themeColor="text1"/>
          <w:sz w:val="22"/>
          <w:szCs w:val="22"/>
        </w:rPr>
      </w:pPr>
    </w:p>
    <w:p w14:paraId="308F9D50" w14:textId="77777777" w:rsidR="00BB3882" w:rsidRPr="0023147B" w:rsidRDefault="00BB3882" w:rsidP="00BB3882">
      <w:pPr>
        <w:tabs>
          <w:tab w:val="left" w:pos="4962"/>
        </w:tabs>
        <w:spacing w:line="360" w:lineRule="auto"/>
        <w:contextualSpacing/>
        <w:jc w:val="both"/>
        <w:rPr>
          <w:rFonts w:ascii="Palatino Linotype" w:eastAsiaTheme="minorHAnsi" w:hAnsi="Palatino Linotype" w:cs="Tahoma"/>
          <w:color w:val="000000" w:themeColor="text1"/>
          <w:sz w:val="22"/>
          <w:szCs w:val="22"/>
          <w:lang w:eastAsia="en-US"/>
        </w:rPr>
      </w:pPr>
      <w:r w:rsidRPr="0023147B">
        <w:rPr>
          <w:rFonts w:ascii="Palatino Linotype" w:eastAsia="Calibri" w:hAnsi="Palatino Linotype" w:cs="Tahoma"/>
          <w:color w:val="000000" w:themeColor="text1"/>
          <w:sz w:val="22"/>
          <w:szCs w:val="22"/>
          <w:lang w:eastAsia="en-US"/>
        </w:rPr>
        <w:t>Conforme a lo anterior, se considera que el Sujeto Obligado deberá poner a disposición del ahora Recurrente, en todas las modalidades que permita la documentación; a</w:t>
      </w:r>
      <w:r w:rsidRPr="0023147B">
        <w:rPr>
          <w:rFonts w:ascii="Palatino Linotype" w:eastAsiaTheme="minorHAnsi" w:hAnsi="Palatino Linotype" w:cs="Tahoma"/>
          <w:color w:val="000000" w:themeColor="text1"/>
          <w:sz w:val="22"/>
          <w:szCs w:val="22"/>
          <w:lang w:eastAsia="en-US"/>
        </w:rPr>
        <w:t>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1092C9BA" w14:textId="77777777" w:rsidR="00BB3882" w:rsidRPr="0023147B" w:rsidRDefault="00BB3882" w:rsidP="00BB3882">
      <w:pPr>
        <w:spacing w:line="360" w:lineRule="auto"/>
        <w:contextualSpacing/>
        <w:jc w:val="both"/>
        <w:rPr>
          <w:rFonts w:ascii="Palatino Linotype" w:eastAsiaTheme="minorHAnsi" w:hAnsi="Palatino Linotype" w:cs="Tahoma"/>
          <w:color w:val="000000" w:themeColor="text1"/>
          <w:sz w:val="22"/>
          <w:szCs w:val="22"/>
          <w:lang w:eastAsia="en-US"/>
        </w:rPr>
      </w:pPr>
    </w:p>
    <w:p w14:paraId="6A5198DE" w14:textId="77777777" w:rsidR="00BB3882" w:rsidRPr="0023147B" w:rsidRDefault="00BB3882" w:rsidP="00BB3882">
      <w:pPr>
        <w:spacing w:line="360" w:lineRule="auto"/>
        <w:contextualSpacing/>
        <w:jc w:val="both"/>
        <w:rPr>
          <w:rFonts w:ascii="Palatino Linotype" w:eastAsiaTheme="minorHAnsi" w:hAnsi="Palatino Linotype" w:cs="Tahoma"/>
          <w:color w:val="000000" w:themeColor="text1"/>
          <w:sz w:val="22"/>
          <w:szCs w:val="22"/>
          <w:lang w:eastAsia="en-US"/>
        </w:rPr>
      </w:pPr>
      <w:r w:rsidRPr="0023147B">
        <w:rPr>
          <w:rFonts w:ascii="Palatino Linotype" w:eastAsiaTheme="minorHAnsi" w:hAnsi="Palatino Linotype" w:cs="Tahoma"/>
          <w:color w:val="000000" w:themeColor="text1"/>
          <w:sz w:val="22"/>
          <w:szCs w:val="22"/>
          <w:lang w:eastAsia="en-US"/>
        </w:rPr>
        <w:t xml:space="preserve">Si dentro del transcurso del término señalado en el párrafo anterior, </w:t>
      </w:r>
      <w:r w:rsidRPr="0023147B">
        <w:rPr>
          <w:rFonts w:ascii="Palatino Linotype" w:eastAsiaTheme="minorHAnsi" w:hAnsi="Palatino Linotype" w:cs="Tahoma"/>
          <w:b/>
          <w:color w:val="000000" w:themeColor="text1"/>
          <w:sz w:val="22"/>
          <w:szCs w:val="22"/>
          <w:lang w:eastAsia="en-US"/>
        </w:rPr>
        <w:t>el Particular acude por la información,</w:t>
      </w:r>
      <w:r w:rsidRPr="0023147B">
        <w:rPr>
          <w:rFonts w:ascii="Palatino Linotype" w:eastAsiaTheme="minorHAnsi" w:hAnsi="Palatino Linotype" w:cs="Tahoma"/>
          <w:color w:val="000000" w:themeColor="text1"/>
          <w:sz w:val="22"/>
          <w:szCs w:val="22"/>
          <w:lang w:eastAsia="en-US"/>
        </w:rPr>
        <w:t xml:space="preserve"> el Sujeto Obligado levantará un acta de hechos misma que debe ser remitida 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w:t>
      </w:r>
      <w:r w:rsidRPr="0023147B">
        <w:rPr>
          <w:rFonts w:ascii="Palatino Linotype" w:eastAsiaTheme="minorHAnsi" w:hAnsi="Palatino Linotype" w:cs="Tahoma"/>
          <w:color w:val="000000" w:themeColor="text1"/>
          <w:sz w:val="22"/>
          <w:szCs w:val="22"/>
          <w:lang w:eastAsia="en-US"/>
        </w:rPr>
        <w:lastRenderedPageBreak/>
        <w:t>y podrá, de ser el caso, realizar la destrucción del material en el que se reprodujo, situación que también deberá informar a este Instituto, por el mismo conducto.</w:t>
      </w:r>
    </w:p>
    <w:p w14:paraId="5762749C" w14:textId="77777777" w:rsidR="00BB3882" w:rsidRDefault="00BB3882" w:rsidP="00BB3882">
      <w:pPr>
        <w:spacing w:line="360" w:lineRule="auto"/>
        <w:jc w:val="both"/>
        <w:rPr>
          <w:rFonts w:ascii="Palatino Linotype" w:eastAsia="Calibri" w:hAnsi="Palatino Linotype" w:cs="Tahoma"/>
          <w:b/>
          <w:sz w:val="22"/>
          <w:szCs w:val="22"/>
          <w:lang w:eastAsia="es-ES_tradnl"/>
        </w:rPr>
      </w:pPr>
    </w:p>
    <w:p w14:paraId="14F80F4F" w14:textId="77777777" w:rsidR="00BB3882" w:rsidRPr="00FC0A7F" w:rsidRDefault="00BB3882" w:rsidP="00BB3882">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B700918" w14:textId="77777777" w:rsidR="00BB3882" w:rsidRPr="00FC0A7F" w:rsidRDefault="00BB3882" w:rsidP="00BB3882">
      <w:pPr>
        <w:spacing w:line="360" w:lineRule="auto"/>
        <w:jc w:val="both"/>
        <w:rPr>
          <w:rFonts w:ascii="Palatino Linotype" w:hAnsi="Palatino Linotype" w:cs="Tahoma"/>
          <w:bCs/>
          <w:iCs/>
          <w:sz w:val="22"/>
          <w:szCs w:val="22"/>
          <w:lang w:val="es-ES"/>
        </w:rPr>
      </w:pPr>
    </w:p>
    <w:p w14:paraId="64198474" w14:textId="77777777" w:rsidR="00BB3882" w:rsidRPr="00FC0A7F" w:rsidRDefault="00BB3882" w:rsidP="00BB3882">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170AFFE2" w14:textId="77777777" w:rsidR="00BB3882" w:rsidRPr="00BB3882" w:rsidRDefault="00BB3882" w:rsidP="0012359E">
      <w:pPr>
        <w:spacing w:line="360" w:lineRule="auto"/>
        <w:jc w:val="both"/>
        <w:rPr>
          <w:rFonts w:ascii="Palatino Linotype" w:eastAsia="Calibri" w:hAnsi="Palatino Linotype" w:cs="Tahoma"/>
          <w:b/>
          <w:bCs/>
          <w:iCs/>
          <w:sz w:val="22"/>
          <w:szCs w:val="24"/>
          <w:lang w:val="es-ES" w:eastAsia="es-ES_tradnl"/>
        </w:rPr>
      </w:pPr>
    </w:p>
    <w:p w14:paraId="1D73E751" w14:textId="77777777" w:rsidR="005D4660" w:rsidRPr="00FB571A" w:rsidRDefault="005D4660" w:rsidP="000B54EE">
      <w:pPr>
        <w:pStyle w:val="Ttulo2"/>
        <w:spacing w:before="0" w:line="360" w:lineRule="auto"/>
        <w:rPr>
          <w:rFonts w:ascii="Palatino Linotype" w:hAnsi="Palatino Linotype"/>
          <w:b/>
          <w:color w:val="auto"/>
          <w:sz w:val="22"/>
          <w:szCs w:val="22"/>
        </w:rPr>
      </w:pPr>
      <w:bookmarkStart w:id="23" w:name="_Toc190857068"/>
      <w:bookmarkStart w:id="24" w:name="_Toc205307000"/>
      <w:r w:rsidRPr="00FB571A">
        <w:rPr>
          <w:rFonts w:ascii="Palatino Linotype" w:hAnsi="Palatino Linotype"/>
          <w:b/>
          <w:color w:val="auto"/>
          <w:sz w:val="22"/>
          <w:szCs w:val="22"/>
        </w:rPr>
        <w:t>SEXTO. Decisión</w:t>
      </w:r>
      <w:bookmarkEnd w:id="23"/>
      <w:bookmarkEnd w:id="24"/>
    </w:p>
    <w:p w14:paraId="027DCFFE" w14:textId="77777777" w:rsidR="005D4660" w:rsidRDefault="005D4660" w:rsidP="000B54EE">
      <w:pPr>
        <w:spacing w:line="360" w:lineRule="auto"/>
        <w:ind w:right="-93"/>
        <w:jc w:val="both"/>
        <w:rPr>
          <w:rFonts w:ascii="Palatino Linotype" w:hAnsi="Palatino Linotype" w:cs="Tahoma"/>
          <w:b/>
          <w:sz w:val="22"/>
          <w:szCs w:val="22"/>
        </w:rPr>
      </w:pPr>
    </w:p>
    <w:p w14:paraId="571A35AA" w14:textId="4006254B" w:rsidR="00BB3882" w:rsidRPr="00C66180" w:rsidRDefault="00BB3882" w:rsidP="00BB3882">
      <w:pPr>
        <w:spacing w:line="360" w:lineRule="auto"/>
        <w:ind w:right="-93"/>
        <w:jc w:val="both"/>
        <w:rPr>
          <w:rFonts w:ascii="Palatino Linotype" w:hAnsi="Palatino Linotype" w:cs="Tahoma"/>
          <w:sz w:val="22"/>
          <w:szCs w:val="22"/>
        </w:rPr>
      </w:pPr>
      <w:r w:rsidRPr="00C6618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MODIFICAR</w:t>
      </w:r>
      <w:r w:rsidRPr="00C66180">
        <w:rPr>
          <w:rFonts w:ascii="Palatino Linotype" w:hAnsi="Palatino Linotype" w:cs="Tahoma"/>
          <w:sz w:val="22"/>
          <w:szCs w:val="22"/>
        </w:rPr>
        <w:t xml:space="preserve"> la respuesta otorgada por el Sujeto Obligado a la solicitud de información </w:t>
      </w:r>
      <w:r w:rsidRPr="005F1D30">
        <w:rPr>
          <w:rFonts w:ascii="Palatino Linotype" w:hAnsi="Palatino Linotype" w:cs="Tahoma"/>
          <w:sz w:val="22"/>
          <w:szCs w:val="22"/>
        </w:rPr>
        <w:t xml:space="preserve">00573/ATIZARA/IP/2025, por resultar parcialmente fundadas las razones o motivos de inconformidad hechos valer por el Recurrente, en el Recurso de Revisión 12991/INFOEM/IP/RR/2025, en consecuencia procede </w:t>
      </w:r>
      <w:r w:rsidRPr="00C66180">
        <w:rPr>
          <w:rFonts w:ascii="Palatino Linotype" w:hAnsi="Palatino Linotype" w:cs="Tahoma"/>
          <w:b/>
          <w:sz w:val="22"/>
          <w:szCs w:val="22"/>
        </w:rPr>
        <w:t>ORDENAR</w:t>
      </w:r>
      <w:r w:rsidRPr="00C66180">
        <w:rPr>
          <w:rFonts w:ascii="Palatino Linotype" w:hAnsi="Palatino Linotype" w:cs="Tahoma"/>
          <w:sz w:val="22"/>
          <w:szCs w:val="22"/>
        </w:rPr>
        <w:t xml:space="preserve">, </w:t>
      </w:r>
      <w:r>
        <w:rPr>
          <w:rFonts w:ascii="Palatino Linotype" w:hAnsi="Palatino Linotype" w:cs="Tahoma"/>
          <w:sz w:val="22"/>
          <w:szCs w:val="22"/>
        </w:rPr>
        <w:t>ponga a disposición la información solicitada en diferentes modalidades</w:t>
      </w:r>
      <w:r w:rsidRPr="00C66180">
        <w:rPr>
          <w:rFonts w:ascii="Palatino Linotype" w:hAnsi="Palatino Linotype" w:cs="Tahoma"/>
          <w:sz w:val="22"/>
          <w:szCs w:val="22"/>
        </w:rPr>
        <w:t>.</w:t>
      </w:r>
    </w:p>
    <w:p w14:paraId="23899520" w14:textId="77777777" w:rsidR="00BB3882" w:rsidRPr="00C66180" w:rsidRDefault="00BB3882" w:rsidP="00BB3882">
      <w:pPr>
        <w:spacing w:line="360" w:lineRule="auto"/>
        <w:ind w:right="-93"/>
        <w:jc w:val="both"/>
        <w:rPr>
          <w:rFonts w:ascii="Palatino Linotype" w:eastAsia="Palatino Linotype" w:hAnsi="Palatino Linotype" w:cs="Palatino Linotype"/>
          <w:sz w:val="22"/>
          <w:szCs w:val="22"/>
        </w:rPr>
      </w:pPr>
    </w:p>
    <w:p w14:paraId="702AA259" w14:textId="77777777" w:rsidR="00BB3882" w:rsidRPr="00C66180" w:rsidRDefault="00BB3882" w:rsidP="00BB3882">
      <w:pPr>
        <w:spacing w:line="360" w:lineRule="auto"/>
        <w:contextualSpacing/>
        <w:jc w:val="both"/>
        <w:rPr>
          <w:rFonts w:ascii="Palatino Linotype" w:eastAsia="Calibri" w:hAnsi="Palatino Linotype" w:cs="Tahoma"/>
          <w:b/>
          <w:bCs/>
          <w:iCs/>
          <w:sz w:val="22"/>
          <w:szCs w:val="22"/>
          <w:u w:val="single"/>
          <w:lang w:val="es-ES" w:eastAsia="es-ES_tradnl"/>
        </w:rPr>
      </w:pPr>
      <w:r w:rsidRPr="00C66180">
        <w:rPr>
          <w:rFonts w:ascii="Palatino Linotype" w:eastAsia="Calibri" w:hAnsi="Palatino Linotype" w:cs="Tahoma"/>
          <w:b/>
          <w:bCs/>
          <w:iCs/>
          <w:sz w:val="22"/>
          <w:szCs w:val="22"/>
          <w:u w:val="single"/>
          <w:lang w:val="es-ES" w:eastAsia="es-ES_tradnl"/>
        </w:rPr>
        <w:t>Términos de la Resolución para el Recurrente:</w:t>
      </w:r>
    </w:p>
    <w:p w14:paraId="2EA3133D" w14:textId="77777777" w:rsidR="00BB3882" w:rsidRPr="00C66180" w:rsidRDefault="00BB3882" w:rsidP="00BB3882">
      <w:pPr>
        <w:spacing w:line="360" w:lineRule="auto"/>
        <w:jc w:val="both"/>
        <w:rPr>
          <w:rFonts w:ascii="Palatino Linotype" w:eastAsia="Calibri" w:hAnsi="Palatino Linotype" w:cs="Tahoma"/>
          <w:iCs/>
          <w:sz w:val="22"/>
          <w:szCs w:val="22"/>
          <w:lang w:eastAsia="es-ES_tradnl"/>
        </w:rPr>
      </w:pPr>
    </w:p>
    <w:p w14:paraId="4125DC02" w14:textId="77777777" w:rsidR="00BB3882" w:rsidRPr="00C66180" w:rsidRDefault="00BB3882" w:rsidP="00BB3882">
      <w:pPr>
        <w:spacing w:line="360" w:lineRule="auto"/>
        <w:jc w:val="both"/>
        <w:rPr>
          <w:rFonts w:ascii="Palatino Linotype" w:hAnsi="Palatino Linotype" w:cs="Tahoma"/>
          <w:bCs/>
          <w:sz w:val="22"/>
          <w:szCs w:val="22"/>
          <w:u w:val="single"/>
        </w:rPr>
      </w:pPr>
      <w:r w:rsidRPr="00C66180">
        <w:rPr>
          <w:rFonts w:ascii="Palatino Linotype" w:hAnsi="Palatino Linotype" w:cs="Tahoma"/>
          <w:bCs/>
          <w:sz w:val="22"/>
          <w:szCs w:val="22"/>
          <w:u w:val="single"/>
        </w:rPr>
        <w:t>Se hace del conocimiento del Recurrente la determinación de este Organismo Garante a su inconformidad:</w:t>
      </w:r>
    </w:p>
    <w:p w14:paraId="64761230" w14:textId="77777777" w:rsidR="00BB3882" w:rsidRPr="00C66180" w:rsidRDefault="00BB3882" w:rsidP="00BB3882">
      <w:pPr>
        <w:spacing w:line="360" w:lineRule="auto"/>
        <w:jc w:val="both"/>
        <w:rPr>
          <w:rFonts w:ascii="Palatino Linotype" w:hAnsi="Palatino Linotype" w:cs="Tahoma"/>
          <w:bCs/>
          <w:sz w:val="22"/>
          <w:szCs w:val="22"/>
          <w:u w:val="single"/>
        </w:rPr>
      </w:pPr>
    </w:p>
    <w:p w14:paraId="20A4B6FF" w14:textId="77777777" w:rsidR="00BB3882" w:rsidRPr="00C66180" w:rsidRDefault="00BB3882" w:rsidP="00BB3882">
      <w:pPr>
        <w:spacing w:line="360" w:lineRule="auto"/>
        <w:jc w:val="both"/>
        <w:rPr>
          <w:rFonts w:ascii="Palatino Linotype" w:hAnsi="Palatino Linotype" w:cs="Tahoma"/>
          <w:bCs/>
          <w:sz w:val="22"/>
          <w:szCs w:val="22"/>
          <w:u w:val="single"/>
        </w:rPr>
      </w:pPr>
      <w:r w:rsidRPr="00C66180">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modificar</w:t>
      </w:r>
      <w:r w:rsidRPr="00C66180">
        <w:rPr>
          <w:rFonts w:ascii="Palatino Linotype" w:hAnsi="Palatino Linotype" w:cs="Tahoma"/>
          <w:bCs/>
          <w:sz w:val="22"/>
          <w:szCs w:val="22"/>
          <w:u w:val="single"/>
        </w:rPr>
        <w:t xml:space="preserve"> la respuesta que le entregó el Sujeto Obligado a su solicitud de acceso, toda vez que </w:t>
      </w:r>
      <w:r>
        <w:rPr>
          <w:rFonts w:ascii="Palatino Linotype" w:hAnsi="Palatino Linotype" w:cs="Tahoma"/>
          <w:bCs/>
          <w:sz w:val="22"/>
          <w:szCs w:val="22"/>
          <w:u w:val="single"/>
        </w:rPr>
        <w:t>el Ayuntamiento no señaló más modalidades para la entrega de la información, ni el tiempo por el cual se la ponía a su disposición</w:t>
      </w:r>
      <w:r w:rsidRPr="00C66180">
        <w:rPr>
          <w:rFonts w:ascii="Palatino Linotype" w:hAnsi="Palatino Linotype" w:cs="Tahoma"/>
          <w:bCs/>
          <w:sz w:val="22"/>
          <w:szCs w:val="22"/>
          <w:u w:val="single"/>
        </w:rPr>
        <w:t>.</w:t>
      </w:r>
    </w:p>
    <w:p w14:paraId="6A0D1C44" w14:textId="77777777" w:rsidR="00BB3882" w:rsidRPr="00C66180" w:rsidRDefault="00BB3882" w:rsidP="00BB3882">
      <w:pPr>
        <w:spacing w:line="360" w:lineRule="auto"/>
        <w:jc w:val="both"/>
        <w:rPr>
          <w:rFonts w:ascii="Palatino Linotype" w:hAnsi="Palatino Linotype" w:cs="Tahoma"/>
          <w:bCs/>
          <w:sz w:val="22"/>
          <w:szCs w:val="22"/>
          <w:u w:val="single"/>
        </w:rPr>
      </w:pPr>
    </w:p>
    <w:p w14:paraId="14024F6C" w14:textId="77777777" w:rsidR="00BB3882" w:rsidRDefault="00BB3882" w:rsidP="00BB3882">
      <w:pPr>
        <w:spacing w:line="360" w:lineRule="auto"/>
        <w:ind w:right="-93"/>
        <w:jc w:val="both"/>
        <w:rPr>
          <w:rFonts w:ascii="Palatino Linotype" w:hAnsi="Palatino Linotype" w:cs="Tahoma"/>
          <w:bCs/>
          <w:sz w:val="22"/>
          <w:szCs w:val="22"/>
          <w:u w:val="single"/>
        </w:rPr>
      </w:pPr>
      <w:r w:rsidRPr="00C6618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0039BA0E" w14:textId="77777777" w:rsidR="00A90050" w:rsidRPr="00C66180" w:rsidRDefault="00A90050" w:rsidP="00BB3882">
      <w:pPr>
        <w:spacing w:line="360" w:lineRule="auto"/>
        <w:ind w:right="-93"/>
        <w:jc w:val="both"/>
        <w:rPr>
          <w:rFonts w:ascii="Palatino Linotype" w:hAnsi="Palatino Linotype" w:cs="Tahoma"/>
          <w:bCs/>
          <w:sz w:val="22"/>
          <w:szCs w:val="22"/>
          <w:u w:val="single"/>
        </w:rPr>
      </w:pPr>
    </w:p>
    <w:p w14:paraId="346D1378" w14:textId="77777777" w:rsidR="005D4660" w:rsidRPr="00FB571A"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5" w:name="_Toc190857069"/>
      <w:bookmarkStart w:id="26" w:name="_Toc205307001"/>
      <w:r w:rsidRPr="00FB571A">
        <w:rPr>
          <w:rFonts w:ascii="Palatino Linotype" w:eastAsia="Calibri" w:hAnsi="Palatino Linotype"/>
          <w:b/>
          <w:color w:val="auto"/>
          <w:sz w:val="22"/>
          <w:szCs w:val="22"/>
          <w:lang w:eastAsia="en-US"/>
        </w:rPr>
        <w:t>R E S U E L V E</w:t>
      </w:r>
      <w:bookmarkEnd w:id="25"/>
      <w:bookmarkEnd w:id="26"/>
    </w:p>
    <w:p w14:paraId="5790AB7F" w14:textId="77777777" w:rsidR="005D4660" w:rsidRPr="00FB571A" w:rsidRDefault="005D4660" w:rsidP="000B54EE">
      <w:pPr>
        <w:spacing w:line="360" w:lineRule="auto"/>
        <w:jc w:val="both"/>
        <w:rPr>
          <w:rFonts w:ascii="Palatino Linotype" w:hAnsi="Palatino Linotype" w:cs="Tahoma"/>
          <w:b/>
          <w:bCs/>
          <w:sz w:val="22"/>
          <w:szCs w:val="22"/>
        </w:rPr>
      </w:pPr>
    </w:p>
    <w:p w14:paraId="64101D39" w14:textId="0D86D4E1" w:rsidR="005D4660"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9C2C92">
        <w:rPr>
          <w:rFonts w:ascii="Palatino Linotype" w:hAnsi="Palatino Linotype" w:cs="Tahoma"/>
          <w:b/>
          <w:bCs/>
          <w:sz w:val="22"/>
          <w:szCs w:val="22"/>
        </w:rPr>
        <w:t>MODIFICA</w:t>
      </w:r>
      <w:r w:rsidRPr="00FB571A">
        <w:rPr>
          <w:rFonts w:ascii="Palatino Linotype" w:hAnsi="Palatino Linotype" w:cs="Tahoma"/>
          <w:bCs/>
          <w:sz w:val="22"/>
          <w:szCs w:val="22"/>
        </w:rPr>
        <w:t xml:space="preserve"> la respuesta entregada por el </w:t>
      </w:r>
      <w:r w:rsidR="00785FCA">
        <w:rPr>
          <w:rFonts w:ascii="Palatino Linotype" w:hAnsi="Palatino Linotype" w:cs="Tahoma"/>
          <w:sz w:val="22"/>
          <w:szCs w:val="22"/>
        </w:rPr>
        <w:t>Ayuntamiento de Atizapán de Zaragoza</w:t>
      </w:r>
      <w:r w:rsidRPr="00BC0E4B">
        <w:rPr>
          <w:rFonts w:ascii="Palatino Linotype" w:hAnsi="Palatino Linotype" w:cs="Tahoma"/>
          <w:sz w:val="22"/>
          <w:szCs w:val="22"/>
        </w:rPr>
        <w:t xml:space="preserve"> </w:t>
      </w:r>
      <w:r w:rsidRPr="00BC0E4B">
        <w:rPr>
          <w:rFonts w:ascii="Palatino Linotype" w:eastAsia="Calibri" w:hAnsi="Palatino Linotype" w:cs="Tahoma"/>
          <w:sz w:val="22"/>
          <w:szCs w:val="22"/>
          <w:lang w:eastAsia="en-US"/>
        </w:rPr>
        <w:t>a</w:t>
      </w:r>
      <w:r w:rsidRPr="00BC0E4B">
        <w:rPr>
          <w:rFonts w:ascii="Palatino Linotype" w:hAnsi="Palatino Linotype" w:cs="Tahoma"/>
          <w:sz w:val="22"/>
          <w:szCs w:val="22"/>
        </w:rPr>
        <w:t xml:space="preserve"> la solicitud de información </w:t>
      </w:r>
      <w:r w:rsidR="00A90050" w:rsidRPr="00A90050">
        <w:rPr>
          <w:rFonts w:ascii="Palatino Linotype" w:hAnsi="Palatino Linotype"/>
          <w:sz w:val="22"/>
          <w:szCs w:val="22"/>
        </w:rPr>
        <w:t>00573/ATIZARA/IP/2025</w:t>
      </w:r>
      <w:r w:rsidR="00A90050">
        <w:rPr>
          <w:rFonts w:ascii="Palatino Linotype" w:hAnsi="Palatino Linotype"/>
          <w:sz w:val="22"/>
          <w:szCs w:val="22"/>
        </w:rPr>
        <w:t xml:space="preserve"> </w:t>
      </w:r>
      <w:r w:rsidRPr="00BC0E4B">
        <w:rPr>
          <w:rFonts w:ascii="Palatino Linotype" w:hAnsi="Palatino Linotype"/>
          <w:sz w:val="22"/>
          <w:szCs w:val="22"/>
        </w:rPr>
        <w:t>p</w:t>
      </w:r>
      <w:r w:rsidRPr="00FB571A">
        <w:rPr>
          <w:rFonts w:ascii="Palatino Linotype" w:hAnsi="Palatino Linotype"/>
          <w:bCs/>
          <w:sz w:val="22"/>
          <w:szCs w:val="22"/>
        </w:rPr>
        <w:t>or resultar</w:t>
      </w:r>
      <w:r w:rsidR="006E6B62">
        <w:rPr>
          <w:rFonts w:ascii="Palatino Linotype" w:hAnsi="Palatino Linotype"/>
          <w:bCs/>
          <w:sz w:val="22"/>
          <w:szCs w:val="22"/>
        </w:rPr>
        <w:t xml:space="preserve"> </w:t>
      </w:r>
      <w:r w:rsidR="009C2C92">
        <w:rPr>
          <w:rFonts w:ascii="Palatino Linotype" w:hAnsi="Palatino Linotype"/>
          <w:bCs/>
          <w:sz w:val="22"/>
          <w:szCs w:val="22"/>
        </w:rPr>
        <w:t xml:space="preserve">parcialmente </w:t>
      </w:r>
      <w:r w:rsidRPr="00FB571A">
        <w:rPr>
          <w:rFonts w:ascii="Palatino Linotype" w:hAnsi="Palatino Linotype"/>
          <w:sz w:val="22"/>
          <w:szCs w:val="22"/>
        </w:rPr>
        <w:t>fundadas</w:t>
      </w:r>
      <w:r w:rsidRPr="00FB571A">
        <w:rPr>
          <w:rFonts w:ascii="Palatino Linotype" w:hAnsi="Palatino Linotype" w:cs="Tahoma"/>
          <w:bCs/>
          <w:sz w:val="22"/>
          <w:szCs w:val="22"/>
        </w:rPr>
        <w:t xml:space="preserve"> </w:t>
      </w:r>
      <w:r w:rsidRPr="00FB571A">
        <w:rPr>
          <w:rFonts w:ascii="Palatino Linotype" w:eastAsia="Calibri" w:hAnsi="Palatino Linotype" w:cs="Tahoma"/>
          <w:bCs/>
          <w:sz w:val="22"/>
          <w:szCs w:val="22"/>
          <w:lang w:eastAsia="en-US"/>
        </w:rPr>
        <w:t xml:space="preserve">las razones o motivos de inconformidad hechos valer por el Recurrente en el Recurso de Revisión </w:t>
      </w:r>
      <w:r w:rsidR="00A90050" w:rsidRPr="005F1D30">
        <w:rPr>
          <w:rFonts w:ascii="Palatino Linotype" w:hAnsi="Palatino Linotype" w:cs="Tahoma"/>
          <w:color w:val="0D0D0D" w:themeColor="text1" w:themeTint="F2"/>
          <w:sz w:val="22"/>
          <w:szCs w:val="22"/>
        </w:rPr>
        <w:t>12991</w:t>
      </w:r>
      <w:r w:rsidRPr="005F1D30">
        <w:rPr>
          <w:rFonts w:ascii="Palatino Linotype" w:hAnsi="Palatino Linotype" w:cs="Tahoma"/>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593DF7BC" w14:textId="77777777" w:rsidR="0012359E" w:rsidRPr="00FB571A" w:rsidRDefault="0012359E" w:rsidP="000B54EE">
      <w:pPr>
        <w:spacing w:line="360" w:lineRule="auto"/>
        <w:contextualSpacing/>
        <w:jc w:val="both"/>
        <w:rPr>
          <w:rFonts w:ascii="Palatino Linotype" w:eastAsia="Calibri" w:hAnsi="Palatino Linotype" w:cs="Tahoma"/>
          <w:bCs/>
          <w:sz w:val="22"/>
          <w:szCs w:val="22"/>
          <w:lang w:eastAsia="en-US"/>
        </w:rPr>
      </w:pPr>
    </w:p>
    <w:p w14:paraId="2D0707A3" w14:textId="77777777" w:rsidR="00A90050" w:rsidRDefault="005D4660" w:rsidP="00A90050">
      <w:pPr>
        <w:spacing w:line="360" w:lineRule="auto"/>
        <w:jc w:val="both"/>
        <w:rPr>
          <w:rFonts w:ascii="Palatino Linotype" w:hAnsi="Palatino Linotype" w:cs="Tahoma"/>
          <w:sz w:val="22"/>
          <w:szCs w:val="22"/>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785FCA">
        <w:rPr>
          <w:rFonts w:ascii="Palatino Linotype" w:eastAsia="Calibri" w:hAnsi="Palatino Linotype" w:cs="Tahoma"/>
          <w:sz w:val="22"/>
          <w:szCs w:val="22"/>
          <w:lang w:eastAsia="en-US"/>
        </w:rPr>
        <w:t>Ayuntamiento de Atizapán de Zaragoza</w:t>
      </w:r>
      <w:r w:rsidRPr="00FB571A">
        <w:rPr>
          <w:rFonts w:ascii="Palatino Linotype" w:hAnsi="Palatino Linotype" w:cs="Tahoma"/>
          <w:sz w:val="22"/>
          <w:szCs w:val="22"/>
        </w:rPr>
        <w:t xml:space="preserve">, </w:t>
      </w:r>
      <w:r w:rsidR="00A90050" w:rsidRPr="0023147B">
        <w:rPr>
          <w:rFonts w:ascii="Palatino Linotype" w:hAnsi="Palatino Linotype" w:cs="Tahoma"/>
          <w:sz w:val="22"/>
          <w:szCs w:val="22"/>
        </w:rPr>
        <w:t>a efecto de 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su caso, en versión pública</w:t>
      </w:r>
      <w:r w:rsidR="00A90050">
        <w:rPr>
          <w:rFonts w:ascii="Palatino Linotype" w:hAnsi="Palatino Linotype" w:cs="Tahoma"/>
          <w:sz w:val="22"/>
          <w:szCs w:val="22"/>
        </w:rPr>
        <w:t xml:space="preserve"> de los </w:t>
      </w:r>
      <w:r w:rsidR="00A90050">
        <w:rPr>
          <w:rFonts w:ascii="Palatino Linotype" w:hAnsi="Palatino Linotype" w:cs="Tahoma"/>
          <w:sz w:val="22"/>
          <w:szCs w:val="22"/>
        </w:rPr>
        <w:lastRenderedPageBreak/>
        <w:t>comprobantes de pago realizados a personas física y morales realizados por la Tesorería Municipal del primero de septiembre al quince de octubre de dos mil veinticinco.</w:t>
      </w:r>
    </w:p>
    <w:p w14:paraId="6D4CC577" w14:textId="77777777" w:rsidR="00A90050" w:rsidRDefault="00A90050" w:rsidP="00A90050">
      <w:pPr>
        <w:spacing w:line="360" w:lineRule="auto"/>
        <w:ind w:right="-93"/>
        <w:contextualSpacing/>
        <w:jc w:val="both"/>
        <w:rPr>
          <w:rFonts w:ascii="Palatino Linotype" w:hAnsi="Palatino Linotype" w:cs="Tahoma"/>
          <w:sz w:val="22"/>
          <w:szCs w:val="22"/>
        </w:rPr>
      </w:pPr>
    </w:p>
    <w:p w14:paraId="35405619" w14:textId="77777777" w:rsidR="00A90050" w:rsidRPr="00E646AB" w:rsidRDefault="00A90050" w:rsidP="00A90050">
      <w:pPr>
        <w:autoSpaceDE w:val="0"/>
        <w:autoSpaceDN w:val="0"/>
        <w:adjustRightInd w:val="0"/>
        <w:spacing w:after="160" w:line="360" w:lineRule="auto"/>
        <w:contextualSpacing/>
        <w:jc w:val="both"/>
        <w:rPr>
          <w:rFonts w:ascii="Palatino Linotype" w:eastAsia="Calibri" w:hAnsi="Palatino Linotype" w:cs="Tahoma"/>
          <w:bCs/>
          <w:iCs/>
          <w:color w:val="000000"/>
          <w:sz w:val="22"/>
          <w:szCs w:val="22"/>
          <w:lang w:val="es-ES" w:eastAsia="es-MX"/>
        </w:rPr>
      </w:pPr>
      <w:r w:rsidRPr="00E646AB">
        <w:rPr>
          <w:rFonts w:ascii="Palatino Linotype" w:eastAsia="Calibri" w:hAnsi="Palatino Linotype" w:cs="Tahoma"/>
          <w:bCs/>
          <w:iCs/>
          <w:color w:val="000000"/>
          <w:sz w:val="22"/>
          <w:szCs w:val="22"/>
          <w:lang w:val="es-ES" w:eastAsia="es-MX"/>
        </w:rPr>
        <w:t>Para tal situación, el Sujeto Obligado, a través del Sistema de Acceso a la Información Mexiquense (SAIMEX), deberá indicar el procedimiento que tendrá que seguir el Particular, para acceder a la documentación, es decir, el domicilio de la Unidad de Transparencia, así como los días y horarios de atención, junto con el nombre del servidor público que le atenderá, el procedimiento de pago y el costo, en caso de proceder, de conformidad con el Vigésimo Sexto de los Lineamientos para la operación del Sistema de Acceso a la Información Mexiquense (SAIMEX) y del Sistema de Acceso, Rectificación, Cancelación y Oposición de Datos Personales del Estado de México (SARCOEM). Además, deberá señalarle que podrá acceder de manera gratuita a la información en las oficinas del Sujeto Obligado, si proporciona el medio de almacenamiento.</w:t>
      </w:r>
    </w:p>
    <w:p w14:paraId="0033DE45" w14:textId="77777777" w:rsidR="00A90050" w:rsidRPr="007B3590" w:rsidRDefault="00A90050" w:rsidP="00A90050">
      <w:pPr>
        <w:spacing w:line="360" w:lineRule="auto"/>
        <w:ind w:right="-93"/>
        <w:jc w:val="both"/>
        <w:rPr>
          <w:rFonts w:ascii="Palatino Linotype" w:hAnsi="Palatino Linotype" w:cs="Arial"/>
          <w:sz w:val="22"/>
          <w:szCs w:val="22"/>
          <w:lang w:val="es-ES"/>
        </w:rPr>
      </w:pPr>
    </w:p>
    <w:p w14:paraId="60E2A0BB" w14:textId="77777777" w:rsidR="00A90050" w:rsidRPr="00E646AB" w:rsidRDefault="00A90050" w:rsidP="00A90050">
      <w:pPr>
        <w:spacing w:after="160" w:line="360" w:lineRule="auto"/>
        <w:contextualSpacing/>
        <w:jc w:val="both"/>
        <w:rPr>
          <w:rFonts w:ascii="Palatino Linotype" w:eastAsia="Palatino Linotype" w:hAnsi="Palatino Linotype" w:cs="Tahoma"/>
          <w:bCs/>
          <w:iCs/>
          <w:sz w:val="22"/>
          <w:szCs w:val="22"/>
        </w:rPr>
      </w:pPr>
      <w:r w:rsidRPr="00E646AB">
        <w:rPr>
          <w:rFonts w:ascii="Palatino Linotype" w:eastAsia="Palatino Linotype" w:hAnsi="Palatino Linotype" w:cs="Tahoma"/>
          <w:bCs/>
          <w:iCs/>
          <w:sz w:val="22"/>
          <w:szCs w:val="22"/>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368FC2F" w14:textId="713D1174" w:rsidR="0012359E" w:rsidRPr="0012359E" w:rsidRDefault="0012359E" w:rsidP="00A90050">
      <w:pPr>
        <w:spacing w:line="360" w:lineRule="auto"/>
        <w:ind w:right="-93"/>
        <w:jc w:val="both"/>
        <w:rPr>
          <w:rFonts w:ascii="Palatino Linotype" w:eastAsia="Calibri" w:hAnsi="Palatino Linotype" w:cs="Tahoma"/>
          <w:bCs/>
          <w:iCs/>
          <w:sz w:val="22"/>
          <w:szCs w:val="22"/>
          <w:lang w:eastAsia="en-US"/>
        </w:rPr>
      </w:pPr>
    </w:p>
    <w:p w14:paraId="6D9F3AE3" w14:textId="77777777" w:rsidR="005D4660" w:rsidRPr="00FB571A"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FB571A">
        <w:rPr>
          <w:rFonts w:ascii="Palatino Linotype" w:eastAsia="Calibri" w:hAnsi="Palatino Linotype" w:cs="Tahoma"/>
          <w:bCs/>
          <w:sz w:val="22"/>
          <w:szCs w:val="22"/>
          <w:lang w:eastAsia="en-US"/>
        </w:rPr>
        <w:lastRenderedPageBreak/>
        <w:t>conformidad con lo previsto en los artículos 198, 200, fracción III, 214, 215 y 216 de la Ley referida.</w:t>
      </w:r>
    </w:p>
    <w:p w14:paraId="10A30FED" w14:textId="77777777" w:rsidR="005D4660" w:rsidRPr="00FB571A" w:rsidRDefault="005D4660" w:rsidP="000B54EE">
      <w:pPr>
        <w:spacing w:line="360" w:lineRule="auto"/>
        <w:contextualSpacing/>
        <w:jc w:val="both"/>
        <w:rPr>
          <w:rFonts w:ascii="Palatino Linotype" w:hAnsi="Palatino Linotype" w:cs="Tahoma"/>
          <w:sz w:val="22"/>
          <w:szCs w:val="22"/>
        </w:rPr>
      </w:pPr>
    </w:p>
    <w:p w14:paraId="5AA6BB82" w14:textId="77777777" w:rsidR="005D4660" w:rsidRPr="00FB571A" w:rsidRDefault="005D4660" w:rsidP="000B54EE">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9743DD9" w14:textId="77777777" w:rsidR="005D4660" w:rsidRPr="00FB571A"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0B757C96" w14:textId="77777777" w:rsidR="005D4660" w:rsidRPr="00FB571A" w:rsidRDefault="005D4660" w:rsidP="000B54EE">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3539364C" w14:textId="77777777" w:rsidR="005D4660" w:rsidRPr="00FB571A" w:rsidRDefault="005D4660" w:rsidP="000B54EE">
      <w:pPr>
        <w:spacing w:line="360" w:lineRule="auto"/>
        <w:contextualSpacing/>
        <w:jc w:val="both"/>
        <w:rPr>
          <w:rFonts w:ascii="Palatino Linotype" w:hAnsi="Palatino Linotype" w:cs="Tahoma"/>
          <w:color w:val="000000" w:themeColor="text1"/>
          <w:sz w:val="22"/>
          <w:szCs w:val="22"/>
        </w:rPr>
      </w:pPr>
    </w:p>
    <w:p w14:paraId="6EE4D71A" w14:textId="310CE9A8" w:rsidR="00803E3D" w:rsidRDefault="00803E3D" w:rsidP="000B54EE">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Y GUADALUPE RAMÍREZ PEÑA</w:t>
      </w:r>
      <w:r w:rsidR="000D1F7E">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xml:space="preserve">, EN LA </w:t>
      </w:r>
      <w:r w:rsidR="00F42747">
        <w:rPr>
          <w:rFonts w:ascii="Palatino Linotype" w:hAnsi="Palatino Linotype" w:cs="Tahoma"/>
          <w:sz w:val="22"/>
          <w:szCs w:val="22"/>
          <w:lang w:eastAsia="es-MX"/>
        </w:rPr>
        <w:t>CUADRA</w:t>
      </w:r>
      <w:r w:rsidR="00CC13FB">
        <w:rPr>
          <w:rFonts w:ascii="Palatino Linotype" w:hAnsi="Palatino Linotype" w:cs="Tahoma"/>
          <w:sz w:val="22"/>
          <w:szCs w:val="22"/>
          <w:lang w:eastAsia="es-MX"/>
        </w:rPr>
        <w:t>GÉSIMA</w:t>
      </w:r>
      <w:r w:rsidR="00462AEC">
        <w:rPr>
          <w:rFonts w:ascii="Palatino Linotype" w:hAnsi="Palatino Linotype" w:cs="Tahoma"/>
          <w:sz w:val="22"/>
          <w:szCs w:val="22"/>
          <w:lang w:eastAsia="es-MX"/>
        </w:rPr>
        <w:t xml:space="preserve"> </w:t>
      </w:r>
      <w:r w:rsidR="00A90050">
        <w:rPr>
          <w:rFonts w:ascii="Palatino Linotype" w:hAnsi="Palatino Linotype" w:cs="Tahoma"/>
          <w:sz w:val="22"/>
          <w:szCs w:val="22"/>
          <w:lang w:eastAsia="es-MX"/>
        </w:rPr>
        <w:t xml:space="preserve">QUINTA </w:t>
      </w:r>
      <w:r w:rsidRPr="00FB571A">
        <w:rPr>
          <w:rFonts w:ascii="Palatino Linotype" w:hAnsi="Palatino Linotype" w:cs="Tahoma"/>
          <w:sz w:val="22"/>
          <w:szCs w:val="22"/>
          <w:lang w:eastAsia="es-MX"/>
        </w:rPr>
        <w:t xml:space="preserve">SESIÓN ORDINARIA, CELEBRADA EL </w:t>
      </w:r>
      <w:r w:rsidR="00A90050">
        <w:rPr>
          <w:rFonts w:ascii="Palatino Linotype" w:hAnsi="Palatino Linotype" w:cs="Tahoma"/>
          <w:sz w:val="22"/>
          <w:szCs w:val="22"/>
          <w:lang w:eastAsia="es-MX"/>
        </w:rPr>
        <w:t xml:space="preserve">DIECISIETE </w:t>
      </w:r>
      <w:r w:rsidR="00B52624">
        <w:rPr>
          <w:rFonts w:ascii="Palatino Linotype" w:hAnsi="Palatino Linotype" w:cs="Tahoma"/>
          <w:sz w:val="22"/>
          <w:szCs w:val="22"/>
          <w:lang w:eastAsia="es-MX"/>
        </w:rPr>
        <w:t xml:space="preserve">DE DICIEMBRE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5C1CE3F3" w14:textId="77777777" w:rsidR="00163BAA" w:rsidRDefault="00163BAA" w:rsidP="000B54EE">
      <w:pPr>
        <w:spacing w:line="360" w:lineRule="auto"/>
        <w:contextualSpacing/>
        <w:jc w:val="both"/>
        <w:rPr>
          <w:rFonts w:ascii="Palatino Linotype" w:hAnsi="Palatino Linotype" w:cs="Tahoma"/>
          <w:sz w:val="22"/>
          <w:szCs w:val="22"/>
        </w:rPr>
      </w:pPr>
    </w:p>
    <w:p w14:paraId="5B61C382" w14:textId="77777777" w:rsidR="00163BAA" w:rsidRDefault="00163BAA" w:rsidP="000B54EE">
      <w:pPr>
        <w:spacing w:line="360" w:lineRule="auto"/>
        <w:contextualSpacing/>
        <w:jc w:val="both"/>
        <w:rPr>
          <w:rFonts w:ascii="Palatino Linotype" w:hAnsi="Palatino Linotype" w:cs="Tahoma"/>
          <w:sz w:val="22"/>
          <w:szCs w:val="22"/>
        </w:rPr>
      </w:pPr>
    </w:p>
    <w:p w14:paraId="50963116" w14:textId="77777777" w:rsidR="0089175F" w:rsidRDefault="0089175F" w:rsidP="000B54EE">
      <w:pPr>
        <w:spacing w:line="360" w:lineRule="auto"/>
        <w:contextualSpacing/>
        <w:jc w:val="both"/>
        <w:rPr>
          <w:rFonts w:ascii="Palatino Linotype" w:hAnsi="Palatino Linotype" w:cs="Tahoma"/>
          <w:sz w:val="22"/>
          <w:szCs w:val="22"/>
        </w:rPr>
      </w:pPr>
    </w:p>
    <w:p w14:paraId="2CE5F12F" w14:textId="77777777" w:rsidR="0089175F" w:rsidRDefault="0089175F" w:rsidP="000B54EE">
      <w:pPr>
        <w:spacing w:line="360" w:lineRule="auto"/>
        <w:contextualSpacing/>
        <w:jc w:val="both"/>
        <w:rPr>
          <w:rFonts w:ascii="Palatino Linotype" w:hAnsi="Palatino Linotype" w:cs="Tahoma"/>
          <w:sz w:val="22"/>
          <w:szCs w:val="22"/>
        </w:rPr>
      </w:pPr>
    </w:p>
    <w:p w14:paraId="0C6269E6" w14:textId="77777777" w:rsidR="0089175F" w:rsidRDefault="0089175F" w:rsidP="000B54EE">
      <w:pPr>
        <w:spacing w:line="360" w:lineRule="auto"/>
        <w:contextualSpacing/>
        <w:jc w:val="both"/>
        <w:rPr>
          <w:rFonts w:ascii="Palatino Linotype" w:hAnsi="Palatino Linotype" w:cs="Tahoma"/>
          <w:sz w:val="22"/>
          <w:szCs w:val="22"/>
        </w:rPr>
      </w:pPr>
    </w:p>
    <w:p w14:paraId="36855D85" w14:textId="77777777" w:rsidR="0089175F" w:rsidRDefault="0089175F" w:rsidP="000B54EE">
      <w:pPr>
        <w:spacing w:line="360" w:lineRule="auto"/>
        <w:contextualSpacing/>
        <w:jc w:val="both"/>
        <w:rPr>
          <w:rFonts w:ascii="Palatino Linotype" w:hAnsi="Palatino Linotype" w:cs="Tahoma"/>
          <w:sz w:val="22"/>
          <w:szCs w:val="22"/>
        </w:rPr>
      </w:pPr>
    </w:p>
    <w:p w14:paraId="35617D4D" w14:textId="77777777" w:rsidR="001F1A77" w:rsidRDefault="001F1A77" w:rsidP="000B54EE">
      <w:pPr>
        <w:spacing w:line="360" w:lineRule="auto"/>
        <w:contextualSpacing/>
        <w:jc w:val="both"/>
        <w:rPr>
          <w:rFonts w:ascii="Palatino Linotype" w:hAnsi="Palatino Linotype" w:cs="Tahoma"/>
          <w:sz w:val="22"/>
          <w:szCs w:val="22"/>
        </w:rPr>
      </w:pPr>
    </w:p>
    <w:p w14:paraId="7810BF79" w14:textId="77777777" w:rsidR="001F1A77" w:rsidRDefault="001F1A77" w:rsidP="000B54EE">
      <w:pPr>
        <w:spacing w:line="360" w:lineRule="auto"/>
        <w:contextualSpacing/>
        <w:jc w:val="both"/>
        <w:rPr>
          <w:rFonts w:ascii="Palatino Linotype" w:hAnsi="Palatino Linotype" w:cs="Tahoma"/>
          <w:sz w:val="22"/>
          <w:szCs w:val="22"/>
        </w:rPr>
      </w:pPr>
    </w:p>
    <w:p w14:paraId="358E7041" w14:textId="77777777" w:rsidR="000B1059" w:rsidRDefault="000B1059" w:rsidP="000B54EE">
      <w:pPr>
        <w:spacing w:line="360" w:lineRule="auto"/>
        <w:contextualSpacing/>
        <w:jc w:val="both"/>
        <w:rPr>
          <w:rFonts w:ascii="Palatino Linotype" w:hAnsi="Palatino Linotype" w:cs="Tahoma"/>
          <w:sz w:val="22"/>
          <w:szCs w:val="22"/>
        </w:rPr>
      </w:pPr>
    </w:p>
    <w:p w14:paraId="34754BA6" w14:textId="77777777" w:rsidR="000B1059" w:rsidRDefault="000B1059" w:rsidP="000B54EE">
      <w:pPr>
        <w:spacing w:line="360" w:lineRule="auto"/>
        <w:contextualSpacing/>
        <w:jc w:val="both"/>
        <w:rPr>
          <w:rFonts w:ascii="Palatino Linotype" w:hAnsi="Palatino Linotype" w:cs="Tahoma"/>
          <w:sz w:val="22"/>
          <w:szCs w:val="22"/>
        </w:rPr>
      </w:pPr>
    </w:p>
    <w:p w14:paraId="12E3F793" w14:textId="77777777" w:rsidR="000B1059" w:rsidRDefault="000B1059" w:rsidP="000B54EE">
      <w:pPr>
        <w:spacing w:line="360" w:lineRule="auto"/>
        <w:contextualSpacing/>
        <w:jc w:val="both"/>
        <w:rPr>
          <w:rFonts w:ascii="Palatino Linotype" w:hAnsi="Palatino Linotype" w:cs="Tahoma"/>
          <w:sz w:val="22"/>
          <w:szCs w:val="22"/>
        </w:rPr>
      </w:pPr>
    </w:p>
    <w:p w14:paraId="4E9D74D4" w14:textId="77777777" w:rsidR="001F1A77" w:rsidRDefault="001F1A77" w:rsidP="000B54EE">
      <w:pPr>
        <w:spacing w:line="360" w:lineRule="auto"/>
        <w:contextualSpacing/>
        <w:jc w:val="both"/>
        <w:rPr>
          <w:rFonts w:ascii="Palatino Linotype" w:hAnsi="Palatino Linotype" w:cs="Tahoma"/>
          <w:sz w:val="22"/>
          <w:szCs w:val="22"/>
        </w:rPr>
      </w:pPr>
    </w:p>
    <w:p w14:paraId="0997CC39" w14:textId="77777777" w:rsidR="001F1A77" w:rsidRDefault="001F1A77" w:rsidP="000B54EE">
      <w:pPr>
        <w:spacing w:line="360" w:lineRule="auto"/>
        <w:contextualSpacing/>
        <w:jc w:val="both"/>
        <w:rPr>
          <w:rFonts w:ascii="Palatino Linotype" w:hAnsi="Palatino Linotype" w:cs="Tahoma"/>
          <w:sz w:val="22"/>
          <w:szCs w:val="22"/>
        </w:rPr>
      </w:pPr>
    </w:p>
    <w:p w14:paraId="1F826D11" w14:textId="77777777" w:rsidR="001F1A77" w:rsidRDefault="001F1A77" w:rsidP="000B54EE">
      <w:pPr>
        <w:spacing w:line="360" w:lineRule="auto"/>
        <w:contextualSpacing/>
        <w:jc w:val="both"/>
        <w:rPr>
          <w:rFonts w:ascii="Palatino Linotype" w:hAnsi="Palatino Linotype" w:cs="Tahoma"/>
          <w:sz w:val="22"/>
          <w:szCs w:val="22"/>
        </w:rPr>
      </w:pPr>
    </w:p>
    <w:p w14:paraId="699EEE27" w14:textId="77777777" w:rsidR="001F1A77" w:rsidRDefault="001F1A77" w:rsidP="000B54EE">
      <w:pPr>
        <w:spacing w:line="360" w:lineRule="auto"/>
        <w:contextualSpacing/>
        <w:jc w:val="both"/>
        <w:rPr>
          <w:rFonts w:ascii="Palatino Linotype" w:hAnsi="Palatino Linotype" w:cs="Tahoma"/>
          <w:sz w:val="22"/>
          <w:szCs w:val="22"/>
        </w:rPr>
      </w:pPr>
    </w:p>
    <w:p w14:paraId="11234B3A" w14:textId="77777777" w:rsidR="001F1A77" w:rsidRDefault="001F1A77" w:rsidP="000B54EE">
      <w:pPr>
        <w:spacing w:line="360" w:lineRule="auto"/>
        <w:contextualSpacing/>
        <w:jc w:val="both"/>
        <w:rPr>
          <w:rFonts w:ascii="Palatino Linotype" w:hAnsi="Palatino Linotype" w:cs="Tahoma"/>
          <w:sz w:val="22"/>
          <w:szCs w:val="22"/>
        </w:rPr>
      </w:pPr>
    </w:p>
    <w:p w14:paraId="1209A99E" w14:textId="77777777" w:rsidR="001F1A77" w:rsidRDefault="001F1A77" w:rsidP="000B54EE">
      <w:pPr>
        <w:spacing w:line="360" w:lineRule="auto"/>
        <w:contextualSpacing/>
        <w:jc w:val="both"/>
        <w:rPr>
          <w:rFonts w:ascii="Palatino Linotype" w:hAnsi="Palatino Linotype" w:cs="Tahoma"/>
          <w:sz w:val="22"/>
          <w:szCs w:val="22"/>
        </w:rPr>
      </w:pPr>
    </w:p>
    <w:p w14:paraId="17BCD90F" w14:textId="77777777" w:rsidR="001F1A77" w:rsidRDefault="001F1A77" w:rsidP="000B54EE">
      <w:pPr>
        <w:spacing w:line="360" w:lineRule="auto"/>
        <w:contextualSpacing/>
        <w:jc w:val="both"/>
        <w:rPr>
          <w:rFonts w:ascii="Palatino Linotype" w:hAnsi="Palatino Linotype" w:cs="Tahoma"/>
          <w:sz w:val="22"/>
          <w:szCs w:val="22"/>
        </w:rPr>
      </w:pPr>
    </w:p>
    <w:p w14:paraId="42DFD2F1" w14:textId="77777777" w:rsidR="001F1A77" w:rsidRPr="003A1DF0" w:rsidRDefault="001F1A77" w:rsidP="000B54EE">
      <w:pPr>
        <w:spacing w:line="360" w:lineRule="auto"/>
        <w:contextualSpacing/>
        <w:jc w:val="both"/>
        <w:rPr>
          <w:rFonts w:ascii="Palatino Linotype" w:hAnsi="Palatino Linotype" w:cs="Tahoma"/>
          <w:sz w:val="22"/>
          <w:szCs w:val="22"/>
        </w:rPr>
      </w:pPr>
    </w:p>
    <w:p w14:paraId="1FAC2DC3"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68F2B" w14:textId="77777777" w:rsidR="00C42AD8" w:rsidRDefault="00C42AD8" w:rsidP="00B31222">
      <w:r>
        <w:separator/>
      </w:r>
    </w:p>
  </w:endnote>
  <w:endnote w:type="continuationSeparator" w:id="0">
    <w:p w14:paraId="179CF4E6" w14:textId="77777777" w:rsidR="00C42AD8" w:rsidRDefault="00C42AD8" w:rsidP="00B31222">
      <w:r>
        <w:continuationSeparator/>
      </w:r>
    </w:p>
  </w:endnote>
  <w:endnote w:type="continuationNotice" w:id="1">
    <w:p w14:paraId="7170DD65" w14:textId="77777777" w:rsidR="00C42AD8" w:rsidRDefault="00C42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10F9EE21"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7A37">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7A37">
              <w:rPr>
                <w:b/>
                <w:bCs/>
                <w:noProof/>
              </w:rPr>
              <w:t>24</w:t>
            </w:r>
            <w:r>
              <w:rPr>
                <w:b/>
                <w:bCs/>
                <w:sz w:val="24"/>
                <w:szCs w:val="24"/>
              </w:rPr>
              <w:fldChar w:fldCharType="end"/>
            </w:r>
          </w:p>
        </w:sdtContent>
      </w:sdt>
    </w:sdtContent>
  </w:sdt>
  <w:p w14:paraId="5F311D7C"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2C7B5DE1"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7A3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7A37">
              <w:rPr>
                <w:b/>
                <w:bCs/>
                <w:noProof/>
              </w:rPr>
              <w:t>24</w:t>
            </w:r>
            <w:r>
              <w:rPr>
                <w:b/>
                <w:bCs/>
                <w:sz w:val="24"/>
                <w:szCs w:val="24"/>
              </w:rPr>
              <w:fldChar w:fldCharType="end"/>
            </w:r>
          </w:p>
        </w:sdtContent>
      </w:sdt>
    </w:sdtContent>
  </w:sdt>
  <w:p w14:paraId="13CD4ED1"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7AFF6" w14:textId="77777777" w:rsidR="00C42AD8" w:rsidRDefault="00C42AD8" w:rsidP="00B31222">
      <w:r>
        <w:separator/>
      </w:r>
    </w:p>
  </w:footnote>
  <w:footnote w:type="continuationSeparator" w:id="0">
    <w:p w14:paraId="6AC7D8C4" w14:textId="77777777" w:rsidR="00C42AD8" w:rsidRDefault="00C42AD8" w:rsidP="00B31222">
      <w:r>
        <w:continuationSeparator/>
      </w:r>
    </w:p>
  </w:footnote>
  <w:footnote w:type="continuationNotice" w:id="1">
    <w:p w14:paraId="4C5A89C5" w14:textId="77777777" w:rsidR="00C42AD8" w:rsidRDefault="00C42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853AA" w14:textId="77777777" w:rsidR="0094768D" w:rsidRDefault="00000000">
    <w:pPr>
      <w:pStyle w:val="Encabezado"/>
    </w:pPr>
    <w:r>
      <w:rPr>
        <w:noProof/>
        <w:lang w:eastAsia="es-MX"/>
      </w:rPr>
      <w:pict w14:anchorId="3A227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0D9D2B73" w14:textId="77777777" w:rsidTr="00202DB8">
      <w:trPr>
        <w:trHeight w:val="1435"/>
      </w:trPr>
      <w:tc>
        <w:tcPr>
          <w:tcW w:w="2835" w:type="dxa"/>
          <w:shd w:val="clear" w:color="auto" w:fill="auto"/>
        </w:tcPr>
        <w:p w14:paraId="487D9D0A"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648B898" wp14:editId="03A6C99E">
                <wp:simplePos x="0" y="0"/>
                <wp:positionH relativeFrom="page">
                  <wp:posOffset>-930777</wp:posOffset>
                </wp:positionH>
                <wp:positionV relativeFrom="margin">
                  <wp:posOffset>-248536</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5FE6014"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1788C42C" w14:textId="77777777" w:rsidTr="000B54EE">
            <w:trPr>
              <w:trHeight w:val="144"/>
            </w:trPr>
            <w:tc>
              <w:tcPr>
                <w:tcW w:w="2589" w:type="dxa"/>
              </w:tcPr>
              <w:p w14:paraId="5AB8A8C5"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792F6EAC"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BB5A5E9"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72AAA4FF" w14:textId="21FC0403" w:rsidR="0094768D" w:rsidRPr="000B54EE" w:rsidRDefault="00785FCA"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12991</w:t>
                </w:r>
                <w:r w:rsidR="0094768D" w:rsidRPr="000B54EE">
                  <w:rPr>
                    <w:rFonts w:ascii="Palatino Linotype" w:eastAsia="Calibri" w:hAnsi="Palatino Linotype" w:cs="Tahoma"/>
                    <w:sz w:val="22"/>
                    <w:szCs w:val="22"/>
                    <w:lang w:val="es-MX" w:eastAsia="en-US"/>
                  </w:rPr>
                  <w:t>/INFOEM/IP/RR/2025</w:t>
                </w:r>
              </w:p>
            </w:tc>
          </w:tr>
          <w:tr w:rsidR="0094768D" w14:paraId="248B1BB0" w14:textId="77777777" w:rsidTr="000B54EE">
            <w:trPr>
              <w:trHeight w:val="283"/>
            </w:trPr>
            <w:tc>
              <w:tcPr>
                <w:tcW w:w="2589" w:type="dxa"/>
              </w:tcPr>
              <w:p w14:paraId="74DA976F"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0F07A29" w14:textId="3AD38574" w:rsidR="0094768D" w:rsidRPr="005F13CF" w:rsidRDefault="00785FCA"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Atizapán de Zaragoza</w:t>
                </w:r>
              </w:p>
            </w:tc>
          </w:tr>
          <w:tr w:rsidR="0094768D" w14:paraId="6371B91C" w14:textId="77777777" w:rsidTr="000B54EE">
            <w:trPr>
              <w:trHeight w:val="283"/>
            </w:trPr>
            <w:tc>
              <w:tcPr>
                <w:tcW w:w="2589" w:type="dxa"/>
              </w:tcPr>
              <w:p w14:paraId="07B1E989"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F58ED65"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1981BDD"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1CD7607C"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6198894E"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66ACCA45" w14:textId="77777777" w:rsidTr="003B165A">
      <w:trPr>
        <w:trHeight w:val="1435"/>
      </w:trPr>
      <w:tc>
        <w:tcPr>
          <w:tcW w:w="2835" w:type="dxa"/>
          <w:shd w:val="clear" w:color="auto" w:fill="auto"/>
        </w:tcPr>
        <w:p w14:paraId="46E0235B"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7A34872" wp14:editId="4E1F3A9E">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FB93267" w14:textId="77777777" w:rsidR="000B54EE" w:rsidRDefault="000B54EE"/>
        <w:tbl>
          <w:tblPr>
            <w:tblStyle w:val="Tablaconcuadrcula"/>
            <w:tblW w:w="6132"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71F2AB09" w14:textId="77777777" w:rsidTr="00785FCA">
            <w:trPr>
              <w:trHeight w:val="144"/>
            </w:trPr>
            <w:tc>
              <w:tcPr>
                <w:tcW w:w="2589" w:type="dxa"/>
              </w:tcPr>
              <w:p w14:paraId="1ECF52D1"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2A8D4A6" w14:textId="35D0E847" w:rsidR="0094768D" w:rsidRPr="000B54EE" w:rsidRDefault="00785FCA"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12991</w:t>
                </w:r>
                <w:r w:rsidR="0094768D" w:rsidRPr="000B54EE">
                  <w:rPr>
                    <w:rFonts w:ascii="Palatino Linotype" w:eastAsia="Calibri" w:hAnsi="Palatino Linotype" w:cs="Tahoma"/>
                    <w:sz w:val="22"/>
                    <w:szCs w:val="22"/>
                    <w:lang w:val="es-MX" w:eastAsia="en-US"/>
                  </w:rPr>
                  <w:t>/INFOEM/IP/RR/2025</w:t>
                </w:r>
              </w:p>
            </w:tc>
          </w:tr>
          <w:tr w:rsidR="0094768D" w:rsidRPr="00286D0C" w14:paraId="5FF5D67D" w14:textId="77777777" w:rsidTr="00785FCA">
            <w:trPr>
              <w:trHeight w:val="144"/>
            </w:trPr>
            <w:tc>
              <w:tcPr>
                <w:tcW w:w="2589" w:type="dxa"/>
              </w:tcPr>
              <w:p w14:paraId="05986418"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244AEE1" w14:textId="76712808" w:rsidR="0094768D" w:rsidRPr="00286D0C" w:rsidRDefault="00CF04D1" w:rsidP="005F13CF">
                <w:pPr>
                  <w:tabs>
                    <w:tab w:val="left" w:pos="3122"/>
                    <w:tab w:val="right" w:pos="8838"/>
                  </w:tabs>
                  <w:ind w:left="-106" w:right="-105"/>
                  <w:jc w:val="both"/>
                  <w:rPr>
                    <w:rFonts w:ascii="Palatino Linotype" w:eastAsia="Calibri" w:hAnsi="Palatino Linotype" w:cs="Tahoma"/>
                    <w:bCs/>
                    <w:sz w:val="22"/>
                    <w:szCs w:val="22"/>
                    <w:lang w:eastAsia="en-US"/>
                  </w:rPr>
                </w:pPr>
                <w:r w:rsidRPr="00CF04D1">
                  <w:rPr>
                    <w:rFonts w:ascii="Palatino Linotype" w:eastAsia="Calibri" w:hAnsi="Palatino Linotype" w:cs="Tahoma"/>
                    <w:bCs/>
                    <w:sz w:val="22"/>
                    <w:szCs w:val="22"/>
                    <w:highlight w:val="black"/>
                    <w:lang w:eastAsia="en-US"/>
                  </w:rPr>
                  <w:t>XXXXXXXXXXXXXXXX</w:t>
                </w:r>
              </w:p>
            </w:tc>
          </w:tr>
          <w:tr w:rsidR="0094768D" w:rsidRPr="00431A70" w14:paraId="393419D8" w14:textId="77777777" w:rsidTr="00785FCA">
            <w:trPr>
              <w:trHeight w:val="283"/>
            </w:trPr>
            <w:tc>
              <w:tcPr>
                <w:tcW w:w="2589" w:type="dxa"/>
              </w:tcPr>
              <w:p w14:paraId="753250B3"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4ED452" w14:textId="05B5D08D" w:rsidR="0094768D" w:rsidRPr="005F13CF" w:rsidRDefault="00785FCA"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Atizapán de Zaragoza</w:t>
                </w:r>
                <w:r w:rsidR="0094768D">
                  <w:rPr>
                    <w:rFonts w:ascii="Palatino Linotype" w:eastAsia="Calibri" w:hAnsi="Palatino Linotype" w:cs="Tahoma"/>
                    <w:bCs/>
                    <w:sz w:val="22"/>
                    <w:szCs w:val="22"/>
                    <w:lang w:val="es-MX" w:eastAsia="en-US"/>
                  </w:rPr>
                  <w:t xml:space="preserve"> </w:t>
                </w:r>
              </w:p>
            </w:tc>
          </w:tr>
          <w:tr w:rsidR="0094768D" w:rsidRPr="00431A70" w14:paraId="0A012470" w14:textId="77777777" w:rsidTr="00785FCA">
            <w:trPr>
              <w:trHeight w:val="283"/>
            </w:trPr>
            <w:tc>
              <w:tcPr>
                <w:tcW w:w="2589" w:type="dxa"/>
              </w:tcPr>
              <w:p w14:paraId="1ED034F5"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48C6B67"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8DFA43E"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0DD89A8D"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54A765F"/>
    <w:multiLevelType w:val="hybridMultilevel"/>
    <w:tmpl w:val="C3B8D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15:restartNumberingAfterBreak="0">
    <w:nsid w:val="51D10B70"/>
    <w:multiLevelType w:val="hybridMultilevel"/>
    <w:tmpl w:val="00B6C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565650138">
    <w:abstractNumId w:val="0"/>
  </w:num>
  <w:num w:numId="2" w16cid:durableId="5595873">
    <w:abstractNumId w:val="4"/>
  </w:num>
  <w:num w:numId="3" w16cid:durableId="1187209299">
    <w:abstractNumId w:val="2"/>
  </w:num>
  <w:num w:numId="4" w16cid:durableId="1873886238">
    <w:abstractNumId w:val="5"/>
  </w:num>
  <w:num w:numId="5" w16cid:durableId="1499147944">
    <w:abstractNumId w:val="1"/>
  </w:num>
  <w:num w:numId="6" w16cid:durableId="450340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4CD0"/>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1F7E"/>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22A"/>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46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9B9"/>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1C8"/>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5BD"/>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1B9"/>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81E"/>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1D30"/>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0C1"/>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776"/>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FA8"/>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2560"/>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6A3E"/>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5FCA"/>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BB6"/>
    <w:rsid w:val="0082778C"/>
    <w:rsid w:val="00827F88"/>
    <w:rsid w:val="008310F6"/>
    <w:rsid w:val="008313A5"/>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8A5"/>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C6C"/>
    <w:rsid w:val="008F6301"/>
    <w:rsid w:val="008F6CE5"/>
    <w:rsid w:val="008F7068"/>
    <w:rsid w:val="008F77BF"/>
    <w:rsid w:val="008F7852"/>
    <w:rsid w:val="00901CD4"/>
    <w:rsid w:val="00901F28"/>
    <w:rsid w:val="0090360E"/>
    <w:rsid w:val="00903D37"/>
    <w:rsid w:val="0090582F"/>
    <w:rsid w:val="009079CA"/>
    <w:rsid w:val="009079ED"/>
    <w:rsid w:val="0091000D"/>
    <w:rsid w:val="00910500"/>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2C92"/>
    <w:rsid w:val="009C323D"/>
    <w:rsid w:val="009C3BF9"/>
    <w:rsid w:val="009C3E33"/>
    <w:rsid w:val="009C3F67"/>
    <w:rsid w:val="009C4153"/>
    <w:rsid w:val="009C54A0"/>
    <w:rsid w:val="009C5C6C"/>
    <w:rsid w:val="009C5F24"/>
    <w:rsid w:val="009C6C53"/>
    <w:rsid w:val="009C7F99"/>
    <w:rsid w:val="009D048B"/>
    <w:rsid w:val="009D0A63"/>
    <w:rsid w:val="009D1B59"/>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60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050"/>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2FEF"/>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624"/>
    <w:rsid w:val="00B5274E"/>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527"/>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3882"/>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51"/>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AD8"/>
    <w:rsid w:val="00C42DAC"/>
    <w:rsid w:val="00C4342B"/>
    <w:rsid w:val="00C44C5C"/>
    <w:rsid w:val="00C44C87"/>
    <w:rsid w:val="00C45345"/>
    <w:rsid w:val="00C45818"/>
    <w:rsid w:val="00C459A9"/>
    <w:rsid w:val="00C45CA7"/>
    <w:rsid w:val="00C46EF4"/>
    <w:rsid w:val="00C47763"/>
    <w:rsid w:val="00C477E7"/>
    <w:rsid w:val="00C47A3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4D1"/>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36D7"/>
    <w:rsid w:val="00F14017"/>
    <w:rsid w:val="00F1586E"/>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E82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mail/answer/6584?co=GENIE.Platform%3DDesktop&amp;h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5F64D-26DF-4B3B-A1FA-A99B1087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5781</Words>
  <Characters>31800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2025-12-19T17:20:00Z</cp:lastPrinted>
  <dcterms:created xsi:type="dcterms:W3CDTF">2025-12-19T17:20:00Z</dcterms:created>
  <dcterms:modified xsi:type="dcterms:W3CDTF">2026-02-13T19:46:00Z</dcterms:modified>
</cp:coreProperties>
</file>