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0D" w:rsidRPr="006F4FBF" w:rsidRDefault="00337A0D" w:rsidP="0010719A">
      <w:pPr>
        <w:widowControl w:val="0"/>
        <w:pBdr>
          <w:top w:val="nil"/>
          <w:left w:val="nil"/>
          <w:bottom w:val="nil"/>
          <w:right w:val="nil"/>
          <w:between w:val="nil"/>
        </w:pBdr>
        <w:spacing w:line="360" w:lineRule="auto"/>
        <w:rPr>
          <w:rFonts w:ascii="Palatino Linotype" w:hAnsi="Palatino Linotype"/>
          <w:sz w:val="22"/>
          <w:szCs w:val="22"/>
        </w:rPr>
      </w:pPr>
    </w:p>
    <w:p w:rsidR="00337A0D" w:rsidRPr="0098115E" w:rsidRDefault="00CB2883" w:rsidP="0010719A">
      <w:pPr>
        <w:tabs>
          <w:tab w:val="left" w:pos="3465"/>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t>Resolución del Pleno del Instituto de Transparencia, Acceso a la Información Pública y Protección de Datos Personales del Estado de México y Municipios, con domicilio en Metepec, Estado de México; de</w:t>
      </w:r>
      <w:r w:rsidRPr="0098115E">
        <w:rPr>
          <w:rFonts w:ascii="Palatino Linotype" w:eastAsia="Palatino Linotype" w:hAnsi="Palatino Linotype" w:cs="Palatino Linotype"/>
          <w:sz w:val="22"/>
          <w:szCs w:val="22"/>
        </w:rPr>
        <w:t xml:space="preserve"> fecha </w:t>
      </w:r>
      <w:r w:rsidRPr="0098115E">
        <w:rPr>
          <w:rFonts w:ascii="Palatino Linotype" w:eastAsia="Palatino Linotype" w:hAnsi="Palatino Linotype" w:cs="Palatino Linotype"/>
          <w:color w:val="000000"/>
          <w:sz w:val="22"/>
          <w:szCs w:val="22"/>
        </w:rPr>
        <w:t xml:space="preserve">veintinueve (29) de enero de dos mil veinticinco. </w:t>
      </w:r>
    </w:p>
    <w:p w:rsidR="00337A0D" w:rsidRPr="0098115E" w:rsidRDefault="00337A0D" w:rsidP="0010719A">
      <w:pPr>
        <w:tabs>
          <w:tab w:val="left" w:pos="3465"/>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b/>
          <w:color w:val="000000"/>
          <w:sz w:val="22"/>
          <w:szCs w:val="22"/>
        </w:rPr>
        <w:t>VISTO</w:t>
      </w:r>
      <w:r w:rsidRPr="0098115E">
        <w:rPr>
          <w:rFonts w:ascii="Palatino Linotype" w:eastAsia="Palatino Linotype" w:hAnsi="Palatino Linotype" w:cs="Palatino Linotype"/>
          <w:color w:val="000000"/>
          <w:sz w:val="22"/>
          <w:szCs w:val="22"/>
        </w:rPr>
        <w:t xml:space="preserve"> el expediente electrónico formado con motivo del recurso de revisión </w:t>
      </w:r>
      <w:r w:rsidRPr="0098115E">
        <w:rPr>
          <w:rFonts w:ascii="Palatino Linotype" w:eastAsia="Palatino Linotype" w:hAnsi="Palatino Linotype" w:cs="Palatino Linotype"/>
          <w:b/>
          <w:sz w:val="22"/>
          <w:szCs w:val="22"/>
        </w:rPr>
        <w:t>06353/INFOEM/IP/RR/2024</w:t>
      </w:r>
      <w:r w:rsidRPr="0098115E">
        <w:rPr>
          <w:rFonts w:ascii="Palatino Linotype" w:eastAsia="Palatino Linotype" w:hAnsi="Palatino Linotype" w:cs="Palatino Linotype"/>
          <w:color w:val="000000"/>
          <w:sz w:val="22"/>
          <w:szCs w:val="22"/>
        </w:rPr>
        <w:t xml:space="preserve">, interpuesto por </w:t>
      </w:r>
      <w:r w:rsidRPr="0098115E">
        <w:rPr>
          <w:rFonts w:ascii="Palatino Linotype" w:eastAsia="Palatino Linotype" w:hAnsi="Palatino Linotype" w:cs="Palatino Linotype"/>
          <w:b/>
          <w:sz w:val="22"/>
          <w:szCs w:val="22"/>
        </w:rPr>
        <w:t> </w:t>
      </w:r>
      <w:r w:rsidR="004C5734" w:rsidRPr="0098115E">
        <w:rPr>
          <w:rFonts w:ascii="Palatino Linotype" w:eastAsia="Palatino Linotype" w:hAnsi="Palatino Linotype" w:cs="Palatino Linotype"/>
          <w:b/>
          <w:sz w:val="22"/>
          <w:szCs w:val="22"/>
        </w:rPr>
        <w:t>XXXXXXXXXXX</w:t>
      </w:r>
      <w:r w:rsidRPr="0098115E">
        <w:rPr>
          <w:rFonts w:ascii="Palatino Linotype" w:eastAsia="Palatino Linotype" w:hAnsi="Palatino Linotype" w:cs="Palatino Linotype"/>
          <w:color w:val="000000"/>
          <w:sz w:val="22"/>
          <w:szCs w:val="22"/>
        </w:rPr>
        <w:t xml:space="preserve">, en adelante </w:t>
      </w:r>
      <w:r w:rsidRPr="0098115E">
        <w:rPr>
          <w:rFonts w:ascii="Palatino Linotype" w:eastAsia="Palatino Linotype" w:hAnsi="Palatino Linotype" w:cs="Palatino Linotype"/>
          <w:sz w:val="22"/>
          <w:szCs w:val="22"/>
        </w:rPr>
        <w:t>el</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b/>
          <w:color w:val="000000"/>
          <w:sz w:val="22"/>
          <w:szCs w:val="22"/>
        </w:rPr>
        <w:t>RECURRENTE</w:t>
      </w:r>
      <w:r w:rsidRPr="0098115E">
        <w:rPr>
          <w:rFonts w:ascii="Palatino Linotype" w:eastAsia="Palatino Linotype" w:hAnsi="Palatino Linotype" w:cs="Palatino Linotype"/>
          <w:sz w:val="22"/>
          <w:szCs w:val="22"/>
        </w:rPr>
        <w:t>,</w:t>
      </w:r>
      <w:r w:rsidRPr="0098115E">
        <w:rPr>
          <w:rFonts w:ascii="Palatino Linotype" w:eastAsia="Palatino Linotype" w:hAnsi="Palatino Linotype" w:cs="Palatino Linotype"/>
          <w:color w:val="000000"/>
          <w:sz w:val="22"/>
          <w:szCs w:val="22"/>
        </w:rPr>
        <w:t xml:space="preserve"> en contra de la respuesta del </w:t>
      </w:r>
      <w:r w:rsidRPr="0098115E">
        <w:rPr>
          <w:rFonts w:ascii="Palatino Linotype" w:eastAsia="Palatino Linotype" w:hAnsi="Palatino Linotype" w:cs="Palatino Linotype"/>
          <w:b/>
          <w:color w:val="000000"/>
          <w:sz w:val="22"/>
          <w:szCs w:val="22"/>
        </w:rPr>
        <w:t>Ayuntamiento de Villa Guerrero,</w:t>
      </w:r>
      <w:r w:rsidRPr="0098115E">
        <w:rPr>
          <w:rFonts w:ascii="Palatino Linotype" w:eastAsia="Palatino Linotype" w:hAnsi="Palatino Linotype" w:cs="Palatino Linotype"/>
          <w:color w:val="000000"/>
          <w:sz w:val="22"/>
          <w:szCs w:val="22"/>
        </w:rPr>
        <w:t xml:space="preserve"> en lo sucesivo el</w:t>
      </w:r>
      <w:r w:rsidRPr="0098115E">
        <w:rPr>
          <w:rFonts w:ascii="Palatino Linotype" w:eastAsia="Palatino Linotype" w:hAnsi="Palatino Linotype" w:cs="Palatino Linotype"/>
          <w:b/>
          <w:color w:val="000000"/>
          <w:sz w:val="22"/>
          <w:szCs w:val="22"/>
        </w:rPr>
        <w:t xml:space="preserve"> SUJETO OBLIGADO, </w:t>
      </w:r>
      <w:r w:rsidRPr="0098115E">
        <w:rPr>
          <w:rFonts w:ascii="Palatino Linotype" w:eastAsia="Palatino Linotype" w:hAnsi="Palatino Linotype" w:cs="Palatino Linotype"/>
          <w:color w:val="000000"/>
          <w:sz w:val="22"/>
          <w:szCs w:val="22"/>
        </w:rPr>
        <w:t xml:space="preserve">se procede a dictar la presente resolución, con base en los siguientes: </w:t>
      </w:r>
    </w:p>
    <w:p w:rsidR="00337A0D" w:rsidRPr="0098115E" w:rsidRDefault="00337A0D" w:rsidP="0010719A">
      <w:pP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pStyle w:val="Ttulo1"/>
        <w:spacing w:before="0" w:line="360" w:lineRule="auto"/>
        <w:ind w:right="-787"/>
        <w:jc w:val="center"/>
        <w:rPr>
          <w:b/>
          <w:color w:val="000000"/>
          <w:sz w:val="22"/>
          <w:szCs w:val="22"/>
        </w:rPr>
      </w:pPr>
      <w:bookmarkStart w:id="0" w:name="_heading=h.gjdgxs" w:colFirst="0" w:colLast="0"/>
      <w:bookmarkEnd w:id="0"/>
      <w:r w:rsidRPr="0098115E">
        <w:rPr>
          <w:b/>
          <w:color w:val="000000"/>
          <w:sz w:val="22"/>
          <w:szCs w:val="22"/>
        </w:rPr>
        <w:t>A N T E C E D E N T E S</w:t>
      </w:r>
    </w:p>
    <w:p w:rsidR="00337A0D" w:rsidRPr="0098115E" w:rsidRDefault="00337A0D" w:rsidP="0010719A">
      <w:pPr>
        <w:spacing w:line="360" w:lineRule="auto"/>
        <w:ind w:right="-787"/>
        <w:rPr>
          <w:rFonts w:ascii="Palatino Linotype" w:eastAsia="Palatino Linotype" w:hAnsi="Palatino Linotype" w:cs="Palatino Linotype"/>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El </w:t>
      </w:r>
      <w:r w:rsidRPr="0098115E">
        <w:rPr>
          <w:rFonts w:ascii="Palatino Linotype" w:eastAsia="Palatino Linotype" w:hAnsi="Palatino Linotype" w:cs="Palatino Linotype"/>
          <w:b/>
          <w:color w:val="000000"/>
          <w:sz w:val="22"/>
          <w:szCs w:val="22"/>
        </w:rPr>
        <w:t>veintiséis de septiembre de dos mil veinticuatro</w:t>
      </w:r>
      <w:r w:rsidRPr="0098115E">
        <w:rPr>
          <w:rFonts w:ascii="Palatino Linotype" w:eastAsia="Palatino Linotype" w:hAnsi="Palatino Linotype" w:cs="Palatino Linotype"/>
          <w:color w:val="000000"/>
          <w:sz w:val="22"/>
          <w:szCs w:val="22"/>
        </w:rPr>
        <w:t>, el particular presentó</w:t>
      </w:r>
      <w:r w:rsidRPr="0098115E">
        <w:rPr>
          <w:rFonts w:ascii="Palatino Linotype" w:eastAsia="Palatino Linotype" w:hAnsi="Palatino Linotype" w:cs="Palatino Linotype"/>
          <w:b/>
          <w:color w:val="000000"/>
          <w:sz w:val="22"/>
          <w:szCs w:val="22"/>
        </w:rPr>
        <w:t xml:space="preserve"> </w:t>
      </w:r>
      <w:r w:rsidRPr="0098115E">
        <w:rPr>
          <w:rFonts w:ascii="Palatino Linotype" w:eastAsia="Palatino Linotype" w:hAnsi="Palatino Linotype" w:cs="Palatino Linotype"/>
          <w:color w:val="000000"/>
          <w:sz w:val="22"/>
          <w:szCs w:val="22"/>
        </w:rPr>
        <w:t>a través del Sistema de Acceso a la Información Mexiquense (SAIMEX), la solicitud de información pública registrada con el número</w:t>
      </w:r>
      <w:r w:rsidRPr="0098115E">
        <w:rPr>
          <w:rFonts w:ascii="Palatino Linotype" w:eastAsia="Palatino Linotype" w:hAnsi="Palatino Linotype" w:cs="Palatino Linotype"/>
          <w:b/>
          <w:color w:val="000000"/>
          <w:sz w:val="22"/>
          <w:szCs w:val="22"/>
        </w:rPr>
        <w:t xml:space="preserve"> 00074/VIGUERRE/IP/2024,</w:t>
      </w:r>
      <w:r w:rsidRPr="0098115E">
        <w:rPr>
          <w:rFonts w:ascii="Palatino Linotype" w:eastAsia="Palatino Linotype" w:hAnsi="Palatino Linotype" w:cs="Palatino Linotype"/>
          <w:color w:val="000000"/>
          <w:sz w:val="22"/>
          <w:szCs w:val="22"/>
        </w:rPr>
        <w:t xml:space="preserve"> mediante la cual requirió lo siguiente:</w:t>
      </w:r>
    </w:p>
    <w:p w:rsidR="00337A0D" w:rsidRPr="0098115E" w:rsidRDefault="00337A0D" w:rsidP="0010719A">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sz w:val="22"/>
          <w:szCs w:val="22"/>
        </w:rPr>
      </w:pPr>
    </w:p>
    <w:p w:rsidR="00337A0D" w:rsidRPr="0098115E" w:rsidRDefault="00CB2883" w:rsidP="0010719A">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sz w:val="22"/>
          <w:szCs w:val="22"/>
        </w:rPr>
      </w:pPr>
      <w:r w:rsidRPr="0098115E">
        <w:rPr>
          <w:rFonts w:ascii="Palatino Linotype" w:eastAsia="Palatino Linotype" w:hAnsi="Palatino Linotype" w:cs="Palatino Linotype"/>
          <w:i/>
          <w:color w:val="000000"/>
          <w:sz w:val="22"/>
          <w:szCs w:val="22"/>
        </w:rPr>
        <w:t>“Se solicita información de la C. Irma González Becerra, referente a los cargos públicos a nivel municipal y estatal del periodo de 2010 a 2024”</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Modalidad de entrega: A través del SAIMEX. </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El </w:t>
      </w:r>
      <w:r w:rsidRPr="0098115E">
        <w:rPr>
          <w:rFonts w:ascii="Palatino Linotype" w:eastAsia="Palatino Linotype" w:hAnsi="Palatino Linotype" w:cs="Palatino Linotype"/>
          <w:b/>
          <w:color w:val="000000"/>
          <w:sz w:val="22"/>
          <w:szCs w:val="22"/>
        </w:rPr>
        <w:t>dieciocho de octubre de dos mil veinticuatro</w:t>
      </w:r>
      <w:r w:rsidRPr="0098115E">
        <w:rPr>
          <w:rFonts w:ascii="Palatino Linotype" w:eastAsia="Palatino Linotype" w:hAnsi="Palatino Linotype" w:cs="Palatino Linotype"/>
          <w:color w:val="000000"/>
          <w:sz w:val="22"/>
          <w:szCs w:val="22"/>
        </w:rPr>
        <w:t>, el Sujeto Obligado dio respuesta a la solicitud en los siguientes términos:</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tbl>
      <w:tblPr>
        <w:tblStyle w:val="a"/>
        <w:tblW w:w="7593" w:type="dxa"/>
        <w:jc w:val="center"/>
        <w:tblInd w:w="0" w:type="dxa"/>
        <w:tblLayout w:type="fixed"/>
        <w:tblLook w:val="0400" w:firstRow="0" w:lastRow="0" w:firstColumn="0" w:lastColumn="0" w:noHBand="0" w:noVBand="1"/>
      </w:tblPr>
      <w:tblGrid>
        <w:gridCol w:w="7593"/>
      </w:tblGrid>
      <w:tr w:rsidR="00337A0D" w:rsidRPr="0098115E">
        <w:trPr>
          <w:trHeight w:val="697"/>
          <w:jc w:val="center"/>
        </w:trPr>
        <w:tc>
          <w:tcPr>
            <w:tcW w:w="7593" w:type="dxa"/>
            <w:vAlign w:val="center"/>
          </w:tcPr>
          <w:p w:rsidR="00337A0D" w:rsidRPr="0098115E" w:rsidRDefault="00CB2883" w:rsidP="0010719A">
            <w:pPr>
              <w:spacing w:line="360" w:lineRule="auto"/>
              <w:ind w:right="-787"/>
              <w:jc w:val="right"/>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Villa Guerrero, México a 18 de Octubre de 2024</w:t>
            </w:r>
          </w:p>
        </w:tc>
      </w:tr>
      <w:tr w:rsidR="00337A0D" w:rsidRPr="0098115E">
        <w:trPr>
          <w:trHeight w:val="697"/>
          <w:jc w:val="center"/>
        </w:trPr>
        <w:tc>
          <w:tcPr>
            <w:tcW w:w="7593" w:type="dxa"/>
            <w:vAlign w:val="center"/>
          </w:tcPr>
          <w:p w:rsidR="00337A0D" w:rsidRPr="0098115E" w:rsidRDefault="00CB2883" w:rsidP="0010719A">
            <w:pPr>
              <w:spacing w:line="360" w:lineRule="auto"/>
              <w:ind w:right="-787"/>
              <w:jc w:val="right"/>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lastRenderedPageBreak/>
              <w:t>Nombre del solicitante: C. Solicitante</w:t>
            </w:r>
          </w:p>
        </w:tc>
      </w:tr>
      <w:tr w:rsidR="00337A0D" w:rsidRPr="0098115E">
        <w:trPr>
          <w:trHeight w:val="697"/>
          <w:jc w:val="center"/>
        </w:trPr>
        <w:tc>
          <w:tcPr>
            <w:tcW w:w="7593" w:type="dxa"/>
            <w:vAlign w:val="center"/>
          </w:tcPr>
          <w:p w:rsidR="00337A0D" w:rsidRPr="0098115E" w:rsidRDefault="00CB2883" w:rsidP="0010719A">
            <w:pPr>
              <w:spacing w:line="360" w:lineRule="auto"/>
              <w:ind w:right="-787"/>
              <w:jc w:val="right"/>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Folio de la solicitud: 00074/VIGUERRE/IP/2024</w:t>
            </w:r>
          </w:p>
        </w:tc>
      </w:tr>
      <w:tr w:rsidR="00337A0D" w:rsidRPr="0098115E">
        <w:trPr>
          <w:trHeight w:val="348"/>
          <w:jc w:val="center"/>
        </w:trPr>
        <w:tc>
          <w:tcPr>
            <w:tcW w:w="7593" w:type="dxa"/>
            <w:vAlign w:val="center"/>
          </w:tcPr>
          <w:p w:rsidR="00337A0D" w:rsidRPr="0098115E" w:rsidRDefault="00337A0D" w:rsidP="0010719A">
            <w:pPr>
              <w:spacing w:line="360" w:lineRule="auto"/>
              <w:ind w:right="-787"/>
              <w:jc w:val="center"/>
              <w:rPr>
                <w:rFonts w:ascii="Palatino Linotype" w:eastAsia="Palatino Linotype" w:hAnsi="Palatino Linotype" w:cs="Palatino Linotype"/>
                <w:i/>
                <w:sz w:val="22"/>
                <w:szCs w:val="22"/>
              </w:rPr>
            </w:pPr>
          </w:p>
        </w:tc>
      </w:tr>
      <w:tr w:rsidR="00337A0D" w:rsidRPr="0098115E">
        <w:trPr>
          <w:trHeight w:val="348"/>
          <w:jc w:val="center"/>
        </w:trPr>
        <w:tc>
          <w:tcPr>
            <w:tcW w:w="7593" w:type="dxa"/>
            <w:vAlign w:val="center"/>
          </w:tcPr>
          <w:p w:rsidR="00337A0D" w:rsidRPr="0098115E" w:rsidRDefault="00CB2883" w:rsidP="0010719A">
            <w:pPr>
              <w:spacing w:line="360" w:lineRule="auto"/>
              <w:ind w:right="-787"/>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POR MEDIO DEL PRESENTE, SE DA RESPUESTA A SU SOLICITUD DE INFORMACIÓN ADJUNTANDO LOS ARCHIVOS GENERADOS PARA SU DEBIDA ATENCIÓN EN FORMATO PDF</w:t>
            </w:r>
          </w:p>
        </w:tc>
      </w:tr>
      <w:tr w:rsidR="00337A0D" w:rsidRPr="0098115E">
        <w:trPr>
          <w:trHeight w:val="348"/>
          <w:jc w:val="center"/>
        </w:trPr>
        <w:tc>
          <w:tcPr>
            <w:tcW w:w="7593" w:type="dxa"/>
            <w:vAlign w:val="center"/>
          </w:tcPr>
          <w:p w:rsidR="00337A0D" w:rsidRPr="0098115E" w:rsidRDefault="00337A0D" w:rsidP="0010719A">
            <w:pPr>
              <w:spacing w:line="360" w:lineRule="auto"/>
              <w:ind w:right="-787"/>
              <w:jc w:val="center"/>
              <w:rPr>
                <w:rFonts w:ascii="Palatino Linotype" w:eastAsia="Palatino Linotype" w:hAnsi="Palatino Linotype" w:cs="Palatino Linotype"/>
                <w:i/>
                <w:sz w:val="22"/>
                <w:szCs w:val="22"/>
              </w:rPr>
            </w:pPr>
          </w:p>
        </w:tc>
      </w:tr>
      <w:tr w:rsidR="00337A0D" w:rsidRPr="0098115E">
        <w:trPr>
          <w:trHeight w:val="348"/>
          <w:jc w:val="center"/>
        </w:trPr>
        <w:tc>
          <w:tcPr>
            <w:tcW w:w="7593" w:type="dxa"/>
            <w:vAlign w:val="center"/>
          </w:tcPr>
          <w:p w:rsidR="00337A0D" w:rsidRPr="0098115E" w:rsidRDefault="00337A0D" w:rsidP="0010719A">
            <w:pPr>
              <w:spacing w:line="360" w:lineRule="auto"/>
              <w:ind w:right="-787"/>
              <w:rPr>
                <w:rFonts w:ascii="Palatino Linotype" w:eastAsia="Palatino Linotype" w:hAnsi="Palatino Linotype" w:cs="Palatino Linotype"/>
                <w:i/>
                <w:sz w:val="22"/>
                <w:szCs w:val="22"/>
              </w:rPr>
            </w:pPr>
          </w:p>
        </w:tc>
      </w:tr>
      <w:tr w:rsidR="00337A0D" w:rsidRPr="0098115E">
        <w:trPr>
          <w:trHeight w:val="348"/>
          <w:jc w:val="center"/>
        </w:trPr>
        <w:tc>
          <w:tcPr>
            <w:tcW w:w="7593" w:type="dxa"/>
            <w:vAlign w:val="center"/>
          </w:tcPr>
          <w:p w:rsidR="00337A0D" w:rsidRPr="0098115E" w:rsidRDefault="00CB2883" w:rsidP="0010719A">
            <w:pPr>
              <w:spacing w:line="360" w:lineRule="auto"/>
              <w:ind w:right="-787"/>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ATENTAMENTE</w:t>
            </w:r>
          </w:p>
        </w:tc>
      </w:tr>
      <w:tr w:rsidR="00337A0D" w:rsidRPr="0098115E">
        <w:trPr>
          <w:trHeight w:val="522"/>
          <w:jc w:val="center"/>
        </w:trPr>
        <w:tc>
          <w:tcPr>
            <w:tcW w:w="7593" w:type="dxa"/>
            <w:vAlign w:val="center"/>
          </w:tcPr>
          <w:p w:rsidR="00337A0D" w:rsidRPr="0098115E" w:rsidRDefault="00337A0D" w:rsidP="0010719A">
            <w:pPr>
              <w:spacing w:line="360" w:lineRule="auto"/>
              <w:ind w:right="-787"/>
              <w:rPr>
                <w:rFonts w:ascii="Palatino Linotype" w:eastAsia="Palatino Linotype" w:hAnsi="Palatino Linotype" w:cs="Palatino Linotype"/>
                <w:i/>
                <w:sz w:val="22"/>
                <w:szCs w:val="22"/>
              </w:rPr>
            </w:pPr>
          </w:p>
        </w:tc>
      </w:tr>
      <w:tr w:rsidR="00337A0D" w:rsidRPr="0098115E">
        <w:trPr>
          <w:trHeight w:val="348"/>
          <w:jc w:val="center"/>
        </w:trPr>
        <w:tc>
          <w:tcPr>
            <w:tcW w:w="7593" w:type="dxa"/>
            <w:vAlign w:val="center"/>
          </w:tcPr>
          <w:p w:rsidR="00337A0D" w:rsidRPr="0098115E" w:rsidRDefault="00CB2883" w:rsidP="0010719A">
            <w:pPr>
              <w:spacing w:line="360" w:lineRule="auto"/>
              <w:ind w:right="-787"/>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 xml:space="preserve">L.D </w:t>
            </w:r>
            <w:proofErr w:type="spellStart"/>
            <w:r w:rsidRPr="0098115E">
              <w:rPr>
                <w:rFonts w:ascii="Palatino Linotype" w:eastAsia="Palatino Linotype" w:hAnsi="Palatino Linotype" w:cs="Palatino Linotype"/>
                <w:i/>
                <w:sz w:val="22"/>
                <w:szCs w:val="22"/>
              </w:rPr>
              <w:t>Sabdi</w:t>
            </w:r>
            <w:proofErr w:type="spellEnd"/>
            <w:r w:rsidRPr="0098115E">
              <w:rPr>
                <w:rFonts w:ascii="Palatino Linotype" w:eastAsia="Palatino Linotype" w:hAnsi="Palatino Linotype" w:cs="Palatino Linotype"/>
                <w:i/>
                <w:sz w:val="22"/>
                <w:szCs w:val="22"/>
              </w:rPr>
              <w:t xml:space="preserve"> </w:t>
            </w:r>
            <w:proofErr w:type="spellStart"/>
            <w:r w:rsidRPr="0098115E">
              <w:rPr>
                <w:rFonts w:ascii="Palatino Linotype" w:eastAsia="Palatino Linotype" w:hAnsi="Palatino Linotype" w:cs="Palatino Linotype"/>
                <w:i/>
                <w:sz w:val="22"/>
                <w:szCs w:val="22"/>
              </w:rPr>
              <w:t>Sinahi</w:t>
            </w:r>
            <w:proofErr w:type="spellEnd"/>
            <w:r w:rsidRPr="0098115E">
              <w:rPr>
                <w:rFonts w:ascii="Palatino Linotype" w:eastAsia="Palatino Linotype" w:hAnsi="Palatino Linotype" w:cs="Palatino Linotype"/>
                <w:i/>
                <w:sz w:val="22"/>
                <w:szCs w:val="22"/>
              </w:rPr>
              <w:t xml:space="preserve"> </w:t>
            </w:r>
            <w:proofErr w:type="spellStart"/>
            <w:r w:rsidRPr="0098115E">
              <w:rPr>
                <w:rFonts w:ascii="Palatino Linotype" w:eastAsia="Palatino Linotype" w:hAnsi="Palatino Linotype" w:cs="Palatino Linotype"/>
                <w:i/>
                <w:sz w:val="22"/>
                <w:szCs w:val="22"/>
              </w:rPr>
              <w:t>Martinez</w:t>
            </w:r>
            <w:proofErr w:type="spellEnd"/>
            <w:r w:rsidRPr="0098115E">
              <w:rPr>
                <w:rFonts w:ascii="Palatino Linotype" w:eastAsia="Palatino Linotype" w:hAnsi="Palatino Linotype" w:cs="Palatino Linotype"/>
                <w:i/>
                <w:sz w:val="22"/>
                <w:szCs w:val="22"/>
              </w:rPr>
              <w:t xml:space="preserve"> Suarez</w:t>
            </w:r>
          </w:p>
        </w:tc>
      </w:tr>
    </w:tbl>
    <w:p w:rsidR="00337A0D" w:rsidRPr="0098115E" w:rsidRDefault="00337A0D" w:rsidP="0010719A">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5"/>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t xml:space="preserve">A la respuesta, se adjuntó el archivo denominado </w:t>
      </w:r>
      <w:hyperlink r:id="rId8">
        <w:r w:rsidRPr="0098115E">
          <w:rPr>
            <w:rFonts w:ascii="Palatino Linotype" w:eastAsia="Palatino Linotype" w:hAnsi="Palatino Linotype" w:cs="Palatino Linotype"/>
            <w:b/>
            <w:color w:val="0000FF"/>
            <w:sz w:val="22"/>
            <w:szCs w:val="22"/>
            <w:u w:val="single"/>
          </w:rPr>
          <w:t>SOL 74 2024.pdf</w:t>
        </w:r>
      </w:hyperlink>
      <w:r w:rsidRPr="0098115E">
        <w:rPr>
          <w:rFonts w:ascii="Palatino Linotype" w:eastAsia="Palatino Linotype" w:hAnsi="Palatino Linotype" w:cs="Palatino Linotype"/>
          <w:color w:val="000000"/>
          <w:sz w:val="22"/>
          <w:szCs w:val="22"/>
        </w:rPr>
        <w:t>, el que se advierten los oficios que se describen enseguida:</w:t>
      </w:r>
    </w:p>
    <w:p w:rsidR="00337A0D" w:rsidRPr="0098115E" w:rsidRDefault="00CB2883" w:rsidP="0010719A">
      <w:pPr>
        <w:numPr>
          <w:ilvl w:val="0"/>
          <w:numId w:val="6"/>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t>Oficio número 227/</w:t>
      </w:r>
      <w:proofErr w:type="spellStart"/>
      <w:r w:rsidRPr="0098115E">
        <w:rPr>
          <w:rFonts w:ascii="Palatino Linotype" w:eastAsia="Palatino Linotype" w:hAnsi="Palatino Linotype" w:cs="Palatino Linotype"/>
          <w:color w:val="000000"/>
          <w:sz w:val="22"/>
          <w:szCs w:val="22"/>
        </w:rPr>
        <w:t>UTyAIPyPDP</w:t>
      </w:r>
      <w:proofErr w:type="spellEnd"/>
      <w:r w:rsidRPr="0098115E">
        <w:rPr>
          <w:rFonts w:ascii="Palatino Linotype" w:eastAsia="Palatino Linotype" w:hAnsi="Palatino Linotype" w:cs="Palatino Linotype"/>
          <w:color w:val="000000"/>
          <w:sz w:val="22"/>
          <w:szCs w:val="22"/>
        </w:rPr>
        <w:t>/2024 de fecha dieciocho de octubre de dos mil veinticuatro, suscrito por el Titular de la Unidad de Transparencia en el que manifestó que se adjunta respuesta del Jefe del Departamento de Recursos Humanos.</w:t>
      </w:r>
    </w:p>
    <w:p w:rsidR="00337A0D" w:rsidRPr="0098115E" w:rsidRDefault="00CB2883" w:rsidP="0010719A">
      <w:pPr>
        <w:numPr>
          <w:ilvl w:val="0"/>
          <w:numId w:val="6"/>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t xml:space="preserve">Acuse </w:t>
      </w:r>
      <w:r w:rsidRPr="0098115E">
        <w:rPr>
          <w:rFonts w:ascii="Palatino Linotype" w:eastAsia="Palatino Linotype" w:hAnsi="Palatino Linotype" w:cs="Palatino Linotype"/>
          <w:sz w:val="22"/>
          <w:szCs w:val="22"/>
        </w:rPr>
        <w:t>a la</w:t>
      </w:r>
      <w:r w:rsidRPr="0098115E">
        <w:rPr>
          <w:rFonts w:ascii="Palatino Linotype" w:eastAsia="Palatino Linotype" w:hAnsi="Palatino Linotype" w:cs="Palatino Linotype"/>
          <w:color w:val="000000"/>
          <w:sz w:val="22"/>
          <w:szCs w:val="22"/>
        </w:rPr>
        <w:t xml:space="preserve"> solicitud de información.</w:t>
      </w:r>
    </w:p>
    <w:p w:rsidR="00337A0D" w:rsidRPr="0098115E" w:rsidRDefault="00CB2883" w:rsidP="0010719A">
      <w:pPr>
        <w:numPr>
          <w:ilvl w:val="0"/>
          <w:numId w:val="6"/>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t>Oficio número 220/</w:t>
      </w:r>
      <w:proofErr w:type="spellStart"/>
      <w:r w:rsidRPr="0098115E">
        <w:rPr>
          <w:rFonts w:ascii="Palatino Linotype" w:eastAsia="Palatino Linotype" w:hAnsi="Palatino Linotype" w:cs="Palatino Linotype"/>
          <w:color w:val="000000"/>
          <w:sz w:val="22"/>
          <w:szCs w:val="22"/>
        </w:rPr>
        <w:t>UTyAIPyPDP</w:t>
      </w:r>
      <w:proofErr w:type="spellEnd"/>
      <w:r w:rsidRPr="0098115E">
        <w:rPr>
          <w:rFonts w:ascii="Palatino Linotype" w:eastAsia="Palatino Linotype" w:hAnsi="Palatino Linotype" w:cs="Palatino Linotype"/>
          <w:color w:val="000000"/>
          <w:sz w:val="22"/>
          <w:szCs w:val="22"/>
        </w:rPr>
        <w:t xml:space="preserve">/2024 de fecha veintisiete de septiembre de dos mil veinticuatro, suscrito por el Titular de la Unidad de Transparencia y dirigido a la Jefa del Departamento de Recursos Humanos en requerimiento de la información solicitada. </w:t>
      </w:r>
    </w:p>
    <w:p w:rsidR="00337A0D" w:rsidRPr="0098115E" w:rsidRDefault="00CB2883" w:rsidP="0010719A">
      <w:pPr>
        <w:numPr>
          <w:ilvl w:val="0"/>
          <w:numId w:val="6"/>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t xml:space="preserve">Documento suscrito por el Titular de la Unidad de Transparencia en el que solicitó girar oficio a la jefa de recursos humanos para dar respuesta a la solicitud de información. </w:t>
      </w:r>
    </w:p>
    <w:p w:rsidR="00337A0D" w:rsidRPr="0098115E" w:rsidRDefault="00CB2883" w:rsidP="0010719A">
      <w:pPr>
        <w:numPr>
          <w:ilvl w:val="0"/>
          <w:numId w:val="6"/>
        </w:num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color w:val="000000"/>
          <w:sz w:val="22"/>
          <w:szCs w:val="22"/>
        </w:rPr>
        <w:lastRenderedPageBreak/>
        <w:t xml:space="preserve">Oficio número VG/RH/475/2024 de fecha veintisiete de septiembre de dos mil veinticuatro, suscrito por la Jefa del Departamento de Recursos Humanos en el que señaló que derivado de la búsqueda exhaustiva en los archivos del área de Recursos Humanos, no se encontró registro de la persona mencionada. </w:t>
      </w:r>
    </w:p>
    <w:p w:rsidR="00337A0D" w:rsidRPr="0098115E" w:rsidRDefault="00337A0D" w:rsidP="0010719A">
      <w:pPr>
        <w:pBdr>
          <w:top w:val="nil"/>
          <w:left w:val="nil"/>
          <w:bottom w:val="nil"/>
          <w:right w:val="nil"/>
          <w:between w:val="nil"/>
        </w:pBdr>
        <w:tabs>
          <w:tab w:val="left" w:pos="284"/>
          <w:tab w:val="left" w:pos="426"/>
        </w:tabs>
        <w:spacing w:line="360" w:lineRule="auto"/>
        <w:ind w:right="-787"/>
        <w:jc w:val="both"/>
        <w:rPr>
          <w:rFonts w:ascii="Palatino Linotype" w:eastAsia="Palatino Linotype" w:hAnsi="Palatino Linotype" w:cs="Palatino Linotype"/>
          <w:sz w:val="22"/>
          <w:szCs w:val="22"/>
        </w:rPr>
      </w:pPr>
    </w:p>
    <w:p w:rsidR="00337A0D" w:rsidRPr="0098115E" w:rsidRDefault="00CB2883" w:rsidP="0010719A">
      <w:pPr>
        <w:numPr>
          <w:ilvl w:val="0"/>
          <w:numId w:val="2"/>
        </w:numPr>
        <w:pBdr>
          <w:top w:val="nil"/>
          <w:left w:val="nil"/>
          <w:bottom w:val="nil"/>
          <w:right w:val="nil"/>
          <w:between w:val="nil"/>
        </w:pBdr>
        <w:tabs>
          <w:tab w:val="left" w:pos="284"/>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Derivado de la respuesta emitida por el </w:t>
      </w:r>
      <w:r w:rsidRPr="0098115E">
        <w:rPr>
          <w:rFonts w:ascii="Palatino Linotype" w:eastAsia="Palatino Linotype" w:hAnsi="Palatino Linotype" w:cs="Palatino Linotype"/>
          <w:b/>
          <w:color w:val="000000"/>
          <w:sz w:val="22"/>
          <w:szCs w:val="22"/>
        </w:rPr>
        <w:t>SUJETO OBLIGADO</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b/>
          <w:color w:val="000000"/>
          <w:sz w:val="22"/>
          <w:szCs w:val="22"/>
        </w:rPr>
        <w:t>el dieciocho de octubre de dos mil veinticuatro</w:t>
      </w:r>
      <w:r w:rsidRPr="0098115E">
        <w:rPr>
          <w:rFonts w:ascii="Palatino Linotype" w:eastAsia="Palatino Linotype" w:hAnsi="Palatino Linotype" w:cs="Palatino Linotype"/>
          <w:color w:val="000000"/>
          <w:sz w:val="22"/>
          <w:szCs w:val="22"/>
        </w:rPr>
        <w:t>, la particular interpuso el recurso de revisión en el que refirió lo siguiente:</w:t>
      </w:r>
    </w:p>
    <w:p w:rsidR="00337A0D" w:rsidRPr="0098115E" w:rsidRDefault="00CB2883" w:rsidP="0010719A">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b/>
          <w:color w:val="000000"/>
          <w:sz w:val="22"/>
          <w:szCs w:val="22"/>
        </w:rPr>
        <w:t>Acto impugnado:</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i/>
          <w:color w:val="000000"/>
          <w:sz w:val="22"/>
          <w:szCs w:val="22"/>
        </w:rPr>
        <w:t>revisen bien</w:t>
      </w:r>
      <w:proofErr w:type="gramStart"/>
      <w:r w:rsidRPr="0098115E">
        <w:rPr>
          <w:rFonts w:ascii="Palatino Linotype" w:eastAsia="Palatino Linotype" w:hAnsi="Palatino Linotype" w:cs="Palatino Linotype"/>
          <w:i/>
          <w:color w:val="000000"/>
          <w:sz w:val="22"/>
          <w:szCs w:val="22"/>
        </w:rPr>
        <w:t>!!</w:t>
      </w:r>
      <w:proofErr w:type="gramEnd"/>
      <w:r w:rsidRPr="0098115E">
        <w:rPr>
          <w:rFonts w:ascii="Palatino Linotype" w:eastAsia="Palatino Linotype" w:hAnsi="Palatino Linotype" w:cs="Palatino Linotype"/>
          <w:i/>
          <w:color w:val="000000"/>
          <w:sz w:val="22"/>
          <w:szCs w:val="22"/>
        </w:rPr>
        <w:t xml:space="preserve"> </w:t>
      </w:r>
      <w:proofErr w:type="gramStart"/>
      <w:r w:rsidRPr="0098115E">
        <w:rPr>
          <w:rFonts w:ascii="Palatino Linotype" w:eastAsia="Palatino Linotype" w:hAnsi="Palatino Linotype" w:cs="Palatino Linotype"/>
          <w:i/>
          <w:color w:val="000000"/>
          <w:sz w:val="22"/>
          <w:szCs w:val="22"/>
        </w:rPr>
        <w:t>hay</w:t>
      </w:r>
      <w:proofErr w:type="gramEnd"/>
      <w:r w:rsidRPr="0098115E">
        <w:rPr>
          <w:rFonts w:ascii="Palatino Linotype" w:eastAsia="Palatino Linotype" w:hAnsi="Palatino Linotype" w:cs="Palatino Linotype"/>
          <w:i/>
          <w:color w:val="000000"/>
          <w:sz w:val="22"/>
          <w:szCs w:val="22"/>
        </w:rPr>
        <w:t xml:space="preserve"> hasta demandas en contra de ella”</w:t>
      </w:r>
      <w:r w:rsidRPr="0098115E">
        <w:rPr>
          <w:rFonts w:ascii="Palatino Linotype" w:eastAsia="Palatino Linotype" w:hAnsi="Palatino Linotype" w:cs="Palatino Linotype"/>
          <w:color w:val="000000"/>
          <w:sz w:val="22"/>
          <w:szCs w:val="22"/>
        </w:rPr>
        <w:t xml:space="preserve"> (Sic).</w:t>
      </w:r>
    </w:p>
    <w:p w:rsidR="00337A0D" w:rsidRPr="0098115E" w:rsidRDefault="00CB2883" w:rsidP="0010719A">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b/>
          <w:color w:val="000000"/>
          <w:sz w:val="22"/>
          <w:szCs w:val="22"/>
        </w:rPr>
        <w:t>Motivos o razones de inconformidad:</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i/>
          <w:color w:val="000000"/>
          <w:sz w:val="22"/>
          <w:szCs w:val="22"/>
        </w:rPr>
        <w:t>“revisen bien</w:t>
      </w:r>
      <w:proofErr w:type="gramStart"/>
      <w:r w:rsidRPr="0098115E">
        <w:rPr>
          <w:rFonts w:ascii="Palatino Linotype" w:eastAsia="Palatino Linotype" w:hAnsi="Palatino Linotype" w:cs="Palatino Linotype"/>
          <w:i/>
          <w:color w:val="000000"/>
          <w:sz w:val="22"/>
          <w:szCs w:val="22"/>
        </w:rPr>
        <w:t>!!</w:t>
      </w:r>
      <w:proofErr w:type="gramEnd"/>
      <w:r w:rsidRPr="0098115E">
        <w:rPr>
          <w:rFonts w:ascii="Palatino Linotype" w:eastAsia="Palatino Linotype" w:hAnsi="Palatino Linotype" w:cs="Palatino Linotype"/>
          <w:i/>
          <w:color w:val="000000"/>
          <w:sz w:val="22"/>
          <w:szCs w:val="22"/>
        </w:rPr>
        <w:t xml:space="preserve"> </w:t>
      </w:r>
      <w:proofErr w:type="gramStart"/>
      <w:r w:rsidRPr="0098115E">
        <w:rPr>
          <w:rFonts w:ascii="Palatino Linotype" w:eastAsia="Palatino Linotype" w:hAnsi="Palatino Linotype" w:cs="Palatino Linotype"/>
          <w:i/>
          <w:color w:val="000000"/>
          <w:sz w:val="22"/>
          <w:szCs w:val="22"/>
        </w:rPr>
        <w:t>hay</w:t>
      </w:r>
      <w:proofErr w:type="gramEnd"/>
      <w:r w:rsidRPr="0098115E">
        <w:rPr>
          <w:rFonts w:ascii="Palatino Linotype" w:eastAsia="Palatino Linotype" w:hAnsi="Palatino Linotype" w:cs="Palatino Linotype"/>
          <w:i/>
          <w:color w:val="000000"/>
          <w:sz w:val="22"/>
          <w:szCs w:val="22"/>
        </w:rPr>
        <w:t xml:space="preserve"> hasta demandas en contra de ella" </w:t>
      </w:r>
      <w:r w:rsidRPr="0098115E">
        <w:rPr>
          <w:rFonts w:ascii="Palatino Linotype" w:eastAsia="Palatino Linotype" w:hAnsi="Palatino Linotype" w:cs="Palatino Linotype"/>
          <w:color w:val="000000"/>
          <w:sz w:val="22"/>
          <w:szCs w:val="22"/>
        </w:rPr>
        <w:t xml:space="preserve">(Sic) </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98115E">
        <w:rPr>
          <w:rFonts w:ascii="Palatino Linotype" w:eastAsia="Palatino Linotype" w:hAnsi="Palatino Linotype" w:cs="Palatino Linotype"/>
          <w:sz w:val="22"/>
          <w:szCs w:val="22"/>
        </w:rPr>
        <w:t>turna</w:t>
      </w:r>
      <w:r w:rsidRPr="0098115E">
        <w:rPr>
          <w:rFonts w:ascii="Palatino Linotype" w:eastAsia="Palatino Linotype" w:hAnsi="Palatino Linotype" w:cs="Palatino Linotype"/>
          <w:color w:val="000000"/>
          <w:sz w:val="22"/>
          <w:szCs w:val="22"/>
        </w:rPr>
        <w:t xml:space="preserve"> a la </w:t>
      </w:r>
      <w:r w:rsidRPr="0098115E">
        <w:rPr>
          <w:rFonts w:ascii="Palatino Linotype" w:eastAsia="Palatino Linotype" w:hAnsi="Palatino Linotype" w:cs="Palatino Linotype"/>
          <w:b/>
          <w:color w:val="000000"/>
          <w:sz w:val="22"/>
          <w:szCs w:val="22"/>
        </w:rPr>
        <w:t>Comisionada María del Rosario Mejía Ayala</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sz w:val="22"/>
          <w:szCs w:val="22"/>
        </w:rPr>
        <w:t>para</w:t>
      </w:r>
      <w:r w:rsidRPr="0098115E">
        <w:rPr>
          <w:rFonts w:ascii="Palatino Linotype" w:eastAsia="Palatino Linotype" w:hAnsi="Palatino Linotype" w:cs="Palatino Linotype"/>
          <w:color w:val="000000"/>
          <w:sz w:val="22"/>
          <w:szCs w:val="22"/>
        </w:rPr>
        <w:t xml:space="preserve"> su análisis.</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La Comisionada Ponente, con fundamento en lo dispuesto por el artículo 185 fracción II de la Ley de Transparencia y Acceso a la Información Pública del Estado de México y Municipios, a través del acuerdo de admisión del </w:t>
      </w:r>
      <w:r w:rsidRPr="0098115E">
        <w:rPr>
          <w:rFonts w:ascii="Palatino Linotype" w:eastAsia="Palatino Linotype" w:hAnsi="Palatino Linotype" w:cs="Palatino Linotype"/>
          <w:b/>
          <w:color w:val="000000"/>
          <w:sz w:val="22"/>
          <w:szCs w:val="22"/>
        </w:rPr>
        <w:t>treinta y uno de octubre de dos mil veinticuatro</w:t>
      </w:r>
      <w:r w:rsidRPr="0098115E">
        <w:rPr>
          <w:rFonts w:ascii="Palatino Linotype" w:eastAsia="Palatino Linotype" w:hAnsi="Palatino Linotype" w:cs="Palatino Linotype"/>
          <w:color w:val="000000"/>
          <w:sz w:val="22"/>
          <w:szCs w:val="22"/>
        </w:rPr>
        <w:t>, puso a disposición de las partes el expediente electrónico vía Sistema de Acceso a la Información Mexiquense (</w:t>
      </w:r>
      <w:r w:rsidRPr="0098115E">
        <w:rPr>
          <w:rFonts w:ascii="Palatino Linotype" w:eastAsia="Palatino Linotype" w:hAnsi="Palatino Linotype" w:cs="Palatino Linotype"/>
          <w:b/>
          <w:color w:val="000000"/>
          <w:sz w:val="22"/>
          <w:szCs w:val="22"/>
        </w:rPr>
        <w:t xml:space="preserve">SAIMEX) </w:t>
      </w:r>
      <w:r w:rsidRPr="0098115E">
        <w:rPr>
          <w:rFonts w:ascii="Palatino Linotype" w:eastAsia="Palatino Linotype" w:hAnsi="Palatino Linotype" w:cs="Palatino Linotype"/>
          <w:color w:val="000000"/>
          <w:sz w:val="22"/>
          <w:szCs w:val="22"/>
        </w:rPr>
        <w:t xml:space="preserve">a efecto de que en un plazo máximo de siete días </w:t>
      </w:r>
      <w:r w:rsidRPr="0098115E">
        <w:rPr>
          <w:rFonts w:ascii="Palatino Linotype" w:eastAsia="Palatino Linotype" w:hAnsi="Palatino Linotype" w:cs="Palatino Linotype"/>
          <w:sz w:val="22"/>
          <w:szCs w:val="22"/>
        </w:rPr>
        <w:t>manifestara</w:t>
      </w:r>
      <w:r w:rsidRPr="0098115E">
        <w:rPr>
          <w:rFonts w:ascii="Palatino Linotype" w:eastAsia="Palatino Linotype" w:hAnsi="Palatino Linotype" w:cs="Palatino Linotype"/>
          <w:color w:val="000000"/>
          <w:sz w:val="22"/>
          <w:szCs w:val="22"/>
        </w:rPr>
        <w:t xml:space="preserve"> lo que a su derecho </w:t>
      </w:r>
      <w:r w:rsidRPr="0098115E">
        <w:rPr>
          <w:rFonts w:ascii="Palatino Linotype" w:eastAsia="Palatino Linotype" w:hAnsi="Palatino Linotype" w:cs="Palatino Linotype"/>
          <w:sz w:val="22"/>
          <w:szCs w:val="22"/>
        </w:rPr>
        <w:t>conviniera</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sz w:val="22"/>
          <w:szCs w:val="22"/>
        </w:rPr>
        <w:t>ofreciera</w:t>
      </w:r>
      <w:r w:rsidRPr="0098115E">
        <w:rPr>
          <w:rFonts w:ascii="Palatino Linotype" w:eastAsia="Palatino Linotype" w:hAnsi="Palatino Linotype" w:cs="Palatino Linotype"/>
          <w:color w:val="000000"/>
          <w:sz w:val="22"/>
          <w:szCs w:val="22"/>
        </w:rPr>
        <w:t xml:space="preserve"> pruebas y alegatos según corresponda a los casos concretos, de esta forma para que el </w:t>
      </w:r>
      <w:r w:rsidRPr="0098115E">
        <w:rPr>
          <w:rFonts w:ascii="Palatino Linotype" w:eastAsia="Palatino Linotype" w:hAnsi="Palatino Linotype" w:cs="Palatino Linotype"/>
          <w:b/>
          <w:color w:val="000000"/>
          <w:sz w:val="22"/>
          <w:szCs w:val="22"/>
        </w:rPr>
        <w:t>SUJETO OBLIGADO</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sz w:val="22"/>
          <w:szCs w:val="22"/>
        </w:rPr>
        <w:t>presentará</w:t>
      </w:r>
      <w:r w:rsidRPr="0098115E">
        <w:rPr>
          <w:rFonts w:ascii="Palatino Linotype" w:eastAsia="Palatino Linotype" w:hAnsi="Palatino Linotype" w:cs="Palatino Linotype"/>
          <w:color w:val="000000"/>
          <w:sz w:val="22"/>
          <w:szCs w:val="22"/>
        </w:rPr>
        <w:t xml:space="preserve"> el informe justificado procedente.</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De las actuaciones en el Sistema SAIMEX, se advierte que el Recurrente fue omiso en realizar manifestaciones; por su parte, el Sujeto Obligado no entregó informe justificado.</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lastRenderedPageBreak/>
        <w:t xml:space="preserve">El </w:t>
      </w:r>
      <w:r w:rsidRPr="0098115E">
        <w:rPr>
          <w:rFonts w:ascii="Palatino Linotype" w:eastAsia="Palatino Linotype" w:hAnsi="Palatino Linotype" w:cs="Palatino Linotype"/>
          <w:b/>
          <w:color w:val="000000"/>
          <w:sz w:val="22"/>
          <w:szCs w:val="22"/>
        </w:rPr>
        <w:t>veintidós de enero de dos mil veinticinco</w:t>
      </w:r>
      <w:r w:rsidRPr="0098115E">
        <w:rPr>
          <w:rFonts w:ascii="Palatino Linotype" w:eastAsia="Palatino Linotype" w:hAnsi="Palatino Linotype" w:cs="Palatino Linotype"/>
          <w:color w:val="000000"/>
          <w:sz w:val="22"/>
          <w:szCs w:val="22"/>
        </w:rPr>
        <w:t xml:space="preserve">, se notificó el acuerdo a través del cual se aprobó la ampliación de plazo para emitir resolución. </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rsidR="00337A0D" w:rsidRPr="0098115E" w:rsidRDefault="00CB2883" w:rsidP="0010719A">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color w:val="000000"/>
          <w:sz w:val="22"/>
          <w:szCs w:val="22"/>
        </w:rPr>
        <w:t xml:space="preserve">Complejidad del </w:t>
      </w:r>
      <w:r w:rsidRPr="0098115E">
        <w:rPr>
          <w:rFonts w:ascii="Palatino Linotype" w:eastAsia="Palatino Linotype" w:hAnsi="Palatino Linotype" w:cs="Palatino Linotype"/>
          <w:sz w:val="22"/>
          <w:szCs w:val="22"/>
        </w:rPr>
        <w:t>asunto</w:t>
      </w:r>
      <w:r w:rsidRPr="0098115E">
        <w:rPr>
          <w:rFonts w:ascii="Palatino Linotype" w:eastAsia="Palatino Linotype" w:hAnsi="Palatino Linotype" w:cs="Palatino Linotype"/>
          <w:color w:val="000000"/>
          <w:sz w:val="22"/>
          <w:szCs w:val="22"/>
        </w:rPr>
        <w:t>: La complejidad de la prueba, la pluralidad de sujetos procesales, el tiempo transcurrido, las características y contexto del recurso.</w:t>
      </w:r>
    </w:p>
    <w:p w:rsidR="00337A0D" w:rsidRPr="0098115E" w:rsidRDefault="00CB2883" w:rsidP="0010719A">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color w:val="000000"/>
          <w:sz w:val="22"/>
          <w:szCs w:val="22"/>
        </w:rPr>
        <w:lastRenderedPageBreak/>
        <w:t>Actividad Procesal del interesado. Acciones u omisiones del interesado.</w:t>
      </w:r>
    </w:p>
    <w:p w:rsidR="00337A0D" w:rsidRPr="0098115E" w:rsidRDefault="00CB2883" w:rsidP="0010719A">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337A0D" w:rsidRPr="0098115E" w:rsidRDefault="00CB2883" w:rsidP="0010719A">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337A0D" w:rsidRPr="0098115E" w:rsidRDefault="00337A0D" w:rsidP="0010719A">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Argumento que encuentra sustento en la jurisprudencia P</w:t>
      </w:r>
      <w:proofErr w:type="gramStart"/>
      <w:r w:rsidRPr="0098115E">
        <w:rPr>
          <w:rFonts w:ascii="Palatino Linotype" w:eastAsia="Palatino Linotype" w:hAnsi="Palatino Linotype" w:cs="Palatino Linotype"/>
          <w:color w:val="000000"/>
          <w:sz w:val="22"/>
          <w:szCs w:val="22"/>
        </w:rPr>
        <w:t>./</w:t>
      </w:r>
      <w:proofErr w:type="gramEnd"/>
      <w:r w:rsidRPr="0098115E">
        <w:rPr>
          <w:rFonts w:ascii="Palatino Linotype" w:eastAsia="Palatino Linotype" w:hAnsi="Palatino Linotype" w:cs="Palatino Linotype"/>
          <w:color w:val="000000"/>
          <w:sz w:val="22"/>
          <w:szCs w:val="22"/>
        </w:rPr>
        <w:t xml:space="preserve">J. 32/92 emitida por el Pleno de la Suprema Corte de Justicia de la Nación </w:t>
      </w:r>
      <w:r w:rsidRPr="0098115E">
        <w:rPr>
          <w:rFonts w:ascii="Palatino Linotype" w:eastAsia="Palatino Linotype" w:hAnsi="Palatino Linotype" w:cs="Palatino Linotype"/>
          <w:sz w:val="22"/>
          <w:szCs w:val="22"/>
        </w:rPr>
        <w:t>del rubro</w:t>
      </w:r>
      <w:r w:rsidRPr="0098115E">
        <w:rPr>
          <w:rFonts w:ascii="Palatino Linotype" w:eastAsia="Palatino Linotype" w:hAnsi="Palatino Linotype" w:cs="Palatino Linotype"/>
          <w:color w:val="000000"/>
          <w:sz w:val="22"/>
          <w:szCs w:val="22"/>
        </w:rPr>
        <w:t xml:space="preserve"> </w:t>
      </w:r>
      <w:r w:rsidRPr="0098115E">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98115E">
        <w:rPr>
          <w:rFonts w:ascii="Palatino Linotype" w:eastAsia="Palatino Linotype" w:hAnsi="Palatino Linotype" w:cs="Palatino Linotype"/>
          <w:color w:val="000000"/>
          <w:sz w:val="22"/>
          <w:szCs w:val="22"/>
        </w:rPr>
        <w:t xml:space="preserve">, visible en la Gaceta del </w:t>
      </w:r>
      <w:r w:rsidRPr="0098115E">
        <w:rPr>
          <w:rFonts w:ascii="Palatino Linotype" w:eastAsia="Palatino Linotype" w:hAnsi="Palatino Linotype" w:cs="Palatino Linotype"/>
          <w:sz w:val="22"/>
          <w:szCs w:val="22"/>
        </w:rPr>
        <w:t>Semanario</w:t>
      </w:r>
      <w:r w:rsidRPr="0098115E">
        <w:rPr>
          <w:rFonts w:ascii="Palatino Linotype" w:eastAsia="Palatino Linotype" w:hAnsi="Palatino Linotype" w:cs="Palatino Linotype"/>
          <w:color w:val="000000"/>
          <w:sz w:val="22"/>
          <w:szCs w:val="22"/>
        </w:rPr>
        <w:t xml:space="preserve"> Judicial de la Federación con el registro digital 205635.</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sidRPr="0098115E">
        <w:rPr>
          <w:rFonts w:ascii="Palatino Linotype" w:eastAsia="Palatino Linotype" w:hAnsi="Palatino Linotype" w:cs="Palatino Linotype"/>
          <w:color w:val="000000"/>
          <w:sz w:val="22"/>
          <w:szCs w:val="22"/>
        </w:rPr>
        <w:t xml:space="preserve"> consultable en el Sem</w:t>
      </w:r>
      <w:r w:rsidRPr="0098115E">
        <w:rPr>
          <w:rFonts w:ascii="Palatino Linotype" w:eastAsia="Palatino Linotype" w:hAnsi="Palatino Linotype" w:cs="Palatino Linotype"/>
          <w:sz w:val="22"/>
          <w:szCs w:val="22"/>
        </w:rPr>
        <w:t>a</w:t>
      </w:r>
      <w:r w:rsidRPr="0098115E">
        <w:rPr>
          <w:rFonts w:ascii="Palatino Linotype" w:eastAsia="Palatino Linotype" w:hAnsi="Palatino Linotype" w:cs="Palatino Linotype"/>
          <w:color w:val="000000"/>
          <w:sz w:val="22"/>
          <w:szCs w:val="22"/>
        </w:rPr>
        <w:t>nario Judicial de la Federación y su gaceta, con el registro digital 2002351.</w:t>
      </w:r>
    </w:p>
    <w:p w:rsidR="00337A0D" w:rsidRPr="0098115E" w:rsidRDefault="00337A0D" w:rsidP="0010719A">
      <w:pPr>
        <w:pBdr>
          <w:top w:val="nil"/>
          <w:left w:val="nil"/>
          <w:bottom w:val="nil"/>
          <w:right w:val="nil"/>
          <w:between w:val="nil"/>
        </w:pBdr>
        <w:spacing w:line="360" w:lineRule="auto"/>
        <w:ind w:left="851" w:right="-787"/>
        <w:jc w:val="both"/>
        <w:rPr>
          <w:rFonts w:ascii="Palatino Linotype" w:eastAsia="Palatino Linotype" w:hAnsi="Palatino Linotype" w:cs="Palatino Linotype"/>
          <w:b/>
          <w:color w:val="000000"/>
          <w:sz w:val="22"/>
          <w:szCs w:val="22"/>
        </w:rPr>
      </w:pPr>
    </w:p>
    <w:p w:rsidR="00337A0D" w:rsidRPr="0098115E" w:rsidRDefault="00CB2883" w:rsidP="0010719A">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sz w:val="22"/>
          <w:szCs w:val="22"/>
        </w:rPr>
      </w:pPr>
      <w:r w:rsidRPr="0098115E">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sidRPr="0098115E">
        <w:rPr>
          <w:rFonts w:ascii="Palatino Linotype" w:eastAsia="Palatino Linotype" w:hAnsi="Palatino Linotype" w:cs="Palatino Linotype"/>
          <w:color w:val="000000"/>
          <w:sz w:val="22"/>
          <w:szCs w:val="22"/>
        </w:rPr>
        <w:t>, visible en el Sem</w:t>
      </w:r>
      <w:r w:rsidRPr="0098115E">
        <w:rPr>
          <w:rFonts w:ascii="Palatino Linotype" w:eastAsia="Palatino Linotype" w:hAnsi="Palatino Linotype" w:cs="Palatino Linotype"/>
          <w:sz w:val="22"/>
          <w:szCs w:val="22"/>
        </w:rPr>
        <w:t>a</w:t>
      </w:r>
      <w:r w:rsidRPr="0098115E">
        <w:rPr>
          <w:rFonts w:ascii="Palatino Linotype" w:eastAsia="Palatino Linotype" w:hAnsi="Palatino Linotype" w:cs="Palatino Linotype"/>
          <w:color w:val="000000"/>
          <w:sz w:val="22"/>
          <w:szCs w:val="22"/>
        </w:rPr>
        <w:t>nario Judicial de la Federación y su gaceta, con el registro digital 2002350.</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Por ello, este Organismo Garante comprometido con la tutela de los derechos humanos confiados, señala que este exceso de plazo legal para resolver el presente asunto, resulta de carácter excepcional.</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El </w:t>
      </w:r>
      <w:r w:rsidRPr="0098115E">
        <w:rPr>
          <w:rFonts w:ascii="Palatino Linotype" w:eastAsia="Palatino Linotype" w:hAnsi="Palatino Linotype" w:cs="Palatino Linotype"/>
          <w:b/>
          <w:color w:val="000000"/>
          <w:sz w:val="22"/>
          <w:szCs w:val="22"/>
        </w:rPr>
        <w:t>veintidós de enero de dos mil veinticinco</w:t>
      </w:r>
      <w:r w:rsidRPr="0098115E">
        <w:rPr>
          <w:rFonts w:ascii="Palatino Linotype" w:eastAsia="Palatino Linotype" w:hAnsi="Palatino Linotype" w:cs="Palatino Linotype"/>
          <w:color w:val="000000"/>
          <w:sz w:val="22"/>
          <w:szCs w:val="22"/>
        </w:rPr>
        <w:t>, la Comisionada Ponente decretó el cierre de instrucción, por lo que ordenó turnar el expediente para su resolución, misma que ahora se pronuncia.</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pStyle w:val="Ttulo1"/>
        <w:spacing w:before="0" w:line="360" w:lineRule="auto"/>
        <w:ind w:right="-787"/>
        <w:jc w:val="center"/>
        <w:rPr>
          <w:b/>
          <w:color w:val="000000"/>
          <w:sz w:val="22"/>
          <w:szCs w:val="22"/>
        </w:rPr>
      </w:pPr>
      <w:bookmarkStart w:id="1" w:name="_heading=h.1fob9te" w:colFirst="0" w:colLast="0"/>
      <w:bookmarkEnd w:id="1"/>
      <w:r w:rsidRPr="0098115E">
        <w:rPr>
          <w:b/>
          <w:color w:val="000000"/>
          <w:sz w:val="22"/>
          <w:szCs w:val="22"/>
        </w:rPr>
        <w:lastRenderedPageBreak/>
        <w:t xml:space="preserve">C O N S I D E R A N D O </w:t>
      </w:r>
    </w:p>
    <w:p w:rsidR="00337A0D" w:rsidRPr="0098115E" w:rsidRDefault="00337A0D" w:rsidP="0010719A">
      <w:pPr>
        <w:spacing w:line="360" w:lineRule="auto"/>
        <w:ind w:right="-787"/>
        <w:rPr>
          <w:rFonts w:ascii="Palatino Linotype" w:eastAsia="Palatino Linotype" w:hAnsi="Palatino Linotype" w:cs="Palatino Linotype"/>
          <w:color w:val="000000"/>
          <w:sz w:val="22"/>
          <w:szCs w:val="22"/>
        </w:rPr>
      </w:pPr>
    </w:p>
    <w:p w:rsidR="00337A0D" w:rsidRPr="0098115E" w:rsidRDefault="00CB2883" w:rsidP="0010719A">
      <w:pPr>
        <w:pStyle w:val="Ttulo2"/>
        <w:spacing w:before="0" w:line="360" w:lineRule="auto"/>
        <w:ind w:right="-787"/>
        <w:rPr>
          <w:rFonts w:ascii="Palatino Linotype" w:eastAsia="Palatino Linotype" w:hAnsi="Palatino Linotype" w:cs="Palatino Linotype"/>
          <w:b/>
          <w:color w:val="000000"/>
          <w:sz w:val="22"/>
          <w:szCs w:val="22"/>
        </w:rPr>
      </w:pPr>
      <w:bookmarkStart w:id="2" w:name="_heading=h.3znysh7" w:colFirst="0" w:colLast="0"/>
      <w:bookmarkEnd w:id="2"/>
      <w:r w:rsidRPr="0098115E">
        <w:rPr>
          <w:rFonts w:ascii="Palatino Linotype" w:eastAsia="Palatino Linotype" w:hAnsi="Palatino Linotype" w:cs="Palatino Linotype"/>
          <w:b/>
          <w:color w:val="000000"/>
          <w:sz w:val="22"/>
          <w:szCs w:val="22"/>
        </w:rPr>
        <w:t>PRIMERO. De la competencia</w:t>
      </w: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r w:rsidRPr="0098115E">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98115E">
        <w:rPr>
          <w:rFonts w:ascii="Palatino Linotype" w:eastAsia="Palatino Linotype" w:hAnsi="Palatino Linotype" w:cs="Palatino Linotype"/>
          <w:b/>
          <w:color w:val="000000"/>
          <w:sz w:val="22"/>
          <w:szCs w:val="22"/>
        </w:rPr>
        <w:t>Constitución Política de los Estados Unidos Mexicanos</w:t>
      </w:r>
      <w:r w:rsidRPr="0098115E">
        <w:rPr>
          <w:rFonts w:ascii="Palatino Linotype" w:eastAsia="Palatino Linotype" w:hAnsi="Palatino Linotype" w:cs="Palatino Linotype"/>
          <w:color w:val="000000"/>
          <w:sz w:val="22"/>
          <w:szCs w:val="22"/>
        </w:rPr>
        <w:t xml:space="preserve">; 5, párrafos </w:t>
      </w:r>
      <w:r w:rsidRPr="0098115E">
        <w:rPr>
          <w:rFonts w:ascii="Palatino Linotype" w:eastAsia="Palatino Linotype" w:hAnsi="Palatino Linotype" w:cs="Palatino Linotype"/>
          <w:color w:val="222222"/>
          <w:sz w:val="22"/>
          <w:szCs w:val="22"/>
        </w:rPr>
        <w:t>trigésimo segundo, trigésimo tercero y trigésimo cuarto fracciones</w:t>
      </w:r>
      <w:r w:rsidRPr="0098115E">
        <w:rPr>
          <w:rFonts w:ascii="Palatino Linotype" w:eastAsia="Palatino Linotype" w:hAnsi="Palatino Linotype" w:cs="Palatino Linotype"/>
          <w:color w:val="000000"/>
          <w:sz w:val="22"/>
          <w:szCs w:val="22"/>
        </w:rPr>
        <w:t xml:space="preserve"> IV y V de la </w:t>
      </w:r>
      <w:r w:rsidRPr="0098115E">
        <w:rPr>
          <w:rFonts w:ascii="Palatino Linotype" w:eastAsia="Palatino Linotype" w:hAnsi="Palatino Linotype" w:cs="Palatino Linotype"/>
          <w:b/>
          <w:color w:val="000000"/>
          <w:sz w:val="22"/>
          <w:szCs w:val="22"/>
        </w:rPr>
        <w:t>Constitución Política del Estado Libre y Soberano de México</w:t>
      </w:r>
      <w:r w:rsidRPr="0098115E">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98115E">
        <w:rPr>
          <w:rFonts w:ascii="Palatino Linotype" w:eastAsia="Palatino Linotype" w:hAnsi="Palatino Linotype" w:cs="Palatino Linotype"/>
          <w:b/>
          <w:color w:val="000000"/>
          <w:sz w:val="22"/>
          <w:szCs w:val="22"/>
        </w:rPr>
        <w:t>Ley de Transparencia y Acceso a la Información Pública del Estado de México y Municipios</w:t>
      </w:r>
      <w:r w:rsidRPr="0098115E">
        <w:rPr>
          <w:rFonts w:ascii="Palatino Linotype" w:eastAsia="Palatino Linotype" w:hAnsi="Palatino Linotype" w:cs="Palatino Linotype"/>
          <w:color w:val="000000"/>
          <w:sz w:val="22"/>
          <w:szCs w:val="22"/>
        </w:rPr>
        <w:t xml:space="preserve">; y 7, 9 fracciones I y XXIII, y 11 del </w:t>
      </w:r>
      <w:r w:rsidRPr="0098115E">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98115E">
        <w:rPr>
          <w:rFonts w:ascii="Palatino Linotype" w:eastAsia="Palatino Linotype" w:hAnsi="Palatino Linotype" w:cs="Palatino Linotype"/>
          <w:color w:val="000000"/>
          <w:sz w:val="22"/>
          <w:szCs w:val="22"/>
        </w:rPr>
        <w:t>.</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p>
    <w:p w:rsidR="00337A0D" w:rsidRPr="0098115E" w:rsidRDefault="00CB2883" w:rsidP="0010719A">
      <w:pPr>
        <w:pStyle w:val="Ttulo2"/>
        <w:tabs>
          <w:tab w:val="left" w:pos="426"/>
        </w:tabs>
        <w:spacing w:before="0" w:line="360" w:lineRule="auto"/>
        <w:ind w:right="-787"/>
        <w:rPr>
          <w:rFonts w:ascii="Palatino Linotype" w:eastAsia="Palatino Linotype" w:hAnsi="Palatino Linotype" w:cs="Palatino Linotype"/>
          <w:b/>
          <w:color w:val="000000"/>
          <w:sz w:val="22"/>
          <w:szCs w:val="22"/>
        </w:rPr>
      </w:pPr>
      <w:bookmarkStart w:id="3" w:name="_heading=h.2et92p0" w:colFirst="0" w:colLast="0"/>
      <w:bookmarkEnd w:id="3"/>
      <w:r w:rsidRPr="0098115E">
        <w:rPr>
          <w:rFonts w:ascii="Palatino Linotype" w:eastAsia="Palatino Linotype" w:hAnsi="Palatino Linotype" w:cs="Palatino Linotype"/>
          <w:b/>
          <w:color w:val="000000"/>
          <w:sz w:val="22"/>
          <w:szCs w:val="22"/>
        </w:rPr>
        <w:t>SEGUNDO. De la oportunidad y procedencia.</w:t>
      </w: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98115E">
        <w:rPr>
          <w:rFonts w:ascii="Palatino Linotype" w:eastAsia="Palatino Linotype" w:hAnsi="Palatino Linotype" w:cs="Palatino Linotype"/>
          <w:b/>
          <w:color w:val="000000"/>
          <w:sz w:val="22"/>
          <w:szCs w:val="22"/>
        </w:rPr>
        <w:t>SUJETO OBLIGADO</w:t>
      </w:r>
      <w:r w:rsidRPr="0098115E">
        <w:rPr>
          <w:rFonts w:ascii="Palatino Linotype" w:eastAsia="Palatino Linotype" w:hAnsi="Palatino Linotype" w:cs="Palatino Linotype"/>
          <w:color w:val="000000"/>
          <w:sz w:val="22"/>
          <w:szCs w:val="22"/>
        </w:rPr>
        <w:t xml:space="preserve"> entregó respuesta el </w:t>
      </w:r>
      <w:r w:rsidRPr="0098115E">
        <w:rPr>
          <w:rFonts w:ascii="Palatino Linotype" w:eastAsia="Palatino Linotype" w:hAnsi="Palatino Linotype" w:cs="Palatino Linotype"/>
          <w:b/>
          <w:color w:val="000000"/>
          <w:sz w:val="22"/>
          <w:szCs w:val="22"/>
        </w:rPr>
        <w:t>dieciocho de octubre de dos mil veinticuatro</w:t>
      </w:r>
      <w:r w:rsidRPr="0098115E">
        <w:rPr>
          <w:rFonts w:ascii="Palatino Linotype" w:eastAsia="Palatino Linotype" w:hAnsi="Palatino Linotype" w:cs="Palatino Linotype"/>
          <w:color w:val="000000"/>
          <w:sz w:val="22"/>
          <w:szCs w:val="22"/>
        </w:rPr>
        <w:t xml:space="preserve">, de tal forma que el plazo para interponer el recurso de revisión transcurrió del </w:t>
      </w:r>
      <w:r w:rsidRPr="0098115E">
        <w:rPr>
          <w:rFonts w:ascii="Palatino Linotype" w:eastAsia="Palatino Linotype" w:hAnsi="Palatino Linotype" w:cs="Palatino Linotype"/>
          <w:b/>
          <w:color w:val="000000"/>
          <w:sz w:val="22"/>
          <w:szCs w:val="22"/>
        </w:rPr>
        <w:t>veintiuno de octubre al once de noviembre de dos mil veinticuatro</w:t>
      </w:r>
      <w:r w:rsidRPr="0098115E">
        <w:rPr>
          <w:rFonts w:ascii="Palatino Linotype" w:eastAsia="Palatino Linotype" w:hAnsi="Palatino Linotype" w:cs="Palatino Linotype"/>
          <w:color w:val="000000"/>
          <w:sz w:val="22"/>
          <w:szCs w:val="22"/>
        </w:rPr>
        <w:t xml:space="preserve">; el recurso de revisión fue interpuesto el </w:t>
      </w:r>
      <w:r w:rsidRPr="0098115E">
        <w:rPr>
          <w:rFonts w:ascii="Palatino Linotype" w:eastAsia="Palatino Linotype" w:hAnsi="Palatino Linotype" w:cs="Palatino Linotype"/>
          <w:b/>
          <w:color w:val="000000"/>
          <w:sz w:val="22"/>
          <w:szCs w:val="22"/>
        </w:rPr>
        <w:t>dieciocho de octubre de dos mil veinticuatro,</w:t>
      </w:r>
      <w:r w:rsidRPr="0098115E">
        <w:rPr>
          <w:rFonts w:ascii="Palatino Linotype" w:eastAsia="Palatino Linotype" w:hAnsi="Palatino Linotype" w:cs="Palatino Linotype"/>
          <w:color w:val="000000"/>
          <w:sz w:val="22"/>
          <w:szCs w:val="22"/>
        </w:rPr>
        <w:t xml:space="preserve"> éste se encuentra dentro de los márgenes temporales previstos en el artículo 178 de la Ley de Transparencia y Acceso a la Información Pública del Estado de México y Municipios</w:t>
      </w:r>
      <w:r w:rsidRPr="0098115E">
        <w:rPr>
          <w:rFonts w:ascii="Palatino Linotype" w:eastAsia="Palatino Linotype" w:hAnsi="Palatino Linotype" w:cs="Palatino Linotype"/>
          <w:b/>
          <w:color w:val="000000"/>
          <w:sz w:val="22"/>
          <w:szCs w:val="22"/>
        </w:rPr>
        <w:t xml:space="preserve"> </w:t>
      </w:r>
      <w:r w:rsidRPr="0098115E">
        <w:rPr>
          <w:rFonts w:ascii="Palatino Linotype" w:eastAsia="Palatino Linotype" w:hAnsi="Palatino Linotype" w:cs="Palatino Linotype"/>
          <w:color w:val="000000"/>
          <w:sz w:val="22"/>
          <w:szCs w:val="22"/>
        </w:rPr>
        <w:t>vigente.</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w:t>
      </w:r>
      <w:r w:rsidRPr="0098115E">
        <w:rPr>
          <w:rFonts w:ascii="Palatino Linotype" w:eastAsia="Palatino Linotype" w:hAnsi="Palatino Linotype" w:cs="Palatino Linotype"/>
          <w:color w:val="000000"/>
          <w:sz w:val="22"/>
          <w:szCs w:val="22"/>
        </w:rPr>
        <w:lastRenderedPageBreak/>
        <w:t>de Transparencia, Acceso a la Información Pública y Protección de Datos Personales del Estado de México y Municipios, conozca y resuelva el presente recurso.</w:t>
      </w:r>
    </w:p>
    <w:p w:rsidR="00337A0D" w:rsidRPr="0098115E" w:rsidRDefault="00337A0D" w:rsidP="0010719A">
      <w:pPr>
        <w:pBdr>
          <w:top w:val="nil"/>
          <w:left w:val="nil"/>
          <w:bottom w:val="nil"/>
          <w:right w:val="nil"/>
          <w:between w:val="nil"/>
        </w:pBdr>
        <w:spacing w:line="360" w:lineRule="auto"/>
        <w:ind w:right="-787"/>
        <w:rPr>
          <w:rFonts w:ascii="Palatino Linotype" w:eastAsia="Palatino Linotype" w:hAnsi="Palatino Linotype" w:cs="Palatino Linotype"/>
          <w:color w:val="000000"/>
          <w:sz w:val="22"/>
          <w:szCs w:val="22"/>
        </w:rPr>
      </w:pPr>
    </w:p>
    <w:p w:rsidR="00337A0D" w:rsidRPr="0098115E" w:rsidRDefault="00CB2883" w:rsidP="0010719A">
      <w:pPr>
        <w:pStyle w:val="Ttulo2"/>
        <w:spacing w:before="0" w:line="360" w:lineRule="auto"/>
        <w:ind w:right="-787"/>
        <w:rPr>
          <w:rFonts w:ascii="Palatino Linotype" w:eastAsia="Palatino Linotype" w:hAnsi="Palatino Linotype" w:cs="Palatino Linotype"/>
          <w:b/>
          <w:color w:val="000000"/>
          <w:sz w:val="22"/>
          <w:szCs w:val="22"/>
        </w:rPr>
      </w:pPr>
      <w:bookmarkStart w:id="4" w:name="_heading=h.tyjcwt" w:colFirst="0" w:colLast="0"/>
      <w:bookmarkEnd w:id="4"/>
      <w:r w:rsidRPr="0098115E">
        <w:rPr>
          <w:rFonts w:ascii="Palatino Linotype" w:eastAsia="Palatino Linotype" w:hAnsi="Palatino Linotype" w:cs="Palatino Linotype"/>
          <w:b/>
          <w:color w:val="000000"/>
          <w:sz w:val="22"/>
          <w:szCs w:val="22"/>
        </w:rPr>
        <w:t xml:space="preserve">TERCERO. Del planteamiento de la </w:t>
      </w:r>
      <w:r w:rsidRPr="0098115E">
        <w:rPr>
          <w:rFonts w:ascii="Palatino Linotype" w:eastAsia="Palatino Linotype" w:hAnsi="Palatino Linotype" w:cs="Palatino Linotype"/>
          <w:b/>
          <w:i/>
          <w:color w:val="000000"/>
          <w:sz w:val="22"/>
          <w:szCs w:val="22"/>
        </w:rPr>
        <w:t>Litis</w:t>
      </w:r>
      <w:r w:rsidRPr="0098115E">
        <w:rPr>
          <w:rFonts w:ascii="Palatino Linotype" w:eastAsia="Palatino Linotype" w:hAnsi="Palatino Linotype" w:cs="Palatino Linotype"/>
          <w:b/>
          <w:color w:val="000000"/>
          <w:sz w:val="22"/>
          <w:szCs w:val="22"/>
        </w:rPr>
        <w:t>.</w:t>
      </w: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El Recurrente, solicitó los cargos públicos municipales y estatales de la servidora pública referida en la solicitud de información, del periodo comprendido del primero de enero de dos mil veintiuno al veintiséis de septiembre de dos mil veinticuatro. </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En respuesta, el Sujeto Obligado a través de la Jefa del Departamento de Recursos Humanos señaló que, derivado de la búsqueda exhaustiva en los archivos del área, no se localizó registro de la persona referida. Posteriormente, el particular interpuso recurso de revisión en el que señaló, de forma medular, la negativa de la información. </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Por lo anterior, la </w:t>
      </w:r>
      <w:r w:rsidRPr="0098115E">
        <w:rPr>
          <w:rFonts w:ascii="Palatino Linotype" w:eastAsia="Palatino Linotype" w:hAnsi="Palatino Linotype" w:cs="Palatino Linotype"/>
          <w:i/>
          <w:color w:val="000000"/>
          <w:sz w:val="22"/>
          <w:szCs w:val="22"/>
        </w:rPr>
        <w:t>Litis</w:t>
      </w:r>
      <w:r w:rsidRPr="0098115E">
        <w:rPr>
          <w:rFonts w:ascii="Palatino Linotype" w:eastAsia="Palatino Linotype" w:hAnsi="Palatino Linotype" w:cs="Palatino Linotype"/>
          <w:color w:val="000000"/>
          <w:sz w:val="22"/>
          <w:szCs w:val="22"/>
        </w:rPr>
        <w:t xml:space="preserve"> a resolver en el presente recurso se circunscribe en determinar si la respuesta del </w:t>
      </w:r>
      <w:r w:rsidRPr="0098115E">
        <w:rPr>
          <w:rFonts w:ascii="Palatino Linotype" w:eastAsia="Palatino Linotype" w:hAnsi="Palatino Linotype" w:cs="Palatino Linotype"/>
          <w:b/>
          <w:color w:val="000000"/>
          <w:sz w:val="22"/>
          <w:szCs w:val="22"/>
        </w:rPr>
        <w:t>SUJETO OBLIGADO</w:t>
      </w:r>
      <w:r w:rsidRPr="0098115E">
        <w:rPr>
          <w:rFonts w:ascii="Palatino Linotype" w:eastAsia="Palatino Linotype" w:hAnsi="Palatino Linotype" w:cs="Palatino Linotype"/>
          <w:color w:val="000000"/>
          <w:sz w:val="22"/>
          <w:szCs w:val="22"/>
        </w:rPr>
        <w:t xml:space="preserve"> colma el derecho de acceso a la información ejercido por el </w:t>
      </w:r>
      <w:r w:rsidRPr="0098115E">
        <w:rPr>
          <w:rFonts w:ascii="Palatino Linotype" w:eastAsia="Palatino Linotype" w:hAnsi="Palatino Linotype" w:cs="Palatino Linotype"/>
          <w:b/>
          <w:color w:val="000000"/>
          <w:sz w:val="22"/>
          <w:szCs w:val="22"/>
        </w:rPr>
        <w:t>RECURRENTE</w:t>
      </w:r>
      <w:r w:rsidRPr="0098115E">
        <w:rPr>
          <w:rFonts w:ascii="Palatino Linotype" w:eastAsia="Palatino Linotype" w:hAnsi="Palatino Linotype" w:cs="Palatino Linotype"/>
          <w:color w:val="000000"/>
          <w:sz w:val="22"/>
          <w:szCs w:val="22"/>
        </w:rPr>
        <w:t>; o si, por el contrario, se actualiza la causal de procedencia del recurso de revisión establecida en la fracción I del artículo 179 de la Ley de Transparencia y Acceso a la Información Pública del Estado de México y Municipios, misma que se transcribe a continuación:</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tabs>
          <w:tab w:val="left" w:pos="426"/>
        </w:tabs>
        <w:spacing w:line="360" w:lineRule="auto"/>
        <w:ind w:left="567"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rsidR="00337A0D" w:rsidRPr="0098115E" w:rsidRDefault="00CB2883" w:rsidP="0010719A">
      <w:pPr>
        <w:numPr>
          <w:ilvl w:val="0"/>
          <w:numId w:val="4"/>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r w:rsidRPr="0098115E">
        <w:rPr>
          <w:rFonts w:ascii="Palatino Linotype" w:eastAsia="Palatino Linotype" w:hAnsi="Palatino Linotype" w:cs="Palatino Linotype"/>
          <w:i/>
          <w:color w:val="000000"/>
          <w:sz w:val="22"/>
          <w:szCs w:val="22"/>
        </w:rPr>
        <w:t>La negativa a la información solicitada;</w:t>
      </w:r>
    </w:p>
    <w:p w:rsidR="00337A0D" w:rsidRPr="0098115E" w:rsidRDefault="00CB2883" w:rsidP="0010719A">
      <w:pPr>
        <w:tabs>
          <w:tab w:val="left" w:pos="426"/>
        </w:tabs>
        <w:spacing w:line="360" w:lineRule="auto"/>
        <w:ind w:left="567"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pStyle w:val="Ttulo2"/>
        <w:tabs>
          <w:tab w:val="left" w:pos="426"/>
        </w:tabs>
        <w:spacing w:line="360" w:lineRule="auto"/>
        <w:ind w:right="-787"/>
        <w:rPr>
          <w:rFonts w:ascii="Palatino Linotype" w:eastAsia="Palatino Linotype" w:hAnsi="Palatino Linotype" w:cs="Palatino Linotype"/>
          <w:b/>
          <w:color w:val="000000"/>
          <w:sz w:val="22"/>
          <w:szCs w:val="22"/>
        </w:rPr>
      </w:pPr>
      <w:bookmarkStart w:id="5" w:name="_heading=h.lnxbz9" w:colFirst="0" w:colLast="0"/>
      <w:bookmarkEnd w:id="5"/>
      <w:r w:rsidRPr="0098115E">
        <w:rPr>
          <w:rFonts w:ascii="Palatino Linotype" w:eastAsia="Palatino Linotype" w:hAnsi="Palatino Linotype" w:cs="Palatino Linotype"/>
          <w:b/>
          <w:color w:val="000000"/>
          <w:sz w:val="22"/>
          <w:szCs w:val="22"/>
        </w:rPr>
        <w:lastRenderedPageBreak/>
        <w:t>CUARTO. Estudio y Resolución del asunto.</w:t>
      </w:r>
    </w:p>
    <w:p w:rsidR="00337A0D" w:rsidRPr="0098115E" w:rsidRDefault="00CB2883" w:rsidP="0010719A">
      <w:pPr>
        <w:numPr>
          <w:ilvl w:val="0"/>
          <w:numId w:val="2"/>
        </w:numPr>
        <w:spacing w:line="360" w:lineRule="auto"/>
        <w:ind w:right="-787"/>
        <w:jc w:val="both"/>
        <w:rPr>
          <w:rFonts w:ascii="Palatino Linotype" w:hAnsi="Palatino Linotype"/>
          <w:sz w:val="22"/>
          <w:szCs w:val="22"/>
        </w:rPr>
      </w:pPr>
      <w:r w:rsidRPr="0098115E">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337A0D" w:rsidRPr="0098115E" w:rsidRDefault="00CB2883" w:rsidP="0010719A">
      <w:pPr>
        <w:numPr>
          <w:ilvl w:val="0"/>
          <w:numId w:val="2"/>
        </w:numPr>
        <w:pBdr>
          <w:top w:val="nil"/>
          <w:left w:val="nil"/>
          <w:bottom w:val="nil"/>
          <w:right w:val="nil"/>
          <w:between w:val="nil"/>
        </w:pBdr>
        <w:spacing w:before="240"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El Recurrente solicitó los cargos públicos municipales y estatales de la servidora pública referida en la solicitud de información, del periodo comprendido del primero de enero de dos mil veintiuno al veintiséis de septiembre de dos mil veinticuatro. </w:t>
      </w:r>
    </w:p>
    <w:p w:rsidR="00337A0D" w:rsidRPr="0098115E" w:rsidRDefault="00337A0D" w:rsidP="0010719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Ahora bien, primeramente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98115E">
        <w:rPr>
          <w:rFonts w:ascii="Palatino Linotype" w:eastAsia="Palatino Linotype" w:hAnsi="Palatino Linotype" w:cs="Palatino Linotype"/>
          <w:i/>
          <w:color w:val="000000"/>
          <w:sz w:val="22"/>
          <w:szCs w:val="22"/>
        </w:rPr>
        <w:t xml:space="preserve">en el ámbito de sus atribuciones, de promover, respetar, proteger y </w:t>
      </w:r>
      <w:r w:rsidRPr="0098115E">
        <w:rPr>
          <w:rFonts w:ascii="Palatino Linotype" w:eastAsia="Palatino Linotype" w:hAnsi="Palatino Linotype" w:cs="Palatino Linotype"/>
          <w:b/>
          <w:i/>
          <w:color w:val="000000"/>
          <w:sz w:val="22"/>
          <w:szCs w:val="22"/>
        </w:rPr>
        <w:t>garantizar</w:t>
      </w:r>
      <w:r w:rsidRPr="0098115E">
        <w:rPr>
          <w:rFonts w:ascii="Palatino Linotype" w:eastAsia="Palatino Linotype" w:hAnsi="Palatino Linotype" w:cs="Palatino Linotype"/>
          <w:i/>
          <w:color w:val="000000"/>
          <w:sz w:val="22"/>
          <w:szCs w:val="22"/>
        </w:rPr>
        <w:t xml:space="preserve"> los derechos humanos. </w:t>
      </w:r>
      <w:r w:rsidRPr="0098115E">
        <w:rPr>
          <w:rFonts w:ascii="Palatino Linotype" w:eastAsia="Palatino Linotype" w:hAnsi="Palatino Linotype" w:cs="Palatino Linotype"/>
          <w:b/>
          <w:i/>
          <w:color w:val="000000"/>
          <w:sz w:val="22"/>
          <w:szCs w:val="22"/>
        </w:rPr>
        <w:t>En cuanto al derecho de acceso a la información, la Ley de Transparencia y Acceso a la Información Pública del Estado de México y Municipios prevé establece que e</w:t>
      </w:r>
      <w:r w:rsidRPr="0098115E">
        <w:rPr>
          <w:rFonts w:ascii="Palatino Linotype" w:eastAsia="Palatino Linotype" w:hAnsi="Palatino Linotype" w:cs="Palatino Linotype"/>
          <w:i/>
          <w:color w:val="000000"/>
          <w:sz w:val="22"/>
          <w:szCs w:val="22"/>
        </w:rPr>
        <w:t>l procedimiento de acceso a la información es la garantía primaria del derecho en cuestión y se rige por los principios de simplicidad, rapidez y gratuidad del procedimiento, auxilio y orientación a los particulares</w:t>
      </w:r>
      <w:r w:rsidRPr="0098115E">
        <w:rPr>
          <w:rFonts w:ascii="Palatino Linotype" w:eastAsia="Palatino Linotype" w:hAnsi="Palatino Linotype" w:cs="Palatino Linotype"/>
          <w:i/>
          <w:color w:val="000000"/>
          <w:sz w:val="22"/>
          <w:szCs w:val="22"/>
          <w:vertAlign w:val="superscript"/>
        </w:rPr>
        <w:footnoteReference w:id="1"/>
      </w:r>
      <w:r w:rsidRPr="0098115E">
        <w:rPr>
          <w:rFonts w:ascii="Palatino Linotype" w:eastAsia="Palatino Linotype" w:hAnsi="Palatino Linotype" w:cs="Palatino Linotype"/>
          <w:i/>
          <w:color w:val="000000"/>
          <w:sz w:val="22"/>
          <w:szCs w:val="22"/>
        </w:rPr>
        <w:t xml:space="preserve">, </w:t>
      </w:r>
      <w:r w:rsidRPr="0098115E">
        <w:rPr>
          <w:rFonts w:ascii="Palatino Linotype" w:eastAsia="Palatino Linotype" w:hAnsi="Palatino Linotype" w:cs="Palatino Linotype"/>
          <w:color w:val="000000"/>
          <w:sz w:val="22"/>
          <w:szCs w:val="22"/>
        </w:rPr>
        <w:t>asimismo establece</w:t>
      </w:r>
      <w:r w:rsidRPr="0098115E">
        <w:rPr>
          <w:rFonts w:ascii="Palatino Linotype" w:eastAsia="Palatino Linotype" w:hAnsi="Palatino Linotype" w:cs="Palatino Linotype"/>
          <w:i/>
          <w:color w:val="000000"/>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w:t>
      </w:r>
      <w:r w:rsidRPr="0098115E">
        <w:rPr>
          <w:rFonts w:ascii="Palatino Linotype" w:eastAsia="Palatino Linotype" w:hAnsi="Palatino Linotype" w:cs="Palatino Linotype"/>
          <w:color w:val="000000"/>
          <w:sz w:val="22"/>
          <w:szCs w:val="22"/>
        </w:rPr>
        <w:lastRenderedPageBreak/>
        <w:t xml:space="preserve">vínculo entre los particulares y los servidores públicos que generan, </w:t>
      </w:r>
      <w:r w:rsidRPr="0098115E">
        <w:rPr>
          <w:rFonts w:ascii="Palatino Linotype" w:eastAsia="Palatino Linotype" w:hAnsi="Palatino Linotype" w:cs="Palatino Linotype"/>
          <w:sz w:val="22"/>
          <w:szCs w:val="22"/>
        </w:rPr>
        <w:t>administran</w:t>
      </w:r>
      <w:r w:rsidRPr="0098115E">
        <w:rPr>
          <w:rFonts w:ascii="Palatino Linotype" w:eastAsia="Palatino Linotype" w:hAnsi="Palatino Linotype" w:cs="Palatino Linotype"/>
          <w:color w:val="000000"/>
          <w:sz w:val="22"/>
          <w:szCs w:val="22"/>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Es así que, su obligación es </w:t>
      </w:r>
      <w:r w:rsidRPr="0098115E">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sidRPr="0098115E">
        <w:rPr>
          <w:rFonts w:ascii="Palatino Linotype" w:eastAsia="Palatino Linotype" w:hAnsi="Palatino Linotype" w:cs="Palatino Linotype"/>
          <w:color w:val="000000"/>
          <w:sz w:val="22"/>
          <w:szCs w:val="22"/>
          <w:vertAlign w:val="superscript"/>
        </w:rPr>
        <w:footnoteReference w:id="2"/>
      </w:r>
      <w:r w:rsidRPr="0098115E">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 xml:space="preserve">Artículo 50. </w:t>
      </w:r>
      <w:r w:rsidRPr="0098115E">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337A0D" w:rsidRPr="0098115E" w:rsidRDefault="00337A0D" w:rsidP="0010719A">
      <w:pPr>
        <w:spacing w:line="360" w:lineRule="auto"/>
        <w:ind w:left="851" w:right="-787"/>
        <w:jc w:val="both"/>
        <w:rPr>
          <w:rFonts w:ascii="Palatino Linotype" w:eastAsia="Palatino Linotype" w:hAnsi="Palatino Linotype" w:cs="Palatino Linotype"/>
          <w:i/>
          <w:sz w:val="22"/>
          <w:szCs w:val="22"/>
        </w:rPr>
      </w:pP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 xml:space="preserve">Artículo 53. </w:t>
      </w:r>
      <w:r w:rsidRPr="0098115E">
        <w:rPr>
          <w:rFonts w:ascii="Palatino Linotype" w:eastAsia="Palatino Linotype" w:hAnsi="Palatino Linotype" w:cs="Palatino Linotype"/>
          <w:i/>
          <w:sz w:val="22"/>
          <w:szCs w:val="22"/>
        </w:rPr>
        <w:t>Las Unidades de Transparencia tendrán las siguientes funciones:</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II.</w:t>
      </w:r>
      <w:r w:rsidRPr="0098115E">
        <w:rPr>
          <w:rFonts w:ascii="Palatino Linotype" w:eastAsia="Palatino Linotype" w:hAnsi="Palatino Linotype" w:cs="Palatino Linotype"/>
          <w:i/>
          <w:sz w:val="22"/>
          <w:szCs w:val="22"/>
        </w:rPr>
        <w:t xml:space="preserve"> Recibir, tramitar y dar respuesta a las solicitudes de acceso a la información;</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IV.</w:t>
      </w:r>
      <w:r w:rsidRPr="0098115E">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V.</w:t>
      </w:r>
      <w:r w:rsidRPr="0098115E">
        <w:rPr>
          <w:rFonts w:ascii="Palatino Linotype" w:eastAsia="Palatino Linotype" w:hAnsi="Palatino Linotype" w:cs="Palatino Linotype"/>
          <w:i/>
          <w:sz w:val="22"/>
          <w:szCs w:val="22"/>
        </w:rPr>
        <w:t xml:space="preserve"> Entregar, en su caso, a los particulares la información solicitada;</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w:t>
      </w:r>
    </w:p>
    <w:p w:rsidR="00337A0D" w:rsidRPr="0098115E" w:rsidRDefault="00337A0D" w:rsidP="0010719A">
      <w:pPr>
        <w:spacing w:line="360" w:lineRule="auto"/>
        <w:ind w:left="851" w:right="-787"/>
        <w:jc w:val="both"/>
        <w:rPr>
          <w:rFonts w:ascii="Palatino Linotype" w:eastAsia="Palatino Linotype" w:hAnsi="Palatino Linotype" w:cs="Palatino Linotype"/>
          <w:i/>
          <w:sz w:val="22"/>
          <w:szCs w:val="22"/>
        </w:rPr>
      </w:pP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lastRenderedPageBreak/>
        <w:t xml:space="preserve">Artículo 58. </w:t>
      </w:r>
      <w:r w:rsidRPr="0098115E">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337A0D" w:rsidRPr="0098115E" w:rsidRDefault="00337A0D" w:rsidP="0010719A">
      <w:pPr>
        <w:spacing w:line="360" w:lineRule="auto"/>
        <w:ind w:left="851" w:right="-787"/>
        <w:jc w:val="both"/>
        <w:rPr>
          <w:rFonts w:ascii="Palatino Linotype" w:eastAsia="Palatino Linotype" w:hAnsi="Palatino Linotype" w:cs="Palatino Linotype"/>
          <w:i/>
          <w:sz w:val="22"/>
          <w:szCs w:val="22"/>
        </w:rPr>
      </w:pP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 xml:space="preserve">Artículo 59. </w:t>
      </w:r>
      <w:r w:rsidRPr="0098115E">
        <w:rPr>
          <w:rFonts w:ascii="Palatino Linotype" w:eastAsia="Palatino Linotype" w:hAnsi="Palatino Linotype" w:cs="Palatino Linotype"/>
          <w:i/>
          <w:sz w:val="22"/>
          <w:szCs w:val="22"/>
        </w:rPr>
        <w:t>Los servidores públicos habilitados tendrán las funciones siguientes:</w:t>
      </w:r>
    </w:p>
    <w:p w:rsidR="00337A0D" w:rsidRPr="0098115E" w:rsidRDefault="00337A0D" w:rsidP="0010719A">
      <w:pPr>
        <w:spacing w:line="360" w:lineRule="auto"/>
        <w:ind w:left="851" w:right="-787"/>
        <w:jc w:val="both"/>
        <w:rPr>
          <w:rFonts w:ascii="Palatino Linotype" w:eastAsia="Palatino Linotype" w:hAnsi="Palatino Linotype" w:cs="Palatino Linotype"/>
          <w:i/>
          <w:sz w:val="22"/>
          <w:szCs w:val="22"/>
        </w:rPr>
      </w:pP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I.</w:t>
      </w:r>
      <w:r w:rsidRPr="0098115E">
        <w:rPr>
          <w:rFonts w:ascii="Palatino Linotype" w:eastAsia="Palatino Linotype" w:hAnsi="Palatino Linotype" w:cs="Palatino Linotype"/>
          <w:i/>
          <w:sz w:val="22"/>
          <w:szCs w:val="22"/>
        </w:rPr>
        <w:t xml:space="preserve"> Localizar la información que le solicite la Unidad de Transparencia;</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II.</w:t>
      </w:r>
      <w:r w:rsidRPr="0098115E">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i/>
          <w:sz w:val="22"/>
          <w:szCs w:val="22"/>
        </w:rPr>
        <w:t>(...)</w:t>
      </w:r>
    </w:p>
    <w:p w:rsidR="00337A0D" w:rsidRPr="0098115E" w:rsidRDefault="00337A0D" w:rsidP="0010719A">
      <w:pPr>
        <w:spacing w:line="360" w:lineRule="auto"/>
        <w:ind w:left="851" w:right="-787"/>
        <w:jc w:val="both"/>
        <w:rPr>
          <w:rFonts w:ascii="Palatino Linotype" w:eastAsia="Palatino Linotype" w:hAnsi="Palatino Linotype" w:cs="Palatino Linotype"/>
          <w:i/>
          <w:sz w:val="22"/>
          <w:szCs w:val="22"/>
        </w:rPr>
      </w:pPr>
    </w:p>
    <w:p w:rsidR="00337A0D" w:rsidRPr="0098115E" w:rsidRDefault="00CB2883" w:rsidP="0010719A">
      <w:pPr>
        <w:spacing w:line="360" w:lineRule="auto"/>
        <w:ind w:left="851" w:right="-787"/>
        <w:jc w:val="both"/>
        <w:rPr>
          <w:rFonts w:ascii="Palatino Linotype" w:eastAsia="Palatino Linotype" w:hAnsi="Palatino Linotype" w:cs="Palatino Linotype"/>
          <w:i/>
          <w:sz w:val="22"/>
          <w:szCs w:val="22"/>
        </w:rPr>
      </w:pPr>
      <w:r w:rsidRPr="0098115E">
        <w:rPr>
          <w:rFonts w:ascii="Palatino Linotype" w:eastAsia="Palatino Linotype" w:hAnsi="Palatino Linotype" w:cs="Palatino Linotype"/>
          <w:b/>
          <w:i/>
          <w:sz w:val="22"/>
          <w:szCs w:val="22"/>
        </w:rPr>
        <w:t xml:space="preserve">Artículo 162. </w:t>
      </w:r>
      <w:r w:rsidRPr="0098115E">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337A0D" w:rsidRPr="0098115E" w:rsidRDefault="00337A0D" w:rsidP="0010719A">
      <w:pPr>
        <w:spacing w:line="360" w:lineRule="auto"/>
        <w:ind w:right="-787"/>
        <w:jc w:val="both"/>
        <w:rPr>
          <w:rFonts w:ascii="Palatino Linotype" w:eastAsia="Palatino Linotype" w:hAnsi="Palatino Linotype" w:cs="Palatino Linotype"/>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sidRPr="0098115E">
        <w:rPr>
          <w:rFonts w:ascii="Palatino Linotype" w:eastAsia="Palatino Linotype" w:hAnsi="Palatino Linotype" w:cs="Palatino Linotype"/>
          <w:sz w:val="22"/>
          <w:szCs w:val="22"/>
        </w:rPr>
        <w:t>auxiliarán</w:t>
      </w:r>
      <w:r w:rsidRPr="0098115E">
        <w:rPr>
          <w:rFonts w:ascii="Palatino Linotype" w:eastAsia="Palatino Linotype" w:hAnsi="Palatino Linotype" w:cs="Palatino Linotype"/>
          <w:color w:val="000000"/>
          <w:sz w:val="22"/>
          <w:szCs w:val="22"/>
        </w:rPr>
        <w:t xml:space="preserve">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337A0D" w:rsidRPr="0098115E" w:rsidRDefault="00337A0D" w:rsidP="0010719A">
      <w:pPr>
        <w:pBdr>
          <w:top w:val="nil"/>
          <w:left w:val="nil"/>
          <w:bottom w:val="nil"/>
          <w:right w:val="nil"/>
          <w:between w:val="nil"/>
        </w:pBdr>
        <w:spacing w:line="360" w:lineRule="auto"/>
        <w:ind w:left="720" w:right="-787"/>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hd w:val="clear" w:color="auto" w:fill="FFFFFF"/>
        <w:spacing w:line="360" w:lineRule="auto"/>
        <w:ind w:right="-787"/>
        <w:jc w:val="both"/>
        <w:rPr>
          <w:rFonts w:ascii="Palatino Linotype" w:hAnsi="Palatino Linotype"/>
          <w:color w:val="222222"/>
          <w:sz w:val="22"/>
          <w:szCs w:val="22"/>
        </w:rPr>
      </w:pPr>
      <w:r w:rsidRPr="0098115E">
        <w:rPr>
          <w:rFonts w:ascii="Palatino Linotype" w:eastAsia="Palatino Linotype" w:hAnsi="Palatino Linotype" w:cs="Palatino Linotype"/>
          <w:color w:val="000000"/>
          <w:sz w:val="22"/>
          <w:szCs w:val="22"/>
        </w:rPr>
        <w:t xml:space="preserve">En el caso que se resuelve, la respuesta fue emitida por la Jefa del Departamento de Recursos Humanos, quien de acuerdo al Manual de Organización de Recursos Humanos del Sujeto Obligado, tiene como objetivo planear, organizar, dirigir y controlar los procesos derivados de la administración de los recursos humanos del Ayuntamiento, así como aplicar las técnicas necesarias para promover la permanencia y el desempeño eficaz de los servidores públicos, es decir, se </w:t>
      </w:r>
      <w:r w:rsidRPr="0098115E">
        <w:rPr>
          <w:rFonts w:ascii="Palatino Linotype" w:eastAsia="Palatino Linotype" w:hAnsi="Palatino Linotype" w:cs="Palatino Linotype"/>
          <w:sz w:val="22"/>
          <w:szCs w:val="22"/>
        </w:rPr>
        <w:t>turna</w:t>
      </w:r>
      <w:r w:rsidRPr="0098115E">
        <w:rPr>
          <w:rFonts w:ascii="Palatino Linotype" w:eastAsia="Palatino Linotype" w:hAnsi="Palatino Linotype" w:cs="Palatino Linotype"/>
          <w:color w:val="000000"/>
          <w:sz w:val="22"/>
          <w:szCs w:val="22"/>
        </w:rPr>
        <w:t xml:space="preserve"> al área que de acuerdo a sus atribuciones genera, posee y administra la información solicitada. </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r w:rsidRPr="0098115E">
        <w:rPr>
          <w:rFonts w:ascii="Palatino Linotype" w:eastAsia="Palatino Linotype" w:hAnsi="Palatino Linotype" w:cs="Palatino Linotype"/>
          <w:color w:val="000000"/>
          <w:sz w:val="22"/>
          <w:szCs w:val="22"/>
        </w:rPr>
        <w:t xml:space="preserve">En ese contexto, si bien la solicitud se </w:t>
      </w:r>
      <w:r w:rsidRPr="0098115E">
        <w:rPr>
          <w:rFonts w:ascii="Palatino Linotype" w:eastAsia="Palatino Linotype" w:hAnsi="Palatino Linotype" w:cs="Palatino Linotype"/>
          <w:sz w:val="22"/>
          <w:szCs w:val="22"/>
        </w:rPr>
        <w:t>turnó</w:t>
      </w:r>
      <w:r w:rsidRPr="0098115E">
        <w:rPr>
          <w:rFonts w:ascii="Palatino Linotype" w:eastAsia="Palatino Linotype" w:hAnsi="Palatino Linotype" w:cs="Palatino Linotype"/>
          <w:color w:val="000000"/>
          <w:sz w:val="22"/>
          <w:szCs w:val="22"/>
        </w:rPr>
        <w:t xml:space="preserve"> al área que de acuerdo a sus atribuciones genera, posee y administra la información solicitada, también lo es que derivado de la interposición del recurso de revisión, este Órgano Garante se dio a la tarea de realizar un búsqueda en la página de Información Pública de Oficio Mexiquense (IPOMEX) del Sujeto Obligado, en la que se localizó lo siguiente: </w:t>
      </w:r>
    </w:p>
    <w:p w:rsidR="00CB2883" w:rsidRPr="0098115E" w:rsidRDefault="00CB2883" w:rsidP="0010719A">
      <w:pPr>
        <w:pStyle w:val="Prrafodelista"/>
        <w:spacing w:line="360" w:lineRule="auto"/>
        <w:rPr>
          <w:rFonts w:ascii="Palatino Linotype" w:eastAsia="Palatino Linotype" w:hAnsi="Palatino Linotype" w:cs="Palatino Linotype"/>
          <w:i/>
          <w:color w:val="000000"/>
          <w:sz w:val="22"/>
          <w:szCs w:val="22"/>
        </w:rPr>
      </w:pPr>
    </w:p>
    <w:p w:rsidR="00CB2883" w:rsidRPr="0098115E" w:rsidRDefault="00CB2883"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CB2883" w:rsidRPr="0098115E" w:rsidRDefault="002F51C2" w:rsidP="0010719A">
      <w:pPr>
        <w:pStyle w:val="Prrafodelista"/>
        <w:numPr>
          <w:ilvl w:val="0"/>
          <w:numId w:val="7"/>
        </w:numPr>
        <w:spacing w:line="360" w:lineRule="auto"/>
        <w:rPr>
          <w:rFonts w:ascii="Palatino Linotype" w:eastAsia="Palatino Linotype" w:hAnsi="Palatino Linotype" w:cs="Palatino Linotype"/>
          <w:i/>
          <w:color w:val="000000"/>
          <w:sz w:val="22"/>
          <w:szCs w:val="22"/>
        </w:rPr>
      </w:pPr>
      <w:hyperlink r:id="rId9" w:history="1">
        <w:r w:rsidR="00CB2883" w:rsidRPr="0098115E">
          <w:rPr>
            <w:rStyle w:val="Hipervnculo"/>
            <w:rFonts w:ascii="Palatino Linotype" w:eastAsia="Palatino Linotype" w:hAnsi="Palatino Linotype" w:cs="Palatino Linotype"/>
            <w:i/>
            <w:sz w:val="22"/>
            <w:szCs w:val="22"/>
          </w:rPr>
          <w:t>https://ipomex2.ipomex.org.mx/ipo/lgt/indice/villaguerrero/remun.web</w:t>
        </w:r>
      </w:hyperlink>
      <w:r w:rsidR="00CB2883" w:rsidRPr="0098115E">
        <w:rPr>
          <w:rFonts w:ascii="Palatino Linotype" w:eastAsia="Palatino Linotype" w:hAnsi="Palatino Linotype" w:cs="Palatino Linotype"/>
          <w:i/>
          <w:color w:val="000000"/>
          <w:sz w:val="22"/>
          <w:szCs w:val="22"/>
        </w:rPr>
        <w:t xml:space="preserve"> </w:t>
      </w:r>
    </w:p>
    <w:p w:rsidR="00CB2883" w:rsidRPr="0098115E" w:rsidRDefault="00CB2883"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CB2883" w:rsidRPr="0098115E" w:rsidRDefault="00CB2883" w:rsidP="0010719A">
      <w:pPr>
        <w:spacing w:line="360" w:lineRule="auto"/>
        <w:rPr>
          <w:rFonts w:ascii="Palatino Linotype" w:eastAsia="Palatino Linotype" w:hAnsi="Palatino Linotype" w:cs="Palatino Linotype"/>
          <w:i/>
          <w:color w:val="000000"/>
          <w:sz w:val="22"/>
          <w:szCs w:val="22"/>
        </w:rPr>
      </w:pPr>
    </w:p>
    <w:p w:rsidR="00CB2883" w:rsidRPr="0098115E" w:rsidRDefault="00CB2883" w:rsidP="0010719A">
      <w:pPr>
        <w:spacing w:line="360" w:lineRule="auto"/>
        <w:jc w:val="center"/>
        <w:rPr>
          <w:rFonts w:ascii="Palatino Linotype" w:eastAsia="Palatino Linotype" w:hAnsi="Palatino Linotype" w:cs="Palatino Linotype"/>
          <w:i/>
          <w:color w:val="000000"/>
          <w:sz w:val="22"/>
          <w:szCs w:val="22"/>
        </w:rPr>
      </w:pPr>
      <w:r w:rsidRPr="0098115E">
        <w:rPr>
          <w:rFonts w:ascii="Palatino Linotype" w:eastAsia="Palatino Linotype" w:hAnsi="Palatino Linotype" w:cs="Palatino Linotype"/>
          <w:i/>
          <w:noProof/>
          <w:color w:val="000000"/>
          <w:sz w:val="22"/>
          <w:szCs w:val="22"/>
        </w:rPr>
        <w:lastRenderedPageBreak/>
        <w:drawing>
          <wp:inline distT="0" distB="0" distL="0" distR="0" wp14:anchorId="078747F4" wp14:editId="0D49483B">
            <wp:extent cx="5487035" cy="37213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1223" cy="3731019"/>
                    </a:xfrm>
                    <a:prstGeom prst="rect">
                      <a:avLst/>
                    </a:prstGeom>
                  </pic:spPr>
                </pic:pic>
              </a:graphicData>
            </a:graphic>
          </wp:inline>
        </w:drawing>
      </w:r>
    </w:p>
    <w:p w:rsidR="00CB2883" w:rsidRPr="0098115E" w:rsidRDefault="00CB2883"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CB2883" w:rsidRPr="0098115E" w:rsidRDefault="00CB2883" w:rsidP="0010719A">
      <w:pPr>
        <w:pStyle w:val="Prrafodelista"/>
        <w:numPr>
          <w:ilvl w:val="0"/>
          <w:numId w:val="2"/>
        </w:numPr>
        <w:tabs>
          <w:tab w:val="left" w:pos="426"/>
        </w:tabs>
        <w:spacing w:before="240" w:after="360" w:line="360" w:lineRule="auto"/>
        <w:jc w:val="both"/>
        <w:rPr>
          <w:rFonts w:ascii="Palatino Linotype" w:eastAsia="Times New Roman" w:hAnsi="Palatino Linotype" w:cs="Arial"/>
          <w:i/>
          <w:color w:val="000000" w:themeColor="text1"/>
          <w:sz w:val="22"/>
          <w:szCs w:val="22"/>
          <w:lang w:eastAsia="es-ES"/>
        </w:rPr>
      </w:pPr>
      <w:bookmarkStart w:id="6" w:name="_heading=h.2s8eyo1" w:colFirst="0" w:colLast="0"/>
      <w:bookmarkEnd w:id="6"/>
      <w:r w:rsidRPr="0098115E">
        <w:rPr>
          <w:rFonts w:ascii="Palatino Linotype" w:hAnsi="Palatino Linotype"/>
          <w:color w:val="000000"/>
          <w:sz w:val="22"/>
          <w:szCs w:val="22"/>
        </w:rPr>
        <w:t xml:space="preserve">Como se advierte en la imagen que se insertó, la persona referida en la solicitud de información fue Tesorera Municipal del Ayuntamiento de Villa Guerrero, por lo tanto, es procedente ordenar una búsqueda exhaustiva en los archivos del Sujeto Obligado. </w:t>
      </w:r>
      <w:r w:rsidRPr="0098115E">
        <w:rPr>
          <w:rFonts w:ascii="Palatino Linotype" w:eastAsia="Times New Roman" w:hAnsi="Palatino Linotype" w:cs="Times New Roman"/>
          <w:color w:val="000000" w:themeColor="text1"/>
          <w:sz w:val="22"/>
          <w:szCs w:val="22"/>
          <w:lang w:eastAsia="es-ES"/>
        </w:rPr>
        <w:t xml:space="preserve">Asimismo, </w:t>
      </w:r>
      <w:r w:rsidR="00D74A9D" w:rsidRPr="0098115E">
        <w:rPr>
          <w:rFonts w:ascii="Palatino Linotype" w:eastAsia="Times New Roman" w:hAnsi="Palatino Linotype" w:cs="Times New Roman"/>
          <w:color w:val="000000" w:themeColor="text1"/>
          <w:sz w:val="22"/>
          <w:szCs w:val="22"/>
          <w:lang w:eastAsia="es-ES"/>
        </w:rPr>
        <w:t>r</w:t>
      </w:r>
      <w:r w:rsidRPr="0098115E">
        <w:rPr>
          <w:rFonts w:ascii="Palatino Linotype" w:eastAsia="Times New Roman" w:hAnsi="Palatino Linotype" w:cs="Times New Roman"/>
          <w:color w:val="000000" w:themeColor="text1"/>
          <w:sz w:val="22"/>
          <w:szCs w:val="22"/>
          <w:lang w:eastAsia="es-ES"/>
        </w:rPr>
        <w:t xml:space="preserve">esulta necesario referir que, el </w:t>
      </w:r>
      <w:r w:rsidRPr="0098115E">
        <w:rPr>
          <w:rFonts w:ascii="Palatino Linotype" w:eastAsia="Calibri" w:hAnsi="Palatino Linotype" w:cs="Arial"/>
          <w:sz w:val="22"/>
          <w:szCs w:val="22"/>
          <w:lang w:eastAsia="es-ES"/>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98115E">
        <w:rPr>
          <w:rFonts w:ascii="Palatino Linotype" w:eastAsia="Calibri" w:hAnsi="Palatino Linotype" w:cs="Arial"/>
          <w:b/>
          <w:sz w:val="22"/>
          <w:szCs w:val="22"/>
          <w:lang w:eastAsia="es-ES"/>
        </w:rPr>
        <w:t>los Sujetos Obligados deberán documentar todo acto que se derive del ejercicio de sus facultades, competencias o funciones,</w:t>
      </w:r>
      <w:r w:rsidRPr="0098115E">
        <w:rPr>
          <w:rFonts w:ascii="Palatino Linotype" w:eastAsia="Calibri" w:hAnsi="Palatino Linotype" w:cs="Arial"/>
          <w:sz w:val="22"/>
          <w:szCs w:val="22"/>
          <w:lang w:eastAsia="es-ES"/>
        </w:rPr>
        <w:t xml:space="preserve"> considerando desde su origen la eventual publicidad y reutilización de la información que generen, posean o administren.</w:t>
      </w:r>
    </w:p>
    <w:p w:rsidR="00CB2883" w:rsidRPr="0098115E" w:rsidRDefault="00CB2883" w:rsidP="0010719A">
      <w:pPr>
        <w:numPr>
          <w:ilvl w:val="0"/>
          <w:numId w:val="2"/>
        </w:numPr>
        <w:spacing w:line="360" w:lineRule="auto"/>
        <w:ind w:right="49"/>
        <w:contextualSpacing/>
        <w:jc w:val="both"/>
        <w:rPr>
          <w:rFonts w:ascii="Palatino Linotype" w:eastAsia="Times New Roman" w:hAnsi="Palatino Linotype" w:cs="Arial"/>
          <w:color w:val="000000"/>
          <w:sz w:val="22"/>
          <w:szCs w:val="22"/>
          <w:lang w:eastAsia="es-ES"/>
        </w:rPr>
      </w:pPr>
      <w:r w:rsidRPr="0098115E">
        <w:rPr>
          <w:rFonts w:ascii="Palatino Linotype" w:eastAsia="Times New Roman" w:hAnsi="Palatino Linotype" w:cs="Arial"/>
          <w:color w:val="000000"/>
          <w:sz w:val="22"/>
          <w:szCs w:val="22"/>
          <w:lang w:eastAsia="es-ES"/>
        </w:rPr>
        <w:lastRenderedPageBreak/>
        <w:t>Además, debemos tomar en cuenta los artículos 4 y 12, de la Ley de Transparencia y Acceso a la Información Pública del Estado de México y Municipios, los cuales establecen lo siguiente:</w:t>
      </w:r>
    </w:p>
    <w:p w:rsidR="00CB2883" w:rsidRPr="0098115E" w:rsidRDefault="00CB2883" w:rsidP="0010719A">
      <w:pPr>
        <w:spacing w:line="360" w:lineRule="auto"/>
        <w:ind w:left="720"/>
        <w:contextualSpacing/>
        <w:rPr>
          <w:rFonts w:ascii="Palatino Linotype" w:eastAsia="Times New Roman" w:hAnsi="Palatino Linotype" w:cs="Arial"/>
          <w:color w:val="000000"/>
          <w:sz w:val="22"/>
          <w:szCs w:val="22"/>
          <w:lang w:eastAsia="es-ES"/>
        </w:rPr>
      </w:pP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r w:rsidRPr="0098115E">
        <w:rPr>
          <w:rFonts w:ascii="Palatino Linotype" w:eastAsia="Times New Roman" w:hAnsi="Palatino Linotype" w:cs="Bookman Old Style,Bold"/>
          <w:b/>
          <w:bCs/>
          <w:i/>
          <w:sz w:val="22"/>
          <w:szCs w:val="22"/>
          <w:lang w:eastAsia="es-ES"/>
        </w:rPr>
        <w:t xml:space="preserve">Artículo 4. </w:t>
      </w:r>
      <w:r w:rsidRPr="0098115E">
        <w:rPr>
          <w:rFonts w:ascii="Palatino Linotype" w:eastAsia="Times New Roman" w:hAnsi="Palatino Linotype" w:cs="Bookman Old Style"/>
          <w:i/>
          <w:sz w:val="22"/>
          <w:szCs w:val="22"/>
          <w:lang w:eastAsia="es-ES"/>
        </w:rPr>
        <w:t>El derecho humano de acceso a la información pública es la prerrogativa de las personas para buscar, difundir, investigar, recabar, recibir y solicitar información pública, sin necesidad de acreditar personalidad ni interés jurídico.</w:t>
      </w: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r w:rsidRPr="0098115E">
        <w:rPr>
          <w:rFonts w:ascii="Palatino Linotype" w:eastAsia="Times New Roman" w:hAnsi="Palatino Linotype" w:cs="Bookman Old Style"/>
          <w:i/>
          <w:sz w:val="22"/>
          <w:szCs w:val="22"/>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r w:rsidRPr="0098115E">
        <w:rPr>
          <w:rFonts w:ascii="Palatino Linotype" w:eastAsia="Times New Roman" w:hAnsi="Palatino Linotype" w:cs="Bookman Old Style"/>
          <w:i/>
          <w:sz w:val="22"/>
          <w:szCs w:val="22"/>
          <w:lang w:eastAsia="es-ES"/>
        </w:rPr>
        <w:t>Los sujetos obligados deben poner en práctica, políticas y programas de acceso a la información que se apeguen a criterios de publicidad, veracidad, oportunidad, precisión y suficiencia en beneficio de los solicitantes.</w:t>
      </w:r>
    </w:p>
    <w:p w:rsidR="00CB2883" w:rsidRPr="0098115E" w:rsidRDefault="00CB2883" w:rsidP="0010719A">
      <w:pPr>
        <w:autoSpaceDE w:val="0"/>
        <w:autoSpaceDN w:val="0"/>
        <w:adjustRightInd w:val="0"/>
        <w:spacing w:line="360" w:lineRule="auto"/>
        <w:ind w:right="567"/>
        <w:jc w:val="both"/>
        <w:rPr>
          <w:rFonts w:ascii="Palatino Linotype" w:eastAsia="Times New Roman" w:hAnsi="Palatino Linotype" w:cs="Arial"/>
          <w:i/>
          <w:color w:val="000000"/>
          <w:sz w:val="22"/>
          <w:szCs w:val="22"/>
          <w:lang w:eastAsia="es-ES"/>
        </w:rPr>
      </w:pP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r w:rsidRPr="0098115E">
        <w:rPr>
          <w:rFonts w:ascii="Palatino Linotype" w:eastAsia="Times New Roman" w:hAnsi="Palatino Linotype" w:cs="Bookman Old Style,Bold"/>
          <w:b/>
          <w:bCs/>
          <w:i/>
          <w:sz w:val="22"/>
          <w:szCs w:val="22"/>
          <w:lang w:eastAsia="es-ES"/>
        </w:rPr>
        <w:t xml:space="preserve">Artículo 12. </w:t>
      </w:r>
      <w:r w:rsidRPr="0098115E">
        <w:rPr>
          <w:rFonts w:ascii="Palatino Linotype" w:eastAsia="Times New Roman" w:hAnsi="Palatino Linotype" w:cs="Bookman Old Style"/>
          <w:i/>
          <w:sz w:val="22"/>
          <w:szCs w:val="22"/>
          <w:lang w:eastAsia="es-ES"/>
        </w:rPr>
        <w:t xml:space="preserve">Quienes generen, recopilen, administren, manejen, procesen, archiven o conserven información pública serán responsables de la misma en los términos de las disposiciones jurídicas aplicables. </w:t>
      </w: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Bookman Old Style"/>
          <w:i/>
          <w:sz w:val="22"/>
          <w:szCs w:val="22"/>
          <w:lang w:eastAsia="es-ES"/>
        </w:rPr>
      </w:pPr>
      <w:r w:rsidRPr="0098115E">
        <w:rPr>
          <w:rFonts w:ascii="Palatino Linotype" w:eastAsia="Times New Roman" w:hAnsi="Palatino Linotype" w:cs="Bookman Old Style"/>
          <w:i/>
          <w:sz w:val="22"/>
          <w:szCs w:val="22"/>
          <w:lang w:eastAsia="es-ES"/>
        </w:rPr>
        <w:t xml:space="preserve">Los sujetos obligados sólo proporcionarán la información pública que se les requiera y que obre en sus archivos y en el estado en que ésta se encuentre. </w:t>
      </w:r>
      <w:r w:rsidRPr="0098115E">
        <w:rPr>
          <w:rFonts w:ascii="Palatino Linotype" w:eastAsia="Times New Roman" w:hAnsi="Palatino Linotype" w:cs="Bookman Old Style"/>
          <w:b/>
          <w:i/>
          <w:sz w:val="22"/>
          <w:szCs w:val="22"/>
          <w:lang w:eastAsia="es-ES"/>
        </w:rPr>
        <w:t xml:space="preserve">La obligación de </w:t>
      </w:r>
      <w:r w:rsidRPr="0098115E">
        <w:rPr>
          <w:rFonts w:ascii="Palatino Linotype" w:eastAsia="Times New Roman" w:hAnsi="Palatino Linotype" w:cs="Bookman Old Style"/>
          <w:b/>
          <w:i/>
          <w:sz w:val="22"/>
          <w:szCs w:val="22"/>
          <w:lang w:eastAsia="es-ES"/>
        </w:rPr>
        <w:lastRenderedPageBreak/>
        <w:t>proporcionar información no comprende el procesamiento de la misma, ni el presentarla conforme al interés del solicitante; no estarán obligados a generarla, resumirla, efectuar cálculos o practicar investigaciones.</w:t>
      </w: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Arial"/>
          <w:i/>
          <w:color w:val="000000"/>
          <w:sz w:val="22"/>
          <w:szCs w:val="22"/>
          <w:lang w:eastAsia="es-ES"/>
        </w:rPr>
      </w:pPr>
    </w:p>
    <w:p w:rsidR="00CB2883" w:rsidRPr="0098115E" w:rsidRDefault="00CB2883" w:rsidP="0010719A">
      <w:pPr>
        <w:numPr>
          <w:ilvl w:val="0"/>
          <w:numId w:val="2"/>
        </w:numPr>
        <w:tabs>
          <w:tab w:val="left" w:pos="851"/>
        </w:tabs>
        <w:spacing w:line="360" w:lineRule="auto"/>
        <w:ind w:right="49"/>
        <w:contextualSpacing/>
        <w:jc w:val="both"/>
        <w:rPr>
          <w:rFonts w:ascii="Palatino Linotype" w:eastAsia="Times New Roman" w:hAnsi="Palatino Linotype" w:cs="Times New Roman"/>
          <w:sz w:val="22"/>
          <w:szCs w:val="22"/>
          <w:lang w:val="es-ES" w:eastAsia="es-ES"/>
        </w:rPr>
      </w:pPr>
      <w:r w:rsidRPr="0098115E">
        <w:rPr>
          <w:rFonts w:ascii="Palatino Linotype" w:eastAsia="Times New Roman" w:hAnsi="Palatino Linotype" w:cs="Times New Roman"/>
          <w:sz w:val="22"/>
          <w:szCs w:val="22"/>
          <w:lang w:val="es-ES" w:eastAsia="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98115E">
        <w:rPr>
          <w:rFonts w:ascii="Palatino Linotype" w:eastAsia="Times New Roman" w:hAnsi="Palatino Linotype" w:cs="Times New Roman"/>
          <w:sz w:val="22"/>
          <w:szCs w:val="22"/>
          <w:vertAlign w:val="superscript"/>
          <w:lang w:val="es-ES" w:eastAsia="es-ES"/>
        </w:rPr>
        <w:footnoteReference w:id="3"/>
      </w:r>
      <w:r w:rsidRPr="0098115E">
        <w:rPr>
          <w:rFonts w:ascii="Palatino Linotype" w:eastAsia="Times New Roman" w:hAnsi="Palatino Linotype" w:cs="Times New Roman"/>
          <w:sz w:val="22"/>
          <w:szCs w:val="22"/>
          <w:lang w:val="es-ES" w:eastAsia="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CB2883" w:rsidRPr="0098115E" w:rsidRDefault="00CB2883" w:rsidP="0010719A">
      <w:pPr>
        <w:tabs>
          <w:tab w:val="left" w:pos="851"/>
        </w:tabs>
        <w:spacing w:line="360" w:lineRule="auto"/>
        <w:ind w:right="49"/>
        <w:contextualSpacing/>
        <w:jc w:val="both"/>
        <w:rPr>
          <w:rFonts w:ascii="Palatino Linotype" w:eastAsia="Times New Roman" w:hAnsi="Palatino Linotype" w:cs="Times New Roman"/>
          <w:sz w:val="22"/>
          <w:szCs w:val="22"/>
          <w:lang w:val="es-ES" w:eastAsia="es-ES"/>
        </w:rPr>
      </w:pPr>
    </w:p>
    <w:p w:rsidR="00CB2883" w:rsidRPr="0098115E" w:rsidRDefault="00CB2883" w:rsidP="0010719A">
      <w:pPr>
        <w:numPr>
          <w:ilvl w:val="0"/>
          <w:numId w:val="2"/>
        </w:numPr>
        <w:tabs>
          <w:tab w:val="left" w:pos="851"/>
        </w:tabs>
        <w:spacing w:line="360" w:lineRule="auto"/>
        <w:ind w:right="49"/>
        <w:contextualSpacing/>
        <w:jc w:val="both"/>
        <w:rPr>
          <w:rFonts w:ascii="Palatino Linotype" w:eastAsia="Times New Roman" w:hAnsi="Palatino Linotype" w:cs="Times New Roman"/>
          <w:sz w:val="22"/>
          <w:szCs w:val="22"/>
          <w:lang w:val="es-ES" w:eastAsia="es-ES"/>
        </w:rPr>
      </w:pPr>
      <w:r w:rsidRPr="0098115E">
        <w:rPr>
          <w:rFonts w:ascii="Palatino Linotype" w:eastAsia="Times New Roman" w:hAnsi="Palatino Linotype" w:cs="Times New Roman"/>
          <w:sz w:val="22"/>
          <w:szCs w:val="22"/>
          <w:lang w:val="es-ES" w:eastAsia="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B2883" w:rsidRPr="0098115E" w:rsidRDefault="00CB2883" w:rsidP="0010719A">
      <w:pPr>
        <w:spacing w:line="360" w:lineRule="auto"/>
        <w:ind w:left="720"/>
        <w:contextualSpacing/>
        <w:rPr>
          <w:rFonts w:ascii="Palatino Linotype" w:eastAsia="Times New Roman" w:hAnsi="Palatino Linotype" w:cs="Times New Roman"/>
          <w:sz w:val="22"/>
          <w:szCs w:val="22"/>
          <w:lang w:val="es-ES" w:eastAsia="es-ES"/>
        </w:rPr>
      </w:pPr>
    </w:p>
    <w:p w:rsidR="00CB2883" w:rsidRPr="0098115E" w:rsidRDefault="00CB2883" w:rsidP="0010719A">
      <w:pPr>
        <w:tabs>
          <w:tab w:val="left" w:pos="851"/>
        </w:tabs>
        <w:spacing w:line="360" w:lineRule="auto"/>
        <w:ind w:left="567" w:right="567"/>
        <w:contextualSpacing/>
        <w:jc w:val="both"/>
        <w:rPr>
          <w:rFonts w:ascii="Palatino Linotype" w:eastAsia="Times New Roman" w:hAnsi="Palatino Linotype" w:cs="Times New Roman"/>
          <w:i/>
          <w:sz w:val="22"/>
          <w:szCs w:val="22"/>
          <w:lang w:eastAsia="es-ES"/>
        </w:rPr>
      </w:pPr>
      <w:r w:rsidRPr="0098115E">
        <w:rPr>
          <w:rFonts w:ascii="Palatino Linotype" w:eastAsia="Times New Roman" w:hAnsi="Palatino Linotype" w:cs="Times New Roman"/>
          <w:b/>
          <w:i/>
          <w:sz w:val="22"/>
          <w:szCs w:val="22"/>
          <w:lang w:eastAsia="es-ES"/>
        </w:rPr>
        <w:t>ACCESO A LA INFORMACIÓN. IMPLICACIÓN DEL PRINCIPIO DE MÁXIMA PUBLICIDAD EN EL DERECHO FUNDAMENTAL RELATIVO.</w:t>
      </w:r>
      <w:r w:rsidRPr="0098115E">
        <w:rPr>
          <w:rFonts w:ascii="Palatino Linotype" w:eastAsia="Times New Roman" w:hAnsi="Palatino Linotype" w:cs="Times New Roman"/>
          <w:i/>
          <w:sz w:val="22"/>
          <w:szCs w:val="22"/>
          <w:lang w:eastAsia="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w:t>
      </w:r>
      <w:r w:rsidRPr="0098115E">
        <w:rPr>
          <w:rFonts w:ascii="Palatino Linotype" w:eastAsia="Times New Roman" w:hAnsi="Palatino Linotype" w:cs="Times New Roman"/>
          <w:i/>
          <w:sz w:val="22"/>
          <w:szCs w:val="22"/>
          <w:lang w:eastAsia="es-ES"/>
        </w:rPr>
        <w:lastRenderedPageBreak/>
        <w:t xml:space="preserve">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CB2883" w:rsidRPr="0098115E" w:rsidRDefault="00CB2883" w:rsidP="0010719A">
      <w:pPr>
        <w:tabs>
          <w:tab w:val="left" w:pos="851"/>
        </w:tabs>
        <w:spacing w:line="360" w:lineRule="auto"/>
        <w:ind w:left="567" w:right="567"/>
        <w:contextualSpacing/>
        <w:jc w:val="both"/>
        <w:rPr>
          <w:rFonts w:ascii="Palatino Linotype" w:eastAsia="Times New Roman" w:hAnsi="Palatino Linotype" w:cs="Times New Roman"/>
          <w:i/>
          <w:sz w:val="22"/>
          <w:szCs w:val="22"/>
          <w:lang w:eastAsia="es-ES"/>
        </w:rPr>
      </w:pPr>
    </w:p>
    <w:p w:rsidR="00CB2883" w:rsidRPr="0098115E" w:rsidRDefault="00CB2883" w:rsidP="0010719A">
      <w:pPr>
        <w:tabs>
          <w:tab w:val="left" w:pos="851"/>
        </w:tabs>
        <w:spacing w:line="360" w:lineRule="auto"/>
        <w:ind w:left="567" w:right="567"/>
        <w:contextualSpacing/>
        <w:jc w:val="both"/>
        <w:rPr>
          <w:rFonts w:ascii="Palatino Linotype" w:eastAsia="Times New Roman" w:hAnsi="Palatino Linotype" w:cs="Times New Roman"/>
          <w:i/>
          <w:sz w:val="22"/>
          <w:szCs w:val="22"/>
          <w:lang w:eastAsia="es-ES"/>
        </w:rPr>
      </w:pPr>
      <w:r w:rsidRPr="0098115E">
        <w:rPr>
          <w:rFonts w:ascii="Palatino Linotype" w:eastAsia="Times New Roman" w:hAnsi="Palatino Linotype" w:cs="Times New Roman"/>
          <w:i/>
          <w:sz w:val="22"/>
          <w:szCs w:val="22"/>
          <w:lang w:eastAsia="es-ES"/>
        </w:rPr>
        <w:t xml:space="preserve">CUARTO TRIBUNAL COLEGIADO EN MATERIA ADMINISTRATIVA DEL PRIMER CIRCUITO. </w:t>
      </w:r>
    </w:p>
    <w:p w:rsidR="00CB2883" w:rsidRPr="0098115E" w:rsidRDefault="00CB2883" w:rsidP="0010719A">
      <w:pPr>
        <w:tabs>
          <w:tab w:val="left" w:pos="851"/>
        </w:tabs>
        <w:spacing w:line="360" w:lineRule="auto"/>
        <w:ind w:left="567" w:right="567"/>
        <w:contextualSpacing/>
        <w:jc w:val="both"/>
        <w:rPr>
          <w:rFonts w:ascii="Palatino Linotype" w:eastAsia="Times New Roman" w:hAnsi="Palatino Linotype" w:cs="Times New Roman"/>
          <w:i/>
          <w:sz w:val="22"/>
          <w:szCs w:val="22"/>
          <w:lang w:eastAsia="es-ES"/>
        </w:rPr>
      </w:pPr>
    </w:p>
    <w:p w:rsidR="00CB2883" w:rsidRPr="0098115E" w:rsidRDefault="00CB2883" w:rsidP="0010719A">
      <w:pPr>
        <w:tabs>
          <w:tab w:val="left" w:pos="851"/>
        </w:tabs>
        <w:spacing w:line="360" w:lineRule="auto"/>
        <w:ind w:left="567" w:right="567"/>
        <w:contextualSpacing/>
        <w:jc w:val="both"/>
        <w:rPr>
          <w:rFonts w:ascii="Palatino Linotype" w:eastAsia="Times New Roman" w:hAnsi="Palatino Linotype" w:cs="Times New Roman"/>
          <w:i/>
          <w:sz w:val="22"/>
          <w:szCs w:val="22"/>
          <w:lang w:val="es-ES" w:eastAsia="es-ES"/>
        </w:rPr>
      </w:pPr>
      <w:r w:rsidRPr="0098115E">
        <w:rPr>
          <w:rFonts w:ascii="Palatino Linotype" w:eastAsia="Times New Roman" w:hAnsi="Palatino Linotype" w:cs="Times New Roman"/>
          <w:i/>
          <w:sz w:val="22"/>
          <w:szCs w:val="22"/>
          <w:lang w:eastAsia="es-ES"/>
        </w:rPr>
        <w:t xml:space="preserve">Amparo en revisión 257/2012. Ruth Corona Muñoz. 6 de diciembre de 2012. Unanimidad de votos. Ponente: Jean Claude </w:t>
      </w:r>
      <w:proofErr w:type="spellStart"/>
      <w:r w:rsidRPr="0098115E">
        <w:rPr>
          <w:rFonts w:ascii="Palatino Linotype" w:eastAsia="Times New Roman" w:hAnsi="Palatino Linotype" w:cs="Times New Roman"/>
          <w:i/>
          <w:sz w:val="22"/>
          <w:szCs w:val="22"/>
          <w:lang w:eastAsia="es-ES"/>
        </w:rPr>
        <w:t>Tron</w:t>
      </w:r>
      <w:proofErr w:type="spellEnd"/>
      <w:r w:rsidRPr="0098115E">
        <w:rPr>
          <w:rFonts w:ascii="Palatino Linotype" w:eastAsia="Times New Roman" w:hAnsi="Palatino Linotype" w:cs="Times New Roman"/>
          <w:i/>
          <w:sz w:val="22"/>
          <w:szCs w:val="22"/>
          <w:lang w:eastAsia="es-ES"/>
        </w:rPr>
        <w:t xml:space="preserve"> </w:t>
      </w:r>
      <w:proofErr w:type="spellStart"/>
      <w:r w:rsidRPr="0098115E">
        <w:rPr>
          <w:rFonts w:ascii="Palatino Linotype" w:eastAsia="Times New Roman" w:hAnsi="Palatino Linotype" w:cs="Times New Roman"/>
          <w:i/>
          <w:sz w:val="22"/>
          <w:szCs w:val="22"/>
          <w:lang w:eastAsia="es-ES"/>
        </w:rPr>
        <w:t>Petit</w:t>
      </w:r>
      <w:proofErr w:type="spellEnd"/>
      <w:r w:rsidRPr="0098115E">
        <w:rPr>
          <w:rFonts w:ascii="Palatino Linotype" w:eastAsia="Times New Roman" w:hAnsi="Palatino Linotype" w:cs="Times New Roman"/>
          <w:i/>
          <w:sz w:val="22"/>
          <w:szCs w:val="22"/>
          <w:lang w:eastAsia="es-ES"/>
        </w:rPr>
        <w:t>. Secretaria: Mayra Susana Martínez López.</w:t>
      </w:r>
    </w:p>
    <w:p w:rsidR="00CB2883" w:rsidRPr="0098115E" w:rsidRDefault="00CB2883" w:rsidP="0010719A">
      <w:pPr>
        <w:spacing w:line="360" w:lineRule="auto"/>
        <w:ind w:left="720"/>
        <w:contextualSpacing/>
        <w:rPr>
          <w:rFonts w:ascii="Palatino Linotype" w:eastAsia="Times New Roman" w:hAnsi="Palatino Linotype" w:cs="Times New Roman"/>
          <w:sz w:val="22"/>
          <w:szCs w:val="22"/>
          <w:lang w:val="es-ES" w:eastAsia="es-ES"/>
        </w:rPr>
      </w:pPr>
    </w:p>
    <w:p w:rsidR="00CB2883" w:rsidRPr="0098115E" w:rsidRDefault="00CB2883" w:rsidP="0010719A">
      <w:pPr>
        <w:numPr>
          <w:ilvl w:val="0"/>
          <w:numId w:val="2"/>
        </w:numPr>
        <w:tabs>
          <w:tab w:val="left" w:pos="851"/>
        </w:tabs>
        <w:spacing w:before="240" w:after="240" w:line="360" w:lineRule="auto"/>
        <w:ind w:right="49"/>
        <w:contextualSpacing/>
        <w:jc w:val="both"/>
        <w:rPr>
          <w:rFonts w:ascii="Palatino Linotype" w:eastAsia="Times New Roman" w:hAnsi="Palatino Linotype" w:cs="Arial"/>
          <w:sz w:val="22"/>
          <w:szCs w:val="22"/>
          <w:lang w:val="es-ES" w:eastAsia="es-ES"/>
        </w:rPr>
      </w:pPr>
      <w:r w:rsidRPr="0098115E">
        <w:rPr>
          <w:rFonts w:ascii="Palatino Linotype" w:eastAsia="Times New Roman" w:hAnsi="Palatino Linotype" w:cs="Times New Roman"/>
          <w:sz w:val="22"/>
          <w:szCs w:val="22"/>
          <w:lang w:val="es-ES" w:eastAsia="es-ES"/>
        </w:rPr>
        <w:t>El derecho de acceso a la información encuentra su materia elemental en los documentos, y la Ley de Transparencia local  nos brinda el siguiente concepto, para darnos un mejor panorama:</w:t>
      </w:r>
    </w:p>
    <w:p w:rsidR="00D74A9D" w:rsidRPr="0098115E" w:rsidRDefault="00D74A9D" w:rsidP="0010719A">
      <w:pPr>
        <w:tabs>
          <w:tab w:val="left" w:pos="851"/>
        </w:tabs>
        <w:spacing w:before="240" w:after="240" w:line="360" w:lineRule="auto"/>
        <w:ind w:right="49"/>
        <w:contextualSpacing/>
        <w:jc w:val="both"/>
        <w:rPr>
          <w:rFonts w:ascii="Palatino Linotype" w:eastAsia="Times New Roman" w:hAnsi="Palatino Linotype" w:cs="Arial"/>
          <w:sz w:val="22"/>
          <w:szCs w:val="22"/>
          <w:lang w:val="es-ES" w:eastAsia="es-ES"/>
        </w:rPr>
      </w:pPr>
    </w:p>
    <w:p w:rsidR="00CB2883" w:rsidRPr="0098115E" w:rsidRDefault="00CB2883" w:rsidP="0010719A">
      <w:pPr>
        <w:autoSpaceDE w:val="0"/>
        <w:autoSpaceDN w:val="0"/>
        <w:adjustRightInd w:val="0"/>
        <w:spacing w:line="360" w:lineRule="auto"/>
        <w:ind w:left="567" w:right="567"/>
        <w:jc w:val="both"/>
        <w:rPr>
          <w:rFonts w:ascii="Palatino Linotype" w:eastAsia="Times New Roman" w:hAnsi="Palatino Linotype" w:cs="Times New Roman"/>
          <w:i/>
          <w:sz w:val="22"/>
          <w:szCs w:val="22"/>
          <w:lang w:val="es-ES" w:eastAsia="es-ES"/>
        </w:rPr>
      </w:pPr>
      <w:r w:rsidRPr="0098115E">
        <w:rPr>
          <w:rFonts w:ascii="Palatino Linotype" w:eastAsiaTheme="minorHAnsi" w:hAnsi="Palatino Linotype" w:cs="Bookman Old Style,Bold"/>
          <w:b/>
          <w:bCs/>
          <w:i/>
          <w:sz w:val="22"/>
          <w:szCs w:val="22"/>
          <w:lang w:eastAsia="en-US"/>
        </w:rPr>
        <w:t xml:space="preserve">XI. Documento: </w:t>
      </w:r>
      <w:r w:rsidRPr="0098115E">
        <w:rPr>
          <w:rFonts w:ascii="Palatino Linotype" w:eastAsiaTheme="minorHAnsi" w:hAnsi="Palatino Linotype" w:cs="Bookman Old Style"/>
          <w:i/>
          <w:sz w:val="22"/>
          <w:szCs w:val="22"/>
          <w:lang w:eastAsia="en-US"/>
        </w:rPr>
        <w:t xml:space="preserve">Los expedientes, reportes, estudios, actas, resoluciones, oficios, correspondencia, acuerdos, directivas, directrices, circulares, contratos, convenios, instructivos, notas, memorandos, estadísticas o bien, </w:t>
      </w:r>
      <w:r w:rsidRPr="0098115E">
        <w:rPr>
          <w:rFonts w:ascii="Palatino Linotype" w:eastAsiaTheme="minorHAnsi" w:hAnsi="Palatino Linotype" w:cs="Bookman Old Style"/>
          <w:b/>
          <w:i/>
          <w:sz w:val="22"/>
          <w:szCs w:val="22"/>
          <w:lang w:eastAsia="en-US"/>
        </w:rPr>
        <w:t>cualquier otro registro</w:t>
      </w:r>
      <w:r w:rsidRPr="0098115E">
        <w:rPr>
          <w:rFonts w:ascii="Palatino Linotype" w:eastAsiaTheme="minorHAnsi" w:hAnsi="Palatino Linotype" w:cs="Bookman Old Style"/>
          <w:i/>
          <w:sz w:val="22"/>
          <w:szCs w:val="22"/>
          <w:lang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CB2883" w:rsidRPr="0098115E" w:rsidRDefault="00CB2883" w:rsidP="0010719A">
      <w:pPr>
        <w:tabs>
          <w:tab w:val="left" w:pos="851"/>
        </w:tabs>
        <w:spacing w:line="360" w:lineRule="auto"/>
        <w:ind w:right="49"/>
        <w:contextualSpacing/>
        <w:jc w:val="both"/>
        <w:rPr>
          <w:rFonts w:ascii="Palatino Linotype" w:eastAsia="Times New Roman" w:hAnsi="Palatino Linotype" w:cs="Times New Roman"/>
          <w:sz w:val="22"/>
          <w:szCs w:val="22"/>
          <w:lang w:val="es-ES" w:eastAsia="es-ES"/>
        </w:rPr>
      </w:pPr>
    </w:p>
    <w:p w:rsidR="00CB2883" w:rsidRPr="0098115E" w:rsidRDefault="00CB2883" w:rsidP="0010719A">
      <w:pPr>
        <w:numPr>
          <w:ilvl w:val="0"/>
          <w:numId w:val="2"/>
        </w:numPr>
        <w:tabs>
          <w:tab w:val="left" w:pos="851"/>
        </w:tabs>
        <w:spacing w:line="360" w:lineRule="auto"/>
        <w:ind w:right="49"/>
        <w:contextualSpacing/>
        <w:jc w:val="both"/>
        <w:rPr>
          <w:rFonts w:ascii="Palatino Linotype" w:eastAsia="Times New Roman" w:hAnsi="Palatino Linotype" w:cs="Times New Roman"/>
          <w:sz w:val="22"/>
          <w:szCs w:val="22"/>
          <w:lang w:val="es-ES" w:eastAsia="es-ES"/>
        </w:rPr>
      </w:pPr>
      <w:r w:rsidRPr="0098115E">
        <w:rPr>
          <w:rFonts w:ascii="Palatino Linotype" w:eastAsia="Times New Roman" w:hAnsi="Palatino Linotype" w:cs="Times New Roman"/>
          <w:sz w:val="22"/>
          <w:szCs w:val="22"/>
          <w:lang w:val="es-ES" w:eastAsia="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CB2883" w:rsidRPr="0098115E" w:rsidRDefault="00CB2883" w:rsidP="0010719A">
      <w:p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p>
    <w:p w:rsidR="00726E18" w:rsidRPr="0098115E" w:rsidRDefault="00D74A9D" w:rsidP="0010719A">
      <w:pPr>
        <w:numPr>
          <w:ilvl w:val="0"/>
          <w:numId w:val="2"/>
        </w:num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r w:rsidRPr="0098115E">
        <w:rPr>
          <w:rFonts w:ascii="Palatino Linotype" w:hAnsi="Palatino Linotype"/>
          <w:color w:val="000000"/>
          <w:sz w:val="22"/>
          <w:szCs w:val="22"/>
        </w:rPr>
        <w:t xml:space="preserve">Por otro lado, resulta necesario referir que la información solicitada puede, de manera enunciativa, más no limitativa, constar en documentos </w:t>
      </w:r>
      <w:r w:rsidR="00726E18" w:rsidRPr="0098115E">
        <w:rPr>
          <w:rFonts w:ascii="Palatino Linotype" w:hAnsi="Palatino Linotype"/>
          <w:color w:val="000000"/>
          <w:sz w:val="22"/>
          <w:szCs w:val="22"/>
        </w:rPr>
        <w:t xml:space="preserve">tales como el FUMP, nombramiento o contrato, </w:t>
      </w:r>
      <w:r w:rsidR="00726E18" w:rsidRPr="0098115E">
        <w:rPr>
          <w:rFonts w:ascii="Palatino Linotype" w:hAnsi="Palatino Linotype" w:cs="Arial"/>
          <w:sz w:val="22"/>
          <w:szCs w:val="22"/>
        </w:rPr>
        <w:t xml:space="preserve">tal como lo establece la </w:t>
      </w:r>
      <w:r w:rsidR="00726E18" w:rsidRPr="0098115E">
        <w:rPr>
          <w:rFonts w:ascii="Palatino Linotype" w:eastAsia="Arial Unicode MS" w:hAnsi="Palatino Linotype" w:cs="Arial"/>
          <w:sz w:val="22"/>
          <w:szCs w:val="22"/>
        </w:rPr>
        <w:t>ley del trabajo de los servidores públicos del estado y municipios en su artículo 45, que reza:</w:t>
      </w:r>
    </w:p>
    <w:p w:rsidR="00726E18" w:rsidRPr="0098115E" w:rsidRDefault="00726E18" w:rsidP="0010719A">
      <w:pPr>
        <w:pStyle w:val="Prrafodelista"/>
        <w:spacing w:line="360" w:lineRule="auto"/>
        <w:ind w:left="0" w:right="51"/>
        <w:jc w:val="both"/>
        <w:rPr>
          <w:rFonts w:ascii="Palatino Linotype" w:eastAsia="Arial Unicode MS" w:hAnsi="Palatino Linotype" w:cs="Arial"/>
          <w:sz w:val="22"/>
          <w:szCs w:val="22"/>
        </w:rPr>
      </w:pPr>
    </w:p>
    <w:p w:rsidR="00CB2883" w:rsidRPr="0098115E" w:rsidRDefault="00726E18" w:rsidP="0010719A">
      <w:pPr>
        <w:pStyle w:val="Prrafodelista"/>
        <w:tabs>
          <w:tab w:val="left" w:pos="7938"/>
        </w:tabs>
        <w:spacing w:line="360" w:lineRule="auto"/>
        <w:ind w:left="851" w:right="758"/>
        <w:jc w:val="both"/>
        <w:rPr>
          <w:rFonts w:ascii="Palatino Linotype" w:eastAsia="Arial Unicode MS" w:hAnsi="Palatino Linotype" w:cs="Arial"/>
          <w:i/>
          <w:sz w:val="22"/>
          <w:szCs w:val="22"/>
        </w:rPr>
      </w:pPr>
      <w:r w:rsidRPr="0098115E">
        <w:rPr>
          <w:rFonts w:ascii="Palatino Linotype" w:eastAsia="Arial Unicode MS" w:hAnsi="Palatino Linotype" w:cs="Arial"/>
          <w:i/>
          <w:sz w:val="22"/>
          <w:szCs w:val="22"/>
        </w:rPr>
        <w:t xml:space="preserve">“Artículo 45.-los servidores públicos prestarán sus servicios mediante </w:t>
      </w:r>
      <w:r w:rsidRPr="0098115E">
        <w:rPr>
          <w:rFonts w:ascii="Palatino Linotype" w:eastAsia="Arial Unicode MS" w:hAnsi="Palatino Linotype" w:cs="Arial"/>
          <w:b/>
          <w:i/>
          <w:sz w:val="22"/>
          <w:szCs w:val="22"/>
          <w:u w:val="single"/>
        </w:rPr>
        <w:t>nombramiento, contrato o formato único de movimientos de personal</w:t>
      </w:r>
      <w:r w:rsidRPr="0098115E">
        <w:rPr>
          <w:rFonts w:ascii="Palatino Linotype" w:eastAsia="Arial Unicode MS" w:hAnsi="Palatino Linotype" w:cs="Arial"/>
          <w:i/>
          <w:sz w:val="22"/>
          <w:szCs w:val="22"/>
        </w:rPr>
        <w:t xml:space="preserve"> expedidos por quien estuviere facultado legalmente para extenderlo.”</w:t>
      </w:r>
    </w:p>
    <w:p w:rsidR="00726E18" w:rsidRPr="0098115E" w:rsidRDefault="00726E18" w:rsidP="0010719A">
      <w:pPr>
        <w:pStyle w:val="Prrafodelista"/>
        <w:tabs>
          <w:tab w:val="left" w:pos="7938"/>
        </w:tabs>
        <w:spacing w:line="360" w:lineRule="auto"/>
        <w:ind w:left="851" w:right="758"/>
        <w:jc w:val="both"/>
        <w:rPr>
          <w:rFonts w:ascii="Palatino Linotype" w:eastAsia="Arial Unicode MS" w:hAnsi="Palatino Linotype" w:cs="Arial"/>
          <w:i/>
          <w:sz w:val="22"/>
          <w:szCs w:val="22"/>
        </w:rPr>
      </w:pPr>
    </w:p>
    <w:p w:rsidR="00637B1A" w:rsidRPr="0098115E" w:rsidRDefault="00726E18" w:rsidP="0010719A">
      <w:pPr>
        <w:numPr>
          <w:ilvl w:val="0"/>
          <w:numId w:val="2"/>
        </w:numPr>
        <w:pBdr>
          <w:top w:val="nil"/>
          <w:left w:val="nil"/>
          <w:bottom w:val="nil"/>
          <w:right w:val="nil"/>
          <w:between w:val="nil"/>
        </w:pBdr>
        <w:tabs>
          <w:tab w:val="left" w:pos="426"/>
        </w:tabs>
        <w:spacing w:line="360" w:lineRule="auto"/>
        <w:ind w:right="49"/>
        <w:rPr>
          <w:rFonts w:ascii="Palatino Linotype" w:hAnsi="Palatino Linotype"/>
          <w:color w:val="000000"/>
          <w:sz w:val="22"/>
          <w:szCs w:val="22"/>
        </w:rPr>
      </w:pPr>
      <w:r w:rsidRPr="0098115E">
        <w:rPr>
          <w:rFonts w:ascii="Palatino Linotype" w:hAnsi="Palatino Linotype"/>
          <w:color w:val="000000"/>
          <w:sz w:val="22"/>
          <w:szCs w:val="22"/>
        </w:rPr>
        <w:t xml:space="preserve">Ahora bien, cabe señalar que el Recurrente también solicitó información referente a los cargos a nivel estatal, </w:t>
      </w:r>
      <w:r w:rsidR="00637B1A" w:rsidRPr="0098115E">
        <w:rPr>
          <w:rFonts w:ascii="Palatino Linotype" w:hAnsi="Palatino Linotype"/>
          <w:bCs/>
          <w:color w:val="000000"/>
          <w:sz w:val="22"/>
          <w:szCs w:val="22"/>
        </w:rPr>
        <w:t>Dicho lo anterior, es necesario traer a colación el artículo 167 de la Ley de Transparencia y Acceso a la Información Pública del Estado de México y Municipios, el cual establece lo siguiente:</w:t>
      </w:r>
    </w:p>
    <w:p w:rsidR="00637B1A" w:rsidRPr="0098115E" w:rsidRDefault="00637B1A" w:rsidP="0010719A">
      <w:p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p>
    <w:p w:rsidR="00637B1A" w:rsidRPr="0098115E" w:rsidRDefault="00637B1A" w:rsidP="0010719A">
      <w:pPr>
        <w:pBdr>
          <w:top w:val="nil"/>
          <w:left w:val="nil"/>
          <w:bottom w:val="nil"/>
          <w:right w:val="nil"/>
          <w:between w:val="nil"/>
        </w:pBdr>
        <w:tabs>
          <w:tab w:val="left" w:pos="426"/>
          <w:tab w:val="left" w:pos="8364"/>
        </w:tabs>
        <w:spacing w:line="360" w:lineRule="auto"/>
        <w:ind w:left="851" w:right="616"/>
        <w:jc w:val="both"/>
        <w:rPr>
          <w:rFonts w:ascii="Palatino Linotype" w:hAnsi="Palatino Linotype"/>
          <w:i/>
          <w:color w:val="000000"/>
          <w:sz w:val="22"/>
          <w:szCs w:val="22"/>
        </w:rPr>
      </w:pPr>
      <w:r w:rsidRPr="0098115E">
        <w:rPr>
          <w:rFonts w:ascii="Palatino Linotype" w:hAnsi="Palatino Linotype"/>
          <w:b/>
          <w:bCs/>
          <w:i/>
          <w:color w:val="000000"/>
          <w:sz w:val="22"/>
          <w:szCs w:val="22"/>
        </w:rPr>
        <w:t xml:space="preserve">Artículo 167. </w:t>
      </w:r>
      <w:r w:rsidRPr="0098115E">
        <w:rPr>
          <w:rFonts w:ascii="Palatino Linotype" w:hAnsi="Palatino Linotype"/>
          <w:i/>
          <w:color w:val="000000"/>
          <w:sz w:val="22"/>
          <w:szCs w:val="22"/>
        </w:rPr>
        <w:t xml:space="preserve">Cuando las </w:t>
      </w:r>
      <w:r w:rsidRPr="0098115E">
        <w:rPr>
          <w:rFonts w:ascii="Palatino Linotype" w:hAnsi="Palatino Linotype"/>
          <w:b/>
          <w:i/>
          <w:color w:val="000000"/>
          <w:sz w:val="22"/>
          <w:szCs w:val="22"/>
        </w:rPr>
        <w:t>unidades de transparencia determinen la notoria incompetencia por parte de los sujetos obligado</w:t>
      </w:r>
      <w:r w:rsidRPr="0098115E">
        <w:rPr>
          <w:rFonts w:ascii="Palatino Linotype" w:hAnsi="Palatino Linotype"/>
          <w:i/>
          <w:color w:val="000000"/>
          <w:sz w:val="22"/>
          <w:szCs w:val="22"/>
        </w:rPr>
        <w:t xml:space="preserve">s, dentro del ámbito de aplicación, para atender la solicitud de acceso a la información, deberán comunicarlo al solicitante, dentro de los </w:t>
      </w:r>
      <w:r w:rsidRPr="0098115E">
        <w:rPr>
          <w:rFonts w:ascii="Palatino Linotype" w:hAnsi="Palatino Linotype"/>
          <w:b/>
          <w:i/>
          <w:color w:val="000000"/>
          <w:sz w:val="22"/>
          <w:szCs w:val="22"/>
        </w:rPr>
        <w:t>tres días hábiles posteriores a la recepción de la solicitud</w:t>
      </w:r>
      <w:r w:rsidRPr="0098115E">
        <w:rPr>
          <w:rFonts w:ascii="Palatino Linotype" w:hAnsi="Palatino Linotype"/>
          <w:i/>
          <w:color w:val="000000"/>
          <w:sz w:val="22"/>
          <w:szCs w:val="22"/>
        </w:rPr>
        <w:t xml:space="preserve"> y, en su caso orientar al solicitante, el o los sujetos obligados competentes. </w:t>
      </w:r>
    </w:p>
    <w:p w:rsidR="00637B1A" w:rsidRPr="0098115E" w:rsidRDefault="00637B1A" w:rsidP="0010719A">
      <w:p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p>
    <w:p w:rsidR="00637B1A" w:rsidRPr="0098115E" w:rsidRDefault="00637B1A" w:rsidP="0010719A">
      <w:pPr>
        <w:numPr>
          <w:ilvl w:val="0"/>
          <w:numId w:val="2"/>
        </w:num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r w:rsidRPr="0098115E">
        <w:rPr>
          <w:rFonts w:ascii="Palatino Linotype" w:hAnsi="Palatino Linotype"/>
          <w:color w:val="000000"/>
          <w:sz w:val="22"/>
          <w:szCs w:val="22"/>
        </w:rPr>
        <w:t xml:space="preserve">Tal y como se aprecia, los Sujetos Obligados al detectar qué una solicitud de acceso a la información </w:t>
      </w:r>
      <w:r w:rsidRPr="0098115E">
        <w:rPr>
          <w:rFonts w:ascii="Palatino Linotype" w:hAnsi="Palatino Linotype"/>
          <w:b/>
          <w:color w:val="000000"/>
          <w:sz w:val="22"/>
          <w:szCs w:val="22"/>
        </w:rPr>
        <w:t>NO</w:t>
      </w:r>
      <w:r w:rsidRPr="0098115E">
        <w:rPr>
          <w:rFonts w:ascii="Palatino Linotype" w:hAnsi="Palatino Linotype"/>
          <w:color w:val="000000"/>
          <w:sz w:val="22"/>
          <w:szCs w:val="22"/>
        </w:rPr>
        <w:t xml:space="preserve"> es de su competencia, dentro de los 3 días posteriores a su recepción, deberán de comunicar tal situación al recurrente y, en su caso orientarlo al Sujeto Obligado correspondiente. En el presente caso, si bien el Sujeto Obligado no declaro su incompetencia, lo cierto es que, no se advierte fuente obligacional para que el Sujeto Obligado pueda generar, poseer o administrar la información solicitada, por lo que no es procedente ordenar su entrega. </w:t>
      </w:r>
    </w:p>
    <w:p w:rsidR="001C14E2" w:rsidRPr="0098115E" w:rsidRDefault="001C14E2" w:rsidP="0010719A">
      <w:p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p>
    <w:p w:rsidR="006F4FBF" w:rsidRPr="0098115E" w:rsidRDefault="001C14E2" w:rsidP="0010719A">
      <w:pPr>
        <w:numPr>
          <w:ilvl w:val="0"/>
          <w:numId w:val="2"/>
        </w:num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r w:rsidRPr="0098115E">
        <w:rPr>
          <w:rFonts w:ascii="Palatino Linotype" w:hAnsi="Palatino Linotype"/>
          <w:color w:val="000000"/>
          <w:sz w:val="22"/>
          <w:szCs w:val="22"/>
        </w:rPr>
        <w:t xml:space="preserve">Por otro lado, </w:t>
      </w:r>
      <w:r w:rsidR="006F4FBF" w:rsidRPr="0098115E">
        <w:rPr>
          <w:rFonts w:ascii="Palatino Linotype" w:hAnsi="Palatino Linotype"/>
          <w:color w:val="000000"/>
          <w:sz w:val="22"/>
          <w:szCs w:val="22"/>
        </w:rPr>
        <w:t xml:space="preserve">atendiendo a la temporalidad de la información localizada en el IPOMEX, </w:t>
      </w:r>
      <w:r w:rsidR="006F4FBF" w:rsidRPr="0098115E">
        <w:rPr>
          <w:rFonts w:ascii="Palatino Linotype" w:eastAsia="Palatino Linotype" w:hAnsi="Palatino Linotype" w:cs="Palatino Linotype"/>
          <w:sz w:val="22"/>
          <w:szCs w:val="22"/>
        </w:rPr>
        <w:t xml:space="preserve">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 </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en términos del artículo 30 de la Ley General de Archivos, una segunda etapa, que es cuando dejan de ser útiles para las actividades cotidianas de las áreas, es cuando se transfieren de manera </w:t>
      </w:r>
      <w:r w:rsidRPr="0098115E">
        <w:rPr>
          <w:rFonts w:ascii="Palatino Linotype" w:eastAsia="Palatino Linotype" w:hAnsi="Palatino Linotype" w:cs="Palatino Linotype"/>
          <w:sz w:val="22"/>
          <w:szCs w:val="22"/>
        </w:rPr>
        <w:lastRenderedPageBreak/>
        <w:t>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Se hace la precisión de que los inventarios de baja documental, sirven para identificar los documentos que ya no cuentan con valor al interior del Sujeto Obligado, ya sea de consulta, para el desarrollo de actividades ni histórico. </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Ahora bien, para generar certeza del contenido de cada acervo documental, se debe contar con un inventario, el que es obligatorio en términos del artículo 13 de la Ley General multicitada que a la letra establece:</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w:t>
      </w:r>
      <w:r w:rsidRPr="0098115E">
        <w:rPr>
          <w:rFonts w:ascii="Palatino Linotype" w:hAnsi="Palatino Linotype" w:cs="Arial"/>
          <w:b/>
          <w:i/>
          <w:color w:val="000000" w:themeColor="text1"/>
          <w:sz w:val="22"/>
          <w:szCs w:val="22"/>
        </w:rPr>
        <w:t>Artículo 13.</w:t>
      </w:r>
      <w:r w:rsidRPr="0098115E">
        <w:rPr>
          <w:rFonts w:ascii="Palatino Linotype" w:hAnsi="Palatino Linotype" w:cs="Arial"/>
          <w:i/>
          <w:color w:val="000000" w:themeColor="text1"/>
          <w:sz w:val="22"/>
          <w:szCs w:val="22"/>
        </w:rPr>
        <w:t xml:space="preserve"> Los sujetos obligados deberán contar con los instrumentos de control y de consulta archivísticos conforme a sus atribuciones y funciones, manteniéndolos actualizados y disponibles; y contarán al menos con los siguientes: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w:t>
      </w:r>
      <w:r w:rsidRPr="0098115E">
        <w:rPr>
          <w:rFonts w:ascii="Palatino Linotype" w:hAnsi="Palatino Linotype" w:cs="Arial"/>
          <w:i/>
          <w:color w:val="000000" w:themeColor="text1"/>
          <w:sz w:val="22"/>
          <w:szCs w:val="22"/>
        </w:rPr>
        <w:t xml:space="preserve"> Cuadro general de clasificación archivística;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II.</w:t>
      </w:r>
      <w:r w:rsidRPr="0098115E">
        <w:rPr>
          <w:rFonts w:ascii="Palatino Linotype" w:hAnsi="Palatino Linotype" w:cs="Arial"/>
          <w:i/>
          <w:color w:val="000000" w:themeColor="text1"/>
          <w:sz w:val="22"/>
          <w:szCs w:val="22"/>
        </w:rPr>
        <w:t xml:space="preserve"> Catálogo de disposición documental, y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III.</w:t>
      </w:r>
      <w:r w:rsidRPr="0098115E">
        <w:rPr>
          <w:rFonts w:ascii="Palatino Linotype" w:hAnsi="Palatino Linotype" w:cs="Arial"/>
          <w:i/>
          <w:color w:val="000000" w:themeColor="text1"/>
          <w:sz w:val="22"/>
          <w:szCs w:val="22"/>
        </w:rPr>
        <w:t xml:space="preserve"> </w:t>
      </w:r>
      <w:r w:rsidRPr="0098115E">
        <w:rPr>
          <w:rFonts w:ascii="Palatino Linotype" w:hAnsi="Palatino Linotype" w:cs="Arial"/>
          <w:b/>
          <w:i/>
          <w:color w:val="000000" w:themeColor="text1"/>
          <w:sz w:val="22"/>
          <w:szCs w:val="22"/>
        </w:rPr>
        <w:t>Inventarios documentales</w:t>
      </w:r>
      <w:r w:rsidRPr="0098115E">
        <w:rPr>
          <w:rFonts w:ascii="Palatino Linotype" w:hAnsi="Palatino Linotype" w:cs="Arial"/>
          <w:i/>
          <w:color w:val="000000" w:themeColor="text1"/>
          <w:sz w:val="22"/>
          <w:szCs w:val="22"/>
        </w:rPr>
        <w:t xml:space="preserve">.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La estructura del cuadro general de clasificación archivística atenderá los niveles de fondo, sección y serie, sin que esto excluya la posibilidad de que existan niveles intermedios, los cuales, serán identificados mediante una clave alfanumérica.</w:t>
      </w:r>
    </w:p>
    <w:p w:rsidR="006F4FBF" w:rsidRPr="0098115E" w:rsidRDefault="006F4FBF" w:rsidP="0010719A">
      <w:pPr>
        <w:spacing w:line="360" w:lineRule="auto"/>
        <w:ind w:right="899"/>
        <w:jc w:val="both"/>
        <w:rPr>
          <w:rFonts w:ascii="Palatino Linotype" w:hAnsi="Palatino Linotype" w:cs="Arial"/>
          <w:i/>
          <w:color w:val="000000" w:themeColor="text1"/>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rsidR="006F4FBF" w:rsidRPr="0098115E" w:rsidRDefault="006F4FBF" w:rsidP="0010719A">
      <w:pPr>
        <w:pStyle w:val="Prrafodelista"/>
        <w:spacing w:line="360" w:lineRule="auto"/>
        <w:ind w:left="0"/>
        <w:jc w:val="both"/>
        <w:rPr>
          <w:rFonts w:ascii="Palatino Linotype" w:eastAsia="Palatino Linotype" w:hAnsi="Palatino Linotype" w:cs="Palatino Linotype"/>
          <w:sz w:val="22"/>
          <w:szCs w:val="22"/>
        </w:rPr>
      </w:pPr>
    </w:p>
    <w:p w:rsidR="006F4FBF" w:rsidRPr="0098115E" w:rsidRDefault="0010719A"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S</w:t>
      </w:r>
      <w:r w:rsidR="006F4FBF" w:rsidRPr="0098115E">
        <w:rPr>
          <w:rFonts w:ascii="Palatino Linotype" w:eastAsia="Palatino Linotype" w:hAnsi="Palatino Linotype" w:cs="Palatino Linotype"/>
          <w:sz w:val="22"/>
          <w:szCs w:val="22"/>
        </w:rPr>
        <w:t>e debe resaltar, que por mandato de ley debería contar con archivo de trámite y de concentración, toda vez que dentro del ciclo vital de los documentos, 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w:t>
      </w:r>
      <w:r w:rsidRPr="0098115E">
        <w:rPr>
          <w:rFonts w:ascii="Palatino Linotype" w:hAnsi="Palatino Linotype" w:cs="Arial"/>
          <w:b/>
          <w:i/>
          <w:color w:val="000000" w:themeColor="text1"/>
          <w:sz w:val="22"/>
          <w:szCs w:val="22"/>
        </w:rPr>
        <w:t>Artículo 30. Cada área o unidad administrativa debe contar con un archivo de trámite que tendrá las siguientes funciones:</w:t>
      </w:r>
      <w:r w:rsidRPr="0098115E">
        <w:rPr>
          <w:rFonts w:ascii="Palatino Linotype" w:hAnsi="Palatino Linotype" w:cs="Arial"/>
          <w:i/>
          <w:color w:val="000000" w:themeColor="text1"/>
          <w:sz w:val="22"/>
          <w:szCs w:val="22"/>
        </w:rPr>
        <w:t xml:space="preserve"> </w:t>
      </w:r>
    </w:p>
    <w:p w:rsidR="006F4FBF" w:rsidRPr="0098115E" w:rsidRDefault="006F4FBF" w:rsidP="0010719A">
      <w:pPr>
        <w:pStyle w:val="Prrafodelista"/>
        <w:spacing w:line="360" w:lineRule="auto"/>
        <w:ind w:left="567" w:right="567"/>
        <w:jc w:val="both"/>
        <w:rPr>
          <w:rFonts w:ascii="Palatino Linotype" w:hAnsi="Palatino Linotype" w:cs="Arial"/>
          <w:b/>
          <w:i/>
          <w:color w:val="000000" w:themeColor="text1"/>
          <w:sz w:val="22"/>
          <w:szCs w:val="22"/>
        </w:rPr>
      </w:pPr>
      <w:r w:rsidRPr="0098115E">
        <w:rPr>
          <w:rFonts w:ascii="Palatino Linotype" w:hAnsi="Palatino Linotype" w:cs="Arial"/>
          <w:b/>
          <w:i/>
          <w:color w:val="000000" w:themeColor="text1"/>
          <w:sz w:val="22"/>
          <w:szCs w:val="22"/>
        </w:rPr>
        <w:t xml:space="preserve">I. Integrar y organizar los expedientes que cada área o unidad produzca, use y reciba; </w:t>
      </w:r>
    </w:p>
    <w:p w:rsidR="006F4FBF" w:rsidRPr="0098115E" w:rsidRDefault="006F4FBF" w:rsidP="0010719A">
      <w:pPr>
        <w:pStyle w:val="Prrafodelista"/>
        <w:spacing w:line="360" w:lineRule="auto"/>
        <w:ind w:left="567" w:right="567"/>
        <w:jc w:val="both"/>
        <w:rPr>
          <w:rFonts w:ascii="Palatino Linotype" w:hAnsi="Palatino Linotype" w:cs="Arial"/>
          <w:b/>
          <w:i/>
          <w:color w:val="000000" w:themeColor="text1"/>
          <w:sz w:val="22"/>
          <w:szCs w:val="22"/>
        </w:rPr>
      </w:pPr>
      <w:r w:rsidRPr="0098115E">
        <w:rPr>
          <w:rFonts w:ascii="Palatino Linotype" w:hAnsi="Palatino Linotype" w:cs="Arial"/>
          <w:b/>
          <w:i/>
          <w:color w:val="000000" w:themeColor="text1"/>
          <w:sz w:val="22"/>
          <w:szCs w:val="22"/>
        </w:rPr>
        <w:lastRenderedPageBreak/>
        <w:t>II.</w:t>
      </w:r>
      <w:r w:rsidRPr="0098115E">
        <w:rPr>
          <w:rFonts w:ascii="Palatino Linotype" w:hAnsi="Palatino Linotype" w:cs="Arial"/>
          <w:i/>
          <w:color w:val="000000" w:themeColor="text1"/>
          <w:sz w:val="22"/>
          <w:szCs w:val="22"/>
        </w:rPr>
        <w:t xml:space="preserve"> </w:t>
      </w:r>
      <w:r w:rsidRPr="0098115E">
        <w:rPr>
          <w:rFonts w:ascii="Palatino Linotype" w:hAnsi="Palatino Linotype" w:cs="Arial"/>
          <w:b/>
          <w:i/>
          <w:color w:val="000000" w:themeColor="text1"/>
          <w:sz w:val="22"/>
          <w:szCs w:val="22"/>
        </w:rPr>
        <w:t xml:space="preserve">Asegurar la localización y consulta de los expedientes mediante la elaboración de los inventarios documentales;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III.</w:t>
      </w:r>
      <w:r w:rsidRPr="0098115E">
        <w:rPr>
          <w:rFonts w:ascii="Palatino Linotype" w:hAnsi="Palatino Linotype" w:cs="Arial"/>
          <w:i/>
          <w:color w:val="000000" w:themeColor="text1"/>
          <w:sz w:val="22"/>
          <w:szCs w:val="22"/>
        </w:rPr>
        <w:t xml:space="preserve"> Resguardar los archivos y la información que haya sido clasificada de acuerdo con la legislación en materia de transparencia y acceso a la información pública, en tanto conserve tal carácter;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IV.</w:t>
      </w:r>
      <w:r w:rsidRPr="0098115E">
        <w:rPr>
          <w:rFonts w:ascii="Palatino Linotype" w:hAnsi="Palatino Linotype" w:cs="Arial"/>
          <w:i/>
          <w:color w:val="000000" w:themeColor="text1"/>
          <w:sz w:val="22"/>
          <w:szCs w:val="22"/>
        </w:rPr>
        <w:t xml:space="preserve"> Colaborar con el área coordinadora de archivos en la elaboración de los instrumentos de control archivístico previstos en esta Ley, las leyes locales y sus disposiciones reglamentarias;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V.</w:t>
      </w:r>
      <w:r w:rsidRPr="0098115E">
        <w:rPr>
          <w:rFonts w:ascii="Palatino Linotype" w:hAnsi="Palatino Linotype" w:cs="Arial"/>
          <w:i/>
          <w:color w:val="000000" w:themeColor="text1"/>
          <w:sz w:val="22"/>
          <w:szCs w:val="22"/>
        </w:rPr>
        <w:t xml:space="preserve"> Trabajar de acuerdo con los criterios específicos y recomendaciones dictados por el área coordinadora de archivos;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VI. Realizar las transferencias primarias al archivo de concentración, y</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VII.</w:t>
      </w:r>
      <w:r w:rsidRPr="0098115E">
        <w:rPr>
          <w:rFonts w:ascii="Palatino Linotype" w:hAnsi="Palatino Linotype" w:cs="Arial"/>
          <w:i/>
          <w:color w:val="000000" w:themeColor="text1"/>
          <w:sz w:val="22"/>
          <w:szCs w:val="22"/>
        </w:rPr>
        <w:t xml:space="preserve"> Las que establezcan las disposiciones jurídicas aplicables.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 xml:space="preserve">…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Artículo 31.</w:t>
      </w:r>
      <w:r w:rsidRPr="0098115E">
        <w:rPr>
          <w:rFonts w:ascii="Palatino Linotype" w:hAnsi="Palatino Linotype" w:cs="Arial"/>
          <w:i/>
          <w:color w:val="000000" w:themeColor="text1"/>
          <w:sz w:val="22"/>
          <w:szCs w:val="22"/>
        </w:rPr>
        <w:t xml:space="preserve"> </w:t>
      </w:r>
      <w:r w:rsidRPr="0098115E">
        <w:rPr>
          <w:rFonts w:ascii="Palatino Linotype" w:hAnsi="Palatino Linotype" w:cs="Arial"/>
          <w:b/>
          <w:i/>
          <w:color w:val="000000" w:themeColor="text1"/>
          <w:sz w:val="22"/>
          <w:szCs w:val="22"/>
        </w:rPr>
        <w:t>Cada sujeto obligado debe contar con un archivo de concentración,</w:t>
      </w:r>
      <w:r w:rsidRPr="0098115E">
        <w:rPr>
          <w:rFonts w:ascii="Palatino Linotype" w:hAnsi="Palatino Linotype" w:cs="Arial"/>
          <w:i/>
          <w:color w:val="000000" w:themeColor="text1"/>
          <w:sz w:val="22"/>
          <w:szCs w:val="22"/>
        </w:rPr>
        <w:t xml:space="preserve"> que tendrá las siguientes funciones: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w:t>
      </w:r>
      <w:r w:rsidRPr="0098115E">
        <w:rPr>
          <w:rFonts w:ascii="Palatino Linotype" w:hAnsi="Palatino Linotype" w:cs="Arial"/>
          <w:i/>
          <w:color w:val="000000" w:themeColor="text1"/>
          <w:sz w:val="22"/>
          <w:szCs w:val="22"/>
        </w:rPr>
        <w:t xml:space="preserve"> Asegurar y describir los fondos bajo su resguardo, así como la consulta de los expedientes; </w:t>
      </w:r>
    </w:p>
    <w:p w:rsidR="006F4FBF" w:rsidRPr="0098115E" w:rsidRDefault="006F4FBF" w:rsidP="0010719A">
      <w:pPr>
        <w:pStyle w:val="Prrafodelista"/>
        <w:spacing w:line="360" w:lineRule="auto"/>
        <w:ind w:left="567" w:right="567"/>
        <w:jc w:val="both"/>
        <w:rPr>
          <w:rFonts w:ascii="Palatino Linotype" w:hAnsi="Palatino Linotype" w:cs="Arial"/>
          <w:b/>
          <w:i/>
          <w:color w:val="000000" w:themeColor="text1"/>
          <w:sz w:val="22"/>
          <w:szCs w:val="22"/>
        </w:rPr>
      </w:pPr>
      <w:r w:rsidRPr="0098115E">
        <w:rPr>
          <w:rFonts w:ascii="Palatino Linotype" w:hAnsi="Palatino Linotype" w:cs="Arial"/>
          <w:b/>
          <w:i/>
          <w:color w:val="000000" w:themeColor="text1"/>
          <w:sz w:val="22"/>
          <w:szCs w:val="22"/>
        </w:rPr>
        <w:t>II.</w:t>
      </w:r>
      <w:r w:rsidRPr="0098115E">
        <w:rPr>
          <w:rFonts w:ascii="Palatino Linotype" w:hAnsi="Palatino Linotype" w:cs="Arial"/>
          <w:i/>
          <w:color w:val="000000" w:themeColor="text1"/>
          <w:sz w:val="22"/>
          <w:szCs w:val="22"/>
        </w:rPr>
        <w:t xml:space="preserve"> </w:t>
      </w:r>
      <w:r w:rsidRPr="0098115E">
        <w:rPr>
          <w:rFonts w:ascii="Palatino Linotype" w:hAnsi="Palatino Linotype" w:cs="Arial"/>
          <w:b/>
          <w:i/>
          <w:color w:val="000000" w:themeColor="text1"/>
          <w:sz w:val="22"/>
          <w:szCs w:val="22"/>
        </w:rPr>
        <w:t xml:space="preserve">Recibir las transferencias primarias y brindar servicios de préstamo y consulta a las unidades o áreas administrativas productoras de la documentación que resguarda;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III.</w:t>
      </w:r>
      <w:r w:rsidRPr="0098115E">
        <w:rPr>
          <w:rFonts w:ascii="Palatino Linotype" w:hAnsi="Palatino Linotype" w:cs="Arial"/>
          <w:i/>
          <w:color w:val="000000" w:themeColor="text1"/>
          <w:sz w:val="22"/>
          <w:szCs w:val="22"/>
        </w:rPr>
        <w:t xml:space="preserve"> Conservar los expedientes hasta cumplir su vigencia documental de acuerdo con lo establecido en el catálogo de disposición documental;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 xml:space="preserve">IV. </w:t>
      </w:r>
      <w:r w:rsidRPr="0098115E">
        <w:rPr>
          <w:rFonts w:ascii="Palatino Linotype" w:hAnsi="Palatino Linotype" w:cs="Arial"/>
          <w:i/>
          <w:color w:val="000000" w:themeColor="text1"/>
          <w:sz w:val="22"/>
          <w:szCs w:val="22"/>
        </w:rPr>
        <w:t xml:space="preserve">Colaborar con el área coordinadora de archivos en la elaboración de los instrumentos de control archivístico previstos en esta Ley, las leyes locales y en sus disposiciones reglamentarias;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V.</w:t>
      </w:r>
      <w:r w:rsidRPr="0098115E">
        <w:rPr>
          <w:rFonts w:ascii="Palatino Linotype" w:hAnsi="Palatino Linotype" w:cs="Arial"/>
          <w:i/>
          <w:color w:val="000000" w:themeColor="text1"/>
          <w:sz w:val="22"/>
          <w:szCs w:val="22"/>
        </w:rPr>
        <w:t xml:space="preserve"> Participar con el área coordinadora de archivos en la elaboración de los criterios de valoración documental y disposición documental;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lastRenderedPageBreak/>
        <w:t>VI.</w:t>
      </w:r>
      <w:r w:rsidRPr="0098115E">
        <w:rPr>
          <w:rFonts w:ascii="Palatino Linotype" w:hAnsi="Palatino Linotype" w:cs="Arial"/>
          <w:i/>
          <w:color w:val="000000" w:themeColor="text1"/>
          <w:sz w:val="22"/>
          <w:szCs w:val="22"/>
        </w:rPr>
        <w:t xml:space="preserve"> Promover la baja documental de los expedientes que integran las series documentales que hayan cumplido su vigencia documental y, en su caso, plazos de conservación y que no posean valores históricos, conforme a las disposiciones jurídicas aplicables;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VII. Identificar los expedientes que integran las series documentales que hayan cumplido su vigencia documental y que cuenten con valores históricos, y que serán transferidos a los archivos históricos de los sujetos obligados, según corresponda;</w:t>
      </w:r>
      <w:r w:rsidRPr="0098115E">
        <w:rPr>
          <w:rFonts w:ascii="Palatino Linotype" w:hAnsi="Palatino Linotype" w:cs="Arial"/>
          <w:i/>
          <w:color w:val="000000" w:themeColor="text1"/>
          <w:sz w:val="22"/>
          <w:szCs w:val="22"/>
        </w:rPr>
        <w:t xml:space="preserve">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VIII.</w:t>
      </w:r>
      <w:r w:rsidRPr="0098115E">
        <w:rPr>
          <w:rFonts w:ascii="Palatino Linotype" w:hAnsi="Palatino Linotype" w:cs="Arial"/>
          <w:i/>
          <w:color w:val="000000" w:themeColor="text1"/>
          <w:sz w:val="22"/>
          <w:szCs w:val="22"/>
        </w:rPr>
        <w:t xml:space="preserve"> Integrar a sus respectivos expedientes, el registro de los procesos de disposición documental, incluyendo dictámenes, actas e inventarios;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 xml:space="preserve">IX. </w:t>
      </w:r>
      <w:r w:rsidRPr="0098115E">
        <w:rPr>
          <w:rFonts w:ascii="Palatino Linotype" w:hAnsi="Palatino Linotype" w:cs="Arial"/>
          <w:i/>
          <w:color w:val="000000" w:themeColor="text1"/>
          <w:sz w:val="22"/>
          <w:szCs w:val="22"/>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 xml:space="preserve">X. Realizar la transferencia secundaria de las series documentales que hayan cumplido su vigencia documental y posean valores </w:t>
      </w:r>
      <w:proofErr w:type="spellStart"/>
      <w:r w:rsidRPr="0098115E">
        <w:rPr>
          <w:rFonts w:ascii="Palatino Linotype" w:hAnsi="Palatino Linotype" w:cs="Arial"/>
          <w:b/>
          <w:i/>
          <w:color w:val="000000" w:themeColor="text1"/>
          <w:sz w:val="22"/>
          <w:szCs w:val="22"/>
        </w:rPr>
        <w:t>evidenciales</w:t>
      </w:r>
      <w:proofErr w:type="spellEnd"/>
      <w:r w:rsidRPr="0098115E">
        <w:rPr>
          <w:rFonts w:ascii="Palatino Linotype" w:hAnsi="Palatino Linotype" w:cs="Arial"/>
          <w:b/>
          <w:i/>
          <w:color w:val="000000" w:themeColor="text1"/>
          <w:sz w:val="22"/>
          <w:szCs w:val="22"/>
        </w:rPr>
        <w:t>, testimoniales e informativos al archivo histórico del sujeto obligado,</w:t>
      </w:r>
      <w:r w:rsidRPr="0098115E">
        <w:rPr>
          <w:rFonts w:ascii="Palatino Linotype" w:hAnsi="Palatino Linotype" w:cs="Arial"/>
          <w:i/>
          <w:color w:val="000000" w:themeColor="text1"/>
          <w:sz w:val="22"/>
          <w:szCs w:val="22"/>
        </w:rPr>
        <w:t xml:space="preserve"> o al Archivo General, o equivalente en las entidades federativas, según corresponda, y</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XI</w:t>
      </w:r>
      <w:r w:rsidRPr="0098115E">
        <w:rPr>
          <w:rFonts w:ascii="Palatino Linotype" w:hAnsi="Palatino Linotype" w:cs="Arial"/>
          <w:i/>
          <w:color w:val="000000" w:themeColor="text1"/>
          <w:sz w:val="22"/>
          <w:szCs w:val="22"/>
        </w:rPr>
        <w:t>. Las que establezca el Consejo Nacional y las disposiciones jurídicas aplicables.</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(Énfasis añadido)</w:t>
      </w:r>
    </w:p>
    <w:p w:rsidR="006F4FBF" w:rsidRPr="0098115E" w:rsidRDefault="006F4FBF" w:rsidP="0010719A">
      <w:pPr>
        <w:spacing w:line="360" w:lineRule="auto"/>
        <w:ind w:right="899"/>
        <w:jc w:val="both"/>
        <w:rPr>
          <w:rFonts w:ascii="Palatino Linotype" w:hAnsi="Palatino Linotype" w:cs="Arial"/>
          <w:i/>
          <w:color w:val="000000" w:themeColor="text1"/>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De los preceptos anteriormente citados, se desprende que los Sujetos Obligados deberán contar con archivo de trámite, de concentración y de archivo histórico, por lo que en el asunto que nos ocupa, el SUJETO OBLIGADO 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 por lo que es dable </w:t>
      </w:r>
      <w:r w:rsidRPr="0098115E">
        <w:rPr>
          <w:rFonts w:ascii="Palatino Linotype" w:eastAsia="Palatino Linotype" w:hAnsi="Palatino Linotype" w:cs="Palatino Linotype"/>
          <w:sz w:val="22"/>
          <w:szCs w:val="22"/>
        </w:rPr>
        <w:lastRenderedPageBreak/>
        <w:t xml:space="preserve">ordenar la entrega los formatos del inventario de archivo de trámite, del inventario de transferencia primaria y del formato institucional del inventario de baja documental. </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Por lo que hace a los inventarios del archivo de trámite, el Lineamiento Vigésimo Segundo, fracción III de los Lineamientos, dispone que los responsables de los archivos de trámite deben elaborar inventarios documentales que permitan llevar el control de los expedientes en trámite que se encuentren bajo custodia del productor de la información. </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En el mismo tenor, el artículo 30, fracción II de la Ley General de Archivos, y la Ley Local contemplan la obligación de cada área o unidad administrativa de contar con un archivo de trámite, debiendo asegurar la localización y consulta de los expedientes mediante la elaboración de los inventarios documentales. </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Ahora bien el artículo 4, fracción XLVI, de los Lineamientos para la Administración de Documentos en el Estado de México, precisa que el inventario topográfico es el instrumento de control que relaciona el contenido de cada una de las cajas archivadoras con su ubicación dentro de la sala de depósito en que se encuentra, es decir, el archivo de concentración.</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Por su parte, el artículo 59, fracción XI, de los Lineamientos para la Administración de Documentos del Estado de México, dispone lo siguiente: </w:t>
      </w:r>
    </w:p>
    <w:p w:rsidR="006F4FBF" w:rsidRPr="0098115E" w:rsidRDefault="006F4FBF" w:rsidP="0010719A">
      <w:pPr>
        <w:spacing w:line="360" w:lineRule="auto"/>
        <w:jc w:val="both"/>
        <w:rPr>
          <w:rFonts w:ascii="Palatino Linotype" w:eastAsia="Palatino Linotype" w:hAnsi="Palatino Linotype" w:cs="Palatino Linotype"/>
          <w:sz w:val="22"/>
          <w:szCs w:val="22"/>
        </w:rPr>
      </w:pP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“Artículo 59:</w:t>
      </w:r>
      <w:r w:rsidRPr="0098115E">
        <w:rPr>
          <w:rFonts w:ascii="Palatino Linotype" w:hAnsi="Palatino Linotype" w:cs="Arial"/>
          <w:i/>
          <w:color w:val="000000" w:themeColor="text1"/>
          <w:sz w:val="22"/>
          <w:szCs w:val="22"/>
        </w:rPr>
        <w:t xml:space="preserve"> Los Archivos de los Sujetos Obligados contarán, al menos, con los siguientes instrumentos de control y consulta:</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b/>
          <w:i/>
          <w:color w:val="000000" w:themeColor="text1"/>
          <w:sz w:val="22"/>
          <w:szCs w:val="22"/>
        </w:rPr>
        <w:t>XI.</w:t>
      </w:r>
      <w:r w:rsidRPr="0098115E">
        <w:rPr>
          <w:rFonts w:ascii="Palatino Linotype" w:hAnsi="Palatino Linotype" w:cs="Arial"/>
          <w:i/>
          <w:color w:val="000000" w:themeColor="text1"/>
          <w:sz w:val="22"/>
          <w:szCs w:val="22"/>
        </w:rPr>
        <w:t xml:space="preserve"> Inventario Topográfico, de los fondos documentales de los Archivos de Concentración e Históricos; y</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lastRenderedPageBreak/>
        <w:t>…</w:t>
      </w:r>
    </w:p>
    <w:p w:rsidR="006F4FBF" w:rsidRPr="0098115E" w:rsidRDefault="006F4FBF" w:rsidP="0010719A">
      <w:pPr>
        <w:pStyle w:val="Prrafodelista"/>
        <w:spacing w:line="360" w:lineRule="auto"/>
        <w:ind w:left="567" w:right="567"/>
        <w:jc w:val="both"/>
        <w:rPr>
          <w:rFonts w:ascii="Palatino Linotype" w:hAnsi="Palatino Linotype" w:cs="Arial"/>
          <w:i/>
          <w:color w:val="000000" w:themeColor="text1"/>
          <w:sz w:val="22"/>
          <w:szCs w:val="22"/>
        </w:rPr>
      </w:pPr>
      <w:r w:rsidRPr="0098115E">
        <w:rPr>
          <w:rFonts w:ascii="Palatino Linotype" w:hAnsi="Palatino Linotype" w:cs="Arial"/>
          <w:i/>
          <w:color w:val="000000" w:themeColor="text1"/>
          <w:sz w:val="22"/>
          <w:szCs w:val="22"/>
        </w:rPr>
        <w:t xml:space="preserve">(Énfasis añadido) </w:t>
      </w:r>
    </w:p>
    <w:p w:rsidR="006F4FBF" w:rsidRPr="0098115E" w:rsidRDefault="006F4FBF" w:rsidP="0010719A">
      <w:pPr>
        <w:pStyle w:val="Prrafodelista"/>
        <w:spacing w:line="360" w:lineRule="auto"/>
        <w:ind w:left="851" w:right="899"/>
        <w:jc w:val="both"/>
        <w:rPr>
          <w:rFonts w:ascii="Palatino Linotype" w:hAnsi="Palatino Linotype" w:cs="Arial"/>
          <w:i/>
          <w:color w:val="000000" w:themeColor="text1"/>
          <w:sz w:val="22"/>
          <w:szCs w:val="22"/>
        </w:rPr>
      </w:pPr>
    </w:p>
    <w:p w:rsidR="006F4FBF" w:rsidRPr="0098115E" w:rsidRDefault="006F4FBF" w:rsidP="0010719A">
      <w:pPr>
        <w:pStyle w:val="Prrafodelista"/>
        <w:numPr>
          <w:ilvl w:val="0"/>
          <w:numId w:val="2"/>
        </w:numPr>
        <w:spacing w:line="360" w:lineRule="auto"/>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En tal sentido, se percibe que </w:t>
      </w:r>
      <w:r w:rsidRPr="0098115E">
        <w:rPr>
          <w:rFonts w:ascii="Palatino Linotype" w:eastAsia="Palatino Linotype" w:hAnsi="Palatino Linotype" w:cs="Palatino Linotype"/>
          <w:b/>
          <w:sz w:val="22"/>
          <w:szCs w:val="22"/>
        </w:rPr>
        <w:t>EL SUJETO OBLIGADO</w:t>
      </w:r>
      <w:r w:rsidRPr="0098115E">
        <w:rPr>
          <w:rFonts w:ascii="Palatino Linotype" w:eastAsia="Palatino Linotype" w:hAnsi="Palatino Linotype" w:cs="Palatino Linotype"/>
          <w:sz w:val="22"/>
          <w:szCs w:val="22"/>
        </w:rPr>
        <w:t xml:space="preserve"> se encuentra constreñido a contar con inventarios documentales del archivo de trámite, concentración e histórico</w:t>
      </w:r>
      <w:r w:rsidR="0010719A" w:rsidRPr="0098115E">
        <w:rPr>
          <w:rFonts w:ascii="Palatino Linotype" w:eastAsia="Palatino Linotype" w:hAnsi="Palatino Linotype" w:cs="Palatino Linotype"/>
          <w:sz w:val="22"/>
          <w:szCs w:val="22"/>
        </w:rPr>
        <w:t>.</w:t>
      </w:r>
    </w:p>
    <w:p w:rsidR="0010719A" w:rsidRPr="0098115E" w:rsidRDefault="0010719A" w:rsidP="0010719A">
      <w:pPr>
        <w:pStyle w:val="Prrafodelista"/>
        <w:spacing w:line="360" w:lineRule="auto"/>
        <w:ind w:left="0"/>
        <w:jc w:val="both"/>
        <w:rPr>
          <w:rFonts w:ascii="Palatino Linotype" w:eastAsia="Palatino Linotype" w:hAnsi="Palatino Linotype" w:cs="Palatino Linotype"/>
          <w:sz w:val="22"/>
          <w:szCs w:val="22"/>
        </w:rPr>
      </w:pPr>
    </w:p>
    <w:p w:rsidR="0010719A" w:rsidRPr="0098115E" w:rsidRDefault="0010719A" w:rsidP="0010719A">
      <w:pPr>
        <w:numPr>
          <w:ilvl w:val="0"/>
          <w:numId w:val="2"/>
        </w:num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r w:rsidRPr="0098115E">
        <w:rPr>
          <w:rFonts w:ascii="Palatino Linotype" w:hAnsi="Palatino Linotype"/>
          <w:color w:val="000000"/>
          <w:sz w:val="22"/>
          <w:szCs w:val="22"/>
        </w:rPr>
        <w:t xml:space="preserve">Ahora bien, si el Sujeto Obligado no cuenta con el inventario del archivo histórico, </w:t>
      </w:r>
      <w:r w:rsidRPr="0098115E">
        <w:rPr>
          <w:rFonts w:ascii="Palatino Linotype" w:eastAsia="MS Mincho" w:hAnsi="Palatino Linotype"/>
          <w:color w:val="222222"/>
          <w:sz w:val="22"/>
          <w:szCs w:val="22"/>
          <w:lang w:val="es-ES_tradnl"/>
        </w:rPr>
        <w:t>deberá elaborar y poner a disposición del particular un acuerdo mediante el cual se declare la inexistencia de la información. Por lo que es necesario traer a contexto lo que dispone la</w:t>
      </w:r>
      <w:r w:rsidRPr="0098115E">
        <w:rPr>
          <w:rFonts w:ascii="Palatino Linotype" w:hAnsi="Palatino Linotype"/>
          <w:b/>
          <w:bCs/>
          <w:color w:val="222222"/>
          <w:sz w:val="22"/>
          <w:szCs w:val="22"/>
          <w:lang w:val="es-ES_tradnl"/>
        </w:rPr>
        <w:t xml:space="preserve"> Ley de Transparencia y Acceso a la Información Pública del Estado de México y Municipios</w:t>
      </w:r>
      <w:r w:rsidRPr="0098115E">
        <w:rPr>
          <w:rFonts w:ascii="Palatino Linotype" w:hAnsi="Palatino Linotype"/>
          <w:color w:val="222222"/>
          <w:sz w:val="22"/>
          <w:szCs w:val="22"/>
          <w:lang w:val="es-ES_tradnl"/>
        </w:rPr>
        <w:t> en su 169, fracción III, señala:</w:t>
      </w:r>
    </w:p>
    <w:p w:rsidR="0010719A" w:rsidRPr="0098115E" w:rsidRDefault="0010719A" w:rsidP="0010719A">
      <w:pPr>
        <w:shd w:val="clear" w:color="auto" w:fill="FFFFFF"/>
        <w:spacing w:before="240" w:after="240" w:line="360" w:lineRule="auto"/>
        <w:ind w:left="567" w:right="567"/>
        <w:jc w:val="both"/>
        <w:rPr>
          <w:rFonts w:ascii="Palatino Linotype" w:hAnsi="Palatino Linotype" w:cs="Bookman Old Style"/>
          <w:i/>
          <w:sz w:val="22"/>
          <w:szCs w:val="22"/>
        </w:rPr>
      </w:pPr>
      <w:r w:rsidRPr="0098115E">
        <w:rPr>
          <w:rFonts w:ascii="Palatino Linotype" w:hAnsi="Palatino Linotype"/>
          <w:color w:val="222222"/>
          <w:sz w:val="22"/>
          <w:szCs w:val="22"/>
          <w:lang w:val="es-ES_tradnl"/>
        </w:rPr>
        <w:t> “</w:t>
      </w:r>
      <w:r w:rsidRPr="0098115E">
        <w:rPr>
          <w:rFonts w:ascii="Palatino Linotype" w:hAnsi="Palatino Linotype" w:cs="Bookman Old Style,Bold"/>
          <w:b/>
          <w:bCs/>
          <w:i/>
          <w:sz w:val="22"/>
          <w:szCs w:val="22"/>
        </w:rPr>
        <w:t xml:space="preserve">Artículo 169. </w:t>
      </w:r>
      <w:r w:rsidRPr="0098115E">
        <w:rPr>
          <w:rFonts w:ascii="Palatino Linotype" w:hAnsi="Palatino Linotype" w:cs="Bookman Old Style"/>
          <w:i/>
          <w:sz w:val="22"/>
          <w:szCs w:val="22"/>
        </w:rPr>
        <w:t>Cuando la información no se encuentre en los archivos del sujeto obligado, el Comité de Transparencia:</w:t>
      </w: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r w:rsidRPr="0098115E">
        <w:rPr>
          <w:rFonts w:ascii="Palatino Linotype" w:eastAsia="MS Mincho" w:hAnsi="Palatino Linotype" w:cs="Bookman Old Style,Bold"/>
          <w:b/>
          <w:bCs/>
          <w:i/>
          <w:sz w:val="22"/>
          <w:szCs w:val="22"/>
        </w:rPr>
        <w:t xml:space="preserve">I. </w:t>
      </w:r>
      <w:r w:rsidRPr="0098115E">
        <w:rPr>
          <w:rFonts w:ascii="Palatino Linotype" w:eastAsia="MS Mincho" w:hAnsi="Palatino Linotype" w:cs="Bookman Old Style"/>
          <w:i/>
          <w:sz w:val="22"/>
          <w:szCs w:val="22"/>
        </w:rPr>
        <w:t>Analizará el caso y tomará las medidas necesarias para localizar la información;</w:t>
      </w: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r w:rsidRPr="0098115E">
        <w:rPr>
          <w:rFonts w:ascii="Palatino Linotype" w:eastAsia="MS Mincho" w:hAnsi="Palatino Linotype" w:cs="Bookman Old Style,Bold"/>
          <w:b/>
          <w:bCs/>
          <w:i/>
          <w:sz w:val="22"/>
          <w:szCs w:val="22"/>
        </w:rPr>
        <w:t xml:space="preserve">II. </w:t>
      </w:r>
      <w:r w:rsidRPr="0098115E">
        <w:rPr>
          <w:rFonts w:ascii="Palatino Linotype" w:eastAsia="MS Mincho" w:hAnsi="Palatino Linotype" w:cs="Bookman Old Style"/>
          <w:i/>
          <w:sz w:val="22"/>
          <w:szCs w:val="22"/>
        </w:rPr>
        <w:t>Expedirá una resolución que confirme la inexistencia del documento;</w:t>
      </w: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r w:rsidRPr="0098115E">
        <w:rPr>
          <w:rFonts w:ascii="Palatino Linotype" w:eastAsia="MS Mincho" w:hAnsi="Palatino Linotype" w:cs="Bookman Old Style,Bold"/>
          <w:b/>
          <w:bCs/>
          <w:i/>
          <w:sz w:val="22"/>
          <w:szCs w:val="22"/>
        </w:rPr>
        <w:t xml:space="preserve">III. </w:t>
      </w:r>
      <w:r w:rsidRPr="0098115E">
        <w:rPr>
          <w:rFonts w:ascii="Palatino Linotype" w:eastAsia="MS Mincho" w:hAnsi="Palatino Linotype" w:cs="Bookman Old Styl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r w:rsidRPr="0098115E">
        <w:rPr>
          <w:rFonts w:ascii="Palatino Linotype" w:eastAsia="MS Mincho" w:hAnsi="Palatino Linotype" w:cs="Bookman Old Style,Bold"/>
          <w:b/>
          <w:bCs/>
          <w:i/>
          <w:sz w:val="22"/>
          <w:szCs w:val="22"/>
        </w:rPr>
        <w:t xml:space="preserve">IV. </w:t>
      </w:r>
      <w:r w:rsidRPr="0098115E">
        <w:rPr>
          <w:rFonts w:ascii="Palatino Linotype" w:eastAsia="MS Mincho" w:hAnsi="Palatino Linotype" w:cs="Bookman Old Style"/>
          <w:i/>
          <w:sz w:val="22"/>
          <w:szCs w:val="22"/>
        </w:rPr>
        <w:t>Notificará al órgano interno de control o equivalente del sujeto obligado quien, en su caso, deberá iniciar el procedimiento de responsabilidad administrativa que corresponda.</w:t>
      </w: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r w:rsidRPr="0098115E">
        <w:rPr>
          <w:rFonts w:ascii="Palatino Linotype" w:eastAsia="MS Mincho" w:hAnsi="Palatino Linotype" w:cs="Bookman Old Style"/>
          <w:i/>
          <w:sz w:val="22"/>
          <w:szCs w:val="22"/>
        </w:rPr>
        <w:lastRenderedPageBreak/>
        <w:t>La Unidad de Transparencia deberá notificarlo al solicitante por escrito, en un plazo que no exceda de quince días hábiles contados a partir del día siguiente a la presentación de la solicitud.</w:t>
      </w: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cs="Bookman Old Style"/>
          <w:i/>
          <w:sz w:val="22"/>
          <w:szCs w:val="22"/>
        </w:rPr>
      </w:pPr>
    </w:p>
    <w:p w:rsidR="0010719A" w:rsidRPr="0098115E" w:rsidRDefault="0010719A" w:rsidP="0010719A">
      <w:pPr>
        <w:autoSpaceDE w:val="0"/>
        <w:autoSpaceDN w:val="0"/>
        <w:adjustRightInd w:val="0"/>
        <w:spacing w:line="360" w:lineRule="auto"/>
        <w:ind w:left="567" w:right="567"/>
        <w:jc w:val="both"/>
        <w:rPr>
          <w:rFonts w:ascii="Palatino Linotype" w:eastAsia="MS Mincho" w:hAnsi="Palatino Linotype"/>
          <w:i/>
          <w:iCs/>
          <w:color w:val="222222"/>
          <w:sz w:val="22"/>
          <w:szCs w:val="22"/>
          <w:lang w:val="es-ES_tradnl"/>
        </w:rPr>
      </w:pPr>
      <w:r w:rsidRPr="0098115E">
        <w:rPr>
          <w:rFonts w:ascii="Palatino Linotype" w:eastAsia="MS Mincho" w:hAnsi="Palatino Linotype" w:cs="Bookman Old Style"/>
          <w:i/>
          <w:sz w:val="22"/>
          <w:szCs w:val="22"/>
        </w:rPr>
        <w:t>Este plazo podrá ampliarse hasta por otros siete días hábiles, siempre que existan razones para ello, debiendo notificarse por escrito al solicitante.” (Sic)</w:t>
      </w:r>
    </w:p>
    <w:p w:rsidR="0010719A" w:rsidRPr="0098115E" w:rsidRDefault="0010719A" w:rsidP="0010719A">
      <w:pPr>
        <w:pStyle w:val="Prrafodelista"/>
        <w:numPr>
          <w:ilvl w:val="0"/>
          <w:numId w:val="2"/>
        </w:numPr>
        <w:shd w:val="clear" w:color="auto" w:fill="FFFFFF"/>
        <w:spacing w:before="240" w:after="240" w:line="360" w:lineRule="auto"/>
        <w:ind w:right="51"/>
        <w:jc w:val="both"/>
        <w:rPr>
          <w:rFonts w:ascii="Palatino Linotype" w:hAnsi="Palatino Linotype"/>
          <w:color w:val="222222"/>
          <w:sz w:val="22"/>
          <w:szCs w:val="22"/>
        </w:rPr>
      </w:pPr>
      <w:r w:rsidRPr="0098115E">
        <w:rPr>
          <w:rFonts w:ascii="Palatino Linotype" w:hAnsi="Palatino Linotype"/>
          <w:color w:val="222222"/>
          <w:sz w:val="22"/>
          <w:szCs w:val="22"/>
          <w:lang w:val="es-ES_tradnl"/>
        </w:rPr>
        <w:t>Del precepto antes transcrito se advierte claramente que </w:t>
      </w:r>
      <w:r w:rsidRPr="0098115E">
        <w:rPr>
          <w:rFonts w:ascii="Palatino Linotype" w:hAnsi="Palatino Linotype"/>
          <w:color w:val="222222"/>
          <w:sz w:val="22"/>
          <w:szCs w:val="22"/>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rsidR="0010719A" w:rsidRPr="0098115E" w:rsidRDefault="0010719A" w:rsidP="0010719A">
      <w:pPr>
        <w:numPr>
          <w:ilvl w:val="0"/>
          <w:numId w:val="2"/>
        </w:numPr>
        <w:shd w:val="clear" w:color="auto" w:fill="FFFFFF"/>
        <w:spacing w:before="240" w:after="240" w:line="360" w:lineRule="auto"/>
        <w:ind w:right="51"/>
        <w:jc w:val="both"/>
        <w:rPr>
          <w:rFonts w:ascii="Palatino Linotype" w:hAnsi="Palatino Linotype"/>
          <w:color w:val="222222"/>
          <w:sz w:val="22"/>
          <w:szCs w:val="22"/>
        </w:rPr>
      </w:pPr>
      <w:r w:rsidRPr="0098115E">
        <w:rPr>
          <w:rFonts w:ascii="Palatino Linotype" w:hAnsi="Palatino Linotype"/>
          <w:color w:val="222222"/>
          <w:sz w:val="22"/>
          <w:szCs w:val="22"/>
          <w:lang w:val="es-ES_tradnl"/>
        </w:rPr>
        <w:t>Ahora bien, es importante señalar que en el caso de que no se pueda generar la información, </w:t>
      </w:r>
      <w:r w:rsidRPr="0098115E">
        <w:rPr>
          <w:rFonts w:ascii="Palatino Linotype" w:hAnsi="Palatino Linotype"/>
          <w:b/>
          <w:bCs/>
          <w:color w:val="222222"/>
          <w:sz w:val="22"/>
          <w:szCs w:val="22"/>
          <w:lang w:val="es-ES_tradnl"/>
        </w:rPr>
        <w:t>SE ORDENA AL SUJETO OBLIGADO </w:t>
      </w:r>
      <w:r w:rsidRPr="0098115E">
        <w:rPr>
          <w:rFonts w:ascii="Palatino Linotype" w:hAnsi="Palatino Linotype"/>
          <w:color w:val="222222"/>
          <w:sz w:val="22"/>
          <w:szCs w:val="22"/>
          <w:lang w:val="es-ES_tradnl"/>
        </w:rPr>
        <w:t>hacer entrega de un Acuerdo de su Comité de Transparencia en donde conste la declaratoria de inexistencia de la información.</w:t>
      </w:r>
    </w:p>
    <w:p w:rsidR="0010719A" w:rsidRPr="0098115E" w:rsidRDefault="0010719A" w:rsidP="0010719A">
      <w:pPr>
        <w:numPr>
          <w:ilvl w:val="0"/>
          <w:numId w:val="2"/>
        </w:numPr>
        <w:shd w:val="clear" w:color="auto" w:fill="FFFFFF"/>
        <w:spacing w:before="240" w:after="240" w:line="360" w:lineRule="auto"/>
        <w:ind w:right="51"/>
        <w:jc w:val="both"/>
        <w:rPr>
          <w:rFonts w:ascii="Palatino Linotype" w:hAnsi="Palatino Linotype"/>
          <w:color w:val="222222"/>
          <w:sz w:val="22"/>
          <w:szCs w:val="22"/>
        </w:rPr>
      </w:pPr>
      <w:r w:rsidRPr="0098115E">
        <w:rPr>
          <w:rFonts w:ascii="Palatino Linotype" w:hAnsi="Palatino Linotype"/>
          <w:color w:val="222222"/>
          <w:sz w:val="22"/>
          <w:szCs w:val="22"/>
          <w:lang w:val="es-ES_tradnl"/>
        </w:rPr>
        <w:t>Previo a observar las formalidades que han de observarse en dicho acuerdo y para mayor entendimiento sobre el concepto de inexistencia en materia de acceso a la información pública, es necesario señalar que el </w:t>
      </w:r>
      <w:r w:rsidRPr="0098115E">
        <w:rPr>
          <w:rFonts w:ascii="Palatino Linotype" w:hAnsi="Palatino Linotype"/>
          <w:color w:val="222222"/>
          <w:sz w:val="22"/>
          <w:szCs w:val="22"/>
          <w:shd w:val="clear" w:color="auto" w:fill="FFFFFF"/>
          <w:lang w:val="es-ES_tradnl"/>
        </w:rPr>
        <w:t>Instituto Nacional de Transparencia, Acceso a la Información y Protección de Datos Personales </w:t>
      </w:r>
      <w:r w:rsidRPr="0098115E">
        <w:rPr>
          <w:rFonts w:ascii="Palatino Linotype" w:hAnsi="Palatino Linotype"/>
          <w:color w:val="222222"/>
          <w:sz w:val="22"/>
          <w:szCs w:val="22"/>
          <w:lang w:val="es-ES_tradnl"/>
        </w:rPr>
        <w:t>emitió el criterio número 14-17, que es de la literalidad siguiente:</w:t>
      </w:r>
    </w:p>
    <w:p w:rsidR="0010719A" w:rsidRPr="0098115E" w:rsidRDefault="0010719A" w:rsidP="0010719A">
      <w:pPr>
        <w:shd w:val="clear" w:color="auto" w:fill="FFFFFF"/>
        <w:spacing w:line="360" w:lineRule="auto"/>
        <w:ind w:left="567" w:right="900"/>
        <w:jc w:val="center"/>
        <w:rPr>
          <w:rFonts w:ascii="Palatino Linotype" w:hAnsi="Palatino Linotype"/>
          <w:b/>
          <w:bCs/>
          <w:i/>
          <w:iCs/>
          <w:color w:val="222222"/>
          <w:sz w:val="22"/>
          <w:szCs w:val="22"/>
          <w:lang w:val="es-ES_tradnl"/>
        </w:rPr>
      </w:pPr>
      <w:r w:rsidRPr="0098115E">
        <w:rPr>
          <w:rFonts w:ascii="Palatino Linotype" w:hAnsi="Palatino Linotype"/>
          <w:b/>
          <w:bCs/>
          <w:i/>
          <w:iCs/>
          <w:color w:val="222222"/>
          <w:sz w:val="22"/>
          <w:szCs w:val="22"/>
          <w:lang w:val="es-ES_tradnl"/>
        </w:rPr>
        <w:t>“Criterio 14/17</w:t>
      </w:r>
    </w:p>
    <w:p w:rsidR="0010719A" w:rsidRPr="0098115E" w:rsidRDefault="0010719A" w:rsidP="0010719A">
      <w:pPr>
        <w:shd w:val="clear" w:color="auto" w:fill="FFFFFF"/>
        <w:spacing w:line="360" w:lineRule="auto"/>
        <w:ind w:left="567" w:right="900"/>
        <w:jc w:val="center"/>
        <w:rPr>
          <w:rFonts w:ascii="Palatino Linotype" w:hAnsi="Palatino Linotype"/>
          <w:color w:val="222222"/>
          <w:sz w:val="22"/>
          <w:szCs w:val="22"/>
        </w:rPr>
      </w:pPr>
    </w:p>
    <w:p w:rsidR="0010719A" w:rsidRPr="0098115E" w:rsidRDefault="0010719A" w:rsidP="0010719A">
      <w:pPr>
        <w:shd w:val="clear" w:color="auto" w:fill="FFFFFF"/>
        <w:spacing w:line="360" w:lineRule="auto"/>
        <w:ind w:left="567" w:right="900"/>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222222"/>
          <w:sz w:val="22"/>
          <w:szCs w:val="22"/>
          <w:lang w:val="es-ES_tradnl"/>
        </w:rPr>
        <w:t>Inexistencia. La inexistencia es una cuestión de hecho que se atribuye a la información solicitada e implica que ésta </w:t>
      </w:r>
      <w:r w:rsidRPr="0098115E">
        <w:rPr>
          <w:rFonts w:ascii="Palatino Linotype" w:eastAsia="MS Mincho" w:hAnsi="Palatino Linotype"/>
          <w:b/>
          <w:bCs/>
          <w:i/>
          <w:iCs/>
          <w:color w:val="222222"/>
          <w:sz w:val="22"/>
          <w:szCs w:val="22"/>
          <w:lang w:val="es-ES_tradnl"/>
        </w:rPr>
        <w:t>no se encuentra en los archivos del sujeto obligado, no obstante que cuenta con facultades para poseerla</w:t>
      </w:r>
      <w:r w:rsidRPr="0098115E">
        <w:rPr>
          <w:rFonts w:ascii="Palatino Linotype" w:eastAsia="MS Mincho" w:hAnsi="Palatino Linotype"/>
          <w:i/>
          <w:iCs/>
          <w:color w:val="222222"/>
          <w:sz w:val="22"/>
          <w:szCs w:val="22"/>
          <w:lang w:val="es-ES_tradnl"/>
        </w:rPr>
        <w:t>.</w:t>
      </w:r>
    </w:p>
    <w:p w:rsidR="0010719A" w:rsidRPr="0098115E" w:rsidRDefault="0010719A" w:rsidP="0010719A">
      <w:pPr>
        <w:shd w:val="clear" w:color="auto" w:fill="FFFFFF"/>
        <w:spacing w:line="360" w:lineRule="auto"/>
        <w:ind w:left="567" w:right="900"/>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222222"/>
          <w:sz w:val="22"/>
          <w:szCs w:val="22"/>
          <w:lang w:val="es-ES_tradnl"/>
        </w:rPr>
        <w:t> </w:t>
      </w:r>
    </w:p>
    <w:p w:rsidR="0010719A" w:rsidRPr="0098115E" w:rsidRDefault="0010719A" w:rsidP="0010719A">
      <w:pPr>
        <w:shd w:val="clear" w:color="auto" w:fill="FFFFFF"/>
        <w:spacing w:line="360" w:lineRule="auto"/>
        <w:ind w:left="567" w:right="900"/>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222222"/>
          <w:sz w:val="22"/>
          <w:szCs w:val="22"/>
          <w:lang w:val="es-ES_tradnl"/>
        </w:rPr>
        <w:lastRenderedPageBreak/>
        <w:t>Resoluciones: </w:t>
      </w:r>
      <w:r w:rsidRPr="0098115E">
        <w:rPr>
          <w:rFonts w:ascii="Palatino Linotype" w:eastAsia="MS Mincho" w:hAnsi="Palatino Linotype"/>
          <w:color w:val="222222"/>
          <w:sz w:val="22"/>
          <w:szCs w:val="22"/>
          <w:lang w:val="es-ES_tradnl"/>
        </w:rPr>
        <w:t>·</w:t>
      </w:r>
      <w:r w:rsidRPr="0098115E">
        <w:rPr>
          <w:rFonts w:ascii="Palatino Linotype" w:eastAsia="MS Mincho" w:hAnsi="Palatino Linotype"/>
          <w:i/>
          <w:iCs/>
          <w:color w:val="222222"/>
          <w:sz w:val="22"/>
          <w:szCs w:val="22"/>
          <w:lang w:val="es-ES_tradnl"/>
        </w:rPr>
        <w:t> RRA 4669/16. Instituto Nacional Electoral. 18 de enero de 2017. Por unanimidad. Comisionado Ponente Joel Salas Suárez. </w:t>
      </w:r>
      <w:r w:rsidRPr="0098115E">
        <w:rPr>
          <w:rFonts w:ascii="Palatino Linotype" w:eastAsia="MS Mincho" w:hAnsi="Palatino Linotype"/>
          <w:color w:val="222222"/>
          <w:sz w:val="22"/>
          <w:szCs w:val="22"/>
          <w:lang w:val="es-ES_tradnl"/>
        </w:rPr>
        <w:t>·</w:t>
      </w:r>
      <w:r w:rsidRPr="0098115E">
        <w:rPr>
          <w:rFonts w:ascii="Palatino Linotype" w:eastAsia="MS Mincho" w:hAnsi="Palatino Linotype"/>
          <w:i/>
          <w:iCs/>
          <w:color w:val="222222"/>
          <w:sz w:val="22"/>
          <w:szCs w:val="22"/>
          <w:lang w:val="es-ES_tradnl"/>
        </w:rPr>
        <w:t> RRA 0183/17. Nueva Alianza. 01 de febrero de 2017. Por unanimidad. Comisionado Ponente Francisco Javier Acuña Llamas. </w:t>
      </w:r>
      <w:r w:rsidRPr="0098115E">
        <w:rPr>
          <w:rFonts w:ascii="Palatino Linotype" w:eastAsia="MS Mincho" w:hAnsi="Palatino Linotype"/>
          <w:color w:val="222222"/>
          <w:sz w:val="22"/>
          <w:szCs w:val="22"/>
          <w:lang w:val="es-ES_tradnl"/>
        </w:rPr>
        <w:t>·</w:t>
      </w:r>
      <w:r w:rsidRPr="0098115E">
        <w:rPr>
          <w:rFonts w:ascii="Palatino Linotype" w:eastAsia="MS Mincho" w:hAnsi="Palatino Linotype"/>
          <w:i/>
          <w:iCs/>
          <w:color w:val="222222"/>
          <w:sz w:val="22"/>
          <w:szCs w:val="22"/>
          <w:lang w:val="es-ES_tradnl"/>
        </w:rPr>
        <w:t xml:space="preserve"> RRA 4484/16. Instituto Nacional de Migración. 16 de febrero de 2017. Por mayoría de seis votos a favor y uno en contra de la Comisionada Areli Cano Guadiana. Comisionada Ponente María Patricia </w:t>
      </w:r>
      <w:proofErr w:type="spellStart"/>
      <w:r w:rsidRPr="0098115E">
        <w:rPr>
          <w:rFonts w:ascii="Palatino Linotype" w:eastAsia="MS Mincho" w:hAnsi="Palatino Linotype"/>
          <w:i/>
          <w:iCs/>
          <w:color w:val="222222"/>
          <w:sz w:val="22"/>
          <w:szCs w:val="22"/>
          <w:lang w:val="es-ES_tradnl"/>
        </w:rPr>
        <w:t>Kurczyn</w:t>
      </w:r>
      <w:proofErr w:type="spellEnd"/>
      <w:r w:rsidRPr="0098115E">
        <w:rPr>
          <w:rFonts w:ascii="Palatino Linotype" w:eastAsia="MS Mincho" w:hAnsi="Palatino Linotype"/>
          <w:i/>
          <w:iCs/>
          <w:color w:val="222222"/>
          <w:sz w:val="22"/>
          <w:szCs w:val="22"/>
          <w:lang w:val="es-ES_tradnl"/>
        </w:rPr>
        <w:t xml:space="preserve"> Villalobos.”</w:t>
      </w:r>
    </w:p>
    <w:p w:rsidR="0010719A" w:rsidRPr="0098115E" w:rsidRDefault="0010719A" w:rsidP="0010719A">
      <w:pPr>
        <w:shd w:val="clear" w:color="auto" w:fill="FFFFFF"/>
        <w:spacing w:line="360" w:lineRule="auto"/>
        <w:jc w:val="both"/>
        <w:rPr>
          <w:rFonts w:ascii="Palatino Linotype" w:hAnsi="Palatino Linotype"/>
          <w:color w:val="222222"/>
          <w:sz w:val="22"/>
          <w:szCs w:val="22"/>
        </w:rPr>
      </w:pPr>
      <w:r w:rsidRPr="0098115E">
        <w:rPr>
          <w:rFonts w:ascii="Palatino Linotype" w:hAnsi="Palatino Linotype"/>
          <w:color w:val="000000"/>
          <w:sz w:val="22"/>
          <w:szCs w:val="22"/>
        </w:rPr>
        <w:t> </w:t>
      </w:r>
    </w:p>
    <w:p w:rsidR="0010719A" w:rsidRPr="0098115E" w:rsidRDefault="0010719A" w:rsidP="0010719A">
      <w:pPr>
        <w:numPr>
          <w:ilvl w:val="0"/>
          <w:numId w:val="2"/>
        </w:numPr>
        <w:shd w:val="clear" w:color="auto" w:fill="FFFFFF"/>
        <w:spacing w:after="160" w:line="360" w:lineRule="auto"/>
        <w:jc w:val="both"/>
        <w:rPr>
          <w:rFonts w:ascii="Palatino Linotype" w:hAnsi="Palatino Linotype"/>
          <w:color w:val="222222"/>
          <w:sz w:val="22"/>
          <w:szCs w:val="22"/>
        </w:rPr>
      </w:pPr>
      <w:r w:rsidRPr="0098115E">
        <w:rPr>
          <w:rFonts w:ascii="Palatino Linotype" w:hAnsi="Palatino Linotype"/>
          <w:color w:val="000000"/>
          <w:sz w:val="22"/>
          <w:szCs w:val="22"/>
        </w:rPr>
        <w:t>Además como consecuencia de las disposiciones legales contenidas en la </w:t>
      </w:r>
      <w:r w:rsidRPr="0098115E">
        <w:rPr>
          <w:rFonts w:ascii="Palatino Linotype" w:hAnsi="Palatino Linotype"/>
          <w:b/>
          <w:bCs/>
          <w:color w:val="000000"/>
          <w:sz w:val="22"/>
          <w:szCs w:val="22"/>
        </w:rPr>
        <w:t>Ley General de Transparencia y Acceso a la Información Pública</w:t>
      </w:r>
      <w:r w:rsidRPr="0098115E">
        <w:rPr>
          <w:rFonts w:ascii="Palatino Linotype" w:hAnsi="Palatino Linotype"/>
          <w:color w:val="000000"/>
          <w:sz w:val="22"/>
          <w:szCs w:val="22"/>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98115E">
        <w:rPr>
          <w:rFonts w:ascii="Palatino Linotype" w:hAnsi="Palatino Linotype"/>
          <w:color w:val="000000"/>
          <w:sz w:val="22"/>
          <w:szCs w:val="22"/>
          <w:vertAlign w:val="superscript"/>
        </w:rPr>
        <w:footnoteReference w:id="4"/>
      </w:r>
      <w:r w:rsidRPr="0098115E">
        <w:rPr>
          <w:rFonts w:ascii="Palatino Linotype" w:hAnsi="Palatino Linotype"/>
          <w:color w:val="000000"/>
          <w:sz w:val="22"/>
          <w:szCs w:val="22"/>
        </w:rPr>
        <w:t>según puede apreciarse a continuación:</w:t>
      </w:r>
    </w:p>
    <w:p w:rsidR="0010719A" w:rsidRPr="0098115E" w:rsidRDefault="0010719A" w:rsidP="0010719A">
      <w:pPr>
        <w:shd w:val="clear" w:color="auto" w:fill="FFFFFF"/>
        <w:spacing w:before="240" w:after="360" w:line="360" w:lineRule="auto"/>
        <w:ind w:left="567" w:right="567"/>
        <w:jc w:val="both"/>
        <w:rPr>
          <w:rFonts w:ascii="Palatino Linotype" w:hAnsi="Palatino Linotype"/>
          <w:color w:val="222222"/>
          <w:sz w:val="22"/>
          <w:szCs w:val="22"/>
        </w:rPr>
      </w:pPr>
      <w:r w:rsidRPr="0098115E">
        <w:rPr>
          <w:rFonts w:ascii="Palatino Linotype" w:hAnsi="Palatino Linotype"/>
          <w:b/>
          <w:bCs/>
          <w:i/>
          <w:iCs/>
          <w:color w:val="000000"/>
          <w:sz w:val="22"/>
          <w:szCs w:val="22"/>
        </w:rPr>
        <w:t>“Artículo 19.</w:t>
      </w:r>
      <w:r w:rsidRPr="0098115E">
        <w:rPr>
          <w:rFonts w:ascii="Palatino Linotype" w:hAnsi="Palatino Linotype"/>
          <w:i/>
          <w:iCs/>
          <w:color w:val="000000"/>
          <w:sz w:val="22"/>
          <w:szCs w:val="22"/>
        </w:rPr>
        <w:t> Se presume que la información debe existir si se refiere a las facultades, competencias y funciones que los ordenamientos jurídicos aplicables otorgan a los sujetos obligados.</w:t>
      </w:r>
    </w:p>
    <w:p w:rsidR="0010719A" w:rsidRPr="0098115E" w:rsidRDefault="0010719A" w:rsidP="0010719A">
      <w:pPr>
        <w:shd w:val="clear" w:color="auto" w:fill="FFFFFF"/>
        <w:spacing w:before="240" w:after="240" w:line="360" w:lineRule="auto"/>
        <w:ind w:left="567" w:right="567"/>
        <w:jc w:val="both"/>
        <w:rPr>
          <w:rFonts w:ascii="Palatino Linotype" w:eastAsia="MS Mincho" w:hAnsi="Palatino Linotype"/>
          <w:i/>
          <w:iCs/>
          <w:color w:val="000000"/>
          <w:sz w:val="22"/>
          <w:szCs w:val="22"/>
          <w:lang w:val="es-ES_tradnl"/>
        </w:rPr>
      </w:pPr>
      <w:r w:rsidRPr="0098115E">
        <w:rPr>
          <w:rFonts w:ascii="Palatino Linotype" w:eastAsia="MS Mincho" w:hAnsi="Palatino Linotype"/>
          <w:i/>
          <w:iCs/>
          <w:color w:val="000000"/>
          <w:sz w:val="22"/>
          <w:szCs w:val="22"/>
          <w:lang w:val="es-ES_tradnl"/>
        </w:rPr>
        <w:t>En los casos en que ciertas facultades, competencias o funciones no se hayan ejercido, se debe motivar la respuesta en función de las causas que motiven la inexistencia.</w:t>
      </w:r>
    </w:p>
    <w:p w:rsidR="0010719A" w:rsidRPr="0098115E" w:rsidRDefault="0010719A" w:rsidP="0010719A">
      <w:pPr>
        <w:shd w:val="clear" w:color="auto" w:fill="FFFFFF"/>
        <w:spacing w:before="240" w:after="240" w:line="360" w:lineRule="auto"/>
        <w:ind w:left="567" w:right="567"/>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000000"/>
          <w:sz w:val="22"/>
          <w:szCs w:val="22"/>
          <w:lang w:val="es-ES_tradnl"/>
        </w:rPr>
        <w:t>(…)</w:t>
      </w:r>
    </w:p>
    <w:p w:rsidR="0010719A" w:rsidRPr="0098115E" w:rsidRDefault="0010719A" w:rsidP="0010719A">
      <w:pPr>
        <w:numPr>
          <w:ilvl w:val="0"/>
          <w:numId w:val="2"/>
        </w:numPr>
        <w:shd w:val="clear" w:color="auto" w:fill="FFFFFF"/>
        <w:spacing w:after="160" w:line="360" w:lineRule="auto"/>
        <w:jc w:val="both"/>
        <w:rPr>
          <w:rFonts w:ascii="Palatino Linotype" w:hAnsi="Palatino Linotype"/>
          <w:color w:val="222222"/>
          <w:sz w:val="22"/>
          <w:szCs w:val="22"/>
        </w:rPr>
      </w:pPr>
      <w:r w:rsidRPr="0098115E">
        <w:rPr>
          <w:rFonts w:ascii="Palatino Linotype" w:hAnsi="Palatino Linotype"/>
          <w:color w:val="000000"/>
          <w:sz w:val="22"/>
          <w:szCs w:val="22"/>
          <w:lang w:val="es-ES_tradnl"/>
        </w:rPr>
        <w:t xml:space="preserve">Y por cuanto hace a la normatividad local debe aplicarse lo establecido en los LINEAMIENTOS PARA LA RECEPCIÓN, TRÁMITE Y RESOLUCIÓN DE LAS SOLICITUDES DE ACCESO A LA INFORMACIÓN PÚBLICA, ACCESO, </w:t>
      </w:r>
      <w:r w:rsidRPr="0098115E">
        <w:rPr>
          <w:rFonts w:ascii="Palatino Linotype" w:hAnsi="Palatino Linotype"/>
          <w:color w:val="000000"/>
          <w:sz w:val="22"/>
          <w:szCs w:val="22"/>
          <w:lang w:val="es-ES_tradnl"/>
        </w:rPr>
        <w:lastRenderedPageBreak/>
        <w:t>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rsidR="0010719A" w:rsidRPr="0098115E" w:rsidRDefault="0010719A" w:rsidP="0010719A">
      <w:pPr>
        <w:shd w:val="clear" w:color="auto" w:fill="FFFFFF"/>
        <w:spacing w:line="360" w:lineRule="auto"/>
        <w:ind w:left="567" w:right="567"/>
        <w:jc w:val="center"/>
        <w:rPr>
          <w:rFonts w:ascii="Palatino Linotype" w:eastAsia="MS Mincho" w:hAnsi="Palatino Linotype"/>
          <w:color w:val="222222"/>
          <w:sz w:val="22"/>
          <w:szCs w:val="22"/>
          <w:lang w:val="es-ES_tradnl"/>
        </w:rPr>
      </w:pPr>
      <w:r w:rsidRPr="0098115E">
        <w:rPr>
          <w:rFonts w:ascii="Palatino Linotype" w:eastAsia="MS Mincho" w:hAnsi="Palatino Linotype"/>
          <w:b/>
          <w:bCs/>
          <w:i/>
          <w:iCs/>
          <w:color w:val="000000"/>
          <w:sz w:val="22"/>
          <w:szCs w:val="22"/>
          <w:lang w:val="es-ES_tradnl"/>
        </w:rPr>
        <w:t>“CRITERIO 0004-11</w:t>
      </w:r>
    </w:p>
    <w:p w:rsidR="0010719A" w:rsidRPr="0098115E" w:rsidRDefault="0010719A" w:rsidP="0010719A">
      <w:pPr>
        <w:shd w:val="clear" w:color="auto" w:fill="FFFFFF"/>
        <w:spacing w:line="360" w:lineRule="auto"/>
        <w:ind w:left="567" w:right="567"/>
        <w:jc w:val="both"/>
        <w:rPr>
          <w:rFonts w:ascii="Palatino Linotype" w:eastAsia="MS Mincho" w:hAnsi="Palatino Linotype"/>
          <w:color w:val="222222"/>
          <w:sz w:val="22"/>
          <w:szCs w:val="22"/>
          <w:lang w:val="es-ES_tradnl"/>
        </w:rPr>
      </w:pPr>
      <w:r w:rsidRPr="0098115E">
        <w:rPr>
          <w:rFonts w:ascii="Palatino Linotype" w:eastAsia="MS Mincho" w:hAnsi="Palatino Linotype"/>
          <w:b/>
          <w:bCs/>
          <w:i/>
          <w:iCs/>
          <w:color w:val="000000"/>
          <w:sz w:val="22"/>
          <w:szCs w:val="22"/>
          <w:lang w:val="es-ES_tradnl"/>
        </w:rPr>
        <w:t>INEXISTENCIA. DECLARATORIA DE LA. ALCANCES Y PROCEDIMIENTOS</w:t>
      </w:r>
      <w:r w:rsidRPr="0098115E">
        <w:rPr>
          <w:rFonts w:ascii="Palatino Linotype" w:eastAsia="MS Mincho" w:hAnsi="Palatino Linotype"/>
          <w:i/>
          <w:iCs/>
          <w:color w:val="000000"/>
          <w:sz w:val="22"/>
          <w:szCs w:val="22"/>
          <w:lang w:val="es-ES_tradnl"/>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w:t>
      </w:r>
      <w:r w:rsidRPr="0098115E">
        <w:rPr>
          <w:rFonts w:ascii="Palatino Linotype" w:eastAsia="MS Mincho" w:hAnsi="Palatino Linotype"/>
          <w:i/>
          <w:iCs/>
          <w:color w:val="000000"/>
          <w:sz w:val="22"/>
          <w:szCs w:val="22"/>
          <w:lang w:val="es-ES_tradnl"/>
        </w:rPr>
        <w:lastRenderedPageBreak/>
        <w:t>adoptar cualquier otra previsión que considere conducente para tales efectos y velar por la certeza en el derecho de acceso a la información.</w:t>
      </w:r>
    </w:p>
    <w:p w:rsidR="0010719A" w:rsidRPr="0098115E" w:rsidRDefault="0010719A" w:rsidP="0010719A">
      <w:pPr>
        <w:shd w:val="clear" w:color="auto" w:fill="FFFFFF"/>
        <w:spacing w:line="360" w:lineRule="auto"/>
        <w:ind w:left="567" w:right="567"/>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000000"/>
          <w:sz w:val="22"/>
          <w:szCs w:val="22"/>
          <w:lang w:val="es-ES_tradnl"/>
        </w:rPr>
        <w:t>Bajo el entendido de que dicha búsqueda exhaustiva permitirá dos determinaciones:</w:t>
      </w:r>
    </w:p>
    <w:p w:rsidR="0010719A" w:rsidRPr="0098115E" w:rsidRDefault="0010719A" w:rsidP="0010719A">
      <w:pPr>
        <w:shd w:val="clear" w:color="auto" w:fill="FFFFFF"/>
        <w:spacing w:line="360" w:lineRule="auto"/>
        <w:ind w:left="567" w:right="567"/>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000000"/>
          <w:sz w:val="22"/>
          <w:szCs w:val="22"/>
          <w:lang w:val="es-ES_tradnl"/>
        </w:rPr>
        <w:t>1ª) Que se localice la documentación que contenga la información solicitada y de ser así la información pueda entregarse al solicitante en la forma en que se encuentra disponible, o</w:t>
      </w:r>
    </w:p>
    <w:p w:rsidR="0010719A" w:rsidRPr="0098115E" w:rsidRDefault="0010719A" w:rsidP="0010719A">
      <w:pPr>
        <w:shd w:val="clear" w:color="auto" w:fill="FFFFFF"/>
        <w:spacing w:line="360" w:lineRule="auto"/>
        <w:ind w:left="567" w:right="567"/>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000000"/>
          <w:sz w:val="22"/>
          <w:szCs w:val="22"/>
          <w:lang w:val="es-ES_tradnl"/>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10719A" w:rsidRPr="0098115E" w:rsidRDefault="0010719A" w:rsidP="0010719A">
      <w:pPr>
        <w:shd w:val="clear" w:color="auto" w:fill="FFFFFF"/>
        <w:spacing w:line="360" w:lineRule="auto"/>
        <w:ind w:left="567" w:right="567"/>
        <w:jc w:val="both"/>
        <w:rPr>
          <w:rFonts w:ascii="Palatino Linotype" w:eastAsia="MS Mincho" w:hAnsi="Palatino Linotype"/>
          <w:color w:val="222222"/>
          <w:sz w:val="22"/>
          <w:szCs w:val="22"/>
          <w:lang w:val="es-ES_tradnl"/>
        </w:rPr>
      </w:pPr>
      <w:r w:rsidRPr="0098115E">
        <w:rPr>
          <w:rFonts w:ascii="Palatino Linotype" w:eastAsia="MS Mincho" w:hAnsi="Palatino Linotype"/>
          <w:i/>
          <w:iCs/>
          <w:color w:val="000000"/>
          <w:sz w:val="22"/>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rsidR="0010719A" w:rsidRPr="0098115E" w:rsidRDefault="0010719A" w:rsidP="0010719A">
      <w:pPr>
        <w:numPr>
          <w:ilvl w:val="0"/>
          <w:numId w:val="2"/>
        </w:numPr>
        <w:shd w:val="clear" w:color="auto" w:fill="FFFFFF"/>
        <w:spacing w:before="240" w:after="240" w:line="360" w:lineRule="auto"/>
        <w:jc w:val="both"/>
        <w:rPr>
          <w:rFonts w:ascii="Palatino Linotype" w:hAnsi="Palatino Linotype"/>
          <w:color w:val="222222"/>
          <w:sz w:val="22"/>
          <w:szCs w:val="22"/>
        </w:rPr>
      </w:pPr>
      <w:r w:rsidRPr="0098115E">
        <w:rPr>
          <w:rFonts w:ascii="Palatino Linotype" w:hAnsi="Palatino Linotype"/>
          <w:color w:val="000000"/>
          <w:sz w:val="22"/>
          <w:szCs w:val="22"/>
          <w:lang w:val="es-ES_tradnl"/>
        </w:rPr>
        <w:t>Bajo éste tenor se debe destacar que para que se declare la inexistencia de la información, debió haber existencia previa de la documentación y la falta posterior de la misma en los archivos del </w:t>
      </w:r>
      <w:r w:rsidRPr="0098115E">
        <w:rPr>
          <w:rFonts w:ascii="Palatino Linotype" w:hAnsi="Palatino Linotype"/>
          <w:b/>
          <w:bCs/>
          <w:color w:val="000000"/>
          <w:sz w:val="22"/>
          <w:szCs w:val="22"/>
          <w:lang w:val="es-ES_tradnl"/>
        </w:rPr>
        <w:t>SUJETO OBLIGADO</w:t>
      </w:r>
      <w:r w:rsidRPr="0098115E">
        <w:rPr>
          <w:rFonts w:ascii="Palatino Linotype" w:hAnsi="Palatino Linotype"/>
          <w:color w:val="000000"/>
          <w:sz w:val="22"/>
          <w:szCs w:val="22"/>
          <w:lang w:val="es-ES_tradnl"/>
        </w:rPr>
        <w:t>, esto es que la información se generó, poseyó o administró en el marco de las atribuciones conferidas a al Sujeto Obligado, pero no la conserva por diversas razones (destrucción física, desaparición física, sustracción ilícita, baja documental, etcétera).</w:t>
      </w:r>
    </w:p>
    <w:p w:rsidR="00726E18" w:rsidRPr="0098115E" w:rsidRDefault="00726E18" w:rsidP="0010719A">
      <w:p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p>
    <w:p w:rsidR="00337A0D" w:rsidRPr="0098115E" w:rsidRDefault="00CB2883" w:rsidP="0010719A">
      <w:pPr>
        <w:numPr>
          <w:ilvl w:val="0"/>
          <w:numId w:val="2"/>
        </w:numPr>
        <w:pBdr>
          <w:top w:val="nil"/>
          <w:left w:val="nil"/>
          <w:bottom w:val="nil"/>
          <w:right w:val="nil"/>
          <w:between w:val="nil"/>
        </w:pBdr>
        <w:tabs>
          <w:tab w:val="left" w:pos="426"/>
        </w:tabs>
        <w:spacing w:line="360" w:lineRule="auto"/>
        <w:ind w:right="49"/>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98115E">
        <w:rPr>
          <w:rFonts w:ascii="Palatino Linotype" w:eastAsia="Palatino Linotype" w:hAnsi="Palatino Linotype" w:cs="Palatino Linotype"/>
          <w:b/>
          <w:color w:val="000000"/>
          <w:sz w:val="22"/>
          <w:szCs w:val="22"/>
        </w:rPr>
        <w:t>RECURRENTE</w:t>
      </w:r>
      <w:r w:rsidRPr="0098115E">
        <w:rPr>
          <w:rFonts w:ascii="Palatino Linotype" w:eastAsia="Palatino Linotype" w:hAnsi="Palatino Linotype" w:cs="Palatino Linotype"/>
          <w:color w:val="000000"/>
          <w:sz w:val="22"/>
          <w:szCs w:val="22"/>
        </w:rPr>
        <w:t xml:space="preserve"> dentro del recurso de revisión </w:t>
      </w:r>
      <w:r w:rsidRPr="0098115E">
        <w:rPr>
          <w:rFonts w:ascii="Palatino Linotype" w:eastAsia="Palatino Linotype" w:hAnsi="Palatino Linotype" w:cs="Palatino Linotype"/>
          <w:b/>
          <w:color w:val="000000"/>
          <w:sz w:val="22"/>
          <w:szCs w:val="22"/>
        </w:rPr>
        <w:t>06353/INFOEM/IP/RR/2024</w:t>
      </w:r>
      <w:r w:rsidRPr="0098115E">
        <w:rPr>
          <w:rFonts w:ascii="Palatino Linotype" w:eastAsia="Palatino Linotype" w:hAnsi="Palatino Linotype" w:cs="Palatino Linotype"/>
          <w:color w:val="000000"/>
          <w:sz w:val="22"/>
          <w:szCs w:val="22"/>
        </w:rPr>
        <w:t xml:space="preserve">; por ello, y con fundamento en </w:t>
      </w:r>
      <w:r w:rsidRPr="0098115E">
        <w:rPr>
          <w:rFonts w:ascii="Palatino Linotype" w:eastAsia="Palatino Linotype" w:hAnsi="Palatino Linotype" w:cs="Palatino Linotype"/>
          <w:color w:val="000000"/>
          <w:sz w:val="22"/>
          <w:szCs w:val="22"/>
        </w:rPr>
        <w:lastRenderedPageBreak/>
        <w:t xml:space="preserve">la fracción III del numeral 186 de la Ley de Transparencia y Acceso a la Información Pública del Estado de México y Municipios, se </w:t>
      </w:r>
      <w:r w:rsidRPr="0098115E">
        <w:rPr>
          <w:rFonts w:ascii="Palatino Linotype" w:eastAsia="Palatino Linotype" w:hAnsi="Palatino Linotype" w:cs="Palatino Linotype"/>
          <w:b/>
          <w:color w:val="000000"/>
          <w:sz w:val="22"/>
          <w:szCs w:val="22"/>
        </w:rPr>
        <w:t>REVOCA</w:t>
      </w:r>
      <w:r w:rsidRPr="0098115E">
        <w:rPr>
          <w:rFonts w:ascii="Palatino Linotype" w:eastAsia="Palatino Linotype" w:hAnsi="Palatino Linotype" w:cs="Palatino Linotype"/>
          <w:color w:val="000000"/>
          <w:sz w:val="22"/>
          <w:szCs w:val="22"/>
        </w:rPr>
        <w:t xml:space="preserve"> la respuesta a la solicitud de información número </w:t>
      </w:r>
      <w:r w:rsidRPr="0098115E">
        <w:rPr>
          <w:rFonts w:ascii="Palatino Linotype" w:eastAsia="Palatino Linotype" w:hAnsi="Palatino Linotype" w:cs="Palatino Linotype"/>
          <w:b/>
          <w:color w:val="000000"/>
          <w:sz w:val="22"/>
          <w:szCs w:val="22"/>
        </w:rPr>
        <w:t>00074/VIGUERRE/IP/2024</w:t>
      </w:r>
      <w:r w:rsidRPr="0098115E">
        <w:rPr>
          <w:rFonts w:ascii="Palatino Linotype" w:eastAsia="Palatino Linotype" w:hAnsi="Palatino Linotype" w:cs="Palatino Linotype"/>
          <w:color w:val="000000"/>
          <w:sz w:val="22"/>
          <w:szCs w:val="22"/>
        </w:rPr>
        <w:t>.</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i/>
          <w:color w:val="000000"/>
          <w:sz w:val="22"/>
          <w:szCs w:val="22"/>
        </w:rPr>
      </w:pPr>
    </w:p>
    <w:p w:rsidR="00337A0D" w:rsidRPr="0098115E" w:rsidRDefault="00CB2883"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sz w:val="22"/>
          <w:szCs w:val="22"/>
        </w:rPr>
      </w:pPr>
      <w:bookmarkStart w:id="7" w:name="_heading=h.30j0zll" w:colFirst="0" w:colLast="0"/>
      <w:bookmarkEnd w:id="7"/>
      <w:r w:rsidRPr="0098115E">
        <w:rPr>
          <w:rFonts w:ascii="Palatino Linotype" w:eastAsia="Palatino Linotype" w:hAnsi="Palatino Linotype" w:cs="Palatino Linotype"/>
          <w:b/>
          <w:color w:val="000000"/>
          <w:sz w:val="22"/>
          <w:szCs w:val="22"/>
        </w:rPr>
        <w:t>QUINTO. De la versión pública.</w:t>
      </w:r>
    </w:p>
    <w:p w:rsidR="00337A0D" w:rsidRPr="0098115E" w:rsidRDefault="00CB2883" w:rsidP="0010719A">
      <w:pPr>
        <w:numPr>
          <w:ilvl w:val="0"/>
          <w:numId w:val="2"/>
        </w:numPr>
        <w:pBdr>
          <w:top w:val="nil"/>
          <w:left w:val="nil"/>
          <w:bottom w:val="nil"/>
          <w:right w:val="nil"/>
          <w:between w:val="nil"/>
        </w:pBdr>
        <w:tabs>
          <w:tab w:val="left" w:pos="0"/>
        </w:tabs>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Debe destacarse que, debido a la naturaleza de la información solicitada</w:t>
      </w:r>
      <w:r w:rsidRPr="0098115E">
        <w:rPr>
          <w:rFonts w:ascii="Palatino Linotype" w:eastAsia="Palatino Linotype" w:hAnsi="Palatino Linotype" w:cs="Palatino Linotype"/>
          <w:b/>
          <w:color w:val="000000"/>
          <w:sz w:val="22"/>
          <w:szCs w:val="22"/>
        </w:rPr>
        <w:t xml:space="preserve"> </w:t>
      </w:r>
      <w:r w:rsidRPr="0098115E">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numPr>
          <w:ilvl w:val="0"/>
          <w:numId w:val="2"/>
        </w:numPr>
        <w:pBdr>
          <w:top w:val="nil"/>
          <w:left w:val="nil"/>
          <w:bottom w:val="nil"/>
          <w:right w:val="nil"/>
          <w:between w:val="nil"/>
        </w:pBdr>
        <w:spacing w:line="360" w:lineRule="auto"/>
        <w:ind w:right="-787"/>
        <w:jc w:val="both"/>
        <w:rPr>
          <w:rFonts w:ascii="Palatino Linotype" w:hAnsi="Palatino Linotype"/>
          <w:color w:val="000000"/>
          <w:sz w:val="22"/>
          <w:szCs w:val="22"/>
        </w:rPr>
      </w:pPr>
      <w:r w:rsidRPr="0098115E">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337A0D" w:rsidRPr="0098115E" w:rsidRDefault="00337A0D" w:rsidP="0010719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sz w:val="22"/>
          <w:szCs w:val="22"/>
        </w:rPr>
      </w:pPr>
    </w:p>
    <w:tbl>
      <w:tblPr>
        <w:tblStyle w:val="a0"/>
        <w:tblW w:w="973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295"/>
        <w:gridCol w:w="7440"/>
      </w:tblGrid>
      <w:tr w:rsidR="00337A0D" w:rsidRPr="0098115E" w:rsidTr="00337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rsidR="00337A0D" w:rsidRPr="0098115E" w:rsidRDefault="00CB2883" w:rsidP="0010719A">
            <w:pPr>
              <w:spacing w:line="360" w:lineRule="auto"/>
              <w:ind w:right="32"/>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t>a) Requisitos previos.</w:t>
            </w:r>
          </w:p>
        </w:tc>
        <w:tc>
          <w:tcPr>
            <w:tcW w:w="7440" w:type="dxa"/>
          </w:tcPr>
          <w:p w:rsidR="00337A0D" w:rsidRPr="0098115E" w:rsidRDefault="00CB2883" w:rsidP="0010719A">
            <w:pPr>
              <w:spacing w:line="360" w:lineRule="auto"/>
              <w:ind w:right="3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37A0D" w:rsidRPr="0098115E" w:rsidRDefault="00CB2883" w:rsidP="0010719A">
            <w:pPr>
              <w:spacing w:line="360" w:lineRule="auto"/>
              <w:ind w:right="3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t>Al hacerlo tienen que precisar de qué información se trata, señalando el supuesto de clasificación (confidencialidad o reserva).</w:t>
            </w:r>
          </w:p>
          <w:p w:rsidR="00337A0D" w:rsidRPr="0098115E" w:rsidRDefault="00CB2883" w:rsidP="0010719A">
            <w:pPr>
              <w:spacing w:line="360" w:lineRule="auto"/>
              <w:ind w:right="3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t>Además, se debe señalar el procedimiento, de los tres que establecen los artículos 132 y 106 de la Ley Estatal y General, respectivamente.</w:t>
            </w:r>
          </w:p>
          <w:p w:rsidR="00337A0D" w:rsidRPr="0098115E" w:rsidRDefault="00CB2883" w:rsidP="0010719A">
            <w:pPr>
              <w:spacing w:line="360" w:lineRule="auto"/>
              <w:ind w:right="3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lastRenderedPageBreak/>
              <w:t xml:space="preserve">El último de estos requisitos previos consiste en que no se pueden emitir acuerdos de carácter general ni particular, esto es, </w:t>
            </w:r>
            <w:r w:rsidRPr="0098115E">
              <w:rPr>
                <w:rFonts w:ascii="Palatino Linotype" w:eastAsia="Palatino Linotype" w:hAnsi="Palatino Linotype" w:cs="Palatino Linotype"/>
                <w:b w:val="0"/>
                <w:sz w:val="22"/>
                <w:szCs w:val="22"/>
                <w:u w:val="single"/>
              </w:rPr>
              <w:t xml:space="preserve">no se puede hacer un acuerdo para clasificar de manera general todos los documentos de un expediente o área,  </w:t>
            </w:r>
            <w:r w:rsidRPr="0098115E">
              <w:rPr>
                <w:rFonts w:ascii="Palatino Linotype" w:eastAsia="Palatino Linotype" w:hAnsi="Palatino Linotype" w:cs="Palatino Linotype"/>
                <w:b w:val="0"/>
                <w:sz w:val="22"/>
                <w:szCs w:val="22"/>
              </w:rPr>
              <w:t>sin individualizar su análisis y tampoco se puede hacer un acuerdo por cada dato que se vaya a clasificar dentro de un documento con diez datos, por ejemplo, susceptibles de ser clasificados.</w:t>
            </w:r>
          </w:p>
        </w:tc>
      </w:tr>
      <w:tr w:rsidR="00337A0D" w:rsidRPr="0098115E" w:rsidTr="0033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rsidR="00337A0D" w:rsidRPr="0098115E" w:rsidRDefault="00CB2883" w:rsidP="0010719A">
            <w:pPr>
              <w:spacing w:line="360" w:lineRule="auto"/>
              <w:ind w:right="32"/>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lastRenderedPageBreak/>
              <w:t>b) Supuestos de clasificación.</w:t>
            </w:r>
          </w:p>
        </w:tc>
        <w:tc>
          <w:tcPr>
            <w:tcW w:w="7440" w:type="dxa"/>
          </w:tcPr>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37A0D" w:rsidRPr="0098115E" w:rsidTr="00337A0D">
        <w:tc>
          <w:tcPr>
            <w:cnfStyle w:val="001000000000" w:firstRow="0" w:lastRow="0" w:firstColumn="1" w:lastColumn="0" w:oddVBand="0" w:evenVBand="0" w:oddHBand="0" w:evenHBand="0" w:firstRowFirstColumn="0" w:firstRowLastColumn="0" w:lastRowFirstColumn="0" w:lastRowLastColumn="0"/>
            <w:tcW w:w="2295" w:type="dxa"/>
          </w:tcPr>
          <w:p w:rsidR="00337A0D" w:rsidRPr="0098115E" w:rsidRDefault="00CB2883" w:rsidP="0010719A">
            <w:pPr>
              <w:spacing w:line="360" w:lineRule="auto"/>
              <w:ind w:right="32"/>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t>c) Formalidades para emitir el acuerdo de clasificación.</w:t>
            </w:r>
          </w:p>
        </w:tc>
        <w:tc>
          <w:tcPr>
            <w:tcW w:w="7440" w:type="dxa"/>
          </w:tcPr>
          <w:p w:rsidR="00337A0D" w:rsidRPr="0098115E" w:rsidRDefault="00CB2883" w:rsidP="0010719A">
            <w:pPr>
              <w:spacing w:line="360" w:lineRule="auto"/>
              <w:ind w:right="3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337A0D" w:rsidRPr="0098115E" w:rsidRDefault="00CB2883" w:rsidP="0010719A">
            <w:pPr>
              <w:spacing w:line="360" w:lineRule="auto"/>
              <w:ind w:right="3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lastRenderedPageBreak/>
              <w:t xml:space="preserve">Es necesario que </w:t>
            </w:r>
            <w:r w:rsidRPr="0098115E">
              <w:rPr>
                <w:rFonts w:ascii="Palatino Linotype" w:eastAsia="Palatino Linotype" w:hAnsi="Palatino Linotype" w:cs="Palatino Linotype"/>
                <w:sz w:val="22"/>
                <w:szCs w:val="22"/>
                <w:u w:val="single"/>
              </w:rPr>
              <w:t>el acto reúna con los requisitos elementales</w:t>
            </w:r>
            <w:r w:rsidRPr="0098115E">
              <w:rPr>
                <w:rFonts w:ascii="Palatino Linotype" w:eastAsia="Palatino Linotype" w:hAnsi="Palatino Linotype" w:cs="Palatino Linotype"/>
                <w:sz w:val="22"/>
                <w:szCs w:val="22"/>
              </w:rPr>
              <w:t>, entre ellos, que la autoridad que va a emitir el acto de autoridad sea la legalmente facultada para ello.</w:t>
            </w:r>
          </w:p>
          <w:p w:rsidR="00337A0D" w:rsidRPr="0098115E" w:rsidRDefault="00CB2883" w:rsidP="0010719A">
            <w:pPr>
              <w:spacing w:line="360" w:lineRule="auto"/>
              <w:ind w:right="3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37A0D" w:rsidRPr="0098115E" w:rsidTr="00337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rsidR="00337A0D" w:rsidRPr="0098115E" w:rsidRDefault="00337A0D" w:rsidP="0010719A">
            <w:pPr>
              <w:spacing w:line="360" w:lineRule="auto"/>
              <w:ind w:right="32"/>
              <w:rPr>
                <w:rFonts w:ascii="Palatino Linotype" w:eastAsia="Palatino Linotype" w:hAnsi="Palatino Linotype" w:cs="Palatino Linotype"/>
                <w:sz w:val="22"/>
                <w:szCs w:val="22"/>
              </w:rPr>
            </w:pPr>
          </w:p>
          <w:p w:rsidR="00337A0D" w:rsidRPr="0098115E" w:rsidRDefault="00CB2883" w:rsidP="0010719A">
            <w:pPr>
              <w:spacing w:line="360" w:lineRule="auto"/>
              <w:ind w:right="32"/>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t xml:space="preserve">d) Requisitos de fondo del acuerdo de clasificación. </w:t>
            </w:r>
          </w:p>
        </w:tc>
        <w:tc>
          <w:tcPr>
            <w:tcW w:w="7440" w:type="dxa"/>
          </w:tcPr>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w:t>
            </w:r>
            <w:r w:rsidRPr="0098115E">
              <w:rPr>
                <w:rFonts w:ascii="Palatino Linotype" w:eastAsia="Palatino Linotype" w:hAnsi="Palatino Linotype" w:cs="Palatino Linotype"/>
                <w:sz w:val="22"/>
                <w:szCs w:val="22"/>
              </w:rPr>
              <w:lastRenderedPageBreak/>
              <w:t>tomó en cuenta la autoridad para adecuar el hecho a los fundamentos de derecho. De este modo, la persona que se sienta afectada pueda impugnar la decisión, permitiéndole una real y auténtica defensa.</w:t>
            </w:r>
          </w:p>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337A0D" w:rsidRPr="0098115E" w:rsidRDefault="00CB2883" w:rsidP="0010719A">
            <w:pPr>
              <w:spacing w:line="360" w:lineRule="auto"/>
              <w:ind w:right="3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Ahora bien, </w:t>
            </w:r>
            <w:r w:rsidRPr="0098115E">
              <w:rPr>
                <w:rFonts w:ascii="Palatino Linotype" w:eastAsia="Palatino Linotype" w:hAnsi="Palatino Linotype" w:cs="Palatino Linotype"/>
                <w:sz w:val="22"/>
                <w:szCs w:val="22"/>
                <w:u w:val="single"/>
              </w:rPr>
              <w:t>para cada caso además de fundar y motivar</w:t>
            </w:r>
            <w:r w:rsidRPr="0098115E">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37A0D" w:rsidRPr="0098115E" w:rsidTr="00337A0D">
        <w:tc>
          <w:tcPr>
            <w:cnfStyle w:val="001000000000" w:firstRow="0" w:lastRow="0" w:firstColumn="1" w:lastColumn="0" w:oddVBand="0" w:evenVBand="0" w:oddHBand="0" w:evenHBand="0" w:firstRowFirstColumn="0" w:firstRowLastColumn="0" w:lastRowFirstColumn="0" w:lastRowLastColumn="0"/>
            <w:tcW w:w="2295" w:type="dxa"/>
          </w:tcPr>
          <w:p w:rsidR="00337A0D" w:rsidRPr="0098115E" w:rsidRDefault="00CB2883" w:rsidP="0010719A">
            <w:pPr>
              <w:spacing w:line="360" w:lineRule="auto"/>
              <w:ind w:right="32"/>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b w:val="0"/>
                <w:sz w:val="22"/>
                <w:szCs w:val="22"/>
              </w:rPr>
              <w:lastRenderedPageBreak/>
              <w:t xml:space="preserve">e) Condiciones especiales de la clasificación de la información como confidencial. </w:t>
            </w:r>
          </w:p>
          <w:p w:rsidR="00337A0D" w:rsidRPr="0098115E" w:rsidRDefault="00337A0D" w:rsidP="0010719A">
            <w:pPr>
              <w:spacing w:line="360" w:lineRule="auto"/>
              <w:ind w:right="32"/>
              <w:rPr>
                <w:rFonts w:ascii="Palatino Linotype" w:eastAsia="Palatino Linotype" w:hAnsi="Palatino Linotype" w:cs="Palatino Linotype"/>
                <w:sz w:val="22"/>
                <w:szCs w:val="22"/>
              </w:rPr>
            </w:pPr>
          </w:p>
        </w:tc>
        <w:tc>
          <w:tcPr>
            <w:tcW w:w="7440" w:type="dxa"/>
          </w:tcPr>
          <w:p w:rsidR="00337A0D" w:rsidRPr="0098115E" w:rsidRDefault="00CB2883" w:rsidP="0010719A">
            <w:pPr>
              <w:spacing w:line="360" w:lineRule="auto"/>
              <w:ind w:right="3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337A0D" w:rsidRPr="0098115E" w:rsidRDefault="00CB2883" w:rsidP="0010719A">
            <w:pPr>
              <w:spacing w:line="360" w:lineRule="auto"/>
              <w:ind w:right="3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37A0D" w:rsidRPr="0098115E" w:rsidRDefault="00CB2883" w:rsidP="0010719A">
            <w:pPr>
              <w:spacing w:line="360" w:lineRule="auto"/>
              <w:ind w:right="32"/>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37A0D" w:rsidRPr="0098115E" w:rsidRDefault="00337A0D" w:rsidP="0010719A">
      <w:pPr>
        <w:shd w:val="clear" w:color="auto" w:fill="FFFFFF"/>
        <w:spacing w:before="240" w:after="240" w:line="360" w:lineRule="auto"/>
        <w:ind w:right="-787"/>
        <w:jc w:val="both"/>
        <w:rPr>
          <w:rFonts w:ascii="Palatino Linotype" w:eastAsia="Palatino Linotype" w:hAnsi="Palatino Linotype" w:cs="Palatino Linotype"/>
          <w:color w:val="222222"/>
          <w:sz w:val="22"/>
          <w:szCs w:val="22"/>
        </w:rPr>
      </w:pPr>
    </w:p>
    <w:p w:rsidR="00337A0D" w:rsidRPr="0098115E" w:rsidRDefault="00CB2883" w:rsidP="0010719A">
      <w:pPr>
        <w:numPr>
          <w:ilvl w:val="0"/>
          <w:numId w:val="2"/>
        </w:numPr>
        <w:shd w:val="clear" w:color="auto" w:fill="FFFFFF"/>
        <w:spacing w:before="240" w:after="240" w:line="360" w:lineRule="auto"/>
        <w:ind w:right="-787"/>
        <w:jc w:val="both"/>
        <w:rPr>
          <w:rFonts w:ascii="Palatino Linotype" w:hAnsi="Palatino Linotype"/>
          <w:color w:val="222222"/>
          <w:sz w:val="22"/>
          <w:szCs w:val="22"/>
        </w:rPr>
      </w:pPr>
      <w:r w:rsidRPr="0098115E">
        <w:rPr>
          <w:rFonts w:ascii="Palatino Linotype" w:eastAsia="Palatino Linotype" w:hAnsi="Palatino Linotype" w:cs="Palatino Linotype"/>
          <w:sz w:val="22"/>
          <w:szCs w:val="22"/>
        </w:rPr>
        <w:t xml:space="preserve">Por lo anteriormente expuesto y fundado, este </w:t>
      </w:r>
      <w:r w:rsidRPr="0098115E">
        <w:rPr>
          <w:rFonts w:ascii="Palatino Linotype" w:eastAsia="Palatino Linotype" w:hAnsi="Palatino Linotype" w:cs="Palatino Linotype"/>
          <w:b/>
          <w:sz w:val="22"/>
          <w:szCs w:val="22"/>
        </w:rPr>
        <w:t>ÓRGANO GARANTE</w:t>
      </w:r>
      <w:r w:rsidRPr="0098115E">
        <w:rPr>
          <w:rFonts w:ascii="Palatino Linotype" w:eastAsia="Palatino Linotype" w:hAnsi="Palatino Linotype" w:cs="Palatino Linotype"/>
          <w:sz w:val="22"/>
          <w:szCs w:val="22"/>
        </w:rPr>
        <w:t xml:space="preserve"> emite los siguientes:</w:t>
      </w:r>
    </w:p>
    <w:p w:rsidR="00337A0D" w:rsidRPr="0098115E" w:rsidRDefault="00CB2883" w:rsidP="0010719A">
      <w:pPr>
        <w:keepNext/>
        <w:keepLines/>
        <w:spacing w:line="360" w:lineRule="auto"/>
        <w:ind w:right="-787"/>
        <w:jc w:val="center"/>
        <w:rPr>
          <w:rFonts w:ascii="Palatino Linotype" w:eastAsia="Palatino Linotype" w:hAnsi="Palatino Linotype" w:cs="Palatino Linotype"/>
          <w:b/>
          <w:color w:val="000000"/>
          <w:sz w:val="22"/>
          <w:szCs w:val="22"/>
        </w:rPr>
      </w:pPr>
      <w:bookmarkStart w:id="8" w:name="_heading=h.17dp8vu" w:colFirst="0" w:colLast="0"/>
      <w:bookmarkEnd w:id="8"/>
      <w:r w:rsidRPr="0098115E">
        <w:rPr>
          <w:rFonts w:ascii="Palatino Linotype" w:eastAsia="Palatino Linotype" w:hAnsi="Palatino Linotype" w:cs="Palatino Linotype"/>
          <w:b/>
          <w:color w:val="000000"/>
          <w:sz w:val="22"/>
          <w:szCs w:val="22"/>
        </w:rPr>
        <w:t>R E S O L U T I V O S</w:t>
      </w:r>
    </w:p>
    <w:p w:rsidR="00337A0D" w:rsidRPr="0098115E" w:rsidRDefault="00337A0D" w:rsidP="0010719A">
      <w:pPr>
        <w:keepNext/>
        <w:keepLines/>
        <w:spacing w:line="360" w:lineRule="auto"/>
        <w:ind w:right="-787"/>
        <w:jc w:val="center"/>
        <w:rPr>
          <w:rFonts w:ascii="Palatino Linotype" w:eastAsia="Palatino Linotype" w:hAnsi="Palatino Linotype" w:cs="Palatino Linotype"/>
          <w:b/>
          <w:color w:val="000000"/>
          <w:sz w:val="22"/>
          <w:szCs w:val="22"/>
        </w:rPr>
      </w:pPr>
    </w:p>
    <w:p w:rsidR="00337A0D" w:rsidRPr="0098115E" w:rsidRDefault="00CB2883" w:rsidP="0010719A">
      <w:pP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b/>
          <w:sz w:val="22"/>
          <w:szCs w:val="22"/>
        </w:rPr>
        <w:t>PRIMERO</w:t>
      </w:r>
      <w:r w:rsidRPr="0098115E">
        <w:rPr>
          <w:rFonts w:ascii="Palatino Linotype" w:eastAsia="Palatino Linotype" w:hAnsi="Palatino Linotype" w:cs="Palatino Linotype"/>
          <w:sz w:val="22"/>
          <w:szCs w:val="22"/>
        </w:rPr>
        <w:t xml:space="preserve">. Resultan fundadas las razones o motivos de inconformidad hechos valer en el Recurso de Revisión </w:t>
      </w:r>
      <w:r w:rsidRPr="0098115E">
        <w:rPr>
          <w:rFonts w:ascii="Palatino Linotype" w:eastAsia="Palatino Linotype" w:hAnsi="Palatino Linotype" w:cs="Palatino Linotype"/>
          <w:b/>
          <w:sz w:val="22"/>
          <w:szCs w:val="22"/>
        </w:rPr>
        <w:t>06353/INFOEM/IP/RR/2024</w:t>
      </w:r>
      <w:r w:rsidRPr="0098115E">
        <w:rPr>
          <w:rFonts w:ascii="Palatino Linotype" w:eastAsia="Palatino Linotype" w:hAnsi="Palatino Linotype" w:cs="Palatino Linotype"/>
          <w:sz w:val="22"/>
          <w:szCs w:val="22"/>
        </w:rPr>
        <w:t>,</w:t>
      </w:r>
      <w:r w:rsidRPr="0098115E">
        <w:rPr>
          <w:rFonts w:ascii="Palatino Linotype" w:eastAsia="Palatino Linotype" w:hAnsi="Palatino Linotype" w:cs="Palatino Linotype"/>
          <w:b/>
          <w:sz w:val="22"/>
          <w:szCs w:val="22"/>
        </w:rPr>
        <w:t xml:space="preserve"> </w:t>
      </w:r>
      <w:r w:rsidRPr="0098115E">
        <w:rPr>
          <w:rFonts w:ascii="Palatino Linotype" w:eastAsia="Palatino Linotype" w:hAnsi="Palatino Linotype" w:cs="Palatino Linotype"/>
          <w:sz w:val="22"/>
          <w:szCs w:val="22"/>
        </w:rPr>
        <w:t>en términos de los Considerandos</w:t>
      </w:r>
      <w:r w:rsidRPr="0098115E">
        <w:rPr>
          <w:rFonts w:ascii="Palatino Linotype" w:eastAsia="Palatino Linotype" w:hAnsi="Palatino Linotype" w:cs="Palatino Linotype"/>
          <w:b/>
          <w:sz w:val="22"/>
          <w:szCs w:val="22"/>
        </w:rPr>
        <w:t xml:space="preserve"> Cuarto y Quinto </w:t>
      </w:r>
      <w:r w:rsidRPr="0098115E">
        <w:rPr>
          <w:rFonts w:ascii="Palatino Linotype" w:eastAsia="Palatino Linotype" w:hAnsi="Palatino Linotype" w:cs="Palatino Linotype"/>
          <w:sz w:val="22"/>
          <w:szCs w:val="22"/>
        </w:rPr>
        <w:t xml:space="preserve">de la presente resolución. </w:t>
      </w:r>
    </w:p>
    <w:p w:rsidR="00337A0D" w:rsidRPr="0098115E" w:rsidRDefault="00337A0D" w:rsidP="0010719A">
      <w:pPr>
        <w:spacing w:line="360" w:lineRule="auto"/>
        <w:ind w:right="-787"/>
        <w:jc w:val="both"/>
        <w:rPr>
          <w:rFonts w:ascii="Palatino Linotype" w:eastAsia="Palatino Linotype" w:hAnsi="Palatino Linotype" w:cs="Palatino Linotype"/>
          <w:sz w:val="22"/>
          <w:szCs w:val="22"/>
        </w:rPr>
      </w:pPr>
    </w:p>
    <w:p w:rsidR="00337A0D" w:rsidRPr="0098115E" w:rsidRDefault="00CB2883" w:rsidP="0010719A">
      <w:pPr>
        <w:spacing w:line="360" w:lineRule="auto"/>
        <w:ind w:right="-787"/>
        <w:jc w:val="both"/>
        <w:rPr>
          <w:rFonts w:ascii="Palatino Linotype" w:eastAsia="Palatino Linotype" w:hAnsi="Palatino Linotype" w:cs="Palatino Linotype"/>
          <w:sz w:val="22"/>
          <w:szCs w:val="22"/>
        </w:rPr>
      </w:pPr>
      <w:bookmarkStart w:id="9" w:name="_heading=h.3rdcrjn" w:colFirst="0" w:colLast="0"/>
      <w:bookmarkEnd w:id="9"/>
      <w:r w:rsidRPr="0098115E">
        <w:rPr>
          <w:rFonts w:ascii="Palatino Linotype" w:eastAsia="Palatino Linotype" w:hAnsi="Palatino Linotype" w:cs="Palatino Linotype"/>
          <w:b/>
          <w:sz w:val="22"/>
          <w:szCs w:val="22"/>
        </w:rPr>
        <w:t xml:space="preserve">SEGUNDO. </w:t>
      </w:r>
      <w:r w:rsidRPr="0098115E">
        <w:rPr>
          <w:rFonts w:ascii="Palatino Linotype" w:eastAsia="Palatino Linotype" w:hAnsi="Palatino Linotype" w:cs="Palatino Linotype"/>
          <w:color w:val="000000"/>
          <w:sz w:val="22"/>
          <w:szCs w:val="22"/>
        </w:rPr>
        <w:t xml:space="preserve">Se </w:t>
      </w:r>
      <w:r w:rsidRPr="0098115E">
        <w:rPr>
          <w:rFonts w:ascii="Palatino Linotype" w:eastAsia="Palatino Linotype" w:hAnsi="Palatino Linotype" w:cs="Palatino Linotype"/>
          <w:b/>
          <w:color w:val="000000"/>
          <w:sz w:val="22"/>
          <w:szCs w:val="22"/>
        </w:rPr>
        <w:t xml:space="preserve">REVOCA </w:t>
      </w:r>
      <w:r w:rsidRPr="0098115E">
        <w:rPr>
          <w:rFonts w:ascii="Palatino Linotype" w:eastAsia="Palatino Linotype" w:hAnsi="Palatino Linotype" w:cs="Palatino Linotype"/>
          <w:color w:val="000000"/>
          <w:sz w:val="22"/>
          <w:szCs w:val="22"/>
        </w:rPr>
        <w:t xml:space="preserve">la respuesta emitida por el </w:t>
      </w:r>
      <w:r w:rsidRPr="0098115E">
        <w:rPr>
          <w:rFonts w:ascii="Palatino Linotype" w:eastAsia="Palatino Linotype" w:hAnsi="Palatino Linotype" w:cs="Palatino Linotype"/>
          <w:b/>
          <w:color w:val="000000"/>
          <w:sz w:val="22"/>
          <w:szCs w:val="22"/>
        </w:rPr>
        <w:t xml:space="preserve">Ayuntamiento de Villa Guerrero </w:t>
      </w:r>
      <w:r w:rsidRPr="0098115E">
        <w:rPr>
          <w:rFonts w:ascii="Palatino Linotype" w:eastAsia="Palatino Linotype" w:hAnsi="Palatino Linotype" w:cs="Palatino Linotype"/>
          <w:color w:val="000000"/>
          <w:sz w:val="22"/>
          <w:szCs w:val="22"/>
        </w:rPr>
        <w:t xml:space="preserve">y se </w:t>
      </w:r>
      <w:r w:rsidRPr="0098115E">
        <w:rPr>
          <w:rFonts w:ascii="Palatino Linotype" w:eastAsia="Palatino Linotype" w:hAnsi="Palatino Linotype" w:cs="Palatino Linotype"/>
          <w:b/>
          <w:color w:val="000000"/>
          <w:sz w:val="22"/>
          <w:szCs w:val="22"/>
        </w:rPr>
        <w:t>ORDENA</w:t>
      </w:r>
      <w:r w:rsidRPr="0098115E">
        <w:rPr>
          <w:rFonts w:ascii="Palatino Linotype" w:eastAsia="Palatino Linotype" w:hAnsi="Palatino Linotype" w:cs="Palatino Linotype"/>
          <w:color w:val="000000"/>
          <w:sz w:val="22"/>
          <w:szCs w:val="22"/>
        </w:rPr>
        <w:t xml:space="preserve"> entregar vía Sistema de Acceso a la Información Mexiquense </w:t>
      </w:r>
      <w:r w:rsidRPr="0098115E">
        <w:rPr>
          <w:rFonts w:ascii="Palatino Linotype" w:eastAsia="Palatino Linotype" w:hAnsi="Palatino Linotype" w:cs="Palatino Linotype"/>
          <w:b/>
          <w:color w:val="000000"/>
          <w:sz w:val="22"/>
          <w:szCs w:val="22"/>
        </w:rPr>
        <w:t xml:space="preserve">(SAIMEX), </w:t>
      </w:r>
      <w:r w:rsidRPr="0098115E">
        <w:rPr>
          <w:rFonts w:ascii="Palatino Linotype" w:eastAsia="Palatino Linotype" w:hAnsi="Palatino Linotype" w:cs="Palatino Linotype"/>
          <w:color w:val="000000"/>
          <w:sz w:val="22"/>
          <w:szCs w:val="22"/>
        </w:rPr>
        <w:t>de ser procedente en versión pública</w:t>
      </w:r>
      <w:r w:rsidRPr="0098115E">
        <w:rPr>
          <w:rFonts w:ascii="Palatino Linotype" w:eastAsia="Palatino Linotype" w:hAnsi="Palatino Linotype" w:cs="Palatino Linotype"/>
          <w:b/>
          <w:color w:val="000000"/>
          <w:sz w:val="22"/>
          <w:szCs w:val="22"/>
        </w:rPr>
        <w:t xml:space="preserve">, </w:t>
      </w:r>
      <w:r w:rsidRPr="0098115E">
        <w:rPr>
          <w:rFonts w:ascii="Palatino Linotype" w:eastAsia="Palatino Linotype" w:hAnsi="Palatino Linotype" w:cs="Palatino Linotype"/>
          <w:color w:val="000000"/>
          <w:sz w:val="22"/>
          <w:szCs w:val="22"/>
        </w:rPr>
        <w:t>la siguiente información:</w:t>
      </w:r>
    </w:p>
    <w:p w:rsidR="00337A0D" w:rsidRPr="0098115E" w:rsidRDefault="00337A0D" w:rsidP="0010719A">
      <w:pPr>
        <w:tabs>
          <w:tab w:val="left" w:pos="8080"/>
        </w:tabs>
        <w:spacing w:line="360" w:lineRule="auto"/>
        <w:ind w:right="-787"/>
        <w:jc w:val="both"/>
        <w:rPr>
          <w:rFonts w:ascii="Palatino Linotype" w:eastAsia="Palatino Linotype" w:hAnsi="Palatino Linotype" w:cs="Palatino Linotype"/>
          <w:sz w:val="22"/>
          <w:szCs w:val="22"/>
        </w:rPr>
      </w:pPr>
    </w:p>
    <w:p w:rsidR="00337A0D" w:rsidRPr="0098115E" w:rsidRDefault="00CB2883" w:rsidP="0010719A">
      <w:pPr>
        <w:numPr>
          <w:ilvl w:val="0"/>
          <w:numId w:val="3"/>
        </w:numPr>
        <w:pBdr>
          <w:top w:val="nil"/>
          <w:left w:val="nil"/>
          <w:bottom w:val="nil"/>
          <w:right w:val="nil"/>
          <w:between w:val="nil"/>
        </w:pBdr>
        <w:tabs>
          <w:tab w:val="left" w:pos="993"/>
        </w:tabs>
        <w:spacing w:line="360" w:lineRule="auto"/>
        <w:ind w:right="-787" w:hanging="152"/>
        <w:jc w:val="both"/>
        <w:rPr>
          <w:rFonts w:ascii="Palatino Linotype" w:eastAsia="Palatino Linotype" w:hAnsi="Palatino Linotype" w:cs="Palatino Linotype"/>
          <w:b/>
          <w:sz w:val="22"/>
          <w:szCs w:val="22"/>
        </w:rPr>
      </w:pPr>
      <w:r w:rsidRPr="0098115E">
        <w:rPr>
          <w:rFonts w:ascii="Palatino Linotype" w:eastAsia="Palatino Linotype" w:hAnsi="Palatino Linotype" w:cs="Palatino Linotype"/>
          <w:b/>
          <w:color w:val="000000"/>
          <w:sz w:val="22"/>
          <w:szCs w:val="22"/>
        </w:rPr>
        <w:t xml:space="preserve">Soporte documental donde conste el cargo o cargos que </w:t>
      </w:r>
      <w:r w:rsidRPr="0098115E">
        <w:rPr>
          <w:rFonts w:ascii="Palatino Linotype" w:eastAsia="Palatino Linotype" w:hAnsi="Palatino Linotype" w:cs="Palatino Linotype"/>
          <w:b/>
          <w:sz w:val="22"/>
          <w:szCs w:val="22"/>
        </w:rPr>
        <w:t>ostentó</w:t>
      </w:r>
      <w:r w:rsidRPr="0098115E">
        <w:rPr>
          <w:rFonts w:ascii="Palatino Linotype" w:eastAsia="Palatino Linotype" w:hAnsi="Palatino Linotype" w:cs="Palatino Linotype"/>
          <w:b/>
          <w:color w:val="000000"/>
          <w:sz w:val="22"/>
          <w:szCs w:val="22"/>
        </w:rPr>
        <w:t xml:space="preserve"> la servidora pública referida en la solicitud de información 00074/VIGUERRE/IP/2024, del periodo comprendido del primero de enero de dos mil diez al veintiséis de septiembre de dos mil veinticuatro. </w:t>
      </w:r>
    </w:p>
    <w:p w:rsidR="00337A0D" w:rsidRPr="0098115E" w:rsidRDefault="00337A0D" w:rsidP="0010719A">
      <w:pPr>
        <w:pBdr>
          <w:top w:val="nil"/>
          <w:left w:val="nil"/>
          <w:bottom w:val="nil"/>
          <w:right w:val="nil"/>
          <w:between w:val="nil"/>
        </w:pBdr>
        <w:tabs>
          <w:tab w:val="left" w:pos="993"/>
        </w:tabs>
        <w:spacing w:line="360" w:lineRule="auto"/>
        <w:ind w:right="-787"/>
        <w:jc w:val="both"/>
        <w:rPr>
          <w:rFonts w:ascii="Palatino Linotype" w:eastAsia="Palatino Linotype" w:hAnsi="Palatino Linotype" w:cs="Palatino Linotype"/>
          <w:b/>
          <w:sz w:val="22"/>
          <w:szCs w:val="22"/>
        </w:rPr>
      </w:pPr>
    </w:p>
    <w:p w:rsidR="00337A0D" w:rsidRPr="0098115E" w:rsidRDefault="00CB2883" w:rsidP="0010719A">
      <w:pP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911495" w:rsidRPr="0098115E" w:rsidRDefault="00911495" w:rsidP="0010719A">
      <w:pPr>
        <w:spacing w:line="360" w:lineRule="auto"/>
        <w:ind w:right="-787"/>
        <w:jc w:val="both"/>
        <w:rPr>
          <w:rFonts w:ascii="Palatino Linotype" w:eastAsia="Palatino Linotype" w:hAnsi="Palatino Linotype" w:cs="Palatino Linotype"/>
          <w:sz w:val="22"/>
          <w:szCs w:val="22"/>
        </w:rPr>
      </w:pPr>
    </w:p>
    <w:p w:rsidR="00337A0D" w:rsidRPr="0098115E" w:rsidRDefault="0010719A" w:rsidP="0010719A">
      <w:pP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sz w:val="22"/>
          <w:szCs w:val="22"/>
        </w:rPr>
        <w:t xml:space="preserve">Para el caso de que la información que se ordena entregar en el inciso a), no obre en los archivos del Sujeto Obligado, deberá emitir Acuerdo emitido por el Comité de Transparencia en el que se declare </w:t>
      </w:r>
      <w:r w:rsidRPr="0098115E">
        <w:rPr>
          <w:rFonts w:ascii="Palatino Linotype" w:eastAsia="Palatino Linotype" w:hAnsi="Palatino Linotype" w:cs="Palatino Linotype"/>
          <w:sz w:val="22"/>
          <w:szCs w:val="22"/>
        </w:rPr>
        <w:lastRenderedPageBreak/>
        <w:t xml:space="preserve">la inexistencia por baja documental en términos del artículo 19, párrafo tercero de la Ley de Transparencia y Acceso a la Información Pública del Estado de México y Municipios. </w:t>
      </w:r>
    </w:p>
    <w:p w:rsidR="0010719A" w:rsidRPr="0098115E" w:rsidRDefault="0010719A" w:rsidP="0010719A">
      <w:pPr>
        <w:spacing w:line="360" w:lineRule="auto"/>
        <w:ind w:right="-787"/>
        <w:jc w:val="both"/>
        <w:rPr>
          <w:rFonts w:ascii="Palatino Linotype" w:eastAsia="Palatino Linotype" w:hAnsi="Palatino Linotype" w:cs="Palatino Linotype"/>
          <w:b/>
          <w:sz w:val="22"/>
          <w:szCs w:val="22"/>
        </w:rPr>
      </w:pPr>
    </w:p>
    <w:p w:rsidR="00337A0D" w:rsidRPr="0098115E" w:rsidRDefault="00CB2883" w:rsidP="0010719A">
      <w:pPr>
        <w:tabs>
          <w:tab w:val="left" w:pos="8080"/>
        </w:tabs>
        <w:spacing w:line="360" w:lineRule="auto"/>
        <w:ind w:right="-787"/>
        <w:jc w:val="both"/>
        <w:rPr>
          <w:rFonts w:ascii="Palatino Linotype" w:eastAsia="Palatino Linotype" w:hAnsi="Palatino Linotype" w:cs="Palatino Linotype"/>
          <w:color w:val="222222"/>
          <w:sz w:val="22"/>
          <w:szCs w:val="22"/>
        </w:rPr>
      </w:pPr>
      <w:r w:rsidRPr="0098115E">
        <w:rPr>
          <w:rFonts w:ascii="Palatino Linotype" w:eastAsia="Palatino Linotype" w:hAnsi="Palatino Linotype" w:cs="Palatino Linotype"/>
          <w:b/>
          <w:sz w:val="22"/>
          <w:szCs w:val="22"/>
        </w:rPr>
        <w:t xml:space="preserve">TERCERO. Notifíquese </w:t>
      </w:r>
      <w:r w:rsidRPr="0098115E">
        <w:rPr>
          <w:rFonts w:ascii="Palatino Linotype" w:eastAsia="Palatino Linotype" w:hAnsi="Palatino Linotype" w:cs="Palatino Linotype"/>
          <w:sz w:val="22"/>
          <w:szCs w:val="22"/>
        </w:rPr>
        <w:t xml:space="preserve">vía </w:t>
      </w:r>
      <w:r w:rsidRPr="0098115E">
        <w:rPr>
          <w:rFonts w:ascii="Palatino Linotype" w:eastAsia="Palatino Linotype" w:hAnsi="Palatino Linotype" w:cs="Palatino Linotype"/>
          <w:b/>
          <w:sz w:val="22"/>
          <w:szCs w:val="22"/>
        </w:rPr>
        <w:t>SAIMEX</w:t>
      </w:r>
      <w:r w:rsidRPr="0098115E">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98115E">
        <w:rPr>
          <w:rFonts w:ascii="Palatino Linotype" w:eastAsia="Palatino Linotype" w:hAnsi="Palatino Linotype" w:cs="Palatino Linotype"/>
          <w:b/>
          <w:sz w:val="22"/>
          <w:szCs w:val="22"/>
        </w:rPr>
        <w:t>dé cumplimiento a lo ordenado dentro del plazo de diez días hábiles</w:t>
      </w:r>
      <w:r w:rsidRPr="0098115E">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37A0D" w:rsidRPr="0098115E" w:rsidRDefault="00337A0D" w:rsidP="0010719A">
      <w:pPr>
        <w:tabs>
          <w:tab w:val="left" w:pos="8080"/>
        </w:tabs>
        <w:spacing w:line="360" w:lineRule="auto"/>
        <w:ind w:right="-787"/>
        <w:jc w:val="both"/>
        <w:rPr>
          <w:rFonts w:ascii="Palatino Linotype" w:eastAsia="Palatino Linotype" w:hAnsi="Palatino Linotype" w:cs="Palatino Linotype"/>
          <w:color w:val="222222"/>
          <w:sz w:val="22"/>
          <w:szCs w:val="22"/>
        </w:rPr>
      </w:pPr>
    </w:p>
    <w:p w:rsidR="00337A0D" w:rsidRPr="0098115E" w:rsidRDefault="00CB2883" w:rsidP="0010719A">
      <w:pPr>
        <w:shd w:val="clear" w:color="auto" w:fill="FFFFFF"/>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b/>
          <w:sz w:val="22"/>
          <w:szCs w:val="22"/>
        </w:rPr>
        <w:t>CUARTO. Notifíquese al RECURRENTE</w:t>
      </w:r>
      <w:r w:rsidRPr="0098115E">
        <w:rPr>
          <w:rFonts w:ascii="Palatino Linotype" w:eastAsia="Palatino Linotype" w:hAnsi="Palatino Linotype" w:cs="Palatino Linotype"/>
          <w:sz w:val="22"/>
          <w:szCs w:val="22"/>
        </w:rPr>
        <w:t xml:space="preserve"> la presente resolución vía SAIMEX.</w:t>
      </w:r>
    </w:p>
    <w:p w:rsidR="00337A0D" w:rsidRPr="0098115E" w:rsidRDefault="00337A0D" w:rsidP="0010719A">
      <w:pPr>
        <w:shd w:val="clear" w:color="auto" w:fill="FFFFFF"/>
        <w:spacing w:line="360" w:lineRule="auto"/>
        <w:ind w:right="-787"/>
        <w:jc w:val="both"/>
        <w:rPr>
          <w:rFonts w:ascii="Palatino Linotype" w:eastAsia="Palatino Linotype" w:hAnsi="Palatino Linotype" w:cs="Palatino Linotype"/>
          <w:b/>
          <w:color w:val="FF0000"/>
          <w:sz w:val="22"/>
          <w:szCs w:val="22"/>
        </w:rPr>
      </w:pPr>
    </w:p>
    <w:p w:rsidR="00337A0D" w:rsidRPr="0098115E" w:rsidRDefault="00CB2883" w:rsidP="0010719A">
      <w:pP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b/>
          <w:sz w:val="22"/>
          <w:szCs w:val="22"/>
        </w:rPr>
        <w:t>QUINTO.</w:t>
      </w:r>
      <w:r w:rsidRPr="0098115E">
        <w:rPr>
          <w:rFonts w:ascii="Palatino Linotype" w:eastAsia="Palatino Linotype" w:hAnsi="Palatino Linotype" w:cs="Palatino Linotype"/>
          <w:sz w:val="22"/>
          <w:szCs w:val="22"/>
        </w:rPr>
        <w:t xml:space="preserve"> Se hace del conocimiento del </w:t>
      </w:r>
      <w:r w:rsidRPr="0098115E">
        <w:rPr>
          <w:rFonts w:ascii="Palatino Linotype" w:eastAsia="Palatino Linotype" w:hAnsi="Palatino Linotype" w:cs="Palatino Linotype"/>
          <w:b/>
          <w:sz w:val="22"/>
          <w:szCs w:val="22"/>
        </w:rPr>
        <w:t>RECURRENTE</w:t>
      </w:r>
      <w:r w:rsidRPr="0098115E">
        <w:rPr>
          <w:rFonts w:ascii="Palatino Linotype" w:eastAsia="Palatino Linotype" w:hAnsi="Palatino Linotype" w:cs="Palatino Linotype"/>
          <w:sz w:val="22"/>
          <w:szCs w:val="22"/>
        </w:rPr>
        <w:t xml:space="preserve"> que de conformidad con lo establecido en el artículo 196</w:t>
      </w:r>
      <w:r w:rsidR="00911495" w:rsidRPr="0098115E">
        <w:rPr>
          <w:rFonts w:ascii="Palatino Linotype" w:eastAsia="Palatino Linotype" w:hAnsi="Palatino Linotype" w:cs="Palatino Linotype"/>
          <w:sz w:val="22"/>
          <w:szCs w:val="22"/>
        </w:rPr>
        <w:t>,</w:t>
      </w:r>
      <w:r w:rsidRPr="0098115E">
        <w:rPr>
          <w:rFonts w:ascii="Palatino Linotype" w:eastAsia="Palatino Linotype" w:hAnsi="Palatino Linotype" w:cs="Palatino Linotype"/>
          <w:sz w:val="22"/>
          <w:szCs w:val="22"/>
        </w:rPr>
        <w:t xml:space="preserve"> de la Ley de Transparencia y Acceso a la Información Pública del Estado de México y Municipios, en caso de que considere que la resolución le cause algún perjuicio podrá impugnar vía juicio de amparo en los términos de las leyes aplicables.</w:t>
      </w:r>
    </w:p>
    <w:p w:rsidR="00337A0D" w:rsidRPr="0098115E" w:rsidRDefault="00337A0D" w:rsidP="0010719A">
      <w:pPr>
        <w:spacing w:line="360" w:lineRule="auto"/>
        <w:ind w:right="-787"/>
        <w:jc w:val="both"/>
        <w:rPr>
          <w:rFonts w:ascii="Palatino Linotype" w:eastAsia="Palatino Linotype" w:hAnsi="Palatino Linotype" w:cs="Palatino Linotype"/>
          <w:color w:val="000000"/>
          <w:sz w:val="22"/>
          <w:szCs w:val="22"/>
        </w:rPr>
      </w:pPr>
    </w:p>
    <w:p w:rsidR="00337A0D" w:rsidRPr="0098115E" w:rsidRDefault="00CB2883" w:rsidP="0010719A">
      <w:pPr>
        <w:spacing w:line="360" w:lineRule="auto"/>
        <w:ind w:right="-787"/>
        <w:jc w:val="both"/>
        <w:rPr>
          <w:rFonts w:ascii="Palatino Linotype" w:eastAsia="Palatino Linotype" w:hAnsi="Palatino Linotype" w:cs="Palatino Linotype"/>
          <w:sz w:val="22"/>
          <w:szCs w:val="22"/>
        </w:rPr>
      </w:pPr>
      <w:r w:rsidRPr="0098115E">
        <w:rPr>
          <w:rFonts w:ascii="Palatino Linotype" w:eastAsia="Palatino Linotype" w:hAnsi="Palatino Linotype" w:cs="Palatino Linotype"/>
          <w:b/>
          <w:color w:val="000000"/>
          <w:sz w:val="22"/>
          <w:szCs w:val="22"/>
        </w:rPr>
        <w:t xml:space="preserve">SEXTO. </w:t>
      </w:r>
      <w:r w:rsidRPr="0098115E">
        <w:rPr>
          <w:rFonts w:ascii="Palatino Linotype" w:eastAsia="Palatino Linotype" w:hAnsi="Palatino Linotype" w:cs="Palatino Linotype"/>
          <w:sz w:val="22"/>
          <w:szCs w:val="22"/>
        </w:rPr>
        <w:t>De conformidad con el artículo 198</w:t>
      </w:r>
      <w:r w:rsidR="00911495" w:rsidRPr="0098115E">
        <w:rPr>
          <w:rFonts w:ascii="Palatino Linotype" w:eastAsia="Palatino Linotype" w:hAnsi="Palatino Linotype" w:cs="Palatino Linotype"/>
          <w:sz w:val="22"/>
          <w:szCs w:val="22"/>
        </w:rPr>
        <w:t>,</w:t>
      </w:r>
      <w:r w:rsidRPr="0098115E">
        <w:rPr>
          <w:rFonts w:ascii="Palatino Linotype" w:eastAsia="Palatino Linotype" w:hAnsi="Palatino Linotype" w:cs="Palatino Linotype"/>
          <w:sz w:val="22"/>
          <w:szCs w:val="22"/>
        </w:rPr>
        <w:t xml:space="preserve">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337A0D" w:rsidRPr="0098115E" w:rsidRDefault="00337A0D" w:rsidP="0010719A">
      <w:pPr>
        <w:pBdr>
          <w:top w:val="nil"/>
          <w:left w:val="nil"/>
          <w:bottom w:val="nil"/>
          <w:right w:val="nil"/>
          <w:between w:val="nil"/>
        </w:pBdr>
        <w:spacing w:before="240" w:after="240" w:line="360" w:lineRule="auto"/>
        <w:ind w:right="-787"/>
        <w:jc w:val="both"/>
        <w:rPr>
          <w:rFonts w:ascii="Palatino Linotype" w:eastAsia="Palatino Linotype" w:hAnsi="Palatino Linotype" w:cs="Palatino Linotype"/>
          <w:color w:val="000000"/>
          <w:sz w:val="22"/>
          <w:szCs w:val="22"/>
        </w:rPr>
      </w:pPr>
    </w:p>
    <w:p w:rsidR="00911495" w:rsidRPr="0098115E" w:rsidRDefault="00911495" w:rsidP="00911495">
      <w:pPr>
        <w:spacing w:line="360" w:lineRule="auto"/>
        <w:ind w:left="-142" w:right="-234" w:firstLine="1"/>
        <w:jc w:val="both"/>
        <w:rPr>
          <w:rFonts w:ascii="Palatino Linotype" w:hAnsi="Palatino Linotype"/>
        </w:rPr>
      </w:pPr>
      <w:r w:rsidRPr="0098115E">
        <w:rPr>
          <w:rFonts w:ascii="Palatino Linotype" w:hAnsi="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 </w:t>
      </w:r>
    </w:p>
    <w:p w:rsidR="00911495" w:rsidRPr="0098115E" w:rsidRDefault="00911495" w:rsidP="00911495">
      <w:pPr>
        <w:widowControl w:val="0"/>
        <w:autoSpaceDE w:val="0"/>
        <w:autoSpaceDN w:val="0"/>
        <w:adjustRightInd w:val="0"/>
        <w:spacing w:after="200" w:line="276" w:lineRule="auto"/>
        <w:ind w:left="-142" w:right="-234"/>
        <w:rPr>
          <w:rFonts w:ascii="Calibri" w:hAnsi="Calibri" w:cs="Calibri"/>
        </w:rPr>
      </w:pPr>
    </w:p>
    <w:p w:rsidR="00337A0D" w:rsidRPr="0098115E" w:rsidRDefault="00337A0D" w:rsidP="0010719A">
      <w:pPr>
        <w:spacing w:line="360" w:lineRule="auto"/>
        <w:ind w:right="-787"/>
        <w:rPr>
          <w:rFonts w:ascii="Palatino Linotype" w:eastAsia="Palatino Linotype" w:hAnsi="Palatino Linotype" w:cs="Palatino Linotype"/>
          <w:sz w:val="22"/>
          <w:szCs w:val="22"/>
        </w:rPr>
      </w:pPr>
    </w:p>
    <w:p w:rsidR="00337A0D" w:rsidRPr="0098115E" w:rsidRDefault="00337A0D" w:rsidP="0010719A">
      <w:pPr>
        <w:spacing w:line="360" w:lineRule="auto"/>
        <w:ind w:right="-787"/>
        <w:rPr>
          <w:rFonts w:ascii="Palatino Linotype" w:eastAsia="Palatino Linotype" w:hAnsi="Palatino Linotype" w:cs="Palatino Linotype"/>
          <w:sz w:val="22"/>
          <w:szCs w:val="22"/>
        </w:rPr>
      </w:pPr>
    </w:p>
    <w:p w:rsidR="00337A0D" w:rsidRPr="0098115E" w:rsidRDefault="00337A0D" w:rsidP="0010719A">
      <w:pPr>
        <w:spacing w:line="360" w:lineRule="auto"/>
        <w:ind w:right="-787"/>
        <w:rPr>
          <w:rFonts w:ascii="Palatino Linotype" w:eastAsia="Palatino Linotype" w:hAnsi="Palatino Linotype" w:cs="Palatino Linotype"/>
          <w:sz w:val="22"/>
          <w:szCs w:val="22"/>
        </w:rPr>
      </w:pPr>
    </w:p>
    <w:p w:rsidR="00337A0D" w:rsidRPr="0098115E" w:rsidRDefault="00337A0D" w:rsidP="0010719A">
      <w:pPr>
        <w:spacing w:line="360" w:lineRule="auto"/>
        <w:ind w:right="-787"/>
        <w:rPr>
          <w:rFonts w:ascii="Palatino Linotype" w:eastAsia="Palatino Linotype" w:hAnsi="Palatino Linotype" w:cs="Palatino Linotype"/>
          <w:sz w:val="22"/>
          <w:szCs w:val="22"/>
        </w:rPr>
      </w:pPr>
    </w:p>
    <w:p w:rsidR="00337A0D" w:rsidRPr="0098115E" w:rsidRDefault="00337A0D" w:rsidP="0010719A">
      <w:pPr>
        <w:spacing w:line="360" w:lineRule="auto"/>
        <w:ind w:right="-787"/>
        <w:rPr>
          <w:rFonts w:ascii="Palatino Linotype" w:eastAsia="Palatino Linotype" w:hAnsi="Palatino Linotype" w:cs="Palatino Linotype"/>
          <w:sz w:val="22"/>
          <w:szCs w:val="22"/>
        </w:rPr>
      </w:pPr>
    </w:p>
    <w:p w:rsidR="00337A0D" w:rsidRPr="006F4FBF" w:rsidRDefault="00CB2883" w:rsidP="0010719A">
      <w:pPr>
        <w:spacing w:line="360" w:lineRule="auto"/>
        <w:ind w:right="-787"/>
        <w:rPr>
          <w:rFonts w:ascii="Palatino Linotype" w:hAnsi="Palatino Linotype"/>
          <w:sz w:val="22"/>
          <w:szCs w:val="22"/>
        </w:rPr>
      </w:pPr>
      <w:r w:rsidRPr="0098115E">
        <w:rPr>
          <w:rFonts w:ascii="Palatino Linotype" w:hAnsi="Palatino Linotype"/>
          <w:sz w:val="22"/>
          <w:szCs w:val="22"/>
        </w:rPr>
        <w:t>53</w:t>
      </w:r>
      <w:bookmarkStart w:id="10" w:name="_GoBack"/>
      <w:bookmarkEnd w:id="10"/>
    </w:p>
    <w:sectPr w:rsidR="00337A0D" w:rsidRPr="006F4FBF">
      <w:headerReference w:type="default" r:id="rId11"/>
      <w:footerReference w:type="default" r:id="rId12"/>
      <w:headerReference w:type="first" r:id="rId13"/>
      <w:footerReference w:type="first" r:id="rId14"/>
      <w:pgSz w:w="12240" w:h="15840"/>
      <w:pgMar w:top="2268" w:right="1701" w:bottom="1560"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C2" w:rsidRDefault="002F51C2">
      <w:r>
        <w:separator/>
      </w:r>
    </w:p>
  </w:endnote>
  <w:endnote w:type="continuationSeparator" w:id="0">
    <w:p w:rsidR="002F51C2" w:rsidRDefault="002F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83" w:rsidRDefault="00CB28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98115E">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98115E">
      <w:rPr>
        <w:rFonts w:ascii="Palatino Linotype" w:eastAsia="Palatino Linotype" w:hAnsi="Palatino Linotype" w:cs="Palatino Linotype"/>
        <w:b/>
        <w:noProof/>
        <w:color w:val="000000"/>
        <w:sz w:val="22"/>
        <w:szCs w:val="22"/>
      </w:rPr>
      <w:t>35</w:t>
    </w:r>
    <w:r>
      <w:rPr>
        <w:rFonts w:ascii="Palatino Linotype" w:eastAsia="Palatino Linotype" w:hAnsi="Palatino Linotype" w:cs="Palatino Linotype"/>
        <w:b/>
        <w:color w:val="000000"/>
        <w:sz w:val="22"/>
        <w:szCs w:val="22"/>
      </w:rPr>
      <w:fldChar w:fldCharType="end"/>
    </w:r>
  </w:p>
  <w:p w:rsidR="00CB2883" w:rsidRDefault="00CB288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83" w:rsidRDefault="00CB288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98115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98115E">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p w:rsidR="00CB2883" w:rsidRDefault="00CB2883">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C2" w:rsidRDefault="002F51C2">
      <w:r>
        <w:separator/>
      </w:r>
    </w:p>
  </w:footnote>
  <w:footnote w:type="continuationSeparator" w:id="0">
    <w:p w:rsidR="002F51C2" w:rsidRDefault="002F51C2">
      <w:r>
        <w:continuationSeparator/>
      </w:r>
    </w:p>
  </w:footnote>
  <w:footnote w:id="1">
    <w:p w:rsidR="00CB2883" w:rsidRDefault="00CB288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CB2883" w:rsidRDefault="00CB288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CB2883" w:rsidRDefault="00CB2883">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 w:id="3">
    <w:p w:rsidR="00CB2883" w:rsidRDefault="00CB2883" w:rsidP="00CB2883">
      <w:pPr>
        <w:pStyle w:val="Textonotapie"/>
      </w:pPr>
      <w:r>
        <w:rPr>
          <w:rStyle w:val="Refdenotaalpie"/>
        </w:rPr>
        <w:footnoteRef/>
      </w:r>
      <w:r>
        <w:t xml:space="preserve"> Ley de Transparencia y Acceso a la Información Pública del Estado de México y Municipios. Artículo 9. …</w:t>
      </w:r>
    </w:p>
    <w:p w:rsidR="00CB2883" w:rsidRDefault="00CB2883" w:rsidP="00CB2883">
      <w:pPr>
        <w:pStyle w:val="Textonotapie"/>
      </w:pPr>
      <w:r>
        <w:t>II. Eficacia: Obligación del Instituto para tutelar, de manera efectiva, el derecho de acceso a la información;</w:t>
      </w:r>
    </w:p>
    <w:p w:rsidR="00CB2883" w:rsidRDefault="00CB2883" w:rsidP="00CB2883">
      <w:pPr>
        <w:pStyle w:val="Textonotapie"/>
      </w:pPr>
      <w:r>
        <w:t xml:space="preserve">… </w:t>
      </w:r>
    </w:p>
  </w:footnote>
  <w:footnote w:id="4">
    <w:p w:rsidR="0010719A" w:rsidRDefault="0010719A" w:rsidP="0010719A">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83" w:rsidRDefault="00CB2883">
    <w:pPr>
      <w:widowControl w:val="0"/>
      <w:pBdr>
        <w:top w:val="nil"/>
        <w:left w:val="nil"/>
        <w:bottom w:val="nil"/>
        <w:right w:val="nil"/>
        <w:between w:val="nil"/>
      </w:pBdr>
      <w:spacing w:line="276" w:lineRule="auto"/>
      <w:rPr>
        <w:color w:val="00000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CB2883">
      <w:trPr>
        <w:trHeight w:val="138"/>
        <w:jc w:val="right"/>
      </w:trPr>
      <w:tc>
        <w:tcPr>
          <w:tcW w:w="3260" w:type="dxa"/>
          <w:vAlign w:val="center"/>
        </w:tcPr>
        <w:p w:rsidR="00CB2883" w:rsidRDefault="00CB288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rsidR="00CB2883" w:rsidRDefault="00CB2883">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06353/INFOEM/IP/RR/2024</w:t>
          </w:r>
        </w:p>
      </w:tc>
    </w:tr>
    <w:tr w:rsidR="00CB2883">
      <w:trPr>
        <w:trHeight w:val="233"/>
        <w:jc w:val="right"/>
      </w:trPr>
      <w:tc>
        <w:tcPr>
          <w:tcW w:w="3260" w:type="dxa"/>
          <w:vAlign w:val="center"/>
        </w:tcPr>
        <w:p w:rsidR="00CB2883" w:rsidRDefault="00CB288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rsidR="00CB2883" w:rsidRDefault="00CB2883">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Villa Guerrero</w:t>
          </w:r>
        </w:p>
      </w:tc>
    </w:tr>
    <w:tr w:rsidR="00CB2883">
      <w:trPr>
        <w:trHeight w:val="321"/>
        <w:jc w:val="right"/>
      </w:trPr>
      <w:tc>
        <w:tcPr>
          <w:tcW w:w="3260" w:type="dxa"/>
          <w:vAlign w:val="center"/>
        </w:tcPr>
        <w:p w:rsidR="00CB2883" w:rsidRDefault="00CB288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rsidR="00CB2883" w:rsidRDefault="00CB2883">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CB2883" w:rsidRDefault="00CB2883">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simplePos x="0" y="0"/>
          <wp:positionH relativeFrom="page">
            <wp:posOffset>30785</wp:posOffset>
          </wp:positionH>
          <wp:positionV relativeFrom="page">
            <wp:posOffset>30480</wp:posOffset>
          </wp:positionV>
          <wp:extent cx="7695210" cy="10020839"/>
          <wp:effectExtent l="0" t="0" r="0" b="0"/>
          <wp:wrapNone/>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83" w:rsidRDefault="002F51C2">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3"/>
          <w10:wrap anchorx="margin" anchory="margin"/>
        </v:shape>
      </w:pict>
    </w:r>
    <w:r w:rsidR="00CB2883">
      <w:rPr>
        <w:color w:val="000000"/>
      </w:rPr>
      <w:tab/>
    </w:r>
  </w:p>
  <w:tbl>
    <w:tblPr>
      <w:tblStyle w:val="a2"/>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CB2883">
      <w:trPr>
        <w:trHeight w:val="138"/>
        <w:jc w:val="right"/>
      </w:trPr>
      <w:tc>
        <w:tcPr>
          <w:tcW w:w="3261" w:type="dxa"/>
          <w:vAlign w:val="center"/>
        </w:tcPr>
        <w:p w:rsidR="00CB2883" w:rsidRDefault="00CB28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rsidR="00CB2883" w:rsidRDefault="00CB2883">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06353/INFOEM/IP/RR/2024</w:t>
          </w:r>
        </w:p>
      </w:tc>
    </w:tr>
    <w:tr w:rsidR="00CB2883">
      <w:trPr>
        <w:trHeight w:val="233"/>
        <w:jc w:val="right"/>
      </w:trPr>
      <w:tc>
        <w:tcPr>
          <w:tcW w:w="3261" w:type="dxa"/>
          <w:vAlign w:val="center"/>
        </w:tcPr>
        <w:p w:rsidR="00CB2883" w:rsidRDefault="00CB28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rsidR="00CB2883" w:rsidRDefault="004C5734">
          <w:pPr>
            <w:pBdr>
              <w:top w:val="nil"/>
              <w:left w:val="nil"/>
              <w:bottom w:val="nil"/>
              <w:right w:val="nil"/>
              <w:between w:val="nil"/>
            </w:pBdr>
            <w:tabs>
              <w:tab w:val="center" w:pos="4252"/>
              <w:tab w:val="right" w:pos="8504"/>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w:t>
          </w:r>
        </w:p>
      </w:tc>
    </w:tr>
    <w:tr w:rsidR="00CB2883">
      <w:trPr>
        <w:trHeight w:val="321"/>
        <w:jc w:val="right"/>
      </w:trPr>
      <w:tc>
        <w:tcPr>
          <w:tcW w:w="3261" w:type="dxa"/>
          <w:vAlign w:val="center"/>
        </w:tcPr>
        <w:p w:rsidR="00CB2883" w:rsidRDefault="00CB28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rsidR="00CB2883" w:rsidRDefault="00CB2883">
          <w:pPr>
            <w:pBdr>
              <w:top w:val="nil"/>
              <w:left w:val="nil"/>
              <w:bottom w:val="nil"/>
              <w:right w:val="nil"/>
              <w:between w:val="nil"/>
            </w:pBdr>
            <w:tabs>
              <w:tab w:val="center" w:pos="4252"/>
              <w:tab w:val="right" w:pos="8504"/>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Villa Guerrero</w:t>
          </w:r>
        </w:p>
      </w:tc>
    </w:tr>
    <w:tr w:rsidR="00CB2883">
      <w:trPr>
        <w:trHeight w:val="321"/>
        <w:jc w:val="right"/>
      </w:trPr>
      <w:tc>
        <w:tcPr>
          <w:tcW w:w="3261" w:type="dxa"/>
          <w:vAlign w:val="center"/>
        </w:tcPr>
        <w:p w:rsidR="00CB2883" w:rsidRDefault="00CB288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rsidR="00CB2883" w:rsidRDefault="00CB2883">
          <w:pPr>
            <w:pBdr>
              <w:top w:val="nil"/>
              <w:left w:val="nil"/>
              <w:bottom w:val="nil"/>
              <w:right w:val="nil"/>
              <w:between w:val="nil"/>
            </w:pBdr>
            <w:tabs>
              <w:tab w:val="center" w:pos="4252"/>
              <w:tab w:val="right" w:pos="8504"/>
            </w:tabs>
            <w:ind w:left="3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CB2883" w:rsidRDefault="00CB2883">
    <w:pPr>
      <w:pBdr>
        <w:top w:val="nil"/>
        <w:left w:val="nil"/>
        <w:bottom w:val="nil"/>
        <w:right w:val="nil"/>
        <w:between w:val="nil"/>
      </w:pBdr>
      <w:tabs>
        <w:tab w:val="center" w:pos="4252"/>
        <w:tab w:val="right" w:pos="8504"/>
        <w:tab w:val="left" w:pos="310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02389"/>
    <w:multiLevelType w:val="multilevel"/>
    <w:tmpl w:val="154413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B244019"/>
    <w:multiLevelType w:val="multilevel"/>
    <w:tmpl w:val="7020E0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2716E3"/>
    <w:multiLevelType w:val="multilevel"/>
    <w:tmpl w:val="51B64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B32BA7"/>
    <w:multiLevelType w:val="multilevel"/>
    <w:tmpl w:val="B71AE2F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D7062"/>
    <w:multiLevelType w:val="hybridMultilevel"/>
    <w:tmpl w:val="796C9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D7B5916"/>
    <w:multiLevelType w:val="multilevel"/>
    <w:tmpl w:val="C756CA7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31D0295"/>
    <w:multiLevelType w:val="multilevel"/>
    <w:tmpl w:val="9F089A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0D"/>
    <w:rsid w:val="0010719A"/>
    <w:rsid w:val="001C14E2"/>
    <w:rsid w:val="002F51C2"/>
    <w:rsid w:val="00337A0D"/>
    <w:rsid w:val="004C5734"/>
    <w:rsid w:val="00637B1A"/>
    <w:rsid w:val="006F4FBF"/>
    <w:rsid w:val="00726E18"/>
    <w:rsid w:val="00875ABD"/>
    <w:rsid w:val="00911495"/>
    <w:rsid w:val="0098115E"/>
    <w:rsid w:val="00C0023B"/>
    <w:rsid w:val="00CB2883"/>
    <w:rsid w:val="00D74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03A81D0-AA05-458E-B7C2-CF0F18F5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A91"/>
  </w:style>
  <w:style w:type="paragraph" w:styleId="Ttulo1">
    <w:name w:val="heading 1"/>
    <w:basedOn w:val="Normal"/>
    <w:next w:val="Normal"/>
    <w:link w:val="Ttulo1Car"/>
    <w:uiPriority w:val="9"/>
    <w:qFormat/>
    <w:rsid w:val="00354A91"/>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354A9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354A91"/>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354A91"/>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54A9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54A91"/>
    <w:rPr>
      <w:rFonts w:ascii="Cambria" w:eastAsia="Cambria" w:hAnsi="Cambria" w:cs="Cambria"/>
      <w:sz w:val="24"/>
      <w:szCs w:val="24"/>
      <w:lang w:eastAsia="es-MX"/>
    </w:rPr>
  </w:style>
  <w:style w:type="character" w:styleId="Hipervnculo">
    <w:name w:val="Hyperlink"/>
    <w:basedOn w:val="Fuentedeprrafopredeter"/>
    <w:uiPriority w:val="99"/>
    <w:unhideWhenUsed/>
    <w:rsid w:val="00354A91"/>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54A9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54A91"/>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54A91"/>
    <w:rPr>
      <w:vertAlign w:val="superscript"/>
    </w:rPr>
  </w:style>
  <w:style w:type="table" w:styleId="Tabladecuadrcula6concolores">
    <w:name w:val="Grid Table 6 Colorful"/>
    <w:basedOn w:val="Tablanormal"/>
    <w:uiPriority w:val="51"/>
    <w:rsid w:val="00354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4B597B"/>
    <w:pPr>
      <w:tabs>
        <w:tab w:val="center" w:pos="4419"/>
        <w:tab w:val="right" w:pos="8838"/>
      </w:tabs>
    </w:pPr>
    <w:rPr>
      <w:rFonts w:ascii="Times New Roman" w:eastAsia="Times New Roman" w:hAnsi="Times New Roman" w:cs="Times New Roman"/>
    </w:rPr>
  </w:style>
  <w:style w:type="character" w:customStyle="1" w:styleId="EncabezadoCar">
    <w:name w:val="Encabezado Car"/>
    <w:basedOn w:val="Fuentedeprrafopredeter"/>
    <w:link w:val="Encabezado"/>
    <w:uiPriority w:val="99"/>
    <w:rsid w:val="004B597B"/>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4C5734"/>
    <w:pPr>
      <w:tabs>
        <w:tab w:val="center" w:pos="4419"/>
        <w:tab w:val="right" w:pos="8838"/>
      </w:tabs>
    </w:pPr>
  </w:style>
  <w:style w:type="character" w:customStyle="1" w:styleId="PiedepginaCar">
    <w:name w:val="Pie de página Car"/>
    <w:basedOn w:val="Fuentedeprrafopredeter"/>
    <w:link w:val="Piedepgina"/>
    <w:uiPriority w:val="99"/>
    <w:rsid w:val="004C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2417.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pomex2.ipomex.org.mx/ipo/lgt/indice/villaguerrero/remun.we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WIa9TE+/UlI98TNV61QsXXpAQ==">CgMxLjAyCGguZ2pkZ3hzMgloLjFmb2I5dGUyCWguM3pueXNoNzIJaC4yZXQ5MnAwMghoLnR5amN3dDIIaC5sbnhiejkyCWguMnM4ZXlvMTIJaC4zMGowemxsMgloLjE3ZHA4dnUyCWguM3JkY3JqbjgAciExQzJRdGplZEhuMzVZM3U0WElYbVNxWnktM1BFX1hQbEI=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8694</Words>
  <Characters>47817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5</cp:revision>
  <dcterms:created xsi:type="dcterms:W3CDTF">2025-01-28T00:44:00Z</dcterms:created>
  <dcterms:modified xsi:type="dcterms:W3CDTF">2025-02-11T01:45:00Z</dcterms:modified>
</cp:coreProperties>
</file>