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F75" w:rsidRDefault="00187F75" w:rsidP="009063A6">
      <w:pPr>
        <w:spacing w:before="240" w:after="240" w:line="360" w:lineRule="auto"/>
        <w:jc w:val="both"/>
        <w:rPr>
          <w:rFonts w:ascii="Palatino Linotype" w:hAnsi="Palatino Linotype"/>
          <w:color w:val="000000" w:themeColor="text1"/>
        </w:rPr>
      </w:pPr>
      <w:r w:rsidRPr="009063A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7068F">
        <w:rPr>
          <w:rFonts w:ascii="Palatino Linotype" w:eastAsia="Palatino Linotype" w:hAnsi="Palatino Linotype" w:cs="Palatino Linotype"/>
          <w:b/>
          <w:color w:val="000000" w:themeColor="text1"/>
        </w:rPr>
        <w:t xml:space="preserve">de fecha doce (12) </w:t>
      </w:r>
      <w:r w:rsidR="00D7068F" w:rsidRPr="00157555">
        <w:rPr>
          <w:rFonts w:ascii="Palatino Linotype" w:eastAsia="Palatino Linotype" w:hAnsi="Palatino Linotype" w:cs="Palatino Linotype"/>
          <w:b/>
          <w:color w:val="000000" w:themeColor="text1"/>
        </w:rPr>
        <w:t xml:space="preserve">de </w:t>
      </w:r>
      <w:r w:rsidR="00D7068F">
        <w:rPr>
          <w:rFonts w:ascii="Palatino Linotype" w:eastAsia="Palatino Linotype" w:hAnsi="Palatino Linotype" w:cs="Palatino Linotype"/>
          <w:b/>
          <w:color w:val="000000" w:themeColor="text1"/>
        </w:rPr>
        <w:t xml:space="preserve">noviembre </w:t>
      </w:r>
      <w:r w:rsidR="00D7068F" w:rsidRPr="00157555">
        <w:rPr>
          <w:rFonts w:ascii="Palatino Linotype" w:eastAsia="Palatino Linotype" w:hAnsi="Palatino Linotype" w:cs="Palatino Linotype"/>
          <w:b/>
          <w:color w:val="000000" w:themeColor="text1"/>
        </w:rPr>
        <w:t>de dos mil veinticinco</w:t>
      </w:r>
      <w:r w:rsidRPr="009063A6">
        <w:rPr>
          <w:rFonts w:ascii="Palatino Linotype" w:hAnsi="Palatino Linotype"/>
          <w:color w:val="000000" w:themeColor="text1"/>
        </w:rPr>
        <w:t>.</w:t>
      </w:r>
    </w:p>
    <w:p w:rsidR="00E26C88" w:rsidRPr="009063A6" w:rsidRDefault="00E26C88" w:rsidP="009063A6">
      <w:pPr>
        <w:spacing w:before="240" w:after="240" w:line="360" w:lineRule="auto"/>
        <w:jc w:val="both"/>
        <w:rPr>
          <w:rFonts w:ascii="Palatino Linotype" w:hAnsi="Palatino Linotype"/>
          <w:color w:val="000000" w:themeColor="text1"/>
        </w:rPr>
      </w:pPr>
    </w:p>
    <w:p w:rsidR="00187F75" w:rsidRPr="009063A6" w:rsidRDefault="00187F75" w:rsidP="009063A6">
      <w:pPr>
        <w:pStyle w:val="Encabezado"/>
        <w:spacing w:line="360" w:lineRule="auto"/>
        <w:jc w:val="both"/>
        <w:rPr>
          <w:rFonts w:ascii="Palatino Linotype" w:hAnsi="Palatino Linotype"/>
          <w:color w:val="000000" w:themeColor="text1"/>
          <w:sz w:val="24"/>
          <w:szCs w:val="24"/>
        </w:rPr>
      </w:pPr>
      <w:r w:rsidRPr="009063A6">
        <w:rPr>
          <w:rFonts w:ascii="Palatino Linotype" w:hAnsi="Palatino Linotype"/>
          <w:b/>
          <w:color w:val="000000" w:themeColor="text1"/>
          <w:sz w:val="24"/>
          <w:szCs w:val="24"/>
        </w:rPr>
        <w:t>VISTO el</w:t>
      </w:r>
      <w:r w:rsidRPr="009063A6">
        <w:rPr>
          <w:rFonts w:ascii="Palatino Linotype" w:hAnsi="Palatino Linotype"/>
          <w:color w:val="000000" w:themeColor="text1"/>
          <w:sz w:val="24"/>
          <w:szCs w:val="24"/>
        </w:rPr>
        <w:t xml:space="preserve"> expediente electrónico formado con motivo del recurso de revisión </w:t>
      </w:r>
      <w:r w:rsidRPr="009063A6">
        <w:rPr>
          <w:rFonts w:ascii="Palatino Linotype" w:eastAsia="Calibri" w:hAnsi="Palatino Linotype" w:cs="Tahoma"/>
          <w:b/>
          <w:color w:val="000000" w:themeColor="text1"/>
          <w:sz w:val="24"/>
          <w:szCs w:val="24"/>
          <w:lang w:eastAsia="en-US"/>
        </w:rPr>
        <w:t>06238/INFOEM/IP/RR/2025</w:t>
      </w:r>
      <w:r w:rsidRPr="009063A6">
        <w:rPr>
          <w:rFonts w:ascii="Palatino Linotype" w:hAnsi="Palatino Linotype"/>
          <w:b/>
          <w:color w:val="000000" w:themeColor="text1"/>
          <w:sz w:val="24"/>
          <w:szCs w:val="24"/>
        </w:rPr>
        <w:t xml:space="preserve">, </w:t>
      </w:r>
      <w:r w:rsidRPr="009063A6">
        <w:rPr>
          <w:rFonts w:ascii="Palatino Linotype" w:hAnsi="Palatino Linotype"/>
          <w:color w:val="000000" w:themeColor="text1"/>
          <w:sz w:val="24"/>
          <w:szCs w:val="24"/>
        </w:rPr>
        <w:t xml:space="preserve">promovido por </w:t>
      </w:r>
      <w:r w:rsidRPr="009063A6">
        <w:rPr>
          <w:rFonts w:ascii="Palatino Linotype" w:hAnsi="Palatino Linotype"/>
          <w:b/>
          <w:bCs/>
          <w:color w:val="000000" w:themeColor="text1"/>
          <w:sz w:val="24"/>
          <w:szCs w:val="24"/>
        </w:rPr>
        <w:t>un usuario que no proporcionó nombre</w:t>
      </w:r>
      <w:r w:rsidRPr="009063A6">
        <w:rPr>
          <w:rFonts w:ascii="Palatino Linotype" w:hAnsi="Palatino Linotype"/>
          <w:color w:val="000000" w:themeColor="text1"/>
          <w:sz w:val="24"/>
          <w:szCs w:val="24"/>
        </w:rPr>
        <w:t xml:space="preserve">, en su calidad de </w:t>
      </w:r>
      <w:r w:rsidRPr="009063A6">
        <w:rPr>
          <w:rFonts w:ascii="Palatino Linotype" w:hAnsi="Palatino Linotype"/>
          <w:b/>
          <w:color w:val="000000" w:themeColor="text1"/>
          <w:sz w:val="24"/>
          <w:szCs w:val="24"/>
        </w:rPr>
        <w:t>RECURRENTE</w:t>
      </w:r>
      <w:r w:rsidRPr="009063A6">
        <w:rPr>
          <w:rFonts w:ascii="Palatino Linotype" w:hAnsi="Palatino Linotype" w:cs="Arial"/>
          <w:color w:val="000000" w:themeColor="text1"/>
          <w:sz w:val="24"/>
          <w:szCs w:val="24"/>
        </w:rPr>
        <w:t xml:space="preserve">, en contra de la respuesta del </w:t>
      </w:r>
      <w:r w:rsidRPr="009063A6">
        <w:rPr>
          <w:rFonts w:ascii="Palatino Linotype" w:eastAsia="Calibri" w:hAnsi="Palatino Linotype" w:cs="Arial"/>
          <w:b/>
          <w:bCs/>
          <w:color w:val="000000" w:themeColor="text1"/>
          <w:sz w:val="24"/>
          <w:szCs w:val="24"/>
        </w:rPr>
        <w:t>Poder Legislativo</w:t>
      </w:r>
      <w:r w:rsidRPr="009063A6">
        <w:rPr>
          <w:rFonts w:ascii="Palatino Linotype" w:hAnsi="Palatino Linotype" w:cs="Arial"/>
          <w:color w:val="000000" w:themeColor="text1"/>
          <w:sz w:val="24"/>
          <w:szCs w:val="24"/>
        </w:rPr>
        <w:t>,</w:t>
      </w:r>
      <w:r w:rsidRPr="009063A6">
        <w:rPr>
          <w:rFonts w:ascii="Palatino Linotype" w:hAnsi="Palatino Linotype"/>
          <w:b/>
          <w:color w:val="000000" w:themeColor="text1"/>
          <w:sz w:val="24"/>
          <w:szCs w:val="24"/>
        </w:rPr>
        <w:t xml:space="preserve"> </w:t>
      </w:r>
      <w:r w:rsidRPr="009063A6">
        <w:rPr>
          <w:rFonts w:ascii="Palatino Linotype" w:hAnsi="Palatino Linotype"/>
          <w:color w:val="000000" w:themeColor="text1"/>
          <w:sz w:val="24"/>
          <w:szCs w:val="24"/>
        </w:rPr>
        <w:t>en lo sucesivo el</w:t>
      </w:r>
      <w:r w:rsidRPr="009063A6">
        <w:rPr>
          <w:rFonts w:ascii="Palatino Linotype" w:hAnsi="Palatino Linotype"/>
          <w:b/>
          <w:color w:val="000000" w:themeColor="text1"/>
          <w:sz w:val="24"/>
          <w:szCs w:val="24"/>
        </w:rPr>
        <w:t xml:space="preserve"> SUJETO OBLIGADO, </w:t>
      </w:r>
      <w:r w:rsidRPr="009063A6">
        <w:rPr>
          <w:rFonts w:ascii="Palatino Linotype" w:hAnsi="Palatino Linotype"/>
          <w:color w:val="000000" w:themeColor="text1"/>
          <w:sz w:val="24"/>
          <w:szCs w:val="24"/>
        </w:rPr>
        <w:t>se procede a dictar la presente resolución, con base en los siguientes:</w:t>
      </w:r>
    </w:p>
    <w:p w:rsidR="00F3336F" w:rsidRDefault="00F3336F" w:rsidP="009063A6">
      <w:pPr>
        <w:pStyle w:val="Ttulo1"/>
        <w:jc w:val="center"/>
        <w:rPr>
          <w:rFonts w:ascii="Palatino Linotype" w:hAnsi="Palatino Linotype"/>
          <w:b/>
          <w:color w:val="000000" w:themeColor="text1"/>
          <w:sz w:val="24"/>
          <w:szCs w:val="24"/>
        </w:rPr>
      </w:pPr>
      <w:bookmarkStart w:id="0" w:name="_Toc87549671"/>
    </w:p>
    <w:p w:rsidR="00187F75" w:rsidRPr="009063A6" w:rsidRDefault="00187F75" w:rsidP="009063A6">
      <w:pPr>
        <w:pStyle w:val="Ttulo1"/>
        <w:jc w:val="center"/>
        <w:rPr>
          <w:rFonts w:ascii="Palatino Linotype" w:hAnsi="Palatino Linotype"/>
          <w:b/>
          <w:color w:val="000000" w:themeColor="text1"/>
          <w:sz w:val="24"/>
          <w:szCs w:val="24"/>
        </w:rPr>
      </w:pPr>
      <w:r w:rsidRPr="009063A6">
        <w:rPr>
          <w:rFonts w:ascii="Palatino Linotype" w:hAnsi="Palatino Linotype"/>
          <w:b/>
          <w:color w:val="000000" w:themeColor="text1"/>
          <w:sz w:val="24"/>
          <w:szCs w:val="24"/>
        </w:rPr>
        <w:t>A</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N</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T</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E</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C</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E</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D</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E</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N</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T</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E</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S</w:t>
      </w:r>
      <w:bookmarkEnd w:id="0"/>
    </w:p>
    <w:p w:rsidR="00187F75" w:rsidRPr="009063A6" w:rsidRDefault="00187F75" w:rsidP="009063A6">
      <w:pPr>
        <w:rPr>
          <w:rFonts w:ascii="Palatino Linotype" w:hAnsi="Palatino Linotype"/>
          <w:color w:val="000000" w:themeColor="text1"/>
          <w:lang w:eastAsia="en-US"/>
        </w:rPr>
      </w:pPr>
    </w:p>
    <w:p w:rsidR="00187F75" w:rsidRPr="009063A6" w:rsidRDefault="00187F75" w:rsidP="009063A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9063A6">
        <w:rPr>
          <w:rFonts w:ascii="Palatino Linotype" w:eastAsia="Calibri" w:hAnsi="Palatino Linotype" w:cs="Arial"/>
          <w:color w:val="000000" w:themeColor="text1"/>
          <w:sz w:val="24"/>
          <w:lang w:val="es-ES"/>
        </w:rPr>
        <w:t xml:space="preserve">El </w:t>
      </w:r>
      <w:r w:rsidRPr="009063A6">
        <w:rPr>
          <w:rFonts w:ascii="Palatino Linotype" w:eastAsia="Calibri" w:hAnsi="Palatino Linotype" w:cs="Arial"/>
          <w:b/>
          <w:color w:val="000000" w:themeColor="text1"/>
          <w:sz w:val="24"/>
          <w:lang w:val="es-ES"/>
        </w:rPr>
        <w:t>veinticuatro de abril de dos mil veinticinco,</w:t>
      </w:r>
      <w:r w:rsidRPr="009063A6">
        <w:rPr>
          <w:rFonts w:ascii="Palatino Linotype" w:eastAsia="Calibri" w:hAnsi="Palatino Linotype"/>
          <w:color w:val="000000" w:themeColor="text1"/>
          <w:sz w:val="24"/>
          <w:lang w:val="es-ES"/>
        </w:rPr>
        <w:t xml:space="preserve"> </w:t>
      </w:r>
      <w:r w:rsidRPr="009063A6">
        <w:rPr>
          <w:rFonts w:ascii="Palatino Linotype" w:eastAsia="Calibri" w:hAnsi="Palatino Linotype"/>
          <w:b/>
          <w:color w:val="000000" w:themeColor="text1"/>
          <w:sz w:val="24"/>
          <w:lang w:val="es-ES"/>
        </w:rPr>
        <w:t xml:space="preserve">EL RECURRENTE </w:t>
      </w:r>
      <w:r w:rsidRPr="009063A6">
        <w:rPr>
          <w:rFonts w:ascii="Palatino Linotype" w:eastAsia="Calibri" w:hAnsi="Palatino Linotype"/>
          <w:bCs/>
          <w:color w:val="000000" w:themeColor="text1"/>
          <w:sz w:val="24"/>
          <w:lang w:val="es-ES"/>
        </w:rPr>
        <w:t>presentó</w:t>
      </w:r>
      <w:r w:rsidRPr="009063A6">
        <w:rPr>
          <w:rFonts w:ascii="Palatino Linotype" w:hAnsi="Palatino Linotype"/>
          <w:b/>
          <w:color w:val="000000" w:themeColor="text1"/>
          <w:sz w:val="24"/>
        </w:rPr>
        <w:t>,</w:t>
      </w:r>
      <w:r w:rsidRPr="009063A6">
        <w:rPr>
          <w:rFonts w:ascii="Palatino Linotype" w:eastAsia="Calibri" w:hAnsi="Palatino Linotype" w:cs="Arial"/>
          <w:color w:val="000000" w:themeColor="text1"/>
          <w:sz w:val="24"/>
          <w:lang w:val="es-ES"/>
        </w:rPr>
        <w:t xml:space="preserve"> ante el </w:t>
      </w:r>
      <w:r w:rsidRPr="009063A6">
        <w:rPr>
          <w:rFonts w:ascii="Palatino Linotype" w:eastAsia="Calibri" w:hAnsi="Palatino Linotype" w:cs="Arial"/>
          <w:b/>
          <w:color w:val="000000" w:themeColor="text1"/>
          <w:sz w:val="24"/>
          <w:lang w:val="es-ES"/>
        </w:rPr>
        <w:t>SUJETO OBLIGADO</w:t>
      </w:r>
      <w:r w:rsidRPr="009063A6">
        <w:rPr>
          <w:rFonts w:ascii="Palatino Linotype" w:eastAsia="Calibri" w:hAnsi="Palatino Linotype" w:cs="Arial"/>
          <w:color w:val="000000" w:themeColor="text1"/>
          <w:sz w:val="24"/>
        </w:rPr>
        <w:t>, a través del Sistema de Acceso a la Información Mexiquense (SAIMEX)</w:t>
      </w:r>
      <w:r w:rsidRPr="009063A6">
        <w:rPr>
          <w:rFonts w:ascii="Palatino Linotype" w:eastAsia="Calibri" w:hAnsi="Palatino Linotype" w:cs="Arial"/>
          <w:color w:val="000000" w:themeColor="text1"/>
          <w:sz w:val="24"/>
          <w:lang w:val="es-ES"/>
        </w:rPr>
        <w:t xml:space="preserve">, la solicitud de información pública registrada con el número </w:t>
      </w:r>
      <w:r w:rsidRPr="009063A6">
        <w:rPr>
          <w:rFonts w:ascii="Palatino Linotype" w:hAnsi="Palatino Linotype" w:cs="Arial"/>
          <w:b/>
          <w:bCs/>
          <w:color w:val="000000" w:themeColor="text1"/>
          <w:sz w:val="24"/>
        </w:rPr>
        <w:t xml:space="preserve">00220/PLEGISLA/IP/2025, </w:t>
      </w:r>
      <w:r w:rsidR="00F3336F">
        <w:rPr>
          <w:rFonts w:ascii="Palatino Linotype" w:eastAsia="Calibri" w:hAnsi="Palatino Linotype" w:cs="Arial"/>
          <w:color w:val="000000" w:themeColor="text1"/>
          <w:sz w:val="24"/>
          <w:lang w:val="es-ES"/>
        </w:rPr>
        <w:t>en la que se</w:t>
      </w:r>
      <w:r w:rsidRPr="009063A6">
        <w:rPr>
          <w:rFonts w:ascii="Palatino Linotype" w:eastAsia="Calibri" w:hAnsi="Palatino Linotype" w:cs="Arial"/>
          <w:color w:val="000000" w:themeColor="text1"/>
          <w:sz w:val="24"/>
          <w:lang w:val="es-ES"/>
        </w:rPr>
        <w:t xml:space="preserve"> solicitó lo siguiente:</w:t>
      </w:r>
    </w:p>
    <w:p w:rsidR="00187F75" w:rsidRPr="009063A6" w:rsidRDefault="00187F75" w:rsidP="009063A6">
      <w:pPr>
        <w:pStyle w:val="Prrafodelista"/>
        <w:spacing w:line="360" w:lineRule="auto"/>
        <w:ind w:left="0"/>
        <w:jc w:val="both"/>
        <w:rPr>
          <w:rFonts w:ascii="Palatino Linotype" w:hAnsi="Palatino Linotype" w:cs="Arial"/>
          <w:color w:val="000000" w:themeColor="text1"/>
          <w:sz w:val="24"/>
          <w:lang w:val="es-ES"/>
        </w:rPr>
      </w:pPr>
    </w:p>
    <w:p w:rsidR="00187F75" w:rsidRPr="009063A6" w:rsidRDefault="00187F75" w:rsidP="009063A6">
      <w:pPr>
        <w:pStyle w:val="Prrafodelista"/>
        <w:spacing w:line="360" w:lineRule="auto"/>
        <w:ind w:left="0"/>
        <w:jc w:val="both"/>
        <w:rPr>
          <w:rFonts w:ascii="Palatino Linotype" w:hAnsi="Palatino Linotype"/>
          <w:i/>
          <w:color w:val="000000" w:themeColor="text1"/>
          <w:sz w:val="24"/>
        </w:rPr>
      </w:pPr>
      <w:r w:rsidRPr="009063A6">
        <w:rPr>
          <w:rFonts w:ascii="Palatino Linotype" w:hAnsi="Palatino Linotype"/>
          <w:i/>
          <w:color w:val="000000" w:themeColor="text1"/>
          <w:sz w:val="24"/>
        </w:rPr>
        <w:t>“Recibos de prima vacacional de todos los servidores públicos de la cámara de marzo 2025”</w:t>
      </w:r>
    </w:p>
    <w:p w:rsidR="00187F75" w:rsidRDefault="00187F75" w:rsidP="009063A6">
      <w:pPr>
        <w:rPr>
          <w:rFonts w:ascii="Palatino Linotype" w:hAnsi="Palatino Linotype" w:cs="Arial"/>
          <w:color w:val="000000" w:themeColor="text1"/>
          <w:lang w:val="es-ES"/>
        </w:rPr>
      </w:pPr>
    </w:p>
    <w:p w:rsidR="00F3336F" w:rsidRPr="009063A6" w:rsidRDefault="00F3336F" w:rsidP="009063A6">
      <w:pPr>
        <w:rPr>
          <w:rFonts w:ascii="Palatino Linotype" w:hAnsi="Palatino Linotype" w:cs="Arial"/>
          <w:color w:val="000000" w:themeColor="text1"/>
          <w:lang w:val="es-ES"/>
        </w:rPr>
      </w:pPr>
    </w:p>
    <w:p w:rsidR="00187F75" w:rsidRPr="009063A6" w:rsidRDefault="00187F75" w:rsidP="009063A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9063A6">
        <w:rPr>
          <w:rFonts w:ascii="Palatino Linotype" w:hAnsi="Palatino Linotype" w:cs="Arial"/>
          <w:color w:val="000000" w:themeColor="text1"/>
          <w:sz w:val="24"/>
          <w:lang w:val="es-ES"/>
        </w:rPr>
        <w:t xml:space="preserve">El </w:t>
      </w:r>
      <w:r w:rsidRPr="009063A6">
        <w:rPr>
          <w:rFonts w:ascii="Palatino Linotype" w:hAnsi="Palatino Linotype" w:cs="Arial"/>
          <w:b/>
          <w:color w:val="000000" w:themeColor="text1"/>
          <w:sz w:val="24"/>
          <w:lang w:val="es-ES"/>
        </w:rPr>
        <w:t>veinticinco de abril de dos mil veinticinco</w:t>
      </w:r>
      <w:r w:rsidRPr="009063A6">
        <w:rPr>
          <w:rFonts w:ascii="Palatino Linotype" w:hAnsi="Palatino Linotype" w:cs="Arial"/>
          <w:color w:val="000000" w:themeColor="text1"/>
          <w:sz w:val="24"/>
          <w:lang w:val="es-ES"/>
        </w:rPr>
        <w:t xml:space="preserve">, se realizó un requerimiento de información al servidor público habilitado. </w:t>
      </w:r>
    </w:p>
    <w:p w:rsidR="00187F75" w:rsidRPr="009063A6" w:rsidRDefault="00187F75" w:rsidP="009063A6">
      <w:pPr>
        <w:pStyle w:val="Prrafodelista"/>
        <w:numPr>
          <w:ilvl w:val="0"/>
          <w:numId w:val="2"/>
        </w:numPr>
        <w:spacing w:line="360" w:lineRule="auto"/>
        <w:ind w:left="0" w:firstLine="0"/>
        <w:jc w:val="both"/>
        <w:rPr>
          <w:rFonts w:ascii="Palatino Linotype" w:hAnsi="Palatino Linotype" w:cs="Arial"/>
          <w:color w:val="000000" w:themeColor="text1"/>
          <w:sz w:val="24"/>
          <w:lang w:val="es-ES"/>
        </w:rPr>
      </w:pPr>
      <w:r w:rsidRPr="009063A6">
        <w:rPr>
          <w:rFonts w:ascii="Palatino Linotype" w:hAnsi="Palatino Linotype" w:cs="Arial"/>
          <w:color w:val="000000" w:themeColor="text1"/>
          <w:sz w:val="24"/>
          <w:lang w:val="es-ES"/>
        </w:rPr>
        <w:lastRenderedPageBreak/>
        <w:t xml:space="preserve">El </w:t>
      </w:r>
      <w:r w:rsidRPr="009063A6">
        <w:rPr>
          <w:rFonts w:ascii="Palatino Linotype" w:hAnsi="Palatino Linotype" w:cs="Arial"/>
          <w:b/>
          <w:color w:val="000000" w:themeColor="text1"/>
          <w:sz w:val="24"/>
          <w:lang w:val="es-ES"/>
        </w:rPr>
        <w:t>quince de mayo de dos mil veinticinco</w:t>
      </w:r>
      <w:r w:rsidRPr="009063A6">
        <w:rPr>
          <w:rFonts w:ascii="Palatino Linotype" w:hAnsi="Palatino Linotype" w:cs="Arial"/>
          <w:color w:val="000000" w:themeColor="text1"/>
          <w:sz w:val="24"/>
          <w:lang w:val="es-ES"/>
        </w:rPr>
        <w:t>, el Sujeto Obligado dio respuesta a la solicitud, en los siguientes términos:</w:t>
      </w: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9063A6" w:rsidRPr="009063A6" w:rsidTr="00187F75">
        <w:trPr>
          <w:trHeight w:val="721"/>
          <w:tblCellSpacing w:w="0" w:type="dxa"/>
          <w:jc w:val="center"/>
        </w:trPr>
        <w:tc>
          <w:tcPr>
            <w:tcW w:w="0" w:type="auto"/>
            <w:vAlign w:val="center"/>
            <w:hideMark/>
          </w:tcPr>
          <w:p w:rsidR="00187F75" w:rsidRPr="009063A6" w:rsidRDefault="00187F75" w:rsidP="009063A6">
            <w:pPr>
              <w:jc w:val="right"/>
              <w:rPr>
                <w:rFonts w:ascii="Palatino Linotype" w:hAnsi="Palatino Linotype"/>
                <w:i/>
                <w:color w:val="000000" w:themeColor="text1"/>
              </w:rPr>
            </w:pPr>
            <w:r w:rsidRPr="009063A6">
              <w:rPr>
                <w:rFonts w:ascii="Palatino Linotype" w:hAnsi="Palatino Linotype"/>
                <w:i/>
                <w:color w:val="000000" w:themeColor="text1"/>
              </w:rPr>
              <w:br/>
              <w:t>Metepec, México a 15 de Mayo de 2025</w:t>
            </w:r>
          </w:p>
        </w:tc>
      </w:tr>
      <w:tr w:rsidR="009063A6" w:rsidRPr="009063A6" w:rsidTr="00187F75">
        <w:trPr>
          <w:trHeight w:val="721"/>
          <w:tblCellSpacing w:w="0" w:type="dxa"/>
          <w:jc w:val="center"/>
        </w:trPr>
        <w:tc>
          <w:tcPr>
            <w:tcW w:w="0" w:type="auto"/>
            <w:vAlign w:val="center"/>
            <w:hideMark/>
          </w:tcPr>
          <w:p w:rsidR="00187F75" w:rsidRPr="009063A6" w:rsidRDefault="00187F75" w:rsidP="009063A6">
            <w:pPr>
              <w:jc w:val="right"/>
              <w:rPr>
                <w:rFonts w:ascii="Palatino Linotype" w:hAnsi="Palatino Linotype"/>
                <w:i/>
                <w:color w:val="000000" w:themeColor="text1"/>
              </w:rPr>
            </w:pPr>
            <w:r w:rsidRPr="009063A6">
              <w:rPr>
                <w:rFonts w:ascii="Palatino Linotype" w:hAnsi="Palatino Linotype"/>
                <w:i/>
                <w:color w:val="000000" w:themeColor="text1"/>
              </w:rPr>
              <w:t>Nombre del solicitante: C. Solicitante</w:t>
            </w:r>
          </w:p>
        </w:tc>
      </w:tr>
      <w:tr w:rsidR="009063A6" w:rsidRPr="009063A6" w:rsidTr="00187F75">
        <w:trPr>
          <w:trHeight w:val="721"/>
          <w:tblCellSpacing w:w="0" w:type="dxa"/>
          <w:jc w:val="center"/>
        </w:trPr>
        <w:tc>
          <w:tcPr>
            <w:tcW w:w="0" w:type="auto"/>
            <w:vAlign w:val="center"/>
            <w:hideMark/>
          </w:tcPr>
          <w:p w:rsidR="00187F75" w:rsidRPr="009063A6" w:rsidRDefault="00187F75" w:rsidP="009063A6">
            <w:pPr>
              <w:jc w:val="right"/>
              <w:rPr>
                <w:rFonts w:ascii="Palatino Linotype" w:hAnsi="Palatino Linotype"/>
                <w:i/>
                <w:color w:val="000000" w:themeColor="text1"/>
              </w:rPr>
            </w:pPr>
            <w:r w:rsidRPr="009063A6">
              <w:rPr>
                <w:rFonts w:ascii="Palatino Linotype" w:hAnsi="Palatino Linotype"/>
                <w:i/>
                <w:color w:val="000000" w:themeColor="text1"/>
              </w:rPr>
              <w:t>Folio de la solicitud: 00220/PLEGISLA/IP/2025</w:t>
            </w:r>
          </w:p>
        </w:tc>
      </w:tr>
      <w:tr w:rsidR="009063A6" w:rsidRPr="009063A6" w:rsidTr="00187F75">
        <w:trPr>
          <w:trHeight w:val="360"/>
          <w:tblCellSpacing w:w="0" w:type="dxa"/>
          <w:jc w:val="center"/>
        </w:trPr>
        <w:tc>
          <w:tcPr>
            <w:tcW w:w="0" w:type="auto"/>
            <w:vAlign w:val="center"/>
            <w:hideMark/>
          </w:tcPr>
          <w:p w:rsidR="00187F75" w:rsidRPr="009063A6" w:rsidRDefault="00187F75" w:rsidP="009063A6">
            <w:pPr>
              <w:jc w:val="both"/>
              <w:rPr>
                <w:rFonts w:ascii="Palatino Linotype" w:hAnsi="Palatino Linotype"/>
                <w:i/>
                <w:color w:val="000000" w:themeColor="text1"/>
              </w:rPr>
            </w:pPr>
            <w:r w:rsidRPr="009063A6">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87F75" w:rsidRPr="009063A6" w:rsidRDefault="00187F75" w:rsidP="009063A6">
            <w:pPr>
              <w:rPr>
                <w:rFonts w:ascii="Palatino Linotype" w:hAnsi="Palatino Linotype"/>
                <w:i/>
                <w:color w:val="000000" w:themeColor="text1"/>
              </w:rPr>
            </w:pPr>
          </w:p>
        </w:tc>
      </w:tr>
      <w:tr w:rsidR="009063A6" w:rsidRPr="009063A6" w:rsidTr="00187F75">
        <w:trPr>
          <w:trHeight w:val="360"/>
          <w:tblCellSpacing w:w="0" w:type="dxa"/>
          <w:jc w:val="center"/>
        </w:trPr>
        <w:tc>
          <w:tcPr>
            <w:tcW w:w="0" w:type="auto"/>
            <w:vAlign w:val="center"/>
            <w:hideMark/>
          </w:tcPr>
          <w:p w:rsidR="00187F75" w:rsidRPr="009063A6" w:rsidRDefault="00187F75" w:rsidP="009063A6">
            <w:pPr>
              <w:rPr>
                <w:rFonts w:ascii="Palatino Linotype" w:hAnsi="Palatino Linotype"/>
                <w:i/>
                <w:color w:val="000000" w:themeColor="text1"/>
              </w:rPr>
            </w:pPr>
            <w:r w:rsidRPr="009063A6">
              <w:rPr>
                <w:rFonts w:ascii="Palatino Linotype" w:hAnsi="Palatino Linotype"/>
                <w:i/>
                <w:color w:val="000000" w:themeColor="text1"/>
              </w:rPr>
              <w:t>Se adjunta documento.</w:t>
            </w:r>
          </w:p>
        </w:tc>
      </w:tr>
      <w:tr w:rsidR="009063A6" w:rsidRPr="009063A6" w:rsidTr="00187F75">
        <w:trPr>
          <w:trHeight w:val="360"/>
          <w:tblCellSpacing w:w="0" w:type="dxa"/>
          <w:jc w:val="center"/>
        </w:trPr>
        <w:tc>
          <w:tcPr>
            <w:tcW w:w="0" w:type="auto"/>
            <w:vAlign w:val="center"/>
            <w:hideMark/>
          </w:tcPr>
          <w:p w:rsidR="00187F75" w:rsidRPr="009063A6" w:rsidRDefault="00187F75" w:rsidP="009063A6">
            <w:pPr>
              <w:rPr>
                <w:rFonts w:ascii="Palatino Linotype" w:hAnsi="Palatino Linotype"/>
                <w:i/>
                <w:color w:val="000000" w:themeColor="text1"/>
              </w:rPr>
            </w:pPr>
          </w:p>
        </w:tc>
      </w:tr>
      <w:tr w:rsidR="009063A6" w:rsidRPr="009063A6" w:rsidTr="00187F75">
        <w:trPr>
          <w:trHeight w:val="360"/>
          <w:tblCellSpacing w:w="0" w:type="dxa"/>
          <w:jc w:val="center"/>
        </w:trPr>
        <w:tc>
          <w:tcPr>
            <w:tcW w:w="0" w:type="auto"/>
            <w:vAlign w:val="center"/>
            <w:hideMark/>
          </w:tcPr>
          <w:p w:rsidR="00187F75" w:rsidRPr="009063A6" w:rsidRDefault="00187F75" w:rsidP="009063A6">
            <w:pPr>
              <w:rPr>
                <w:rFonts w:ascii="Palatino Linotype" w:hAnsi="Palatino Linotype"/>
                <w:i/>
                <w:color w:val="000000" w:themeColor="text1"/>
              </w:rPr>
            </w:pPr>
            <w:r w:rsidRPr="009063A6">
              <w:rPr>
                <w:rFonts w:ascii="Palatino Linotype" w:hAnsi="Palatino Linotype"/>
                <w:i/>
                <w:color w:val="000000" w:themeColor="text1"/>
              </w:rPr>
              <w:t>ATENTAMENTE</w:t>
            </w:r>
          </w:p>
        </w:tc>
      </w:tr>
      <w:tr w:rsidR="009063A6" w:rsidRPr="009063A6" w:rsidTr="00187F75">
        <w:trPr>
          <w:trHeight w:val="540"/>
          <w:tblCellSpacing w:w="0" w:type="dxa"/>
          <w:jc w:val="center"/>
        </w:trPr>
        <w:tc>
          <w:tcPr>
            <w:tcW w:w="0" w:type="auto"/>
            <w:vAlign w:val="center"/>
            <w:hideMark/>
          </w:tcPr>
          <w:p w:rsidR="00187F75" w:rsidRPr="009063A6" w:rsidRDefault="00187F75" w:rsidP="009063A6">
            <w:pPr>
              <w:rPr>
                <w:rFonts w:ascii="Palatino Linotype" w:hAnsi="Palatino Linotype"/>
                <w:i/>
                <w:color w:val="000000" w:themeColor="text1"/>
              </w:rPr>
            </w:pPr>
          </w:p>
        </w:tc>
      </w:tr>
      <w:tr w:rsidR="00187F75" w:rsidRPr="009063A6" w:rsidTr="00187F75">
        <w:trPr>
          <w:trHeight w:val="360"/>
          <w:tblCellSpacing w:w="0" w:type="dxa"/>
          <w:jc w:val="center"/>
        </w:trPr>
        <w:tc>
          <w:tcPr>
            <w:tcW w:w="0" w:type="auto"/>
            <w:vAlign w:val="center"/>
            <w:hideMark/>
          </w:tcPr>
          <w:p w:rsidR="00187F75" w:rsidRPr="009063A6" w:rsidRDefault="00187F75" w:rsidP="009063A6">
            <w:pPr>
              <w:rPr>
                <w:rFonts w:ascii="Palatino Linotype" w:hAnsi="Palatino Linotype"/>
                <w:i/>
                <w:color w:val="000000" w:themeColor="text1"/>
              </w:rPr>
            </w:pPr>
            <w:r w:rsidRPr="009063A6">
              <w:rPr>
                <w:rFonts w:ascii="Palatino Linotype" w:hAnsi="Palatino Linotype"/>
                <w:i/>
                <w:color w:val="000000" w:themeColor="text1"/>
              </w:rPr>
              <w:t>Jesús Felipe Borja Coronel</w:t>
            </w:r>
          </w:p>
        </w:tc>
      </w:tr>
    </w:tbl>
    <w:p w:rsidR="00187F75" w:rsidRPr="009063A6" w:rsidRDefault="00187F75" w:rsidP="009063A6">
      <w:pPr>
        <w:spacing w:line="360" w:lineRule="auto"/>
        <w:jc w:val="both"/>
        <w:rPr>
          <w:rStyle w:val="Hipervnculo"/>
          <w:rFonts w:ascii="Palatino Linotype" w:hAnsi="Palatino Linotype" w:cs="Arial"/>
          <w:bCs/>
          <w:color w:val="000000" w:themeColor="text1"/>
        </w:rPr>
      </w:pPr>
    </w:p>
    <w:p w:rsidR="00187F75" w:rsidRPr="009063A6" w:rsidRDefault="00187F75" w:rsidP="009063A6">
      <w:pPr>
        <w:pStyle w:val="Prrafodelista"/>
        <w:numPr>
          <w:ilvl w:val="0"/>
          <w:numId w:val="3"/>
        </w:numPr>
        <w:spacing w:line="360" w:lineRule="auto"/>
        <w:ind w:left="0" w:firstLine="0"/>
        <w:jc w:val="both"/>
        <w:rPr>
          <w:rStyle w:val="Hipervnculo"/>
          <w:rFonts w:ascii="Palatino Linotype" w:hAnsi="Palatino Linotype" w:cs="Arial"/>
          <w:bCs/>
          <w:i/>
          <w:color w:val="000000" w:themeColor="text1"/>
          <w:sz w:val="24"/>
          <w:u w:val="none"/>
        </w:rPr>
      </w:pPr>
      <w:r w:rsidRPr="009063A6">
        <w:rPr>
          <w:rStyle w:val="Hipervnculo"/>
          <w:rFonts w:ascii="Palatino Linotype" w:hAnsi="Palatino Linotype" w:cs="Arial"/>
          <w:bCs/>
          <w:color w:val="000000" w:themeColor="text1"/>
          <w:sz w:val="24"/>
          <w:u w:val="none"/>
        </w:rPr>
        <w:t>A la respuesta se adjuntaron los archivos que se describen enseguida:</w:t>
      </w:r>
    </w:p>
    <w:p w:rsidR="00187F75" w:rsidRPr="009063A6" w:rsidRDefault="00187F75" w:rsidP="009063A6">
      <w:pPr>
        <w:pStyle w:val="Prrafodelista"/>
        <w:spacing w:line="360" w:lineRule="auto"/>
        <w:ind w:left="0"/>
        <w:jc w:val="both"/>
        <w:rPr>
          <w:rStyle w:val="Hipervnculo"/>
          <w:rFonts w:ascii="Palatino Linotype" w:hAnsi="Palatino Linotype" w:cs="Arial"/>
          <w:bCs/>
          <w:color w:val="000000" w:themeColor="text1"/>
          <w:sz w:val="24"/>
          <w:u w:val="none"/>
        </w:rPr>
      </w:pPr>
    </w:p>
    <w:p w:rsidR="00187F75" w:rsidRPr="009063A6" w:rsidRDefault="004E4AEA" w:rsidP="009063A6">
      <w:pPr>
        <w:pStyle w:val="Prrafodelista"/>
        <w:numPr>
          <w:ilvl w:val="0"/>
          <w:numId w:val="5"/>
        </w:numPr>
        <w:spacing w:line="360" w:lineRule="auto"/>
        <w:ind w:left="0" w:firstLine="0"/>
        <w:jc w:val="both"/>
        <w:rPr>
          <w:rFonts w:ascii="Palatino Linotype" w:hAnsi="Palatino Linotype" w:cs="Arial"/>
          <w:bCs/>
          <w:color w:val="000000" w:themeColor="text1"/>
          <w:sz w:val="24"/>
        </w:rPr>
      </w:pPr>
      <w:hyperlink r:id="rId7" w:tgtFrame="_blank" w:history="1">
        <w:r w:rsidR="00187F75" w:rsidRPr="009063A6">
          <w:rPr>
            <w:rStyle w:val="Hipervnculo"/>
            <w:rFonts w:ascii="Palatino Linotype" w:eastAsiaTheme="majorEastAsia" w:hAnsi="Palatino Linotype" w:cs="Arial"/>
            <w:b/>
            <w:bCs/>
            <w:color w:val="000000" w:themeColor="text1"/>
            <w:sz w:val="24"/>
          </w:rPr>
          <w:t>Acuerdo PLEGISLA-LXII-CT-10ªext-2025-CUARTO.pdf</w:t>
        </w:r>
      </w:hyperlink>
      <w:r w:rsidR="00187F75" w:rsidRPr="009063A6">
        <w:rPr>
          <w:rFonts w:ascii="Palatino Linotype" w:hAnsi="Palatino Linotype"/>
          <w:color w:val="000000" w:themeColor="text1"/>
          <w:sz w:val="24"/>
        </w:rPr>
        <w:t>: Acuerdo de la Décima Sesión Extraordinaria del Comité de Transparencia en el que se aprobó la versión pública de la información entregada en</w:t>
      </w:r>
      <w:r w:rsidR="00891595" w:rsidRPr="009063A6">
        <w:rPr>
          <w:rFonts w:ascii="Palatino Linotype" w:hAnsi="Palatino Linotype"/>
          <w:color w:val="000000" w:themeColor="text1"/>
          <w:sz w:val="24"/>
        </w:rPr>
        <w:t xml:space="preserve"> </w:t>
      </w:r>
      <w:r w:rsidR="00187F75" w:rsidRPr="009063A6">
        <w:rPr>
          <w:rFonts w:ascii="Palatino Linotype" w:hAnsi="Palatino Linotype"/>
          <w:color w:val="000000" w:themeColor="text1"/>
          <w:sz w:val="24"/>
        </w:rPr>
        <w:t xml:space="preserve"> respuesta.</w:t>
      </w:r>
    </w:p>
    <w:p w:rsidR="00187F75" w:rsidRPr="009063A6" w:rsidRDefault="004E4AEA" w:rsidP="009063A6">
      <w:pPr>
        <w:pStyle w:val="Prrafodelista"/>
        <w:numPr>
          <w:ilvl w:val="0"/>
          <w:numId w:val="5"/>
        </w:numPr>
        <w:spacing w:line="360" w:lineRule="auto"/>
        <w:ind w:left="0" w:firstLine="0"/>
        <w:jc w:val="both"/>
        <w:rPr>
          <w:rFonts w:ascii="Palatino Linotype" w:hAnsi="Palatino Linotype" w:cs="Arial"/>
          <w:bCs/>
          <w:color w:val="000000" w:themeColor="text1"/>
          <w:sz w:val="24"/>
        </w:rPr>
      </w:pPr>
      <w:hyperlink r:id="rId8" w:tgtFrame="_blank" w:history="1">
        <w:r w:rsidR="00187F75" w:rsidRPr="009063A6">
          <w:rPr>
            <w:rStyle w:val="Hipervnculo"/>
            <w:rFonts w:ascii="Palatino Linotype" w:eastAsiaTheme="majorEastAsia" w:hAnsi="Palatino Linotype" w:cs="Arial"/>
            <w:b/>
            <w:bCs/>
            <w:color w:val="000000" w:themeColor="text1"/>
            <w:sz w:val="24"/>
          </w:rPr>
          <w:t>Anexo 220.zip</w:t>
        </w:r>
      </w:hyperlink>
      <w:r w:rsidR="00187F75" w:rsidRPr="009063A6">
        <w:rPr>
          <w:rFonts w:ascii="Palatino Linotype" w:hAnsi="Palatino Linotype"/>
          <w:color w:val="000000" w:themeColor="text1"/>
          <w:sz w:val="24"/>
        </w:rPr>
        <w:t>:</w:t>
      </w:r>
      <w:r w:rsidR="00891595" w:rsidRPr="009063A6">
        <w:rPr>
          <w:rFonts w:ascii="Palatino Linotype" w:hAnsi="Palatino Linotype"/>
          <w:color w:val="000000" w:themeColor="text1"/>
          <w:sz w:val="24"/>
        </w:rPr>
        <w:t xml:space="preserve"> archivo con 1829 documentos referentes al pago de prima vacacional. </w:t>
      </w:r>
    </w:p>
    <w:p w:rsidR="00187F75" w:rsidRPr="009063A6" w:rsidRDefault="004E4AEA" w:rsidP="009063A6">
      <w:pPr>
        <w:pStyle w:val="Prrafodelista"/>
        <w:numPr>
          <w:ilvl w:val="0"/>
          <w:numId w:val="5"/>
        </w:numPr>
        <w:spacing w:line="360" w:lineRule="auto"/>
        <w:ind w:left="0" w:firstLine="0"/>
        <w:jc w:val="both"/>
        <w:rPr>
          <w:rFonts w:ascii="Palatino Linotype" w:hAnsi="Palatino Linotype" w:cs="Arial"/>
          <w:bCs/>
          <w:color w:val="000000" w:themeColor="text1"/>
          <w:sz w:val="24"/>
        </w:rPr>
      </w:pPr>
      <w:hyperlink r:id="rId9" w:tgtFrame="_blank" w:history="1">
        <w:r w:rsidR="00187F75" w:rsidRPr="009063A6">
          <w:rPr>
            <w:rStyle w:val="Hipervnculo"/>
            <w:rFonts w:ascii="Palatino Linotype" w:eastAsiaTheme="majorEastAsia" w:hAnsi="Palatino Linotype" w:cs="Arial"/>
            <w:b/>
            <w:bCs/>
            <w:color w:val="000000" w:themeColor="text1"/>
            <w:sz w:val="24"/>
          </w:rPr>
          <w:t>Oficio 0220.pdf</w:t>
        </w:r>
      </w:hyperlink>
      <w:r w:rsidR="00187F75" w:rsidRPr="009063A6">
        <w:rPr>
          <w:rFonts w:ascii="Palatino Linotype" w:hAnsi="Palatino Linotype"/>
          <w:color w:val="000000" w:themeColor="text1"/>
          <w:sz w:val="24"/>
        </w:rPr>
        <w:t>:</w:t>
      </w:r>
      <w:r w:rsidR="00891595" w:rsidRPr="009063A6">
        <w:rPr>
          <w:rFonts w:ascii="Palatino Linotype" w:hAnsi="Palatino Linotype"/>
          <w:color w:val="000000" w:themeColor="text1"/>
          <w:sz w:val="24"/>
        </w:rPr>
        <w:t xml:space="preserve"> documento de fecha quince de mayo de dos mil veinticinco, suscrito por la Secretaría de Administración y Finanzas, quien señaló </w:t>
      </w:r>
      <w:r w:rsidR="00B36696" w:rsidRPr="009063A6">
        <w:rPr>
          <w:rFonts w:ascii="Palatino Linotype" w:hAnsi="Palatino Linotype"/>
          <w:i/>
          <w:color w:val="000000" w:themeColor="text1"/>
          <w:sz w:val="24"/>
        </w:rPr>
        <w:t>“Derivado de la búsqueda exhaustiva y razonable realizada en los archivos que obran en esta dependencia; se remite versión pública de los recibos de nómina "Prima vacacional", correspondiente al periodo de enero a abril 2025, de las personas servidoras públicas del Poder Legislativo del Estado de México. La presente respuesta se genera en apego a lo establecido en el artículo 12 de la Ley de Transparencia y Acceso a la Información Pública del Estado de México y Municipios…”</w:t>
      </w:r>
    </w:p>
    <w:p w:rsidR="00187F75" w:rsidRPr="009063A6" w:rsidRDefault="004E4AEA" w:rsidP="009063A6">
      <w:pPr>
        <w:pStyle w:val="Prrafodelista"/>
        <w:numPr>
          <w:ilvl w:val="0"/>
          <w:numId w:val="5"/>
        </w:numPr>
        <w:spacing w:line="360" w:lineRule="auto"/>
        <w:ind w:left="0" w:firstLine="0"/>
        <w:jc w:val="both"/>
        <w:rPr>
          <w:rFonts w:ascii="Palatino Linotype" w:hAnsi="Palatino Linotype" w:cs="Arial"/>
          <w:bCs/>
          <w:color w:val="000000" w:themeColor="text1"/>
          <w:sz w:val="24"/>
        </w:rPr>
      </w:pPr>
      <w:hyperlink r:id="rId10" w:tgtFrame="_blank" w:history="1">
        <w:r w:rsidR="00187F75" w:rsidRPr="009063A6">
          <w:rPr>
            <w:rStyle w:val="Hipervnculo"/>
            <w:rFonts w:ascii="Palatino Linotype" w:eastAsiaTheme="majorEastAsia" w:hAnsi="Palatino Linotype" w:cs="Arial"/>
            <w:b/>
            <w:bCs/>
            <w:color w:val="000000" w:themeColor="text1"/>
            <w:sz w:val="24"/>
          </w:rPr>
          <w:t>Leyenda Confidencial - 220.pdf</w:t>
        </w:r>
      </w:hyperlink>
      <w:r w:rsidR="00187F75" w:rsidRPr="009063A6">
        <w:rPr>
          <w:rFonts w:ascii="Palatino Linotype" w:hAnsi="Palatino Linotype"/>
          <w:color w:val="000000" w:themeColor="text1"/>
          <w:sz w:val="24"/>
        </w:rPr>
        <w:t>:</w:t>
      </w:r>
      <w:r w:rsidR="00B36696" w:rsidRPr="009063A6">
        <w:rPr>
          <w:rFonts w:ascii="Palatino Linotype" w:hAnsi="Palatino Linotype"/>
          <w:color w:val="000000" w:themeColor="text1"/>
          <w:sz w:val="24"/>
        </w:rPr>
        <w:t xml:space="preserve"> cuadro de clasificación. </w:t>
      </w:r>
    </w:p>
    <w:p w:rsidR="00187F75" w:rsidRPr="009063A6" w:rsidRDefault="004E4AEA" w:rsidP="009063A6">
      <w:pPr>
        <w:pStyle w:val="Prrafodelista"/>
        <w:numPr>
          <w:ilvl w:val="0"/>
          <w:numId w:val="5"/>
        </w:numPr>
        <w:spacing w:line="360" w:lineRule="auto"/>
        <w:ind w:left="0" w:firstLine="0"/>
        <w:jc w:val="both"/>
        <w:rPr>
          <w:rFonts w:ascii="Palatino Linotype" w:hAnsi="Palatino Linotype" w:cs="Arial"/>
          <w:bCs/>
          <w:color w:val="000000" w:themeColor="text1"/>
          <w:sz w:val="24"/>
        </w:rPr>
      </w:pPr>
      <w:hyperlink r:id="rId11" w:tgtFrame="_blank" w:history="1">
        <w:r w:rsidR="00187F75" w:rsidRPr="009063A6">
          <w:rPr>
            <w:rStyle w:val="Hipervnculo"/>
            <w:rFonts w:ascii="Palatino Linotype" w:eastAsiaTheme="majorEastAsia" w:hAnsi="Palatino Linotype" w:cs="Arial"/>
            <w:b/>
            <w:bCs/>
            <w:color w:val="000000" w:themeColor="text1"/>
            <w:sz w:val="24"/>
          </w:rPr>
          <w:t>220 RESPUESTA.pdf</w:t>
        </w:r>
      </w:hyperlink>
      <w:r w:rsidR="00187F75" w:rsidRPr="009063A6">
        <w:rPr>
          <w:rFonts w:ascii="Palatino Linotype" w:hAnsi="Palatino Linotype"/>
          <w:color w:val="000000" w:themeColor="text1"/>
          <w:sz w:val="24"/>
        </w:rPr>
        <w:t>:</w:t>
      </w:r>
      <w:r w:rsidR="00B36696" w:rsidRPr="009063A6">
        <w:rPr>
          <w:rFonts w:ascii="Palatino Linotype" w:hAnsi="Palatino Linotype"/>
          <w:color w:val="000000" w:themeColor="text1"/>
          <w:sz w:val="24"/>
        </w:rPr>
        <w:t xml:space="preserve"> oficio número UIPL/0755/2025 de fecha quince de mayo de dos mil veinticinco, suscrito por el Titular de la Unidad de Transparencia, quien señaló que </w:t>
      </w:r>
      <w:r w:rsidR="00667C3F" w:rsidRPr="009063A6">
        <w:rPr>
          <w:rFonts w:ascii="Palatino Linotype" w:hAnsi="Palatino Linotype"/>
          <w:color w:val="000000" w:themeColor="text1"/>
          <w:sz w:val="24"/>
        </w:rPr>
        <w:t xml:space="preserve">se adjunta respuesta proporcionada por la servidora pública habilitada de la Secretaría de Administración y Finanzas. </w:t>
      </w:r>
    </w:p>
    <w:p w:rsidR="00667C3F" w:rsidRPr="009063A6" w:rsidRDefault="00667C3F" w:rsidP="009063A6">
      <w:pPr>
        <w:pStyle w:val="Prrafodelista"/>
        <w:spacing w:line="360" w:lineRule="auto"/>
        <w:ind w:left="0"/>
        <w:jc w:val="both"/>
        <w:rPr>
          <w:rStyle w:val="Hipervnculo"/>
          <w:rFonts w:ascii="Palatino Linotype" w:hAnsi="Palatino Linotype" w:cs="Arial"/>
          <w:bCs/>
          <w:color w:val="000000" w:themeColor="text1"/>
          <w:sz w:val="24"/>
          <w:u w:val="none"/>
        </w:rPr>
      </w:pPr>
    </w:p>
    <w:p w:rsidR="00187F75" w:rsidRPr="009063A6" w:rsidRDefault="00187F75" w:rsidP="009063A6">
      <w:pPr>
        <w:pStyle w:val="Prrafodelista"/>
        <w:numPr>
          <w:ilvl w:val="0"/>
          <w:numId w:val="2"/>
        </w:numPr>
        <w:spacing w:before="240" w:after="240" w:line="360" w:lineRule="auto"/>
        <w:ind w:left="0" w:firstLine="0"/>
        <w:jc w:val="both"/>
        <w:rPr>
          <w:rFonts w:ascii="Palatino Linotype" w:hAnsi="Palatino Linotype" w:cs="Arial"/>
          <w:i/>
          <w:color w:val="000000" w:themeColor="text1"/>
          <w:sz w:val="24"/>
        </w:rPr>
      </w:pPr>
      <w:r w:rsidRPr="009063A6">
        <w:rPr>
          <w:rFonts w:ascii="Palatino Linotype" w:eastAsia="Calibri" w:hAnsi="Palatino Linotype" w:cs="Arial"/>
          <w:color w:val="000000" w:themeColor="text1"/>
          <w:sz w:val="24"/>
          <w:lang w:val="es-AR"/>
        </w:rPr>
        <w:t xml:space="preserve">El </w:t>
      </w:r>
      <w:r w:rsidR="00667C3F" w:rsidRPr="009063A6">
        <w:rPr>
          <w:rFonts w:ascii="Palatino Linotype" w:eastAsia="Calibri" w:hAnsi="Palatino Linotype" w:cs="Arial"/>
          <w:b/>
          <w:color w:val="000000" w:themeColor="text1"/>
          <w:sz w:val="24"/>
          <w:lang w:val="es-AR"/>
        </w:rPr>
        <w:t>veintinueve de mayo</w:t>
      </w:r>
      <w:r w:rsidRPr="009063A6">
        <w:rPr>
          <w:rFonts w:ascii="Palatino Linotype" w:eastAsia="Calibri" w:hAnsi="Palatino Linotype" w:cs="Arial"/>
          <w:b/>
          <w:color w:val="000000" w:themeColor="text1"/>
          <w:sz w:val="24"/>
          <w:lang w:val="es-AR"/>
        </w:rPr>
        <w:t xml:space="preserve"> de dos mil veinticinco</w:t>
      </w:r>
      <w:r w:rsidRPr="009063A6">
        <w:rPr>
          <w:rFonts w:ascii="Palatino Linotype" w:hAnsi="Palatino Linotype" w:cs="Arial"/>
          <w:color w:val="000000" w:themeColor="text1"/>
          <w:sz w:val="24"/>
          <w:lang w:val="es-ES"/>
        </w:rPr>
        <w:t xml:space="preserve">, </w:t>
      </w:r>
      <w:r w:rsidRPr="009063A6">
        <w:rPr>
          <w:rFonts w:ascii="Palatino Linotype" w:hAnsi="Palatino Linotype"/>
          <w:b/>
          <w:color w:val="000000" w:themeColor="text1"/>
          <w:sz w:val="24"/>
        </w:rPr>
        <w:t>EL RECURRENTE</w:t>
      </w:r>
      <w:r w:rsidRPr="009063A6">
        <w:rPr>
          <w:rFonts w:ascii="Palatino Linotype" w:hAnsi="Palatino Linotype" w:cs="Arial"/>
          <w:color w:val="000000" w:themeColor="text1"/>
          <w:sz w:val="24"/>
          <w:lang w:val="es-ES"/>
        </w:rPr>
        <w:t xml:space="preserve"> interpuso el recurso de revisión, en contra de la respuesta y señaló como:</w:t>
      </w:r>
      <w:bookmarkStart w:id="1" w:name="_Toc462307683"/>
      <w:bookmarkStart w:id="2" w:name="_Toc472427085"/>
      <w:bookmarkStart w:id="3" w:name="_Toc472500652"/>
    </w:p>
    <w:p w:rsidR="00187F75" w:rsidRPr="009063A6" w:rsidRDefault="00187F75" w:rsidP="009063A6">
      <w:pPr>
        <w:pStyle w:val="Prrafodelista"/>
        <w:ind w:left="0"/>
        <w:rPr>
          <w:rFonts w:ascii="Palatino Linotype" w:eastAsia="Calibri" w:hAnsi="Palatino Linotype" w:cs="Tahoma"/>
          <w:b/>
          <w:color w:val="000000" w:themeColor="text1"/>
          <w:sz w:val="24"/>
          <w:lang w:eastAsia="en-US"/>
        </w:rPr>
      </w:pPr>
    </w:p>
    <w:p w:rsidR="00187F75" w:rsidRPr="009063A6" w:rsidRDefault="00F3336F" w:rsidP="00F3336F">
      <w:pPr>
        <w:pStyle w:val="Prrafodelista"/>
        <w:numPr>
          <w:ilvl w:val="0"/>
          <w:numId w:val="3"/>
        </w:numPr>
        <w:spacing w:line="360" w:lineRule="auto"/>
        <w:jc w:val="both"/>
        <w:rPr>
          <w:rFonts w:ascii="Palatino Linotype" w:hAnsi="Palatino Linotype"/>
          <w:bCs/>
          <w:i/>
          <w:iCs/>
          <w:color w:val="000000" w:themeColor="text1"/>
          <w:sz w:val="24"/>
        </w:rPr>
      </w:pPr>
      <w:r w:rsidRPr="009063A6">
        <w:rPr>
          <w:rFonts w:ascii="Palatino Linotype" w:hAnsi="Palatino Linotype"/>
          <w:b/>
          <w:color w:val="000000" w:themeColor="text1"/>
          <w:sz w:val="24"/>
        </w:rPr>
        <w:t>ACTO IMPUGNADO</w:t>
      </w:r>
      <w:r w:rsidR="00187F75" w:rsidRPr="009063A6">
        <w:rPr>
          <w:rFonts w:ascii="Palatino Linotype" w:hAnsi="Palatino Linotype"/>
          <w:b/>
          <w:color w:val="000000" w:themeColor="text1"/>
          <w:sz w:val="24"/>
        </w:rPr>
        <w:t xml:space="preserve">: </w:t>
      </w:r>
      <w:r w:rsidR="00187F75" w:rsidRPr="009063A6">
        <w:rPr>
          <w:rFonts w:ascii="Palatino Linotype" w:hAnsi="Palatino Linotype"/>
          <w:bCs/>
          <w:i/>
          <w:iCs/>
          <w:color w:val="000000" w:themeColor="text1"/>
          <w:sz w:val="24"/>
        </w:rPr>
        <w:t>“</w:t>
      </w:r>
      <w:r w:rsidR="00667C3F" w:rsidRPr="009063A6">
        <w:rPr>
          <w:rFonts w:ascii="Palatino Linotype" w:hAnsi="Palatino Linotype"/>
          <w:bCs/>
          <w:i/>
          <w:iCs/>
          <w:color w:val="000000" w:themeColor="text1"/>
          <w:sz w:val="24"/>
        </w:rPr>
        <w:t>Incompleta</w:t>
      </w:r>
      <w:r w:rsidR="00187F75" w:rsidRPr="009063A6">
        <w:rPr>
          <w:rFonts w:ascii="Palatino Linotype" w:hAnsi="Palatino Linotype"/>
          <w:bCs/>
          <w:i/>
          <w:iCs/>
          <w:color w:val="000000" w:themeColor="text1"/>
          <w:sz w:val="24"/>
        </w:rPr>
        <w:t>” (sic)</w:t>
      </w:r>
    </w:p>
    <w:p w:rsidR="00187F75" w:rsidRPr="009063A6" w:rsidRDefault="00187F75" w:rsidP="009063A6">
      <w:pPr>
        <w:pStyle w:val="Prrafodelista"/>
        <w:spacing w:line="360" w:lineRule="auto"/>
        <w:ind w:left="0"/>
        <w:jc w:val="both"/>
        <w:rPr>
          <w:rFonts w:ascii="Palatino Linotype" w:hAnsi="Palatino Linotype"/>
          <w:bCs/>
          <w:i/>
          <w:iCs/>
          <w:color w:val="000000" w:themeColor="text1"/>
          <w:sz w:val="24"/>
        </w:rPr>
      </w:pPr>
    </w:p>
    <w:p w:rsidR="00187F75" w:rsidRPr="009063A6" w:rsidRDefault="00F3336F" w:rsidP="00F3336F">
      <w:pPr>
        <w:pStyle w:val="Prrafodelista"/>
        <w:numPr>
          <w:ilvl w:val="0"/>
          <w:numId w:val="3"/>
        </w:numPr>
        <w:spacing w:line="360" w:lineRule="auto"/>
        <w:jc w:val="both"/>
        <w:rPr>
          <w:rFonts w:ascii="Palatino Linotype" w:hAnsi="Palatino Linotype"/>
          <w:b/>
          <w:color w:val="000000" w:themeColor="text1"/>
          <w:sz w:val="24"/>
        </w:rPr>
      </w:pPr>
      <w:r w:rsidRPr="009063A6">
        <w:rPr>
          <w:rFonts w:ascii="Palatino Linotype" w:hAnsi="Palatino Linotype"/>
          <w:b/>
          <w:color w:val="000000" w:themeColor="text1"/>
          <w:sz w:val="24"/>
        </w:rPr>
        <w:t>MOTIVOS O RAZONES DE INCONFORMIDAD</w:t>
      </w:r>
      <w:bookmarkEnd w:id="1"/>
      <w:bookmarkEnd w:id="2"/>
      <w:bookmarkEnd w:id="3"/>
      <w:r w:rsidR="00187F75" w:rsidRPr="009063A6">
        <w:rPr>
          <w:rFonts w:ascii="Palatino Linotype" w:hAnsi="Palatino Linotype"/>
          <w:b/>
          <w:color w:val="000000" w:themeColor="text1"/>
          <w:sz w:val="24"/>
        </w:rPr>
        <w:t xml:space="preserve">: </w:t>
      </w:r>
      <w:r w:rsidR="00187F75" w:rsidRPr="009063A6">
        <w:rPr>
          <w:rFonts w:ascii="Palatino Linotype" w:hAnsi="Palatino Linotype"/>
          <w:bCs/>
          <w:i/>
          <w:iCs/>
          <w:color w:val="000000" w:themeColor="text1"/>
          <w:sz w:val="24"/>
        </w:rPr>
        <w:t>“</w:t>
      </w:r>
      <w:r w:rsidR="00667C3F" w:rsidRPr="009063A6">
        <w:rPr>
          <w:rFonts w:ascii="Palatino Linotype" w:hAnsi="Palatino Linotype"/>
          <w:bCs/>
          <w:i/>
          <w:iCs/>
          <w:color w:val="000000" w:themeColor="text1"/>
          <w:sz w:val="24"/>
        </w:rPr>
        <w:t>Incompleta, los recibos que presenta no tienen a que area corresponde cada servidor público y faltan recibos, son documentos realizados a modo y no coincide con relación número de empleados registrados en ipomex, Faltan recibos</w:t>
      </w:r>
      <w:r w:rsidR="00187F75" w:rsidRPr="009063A6">
        <w:rPr>
          <w:rFonts w:ascii="Palatino Linotype" w:hAnsi="Palatino Linotype"/>
          <w:bCs/>
          <w:i/>
          <w:iCs/>
          <w:color w:val="000000" w:themeColor="text1"/>
          <w:sz w:val="24"/>
        </w:rPr>
        <w:t>” (sic)</w:t>
      </w:r>
    </w:p>
    <w:p w:rsidR="00187F75" w:rsidRPr="009063A6" w:rsidRDefault="00187F75" w:rsidP="009063A6">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sz w:val="24"/>
          <w:lang w:val="es-AR"/>
        </w:rPr>
      </w:pPr>
      <w:r w:rsidRPr="009063A6">
        <w:rPr>
          <w:rFonts w:ascii="Palatino Linotype" w:hAnsi="Palatino Linotype" w:cs="Arial"/>
          <w:color w:val="000000" w:themeColor="text1"/>
          <w:sz w:val="24"/>
          <w:lang w:val="es-ES"/>
        </w:rPr>
        <w:lastRenderedPageBreak/>
        <w:t xml:space="preserve">Se registró el recurso de revisión bajo el número de expediente </w:t>
      </w:r>
      <w:r w:rsidRPr="009063A6">
        <w:rPr>
          <w:rFonts w:ascii="Palatino Linotype" w:hAnsi="Palatino Linotype" w:cs="Arial"/>
          <w:bCs/>
          <w:color w:val="000000" w:themeColor="text1"/>
          <w:sz w:val="24"/>
        </w:rPr>
        <w:t xml:space="preserve">al rubro indicado, asimismo con fundamento en lo dispuesto por el </w:t>
      </w:r>
      <w:r w:rsidRPr="009063A6">
        <w:rPr>
          <w:rFonts w:ascii="Palatino Linotype" w:eastAsia="Calibri" w:hAnsi="Palatino Linotype" w:cs="Arial"/>
          <w:color w:val="000000" w:themeColor="text1"/>
          <w:sz w:val="24"/>
          <w:lang w:val="es-ES"/>
        </w:rPr>
        <w:t xml:space="preserve">artículo 185 fracción I de la </w:t>
      </w:r>
      <w:r w:rsidRPr="009063A6">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9063A6">
        <w:rPr>
          <w:rFonts w:ascii="Palatino Linotype" w:hAnsi="Palatino Linotype" w:cs="Arial"/>
          <w:color w:val="000000" w:themeColor="text1"/>
          <w:sz w:val="24"/>
          <w:lang w:val="es-ES"/>
        </w:rPr>
        <w:t xml:space="preserve">se turnó a la </w:t>
      </w:r>
      <w:r w:rsidRPr="009063A6">
        <w:rPr>
          <w:rFonts w:ascii="Palatino Linotype" w:hAnsi="Palatino Linotype" w:cs="Arial"/>
          <w:b/>
          <w:color w:val="000000" w:themeColor="text1"/>
          <w:sz w:val="24"/>
          <w:lang w:val="es-ES"/>
        </w:rPr>
        <w:t xml:space="preserve">Comisionada María del Rosario Mejía Ayala, </w:t>
      </w:r>
      <w:r w:rsidR="00F3336F">
        <w:rPr>
          <w:rFonts w:ascii="Palatino Linotype" w:hAnsi="Palatino Linotype" w:cs="Arial"/>
          <w:color w:val="000000" w:themeColor="text1"/>
          <w:sz w:val="24"/>
          <w:lang w:val="es-ES"/>
        </w:rPr>
        <w:t>para</w:t>
      </w:r>
      <w:r w:rsidRPr="009063A6">
        <w:rPr>
          <w:rFonts w:ascii="Palatino Linotype" w:hAnsi="Palatino Linotype" w:cs="Arial"/>
          <w:color w:val="000000" w:themeColor="text1"/>
          <w:sz w:val="24"/>
          <w:lang w:val="es-ES"/>
        </w:rPr>
        <w:t xml:space="preserve"> </w:t>
      </w:r>
      <w:r w:rsidRPr="009063A6">
        <w:rPr>
          <w:rFonts w:ascii="Palatino Linotype" w:hAnsi="Palatino Linotype" w:cs="Arial"/>
          <w:color w:val="000000" w:themeColor="text1"/>
          <w:sz w:val="24"/>
        </w:rPr>
        <w:t>su análisis.</w:t>
      </w:r>
    </w:p>
    <w:p w:rsidR="00187F75" w:rsidRPr="009063A6" w:rsidRDefault="00187F75" w:rsidP="009063A6">
      <w:pPr>
        <w:pStyle w:val="Prrafodelista"/>
        <w:spacing w:before="240" w:after="240" w:line="360" w:lineRule="auto"/>
        <w:ind w:left="0"/>
        <w:jc w:val="both"/>
        <w:rPr>
          <w:rFonts w:ascii="Palatino Linotype" w:eastAsia="Calibri" w:hAnsi="Palatino Linotype" w:cs="Arial"/>
          <w:color w:val="000000" w:themeColor="text1"/>
          <w:sz w:val="24"/>
          <w:lang w:val="es-AR"/>
        </w:rPr>
      </w:pPr>
    </w:p>
    <w:p w:rsidR="00187F75" w:rsidRPr="009063A6" w:rsidRDefault="00187F75" w:rsidP="009063A6">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themeColor="text1"/>
          <w:sz w:val="24"/>
          <w:lang w:val="es-ES_tradnl"/>
        </w:rPr>
      </w:pPr>
      <w:r w:rsidRPr="009063A6">
        <w:rPr>
          <w:rFonts w:ascii="Palatino Linotype" w:eastAsia="Calibri" w:hAnsi="Palatino Linotype" w:cs="Arial"/>
          <w:color w:val="000000" w:themeColor="text1"/>
          <w:sz w:val="24"/>
          <w:lang w:val="es-ES"/>
        </w:rPr>
        <w:t xml:space="preserve">La Comisionada Ponente con fundamento en lo dispuesto por el artículo 185 fracción II de la ley de la materia, a través del acuerdo de admisión de fecha </w:t>
      </w:r>
      <w:r w:rsidR="00ED3641" w:rsidRPr="009063A6">
        <w:rPr>
          <w:rFonts w:ascii="Palatino Linotype" w:eastAsia="Calibri" w:hAnsi="Palatino Linotype" w:cs="Arial"/>
          <w:b/>
          <w:color w:val="000000" w:themeColor="text1"/>
          <w:sz w:val="24"/>
          <w:lang w:val="es-ES"/>
        </w:rPr>
        <w:t>dos de junio</w:t>
      </w:r>
      <w:r w:rsidRPr="009063A6">
        <w:rPr>
          <w:rFonts w:ascii="Palatino Linotype" w:eastAsia="Calibri" w:hAnsi="Palatino Linotype" w:cs="Arial"/>
          <w:b/>
          <w:color w:val="000000" w:themeColor="text1"/>
          <w:sz w:val="24"/>
          <w:lang w:val="es-ES"/>
        </w:rPr>
        <w:t xml:space="preserve"> de dos mil veinticinco</w:t>
      </w:r>
      <w:r w:rsidRPr="009063A6">
        <w:rPr>
          <w:rFonts w:ascii="Palatino Linotype" w:eastAsia="Calibri" w:hAnsi="Palatino Linotype" w:cs="Arial"/>
          <w:color w:val="000000" w:themeColor="text1"/>
          <w:sz w:val="24"/>
          <w:lang w:val="es-ES"/>
        </w:rPr>
        <w:t xml:space="preserve">, puso a disposición de las partes el expediente electrónico </w:t>
      </w:r>
      <w:r w:rsidRPr="009063A6">
        <w:rPr>
          <w:rFonts w:ascii="Palatino Linotype" w:eastAsia="Calibri" w:hAnsi="Palatino Linotype" w:cs="Arial"/>
          <w:color w:val="000000" w:themeColor="text1"/>
          <w:sz w:val="24"/>
        </w:rPr>
        <w:t xml:space="preserve">vía </w:t>
      </w:r>
      <w:r w:rsidRPr="009063A6">
        <w:rPr>
          <w:rFonts w:ascii="Palatino Linotype" w:eastAsia="Calibri" w:hAnsi="Palatino Linotype" w:cs="Arial"/>
          <w:b/>
          <w:color w:val="000000" w:themeColor="text1"/>
          <w:sz w:val="24"/>
          <w:lang w:val="es-ES"/>
        </w:rPr>
        <w:t xml:space="preserve">SAIMEX </w:t>
      </w:r>
      <w:r w:rsidRPr="009063A6">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9063A6">
        <w:rPr>
          <w:rFonts w:ascii="Palatino Linotype" w:eastAsia="Calibri" w:hAnsi="Palatino Linotype" w:cs="Arial"/>
          <w:b/>
          <w:color w:val="000000" w:themeColor="text1"/>
          <w:sz w:val="24"/>
          <w:lang w:val="es-ES"/>
        </w:rPr>
        <w:t>SUJETO OBLIGADO</w:t>
      </w:r>
      <w:r w:rsidRPr="009063A6">
        <w:rPr>
          <w:rFonts w:ascii="Palatino Linotype" w:eastAsia="Calibri" w:hAnsi="Palatino Linotype" w:cs="Arial"/>
          <w:color w:val="000000" w:themeColor="text1"/>
          <w:sz w:val="24"/>
          <w:lang w:val="es-ES"/>
        </w:rPr>
        <w:t xml:space="preserve"> presentara el informe justificado procedente.</w:t>
      </w:r>
    </w:p>
    <w:p w:rsidR="00187F75" w:rsidRPr="009063A6" w:rsidRDefault="00187F75" w:rsidP="009063A6">
      <w:pPr>
        <w:numPr>
          <w:ilvl w:val="0"/>
          <w:numId w:val="1"/>
        </w:numPr>
        <w:tabs>
          <w:tab w:val="left" w:pos="284"/>
        </w:tabs>
        <w:spacing w:before="240" w:after="240" w:line="360" w:lineRule="auto"/>
        <w:ind w:left="0" w:firstLine="0"/>
        <w:contextualSpacing/>
        <w:jc w:val="both"/>
        <w:rPr>
          <w:rFonts w:ascii="Palatino Linotype" w:hAnsi="Palatino Linotype" w:cs="Tahoma"/>
          <w:color w:val="000000" w:themeColor="text1"/>
        </w:rPr>
      </w:pPr>
      <w:r w:rsidRPr="009063A6">
        <w:rPr>
          <w:rFonts w:ascii="Palatino Linotype" w:hAnsi="Palatino Linotype" w:cs="Tahoma"/>
          <w:color w:val="000000" w:themeColor="text1"/>
        </w:rPr>
        <w:t xml:space="preserve">De las constancias del expediente electrónico SAIMEX, se advierte que el Recurrente  </w:t>
      </w:r>
      <w:r w:rsidR="00ED3641" w:rsidRPr="009063A6">
        <w:rPr>
          <w:rFonts w:ascii="Palatino Linotype" w:hAnsi="Palatino Linotype" w:cs="Tahoma"/>
          <w:color w:val="000000" w:themeColor="text1"/>
        </w:rPr>
        <w:t xml:space="preserve">no realizó </w:t>
      </w:r>
      <w:r w:rsidRPr="009063A6">
        <w:rPr>
          <w:rFonts w:ascii="Palatino Linotype" w:hAnsi="Palatino Linotype" w:cs="Tahoma"/>
          <w:color w:val="000000" w:themeColor="text1"/>
        </w:rPr>
        <w:t>manifestaciones; p</w:t>
      </w:r>
      <w:r w:rsidR="00ED3641" w:rsidRPr="009063A6">
        <w:rPr>
          <w:rFonts w:ascii="Palatino Linotype" w:hAnsi="Palatino Linotype" w:cs="Tahoma"/>
          <w:color w:val="000000" w:themeColor="text1"/>
        </w:rPr>
        <w:t>or su parte, el Sujeto Obligado entregó informe justificado el once de junio de dos mil veinticinco, mismo que se puso a la vista del particular el veintidós de octubre del mismo año y que consta de los archivos que se describen enseguida:</w:t>
      </w:r>
    </w:p>
    <w:p w:rsidR="00ED3641" w:rsidRPr="009063A6" w:rsidRDefault="004E4AEA" w:rsidP="009063A6">
      <w:pPr>
        <w:pStyle w:val="Prrafodelista"/>
        <w:numPr>
          <w:ilvl w:val="0"/>
          <w:numId w:val="5"/>
        </w:numPr>
        <w:tabs>
          <w:tab w:val="left" w:pos="284"/>
        </w:tabs>
        <w:spacing w:before="240" w:after="240" w:line="360" w:lineRule="auto"/>
        <w:ind w:left="0" w:firstLine="0"/>
        <w:jc w:val="both"/>
        <w:rPr>
          <w:rFonts w:ascii="Palatino Linotype" w:hAnsi="Palatino Linotype" w:cs="Tahoma"/>
          <w:color w:val="000000" w:themeColor="text1"/>
          <w:sz w:val="24"/>
        </w:rPr>
      </w:pPr>
      <w:hyperlink r:id="rId12" w:history="1">
        <w:r w:rsidR="00D538BA" w:rsidRPr="009063A6">
          <w:rPr>
            <w:rStyle w:val="Hipervnculo"/>
            <w:rFonts w:ascii="Palatino Linotype" w:hAnsi="Palatino Linotype" w:cs="Tahoma"/>
            <w:b/>
            <w:bCs/>
            <w:color w:val="000000" w:themeColor="text1"/>
            <w:sz w:val="24"/>
          </w:rPr>
          <w:t>6238 INFORME SAF.pdf</w:t>
        </w:r>
      </w:hyperlink>
      <w:r w:rsidR="00D538BA" w:rsidRPr="009063A6">
        <w:rPr>
          <w:rFonts w:ascii="Palatino Linotype" w:hAnsi="Palatino Linotype" w:cs="Tahoma"/>
          <w:color w:val="000000" w:themeColor="text1"/>
          <w:sz w:val="24"/>
        </w:rPr>
        <w:t xml:space="preserve">: oficio número 41001/330/2025 de fecha cinco de junio de dos mil veinticinco, suscrito por la Encargada de la Secretaría Técnica y servidora pública habilitada quien señaló “…"Derivado de la búsqueda exhaustiva y razonable realizada en los archivos que obran en esta dependencia; se remite versión pública de los recibos de nómina “Prima Vacacional", correspondiente al periodo de enero a abril 2025, de las personas servidoras </w:t>
      </w:r>
      <w:r w:rsidR="00D538BA" w:rsidRPr="009063A6">
        <w:rPr>
          <w:rFonts w:ascii="Palatino Linotype" w:hAnsi="Palatino Linotype" w:cs="Tahoma"/>
          <w:color w:val="000000" w:themeColor="text1"/>
          <w:sz w:val="24"/>
        </w:rPr>
        <w:lastRenderedPageBreak/>
        <w:t>públicas del Poder Legislativo del Estado de México.</w:t>
      </w:r>
      <w:r w:rsidR="00D538BA" w:rsidRPr="009063A6">
        <w:rPr>
          <w:rFonts w:ascii="Palatino Linotype" w:hAnsi="Palatino Linotype"/>
          <w:color w:val="000000" w:themeColor="text1"/>
          <w:sz w:val="24"/>
        </w:rPr>
        <w:t xml:space="preserve"> </w:t>
      </w:r>
      <w:r w:rsidR="00D538BA" w:rsidRPr="009063A6">
        <w:rPr>
          <w:rFonts w:ascii="Palatino Linotype" w:hAnsi="Palatino Linotype" w:cs="Tahoma"/>
          <w:color w:val="000000" w:themeColor="text1"/>
          <w:sz w:val="24"/>
        </w:rPr>
        <w:t xml:space="preserve">La presente respuesta se genera en apego a lo establecido en el artículo 12 de la Ley de Transparencia y Acceso a la Información Pública del Estado de México y Municipios…” y “No obstante, se hace la precisión que la diferencia entre los registros de la Plataforma de Información Pública de Oficio (IPOMEX) y los recibos de "prima vacacional" del periodo de enero-abril 2025 entregados, se debe a que estos últimos, corresponden a las personas servidoras públicas activas al 30 de abril 2025; en tanto que, la información que contiene la plataforma IPOMEX, es al cierre de marzo 2025, además no se incluye a las y los diputados de la LXII Legislatura del Estado de México, debido a que no perciben prima vacacional”. </w:t>
      </w:r>
    </w:p>
    <w:p w:rsidR="00D538BA" w:rsidRPr="009063A6" w:rsidRDefault="004E4AEA" w:rsidP="009063A6">
      <w:pPr>
        <w:pStyle w:val="Prrafodelista"/>
        <w:numPr>
          <w:ilvl w:val="0"/>
          <w:numId w:val="5"/>
        </w:numPr>
        <w:tabs>
          <w:tab w:val="left" w:pos="284"/>
        </w:tabs>
        <w:spacing w:before="240" w:after="240" w:line="360" w:lineRule="auto"/>
        <w:ind w:left="0" w:firstLine="0"/>
        <w:jc w:val="both"/>
        <w:rPr>
          <w:rFonts w:ascii="Palatino Linotype" w:hAnsi="Palatino Linotype" w:cs="Tahoma"/>
          <w:color w:val="000000" w:themeColor="text1"/>
          <w:sz w:val="24"/>
        </w:rPr>
      </w:pPr>
      <w:hyperlink r:id="rId13" w:history="1">
        <w:r w:rsidR="00D538BA" w:rsidRPr="009063A6">
          <w:rPr>
            <w:rStyle w:val="Hipervnculo"/>
            <w:rFonts w:ascii="Palatino Linotype" w:hAnsi="Palatino Linotype" w:cs="Tahoma"/>
            <w:b/>
            <w:bCs/>
            <w:color w:val="000000" w:themeColor="text1"/>
            <w:sz w:val="24"/>
          </w:rPr>
          <w:t>6238 INFORME JUSTIFICADO.pdf</w:t>
        </w:r>
      </w:hyperlink>
      <w:r w:rsidR="00D538BA" w:rsidRPr="009063A6">
        <w:rPr>
          <w:rFonts w:ascii="Palatino Linotype" w:hAnsi="Palatino Linotype" w:cs="Tahoma"/>
          <w:color w:val="000000" w:themeColor="text1"/>
          <w:sz w:val="24"/>
        </w:rPr>
        <w:t xml:space="preserve">: oficio número UIPL/0930/2025 de fecha once de junio de dos mil veinticinco, suscrito por el Titular de la Unidad de Información, quien señaló </w:t>
      </w:r>
      <w:r w:rsidR="00B4478B" w:rsidRPr="009063A6">
        <w:rPr>
          <w:rFonts w:ascii="Palatino Linotype" w:hAnsi="Palatino Linotype" w:cs="Tahoma"/>
          <w:i/>
          <w:color w:val="000000" w:themeColor="text1"/>
          <w:sz w:val="24"/>
        </w:rPr>
        <w:t xml:space="preserve">“Ahora bien, donde refiere el ciudadano que la información que se entregó no es acorde con la información que se encuentra publicada en el Sistema de Información Pública de Oficio Mexiquense IPOMEX, es importante señalar que de conformidad con el artículo 92 fracción VIll de la Ley de Transparencia y Acceso a la Información Pública del Estado de México y Municipios, los sujetos obligados deberán poner a disposición del público de manera permanente y actualizada de forma sencilla, precisa y entendible, en los respectivos medios electrónicos, de acuerdo a sus facultades, atribuciones, funciones u objeto social, según corresponda, la percepciones de los servidores públicos; por lo que el último reporte actualizado en dicha página corresponde al primer trimestre del año, siendo este enero a marzo de 2025; por lo tanto los recibos de pago entregados como respuesta inicial fueron de enero a abril de 2025, de ahí la diferencia que el ciudadano señala como razones o motivos de </w:t>
      </w:r>
      <w:r w:rsidR="00B4478B" w:rsidRPr="009063A6">
        <w:rPr>
          <w:rFonts w:ascii="Palatino Linotype" w:hAnsi="Palatino Linotype" w:cs="Tahoma"/>
          <w:i/>
          <w:color w:val="000000" w:themeColor="text1"/>
          <w:sz w:val="24"/>
        </w:rPr>
        <w:lastRenderedPageBreak/>
        <w:t>inconformidad; pues como se ha comentado la respuesta entregada comprende la platilla vigente y no lo reportado hasta marzo como la Ley de la materia obliga a este Poder Legislativo del Estado de México a realizar en la plataforma publicada por el Instituto de Transparencia, Acceso a la Información Pública y Protección de Datos Personales del Estado de México y Municipios Por otra parte, y en cuanto a que refiere que los recibos de pago que se adjuntaron como respuesta no contienen el área administrativa a la cual pertenece cada servidor público, se informa a esta ponencia que este sujeto obligado emitió su respuesta en términos del artículo 12 de la Ley de Transparencia y Acceso a la Información Pública del Estado de México y Municipios…” y “Cabe destacar que el número de recibos entregados como respuesta solo atiende a servidores públicos activos y no a Diputados, pues los Legisladores de este Congreso no perciben la prestación de prima vacacional, por lo que no fueron considerados al momento de recabar la información. Visto lo anterior, queda en evidencia que, la servidora pública habilitada de la Secretaría de Administración y Finanzas, otorgó la respuesta a la solicitud de información de manera exhaustiva y razonable, dando puntual atención a los requerimientos del ahora recurrente, por lo que se solicita sea considerada dicha situación al momento de emitir su resolución y se sobresea el recurso de revisión por los argumentos anteriormente expuestos”.</w:t>
      </w:r>
      <w:r w:rsidR="00B4478B" w:rsidRPr="009063A6">
        <w:rPr>
          <w:rFonts w:ascii="Palatino Linotype" w:hAnsi="Palatino Linotype" w:cs="Tahoma"/>
          <w:color w:val="000000" w:themeColor="text1"/>
          <w:sz w:val="24"/>
        </w:rPr>
        <w:t xml:space="preserve"> </w:t>
      </w:r>
    </w:p>
    <w:p w:rsidR="00B4478B" w:rsidRPr="009063A6" w:rsidRDefault="00B4478B" w:rsidP="009063A6">
      <w:pPr>
        <w:pStyle w:val="Prrafodelista"/>
        <w:tabs>
          <w:tab w:val="left" w:pos="284"/>
        </w:tabs>
        <w:spacing w:before="240" w:after="240" w:line="360" w:lineRule="auto"/>
        <w:ind w:left="0"/>
        <w:jc w:val="both"/>
        <w:rPr>
          <w:rFonts w:ascii="Palatino Linotype" w:hAnsi="Palatino Linotype" w:cs="Tahoma"/>
          <w:color w:val="000000" w:themeColor="text1"/>
          <w:sz w:val="24"/>
        </w:rPr>
      </w:pPr>
    </w:p>
    <w:p w:rsidR="00187F75" w:rsidRPr="009063A6" w:rsidRDefault="00187F75" w:rsidP="009063A6">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9063A6">
        <w:rPr>
          <w:rFonts w:ascii="Palatino Linotype" w:hAnsi="Palatino Linotype" w:cs="Arial"/>
          <w:color w:val="000000" w:themeColor="text1"/>
          <w:sz w:val="24"/>
        </w:rPr>
        <w:t xml:space="preserve">El </w:t>
      </w:r>
      <w:r w:rsidRPr="009063A6">
        <w:rPr>
          <w:rFonts w:ascii="Palatino Linotype" w:hAnsi="Palatino Linotype" w:cs="Arial"/>
          <w:b/>
          <w:color w:val="000000" w:themeColor="text1"/>
          <w:sz w:val="24"/>
        </w:rPr>
        <w:t>dieciséis de octubre de dos mil veinticinco</w:t>
      </w:r>
      <w:r w:rsidRPr="009063A6">
        <w:rPr>
          <w:rFonts w:ascii="Palatino Linotype" w:hAnsi="Palatino Linotype" w:cs="Arial"/>
          <w:color w:val="000000" w:themeColor="text1"/>
          <w:sz w:val="24"/>
        </w:rPr>
        <w:t xml:space="preserve">, la Comisionada Ponente notificó el acuerdo mediante el cual se amplió </w:t>
      </w:r>
      <w:r w:rsidR="00B4478B" w:rsidRPr="009063A6">
        <w:rPr>
          <w:rFonts w:ascii="Palatino Linotype" w:hAnsi="Palatino Linotype" w:cs="Arial"/>
          <w:color w:val="000000" w:themeColor="text1"/>
          <w:sz w:val="24"/>
        </w:rPr>
        <w:t>el plazo para emitir resolución.</w:t>
      </w:r>
    </w:p>
    <w:p w:rsidR="00B4478B" w:rsidRPr="009063A6" w:rsidRDefault="00B4478B" w:rsidP="009063A6">
      <w:pPr>
        <w:pStyle w:val="Prrafodelista"/>
        <w:spacing w:line="360" w:lineRule="auto"/>
        <w:ind w:left="0"/>
        <w:jc w:val="both"/>
        <w:rPr>
          <w:rFonts w:ascii="Palatino Linotype" w:hAnsi="Palatino Linotype" w:cs="Tahoma"/>
          <w:color w:val="000000" w:themeColor="text1"/>
          <w:sz w:val="24"/>
        </w:rPr>
      </w:pPr>
    </w:p>
    <w:p w:rsidR="00B4478B" w:rsidRPr="009063A6" w:rsidRDefault="00B4478B" w:rsidP="009063A6">
      <w:pPr>
        <w:pStyle w:val="Prrafodelista"/>
        <w:numPr>
          <w:ilvl w:val="0"/>
          <w:numId w:val="2"/>
        </w:numPr>
        <w:spacing w:line="360" w:lineRule="auto"/>
        <w:ind w:left="0" w:firstLine="0"/>
        <w:jc w:val="both"/>
        <w:rPr>
          <w:rFonts w:ascii="Palatino Linotype" w:hAnsi="Palatino Linotype" w:cs="Tahoma"/>
          <w:color w:val="000000" w:themeColor="text1"/>
          <w:sz w:val="24"/>
        </w:rPr>
      </w:pPr>
      <w:r w:rsidRPr="009063A6">
        <w:rPr>
          <w:rFonts w:ascii="Palatino Linotype" w:hAnsi="Palatino Linotype" w:cs="Tahoma"/>
          <w:color w:val="000000" w:themeColor="text1"/>
          <w:sz w:val="24"/>
        </w:rPr>
        <w:t xml:space="preserve">El </w:t>
      </w:r>
      <w:r w:rsidRPr="009063A6">
        <w:rPr>
          <w:rFonts w:ascii="Palatino Linotype" w:hAnsi="Palatino Linotype" w:cs="Tahoma"/>
          <w:b/>
          <w:color w:val="000000" w:themeColor="text1"/>
          <w:sz w:val="24"/>
        </w:rPr>
        <w:t>veintiocho de octubre de dos mil veinticinco</w:t>
      </w:r>
      <w:r w:rsidRPr="009063A6">
        <w:rPr>
          <w:rFonts w:ascii="Palatino Linotype" w:hAnsi="Palatino Linotype" w:cs="Tahoma"/>
          <w:color w:val="000000" w:themeColor="text1"/>
          <w:sz w:val="24"/>
        </w:rPr>
        <w:t xml:space="preserve">, se notificó el acuerdo mediante el cual se decretó el cierre de instrucción. </w:t>
      </w:r>
      <w:r w:rsidR="00F3336F">
        <w:rPr>
          <w:rFonts w:ascii="Palatino Linotype" w:hAnsi="Palatino Linotype" w:cs="Tahoma"/>
          <w:color w:val="000000" w:themeColor="text1"/>
          <w:sz w:val="24"/>
        </w:rPr>
        <w:t>----------------------------------------------------------------------</w:t>
      </w:r>
    </w:p>
    <w:p w:rsidR="00187F75" w:rsidRPr="009063A6" w:rsidRDefault="00187F75" w:rsidP="009063A6">
      <w:pPr>
        <w:pStyle w:val="Ttulo1"/>
        <w:jc w:val="center"/>
        <w:rPr>
          <w:rFonts w:ascii="Palatino Linotype" w:hAnsi="Palatino Linotype"/>
          <w:b/>
          <w:color w:val="000000" w:themeColor="text1"/>
          <w:sz w:val="24"/>
          <w:szCs w:val="24"/>
        </w:rPr>
      </w:pPr>
      <w:bookmarkStart w:id="4" w:name="_Toc87549672"/>
      <w:bookmarkStart w:id="5" w:name="_GoBack"/>
      <w:bookmarkEnd w:id="5"/>
      <w:r w:rsidRPr="009063A6">
        <w:rPr>
          <w:rFonts w:ascii="Palatino Linotype" w:hAnsi="Palatino Linotype"/>
          <w:b/>
          <w:color w:val="000000" w:themeColor="text1"/>
          <w:sz w:val="24"/>
          <w:szCs w:val="24"/>
        </w:rPr>
        <w:lastRenderedPageBreak/>
        <w:t>C</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O</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N</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S</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I</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D</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E</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R</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A</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N</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D</w:t>
      </w:r>
      <w:r w:rsidR="00F3336F">
        <w:rPr>
          <w:rFonts w:ascii="Palatino Linotype" w:hAnsi="Palatino Linotype"/>
          <w:b/>
          <w:color w:val="000000" w:themeColor="text1"/>
          <w:sz w:val="24"/>
          <w:szCs w:val="24"/>
        </w:rPr>
        <w:t xml:space="preserve"> </w:t>
      </w:r>
      <w:r w:rsidRPr="009063A6">
        <w:rPr>
          <w:rFonts w:ascii="Palatino Linotype" w:hAnsi="Palatino Linotype"/>
          <w:b/>
          <w:color w:val="000000" w:themeColor="text1"/>
          <w:sz w:val="24"/>
          <w:szCs w:val="24"/>
        </w:rPr>
        <w:t>O</w:t>
      </w:r>
      <w:bookmarkEnd w:id="4"/>
    </w:p>
    <w:p w:rsidR="00187F75" w:rsidRPr="009063A6" w:rsidRDefault="00187F75" w:rsidP="009063A6">
      <w:pPr>
        <w:rPr>
          <w:rFonts w:ascii="Palatino Linotype" w:hAnsi="Palatino Linotype"/>
          <w:color w:val="000000" w:themeColor="text1"/>
          <w:lang w:eastAsia="en-US"/>
        </w:rPr>
      </w:pPr>
    </w:p>
    <w:p w:rsidR="00187F75" w:rsidRPr="009063A6" w:rsidRDefault="00187F75" w:rsidP="009063A6">
      <w:pPr>
        <w:pStyle w:val="Ttulo2"/>
        <w:rPr>
          <w:rFonts w:ascii="Palatino Linotype" w:hAnsi="Palatino Linotype"/>
          <w:b/>
          <w:bCs/>
          <w:color w:val="000000" w:themeColor="text1"/>
          <w:spacing w:val="60"/>
          <w:sz w:val="24"/>
          <w:szCs w:val="24"/>
          <w:lang w:eastAsia="en-US"/>
        </w:rPr>
      </w:pPr>
      <w:bookmarkStart w:id="6" w:name="_Toc87549673"/>
      <w:r w:rsidRPr="009063A6">
        <w:rPr>
          <w:rFonts w:ascii="Palatino Linotype" w:hAnsi="Palatino Linotype"/>
          <w:b/>
          <w:color w:val="000000" w:themeColor="text1"/>
          <w:sz w:val="24"/>
          <w:szCs w:val="24"/>
        </w:rPr>
        <w:t>PRIMERO. De la competencia</w:t>
      </w:r>
      <w:bookmarkEnd w:id="6"/>
    </w:p>
    <w:p w:rsidR="00187F75" w:rsidRPr="009063A6" w:rsidRDefault="00187F75" w:rsidP="009063A6">
      <w:pPr>
        <w:pStyle w:val="Prrafodelista"/>
        <w:numPr>
          <w:ilvl w:val="0"/>
          <w:numId w:val="2"/>
        </w:numPr>
        <w:spacing w:before="240" w:after="240" w:line="360" w:lineRule="auto"/>
        <w:ind w:left="0" w:firstLine="0"/>
        <w:jc w:val="both"/>
        <w:rPr>
          <w:rFonts w:ascii="Palatino Linotype" w:hAnsi="Palatino Linotype"/>
          <w:color w:val="000000" w:themeColor="text1"/>
          <w:sz w:val="24"/>
        </w:rPr>
      </w:pPr>
      <w:r w:rsidRPr="009063A6">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63A6">
        <w:rPr>
          <w:rFonts w:ascii="Palatino Linotype" w:eastAsia="Calibri" w:hAnsi="Palatino Linotype"/>
          <w:b/>
          <w:color w:val="000000" w:themeColor="text1"/>
          <w:sz w:val="24"/>
          <w:lang w:val="es-ES"/>
        </w:rPr>
        <w:t>Constitución Política de los Estados Unidos Mexicanos</w:t>
      </w:r>
      <w:r w:rsidRPr="009063A6">
        <w:rPr>
          <w:rFonts w:ascii="Palatino Linotype" w:eastAsia="Calibri" w:hAnsi="Palatino Linotype"/>
          <w:color w:val="000000" w:themeColor="text1"/>
          <w:sz w:val="24"/>
          <w:lang w:val="es-ES"/>
        </w:rPr>
        <w:t xml:space="preserve">; 5, párrafos </w:t>
      </w:r>
      <w:r w:rsidRPr="009063A6">
        <w:rPr>
          <w:rFonts w:ascii="Palatino Linotype" w:hAnsi="Palatino Linotype" w:cs="Arial"/>
          <w:bCs/>
          <w:color w:val="000000" w:themeColor="text1"/>
          <w:sz w:val="24"/>
          <w:lang w:val="es-ES"/>
        </w:rPr>
        <w:t>trigésimo noveno, cuadragésimo y cuadragésimo primero fracciones</w:t>
      </w:r>
      <w:r w:rsidRPr="009063A6">
        <w:rPr>
          <w:rFonts w:ascii="Palatino Linotype" w:eastAsia="Calibri" w:hAnsi="Palatino Linotype"/>
          <w:color w:val="000000" w:themeColor="text1"/>
          <w:sz w:val="24"/>
          <w:lang w:val="es-ES"/>
        </w:rPr>
        <w:t xml:space="preserve"> IV y V de la </w:t>
      </w:r>
      <w:r w:rsidRPr="009063A6">
        <w:rPr>
          <w:rFonts w:ascii="Palatino Linotype" w:eastAsia="Calibri" w:hAnsi="Palatino Linotype"/>
          <w:b/>
          <w:color w:val="000000" w:themeColor="text1"/>
          <w:sz w:val="24"/>
          <w:lang w:val="es-ES"/>
        </w:rPr>
        <w:t>Constitución Política del Estado Libre y Soberano de México</w:t>
      </w:r>
      <w:r w:rsidRPr="009063A6">
        <w:rPr>
          <w:rFonts w:ascii="Palatino Linotype" w:eastAsia="Calibri" w:hAnsi="Palatino Linotype"/>
          <w:color w:val="000000" w:themeColor="text1"/>
          <w:sz w:val="24"/>
          <w:lang w:val="es-ES"/>
        </w:rPr>
        <w:t xml:space="preserve">; artículos 1, 2 fracción II, 13, 29, 36 fracciones I y II, 176, 178, 179, 181 párrafo tercero y 185 </w:t>
      </w:r>
      <w:r w:rsidRPr="009063A6">
        <w:rPr>
          <w:rFonts w:ascii="Palatino Linotype" w:eastAsia="Calibri" w:hAnsi="Palatino Linotype" w:cs="Arial"/>
          <w:color w:val="000000" w:themeColor="text1"/>
          <w:sz w:val="24"/>
          <w:lang w:val="es-ES"/>
        </w:rPr>
        <w:t xml:space="preserve">de la </w:t>
      </w:r>
      <w:r w:rsidRPr="009063A6">
        <w:rPr>
          <w:rFonts w:ascii="Palatino Linotype" w:eastAsia="Calibri" w:hAnsi="Palatino Linotype" w:cs="Arial"/>
          <w:b/>
          <w:color w:val="000000" w:themeColor="text1"/>
          <w:sz w:val="24"/>
          <w:lang w:val="es-ES"/>
        </w:rPr>
        <w:t>Ley de Transparencia y Acceso a la Información Pública del Estado de México y Municipios</w:t>
      </w:r>
      <w:r w:rsidRPr="009063A6">
        <w:rPr>
          <w:rFonts w:ascii="Palatino Linotype" w:eastAsia="Calibri" w:hAnsi="Palatino Linotype" w:cs="Arial"/>
          <w:color w:val="000000" w:themeColor="text1"/>
          <w:sz w:val="24"/>
          <w:lang w:val="es-ES"/>
        </w:rPr>
        <w:t xml:space="preserve">; y 7, 9 fracciones I y XXIII, y 11 del </w:t>
      </w:r>
      <w:r w:rsidRPr="009063A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r w:rsidRPr="009063A6">
        <w:rPr>
          <w:rFonts w:ascii="Palatino Linotype" w:hAnsi="Palatino Linotype"/>
          <w:color w:val="000000" w:themeColor="text1"/>
          <w:sz w:val="24"/>
        </w:rPr>
        <w:t>.</w:t>
      </w:r>
    </w:p>
    <w:p w:rsidR="00187F75" w:rsidRPr="009063A6" w:rsidRDefault="00187F75" w:rsidP="009063A6">
      <w:pPr>
        <w:pStyle w:val="Ttulo2"/>
        <w:rPr>
          <w:rFonts w:ascii="Palatino Linotype" w:hAnsi="Palatino Linotype"/>
          <w:b/>
          <w:color w:val="000000" w:themeColor="text1"/>
          <w:sz w:val="24"/>
          <w:szCs w:val="24"/>
        </w:rPr>
      </w:pPr>
      <w:bookmarkStart w:id="7" w:name="_Toc87549674"/>
      <w:r w:rsidRPr="009063A6">
        <w:rPr>
          <w:rFonts w:ascii="Palatino Linotype" w:hAnsi="Palatino Linotype"/>
          <w:b/>
          <w:color w:val="000000" w:themeColor="text1"/>
          <w:sz w:val="24"/>
          <w:szCs w:val="24"/>
        </w:rPr>
        <w:t>SEGUNDO. De la oportunidad y procedencia.</w:t>
      </w:r>
      <w:bookmarkEnd w:id="7"/>
    </w:p>
    <w:p w:rsidR="00187F75" w:rsidRPr="009063A6" w:rsidRDefault="00187F75" w:rsidP="009063A6">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bookmarkStart w:id="8" w:name="_Toc87549675"/>
      <w:r w:rsidRPr="009063A6">
        <w:rPr>
          <w:rFonts w:ascii="Palatino Linotype" w:eastAsia="Calibri" w:hAnsi="Palatino Linotype" w:cs="Arial"/>
          <w:color w:val="000000" w:themeColor="text1"/>
          <w:sz w:val="24"/>
        </w:rPr>
        <w:t xml:space="preserve">El medio de impugnación fue presentado a través del </w:t>
      </w:r>
      <w:r w:rsidRPr="009063A6">
        <w:rPr>
          <w:rFonts w:ascii="Palatino Linotype" w:eastAsia="Calibri" w:hAnsi="Palatino Linotype" w:cs="Arial"/>
          <w:bCs/>
          <w:iCs/>
          <w:color w:val="000000" w:themeColor="text1"/>
          <w:sz w:val="24"/>
        </w:rPr>
        <w:t>SAIMEX</w:t>
      </w:r>
      <w:r w:rsidRPr="009063A6">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9063A6">
        <w:rPr>
          <w:rFonts w:ascii="Palatino Linotype" w:eastAsia="Calibri" w:hAnsi="Palatino Linotype" w:cs="Arial"/>
          <w:b/>
          <w:color w:val="000000" w:themeColor="text1"/>
          <w:sz w:val="24"/>
        </w:rPr>
        <w:t>SUJETO OBLIGADO</w:t>
      </w:r>
      <w:r w:rsidRPr="009063A6">
        <w:rPr>
          <w:rFonts w:ascii="Palatino Linotype" w:eastAsia="Calibri" w:hAnsi="Palatino Linotype" w:cs="Arial"/>
          <w:color w:val="000000" w:themeColor="text1"/>
          <w:sz w:val="24"/>
        </w:rPr>
        <w:t xml:space="preserve"> entregó respuesta el </w:t>
      </w:r>
      <w:r w:rsidR="00B4478B" w:rsidRPr="009063A6">
        <w:rPr>
          <w:rFonts w:ascii="Palatino Linotype" w:eastAsia="Calibri" w:hAnsi="Palatino Linotype" w:cs="Arial"/>
          <w:b/>
          <w:color w:val="000000" w:themeColor="text1"/>
          <w:sz w:val="24"/>
        </w:rPr>
        <w:t>quince de mayo</w:t>
      </w:r>
      <w:r w:rsidRPr="009063A6">
        <w:rPr>
          <w:rFonts w:ascii="Palatino Linotype" w:eastAsia="Calibri" w:hAnsi="Palatino Linotype" w:cs="Arial"/>
          <w:b/>
          <w:color w:val="000000" w:themeColor="text1"/>
          <w:sz w:val="24"/>
        </w:rPr>
        <w:t xml:space="preserve"> de dos mil veinticinco</w:t>
      </w:r>
      <w:r w:rsidRPr="009063A6">
        <w:rPr>
          <w:rFonts w:ascii="Palatino Linotype" w:eastAsia="Calibri" w:hAnsi="Palatino Linotype" w:cs="Arial"/>
          <w:color w:val="000000" w:themeColor="text1"/>
          <w:sz w:val="24"/>
        </w:rPr>
        <w:t xml:space="preserve">, de tal forma que el plazo para interponer el recurso de revisión transcurrió del </w:t>
      </w:r>
      <w:r w:rsidR="00B4478B" w:rsidRPr="009063A6">
        <w:rPr>
          <w:rFonts w:ascii="Palatino Linotype" w:eastAsia="Calibri" w:hAnsi="Palatino Linotype" w:cs="Arial"/>
          <w:b/>
          <w:color w:val="000000" w:themeColor="text1"/>
          <w:sz w:val="24"/>
        </w:rPr>
        <w:t>dieciséis de mayo al cinco de mayo</w:t>
      </w:r>
      <w:r w:rsidRPr="009063A6">
        <w:rPr>
          <w:rFonts w:ascii="Palatino Linotype" w:eastAsia="Calibri" w:hAnsi="Palatino Linotype" w:cs="Arial"/>
          <w:b/>
          <w:color w:val="000000" w:themeColor="text1"/>
          <w:sz w:val="24"/>
        </w:rPr>
        <w:t xml:space="preserve"> de dos mil veinticinco</w:t>
      </w:r>
      <w:r w:rsidRPr="009063A6">
        <w:rPr>
          <w:rFonts w:ascii="Palatino Linotype" w:eastAsia="Calibri" w:hAnsi="Palatino Linotype" w:cs="Arial"/>
          <w:color w:val="000000" w:themeColor="text1"/>
          <w:sz w:val="24"/>
        </w:rPr>
        <w:t xml:space="preserve">. El recurso de revisión </w:t>
      </w:r>
      <w:r w:rsidRPr="009063A6">
        <w:rPr>
          <w:rFonts w:ascii="Palatino Linotype" w:hAnsi="Palatino Linotype"/>
          <w:color w:val="000000" w:themeColor="text1"/>
          <w:sz w:val="24"/>
        </w:rPr>
        <w:t xml:space="preserve">fue interpuesto el </w:t>
      </w:r>
      <w:r w:rsidR="00B4478B" w:rsidRPr="009063A6">
        <w:rPr>
          <w:rFonts w:ascii="Palatino Linotype" w:hAnsi="Palatino Linotype"/>
          <w:b/>
          <w:color w:val="000000" w:themeColor="text1"/>
          <w:sz w:val="24"/>
        </w:rPr>
        <w:t>veintinueve de mayo</w:t>
      </w:r>
      <w:r w:rsidRPr="009063A6">
        <w:rPr>
          <w:rFonts w:ascii="Palatino Linotype" w:hAnsi="Palatino Linotype"/>
          <w:b/>
          <w:color w:val="000000" w:themeColor="text1"/>
          <w:sz w:val="24"/>
        </w:rPr>
        <w:t xml:space="preserve"> de dos mil veinticinco</w:t>
      </w:r>
      <w:r w:rsidRPr="009063A6">
        <w:rPr>
          <w:rFonts w:ascii="Palatino Linotype" w:hAnsi="Palatino Linotype"/>
          <w:color w:val="000000" w:themeColor="text1"/>
          <w:sz w:val="24"/>
        </w:rPr>
        <w:t>, éste</w:t>
      </w:r>
      <w:r w:rsidRPr="009063A6">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9063A6">
        <w:rPr>
          <w:rFonts w:ascii="Palatino Linotype" w:hAnsi="Palatino Linotype" w:cs="Arial"/>
          <w:b/>
          <w:color w:val="000000" w:themeColor="text1"/>
          <w:sz w:val="24"/>
        </w:rPr>
        <w:t xml:space="preserve"> </w:t>
      </w:r>
      <w:r w:rsidRPr="009063A6">
        <w:rPr>
          <w:rFonts w:ascii="Palatino Linotype" w:hAnsi="Palatino Linotype" w:cs="Arial"/>
          <w:color w:val="000000" w:themeColor="text1"/>
          <w:sz w:val="24"/>
        </w:rPr>
        <w:t xml:space="preserve">vigente. </w:t>
      </w:r>
    </w:p>
    <w:p w:rsidR="00333200" w:rsidRPr="009063A6" w:rsidRDefault="00333200" w:rsidP="009063A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9063A6">
        <w:rPr>
          <w:rFonts w:ascii="Palatino Linotype" w:eastAsia="Calibri" w:hAnsi="Palatino Linotype" w:cs="Arial"/>
          <w:color w:val="000000" w:themeColor="text1"/>
          <w:lang w:val="es-ES_tradnl" w:eastAsia="es-ES"/>
        </w:rPr>
        <w:lastRenderedPageBreak/>
        <w:t xml:space="preserve">Por otra parte, de la revisión al expediente electrónico del </w:t>
      </w:r>
      <w:r w:rsidRPr="009063A6">
        <w:rPr>
          <w:rFonts w:ascii="Palatino Linotype" w:eastAsia="Calibri" w:hAnsi="Palatino Linotype" w:cs="Arial"/>
          <w:b/>
          <w:color w:val="000000" w:themeColor="text1"/>
          <w:lang w:val="es-ES_tradnl" w:eastAsia="es-ES"/>
        </w:rPr>
        <w:t>SAIMEX</w:t>
      </w:r>
      <w:r w:rsidRPr="009063A6">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33200" w:rsidRPr="009063A6" w:rsidRDefault="00333200" w:rsidP="009063A6">
      <w:pPr>
        <w:pStyle w:val="Prrafodelista"/>
        <w:ind w:left="0"/>
        <w:rPr>
          <w:rFonts w:ascii="Palatino Linotype" w:eastAsia="Calibri" w:hAnsi="Palatino Linotype" w:cs="Arial"/>
          <w:color w:val="000000" w:themeColor="text1"/>
          <w:sz w:val="24"/>
          <w:lang w:val="es-ES_tradnl"/>
        </w:rPr>
      </w:pPr>
    </w:p>
    <w:p w:rsidR="00333200" w:rsidRPr="009063A6" w:rsidRDefault="00333200" w:rsidP="009063A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9063A6">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9063A6">
        <w:rPr>
          <w:rFonts w:ascii="Palatino Linotype" w:eastAsia="Calibri" w:hAnsi="Palatino Linotype" w:cs="Arial"/>
          <w:bCs/>
          <w:color w:val="000000" w:themeColor="text1"/>
          <w:lang w:val="es-ES" w:eastAsia="es-ES"/>
        </w:rPr>
        <w:t>5, párrafos vigésimo, vigésimo primero y vigésimo segundo fracciones IV y V </w:t>
      </w:r>
      <w:r w:rsidRPr="009063A6">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33200" w:rsidRPr="009063A6" w:rsidRDefault="00333200" w:rsidP="009063A6">
      <w:pPr>
        <w:pStyle w:val="Prrafodelista"/>
        <w:ind w:left="0"/>
        <w:rPr>
          <w:rFonts w:ascii="Palatino Linotype" w:eastAsia="Calibri" w:hAnsi="Palatino Linotype" w:cs="Arial"/>
          <w:color w:val="000000" w:themeColor="text1"/>
          <w:sz w:val="24"/>
          <w:lang w:val="es-ES_tradnl"/>
        </w:rPr>
      </w:pPr>
    </w:p>
    <w:p w:rsidR="00333200" w:rsidRPr="009063A6" w:rsidRDefault="00333200" w:rsidP="009063A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9063A6">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w:t>
      </w:r>
      <w:r w:rsidRPr="009063A6">
        <w:rPr>
          <w:rFonts w:ascii="Palatino Linotype" w:eastAsia="Calibri" w:hAnsi="Palatino Linotype" w:cs="Arial"/>
          <w:color w:val="000000" w:themeColor="text1"/>
          <w:lang w:val="es-ES_tradnl" w:eastAsia="es-ES"/>
        </w:rPr>
        <w:lastRenderedPageBreak/>
        <w:t>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3200" w:rsidRPr="009063A6" w:rsidRDefault="00333200" w:rsidP="009063A6">
      <w:pPr>
        <w:pStyle w:val="Prrafodelista"/>
        <w:ind w:left="0"/>
        <w:rPr>
          <w:rFonts w:ascii="Palatino Linotype" w:eastAsia="Calibri" w:hAnsi="Palatino Linotype" w:cs="Arial"/>
          <w:color w:val="000000" w:themeColor="text1"/>
          <w:sz w:val="24"/>
          <w:lang w:val="es-ES_tradnl"/>
        </w:rPr>
      </w:pPr>
    </w:p>
    <w:p w:rsidR="00333200" w:rsidRPr="009063A6" w:rsidRDefault="00333200" w:rsidP="009063A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9063A6">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33200" w:rsidRPr="009063A6" w:rsidRDefault="00333200" w:rsidP="009063A6">
      <w:pPr>
        <w:pStyle w:val="Prrafodelista"/>
        <w:ind w:left="0"/>
        <w:rPr>
          <w:rFonts w:ascii="Palatino Linotype" w:eastAsia="Calibri" w:hAnsi="Palatino Linotype" w:cs="Arial"/>
          <w:color w:val="000000" w:themeColor="text1"/>
          <w:sz w:val="24"/>
          <w:lang w:val="es-ES_tradnl"/>
        </w:rPr>
      </w:pPr>
    </w:p>
    <w:p w:rsidR="00B4478B" w:rsidRPr="009063A6" w:rsidRDefault="00333200" w:rsidP="009063A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9063A6">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187F75" w:rsidRPr="009063A6" w:rsidRDefault="00187F75" w:rsidP="009063A6">
      <w:pPr>
        <w:rPr>
          <w:rFonts w:ascii="Palatino Linotype" w:eastAsia="Calibri" w:hAnsi="Palatino Linotype" w:cs="Arial"/>
          <w:color w:val="000000" w:themeColor="text1"/>
        </w:rPr>
      </w:pPr>
    </w:p>
    <w:p w:rsidR="00187F75" w:rsidRPr="009063A6" w:rsidRDefault="00187F75" w:rsidP="009063A6">
      <w:pPr>
        <w:pStyle w:val="Prrafodelista"/>
        <w:numPr>
          <w:ilvl w:val="0"/>
          <w:numId w:val="1"/>
        </w:numPr>
        <w:tabs>
          <w:tab w:val="left" w:pos="426"/>
        </w:tabs>
        <w:spacing w:line="360" w:lineRule="auto"/>
        <w:ind w:left="0" w:firstLine="0"/>
        <w:jc w:val="both"/>
        <w:rPr>
          <w:rFonts w:ascii="Palatino Linotype" w:hAnsi="Palatino Linotype" w:cs="Arial"/>
          <w:bCs/>
          <w:color w:val="000000" w:themeColor="text1"/>
          <w:sz w:val="24"/>
          <w:lang w:eastAsia="es-MX"/>
        </w:rPr>
      </w:pPr>
      <w:r w:rsidRPr="009063A6">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187F75" w:rsidRPr="009063A6" w:rsidRDefault="00187F75" w:rsidP="009063A6">
      <w:pPr>
        <w:pStyle w:val="Ttulo1"/>
        <w:rPr>
          <w:rFonts w:ascii="Palatino Linotype" w:eastAsia="MS Mincho" w:hAnsi="Palatino Linotype" w:cs="Times New Roman"/>
          <w:b/>
          <w:color w:val="000000" w:themeColor="text1"/>
          <w:sz w:val="24"/>
          <w:szCs w:val="24"/>
        </w:rPr>
      </w:pPr>
      <w:r w:rsidRPr="009063A6">
        <w:rPr>
          <w:rFonts w:ascii="Palatino Linotype" w:hAnsi="Palatino Linotype"/>
          <w:b/>
          <w:color w:val="000000" w:themeColor="text1"/>
          <w:sz w:val="24"/>
          <w:szCs w:val="24"/>
        </w:rPr>
        <w:t xml:space="preserve">TERCERO. </w:t>
      </w:r>
      <w:bookmarkEnd w:id="8"/>
      <w:r w:rsidR="00333200" w:rsidRPr="009063A6">
        <w:rPr>
          <w:rFonts w:ascii="Palatino Linotype" w:hAnsi="Palatino Linotype"/>
          <w:b/>
          <w:color w:val="000000" w:themeColor="text1"/>
          <w:sz w:val="24"/>
          <w:szCs w:val="24"/>
        </w:rPr>
        <w:t>De las causales de sobreseimiento</w:t>
      </w:r>
    </w:p>
    <w:p w:rsidR="006F4953" w:rsidRPr="009063A6" w:rsidRDefault="006F4953" w:rsidP="009063A6">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rPr>
      </w:pPr>
      <w:r w:rsidRPr="009063A6">
        <w:rPr>
          <w:rFonts w:ascii="Palatino Linotype" w:eastAsia="Palatino Linotype" w:hAnsi="Palatino Linotype" w:cs="Palatino Linotype"/>
          <w:color w:val="000000" w:themeColor="text1"/>
          <w:sz w:val="24"/>
        </w:rPr>
        <w:t xml:space="preserve">El recurso de revisión tiene como finalidad reparar cualquier posible afectación al derecho de acceso a la información pública en términos del Título Octavo de la Ley de </w:t>
      </w:r>
      <w:r w:rsidRPr="009063A6">
        <w:rPr>
          <w:rFonts w:ascii="Palatino Linotype" w:eastAsia="Palatino Linotype" w:hAnsi="Palatino Linotype" w:cs="Palatino Linotype"/>
          <w:color w:val="000000" w:themeColor="text1"/>
          <w:sz w:val="24"/>
        </w:rPr>
        <w:lastRenderedPageBreak/>
        <w:t xml:space="preserve">Transparencia, Acceso a la Información Pública del Estado de México y Municipios, y determinar la confirmación; revocación o modificación; desechamiento o </w:t>
      </w:r>
      <w:r w:rsidRPr="009063A6">
        <w:rPr>
          <w:rFonts w:ascii="Palatino Linotype" w:eastAsia="Palatino Linotype" w:hAnsi="Palatino Linotype" w:cs="Palatino Linotype"/>
          <w:b/>
          <w:color w:val="000000" w:themeColor="text1"/>
          <w:sz w:val="24"/>
          <w:u w:val="single"/>
        </w:rPr>
        <w:t>sobreseimiento</w:t>
      </w:r>
      <w:r w:rsidRPr="009063A6">
        <w:rPr>
          <w:rFonts w:ascii="Palatino Linotype" w:eastAsia="Palatino Linotype" w:hAnsi="Palatino Linotype" w:cs="Palatino Linotype"/>
          <w:color w:val="000000" w:themeColor="text1"/>
          <w:sz w:val="24"/>
        </w:rPr>
        <w:t xml:space="preserve">; y en su caso ordenar la entrega de la información con respecto a la respuesta emitida por el </w:t>
      </w:r>
      <w:r w:rsidRPr="009063A6">
        <w:rPr>
          <w:rFonts w:ascii="Palatino Linotype" w:eastAsia="Palatino Linotype" w:hAnsi="Palatino Linotype" w:cs="Palatino Linotype"/>
          <w:b/>
          <w:color w:val="000000" w:themeColor="text1"/>
          <w:sz w:val="24"/>
        </w:rPr>
        <w:t>SUJETO</w:t>
      </w:r>
      <w:r w:rsidRPr="009063A6">
        <w:rPr>
          <w:rFonts w:ascii="Palatino Linotype" w:eastAsia="Palatino Linotype" w:hAnsi="Palatino Linotype" w:cs="Palatino Linotype"/>
          <w:color w:val="000000" w:themeColor="text1"/>
          <w:sz w:val="24"/>
        </w:rPr>
        <w:t xml:space="preserve"> </w:t>
      </w:r>
      <w:r w:rsidRPr="009063A6">
        <w:rPr>
          <w:rFonts w:ascii="Palatino Linotype" w:eastAsia="Palatino Linotype" w:hAnsi="Palatino Linotype" w:cs="Palatino Linotype"/>
          <w:b/>
          <w:color w:val="000000" w:themeColor="text1"/>
          <w:sz w:val="24"/>
        </w:rPr>
        <w:t>OBLIGADO</w:t>
      </w:r>
      <w:r w:rsidRPr="009063A6">
        <w:rPr>
          <w:rFonts w:ascii="Palatino Linotype" w:eastAsia="Palatino Linotype" w:hAnsi="Palatino Linotype" w:cs="Palatino Linotype"/>
          <w:color w:val="000000" w:themeColor="text1"/>
          <w:sz w:val="24"/>
        </w:rPr>
        <w:t>.</w:t>
      </w:r>
    </w:p>
    <w:p w:rsidR="006F4953" w:rsidRPr="009063A6" w:rsidRDefault="006F4953" w:rsidP="009063A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De acuerdo al precepto legal contenido en la fracción III del artículo 192 de la </w:t>
      </w:r>
      <w:r w:rsidRPr="009063A6">
        <w:rPr>
          <w:rFonts w:ascii="Palatino Linotype" w:eastAsia="Palatino Linotype" w:hAnsi="Palatino Linotype" w:cs="Palatino Linotype"/>
          <w:b/>
          <w:color w:val="000000" w:themeColor="text1"/>
        </w:rPr>
        <w:t>Ley de Transparencia y Acceso a la Información Pública del Estado de México y Municipios</w:t>
      </w:r>
      <w:r w:rsidRPr="009063A6">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6F4953" w:rsidRPr="009063A6" w:rsidRDefault="006F4953" w:rsidP="009063A6">
      <w:pPr>
        <w:pBdr>
          <w:top w:val="nil"/>
          <w:left w:val="nil"/>
          <w:bottom w:val="nil"/>
          <w:right w:val="nil"/>
          <w:between w:val="nil"/>
        </w:pBdr>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w:t>
      </w:r>
    </w:p>
    <w:p w:rsidR="006F4953" w:rsidRPr="009063A6" w:rsidRDefault="006F4953" w:rsidP="009063A6">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Modifique el acto impugnado:</w:t>
      </w:r>
      <w:r w:rsidRPr="009063A6">
        <w:rPr>
          <w:rFonts w:ascii="Palatino Linotype" w:eastAsia="Palatino Linotype" w:hAnsi="Palatino Linotype" w:cs="Palatino Linotype"/>
          <w:color w:val="000000" w:themeColor="text1"/>
        </w:rPr>
        <w:t xml:space="preserve"> Se actualiza cuando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6F4953" w:rsidRPr="009063A6" w:rsidRDefault="006F4953" w:rsidP="009063A6">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Revoque el acto impugnado:</w:t>
      </w:r>
      <w:r w:rsidRPr="009063A6">
        <w:rPr>
          <w:rFonts w:ascii="Palatino Linotype" w:eastAsia="Palatino Linotype" w:hAnsi="Palatino Linotype" w:cs="Palatino Linotype"/>
          <w:color w:val="000000" w:themeColor="text1"/>
        </w:rPr>
        <w:t xml:space="preserve"> En este supuesto,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6F4953" w:rsidRPr="009063A6" w:rsidRDefault="006F4953" w:rsidP="009063A6">
      <w:pPr>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F4953" w:rsidRPr="009063A6" w:rsidRDefault="006F4953" w:rsidP="009063A6">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9063A6">
        <w:rPr>
          <w:rFonts w:ascii="Palatino Linotype" w:eastAsia="Palatino Linotype" w:hAnsi="Palatino Linotype" w:cs="Palatino Linotype"/>
          <w:color w:val="000000" w:themeColor="text1"/>
        </w:rPr>
        <w:t xml:space="preserve">En el presente caso, el Recurrente solicitó los recibos de prima vacacional de todos los servidores públicos de la cámara de diputados de marzo de dos mil veinticinco.   </w:t>
      </w:r>
    </w:p>
    <w:p w:rsidR="006F4953" w:rsidRPr="009063A6" w:rsidRDefault="006F4953" w:rsidP="009063A6">
      <w:pPr>
        <w:pBdr>
          <w:top w:val="nil"/>
          <w:left w:val="nil"/>
          <w:bottom w:val="nil"/>
          <w:right w:val="nil"/>
          <w:between w:val="nil"/>
        </w:pBdr>
        <w:rPr>
          <w:rFonts w:ascii="Palatino Linotype" w:eastAsia="Palatino Linotype" w:hAnsi="Palatino Linotype" w:cs="Palatino Linotype"/>
          <w:color w:val="000000" w:themeColor="text1"/>
        </w:rPr>
      </w:pPr>
    </w:p>
    <w:p w:rsidR="006F4953" w:rsidRPr="009063A6" w:rsidRDefault="006F4953" w:rsidP="009063A6">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9063A6">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9063A6">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9063A6">
        <w:rPr>
          <w:rFonts w:ascii="Palatino Linotype" w:eastAsia="Calibri" w:hAnsi="Palatino Linotype"/>
          <w:i/>
          <w:color w:val="000000" w:themeColor="text1"/>
          <w:sz w:val="24"/>
          <w:lang w:val="es-ES"/>
        </w:rPr>
        <w:t xml:space="preserve">en el ámbito de sus atribuciones, de promover, respetar, proteger y </w:t>
      </w:r>
      <w:r w:rsidRPr="009063A6">
        <w:rPr>
          <w:rFonts w:ascii="Palatino Linotype" w:eastAsia="Calibri" w:hAnsi="Palatino Linotype"/>
          <w:b/>
          <w:i/>
          <w:color w:val="000000" w:themeColor="text1"/>
          <w:sz w:val="24"/>
          <w:lang w:val="es-ES"/>
        </w:rPr>
        <w:t>garantizar</w:t>
      </w:r>
      <w:r w:rsidRPr="009063A6">
        <w:rPr>
          <w:rFonts w:ascii="Palatino Linotype" w:eastAsia="Calibri" w:hAnsi="Palatino Linotype"/>
          <w:i/>
          <w:color w:val="000000" w:themeColor="text1"/>
          <w:sz w:val="24"/>
          <w:lang w:val="es-ES"/>
        </w:rPr>
        <w:t xml:space="preserve"> los derechos humanos. </w:t>
      </w:r>
      <w:r w:rsidRPr="009063A6">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9063A6">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9063A6">
        <w:rPr>
          <w:rStyle w:val="Refdenotaalpie"/>
          <w:rFonts w:ascii="Palatino Linotype" w:hAnsi="Palatino Linotype"/>
          <w:i/>
          <w:color w:val="000000" w:themeColor="text1"/>
          <w:sz w:val="24"/>
        </w:rPr>
        <w:footnoteReference w:id="1"/>
      </w:r>
      <w:r w:rsidRPr="009063A6">
        <w:rPr>
          <w:rFonts w:ascii="Palatino Linotype" w:hAnsi="Palatino Linotype"/>
          <w:i/>
          <w:color w:val="000000" w:themeColor="text1"/>
          <w:sz w:val="24"/>
        </w:rPr>
        <w:t xml:space="preserve">, </w:t>
      </w:r>
      <w:r w:rsidRPr="009063A6">
        <w:rPr>
          <w:rFonts w:ascii="Palatino Linotype" w:hAnsi="Palatino Linotype"/>
          <w:color w:val="000000" w:themeColor="text1"/>
          <w:sz w:val="24"/>
        </w:rPr>
        <w:t>asimismo establece</w:t>
      </w:r>
      <w:r w:rsidRPr="009063A6">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w:t>
      </w:r>
      <w:r w:rsidRPr="009063A6">
        <w:rPr>
          <w:rFonts w:ascii="Palatino Linotype" w:hAnsi="Palatino Linotype"/>
          <w:i/>
          <w:color w:val="000000" w:themeColor="text1"/>
          <w:sz w:val="24"/>
        </w:rPr>
        <w:lastRenderedPageBreak/>
        <w:t>ejercer el derecho de acceso a la información, mediante solicitudes de información y deberá apoyar al solicitante en la elaboración de las mismas.</w:t>
      </w:r>
    </w:p>
    <w:p w:rsidR="006F4953" w:rsidRPr="009063A6" w:rsidRDefault="006F4953" w:rsidP="009063A6">
      <w:pPr>
        <w:pStyle w:val="Prrafodelista"/>
        <w:ind w:left="0"/>
        <w:rPr>
          <w:rFonts w:ascii="Palatino Linotype" w:eastAsia="Calibri" w:hAnsi="Palatino Linotype" w:cs="Arial"/>
          <w:color w:val="000000" w:themeColor="text1"/>
          <w:sz w:val="24"/>
        </w:rPr>
      </w:pPr>
    </w:p>
    <w:p w:rsidR="006F4953" w:rsidRPr="009063A6" w:rsidRDefault="006F4953" w:rsidP="009063A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9063A6">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F4953" w:rsidRPr="009063A6" w:rsidRDefault="006F4953" w:rsidP="009063A6">
      <w:pPr>
        <w:pStyle w:val="Prrafodelista"/>
        <w:ind w:left="0"/>
        <w:rPr>
          <w:rFonts w:ascii="Palatino Linotype" w:hAnsi="Palatino Linotype"/>
          <w:color w:val="000000" w:themeColor="text1"/>
          <w:sz w:val="24"/>
        </w:rPr>
      </w:pPr>
    </w:p>
    <w:p w:rsidR="006F4953" w:rsidRPr="009063A6" w:rsidRDefault="006F4953" w:rsidP="009063A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9063A6">
        <w:rPr>
          <w:rFonts w:ascii="Palatino Linotype" w:hAnsi="Palatino Linotype"/>
          <w:color w:val="000000" w:themeColor="text1"/>
          <w:sz w:val="24"/>
        </w:rPr>
        <w:t xml:space="preserve">Es así que, su obligación es </w:t>
      </w:r>
      <w:r w:rsidRPr="009063A6">
        <w:rPr>
          <w:rFonts w:ascii="Palatino Linotype" w:hAnsi="Palatino Linotype"/>
          <w:i/>
          <w:color w:val="000000" w:themeColor="text1"/>
          <w:sz w:val="24"/>
        </w:rPr>
        <w:t>realizar, con efectividad, los trámites internos necesarios para la atención de las solicitudes de información</w:t>
      </w:r>
      <w:r w:rsidRPr="009063A6">
        <w:rPr>
          <w:rStyle w:val="Refdenotaalpie"/>
          <w:rFonts w:ascii="Palatino Linotype" w:hAnsi="Palatino Linotype"/>
          <w:color w:val="000000" w:themeColor="text1"/>
          <w:sz w:val="24"/>
        </w:rPr>
        <w:footnoteReference w:id="2"/>
      </w:r>
      <w:r w:rsidRPr="009063A6">
        <w:rPr>
          <w:rFonts w:ascii="Palatino Linotype" w:hAnsi="Palatino Linotype"/>
          <w:color w:val="000000" w:themeColor="text1"/>
          <w:sz w:val="24"/>
        </w:rPr>
        <w:t>, es decir, deben otorgar respuestas concisas, contundentes y sobre todo que den la certeza de los actos que realizan.</w:t>
      </w:r>
    </w:p>
    <w:p w:rsidR="006F4953" w:rsidRPr="009063A6" w:rsidRDefault="006F4953" w:rsidP="009063A6">
      <w:pPr>
        <w:pStyle w:val="Prrafodelista"/>
        <w:ind w:left="0"/>
        <w:rPr>
          <w:rFonts w:ascii="Palatino Linotype" w:eastAsia="Calibri" w:hAnsi="Palatino Linotype" w:cs="Arial"/>
          <w:color w:val="000000" w:themeColor="text1"/>
          <w:sz w:val="24"/>
        </w:rPr>
      </w:pPr>
    </w:p>
    <w:p w:rsidR="006F4953" w:rsidRPr="009063A6" w:rsidRDefault="006F4953" w:rsidP="009063A6">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9063A6">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9063A6">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i/>
          <w:iCs/>
          <w:color w:val="000000" w:themeColor="text1"/>
        </w:rPr>
        <w:t xml:space="preserve">Artículo 50. </w:t>
      </w:r>
      <w:r w:rsidRPr="009063A6">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6F4953" w:rsidRPr="009063A6" w:rsidRDefault="006F4953" w:rsidP="009063A6">
      <w:pPr>
        <w:jc w:val="both"/>
        <w:rPr>
          <w:rFonts w:ascii="Palatino Linotype" w:eastAsia="Palatino Linotype" w:hAnsi="Palatino Linotype" w:cs="Palatino Linotype"/>
          <w:i/>
          <w:iCs/>
          <w:color w:val="000000" w:themeColor="text1"/>
        </w:rPr>
      </w:pP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i/>
          <w:iCs/>
          <w:color w:val="000000" w:themeColor="text1"/>
        </w:rPr>
        <w:lastRenderedPageBreak/>
        <w:t xml:space="preserve">Artículo 53. </w:t>
      </w:r>
      <w:r w:rsidRPr="009063A6">
        <w:rPr>
          <w:rFonts w:ascii="Palatino Linotype" w:eastAsia="Palatino Linotype" w:hAnsi="Palatino Linotype" w:cs="Palatino Linotype"/>
          <w:i/>
          <w:iCs/>
          <w:color w:val="000000" w:themeColor="text1"/>
        </w:rPr>
        <w:t>Las Unidades de Transparencia tendrán las siguientes funciones:</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i/>
          <w:iCs/>
          <w:color w:val="000000" w:themeColor="text1"/>
        </w:rPr>
        <w:t>(…)</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bCs/>
          <w:i/>
          <w:iCs/>
          <w:color w:val="000000" w:themeColor="text1"/>
        </w:rPr>
        <w:t>II.</w:t>
      </w:r>
      <w:r w:rsidRPr="009063A6">
        <w:rPr>
          <w:rFonts w:ascii="Palatino Linotype" w:eastAsia="Palatino Linotype" w:hAnsi="Palatino Linotype" w:cs="Palatino Linotype"/>
          <w:i/>
          <w:iCs/>
          <w:color w:val="000000" w:themeColor="text1"/>
        </w:rPr>
        <w:t xml:space="preserve"> Recibir, tramitar y dar respuesta a las solicitudes de acceso a la información;</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i/>
          <w:iCs/>
          <w:color w:val="000000" w:themeColor="text1"/>
        </w:rPr>
        <w:t>(…)</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bCs/>
          <w:i/>
          <w:iCs/>
          <w:color w:val="000000" w:themeColor="text1"/>
        </w:rPr>
        <w:t>IV.</w:t>
      </w:r>
      <w:r w:rsidRPr="009063A6">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bCs/>
          <w:i/>
          <w:iCs/>
          <w:color w:val="000000" w:themeColor="text1"/>
        </w:rPr>
        <w:t>V.</w:t>
      </w:r>
      <w:r w:rsidRPr="009063A6">
        <w:rPr>
          <w:rFonts w:ascii="Palatino Linotype" w:eastAsia="Palatino Linotype" w:hAnsi="Palatino Linotype" w:cs="Palatino Linotype"/>
          <w:i/>
          <w:iCs/>
          <w:color w:val="000000" w:themeColor="text1"/>
        </w:rPr>
        <w:t xml:space="preserve"> Entregar, en su caso, a los particulares la información solicitada;</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i/>
          <w:iCs/>
          <w:color w:val="000000" w:themeColor="text1"/>
        </w:rPr>
        <w:t>(…)</w:t>
      </w:r>
    </w:p>
    <w:p w:rsidR="006F4953" w:rsidRPr="009063A6" w:rsidRDefault="006F4953" w:rsidP="009063A6">
      <w:pPr>
        <w:jc w:val="both"/>
        <w:rPr>
          <w:rFonts w:ascii="Palatino Linotype" w:eastAsia="Palatino Linotype" w:hAnsi="Palatino Linotype" w:cs="Palatino Linotype"/>
          <w:i/>
          <w:iCs/>
          <w:color w:val="000000" w:themeColor="text1"/>
        </w:rPr>
      </w:pP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i/>
          <w:iCs/>
          <w:color w:val="000000" w:themeColor="text1"/>
        </w:rPr>
        <w:t xml:space="preserve">Artículo 58. </w:t>
      </w:r>
      <w:r w:rsidRPr="009063A6">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6F4953" w:rsidRPr="009063A6" w:rsidRDefault="006F4953" w:rsidP="009063A6">
      <w:pPr>
        <w:jc w:val="both"/>
        <w:rPr>
          <w:rFonts w:ascii="Palatino Linotype" w:eastAsia="Palatino Linotype" w:hAnsi="Palatino Linotype" w:cs="Palatino Linotype"/>
          <w:i/>
          <w:iCs/>
          <w:color w:val="000000" w:themeColor="text1"/>
        </w:rPr>
      </w:pP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i/>
          <w:iCs/>
          <w:color w:val="000000" w:themeColor="text1"/>
        </w:rPr>
        <w:t xml:space="preserve">Artículo 59. </w:t>
      </w:r>
      <w:r w:rsidRPr="009063A6">
        <w:rPr>
          <w:rFonts w:ascii="Palatino Linotype" w:eastAsia="Palatino Linotype" w:hAnsi="Palatino Linotype" w:cs="Palatino Linotype"/>
          <w:i/>
          <w:iCs/>
          <w:color w:val="000000" w:themeColor="text1"/>
        </w:rPr>
        <w:t>Los servidores públicos habilitados tendrán las funciones siguientes:</w:t>
      </w:r>
    </w:p>
    <w:p w:rsidR="006F4953" w:rsidRPr="009063A6" w:rsidRDefault="006F4953" w:rsidP="009063A6">
      <w:pPr>
        <w:jc w:val="both"/>
        <w:rPr>
          <w:rFonts w:ascii="Palatino Linotype" w:eastAsia="Palatino Linotype" w:hAnsi="Palatino Linotype" w:cs="Palatino Linotype"/>
          <w:i/>
          <w:iCs/>
          <w:color w:val="000000" w:themeColor="text1"/>
        </w:rPr>
      </w:pP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bCs/>
          <w:i/>
          <w:iCs/>
          <w:color w:val="000000" w:themeColor="text1"/>
        </w:rPr>
        <w:t>I.</w:t>
      </w:r>
      <w:r w:rsidRPr="009063A6">
        <w:rPr>
          <w:rFonts w:ascii="Palatino Linotype" w:eastAsia="Palatino Linotype" w:hAnsi="Palatino Linotype" w:cs="Palatino Linotype"/>
          <w:i/>
          <w:iCs/>
          <w:color w:val="000000" w:themeColor="text1"/>
        </w:rPr>
        <w:t xml:space="preserve"> Localizar la información que le solicite la Unidad de Transparencia;</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bCs/>
          <w:i/>
          <w:iCs/>
          <w:color w:val="000000" w:themeColor="text1"/>
        </w:rPr>
        <w:t>II.</w:t>
      </w:r>
      <w:r w:rsidRPr="009063A6">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i/>
          <w:iCs/>
          <w:color w:val="000000" w:themeColor="text1"/>
        </w:rPr>
        <w:t>(...)</w:t>
      </w:r>
    </w:p>
    <w:p w:rsidR="006F4953" w:rsidRPr="009063A6" w:rsidRDefault="006F4953" w:rsidP="009063A6">
      <w:pPr>
        <w:jc w:val="both"/>
        <w:rPr>
          <w:rFonts w:ascii="Palatino Linotype" w:eastAsia="Palatino Linotype" w:hAnsi="Palatino Linotype" w:cs="Palatino Linotype"/>
          <w:i/>
          <w:iCs/>
          <w:color w:val="000000" w:themeColor="text1"/>
        </w:rPr>
      </w:pPr>
    </w:p>
    <w:p w:rsidR="006F4953" w:rsidRPr="009063A6" w:rsidRDefault="006F4953" w:rsidP="009063A6">
      <w:pPr>
        <w:jc w:val="both"/>
        <w:rPr>
          <w:rFonts w:ascii="Palatino Linotype" w:eastAsia="Palatino Linotype" w:hAnsi="Palatino Linotype" w:cs="Palatino Linotype"/>
          <w:i/>
          <w:iCs/>
          <w:color w:val="000000" w:themeColor="text1"/>
        </w:rPr>
      </w:pPr>
      <w:r w:rsidRPr="009063A6">
        <w:rPr>
          <w:rFonts w:ascii="Palatino Linotype" w:eastAsia="Palatino Linotype" w:hAnsi="Palatino Linotype" w:cs="Palatino Linotype"/>
          <w:b/>
          <w:i/>
          <w:iCs/>
          <w:color w:val="000000" w:themeColor="text1"/>
        </w:rPr>
        <w:t xml:space="preserve">Artículo 162. </w:t>
      </w:r>
      <w:r w:rsidRPr="009063A6">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063A6">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9063A6">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w:t>
      </w:r>
      <w:r w:rsidRPr="009063A6">
        <w:rPr>
          <w:rFonts w:ascii="Palatino Linotype" w:eastAsia="Arial Unicode MS" w:hAnsi="Palatino Linotype" w:cs="Arial"/>
          <w:color w:val="000000" w:themeColor="text1"/>
          <w:sz w:val="24"/>
          <w:lang w:eastAsia="en-US"/>
        </w:rPr>
        <w:lastRenderedPageBreak/>
        <w:t>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6F4953" w:rsidRPr="009063A6" w:rsidRDefault="006F4953" w:rsidP="009063A6">
      <w:pPr>
        <w:pStyle w:val="Prrafodelista"/>
        <w:spacing w:line="360" w:lineRule="auto"/>
        <w:ind w:left="0"/>
        <w:jc w:val="both"/>
        <w:rPr>
          <w:rFonts w:ascii="Palatino Linotype" w:eastAsia="Arial Unicode MS" w:hAnsi="Palatino Linotype" w:cs="Arial"/>
          <w:color w:val="000000" w:themeColor="text1"/>
          <w:sz w:val="24"/>
          <w:lang w:eastAsia="en-US"/>
        </w:rPr>
      </w:pPr>
    </w:p>
    <w:p w:rsidR="006F4953" w:rsidRPr="009063A6" w:rsidRDefault="006F4953" w:rsidP="009063A6">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063A6">
        <w:rPr>
          <w:rFonts w:ascii="Palatino Linotype" w:eastAsia="Arial Unicode MS" w:hAnsi="Palatino Linotype" w:cs="Arial"/>
          <w:color w:val="000000" w:themeColor="text1"/>
          <w:sz w:val="24"/>
          <w:lang w:eastAsia="en-US"/>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presente caso, la respuesta fue emitida por la Secretaría de Administración y Finanzas quien de acuerdo al artículo 1 del Reglamento Interno de la Secretaría de Administración y Finanzas del Poder Legislativo del Estado de México, es la dependencia responsable de administrar la aplicación de recursos del Poder Legislativo, es decir, que la respuesta fue emitida por el servidor público con facultades para generar, poseer y administrar la información solicitada, por lo tanto, el Sujeto Obligado dio cumplimiento al proceso de búsqueda referido en párrafos anteriores. </w:t>
      </w:r>
    </w:p>
    <w:p w:rsidR="006F4953" w:rsidRPr="009063A6" w:rsidRDefault="006F4953" w:rsidP="009063A6">
      <w:pPr>
        <w:pStyle w:val="Prrafodelista"/>
        <w:ind w:left="0"/>
        <w:rPr>
          <w:rFonts w:ascii="Palatino Linotype" w:eastAsia="Palatino Linotype" w:hAnsi="Palatino Linotype" w:cs="Palatino Linotype"/>
          <w:color w:val="000000" w:themeColor="text1"/>
          <w:sz w:val="24"/>
        </w:rPr>
      </w:pPr>
    </w:p>
    <w:p w:rsidR="006F4953" w:rsidRPr="009063A6" w:rsidRDefault="009A02F7"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Ahora bien, recordemos que el Sujeto Obligado entregó en repuesta los documentos en los que se advierte el pago de prima vacacional de los servidores públicos del Poder Legislativo; posteriormente, el Recurrente se inconformó por la entrega de información </w:t>
      </w:r>
      <w:r w:rsidRPr="009063A6">
        <w:rPr>
          <w:rFonts w:ascii="Palatino Linotype" w:eastAsia="Palatino Linotype" w:hAnsi="Palatino Linotype" w:cs="Palatino Linotype"/>
          <w:color w:val="000000" w:themeColor="text1"/>
        </w:rPr>
        <w:lastRenderedPageBreak/>
        <w:t xml:space="preserve">incompleta, ya que señaló que no se le entregaron todos los recibos, aunado a ello señaló que se le entregaron documentos a modo. </w:t>
      </w:r>
    </w:p>
    <w:p w:rsidR="009A02F7" w:rsidRPr="009063A6" w:rsidRDefault="009A02F7" w:rsidP="009063A6">
      <w:pPr>
        <w:pStyle w:val="Prrafodelista"/>
        <w:ind w:left="0"/>
        <w:rPr>
          <w:rFonts w:ascii="Palatino Linotype" w:eastAsia="Palatino Linotype" w:hAnsi="Palatino Linotype" w:cs="Palatino Linotype"/>
          <w:color w:val="000000" w:themeColor="text1"/>
          <w:sz w:val="24"/>
        </w:rPr>
      </w:pPr>
    </w:p>
    <w:p w:rsidR="009A02F7" w:rsidRPr="009063A6" w:rsidRDefault="009A02F7"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En ese sentido, se advierte la causal de procedencia señalada en la fracción V del artículo 179 de la Ley de Transparencia y Acceso a la Información Pública del Estado de México y Municipios, que establece la entrega de información incompleta.</w:t>
      </w:r>
    </w:p>
    <w:p w:rsidR="00830F1A" w:rsidRPr="009063A6" w:rsidRDefault="00830F1A" w:rsidP="009063A6">
      <w:pPr>
        <w:pStyle w:val="Prrafodelista"/>
        <w:ind w:left="0"/>
        <w:rPr>
          <w:rFonts w:ascii="Palatino Linotype" w:eastAsia="Palatino Linotype" w:hAnsi="Palatino Linotype" w:cs="Palatino Linotype"/>
          <w:color w:val="000000" w:themeColor="text1"/>
          <w:sz w:val="24"/>
        </w:rPr>
      </w:pPr>
    </w:p>
    <w:p w:rsidR="00830F1A" w:rsidRPr="00F3336F" w:rsidRDefault="00830F1A"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36F">
        <w:rPr>
          <w:rFonts w:ascii="Palatino Linotype" w:eastAsia="Palatino Linotype" w:hAnsi="Palatino Linotype" w:cs="Palatino Linotype"/>
          <w:color w:val="000000" w:themeColor="text1"/>
        </w:rPr>
        <w:t xml:space="preserve">En ese sentido conviene señalar que los recibos se entregaron en versión pública, acompañados </w:t>
      </w:r>
      <w:r w:rsidR="00947C88" w:rsidRPr="00F3336F">
        <w:rPr>
          <w:rFonts w:ascii="Palatino Linotype" w:eastAsia="Palatino Linotype" w:hAnsi="Palatino Linotype" w:cs="Palatino Linotype"/>
          <w:color w:val="000000" w:themeColor="text1"/>
        </w:rPr>
        <w:t>de</w:t>
      </w:r>
      <w:r w:rsidRPr="00F3336F">
        <w:rPr>
          <w:rFonts w:ascii="Palatino Linotype" w:eastAsia="Palatino Linotype" w:hAnsi="Palatino Linotype" w:cs="Palatino Linotype"/>
          <w:color w:val="000000" w:themeColor="text1"/>
        </w:rPr>
        <w:t xml:space="preserve">l acuerdo del comité de transparencia </w:t>
      </w:r>
      <w:r w:rsidR="00947C88" w:rsidRPr="00F3336F">
        <w:rPr>
          <w:rFonts w:ascii="Palatino Linotype" w:eastAsia="Palatino Linotype" w:hAnsi="Palatino Linotype" w:cs="Palatino Linotype"/>
          <w:color w:val="000000" w:themeColor="text1"/>
        </w:rPr>
        <w:t xml:space="preserve">para sustentarlos, en los que se testaron datos como la Clave ISSEMYM, RFC, CURP y cuenta bancaria, mismos que se describen enseguida: </w:t>
      </w:r>
    </w:p>
    <w:p w:rsidR="00830F1A" w:rsidRPr="00F3336F" w:rsidRDefault="00830F1A" w:rsidP="009063A6">
      <w:pPr>
        <w:pStyle w:val="Prrafodelista"/>
        <w:ind w:left="0"/>
        <w:rPr>
          <w:rFonts w:ascii="Palatino Linotype" w:eastAsia="Palatino Linotype" w:hAnsi="Palatino Linotype" w:cs="Palatino Linotype"/>
          <w:color w:val="000000" w:themeColor="text1"/>
          <w:sz w:val="24"/>
        </w:rPr>
      </w:pPr>
    </w:p>
    <w:p w:rsidR="00F87D82" w:rsidRPr="00F3336F" w:rsidRDefault="00830F1A" w:rsidP="009063A6">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b/>
          <w:color w:val="000000" w:themeColor="text1"/>
          <w:sz w:val="24"/>
        </w:rPr>
        <w:t>Clave ISSEMYM</w:t>
      </w:r>
      <w:r w:rsidRPr="00F3336F">
        <w:rPr>
          <w:rFonts w:ascii="Palatino Linotype" w:eastAsia="Palatino Linotype" w:hAnsi="Palatino Linotype" w:cs="Palatino Linotype"/>
          <w:color w:val="000000" w:themeColor="text1"/>
          <w:sz w:val="24"/>
        </w:rPr>
        <w:t>:</w:t>
      </w:r>
      <w:r w:rsidR="00F87D82" w:rsidRPr="00F3336F">
        <w:rPr>
          <w:rFonts w:ascii="Palatino Linotype" w:eastAsia="Palatino Linotype" w:hAnsi="Palatino Linotype" w:cs="Palatino Linotype"/>
          <w:color w:val="000000" w:themeColor="text1"/>
          <w:sz w:val="24"/>
        </w:rPr>
        <w:t xml:space="preserv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w:t>
      </w:r>
      <w:r w:rsidR="00F87D82" w:rsidRPr="00F3336F">
        <w:rPr>
          <w:rFonts w:ascii="Palatino Linotype" w:eastAsia="Palatino Linotype" w:hAnsi="Palatino Linotype" w:cs="Palatino Linotype"/>
          <w:color w:val="000000" w:themeColor="text1"/>
          <w:sz w:val="24"/>
        </w:rPr>
        <w:lastRenderedPageBreak/>
        <w:t>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830F1A" w:rsidRPr="00F3336F" w:rsidRDefault="00830F1A" w:rsidP="009063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830F1A" w:rsidRPr="00F3336F" w:rsidRDefault="00830F1A" w:rsidP="009063A6">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b/>
          <w:color w:val="000000" w:themeColor="text1"/>
          <w:sz w:val="24"/>
        </w:rPr>
        <w:t>RFC</w:t>
      </w:r>
      <w:r w:rsidR="00F87D82" w:rsidRPr="00F3336F">
        <w:rPr>
          <w:rFonts w:ascii="Palatino Linotype" w:eastAsia="Palatino Linotype" w:hAnsi="Palatino Linotype" w:cs="Palatino Linotype"/>
          <w:b/>
          <w:color w:val="000000" w:themeColor="text1"/>
          <w:sz w:val="24"/>
        </w:rPr>
        <w:t>:</w:t>
      </w:r>
      <w:r w:rsidR="00F87D82" w:rsidRPr="00F3336F">
        <w:rPr>
          <w:rFonts w:ascii="Palatino Linotype" w:eastAsia="Palatino Linotype" w:hAnsi="Palatino Linotype" w:cs="Palatino Linotype"/>
          <w:color w:val="000000" w:themeColor="text1"/>
          <w:sz w:val="24"/>
        </w:rPr>
        <w:t xml:space="preserve"> es</w:t>
      </w:r>
      <w:r w:rsidRPr="00F3336F">
        <w:rPr>
          <w:rFonts w:ascii="Palatino Linotype" w:eastAsia="Palatino Linotype" w:hAnsi="Palatino Linotype" w:cs="Palatino Linotype"/>
          <w:color w:val="000000" w:themeColor="text1"/>
          <w:sz w:val="24"/>
        </w:rPr>
        <w:t xml:space="preserve">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r w:rsidR="00F87D82" w:rsidRPr="00F3336F">
        <w:rPr>
          <w:rFonts w:ascii="Palatino Linotype" w:eastAsia="Palatino Linotype" w:hAnsi="Palatino Linotype" w:cs="Palatino Linotype"/>
          <w:color w:val="000000" w:themeColor="text1"/>
          <w:sz w:val="24"/>
        </w:rPr>
        <w:t xml:space="preserve"> E</w:t>
      </w:r>
      <w:r w:rsidRPr="00F3336F">
        <w:rPr>
          <w:rFonts w:ascii="Palatino Linotype" w:eastAsia="Palatino Linotype" w:hAnsi="Palatino Linotype" w:cs="Palatino Linotype"/>
          <w:color w:val="000000" w:themeColor="text1"/>
          <w:sz w:val="24"/>
        </w:rPr>
        <w:t>sta clave se compone de trece caracteres alfanuméricos, con datos obtenidos de los apellidos, nombre (s), fecha de nacimiento del titular, más una homoclave que establece el sistema automático del Servicio de Administración Tributaria.</w:t>
      </w:r>
      <w:r w:rsidR="00F87D82" w:rsidRPr="00F3336F">
        <w:rPr>
          <w:rFonts w:ascii="Palatino Linotype" w:eastAsia="Palatino Linotype" w:hAnsi="Palatino Linotype" w:cs="Palatino Linotype"/>
          <w:color w:val="000000" w:themeColor="text1"/>
          <w:sz w:val="24"/>
        </w:rPr>
        <w:t xml:space="preserve"> </w:t>
      </w:r>
      <w:r w:rsidRPr="00F3336F">
        <w:rPr>
          <w:rFonts w:ascii="Palatino Linotype" w:eastAsia="Palatino Linotype" w:hAnsi="Palatino Linotype" w:cs="Palatino Linotype"/>
          <w:color w:val="000000" w:themeColor="text1"/>
          <w:sz w:val="24"/>
        </w:rPr>
        <w:t xml:space="preserve">Conforme a lo expuesto, el Registro Federal de Contribuyentes, es un dato personal, ya que hace a las personas físicas identificas e identificables, además de que las relaciona como contribuyentes de las autoridades fiscales. </w:t>
      </w:r>
    </w:p>
    <w:p w:rsidR="00830F1A" w:rsidRPr="00F3336F" w:rsidRDefault="00830F1A" w:rsidP="009063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color w:val="000000" w:themeColor="text1"/>
          <w:sz w:val="24"/>
        </w:rPr>
        <w:lastRenderedPageBreak/>
        <w:t>Lo anterior, resulta congruente con el Criterio 19/17 emitido por el Instituto Nacional de Transparencia, Acceso a la Información y Protección de Datos Personales, en el cual se señala lo siguiente:</w:t>
      </w:r>
    </w:p>
    <w:p w:rsidR="00830F1A" w:rsidRPr="00F3336F" w:rsidRDefault="00830F1A" w:rsidP="009063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color w:val="000000" w:themeColor="text1"/>
          <w:sz w:val="24"/>
        </w:rPr>
        <w:t>Registro Federal de Contribuye</w:t>
      </w:r>
      <w:r w:rsidR="00F87D82" w:rsidRPr="00F3336F">
        <w:rPr>
          <w:rFonts w:ascii="Palatino Linotype" w:eastAsia="Palatino Linotype" w:hAnsi="Palatino Linotype" w:cs="Palatino Linotype"/>
          <w:color w:val="000000" w:themeColor="text1"/>
          <w:sz w:val="24"/>
        </w:rPr>
        <w:t>ntes (RFC) de personas físicas: “</w:t>
      </w:r>
      <w:r w:rsidRPr="00F3336F">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r w:rsidR="00F87D82" w:rsidRPr="00F3336F">
        <w:rPr>
          <w:rFonts w:ascii="Palatino Linotype" w:eastAsia="Palatino Linotype" w:hAnsi="Palatino Linotype" w:cs="Palatino Linotype"/>
          <w:i/>
          <w:color w:val="000000" w:themeColor="text1"/>
          <w:sz w:val="24"/>
        </w:rPr>
        <w:t>”</w:t>
      </w:r>
    </w:p>
    <w:p w:rsidR="00830F1A" w:rsidRPr="00F3336F" w:rsidRDefault="00830F1A" w:rsidP="009063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87D82" w:rsidRPr="00F3336F" w:rsidRDefault="00830F1A" w:rsidP="009063A6">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b/>
          <w:color w:val="000000" w:themeColor="text1"/>
          <w:sz w:val="24"/>
        </w:rPr>
        <w:t>CURP</w:t>
      </w:r>
      <w:r w:rsidR="00F87D82" w:rsidRPr="00F3336F">
        <w:rPr>
          <w:rFonts w:ascii="Palatino Linotype" w:eastAsia="Palatino Linotype" w:hAnsi="Palatino Linotype" w:cs="Palatino Linotype"/>
          <w:color w:val="000000" w:themeColor="text1"/>
          <w:sz w:val="24"/>
        </w:rPr>
        <w:t xml:space="preserve">: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F87D82" w:rsidRPr="00F3336F" w:rsidRDefault="00F87D82" w:rsidP="009063A6">
      <w:pPr>
        <w:shd w:val="clear" w:color="auto" w:fill="FFFFFF"/>
        <w:spacing w:before="240" w:after="240" w:line="360" w:lineRule="auto"/>
        <w:jc w:val="both"/>
        <w:rPr>
          <w:rFonts w:ascii="Palatino Linotype" w:hAnsi="Palatino Linotype"/>
          <w:color w:val="000000" w:themeColor="text1"/>
        </w:rPr>
      </w:pPr>
      <w:r w:rsidRPr="00F3336F">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F87D82" w:rsidRPr="00F3336F" w:rsidRDefault="00F87D82" w:rsidP="009063A6">
      <w:pPr>
        <w:shd w:val="clear" w:color="auto" w:fill="FFFFFF"/>
        <w:spacing w:before="240" w:after="240" w:line="360" w:lineRule="auto"/>
        <w:jc w:val="both"/>
        <w:rPr>
          <w:rFonts w:ascii="Palatino Linotype" w:hAnsi="Palatino Linotype"/>
          <w:color w:val="000000" w:themeColor="text1"/>
        </w:rPr>
      </w:pPr>
      <w:r w:rsidRPr="00F3336F">
        <w:rPr>
          <w:rFonts w:ascii="Palatino Linotype" w:eastAsia="Palatino Linotype" w:hAnsi="Palatino Linotype" w:cs="Palatino Linotype"/>
          <w:color w:val="000000" w:themeColor="text1"/>
        </w:rPr>
        <w:lastRenderedPageBreak/>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r w:rsidRPr="00F3336F">
        <w:rPr>
          <w:rFonts w:ascii="Palatino Linotype" w:hAnsi="Palatino Linotype"/>
          <w:color w:val="000000" w:themeColor="text1"/>
        </w:rPr>
        <w:t xml:space="preserve"> </w:t>
      </w:r>
      <w:r w:rsidRPr="00F3336F">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F87D82" w:rsidRPr="00F3336F" w:rsidRDefault="00F87D82" w:rsidP="009063A6">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i/>
          <w:color w:val="000000" w:themeColor="text1"/>
          <w:sz w:val="24"/>
        </w:rPr>
      </w:pPr>
      <w:r w:rsidRPr="00F3336F">
        <w:rPr>
          <w:rFonts w:ascii="Palatino Linotype" w:eastAsia="Palatino Linotype" w:hAnsi="Palatino Linotype" w:cs="Palatino Linotype"/>
          <w:i/>
          <w:color w:val="000000" w:themeColor="text1"/>
          <w:sz w:val="24"/>
        </w:rPr>
        <w:t>“</w:t>
      </w:r>
      <w:r w:rsidRPr="00F3336F">
        <w:rPr>
          <w:rFonts w:ascii="Palatino Linotype" w:eastAsia="Palatino Linotype" w:hAnsi="Palatino Linotype" w:cs="Palatino Linotype"/>
          <w:b/>
          <w:i/>
          <w:color w:val="000000" w:themeColor="text1"/>
          <w:sz w:val="24"/>
        </w:rPr>
        <w:t xml:space="preserve">Clave Única de Registro de Población (CURP). </w:t>
      </w:r>
      <w:r w:rsidRPr="00F3336F">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r w:rsidRPr="00F3336F">
        <w:rPr>
          <w:rFonts w:ascii="Palatino Linotype" w:eastAsiaTheme="majorEastAsia" w:hAnsi="Palatino Linotype" w:cstheme="majorBidi"/>
          <w:i/>
          <w:color w:val="000000" w:themeColor="text1"/>
          <w:kern w:val="28"/>
          <w:sz w:val="24"/>
        </w:rPr>
        <w:t xml:space="preserve"> </w:t>
      </w:r>
      <w:r w:rsidRPr="00F3336F">
        <w:rPr>
          <w:rFonts w:ascii="Palatino Linotype" w:eastAsia="Palatino Linotype" w:hAnsi="Palatino Linotype" w:cs="Palatino Linotype"/>
          <w:i/>
          <w:color w:val="000000" w:themeColor="text1"/>
          <w:sz w:val="24"/>
        </w:rPr>
        <w:t>resto de los habitantes del país, por lo que la CURP está considerada como información confidencial.” (Sic)</w:t>
      </w:r>
    </w:p>
    <w:p w:rsidR="00F87D82" w:rsidRPr="00F3336F" w:rsidRDefault="00F87D82" w:rsidP="009063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rsidR="00947C88" w:rsidRPr="00F3336F" w:rsidRDefault="00830F1A" w:rsidP="009063A6">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b/>
          <w:color w:val="000000" w:themeColor="text1"/>
          <w:sz w:val="24"/>
        </w:rPr>
        <w:t>CUANTA BANCARIA</w:t>
      </w:r>
      <w:r w:rsidRPr="00F3336F">
        <w:rPr>
          <w:rFonts w:ascii="Palatino Linotype" w:eastAsia="Palatino Linotype" w:hAnsi="Palatino Linotype" w:cs="Palatino Linotype"/>
          <w:color w:val="000000" w:themeColor="text1"/>
          <w:sz w:val="24"/>
        </w:rPr>
        <w:t>:</w:t>
      </w:r>
      <w:r w:rsidR="00947C88" w:rsidRPr="00F3336F">
        <w:rPr>
          <w:rFonts w:ascii="Palatino Linotype" w:eastAsia="Palatino Linotype" w:hAnsi="Palatino Linotype" w:cs="Palatino Linotype"/>
          <w:color w:val="000000" w:themeColor="text1"/>
          <w:sz w:val="24"/>
        </w:rPr>
        <w:t xml:space="preserv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30F1A" w:rsidRPr="00F3336F" w:rsidRDefault="00947C88" w:rsidP="009063A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F3336F">
        <w:rPr>
          <w:rFonts w:ascii="Palatino Linotype" w:eastAsia="Palatino Linotype" w:hAnsi="Palatino Linotype" w:cs="Palatino Linotype"/>
          <w:color w:val="000000" w:themeColor="text1"/>
          <w:sz w:val="24"/>
        </w:rPr>
        <w:t xml:space="preserve">Por lo anterior, el número de cuenta bancaria debe ser clasificado como confidencial con fundamento en las fracciones I y II del artículo 143 de la Ley de la Materia de la Entidad; en razón de que, con su difusión se estaría poniendo en riesgo la seguridad de su titular. Además </w:t>
      </w:r>
      <w:r w:rsidRPr="00F3336F">
        <w:rPr>
          <w:rFonts w:ascii="Palatino Linotype" w:eastAsia="Palatino Linotype" w:hAnsi="Palatino Linotype" w:cs="Palatino Linotype"/>
          <w:color w:val="000000" w:themeColor="text1"/>
          <w:sz w:val="24"/>
        </w:rPr>
        <w:lastRenderedPageBreak/>
        <w:t>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w:t>
      </w:r>
    </w:p>
    <w:p w:rsidR="00830F1A" w:rsidRPr="00F3336F" w:rsidRDefault="00830F1A" w:rsidP="009063A6">
      <w:pPr>
        <w:pStyle w:val="Prrafodelista"/>
        <w:ind w:left="0"/>
        <w:rPr>
          <w:rFonts w:ascii="Palatino Linotype" w:eastAsia="Palatino Linotype" w:hAnsi="Palatino Linotype" w:cs="Palatino Linotype"/>
          <w:color w:val="000000" w:themeColor="text1"/>
          <w:sz w:val="24"/>
        </w:rPr>
      </w:pPr>
    </w:p>
    <w:p w:rsidR="00947C88" w:rsidRPr="00F3336F" w:rsidRDefault="00947C88"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36F">
        <w:rPr>
          <w:rFonts w:ascii="Palatino Linotype" w:eastAsia="Palatino Linotype" w:hAnsi="Palatino Linotype" w:cs="Palatino Linotype"/>
          <w:color w:val="000000" w:themeColor="text1"/>
        </w:rPr>
        <w:t xml:space="preserve">En ese sentido, </w:t>
      </w:r>
      <w:r w:rsidR="002B06DD" w:rsidRPr="00F3336F">
        <w:rPr>
          <w:rFonts w:ascii="Palatino Linotype" w:eastAsia="Palatino Linotype" w:hAnsi="Palatino Linotype" w:cs="Palatino Linotype"/>
          <w:color w:val="000000" w:themeColor="text1"/>
        </w:rPr>
        <w:t xml:space="preserve">la versión pública a los recibos se realizó de forma correcta, ya que los datos que se testaron son de carácter confidencial, por lo tanto, se advierte que es procedente su clasificación.  </w:t>
      </w:r>
    </w:p>
    <w:p w:rsidR="00947C88" w:rsidRPr="00F3336F" w:rsidRDefault="00947C88" w:rsidP="009063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A02F7" w:rsidRPr="00F3336F" w:rsidRDefault="009A02F7"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36F">
        <w:rPr>
          <w:rFonts w:ascii="Palatino Linotype" w:eastAsia="Palatino Linotype" w:hAnsi="Palatino Linotype" w:cs="Palatino Linotype"/>
          <w:color w:val="000000" w:themeColor="text1"/>
        </w:rPr>
        <w:t>Consecuentemente,</w:t>
      </w:r>
      <w:r w:rsidR="002B06DD" w:rsidRPr="00F3336F">
        <w:rPr>
          <w:rFonts w:ascii="Palatino Linotype" w:eastAsia="Palatino Linotype" w:hAnsi="Palatino Linotype" w:cs="Palatino Linotype"/>
          <w:color w:val="000000" w:themeColor="text1"/>
        </w:rPr>
        <w:t xml:space="preserve"> es necesario señalar que</w:t>
      </w:r>
      <w:r w:rsidRPr="00F3336F">
        <w:rPr>
          <w:rFonts w:ascii="Palatino Linotype" w:eastAsia="Palatino Linotype" w:hAnsi="Palatino Linotype" w:cs="Palatino Linotype"/>
          <w:color w:val="000000" w:themeColor="text1"/>
        </w:rPr>
        <w:t xml:space="preserve"> a través de informe justificado, el Sujeto Obligado señaló que se entregó la información tal cual obra en sus archivos en términos del artículo 12 de la Ley de Transparencia, asimismo, señaló lo siguiente:</w:t>
      </w:r>
    </w:p>
    <w:p w:rsidR="009A02F7" w:rsidRPr="00F3336F"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3336F">
        <w:rPr>
          <w:rFonts w:ascii="Palatino Linotype" w:eastAsia="Palatino Linotype" w:hAnsi="Palatino Linotype" w:cs="Palatino Linotype"/>
          <w:i/>
          <w:color w:val="000000" w:themeColor="text1"/>
        </w:rPr>
        <w:t xml:space="preserve">“Sobre el particular, me permito comunicarle que se reitera la respuesta proporcionada a la solicitud 00220/PLEGISLA/IP/2025, la cual fue atendida conforme a los registros documentales que obran en esta dependencia. </w:t>
      </w:r>
    </w:p>
    <w:p w:rsidR="009A02F7" w:rsidRPr="00F3336F"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3336F">
        <w:rPr>
          <w:rFonts w:ascii="Palatino Linotype" w:eastAsia="Palatino Linotype" w:hAnsi="Palatino Linotype" w:cs="Palatino Linotype"/>
          <w:i/>
          <w:color w:val="000000" w:themeColor="text1"/>
        </w:rPr>
        <w:t xml:space="preserve">Respuesta en los términos siguientes: </w:t>
      </w:r>
    </w:p>
    <w:p w:rsidR="009A02F7" w:rsidRPr="009063A6"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3336F">
        <w:rPr>
          <w:rFonts w:ascii="Palatino Linotype" w:eastAsia="Palatino Linotype" w:hAnsi="Palatino Linotype" w:cs="Palatino Linotype"/>
          <w:i/>
          <w:color w:val="000000" w:themeColor="text1"/>
        </w:rPr>
        <w:t>"Derivado de la búsqueda exhaustiva y razonable realizada en los archivos que obran en esta dependencia; se remite versión pública de los rec</w:t>
      </w:r>
      <w:r w:rsidRPr="009063A6">
        <w:rPr>
          <w:rFonts w:ascii="Palatino Linotype" w:eastAsia="Palatino Linotype" w:hAnsi="Palatino Linotype" w:cs="Palatino Linotype"/>
          <w:i/>
          <w:color w:val="000000" w:themeColor="text1"/>
        </w:rPr>
        <w:t xml:space="preserve">ibos de nómina “Prima Vacacional", correspondiente al periodo de enero a abril 2025, de las personas servidoras públicas del Poder Legislativo del Estado de México. </w:t>
      </w:r>
    </w:p>
    <w:p w:rsidR="009A02F7" w:rsidRPr="009063A6"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i/>
          <w:color w:val="000000" w:themeColor="text1"/>
        </w:rPr>
        <w:lastRenderedPageBreak/>
        <w:t xml:space="preserve">La presente respuesta se genera en apego a lo establecido en el artículo 12 de la Ley de Transparencia y Acceso a la Información Pública del Estado de México y Municipios, que a la letra indica: </w:t>
      </w:r>
    </w:p>
    <w:p w:rsidR="009A02F7" w:rsidRPr="009063A6"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términos de las disposiciones jurídicas aplicables. </w:t>
      </w:r>
    </w:p>
    <w:p w:rsidR="009A02F7" w:rsidRPr="009063A6"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A02F7" w:rsidRPr="009063A6" w:rsidRDefault="009A02F7" w:rsidP="00906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i/>
          <w:color w:val="000000" w:themeColor="text1"/>
        </w:rPr>
        <w:t>No obstante, se hace la precisión que la diferencia entre los registros de la Plataforma de Información Pública de Oficio (IPOMEX) y los recibos de "prima vacacional" del periodo de enero-abril 2025 entregados, se debe a que estos últimos, corresponden a las personas servidoras públicas activas al 30 de abril 2025; en tanto que, la información que contiene la plataforma IPOMEX, es al cierre de marzo 2025, además no se incluye a las y los diputados de la LXII Legislatura del Estado de México, debido a que no perciben prima vacacional.”</w:t>
      </w:r>
    </w:p>
    <w:p w:rsidR="009A02F7" w:rsidRPr="009063A6" w:rsidRDefault="009A02F7" w:rsidP="009063A6">
      <w:pPr>
        <w:pStyle w:val="Prrafodelista"/>
        <w:ind w:left="0"/>
        <w:rPr>
          <w:rFonts w:ascii="Palatino Linotype" w:eastAsia="Palatino Linotype" w:hAnsi="Palatino Linotype" w:cs="Palatino Linotype"/>
          <w:color w:val="000000" w:themeColor="text1"/>
          <w:sz w:val="24"/>
        </w:rPr>
      </w:pPr>
    </w:p>
    <w:p w:rsidR="009A02F7" w:rsidRPr="009063A6" w:rsidRDefault="009A02F7" w:rsidP="009063A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Como se puede observar, a través del informe justificado, el Sujeto Obligado señaló que entregó la información tal cual obra en sus archivos, aunado a ello, </w:t>
      </w:r>
      <w:r w:rsidR="006B08DE" w:rsidRPr="009063A6">
        <w:rPr>
          <w:rFonts w:ascii="Palatino Linotype" w:eastAsia="Palatino Linotype" w:hAnsi="Palatino Linotype" w:cs="Palatino Linotype"/>
          <w:color w:val="000000" w:themeColor="text1"/>
        </w:rPr>
        <w:t xml:space="preserve">le señaló las razones por la cuales hay una diferencia entre el número de servidores públicos que se advierten en IPOMEX y de los que se entregó información. </w:t>
      </w:r>
      <w:r w:rsidRPr="009063A6">
        <w:rPr>
          <w:rFonts w:ascii="Palatino Linotype" w:eastAsia="Palatino Linotype" w:hAnsi="Palatino Linotype" w:cs="Palatino Linotype"/>
          <w:color w:val="000000" w:themeColor="text1"/>
        </w:rPr>
        <w:t xml:space="preserve"> </w:t>
      </w:r>
    </w:p>
    <w:p w:rsidR="006F4953" w:rsidRPr="009063A6" w:rsidRDefault="006F4953" w:rsidP="009063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 Así, este Pleno advierte que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 xml:space="preserve"> </w:t>
      </w:r>
      <w:r w:rsidRPr="009063A6">
        <w:rPr>
          <w:rFonts w:ascii="Palatino Linotype" w:eastAsia="Palatino Linotype" w:hAnsi="Palatino Linotype" w:cs="Palatino Linotype"/>
          <w:b/>
          <w:color w:val="000000" w:themeColor="text1"/>
        </w:rPr>
        <w:t xml:space="preserve">modificó </w:t>
      </w:r>
      <w:r w:rsidRPr="009063A6">
        <w:rPr>
          <w:rFonts w:ascii="Palatino Linotype" w:eastAsia="Palatino Linotype" w:hAnsi="Palatino Linotype" w:cs="Palatino Linotype"/>
          <w:color w:val="000000" w:themeColor="text1"/>
        </w:rPr>
        <w:t xml:space="preserve">el acto que le dio origen a los recursos de revisión, lo que trae como consecuencia que el mismo quede sin materia, </w:t>
      </w:r>
      <w:r w:rsidRPr="009063A6">
        <w:rPr>
          <w:rFonts w:ascii="Palatino Linotype" w:eastAsia="Palatino Linotype" w:hAnsi="Palatino Linotype" w:cs="Palatino Linotype"/>
          <w:color w:val="000000" w:themeColor="text1"/>
        </w:rPr>
        <w:lastRenderedPageBreak/>
        <w:t>actualizándose de este modo, la hipótesis jurídica contenida en la fracción III del artículo 192 de la Ley de Transparencia Local.</w:t>
      </w:r>
    </w:p>
    <w:p w:rsidR="006F4953" w:rsidRPr="009063A6" w:rsidRDefault="006F4953" w:rsidP="009063A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9063A6">
        <w:rPr>
          <w:rFonts w:ascii="Palatino Linotype" w:eastAsia="Palatino Linotype" w:hAnsi="Palatino Linotype" w:cs="Palatino Linotype"/>
          <w:b/>
          <w:color w:val="000000" w:themeColor="text1"/>
        </w:rPr>
        <w:t>SUJETOS OBLIGADOS</w:t>
      </w:r>
      <w:r w:rsidRPr="009063A6">
        <w:rPr>
          <w:rFonts w:ascii="Palatino Linotype" w:eastAsia="Palatino Linotype" w:hAnsi="Palatino Linotype" w:cs="Palatino Linotype"/>
          <w:color w:val="000000" w:themeColor="text1"/>
        </w:rPr>
        <w:t xml:space="preserve"> o la negativa de entrega de esta, derivada de la solicitud de información pública.</w:t>
      </w:r>
    </w:p>
    <w:p w:rsidR="006F4953" w:rsidRPr="009063A6" w:rsidRDefault="006F4953" w:rsidP="009063A6">
      <w:pPr>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De este modo, cuando el </w:t>
      </w:r>
      <w:r w:rsidRPr="009063A6">
        <w:rPr>
          <w:rFonts w:ascii="Palatino Linotype" w:eastAsia="Palatino Linotype" w:hAnsi="Palatino Linotype" w:cs="Palatino Linotype"/>
          <w:b/>
          <w:color w:val="000000" w:themeColor="text1"/>
        </w:rPr>
        <w:t xml:space="preserve">SUJETO OBLIGADO, </w:t>
      </w:r>
      <w:r w:rsidRPr="009063A6">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9063A6">
        <w:rPr>
          <w:rFonts w:ascii="Palatino Linotype" w:eastAsia="Palatino Linotype" w:hAnsi="Palatino Linotype" w:cs="Palatino Linotype"/>
          <w:i/>
          <w:color w:val="000000" w:themeColor="text1"/>
        </w:rPr>
        <w:t>litis</w:t>
      </w:r>
      <w:r w:rsidRPr="009063A6">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6F4953" w:rsidRPr="009063A6" w:rsidRDefault="006F4953" w:rsidP="009063A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6F4953" w:rsidRPr="009063A6" w:rsidRDefault="006F4953" w:rsidP="009063A6">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i/>
          <w:color w:val="000000" w:themeColor="text1"/>
        </w:rPr>
        <w:t xml:space="preserve">CESACIÓN DE EFECTOS DEL ACTO RECLAMADO POR VIOLACIÓN AL ARTÍCULO 8o. DE LA CONSTITUCIÓN POLÍTICA DE LOS ESTADOS UNIDOS MEXICANOS. OPERA CUANDO LA AUTORIDAD RESPONSABLE AL RENDIR SU INFORME JUSTIFICADO EXHIBE LA CONTESTACIÓN A LA PETICIÓN FORMULADA, </w:t>
      </w:r>
      <w:r w:rsidRPr="009063A6">
        <w:rPr>
          <w:rFonts w:ascii="Palatino Linotype" w:eastAsia="Palatino Linotype" w:hAnsi="Palatino Linotype" w:cs="Palatino Linotype"/>
          <w:b/>
          <w:i/>
          <w:color w:val="000000" w:themeColor="text1"/>
        </w:rPr>
        <w:lastRenderedPageBreak/>
        <w:t>QUEDANDO EXPEDITOS LOS DERECHOS DEL QUEJOSO PARA AMPLIAR SU DEMANDA INICIAL, PROMOVER OTRO JUICIO DE AMPARO O EL MEDIO ORDINARIO DE DEFENSA QUE PROCEDA.</w:t>
      </w:r>
      <w:r w:rsidRPr="009063A6">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F4953" w:rsidRPr="009063A6" w:rsidRDefault="006F4953" w:rsidP="009063A6">
      <w:pPr>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La anterior jurisprudencia resulta aplicable al presente asunto, en dos aspectos: </w:t>
      </w:r>
    </w:p>
    <w:p w:rsidR="006F4953" w:rsidRDefault="006F4953" w:rsidP="009063A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La cesación de los efectos perniciosos del acto de autoridad:</w:t>
      </w:r>
      <w:r w:rsidRPr="009063A6">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 xml:space="preserve"> de </w:t>
      </w:r>
      <w:r w:rsidRPr="009063A6">
        <w:rPr>
          <w:rFonts w:ascii="Palatino Linotype" w:eastAsia="Palatino Linotype" w:hAnsi="Palatino Linotype" w:cs="Palatino Linotype"/>
          <w:i/>
          <w:color w:val="000000" w:themeColor="text1"/>
        </w:rPr>
        <w:t>motu proprio</w:t>
      </w:r>
      <w:r w:rsidRPr="009063A6">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F30B1D" w:rsidRPr="009063A6" w:rsidRDefault="00F30B1D" w:rsidP="00F30B1D">
      <w:pPr>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lastRenderedPageBreak/>
        <w:t>El momento procesal para modificar el acto impugnado:</w:t>
      </w:r>
      <w:r w:rsidRPr="009063A6">
        <w:rPr>
          <w:rFonts w:ascii="Palatino Linotype" w:eastAsia="Palatino Linotype" w:hAnsi="Palatino Linotype" w:cs="Palatino Linotype"/>
          <w:color w:val="000000" w:themeColor="text1"/>
        </w:rPr>
        <w:t xml:space="preserve"> Para que se actualice el sobreseimiento de un recurso de revisión, el </w:t>
      </w:r>
      <w:r w:rsidRPr="009063A6">
        <w:rPr>
          <w:rFonts w:ascii="Palatino Linotype" w:eastAsia="Palatino Linotype" w:hAnsi="Palatino Linotype" w:cs="Palatino Linotype"/>
          <w:b/>
          <w:color w:val="000000" w:themeColor="text1"/>
        </w:rPr>
        <w:t>SUJETO OBLIGADO</w:t>
      </w:r>
      <w:r w:rsidRPr="009063A6">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9063A6">
        <w:rPr>
          <w:rFonts w:ascii="Palatino Linotype" w:eastAsia="Palatino Linotype" w:hAnsi="Palatino Linotype" w:cs="Palatino Linotype"/>
          <w:b/>
          <w:color w:val="000000" w:themeColor="text1"/>
          <w:u w:val="single"/>
        </w:rPr>
        <w:t>posteriormente</w:t>
      </w:r>
      <w:r w:rsidRPr="009063A6">
        <w:rPr>
          <w:rFonts w:ascii="Palatino Linotype" w:eastAsia="Palatino Linotype" w:hAnsi="Palatino Linotype" w:cs="Palatino Linotype"/>
          <w:color w:val="000000" w:themeColor="text1"/>
        </w:rPr>
        <w:t xml:space="preserve"> a éste, siempre y cuando el Pleno del Instituto no haya dictado resolución definitiva.</w:t>
      </w:r>
    </w:p>
    <w:p w:rsidR="006F4953" w:rsidRPr="009063A6" w:rsidRDefault="006F4953" w:rsidP="009063A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Eduardo Pallares, en su artículo </w:t>
      </w:r>
      <w:r w:rsidRPr="009063A6">
        <w:rPr>
          <w:rFonts w:ascii="Palatino Linotype" w:eastAsia="Palatino Linotype" w:hAnsi="Palatino Linotype" w:cs="Palatino Linotype"/>
          <w:i/>
          <w:color w:val="000000" w:themeColor="text1"/>
        </w:rPr>
        <w:t>“La caducidad y el sobreseimiento en el amparo”</w:t>
      </w:r>
      <w:r w:rsidRPr="009063A6">
        <w:rPr>
          <w:rFonts w:ascii="Palatino Linotype" w:eastAsia="Palatino Linotype" w:hAnsi="Palatino Linotype" w:cs="Palatino Linotype"/>
          <w:color w:val="000000" w:themeColor="text1"/>
        </w:rPr>
        <w:t xml:space="preserve">, cita la definición de Aguilera Paz, aduciendo que se </w:t>
      </w:r>
      <w:r w:rsidRPr="009063A6">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9063A6">
        <w:rPr>
          <w:rFonts w:ascii="Palatino Linotype" w:eastAsia="Palatino Linotype" w:hAnsi="Palatino Linotype" w:cs="Palatino Linotype"/>
          <w:color w:val="000000" w:themeColor="text1"/>
        </w:rPr>
        <w:t>. Asimismo, señala que existe el sobreseimiento provisional y el definitivo</w:t>
      </w:r>
      <w:r w:rsidRPr="009063A6">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6F4953" w:rsidRPr="009063A6" w:rsidRDefault="006F4953" w:rsidP="009063A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9063A6">
        <w:rPr>
          <w:rFonts w:ascii="Palatino Linotype" w:eastAsia="Palatino Linotype" w:hAnsi="Palatino Linotype" w:cs="Palatino Linotype"/>
          <w:b/>
          <w:color w:val="000000" w:themeColor="text1"/>
          <w:u w:val="single"/>
        </w:rPr>
        <w:t xml:space="preserve">sin que se entre al estudio de los agravios o motivos de inconformidad. </w:t>
      </w:r>
      <w:r w:rsidRPr="009063A6">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6F4953" w:rsidRPr="009063A6" w:rsidRDefault="006F4953" w:rsidP="009063A6">
      <w:pP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9063A6">
        <w:rPr>
          <w:rFonts w:ascii="Palatino Linotype" w:eastAsia="Palatino Linotype" w:hAnsi="Palatino Linotype" w:cs="Palatino Linotype"/>
          <w:i/>
          <w:color w:val="000000" w:themeColor="text1"/>
        </w:rPr>
        <w:t xml:space="preserve"> en el juicio de amparo directo </w:t>
      </w:r>
      <w:r w:rsidRPr="009063A6">
        <w:rPr>
          <w:rFonts w:ascii="Palatino Linotype" w:eastAsia="Palatino Linotype" w:hAnsi="Palatino Linotype" w:cs="Palatino Linotype"/>
          <w:b/>
          <w:i/>
          <w:color w:val="000000" w:themeColor="text1"/>
        </w:rPr>
        <w:t xml:space="preserve">provoca la terminación de la </w:t>
      </w:r>
      <w:r w:rsidRPr="009063A6">
        <w:rPr>
          <w:rFonts w:ascii="Palatino Linotype" w:eastAsia="Palatino Linotype" w:hAnsi="Palatino Linotype" w:cs="Palatino Linotype"/>
          <w:b/>
          <w:i/>
          <w:color w:val="000000" w:themeColor="text1"/>
        </w:rPr>
        <w:lastRenderedPageBreak/>
        <w:t>controversia planteada</w:t>
      </w:r>
      <w:r w:rsidRPr="009063A6">
        <w:rPr>
          <w:rFonts w:ascii="Palatino Linotype" w:eastAsia="Palatino Linotype" w:hAnsi="Palatino Linotype" w:cs="Palatino Linotype"/>
          <w:i/>
          <w:color w:val="000000" w:themeColor="text1"/>
        </w:rPr>
        <w:t xml:space="preserve"> por el quejoso en la demanda de amparo</w:t>
      </w:r>
      <w:r w:rsidRPr="009063A6">
        <w:rPr>
          <w:rFonts w:ascii="Palatino Linotype" w:eastAsia="Palatino Linotype" w:hAnsi="Palatino Linotype" w:cs="Palatino Linotype"/>
          <w:b/>
          <w:i/>
          <w:color w:val="000000" w:themeColor="text1"/>
        </w:rPr>
        <w:t>, sin hacer un pronunciamiento de fondo sobre la legalidad o ilegalidad de la sentencia reclamada</w:t>
      </w:r>
      <w:r w:rsidRPr="009063A6">
        <w:rPr>
          <w:rFonts w:ascii="Palatino Linotype" w:eastAsia="Palatino Linotype" w:hAnsi="Palatino Linotype" w:cs="Palatino Linotype"/>
          <w:i/>
          <w:color w:val="000000" w:themeColor="text1"/>
        </w:rPr>
        <w:t xml:space="preserve">. </w:t>
      </w:r>
      <w:r w:rsidRPr="009063A6">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063A6">
        <w:rPr>
          <w:rFonts w:ascii="Palatino Linotype" w:eastAsia="Palatino Linotype" w:hAnsi="Palatino Linotype" w:cs="Palatino Linotype"/>
          <w:i/>
          <w:color w:val="000000" w:themeColor="text1"/>
        </w:rPr>
        <w:t>.</w:t>
      </w:r>
    </w:p>
    <w:p w:rsidR="006F4953" w:rsidRPr="009063A6" w:rsidRDefault="006F4953" w:rsidP="009063A6">
      <w:pPr>
        <w:spacing w:line="360" w:lineRule="auto"/>
        <w:jc w:val="both"/>
        <w:rPr>
          <w:rFonts w:ascii="Palatino Linotype" w:eastAsia="Palatino Linotype" w:hAnsi="Palatino Linotype" w:cs="Palatino Linotype"/>
          <w:i/>
          <w:color w:val="000000" w:themeColor="text1"/>
        </w:rPr>
      </w:pPr>
      <w:r w:rsidRPr="009063A6">
        <w:rPr>
          <w:rFonts w:ascii="Palatino Linotype" w:eastAsia="Palatino Linotype" w:hAnsi="Palatino Linotype" w:cs="Palatino Linotype"/>
          <w:i/>
          <w:color w:val="000000" w:themeColor="text1"/>
        </w:rPr>
        <w:t>SÉPTIMO TRIBUNAL COLEGIADO EN MATERIA CIVIL DEL PRIMER CIRCUITO.</w:t>
      </w:r>
    </w:p>
    <w:p w:rsidR="006F4953" w:rsidRPr="009063A6" w:rsidRDefault="006F4953" w:rsidP="009063A6">
      <w:pPr>
        <w:spacing w:line="360" w:lineRule="auto"/>
        <w:jc w:val="both"/>
        <w:rPr>
          <w:rFonts w:ascii="Palatino Linotype" w:eastAsia="Palatino Linotype" w:hAnsi="Palatino Linotype" w:cs="Palatino Linotype"/>
          <w:b/>
          <w:i/>
          <w:color w:val="000000" w:themeColor="text1"/>
        </w:rPr>
      </w:pPr>
      <w:r w:rsidRPr="009063A6">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6F4953" w:rsidRPr="009063A6" w:rsidRDefault="006F4953" w:rsidP="009063A6">
      <w:pPr>
        <w:spacing w:line="360" w:lineRule="auto"/>
        <w:jc w:val="both"/>
        <w:rPr>
          <w:rFonts w:ascii="Palatino Linotype" w:eastAsia="Palatino Linotype" w:hAnsi="Palatino Linotype" w:cs="Palatino Linotype"/>
          <w:b/>
          <w:i/>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6F4953" w:rsidRPr="009063A6" w:rsidRDefault="006F4953" w:rsidP="009063A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Bajo ese tenor y en términos del artículo 186 fracción I este Pleno determina el </w:t>
      </w:r>
      <w:r w:rsidRPr="009063A6">
        <w:rPr>
          <w:rFonts w:ascii="Palatino Linotype" w:eastAsia="Palatino Linotype" w:hAnsi="Palatino Linotype" w:cs="Palatino Linotype"/>
          <w:b/>
          <w:color w:val="000000" w:themeColor="text1"/>
        </w:rPr>
        <w:t xml:space="preserve">SOBRESEIMIENTO </w:t>
      </w:r>
      <w:r w:rsidRPr="009063A6">
        <w:rPr>
          <w:rFonts w:ascii="Palatino Linotype" w:eastAsia="Palatino Linotype" w:hAnsi="Palatino Linotype" w:cs="Palatino Linotype"/>
          <w:color w:val="000000" w:themeColor="text1"/>
        </w:rPr>
        <w:t xml:space="preserve">del recurso de revisión </w:t>
      </w:r>
      <w:r w:rsidR="006B08DE" w:rsidRPr="009063A6">
        <w:rPr>
          <w:rFonts w:ascii="Palatino Linotype" w:eastAsia="Palatino Linotype" w:hAnsi="Palatino Linotype" w:cs="Palatino Linotype"/>
          <w:b/>
          <w:color w:val="000000" w:themeColor="text1"/>
        </w:rPr>
        <w:t>06238</w:t>
      </w:r>
      <w:r w:rsidRPr="009063A6">
        <w:rPr>
          <w:rFonts w:ascii="Palatino Linotype" w:eastAsia="Palatino Linotype" w:hAnsi="Palatino Linotype" w:cs="Palatino Linotype"/>
          <w:b/>
          <w:color w:val="000000" w:themeColor="text1"/>
        </w:rPr>
        <w:t>/INFOEM/IP/RR/2025</w:t>
      </w:r>
      <w:r w:rsidRPr="009063A6">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6F4953" w:rsidRPr="009063A6" w:rsidRDefault="006F4953" w:rsidP="009063A6">
      <w:pPr>
        <w:pBdr>
          <w:top w:val="nil"/>
          <w:left w:val="nil"/>
          <w:bottom w:val="nil"/>
          <w:right w:val="nil"/>
          <w:between w:val="nil"/>
        </w:pBdr>
        <w:rPr>
          <w:rFonts w:ascii="Palatino Linotype" w:eastAsia="Palatino Linotype" w:hAnsi="Palatino Linotype" w:cs="Palatino Linotype"/>
          <w:color w:val="000000" w:themeColor="text1"/>
        </w:rPr>
      </w:pPr>
    </w:p>
    <w:p w:rsidR="006F4953" w:rsidRPr="009063A6" w:rsidRDefault="006F4953" w:rsidP="009063A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color w:val="000000" w:themeColor="text1"/>
        </w:rPr>
        <w:t xml:space="preserve">Por lo anteriormente expuesto y fundado, este </w:t>
      </w:r>
      <w:r w:rsidRPr="009063A6">
        <w:rPr>
          <w:rFonts w:ascii="Palatino Linotype" w:eastAsia="Palatino Linotype" w:hAnsi="Palatino Linotype" w:cs="Palatino Linotype"/>
          <w:b/>
          <w:color w:val="000000" w:themeColor="text1"/>
        </w:rPr>
        <w:t>ÓRGANO GARANTE</w:t>
      </w:r>
      <w:r w:rsidRPr="009063A6">
        <w:rPr>
          <w:rFonts w:ascii="Palatino Linotype" w:eastAsia="Palatino Linotype" w:hAnsi="Palatino Linotype" w:cs="Palatino Linotype"/>
          <w:color w:val="000000" w:themeColor="text1"/>
        </w:rPr>
        <w:t xml:space="preserve"> emite los siguientes:</w:t>
      </w:r>
      <w:r w:rsidR="00F3336F">
        <w:rPr>
          <w:rFonts w:ascii="Palatino Linotype" w:eastAsia="Palatino Linotype" w:hAnsi="Palatino Linotype" w:cs="Palatino Linotype"/>
          <w:color w:val="000000" w:themeColor="text1"/>
        </w:rPr>
        <w:t xml:space="preserve"> -----------------------------------------------------------------------------------------------------------</w:t>
      </w:r>
    </w:p>
    <w:p w:rsidR="006F4953" w:rsidRPr="009063A6" w:rsidRDefault="006F4953" w:rsidP="009063A6">
      <w:pPr>
        <w:spacing w:line="360" w:lineRule="auto"/>
        <w:jc w:val="center"/>
        <w:rPr>
          <w:rFonts w:ascii="Palatino Linotype" w:eastAsia="Palatino Linotype" w:hAnsi="Palatino Linotype" w:cs="Palatino Linotype"/>
          <w:b/>
          <w:color w:val="000000" w:themeColor="text1"/>
        </w:rPr>
      </w:pPr>
      <w:r w:rsidRPr="009063A6">
        <w:rPr>
          <w:rFonts w:ascii="Palatino Linotype" w:eastAsia="Palatino Linotype" w:hAnsi="Palatino Linotype" w:cs="Palatino Linotype"/>
          <w:b/>
          <w:color w:val="000000" w:themeColor="text1"/>
        </w:rPr>
        <w:lastRenderedPageBreak/>
        <w:t>R E S O L U T I V O S</w:t>
      </w:r>
    </w:p>
    <w:p w:rsidR="006F4953" w:rsidRPr="009063A6" w:rsidRDefault="006F4953" w:rsidP="009063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 xml:space="preserve">PRIMERO. </w:t>
      </w:r>
      <w:r w:rsidRPr="009063A6">
        <w:rPr>
          <w:rFonts w:ascii="Palatino Linotype" w:eastAsia="Palatino Linotype" w:hAnsi="Palatino Linotype" w:cs="Palatino Linotype"/>
          <w:color w:val="000000" w:themeColor="text1"/>
        </w:rPr>
        <w:t xml:space="preserve">Se </w:t>
      </w:r>
      <w:r w:rsidRPr="009063A6">
        <w:rPr>
          <w:rFonts w:ascii="Palatino Linotype" w:eastAsia="Palatino Linotype" w:hAnsi="Palatino Linotype" w:cs="Palatino Linotype"/>
          <w:b/>
          <w:color w:val="000000" w:themeColor="text1"/>
        </w:rPr>
        <w:t>SOBRESEE</w:t>
      </w:r>
      <w:r w:rsidRPr="009063A6">
        <w:rPr>
          <w:rFonts w:ascii="Palatino Linotype" w:eastAsia="Palatino Linotype" w:hAnsi="Palatino Linotype" w:cs="Palatino Linotype"/>
          <w:color w:val="000000" w:themeColor="text1"/>
        </w:rPr>
        <w:t xml:space="preserve"> el recurso de revisión número </w:t>
      </w:r>
      <w:r w:rsidR="006B08DE" w:rsidRPr="009063A6">
        <w:rPr>
          <w:rFonts w:ascii="Palatino Linotype" w:eastAsia="Palatino Linotype" w:hAnsi="Palatino Linotype" w:cs="Palatino Linotype"/>
          <w:b/>
          <w:color w:val="000000" w:themeColor="text1"/>
        </w:rPr>
        <w:t>06238</w:t>
      </w:r>
      <w:r w:rsidRPr="009063A6">
        <w:rPr>
          <w:rFonts w:ascii="Palatino Linotype" w:eastAsia="Palatino Linotype" w:hAnsi="Palatino Linotype" w:cs="Palatino Linotype"/>
          <w:b/>
          <w:color w:val="000000" w:themeColor="text1"/>
        </w:rPr>
        <w:t xml:space="preserve">/INFOEM/IP/RR/2025 </w:t>
      </w:r>
      <w:r w:rsidRPr="009063A6">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9063A6">
        <w:rPr>
          <w:rFonts w:ascii="Palatino Linotype" w:eastAsia="Palatino Linotype" w:hAnsi="Palatino Linotype" w:cs="Palatino Linotype"/>
          <w:b/>
          <w:color w:val="000000" w:themeColor="text1"/>
        </w:rPr>
        <w:t>modificar la respuesta a través del informe justificado y atender lo solicitado</w:t>
      </w:r>
      <w:r w:rsidRPr="009063A6">
        <w:rPr>
          <w:rFonts w:ascii="Palatino Linotype" w:eastAsia="Palatino Linotype" w:hAnsi="Palatino Linotype" w:cs="Palatino Linotype"/>
          <w:color w:val="000000" w:themeColor="text1"/>
        </w:rPr>
        <w:t xml:space="preserve">, el recurso de revisión quedó sin materia en términos del Considerando </w:t>
      </w:r>
      <w:r w:rsidRPr="009063A6">
        <w:rPr>
          <w:rFonts w:ascii="Palatino Linotype" w:eastAsia="Palatino Linotype" w:hAnsi="Palatino Linotype" w:cs="Palatino Linotype"/>
          <w:b/>
          <w:color w:val="000000" w:themeColor="text1"/>
        </w:rPr>
        <w:t>TERCERO</w:t>
      </w:r>
      <w:r w:rsidRPr="009063A6">
        <w:rPr>
          <w:rFonts w:ascii="Palatino Linotype" w:eastAsia="Palatino Linotype" w:hAnsi="Palatino Linotype" w:cs="Palatino Linotype"/>
          <w:color w:val="000000" w:themeColor="text1"/>
        </w:rPr>
        <w:t xml:space="preserve"> de la presente resolución.</w:t>
      </w: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p>
    <w:p w:rsidR="006F4953" w:rsidRPr="009063A6" w:rsidRDefault="00F30B1D" w:rsidP="009063A6">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SEGUNDO. Notifíquese</w:t>
      </w:r>
      <w:r w:rsidR="006F4953" w:rsidRPr="009063A6">
        <w:rPr>
          <w:rFonts w:ascii="Palatino Linotype" w:eastAsia="Palatino Linotype" w:hAnsi="Palatino Linotype" w:cs="Palatino Linotype"/>
          <w:b/>
          <w:color w:val="000000" w:themeColor="text1"/>
        </w:rPr>
        <w:t xml:space="preserve"> </w:t>
      </w:r>
      <w:r w:rsidR="006F4953" w:rsidRPr="009063A6">
        <w:rPr>
          <w:rFonts w:ascii="Palatino Linotype" w:eastAsia="Palatino Linotype" w:hAnsi="Palatino Linotype" w:cs="Palatino Linotype"/>
          <w:color w:val="000000" w:themeColor="text1"/>
        </w:rPr>
        <w:t xml:space="preserve">a través del Sistema de Acceso a la Información Mexiquense </w:t>
      </w:r>
      <w:r w:rsidR="006F4953" w:rsidRPr="009063A6">
        <w:rPr>
          <w:rFonts w:ascii="Palatino Linotype" w:eastAsia="Palatino Linotype" w:hAnsi="Palatino Linotype" w:cs="Palatino Linotype"/>
          <w:b/>
          <w:color w:val="000000" w:themeColor="text1"/>
        </w:rPr>
        <w:t xml:space="preserve">(SAIMEX) </w:t>
      </w:r>
      <w:r w:rsidR="006F4953" w:rsidRPr="009063A6">
        <w:rPr>
          <w:rFonts w:ascii="Palatino Linotype" w:eastAsia="Palatino Linotype" w:hAnsi="Palatino Linotype" w:cs="Palatino Linotype"/>
          <w:color w:val="000000" w:themeColor="text1"/>
        </w:rPr>
        <w:t>la presente resolución al Titular de la Unidad de Transparencia del</w:t>
      </w:r>
      <w:r w:rsidR="006F4953" w:rsidRPr="009063A6">
        <w:rPr>
          <w:rFonts w:ascii="Palatino Linotype" w:eastAsia="Palatino Linotype" w:hAnsi="Palatino Linotype" w:cs="Palatino Linotype"/>
          <w:b/>
          <w:color w:val="000000" w:themeColor="text1"/>
        </w:rPr>
        <w:t xml:space="preserve"> SUJETO OBLIGADO. </w:t>
      </w:r>
    </w:p>
    <w:p w:rsidR="006F4953" w:rsidRPr="009063A6" w:rsidRDefault="006F4953" w:rsidP="009063A6">
      <w:pPr>
        <w:tabs>
          <w:tab w:val="left" w:pos="3263"/>
        </w:tabs>
        <w:spacing w:line="360" w:lineRule="auto"/>
        <w:jc w:val="both"/>
        <w:rPr>
          <w:rFonts w:ascii="Palatino Linotype" w:eastAsia="Palatino Linotype" w:hAnsi="Palatino Linotype" w:cs="Palatino Linotype"/>
          <w:b/>
          <w:color w:val="000000" w:themeColor="text1"/>
        </w:rPr>
      </w:pPr>
      <w:r w:rsidRPr="009063A6">
        <w:rPr>
          <w:rFonts w:ascii="Palatino Linotype" w:eastAsia="Palatino Linotype" w:hAnsi="Palatino Linotype" w:cs="Palatino Linotype"/>
          <w:b/>
          <w:color w:val="000000" w:themeColor="text1"/>
        </w:rPr>
        <w:tab/>
      </w: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 xml:space="preserve">TERCERO. Notifíquese </w:t>
      </w:r>
      <w:r w:rsidRPr="009063A6">
        <w:rPr>
          <w:rFonts w:ascii="Palatino Linotype" w:eastAsia="Palatino Linotype" w:hAnsi="Palatino Linotype" w:cs="Palatino Linotype"/>
          <w:color w:val="000000" w:themeColor="text1"/>
        </w:rPr>
        <w:t xml:space="preserve">al </w:t>
      </w:r>
      <w:r w:rsidRPr="009063A6">
        <w:rPr>
          <w:rFonts w:ascii="Palatino Linotype" w:eastAsia="Palatino Linotype" w:hAnsi="Palatino Linotype" w:cs="Palatino Linotype"/>
          <w:b/>
          <w:color w:val="000000" w:themeColor="text1"/>
        </w:rPr>
        <w:t>RECURRENTE</w:t>
      </w:r>
      <w:r w:rsidRPr="009063A6">
        <w:rPr>
          <w:rFonts w:ascii="Palatino Linotype" w:eastAsia="Palatino Linotype" w:hAnsi="Palatino Linotype" w:cs="Palatino Linotype"/>
          <w:color w:val="000000" w:themeColor="text1"/>
        </w:rPr>
        <w:t xml:space="preserve"> la</w:t>
      </w:r>
      <w:r w:rsidR="00D90CD7" w:rsidRPr="009063A6">
        <w:rPr>
          <w:rFonts w:ascii="Palatino Linotype" w:eastAsia="Palatino Linotype" w:hAnsi="Palatino Linotype" w:cs="Palatino Linotype"/>
          <w:color w:val="000000" w:themeColor="text1"/>
        </w:rPr>
        <w:t xml:space="preserve"> presente resolución vía SAIMEX. </w:t>
      </w: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p>
    <w:p w:rsidR="006F4953" w:rsidRPr="009063A6" w:rsidRDefault="006F4953" w:rsidP="009063A6">
      <w:pPr>
        <w:spacing w:line="360" w:lineRule="auto"/>
        <w:jc w:val="both"/>
        <w:rPr>
          <w:rFonts w:ascii="Palatino Linotype" w:eastAsia="Palatino Linotype" w:hAnsi="Palatino Linotype" w:cs="Palatino Linotype"/>
          <w:color w:val="000000" w:themeColor="text1"/>
        </w:rPr>
      </w:pPr>
      <w:r w:rsidRPr="009063A6">
        <w:rPr>
          <w:rFonts w:ascii="Palatino Linotype" w:eastAsia="Palatino Linotype" w:hAnsi="Palatino Linotype" w:cs="Palatino Linotype"/>
          <w:b/>
          <w:color w:val="000000" w:themeColor="text1"/>
        </w:rPr>
        <w:t>CUARTO.</w:t>
      </w:r>
      <w:r w:rsidRPr="009063A6">
        <w:rPr>
          <w:rFonts w:ascii="Palatino Linotype" w:eastAsia="Palatino Linotype" w:hAnsi="Palatino Linotype" w:cs="Palatino Linotype"/>
          <w:color w:val="000000" w:themeColor="text1"/>
        </w:rPr>
        <w:t xml:space="preserve"> Se hace del conocimiento del </w:t>
      </w:r>
      <w:r w:rsidRPr="009063A6">
        <w:rPr>
          <w:rFonts w:ascii="Palatino Linotype" w:eastAsia="Palatino Linotype" w:hAnsi="Palatino Linotype" w:cs="Palatino Linotype"/>
          <w:b/>
          <w:color w:val="000000" w:themeColor="text1"/>
        </w:rPr>
        <w:t>RECURRENTE</w:t>
      </w:r>
      <w:r w:rsidRPr="009063A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33200" w:rsidRDefault="00333200" w:rsidP="009063A6">
      <w:pPr>
        <w:pStyle w:val="Prrafodelista"/>
        <w:tabs>
          <w:tab w:val="left" w:pos="567"/>
        </w:tabs>
        <w:spacing w:line="360" w:lineRule="auto"/>
        <w:ind w:left="0"/>
        <w:jc w:val="both"/>
        <w:rPr>
          <w:rFonts w:ascii="Palatino Linotype" w:eastAsia="Calibri" w:hAnsi="Palatino Linotype" w:cs="Arial"/>
          <w:color w:val="000000" w:themeColor="text1"/>
          <w:sz w:val="24"/>
        </w:rPr>
      </w:pPr>
    </w:p>
    <w:p w:rsidR="00F30B1D" w:rsidRPr="00444783" w:rsidRDefault="00E26C88" w:rsidP="00F30B1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w:t>
      </w:r>
      <w:r w:rsidR="006F7372" w:rsidRPr="00575AE2">
        <w:rPr>
          <w:rFonts w:ascii="Palatino Linotype" w:eastAsia="Palatino Linotype" w:hAnsi="Palatino Linotype" w:cs="Palatino Linotype"/>
        </w:rPr>
        <w:t xml:space="preserve">EN LA </w:t>
      </w:r>
      <w:r w:rsidR="006F7372">
        <w:rPr>
          <w:rFonts w:ascii="Palatino Linotype" w:eastAsia="Palatino Linotype" w:hAnsi="Palatino Linotype" w:cs="Palatino Linotype"/>
        </w:rPr>
        <w:t xml:space="preserve">CUADRAGÉSIMA </w:t>
      </w:r>
      <w:r w:rsidR="006F7372" w:rsidRPr="00575AE2">
        <w:rPr>
          <w:rFonts w:ascii="Palatino Linotype" w:eastAsia="Palatino Linotype" w:hAnsi="Palatino Linotype" w:cs="Palatino Linotype"/>
        </w:rPr>
        <w:t>SESIÓN ORDINARIA, CELEBRADA EL</w:t>
      </w:r>
      <w:r w:rsidR="006F7372">
        <w:rPr>
          <w:rFonts w:ascii="Palatino Linotype" w:eastAsia="Palatino Linotype" w:hAnsi="Palatino Linotype" w:cs="Palatino Linotype"/>
        </w:rPr>
        <w:t xml:space="preserve"> DOCE (12</w:t>
      </w:r>
      <w:r w:rsidR="006F7372" w:rsidRPr="00575AE2">
        <w:rPr>
          <w:rFonts w:ascii="Palatino Linotype" w:eastAsia="Palatino Linotype" w:hAnsi="Palatino Linotype" w:cs="Palatino Linotype"/>
        </w:rPr>
        <w:t xml:space="preserve">) DE </w:t>
      </w:r>
      <w:r w:rsidR="006F7372">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spacing w:before="240" w:after="360" w:line="360" w:lineRule="auto"/>
        <w:jc w:val="both"/>
        <w:rPr>
          <w:rFonts w:ascii="Palatino Linotype" w:hAnsi="Palatino Linotype"/>
          <w:color w:val="000000" w:themeColor="text1"/>
          <w:lang w:val="es-ES"/>
        </w:rPr>
      </w:pPr>
    </w:p>
    <w:p w:rsidR="00187F75" w:rsidRPr="009063A6" w:rsidRDefault="00187F75" w:rsidP="009063A6">
      <w:pPr>
        <w:rPr>
          <w:rFonts w:ascii="Palatino Linotype" w:hAnsi="Palatino Linotype"/>
          <w:color w:val="000000" w:themeColor="text1"/>
        </w:rPr>
      </w:pPr>
    </w:p>
    <w:p w:rsidR="00187F75" w:rsidRPr="009063A6" w:rsidRDefault="00187F75" w:rsidP="009063A6">
      <w:pPr>
        <w:rPr>
          <w:rFonts w:ascii="Palatino Linotype" w:hAnsi="Palatino Linotype"/>
          <w:color w:val="000000" w:themeColor="text1"/>
        </w:rPr>
      </w:pPr>
    </w:p>
    <w:p w:rsidR="00187F75" w:rsidRPr="009063A6" w:rsidRDefault="00187F75" w:rsidP="009063A6">
      <w:pPr>
        <w:rPr>
          <w:rFonts w:ascii="Palatino Linotype" w:hAnsi="Palatino Linotype"/>
          <w:color w:val="000000" w:themeColor="text1"/>
        </w:rPr>
      </w:pPr>
    </w:p>
    <w:p w:rsidR="00187F75" w:rsidRPr="009063A6" w:rsidRDefault="00187F75" w:rsidP="009063A6">
      <w:pPr>
        <w:rPr>
          <w:rFonts w:ascii="Palatino Linotype" w:hAnsi="Palatino Linotype"/>
          <w:color w:val="000000" w:themeColor="text1"/>
        </w:rPr>
      </w:pPr>
    </w:p>
    <w:p w:rsidR="00187F75" w:rsidRPr="009063A6" w:rsidRDefault="00187F75" w:rsidP="009063A6">
      <w:pPr>
        <w:rPr>
          <w:rFonts w:ascii="Palatino Linotype" w:hAnsi="Palatino Linotype"/>
          <w:color w:val="000000" w:themeColor="text1"/>
        </w:rPr>
      </w:pPr>
    </w:p>
    <w:p w:rsidR="006A6B31" w:rsidRPr="009063A6" w:rsidRDefault="006A6B31" w:rsidP="009063A6">
      <w:pPr>
        <w:rPr>
          <w:rFonts w:ascii="Palatino Linotype" w:hAnsi="Palatino Linotype"/>
          <w:color w:val="000000" w:themeColor="text1"/>
        </w:rPr>
      </w:pPr>
    </w:p>
    <w:sectPr w:rsidR="006A6B31" w:rsidRPr="009063A6" w:rsidSect="00F3336F">
      <w:headerReference w:type="even" r:id="rId14"/>
      <w:headerReference w:type="default" r:id="rId15"/>
      <w:footerReference w:type="default" r:id="rId16"/>
      <w:headerReference w:type="first" r:id="rId17"/>
      <w:footerReference w:type="first" r:id="rId18"/>
      <w:pgSz w:w="12240" w:h="15840"/>
      <w:pgMar w:top="80" w:right="90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EA" w:rsidRDefault="004E4AEA" w:rsidP="00187F75">
      <w:r>
        <w:separator/>
      </w:r>
    </w:p>
  </w:endnote>
  <w:endnote w:type="continuationSeparator" w:id="0">
    <w:p w:rsidR="004E4AEA" w:rsidRDefault="004E4AEA" w:rsidP="0018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9A02F7" w:rsidRDefault="009A02F7">
            <w:pPr>
              <w:pStyle w:val="Piedepgina"/>
              <w:jc w:val="right"/>
            </w:pPr>
          </w:p>
          <w:p w:rsidR="009A02F7" w:rsidRDefault="009A02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17D2">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17D2">
              <w:rPr>
                <w:b/>
                <w:bCs/>
                <w:noProof/>
              </w:rPr>
              <w:t>27</w:t>
            </w:r>
            <w:r>
              <w:rPr>
                <w:b/>
                <w:bCs/>
                <w:sz w:val="24"/>
                <w:szCs w:val="24"/>
              </w:rPr>
              <w:fldChar w:fldCharType="end"/>
            </w:r>
          </w:p>
        </w:sdtContent>
      </w:sdt>
    </w:sdtContent>
  </w:sdt>
  <w:p w:rsidR="009A02F7" w:rsidRDefault="009A02F7">
    <w:pPr>
      <w:pStyle w:val="Piedepgina"/>
    </w:pPr>
  </w:p>
  <w:p w:rsidR="009A02F7" w:rsidRDefault="009A02F7"/>
  <w:p w:rsidR="009A02F7" w:rsidRDefault="009A02F7"/>
  <w:p w:rsidR="009A02F7" w:rsidRDefault="009A0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669634492"/>
      <w:docPartObj>
        <w:docPartGallery w:val="AutoText"/>
      </w:docPartObj>
    </w:sdtPr>
    <w:sdtEndPr/>
    <w:sdtContent>
      <w:sdt>
        <w:sdtPr>
          <w:rPr>
            <w:rFonts w:ascii="Palatino Linotype" w:hAnsi="Palatino Linotype"/>
            <w:sz w:val="22"/>
            <w:szCs w:val="22"/>
          </w:rPr>
          <w:id w:val="-331451729"/>
          <w:docPartObj>
            <w:docPartGallery w:val="AutoText"/>
          </w:docPartObj>
        </w:sdtPr>
        <w:sdtEndPr/>
        <w:sdtContent>
          <w:p w:rsidR="009A02F7" w:rsidRPr="00F3336F" w:rsidRDefault="009A02F7">
            <w:pPr>
              <w:pStyle w:val="Piedepgina"/>
              <w:jc w:val="right"/>
              <w:rPr>
                <w:rFonts w:ascii="Palatino Linotype" w:hAnsi="Palatino Linotype"/>
                <w:sz w:val="22"/>
                <w:szCs w:val="22"/>
              </w:rPr>
            </w:pPr>
            <w:r w:rsidRPr="00F3336F">
              <w:rPr>
                <w:rFonts w:ascii="Palatino Linotype" w:hAnsi="Palatino Linotype"/>
                <w:sz w:val="22"/>
                <w:szCs w:val="22"/>
                <w:lang w:val="es-ES"/>
              </w:rPr>
              <w:t xml:space="preserve">Página </w:t>
            </w:r>
            <w:r w:rsidRPr="00F3336F">
              <w:rPr>
                <w:rFonts w:ascii="Palatino Linotype" w:hAnsi="Palatino Linotype"/>
                <w:b/>
                <w:bCs/>
                <w:sz w:val="22"/>
                <w:szCs w:val="22"/>
              </w:rPr>
              <w:fldChar w:fldCharType="begin"/>
            </w:r>
            <w:r w:rsidRPr="00F3336F">
              <w:rPr>
                <w:rFonts w:ascii="Palatino Linotype" w:hAnsi="Palatino Linotype"/>
                <w:b/>
                <w:bCs/>
                <w:sz w:val="22"/>
                <w:szCs w:val="22"/>
              </w:rPr>
              <w:instrText>PAGE</w:instrText>
            </w:r>
            <w:r w:rsidRPr="00F3336F">
              <w:rPr>
                <w:rFonts w:ascii="Palatino Linotype" w:hAnsi="Palatino Linotype"/>
                <w:b/>
                <w:bCs/>
                <w:sz w:val="22"/>
                <w:szCs w:val="22"/>
              </w:rPr>
              <w:fldChar w:fldCharType="separate"/>
            </w:r>
            <w:r w:rsidR="00CF17D2">
              <w:rPr>
                <w:rFonts w:ascii="Palatino Linotype" w:hAnsi="Palatino Linotype"/>
                <w:b/>
                <w:bCs/>
                <w:noProof/>
                <w:sz w:val="22"/>
                <w:szCs w:val="22"/>
              </w:rPr>
              <w:t>1</w:t>
            </w:r>
            <w:r w:rsidRPr="00F3336F">
              <w:rPr>
                <w:rFonts w:ascii="Palatino Linotype" w:hAnsi="Palatino Linotype"/>
                <w:b/>
                <w:bCs/>
                <w:sz w:val="22"/>
                <w:szCs w:val="22"/>
              </w:rPr>
              <w:fldChar w:fldCharType="end"/>
            </w:r>
            <w:r w:rsidRPr="00F3336F">
              <w:rPr>
                <w:rFonts w:ascii="Palatino Linotype" w:hAnsi="Palatino Linotype"/>
                <w:sz w:val="22"/>
                <w:szCs w:val="22"/>
                <w:lang w:val="es-ES"/>
              </w:rPr>
              <w:t xml:space="preserve"> de </w:t>
            </w:r>
            <w:r w:rsidRPr="00F3336F">
              <w:rPr>
                <w:rFonts w:ascii="Palatino Linotype" w:hAnsi="Palatino Linotype"/>
                <w:b/>
                <w:bCs/>
                <w:sz w:val="22"/>
                <w:szCs w:val="22"/>
              </w:rPr>
              <w:fldChar w:fldCharType="begin"/>
            </w:r>
            <w:r w:rsidRPr="00F3336F">
              <w:rPr>
                <w:rFonts w:ascii="Palatino Linotype" w:hAnsi="Palatino Linotype"/>
                <w:b/>
                <w:bCs/>
                <w:sz w:val="22"/>
                <w:szCs w:val="22"/>
              </w:rPr>
              <w:instrText>NUMPAGES</w:instrText>
            </w:r>
            <w:r w:rsidRPr="00F3336F">
              <w:rPr>
                <w:rFonts w:ascii="Palatino Linotype" w:hAnsi="Palatino Linotype"/>
                <w:b/>
                <w:bCs/>
                <w:sz w:val="22"/>
                <w:szCs w:val="22"/>
              </w:rPr>
              <w:fldChar w:fldCharType="separate"/>
            </w:r>
            <w:r w:rsidR="00CF17D2">
              <w:rPr>
                <w:rFonts w:ascii="Palatino Linotype" w:hAnsi="Palatino Linotype"/>
                <w:b/>
                <w:bCs/>
                <w:noProof/>
                <w:sz w:val="22"/>
                <w:szCs w:val="22"/>
              </w:rPr>
              <w:t>27</w:t>
            </w:r>
            <w:r w:rsidRPr="00F3336F">
              <w:rPr>
                <w:rFonts w:ascii="Palatino Linotype" w:hAnsi="Palatino Linotype"/>
                <w:b/>
                <w:bCs/>
                <w:sz w:val="22"/>
                <w:szCs w:val="22"/>
              </w:rPr>
              <w:fldChar w:fldCharType="end"/>
            </w:r>
          </w:p>
        </w:sdtContent>
      </w:sdt>
    </w:sdtContent>
  </w:sdt>
  <w:p w:rsidR="009A02F7" w:rsidRDefault="009A02F7" w:rsidP="00187F75">
    <w:pPr>
      <w:pStyle w:val="Piedepgina"/>
      <w:tabs>
        <w:tab w:val="clear" w:pos="4419"/>
        <w:tab w:val="clear" w:pos="8838"/>
        <w:tab w:val="left" w:pos="6598"/>
      </w:tabs>
    </w:pPr>
    <w:r>
      <w:tab/>
    </w:r>
  </w:p>
  <w:p w:rsidR="009A02F7" w:rsidRDefault="009A02F7"/>
  <w:p w:rsidR="009A02F7" w:rsidRDefault="009A02F7"/>
  <w:p w:rsidR="009A02F7" w:rsidRDefault="009A0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EA" w:rsidRDefault="004E4AEA" w:rsidP="00187F75">
      <w:r>
        <w:separator/>
      </w:r>
    </w:p>
  </w:footnote>
  <w:footnote w:type="continuationSeparator" w:id="0">
    <w:p w:rsidR="004E4AEA" w:rsidRDefault="004E4AEA" w:rsidP="00187F75">
      <w:r>
        <w:continuationSeparator/>
      </w:r>
    </w:p>
  </w:footnote>
  <w:footnote w:id="1">
    <w:p w:rsidR="009A02F7" w:rsidRDefault="009A02F7" w:rsidP="006F4953">
      <w:pPr>
        <w:pStyle w:val="Textonotapie"/>
      </w:pPr>
      <w:r>
        <w:rPr>
          <w:rStyle w:val="Refdenotaalpie"/>
        </w:rPr>
        <w:footnoteRef/>
      </w:r>
      <w:r>
        <w:t xml:space="preserve"> Artículo 150. Ley de Transparencia y Acceso a la Información Pública del Estado de México y Municipios.</w:t>
      </w:r>
    </w:p>
    <w:p w:rsidR="009A02F7" w:rsidRDefault="009A02F7" w:rsidP="006F4953">
      <w:pPr>
        <w:pStyle w:val="Textonotapie"/>
      </w:pPr>
      <w:r>
        <w:t>Artículo 151. Ibídem.</w:t>
      </w:r>
    </w:p>
  </w:footnote>
  <w:footnote w:id="2">
    <w:p w:rsidR="009A02F7" w:rsidRDefault="009A02F7" w:rsidP="006F4953">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2F7" w:rsidRDefault="004E4A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rsidR="009A02F7" w:rsidRDefault="009A02F7"/>
  <w:p w:rsidR="009A02F7" w:rsidRDefault="009A02F7"/>
  <w:p w:rsidR="009A02F7" w:rsidRDefault="009A02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1843"/>
      <w:gridCol w:w="8222"/>
    </w:tblGrid>
    <w:tr w:rsidR="009A02F7" w:rsidTr="009063A6">
      <w:trPr>
        <w:trHeight w:val="1435"/>
      </w:trPr>
      <w:tc>
        <w:tcPr>
          <w:tcW w:w="1843" w:type="dxa"/>
          <w:shd w:val="clear" w:color="auto" w:fill="auto"/>
        </w:tcPr>
        <w:p w:rsidR="009A02F7" w:rsidRDefault="009A02F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222" w:type="dxa"/>
          <w:shd w:val="clear" w:color="auto" w:fill="auto"/>
        </w:tcPr>
        <w:p w:rsidR="009A02F7" w:rsidRDefault="009A02F7"/>
        <w:tbl>
          <w:tblPr>
            <w:tblStyle w:val="Tablaconcuadrcula"/>
            <w:tblW w:w="6661"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3969"/>
          </w:tblGrid>
          <w:tr w:rsidR="009A02F7" w:rsidTr="009063A6">
            <w:trPr>
              <w:trHeight w:val="338"/>
            </w:trPr>
            <w:tc>
              <w:tcPr>
                <w:tcW w:w="2692" w:type="dxa"/>
              </w:tcPr>
              <w:p w:rsidR="009A02F7" w:rsidRPr="009063A6" w:rsidRDefault="009A02F7" w:rsidP="009063A6">
                <w:pPr>
                  <w:tabs>
                    <w:tab w:val="right" w:pos="8838"/>
                  </w:tabs>
                  <w:ind w:right="-105"/>
                  <w:rPr>
                    <w:rFonts w:ascii="Palatino Linotype" w:eastAsia="Calibri" w:hAnsi="Palatino Linotype" w:cs="Tahoma"/>
                    <w:b/>
                    <w:color w:val="000000" w:themeColor="text1"/>
                    <w:lang w:eastAsia="en-US"/>
                  </w:rPr>
                </w:pPr>
                <w:r w:rsidRPr="009063A6">
                  <w:rPr>
                    <w:rFonts w:ascii="Palatino Linotype" w:eastAsia="Calibri" w:hAnsi="Palatino Linotype" w:cs="Tahoma"/>
                    <w:b/>
                    <w:color w:val="000000" w:themeColor="text1"/>
                    <w:lang w:eastAsia="en-US"/>
                  </w:rPr>
                  <w:t>Recurso de Revisión:</w:t>
                </w:r>
              </w:p>
            </w:tc>
            <w:tc>
              <w:tcPr>
                <w:tcW w:w="3969" w:type="dxa"/>
              </w:tcPr>
              <w:p w:rsidR="009A02F7" w:rsidRPr="009063A6" w:rsidRDefault="009A02F7" w:rsidP="009063A6">
                <w:pPr>
                  <w:tabs>
                    <w:tab w:val="right" w:pos="8838"/>
                  </w:tabs>
                  <w:ind w:right="-105" w:hanging="101"/>
                  <w:jc w:val="both"/>
                  <w:rPr>
                    <w:rFonts w:ascii="Palatino Linotype" w:eastAsia="Calibri" w:hAnsi="Palatino Linotype" w:cs="Tahoma"/>
                    <w:bCs/>
                    <w:color w:val="000000" w:themeColor="text1"/>
                    <w:lang w:eastAsia="en-US"/>
                  </w:rPr>
                </w:pPr>
                <w:r w:rsidRPr="009063A6">
                  <w:rPr>
                    <w:rFonts w:ascii="Palatino Linotype" w:eastAsia="Calibri" w:hAnsi="Palatino Linotype" w:cs="Tahoma"/>
                    <w:color w:val="000000" w:themeColor="text1"/>
                    <w:lang w:eastAsia="en-US"/>
                  </w:rPr>
                  <w:t>06238/INFOEM/IP/RR/2025</w:t>
                </w:r>
              </w:p>
            </w:tc>
          </w:tr>
          <w:tr w:rsidR="009A02F7" w:rsidTr="009063A6">
            <w:trPr>
              <w:trHeight w:val="283"/>
            </w:trPr>
            <w:tc>
              <w:tcPr>
                <w:tcW w:w="2692" w:type="dxa"/>
              </w:tcPr>
              <w:p w:rsidR="009A02F7" w:rsidRPr="009063A6" w:rsidRDefault="009A02F7" w:rsidP="009063A6">
                <w:pPr>
                  <w:tabs>
                    <w:tab w:val="right" w:pos="8838"/>
                  </w:tabs>
                  <w:ind w:right="-105"/>
                  <w:rPr>
                    <w:rFonts w:ascii="Palatino Linotype" w:eastAsia="Calibri" w:hAnsi="Palatino Linotype" w:cs="Tahoma"/>
                    <w:b/>
                    <w:color w:val="000000" w:themeColor="text1"/>
                    <w:lang w:eastAsia="en-US"/>
                  </w:rPr>
                </w:pPr>
                <w:bookmarkStart w:id="9" w:name="_Hlk33010189"/>
                <w:r w:rsidRPr="009063A6">
                  <w:rPr>
                    <w:rFonts w:ascii="Palatino Linotype" w:eastAsia="Calibri" w:hAnsi="Palatino Linotype" w:cs="Tahoma"/>
                    <w:b/>
                    <w:color w:val="000000" w:themeColor="text1"/>
                    <w:lang w:eastAsia="en-US"/>
                  </w:rPr>
                  <w:t>Sujeto Obligado:</w:t>
                </w:r>
              </w:p>
            </w:tc>
            <w:tc>
              <w:tcPr>
                <w:tcW w:w="3969" w:type="dxa"/>
              </w:tcPr>
              <w:p w:rsidR="009A02F7" w:rsidRPr="009063A6" w:rsidRDefault="009A02F7" w:rsidP="009063A6">
                <w:pPr>
                  <w:tabs>
                    <w:tab w:val="left" w:pos="2834"/>
                    <w:tab w:val="right" w:pos="8838"/>
                  </w:tabs>
                  <w:ind w:left="-113" w:right="-107"/>
                  <w:jc w:val="both"/>
                  <w:rPr>
                    <w:rFonts w:ascii="Palatino Linotype" w:eastAsia="Calibri" w:hAnsi="Palatino Linotype" w:cs="Tahoma"/>
                    <w:color w:val="000000" w:themeColor="text1"/>
                    <w:lang w:eastAsia="en-US"/>
                  </w:rPr>
                </w:pPr>
                <w:r w:rsidRPr="009063A6">
                  <w:rPr>
                    <w:rFonts w:ascii="Palatino Linotype" w:eastAsia="Calibri" w:hAnsi="Palatino Linotype" w:cs="Arial"/>
                    <w:bCs/>
                    <w:color w:val="000000" w:themeColor="text1"/>
                    <w:lang w:val="es-MX"/>
                  </w:rPr>
                  <w:t>Poder Legislativo</w:t>
                </w:r>
              </w:p>
            </w:tc>
          </w:tr>
          <w:bookmarkEnd w:id="9"/>
          <w:tr w:rsidR="009A02F7" w:rsidTr="009063A6">
            <w:trPr>
              <w:trHeight w:val="283"/>
            </w:trPr>
            <w:tc>
              <w:tcPr>
                <w:tcW w:w="2692" w:type="dxa"/>
              </w:tcPr>
              <w:p w:rsidR="009A02F7" w:rsidRPr="009063A6" w:rsidRDefault="009A02F7" w:rsidP="009063A6">
                <w:pPr>
                  <w:tabs>
                    <w:tab w:val="right" w:pos="8838"/>
                  </w:tabs>
                  <w:ind w:right="-105"/>
                  <w:rPr>
                    <w:rFonts w:ascii="Palatino Linotype" w:eastAsia="Calibri" w:hAnsi="Palatino Linotype" w:cs="Tahoma"/>
                    <w:b/>
                    <w:color w:val="000000" w:themeColor="text1"/>
                    <w:lang w:eastAsia="en-US"/>
                  </w:rPr>
                </w:pPr>
                <w:r w:rsidRPr="009063A6">
                  <w:rPr>
                    <w:rFonts w:ascii="Palatino Linotype" w:eastAsia="Calibri" w:hAnsi="Palatino Linotype" w:cs="Tahoma"/>
                    <w:b/>
                    <w:color w:val="000000" w:themeColor="text1"/>
                    <w:lang w:eastAsia="en-US"/>
                  </w:rPr>
                  <w:t>Comisionada Ponente:</w:t>
                </w:r>
              </w:p>
            </w:tc>
            <w:tc>
              <w:tcPr>
                <w:tcW w:w="3969" w:type="dxa"/>
              </w:tcPr>
              <w:p w:rsidR="009A02F7" w:rsidRPr="009063A6" w:rsidRDefault="009A02F7" w:rsidP="009063A6">
                <w:pPr>
                  <w:tabs>
                    <w:tab w:val="right" w:pos="8838"/>
                  </w:tabs>
                  <w:ind w:left="-113" w:right="-105"/>
                  <w:jc w:val="both"/>
                  <w:rPr>
                    <w:rFonts w:ascii="Palatino Linotype" w:eastAsia="Calibri" w:hAnsi="Palatino Linotype" w:cs="Tahoma"/>
                    <w:b/>
                    <w:color w:val="000000" w:themeColor="text1"/>
                    <w:lang w:eastAsia="en-US"/>
                  </w:rPr>
                </w:pPr>
                <w:r w:rsidRPr="009063A6">
                  <w:rPr>
                    <w:rFonts w:ascii="Palatino Linotype" w:eastAsia="Calibri" w:hAnsi="Palatino Linotype" w:cs="Tahoma"/>
                    <w:color w:val="000000" w:themeColor="text1"/>
                    <w:lang w:eastAsia="en-US"/>
                  </w:rPr>
                  <w:t>María del Rosario Mejía Ayala</w:t>
                </w:r>
              </w:p>
            </w:tc>
          </w:tr>
        </w:tbl>
        <w:p w:rsidR="009A02F7" w:rsidRDefault="009A02F7">
          <w:pPr>
            <w:tabs>
              <w:tab w:val="right" w:pos="8838"/>
            </w:tabs>
            <w:ind w:left="-28"/>
            <w:jc w:val="both"/>
            <w:rPr>
              <w:rFonts w:ascii="Arial" w:eastAsia="Calibri" w:hAnsi="Arial" w:cs="Arial"/>
              <w:b/>
              <w:sz w:val="22"/>
              <w:szCs w:val="22"/>
              <w:lang w:eastAsia="en-US"/>
            </w:rPr>
          </w:pPr>
        </w:p>
      </w:tc>
    </w:tr>
  </w:tbl>
  <w:p w:rsidR="009A02F7" w:rsidRDefault="004E4AEA" w:rsidP="00891595">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79.15pt;margin-top:-163.6pt;width:663.5pt;height:12in;z-index:-251658752;mso-position-horizontal-relative:margin;mso-position-vertical-relative:margin" o:allowincell="f">
          <v:imagedata r:id="rId1" o:title="marcaaguaINFOEM"/>
          <w10:wrap anchorx="margin" anchory="margin"/>
        </v:shape>
      </w:pict>
    </w:r>
  </w:p>
  <w:p w:rsidR="009A02F7" w:rsidRDefault="009A02F7"/>
  <w:p w:rsidR="009A02F7" w:rsidRDefault="009A02F7"/>
  <w:p w:rsidR="009A02F7" w:rsidRDefault="009A02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9A02F7" w:rsidTr="009063A6">
      <w:trPr>
        <w:trHeight w:val="1435"/>
      </w:trPr>
      <w:tc>
        <w:tcPr>
          <w:tcW w:w="1560" w:type="dxa"/>
          <w:shd w:val="clear" w:color="auto" w:fill="auto"/>
        </w:tcPr>
        <w:p w:rsidR="009A02F7" w:rsidRDefault="009A02F7">
          <w:pPr>
            <w:tabs>
              <w:tab w:val="right" w:pos="4273"/>
            </w:tabs>
            <w:rPr>
              <w:rFonts w:ascii="Garamond" w:eastAsia="Calibri" w:hAnsi="Garamond"/>
              <w:sz w:val="22"/>
              <w:szCs w:val="22"/>
              <w:lang w:eastAsia="en-US"/>
            </w:rPr>
          </w:pPr>
        </w:p>
      </w:tc>
      <w:tc>
        <w:tcPr>
          <w:tcW w:w="8646" w:type="dxa"/>
          <w:shd w:val="clear" w:color="auto" w:fill="auto"/>
        </w:tcPr>
        <w:tbl>
          <w:tblPr>
            <w:tblStyle w:val="Tablaconcuadrcula"/>
            <w:tblW w:w="10203"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4111"/>
            <w:gridCol w:w="3402"/>
          </w:tblGrid>
          <w:tr w:rsidR="009A02F7" w:rsidTr="00F3336F">
            <w:trPr>
              <w:trHeight w:val="144"/>
            </w:trPr>
            <w:tc>
              <w:tcPr>
                <w:tcW w:w="2690" w:type="dxa"/>
              </w:tcPr>
              <w:p w:rsidR="009A02F7" w:rsidRPr="009063A6" w:rsidRDefault="009A02F7" w:rsidP="009063A6">
                <w:pPr>
                  <w:tabs>
                    <w:tab w:val="right" w:pos="8838"/>
                  </w:tabs>
                  <w:ind w:left="-74" w:right="-105"/>
                  <w:rPr>
                    <w:rFonts w:ascii="Palatino Linotype" w:eastAsia="Calibri" w:hAnsi="Palatino Linotype" w:cs="Tahoma"/>
                    <w:b/>
                    <w:color w:val="000000" w:themeColor="text1"/>
                    <w:lang w:eastAsia="en-US"/>
                  </w:rPr>
                </w:pPr>
                <w:bookmarkStart w:id="10" w:name="_Hlk12526980"/>
                <w:r w:rsidRPr="009063A6">
                  <w:rPr>
                    <w:rFonts w:ascii="Palatino Linotype" w:eastAsia="Calibri" w:hAnsi="Palatino Linotype" w:cs="Tahoma"/>
                    <w:b/>
                    <w:color w:val="000000" w:themeColor="text1"/>
                    <w:lang w:eastAsia="en-US"/>
                  </w:rPr>
                  <w:t>Recurso de Revisión:</w:t>
                </w:r>
              </w:p>
            </w:tc>
            <w:tc>
              <w:tcPr>
                <w:tcW w:w="4111" w:type="dxa"/>
              </w:tcPr>
              <w:p w:rsidR="009A02F7" w:rsidRPr="009063A6" w:rsidRDefault="009A02F7" w:rsidP="009063A6">
                <w:pPr>
                  <w:tabs>
                    <w:tab w:val="right" w:pos="8838"/>
                  </w:tabs>
                  <w:ind w:left="-108" w:right="-105"/>
                  <w:jc w:val="both"/>
                  <w:rPr>
                    <w:rFonts w:ascii="Palatino Linotype" w:eastAsia="Calibri" w:hAnsi="Palatino Linotype" w:cs="Tahoma"/>
                    <w:color w:val="000000" w:themeColor="text1"/>
                    <w:lang w:eastAsia="en-US"/>
                  </w:rPr>
                </w:pPr>
                <w:r w:rsidRPr="009063A6">
                  <w:rPr>
                    <w:rFonts w:ascii="Palatino Linotype" w:eastAsia="Calibri" w:hAnsi="Palatino Linotype" w:cs="Tahoma"/>
                    <w:color w:val="000000" w:themeColor="text1"/>
                    <w:lang w:eastAsia="en-US"/>
                  </w:rPr>
                  <w:t xml:space="preserve">06238/INFOEM/IP/RR/2025 </w:t>
                </w:r>
              </w:p>
            </w:tc>
            <w:tc>
              <w:tcPr>
                <w:tcW w:w="3402" w:type="dxa"/>
              </w:tcPr>
              <w:p w:rsidR="009A02F7" w:rsidRDefault="009A02F7">
                <w:pPr>
                  <w:tabs>
                    <w:tab w:val="right" w:pos="8838"/>
                  </w:tabs>
                  <w:ind w:left="-74" w:right="-105"/>
                  <w:jc w:val="both"/>
                  <w:rPr>
                    <w:rFonts w:ascii="Palatino Linotype" w:eastAsia="Calibri" w:hAnsi="Palatino Linotype" w:cs="Tahoma"/>
                    <w:bCs/>
                    <w:sz w:val="22"/>
                    <w:szCs w:val="22"/>
                    <w:lang w:eastAsia="en-US"/>
                  </w:rPr>
                </w:pPr>
              </w:p>
            </w:tc>
          </w:tr>
          <w:tr w:rsidR="009A02F7" w:rsidTr="00F3336F">
            <w:trPr>
              <w:trHeight w:val="144"/>
            </w:trPr>
            <w:tc>
              <w:tcPr>
                <w:tcW w:w="2690" w:type="dxa"/>
              </w:tcPr>
              <w:p w:rsidR="009A02F7" w:rsidRPr="009063A6" w:rsidRDefault="009A02F7" w:rsidP="009063A6">
                <w:pPr>
                  <w:tabs>
                    <w:tab w:val="right" w:pos="8838"/>
                  </w:tabs>
                  <w:ind w:left="-74" w:right="-105"/>
                  <w:rPr>
                    <w:rFonts w:ascii="Palatino Linotype" w:eastAsia="Calibri" w:hAnsi="Palatino Linotype" w:cs="Tahoma"/>
                    <w:b/>
                    <w:color w:val="000000" w:themeColor="text1"/>
                    <w:lang w:eastAsia="en-US"/>
                  </w:rPr>
                </w:pPr>
                <w:bookmarkStart w:id="11" w:name="_Hlk10641523"/>
                <w:bookmarkEnd w:id="10"/>
                <w:r w:rsidRPr="009063A6">
                  <w:rPr>
                    <w:rFonts w:ascii="Palatino Linotype" w:eastAsia="Calibri" w:hAnsi="Palatino Linotype" w:cs="Tahoma"/>
                    <w:b/>
                    <w:color w:val="000000" w:themeColor="text1"/>
                    <w:lang w:eastAsia="en-US"/>
                  </w:rPr>
                  <w:t>Recurrente:</w:t>
                </w:r>
              </w:p>
            </w:tc>
            <w:tc>
              <w:tcPr>
                <w:tcW w:w="4111" w:type="dxa"/>
              </w:tcPr>
              <w:p w:rsidR="009A02F7" w:rsidRPr="009063A6" w:rsidRDefault="009A02F7" w:rsidP="009063A6">
                <w:pPr>
                  <w:tabs>
                    <w:tab w:val="left" w:pos="3122"/>
                    <w:tab w:val="right" w:pos="8838"/>
                  </w:tabs>
                  <w:ind w:left="-108" w:right="178"/>
                  <w:jc w:val="both"/>
                  <w:rPr>
                    <w:rFonts w:ascii="Palatino Linotype" w:eastAsia="Calibri" w:hAnsi="Palatino Linotype" w:cs="Tahoma"/>
                    <w:color w:val="000000" w:themeColor="text1"/>
                    <w:lang w:eastAsia="en-US"/>
                  </w:rPr>
                </w:pPr>
              </w:p>
            </w:tc>
            <w:tc>
              <w:tcPr>
                <w:tcW w:w="3402" w:type="dxa"/>
              </w:tcPr>
              <w:p w:rsidR="009A02F7" w:rsidRDefault="009A02F7" w:rsidP="00891595">
                <w:pPr>
                  <w:tabs>
                    <w:tab w:val="left" w:pos="3122"/>
                    <w:tab w:val="right" w:pos="8838"/>
                  </w:tabs>
                  <w:ind w:right="-105"/>
                  <w:jc w:val="both"/>
                  <w:rPr>
                    <w:rFonts w:ascii="Palatino Linotype" w:eastAsia="Calibri" w:hAnsi="Palatino Linotype" w:cs="Tahoma"/>
                    <w:sz w:val="22"/>
                    <w:szCs w:val="22"/>
                    <w:lang w:eastAsia="en-US"/>
                  </w:rPr>
                </w:pPr>
              </w:p>
            </w:tc>
          </w:tr>
          <w:bookmarkEnd w:id="11"/>
          <w:tr w:rsidR="009A02F7" w:rsidTr="00F3336F">
            <w:trPr>
              <w:trHeight w:val="283"/>
            </w:trPr>
            <w:tc>
              <w:tcPr>
                <w:tcW w:w="2690" w:type="dxa"/>
              </w:tcPr>
              <w:p w:rsidR="009A02F7" w:rsidRPr="009063A6" w:rsidRDefault="009A02F7" w:rsidP="009063A6">
                <w:pPr>
                  <w:tabs>
                    <w:tab w:val="right" w:pos="8838"/>
                  </w:tabs>
                  <w:ind w:left="-74" w:right="-105"/>
                  <w:rPr>
                    <w:rFonts w:ascii="Palatino Linotype" w:eastAsia="Calibri" w:hAnsi="Palatino Linotype" w:cs="Tahoma"/>
                    <w:b/>
                    <w:color w:val="000000" w:themeColor="text1"/>
                    <w:lang w:eastAsia="en-US"/>
                  </w:rPr>
                </w:pPr>
                <w:r w:rsidRPr="009063A6">
                  <w:rPr>
                    <w:rFonts w:ascii="Palatino Linotype" w:eastAsia="Calibri" w:hAnsi="Palatino Linotype" w:cs="Tahoma"/>
                    <w:b/>
                    <w:color w:val="000000" w:themeColor="text1"/>
                    <w:lang w:eastAsia="en-US"/>
                  </w:rPr>
                  <w:t>Sujeto Obligado:</w:t>
                </w:r>
              </w:p>
            </w:tc>
            <w:tc>
              <w:tcPr>
                <w:tcW w:w="4111" w:type="dxa"/>
              </w:tcPr>
              <w:p w:rsidR="009A02F7" w:rsidRPr="009063A6" w:rsidRDefault="009A02F7" w:rsidP="009063A6">
                <w:pPr>
                  <w:tabs>
                    <w:tab w:val="left" w:pos="2834"/>
                    <w:tab w:val="right" w:pos="8838"/>
                  </w:tabs>
                  <w:ind w:left="-108" w:right="-105"/>
                  <w:jc w:val="both"/>
                  <w:rPr>
                    <w:rFonts w:ascii="Palatino Linotype" w:eastAsia="Calibri" w:hAnsi="Palatino Linotype" w:cs="Arial"/>
                    <w:bCs/>
                    <w:color w:val="000000" w:themeColor="text1"/>
                    <w:lang w:val="es-MX"/>
                  </w:rPr>
                </w:pPr>
                <w:r w:rsidRPr="009063A6">
                  <w:rPr>
                    <w:rFonts w:ascii="Palatino Linotype" w:eastAsia="Calibri" w:hAnsi="Palatino Linotype" w:cs="Arial"/>
                    <w:bCs/>
                    <w:color w:val="000000" w:themeColor="text1"/>
                    <w:lang w:val="es-MX"/>
                  </w:rPr>
                  <w:t xml:space="preserve">Poder Legislativo </w:t>
                </w:r>
              </w:p>
            </w:tc>
            <w:tc>
              <w:tcPr>
                <w:tcW w:w="3402" w:type="dxa"/>
              </w:tcPr>
              <w:p w:rsidR="009A02F7" w:rsidRDefault="009A02F7">
                <w:pPr>
                  <w:tabs>
                    <w:tab w:val="left" w:pos="2834"/>
                    <w:tab w:val="right" w:pos="8838"/>
                  </w:tabs>
                  <w:ind w:left="-74" w:right="-105"/>
                  <w:jc w:val="both"/>
                  <w:rPr>
                    <w:rFonts w:ascii="Palatino Linotype" w:eastAsia="Calibri" w:hAnsi="Palatino Linotype" w:cs="Tahoma"/>
                    <w:sz w:val="22"/>
                    <w:szCs w:val="22"/>
                    <w:lang w:eastAsia="en-US"/>
                  </w:rPr>
                </w:pPr>
              </w:p>
            </w:tc>
          </w:tr>
          <w:tr w:rsidR="009A02F7" w:rsidTr="00F3336F">
            <w:trPr>
              <w:trHeight w:val="283"/>
            </w:trPr>
            <w:tc>
              <w:tcPr>
                <w:tcW w:w="2690" w:type="dxa"/>
              </w:tcPr>
              <w:p w:rsidR="009A02F7" w:rsidRPr="009063A6" w:rsidRDefault="009A02F7" w:rsidP="009063A6">
                <w:pPr>
                  <w:tabs>
                    <w:tab w:val="right" w:pos="8838"/>
                  </w:tabs>
                  <w:ind w:left="-74" w:right="-105"/>
                  <w:rPr>
                    <w:rFonts w:ascii="Palatino Linotype" w:eastAsia="Calibri" w:hAnsi="Palatino Linotype" w:cs="Tahoma"/>
                    <w:b/>
                    <w:color w:val="000000" w:themeColor="text1"/>
                    <w:lang w:eastAsia="en-US"/>
                  </w:rPr>
                </w:pPr>
                <w:r w:rsidRPr="009063A6">
                  <w:rPr>
                    <w:rFonts w:ascii="Palatino Linotype" w:eastAsia="Calibri" w:hAnsi="Palatino Linotype" w:cs="Tahoma"/>
                    <w:b/>
                    <w:color w:val="000000" w:themeColor="text1"/>
                    <w:lang w:eastAsia="en-US"/>
                  </w:rPr>
                  <w:t>Comisionada Ponente:</w:t>
                </w:r>
              </w:p>
            </w:tc>
            <w:tc>
              <w:tcPr>
                <w:tcW w:w="4111" w:type="dxa"/>
              </w:tcPr>
              <w:p w:rsidR="009A02F7" w:rsidRPr="009063A6" w:rsidRDefault="009A02F7" w:rsidP="009063A6">
                <w:pPr>
                  <w:tabs>
                    <w:tab w:val="right" w:pos="8838"/>
                  </w:tabs>
                  <w:ind w:left="-108" w:right="-105"/>
                  <w:jc w:val="both"/>
                  <w:rPr>
                    <w:rFonts w:ascii="Palatino Linotype" w:eastAsia="Calibri" w:hAnsi="Palatino Linotype" w:cs="Tahoma"/>
                    <w:color w:val="000000" w:themeColor="text1"/>
                    <w:lang w:eastAsia="en-US"/>
                  </w:rPr>
                </w:pPr>
                <w:r w:rsidRPr="009063A6">
                  <w:rPr>
                    <w:rFonts w:ascii="Palatino Linotype" w:eastAsia="Calibri" w:hAnsi="Palatino Linotype" w:cs="Tahoma"/>
                    <w:color w:val="000000" w:themeColor="text1"/>
                    <w:lang w:eastAsia="en-US"/>
                  </w:rPr>
                  <w:t>María del Rosario Mejía Ayala</w:t>
                </w:r>
              </w:p>
            </w:tc>
            <w:tc>
              <w:tcPr>
                <w:tcW w:w="3402" w:type="dxa"/>
              </w:tcPr>
              <w:p w:rsidR="009A02F7" w:rsidRDefault="009A02F7">
                <w:pPr>
                  <w:tabs>
                    <w:tab w:val="right" w:pos="8838"/>
                  </w:tabs>
                  <w:ind w:left="-74" w:right="-105"/>
                  <w:jc w:val="both"/>
                  <w:rPr>
                    <w:rFonts w:ascii="Palatino Linotype" w:eastAsia="Calibri" w:hAnsi="Palatino Linotype" w:cs="Tahoma"/>
                    <w:sz w:val="22"/>
                    <w:szCs w:val="22"/>
                    <w:lang w:eastAsia="en-US"/>
                  </w:rPr>
                </w:pPr>
              </w:p>
            </w:tc>
          </w:tr>
        </w:tbl>
        <w:p w:rsidR="009A02F7" w:rsidRDefault="009A02F7">
          <w:pPr>
            <w:tabs>
              <w:tab w:val="right" w:pos="8838"/>
            </w:tabs>
            <w:ind w:left="-28"/>
            <w:jc w:val="both"/>
            <w:rPr>
              <w:rFonts w:ascii="Arial" w:eastAsia="Calibri" w:hAnsi="Arial" w:cs="Arial"/>
              <w:b/>
              <w:sz w:val="22"/>
              <w:szCs w:val="22"/>
              <w:lang w:eastAsia="en-US"/>
            </w:rPr>
          </w:pPr>
        </w:p>
      </w:tc>
    </w:tr>
  </w:tbl>
  <w:p w:rsidR="009A02F7" w:rsidRDefault="004E4AEA" w:rsidP="00891595">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6.5pt;margin-top:-143.1pt;width:663.5pt;height:12in;z-index:-251657728;mso-position-horizontal-relative:margin;mso-position-vertical-relative:margin" o:allowincell="f">
          <v:imagedata r:id="rId1" o:title="marcaaguaINFOEM"/>
          <w10:wrap anchorx="margin" anchory="margin"/>
        </v:shape>
      </w:pict>
    </w:r>
  </w:p>
  <w:p w:rsidR="009A02F7" w:rsidRDefault="009A02F7"/>
  <w:p w:rsidR="009A02F7" w:rsidRDefault="009A02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667D"/>
    <w:multiLevelType w:val="hybridMultilevel"/>
    <w:tmpl w:val="F2C640C4"/>
    <w:lvl w:ilvl="0" w:tplc="87E4B51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08129A"/>
    <w:multiLevelType w:val="hybridMultilevel"/>
    <w:tmpl w:val="C78CE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CE06DF"/>
    <w:multiLevelType w:val="multilevel"/>
    <w:tmpl w:val="8D5EE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D08F2"/>
    <w:multiLevelType w:val="multilevel"/>
    <w:tmpl w:val="C49C266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75"/>
    <w:rsid w:val="000262B8"/>
    <w:rsid w:val="00187F75"/>
    <w:rsid w:val="0027204F"/>
    <w:rsid w:val="002943A2"/>
    <w:rsid w:val="002B06DD"/>
    <w:rsid w:val="00333200"/>
    <w:rsid w:val="004C15C8"/>
    <w:rsid w:val="004E4AEA"/>
    <w:rsid w:val="004F3257"/>
    <w:rsid w:val="00667C3F"/>
    <w:rsid w:val="006A6B31"/>
    <w:rsid w:val="006B08DE"/>
    <w:rsid w:val="006B2D52"/>
    <w:rsid w:val="006F4953"/>
    <w:rsid w:val="006F7372"/>
    <w:rsid w:val="00711E5A"/>
    <w:rsid w:val="007620D5"/>
    <w:rsid w:val="00830F1A"/>
    <w:rsid w:val="00891595"/>
    <w:rsid w:val="009063A6"/>
    <w:rsid w:val="00947C88"/>
    <w:rsid w:val="009A02F7"/>
    <w:rsid w:val="00A0389B"/>
    <w:rsid w:val="00B36696"/>
    <w:rsid w:val="00B4478B"/>
    <w:rsid w:val="00CE0868"/>
    <w:rsid w:val="00CF17D2"/>
    <w:rsid w:val="00D538BA"/>
    <w:rsid w:val="00D7068F"/>
    <w:rsid w:val="00D90CD7"/>
    <w:rsid w:val="00E26C88"/>
    <w:rsid w:val="00E90A6C"/>
    <w:rsid w:val="00ED3641"/>
    <w:rsid w:val="00F30B1D"/>
    <w:rsid w:val="00F3336F"/>
    <w:rsid w:val="00F87D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00036D-ADA4-4C92-B3F2-158E5E50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F7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87F75"/>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187F75"/>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F75"/>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87F75"/>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7F7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87F75"/>
    <w:rPr>
      <w:rFonts w:ascii="Calibri" w:eastAsia="Calibri" w:hAnsi="Calibri" w:cs="Times New Roman"/>
      <w:sz w:val="20"/>
      <w:szCs w:val="20"/>
    </w:rPr>
  </w:style>
  <w:style w:type="paragraph" w:styleId="Encabezado">
    <w:name w:val="header"/>
    <w:basedOn w:val="Normal"/>
    <w:link w:val="EncabezadoCar"/>
    <w:uiPriority w:val="99"/>
    <w:unhideWhenUsed/>
    <w:qFormat/>
    <w:rsid w:val="00187F75"/>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187F7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187F75"/>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187F75"/>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87F7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187F75"/>
    <w:rPr>
      <w:color w:val="0563C1" w:themeColor="hyperlink"/>
      <w:u w:val="single"/>
    </w:rPr>
  </w:style>
  <w:style w:type="table" w:styleId="Tablaconcuadrcula">
    <w:name w:val="Table Grid"/>
    <w:basedOn w:val="Tablanormal"/>
    <w:uiPriority w:val="39"/>
    <w:qFormat/>
    <w:rsid w:val="00187F75"/>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7F75"/>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87F75"/>
    <w:rPr>
      <w:rFonts w:ascii="Century Gothic" w:eastAsia="Times New Roman" w:hAnsi="Century Gothic" w:cs="Times New Roman"/>
      <w:szCs w:val="24"/>
      <w:lang w:eastAsia="es-ES"/>
    </w:rPr>
  </w:style>
  <w:style w:type="paragraph" w:customStyle="1" w:styleId="Default">
    <w:name w:val="Default"/>
    <w:rsid w:val="00187F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3399.page" TargetMode="External"/><Relationship Id="rId13" Type="http://schemas.openxmlformats.org/officeDocument/2006/relationships/hyperlink" Target="https://saimex.org.mx/saimex/solicitud/downloadAttach/2474567.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43398.page" TargetMode="External"/><Relationship Id="rId12" Type="http://schemas.openxmlformats.org/officeDocument/2006/relationships/hyperlink" Target="https://saimex.org.mx/saimex/solicitud/downloadAttach/2474566.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43915.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2443401.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244340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27</Pages>
  <Words>6100</Words>
  <Characters>33552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dcterms:created xsi:type="dcterms:W3CDTF">2025-10-27T19:13:00Z</dcterms:created>
  <dcterms:modified xsi:type="dcterms:W3CDTF">2026-01-13T19:26:00Z</dcterms:modified>
</cp:coreProperties>
</file>