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A233" w14:textId="77777777" w:rsidR="004E4604" w:rsidRPr="00CC3891" w:rsidRDefault="00CA70F9">
      <w:pPr>
        <w:spacing w:line="360" w:lineRule="auto"/>
        <w:ind w:left="-142"/>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0EAC52D3" w14:textId="77777777" w:rsidR="004E4604" w:rsidRPr="00CC3891" w:rsidRDefault="004E4604">
      <w:pPr>
        <w:spacing w:line="360" w:lineRule="auto"/>
        <w:ind w:left="-142"/>
        <w:jc w:val="both"/>
        <w:rPr>
          <w:rFonts w:ascii="Palatino Linotype" w:eastAsia="Palatino Linotype" w:hAnsi="Palatino Linotype" w:cs="Palatino Linotype"/>
          <w:sz w:val="22"/>
          <w:szCs w:val="22"/>
        </w:rPr>
      </w:pPr>
    </w:p>
    <w:p w14:paraId="03F22965" w14:textId="3F90AA0C" w:rsidR="004E4604" w:rsidRPr="00CC3891" w:rsidRDefault="00CA70F9">
      <w:pPr>
        <w:spacing w:line="360" w:lineRule="auto"/>
        <w:ind w:left="-142"/>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Visto</w:t>
      </w:r>
      <w:r w:rsidRPr="00CC3891">
        <w:rPr>
          <w:rFonts w:ascii="Palatino Linotype" w:eastAsia="Palatino Linotype" w:hAnsi="Palatino Linotype" w:cs="Palatino Linotype"/>
          <w:sz w:val="22"/>
          <w:szCs w:val="22"/>
        </w:rPr>
        <w:t xml:space="preserve"> el expediente relativo al recurso de revisión </w:t>
      </w:r>
      <w:r w:rsidRPr="00CC3891">
        <w:rPr>
          <w:rFonts w:ascii="Palatino Linotype" w:eastAsia="Palatino Linotype" w:hAnsi="Palatino Linotype" w:cs="Palatino Linotype"/>
          <w:b/>
          <w:sz w:val="22"/>
          <w:szCs w:val="22"/>
        </w:rPr>
        <w:t>01664/INFOEM/IP/RR/2025</w:t>
      </w:r>
      <w:r w:rsidRPr="00CC3891">
        <w:rPr>
          <w:rFonts w:ascii="Palatino Linotype" w:eastAsia="Palatino Linotype" w:hAnsi="Palatino Linotype" w:cs="Palatino Linotype"/>
          <w:sz w:val="22"/>
          <w:szCs w:val="22"/>
        </w:rPr>
        <w:t xml:space="preserve">, interpuesto </w:t>
      </w:r>
      <w:r w:rsidR="002275B6" w:rsidRPr="002275B6">
        <w:rPr>
          <w:rFonts w:ascii="Palatino Linotype" w:eastAsia="Palatino Linotype" w:hAnsi="Palatino Linotype" w:cs="Palatino Linotype"/>
          <w:b/>
          <w:sz w:val="22"/>
          <w:szCs w:val="22"/>
        </w:rPr>
        <w:t>XXXX XXX XXXXX XXXX</w:t>
      </w:r>
      <w:r w:rsidRPr="00CC3891">
        <w:rPr>
          <w:rFonts w:ascii="Palatino Linotype" w:eastAsia="Palatino Linotype" w:hAnsi="Palatino Linotype" w:cs="Palatino Linotype"/>
          <w:sz w:val="22"/>
          <w:szCs w:val="22"/>
        </w:rPr>
        <w:t xml:space="preserve"> en lo sucesivo se le denominará la persona</w:t>
      </w:r>
      <w:r w:rsidRPr="00CC3891">
        <w:rPr>
          <w:rFonts w:ascii="Palatino Linotype" w:eastAsia="Palatino Linotype" w:hAnsi="Palatino Linotype" w:cs="Palatino Linotype"/>
          <w:b/>
          <w:sz w:val="22"/>
          <w:szCs w:val="22"/>
        </w:rPr>
        <w:t xml:space="preserve"> RECURRENTE</w:t>
      </w:r>
      <w:r w:rsidRPr="00CC3891">
        <w:rPr>
          <w:rFonts w:ascii="Palatino Linotype" w:eastAsia="Palatino Linotype" w:hAnsi="Palatino Linotype" w:cs="Palatino Linotype"/>
          <w:sz w:val="22"/>
          <w:szCs w:val="22"/>
        </w:rPr>
        <w:t>, en contra de la respuesta a su solicitud de información con número de folio</w:t>
      </w:r>
      <w:r w:rsidRPr="00CC3891">
        <w:rPr>
          <w:rFonts w:ascii="Palatino Linotype" w:eastAsia="Palatino Linotype" w:hAnsi="Palatino Linotype" w:cs="Palatino Linotype"/>
          <w:b/>
          <w:sz w:val="22"/>
          <w:szCs w:val="22"/>
        </w:rPr>
        <w:t xml:space="preserve"> 00001/DIFTULTITL/IP/2025</w:t>
      </w:r>
      <w:r w:rsidRPr="00CC3891">
        <w:rPr>
          <w:rFonts w:ascii="Palatino Linotype" w:eastAsia="Palatino Linotype" w:hAnsi="Palatino Linotype" w:cs="Palatino Linotype"/>
          <w:sz w:val="22"/>
          <w:szCs w:val="22"/>
        </w:rPr>
        <w:t xml:space="preserve">, por parte del </w:t>
      </w:r>
      <w:r w:rsidRPr="00CC3891">
        <w:rPr>
          <w:rFonts w:ascii="Palatino Linotype" w:eastAsia="Palatino Linotype" w:hAnsi="Palatino Linotype" w:cs="Palatino Linotype"/>
          <w:b/>
          <w:sz w:val="22"/>
          <w:szCs w:val="22"/>
        </w:rPr>
        <w:t xml:space="preserve">Sistema Municipal Para el Desarrollo Integral de la Familia de Tultitlán </w:t>
      </w:r>
      <w:r w:rsidRPr="00CC3891">
        <w:rPr>
          <w:rFonts w:ascii="Palatino Linotype" w:eastAsia="Palatino Linotype" w:hAnsi="Palatino Linotype" w:cs="Palatino Linotype"/>
          <w:sz w:val="22"/>
          <w:szCs w:val="22"/>
        </w:rPr>
        <w:t xml:space="preserve">en lo sucesivo 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w:t>
      </w:r>
      <w:r w:rsidRPr="00CC3891">
        <w:rPr>
          <w:rFonts w:ascii="Palatino Linotype" w:eastAsia="Palatino Linotype" w:hAnsi="Palatino Linotype" w:cs="Palatino Linotype"/>
          <w:b/>
          <w:sz w:val="22"/>
          <w:szCs w:val="22"/>
        </w:rPr>
        <w:t xml:space="preserve"> </w:t>
      </w:r>
      <w:r w:rsidRPr="00CC3891">
        <w:rPr>
          <w:rFonts w:ascii="Palatino Linotype" w:eastAsia="Palatino Linotype" w:hAnsi="Palatino Linotype" w:cs="Palatino Linotype"/>
          <w:sz w:val="22"/>
          <w:szCs w:val="22"/>
        </w:rPr>
        <w:t>se procede a dictar la presente resolución, con base en los siguientes:</w:t>
      </w:r>
    </w:p>
    <w:p w14:paraId="7C2AB8C4" w14:textId="77777777" w:rsidR="004E4604" w:rsidRPr="00CC3891" w:rsidRDefault="004E4604">
      <w:pPr>
        <w:spacing w:line="360" w:lineRule="auto"/>
        <w:ind w:left="-142"/>
        <w:jc w:val="both"/>
        <w:rPr>
          <w:rFonts w:ascii="Palatino Linotype" w:eastAsia="Palatino Linotype" w:hAnsi="Palatino Linotype" w:cs="Palatino Linotype"/>
          <w:sz w:val="22"/>
          <w:szCs w:val="22"/>
        </w:rPr>
      </w:pPr>
    </w:p>
    <w:p w14:paraId="0DFF366F" w14:textId="77777777" w:rsidR="004E4604" w:rsidRPr="00CC3891" w:rsidRDefault="00CA70F9">
      <w:pPr>
        <w:numPr>
          <w:ilvl w:val="0"/>
          <w:numId w:val="8"/>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A N T E C E D E N T E S:</w:t>
      </w:r>
    </w:p>
    <w:p w14:paraId="12D8044A" w14:textId="77777777" w:rsidR="004E4604" w:rsidRPr="00CC3891" w:rsidRDefault="004E4604">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042934B2" w14:textId="77777777" w:rsidR="004E4604" w:rsidRPr="00CC3891" w:rsidRDefault="00CA70F9">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 xml:space="preserve">Solicitud de acceso a la información. </w:t>
      </w:r>
      <w:r w:rsidRPr="00CC3891">
        <w:rPr>
          <w:rFonts w:ascii="Palatino Linotype" w:eastAsia="Palatino Linotype" w:hAnsi="Palatino Linotype" w:cs="Palatino Linotype"/>
          <w:sz w:val="22"/>
          <w:szCs w:val="22"/>
        </w:rPr>
        <w:t xml:space="preserve">Con fecha </w:t>
      </w:r>
      <w:r w:rsidRPr="00CC3891">
        <w:rPr>
          <w:rFonts w:ascii="Palatino Linotype" w:eastAsia="Palatino Linotype" w:hAnsi="Palatino Linotype" w:cs="Palatino Linotype"/>
          <w:b/>
          <w:sz w:val="22"/>
          <w:szCs w:val="22"/>
        </w:rPr>
        <w:t>veintisiete de enero de dos mil veinticinco</w:t>
      </w:r>
      <w:r w:rsidRPr="00CC3891">
        <w:rPr>
          <w:rFonts w:ascii="Palatino Linotype" w:eastAsia="Palatino Linotype" w:hAnsi="Palatino Linotype" w:cs="Palatino Linotype"/>
          <w:sz w:val="22"/>
          <w:szCs w:val="22"/>
        </w:rPr>
        <w:t xml:space="preserve">, la parte </w:t>
      </w:r>
      <w:r w:rsidRPr="00CC3891">
        <w:rPr>
          <w:rFonts w:ascii="Palatino Linotype" w:eastAsia="Palatino Linotype" w:hAnsi="Palatino Linotype" w:cs="Palatino Linotype"/>
          <w:b/>
          <w:sz w:val="22"/>
          <w:szCs w:val="22"/>
        </w:rPr>
        <w:t>RECURRENTE</w:t>
      </w:r>
      <w:r w:rsidRPr="00CC3891">
        <w:rPr>
          <w:rFonts w:ascii="Palatino Linotype" w:eastAsia="Palatino Linotype" w:hAnsi="Palatino Linotype" w:cs="Palatino Linotype"/>
          <w:sz w:val="22"/>
          <w:szCs w:val="22"/>
        </w:rPr>
        <w:t xml:space="preserve"> formuló solicitud de acceso a información pública al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xml:space="preserve"> a través del Sistema de Acceso a la Información Mexiquense, en adelante </w:t>
      </w:r>
      <w:r w:rsidRPr="00CC3891">
        <w:rPr>
          <w:rFonts w:ascii="Palatino Linotype" w:eastAsia="Palatino Linotype" w:hAnsi="Palatino Linotype" w:cs="Palatino Linotype"/>
          <w:b/>
          <w:sz w:val="22"/>
          <w:szCs w:val="22"/>
        </w:rPr>
        <w:t>SAIMEX</w:t>
      </w:r>
      <w:r w:rsidRPr="00CC3891">
        <w:rPr>
          <w:rFonts w:ascii="Palatino Linotype" w:eastAsia="Palatino Linotype" w:hAnsi="Palatino Linotype" w:cs="Palatino Linotype"/>
          <w:sz w:val="22"/>
          <w:szCs w:val="22"/>
        </w:rPr>
        <w:t>, requiriéndole lo siguiente:</w:t>
      </w:r>
    </w:p>
    <w:p w14:paraId="3BD751C7" w14:textId="77777777" w:rsidR="004E4604" w:rsidRPr="00CC3891" w:rsidRDefault="004E460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E691336" w14:textId="77777777" w:rsidR="004E4604" w:rsidRPr="00CC3891" w:rsidRDefault="00CA70F9">
      <w:pPr>
        <w:spacing w:line="276" w:lineRule="auto"/>
        <w:ind w:left="567" w:right="900"/>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“Buenas tardes, le solicito a usted sujeto obligado la siguiente información: Información de TODA la recaudación que tuvo el sistema municipal para el desarrollo integral de la familia de Tultitlan del 01 de junio del 2024 al 31 de diciembre del 2024, que la información incluya todos los conceptos de recaudación, comprobantes, montos y todo lo relacionado con los ingresos. Al igual le solicito las Boucher o el comprobante de los depósitos a la institución bancaria con la que trabajen. Esto con el área de ingresos Respecto del área de compras Solicito la siguiente información pública: 1. El padrón y expediente que se dieron de alta del 01 de mayo del 2024 al 31 de diciembre del 2024 en el Sistema Municipal para el Desarrollo Integral de la Familia de Tultitlán. Incluyendo su actividad preponderante, cedula de alta, y los demás requisitos que marca la ley para por darse de alta como </w:t>
      </w:r>
      <w:proofErr w:type="spellStart"/>
      <w:r w:rsidRPr="00CC3891">
        <w:rPr>
          <w:rFonts w:ascii="Palatino Linotype" w:eastAsia="Palatino Linotype" w:hAnsi="Palatino Linotype" w:cs="Palatino Linotype"/>
          <w:i/>
          <w:sz w:val="22"/>
          <w:szCs w:val="22"/>
        </w:rPr>
        <w:t>provedor</w:t>
      </w:r>
      <w:proofErr w:type="spellEnd"/>
      <w:r w:rsidRPr="00CC3891">
        <w:rPr>
          <w:rFonts w:ascii="Palatino Linotype" w:eastAsia="Palatino Linotype" w:hAnsi="Palatino Linotype" w:cs="Palatino Linotype"/>
          <w:i/>
          <w:sz w:val="22"/>
          <w:szCs w:val="22"/>
        </w:rPr>
        <w:t xml:space="preserve"> del gobierno 2. TODAS Y CADA UNA DE LAS COMPRAS Y ADQUISICIONES QUE SE HAN REALIZADO DEL 01 DE MAYO DEL 2024 AL 31 DE DICIEMBRE DEL 2024, POR PARTE DEL SISTEMA MUNICIPAL, DEBIÉNDOSE INCLUIR EL SOPORTE DOCUMENTAL TALES COMO FACTURAS, REQUISICIONES DE </w:t>
      </w:r>
      <w:r w:rsidRPr="00CC3891">
        <w:rPr>
          <w:rFonts w:ascii="Palatino Linotype" w:eastAsia="Palatino Linotype" w:hAnsi="Palatino Linotype" w:cs="Palatino Linotype"/>
          <w:i/>
          <w:sz w:val="22"/>
          <w:szCs w:val="22"/>
        </w:rPr>
        <w:lastRenderedPageBreak/>
        <w:t xml:space="preserve">ÁREA, LA EVIDENCIA DE SU ENTREGA, ENTRADA Y SALIDA DE ALMACÉN. 3. Todas y cada una de las donaciones que haya recibo el Sistema Municipal. 4. Todos y cada uno de los procesos de licitación pública, ya sea local, nacional o internacional que se hayan llevado a cabo por parte del Sistema Municipal, Estado de México; de conformidad con lo establecido en la Ley de Contratación Pública del Estado de México y Municipios y su Reglamento, del 01 de mayo del 2024 al 31 de diciembre del 2024 5. Todos y cada uno de los procedimientos de adjudicación ya sea por licitación pública, adjudicación directa, invitación restringida, que se han llevado a cabo del 01 de mayo al 31 de diciembre del 2024 por parte del Sistema Municipal 6. Todos y cada uno de los contratos celebrados por parte del Sistema Municipal del 01 de mayo del 2024 al 31 de diciembre del 2024, con los que se ampare la adjudicación a los proveedores para la adquisición de bienes y servicios de conformidad con la Ley de Contratación Pública del Estado de México y Municipios y su Reglamento. 7. Todas y cada una de las actas de las sesiones ordinarias y extraordinarias llevadas a cabo por parte del Comité de Adquisiciones y Servicios del Sistema Municipal, del 01 de mayo del 2024 al 31 de diciembre del 2024 8. La relación de todos y cada uno de los vehículos propiedad del Sistema Municipal 9.los nombramientos de jefes de Departamento, Coordinadores y todo servidor público que conforme a la ley del Trabajo de los Servidores Públicos del Estado de México y Municipios, requiera de dicho nombramiento, así como los documentos con los que acreditan que cuentan con el perfil para ocupar el puesto, tales como Título Profesional, Cedula Profesional y experiencia laboral comprobable en el área de adscripción”. </w:t>
      </w:r>
    </w:p>
    <w:p w14:paraId="3012E93E" w14:textId="77777777" w:rsidR="004E4604" w:rsidRPr="00CC3891" w:rsidRDefault="004E4604">
      <w:pPr>
        <w:spacing w:line="360" w:lineRule="auto"/>
        <w:ind w:right="900"/>
        <w:jc w:val="both"/>
        <w:rPr>
          <w:rFonts w:ascii="Palatino Linotype" w:eastAsia="Palatino Linotype" w:hAnsi="Palatino Linotype" w:cs="Palatino Linotype"/>
          <w:b/>
          <w:i/>
          <w:sz w:val="22"/>
          <w:szCs w:val="22"/>
        </w:rPr>
      </w:pPr>
    </w:p>
    <w:p w14:paraId="608AB535"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Modalidad elegida para la entrega de la información: </w:t>
      </w:r>
      <w:r w:rsidRPr="00CC3891">
        <w:rPr>
          <w:rFonts w:ascii="Palatino Linotype" w:eastAsia="Palatino Linotype" w:hAnsi="Palatino Linotype" w:cs="Palatino Linotype"/>
          <w:sz w:val="22"/>
          <w:szCs w:val="22"/>
        </w:rPr>
        <w:t>a través del Sistema de Acceso a la Información Mexiquense.</w:t>
      </w:r>
    </w:p>
    <w:p w14:paraId="4456893F" w14:textId="77777777" w:rsidR="004E4604" w:rsidRPr="00CC3891" w:rsidRDefault="004E46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6DC0B4E" w14:textId="77777777" w:rsidR="004E4604" w:rsidRPr="00CC3891" w:rsidRDefault="00CA70F9">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Respuesta. </w:t>
      </w:r>
      <w:r w:rsidRPr="00CC3891">
        <w:rPr>
          <w:rFonts w:ascii="Palatino Linotype" w:eastAsia="Palatino Linotype" w:hAnsi="Palatino Linotype" w:cs="Palatino Linotype"/>
          <w:sz w:val="22"/>
          <w:szCs w:val="22"/>
        </w:rPr>
        <w:t xml:space="preserve">Con fecha </w:t>
      </w:r>
      <w:r w:rsidRPr="00CC3891">
        <w:rPr>
          <w:rFonts w:ascii="Palatino Linotype" w:eastAsia="Palatino Linotype" w:hAnsi="Palatino Linotype" w:cs="Palatino Linotype"/>
          <w:b/>
          <w:sz w:val="22"/>
          <w:szCs w:val="22"/>
        </w:rPr>
        <w:t>dieciocho de febrero de dos mil veinticinco</w:t>
      </w:r>
      <w:r w:rsidRPr="00CC3891">
        <w:rPr>
          <w:rFonts w:ascii="Palatino Linotype" w:eastAsia="Palatino Linotype" w:hAnsi="Palatino Linotype" w:cs="Palatino Linotype"/>
          <w:sz w:val="22"/>
          <w:szCs w:val="22"/>
        </w:rPr>
        <w:t xml:space="preserve">, 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2AA8BE0" w14:textId="77777777" w:rsidR="004E4604" w:rsidRPr="00CC3891" w:rsidRDefault="004E4604">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63C4D05D" w14:textId="77777777" w:rsidR="004E4604" w:rsidRPr="00CC3891" w:rsidRDefault="00CA70F9">
      <w:pPr>
        <w:spacing w:line="276" w:lineRule="auto"/>
        <w:ind w:left="567" w:right="57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7A5E46" w14:textId="77777777" w:rsidR="004E4604" w:rsidRPr="00CC3891" w:rsidRDefault="00CA70F9">
      <w:pPr>
        <w:spacing w:line="276" w:lineRule="auto"/>
        <w:ind w:left="567" w:right="57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SE DA RESPUESTA A LA SOLICITUD EN ARCHIVOS ADJUNTOS</w:t>
      </w:r>
    </w:p>
    <w:p w14:paraId="417F6FC8" w14:textId="77777777" w:rsidR="004E4604" w:rsidRPr="00CC3891" w:rsidRDefault="00CA70F9">
      <w:pPr>
        <w:spacing w:line="276" w:lineRule="auto"/>
        <w:ind w:left="567" w:right="57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ATENTAMENTE</w:t>
      </w:r>
    </w:p>
    <w:p w14:paraId="50F02904"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 xml:space="preserve">Del mismo modo, el Sujeto Obligado adjuntó a su respuesta lo siguiente: </w:t>
      </w:r>
    </w:p>
    <w:p w14:paraId="286264BB"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61BF3173"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 Listado que contiene número consecutivo, marca, tipo año y placas y/o estado de las placas. </w:t>
      </w:r>
    </w:p>
    <w:p w14:paraId="7ED8E89B"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Oficio de fecha cuatro de febrero de dos mil veinticinco, signado por 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Servicios Generales mediante el cual informa que remite la información solicitada. </w:t>
      </w:r>
    </w:p>
    <w:p w14:paraId="62608EB9"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Tabla en formato Excel, donde se advierten los ingresos de junio, julio, agosto, septiembre, octubre, noviembre y diciembre de 2024.</w:t>
      </w:r>
    </w:p>
    <w:p w14:paraId="2D503855"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Oficio de fecha trece de febrero de dos mil veinticinco, signado por el Tesorero Municipal, mediante el cual informa que, se envía la información solicitada a través de un formato. xls. </w:t>
      </w:r>
    </w:p>
    <w:p w14:paraId="798DE8A5"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Oficio de fecha diecisiete de febrero de dos mil veinticinco, signado por 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Recursos Humanos del Sistema Municipal para el Desarrollo Integral de la Familia de Tultitlán mediante el cual informa que se envía la información requerida. </w:t>
      </w:r>
    </w:p>
    <w:p w14:paraId="542304FD"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Archivo que contiene ciento dos documentos relacionados con nombramientos, tomas de protesta, Currículum Vitae, cédulas y títulos profesionales, constancias de estudio y boletas de calificaciones, en versión pública. </w:t>
      </w:r>
    </w:p>
    <w:p w14:paraId="5E835246"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Archivo que contiene ciento dos documentos relacionados con nombramientos, tomas de protesta, Currículum Vitae, cédulas y títulos profesionales, constancias de estudio y boletas de calificaciones, en versión pública.</w:t>
      </w:r>
    </w:p>
    <w:p w14:paraId="6EF824A3" w14:textId="77777777" w:rsidR="004E4604" w:rsidRPr="00CC3891" w:rsidRDefault="00CA70F9">
      <w:pPr>
        <w:numPr>
          <w:ilvl w:val="0"/>
          <w:numId w:val="6"/>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Oficio de fecha diecisiete de febrero de dos mil veinticinco, signado por 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Adquisiciones del Sistema Municipal para el Desarrollo Integral de la Familia de Tultitlán, mediante el cual informa que:</w:t>
      </w:r>
    </w:p>
    <w:p w14:paraId="40A27FEB"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35123A35"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El padrón y expediente que se dieron de alta del 01 de mayo del 2024 al 31 de diciembre del 2024 en el sistema municipal para el desarrollo integral de la familia de </w:t>
      </w:r>
      <w:r w:rsidRPr="00CC3891">
        <w:rPr>
          <w:rFonts w:ascii="Palatino Linotype" w:eastAsia="Palatino Linotype" w:hAnsi="Palatino Linotype" w:cs="Palatino Linotype"/>
          <w:sz w:val="22"/>
          <w:szCs w:val="22"/>
        </w:rPr>
        <w:lastRenderedPageBreak/>
        <w:t>Tultitlan. Incluyendo su actividad preponderante, cedula de alta, y los demás requisitos que marca la ley para por darse de alta como proveedor del gobierno:</w:t>
      </w:r>
    </w:p>
    <w:p w14:paraId="174FC2F2"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69F68086"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Respuesta: </w:t>
      </w:r>
      <w:r w:rsidRPr="00CC3891">
        <w:rPr>
          <w:rFonts w:ascii="Palatino Linotype" w:eastAsia="Palatino Linotype" w:hAnsi="Palatino Linotype" w:cs="Palatino Linotype"/>
          <w:sz w:val="22"/>
          <w:szCs w:val="22"/>
        </w:rPr>
        <w:t xml:space="preserve">Se anexa en medio electrónico en formato PDF el catálogo de proveedores de bienes y prestadores de servicios 2024 que consta de (23) fojas. </w:t>
      </w:r>
    </w:p>
    <w:p w14:paraId="30AD80E1"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0B35F64F"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Todas y cada una de las compras y adquisiciones que se han realizado del o1 de mayo del 2024 al 31 de diciembre de 2024, por parte del sistema municipal, debiéndose incluir el soporte documental tales como facturas, requisiciones de área, la evidencia de su entrega, entrada y salida de almacén.</w:t>
      </w:r>
    </w:p>
    <w:p w14:paraId="3036DB83"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43900DE0"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Respuesta</w:t>
      </w:r>
      <w:r w:rsidRPr="00CC3891">
        <w:rPr>
          <w:rFonts w:ascii="Palatino Linotype" w:eastAsia="Palatino Linotype" w:hAnsi="Palatino Linotype" w:cs="Palatino Linotype"/>
          <w:sz w:val="22"/>
          <w:szCs w:val="22"/>
        </w:rPr>
        <w:t xml:space="preserve">: Se anexa en medio electrónico formato PDF mes de mayo que consta de (168) fojas, junio que consta de (43) fojas, julio que consta de (649) fojas, agosto que consta de (288) fojas, septiembre que consta de (328) fojas, octubre que consta de (363) fojas, noviembre que consta de (319) fojas y diciembre que consta de (478) fojas. </w:t>
      </w:r>
    </w:p>
    <w:p w14:paraId="087129B0"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7858FA35"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Todos y cada uno de los procesos de licitación pública, ya sea local, nacional o internacional que se hayan llevado a cabo por parte del Sistema Municipal, Estado de México; de conformidad con lo establecido en la Ley de Contratación Pública del Estado de México y Municipios y su reglamento, del 01 de mayo del 2024 al 31 de diciembre del 2024. </w:t>
      </w:r>
    </w:p>
    <w:p w14:paraId="0883C914"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b/>
          <w:sz w:val="22"/>
          <w:szCs w:val="22"/>
        </w:rPr>
      </w:pPr>
    </w:p>
    <w:p w14:paraId="42C5C7A0"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Respuesta</w:t>
      </w:r>
      <w:r w:rsidRPr="00CC3891">
        <w:rPr>
          <w:rFonts w:ascii="Palatino Linotype" w:eastAsia="Palatino Linotype" w:hAnsi="Palatino Linotype" w:cs="Palatino Linotype"/>
          <w:sz w:val="22"/>
          <w:szCs w:val="22"/>
        </w:rPr>
        <w:t xml:space="preserve">: no se obra en el expediente procesos de licitación pública nacional y/o internacional. </w:t>
      </w:r>
    </w:p>
    <w:p w14:paraId="38882A47"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5ACAC7DF"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Todos y cada uno de los procedimientos de adjudicación ya sea por licitación pública, adjudicación directa, invitación restringida, que se han llevado a cabo del 01 de mayo al 31 de diciembre del 2024 por parte del sistema municipal </w:t>
      </w:r>
    </w:p>
    <w:p w14:paraId="3062AD4D"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lastRenderedPageBreak/>
        <w:t>Respuesta:</w:t>
      </w:r>
      <w:r w:rsidRPr="00CC3891">
        <w:rPr>
          <w:rFonts w:ascii="Palatino Linotype" w:eastAsia="Palatino Linotype" w:hAnsi="Palatino Linotype" w:cs="Palatino Linotype"/>
          <w:sz w:val="22"/>
          <w:szCs w:val="22"/>
        </w:rPr>
        <w:t xml:space="preserve"> se anexa en medio electrónico en formato (</w:t>
      </w:r>
      <w:proofErr w:type="spellStart"/>
      <w:r w:rsidRPr="00CC3891">
        <w:rPr>
          <w:rFonts w:ascii="Palatino Linotype" w:eastAsia="Palatino Linotype" w:hAnsi="Palatino Linotype" w:cs="Palatino Linotype"/>
          <w:sz w:val="22"/>
          <w:szCs w:val="22"/>
        </w:rPr>
        <w:t>pdf</w:t>
      </w:r>
      <w:proofErr w:type="spellEnd"/>
      <w:r w:rsidRPr="00CC3891">
        <w:rPr>
          <w:rFonts w:ascii="Palatino Linotype" w:eastAsia="Palatino Linotype" w:hAnsi="Palatino Linotype" w:cs="Palatino Linotype"/>
          <w:sz w:val="22"/>
          <w:szCs w:val="22"/>
        </w:rPr>
        <w:t>) la relación de procedimientos de invitación restringida y adjudicaciones directas que consta de (03) fojas.</w:t>
      </w:r>
    </w:p>
    <w:p w14:paraId="549F1D0B"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772A0011"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Todos y cada uno de los contratos celebrados por parte del sistema municipal del 01 de mayo del 2024al 31 de diciembre del 2024, con los que se ampare la adjudicación a los proveedores para la adquisición de bienes y servicios de conformidad con la ley de contratación pública del Estado de México y Municipios y su reglamento. </w:t>
      </w:r>
    </w:p>
    <w:p w14:paraId="21517A8C"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4DD715C4"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Respuesta: se anexa en medio electrónico en formato (PDF) "todos y cada uno de los contratos que consta de (386) fojas.</w:t>
      </w:r>
    </w:p>
    <w:p w14:paraId="4F6ACFED"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4FB79B20"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Todas y cada una de las actas de las sesiones ordinarias y extraordinarias llevadas a cabo por parte del Comité de Adquisiciones y Servicios del Sistema Municipal del 01 de mayo del 2024 al 31 de diciembre del 2024. </w:t>
      </w:r>
    </w:p>
    <w:p w14:paraId="51C70745" w14:textId="77777777" w:rsidR="004E4604" w:rsidRPr="00CC3891" w:rsidRDefault="004E4604">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p>
    <w:p w14:paraId="5B6ECA71" w14:textId="77777777" w:rsidR="004E4604" w:rsidRPr="00CC3891" w:rsidRDefault="00CA70F9">
      <w:p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Respuesta:</w:t>
      </w:r>
      <w:r w:rsidRPr="00CC3891">
        <w:rPr>
          <w:rFonts w:ascii="Palatino Linotype" w:eastAsia="Palatino Linotype" w:hAnsi="Palatino Linotype" w:cs="Palatino Linotype"/>
          <w:sz w:val="22"/>
          <w:szCs w:val="22"/>
        </w:rPr>
        <w:t xml:space="preserve"> Se anexa en medio electrónico en formato (PDF) “Todas y cada una de las actas de sesiones ordinarias y extraordinarias del comité de adquisiciones y servicios que consta de (138) fojas”. </w:t>
      </w:r>
    </w:p>
    <w:p w14:paraId="44592BDD" w14:textId="77777777" w:rsidR="004E4604" w:rsidRPr="00CC3891" w:rsidRDefault="004E4604">
      <w:pPr>
        <w:pBdr>
          <w:top w:val="nil"/>
          <w:left w:val="nil"/>
          <w:bottom w:val="nil"/>
          <w:right w:val="nil"/>
          <w:between w:val="nil"/>
        </w:pBdr>
        <w:spacing w:line="360" w:lineRule="auto"/>
        <w:ind w:right="579"/>
        <w:jc w:val="both"/>
        <w:rPr>
          <w:rFonts w:ascii="Palatino Linotype" w:eastAsia="Palatino Linotype" w:hAnsi="Palatino Linotype" w:cs="Palatino Linotype"/>
          <w:b/>
          <w:sz w:val="22"/>
          <w:szCs w:val="22"/>
        </w:rPr>
      </w:pPr>
    </w:p>
    <w:p w14:paraId="2BF49CD2" w14:textId="77777777" w:rsidR="004E4604" w:rsidRPr="00CC3891" w:rsidRDefault="00CA70F9">
      <w:pPr>
        <w:numPr>
          <w:ilvl w:val="0"/>
          <w:numId w:val="1"/>
        </w:numPr>
        <w:pBdr>
          <w:top w:val="nil"/>
          <w:left w:val="nil"/>
          <w:bottom w:val="nil"/>
          <w:right w:val="nil"/>
          <w:between w:val="nil"/>
        </w:pBdr>
        <w:spacing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Oficio de fecha dieciocho de febrero de dos mil veinticinco, signado por 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Transparencia, mediante el cual refiere que, se adjunta la información solicitada. </w:t>
      </w:r>
    </w:p>
    <w:p w14:paraId="6230EE77" w14:textId="77777777" w:rsidR="004E4604" w:rsidRPr="00CC3891" w:rsidRDefault="00CA70F9">
      <w:pPr>
        <w:numPr>
          <w:ilvl w:val="0"/>
          <w:numId w:val="1"/>
        </w:numPr>
        <w:pBdr>
          <w:top w:val="nil"/>
          <w:left w:val="nil"/>
          <w:bottom w:val="nil"/>
          <w:right w:val="nil"/>
          <w:between w:val="nil"/>
        </w:pBdr>
        <w:spacing w:after="160" w:line="360"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Catálogo de proveedores de bienes y prestadores de servicios, así como facturas, contratos y actas de sesiones. </w:t>
      </w:r>
    </w:p>
    <w:p w14:paraId="0A3944B1"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20CFEA2" w14:textId="77777777" w:rsidR="004E4604" w:rsidRPr="00CC3891" w:rsidRDefault="00CA70F9">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lastRenderedPageBreak/>
        <w:t xml:space="preserve">Interposición del recurso de revisión. </w:t>
      </w:r>
      <w:r w:rsidRPr="00CC3891">
        <w:rPr>
          <w:rFonts w:ascii="Palatino Linotype" w:eastAsia="Palatino Linotype" w:hAnsi="Palatino Linotype" w:cs="Palatino Linotype"/>
          <w:sz w:val="22"/>
          <w:szCs w:val="22"/>
        </w:rPr>
        <w:t xml:space="preserve">Inconforme con la respuesta del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la persona</w:t>
      </w:r>
      <w:r w:rsidRPr="00CC3891">
        <w:rPr>
          <w:rFonts w:ascii="Palatino Linotype" w:eastAsia="Palatino Linotype" w:hAnsi="Palatino Linotype" w:cs="Palatino Linotype"/>
          <w:b/>
          <w:sz w:val="22"/>
          <w:szCs w:val="22"/>
        </w:rPr>
        <w:t xml:space="preserve"> RECURRENTE</w:t>
      </w:r>
      <w:r w:rsidRPr="00CC3891">
        <w:rPr>
          <w:rFonts w:ascii="Palatino Linotype" w:eastAsia="Palatino Linotype" w:hAnsi="Palatino Linotype" w:cs="Palatino Linotype"/>
          <w:sz w:val="22"/>
          <w:szCs w:val="22"/>
        </w:rPr>
        <w:t xml:space="preserve"> interpuso recurso de revisión a través del Sistema de Acceso a la Información Mexiquense en fecha </w:t>
      </w:r>
      <w:r w:rsidRPr="00CC3891">
        <w:rPr>
          <w:rFonts w:ascii="Palatino Linotype" w:eastAsia="Palatino Linotype" w:hAnsi="Palatino Linotype" w:cs="Palatino Linotype"/>
          <w:b/>
          <w:sz w:val="22"/>
          <w:szCs w:val="22"/>
        </w:rPr>
        <w:t>diecinueve de febrero de dos mil veinticinco</w:t>
      </w:r>
      <w:r w:rsidRPr="00CC3891">
        <w:rPr>
          <w:rFonts w:ascii="Palatino Linotype" w:eastAsia="Palatino Linotype" w:hAnsi="Palatino Linotype" w:cs="Palatino Linotype"/>
          <w:sz w:val="22"/>
          <w:szCs w:val="22"/>
        </w:rPr>
        <w:t>, a través del cual expresó lo siguiente:</w:t>
      </w:r>
    </w:p>
    <w:p w14:paraId="57917FDE" w14:textId="77777777" w:rsidR="004E4604" w:rsidRPr="00CC3891" w:rsidRDefault="004E4604">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03E33A86" w14:textId="77777777" w:rsidR="004E4604" w:rsidRPr="00CC3891" w:rsidRDefault="00CA70F9">
      <w:pPr>
        <w:spacing w:line="276" w:lineRule="auto"/>
        <w:ind w:left="567" w:right="693"/>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sz w:val="22"/>
          <w:szCs w:val="22"/>
        </w:rPr>
        <w:t xml:space="preserve">Acto impugnado. </w:t>
      </w:r>
      <w:r w:rsidRPr="00CC3891">
        <w:rPr>
          <w:rFonts w:ascii="Palatino Linotype" w:eastAsia="Palatino Linotype" w:hAnsi="Palatino Linotype" w:cs="Palatino Linotype"/>
          <w:i/>
          <w:sz w:val="22"/>
          <w:szCs w:val="22"/>
        </w:rPr>
        <w:t xml:space="preserve">“la información no es clara” </w:t>
      </w:r>
    </w:p>
    <w:p w14:paraId="3F48D61C" w14:textId="77777777" w:rsidR="004E4604" w:rsidRPr="00CC3891" w:rsidRDefault="004E4604">
      <w:pPr>
        <w:spacing w:line="276" w:lineRule="auto"/>
        <w:ind w:left="567" w:right="693"/>
        <w:rPr>
          <w:sz w:val="22"/>
          <w:szCs w:val="22"/>
        </w:rPr>
      </w:pPr>
    </w:p>
    <w:p w14:paraId="684AC92F" w14:textId="77777777" w:rsidR="004E4604" w:rsidRPr="00CC3891" w:rsidRDefault="00CA70F9">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sz w:val="22"/>
          <w:szCs w:val="22"/>
        </w:rPr>
        <w:t xml:space="preserve">Motivos de inconformidad. </w:t>
      </w:r>
      <w:r w:rsidRPr="00CC3891">
        <w:rPr>
          <w:rFonts w:ascii="Palatino Linotype" w:eastAsia="Palatino Linotype" w:hAnsi="Palatino Linotype" w:cs="Palatino Linotype"/>
          <w:i/>
          <w:sz w:val="22"/>
          <w:szCs w:val="22"/>
        </w:rPr>
        <w:t xml:space="preserve">“En el oficio de solicitud para la compra de juguetes tiene fecha de 11 de diciembre del 2023 y el encabezado dice 2024, y demás errores, le </w:t>
      </w:r>
      <w:r w:rsidRPr="00CC3891">
        <w:rPr>
          <w:rFonts w:ascii="Palatino Linotype" w:eastAsia="Palatino Linotype" w:hAnsi="Palatino Linotype" w:cs="Palatino Linotype"/>
          <w:b/>
          <w:i/>
          <w:sz w:val="22"/>
          <w:szCs w:val="22"/>
          <w:u w:val="single"/>
        </w:rPr>
        <w:t>solicito que se hagan las correcciones correspondientes</w:t>
      </w:r>
      <w:r w:rsidRPr="00CC3891">
        <w:rPr>
          <w:rFonts w:ascii="Palatino Linotype" w:eastAsia="Palatino Linotype" w:hAnsi="Palatino Linotype" w:cs="Palatino Linotype"/>
          <w:i/>
          <w:sz w:val="22"/>
          <w:szCs w:val="22"/>
        </w:rPr>
        <w:t xml:space="preserve">, al igual se observaron </w:t>
      </w:r>
      <w:r w:rsidRPr="00CC3891">
        <w:rPr>
          <w:rFonts w:ascii="Palatino Linotype" w:eastAsia="Palatino Linotype" w:hAnsi="Palatino Linotype" w:cs="Palatino Linotype"/>
          <w:b/>
          <w:i/>
          <w:sz w:val="22"/>
          <w:szCs w:val="22"/>
          <w:u w:val="single"/>
        </w:rPr>
        <w:t>que faltan firmas de algunas personas</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 xml:space="preserve">La información se pidió en separado y se adjunta un archivo con </w:t>
      </w:r>
      <w:proofErr w:type="spellStart"/>
      <w:r w:rsidRPr="00CC3891">
        <w:rPr>
          <w:rFonts w:ascii="Palatino Linotype" w:eastAsia="Palatino Linotype" w:hAnsi="Palatino Linotype" w:cs="Palatino Linotype"/>
          <w:b/>
          <w:i/>
          <w:sz w:val="22"/>
          <w:szCs w:val="22"/>
          <w:u w:val="single"/>
        </w:rPr>
        <w:t>mas</w:t>
      </w:r>
      <w:proofErr w:type="spellEnd"/>
      <w:r w:rsidRPr="00CC3891">
        <w:rPr>
          <w:rFonts w:ascii="Palatino Linotype" w:eastAsia="Palatino Linotype" w:hAnsi="Palatino Linotype" w:cs="Palatino Linotype"/>
          <w:b/>
          <w:i/>
          <w:sz w:val="22"/>
          <w:szCs w:val="22"/>
          <w:u w:val="single"/>
        </w:rPr>
        <w:t xml:space="preserve"> de 3 mil hojas</w:t>
      </w:r>
      <w:r w:rsidRPr="00CC3891">
        <w:rPr>
          <w:rFonts w:ascii="Palatino Linotype" w:eastAsia="Palatino Linotype" w:hAnsi="Palatino Linotype" w:cs="Palatino Linotype"/>
          <w:i/>
          <w:sz w:val="22"/>
          <w:szCs w:val="22"/>
        </w:rPr>
        <w:t xml:space="preserve">, la ley marca que la información debe de ser lo </w:t>
      </w:r>
      <w:proofErr w:type="spellStart"/>
      <w:r w:rsidRPr="00CC3891">
        <w:rPr>
          <w:rFonts w:ascii="Palatino Linotype" w:eastAsia="Palatino Linotype" w:hAnsi="Palatino Linotype" w:cs="Palatino Linotype"/>
          <w:i/>
          <w:sz w:val="22"/>
          <w:szCs w:val="22"/>
        </w:rPr>
        <w:t>mas</w:t>
      </w:r>
      <w:proofErr w:type="spellEnd"/>
      <w:r w:rsidRPr="00CC3891">
        <w:rPr>
          <w:rFonts w:ascii="Palatino Linotype" w:eastAsia="Palatino Linotype" w:hAnsi="Palatino Linotype" w:cs="Palatino Linotype"/>
          <w:i/>
          <w:sz w:val="22"/>
          <w:szCs w:val="22"/>
        </w:rPr>
        <w:t xml:space="preserve"> clara y en algún formato que cualquier persona pueda acceder a ella. </w:t>
      </w:r>
      <w:r w:rsidRPr="00CC3891">
        <w:rPr>
          <w:rFonts w:ascii="Palatino Linotype" w:eastAsia="Palatino Linotype" w:hAnsi="Palatino Linotype" w:cs="Palatino Linotype"/>
          <w:b/>
          <w:i/>
          <w:sz w:val="22"/>
          <w:szCs w:val="22"/>
          <w:u w:val="single"/>
        </w:rPr>
        <w:t>Se agregan compras de otros tiempos</w:t>
      </w:r>
      <w:r w:rsidRPr="00CC3891">
        <w:rPr>
          <w:rFonts w:ascii="Palatino Linotype" w:eastAsia="Palatino Linotype" w:hAnsi="Palatino Linotype" w:cs="Palatino Linotype"/>
          <w:i/>
          <w:sz w:val="22"/>
          <w:szCs w:val="22"/>
        </w:rPr>
        <w:t xml:space="preserve">, la solicitud fue clara y dice </w:t>
      </w:r>
      <w:r w:rsidRPr="00CC3891">
        <w:rPr>
          <w:rFonts w:ascii="Palatino Linotype" w:eastAsia="Palatino Linotype" w:hAnsi="Palatino Linotype" w:cs="Palatino Linotype"/>
          <w:b/>
          <w:i/>
          <w:sz w:val="22"/>
          <w:szCs w:val="22"/>
          <w:u w:val="single"/>
        </w:rPr>
        <w:t>que las compras son de 01 de mayo del 2024 al 31 de diciembre del 2024</w:t>
      </w:r>
      <w:r w:rsidRPr="00CC3891">
        <w:rPr>
          <w:rFonts w:ascii="Palatino Linotype" w:eastAsia="Palatino Linotype" w:hAnsi="Palatino Linotype" w:cs="Palatino Linotype"/>
          <w:i/>
          <w:sz w:val="22"/>
          <w:szCs w:val="22"/>
        </w:rPr>
        <w:t xml:space="preserve">. Se anexan las compras, sin embargo, </w:t>
      </w:r>
      <w:r w:rsidRPr="00CC3891">
        <w:rPr>
          <w:rFonts w:ascii="Palatino Linotype" w:eastAsia="Palatino Linotype" w:hAnsi="Palatino Linotype" w:cs="Palatino Linotype"/>
          <w:b/>
          <w:i/>
          <w:sz w:val="22"/>
          <w:szCs w:val="22"/>
          <w:u w:val="single"/>
        </w:rPr>
        <w:t>no tienen un orden</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En la página 104 del archivo denominado respuesta, desconozco por que se adjunta fotos de una báscula,</w:t>
      </w:r>
      <w:r w:rsidRPr="00CC3891">
        <w:rPr>
          <w:rFonts w:ascii="Palatino Linotype" w:eastAsia="Palatino Linotype" w:hAnsi="Palatino Linotype" w:cs="Palatino Linotype"/>
          <w:i/>
          <w:sz w:val="22"/>
          <w:szCs w:val="22"/>
        </w:rPr>
        <w:t xml:space="preserve"> ¿ese es el método de verificación de la recolección de residuos tóxicos? </w:t>
      </w:r>
      <w:r w:rsidRPr="00CC3891">
        <w:rPr>
          <w:rFonts w:ascii="Palatino Linotype" w:eastAsia="Palatino Linotype" w:hAnsi="Palatino Linotype" w:cs="Palatino Linotype"/>
          <w:b/>
          <w:i/>
          <w:sz w:val="22"/>
          <w:szCs w:val="22"/>
          <w:u w:val="single"/>
        </w:rPr>
        <w:t>La información escaneada no es la bastante clara, no se alcanza a distinguir bien las letras</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 xml:space="preserve">Faltan procesos de licitación o la justificación del </w:t>
      </w:r>
      <w:proofErr w:type="spellStart"/>
      <w:r w:rsidRPr="00CC3891">
        <w:rPr>
          <w:rFonts w:ascii="Palatino Linotype" w:eastAsia="Palatino Linotype" w:hAnsi="Palatino Linotype" w:cs="Palatino Linotype"/>
          <w:b/>
          <w:i/>
          <w:sz w:val="22"/>
          <w:szCs w:val="22"/>
          <w:u w:val="single"/>
        </w:rPr>
        <w:t>por que</w:t>
      </w:r>
      <w:proofErr w:type="spellEnd"/>
      <w:r w:rsidRPr="00CC3891">
        <w:rPr>
          <w:rFonts w:ascii="Palatino Linotype" w:eastAsia="Palatino Linotype" w:hAnsi="Palatino Linotype" w:cs="Palatino Linotype"/>
          <w:b/>
          <w:i/>
          <w:sz w:val="22"/>
          <w:szCs w:val="22"/>
          <w:u w:val="single"/>
        </w:rPr>
        <w:t xml:space="preserve"> no se realizaron los debidos procesos como marca la ley.</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al igual se observa Que el encargado del área de ingresos no cuenta con título ni cedula profesional</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 xml:space="preserve">tengo entendido que se necesita </w:t>
      </w:r>
      <w:proofErr w:type="spellStart"/>
      <w:r w:rsidRPr="00CC3891">
        <w:rPr>
          <w:rFonts w:ascii="Palatino Linotype" w:eastAsia="Palatino Linotype" w:hAnsi="Palatino Linotype" w:cs="Palatino Linotype"/>
          <w:b/>
          <w:i/>
          <w:sz w:val="22"/>
          <w:szCs w:val="22"/>
          <w:u w:val="single"/>
        </w:rPr>
        <w:t>titulo</w:t>
      </w:r>
      <w:proofErr w:type="spellEnd"/>
      <w:r w:rsidRPr="00CC3891">
        <w:rPr>
          <w:rFonts w:ascii="Palatino Linotype" w:eastAsia="Palatino Linotype" w:hAnsi="Palatino Linotype" w:cs="Palatino Linotype"/>
          <w:b/>
          <w:i/>
          <w:sz w:val="22"/>
          <w:szCs w:val="22"/>
          <w:u w:val="single"/>
        </w:rPr>
        <w:t xml:space="preserve"> y cedula para estar al cargo de esa área</w:t>
      </w:r>
      <w:r w:rsidRPr="00CC3891">
        <w:rPr>
          <w:rFonts w:ascii="Palatino Linotype" w:eastAsia="Palatino Linotype" w:hAnsi="Palatino Linotype" w:cs="Palatino Linotype"/>
          <w:i/>
          <w:sz w:val="22"/>
          <w:szCs w:val="22"/>
        </w:rPr>
        <w:t xml:space="preserve">”. </w:t>
      </w:r>
    </w:p>
    <w:p w14:paraId="18150830" w14:textId="77777777" w:rsidR="004E4604" w:rsidRPr="00CC3891" w:rsidRDefault="004E46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E7D36E" w14:textId="77777777" w:rsidR="004E4604" w:rsidRPr="00CC3891" w:rsidRDefault="00CA70F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Asimismo, adjuntó a su medio de impugnación dos documentos que el Sujeto Obligado envió en su respuesta. </w:t>
      </w:r>
    </w:p>
    <w:p w14:paraId="4DA7136E" w14:textId="77777777" w:rsidR="004E4604" w:rsidRPr="00CC3891" w:rsidRDefault="004E4604">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DA12F2A" w14:textId="77777777" w:rsidR="00CA70F9" w:rsidRPr="00CC3891" w:rsidRDefault="00CA70F9" w:rsidP="00CA70F9">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ewvdwb4caf7d" w:colFirst="0" w:colLast="0"/>
      <w:bookmarkEnd w:id="1"/>
      <w:r w:rsidRPr="00CC3891">
        <w:rPr>
          <w:rFonts w:ascii="Palatino Linotype" w:eastAsia="Palatino Linotype" w:hAnsi="Palatino Linotype" w:cs="Palatino Linotype"/>
          <w:b/>
          <w:sz w:val="22"/>
          <w:szCs w:val="22"/>
        </w:rPr>
        <w:t xml:space="preserve">Turno. </w:t>
      </w:r>
      <w:r w:rsidRPr="00CC389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CC3891">
        <w:rPr>
          <w:rFonts w:ascii="Palatino Linotype" w:eastAsia="Palatino Linotype" w:hAnsi="Palatino Linotype" w:cs="Palatino Linotype"/>
          <w:b/>
          <w:sz w:val="22"/>
          <w:szCs w:val="22"/>
        </w:rPr>
        <w:t>01664/INFOEM/IP/RR/2025</w:t>
      </w:r>
      <w:r w:rsidRPr="00CC3891">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CC3891">
        <w:rPr>
          <w:rFonts w:ascii="Palatino Linotype" w:eastAsia="Palatino Linotype" w:hAnsi="Palatino Linotype" w:cs="Palatino Linotype"/>
          <w:b/>
          <w:sz w:val="22"/>
          <w:szCs w:val="22"/>
        </w:rPr>
        <w:t>Guadalupe Ramírez Peña</w:t>
      </w:r>
      <w:r w:rsidRPr="00CC3891">
        <w:rPr>
          <w:rFonts w:ascii="Palatino Linotype" w:eastAsia="Palatino Linotype" w:hAnsi="Palatino Linotype" w:cs="Palatino Linotype"/>
          <w:sz w:val="22"/>
          <w:szCs w:val="22"/>
        </w:rPr>
        <w:t>, para su análisis, estudio, elaboración del proyecto y presentación ante el Pleno de este Instituto.</w:t>
      </w:r>
    </w:p>
    <w:p w14:paraId="4B9B2DAE" w14:textId="77777777" w:rsidR="004E4604" w:rsidRPr="00CC3891" w:rsidRDefault="00CA70F9">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CC3891">
        <w:rPr>
          <w:rFonts w:ascii="Palatino Linotype" w:eastAsia="Palatino Linotype" w:hAnsi="Palatino Linotype" w:cs="Palatino Linotype"/>
          <w:b/>
          <w:sz w:val="22"/>
          <w:szCs w:val="22"/>
        </w:rPr>
        <w:lastRenderedPageBreak/>
        <w:t xml:space="preserve">Admisión del recurso de revisión: </w:t>
      </w:r>
      <w:r w:rsidRPr="00CC3891">
        <w:rPr>
          <w:rFonts w:ascii="Palatino Linotype" w:eastAsia="Palatino Linotype" w:hAnsi="Palatino Linotype" w:cs="Palatino Linotype"/>
          <w:sz w:val="22"/>
          <w:szCs w:val="22"/>
        </w:rPr>
        <w:t xml:space="preserve">En fecha </w:t>
      </w:r>
      <w:r w:rsidRPr="00CC3891">
        <w:rPr>
          <w:rFonts w:ascii="Palatino Linotype" w:eastAsia="Palatino Linotype" w:hAnsi="Palatino Linotype" w:cs="Palatino Linotype"/>
          <w:b/>
          <w:sz w:val="22"/>
          <w:szCs w:val="22"/>
        </w:rPr>
        <w:t>veinticuatro de febrero de dos mil veinticinco</w:t>
      </w:r>
      <w:r w:rsidRPr="00CC3891">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xml:space="preserve"> presentara su informe justificado.</w:t>
      </w:r>
    </w:p>
    <w:p w14:paraId="1B345ABC" w14:textId="77777777" w:rsidR="004E4604" w:rsidRPr="00CC3891" w:rsidRDefault="004E460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2898EB3" w14:textId="77777777" w:rsidR="004E4604" w:rsidRPr="00CC3891" w:rsidRDefault="00CA70F9">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Manifestaciones</w:t>
      </w:r>
      <w:r w:rsidRPr="00CC3891">
        <w:rPr>
          <w:rFonts w:ascii="Palatino Linotype" w:eastAsia="Palatino Linotype" w:hAnsi="Palatino Linotype" w:cs="Palatino Linotype"/>
          <w:sz w:val="22"/>
          <w:szCs w:val="22"/>
        </w:rPr>
        <w:t xml:space="preserve">. En fecha </w:t>
      </w:r>
      <w:r w:rsidRPr="00CC3891">
        <w:rPr>
          <w:rFonts w:ascii="Palatino Linotype" w:eastAsia="Palatino Linotype" w:hAnsi="Palatino Linotype" w:cs="Palatino Linotype"/>
          <w:b/>
          <w:sz w:val="22"/>
          <w:szCs w:val="22"/>
        </w:rPr>
        <w:t>catorce de marzo de dos mil veinticinco</w:t>
      </w:r>
      <w:r w:rsidRPr="00CC3891">
        <w:rPr>
          <w:rFonts w:ascii="Palatino Linotype" w:eastAsia="Palatino Linotype" w:hAnsi="Palatino Linotype" w:cs="Palatino Linotype"/>
          <w:sz w:val="22"/>
          <w:szCs w:val="22"/>
        </w:rPr>
        <w:t xml:space="preserve">, el </w:t>
      </w:r>
      <w:r w:rsidRPr="00CC3891">
        <w:rPr>
          <w:rFonts w:ascii="Palatino Linotype" w:eastAsia="Palatino Linotype" w:hAnsi="Palatino Linotype" w:cs="Palatino Linotype"/>
          <w:b/>
          <w:sz w:val="22"/>
          <w:szCs w:val="22"/>
        </w:rPr>
        <w:t xml:space="preserve">SUJETO OBLIGADO </w:t>
      </w:r>
      <w:r w:rsidRPr="00CC3891">
        <w:rPr>
          <w:rFonts w:ascii="Palatino Linotype" w:eastAsia="Palatino Linotype" w:hAnsi="Palatino Linotype" w:cs="Palatino Linotype"/>
          <w:sz w:val="22"/>
          <w:szCs w:val="22"/>
        </w:rPr>
        <w:t xml:space="preserve">rindió su informe justificado al tenor de lo siguiente: </w:t>
      </w:r>
    </w:p>
    <w:p w14:paraId="32344FE8" w14:textId="77777777" w:rsidR="004E4604" w:rsidRPr="00CC3891" w:rsidRDefault="004E460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BEA39D2" w14:textId="77777777" w:rsidR="004E4604" w:rsidRPr="00CC3891" w:rsidRDefault="00CA70F9">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Título de Licenciado en Psicología Social y cédula profesional. </w:t>
      </w:r>
    </w:p>
    <w:p w14:paraId="03B8EC28" w14:textId="77777777" w:rsidR="004E4604" w:rsidRPr="00CC3891" w:rsidRDefault="004E4604">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68487D37" w14:textId="77777777" w:rsidR="004E4604" w:rsidRPr="00CC3891" w:rsidRDefault="00CA70F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 xml:space="preserve">Documento que se hizo del conocimiento de la parte Recurrente en fecha </w:t>
      </w:r>
      <w:r w:rsidRPr="00CC3891">
        <w:rPr>
          <w:rFonts w:ascii="Palatino Linotype" w:eastAsia="Palatino Linotype" w:hAnsi="Palatino Linotype" w:cs="Palatino Linotype"/>
          <w:b/>
          <w:sz w:val="22"/>
          <w:szCs w:val="22"/>
        </w:rPr>
        <w:t xml:space="preserve">dos de abril de dos mil veinticinco. </w:t>
      </w:r>
    </w:p>
    <w:p w14:paraId="3FF89A25" w14:textId="77777777" w:rsidR="004E4604" w:rsidRPr="00CC3891" w:rsidRDefault="004E4604">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F3E5E40" w14:textId="77777777" w:rsidR="004E4604" w:rsidRPr="00CC3891" w:rsidRDefault="00CA70F9">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Cierre de instrucción. </w:t>
      </w:r>
      <w:r w:rsidRPr="00CC3891">
        <w:rPr>
          <w:rFonts w:ascii="Palatino Linotype" w:eastAsia="Palatino Linotype" w:hAnsi="Palatino Linotype" w:cs="Palatino Linotype"/>
          <w:sz w:val="22"/>
          <w:szCs w:val="22"/>
        </w:rPr>
        <w:t xml:space="preserve">El </w:t>
      </w:r>
      <w:r w:rsidRPr="00CC3891">
        <w:rPr>
          <w:rFonts w:ascii="Palatino Linotype" w:eastAsia="Palatino Linotype" w:hAnsi="Palatino Linotype" w:cs="Palatino Linotype"/>
          <w:b/>
          <w:sz w:val="22"/>
          <w:szCs w:val="22"/>
        </w:rPr>
        <w:t>ocho de abril de dos mil veinticinco</w:t>
      </w:r>
      <w:r w:rsidRPr="00CC389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6B28ACD" w14:textId="77777777" w:rsidR="004E4604" w:rsidRPr="00CC3891" w:rsidRDefault="004E460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A83B43D"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9A652DD" w14:textId="77777777" w:rsidR="00CA70F9" w:rsidRPr="00CC3891" w:rsidRDefault="00CA70F9">
      <w:pPr>
        <w:spacing w:line="360" w:lineRule="auto"/>
        <w:jc w:val="both"/>
        <w:rPr>
          <w:rFonts w:ascii="Palatino Linotype" w:eastAsia="Palatino Linotype" w:hAnsi="Palatino Linotype" w:cs="Palatino Linotype"/>
          <w:sz w:val="22"/>
          <w:szCs w:val="22"/>
        </w:rPr>
      </w:pPr>
    </w:p>
    <w:p w14:paraId="0CC5C5CD" w14:textId="77777777" w:rsidR="004E4604" w:rsidRPr="00CC3891" w:rsidRDefault="00CA70F9">
      <w:pPr>
        <w:numPr>
          <w:ilvl w:val="0"/>
          <w:numId w:val="8"/>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3" w:name="_heading=h.30j0zll" w:colFirst="0" w:colLast="0"/>
      <w:bookmarkEnd w:id="3"/>
      <w:r w:rsidRPr="00CC3891">
        <w:rPr>
          <w:rFonts w:ascii="Palatino Linotype" w:eastAsia="Palatino Linotype" w:hAnsi="Palatino Linotype" w:cs="Palatino Linotype"/>
          <w:b/>
          <w:sz w:val="22"/>
          <w:szCs w:val="22"/>
        </w:rPr>
        <w:t>C O N S I D E R A N D O:</w:t>
      </w:r>
    </w:p>
    <w:p w14:paraId="1A41F0F6" w14:textId="77777777" w:rsidR="004E4604" w:rsidRPr="00CC3891" w:rsidRDefault="004E4604">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6EC5DCA4"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Primero. Competencia. </w:t>
      </w:r>
      <w:r w:rsidRPr="00CC3891">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w:t>
      </w:r>
      <w:r w:rsidRPr="00CC3891">
        <w:rPr>
          <w:rFonts w:ascii="Palatino Linotype" w:eastAsia="Palatino Linotype" w:hAnsi="Palatino Linotype" w:cs="Palatino Linotype"/>
          <w:sz w:val="22"/>
          <w:szCs w:val="22"/>
        </w:rPr>
        <w:lastRenderedPageBreak/>
        <w:t>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AE6029" w14:textId="77777777" w:rsidR="004E4604" w:rsidRPr="00CC3891" w:rsidRDefault="004E4604">
      <w:pPr>
        <w:spacing w:line="360" w:lineRule="auto"/>
        <w:jc w:val="both"/>
        <w:rPr>
          <w:rFonts w:ascii="Palatino Linotype" w:eastAsia="Palatino Linotype" w:hAnsi="Palatino Linotype" w:cs="Palatino Linotype"/>
          <w:b/>
          <w:sz w:val="22"/>
          <w:szCs w:val="22"/>
        </w:rPr>
      </w:pPr>
    </w:p>
    <w:p w14:paraId="37ABE3FB"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Segundo. Oportunidad y Procedibilidad del Recurso de Revisión</w:t>
      </w:r>
      <w:r w:rsidRPr="00CC389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855DAEA"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70BC2ED4"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xml:space="preserve"> proporcionó su respuesta a la solicitud de información el </w:t>
      </w:r>
      <w:r w:rsidRPr="00CC3891">
        <w:rPr>
          <w:rFonts w:ascii="Palatino Linotype" w:eastAsia="Palatino Linotype" w:hAnsi="Palatino Linotype" w:cs="Palatino Linotype"/>
          <w:b/>
          <w:sz w:val="22"/>
          <w:szCs w:val="22"/>
        </w:rPr>
        <w:t>dieciocho de febrero de dos mil veinticinco</w:t>
      </w:r>
      <w:r w:rsidRPr="00CC3891">
        <w:rPr>
          <w:rFonts w:ascii="Palatino Linotype" w:eastAsia="Palatino Linotype" w:hAnsi="Palatino Linotype" w:cs="Palatino Linotype"/>
          <w:sz w:val="22"/>
          <w:szCs w:val="22"/>
        </w:rPr>
        <w:t xml:space="preserve">, y la persona </w:t>
      </w:r>
      <w:r w:rsidRPr="00CC3891">
        <w:rPr>
          <w:rFonts w:ascii="Palatino Linotype" w:eastAsia="Palatino Linotype" w:hAnsi="Palatino Linotype" w:cs="Palatino Linotype"/>
          <w:b/>
          <w:sz w:val="22"/>
          <w:szCs w:val="22"/>
        </w:rPr>
        <w:t>RECURRENTE</w:t>
      </w:r>
      <w:r w:rsidRPr="00CC3891">
        <w:rPr>
          <w:rFonts w:ascii="Palatino Linotype" w:eastAsia="Palatino Linotype" w:hAnsi="Palatino Linotype" w:cs="Palatino Linotype"/>
          <w:sz w:val="22"/>
          <w:szCs w:val="22"/>
        </w:rPr>
        <w:t xml:space="preserve"> presentó su recurso de revisión el </w:t>
      </w:r>
      <w:r w:rsidRPr="00CC3891">
        <w:rPr>
          <w:rFonts w:ascii="Palatino Linotype" w:eastAsia="Palatino Linotype" w:hAnsi="Palatino Linotype" w:cs="Palatino Linotype"/>
          <w:b/>
          <w:sz w:val="22"/>
          <w:szCs w:val="22"/>
        </w:rPr>
        <w:t>diecinueve de febrero de dos mil veinticinco</w:t>
      </w:r>
      <w:r w:rsidRPr="00CC3891">
        <w:rPr>
          <w:rFonts w:ascii="Palatino Linotype" w:eastAsia="Palatino Linotype" w:hAnsi="Palatino Linotype" w:cs="Palatino Linotype"/>
          <w:sz w:val="22"/>
          <w:szCs w:val="22"/>
        </w:rPr>
        <w:t>;</w:t>
      </w:r>
      <w:r w:rsidRPr="00CC3891">
        <w:rPr>
          <w:rFonts w:ascii="Palatino Linotype" w:eastAsia="Palatino Linotype" w:hAnsi="Palatino Linotype" w:cs="Palatino Linotype"/>
          <w:b/>
          <w:sz w:val="22"/>
          <w:szCs w:val="22"/>
        </w:rPr>
        <w:t xml:space="preserve"> </w:t>
      </w:r>
      <w:r w:rsidRPr="00CC3891">
        <w:rPr>
          <w:rFonts w:ascii="Palatino Linotype" w:eastAsia="Palatino Linotype" w:hAnsi="Palatino Linotype" w:cs="Palatino Linotype"/>
          <w:sz w:val="22"/>
          <w:szCs w:val="22"/>
        </w:rPr>
        <w:t xml:space="preserve">esto es al siguiente día hábil en que tuvo conocimiento de la respuesta. </w:t>
      </w:r>
    </w:p>
    <w:p w14:paraId="7E5D6376" w14:textId="77777777" w:rsidR="004E4604" w:rsidRPr="00CC3891" w:rsidRDefault="004E4604">
      <w:pPr>
        <w:spacing w:line="276" w:lineRule="auto"/>
        <w:ind w:right="843"/>
        <w:jc w:val="both"/>
        <w:rPr>
          <w:rFonts w:ascii="Palatino Linotype" w:eastAsia="Palatino Linotype" w:hAnsi="Palatino Linotype" w:cs="Palatino Linotype"/>
          <w:i/>
          <w:sz w:val="22"/>
          <w:szCs w:val="22"/>
        </w:rPr>
      </w:pPr>
    </w:p>
    <w:p w14:paraId="5FBDAE2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0ACF4452"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4C7CC712"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V, VI y IX de la ley de la materia, que a la letra dice:</w:t>
      </w:r>
    </w:p>
    <w:p w14:paraId="69EDC9BD" w14:textId="77777777" w:rsidR="004E4604" w:rsidRPr="00CC3891" w:rsidRDefault="004E4604">
      <w:pPr>
        <w:spacing w:line="360" w:lineRule="auto"/>
        <w:ind w:left="567"/>
        <w:jc w:val="both"/>
        <w:rPr>
          <w:rFonts w:ascii="Palatino Linotype" w:eastAsia="Palatino Linotype" w:hAnsi="Palatino Linotype" w:cs="Palatino Linotype"/>
          <w:sz w:val="22"/>
          <w:szCs w:val="22"/>
        </w:rPr>
      </w:pPr>
    </w:p>
    <w:p w14:paraId="62614D72"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lastRenderedPageBreak/>
        <w:t>“</w:t>
      </w:r>
      <w:r w:rsidRPr="00CC3891">
        <w:rPr>
          <w:rFonts w:ascii="Palatino Linotype" w:eastAsia="Palatino Linotype" w:hAnsi="Palatino Linotype" w:cs="Palatino Linotype"/>
          <w:b/>
          <w:i/>
          <w:sz w:val="22"/>
          <w:szCs w:val="22"/>
        </w:rPr>
        <w:t xml:space="preserve">Artículo 179. </w:t>
      </w:r>
      <w:r w:rsidRPr="00CC3891">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9E4FCEF"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70C83397"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 La negativa a la información solicitada;</w:t>
      </w:r>
    </w:p>
    <w:p w14:paraId="4B700EBB"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24F204E9"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V. La entrega de información incompleta;</w:t>
      </w:r>
      <w:r w:rsidRPr="00CC3891">
        <w:rPr>
          <w:rFonts w:ascii="Palatino Linotype" w:eastAsia="Palatino Linotype" w:hAnsi="Palatino Linotype" w:cs="Palatino Linotype"/>
          <w:i/>
          <w:sz w:val="22"/>
          <w:szCs w:val="22"/>
        </w:rPr>
        <w:br/>
        <w:t>…</w:t>
      </w:r>
    </w:p>
    <w:p w14:paraId="73B3247A"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VI. La entrega de información que no corresponda con lo solicitado;</w:t>
      </w:r>
    </w:p>
    <w:p w14:paraId="3A8B4140"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0B530181"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IX. La entrega o puesta a disposición de información en un formato incomprensible y/o no accesible para el solicitante;</w:t>
      </w:r>
    </w:p>
    <w:p w14:paraId="0A6D6FC2" w14:textId="77777777" w:rsidR="004E4604" w:rsidRPr="00CC3891" w:rsidRDefault="00CA70F9">
      <w:pPr>
        <w:spacing w:line="360"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 </w:t>
      </w:r>
    </w:p>
    <w:p w14:paraId="23651A4E" w14:textId="77777777" w:rsidR="004E4604" w:rsidRPr="00CC3891" w:rsidRDefault="004E4604">
      <w:pPr>
        <w:spacing w:line="360" w:lineRule="auto"/>
        <w:ind w:right="616"/>
        <w:jc w:val="both"/>
        <w:rPr>
          <w:rFonts w:ascii="Palatino Linotype" w:eastAsia="Palatino Linotype" w:hAnsi="Palatino Linotype" w:cs="Palatino Linotype"/>
          <w:i/>
          <w:sz w:val="22"/>
          <w:szCs w:val="22"/>
        </w:rPr>
      </w:pPr>
    </w:p>
    <w:p w14:paraId="78AED7FB"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Tercero. Materia de Revisión</w:t>
      </w:r>
      <w:r w:rsidRPr="00CC3891">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V, VI y IX del artículo 179 de la Ley de Transparencia y Acceso a la Información Pública del Estado de México y Municipios.  </w:t>
      </w:r>
    </w:p>
    <w:p w14:paraId="66A0BA7B"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3F1EFC17"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Cuarto. Estudio de fondo del asunto. </w:t>
      </w:r>
      <w:r w:rsidRPr="00CC3891">
        <w:rPr>
          <w:rFonts w:ascii="Palatino Linotype" w:eastAsia="Palatino Linotype" w:hAnsi="Palatino Linotype" w:cs="Palatino Linotype"/>
          <w:sz w:val="22"/>
          <w:szCs w:val="22"/>
        </w:rPr>
        <w:t>Es conveniente analizar si la respuesta del Sujeto Obligado</w:t>
      </w:r>
      <w:r w:rsidRPr="00CC3891">
        <w:rPr>
          <w:rFonts w:ascii="Palatino Linotype" w:eastAsia="Palatino Linotype" w:hAnsi="Palatino Linotype" w:cs="Palatino Linotype"/>
          <w:b/>
          <w:sz w:val="22"/>
          <w:szCs w:val="22"/>
        </w:rPr>
        <w:t xml:space="preserve"> </w:t>
      </w:r>
      <w:r w:rsidRPr="00CC3891">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2B9DE6A"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4F965D1A" w14:textId="77777777" w:rsidR="004E4604" w:rsidRPr="00CC3891" w:rsidRDefault="00CA70F9">
      <w:pPr>
        <w:tabs>
          <w:tab w:val="left" w:pos="851"/>
        </w:tabs>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Artículo 4</w:t>
      </w:r>
      <w:r w:rsidRPr="00CC389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67E8B0E" w14:textId="77777777" w:rsidR="004E4604" w:rsidRPr="00CC3891" w:rsidRDefault="00CA70F9">
      <w:pPr>
        <w:tabs>
          <w:tab w:val="left" w:pos="851"/>
        </w:tabs>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CC389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FA98568" w14:textId="77777777" w:rsidR="004E4604" w:rsidRPr="00CC3891" w:rsidRDefault="00CA70F9">
      <w:pPr>
        <w:tabs>
          <w:tab w:val="left" w:pos="851"/>
        </w:tabs>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C3891">
        <w:rPr>
          <w:rFonts w:ascii="Palatino Linotype" w:eastAsia="Palatino Linotype" w:hAnsi="Palatino Linotype" w:cs="Palatino Linotype"/>
          <w:i/>
          <w:sz w:val="22"/>
          <w:szCs w:val="22"/>
        </w:rPr>
        <w:t>.”</w:t>
      </w:r>
    </w:p>
    <w:p w14:paraId="356FC125"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1B518488"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15611F3" w14:textId="77777777" w:rsidR="004E4604" w:rsidRPr="00CC3891" w:rsidRDefault="004E4604">
      <w:pPr>
        <w:spacing w:line="360" w:lineRule="auto"/>
        <w:ind w:right="616"/>
        <w:jc w:val="both"/>
        <w:rPr>
          <w:rFonts w:ascii="Palatino Linotype" w:eastAsia="Palatino Linotype" w:hAnsi="Palatino Linotype" w:cs="Palatino Linotype"/>
          <w:sz w:val="22"/>
          <w:szCs w:val="22"/>
        </w:rPr>
      </w:pPr>
    </w:p>
    <w:p w14:paraId="7DFB681F" w14:textId="77777777" w:rsidR="004E4604" w:rsidRPr="00CC3891" w:rsidRDefault="00CA70F9">
      <w:pPr>
        <w:tabs>
          <w:tab w:val="left" w:pos="6804"/>
        </w:tabs>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Artículo 12.-</w:t>
      </w:r>
      <w:r w:rsidRPr="00CC389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0D66D17"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CC3891">
        <w:rPr>
          <w:rFonts w:ascii="Palatino Linotype" w:eastAsia="Palatino Linotype" w:hAnsi="Palatino Linotype" w:cs="Palatino Linotype"/>
          <w:i/>
          <w:sz w:val="22"/>
          <w:szCs w:val="22"/>
        </w:rPr>
        <w:t xml:space="preserve">.” </w:t>
      </w:r>
    </w:p>
    <w:p w14:paraId="2D23E0B3" w14:textId="77777777" w:rsidR="004E4604" w:rsidRPr="00CC3891" w:rsidRDefault="004E4604">
      <w:pPr>
        <w:spacing w:line="360" w:lineRule="auto"/>
        <w:ind w:right="-93"/>
        <w:jc w:val="both"/>
        <w:rPr>
          <w:rFonts w:ascii="Palatino Linotype" w:eastAsia="Palatino Linotype" w:hAnsi="Palatino Linotype" w:cs="Palatino Linotype"/>
          <w:sz w:val="22"/>
          <w:szCs w:val="22"/>
        </w:rPr>
      </w:pPr>
    </w:p>
    <w:p w14:paraId="54700898" w14:textId="77777777" w:rsidR="004E4604" w:rsidRPr="00CC3891" w:rsidRDefault="00CA70F9">
      <w:pPr>
        <w:spacing w:line="360" w:lineRule="auto"/>
        <w:ind w:right="-93"/>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CC3891">
        <w:rPr>
          <w:rFonts w:ascii="Palatino Linotype" w:eastAsia="Palatino Linotype" w:hAnsi="Palatino Linotype" w:cs="Palatino Linotype"/>
          <w:sz w:val="22"/>
          <w:szCs w:val="22"/>
        </w:rPr>
        <w:lastRenderedPageBreak/>
        <w:t>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90699B1" w14:textId="77777777" w:rsidR="004E4604" w:rsidRPr="00CC3891" w:rsidRDefault="004E4604">
      <w:pPr>
        <w:spacing w:line="360" w:lineRule="auto"/>
        <w:ind w:right="-93"/>
        <w:jc w:val="both"/>
        <w:rPr>
          <w:rFonts w:ascii="Palatino Linotype" w:eastAsia="Palatino Linotype" w:hAnsi="Palatino Linotype" w:cs="Palatino Linotype"/>
          <w:sz w:val="22"/>
          <w:szCs w:val="22"/>
        </w:rPr>
      </w:pPr>
    </w:p>
    <w:p w14:paraId="3D42F969" w14:textId="77777777" w:rsidR="004E4604" w:rsidRPr="00CC3891" w:rsidRDefault="00CA70F9">
      <w:pPr>
        <w:spacing w:line="360" w:lineRule="auto"/>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Sirve de apoyo a lo anterior, el criterio 03-17, expuesto por el entonces Instituto Nacional de Transparencia, Acceso a la Información y Protección de Datos Personales, que dice:</w:t>
      </w:r>
      <w:r w:rsidRPr="00CC3891">
        <w:rPr>
          <w:rFonts w:ascii="Palatino Linotype" w:eastAsia="Palatino Linotype" w:hAnsi="Palatino Linotype" w:cs="Palatino Linotype"/>
          <w:b/>
          <w:sz w:val="22"/>
          <w:szCs w:val="22"/>
        </w:rPr>
        <w:t xml:space="preserve"> </w:t>
      </w:r>
    </w:p>
    <w:p w14:paraId="4D671061" w14:textId="77777777" w:rsidR="004E4604" w:rsidRPr="00CC3891" w:rsidRDefault="004E4604">
      <w:pPr>
        <w:spacing w:line="276" w:lineRule="auto"/>
        <w:ind w:right="850"/>
        <w:jc w:val="both"/>
        <w:rPr>
          <w:rFonts w:ascii="Palatino Linotype" w:eastAsia="Palatino Linotype" w:hAnsi="Palatino Linotype" w:cs="Palatino Linotype"/>
          <w:sz w:val="22"/>
          <w:szCs w:val="22"/>
        </w:rPr>
      </w:pPr>
    </w:p>
    <w:p w14:paraId="05EC2DE9" w14:textId="77777777" w:rsidR="004E4604" w:rsidRPr="00CC3891" w:rsidRDefault="00CA70F9">
      <w:pPr>
        <w:spacing w:line="276" w:lineRule="auto"/>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No existe obligación de elaborar documentos ad hoc para atender las solicitudes de acceso a la información.</w:t>
      </w:r>
      <w:r w:rsidRPr="00CC389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0AA00DC" w14:textId="77777777" w:rsidR="004E4604" w:rsidRPr="00CC3891" w:rsidRDefault="004E4604">
      <w:pPr>
        <w:spacing w:line="276" w:lineRule="auto"/>
        <w:ind w:right="616"/>
        <w:jc w:val="both"/>
        <w:rPr>
          <w:rFonts w:ascii="Palatino Linotype" w:eastAsia="Palatino Linotype" w:hAnsi="Palatino Linotype" w:cs="Palatino Linotype"/>
          <w:i/>
          <w:sz w:val="22"/>
          <w:szCs w:val="22"/>
        </w:rPr>
      </w:pPr>
    </w:p>
    <w:p w14:paraId="24EFE120"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19C3D01"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01DD0192"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691E5FB"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76307A8A"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CDA055B"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130C4C67" w14:textId="77777777" w:rsidR="004E4604" w:rsidRPr="00CC3891" w:rsidRDefault="00CA70F9">
      <w:pPr>
        <w:spacing w:line="276" w:lineRule="auto"/>
        <w:ind w:left="567" w:right="89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 xml:space="preserve">Artículo 3. </w:t>
      </w:r>
      <w:r w:rsidRPr="00CC3891">
        <w:rPr>
          <w:rFonts w:ascii="Palatino Linotype" w:eastAsia="Palatino Linotype" w:hAnsi="Palatino Linotype" w:cs="Palatino Linotype"/>
          <w:i/>
          <w:sz w:val="22"/>
          <w:szCs w:val="22"/>
        </w:rPr>
        <w:t>Para los efectos de la presente Ley se entenderá por:</w:t>
      </w:r>
    </w:p>
    <w:p w14:paraId="59DBC4D0" w14:textId="77777777" w:rsidR="004E4604" w:rsidRPr="00CC3891" w:rsidRDefault="00CA70F9">
      <w:pPr>
        <w:spacing w:line="276" w:lineRule="auto"/>
        <w:ind w:left="567" w:right="89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5F1A3EA5" w14:textId="77777777" w:rsidR="004E4604" w:rsidRPr="00CC3891" w:rsidRDefault="00CA70F9">
      <w:pPr>
        <w:spacing w:line="276" w:lineRule="auto"/>
        <w:ind w:left="567" w:right="89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XI. Documento:</w:t>
      </w:r>
      <w:r w:rsidRPr="00CC3891">
        <w:rPr>
          <w:rFonts w:ascii="Palatino Linotype" w:eastAsia="Palatino Linotype" w:hAnsi="Palatino Linotype" w:cs="Palatino Linotype"/>
          <w:i/>
          <w:sz w:val="22"/>
          <w:szCs w:val="22"/>
        </w:rPr>
        <w:t xml:space="preserve"> Los expedientes, reportes, estudios, actas</w:t>
      </w:r>
      <w:r w:rsidRPr="00CC3891">
        <w:rPr>
          <w:rFonts w:ascii="Palatino Linotype" w:eastAsia="Palatino Linotype" w:hAnsi="Palatino Linotype" w:cs="Palatino Linotype"/>
          <w:b/>
          <w:i/>
          <w:sz w:val="22"/>
          <w:szCs w:val="22"/>
        </w:rPr>
        <w:t>,</w:t>
      </w:r>
      <w:r w:rsidRPr="00CC389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CE22D0A" w14:textId="77777777" w:rsidR="004E4604" w:rsidRPr="00CC3891" w:rsidRDefault="004E4604">
      <w:pPr>
        <w:spacing w:line="360" w:lineRule="auto"/>
        <w:ind w:right="899"/>
        <w:jc w:val="both"/>
        <w:rPr>
          <w:rFonts w:ascii="Palatino Linotype" w:eastAsia="Palatino Linotype" w:hAnsi="Palatino Linotype" w:cs="Palatino Linotype"/>
          <w:sz w:val="22"/>
          <w:szCs w:val="22"/>
        </w:rPr>
      </w:pPr>
    </w:p>
    <w:p w14:paraId="5BE69E17"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94BC0CE" w14:textId="77777777" w:rsidR="004E4604" w:rsidRPr="00CC3891" w:rsidRDefault="004E4604">
      <w:pPr>
        <w:spacing w:line="360" w:lineRule="auto"/>
        <w:ind w:right="899"/>
        <w:jc w:val="both"/>
        <w:rPr>
          <w:rFonts w:ascii="Palatino Linotype" w:eastAsia="Palatino Linotype" w:hAnsi="Palatino Linotype" w:cs="Palatino Linotype"/>
          <w:sz w:val="22"/>
          <w:szCs w:val="22"/>
        </w:rPr>
      </w:pPr>
    </w:p>
    <w:p w14:paraId="2A30809E" w14:textId="77777777" w:rsidR="004E4604" w:rsidRPr="00CC3891" w:rsidRDefault="00CA70F9">
      <w:pPr>
        <w:spacing w:line="276" w:lineRule="auto"/>
        <w:ind w:left="567" w:right="899"/>
        <w:jc w:val="both"/>
        <w:rPr>
          <w:rFonts w:ascii="Palatino Linotype" w:eastAsia="Palatino Linotype" w:hAnsi="Palatino Linotype" w:cs="Palatino Linotype"/>
          <w:b/>
          <w:i/>
          <w:sz w:val="22"/>
          <w:szCs w:val="22"/>
        </w:rPr>
      </w:pPr>
      <w:r w:rsidRPr="00CC3891">
        <w:rPr>
          <w:rFonts w:ascii="Palatino Linotype" w:eastAsia="Palatino Linotype" w:hAnsi="Palatino Linotype" w:cs="Palatino Linotype"/>
          <w:b/>
          <w:sz w:val="22"/>
          <w:szCs w:val="22"/>
        </w:rPr>
        <w:t>“</w:t>
      </w:r>
      <w:r w:rsidRPr="00CC3891">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CC389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CC3891">
        <w:rPr>
          <w:rFonts w:ascii="Palatino Linotype" w:eastAsia="Palatino Linotype" w:hAnsi="Palatino Linotype" w:cs="Palatino Linotype"/>
          <w:i/>
          <w:sz w:val="22"/>
          <w:szCs w:val="22"/>
        </w:rPr>
        <w:lastRenderedPageBreak/>
        <w:t>del ejercicio de sus funciones de derecho público, sin importar su fuente, soporte o fecha de elaboración.</w:t>
      </w:r>
    </w:p>
    <w:p w14:paraId="21C308D0" w14:textId="77777777" w:rsidR="004E4604" w:rsidRPr="00CC3891" w:rsidRDefault="00CA70F9">
      <w:pPr>
        <w:spacing w:line="276" w:lineRule="auto"/>
        <w:ind w:left="567" w:right="89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En </w:t>
      </w:r>
      <w:proofErr w:type="gramStart"/>
      <w:r w:rsidRPr="00CC3891">
        <w:rPr>
          <w:rFonts w:ascii="Palatino Linotype" w:eastAsia="Palatino Linotype" w:hAnsi="Palatino Linotype" w:cs="Palatino Linotype"/>
          <w:i/>
          <w:sz w:val="22"/>
          <w:szCs w:val="22"/>
        </w:rPr>
        <w:t>consecuencia</w:t>
      </w:r>
      <w:proofErr w:type="gramEnd"/>
      <w:r w:rsidRPr="00CC3891">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235DE1E" w14:textId="77777777" w:rsidR="004E4604" w:rsidRPr="00CC3891" w:rsidRDefault="00CA70F9">
      <w:pPr>
        <w:spacing w:line="276" w:lineRule="auto"/>
        <w:ind w:left="567" w:right="89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1) Que se trate de información registrada en cualquier soporte documental, </w:t>
      </w:r>
      <w:proofErr w:type="gramStart"/>
      <w:r w:rsidRPr="00CC3891">
        <w:rPr>
          <w:rFonts w:ascii="Palatino Linotype" w:eastAsia="Palatino Linotype" w:hAnsi="Palatino Linotype" w:cs="Palatino Linotype"/>
          <w:i/>
          <w:sz w:val="22"/>
          <w:szCs w:val="22"/>
        </w:rPr>
        <w:t>que</w:t>
      </w:r>
      <w:proofErr w:type="gramEnd"/>
      <w:r w:rsidRPr="00CC3891">
        <w:rPr>
          <w:rFonts w:ascii="Palatino Linotype" w:eastAsia="Palatino Linotype" w:hAnsi="Palatino Linotype" w:cs="Palatino Linotype"/>
          <w:i/>
          <w:sz w:val="22"/>
          <w:szCs w:val="22"/>
        </w:rPr>
        <w:t xml:space="preserve"> en ejercicio de las atribuciones conferidas, sea generada por los Sujetos Obligados;</w:t>
      </w:r>
    </w:p>
    <w:p w14:paraId="7796F478" w14:textId="77777777" w:rsidR="004E4604" w:rsidRPr="00CC3891" w:rsidRDefault="00CA70F9">
      <w:pPr>
        <w:spacing w:line="276" w:lineRule="auto"/>
        <w:ind w:left="567" w:right="899"/>
        <w:jc w:val="both"/>
        <w:rPr>
          <w:rFonts w:ascii="Palatino Linotype" w:eastAsia="Palatino Linotype" w:hAnsi="Palatino Linotype" w:cs="Palatino Linotype"/>
          <w:b/>
          <w:i/>
          <w:sz w:val="22"/>
          <w:szCs w:val="22"/>
        </w:rPr>
      </w:pPr>
      <w:r w:rsidRPr="00CC3891">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CC3891">
        <w:rPr>
          <w:rFonts w:ascii="Palatino Linotype" w:eastAsia="Palatino Linotype" w:hAnsi="Palatino Linotype" w:cs="Palatino Linotype"/>
          <w:b/>
          <w:i/>
          <w:sz w:val="22"/>
          <w:szCs w:val="22"/>
        </w:rPr>
        <w:t>que</w:t>
      </w:r>
      <w:proofErr w:type="gramEnd"/>
      <w:r w:rsidRPr="00CC3891">
        <w:rPr>
          <w:rFonts w:ascii="Palatino Linotype" w:eastAsia="Palatino Linotype" w:hAnsi="Palatino Linotype" w:cs="Palatino Linotype"/>
          <w:b/>
          <w:i/>
          <w:sz w:val="22"/>
          <w:szCs w:val="22"/>
        </w:rPr>
        <w:t xml:space="preserve"> en ejercicio de las atribuciones conferidas, sea administrada por los Sujetos Obligados, y</w:t>
      </w:r>
    </w:p>
    <w:p w14:paraId="752D9C0C" w14:textId="77777777" w:rsidR="004E4604" w:rsidRPr="00CC3891" w:rsidRDefault="00CA70F9">
      <w:pPr>
        <w:spacing w:line="276" w:lineRule="auto"/>
        <w:ind w:left="567" w:right="899"/>
        <w:jc w:val="both"/>
        <w:rPr>
          <w:rFonts w:ascii="Palatino Linotype" w:eastAsia="Palatino Linotype" w:hAnsi="Palatino Linotype" w:cs="Palatino Linotype"/>
          <w:b/>
          <w:i/>
          <w:sz w:val="22"/>
          <w:szCs w:val="22"/>
        </w:rPr>
      </w:pPr>
      <w:r w:rsidRPr="00CC3891">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CC3891">
        <w:rPr>
          <w:rFonts w:ascii="Palatino Linotype" w:eastAsia="Palatino Linotype" w:hAnsi="Palatino Linotype" w:cs="Palatino Linotype"/>
          <w:b/>
          <w:i/>
          <w:sz w:val="22"/>
          <w:szCs w:val="22"/>
        </w:rPr>
        <w:t>que</w:t>
      </w:r>
      <w:proofErr w:type="gramEnd"/>
      <w:r w:rsidRPr="00CC3891">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71C86D52" w14:textId="77777777" w:rsidR="004E4604" w:rsidRPr="00CC3891" w:rsidRDefault="004E4604">
      <w:pPr>
        <w:spacing w:line="360" w:lineRule="auto"/>
        <w:ind w:left="567"/>
        <w:jc w:val="both"/>
        <w:rPr>
          <w:rFonts w:ascii="Palatino Linotype" w:eastAsia="Palatino Linotype" w:hAnsi="Palatino Linotype" w:cs="Palatino Linotype"/>
          <w:sz w:val="22"/>
          <w:szCs w:val="22"/>
        </w:rPr>
      </w:pPr>
    </w:p>
    <w:p w14:paraId="3116D176"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Dicho lo anterior, resulta necesario recordar que la pretensión de la persona Solicitante, es obtener del Sistema Municipal para el Desarrollo Integral de la Familia de Tultitlán, por lo que, por cuestiones de técnica jurídica se realizó el siguiente cuadro de análisis:</w:t>
      </w:r>
    </w:p>
    <w:p w14:paraId="536E5A48" w14:textId="77777777" w:rsidR="004E4604" w:rsidRPr="00CC3891" w:rsidRDefault="004E4604">
      <w:pPr>
        <w:spacing w:line="360" w:lineRule="auto"/>
        <w:jc w:val="both"/>
        <w:rPr>
          <w:rFonts w:ascii="Palatino Linotype" w:eastAsia="Palatino Linotype" w:hAnsi="Palatino Linotype" w:cs="Palatino Linotype"/>
          <w:sz w:val="22"/>
          <w:szCs w:val="22"/>
        </w:rPr>
      </w:pPr>
    </w:p>
    <w:tbl>
      <w:tblPr>
        <w:tblStyle w:val="a"/>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2414"/>
        <w:gridCol w:w="2410"/>
        <w:gridCol w:w="1843"/>
        <w:gridCol w:w="2126"/>
      </w:tblGrid>
      <w:tr w:rsidR="00E57EFC" w:rsidRPr="00CC3891" w14:paraId="7C9DDE63" w14:textId="77777777">
        <w:tc>
          <w:tcPr>
            <w:tcW w:w="436" w:type="dxa"/>
            <w:tcBorders>
              <w:top w:val="nil"/>
              <w:left w:val="nil"/>
            </w:tcBorders>
            <w:shd w:val="clear" w:color="auto" w:fill="FFFFFF"/>
          </w:tcPr>
          <w:p w14:paraId="4B8A61C2" w14:textId="77777777" w:rsidR="004E4604" w:rsidRPr="00CC3891" w:rsidRDefault="004E4604">
            <w:pPr>
              <w:jc w:val="both"/>
              <w:rPr>
                <w:rFonts w:ascii="Palatino Linotype" w:eastAsia="Palatino Linotype" w:hAnsi="Palatino Linotype" w:cs="Palatino Linotype"/>
                <w:b/>
                <w:sz w:val="20"/>
                <w:szCs w:val="20"/>
              </w:rPr>
            </w:pPr>
          </w:p>
        </w:tc>
        <w:tc>
          <w:tcPr>
            <w:tcW w:w="2414" w:type="dxa"/>
            <w:shd w:val="clear" w:color="auto" w:fill="D9D9D9"/>
          </w:tcPr>
          <w:p w14:paraId="16D53502" w14:textId="77777777" w:rsidR="004E4604" w:rsidRPr="00CC3891" w:rsidRDefault="00CA70F9">
            <w:pPr>
              <w:jc w:val="center"/>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Requerimiento</w:t>
            </w:r>
          </w:p>
        </w:tc>
        <w:tc>
          <w:tcPr>
            <w:tcW w:w="2410" w:type="dxa"/>
            <w:shd w:val="clear" w:color="auto" w:fill="D9D9D9"/>
          </w:tcPr>
          <w:p w14:paraId="0C5F45ED" w14:textId="77777777" w:rsidR="004E4604" w:rsidRPr="00CC3891" w:rsidRDefault="00CA70F9">
            <w:pPr>
              <w:jc w:val="center"/>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Respuesta</w:t>
            </w:r>
          </w:p>
        </w:tc>
        <w:tc>
          <w:tcPr>
            <w:tcW w:w="1843" w:type="dxa"/>
            <w:shd w:val="clear" w:color="auto" w:fill="D9D9D9"/>
          </w:tcPr>
          <w:p w14:paraId="3E0A516A" w14:textId="77777777" w:rsidR="004E4604" w:rsidRPr="00CC3891" w:rsidRDefault="00CA70F9">
            <w:pPr>
              <w:jc w:val="center"/>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Motivo de Inconformidad</w:t>
            </w:r>
          </w:p>
        </w:tc>
        <w:tc>
          <w:tcPr>
            <w:tcW w:w="2126" w:type="dxa"/>
            <w:shd w:val="clear" w:color="auto" w:fill="D9D9D9"/>
          </w:tcPr>
          <w:p w14:paraId="2CE231D1" w14:textId="77777777" w:rsidR="004E4604" w:rsidRPr="00CC3891" w:rsidRDefault="00CA70F9">
            <w:pPr>
              <w:jc w:val="center"/>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Observaciones</w:t>
            </w:r>
          </w:p>
        </w:tc>
      </w:tr>
      <w:tr w:rsidR="00E57EFC" w:rsidRPr="00CC3891" w14:paraId="639F7C50" w14:textId="77777777">
        <w:tc>
          <w:tcPr>
            <w:tcW w:w="436" w:type="dxa"/>
            <w:shd w:val="clear" w:color="auto" w:fill="D9D9D9"/>
          </w:tcPr>
          <w:p w14:paraId="4F697666"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1</w:t>
            </w:r>
          </w:p>
        </w:tc>
        <w:tc>
          <w:tcPr>
            <w:tcW w:w="2414" w:type="dxa"/>
          </w:tcPr>
          <w:p w14:paraId="1BEFF96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Toda la recaudación que tuvo el sistema municipal para el desarrollo integral de la familia de Tultitlan del 01 de junio del 2024 al 31 de diciembre del 2024, que la información incluya todos los conceptos de recaudación, comprobantes, montos y todo lo relacionado con los ingresos, al igual que los Boucher o el comprobante de los depósitos a la institución bancaria con la que trabajen. </w:t>
            </w:r>
          </w:p>
        </w:tc>
        <w:tc>
          <w:tcPr>
            <w:tcW w:w="2410" w:type="dxa"/>
          </w:tcPr>
          <w:p w14:paraId="603FAFCB"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Tesorero Municipal, remitió un formato Excel que contiene los ingresos de junio, julio, agosto, septiembre, octubre, noviembre y diciembre de dos mil veinticuatro. </w:t>
            </w:r>
          </w:p>
        </w:tc>
        <w:tc>
          <w:tcPr>
            <w:tcW w:w="1843" w:type="dxa"/>
          </w:tcPr>
          <w:p w14:paraId="0647F49D"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117FD3CD"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Actos consentidos</w:t>
            </w:r>
          </w:p>
          <w:p w14:paraId="6FED0BC1" w14:textId="77777777" w:rsidR="004E4604" w:rsidRPr="00CC3891" w:rsidRDefault="004E4604">
            <w:pPr>
              <w:jc w:val="center"/>
              <w:rPr>
                <w:rFonts w:ascii="Palatino Linotype" w:eastAsia="Palatino Linotype" w:hAnsi="Palatino Linotype" w:cs="Palatino Linotype"/>
                <w:sz w:val="20"/>
                <w:szCs w:val="20"/>
              </w:rPr>
            </w:pPr>
          </w:p>
          <w:p w14:paraId="73E8D25D" w14:textId="77777777" w:rsidR="004E4604" w:rsidRPr="00CC3891" w:rsidRDefault="004E4604">
            <w:pPr>
              <w:jc w:val="center"/>
              <w:rPr>
                <w:rFonts w:ascii="Palatino Linotype" w:eastAsia="Palatino Linotype" w:hAnsi="Palatino Linotype" w:cs="Palatino Linotype"/>
                <w:sz w:val="20"/>
                <w:szCs w:val="20"/>
              </w:rPr>
            </w:pPr>
          </w:p>
          <w:p w14:paraId="45DB1F50" w14:textId="77777777" w:rsidR="004E4604" w:rsidRPr="00CC3891" w:rsidRDefault="004E4604">
            <w:pPr>
              <w:jc w:val="center"/>
              <w:rPr>
                <w:rFonts w:ascii="Palatino Linotype" w:eastAsia="Palatino Linotype" w:hAnsi="Palatino Linotype" w:cs="Palatino Linotype"/>
                <w:sz w:val="20"/>
                <w:szCs w:val="20"/>
              </w:rPr>
            </w:pPr>
          </w:p>
          <w:p w14:paraId="024D1EB3" w14:textId="77777777" w:rsidR="004E4604" w:rsidRPr="00CC3891" w:rsidRDefault="004E4604">
            <w:pPr>
              <w:jc w:val="center"/>
              <w:rPr>
                <w:rFonts w:ascii="Palatino Linotype" w:eastAsia="Palatino Linotype" w:hAnsi="Palatino Linotype" w:cs="Palatino Linotype"/>
                <w:sz w:val="20"/>
                <w:szCs w:val="20"/>
              </w:rPr>
            </w:pPr>
          </w:p>
        </w:tc>
      </w:tr>
      <w:tr w:rsidR="00E57EFC" w:rsidRPr="00CC3891" w14:paraId="01DB67EC" w14:textId="77777777">
        <w:tc>
          <w:tcPr>
            <w:tcW w:w="436" w:type="dxa"/>
            <w:shd w:val="clear" w:color="auto" w:fill="D9D9D9"/>
          </w:tcPr>
          <w:p w14:paraId="7870E73F"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lastRenderedPageBreak/>
              <w:t>2</w:t>
            </w:r>
          </w:p>
        </w:tc>
        <w:tc>
          <w:tcPr>
            <w:tcW w:w="2414" w:type="dxa"/>
          </w:tcPr>
          <w:p w14:paraId="1E645918"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El padrón y expediente que se dieron de alta del 01 de mayo del 2024 al 31 de diciembre del 2024 en el Sistema Municipal para el Desarrollo Integral de la Familia de Tultitlán. Incluyendo su actividad preponderante, cedula de alta, y los demás requisitos que marca la ley para por darse de alta como proveedor del gobierno.</w:t>
            </w:r>
          </w:p>
        </w:tc>
        <w:tc>
          <w:tcPr>
            <w:tcW w:w="2410" w:type="dxa"/>
          </w:tcPr>
          <w:p w14:paraId="0ABAB54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Jefe del Departamento de Adquisiciones remitió el catálogo de proveedores de bienes y prestadores de servicios 2024. </w:t>
            </w:r>
          </w:p>
        </w:tc>
        <w:tc>
          <w:tcPr>
            <w:tcW w:w="1843" w:type="dxa"/>
          </w:tcPr>
          <w:p w14:paraId="37C92A2D"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3B63E1D4"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Actos consentidos</w:t>
            </w:r>
          </w:p>
        </w:tc>
      </w:tr>
      <w:tr w:rsidR="00E57EFC" w:rsidRPr="00CC3891" w14:paraId="21457ADC" w14:textId="77777777">
        <w:tc>
          <w:tcPr>
            <w:tcW w:w="436" w:type="dxa"/>
            <w:shd w:val="clear" w:color="auto" w:fill="D9D9D9"/>
          </w:tcPr>
          <w:p w14:paraId="592E7D68"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3</w:t>
            </w:r>
          </w:p>
        </w:tc>
        <w:tc>
          <w:tcPr>
            <w:tcW w:w="2414" w:type="dxa"/>
          </w:tcPr>
          <w:p w14:paraId="678DF338"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Todas y cada una de las compras y adquisiciones que se han realizado del 01 de mayo del 2024 al 31 de diciembre del 2024, por parte del sistema municipal, debiéndose incluir el soporte documental tales como facturas, requisiciones de área, la evidencia de su entrega, entrada y salida de almacén.</w:t>
            </w:r>
          </w:p>
        </w:tc>
        <w:tc>
          <w:tcPr>
            <w:tcW w:w="2410" w:type="dxa"/>
          </w:tcPr>
          <w:p w14:paraId="4BB8A68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Jefe del Departamento de Adquisiciones remitió diversos oficios en formato PDF del mes de mayo que consta de (168) fojas, junio que consta de (43) fojas, julio que consta de (649) fojas, agosto que consta de (288) fojas, septiembre que consta de (328) fojas, octubre que consta de (363) fojas, noviembre que consta de (319) fojas y diciembre que consta de (478) fojas relativos a las compras realizadas por el Sujeto Obligado. </w:t>
            </w:r>
          </w:p>
        </w:tc>
        <w:tc>
          <w:tcPr>
            <w:tcW w:w="1843" w:type="dxa"/>
          </w:tcPr>
          <w:p w14:paraId="05D95433"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Se inconformo arguyendo que se habían agregado compras de otros tiempos. </w:t>
            </w:r>
          </w:p>
          <w:p w14:paraId="7D7FE31E" w14:textId="77777777" w:rsidR="004E4604" w:rsidRPr="00CC3891" w:rsidRDefault="004E4604">
            <w:pPr>
              <w:jc w:val="both"/>
              <w:rPr>
                <w:rFonts w:ascii="Palatino Linotype" w:eastAsia="Palatino Linotype" w:hAnsi="Palatino Linotype" w:cs="Palatino Linotype"/>
                <w:sz w:val="20"/>
                <w:szCs w:val="20"/>
              </w:rPr>
            </w:pPr>
          </w:p>
          <w:p w14:paraId="2E38F7C0"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Que faltaban firmas. </w:t>
            </w:r>
          </w:p>
          <w:p w14:paraId="5A855258" w14:textId="77777777" w:rsidR="004E4604" w:rsidRPr="00CC3891" w:rsidRDefault="004E4604">
            <w:pPr>
              <w:jc w:val="both"/>
              <w:rPr>
                <w:rFonts w:ascii="Palatino Linotype" w:eastAsia="Palatino Linotype" w:hAnsi="Palatino Linotype" w:cs="Palatino Linotype"/>
                <w:sz w:val="20"/>
                <w:szCs w:val="20"/>
              </w:rPr>
            </w:pPr>
          </w:p>
          <w:p w14:paraId="47B4F2C1"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Que la información se pidió por </w:t>
            </w:r>
            <w:proofErr w:type="gramStart"/>
            <w:r w:rsidRPr="00CC3891">
              <w:rPr>
                <w:rFonts w:ascii="Palatino Linotype" w:eastAsia="Palatino Linotype" w:hAnsi="Palatino Linotype" w:cs="Palatino Linotype"/>
                <w:sz w:val="20"/>
                <w:szCs w:val="20"/>
              </w:rPr>
              <w:t>separado</w:t>
            </w:r>
            <w:proofErr w:type="gramEnd"/>
            <w:r w:rsidRPr="00CC3891">
              <w:rPr>
                <w:rFonts w:ascii="Palatino Linotype" w:eastAsia="Palatino Linotype" w:hAnsi="Palatino Linotype" w:cs="Palatino Linotype"/>
                <w:sz w:val="20"/>
                <w:szCs w:val="20"/>
              </w:rPr>
              <w:t xml:space="preserve"> pero se </w:t>
            </w:r>
            <w:proofErr w:type="spellStart"/>
            <w:r w:rsidRPr="00CC3891">
              <w:rPr>
                <w:rFonts w:ascii="Palatino Linotype" w:eastAsia="Palatino Linotype" w:hAnsi="Palatino Linotype" w:cs="Palatino Linotype"/>
                <w:sz w:val="20"/>
                <w:szCs w:val="20"/>
              </w:rPr>
              <w:t>ajuntó</w:t>
            </w:r>
            <w:proofErr w:type="spellEnd"/>
            <w:r w:rsidRPr="00CC3891">
              <w:rPr>
                <w:rFonts w:ascii="Palatino Linotype" w:eastAsia="Palatino Linotype" w:hAnsi="Palatino Linotype" w:cs="Palatino Linotype"/>
                <w:sz w:val="20"/>
                <w:szCs w:val="20"/>
              </w:rPr>
              <w:t xml:space="preserve"> en un archivo. </w:t>
            </w:r>
          </w:p>
          <w:p w14:paraId="03D1A877" w14:textId="77777777" w:rsidR="004E4604" w:rsidRPr="00CC3891" w:rsidRDefault="004E4604">
            <w:pPr>
              <w:jc w:val="both"/>
              <w:rPr>
                <w:rFonts w:ascii="Palatino Linotype" w:eastAsia="Palatino Linotype" w:hAnsi="Palatino Linotype" w:cs="Palatino Linotype"/>
                <w:sz w:val="20"/>
                <w:szCs w:val="20"/>
              </w:rPr>
            </w:pPr>
          </w:p>
          <w:p w14:paraId="1D38823F"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Que no tienen un orden. </w:t>
            </w:r>
          </w:p>
          <w:p w14:paraId="1BE97A63" w14:textId="77777777" w:rsidR="004E4604" w:rsidRPr="00CC3891" w:rsidRDefault="004E4604">
            <w:pPr>
              <w:jc w:val="both"/>
              <w:rPr>
                <w:rFonts w:ascii="Palatino Linotype" w:eastAsia="Palatino Linotype" w:hAnsi="Palatino Linotype" w:cs="Palatino Linotype"/>
                <w:sz w:val="20"/>
                <w:szCs w:val="20"/>
              </w:rPr>
            </w:pPr>
          </w:p>
          <w:p w14:paraId="6708F716"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Que la información escaneada no es clara.</w:t>
            </w:r>
          </w:p>
        </w:tc>
        <w:tc>
          <w:tcPr>
            <w:tcW w:w="2126" w:type="dxa"/>
          </w:tcPr>
          <w:p w14:paraId="5DFC0000"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Parcialmente</w:t>
            </w:r>
          </w:p>
          <w:p w14:paraId="2798E741" w14:textId="77777777" w:rsidR="004E4604" w:rsidRPr="00CC3891" w:rsidRDefault="004E4604">
            <w:pPr>
              <w:jc w:val="center"/>
              <w:rPr>
                <w:rFonts w:ascii="Palatino Linotype" w:eastAsia="Palatino Linotype" w:hAnsi="Palatino Linotype" w:cs="Palatino Linotype"/>
                <w:sz w:val="20"/>
                <w:szCs w:val="20"/>
              </w:rPr>
            </w:pPr>
          </w:p>
          <w:p w14:paraId="2FEC67A1"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Si bien se entregó información de otras fechas, también proporcionó la información de la temporalidad solicitada. </w:t>
            </w:r>
          </w:p>
          <w:p w14:paraId="1B505C1D" w14:textId="77777777" w:rsidR="004E4604" w:rsidRPr="00CC3891" w:rsidRDefault="004E4604">
            <w:pPr>
              <w:jc w:val="center"/>
              <w:rPr>
                <w:rFonts w:ascii="Palatino Linotype" w:eastAsia="Palatino Linotype" w:hAnsi="Palatino Linotype" w:cs="Palatino Linotype"/>
                <w:sz w:val="20"/>
                <w:szCs w:val="20"/>
              </w:rPr>
            </w:pPr>
          </w:p>
          <w:p w14:paraId="74EA8917"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Se consideró que se proporcionó la información que obra en los archivos del Sujeto Obligado.</w:t>
            </w:r>
          </w:p>
          <w:p w14:paraId="649A3F46" w14:textId="77777777" w:rsidR="004E4604" w:rsidRPr="00CC3891" w:rsidRDefault="004E4604">
            <w:pPr>
              <w:jc w:val="center"/>
              <w:rPr>
                <w:rFonts w:ascii="Palatino Linotype" w:eastAsia="Palatino Linotype" w:hAnsi="Palatino Linotype" w:cs="Palatino Linotype"/>
                <w:sz w:val="20"/>
                <w:szCs w:val="20"/>
              </w:rPr>
            </w:pPr>
          </w:p>
          <w:p w14:paraId="0C7A4D74"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La información proporcionada es </w:t>
            </w:r>
            <w:r w:rsidRPr="00CC3891">
              <w:rPr>
                <w:rFonts w:ascii="Palatino Linotype" w:eastAsia="Palatino Linotype" w:hAnsi="Palatino Linotype" w:cs="Palatino Linotype"/>
                <w:b/>
                <w:sz w:val="20"/>
                <w:szCs w:val="20"/>
              </w:rPr>
              <w:t>parcialmente</w:t>
            </w:r>
            <w:r w:rsidRPr="00CC3891">
              <w:rPr>
                <w:rFonts w:ascii="Palatino Linotype" w:eastAsia="Palatino Linotype" w:hAnsi="Palatino Linotype" w:cs="Palatino Linotype"/>
                <w:sz w:val="20"/>
                <w:szCs w:val="20"/>
              </w:rPr>
              <w:t xml:space="preserve"> legible. </w:t>
            </w:r>
          </w:p>
          <w:p w14:paraId="4AFA19A1" w14:textId="77777777" w:rsidR="004E4604" w:rsidRPr="00CC3891" w:rsidRDefault="004E4604">
            <w:pPr>
              <w:jc w:val="center"/>
              <w:rPr>
                <w:rFonts w:ascii="Palatino Linotype" w:eastAsia="Palatino Linotype" w:hAnsi="Palatino Linotype" w:cs="Palatino Linotype"/>
                <w:sz w:val="20"/>
                <w:szCs w:val="20"/>
              </w:rPr>
            </w:pPr>
          </w:p>
          <w:p w14:paraId="77B6220E"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Procede ordenar su entrega correctamente digitalizados.</w:t>
            </w:r>
          </w:p>
        </w:tc>
      </w:tr>
      <w:tr w:rsidR="00E57EFC" w:rsidRPr="00CC3891" w14:paraId="6521B853" w14:textId="77777777">
        <w:tc>
          <w:tcPr>
            <w:tcW w:w="436" w:type="dxa"/>
            <w:shd w:val="clear" w:color="auto" w:fill="D9D9D9"/>
          </w:tcPr>
          <w:p w14:paraId="0187027F"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4</w:t>
            </w:r>
          </w:p>
        </w:tc>
        <w:tc>
          <w:tcPr>
            <w:tcW w:w="2414" w:type="dxa"/>
          </w:tcPr>
          <w:p w14:paraId="33777AEF"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Todas y cada una de las donaciones que haya recibo el Sistema Municipal</w:t>
            </w:r>
          </w:p>
        </w:tc>
        <w:tc>
          <w:tcPr>
            <w:tcW w:w="2410" w:type="dxa"/>
          </w:tcPr>
          <w:p w14:paraId="09B3F088"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Jefe del Departamento de Adquisiciones anexó las donaciones.  </w:t>
            </w:r>
          </w:p>
        </w:tc>
        <w:tc>
          <w:tcPr>
            <w:tcW w:w="1843" w:type="dxa"/>
          </w:tcPr>
          <w:p w14:paraId="571F37E1"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63AFAA36"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Actos consentidos.</w:t>
            </w:r>
          </w:p>
        </w:tc>
      </w:tr>
      <w:tr w:rsidR="00E57EFC" w:rsidRPr="00CC3891" w14:paraId="07B657B6" w14:textId="77777777">
        <w:tc>
          <w:tcPr>
            <w:tcW w:w="436" w:type="dxa"/>
            <w:shd w:val="clear" w:color="auto" w:fill="D9D9D9"/>
          </w:tcPr>
          <w:p w14:paraId="59A938C5"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5</w:t>
            </w:r>
          </w:p>
        </w:tc>
        <w:tc>
          <w:tcPr>
            <w:tcW w:w="2414" w:type="dxa"/>
          </w:tcPr>
          <w:p w14:paraId="4BF3B7A1"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Todos y cada uno de los procesos de licitación </w:t>
            </w:r>
            <w:r w:rsidRPr="00CC3891">
              <w:rPr>
                <w:rFonts w:ascii="Palatino Linotype" w:eastAsia="Palatino Linotype" w:hAnsi="Palatino Linotype" w:cs="Palatino Linotype"/>
                <w:sz w:val="20"/>
                <w:szCs w:val="20"/>
              </w:rPr>
              <w:lastRenderedPageBreak/>
              <w:t>pública, ya sea local, nacional o internacional que se hayan llevado a cabo por parte del Sistema Municipal, Estado de México; de conformidad con lo establecido en la Ley de Contratación Pública del Estado de México y Municipios y su Reglamento, del 01 de mayo del 2024 al 31 de diciembre del 2024.</w:t>
            </w:r>
          </w:p>
        </w:tc>
        <w:tc>
          <w:tcPr>
            <w:tcW w:w="2410" w:type="dxa"/>
          </w:tcPr>
          <w:p w14:paraId="5FD88210"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lastRenderedPageBreak/>
              <w:t xml:space="preserve">Jefe del Departamento de Adquisiciones refirió </w:t>
            </w:r>
            <w:r w:rsidRPr="00CC3891">
              <w:rPr>
                <w:rFonts w:ascii="Palatino Linotype" w:eastAsia="Palatino Linotype" w:hAnsi="Palatino Linotype" w:cs="Palatino Linotype"/>
                <w:sz w:val="20"/>
                <w:szCs w:val="20"/>
              </w:rPr>
              <w:lastRenderedPageBreak/>
              <w:t>que obran procesos de licitación pública nacional o internacional.</w:t>
            </w:r>
          </w:p>
        </w:tc>
        <w:tc>
          <w:tcPr>
            <w:tcW w:w="1843" w:type="dxa"/>
          </w:tcPr>
          <w:p w14:paraId="10029335" w14:textId="77777777" w:rsidR="004E4604" w:rsidRPr="00CC3891" w:rsidRDefault="00CA70F9">
            <w:pPr>
              <w:jc w:val="both"/>
              <w:rPr>
                <w:rFonts w:ascii="Palatino Linotype" w:eastAsia="Palatino Linotype" w:hAnsi="Palatino Linotype" w:cs="Palatino Linotype"/>
                <w:b/>
                <w:sz w:val="20"/>
                <w:szCs w:val="20"/>
                <w:u w:val="single"/>
              </w:rPr>
            </w:pPr>
            <w:r w:rsidRPr="00CC3891">
              <w:rPr>
                <w:rFonts w:ascii="Palatino Linotype" w:eastAsia="Palatino Linotype" w:hAnsi="Palatino Linotype" w:cs="Palatino Linotype"/>
                <w:sz w:val="20"/>
                <w:szCs w:val="20"/>
              </w:rPr>
              <w:lastRenderedPageBreak/>
              <w:t xml:space="preserve">Se inconformó arguyendo que </w:t>
            </w:r>
            <w:r w:rsidRPr="00CC3891">
              <w:rPr>
                <w:rFonts w:ascii="Palatino Linotype" w:eastAsia="Palatino Linotype" w:hAnsi="Palatino Linotype" w:cs="Palatino Linotype"/>
                <w:sz w:val="20"/>
                <w:szCs w:val="20"/>
              </w:rPr>
              <w:lastRenderedPageBreak/>
              <w:t xml:space="preserve">faltan procesos de licitación </w:t>
            </w:r>
            <w:r w:rsidRPr="00CC3891">
              <w:rPr>
                <w:rFonts w:ascii="Palatino Linotype" w:eastAsia="Palatino Linotype" w:hAnsi="Palatino Linotype" w:cs="Palatino Linotype"/>
                <w:b/>
                <w:sz w:val="20"/>
                <w:szCs w:val="20"/>
                <w:u w:val="single"/>
              </w:rPr>
              <w:t xml:space="preserve">o la justificación del por qué no se realizaron los debidos procesos como marca la ley. </w:t>
            </w:r>
          </w:p>
        </w:tc>
        <w:tc>
          <w:tcPr>
            <w:tcW w:w="2126" w:type="dxa"/>
          </w:tcPr>
          <w:p w14:paraId="4DD6013D"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lastRenderedPageBreak/>
              <w:t xml:space="preserve">Colmó </w:t>
            </w:r>
          </w:p>
          <w:p w14:paraId="25FA68B7" w14:textId="77777777" w:rsidR="004E4604" w:rsidRPr="00CC3891" w:rsidRDefault="004E4604">
            <w:pPr>
              <w:jc w:val="center"/>
              <w:rPr>
                <w:rFonts w:ascii="Palatino Linotype" w:eastAsia="Palatino Linotype" w:hAnsi="Palatino Linotype" w:cs="Palatino Linotype"/>
                <w:sz w:val="20"/>
                <w:szCs w:val="20"/>
              </w:rPr>
            </w:pPr>
          </w:p>
          <w:p w14:paraId="128FE902"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lastRenderedPageBreak/>
              <w:t xml:space="preserve">Hecho negativo. </w:t>
            </w:r>
          </w:p>
          <w:p w14:paraId="35EAB1DE"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procede el agravio relacionado con la justificación del por qué no se realizaron los debidos procesos como marca la Ley, al tratarse de una consulta. </w:t>
            </w:r>
          </w:p>
        </w:tc>
      </w:tr>
      <w:tr w:rsidR="00E57EFC" w:rsidRPr="00CC3891" w14:paraId="1C16A8C6" w14:textId="77777777">
        <w:tc>
          <w:tcPr>
            <w:tcW w:w="436" w:type="dxa"/>
            <w:shd w:val="clear" w:color="auto" w:fill="D9D9D9"/>
          </w:tcPr>
          <w:p w14:paraId="794F8E39"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lastRenderedPageBreak/>
              <w:t>6</w:t>
            </w:r>
          </w:p>
        </w:tc>
        <w:tc>
          <w:tcPr>
            <w:tcW w:w="2414" w:type="dxa"/>
          </w:tcPr>
          <w:p w14:paraId="7C1007E1"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Todos y cada uno de los procedimientos de adjudicación ya sea por licitación pública, adjudicación directa, invitación restringida, que se han llevado a cabo del 01 de mayo al 31 de diciembre del 2024 por parte del Sistema Municipal.</w:t>
            </w:r>
          </w:p>
        </w:tc>
        <w:tc>
          <w:tcPr>
            <w:tcW w:w="2410" w:type="dxa"/>
          </w:tcPr>
          <w:p w14:paraId="0E0B479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Jefe del Departamento de Adquisiciones anexó la relación de procedimientos de invitación restringida y adjudicaciones directas. </w:t>
            </w:r>
          </w:p>
        </w:tc>
        <w:tc>
          <w:tcPr>
            <w:tcW w:w="1843" w:type="dxa"/>
          </w:tcPr>
          <w:p w14:paraId="61C6214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No se inconformó</w:t>
            </w:r>
          </w:p>
        </w:tc>
        <w:tc>
          <w:tcPr>
            <w:tcW w:w="2126" w:type="dxa"/>
          </w:tcPr>
          <w:p w14:paraId="08F78E31"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Actos consentidos</w:t>
            </w:r>
          </w:p>
        </w:tc>
      </w:tr>
      <w:tr w:rsidR="00E57EFC" w:rsidRPr="00CC3891" w14:paraId="3F1087A0" w14:textId="77777777">
        <w:tc>
          <w:tcPr>
            <w:tcW w:w="436" w:type="dxa"/>
            <w:shd w:val="clear" w:color="auto" w:fill="D9D9D9"/>
          </w:tcPr>
          <w:p w14:paraId="2C556589"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7</w:t>
            </w:r>
          </w:p>
        </w:tc>
        <w:tc>
          <w:tcPr>
            <w:tcW w:w="2414" w:type="dxa"/>
          </w:tcPr>
          <w:p w14:paraId="6324F5AF"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Todos y cada uno de los contratos celebrados por parte del Sistema Municipal del 01 de mayo del 2024 al 31 de diciembre del 2024, con los que se ampare la adjudicación a los proveedores para la adquisición de bienes y servicios de conformidad con la Ley de Contratación Pública del Estado de México y Municipios y su Reglamento.</w:t>
            </w:r>
          </w:p>
        </w:tc>
        <w:tc>
          <w:tcPr>
            <w:tcW w:w="2410" w:type="dxa"/>
          </w:tcPr>
          <w:p w14:paraId="1BF22E44"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Jefe del Departamento de Adquisiciones anexó los contratos celebrados. </w:t>
            </w:r>
          </w:p>
        </w:tc>
        <w:tc>
          <w:tcPr>
            <w:tcW w:w="1843" w:type="dxa"/>
          </w:tcPr>
          <w:p w14:paraId="34E5AB90"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69F38A60"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Actos consentidos</w:t>
            </w:r>
          </w:p>
        </w:tc>
      </w:tr>
      <w:tr w:rsidR="00E57EFC" w:rsidRPr="00CC3891" w14:paraId="30021CA7" w14:textId="77777777">
        <w:tc>
          <w:tcPr>
            <w:tcW w:w="436" w:type="dxa"/>
            <w:shd w:val="clear" w:color="auto" w:fill="D9D9D9"/>
          </w:tcPr>
          <w:p w14:paraId="782FDD8A"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8</w:t>
            </w:r>
          </w:p>
        </w:tc>
        <w:tc>
          <w:tcPr>
            <w:tcW w:w="2414" w:type="dxa"/>
          </w:tcPr>
          <w:p w14:paraId="5F52DDDC"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Todas y cada una de las actas de las sesiones ordinarias y extraordinarias llevadas </w:t>
            </w:r>
            <w:r w:rsidRPr="00CC3891">
              <w:rPr>
                <w:rFonts w:ascii="Palatino Linotype" w:eastAsia="Palatino Linotype" w:hAnsi="Palatino Linotype" w:cs="Palatino Linotype"/>
                <w:sz w:val="20"/>
                <w:szCs w:val="20"/>
              </w:rPr>
              <w:lastRenderedPageBreak/>
              <w:t>a cabo por parte del Comité de Adquisiciones y Servicios del Sistema Municipal, del 01 de mayo del 2024 al 31 de diciembre del 2024.</w:t>
            </w:r>
          </w:p>
        </w:tc>
        <w:tc>
          <w:tcPr>
            <w:tcW w:w="2410" w:type="dxa"/>
          </w:tcPr>
          <w:p w14:paraId="09161BF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lastRenderedPageBreak/>
              <w:t xml:space="preserve">Jefe del Departamento de Adquisiciones señaló que se anexaban las actas correspondientes. </w:t>
            </w:r>
          </w:p>
        </w:tc>
        <w:tc>
          <w:tcPr>
            <w:tcW w:w="1843" w:type="dxa"/>
          </w:tcPr>
          <w:p w14:paraId="303B7A72"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74D5253A"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Actos consentidos </w:t>
            </w:r>
          </w:p>
        </w:tc>
      </w:tr>
      <w:tr w:rsidR="00E57EFC" w:rsidRPr="00CC3891" w14:paraId="158158E3" w14:textId="77777777">
        <w:tc>
          <w:tcPr>
            <w:tcW w:w="436" w:type="dxa"/>
            <w:shd w:val="clear" w:color="auto" w:fill="D9D9D9"/>
          </w:tcPr>
          <w:p w14:paraId="5C1212CD"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9</w:t>
            </w:r>
          </w:p>
        </w:tc>
        <w:tc>
          <w:tcPr>
            <w:tcW w:w="2414" w:type="dxa"/>
          </w:tcPr>
          <w:p w14:paraId="3C681E09"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La relación de todos y cada uno de los vehículos propiedad del Sistema Municipal.</w:t>
            </w:r>
          </w:p>
        </w:tc>
        <w:tc>
          <w:tcPr>
            <w:tcW w:w="2410" w:type="dxa"/>
          </w:tcPr>
          <w:p w14:paraId="015517C4"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Jefe del Departamento de Servicios Generales remitió:</w:t>
            </w:r>
          </w:p>
          <w:p w14:paraId="387D5B2C" w14:textId="77777777" w:rsidR="004E4604" w:rsidRPr="00CC3891" w:rsidRDefault="004E4604">
            <w:pPr>
              <w:jc w:val="both"/>
              <w:rPr>
                <w:rFonts w:ascii="Palatino Linotype" w:eastAsia="Palatino Linotype" w:hAnsi="Palatino Linotype" w:cs="Palatino Linotype"/>
                <w:sz w:val="20"/>
                <w:szCs w:val="20"/>
              </w:rPr>
            </w:pPr>
          </w:p>
          <w:p w14:paraId="3C1F7DD4"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Listado que contiene número consecutivo, marca, tipo año y placas y/o estado de las placas.</w:t>
            </w:r>
          </w:p>
        </w:tc>
        <w:tc>
          <w:tcPr>
            <w:tcW w:w="1843" w:type="dxa"/>
          </w:tcPr>
          <w:p w14:paraId="1F2B00F7"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 se inconformó </w:t>
            </w:r>
          </w:p>
        </w:tc>
        <w:tc>
          <w:tcPr>
            <w:tcW w:w="2126" w:type="dxa"/>
          </w:tcPr>
          <w:p w14:paraId="4FD0BA21"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Actos consentidos </w:t>
            </w:r>
          </w:p>
        </w:tc>
      </w:tr>
      <w:tr w:rsidR="00E57EFC" w:rsidRPr="00CC3891" w14:paraId="6B3CD3A0" w14:textId="77777777">
        <w:tc>
          <w:tcPr>
            <w:tcW w:w="436" w:type="dxa"/>
            <w:shd w:val="clear" w:color="auto" w:fill="D9D9D9"/>
          </w:tcPr>
          <w:p w14:paraId="1E3BA83A" w14:textId="77777777" w:rsidR="004E4604" w:rsidRPr="00CC3891" w:rsidRDefault="00CA70F9">
            <w:pPr>
              <w:jc w:val="both"/>
              <w:rPr>
                <w:rFonts w:ascii="Palatino Linotype" w:eastAsia="Palatino Linotype" w:hAnsi="Palatino Linotype" w:cs="Palatino Linotype"/>
                <w:b/>
                <w:sz w:val="20"/>
                <w:szCs w:val="20"/>
              </w:rPr>
            </w:pPr>
            <w:r w:rsidRPr="00CC3891">
              <w:rPr>
                <w:rFonts w:ascii="Palatino Linotype" w:eastAsia="Palatino Linotype" w:hAnsi="Palatino Linotype" w:cs="Palatino Linotype"/>
                <w:b/>
                <w:sz w:val="20"/>
                <w:szCs w:val="20"/>
              </w:rPr>
              <w:t>10</w:t>
            </w:r>
          </w:p>
        </w:tc>
        <w:tc>
          <w:tcPr>
            <w:tcW w:w="2414" w:type="dxa"/>
          </w:tcPr>
          <w:p w14:paraId="71B16F8A"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Nombramientos de jefes de Departamento, Coordinadores y todo servidor público </w:t>
            </w:r>
            <w:proofErr w:type="gramStart"/>
            <w:r w:rsidRPr="00CC3891">
              <w:rPr>
                <w:rFonts w:ascii="Palatino Linotype" w:eastAsia="Palatino Linotype" w:hAnsi="Palatino Linotype" w:cs="Palatino Linotype"/>
                <w:sz w:val="20"/>
                <w:szCs w:val="20"/>
              </w:rPr>
              <w:t>que</w:t>
            </w:r>
            <w:proofErr w:type="gramEnd"/>
            <w:r w:rsidRPr="00CC3891">
              <w:rPr>
                <w:rFonts w:ascii="Palatino Linotype" w:eastAsia="Palatino Linotype" w:hAnsi="Palatino Linotype" w:cs="Palatino Linotype"/>
                <w:sz w:val="20"/>
                <w:szCs w:val="20"/>
              </w:rPr>
              <w:t xml:space="preserve"> conforme a la ley del Trabajo de los Servidores Públicos del Estado de México y Municipios, requiera de dicho nombramiento, así como los documentos con los que acreditan que cuentan con el perfil para ocupar el puesto, tales como Título Profesional, Cedula Profesional y experiencia laboral comprobable en el área de adscripción.</w:t>
            </w:r>
          </w:p>
        </w:tc>
        <w:tc>
          <w:tcPr>
            <w:tcW w:w="2410" w:type="dxa"/>
          </w:tcPr>
          <w:p w14:paraId="3F11035C"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Departamento de Recursos Humanos, remitió: </w:t>
            </w:r>
          </w:p>
          <w:p w14:paraId="0ABAAE93" w14:textId="77777777" w:rsidR="004E4604" w:rsidRPr="00CC3891" w:rsidRDefault="004E4604">
            <w:pPr>
              <w:jc w:val="both"/>
              <w:rPr>
                <w:rFonts w:ascii="Palatino Linotype" w:eastAsia="Palatino Linotype" w:hAnsi="Palatino Linotype" w:cs="Palatino Linotype"/>
                <w:sz w:val="20"/>
                <w:szCs w:val="20"/>
              </w:rPr>
            </w:pPr>
          </w:p>
          <w:p w14:paraId="36C80230"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Archivos que contienen documentos relacionados con nombramientos, tomas de protesta, Currículum Vitae, cédulas y títulos profesionales, constancias de estudio y boletas de calificaciones, en versión pública.</w:t>
            </w:r>
          </w:p>
        </w:tc>
        <w:tc>
          <w:tcPr>
            <w:tcW w:w="1843" w:type="dxa"/>
          </w:tcPr>
          <w:p w14:paraId="3208BB89" w14:textId="77777777" w:rsidR="004E4604" w:rsidRPr="00CC3891" w:rsidRDefault="00CA70F9">
            <w:pPr>
              <w:jc w:val="both"/>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 xml:space="preserve">El motivo de inconformidad versó que, no se había enviado el título profesional y la cédula profesional del encargado del área de ingresos. </w:t>
            </w:r>
          </w:p>
        </w:tc>
        <w:tc>
          <w:tcPr>
            <w:tcW w:w="2126" w:type="dxa"/>
          </w:tcPr>
          <w:p w14:paraId="140F5748" w14:textId="77777777" w:rsidR="004E4604" w:rsidRPr="00CC3891" w:rsidRDefault="00CA70F9">
            <w:pPr>
              <w:jc w:val="center"/>
              <w:rPr>
                <w:rFonts w:ascii="Palatino Linotype" w:eastAsia="Palatino Linotype" w:hAnsi="Palatino Linotype" w:cs="Palatino Linotype"/>
                <w:sz w:val="20"/>
                <w:szCs w:val="20"/>
              </w:rPr>
            </w:pPr>
            <w:r w:rsidRPr="00CC3891">
              <w:rPr>
                <w:rFonts w:ascii="Palatino Linotype" w:eastAsia="Palatino Linotype" w:hAnsi="Palatino Linotype" w:cs="Palatino Linotype"/>
                <w:sz w:val="20"/>
                <w:szCs w:val="20"/>
              </w:rPr>
              <w:t>Colmó</w:t>
            </w:r>
          </w:p>
          <w:p w14:paraId="2B9416D6" w14:textId="77777777" w:rsidR="004E4604" w:rsidRPr="00CC3891" w:rsidRDefault="004E4604">
            <w:pPr>
              <w:rPr>
                <w:rFonts w:ascii="Palatino Linotype" w:eastAsia="Palatino Linotype" w:hAnsi="Palatino Linotype" w:cs="Palatino Linotype"/>
                <w:sz w:val="20"/>
                <w:szCs w:val="20"/>
              </w:rPr>
            </w:pPr>
          </w:p>
        </w:tc>
      </w:tr>
    </w:tbl>
    <w:p w14:paraId="178F90B2"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De lo anterior, en principio, no pasa inadvertido para este Organismo Garante que, toda vez que los motivos de inconformidad aducidos en el recurso de revisión, no versan sobre la totalidad de la información proporcionada por el Sujeto Obligado, pues la parte Recurrente se inconformó específicamente por la </w:t>
      </w:r>
      <w:r w:rsidRPr="00CC3891">
        <w:rPr>
          <w:rFonts w:ascii="Palatino Linotype" w:eastAsia="Palatino Linotype" w:hAnsi="Palatino Linotype" w:cs="Palatino Linotype"/>
          <w:b/>
          <w:sz w:val="22"/>
          <w:szCs w:val="22"/>
        </w:rPr>
        <w:t>ilegibilidad de los documentos, que todas y cada una de las compras y adquisiciones que se han realizado del 01 de mayo del 2024 al 31 de diciembre del 2024 no corresponden con la temporalidad de los documentos enviados, que no se remitió el título y cédula del enarcado del área de ingresos</w:t>
      </w:r>
      <w:r w:rsidRPr="00CC3891">
        <w:rPr>
          <w:rFonts w:ascii="Palatino Linotype" w:eastAsia="Palatino Linotype" w:hAnsi="Palatino Linotype" w:cs="Palatino Linotype"/>
          <w:sz w:val="22"/>
          <w:szCs w:val="22"/>
        </w:rPr>
        <w:t xml:space="preserve">; de ello, se colige que, la parte de la respuesta que no </w:t>
      </w:r>
      <w:r w:rsidRPr="00CC3891">
        <w:rPr>
          <w:rFonts w:ascii="Palatino Linotype" w:eastAsia="Palatino Linotype" w:hAnsi="Palatino Linotype" w:cs="Palatino Linotype"/>
          <w:sz w:val="22"/>
          <w:szCs w:val="22"/>
        </w:rPr>
        <w:lastRenderedPageBreak/>
        <w:t>fue impugnada debe declararse consentida, esto es, los</w:t>
      </w:r>
      <w:r w:rsidRPr="00CC3891">
        <w:rPr>
          <w:rFonts w:ascii="Palatino Linotype" w:eastAsia="Palatino Linotype" w:hAnsi="Palatino Linotype" w:cs="Palatino Linotype"/>
          <w:b/>
          <w:sz w:val="22"/>
          <w:szCs w:val="22"/>
          <w:u w:val="single"/>
        </w:rPr>
        <w:t xml:space="preserve"> demás puntos de la solicitud de información y la versión pública</w:t>
      </w:r>
      <w:r w:rsidRPr="00CC3891">
        <w:rPr>
          <w:rFonts w:ascii="Palatino Linotype" w:eastAsia="Palatino Linotype" w:hAnsi="Palatino Linotype" w:cs="Palatino Linotype"/>
          <w:sz w:val="22"/>
          <w:szCs w:val="22"/>
        </w:rPr>
        <w:t>,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9AEC1F8"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405447F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C59DF1D"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1ED15C90"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 xml:space="preserve">“REVISIÓN EN AMPARO. LOS RESOLUTIVOS NO COMBATIDOS DEBEN DECLARARSE FIRMES. </w:t>
      </w:r>
      <w:r w:rsidRPr="00CC3891">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0D8D20F" w14:textId="77777777" w:rsidR="004E4604" w:rsidRPr="00CC3891" w:rsidRDefault="004E4604">
      <w:pPr>
        <w:spacing w:line="360" w:lineRule="auto"/>
        <w:ind w:left="567" w:right="616"/>
        <w:jc w:val="both"/>
        <w:rPr>
          <w:rFonts w:ascii="Palatino Linotype" w:eastAsia="Palatino Linotype" w:hAnsi="Palatino Linotype" w:cs="Palatino Linotype"/>
          <w:i/>
          <w:sz w:val="22"/>
          <w:szCs w:val="22"/>
        </w:rPr>
      </w:pPr>
    </w:p>
    <w:p w14:paraId="78FF69CE"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798AF44D"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62CB208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Lo anterior se sustenta con lo plasmado en el criterio 01/20 emitido por el entonces Instituto Nacional de Transparencia, Acceso a la Información, y Protección de Datos Personales, INAI, que lleva por rubro y texto los siguientes: </w:t>
      </w:r>
    </w:p>
    <w:p w14:paraId="25AC1DA2"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56F99EFA" w14:textId="77777777" w:rsidR="004E4604" w:rsidRPr="00CC3891" w:rsidRDefault="00CA70F9">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 xml:space="preserve">Actos consentidos tácitamente. Improcedencia de su análisis. </w:t>
      </w:r>
      <w:r w:rsidRPr="00CC3891">
        <w:rPr>
          <w:rFonts w:ascii="Palatino Linotype" w:eastAsia="Palatino Linotype" w:hAnsi="Palatino Linotype" w:cs="Palatino Linotype"/>
          <w:i/>
          <w:sz w:val="22"/>
          <w:szCs w:val="22"/>
        </w:rPr>
        <w:t xml:space="preserve">Si en su recurso de revisión, la persona recurrente no expresó inconformidad alguna con ciertas partes de la </w:t>
      </w:r>
      <w:r w:rsidRPr="00CC3891">
        <w:rPr>
          <w:rFonts w:ascii="Palatino Linotype" w:eastAsia="Palatino Linotype" w:hAnsi="Palatino Linotype" w:cs="Palatino Linotype"/>
          <w:i/>
          <w:sz w:val="22"/>
          <w:szCs w:val="22"/>
        </w:rPr>
        <w:lastRenderedPageBreak/>
        <w:t>respuesta otorgada, se entienden tácitamente consentidas, por ende, no deben formar parte del estudio de fondo de la resolución que emite el Instituto.”</w:t>
      </w:r>
    </w:p>
    <w:p w14:paraId="4154AF77" w14:textId="77777777" w:rsidR="004E4604" w:rsidRPr="00CC3891" w:rsidRDefault="004E4604">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p>
    <w:p w14:paraId="68DC4F7B"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6E2070F" w14:textId="77777777" w:rsidR="004E4604" w:rsidRPr="00CC3891" w:rsidRDefault="00CA70F9">
      <w:pPr>
        <w:tabs>
          <w:tab w:val="left" w:pos="851"/>
          <w:tab w:val="left" w:pos="1276"/>
        </w:tabs>
        <w:ind w:left="567" w:right="70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i/>
          <w:smallCaps/>
          <w:sz w:val="22"/>
          <w:szCs w:val="22"/>
        </w:rPr>
        <w:t xml:space="preserve">“ACTOS CONSENTIDOS. SON LOS QUE NO SE IMPUGNAN MEDIANTE EL RECURSO IDÓNEO. </w:t>
      </w:r>
      <w:r w:rsidRPr="00CC3891">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CC3891">
        <w:rPr>
          <w:rFonts w:ascii="Palatino Linotype" w:eastAsia="Palatino Linotype" w:hAnsi="Palatino Linotype" w:cs="Palatino Linotype"/>
          <w:i/>
          <w:sz w:val="22"/>
          <w:szCs w:val="22"/>
        </w:rPr>
        <w:t>ya que</w:t>
      </w:r>
      <w:proofErr w:type="gramEnd"/>
      <w:r w:rsidRPr="00CC3891">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35C170"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114AAA40"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CC3891">
        <w:rPr>
          <w:rFonts w:ascii="Palatino Linotype" w:eastAsia="Palatino Linotype" w:hAnsi="Palatino Linotype" w:cs="Palatino Linotype"/>
          <w:b/>
          <w:sz w:val="22"/>
          <w:szCs w:val="22"/>
        </w:rPr>
        <w:t>Dicho lo anterior, la información de la que resulta procedente pronunciarse es respecto de la</w:t>
      </w:r>
      <w:r w:rsidRPr="00CC3891">
        <w:rPr>
          <w:rFonts w:ascii="Palatino Linotype" w:eastAsia="Palatino Linotype" w:hAnsi="Palatino Linotype" w:cs="Palatino Linotype"/>
          <w:b/>
          <w:sz w:val="22"/>
          <w:szCs w:val="22"/>
          <w:u w:val="single"/>
        </w:rPr>
        <w:t xml:space="preserve"> </w:t>
      </w:r>
      <w:r w:rsidRPr="00CC3891">
        <w:rPr>
          <w:rFonts w:ascii="Palatino Linotype" w:eastAsia="Palatino Linotype" w:hAnsi="Palatino Linotype" w:cs="Palatino Linotype"/>
          <w:b/>
          <w:sz w:val="22"/>
          <w:szCs w:val="22"/>
        </w:rPr>
        <w:t>ilegibilidad de los documentos, que todas y cada una de las compras y adquisiciones que se han realizado del 01 de mayo del 2024 al 31 de diciembre del 2024 no corresponden con la temporalidad de los documentos enviados, que no se remitió el título y cédula del enarcado del área de ingresos</w:t>
      </w:r>
    </w:p>
    <w:p w14:paraId="78721471"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p>
    <w:p w14:paraId="4B871FEC"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ese sentido, en cuanto hace a la ilegibilidad de los documentos, es de mencionar que, del análisis realizado a los archivos enviados por el Sujeto Obligado en respuesta y, específicamente de los documentos remitidos por la parte Recurrente en su Recurso de Revisión, se advierte que, en efecto, existen documentos que no son completamente visibles, a modo de ejemplo, los siguientes: </w:t>
      </w:r>
    </w:p>
    <w:p w14:paraId="19E077BB"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1A133422" wp14:editId="6DC3AB08">
            <wp:extent cx="4129107" cy="1430204"/>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29107" cy="1430204"/>
                    </a:xfrm>
                    <a:prstGeom prst="rect">
                      <a:avLst/>
                    </a:prstGeom>
                    <a:ln/>
                  </pic:spPr>
                </pic:pic>
              </a:graphicData>
            </a:graphic>
          </wp:inline>
        </w:drawing>
      </w:r>
    </w:p>
    <w:p w14:paraId="535DEFFD"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w:t>
      </w:r>
    </w:p>
    <w:p w14:paraId="55CC9972"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lastRenderedPageBreak/>
        <w:drawing>
          <wp:inline distT="0" distB="0" distL="0" distR="0" wp14:anchorId="068531F8" wp14:editId="3EDAA57A">
            <wp:extent cx="5948680" cy="2131695"/>
            <wp:effectExtent l="0" t="0" r="0" b="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8680" cy="2131695"/>
                    </a:xfrm>
                    <a:prstGeom prst="rect">
                      <a:avLst/>
                    </a:prstGeom>
                    <a:ln/>
                  </pic:spPr>
                </pic:pic>
              </a:graphicData>
            </a:graphic>
          </wp:inline>
        </w:drawing>
      </w:r>
    </w:p>
    <w:p w14:paraId="252790C5"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w:t>
      </w:r>
    </w:p>
    <w:p w14:paraId="79E98DAF"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650AFD81" wp14:editId="71AC22F0">
            <wp:extent cx="5948680" cy="1703705"/>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948680" cy="1703705"/>
                    </a:xfrm>
                    <a:prstGeom prst="rect">
                      <a:avLst/>
                    </a:prstGeom>
                    <a:ln/>
                  </pic:spPr>
                </pic:pic>
              </a:graphicData>
            </a:graphic>
          </wp:inline>
        </w:drawing>
      </w:r>
    </w:p>
    <w:p w14:paraId="0FED74A7"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23A0EABC"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Aunado a ello, es de destacar que, se dentro de los documentos ilegibles se advirtió que se dejaron visibles datos de ser clasificados como confidenciales como: </w:t>
      </w:r>
    </w:p>
    <w:p w14:paraId="6F59ED62"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67F4C68E" w14:textId="77777777" w:rsidR="004E4604" w:rsidRPr="00CC3891" w:rsidRDefault="00CA70F9">
      <w:pPr>
        <w:tabs>
          <w:tab w:val="left" w:pos="4962"/>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Calificaciones y promedio</w:t>
      </w:r>
      <w:r w:rsidRPr="00CC3891">
        <w:rPr>
          <w:rFonts w:ascii="Palatino Linotype" w:eastAsia="Palatino Linotype" w:hAnsi="Palatino Linotype" w:cs="Palatino Linotype"/>
          <w:sz w:val="22"/>
          <w:szCs w:val="22"/>
        </w:rPr>
        <w:t>. 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34721C77" w14:textId="77777777" w:rsidR="004E4604" w:rsidRPr="00CC3891" w:rsidRDefault="00CA70F9">
      <w:pPr>
        <w:shd w:val="clear" w:color="auto" w:fill="FFFFFF"/>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w:t>
      </w:r>
    </w:p>
    <w:p w14:paraId="18BAC3C5" w14:textId="77777777" w:rsidR="004E4604" w:rsidRPr="00CC3891" w:rsidRDefault="00CA70F9">
      <w:pPr>
        <w:tabs>
          <w:tab w:val="left" w:pos="4962"/>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w:t>
      </w:r>
      <w:r w:rsidRPr="00CC3891">
        <w:rPr>
          <w:rFonts w:ascii="Palatino Linotype" w:eastAsia="Palatino Linotype" w:hAnsi="Palatino Linotype" w:cs="Palatino Linotype"/>
          <w:sz w:val="22"/>
          <w:szCs w:val="22"/>
        </w:rPr>
        <w:lastRenderedPageBreak/>
        <w:t>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4FF51B6E" w14:textId="77777777" w:rsidR="004E4604" w:rsidRPr="00CC3891" w:rsidRDefault="00CA70F9">
      <w:pPr>
        <w:tabs>
          <w:tab w:val="left" w:pos="4962"/>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w:t>
      </w:r>
    </w:p>
    <w:p w14:paraId="092A3404" w14:textId="77777777" w:rsidR="004E4604" w:rsidRPr="00CC3891" w:rsidRDefault="00CA70F9">
      <w:pPr>
        <w:tabs>
          <w:tab w:val="left" w:pos="4962"/>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atención con lo anterior, se considera que las calificaciones obtenidas por un servidor público, es información íntima de los alumnos, pues corresponde a su desempeño escolar, lo cual únicamente atañe a estos, por lo que se considera que es un dato confidencial. </w:t>
      </w:r>
    </w:p>
    <w:p w14:paraId="331A23E4" w14:textId="77777777" w:rsidR="004E4604" w:rsidRPr="00CC3891" w:rsidRDefault="004E4604">
      <w:pPr>
        <w:tabs>
          <w:tab w:val="left" w:pos="4962"/>
        </w:tabs>
        <w:spacing w:line="276" w:lineRule="auto"/>
        <w:ind w:left="567" w:right="579"/>
        <w:jc w:val="both"/>
        <w:rPr>
          <w:rFonts w:ascii="Palatino Linotype" w:eastAsia="Palatino Linotype" w:hAnsi="Palatino Linotype" w:cs="Palatino Linotype"/>
          <w:sz w:val="22"/>
          <w:szCs w:val="22"/>
        </w:rPr>
      </w:pPr>
    </w:p>
    <w:p w14:paraId="0CDFC2A4" w14:textId="77777777" w:rsidR="004E4604" w:rsidRPr="00CC3891" w:rsidRDefault="00CA70F9">
      <w:pPr>
        <w:tabs>
          <w:tab w:val="left" w:pos="4962"/>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Ahora bien, sobre el promedio es la suma de las calificaciones que obtuvo una persona, durante un determinado curso, carrera, entre otros, por lo que, refleja el grado de conocimientos adquiridos durante el desarrollo escolar, lo cual, corresponde a una cuestión privada del servidor público.</w:t>
      </w:r>
    </w:p>
    <w:p w14:paraId="7F3AB4C3" w14:textId="77777777" w:rsidR="004E4604" w:rsidRPr="00CC3891" w:rsidRDefault="004E4604">
      <w:pPr>
        <w:tabs>
          <w:tab w:val="left" w:pos="4962"/>
        </w:tabs>
        <w:spacing w:line="276" w:lineRule="auto"/>
        <w:ind w:left="567" w:right="579"/>
        <w:jc w:val="both"/>
        <w:rPr>
          <w:rFonts w:ascii="Palatino Linotype" w:eastAsia="Palatino Linotype" w:hAnsi="Palatino Linotype" w:cs="Palatino Linotype"/>
          <w:b/>
          <w:sz w:val="22"/>
          <w:szCs w:val="22"/>
        </w:rPr>
      </w:pPr>
    </w:p>
    <w:p w14:paraId="0A359CF9" w14:textId="77777777" w:rsidR="004E4604" w:rsidRPr="00CC3891" w:rsidRDefault="00CA70F9">
      <w:pPr>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14:paraId="45D3A0F2" w14:textId="77777777" w:rsidR="004E4604" w:rsidRPr="00CC3891" w:rsidRDefault="004E4604">
      <w:pPr>
        <w:pBdr>
          <w:top w:val="nil"/>
          <w:left w:val="nil"/>
          <w:bottom w:val="nil"/>
          <w:right w:val="nil"/>
          <w:between w:val="nil"/>
        </w:pBdr>
        <w:spacing w:line="360" w:lineRule="auto"/>
        <w:ind w:left="720" w:right="579"/>
        <w:jc w:val="both"/>
        <w:rPr>
          <w:rFonts w:ascii="Palatino Linotype" w:eastAsia="Palatino Linotype" w:hAnsi="Palatino Linotype" w:cs="Palatino Linotype"/>
          <w:sz w:val="22"/>
          <w:szCs w:val="22"/>
        </w:rPr>
      </w:pPr>
    </w:p>
    <w:p w14:paraId="62D24F5C" w14:textId="77777777" w:rsidR="004E4604" w:rsidRPr="00CC3891" w:rsidRDefault="00CA70F9">
      <w:pPr>
        <w:numPr>
          <w:ilvl w:val="0"/>
          <w:numId w:val="2"/>
        </w:numPr>
        <w:pBdr>
          <w:top w:val="nil"/>
          <w:left w:val="nil"/>
          <w:bottom w:val="nil"/>
          <w:right w:val="nil"/>
          <w:between w:val="nil"/>
        </w:pBdr>
        <w:spacing w:line="276" w:lineRule="auto"/>
        <w:ind w:left="567" w:right="57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 xml:space="preserve">Clave Única de Registro de Población. </w:t>
      </w:r>
      <w:r w:rsidRPr="00CC3891">
        <w:rPr>
          <w:rFonts w:ascii="Palatino Linotype" w:eastAsia="Palatino Linotype" w:hAnsi="Palatino Linotype" w:cs="Palatino Linotype"/>
          <w:sz w:val="22"/>
          <w:szCs w:val="22"/>
        </w:rPr>
        <w:t xml:space="preserve">De conformidad con la Secretaría de Gobierno, precisa que la Clave Única de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w:t>
      </w:r>
    </w:p>
    <w:p w14:paraId="393B6865" w14:textId="77777777" w:rsidR="004E4604" w:rsidRPr="00CC3891" w:rsidRDefault="00CA70F9">
      <w:pPr>
        <w:pBdr>
          <w:top w:val="nil"/>
          <w:left w:val="nil"/>
          <w:bottom w:val="nil"/>
          <w:right w:val="nil"/>
          <w:between w:val="nil"/>
        </w:pBdr>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Asimismo,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720BAB7" w14:textId="77777777" w:rsidR="004E4604" w:rsidRPr="00CC3891" w:rsidRDefault="00CA70F9">
      <w:pPr>
        <w:pBdr>
          <w:top w:val="nil"/>
          <w:left w:val="nil"/>
          <w:bottom w:val="nil"/>
          <w:right w:val="nil"/>
          <w:between w:val="nil"/>
        </w:pBdr>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Por lo que, resulta procedente la clasificación de la Clave Única de Registro de Población; pues únicamente contiene datos que hacen identificables de los servidores públicos, que en nada abonan a la transparencia y no rinden cuentas de la forma de actuar, por lo que, es un documento privado, en términos del artículo 143, fracción I, de la Ley de Transparencia y Acceso a la Información Pública del Estado de México y Municipios.</w:t>
      </w:r>
    </w:p>
    <w:p w14:paraId="7DA7D804" w14:textId="77777777" w:rsidR="004E4604" w:rsidRPr="00CC3891" w:rsidRDefault="004E4604">
      <w:pPr>
        <w:pBdr>
          <w:top w:val="nil"/>
          <w:left w:val="nil"/>
          <w:bottom w:val="nil"/>
          <w:right w:val="nil"/>
          <w:between w:val="nil"/>
        </w:pBdr>
        <w:spacing w:line="276" w:lineRule="auto"/>
        <w:ind w:left="567" w:right="579"/>
        <w:jc w:val="both"/>
        <w:rPr>
          <w:rFonts w:ascii="Palatino Linotype" w:eastAsia="Palatino Linotype" w:hAnsi="Palatino Linotype" w:cs="Palatino Linotype"/>
          <w:sz w:val="22"/>
          <w:szCs w:val="22"/>
        </w:rPr>
      </w:pPr>
    </w:p>
    <w:p w14:paraId="2B1713FB" w14:textId="77777777" w:rsidR="004E4604" w:rsidRPr="00CC3891" w:rsidRDefault="00CA70F9" w:rsidP="00CA70F9">
      <w:pPr>
        <w:numPr>
          <w:ilvl w:val="0"/>
          <w:numId w:val="2"/>
        </w:numPr>
        <w:pBdr>
          <w:top w:val="nil"/>
          <w:left w:val="nil"/>
          <w:bottom w:val="nil"/>
          <w:right w:val="nil"/>
          <w:between w:val="nil"/>
        </w:pBdr>
        <w:spacing w:line="276" w:lineRule="auto"/>
        <w:ind w:left="567" w:right="579" w:firstLine="0"/>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Firma de alumnos.</w:t>
      </w:r>
      <w:r w:rsidRPr="00CC3891">
        <w:rPr>
          <w:rFonts w:ascii="Palatino Linotype" w:eastAsia="Palatino Linotype" w:hAnsi="Palatino Linotype" w:cs="Palatino Linotype"/>
          <w:sz w:val="22"/>
          <w:szCs w:val="22"/>
        </w:rPr>
        <w:t xml:space="preserve"> 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2F6647D8" w14:textId="77777777" w:rsidR="004E4604" w:rsidRPr="00CC3891" w:rsidRDefault="00CA70F9" w:rsidP="00CA70F9">
      <w:pPr>
        <w:pBdr>
          <w:top w:val="nil"/>
          <w:left w:val="nil"/>
          <w:bottom w:val="nil"/>
          <w:right w:val="nil"/>
          <w:between w:val="nil"/>
        </w:pBdr>
        <w:spacing w:line="276" w:lineRule="auto"/>
        <w:ind w:left="567" w:right="57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Robustece lo anterior el criterio orientador 02-19 emitido por el entonces Instituto Nacional de Transparencia, Acceso a la Información y Protección de Datos Personales, INAI, el cual refiere:</w:t>
      </w:r>
    </w:p>
    <w:p w14:paraId="01DF0423" w14:textId="77777777" w:rsidR="004E4604" w:rsidRPr="00CC3891" w:rsidRDefault="00CA70F9" w:rsidP="00CA70F9">
      <w:pPr>
        <w:pBdr>
          <w:top w:val="nil"/>
          <w:left w:val="nil"/>
          <w:bottom w:val="nil"/>
          <w:right w:val="nil"/>
          <w:between w:val="nil"/>
        </w:pBdr>
        <w:tabs>
          <w:tab w:val="left" w:pos="426"/>
        </w:tabs>
        <w:spacing w:line="276" w:lineRule="auto"/>
        <w:ind w:left="567" w:right="57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Firma y rúbrica de servidores públicos.</w:t>
      </w:r>
      <w:r w:rsidRPr="00CC3891">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3AE5DF2" w14:textId="77777777" w:rsidR="004E4604" w:rsidRPr="00CC3891" w:rsidRDefault="00CA70F9" w:rsidP="00CA70F9">
      <w:pPr>
        <w:pBdr>
          <w:top w:val="nil"/>
          <w:left w:val="nil"/>
          <w:bottom w:val="nil"/>
          <w:right w:val="nil"/>
          <w:between w:val="nil"/>
        </w:pBdr>
        <w:tabs>
          <w:tab w:val="left" w:pos="426"/>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Contexto que en el presente asunto no se actualiza por no realizarse en ejercicio de sus funciones de derecho público; toda vez que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335705B4" w14:textId="77777777" w:rsidR="004E4604" w:rsidRPr="00CC3891" w:rsidRDefault="00CA70F9" w:rsidP="00CA70F9">
      <w:pPr>
        <w:pBdr>
          <w:top w:val="nil"/>
          <w:left w:val="nil"/>
          <w:bottom w:val="nil"/>
          <w:right w:val="nil"/>
          <w:between w:val="nil"/>
        </w:pBdr>
        <w:tabs>
          <w:tab w:val="left" w:pos="426"/>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Por su parte la cédula profesional, es el documento que toda persona a quien legalmente se le haya expedido título profesional o grado académico equivalente, podrá obtener con 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w:t>
      </w:r>
    </w:p>
    <w:p w14:paraId="2C828D61" w14:textId="77777777" w:rsidR="004E4604" w:rsidRPr="00CC3891" w:rsidRDefault="00CA70F9" w:rsidP="00CA70F9">
      <w:pPr>
        <w:pBdr>
          <w:top w:val="nil"/>
          <w:left w:val="nil"/>
          <w:bottom w:val="nil"/>
          <w:right w:val="nil"/>
          <w:between w:val="nil"/>
        </w:pBdr>
        <w:tabs>
          <w:tab w:val="left" w:pos="426"/>
        </w:tabs>
        <w:spacing w:line="276" w:lineRule="auto"/>
        <w:ind w:left="567" w:right="57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Así, los documentos que dan cuenta de la preparación académica sirven como medios de identificación, para que a su titular lo relacionen con el nivel de estudios con que cuenta independientemente de que estos sean o no medios de identificación oficiales. Luego entonces, no es necesario que el ciudadano acceda a dicho dato personal, ya que actualiza la fracción I, del artículo 143 de la Ley de Transparencia y Acceso a la Información Pública del Estado de México y Municipios.</w:t>
      </w:r>
    </w:p>
    <w:p w14:paraId="2776848D" w14:textId="77777777" w:rsidR="004E4604" w:rsidRPr="00CC3891" w:rsidRDefault="004E4604">
      <w:pPr>
        <w:pBdr>
          <w:top w:val="nil"/>
          <w:left w:val="nil"/>
          <w:bottom w:val="nil"/>
          <w:right w:val="nil"/>
          <w:between w:val="nil"/>
        </w:pBdr>
        <w:tabs>
          <w:tab w:val="left" w:pos="426"/>
        </w:tabs>
        <w:spacing w:line="276" w:lineRule="auto"/>
        <w:ind w:left="567" w:right="579" w:hanging="360"/>
        <w:jc w:val="both"/>
        <w:rPr>
          <w:rFonts w:ascii="Palatino Linotype" w:eastAsia="Palatino Linotype" w:hAnsi="Palatino Linotype" w:cs="Palatino Linotype"/>
          <w:sz w:val="22"/>
          <w:szCs w:val="22"/>
        </w:rPr>
      </w:pPr>
    </w:p>
    <w:p w14:paraId="08C7E58D"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Asimismo, se advirtió que se clasificaron datos públicos, como lo es el Código Bidimensional en la cédula profesional y el sello digital. </w:t>
      </w:r>
    </w:p>
    <w:p w14:paraId="77BDFAE8"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4E4F8852" w14:textId="77777777" w:rsidR="004E4604" w:rsidRPr="00CC3891" w:rsidRDefault="00CA70F9" w:rsidP="00CA70F9">
      <w:pPr>
        <w:spacing w:line="276" w:lineRule="auto"/>
        <w:ind w:left="567" w:right="4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w:t>
      </w:r>
      <w:r w:rsidRPr="00CC3891">
        <w:rPr>
          <w:rFonts w:ascii="Palatino Linotype" w:eastAsia="Palatino Linotype" w:hAnsi="Palatino Linotype" w:cs="Palatino Linotype"/>
          <w:b/>
          <w:sz w:val="22"/>
          <w:szCs w:val="22"/>
        </w:rPr>
        <w:tab/>
        <w:t>Código de barras, zona de lectura mecánica de cédula profesional, código bidimensional QR, firma electrónica avanzada del Servidor Público Habilitado facultado y sello digital de tiempo SEP.</w:t>
      </w:r>
    </w:p>
    <w:p w14:paraId="5C2D9D4F"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5CF8D2A3" w14:textId="77777777" w:rsidR="004E4604" w:rsidRPr="00CC3891" w:rsidRDefault="004E4604">
      <w:pPr>
        <w:spacing w:line="276" w:lineRule="auto"/>
        <w:ind w:left="567" w:right="49"/>
        <w:jc w:val="both"/>
        <w:rPr>
          <w:rFonts w:ascii="Palatino Linotype" w:eastAsia="Palatino Linotype" w:hAnsi="Palatino Linotype" w:cs="Palatino Linotype"/>
          <w:sz w:val="22"/>
          <w:szCs w:val="22"/>
        </w:rPr>
      </w:pPr>
    </w:p>
    <w:p w14:paraId="50B5A97B"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Además, que, con dichos datos, únicamente se localiza, el número de cédula, el nombre completo del servidor público, profesión, año de expedición e institución, al dirigirte únicamente a la página https://www.cedulaprofesional.sep.gob.mx/cedula/presidencia/indexAvanzada.action.</w:t>
      </w:r>
    </w:p>
    <w:p w14:paraId="6433AD98" w14:textId="77777777" w:rsidR="004E4604" w:rsidRPr="00CC3891" w:rsidRDefault="004E4604">
      <w:pPr>
        <w:spacing w:line="276" w:lineRule="auto"/>
        <w:ind w:left="567" w:right="49"/>
        <w:jc w:val="both"/>
        <w:rPr>
          <w:rFonts w:ascii="Palatino Linotype" w:eastAsia="Palatino Linotype" w:hAnsi="Palatino Linotype" w:cs="Palatino Linotype"/>
          <w:sz w:val="22"/>
          <w:szCs w:val="22"/>
        </w:rPr>
      </w:pPr>
    </w:p>
    <w:p w14:paraId="2D979F39"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14:paraId="2CC422FA" w14:textId="77777777" w:rsidR="004E4604" w:rsidRPr="00CC3891" w:rsidRDefault="004E4604">
      <w:pPr>
        <w:spacing w:line="276" w:lineRule="auto"/>
        <w:ind w:left="567" w:right="49"/>
        <w:jc w:val="both"/>
        <w:rPr>
          <w:rFonts w:ascii="Palatino Linotype" w:eastAsia="Palatino Linotype" w:hAnsi="Palatino Linotype" w:cs="Palatino Linotype"/>
          <w:sz w:val="22"/>
          <w:szCs w:val="22"/>
        </w:rPr>
      </w:pPr>
    </w:p>
    <w:p w14:paraId="7B7E9F6B"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Por tales circunstancias, al no revelar datos personales confidenciales del servidor público, se considera que el código de barras, zona de lectura mecánica, código bidimensional o QR, firma electrónica avanzada del Servidor Público Habilitado facultado y sello digital de tiempo SEP, no actualizan la causal de clasificación prevista en el artículo 143, fracción I, de la Ley de Transparencia y Acceso a la Información Pública del Estado de México y Municipios.</w:t>
      </w:r>
    </w:p>
    <w:p w14:paraId="43B6BA77" w14:textId="77777777" w:rsidR="004E4604" w:rsidRPr="00CC3891" w:rsidRDefault="00CA70F9">
      <w:pPr>
        <w:numPr>
          <w:ilvl w:val="0"/>
          <w:numId w:val="2"/>
        </w:numPr>
        <w:pBdr>
          <w:top w:val="nil"/>
          <w:left w:val="nil"/>
          <w:bottom w:val="nil"/>
          <w:right w:val="nil"/>
          <w:between w:val="nil"/>
        </w:pBdr>
        <w:spacing w:after="160"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lastRenderedPageBreak/>
        <w:t>Cadena original de cédula.</w:t>
      </w:r>
      <w:r w:rsidRPr="00CC3891">
        <w:rPr>
          <w:rFonts w:ascii="Palatino Linotype" w:eastAsia="Palatino Linotype" w:hAnsi="Palatino Linotype" w:cs="Palatino Linotype"/>
          <w:sz w:val="22"/>
          <w:szCs w:val="22"/>
        </w:rPr>
        <w:t xml:space="preserve"> Al respecto, dicho dato se conforma de la fecha y lugar de emisión, la Clave Única de Registro de Población, el nombre del titular de la cédula, datos de la Institución Educativa y la profesión realizada.</w:t>
      </w:r>
    </w:p>
    <w:p w14:paraId="541C44F7" w14:textId="77777777" w:rsidR="004E4604" w:rsidRPr="00CC3891" w:rsidRDefault="004E4604">
      <w:pPr>
        <w:spacing w:line="276" w:lineRule="auto"/>
        <w:ind w:left="567" w:right="49"/>
        <w:jc w:val="both"/>
        <w:rPr>
          <w:rFonts w:ascii="Palatino Linotype" w:eastAsia="Palatino Linotype" w:hAnsi="Palatino Linotype" w:cs="Palatino Linotype"/>
          <w:sz w:val="22"/>
          <w:szCs w:val="22"/>
        </w:rPr>
      </w:pPr>
    </w:p>
    <w:p w14:paraId="5B8E9A7C"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14:paraId="08C97053" w14:textId="77777777" w:rsidR="004E4604" w:rsidRPr="00CC3891" w:rsidRDefault="004E4604">
      <w:pPr>
        <w:spacing w:line="276" w:lineRule="auto"/>
        <w:ind w:left="567" w:right="49"/>
        <w:jc w:val="both"/>
        <w:rPr>
          <w:rFonts w:ascii="Palatino Linotype" w:eastAsia="Palatino Linotype" w:hAnsi="Palatino Linotype" w:cs="Palatino Linotype"/>
          <w:sz w:val="22"/>
          <w:szCs w:val="22"/>
        </w:rPr>
      </w:pPr>
    </w:p>
    <w:p w14:paraId="32E6DB7F" w14:textId="77777777" w:rsidR="004E4604" w:rsidRPr="00CC3891" w:rsidRDefault="00CA70F9">
      <w:pPr>
        <w:spacing w:line="276" w:lineRule="auto"/>
        <w:ind w:left="567"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Conforme a lo anterior, se logra advertir que el Sujeto Obligado dejó visibles datos de naturaleza pública; por lo que, si bien, son documentos que su entrega da cuenta en parte de la información solicitada, no menos cierto es, que transgredió la privacidad de los servidores públicos, por lo que, se dará vista a la Dirección de Protección de Datos Personales; así mismo, deberá realizar una búsqueda exhaustiva y razonable en las unidades administrativas competentes para que dé cuenta del Título Profesional o documento análogo que acredite el último grado de estudios del Contralor Interno del Instituto Municipal de Cultura Física y Deporte de Villa del Carbón, en versión pública, debidamente aprobada por el Comité de Transparencia.</w:t>
      </w:r>
    </w:p>
    <w:p w14:paraId="5D7F6B94"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7C4F01CD"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Dicho lo anterior, se colige que, el Sujeto Obligado deberá hacer entrega, correctamente digitalizados y en versión pública, los documentos ilegibles enviados en respuesta.</w:t>
      </w:r>
    </w:p>
    <w:p w14:paraId="7E050B08" w14:textId="77777777" w:rsidR="004E4604" w:rsidRPr="00CC3891" w:rsidRDefault="004E4604">
      <w:pPr>
        <w:spacing w:line="360" w:lineRule="auto"/>
        <w:ind w:right="49"/>
        <w:jc w:val="right"/>
        <w:rPr>
          <w:rFonts w:ascii="Palatino Linotype" w:eastAsia="Palatino Linotype" w:hAnsi="Palatino Linotype" w:cs="Palatino Linotype"/>
          <w:sz w:val="22"/>
          <w:szCs w:val="22"/>
        </w:rPr>
      </w:pPr>
    </w:p>
    <w:p w14:paraId="228531F6" w14:textId="77777777" w:rsidR="004E4604" w:rsidRPr="00CC3891" w:rsidRDefault="00CA70F9">
      <w:pPr>
        <w:spacing w:line="360" w:lineRule="auto"/>
        <w:ind w:right="4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 xml:space="preserve">En lo que compete a las </w:t>
      </w:r>
      <w:r w:rsidRPr="00CC3891">
        <w:rPr>
          <w:rFonts w:ascii="Palatino Linotype" w:eastAsia="Palatino Linotype" w:hAnsi="Palatino Linotype" w:cs="Palatino Linotype"/>
          <w:b/>
          <w:sz w:val="22"/>
          <w:szCs w:val="22"/>
        </w:rPr>
        <w:t>compras y adquisiciones que se han realizado del 01 de mayo del 2024 al 31 de diciembre del 2024, debiéndose incluir facturas, requisiciones de área, la evidencia de su entrega, entrada y salida de almacén.</w:t>
      </w:r>
    </w:p>
    <w:p w14:paraId="6ADA6E2D"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58C19CF2"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respuesta 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Adquisiciones remitió diversos oficios relacionados con requisiciones, facturas, contratos, entre otros.</w:t>
      </w:r>
    </w:p>
    <w:p w14:paraId="16AEDFA3"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4DC61D05"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Derivado de ello, la parte Recurrente se inconformó arguyendo lo siguiente: </w:t>
      </w:r>
    </w:p>
    <w:p w14:paraId="44543A7C"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6E546F93"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 xml:space="preserve">El oficio de solicitud para la compra de juguetes tiene fecha de 11 de diciembre de 2023 y en el encabezado dice 2024 y demás errores, </w:t>
      </w:r>
      <w:r w:rsidRPr="00CC3891">
        <w:rPr>
          <w:rFonts w:ascii="Palatino Linotype" w:eastAsia="Palatino Linotype" w:hAnsi="Palatino Linotype" w:cs="Palatino Linotype"/>
          <w:b/>
          <w:sz w:val="22"/>
          <w:szCs w:val="22"/>
        </w:rPr>
        <w:t xml:space="preserve">solicito que se hagan las correcciones correspondientes. </w:t>
      </w:r>
    </w:p>
    <w:p w14:paraId="38495403"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Faltan firmas de algunas personas. </w:t>
      </w:r>
    </w:p>
    <w:p w14:paraId="7028C96F"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La información se pidió en separado y se adjunta un archivo con más de 3,000 hojas.</w:t>
      </w:r>
    </w:p>
    <w:p w14:paraId="67C49910"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Se agregan compras de otros tiempos y la solicitud fue clara y dice que las compras son de 01 de mayo del 2024 al 31 de diciembre del 2024. </w:t>
      </w:r>
    </w:p>
    <w:p w14:paraId="7C30F0D2"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Las compras no tienen un orden. </w:t>
      </w:r>
    </w:p>
    <w:p w14:paraId="7C93ABB6" w14:textId="77777777" w:rsidR="004E4604" w:rsidRPr="00CC3891" w:rsidRDefault="00CA70F9">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Se desconoce porqué se adjuntan fotos en la página 104. </w:t>
      </w:r>
    </w:p>
    <w:p w14:paraId="482F5609"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5B0466EB"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El Sujeto Obligado mediante informe justificado no se pronunció respecto a estos agravios. </w:t>
      </w:r>
    </w:p>
    <w:p w14:paraId="52ED226E"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6E4EC6BA" w14:textId="77777777" w:rsidR="004E4604" w:rsidRPr="00CC3891" w:rsidRDefault="00CA70F9">
      <w:pPr>
        <w:spacing w:line="360" w:lineRule="auto"/>
        <w:ind w:right="4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sz w:val="22"/>
          <w:szCs w:val="22"/>
        </w:rPr>
        <w:t xml:space="preserve">Dicho esto, resulta necesario contextualizar la información solicitada, la cual se encuentra relacionada con la comprobación de los gastos, por lo que, el Glosario de Términos Hacendarios que emite el Instituto Hacendario del Estado de México, el cual define como </w:t>
      </w:r>
      <w:r w:rsidRPr="00CC3891">
        <w:rPr>
          <w:rFonts w:ascii="Palatino Linotype" w:eastAsia="Palatino Linotype" w:hAnsi="Palatino Linotype" w:cs="Palatino Linotype"/>
          <w:b/>
          <w:i/>
          <w:sz w:val="22"/>
          <w:szCs w:val="22"/>
        </w:rPr>
        <w:t>“factura”</w:t>
      </w:r>
      <w:r w:rsidRPr="00CC3891">
        <w:rPr>
          <w:rFonts w:ascii="Palatino Linotype" w:eastAsia="Palatino Linotype" w:hAnsi="Palatino Linotype" w:cs="Palatino Linotype"/>
          <w:i/>
          <w:sz w:val="22"/>
          <w:szCs w:val="22"/>
        </w:rPr>
        <w:t xml:space="preserve"> </w:t>
      </w:r>
      <w:proofErr w:type="gramStart"/>
      <w:r w:rsidRPr="00CC3891">
        <w:rPr>
          <w:rFonts w:ascii="Palatino Linotype" w:eastAsia="Palatino Linotype" w:hAnsi="Palatino Linotype" w:cs="Palatino Linotype"/>
          <w:i/>
          <w:sz w:val="22"/>
          <w:szCs w:val="22"/>
        </w:rPr>
        <w:t xml:space="preserve">al  </w:t>
      </w:r>
      <w:r w:rsidRPr="00CC3891">
        <w:rPr>
          <w:rFonts w:ascii="Palatino Linotype" w:eastAsia="Palatino Linotype" w:hAnsi="Palatino Linotype" w:cs="Palatino Linotype"/>
          <w:b/>
          <w:i/>
          <w:sz w:val="22"/>
          <w:szCs w:val="22"/>
        </w:rPr>
        <w:t>documento</w:t>
      </w:r>
      <w:proofErr w:type="gramEnd"/>
      <w:r w:rsidRPr="00CC3891">
        <w:rPr>
          <w:rFonts w:ascii="Palatino Linotype" w:eastAsia="Palatino Linotype" w:hAnsi="Palatino Linotype" w:cs="Palatino Linotype"/>
          <w:b/>
          <w:i/>
          <w:sz w:val="22"/>
          <w:szCs w:val="22"/>
        </w:rPr>
        <w:t xml:space="preserve"> fiscal que emite la persona física o moral para comprobar la venta o adquisición de un bien y/o servicio.</w:t>
      </w:r>
    </w:p>
    <w:p w14:paraId="5F2AB592" w14:textId="77777777" w:rsidR="004E4604" w:rsidRPr="00CC3891" w:rsidRDefault="004E4604">
      <w:pPr>
        <w:spacing w:line="360" w:lineRule="auto"/>
        <w:ind w:right="49"/>
        <w:jc w:val="both"/>
        <w:rPr>
          <w:rFonts w:ascii="Palatino Linotype" w:eastAsia="Palatino Linotype" w:hAnsi="Palatino Linotype" w:cs="Palatino Linotype"/>
          <w:i/>
          <w:sz w:val="22"/>
          <w:szCs w:val="22"/>
        </w:rPr>
      </w:pPr>
    </w:p>
    <w:p w14:paraId="04848061" w14:textId="77777777" w:rsidR="004E4604" w:rsidRPr="00CC3891" w:rsidRDefault="00CA70F9">
      <w:pPr>
        <w:spacing w:line="360" w:lineRule="auto"/>
        <w:ind w:right="-7"/>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ese sentido, es de señalar que cuando las facturas amparan las erogaciones que se realizan con erario público tienen naturaleza pública, pues constituyen un medio idóneo de evidencia del gasto realizado con recursos públicos. </w:t>
      </w:r>
    </w:p>
    <w:p w14:paraId="6A3DB0A6" w14:textId="77777777" w:rsidR="004E4604" w:rsidRPr="00CC3891" w:rsidRDefault="004E4604">
      <w:pPr>
        <w:spacing w:line="360" w:lineRule="auto"/>
        <w:ind w:right="-7"/>
        <w:jc w:val="both"/>
        <w:rPr>
          <w:rFonts w:ascii="Palatino Linotype" w:eastAsia="Palatino Linotype" w:hAnsi="Palatino Linotype" w:cs="Palatino Linotype"/>
          <w:sz w:val="22"/>
          <w:szCs w:val="22"/>
        </w:rPr>
      </w:pPr>
    </w:p>
    <w:p w14:paraId="5BAEBEF9"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el mismo orden de ideas, el Código Financiero del Estado de México, establece en su artículo 344 lo siguiente: </w:t>
      </w:r>
    </w:p>
    <w:p w14:paraId="59E13B29" w14:textId="77777777" w:rsidR="004E4604" w:rsidRPr="00CC3891" w:rsidRDefault="004E4604">
      <w:pPr>
        <w:spacing w:line="360" w:lineRule="auto"/>
        <w:ind w:left="567" w:right="49"/>
        <w:jc w:val="both"/>
        <w:rPr>
          <w:rFonts w:ascii="Palatino Linotype" w:eastAsia="Palatino Linotype" w:hAnsi="Palatino Linotype" w:cs="Palatino Linotype"/>
          <w:sz w:val="22"/>
          <w:szCs w:val="22"/>
        </w:rPr>
      </w:pPr>
    </w:p>
    <w:p w14:paraId="30A77288" w14:textId="77777777" w:rsidR="004E4604" w:rsidRPr="00CC3891" w:rsidRDefault="00CA70F9">
      <w:pPr>
        <w:spacing w:line="276" w:lineRule="auto"/>
        <w:ind w:left="567" w:right="843"/>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Artículo 344.-</w:t>
      </w: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u w:val="single"/>
        </w:rPr>
        <w:t>Los Entes Públicos, a través de cualquiera de sus unidades administrativas</w:t>
      </w:r>
      <w:r w:rsidRPr="00CC3891">
        <w:rPr>
          <w:rFonts w:ascii="Palatino Linotype" w:eastAsia="Palatino Linotype" w:hAnsi="Palatino Linotype" w:cs="Palatino Linotype"/>
          <w:i/>
          <w:sz w:val="22"/>
          <w:szCs w:val="22"/>
        </w:rPr>
        <w:t xml:space="preserve">, de acuerdo con su naturaleza jurídica y según corresponda, </w:t>
      </w:r>
      <w:r w:rsidRPr="00CC3891">
        <w:rPr>
          <w:rFonts w:ascii="Palatino Linotype" w:eastAsia="Palatino Linotype" w:hAnsi="Palatino Linotype" w:cs="Palatino Linotype"/>
          <w:b/>
          <w:i/>
          <w:sz w:val="22"/>
          <w:szCs w:val="22"/>
          <w:u w:val="single"/>
        </w:rPr>
        <w:t xml:space="preserve">registrarán contablemente el efecto patrimonial y presupuestal de las operaciones financieras </w:t>
      </w:r>
      <w:r w:rsidRPr="00CC3891">
        <w:rPr>
          <w:rFonts w:ascii="Palatino Linotype" w:eastAsia="Palatino Linotype" w:hAnsi="Palatino Linotype" w:cs="Palatino Linotype"/>
          <w:b/>
          <w:i/>
          <w:sz w:val="22"/>
          <w:szCs w:val="22"/>
          <w:u w:val="single"/>
        </w:rPr>
        <w:lastRenderedPageBreak/>
        <w:t>que realicen, en el momento en que ocurran, con base en el sistema y políticas de registro establecidas</w:t>
      </w:r>
      <w:r w:rsidRPr="00CC3891">
        <w:rPr>
          <w:rFonts w:ascii="Palatino Linotype" w:eastAsia="Palatino Linotype" w:hAnsi="Palatino Linotype" w:cs="Palatino Linotype"/>
          <w:i/>
          <w:sz w:val="22"/>
          <w:szCs w:val="22"/>
        </w:rPr>
        <w:t xml:space="preserve">, en el caso de los Municipios, se hará por la Tesorería. </w:t>
      </w:r>
    </w:p>
    <w:p w14:paraId="22E18EB2" w14:textId="77777777" w:rsidR="004E4604" w:rsidRPr="00CC3891" w:rsidRDefault="004E4604">
      <w:pPr>
        <w:spacing w:line="276" w:lineRule="auto"/>
        <w:ind w:left="567" w:right="843"/>
        <w:jc w:val="both"/>
        <w:rPr>
          <w:rFonts w:ascii="Palatino Linotype" w:eastAsia="Palatino Linotype" w:hAnsi="Palatino Linotype" w:cs="Palatino Linotype"/>
          <w:i/>
          <w:sz w:val="22"/>
          <w:szCs w:val="22"/>
        </w:rPr>
      </w:pPr>
    </w:p>
    <w:p w14:paraId="422BFA7C" w14:textId="77777777" w:rsidR="004E4604" w:rsidRPr="00CC3891" w:rsidRDefault="00CA70F9">
      <w:pPr>
        <w:spacing w:line="276" w:lineRule="auto"/>
        <w:ind w:left="567" w:right="843"/>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u w:val="single"/>
        </w:rPr>
        <w:t>Todo registro contable y presupuestal deberá estar soportado con los documentos comprobatorios originales o en medios electrónicos, los que deberán permanecer en custodia y conservación</w:t>
      </w:r>
      <w:r w:rsidRPr="00CC3891">
        <w:rPr>
          <w:rFonts w:ascii="Palatino Linotype" w:eastAsia="Palatino Linotype" w:hAnsi="Palatino Linotype" w:cs="Palatino Linotype"/>
          <w:i/>
          <w:sz w:val="22"/>
          <w:szCs w:val="22"/>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2C354D40" w14:textId="77777777" w:rsidR="004E4604" w:rsidRPr="00CC3891" w:rsidRDefault="004E4604">
      <w:pPr>
        <w:spacing w:line="276" w:lineRule="auto"/>
        <w:ind w:left="567" w:right="843"/>
        <w:jc w:val="both"/>
        <w:rPr>
          <w:rFonts w:ascii="Palatino Linotype" w:eastAsia="Palatino Linotype" w:hAnsi="Palatino Linotype" w:cs="Palatino Linotype"/>
          <w:i/>
          <w:sz w:val="22"/>
          <w:szCs w:val="22"/>
        </w:rPr>
      </w:pPr>
    </w:p>
    <w:p w14:paraId="13E160CD" w14:textId="77777777" w:rsidR="004E4604" w:rsidRPr="00CC3891" w:rsidRDefault="00CA70F9">
      <w:pPr>
        <w:spacing w:line="276" w:lineRule="auto"/>
        <w:ind w:left="567" w:right="843"/>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Tratándose de documentos de carácter histórico, se estará a lo dispuesto por la legislación de la materia.</w:t>
      </w:r>
    </w:p>
    <w:p w14:paraId="484B5610" w14:textId="77777777" w:rsidR="004E4604" w:rsidRPr="00CC3891" w:rsidRDefault="004E4604">
      <w:pPr>
        <w:spacing w:line="360" w:lineRule="auto"/>
        <w:ind w:right="49"/>
        <w:jc w:val="both"/>
        <w:rPr>
          <w:sz w:val="22"/>
          <w:szCs w:val="22"/>
        </w:rPr>
      </w:pPr>
    </w:p>
    <w:p w14:paraId="0D31897E"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CC3891">
        <w:rPr>
          <w:rFonts w:ascii="Palatino Linotype" w:eastAsia="Palatino Linotype" w:hAnsi="Palatino Linotype" w:cs="Palatino Linotype"/>
          <w:i/>
          <w:sz w:val="22"/>
          <w:szCs w:val="22"/>
        </w:rPr>
        <w:t>Glosario de Términos Administrativos</w:t>
      </w:r>
      <w:r w:rsidRPr="00CC3891">
        <w:rPr>
          <w:rFonts w:ascii="Palatino Linotype" w:eastAsia="Palatino Linotype" w:hAnsi="Palatino Linotype" w:cs="Palatino Linotype"/>
          <w:sz w:val="22"/>
          <w:szCs w:val="22"/>
        </w:rPr>
        <w:t xml:space="preserve"> y el </w:t>
      </w:r>
      <w:r w:rsidRPr="00CC3891">
        <w:rPr>
          <w:rFonts w:ascii="Palatino Linotype" w:eastAsia="Palatino Linotype" w:hAnsi="Palatino Linotype" w:cs="Palatino Linotype"/>
          <w:i/>
          <w:sz w:val="22"/>
          <w:szCs w:val="22"/>
        </w:rPr>
        <w:t>Glosario de Términos para el Proceso de Planeación, Programación, Presupuestación y Evaluación en la Administración Pública</w:t>
      </w:r>
      <w:r w:rsidRPr="00CC3891">
        <w:rPr>
          <w:rFonts w:ascii="Palatino Linotype" w:eastAsia="Palatino Linotype" w:hAnsi="Palatino Linotype" w:cs="Palatino Linotype"/>
          <w:sz w:val="22"/>
          <w:szCs w:val="22"/>
        </w:rPr>
        <w:t xml:space="preserve">, definen los registros como: </w:t>
      </w:r>
    </w:p>
    <w:p w14:paraId="40746CE8" w14:textId="77777777" w:rsidR="004E4604" w:rsidRPr="00CC3891" w:rsidRDefault="004E4604">
      <w:pPr>
        <w:spacing w:line="360" w:lineRule="auto"/>
        <w:ind w:right="560"/>
        <w:jc w:val="both"/>
        <w:rPr>
          <w:rFonts w:ascii="Palatino Linotype" w:eastAsia="Palatino Linotype" w:hAnsi="Palatino Linotype" w:cs="Palatino Linotype"/>
          <w:i/>
          <w:sz w:val="22"/>
          <w:szCs w:val="22"/>
        </w:rPr>
      </w:pPr>
    </w:p>
    <w:p w14:paraId="4D82DAB8" w14:textId="77777777" w:rsidR="004E4604" w:rsidRPr="00CC3891" w:rsidRDefault="00CA70F9">
      <w:pPr>
        <w:spacing w:line="276" w:lineRule="auto"/>
        <w:ind w:left="567" w:right="560"/>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 xml:space="preserve">Registro contable. </w:t>
      </w:r>
      <w:r w:rsidRPr="00CC3891">
        <w:rPr>
          <w:rFonts w:ascii="Palatino Linotype" w:eastAsia="Palatino Linotype" w:hAnsi="Palatino Linotype" w:cs="Palatino Linotype"/>
          <w:i/>
          <w:sz w:val="22"/>
          <w:szCs w:val="22"/>
        </w:rPr>
        <w:t xml:space="preserve">Asiento que se realiza en los libros de contabilidad de las actividades relacionadas con el ingreso y egreso de un ente económico. </w:t>
      </w:r>
    </w:p>
    <w:p w14:paraId="300DA7E6" w14:textId="77777777" w:rsidR="004E4604" w:rsidRPr="00CC3891" w:rsidRDefault="004E4604">
      <w:pPr>
        <w:spacing w:line="276" w:lineRule="auto"/>
        <w:ind w:left="567" w:right="560"/>
        <w:jc w:val="both"/>
        <w:rPr>
          <w:rFonts w:ascii="Palatino Linotype" w:eastAsia="Palatino Linotype" w:hAnsi="Palatino Linotype" w:cs="Palatino Linotype"/>
          <w:i/>
          <w:sz w:val="22"/>
          <w:szCs w:val="22"/>
        </w:rPr>
      </w:pPr>
    </w:p>
    <w:p w14:paraId="16EF0158" w14:textId="77777777" w:rsidR="004E4604" w:rsidRPr="00CC3891" w:rsidRDefault="00CA70F9">
      <w:pPr>
        <w:spacing w:line="276" w:lineRule="auto"/>
        <w:ind w:left="567" w:right="560"/>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 xml:space="preserve">Registro Presupuestario. </w:t>
      </w:r>
      <w:r w:rsidRPr="00CC3891">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6A1337D3"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7E5195F4"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De los preceptos citados, se colige que los entes fiscalizables</w:t>
      </w:r>
      <w:r w:rsidRPr="00CC3891">
        <w:rPr>
          <w:rFonts w:ascii="Palatino Linotype" w:eastAsia="Palatino Linotype" w:hAnsi="Palatino Linotype" w:cs="Palatino Linotype"/>
          <w:b/>
          <w:sz w:val="22"/>
          <w:szCs w:val="22"/>
          <w:u w:val="single"/>
        </w:rPr>
        <w:t xml:space="preserve"> deben contar con una unidad administrativa que registra contablemente el efecto patrimonial y presupuestal de las operaciones financieras</w:t>
      </w:r>
      <w:r w:rsidRPr="00CC3891">
        <w:rPr>
          <w:rFonts w:ascii="Palatino Linotype" w:eastAsia="Palatino Linotype" w:hAnsi="Palatino Linotype" w:cs="Palatino Linotype"/>
          <w:sz w:val="22"/>
          <w:szCs w:val="22"/>
        </w:rPr>
        <w:t xml:space="preserve"> que realizan y por lo general, se encuentran en las denominadas </w:t>
      </w:r>
      <w:r w:rsidRPr="00CC3891">
        <w:rPr>
          <w:rFonts w:ascii="Palatino Linotype" w:eastAsia="Palatino Linotype" w:hAnsi="Palatino Linotype" w:cs="Palatino Linotype"/>
          <w:i/>
          <w:sz w:val="22"/>
          <w:szCs w:val="22"/>
        </w:rPr>
        <w:t xml:space="preserve">pólizas </w:t>
      </w:r>
      <w:r w:rsidRPr="00CC3891">
        <w:rPr>
          <w:rFonts w:ascii="Palatino Linotype" w:eastAsia="Palatino Linotype" w:hAnsi="Palatino Linotype" w:cs="Palatino Linotype"/>
          <w:i/>
          <w:sz w:val="22"/>
          <w:szCs w:val="22"/>
        </w:rPr>
        <w:lastRenderedPageBreak/>
        <w:t xml:space="preserve">contables </w:t>
      </w:r>
      <w:r w:rsidRPr="00CC3891">
        <w:rPr>
          <w:rFonts w:ascii="Palatino Linotype" w:eastAsia="Palatino Linotype" w:hAnsi="Palatino Linotype" w:cs="Palatino Linotype"/>
          <w:sz w:val="22"/>
          <w:szCs w:val="22"/>
        </w:rPr>
        <w:t xml:space="preserve">las cuales son aquellos documentos en los que se asientan en forma individual todas y cada una de las operaciones desarrolladas por una institución, así como la información necesaria para la identificación de estas. </w:t>
      </w:r>
    </w:p>
    <w:p w14:paraId="1AF2BEF5" w14:textId="77777777" w:rsidR="004E4604" w:rsidRPr="00CC3891" w:rsidRDefault="004E4604">
      <w:pPr>
        <w:spacing w:line="276" w:lineRule="auto"/>
        <w:ind w:right="579"/>
        <w:jc w:val="both"/>
        <w:rPr>
          <w:rFonts w:ascii="Palatino Linotype" w:eastAsia="Palatino Linotype" w:hAnsi="Palatino Linotype" w:cs="Palatino Linotype"/>
          <w:i/>
          <w:sz w:val="22"/>
          <w:szCs w:val="22"/>
        </w:rPr>
      </w:pPr>
    </w:p>
    <w:p w14:paraId="6D9486A8"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De lo anterior, se colige que el Sujeto Obligado, cuenta con las competencias, facultades y atribuciones para conocer, administrar y generar la información relacionada con los procedimientos de contratación llevados a cabo por el Municipio, así como, los documentos donde consta la comprobación de las erogaciones realizadas. </w:t>
      </w:r>
    </w:p>
    <w:p w14:paraId="75FECA12"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4A9B1C3C"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Referido lo anterior, es menester señalar que en cuanto hace a los agravios relativos a </w:t>
      </w:r>
      <w:r w:rsidRPr="00CC3891">
        <w:rPr>
          <w:rFonts w:ascii="Palatino Linotype" w:eastAsia="Palatino Linotype" w:hAnsi="Palatino Linotype" w:cs="Palatino Linotype"/>
          <w:i/>
          <w:sz w:val="22"/>
          <w:szCs w:val="22"/>
        </w:rPr>
        <w:t>“…solicito que se hagan las correcciones correspondientes” “La información se pidió en separado y se adjunta un archivo con más de 3,000 hojas”, “Las compras no tienen un orden” “Se desconoce porqué se adjuntan fotos en la página 104…”</w:t>
      </w:r>
      <w:r w:rsidRPr="00CC3891">
        <w:rPr>
          <w:rFonts w:ascii="Palatino Linotype" w:eastAsia="Palatino Linotype" w:hAnsi="Palatino Linotype" w:cs="Palatino Linotype"/>
          <w:sz w:val="22"/>
          <w:szCs w:val="22"/>
        </w:rPr>
        <w:t xml:space="preserve">, son agravios que no pueden ser atendidos a través del derecho de acceso a la información, debido a que este versa únicamente en acceder a las documentales que obren en los archivos de los sujetos obligados, sin que deban ser presentados conforme al interés del solicitante, aunado a que, el recurso de impugnación no es el medio idóneo para solicitar aclaraciones o correcciones, como en el presente caso se suscita. </w:t>
      </w:r>
    </w:p>
    <w:p w14:paraId="3B9701D7"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2B2E58FE"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Dicho esto, en cuanto hace al agravio relativo a la </w:t>
      </w:r>
      <w:r w:rsidRPr="00CC3891">
        <w:rPr>
          <w:rFonts w:ascii="Palatino Linotype" w:eastAsia="Palatino Linotype" w:hAnsi="Palatino Linotype" w:cs="Palatino Linotype"/>
          <w:b/>
          <w:sz w:val="22"/>
          <w:szCs w:val="22"/>
        </w:rPr>
        <w:t>falta de firmas de algunas personas</w:t>
      </w:r>
      <w:r w:rsidRPr="00CC3891">
        <w:rPr>
          <w:rFonts w:ascii="Palatino Linotype" w:eastAsia="Palatino Linotype" w:hAnsi="Palatino Linotype" w:cs="Palatino Linotype"/>
          <w:sz w:val="22"/>
          <w:szCs w:val="22"/>
        </w:rPr>
        <w:t xml:space="preserve">, es de mencionar que, se advierte que el Sujeto Obligado hizo entrega de la información en el estado que guarda y tal como obra en sus archivos, lo anterior, en términos de lo estipulado en el artículo 12 de la Ley de Transparencia y Acceso a la Información Pública del Estado de México y Municipios. </w:t>
      </w:r>
    </w:p>
    <w:p w14:paraId="2C18D17B"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4F2920EB"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Asimismo, en lo que relativo a que, se agregaron compras de otras fechas, siendo que lo que se solicitó fueron las compras del 01 de mayo del 2024 al 31 de diciembre del 2024; del análisis de los documentos remitidos en respuesta se advierte que si bien se remitieron documentos del año dos mil veintitrés, también lo es que, el Sujeto Obligado hizo entrega de información del año dos </w:t>
      </w:r>
      <w:r w:rsidRPr="00CC3891">
        <w:rPr>
          <w:rFonts w:ascii="Palatino Linotype" w:eastAsia="Palatino Linotype" w:hAnsi="Palatino Linotype" w:cs="Palatino Linotype"/>
          <w:sz w:val="22"/>
          <w:szCs w:val="22"/>
        </w:rPr>
        <w:lastRenderedPageBreak/>
        <w:t>mil veinticuatro, por lo que, se colige que, es la información con la que cuenta , en términos de lo estipulado en el artículo 12 de la Ley de Transparencia y Acceso a la Información Pública del Estado de México y Municipios.</w:t>
      </w:r>
    </w:p>
    <w:p w14:paraId="77E0AAEA"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                                                                                                                                                                                                                     </w:t>
      </w:r>
    </w:p>
    <w:p w14:paraId="0109C128"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Por último, en cuanto hace a la legibilidad de los documentos, se advierte que algunos documentos son ilegibles, a modo de ejemplo, los siguientes:</w:t>
      </w:r>
    </w:p>
    <w:p w14:paraId="6E43CF9B"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3A80505E"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73C552A9" wp14:editId="740118CC">
            <wp:extent cx="6001445" cy="899448"/>
            <wp:effectExtent l="0" t="0" r="0" b="0"/>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6001445" cy="899448"/>
                    </a:xfrm>
                    <a:prstGeom prst="rect">
                      <a:avLst/>
                    </a:prstGeom>
                    <a:ln/>
                  </pic:spPr>
                </pic:pic>
              </a:graphicData>
            </a:graphic>
          </wp:inline>
        </w:drawing>
      </w:r>
    </w:p>
    <w:p w14:paraId="6797EA1B"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w:t>
      </w:r>
    </w:p>
    <w:p w14:paraId="49FD0458"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6921509A" wp14:editId="3E1E25F2">
            <wp:extent cx="5948680" cy="129413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8680" cy="1294130"/>
                    </a:xfrm>
                    <a:prstGeom prst="rect">
                      <a:avLst/>
                    </a:prstGeom>
                    <a:ln/>
                  </pic:spPr>
                </pic:pic>
              </a:graphicData>
            </a:graphic>
          </wp:inline>
        </w:drawing>
      </w:r>
    </w:p>
    <w:p w14:paraId="0A9C8B73"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w:t>
      </w:r>
    </w:p>
    <w:p w14:paraId="329E6856" w14:textId="77777777" w:rsidR="004E4604" w:rsidRPr="00CC3891" w:rsidRDefault="00CA70F9">
      <w:pP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25A29460" wp14:editId="6922EA15">
            <wp:extent cx="4273855" cy="2164757"/>
            <wp:effectExtent l="0" t="0" r="0" b="0"/>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273855" cy="2164757"/>
                    </a:xfrm>
                    <a:prstGeom prst="rect">
                      <a:avLst/>
                    </a:prstGeom>
                    <a:ln/>
                  </pic:spPr>
                </pic:pic>
              </a:graphicData>
            </a:graphic>
          </wp:inline>
        </w:drawing>
      </w:r>
    </w:p>
    <w:p w14:paraId="02156F82" w14:textId="77777777" w:rsidR="004E4604" w:rsidRPr="00CC3891" w:rsidRDefault="004E4604">
      <w:pPr>
        <w:spacing w:line="360" w:lineRule="auto"/>
        <w:ind w:right="49"/>
        <w:jc w:val="center"/>
        <w:rPr>
          <w:rFonts w:ascii="Palatino Linotype" w:eastAsia="Palatino Linotype" w:hAnsi="Palatino Linotype" w:cs="Palatino Linotype"/>
          <w:sz w:val="22"/>
          <w:szCs w:val="22"/>
        </w:rPr>
      </w:pPr>
    </w:p>
    <w:p w14:paraId="0B636D8D"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Asimismo, se logró apreciar que, dentro de los documentos ilegibles se pretendió clasificar datos como:</w:t>
      </w:r>
    </w:p>
    <w:p w14:paraId="006E6ADC" w14:textId="77777777" w:rsidR="004E4604" w:rsidRPr="00CC3891" w:rsidRDefault="00CA70F9">
      <w:pPr>
        <w:numPr>
          <w:ilvl w:val="0"/>
          <w:numId w:val="4"/>
        </w:numPr>
        <w:pBdr>
          <w:top w:val="nil"/>
          <w:left w:val="nil"/>
          <w:bottom w:val="nil"/>
          <w:right w:val="nil"/>
          <w:between w:val="nil"/>
        </w:pBdr>
        <w:spacing w:before="280" w:after="280" w:line="276" w:lineRule="auto"/>
        <w:ind w:left="567" w:firstLine="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Folio Fiscal</w:t>
      </w:r>
      <w:r w:rsidRPr="00CC3891">
        <w:rPr>
          <w:rFonts w:ascii="Palatino Linotype" w:eastAsia="Palatino Linotype" w:hAnsi="Palatino Linotype" w:cs="Palatino Linotype"/>
          <w:sz w:val="22"/>
          <w:szCs w:val="22"/>
        </w:rPr>
        <w:t>.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2706199C" w14:textId="77777777" w:rsidR="004E4604" w:rsidRPr="00CC3891" w:rsidRDefault="00CA70F9">
      <w:pPr>
        <w:spacing w:before="280" w:after="280" w:line="276" w:lineRule="auto"/>
        <w:ind w:left="567"/>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7B7B2535" wp14:editId="3E4F4C94">
            <wp:extent cx="4667250" cy="1333500"/>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b="32787"/>
                    <a:stretch>
                      <a:fillRect/>
                    </a:stretch>
                  </pic:blipFill>
                  <pic:spPr>
                    <a:xfrm>
                      <a:off x="0" y="0"/>
                      <a:ext cx="4667250" cy="1333500"/>
                    </a:xfrm>
                    <a:prstGeom prst="rect">
                      <a:avLst/>
                    </a:prstGeom>
                    <a:ln/>
                  </pic:spPr>
                </pic:pic>
              </a:graphicData>
            </a:graphic>
          </wp:inline>
        </w:drawing>
      </w:r>
    </w:p>
    <w:p w14:paraId="301139E3" w14:textId="77777777" w:rsidR="004E4604" w:rsidRPr="00CC3891" w:rsidRDefault="00CA70F9">
      <w:pPr>
        <w:spacing w:before="280" w:after="280" w:line="276" w:lineRule="auto"/>
        <w:ind w:left="567"/>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ese contexto,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w:t>
      </w:r>
      <w:r w:rsidRPr="00CC3891">
        <w:rPr>
          <w:rFonts w:ascii="Palatino Linotype" w:eastAsia="Palatino Linotype" w:hAnsi="Palatino Linotype" w:cs="Palatino Linotype"/>
          <w:b/>
          <w:sz w:val="22"/>
          <w:szCs w:val="22"/>
        </w:rPr>
        <w:t>no se actualiza la clasificación</w:t>
      </w:r>
      <w:r w:rsidRPr="00CC3891">
        <w:rPr>
          <w:rFonts w:ascii="Palatino Linotype" w:eastAsia="Palatino Linotype" w:hAnsi="Palatino Linotype" w:cs="Palatino Linotype"/>
          <w:sz w:val="22"/>
          <w:szCs w:val="22"/>
        </w:rPr>
        <w:t>, en términos del artículo 143, fracción I de la Ley de la materia.</w:t>
      </w:r>
    </w:p>
    <w:p w14:paraId="1FE68B1A" w14:textId="77777777" w:rsidR="004E4604" w:rsidRPr="00CC3891" w:rsidRDefault="00CA70F9">
      <w:pPr>
        <w:numPr>
          <w:ilvl w:val="0"/>
          <w:numId w:val="3"/>
        </w:numPr>
        <w:spacing w:before="280" w:line="276" w:lineRule="auto"/>
        <w:ind w:left="567" w:right="-91" w:firstLine="0"/>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Cadenas originales y sellos. Las cadenas originales y sellos</w:t>
      </w:r>
      <w:r w:rsidRPr="00CC3891">
        <w:rPr>
          <w:rFonts w:ascii="Palatino Linotype" w:eastAsia="Palatino Linotype" w:hAnsi="Palatino Linotype" w:cs="Palatino Linotype"/>
          <w:sz w:val="22"/>
          <w:szCs w:val="22"/>
        </w:rPr>
        <w:t xml:space="preserve">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6A73272B" w14:textId="77777777" w:rsidR="004E4604" w:rsidRPr="00CC3891" w:rsidRDefault="00CA70F9">
      <w:pPr>
        <w:spacing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“Elementos utilizados en la generación de Sellos Digitales:</w:t>
      </w:r>
    </w:p>
    <w:p w14:paraId="5EB28016"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i/>
          <w:sz w:val="22"/>
          <w:szCs w:val="22"/>
        </w:rPr>
        <w:tab/>
        <w:t>Cadena Original, el elemento a sellar, en este caso de un comprobante fiscal digital a través de Internet.</w:t>
      </w:r>
    </w:p>
    <w:p w14:paraId="00E8BDE3"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lastRenderedPageBreak/>
        <w:t>•</w:t>
      </w:r>
      <w:r w:rsidRPr="00CC3891">
        <w:rPr>
          <w:rFonts w:ascii="Palatino Linotype" w:eastAsia="Palatino Linotype" w:hAnsi="Palatino Linotype" w:cs="Palatino Linotype"/>
          <w:i/>
          <w:sz w:val="22"/>
          <w:szCs w:val="22"/>
        </w:rPr>
        <w:tab/>
        <w:t>Certificado de Sello Digital y su correspondiente clave privada.</w:t>
      </w:r>
    </w:p>
    <w:p w14:paraId="7BC96489"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i/>
          <w:sz w:val="22"/>
          <w:szCs w:val="22"/>
        </w:rPr>
        <w:tab/>
        <w:t>Algoritmos de criptografía de clave pública para firma electrónica avanzada.</w:t>
      </w:r>
    </w:p>
    <w:p w14:paraId="7822C903"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i/>
          <w:sz w:val="22"/>
          <w:szCs w:val="22"/>
        </w:rPr>
        <w:tab/>
        <w:t>Especificaciones de conversión de la firma electrónica avanzada a Base 64.</w:t>
      </w:r>
    </w:p>
    <w:p w14:paraId="69867D63"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Para la generación de sellos digitales se utiliza criptografía de clave pública aplicada a una cadena original.</w:t>
      </w:r>
    </w:p>
    <w:p w14:paraId="67851E32"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Criptografía de la Clave Pública</w:t>
      </w:r>
    </w:p>
    <w:p w14:paraId="78E45F31" w14:textId="77777777" w:rsidR="004E4604" w:rsidRPr="00CC3891" w:rsidRDefault="00CA70F9">
      <w:pPr>
        <w:spacing w:before="280" w:after="280" w:line="276" w:lineRule="auto"/>
        <w:ind w:left="567" w:right="992"/>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sidRPr="00CC3891">
        <w:rPr>
          <w:rFonts w:ascii="Palatino Linotype" w:eastAsia="Palatino Linotype" w:hAnsi="Palatino Linotype" w:cs="Palatino Linotype"/>
          <w:i/>
          <w:sz w:val="22"/>
          <w:szCs w:val="22"/>
        </w:rPr>
        <w:t>encripción</w:t>
      </w:r>
      <w:proofErr w:type="spellEnd"/>
      <w:r w:rsidRPr="00CC3891">
        <w:rPr>
          <w:rFonts w:ascii="Palatino Linotype" w:eastAsia="Palatino Linotype" w:hAnsi="Palatino Linotype" w:cs="Palatino Linotype"/>
          <w:i/>
          <w:sz w:val="22"/>
          <w:szCs w:val="22"/>
        </w:rPr>
        <w:t xml:space="preserve"> sobre un mensaje tomando como clave de </w:t>
      </w:r>
      <w:proofErr w:type="spellStart"/>
      <w:r w:rsidRPr="00CC3891">
        <w:rPr>
          <w:rFonts w:ascii="Palatino Linotype" w:eastAsia="Palatino Linotype" w:hAnsi="Palatino Linotype" w:cs="Palatino Linotype"/>
          <w:i/>
          <w:sz w:val="22"/>
          <w:szCs w:val="22"/>
        </w:rPr>
        <w:t>encripción</w:t>
      </w:r>
      <w:proofErr w:type="spellEnd"/>
      <w:r w:rsidRPr="00CC3891">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sidRPr="00CC3891">
        <w:rPr>
          <w:rFonts w:ascii="Palatino Linotype" w:eastAsia="Palatino Linotype" w:hAnsi="Palatino Linotype" w:cs="Palatino Linotype"/>
          <w:i/>
          <w:sz w:val="22"/>
          <w:szCs w:val="22"/>
        </w:rPr>
        <w:t>desencripción</w:t>
      </w:r>
      <w:proofErr w:type="spellEnd"/>
      <w:r w:rsidRPr="00CC3891">
        <w:rPr>
          <w:rFonts w:ascii="Palatino Linotype" w:eastAsia="Palatino Linotype" w:hAnsi="Palatino Linotype" w:cs="Palatino Linotype"/>
          <w:i/>
          <w:sz w:val="22"/>
          <w:szCs w:val="22"/>
        </w:rPr>
        <w:t xml:space="preserve"> correspondiente tomando como clave de </w:t>
      </w:r>
      <w:proofErr w:type="spellStart"/>
      <w:r w:rsidRPr="00CC3891">
        <w:rPr>
          <w:rFonts w:ascii="Palatino Linotype" w:eastAsia="Palatino Linotype" w:hAnsi="Palatino Linotype" w:cs="Palatino Linotype"/>
          <w:i/>
          <w:sz w:val="22"/>
          <w:szCs w:val="22"/>
        </w:rPr>
        <w:t>desencripción</w:t>
      </w:r>
      <w:proofErr w:type="spellEnd"/>
      <w:r w:rsidRPr="00CC3891">
        <w:rPr>
          <w:rFonts w:ascii="Palatino Linotype" w:eastAsia="Palatino Linotype" w:hAnsi="Palatino Linotype" w:cs="Palatino Linotype"/>
          <w:i/>
          <w:sz w:val="22"/>
          <w:szCs w:val="22"/>
        </w:rPr>
        <w:t xml:space="preserve"> al otro número de la pareja.”</w:t>
      </w:r>
    </w:p>
    <w:p w14:paraId="6C24E4BE" w14:textId="77777777" w:rsidR="004E4604" w:rsidRPr="00CC3891" w:rsidRDefault="00CA70F9">
      <w:pPr>
        <w:spacing w:before="280" w:after="280" w:line="276" w:lineRule="auto"/>
        <w:ind w:left="567"/>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Es decir, por sí solos las cadenas originales y los sellos originales no contienen datos personales confidenciales, por lo que se considera que </w:t>
      </w:r>
      <w:r w:rsidRPr="00CC3891">
        <w:rPr>
          <w:rFonts w:ascii="Palatino Linotype" w:eastAsia="Palatino Linotype" w:hAnsi="Palatino Linotype" w:cs="Palatino Linotype"/>
          <w:b/>
          <w:sz w:val="22"/>
          <w:szCs w:val="22"/>
        </w:rPr>
        <w:t>no actualizan en supuesto de confidencialidad</w:t>
      </w:r>
      <w:r w:rsidRPr="00CC3891">
        <w:rPr>
          <w:rFonts w:ascii="Palatino Linotype" w:eastAsia="Palatino Linotype" w:hAnsi="Palatino Linotype" w:cs="Palatino Linotype"/>
          <w:sz w:val="22"/>
          <w:szCs w:val="22"/>
        </w:rPr>
        <w:t xml:space="preserve">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5E68364C" w14:textId="77777777" w:rsidR="004E4604" w:rsidRPr="00CC3891" w:rsidRDefault="00CA70F9">
      <w:pPr>
        <w:spacing w:before="280" w:after="280" w:line="276" w:lineRule="auto"/>
        <w:ind w:left="567"/>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Número de serie del emisor y/o CSD y número de certificado del SAT. </w:t>
      </w:r>
      <w:r w:rsidRPr="00CC3891">
        <w:rPr>
          <w:rFonts w:ascii="Palatino Linotype" w:eastAsia="Palatino Linotype" w:hAnsi="Palatino Linotype" w:cs="Palatino Linotype"/>
          <w:sz w:val="22"/>
          <w:szCs w:val="22"/>
        </w:rPr>
        <w:t xml:space="preserve">Por otra parte, por lo que hace </w:t>
      </w:r>
      <w:r w:rsidRPr="00CC3891">
        <w:rPr>
          <w:rFonts w:ascii="Palatino Linotype" w:eastAsia="Palatino Linotype" w:hAnsi="Palatino Linotype" w:cs="Palatino Linotype"/>
          <w:b/>
          <w:sz w:val="22"/>
          <w:szCs w:val="22"/>
        </w:rPr>
        <w:t>al número de serie de los certificados de Sello Digitales del emisor y del Servicio de Administración Tributaria,</w:t>
      </w:r>
      <w:r w:rsidRPr="00CC3891">
        <w:rPr>
          <w:rFonts w:ascii="Palatino Linotype" w:eastAsia="Palatino Linotype" w:hAnsi="Palatino Linotype" w:cs="Palatino Linotype"/>
          <w:sz w:val="22"/>
          <w:szCs w:val="22"/>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en la página </w:t>
      </w:r>
      <w:hyperlink r:id="rId15">
        <w:r w:rsidRPr="00CC3891">
          <w:rPr>
            <w:rFonts w:ascii="Palatino Linotype" w:eastAsia="Palatino Linotype" w:hAnsi="Palatino Linotype" w:cs="Palatino Linotype"/>
            <w:sz w:val="22"/>
            <w:szCs w:val="22"/>
          </w:rPr>
          <w:t>https://portalanterior.ine.mx/archivos2/tutoriales/sistemas/ApoyoInstitucional/SIF/docs/candidatos/folioFiscalFactura.pdf</w:t>
        </w:r>
      </w:hyperlink>
      <w:r w:rsidRPr="00CC3891">
        <w:rPr>
          <w:rFonts w:ascii="Palatino Linotype" w:eastAsia="Palatino Linotype" w:hAnsi="Palatino Linotype" w:cs="Palatino Linotype"/>
          <w:sz w:val="22"/>
          <w:szCs w:val="22"/>
        </w:rPr>
        <w:t>, en la cual se advierte que únicamente se encuentra conformado por números, se muestra a continuación:</w:t>
      </w:r>
    </w:p>
    <w:p w14:paraId="5EF7E364" w14:textId="77777777" w:rsidR="004E4604" w:rsidRPr="00CC3891" w:rsidRDefault="00CA70F9">
      <w:pPr>
        <w:spacing w:before="280" w:after="280" w:line="276" w:lineRule="auto"/>
        <w:ind w:left="567"/>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lastRenderedPageBreak/>
        <w:drawing>
          <wp:inline distT="0" distB="0" distL="0" distR="0" wp14:anchorId="03399A05" wp14:editId="53D65389">
            <wp:extent cx="5191125" cy="1009650"/>
            <wp:effectExtent l="0" t="0" r="0" b="0"/>
            <wp:docPr id="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191125" cy="1009650"/>
                    </a:xfrm>
                    <a:prstGeom prst="rect">
                      <a:avLst/>
                    </a:prstGeom>
                    <a:ln/>
                  </pic:spPr>
                </pic:pic>
              </a:graphicData>
            </a:graphic>
          </wp:inline>
        </w:drawing>
      </w:r>
      <w:r w:rsidRPr="00CC3891">
        <w:rPr>
          <w:noProof/>
          <w:lang w:val="es-MX"/>
        </w:rPr>
        <mc:AlternateContent>
          <mc:Choice Requires="wpg">
            <w:drawing>
              <wp:anchor distT="0" distB="0" distL="114300" distR="114300" simplePos="0" relativeHeight="251658240" behindDoc="0" locked="0" layoutInCell="1" hidden="0" allowOverlap="1" wp14:anchorId="604F7E92" wp14:editId="64B782AD">
                <wp:simplePos x="0" y="0"/>
                <wp:positionH relativeFrom="column">
                  <wp:posOffset>571500</wp:posOffset>
                </wp:positionH>
                <wp:positionV relativeFrom="paragraph">
                  <wp:posOffset>787400</wp:posOffset>
                </wp:positionV>
                <wp:extent cx="3486150" cy="247650"/>
                <wp:effectExtent l="0" t="0" r="0" b="0"/>
                <wp:wrapNone/>
                <wp:docPr id="37" name="Rectángulo 37"/>
                <wp:cNvGraphicFramePr/>
                <a:graphic xmlns:a="http://schemas.openxmlformats.org/drawingml/2006/main">
                  <a:graphicData uri="http://schemas.microsoft.com/office/word/2010/wordprocessingShape">
                    <wps:wsp>
                      <wps:cNvSpPr/>
                      <wps:spPr>
                        <a:xfrm>
                          <a:off x="3617213" y="3670463"/>
                          <a:ext cx="3457575" cy="219075"/>
                        </a:xfrm>
                        <a:prstGeom prst="rect">
                          <a:avLst/>
                        </a:prstGeom>
                        <a:noFill/>
                        <a:ln w="28575" cap="flat" cmpd="sng">
                          <a:solidFill>
                            <a:srgbClr val="000000"/>
                          </a:solidFill>
                          <a:prstDash val="solid"/>
                          <a:round/>
                          <a:headEnd type="none" w="sm" len="sm"/>
                          <a:tailEnd type="none" w="sm" len="sm"/>
                        </a:ln>
                      </wps:spPr>
                      <wps:txbx>
                        <w:txbxContent>
                          <w:p w14:paraId="714A7F68" w14:textId="77777777" w:rsidR="004E4604" w:rsidRDefault="004E4604">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571500</wp:posOffset>
                </wp:positionH>
                <wp:positionV relativeFrom="paragraph">
                  <wp:posOffset>787400</wp:posOffset>
                </wp:positionV>
                <wp:extent cx="3486150" cy="247650"/>
                <wp:effectExtent b="0" l="0" r="0" t="0"/>
                <wp:wrapNone/>
                <wp:docPr id="3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3486150" cy="247650"/>
                        </a:xfrm>
                        <a:prstGeom prst="rect"/>
                        <a:ln/>
                      </pic:spPr>
                    </pic:pic>
                  </a:graphicData>
                </a:graphic>
              </wp:anchor>
            </w:drawing>
          </mc:Fallback>
        </mc:AlternateContent>
      </w:r>
    </w:p>
    <w:p w14:paraId="66DB4EBD" w14:textId="77777777" w:rsidR="004E4604" w:rsidRPr="00CC3891" w:rsidRDefault="00CA70F9">
      <w:pPr>
        <w:spacing w:before="280" w:after="280" w:line="276" w:lineRule="auto"/>
        <w:ind w:left="567"/>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 xml:space="preserve">Como se logra observar, los números de serie del certificado de sello digital no contiene datos personales y con dichos dígitos tampoco se puede obtener información de carácter confidencial, por lo que, </w:t>
      </w:r>
      <w:r w:rsidRPr="00CC3891">
        <w:rPr>
          <w:rFonts w:ascii="Palatino Linotype" w:eastAsia="Palatino Linotype" w:hAnsi="Palatino Linotype" w:cs="Palatino Linotype"/>
          <w:b/>
          <w:sz w:val="22"/>
          <w:szCs w:val="22"/>
        </w:rPr>
        <w:t>tampoco actualizan la causal de clasificación</w:t>
      </w:r>
      <w:r w:rsidRPr="00CC3891">
        <w:rPr>
          <w:rFonts w:ascii="Palatino Linotype" w:eastAsia="Palatino Linotype" w:hAnsi="Palatino Linotype" w:cs="Palatino Linotype"/>
          <w:sz w:val="22"/>
          <w:szCs w:val="22"/>
        </w:rPr>
        <w:t xml:space="preserve">, establecida en el artículo 143, fracción I, de la Ley de Transparencia y Acceso a la Información Pública del Estado de México y Municipios. </w:t>
      </w:r>
      <w:r w:rsidRPr="00CC3891">
        <w:rPr>
          <w:rFonts w:ascii="Palatino Linotype" w:eastAsia="Palatino Linotype" w:hAnsi="Palatino Linotype" w:cs="Palatino Linotype"/>
          <w:b/>
          <w:sz w:val="22"/>
          <w:szCs w:val="22"/>
        </w:rPr>
        <w:t>Máxime que permite corroborar la legitimidad a los CDFI, pues amparan la utilización de los certificados de sellos digitales válidos.</w:t>
      </w:r>
    </w:p>
    <w:p w14:paraId="06689995" w14:textId="77777777" w:rsidR="004E4604" w:rsidRPr="00CC3891" w:rsidRDefault="004E4604">
      <w:pPr>
        <w:spacing w:line="276" w:lineRule="auto"/>
        <w:ind w:right="49"/>
        <w:jc w:val="both"/>
        <w:rPr>
          <w:rFonts w:ascii="Palatino Linotype" w:eastAsia="Palatino Linotype" w:hAnsi="Palatino Linotype" w:cs="Palatino Linotype"/>
          <w:sz w:val="22"/>
          <w:szCs w:val="22"/>
        </w:rPr>
      </w:pPr>
    </w:p>
    <w:p w14:paraId="75D89256"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ese sentido, se considera procedente ordenar la entrega, en correcta versión pública y en formato correctamente digitalizado las documentales ilegibles enviadas en respuesta. </w:t>
      </w:r>
    </w:p>
    <w:p w14:paraId="1072E9B4"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237C46A1"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lo que corresponde a todos y cada uno de los procesos de licitación pública, ya sea local, nacional o internacional que se hayan llevado a cabo por parte del Sistema Municipal, Estado de México; de conformidad con lo establecido en la Ley de Contratación Pública del Estado de México y Municipios y su Reglamento, del 01 de mayo del 2024 al 31 de diciembre del 2024. </w:t>
      </w:r>
    </w:p>
    <w:p w14:paraId="71AE56B7"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4841AE94"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Es de mencionar que, en respuesta, el Sujeto Obligado, a través del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Adquisiciones refirió que no obraban expedientes de procesos de licitación pública nacional o internacional, derivado de ello, la parte Recurrente se inconformó arguyendo que faltaban procesos de licitación o bien, se proporcionara la justificación del porqué no se realizaron los debidos procesos como marca la Ley. </w:t>
      </w:r>
    </w:p>
    <w:p w14:paraId="1AD34699"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36482576" w14:textId="77777777" w:rsidR="004E4604" w:rsidRPr="00CC3891" w:rsidRDefault="00CA70F9">
      <w:pPr>
        <w:spacing w:line="360" w:lineRule="auto"/>
        <w:ind w:right="49"/>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sz w:val="22"/>
          <w:szCs w:val="22"/>
        </w:rPr>
        <w:t xml:space="preserve">En ese sentido, en principio es de mencionar que se colige que se está en presencia de un denominado </w:t>
      </w:r>
      <w:r w:rsidRPr="00CC3891">
        <w:rPr>
          <w:rFonts w:ascii="Palatino Linotype" w:eastAsia="Palatino Linotype" w:hAnsi="Palatino Linotype" w:cs="Palatino Linotype"/>
          <w:i/>
          <w:sz w:val="22"/>
          <w:szCs w:val="22"/>
        </w:rPr>
        <w:t>“hecho negativo”,</w:t>
      </w:r>
      <w:r w:rsidRPr="00CC3891">
        <w:rPr>
          <w:rFonts w:ascii="Palatino Linotype" w:eastAsia="Palatino Linotype" w:hAnsi="Palatino Linotype" w:cs="Palatino Linotype"/>
          <w:sz w:val="22"/>
          <w:szCs w:val="22"/>
        </w:rPr>
        <w:t xml:space="preserve"> esto es que, es obvio que la información no puede fácticamente </w:t>
      </w:r>
      <w:r w:rsidRPr="00CC3891">
        <w:rPr>
          <w:rFonts w:ascii="Palatino Linotype" w:eastAsia="Palatino Linotype" w:hAnsi="Palatino Linotype" w:cs="Palatino Linotype"/>
          <w:sz w:val="22"/>
          <w:szCs w:val="22"/>
        </w:rPr>
        <w:lastRenderedPageBreak/>
        <w:t>obrar en los archivos del Sujeto Obligado, ya que no puede probarse por ser lógica y materialmente imposible.</w:t>
      </w:r>
    </w:p>
    <w:p w14:paraId="08D1FD75"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7AF51FF5"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28D7EB86"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7E732E58"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Encontrándonos ante un hecho negativo, destacando entonces que el Pleno de este Organismo Garante, ha sostenido </w:t>
      </w:r>
      <w:proofErr w:type="gramStart"/>
      <w:r w:rsidRPr="00CC3891">
        <w:rPr>
          <w:rFonts w:ascii="Palatino Linotype" w:eastAsia="Palatino Linotype" w:hAnsi="Palatino Linotype" w:cs="Palatino Linotype"/>
          <w:sz w:val="22"/>
          <w:szCs w:val="22"/>
        </w:rPr>
        <w:t>que</w:t>
      </w:r>
      <w:proofErr w:type="gramEnd"/>
      <w:r w:rsidRPr="00CC3891">
        <w:rPr>
          <w:rFonts w:ascii="Palatino Linotype" w:eastAsia="Palatino Linotype" w:hAnsi="Palatino Linotype" w:cs="Palatino Linotype"/>
          <w:sz w:val="22"/>
          <w:szCs w:val="22"/>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CC3891">
        <w:rPr>
          <w:rFonts w:ascii="Palatino Linotype" w:eastAsia="Palatino Linotype" w:hAnsi="Palatino Linotype" w:cs="Palatino Linotype"/>
          <w:b/>
          <w:i/>
          <w:sz w:val="22"/>
          <w:szCs w:val="22"/>
        </w:rPr>
        <w:t xml:space="preserve">HECHOS NEGATIVOS, NO SON SUSCEPTIBLES DE DEMOSTRACIÓN. </w:t>
      </w:r>
      <w:r w:rsidRPr="00CC3891">
        <w:rPr>
          <w:rFonts w:ascii="Palatino Linotype" w:eastAsia="Palatino Linotype" w:hAnsi="Palatino Linotype" w:cs="Palatino Linotype"/>
          <w:sz w:val="22"/>
          <w:szCs w:val="22"/>
        </w:rPr>
        <w:t xml:space="preserve"> </w:t>
      </w:r>
      <w:r w:rsidRPr="00CC3891">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23C5EECA"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B6688EE"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Del mismo modo, cabe precisar que en cuanto a que se proporcione una justificación del por qué no se realizaron los debidos procesos, es de destacar que esto se trata de una consulta, la cual no puede ser atendida a través del derecho de acceso a la información pública, por lo que, este agravio deviene improcedente. </w:t>
      </w:r>
    </w:p>
    <w:p w14:paraId="27A01297"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2F5F5B5"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sz w:val="22"/>
          <w:szCs w:val="22"/>
        </w:rPr>
        <w:t xml:space="preserve">Por ello, este requerimiento, se tiene por </w:t>
      </w:r>
      <w:r w:rsidRPr="00CC3891">
        <w:rPr>
          <w:rFonts w:ascii="Palatino Linotype" w:eastAsia="Palatino Linotype" w:hAnsi="Palatino Linotype" w:cs="Palatino Linotype"/>
          <w:b/>
          <w:sz w:val="22"/>
          <w:szCs w:val="22"/>
        </w:rPr>
        <w:t>colmado.</w:t>
      </w:r>
    </w:p>
    <w:p w14:paraId="70E00C33"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5E40EC7F"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lo que compete a los nombramientos de </w:t>
      </w:r>
      <w:proofErr w:type="gramStart"/>
      <w:r w:rsidRPr="00CC3891">
        <w:rPr>
          <w:rFonts w:ascii="Palatino Linotype" w:eastAsia="Palatino Linotype" w:hAnsi="Palatino Linotype" w:cs="Palatino Linotype"/>
          <w:sz w:val="22"/>
          <w:szCs w:val="22"/>
        </w:rPr>
        <w:t>Jefes</w:t>
      </w:r>
      <w:proofErr w:type="gramEnd"/>
      <w:r w:rsidRPr="00CC3891">
        <w:rPr>
          <w:rFonts w:ascii="Palatino Linotype" w:eastAsia="Palatino Linotype" w:hAnsi="Palatino Linotype" w:cs="Palatino Linotype"/>
          <w:sz w:val="22"/>
          <w:szCs w:val="22"/>
        </w:rPr>
        <w:t xml:space="preserve"> de Departamento, Coordinadores y todo servidor público que conforme a la Ley del Trabajo de los Servidores Públicos del Estado de México y Municipios, requiera de dicho nombramiento, así como los documentos con los que acreditan que cuentan con el perfil para ocupar el puesto, tales como Título Profesional, Cedula Profesional y experiencia laboral comprobable en el área de adscripción.</w:t>
      </w:r>
    </w:p>
    <w:p w14:paraId="7BBDBA98"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8AC6017"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lastRenderedPageBreak/>
        <w:t xml:space="preserve">En respuesta, el servidor público habilitado del Departamento de Recursos Humanos remitió diversos documentos que contienen nombramientos, tomas de protesta, Currículum Vitae, cédulas y títulos profesionales, constancias de estudio y boletas de calificaciones, en versión pública. </w:t>
      </w:r>
    </w:p>
    <w:p w14:paraId="47EF2A65"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D3A4EF1"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La parte Recurrente se inconformó específicamente porque no se le había enviado el título y cédula profesional del encargado de ingresos, en ese sentido, respecto de lo relativo a los nombramientos y los documentos que acrediten que cuentan con el perfil para ocupar el puesto de los demás Coordinadores y </w:t>
      </w:r>
      <w:proofErr w:type="gramStart"/>
      <w:r w:rsidRPr="00CC3891">
        <w:rPr>
          <w:rFonts w:ascii="Palatino Linotype" w:eastAsia="Palatino Linotype" w:hAnsi="Palatino Linotype" w:cs="Palatino Linotype"/>
          <w:sz w:val="22"/>
          <w:szCs w:val="22"/>
        </w:rPr>
        <w:t>Jefes</w:t>
      </w:r>
      <w:proofErr w:type="gramEnd"/>
      <w:r w:rsidRPr="00CC3891">
        <w:rPr>
          <w:rFonts w:ascii="Palatino Linotype" w:eastAsia="Palatino Linotype" w:hAnsi="Palatino Linotype" w:cs="Palatino Linotype"/>
          <w:sz w:val="22"/>
          <w:szCs w:val="22"/>
        </w:rPr>
        <w:t xml:space="preserve"> de Departamento, se tienen por consentidos, ya que no existe inconformidad al respecto por la parte Recurrente. </w:t>
      </w:r>
    </w:p>
    <w:p w14:paraId="00F33CC3"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E6EA3B7"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En cuanto hace al título profesional y la cédula profesional del encargado del área de ingresos, el Sujeto Obligado mediante informe justificado proporcionó el Titulo y Cédula Profesional del encargado del área de ingresos, tal como se puede advertir a continuación: </w:t>
      </w:r>
    </w:p>
    <w:p w14:paraId="458B50AA"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CA25D0B" w14:textId="77777777" w:rsidR="004E4604" w:rsidRPr="00CC3891" w:rsidRDefault="00CA70F9">
      <w:pPr>
        <w:numPr>
          <w:ilvl w:val="0"/>
          <w:numId w:val="5"/>
        </w:numPr>
        <w:pBdr>
          <w:top w:val="nil"/>
          <w:left w:val="nil"/>
          <w:bottom w:val="nil"/>
          <w:right w:val="nil"/>
          <w:between w:val="nil"/>
        </w:pBdr>
        <w:spacing w:after="160"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Extracto del Título Profesional enviado en informe justificado: </w:t>
      </w:r>
    </w:p>
    <w:p w14:paraId="4BD83188" w14:textId="77777777" w:rsidR="004E4604" w:rsidRPr="00CC3891" w:rsidRDefault="00CA70F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6F1D064E" wp14:editId="4787C7E9">
            <wp:extent cx="3219834" cy="1057561"/>
            <wp:effectExtent l="0" t="0" r="0" 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3219834" cy="1057561"/>
                    </a:xfrm>
                    <a:prstGeom prst="rect">
                      <a:avLst/>
                    </a:prstGeom>
                    <a:ln/>
                  </pic:spPr>
                </pic:pic>
              </a:graphicData>
            </a:graphic>
          </wp:inline>
        </w:drawing>
      </w:r>
    </w:p>
    <w:p w14:paraId="3FF113A2" w14:textId="77777777" w:rsidR="004E4604" w:rsidRPr="00CC3891" w:rsidRDefault="00CA70F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lastRenderedPageBreak/>
        <w:drawing>
          <wp:inline distT="0" distB="0" distL="0" distR="0" wp14:anchorId="3F0D0CF0" wp14:editId="72B61E1D">
            <wp:extent cx="5534797" cy="2324424"/>
            <wp:effectExtent l="0" t="0" r="0" b="0"/>
            <wp:docPr id="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534797" cy="2324424"/>
                    </a:xfrm>
                    <a:prstGeom prst="rect">
                      <a:avLst/>
                    </a:prstGeom>
                    <a:ln/>
                  </pic:spPr>
                </pic:pic>
              </a:graphicData>
            </a:graphic>
          </wp:inline>
        </w:drawing>
      </w:r>
    </w:p>
    <w:p w14:paraId="1E8B16E7" w14:textId="77777777" w:rsidR="004E4604" w:rsidRPr="00CC3891" w:rsidRDefault="00CA70F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w:t>
      </w:r>
    </w:p>
    <w:p w14:paraId="58FA68B8" w14:textId="77777777" w:rsidR="004E4604" w:rsidRPr="00CC3891" w:rsidRDefault="004E4604">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p>
    <w:p w14:paraId="19903BA7" w14:textId="77777777" w:rsidR="004E4604" w:rsidRPr="00CC3891" w:rsidRDefault="00CA70F9">
      <w:pPr>
        <w:numPr>
          <w:ilvl w:val="0"/>
          <w:numId w:val="5"/>
        </w:numPr>
        <w:pBdr>
          <w:top w:val="nil"/>
          <w:left w:val="nil"/>
          <w:bottom w:val="nil"/>
          <w:right w:val="nil"/>
          <w:between w:val="nil"/>
        </w:pBdr>
        <w:spacing w:after="160"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Extracto de los oficios enviados en respuesta, donde se advierte que la persona que ostenta el cargo del </w:t>
      </w:r>
      <w:proofErr w:type="gramStart"/>
      <w:r w:rsidRPr="00CC3891">
        <w:rPr>
          <w:rFonts w:ascii="Palatino Linotype" w:eastAsia="Palatino Linotype" w:hAnsi="Palatino Linotype" w:cs="Palatino Linotype"/>
          <w:sz w:val="22"/>
          <w:szCs w:val="22"/>
        </w:rPr>
        <w:t>Jefe</w:t>
      </w:r>
      <w:proofErr w:type="gramEnd"/>
      <w:r w:rsidRPr="00CC3891">
        <w:rPr>
          <w:rFonts w:ascii="Palatino Linotype" w:eastAsia="Palatino Linotype" w:hAnsi="Palatino Linotype" w:cs="Palatino Linotype"/>
          <w:sz w:val="22"/>
          <w:szCs w:val="22"/>
        </w:rPr>
        <w:t xml:space="preserve"> del Departamento de Ingresos es la misma persona de quien se proporcionó información en informe justificado. </w:t>
      </w:r>
    </w:p>
    <w:p w14:paraId="4D4D4338" w14:textId="77777777" w:rsidR="004E4604" w:rsidRPr="00CC3891" w:rsidRDefault="00CA70F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CC3891">
        <w:rPr>
          <w:rFonts w:ascii="Palatino Linotype" w:eastAsia="Palatino Linotype" w:hAnsi="Palatino Linotype" w:cs="Palatino Linotype"/>
          <w:noProof/>
          <w:sz w:val="22"/>
          <w:szCs w:val="22"/>
          <w:lang w:val="es-MX"/>
        </w:rPr>
        <w:drawing>
          <wp:inline distT="0" distB="0" distL="0" distR="0" wp14:anchorId="4FAE30F3" wp14:editId="6898C233">
            <wp:extent cx="2667372" cy="914528"/>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2667372" cy="914528"/>
                    </a:xfrm>
                    <a:prstGeom prst="rect">
                      <a:avLst/>
                    </a:prstGeom>
                    <a:ln/>
                  </pic:spPr>
                </pic:pic>
              </a:graphicData>
            </a:graphic>
          </wp:inline>
        </w:drawing>
      </w:r>
    </w:p>
    <w:p w14:paraId="2818951C"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De lo anterior, se colige que, la información proporcionada por el Sujeto Obligado mediante informe justificado, relativa al título y cédula profesional del Encargado del Departamento del Área de Ingresos da atención y subsana el agravio cometido por el Organismo Descentralizado. </w:t>
      </w:r>
    </w:p>
    <w:p w14:paraId="521D1DE0"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20FF7E3" w14:textId="77777777" w:rsidR="004E4604"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No obstante, debido a que el Organismo Descentralizado proporcionó dicha información en el apartado del Recurrente y no el correspondiente al Sujeto Obligado, vulneró datos personales del servidor público que, como se analizaron previamente debieron de clasificados en términos de la fracción I del artículo 143 de la Ley de Transparencia de la Entidad, como lo es: Clave Única de Registro de Población contenida en la cédula profesional, por lo que resulta dable dar vista a la Dirección General de Datos Personales. </w:t>
      </w:r>
    </w:p>
    <w:p w14:paraId="79A58D50" w14:textId="77777777" w:rsidR="00CA70F9" w:rsidRPr="00CC3891" w:rsidRDefault="00CA70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F2B2BB3" w14:textId="77777777" w:rsidR="004E4604" w:rsidRPr="00CC3891" w:rsidRDefault="00CA70F9">
      <w:pPr>
        <w:numPr>
          <w:ilvl w:val="0"/>
          <w:numId w:val="7"/>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 xml:space="preserve">De </w:t>
      </w:r>
      <w:proofErr w:type="gramStart"/>
      <w:r w:rsidRPr="00CC3891">
        <w:rPr>
          <w:rFonts w:ascii="Palatino Linotype" w:eastAsia="Palatino Linotype" w:hAnsi="Palatino Linotype" w:cs="Palatino Linotype"/>
          <w:b/>
          <w:sz w:val="22"/>
          <w:szCs w:val="22"/>
        </w:rPr>
        <w:t>la  vista</w:t>
      </w:r>
      <w:proofErr w:type="gramEnd"/>
      <w:r w:rsidRPr="00CC3891">
        <w:rPr>
          <w:rFonts w:ascii="Palatino Linotype" w:eastAsia="Palatino Linotype" w:hAnsi="Palatino Linotype" w:cs="Palatino Linotype"/>
          <w:b/>
          <w:sz w:val="22"/>
          <w:szCs w:val="22"/>
        </w:rPr>
        <w:t xml:space="preserve"> a la Dirección General de Protección de Datos Personales. </w:t>
      </w:r>
    </w:p>
    <w:p w14:paraId="163852C3"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09CBC96D"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Ahora bien, de la información proporcionada en respuesta e informe justificado, se logra advertir que el Sujeto Obligado dejó visibles datos personales confidenciales, tal como lo es la Clave Única de Registro de Población y/o la firma de los servidores públicos en comprobantes de estudio, circunstancia que vulnera lo previsto en el artículo 143, fracción I, de la Ley de Transparencia y Acceso a la Información Pública del Estado de México y Municipios, por los argumentos expuestos anteriormente.  </w:t>
      </w:r>
    </w:p>
    <w:p w14:paraId="69FB121E" w14:textId="77777777" w:rsidR="004E4604" w:rsidRPr="00CC3891" w:rsidRDefault="004E4604">
      <w:pPr>
        <w:spacing w:line="360" w:lineRule="auto"/>
        <w:jc w:val="both"/>
        <w:rPr>
          <w:rFonts w:ascii="Palatino Linotype" w:eastAsia="Palatino Linotype" w:hAnsi="Palatino Linotype" w:cs="Palatino Linotype"/>
          <w:strike/>
          <w:sz w:val="22"/>
          <w:szCs w:val="22"/>
        </w:rPr>
      </w:pPr>
    </w:p>
    <w:p w14:paraId="5FF2F997"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Por lo que,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que determine lo correspondiente.</w:t>
      </w:r>
    </w:p>
    <w:p w14:paraId="075DF6E4" w14:textId="77777777" w:rsidR="004E4604" w:rsidRPr="00CC3891" w:rsidRDefault="004E460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AD544EC"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Quinto. Versión Pública. </w:t>
      </w:r>
      <w:r w:rsidRPr="00CC3891">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22C1DF23"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029A0D8C"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6B066070" w14:textId="77777777" w:rsidR="004E4604" w:rsidRPr="00CC3891" w:rsidRDefault="00CA70F9">
      <w:pPr>
        <w:spacing w:line="360" w:lineRule="auto"/>
        <w:ind w:right="5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EAEABD0" w14:textId="77777777" w:rsidR="004E4604" w:rsidRPr="00CC3891" w:rsidRDefault="004E4604">
      <w:pPr>
        <w:spacing w:line="360" w:lineRule="auto"/>
        <w:ind w:right="50"/>
        <w:jc w:val="both"/>
        <w:rPr>
          <w:rFonts w:ascii="Palatino Linotype" w:eastAsia="Palatino Linotype" w:hAnsi="Palatino Linotype" w:cs="Palatino Linotype"/>
          <w:sz w:val="22"/>
          <w:szCs w:val="22"/>
        </w:rPr>
      </w:pPr>
    </w:p>
    <w:p w14:paraId="3E023689"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lastRenderedPageBreak/>
        <w:t>“</w:t>
      </w:r>
      <w:r w:rsidRPr="00CC3891">
        <w:rPr>
          <w:rFonts w:ascii="Palatino Linotype" w:eastAsia="Palatino Linotype" w:hAnsi="Palatino Linotype" w:cs="Palatino Linotype"/>
          <w:b/>
          <w:i/>
          <w:sz w:val="22"/>
          <w:szCs w:val="22"/>
        </w:rPr>
        <w:t>Artículo 3.</w:t>
      </w:r>
      <w:r w:rsidRPr="00CC3891">
        <w:rPr>
          <w:rFonts w:ascii="Palatino Linotype" w:eastAsia="Palatino Linotype" w:hAnsi="Palatino Linotype" w:cs="Palatino Linotype"/>
          <w:i/>
          <w:sz w:val="22"/>
          <w:szCs w:val="22"/>
        </w:rPr>
        <w:t xml:space="preserve"> Para los efectos de la presente Ley se entenderá por:</w:t>
      </w:r>
    </w:p>
    <w:p w14:paraId="75F2F5DD"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04CF2629"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19F7A493"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XX. Información clasificada: Aquella considerada por la presente Ley como reservada o confidencial;</w:t>
      </w:r>
    </w:p>
    <w:p w14:paraId="4C715F49"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616317"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17232E98"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3BBF2A67"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Artículo 91.</w:t>
      </w:r>
      <w:r w:rsidRPr="00CC389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FCA7933"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Artículo 132.</w:t>
      </w:r>
      <w:r w:rsidRPr="00CC3891">
        <w:rPr>
          <w:rFonts w:ascii="Palatino Linotype" w:eastAsia="Palatino Linotype" w:hAnsi="Palatino Linotype" w:cs="Palatino Linotype"/>
          <w:i/>
          <w:sz w:val="22"/>
          <w:szCs w:val="22"/>
        </w:rPr>
        <w:t xml:space="preserve"> La clasificación de la información se llevará a cabo en el momento en que:</w:t>
      </w:r>
    </w:p>
    <w:p w14:paraId="059873D2" w14:textId="77777777" w:rsidR="004E4604" w:rsidRPr="00CC3891" w:rsidRDefault="00CA70F9">
      <w:pPr>
        <w:tabs>
          <w:tab w:val="left" w:pos="1134"/>
        </w:tabs>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 Se reciba una solicitud de acceso a la información;</w:t>
      </w:r>
    </w:p>
    <w:p w14:paraId="449FEE0B" w14:textId="77777777" w:rsidR="004E4604" w:rsidRPr="00CC3891" w:rsidRDefault="00CA70F9">
      <w:pPr>
        <w:tabs>
          <w:tab w:val="left" w:pos="1134"/>
        </w:tabs>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 Se determine mediante resolución de autoridad competente; o</w:t>
      </w:r>
    </w:p>
    <w:p w14:paraId="467C0306" w14:textId="77777777" w:rsidR="004E4604" w:rsidRPr="00CC3891" w:rsidRDefault="00CA70F9">
      <w:pPr>
        <w:tabs>
          <w:tab w:val="left" w:pos="1134"/>
        </w:tabs>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E8CCDA8"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1ABA5CA8"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Artículo 143</w:t>
      </w:r>
      <w:r w:rsidRPr="00CC389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A815C77"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4FC52D5A"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A69B3BB"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2420E533"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D05AE52"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DFD3CA1" w14:textId="77777777" w:rsidR="004E4604" w:rsidRPr="00CC3891" w:rsidRDefault="004E4604">
      <w:pPr>
        <w:ind w:left="567" w:right="616"/>
        <w:jc w:val="both"/>
        <w:rPr>
          <w:rFonts w:ascii="Palatino Linotype" w:eastAsia="Palatino Linotype" w:hAnsi="Palatino Linotype" w:cs="Palatino Linotype"/>
          <w:i/>
          <w:sz w:val="22"/>
          <w:szCs w:val="22"/>
        </w:rPr>
      </w:pPr>
    </w:p>
    <w:p w14:paraId="770BD935"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w:t>
      </w:r>
      <w:r w:rsidRPr="00CC3891">
        <w:rPr>
          <w:rFonts w:ascii="Palatino Linotype" w:eastAsia="Palatino Linotype" w:hAnsi="Palatino Linotype" w:cs="Palatino Linotype"/>
          <w:sz w:val="22"/>
          <w:szCs w:val="22"/>
        </w:rPr>
        <w:lastRenderedPageBreak/>
        <w:t>de Datos Personales, vigentes a la fecha de la solicitud de información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C98B5AD" w14:textId="77777777" w:rsidR="004E4604" w:rsidRPr="00CC3891" w:rsidRDefault="004E4604">
      <w:pPr>
        <w:jc w:val="both"/>
        <w:rPr>
          <w:rFonts w:ascii="Palatino Linotype" w:eastAsia="Palatino Linotype" w:hAnsi="Palatino Linotype" w:cs="Palatino Linotype"/>
          <w:sz w:val="22"/>
          <w:szCs w:val="22"/>
        </w:rPr>
      </w:pPr>
    </w:p>
    <w:p w14:paraId="297E653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vigentes a la fecha de la solicitud de información señalan las formalidades que deberá llevar el acuerdo de clasificación que deberá emitir el Sujeto Obligado, siendo estas las siguientes:</w:t>
      </w:r>
    </w:p>
    <w:p w14:paraId="70FDF819"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5A23C05B"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 “</w:t>
      </w:r>
      <w:r w:rsidRPr="00CC3891">
        <w:rPr>
          <w:rFonts w:ascii="Palatino Linotype" w:eastAsia="Palatino Linotype" w:hAnsi="Palatino Linotype" w:cs="Palatino Linotype"/>
          <w:b/>
          <w:i/>
          <w:sz w:val="22"/>
          <w:szCs w:val="22"/>
        </w:rPr>
        <w:t>Quincuagésimo</w:t>
      </w:r>
      <w:r w:rsidRPr="00CC3891">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89744D7"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Quincuagésimo primero.</w:t>
      </w:r>
      <w:r w:rsidRPr="00CC3891">
        <w:rPr>
          <w:rFonts w:ascii="Palatino Linotype" w:eastAsia="Palatino Linotype" w:hAnsi="Palatino Linotype" w:cs="Palatino Linotype"/>
          <w:i/>
          <w:sz w:val="22"/>
          <w:szCs w:val="22"/>
        </w:rPr>
        <w:t xml:space="preserve"> Toda acta del Comité de Transparencia deberá contener: </w:t>
      </w:r>
    </w:p>
    <w:p w14:paraId="4E38C784"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 El número de sesión y fecha; </w:t>
      </w:r>
    </w:p>
    <w:p w14:paraId="734B03DE"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II. El nombre del área que solicitó la clasificación de información; </w:t>
      </w:r>
    </w:p>
    <w:p w14:paraId="1FE05196"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III. La fundamentación legal y motivación correspondiente; </w:t>
      </w:r>
    </w:p>
    <w:p w14:paraId="7BA6BDBB"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IV. La resolución o resoluciones aprobadas; y </w:t>
      </w:r>
    </w:p>
    <w:p w14:paraId="46C9B1C2"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V. La rúbrica o firma digital de cada integrante del Comité de Transparencia. </w:t>
      </w:r>
    </w:p>
    <w:p w14:paraId="42B53F03"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E3F2045"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 Los motivos y razonamientos que sustenten la confirmación o modificación de la prueba de daño;</w:t>
      </w:r>
    </w:p>
    <w:p w14:paraId="16C5CA2A"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II. Descripción de las partes o secciones reservadas, en caso de clasificación parcial; </w:t>
      </w:r>
    </w:p>
    <w:p w14:paraId="3CE97198"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III. El periodo por el que mantendrá su clasificación y fecha de expiración; y </w:t>
      </w:r>
    </w:p>
    <w:p w14:paraId="62B7A0DE"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9A35DE2"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B557CE5"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9A53635"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Quincuagésimo segundo.</w:t>
      </w:r>
      <w:r w:rsidRPr="00CC3891">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w:t>
      </w:r>
      <w:r w:rsidRPr="00CC3891">
        <w:rPr>
          <w:rFonts w:ascii="Palatino Linotype" w:eastAsia="Palatino Linotype" w:hAnsi="Palatino Linotype" w:cs="Palatino Linotype"/>
          <w:i/>
          <w:sz w:val="22"/>
          <w:szCs w:val="22"/>
        </w:rPr>
        <w:lastRenderedPageBreak/>
        <w:t>los sujetos obligados deberán tomar las medidas pertinentes tendientes a asegurar que el espacio utilizado para testar la información no podrá ser empleado para la sobreposición de contenido distinto al autorizado por el Comité.</w:t>
      </w:r>
    </w:p>
    <w:p w14:paraId="421D6100"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C1F1D5B"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50B61C86"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7571333E"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III. Señalar las personas o instancias autorizadas a acceder a la información clasificada.</w:t>
      </w:r>
    </w:p>
    <w:p w14:paraId="12C7C750"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5361039"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56190B1C"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vigentes a la fecha de la solicitud de información establecen lo siguiente:</w:t>
      </w:r>
    </w:p>
    <w:p w14:paraId="19CC180D"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45C36D42" w14:textId="77777777" w:rsidR="004E4604" w:rsidRPr="00CC3891" w:rsidRDefault="00CA70F9">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r w:rsidRPr="00CC3891">
        <w:rPr>
          <w:rFonts w:ascii="Palatino Linotype" w:eastAsia="Palatino Linotype" w:hAnsi="Palatino Linotype" w:cs="Palatino Linotype"/>
          <w:b/>
          <w:i/>
          <w:sz w:val="22"/>
          <w:szCs w:val="22"/>
        </w:rPr>
        <w:t>Quincuagésimo cuarto.</w:t>
      </w:r>
      <w:r w:rsidRPr="00CC3891">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5436234"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Quincuagésimo quinto.</w:t>
      </w:r>
      <w:r w:rsidRPr="00CC3891">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CC3891">
        <w:rPr>
          <w:rFonts w:ascii="Palatino Linotype" w:eastAsia="Palatino Linotype" w:hAnsi="Palatino Linotype" w:cs="Palatino Linotype"/>
          <w:i/>
          <w:sz w:val="22"/>
          <w:szCs w:val="22"/>
        </w:rPr>
        <w:t>testado</w:t>
      </w:r>
      <w:proofErr w:type="spellEnd"/>
      <w:r w:rsidRPr="00CC389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51B4DF1"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w:t>
      </w:r>
    </w:p>
    <w:p w14:paraId="7389E380"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b/>
          <w:i/>
          <w:sz w:val="22"/>
          <w:szCs w:val="22"/>
        </w:rPr>
        <w:t>Quincuagésimo séptimo.</w:t>
      </w:r>
      <w:r w:rsidRPr="00CC389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BE9943F"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1AE8FA59"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76D8EA6A"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AA5ECA6"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4A749E28" w14:textId="77777777" w:rsidR="004E4604" w:rsidRPr="00CC3891" w:rsidRDefault="00CA70F9">
      <w:pPr>
        <w:ind w:left="567" w:right="616"/>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76E43620" w14:textId="77777777" w:rsidR="004E4604" w:rsidRPr="00CC3891" w:rsidRDefault="004E4604">
      <w:pPr>
        <w:spacing w:line="360" w:lineRule="auto"/>
        <w:ind w:left="567" w:right="616"/>
        <w:jc w:val="both"/>
        <w:rPr>
          <w:rFonts w:ascii="Palatino Linotype" w:eastAsia="Palatino Linotype" w:hAnsi="Palatino Linotype" w:cs="Palatino Linotype"/>
          <w:i/>
          <w:sz w:val="22"/>
          <w:szCs w:val="22"/>
        </w:rPr>
      </w:pPr>
    </w:p>
    <w:p w14:paraId="2BFD626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32B5287E"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6ADF3526"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Es así como, en mérito de lo expuesto en líneas anteriores, resultan parcialmente fundadas las razones o motivos de inconformidad hechos valer por la parte </w:t>
      </w:r>
      <w:r w:rsidRPr="00CC3891">
        <w:rPr>
          <w:rFonts w:ascii="Palatino Linotype" w:eastAsia="Palatino Linotype" w:hAnsi="Palatino Linotype" w:cs="Palatino Linotype"/>
          <w:b/>
          <w:sz w:val="22"/>
          <w:szCs w:val="22"/>
        </w:rPr>
        <w:t>RECURRENTE</w:t>
      </w:r>
      <w:r w:rsidRPr="00CC3891">
        <w:rPr>
          <w:rFonts w:ascii="Palatino Linotype" w:eastAsia="Palatino Linotype" w:hAnsi="Palatino Linotype" w:cs="Palatino Linotype"/>
          <w:sz w:val="22"/>
          <w:szCs w:val="22"/>
        </w:rPr>
        <w:t xml:space="preserve"> dentro del recurso de revisión </w:t>
      </w:r>
      <w:r w:rsidRPr="00CC3891">
        <w:rPr>
          <w:rFonts w:ascii="Palatino Linotype" w:eastAsia="Palatino Linotype" w:hAnsi="Palatino Linotype" w:cs="Palatino Linotype"/>
          <w:b/>
          <w:sz w:val="22"/>
          <w:szCs w:val="22"/>
        </w:rPr>
        <w:t>01664/INFOEM/IP/RR/2025</w:t>
      </w:r>
      <w:r w:rsidRPr="00CC3891">
        <w:rPr>
          <w:rFonts w:ascii="Palatino Linotype" w:eastAsia="Palatino Linotype" w:hAnsi="Palatino Linotype" w:cs="Palatino Linotype"/>
          <w:sz w:val="22"/>
          <w:szCs w:val="22"/>
        </w:rPr>
        <w:t xml:space="preserve">; por ello, y con fundamento en la fracción IV del numeral 186 de la Ley de Transparencia y Acceso a la Información Pública del Estado de México y Municipios, por lo que se </w:t>
      </w:r>
      <w:r w:rsidRPr="00CC3891">
        <w:rPr>
          <w:rFonts w:ascii="Palatino Linotype" w:eastAsia="Palatino Linotype" w:hAnsi="Palatino Linotype" w:cs="Palatino Linotype"/>
          <w:b/>
          <w:sz w:val="22"/>
          <w:szCs w:val="22"/>
        </w:rPr>
        <w:t xml:space="preserve">MODIFICA </w:t>
      </w:r>
      <w:r w:rsidRPr="00CC3891">
        <w:rPr>
          <w:rFonts w:ascii="Palatino Linotype" w:eastAsia="Palatino Linotype" w:hAnsi="Palatino Linotype" w:cs="Palatino Linotype"/>
          <w:sz w:val="22"/>
          <w:szCs w:val="22"/>
        </w:rPr>
        <w:t xml:space="preserve">la respuesta del </w:t>
      </w:r>
      <w:r w:rsidRPr="00CC3891">
        <w:rPr>
          <w:rFonts w:ascii="Palatino Linotype" w:eastAsia="Palatino Linotype" w:hAnsi="Palatino Linotype" w:cs="Palatino Linotype"/>
          <w:b/>
          <w:sz w:val="22"/>
          <w:szCs w:val="22"/>
        </w:rPr>
        <w:t xml:space="preserve">SUJETO OBLIGADO </w:t>
      </w:r>
      <w:r w:rsidRPr="00CC3891">
        <w:rPr>
          <w:rFonts w:ascii="Palatino Linotype" w:eastAsia="Palatino Linotype" w:hAnsi="Palatino Linotype" w:cs="Palatino Linotype"/>
          <w:sz w:val="22"/>
          <w:szCs w:val="22"/>
        </w:rPr>
        <w:t xml:space="preserve">a la solicitud de información </w:t>
      </w:r>
      <w:r w:rsidRPr="00CC3891">
        <w:rPr>
          <w:rFonts w:ascii="Palatino Linotype" w:eastAsia="Palatino Linotype" w:hAnsi="Palatino Linotype" w:cs="Palatino Linotype"/>
          <w:b/>
          <w:sz w:val="22"/>
          <w:szCs w:val="22"/>
        </w:rPr>
        <w:t>00001/DIFTULTITL/IP/2025.</w:t>
      </w:r>
      <w:r w:rsidRPr="00CC3891">
        <w:rPr>
          <w:rFonts w:ascii="Palatino Linotype" w:eastAsia="Palatino Linotype" w:hAnsi="Palatino Linotype" w:cs="Palatino Linotype"/>
          <w:sz w:val="22"/>
          <w:szCs w:val="22"/>
        </w:rPr>
        <w:t xml:space="preserve">  </w:t>
      </w:r>
    </w:p>
    <w:p w14:paraId="1006E8AC" w14:textId="77777777" w:rsidR="004E4604" w:rsidRPr="00CC3891" w:rsidRDefault="004E4604">
      <w:pPr>
        <w:spacing w:line="360" w:lineRule="auto"/>
        <w:ind w:right="49"/>
        <w:jc w:val="both"/>
        <w:rPr>
          <w:rFonts w:ascii="Palatino Linotype" w:eastAsia="Palatino Linotype" w:hAnsi="Palatino Linotype" w:cs="Palatino Linotype"/>
          <w:b/>
          <w:sz w:val="22"/>
          <w:szCs w:val="22"/>
        </w:rPr>
      </w:pPr>
    </w:p>
    <w:p w14:paraId="7418B751"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Así, con fundamento en lo prescrito en los artículos 5 párrafos trigésimo </w:t>
      </w:r>
      <w:r w:rsidR="008D331F" w:rsidRPr="00CC3891">
        <w:rPr>
          <w:rFonts w:ascii="Palatino Linotype" w:eastAsia="Palatino Linotype" w:hAnsi="Palatino Linotype" w:cs="Palatino Linotype"/>
          <w:sz w:val="22"/>
          <w:szCs w:val="22"/>
        </w:rPr>
        <w:t>séptimo</w:t>
      </w:r>
      <w:r w:rsidRPr="00CC3891">
        <w:rPr>
          <w:rFonts w:ascii="Palatino Linotype" w:eastAsia="Palatino Linotype" w:hAnsi="Palatino Linotype" w:cs="Palatino Linotype"/>
          <w:sz w:val="22"/>
          <w:szCs w:val="22"/>
        </w:rPr>
        <w:t xml:space="preserve">, trigésimo </w:t>
      </w:r>
      <w:r w:rsidR="008D331F" w:rsidRPr="00CC3891">
        <w:rPr>
          <w:rFonts w:ascii="Palatino Linotype" w:eastAsia="Palatino Linotype" w:hAnsi="Palatino Linotype" w:cs="Palatino Linotype"/>
          <w:sz w:val="22"/>
          <w:szCs w:val="22"/>
        </w:rPr>
        <w:t>octavo</w:t>
      </w:r>
      <w:r w:rsidRPr="00CC3891">
        <w:rPr>
          <w:rFonts w:ascii="Palatino Linotype" w:eastAsia="Palatino Linotype" w:hAnsi="Palatino Linotype" w:cs="Palatino Linotype"/>
          <w:sz w:val="22"/>
          <w:szCs w:val="22"/>
        </w:rPr>
        <w:t xml:space="preserve"> y trigésimo </w:t>
      </w:r>
      <w:r w:rsidR="008D331F" w:rsidRPr="00CC3891">
        <w:rPr>
          <w:rFonts w:ascii="Palatino Linotype" w:eastAsia="Palatino Linotype" w:hAnsi="Palatino Linotype" w:cs="Palatino Linotype"/>
          <w:sz w:val="22"/>
          <w:szCs w:val="22"/>
        </w:rPr>
        <w:t>noveno</w:t>
      </w:r>
      <w:r w:rsidRPr="00CC3891">
        <w:rPr>
          <w:rFonts w:ascii="Palatino Linotype" w:eastAsia="Palatino Linotype" w:hAnsi="Palatino Linotype" w:cs="Palatino Linotype"/>
          <w:sz w:val="22"/>
          <w:szCs w:val="22"/>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33D9E67"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1DF2B88D" w14:textId="77777777" w:rsidR="004E4604" w:rsidRPr="00CC3891" w:rsidRDefault="00CA70F9">
      <w:pPr>
        <w:spacing w:line="360" w:lineRule="auto"/>
        <w:ind w:right="49"/>
        <w:jc w:val="center"/>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lastRenderedPageBreak/>
        <w:t>III.</w:t>
      </w:r>
      <w:r w:rsidRPr="00CC3891">
        <w:rPr>
          <w:rFonts w:ascii="Palatino Linotype" w:eastAsia="Palatino Linotype" w:hAnsi="Palatino Linotype" w:cs="Palatino Linotype"/>
          <w:b/>
          <w:sz w:val="22"/>
          <w:szCs w:val="22"/>
        </w:rPr>
        <w:tab/>
        <w:t>R E S U E L V E:</w:t>
      </w:r>
    </w:p>
    <w:p w14:paraId="039EB8B1"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7B200C01" w14:textId="77777777" w:rsidR="004E4604" w:rsidRPr="00CC3891" w:rsidRDefault="00CA70F9">
      <w:pPr>
        <w:spacing w:line="360" w:lineRule="auto"/>
        <w:ind w:right="49"/>
        <w:jc w:val="both"/>
        <w:rPr>
          <w:rFonts w:ascii="Palatino Linotype" w:eastAsia="Palatino Linotype" w:hAnsi="Palatino Linotype" w:cs="Palatino Linotype"/>
          <w:b/>
          <w:sz w:val="22"/>
          <w:szCs w:val="22"/>
        </w:rPr>
      </w:pPr>
      <w:r w:rsidRPr="00CC3891">
        <w:rPr>
          <w:rFonts w:ascii="Palatino Linotype" w:eastAsia="Palatino Linotype" w:hAnsi="Palatino Linotype" w:cs="Palatino Linotype"/>
          <w:b/>
          <w:sz w:val="22"/>
          <w:szCs w:val="22"/>
        </w:rPr>
        <w:t>Primero.</w:t>
      </w:r>
      <w:r w:rsidRPr="00CC3891">
        <w:rPr>
          <w:rFonts w:ascii="Palatino Linotype" w:eastAsia="Palatino Linotype" w:hAnsi="Palatino Linotype" w:cs="Palatino Linotype"/>
          <w:sz w:val="22"/>
          <w:szCs w:val="22"/>
        </w:rPr>
        <w:t xml:space="preserve"> Resultan</w:t>
      </w:r>
      <w:r w:rsidRPr="00CC3891">
        <w:rPr>
          <w:rFonts w:ascii="Palatino Linotype" w:eastAsia="Palatino Linotype" w:hAnsi="Palatino Linotype" w:cs="Palatino Linotype"/>
          <w:b/>
          <w:sz w:val="22"/>
          <w:szCs w:val="22"/>
        </w:rPr>
        <w:t xml:space="preserve"> PARCIALMENTE FUNDADOS</w:t>
      </w:r>
      <w:r w:rsidRPr="00CC3891">
        <w:rPr>
          <w:rFonts w:ascii="Palatino Linotype" w:eastAsia="Palatino Linotype" w:hAnsi="Palatino Linotype" w:cs="Palatino Linotype"/>
          <w:sz w:val="22"/>
          <w:szCs w:val="22"/>
        </w:rPr>
        <w:t xml:space="preserve"> los motivos de inconformidad hechos valer por la parte </w:t>
      </w:r>
      <w:r w:rsidRPr="00CC3891">
        <w:rPr>
          <w:rFonts w:ascii="Palatino Linotype" w:eastAsia="Palatino Linotype" w:hAnsi="Palatino Linotype" w:cs="Palatino Linotype"/>
          <w:b/>
          <w:sz w:val="22"/>
          <w:szCs w:val="22"/>
        </w:rPr>
        <w:t>RECURRENTE</w:t>
      </w:r>
      <w:r w:rsidRPr="00CC3891">
        <w:rPr>
          <w:rFonts w:ascii="Palatino Linotype" w:eastAsia="Palatino Linotype" w:hAnsi="Palatino Linotype" w:cs="Palatino Linotype"/>
          <w:sz w:val="22"/>
          <w:szCs w:val="22"/>
        </w:rPr>
        <w:t xml:space="preserve"> en el Recurso de Revisión </w:t>
      </w:r>
      <w:r w:rsidRPr="00CC3891">
        <w:rPr>
          <w:rFonts w:ascii="Palatino Linotype" w:eastAsia="Palatino Linotype" w:hAnsi="Palatino Linotype" w:cs="Palatino Linotype"/>
          <w:b/>
          <w:sz w:val="22"/>
          <w:szCs w:val="22"/>
        </w:rPr>
        <w:t>01664/INFOEM/IP/RR/2025</w:t>
      </w:r>
      <w:r w:rsidRPr="00CC3891">
        <w:rPr>
          <w:rFonts w:ascii="Palatino Linotype" w:eastAsia="Palatino Linotype" w:hAnsi="Palatino Linotype" w:cs="Palatino Linotype"/>
          <w:sz w:val="22"/>
          <w:szCs w:val="22"/>
        </w:rPr>
        <w:t xml:space="preserve">, por lo que, en términos del </w:t>
      </w:r>
      <w:r w:rsidRPr="00CC3891">
        <w:rPr>
          <w:rFonts w:ascii="Palatino Linotype" w:eastAsia="Palatino Linotype" w:hAnsi="Palatino Linotype" w:cs="Palatino Linotype"/>
          <w:b/>
          <w:sz w:val="22"/>
          <w:szCs w:val="22"/>
        </w:rPr>
        <w:t>Considerando Cuarto</w:t>
      </w:r>
      <w:r w:rsidRPr="00CC3891">
        <w:rPr>
          <w:rFonts w:ascii="Palatino Linotype" w:eastAsia="Palatino Linotype" w:hAnsi="Palatino Linotype" w:cs="Palatino Linotype"/>
          <w:sz w:val="22"/>
          <w:szCs w:val="22"/>
        </w:rPr>
        <w:t xml:space="preserve"> de esta resolución, se </w:t>
      </w:r>
      <w:r w:rsidRPr="00CC3891">
        <w:rPr>
          <w:rFonts w:ascii="Palatino Linotype" w:eastAsia="Palatino Linotype" w:hAnsi="Palatino Linotype" w:cs="Palatino Linotype"/>
          <w:b/>
          <w:sz w:val="22"/>
          <w:szCs w:val="22"/>
        </w:rPr>
        <w:t xml:space="preserve">MODIFICA </w:t>
      </w:r>
      <w:r w:rsidRPr="00CC3891">
        <w:rPr>
          <w:rFonts w:ascii="Palatino Linotype" w:eastAsia="Palatino Linotype" w:hAnsi="Palatino Linotype" w:cs="Palatino Linotype"/>
          <w:sz w:val="22"/>
          <w:szCs w:val="22"/>
        </w:rPr>
        <w:t xml:space="preserve">la respuesta emitida por 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w:t>
      </w:r>
    </w:p>
    <w:p w14:paraId="17797AED"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2A6D939E"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bookmarkStart w:id="4" w:name="_heading=h.1fob9te" w:colFirst="0" w:colLast="0"/>
      <w:bookmarkEnd w:id="4"/>
      <w:r w:rsidRPr="00CC3891">
        <w:rPr>
          <w:rFonts w:ascii="Palatino Linotype" w:eastAsia="Palatino Linotype" w:hAnsi="Palatino Linotype" w:cs="Palatino Linotype"/>
          <w:b/>
          <w:sz w:val="22"/>
          <w:szCs w:val="22"/>
        </w:rPr>
        <w:t>Segundo</w:t>
      </w:r>
      <w:r w:rsidRPr="00CC3891">
        <w:rPr>
          <w:rFonts w:ascii="Palatino Linotype" w:eastAsia="Palatino Linotype" w:hAnsi="Palatino Linotype" w:cs="Palatino Linotype"/>
          <w:sz w:val="22"/>
          <w:szCs w:val="22"/>
        </w:rPr>
        <w:t xml:space="preserve">. Se </w:t>
      </w:r>
      <w:r w:rsidRPr="00CC3891">
        <w:rPr>
          <w:rFonts w:ascii="Palatino Linotype" w:eastAsia="Palatino Linotype" w:hAnsi="Palatino Linotype" w:cs="Palatino Linotype"/>
          <w:b/>
          <w:sz w:val="22"/>
          <w:szCs w:val="22"/>
        </w:rPr>
        <w:t>ORDENA</w:t>
      </w:r>
      <w:r w:rsidRPr="00CC3891">
        <w:rPr>
          <w:rFonts w:ascii="Palatino Linotype" w:eastAsia="Palatino Linotype" w:hAnsi="Palatino Linotype" w:cs="Palatino Linotype"/>
          <w:sz w:val="22"/>
          <w:szCs w:val="22"/>
        </w:rPr>
        <w:t xml:space="preserve"> al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xml:space="preserve"> a que, en términos del Considerando Cuarto y Quinto, haga entrega, vía Sistema de Acceso a la Información Mexiquense, en versión pública correcta, lo siguiente: </w:t>
      </w:r>
    </w:p>
    <w:p w14:paraId="48C4CCBF" w14:textId="77777777" w:rsidR="004E4604" w:rsidRPr="00CC3891" w:rsidRDefault="004E4604">
      <w:pPr>
        <w:pBdr>
          <w:top w:val="nil"/>
          <w:left w:val="nil"/>
          <w:bottom w:val="nil"/>
          <w:right w:val="nil"/>
          <w:between w:val="nil"/>
        </w:pBdr>
        <w:spacing w:line="360" w:lineRule="auto"/>
        <w:ind w:left="720" w:right="560"/>
        <w:jc w:val="both"/>
        <w:rPr>
          <w:rFonts w:ascii="Palatino Linotype" w:eastAsia="Palatino Linotype" w:hAnsi="Palatino Linotype" w:cs="Palatino Linotype"/>
          <w:b/>
          <w:sz w:val="22"/>
          <w:szCs w:val="22"/>
        </w:rPr>
      </w:pPr>
    </w:p>
    <w:p w14:paraId="40EF85A4" w14:textId="77777777" w:rsidR="004E4604" w:rsidRPr="00CC3891" w:rsidRDefault="00CA70F9">
      <w:pPr>
        <w:numPr>
          <w:ilvl w:val="0"/>
          <w:numId w:val="5"/>
        </w:numPr>
        <w:pBdr>
          <w:top w:val="nil"/>
          <w:left w:val="nil"/>
          <w:bottom w:val="nil"/>
          <w:right w:val="nil"/>
          <w:between w:val="nil"/>
        </w:pBdr>
        <w:spacing w:line="360" w:lineRule="auto"/>
        <w:ind w:right="560"/>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sz w:val="22"/>
          <w:szCs w:val="22"/>
        </w:rPr>
        <w:t xml:space="preserve">Documentos ilegibles enviados en respuesta, correctamente digitalizados. </w:t>
      </w:r>
    </w:p>
    <w:p w14:paraId="3FE6BEA4" w14:textId="77777777" w:rsidR="004E4604" w:rsidRPr="00CC3891" w:rsidRDefault="004E4604">
      <w:pPr>
        <w:pBdr>
          <w:top w:val="nil"/>
          <w:left w:val="nil"/>
          <w:bottom w:val="nil"/>
          <w:right w:val="nil"/>
          <w:between w:val="nil"/>
        </w:pBdr>
        <w:spacing w:line="360" w:lineRule="auto"/>
        <w:ind w:left="720" w:right="560"/>
        <w:jc w:val="both"/>
        <w:rPr>
          <w:rFonts w:ascii="Palatino Linotype" w:eastAsia="Palatino Linotype" w:hAnsi="Palatino Linotype" w:cs="Palatino Linotype"/>
          <w:sz w:val="22"/>
          <w:szCs w:val="22"/>
        </w:rPr>
      </w:pPr>
    </w:p>
    <w:p w14:paraId="122C8028" w14:textId="77777777" w:rsidR="004E4604" w:rsidRPr="00CC3891" w:rsidRDefault="00CA70F9">
      <w:pPr>
        <w:spacing w:line="276" w:lineRule="auto"/>
        <w:ind w:left="567" w:right="560"/>
        <w:jc w:val="both"/>
        <w:rPr>
          <w:rFonts w:ascii="Palatino Linotype" w:eastAsia="Palatino Linotype" w:hAnsi="Palatino Linotype" w:cs="Palatino Linotype"/>
          <w:i/>
          <w:sz w:val="22"/>
          <w:szCs w:val="22"/>
        </w:rPr>
      </w:pPr>
      <w:r w:rsidRPr="00CC3891">
        <w:rPr>
          <w:rFonts w:ascii="Palatino Linotype" w:eastAsia="Palatino Linotype" w:hAnsi="Palatino Linotype" w:cs="Palatino Linotype"/>
          <w:i/>
          <w:sz w:val="22"/>
          <w:szCs w:val="22"/>
        </w:rPr>
        <w:t>De ser procedente, se 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503D4B8F" w14:textId="77777777" w:rsidR="004E4604" w:rsidRPr="00CC3891" w:rsidRDefault="004E4604">
      <w:pPr>
        <w:spacing w:line="276" w:lineRule="auto"/>
        <w:ind w:left="567" w:right="560"/>
        <w:jc w:val="both"/>
        <w:rPr>
          <w:rFonts w:ascii="Palatino Linotype" w:eastAsia="Palatino Linotype" w:hAnsi="Palatino Linotype" w:cs="Palatino Linotype"/>
          <w:i/>
          <w:sz w:val="22"/>
          <w:szCs w:val="22"/>
        </w:rPr>
      </w:pPr>
    </w:p>
    <w:p w14:paraId="5A887C4C" w14:textId="77777777" w:rsidR="004E4604" w:rsidRPr="00CC3891" w:rsidRDefault="004E4604">
      <w:pPr>
        <w:spacing w:line="276" w:lineRule="auto"/>
        <w:ind w:right="560"/>
        <w:jc w:val="both"/>
        <w:rPr>
          <w:rFonts w:ascii="Palatino Linotype" w:eastAsia="Palatino Linotype" w:hAnsi="Palatino Linotype" w:cs="Palatino Linotype"/>
          <w:i/>
          <w:sz w:val="22"/>
          <w:szCs w:val="22"/>
        </w:rPr>
      </w:pPr>
    </w:p>
    <w:p w14:paraId="41155729"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Tercero.</w:t>
      </w:r>
      <w:r w:rsidRPr="00CC3891">
        <w:rPr>
          <w:rFonts w:ascii="Palatino Linotype" w:eastAsia="Palatino Linotype" w:hAnsi="Palatino Linotype" w:cs="Palatino Linotype"/>
          <w:sz w:val="22"/>
          <w:szCs w:val="22"/>
        </w:rPr>
        <w:t xml:space="preserve"> </w:t>
      </w:r>
      <w:r w:rsidRPr="00CC3891">
        <w:rPr>
          <w:rFonts w:ascii="Palatino Linotype" w:eastAsia="Palatino Linotype" w:hAnsi="Palatino Linotype" w:cs="Palatino Linotype"/>
          <w:b/>
          <w:sz w:val="22"/>
          <w:szCs w:val="22"/>
        </w:rPr>
        <w:t xml:space="preserve">Notifíquese vía SAIMEX </w:t>
      </w:r>
      <w:r w:rsidRPr="00CC3891">
        <w:rPr>
          <w:rFonts w:ascii="Palatino Linotype" w:eastAsia="Palatino Linotype" w:hAnsi="Palatino Linotype" w:cs="Palatino Linotype"/>
          <w:sz w:val="22"/>
          <w:szCs w:val="22"/>
        </w:rPr>
        <w:t>la presente resolución al T</w:t>
      </w:r>
      <w:r w:rsidRPr="00CC3891">
        <w:rPr>
          <w:rFonts w:ascii="Palatino Linotype" w:eastAsia="Palatino Linotype" w:hAnsi="Palatino Linotype" w:cs="Palatino Linotype"/>
          <w:b/>
          <w:sz w:val="22"/>
          <w:szCs w:val="22"/>
        </w:rPr>
        <w:t xml:space="preserve">itular de la Unidad de Transparencia </w:t>
      </w:r>
      <w:r w:rsidRPr="00CC3891">
        <w:rPr>
          <w:rFonts w:ascii="Palatino Linotype" w:eastAsia="Palatino Linotype" w:hAnsi="Palatino Linotype" w:cs="Palatino Linotype"/>
          <w:sz w:val="22"/>
          <w:szCs w:val="22"/>
        </w:rPr>
        <w:t xml:space="preserve">del </w:t>
      </w:r>
      <w:r w:rsidRPr="00CC3891">
        <w:rPr>
          <w:rFonts w:ascii="Palatino Linotype" w:eastAsia="Palatino Linotype" w:hAnsi="Palatino Linotype" w:cs="Palatino Linotype"/>
          <w:b/>
          <w:sz w:val="22"/>
          <w:szCs w:val="22"/>
        </w:rPr>
        <w:t>SUJETO OBLIGADO</w:t>
      </w:r>
      <w:r w:rsidRPr="00CC3891">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ABD9AC8"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06E7D129" w14:textId="77777777" w:rsidR="004E4604" w:rsidRPr="00CC3891" w:rsidRDefault="00CA70F9">
      <w:pPr>
        <w:spacing w:line="360" w:lineRule="auto"/>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Cuarto. Notifíquese vía SAIMEX </w:t>
      </w:r>
      <w:r w:rsidRPr="00CC3891">
        <w:rPr>
          <w:rFonts w:ascii="Palatino Linotype" w:eastAsia="Palatino Linotype" w:hAnsi="Palatino Linotype" w:cs="Palatino Linotype"/>
          <w:sz w:val="22"/>
          <w:szCs w:val="22"/>
        </w:rPr>
        <w:t xml:space="preserve">a la parte </w:t>
      </w:r>
      <w:r w:rsidRPr="00CC3891">
        <w:rPr>
          <w:rFonts w:ascii="Palatino Linotype" w:eastAsia="Palatino Linotype" w:hAnsi="Palatino Linotype" w:cs="Palatino Linotype"/>
          <w:b/>
          <w:sz w:val="22"/>
          <w:szCs w:val="22"/>
        </w:rPr>
        <w:t xml:space="preserve">Recurrente </w:t>
      </w:r>
      <w:r w:rsidRPr="00CC389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64FD7F5"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401C7F1C"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 xml:space="preserve">Quinto. Notifíquese vía SAIMEX </w:t>
      </w:r>
      <w:r w:rsidRPr="00CC3891">
        <w:rPr>
          <w:rFonts w:ascii="Palatino Linotype" w:eastAsia="Palatino Linotype" w:hAnsi="Palatino Linotype" w:cs="Palatino Linotype"/>
          <w:sz w:val="22"/>
          <w:szCs w:val="22"/>
        </w:rPr>
        <w:t>la presente resolución al T</w:t>
      </w:r>
      <w:r w:rsidRPr="00CC3891">
        <w:rPr>
          <w:rFonts w:ascii="Palatino Linotype" w:eastAsia="Palatino Linotype" w:hAnsi="Palatino Linotype" w:cs="Palatino Linotype"/>
          <w:b/>
          <w:sz w:val="22"/>
          <w:szCs w:val="22"/>
        </w:rPr>
        <w:t xml:space="preserve">itular de la Unidad de Transparencia </w:t>
      </w:r>
      <w:r w:rsidRPr="00CC3891">
        <w:rPr>
          <w:rFonts w:ascii="Palatino Linotype" w:eastAsia="Palatino Linotype" w:hAnsi="Palatino Linotype" w:cs="Palatino Linotype"/>
          <w:sz w:val="22"/>
          <w:szCs w:val="22"/>
        </w:rPr>
        <w:t xml:space="preserve">del </w:t>
      </w:r>
      <w:r w:rsidRPr="00CC3891">
        <w:rPr>
          <w:rFonts w:ascii="Palatino Linotype" w:eastAsia="Palatino Linotype" w:hAnsi="Palatino Linotype" w:cs="Palatino Linotype"/>
          <w:b/>
          <w:sz w:val="22"/>
          <w:szCs w:val="22"/>
        </w:rPr>
        <w:t xml:space="preserve">SUJETO OBLIGADO </w:t>
      </w:r>
      <w:r w:rsidRPr="00CC3891">
        <w:rPr>
          <w:rFonts w:ascii="Palatino Linotype" w:eastAsia="Palatino Linotype" w:hAnsi="Palatino Linotype" w:cs="Palatino Linotype"/>
          <w:sz w:val="22"/>
          <w:szCs w:val="22"/>
        </w:rPr>
        <w:t>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0453C5A" w14:textId="77777777" w:rsidR="004E4604" w:rsidRPr="00CC3891" w:rsidRDefault="004E4604">
      <w:pPr>
        <w:spacing w:line="360" w:lineRule="auto"/>
        <w:ind w:right="49"/>
        <w:jc w:val="both"/>
        <w:rPr>
          <w:rFonts w:ascii="Palatino Linotype" w:eastAsia="Palatino Linotype" w:hAnsi="Palatino Linotype" w:cs="Palatino Linotype"/>
          <w:sz w:val="22"/>
          <w:szCs w:val="22"/>
        </w:rPr>
      </w:pPr>
    </w:p>
    <w:p w14:paraId="1B2900BF" w14:textId="77777777" w:rsidR="004E4604" w:rsidRPr="00CC3891" w:rsidRDefault="00CA70F9">
      <w:pPr>
        <w:spacing w:line="360" w:lineRule="auto"/>
        <w:ind w:right="49"/>
        <w:jc w:val="both"/>
        <w:rPr>
          <w:rFonts w:ascii="Palatino Linotype" w:eastAsia="Palatino Linotype" w:hAnsi="Palatino Linotype" w:cs="Palatino Linotype"/>
          <w:sz w:val="22"/>
          <w:szCs w:val="22"/>
        </w:rPr>
      </w:pPr>
      <w:r w:rsidRPr="00CC3891">
        <w:rPr>
          <w:rFonts w:ascii="Palatino Linotype" w:eastAsia="Palatino Linotype" w:hAnsi="Palatino Linotype" w:cs="Palatino Linotype"/>
          <w:b/>
          <w:sz w:val="22"/>
          <w:szCs w:val="22"/>
        </w:rPr>
        <w:t>Sexto.</w:t>
      </w:r>
      <w:r w:rsidRPr="00CC3891">
        <w:rPr>
          <w:rFonts w:ascii="Palatino Linotype" w:eastAsia="Palatino Linotype" w:hAnsi="Palatino Linotype" w:cs="Palatino Linotype"/>
          <w:sz w:val="22"/>
          <w:szCs w:val="22"/>
        </w:rPr>
        <w:t xml:space="preserve"> </w:t>
      </w:r>
      <w:r w:rsidRPr="00CC3891">
        <w:rPr>
          <w:rFonts w:ascii="Palatino Linotype" w:eastAsia="Palatino Linotype" w:hAnsi="Palatino Linotype" w:cs="Palatino Linotype"/>
          <w:b/>
          <w:sz w:val="22"/>
          <w:szCs w:val="22"/>
        </w:rPr>
        <w:t xml:space="preserve">GÍRESE </w:t>
      </w:r>
      <w:r w:rsidRPr="00CC3891">
        <w:rPr>
          <w:rFonts w:ascii="Palatino Linotype" w:eastAsia="Palatino Linotype" w:hAnsi="Palatino Linotype" w:cs="Palatino Linotype"/>
          <w:sz w:val="22"/>
          <w:szCs w:val="22"/>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0F0E4DC5" w14:textId="77777777" w:rsidR="004E4604" w:rsidRPr="00CC3891" w:rsidRDefault="004E4604">
      <w:pPr>
        <w:spacing w:line="360" w:lineRule="auto"/>
        <w:jc w:val="both"/>
        <w:rPr>
          <w:rFonts w:ascii="Palatino Linotype" w:eastAsia="Palatino Linotype" w:hAnsi="Palatino Linotype" w:cs="Palatino Linotype"/>
          <w:sz w:val="22"/>
          <w:szCs w:val="22"/>
        </w:rPr>
      </w:pPr>
    </w:p>
    <w:p w14:paraId="32CA42C1" w14:textId="77777777" w:rsidR="004E4604" w:rsidRPr="00E57EFC" w:rsidRDefault="00CA70F9">
      <w:pPr>
        <w:spacing w:line="360" w:lineRule="auto"/>
        <w:jc w:val="both"/>
        <w:rPr>
          <w:rFonts w:ascii="Palatino Linotype" w:eastAsia="Palatino Linotype" w:hAnsi="Palatino Linotype" w:cs="Palatino Linotype"/>
          <w:sz w:val="22"/>
          <w:szCs w:val="22"/>
        </w:rPr>
        <w:sectPr w:rsidR="004E4604" w:rsidRPr="00E57EFC">
          <w:headerReference w:type="default" r:id="rId21"/>
          <w:footerReference w:type="default" r:id="rId22"/>
          <w:headerReference w:type="first" r:id="rId23"/>
          <w:footerReference w:type="first" r:id="rId24"/>
          <w:pgSz w:w="11920" w:h="16840"/>
          <w:pgMar w:top="1599" w:right="1134" w:bottom="278" w:left="1418" w:header="720" w:footer="720" w:gutter="0"/>
          <w:pgNumType w:start="1"/>
          <w:cols w:space="720"/>
        </w:sectPr>
      </w:pPr>
      <w:r w:rsidRPr="00CC389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5225E" w:rsidRPr="00CC3891">
        <w:rPr>
          <w:rFonts w:ascii="Palatino Linotype" w:eastAsia="Palatino Linotype" w:hAnsi="Palatino Linotype" w:cs="Palatino Linotype"/>
          <w:sz w:val="22"/>
          <w:szCs w:val="22"/>
        </w:rPr>
        <w:t>DÉCIMA TERCERA</w:t>
      </w:r>
      <w:r w:rsidRPr="00CC3891">
        <w:rPr>
          <w:rFonts w:ascii="Palatino Linotype" w:eastAsia="Palatino Linotype" w:hAnsi="Palatino Linotype" w:cs="Palatino Linotype"/>
          <w:sz w:val="22"/>
          <w:szCs w:val="22"/>
        </w:rPr>
        <w:t xml:space="preserve"> SESIÓN ORDINARIA CELEBRADA EL </w:t>
      </w:r>
      <w:r w:rsidR="0015225E" w:rsidRPr="00CC3891">
        <w:rPr>
          <w:rFonts w:ascii="Palatino Linotype" w:eastAsia="Palatino Linotype" w:hAnsi="Palatino Linotype" w:cs="Palatino Linotype"/>
          <w:sz w:val="22"/>
          <w:szCs w:val="22"/>
        </w:rPr>
        <w:t>NUEVE</w:t>
      </w:r>
      <w:r w:rsidRPr="00CC3891">
        <w:rPr>
          <w:rFonts w:ascii="Palatino Linotype" w:eastAsia="Palatino Linotype" w:hAnsi="Palatino Linotype" w:cs="Palatino Linotype"/>
          <w:sz w:val="22"/>
          <w:szCs w:val="22"/>
        </w:rPr>
        <w:t xml:space="preserve"> DE </w:t>
      </w:r>
      <w:r w:rsidR="0015225E" w:rsidRPr="00CC3891">
        <w:rPr>
          <w:rFonts w:ascii="Palatino Linotype" w:eastAsia="Palatino Linotype" w:hAnsi="Palatino Linotype" w:cs="Palatino Linotype"/>
          <w:sz w:val="22"/>
          <w:szCs w:val="22"/>
        </w:rPr>
        <w:t>ABRIL</w:t>
      </w:r>
      <w:r w:rsidRPr="00CC3891">
        <w:rPr>
          <w:rFonts w:ascii="Palatino Linotype" w:eastAsia="Palatino Linotype" w:hAnsi="Palatino Linotype" w:cs="Palatino Linotype"/>
          <w:sz w:val="22"/>
          <w:szCs w:val="22"/>
        </w:rPr>
        <w:t xml:space="preserve"> DE DOS MIL VEINTICINCO, ANTE EL SECRETARIO TÉCNICO DEL PLENO ALEXIS TAPIA RAMÍREZ.</w:t>
      </w:r>
      <w:r w:rsidRPr="00E57EFC">
        <w:rPr>
          <w:rFonts w:ascii="Palatino Linotype" w:eastAsia="Palatino Linotype" w:hAnsi="Palatino Linotype" w:cs="Palatino Linotype"/>
          <w:sz w:val="22"/>
          <w:szCs w:val="22"/>
        </w:rPr>
        <w:t xml:space="preserve"> </w:t>
      </w:r>
    </w:p>
    <w:p w14:paraId="146FA4D5" w14:textId="77777777" w:rsidR="004E4604" w:rsidRPr="00E57EFC" w:rsidRDefault="004E4604">
      <w:pPr>
        <w:spacing w:line="360" w:lineRule="auto"/>
        <w:jc w:val="both"/>
        <w:rPr>
          <w:rFonts w:ascii="Palatino Linotype" w:eastAsia="Palatino Linotype" w:hAnsi="Palatino Linotype" w:cs="Palatino Linotype"/>
          <w:sz w:val="22"/>
          <w:szCs w:val="22"/>
        </w:rPr>
      </w:pPr>
    </w:p>
    <w:sectPr w:rsidR="004E4604" w:rsidRPr="00E57EFC">
      <w:headerReference w:type="even" r:id="rId25"/>
      <w:headerReference w:type="default" r:id="rId26"/>
      <w:footerReference w:type="even" r:id="rId27"/>
      <w:footerReference w:type="default" r:id="rId28"/>
      <w:headerReference w:type="first" r:id="rId29"/>
      <w:footerReference w:type="first" r:id="rId30"/>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43B1" w14:textId="77777777" w:rsidR="00673DDC" w:rsidRDefault="00673DDC">
      <w:r>
        <w:separator/>
      </w:r>
    </w:p>
  </w:endnote>
  <w:endnote w:type="continuationSeparator" w:id="0">
    <w:p w14:paraId="5C8B97F5" w14:textId="77777777" w:rsidR="00673DDC" w:rsidRDefault="0067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119A" w14:textId="77777777" w:rsidR="004E4604" w:rsidRDefault="00CA70F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CC3891">
      <w:rPr>
        <w:rFonts w:ascii="Calibri" w:eastAsia="Calibri" w:hAnsi="Calibri" w:cs="Calibri"/>
        <w:b/>
        <w:noProof/>
        <w:color w:val="000000"/>
      </w:rPr>
      <w:t>40</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CC3891">
      <w:rPr>
        <w:rFonts w:ascii="Calibri" w:eastAsia="Calibri" w:hAnsi="Calibri" w:cs="Calibri"/>
        <w:b/>
        <w:noProof/>
        <w:color w:val="000000"/>
      </w:rPr>
      <w:t>41</w:t>
    </w:r>
    <w:r>
      <w:rPr>
        <w:rFonts w:ascii="Calibri" w:eastAsia="Calibri" w:hAnsi="Calibri" w:cs="Calibri"/>
        <w:b/>
        <w:color w:val="000000"/>
      </w:rPr>
      <w:fldChar w:fldCharType="end"/>
    </w:r>
  </w:p>
  <w:p w14:paraId="3F1F27F9"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E46" w14:textId="77777777" w:rsidR="004E4604" w:rsidRDefault="00CA70F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CC3891">
      <w:rPr>
        <w:rFonts w:ascii="Calibri" w:eastAsia="Calibri" w:hAnsi="Calibri" w:cs="Calibri"/>
        <w:b/>
        <w:noProof/>
        <w:color w:val="000000"/>
      </w:rPr>
      <w:t>41</w:t>
    </w:r>
    <w:r>
      <w:rPr>
        <w:rFonts w:ascii="Calibri" w:eastAsia="Calibri" w:hAnsi="Calibri" w:cs="Calibri"/>
        <w:b/>
        <w:color w:val="000000"/>
      </w:rPr>
      <w:fldChar w:fldCharType="end"/>
    </w:r>
  </w:p>
  <w:p w14:paraId="67CCA344"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1E64"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88FA"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938E"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412B" w14:textId="77777777" w:rsidR="00673DDC" w:rsidRDefault="00673DDC">
      <w:r>
        <w:separator/>
      </w:r>
    </w:p>
  </w:footnote>
  <w:footnote w:type="continuationSeparator" w:id="0">
    <w:p w14:paraId="51AA3FBE" w14:textId="77777777" w:rsidR="00673DDC" w:rsidRDefault="0067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1812" w14:textId="77777777" w:rsidR="004E4604" w:rsidRDefault="00CA70F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083281B8" wp14:editId="14A718AF">
          <wp:simplePos x="0" y="0"/>
          <wp:positionH relativeFrom="column">
            <wp:posOffset>-673100</wp:posOffset>
          </wp:positionH>
          <wp:positionV relativeFrom="paragraph">
            <wp:posOffset>-112395</wp:posOffset>
          </wp:positionV>
          <wp:extent cx="7809876" cy="10165823"/>
          <wp:effectExtent l="0" t="0" r="0" b="0"/>
          <wp:wrapNone/>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826" w:type="dxa"/>
      <w:tblLayout w:type="fixed"/>
      <w:tblLook w:val="0400" w:firstRow="0" w:lastRow="0" w:firstColumn="0" w:lastColumn="0" w:noHBand="0" w:noVBand="1"/>
    </w:tblPr>
    <w:tblGrid>
      <w:gridCol w:w="2551"/>
      <w:gridCol w:w="3119"/>
    </w:tblGrid>
    <w:tr w:rsidR="004E4604" w14:paraId="201C66D5" w14:textId="77777777">
      <w:tc>
        <w:tcPr>
          <w:tcW w:w="2551" w:type="dxa"/>
          <w:vAlign w:val="center"/>
        </w:tcPr>
        <w:p w14:paraId="2C294534"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4650AD7D" w14:textId="77777777" w:rsidR="004E4604" w:rsidRDefault="00CA70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01664/INFOEM/IP/RR/2025 </w:t>
          </w:r>
        </w:p>
      </w:tc>
    </w:tr>
    <w:tr w:rsidR="004E4604" w14:paraId="1FB88729" w14:textId="77777777">
      <w:trPr>
        <w:trHeight w:val="228"/>
      </w:trPr>
      <w:tc>
        <w:tcPr>
          <w:tcW w:w="2551" w:type="dxa"/>
          <w:vAlign w:val="center"/>
        </w:tcPr>
        <w:p w14:paraId="7CA1CBB9"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61169F2" w14:textId="77777777" w:rsidR="004E4604" w:rsidRDefault="004E4604">
          <w:pPr>
            <w:rPr>
              <w:rFonts w:ascii="Palatino Linotype" w:eastAsia="Palatino Linotype" w:hAnsi="Palatino Linotype" w:cs="Palatino Linotype"/>
              <w:b/>
              <w:sz w:val="22"/>
              <w:szCs w:val="22"/>
            </w:rPr>
          </w:pPr>
        </w:p>
      </w:tc>
      <w:tc>
        <w:tcPr>
          <w:tcW w:w="3119" w:type="dxa"/>
          <w:vAlign w:val="center"/>
        </w:tcPr>
        <w:p w14:paraId="451A5EED" w14:textId="77777777" w:rsidR="004E4604" w:rsidRDefault="00CA70F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Tultitlán</w:t>
          </w:r>
        </w:p>
      </w:tc>
    </w:tr>
    <w:tr w:rsidR="004E4604" w14:paraId="287CC802" w14:textId="77777777">
      <w:trPr>
        <w:trHeight w:val="228"/>
      </w:trPr>
      <w:tc>
        <w:tcPr>
          <w:tcW w:w="2551" w:type="dxa"/>
          <w:vAlign w:val="center"/>
        </w:tcPr>
        <w:p w14:paraId="0525FA4D"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1D001D9D" w14:textId="34CE8866" w:rsidR="004E4604" w:rsidRDefault="002275B6">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 XXX XXXXX XXXX</w:t>
          </w:r>
        </w:p>
      </w:tc>
    </w:tr>
    <w:tr w:rsidR="004E4604" w14:paraId="28373154" w14:textId="77777777">
      <w:tc>
        <w:tcPr>
          <w:tcW w:w="2551" w:type="dxa"/>
          <w:vAlign w:val="center"/>
        </w:tcPr>
        <w:p w14:paraId="5611C280"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025F972C" w14:textId="77777777" w:rsidR="004E4604" w:rsidRDefault="00CA70F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86C1BC9"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C673" w14:textId="77777777" w:rsidR="004E4604" w:rsidRDefault="00CA70F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696AA4D3" wp14:editId="3B4215C8">
          <wp:simplePos x="0" y="0"/>
          <wp:positionH relativeFrom="column">
            <wp:posOffset>-692783</wp:posOffset>
          </wp:positionH>
          <wp:positionV relativeFrom="paragraph">
            <wp:posOffset>-198752</wp:posOffset>
          </wp:positionV>
          <wp:extent cx="7809876" cy="10165823"/>
          <wp:effectExtent l="0" t="0" r="0" b="0"/>
          <wp:wrapNone/>
          <wp:docPr id="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826" w:type="dxa"/>
      <w:tblLayout w:type="fixed"/>
      <w:tblLook w:val="0400" w:firstRow="0" w:lastRow="0" w:firstColumn="0" w:lastColumn="0" w:noHBand="0" w:noVBand="1"/>
    </w:tblPr>
    <w:tblGrid>
      <w:gridCol w:w="2551"/>
      <w:gridCol w:w="3119"/>
    </w:tblGrid>
    <w:tr w:rsidR="004E4604" w14:paraId="28BF5C9F" w14:textId="77777777">
      <w:tc>
        <w:tcPr>
          <w:tcW w:w="2551" w:type="dxa"/>
          <w:vAlign w:val="center"/>
        </w:tcPr>
        <w:p w14:paraId="22D7ED37"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0B41CBD" w14:textId="77777777" w:rsidR="004E4604" w:rsidRDefault="00CA70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4E4604" w14:paraId="45F33141" w14:textId="77777777">
      <w:tc>
        <w:tcPr>
          <w:tcW w:w="2551" w:type="dxa"/>
          <w:vAlign w:val="center"/>
        </w:tcPr>
        <w:p w14:paraId="5051110F" w14:textId="77777777" w:rsidR="004E4604" w:rsidRDefault="00CA70F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108495C" w14:textId="77777777" w:rsidR="004E4604" w:rsidRDefault="00CA70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4E4604" w14:paraId="1E5016AE" w14:textId="77777777">
      <w:trPr>
        <w:trHeight w:val="228"/>
      </w:trPr>
      <w:tc>
        <w:tcPr>
          <w:tcW w:w="2551" w:type="dxa"/>
          <w:vAlign w:val="center"/>
        </w:tcPr>
        <w:p w14:paraId="1DB5547F"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5077435C" w14:textId="77777777" w:rsidR="004E4604" w:rsidRDefault="004E4604">
          <w:pPr>
            <w:rPr>
              <w:rFonts w:ascii="Palatino Linotype" w:eastAsia="Palatino Linotype" w:hAnsi="Palatino Linotype" w:cs="Palatino Linotype"/>
              <w:b/>
              <w:sz w:val="22"/>
              <w:szCs w:val="22"/>
            </w:rPr>
          </w:pPr>
        </w:p>
      </w:tc>
      <w:tc>
        <w:tcPr>
          <w:tcW w:w="3119" w:type="dxa"/>
          <w:vAlign w:val="center"/>
        </w:tcPr>
        <w:p w14:paraId="0A5FF53F" w14:textId="77777777" w:rsidR="004E4604" w:rsidRDefault="00CA70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4E4604" w14:paraId="2C2836AD" w14:textId="77777777">
      <w:tc>
        <w:tcPr>
          <w:tcW w:w="2551" w:type="dxa"/>
          <w:vAlign w:val="center"/>
        </w:tcPr>
        <w:p w14:paraId="0182CBCF" w14:textId="77777777" w:rsidR="004E4604" w:rsidRDefault="00CA70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1D17954" w14:textId="77777777" w:rsidR="004E4604" w:rsidRDefault="00CA70F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DC661CE" w14:textId="77777777" w:rsidR="004E4604" w:rsidRDefault="00CA70F9">
    <w:pPr>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90FE"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A9FE"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C601" w14:textId="77777777" w:rsidR="004E4604" w:rsidRDefault="004E4604">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DF0043C" w14:textId="77777777" w:rsidR="004E4604" w:rsidRDefault="004E460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B9B"/>
    <w:multiLevelType w:val="multilevel"/>
    <w:tmpl w:val="0CA4648A"/>
    <w:lvl w:ilvl="0">
      <w:start w:val="1"/>
      <w:numFmt w:val="bullet"/>
      <w:lvlText w:val="●"/>
      <w:lvlJc w:val="left"/>
      <w:pPr>
        <w:ind w:left="720" w:hanging="360"/>
      </w:pPr>
      <w:rPr>
        <w:rFonts w:ascii="Noto Sans Symbols" w:eastAsia="Noto Sans Symbols" w:hAnsi="Noto Sans Symbols" w:cs="Noto Sans Symbols"/>
        <w:b/>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B43FFC"/>
    <w:multiLevelType w:val="multilevel"/>
    <w:tmpl w:val="ADAE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46172C"/>
    <w:multiLevelType w:val="multilevel"/>
    <w:tmpl w:val="402C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B5535C"/>
    <w:multiLevelType w:val="multilevel"/>
    <w:tmpl w:val="741493D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793411"/>
    <w:multiLevelType w:val="multilevel"/>
    <w:tmpl w:val="7FB26FF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C623C4"/>
    <w:multiLevelType w:val="multilevel"/>
    <w:tmpl w:val="91340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42606E"/>
    <w:multiLevelType w:val="multilevel"/>
    <w:tmpl w:val="3266F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9C2515"/>
    <w:multiLevelType w:val="multilevel"/>
    <w:tmpl w:val="C26E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680AAB"/>
    <w:multiLevelType w:val="multilevel"/>
    <w:tmpl w:val="F5A6786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7C244529"/>
    <w:multiLevelType w:val="multilevel"/>
    <w:tmpl w:val="D6E4931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7"/>
  </w:num>
  <w:num w:numId="4">
    <w:abstractNumId w:val="5"/>
  </w:num>
  <w:num w:numId="5">
    <w:abstractNumId w:val="4"/>
  </w:num>
  <w:num w:numId="6">
    <w:abstractNumId w:val="6"/>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04"/>
    <w:rsid w:val="0015225E"/>
    <w:rsid w:val="002275B6"/>
    <w:rsid w:val="004E4604"/>
    <w:rsid w:val="005B1F96"/>
    <w:rsid w:val="00673DDC"/>
    <w:rsid w:val="008D331F"/>
    <w:rsid w:val="00CA70F9"/>
    <w:rsid w:val="00CC3891"/>
    <w:rsid w:val="00E57EFC"/>
    <w:rsid w:val="00F61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DFF1"/>
  <w15:docId w15:val="{9585FCA7-145D-4913-BA3B-1BB1EC3A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table" w:styleId="Tablaconcuadrcula">
    <w:name w:val="Table Grid"/>
    <w:basedOn w:val="Tablanormal"/>
    <w:uiPriority w:val="39"/>
    <w:rsid w:val="00C2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8343E"/>
    <w:pPr>
      <w:numPr>
        <w:numId w:val="10"/>
      </w:numPr>
      <w:contextualSpacing/>
    </w:pPr>
    <w:rPr>
      <w:lang w:val="es-MX" w:eastAsia="es-ES"/>
    </w:rPr>
  </w:style>
  <w:style w:type="paragraph" w:styleId="NormalWeb">
    <w:name w:val="Normal (Web)"/>
    <w:basedOn w:val="Normal"/>
    <w:uiPriority w:val="99"/>
    <w:unhideWhenUsed/>
    <w:rsid w:val="00406BC5"/>
    <w:pPr>
      <w:spacing w:before="100" w:beforeAutospacing="1" w:after="100" w:afterAutospacing="1"/>
    </w:pPr>
    <w:rPr>
      <w:lang w:val="es-MX"/>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3.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anterior.ine.mx/archivos2/tutoriales/sistemas/ApoyoInstitucional/SIF/docs/candidatos/folioFiscalFactura.pdf"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FWuVHE9iWMlhufa9tmBDLQqLg==">CgMxLjAyCWguM3pueXNoNzIOaC5ld3Zkd2I0Y2FmN2QyCGguZ2pkZ3hzMgloLjMwajB6bGwyCWguMWZvYjl0ZTgAciExOFVRc2ZoRzUtdFZFcEt2TUJZNVN0a2pxRHFOVlFSUlY=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11780</Words>
  <Characters>64790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2025-04-11T16:35:00Z</cp:lastPrinted>
  <dcterms:created xsi:type="dcterms:W3CDTF">2025-05-06T23:15:00Z</dcterms:created>
  <dcterms:modified xsi:type="dcterms:W3CDTF">2025-05-06T23:15:00Z</dcterms:modified>
</cp:coreProperties>
</file>