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0D521" w14:textId="3E64F9C7" w:rsidR="00085838" w:rsidRPr="00B13545" w:rsidRDefault="00085838" w:rsidP="00054226">
      <w:pPr>
        <w:spacing w:line="360" w:lineRule="auto"/>
        <w:jc w:val="both"/>
        <w:rPr>
          <w:rFonts w:ascii="Palatino Linotype" w:eastAsia="Palatino Linotype" w:hAnsi="Palatino Linotype" w:cs="Palatino Linotype"/>
        </w:rPr>
      </w:pPr>
      <w:bookmarkStart w:id="0" w:name="_GoBack"/>
      <w:bookmarkEnd w:id="0"/>
      <w:r w:rsidRPr="00B13545">
        <w:rPr>
          <w:rFonts w:ascii="Palatino Linotype" w:eastAsia="Palatino Linotype" w:hAnsi="Palatino Linotype" w:cs="Palatino Linotype"/>
        </w:rPr>
        <w:t>Resolución del Pleno del Instituto de Transparencia, Acceso a la Información Pública y Protección de Datos Personales del Estado de México y Municipios, con domicilio en Metepec, Estado de México; de fecha</w:t>
      </w:r>
      <w:r w:rsidR="0026362F" w:rsidRPr="00B13545">
        <w:rPr>
          <w:rFonts w:ascii="Palatino Linotype" w:eastAsia="Palatino Linotype" w:hAnsi="Palatino Linotype" w:cs="Palatino Linotype"/>
        </w:rPr>
        <w:t xml:space="preserve"> quince (15)</w:t>
      </w:r>
      <w:r w:rsidR="00EB0C7F" w:rsidRPr="00B13545">
        <w:rPr>
          <w:rFonts w:ascii="Palatino Linotype" w:eastAsia="Palatino Linotype" w:hAnsi="Palatino Linotype" w:cs="Palatino Linotype"/>
        </w:rPr>
        <w:t xml:space="preserve"> de enero de dos mil veinticinco</w:t>
      </w:r>
      <w:r w:rsidRPr="00B13545">
        <w:rPr>
          <w:rFonts w:ascii="Palatino Linotype" w:eastAsia="Palatino Linotype" w:hAnsi="Palatino Linotype" w:cs="Palatino Linotype"/>
        </w:rPr>
        <w:t>.</w:t>
      </w:r>
    </w:p>
    <w:p w14:paraId="413D2D21" w14:textId="77777777" w:rsidR="00085838" w:rsidRPr="00B13545" w:rsidRDefault="00085838" w:rsidP="00054226">
      <w:pPr>
        <w:spacing w:line="360" w:lineRule="auto"/>
        <w:jc w:val="both"/>
        <w:rPr>
          <w:rFonts w:ascii="Palatino Linotype" w:eastAsia="Palatino Linotype" w:hAnsi="Palatino Linotype" w:cs="Palatino Linotype"/>
        </w:rPr>
      </w:pPr>
    </w:p>
    <w:p w14:paraId="62F9122B" w14:textId="0F8AAEC7" w:rsidR="00085838" w:rsidRPr="00B13545" w:rsidRDefault="00085838" w:rsidP="00E964E8">
      <w:pPr>
        <w:spacing w:line="360" w:lineRule="auto"/>
        <w:ind w:right="-28"/>
        <w:jc w:val="both"/>
        <w:rPr>
          <w:rFonts w:ascii="Palatino Linotype" w:eastAsia="Palatino Linotype" w:hAnsi="Palatino Linotype" w:cs="Palatino Linotype"/>
        </w:rPr>
      </w:pPr>
      <w:r w:rsidRPr="00B13545">
        <w:rPr>
          <w:rFonts w:ascii="Palatino Linotype" w:eastAsia="Palatino Linotype" w:hAnsi="Palatino Linotype" w:cs="Palatino Linotype"/>
          <w:b/>
        </w:rPr>
        <w:t>VISTO</w:t>
      </w:r>
      <w:r w:rsidRPr="00B13545">
        <w:rPr>
          <w:rFonts w:ascii="Palatino Linotype" w:eastAsia="Palatino Linotype" w:hAnsi="Palatino Linotype" w:cs="Palatino Linotype"/>
        </w:rPr>
        <w:t xml:space="preserve"> </w:t>
      </w:r>
      <w:r w:rsidR="00D6508A" w:rsidRPr="00B13545">
        <w:rPr>
          <w:rFonts w:ascii="Palatino Linotype" w:eastAsia="Palatino Linotype" w:hAnsi="Palatino Linotype" w:cs="Palatino Linotype"/>
        </w:rPr>
        <w:t>el</w:t>
      </w:r>
      <w:r w:rsidRPr="00B13545">
        <w:rPr>
          <w:rFonts w:ascii="Palatino Linotype" w:eastAsia="Palatino Linotype" w:hAnsi="Palatino Linotype" w:cs="Palatino Linotype"/>
        </w:rPr>
        <w:t xml:space="preserve"> expediente electrónico formado con motivo de</w:t>
      </w:r>
      <w:r w:rsidR="00CD2B87" w:rsidRPr="00B13545">
        <w:rPr>
          <w:rFonts w:ascii="Palatino Linotype" w:eastAsia="Palatino Linotype" w:hAnsi="Palatino Linotype" w:cs="Palatino Linotype"/>
        </w:rPr>
        <w:t xml:space="preserve">l </w:t>
      </w:r>
      <w:r w:rsidRPr="00B13545">
        <w:rPr>
          <w:rFonts w:ascii="Palatino Linotype" w:eastAsia="Palatino Linotype" w:hAnsi="Palatino Linotype" w:cs="Palatino Linotype"/>
        </w:rPr>
        <w:t xml:space="preserve">recurso de revisión </w:t>
      </w:r>
      <w:r w:rsidRPr="00B13545">
        <w:rPr>
          <w:rFonts w:ascii="Palatino Linotype" w:eastAsia="Palatino Linotype" w:hAnsi="Palatino Linotype" w:cs="Palatino Linotype"/>
          <w:b/>
        </w:rPr>
        <w:t>0</w:t>
      </w:r>
      <w:r w:rsidR="00D62CB7" w:rsidRPr="00B13545">
        <w:rPr>
          <w:rFonts w:ascii="Palatino Linotype" w:eastAsia="Palatino Linotype" w:hAnsi="Palatino Linotype" w:cs="Palatino Linotype"/>
          <w:b/>
        </w:rPr>
        <w:t>2</w:t>
      </w:r>
      <w:r w:rsidR="00941A6E" w:rsidRPr="00B13545">
        <w:rPr>
          <w:rFonts w:ascii="Palatino Linotype" w:eastAsia="Palatino Linotype" w:hAnsi="Palatino Linotype" w:cs="Palatino Linotype"/>
          <w:b/>
        </w:rPr>
        <w:t>25</w:t>
      </w:r>
      <w:r w:rsidR="00D6508A" w:rsidRPr="00B13545">
        <w:rPr>
          <w:rFonts w:ascii="Palatino Linotype" w:eastAsia="Palatino Linotype" w:hAnsi="Palatino Linotype" w:cs="Palatino Linotype"/>
          <w:b/>
        </w:rPr>
        <w:t>8</w:t>
      </w:r>
      <w:r w:rsidRPr="00B13545">
        <w:rPr>
          <w:rFonts w:ascii="Palatino Linotype" w:eastAsia="Palatino Linotype" w:hAnsi="Palatino Linotype" w:cs="Palatino Linotype"/>
          <w:b/>
        </w:rPr>
        <w:t>/INFOEM/IP/RR/2024</w:t>
      </w:r>
      <w:r w:rsidRPr="00B13545">
        <w:rPr>
          <w:rFonts w:ascii="Palatino Linotype" w:eastAsia="Palatino Linotype" w:hAnsi="Palatino Linotype" w:cs="Palatino Linotype"/>
          <w:bCs/>
        </w:rPr>
        <w:t>,</w:t>
      </w:r>
      <w:r w:rsidRPr="00B13545">
        <w:rPr>
          <w:rFonts w:ascii="Palatino Linotype" w:eastAsia="Palatino Linotype" w:hAnsi="Palatino Linotype" w:cs="Palatino Linotype"/>
          <w:b/>
        </w:rPr>
        <w:t xml:space="preserve"> </w:t>
      </w:r>
      <w:r w:rsidRPr="00B13545">
        <w:rPr>
          <w:rFonts w:ascii="Palatino Linotype" w:eastAsia="Palatino Linotype" w:hAnsi="Palatino Linotype" w:cs="Palatino Linotype"/>
        </w:rPr>
        <w:t>promovido por</w:t>
      </w:r>
      <w:r w:rsidR="00D62CB7" w:rsidRPr="00B13545">
        <w:rPr>
          <w:rFonts w:ascii="Palatino Linotype" w:eastAsia="Palatino Linotype" w:hAnsi="Palatino Linotype" w:cs="Palatino Linotype"/>
        </w:rPr>
        <w:t xml:space="preserve"> </w:t>
      </w:r>
      <w:r w:rsidR="00B13545" w:rsidRPr="00B13545">
        <w:rPr>
          <w:rFonts w:ascii="Palatino Linotype" w:eastAsia="Palatino Linotype" w:hAnsi="Palatino Linotype" w:cs="Palatino Linotype"/>
        </w:rPr>
        <w:t>XXXXXXXX</w:t>
      </w:r>
      <w:r w:rsidR="00D62CB7" w:rsidRPr="00B13545">
        <w:rPr>
          <w:rFonts w:ascii="Palatino Linotype" w:eastAsia="Palatino Linotype" w:hAnsi="Palatino Linotype" w:cs="Palatino Linotype"/>
        </w:rPr>
        <w:t xml:space="preserve">, </w:t>
      </w:r>
      <w:r w:rsidR="005D3485" w:rsidRPr="00B13545">
        <w:rPr>
          <w:rFonts w:ascii="Palatino Linotype" w:eastAsia="Palatino Linotype" w:hAnsi="Palatino Linotype" w:cs="Palatino Linotype"/>
        </w:rPr>
        <w:t>a quien en lo sucesivo</w:t>
      </w:r>
      <w:r w:rsidR="007239E1" w:rsidRPr="00B13545">
        <w:rPr>
          <w:rFonts w:ascii="Palatino Linotype" w:eastAsia="Palatino Linotype" w:hAnsi="Palatino Linotype" w:cs="Palatino Linotype"/>
        </w:rPr>
        <w:t xml:space="preserve"> se identificará como</w:t>
      </w:r>
      <w:r w:rsidR="005D3485" w:rsidRPr="00B13545">
        <w:rPr>
          <w:rFonts w:ascii="Palatino Linotype" w:eastAsia="Palatino Linotype" w:hAnsi="Palatino Linotype" w:cs="Palatino Linotype"/>
        </w:rPr>
        <w:t xml:space="preserve"> </w:t>
      </w:r>
      <w:r w:rsidR="005D3485" w:rsidRPr="00B13545">
        <w:rPr>
          <w:rFonts w:ascii="Palatino Linotype" w:eastAsia="Palatino Linotype" w:hAnsi="Palatino Linotype" w:cs="Palatino Linotype"/>
          <w:b/>
          <w:bCs/>
        </w:rPr>
        <w:t xml:space="preserve">RECURRENTE </w:t>
      </w:r>
      <w:r w:rsidR="005D3485" w:rsidRPr="00B13545">
        <w:rPr>
          <w:rFonts w:ascii="Palatino Linotype" w:eastAsia="Palatino Linotype" w:hAnsi="Palatino Linotype" w:cs="Palatino Linotype"/>
        </w:rPr>
        <w:t>y/o Particular</w:t>
      </w:r>
      <w:r w:rsidRPr="00B13545">
        <w:rPr>
          <w:rFonts w:ascii="Palatino Linotype" w:eastAsia="Palatino Linotype" w:hAnsi="Palatino Linotype" w:cs="Palatino Linotype"/>
        </w:rPr>
        <w:t>, a través del</w:t>
      </w:r>
      <w:r w:rsidRPr="00B13545">
        <w:rPr>
          <w:rFonts w:ascii="Palatino Linotype" w:eastAsia="Palatino Linotype" w:hAnsi="Palatino Linotype" w:cs="Palatino Linotype"/>
          <w:b/>
        </w:rPr>
        <w:t xml:space="preserve"> Sistema de Acceso a la Información Mexiquense (SAIMEX),</w:t>
      </w:r>
      <w:r w:rsidRPr="00B13545">
        <w:rPr>
          <w:rFonts w:ascii="Palatino Linotype" w:eastAsia="Palatino Linotype" w:hAnsi="Palatino Linotype" w:cs="Palatino Linotype"/>
        </w:rPr>
        <w:t xml:space="preserve"> en contra de la respuesta de</w:t>
      </w:r>
      <w:r w:rsidR="00B97C3B"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rPr>
        <w:t>l</w:t>
      </w:r>
      <w:r w:rsidR="00B97C3B" w:rsidRPr="00B13545">
        <w:rPr>
          <w:rFonts w:ascii="Palatino Linotype" w:eastAsia="Palatino Linotype" w:hAnsi="Palatino Linotype" w:cs="Palatino Linotype"/>
        </w:rPr>
        <w:t>a</w:t>
      </w:r>
      <w:r w:rsidRPr="00B13545">
        <w:rPr>
          <w:rFonts w:ascii="Palatino Linotype" w:eastAsia="Palatino Linotype" w:hAnsi="Palatino Linotype" w:cs="Palatino Linotype"/>
        </w:rPr>
        <w:t xml:space="preserve"> </w:t>
      </w:r>
      <w:r w:rsidR="00B97C3B" w:rsidRPr="00B13545">
        <w:rPr>
          <w:rFonts w:ascii="Palatino Linotype" w:eastAsia="Palatino Linotype" w:hAnsi="Palatino Linotype" w:cs="Palatino Linotype"/>
          <w:b/>
        </w:rPr>
        <w:t xml:space="preserve">Secretaría </w:t>
      </w:r>
      <w:r w:rsidR="00D62CB7" w:rsidRPr="00B13545">
        <w:rPr>
          <w:rFonts w:ascii="Palatino Linotype" w:eastAsia="Palatino Linotype" w:hAnsi="Palatino Linotype" w:cs="Palatino Linotype"/>
          <w:b/>
        </w:rPr>
        <w:t>de Movilidad</w:t>
      </w:r>
      <w:r w:rsidR="00EB2986" w:rsidRPr="00B13545">
        <w:rPr>
          <w:rFonts w:ascii="Palatino Linotype" w:eastAsia="Palatino Linotype" w:hAnsi="Palatino Linotype" w:cs="Palatino Linotype"/>
          <w:b/>
        </w:rPr>
        <w:t xml:space="preserve">, </w:t>
      </w:r>
      <w:r w:rsidRPr="00B13545">
        <w:rPr>
          <w:rFonts w:ascii="Palatino Linotype" w:eastAsia="Palatino Linotype" w:hAnsi="Palatino Linotype" w:cs="Palatino Linotype"/>
        </w:rPr>
        <w:t>en adelante el</w:t>
      </w:r>
      <w:r w:rsidRPr="00B13545">
        <w:rPr>
          <w:rFonts w:ascii="Palatino Linotype" w:eastAsia="Palatino Linotype" w:hAnsi="Palatino Linotype" w:cs="Palatino Linotype"/>
          <w:b/>
        </w:rPr>
        <w:t xml:space="preserve"> SUJETO OBLIGADO</w:t>
      </w:r>
      <w:r w:rsidRPr="00B13545">
        <w:rPr>
          <w:rFonts w:ascii="Palatino Linotype" w:eastAsia="Palatino Linotype" w:hAnsi="Palatino Linotype" w:cs="Palatino Linotype"/>
        </w:rPr>
        <w:t>, por lo que se procede a dictar la presente resolución, con base en los siguientes:</w:t>
      </w:r>
    </w:p>
    <w:p w14:paraId="0138E6A8" w14:textId="77777777" w:rsidR="00D62CB7" w:rsidRPr="00B13545" w:rsidRDefault="00D62CB7" w:rsidP="00054226">
      <w:pPr>
        <w:keepNext/>
        <w:keepLines/>
        <w:spacing w:line="360" w:lineRule="auto"/>
        <w:jc w:val="center"/>
        <w:rPr>
          <w:rFonts w:ascii="Palatino Linotype" w:eastAsia="Palatino Linotype" w:hAnsi="Palatino Linotype" w:cs="Palatino Linotype"/>
          <w:b/>
        </w:rPr>
      </w:pPr>
      <w:bookmarkStart w:id="1" w:name="_heading=h.gjdgxs" w:colFirst="0" w:colLast="0"/>
      <w:bookmarkEnd w:id="1"/>
    </w:p>
    <w:p w14:paraId="083AEAE5" w14:textId="70460B5F" w:rsidR="00085838" w:rsidRPr="00B13545" w:rsidRDefault="00085838" w:rsidP="00054226">
      <w:pPr>
        <w:keepNext/>
        <w:keepLines/>
        <w:spacing w:line="360" w:lineRule="auto"/>
        <w:jc w:val="center"/>
        <w:rPr>
          <w:rFonts w:ascii="Palatino Linotype" w:eastAsia="Palatino Linotype" w:hAnsi="Palatino Linotype" w:cs="Palatino Linotype"/>
          <w:b/>
        </w:rPr>
      </w:pPr>
      <w:r w:rsidRPr="00B13545">
        <w:rPr>
          <w:rFonts w:ascii="Palatino Linotype" w:eastAsia="Palatino Linotype" w:hAnsi="Palatino Linotype" w:cs="Palatino Linotype"/>
          <w:b/>
        </w:rPr>
        <w:t>A N T E C E D E N T E S</w:t>
      </w:r>
    </w:p>
    <w:p w14:paraId="475DD162" w14:textId="77777777" w:rsidR="003A7549" w:rsidRPr="00B13545" w:rsidRDefault="003A7549" w:rsidP="00054226">
      <w:pPr>
        <w:keepNext/>
        <w:keepLines/>
        <w:spacing w:line="360" w:lineRule="auto"/>
        <w:jc w:val="center"/>
        <w:rPr>
          <w:rFonts w:ascii="Palatino Linotype" w:eastAsia="Palatino Linotype" w:hAnsi="Palatino Linotype" w:cs="Palatino Linotype"/>
          <w:b/>
        </w:rPr>
      </w:pPr>
    </w:p>
    <w:p w14:paraId="5751FC8D" w14:textId="6272A955" w:rsidR="00085838" w:rsidRPr="00B13545" w:rsidRDefault="00AF2433" w:rsidP="004F71FD">
      <w:pPr>
        <w:pStyle w:val="Prrafodelista"/>
        <w:numPr>
          <w:ilvl w:val="0"/>
          <w:numId w:val="4"/>
        </w:numPr>
        <w:spacing w:line="360" w:lineRule="auto"/>
        <w:rPr>
          <w:rFonts w:ascii="Palatino Linotype" w:eastAsia="Palatino Linotype" w:hAnsi="Palatino Linotype" w:cs="Palatino Linotype"/>
        </w:rPr>
      </w:pPr>
      <w:r w:rsidRPr="00B13545">
        <w:rPr>
          <w:rFonts w:ascii="Palatino Linotype" w:eastAsia="Palatino Linotype" w:hAnsi="Palatino Linotype" w:cs="Palatino Linotype"/>
          <w:b/>
          <w:u w:val="single"/>
        </w:rPr>
        <w:t>Solicitud de acceso a la información pública.</w:t>
      </w:r>
    </w:p>
    <w:p w14:paraId="1D9B30E6" w14:textId="05D431A0" w:rsidR="00085838" w:rsidRPr="00B13545" w:rsidRDefault="00085838" w:rsidP="004F71FD">
      <w:pPr>
        <w:numPr>
          <w:ilvl w:val="0"/>
          <w:numId w:val="2"/>
        </w:numPr>
        <w:spacing w:line="360" w:lineRule="auto"/>
        <w:ind w:left="0" w:firstLine="0"/>
        <w:jc w:val="both"/>
        <w:rPr>
          <w:rFonts w:ascii="Palatino Linotype" w:eastAsia="Palatino Linotype" w:hAnsi="Palatino Linotype" w:cs="Palatino Linotype"/>
        </w:rPr>
      </w:pPr>
      <w:r w:rsidRPr="00B13545">
        <w:rPr>
          <w:rFonts w:ascii="Palatino Linotype" w:eastAsia="Palatino Linotype" w:hAnsi="Palatino Linotype" w:cs="Palatino Linotype"/>
        </w:rPr>
        <w:t>El</w:t>
      </w:r>
      <w:r w:rsidR="00BE1974" w:rsidRPr="00B13545">
        <w:rPr>
          <w:rFonts w:ascii="Palatino Linotype" w:eastAsia="Palatino Linotype" w:hAnsi="Palatino Linotype" w:cs="Palatino Linotype"/>
        </w:rPr>
        <w:t xml:space="preserve"> </w:t>
      </w:r>
      <w:r w:rsidR="00361604" w:rsidRPr="00B13545">
        <w:rPr>
          <w:rFonts w:ascii="Palatino Linotype" w:eastAsia="Palatino Linotype" w:hAnsi="Palatino Linotype" w:cs="Palatino Linotype"/>
          <w:b/>
          <w:bCs/>
        </w:rPr>
        <w:t>primero de abril de</w:t>
      </w:r>
      <w:r w:rsidR="00280A2B" w:rsidRPr="00B13545">
        <w:rPr>
          <w:rFonts w:ascii="Palatino Linotype" w:eastAsia="Palatino Linotype" w:hAnsi="Palatino Linotype" w:cs="Palatino Linotype"/>
          <w:b/>
          <w:bCs/>
        </w:rPr>
        <w:t xml:space="preserve"> dos mil veinticuatro</w:t>
      </w:r>
      <w:r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b/>
        </w:rPr>
        <w:t>EL RECURRENTE,</w:t>
      </w:r>
      <w:r w:rsidRPr="00B13545">
        <w:rPr>
          <w:rFonts w:ascii="Palatino Linotype" w:eastAsia="Palatino Linotype" w:hAnsi="Palatino Linotype" w:cs="Palatino Linotype"/>
        </w:rPr>
        <w:t xml:space="preserve"> ante el </w:t>
      </w:r>
      <w:r w:rsidRPr="00B13545">
        <w:rPr>
          <w:rFonts w:ascii="Palatino Linotype" w:eastAsia="Palatino Linotype" w:hAnsi="Palatino Linotype" w:cs="Palatino Linotype"/>
          <w:b/>
        </w:rPr>
        <w:t>SUJETO OBLIGADO</w:t>
      </w:r>
      <w:r w:rsidR="00717563" w:rsidRPr="00B13545">
        <w:rPr>
          <w:rFonts w:ascii="Palatino Linotype" w:eastAsia="Palatino Linotype" w:hAnsi="Palatino Linotype" w:cs="Palatino Linotype"/>
          <w:bCs/>
        </w:rPr>
        <w:t>,</w:t>
      </w:r>
      <w:r w:rsidRPr="00B13545">
        <w:rPr>
          <w:rFonts w:ascii="Palatino Linotype" w:eastAsia="Palatino Linotype" w:hAnsi="Palatino Linotype" w:cs="Palatino Linotype"/>
        </w:rPr>
        <w:t xml:space="preserve"> vía Sistema de Acceso a la Información Mexiquense (</w:t>
      </w:r>
      <w:r w:rsidRPr="00B13545">
        <w:rPr>
          <w:rFonts w:ascii="Palatino Linotype" w:eastAsia="Palatino Linotype" w:hAnsi="Palatino Linotype" w:cs="Palatino Linotype"/>
          <w:b/>
        </w:rPr>
        <w:t>SAIMEX)</w:t>
      </w:r>
      <w:r w:rsidRPr="00B13545">
        <w:rPr>
          <w:rFonts w:ascii="Palatino Linotype" w:eastAsia="Palatino Linotype" w:hAnsi="Palatino Linotype" w:cs="Palatino Linotype"/>
        </w:rPr>
        <w:t>, presentó la solicitud de información registrada con</w:t>
      </w:r>
      <w:r w:rsidR="00EB2986" w:rsidRPr="00B13545">
        <w:rPr>
          <w:rFonts w:ascii="Palatino Linotype" w:eastAsia="Palatino Linotype" w:hAnsi="Palatino Linotype" w:cs="Palatino Linotype"/>
        </w:rPr>
        <w:t xml:space="preserve"> el número </w:t>
      </w:r>
      <w:r w:rsidR="00EB2986" w:rsidRPr="00B13545">
        <w:rPr>
          <w:rFonts w:ascii="Palatino Linotype" w:eastAsia="Palatino Linotype" w:hAnsi="Palatino Linotype" w:cs="Palatino Linotype"/>
          <w:b/>
        </w:rPr>
        <w:t>00</w:t>
      </w:r>
      <w:r w:rsidR="00E0275B" w:rsidRPr="00B13545">
        <w:rPr>
          <w:rFonts w:ascii="Palatino Linotype" w:eastAsia="Palatino Linotype" w:hAnsi="Palatino Linotype" w:cs="Palatino Linotype"/>
          <w:b/>
        </w:rPr>
        <w:t>214</w:t>
      </w:r>
      <w:r w:rsidR="00EB2986" w:rsidRPr="00B13545">
        <w:rPr>
          <w:rFonts w:ascii="Palatino Linotype" w:eastAsia="Palatino Linotype" w:hAnsi="Palatino Linotype" w:cs="Palatino Linotype"/>
          <w:b/>
        </w:rPr>
        <w:t>/</w:t>
      </w:r>
      <w:r w:rsidR="00097061" w:rsidRPr="00B13545">
        <w:rPr>
          <w:rFonts w:ascii="Palatino Linotype" w:eastAsia="Palatino Linotype" w:hAnsi="Palatino Linotype" w:cs="Palatino Linotype"/>
          <w:b/>
        </w:rPr>
        <w:t>S</w:t>
      </w:r>
      <w:r w:rsidR="00843E97" w:rsidRPr="00B13545">
        <w:rPr>
          <w:rFonts w:ascii="Palatino Linotype" w:eastAsia="Palatino Linotype" w:hAnsi="Palatino Linotype" w:cs="Palatino Linotype"/>
          <w:b/>
        </w:rPr>
        <w:t>MOV</w:t>
      </w:r>
      <w:r w:rsidR="00EB2986" w:rsidRPr="00B13545">
        <w:rPr>
          <w:rFonts w:ascii="Palatino Linotype" w:eastAsia="Palatino Linotype" w:hAnsi="Palatino Linotype" w:cs="Palatino Linotype"/>
          <w:b/>
        </w:rPr>
        <w:t>/IP/2024</w:t>
      </w:r>
      <w:r w:rsidRPr="00B13545">
        <w:rPr>
          <w:rFonts w:ascii="Palatino Linotype" w:eastAsia="Palatino Linotype" w:hAnsi="Palatino Linotype" w:cs="Palatino Linotype"/>
        </w:rPr>
        <w:t>,</w:t>
      </w:r>
      <w:r w:rsidRPr="00B13545">
        <w:rPr>
          <w:rFonts w:ascii="Palatino Linotype" w:eastAsia="Palatino Linotype" w:hAnsi="Palatino Linotype" w:cs="Palatino Linotype"/>
          <w:b/>
        </w:rPr>
        <w:t xml:space="preserve"> </w:t>
      </w:r>
      <w:r w:rsidRPr="00B13545">
        <w:rPr>
          <w:rFonts w:ascii="Palatino Linotype" w:eastAsia="Palatino Linotype" w:hAnsi="Palatino Linotype" w:cs="Palatino Linotype"/>
        </w:rPr>
        <w:t>en la que se solicitó lo siguiente:</w:t>
      </w:r>
    </w:p>
    <w:p w14:paraId="3D7D51EC" w14:textId="77777777" w:rsidR="004E17EE" w:rsidRPr="00B13545" w:rsidRDefault="004E17EE" w:rsidP="000A79DF">
      <w:pPr>
        <w:spacing w:line="360" w:lineRule="auto"/>
        <w:jc w:val="both"/>
        <w:rPr>
          <w:rFonts w:ascii="Palatino Linotype" w:eastAsia="Palatino Linotype" w:hAnsi="Palatino Linotype" w:cs="Palatino Linotype"/>
        </w:rPr>
      </w:pPr>
    </w:p>
    <w:p w14:paraId="1F0EBA3C" w14:textId="0D56798B" w:rsidR="00085838" w:rsidRPr="00B13545" w:rsidRDefault="00085838" w:rsidP="00FF56BB">
      <w:pPr>
        <w:spacing w:line="360" w:lineRule="auto"/>
        <w:ind w:left="851" w:right="822"/>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i/>
          <w:color w:val="000000"/>
        </w:rPr>
        <w:t>“</w:t>
      </w:r>
      <w:r w:rsidR="00E0275B" w:rsidRPr="00B13545">
        <w:rPr>
          <w:rFonts w:ascii="Palatino Linotype" w:hAnsi="Palatino Linotype"/>
          <w:i/>
          <w:color w:val="000000"/>
        </w:rPr>
        <w:t xml:space="preserve">Requiero conocer el fundamento legal y administrativo por el cual el Estado de México otorga concesiones para el transporte denominado ECOTAXI Cuantas concesiones se han otorgado de ECOTAXI Requiero conocer el </w:t>
      </w:r>
      <w:r w:rsidR="00E0275B" w:rsidRPr="00B13545">
        <w:rPr>
          <w:rFonts w:ascii="Palatino Linotype" w:hAnsi="Palatino Linotype"/>
          <w:i/>
          <w:color w:val="000000"/>
        </w:rPr>
        <w:lastRenderedPageBreak/>
        <w:t>fundamento legal y administrativo por el cual el Estado de México permite la instalación de bases de "ecotaxis" como un medio de transporte y en que lugares se encuentran que características físicas y mecánicas deben reunir los vehículos para ser considerados ecotaxis asimismo requiero, los requisitos para colocar una base de "eco-taxis" en el Estado de México; en caso de no contar con la información requiero la declaratoria de inexistencia de la información.</w:t>
      </w:r>
      <w:r w:rsidRPr="00B13545">
        <w:rPr>
          <w:rFonts w:ascii="Palatino Linotype" w:eastAsia="Palatino Linotype" w:hAnsi="Palatino Linotype" w:cs="Palatino Linotype"/>
          <w:i/>
          <w:color w:val="000000"/>
        </w:rPr>
        <w:t xml:space="preserve">” </w:t>
      </w:r>
      <w:r w:rsidRPr="00B13545">
        <w:rPr>
          <w:rFonts w:ascii="Palatino Linotype" w:eastAsia="Palatino Linotype" w:hAnsi="Palatino Linotype" w:cs="Palatino Linotype"/>
          <w:color w:val="000000"/>
        </w:rPr>
        <w:t>(Sic)</w:t>
      </w:r>
      <w:r w:rsidRPr="00B13545">
        <w:rPr>
          <w:rFonts w:ascii="Palatino Linotype" w:eastAsia="Palatino Linotype" w:hAnsi="Palatino Linotype" w:cs="Palatino Linotype"/>
          <w:i/>
          <w:color w:val="000000"/>
        </w:rPr>
        <w:t xml:space="preserve"> </w:t>
      </w:r>
    </w:p>
    <w:p w14:paraId="48144E74" w14:textId="77777777" w:rsidR="00E0275B" w:rsidRPr="00B13545" w:rsidRDefault="00E0275B" w:rsidP="00421F89">
      <w:pPr>
        <w:spacing w:line="360" w:lineRule="auto"/>
        <w:ind w:left="851" w:right="680"/>
        <w:jc w:val="both"/>
        <w:rPr>
          <w:rFonts w:ascii="Palatino Linotype" w:eastAsia="Palatino Linotype" w:hAnsi="Palatino Linotype" w:cs="Palatino Linotype"/>
          <w:i/>
          <w:color w:val="000000"/>
        </w:rPr>
      </w:pPr>
    </w:p>
    <w:p w14:paraId="6EFACA4C" w14:textId="77777777" w:rsidR="00085838" w:rsidRPr="00B13545" w:rsidRDefault="00085838" w:rsidP="004C6708">
      <w:pPr>
        <w:pStyle w:val="Prrafodelista"/>
        <w:numPr>
          <w:ilvl w:val="0"/>
          <w:numId w:val="5"/>
        </w:numPr>
        <w:spacing w:line="360" w:lineRule="auto"/>
        <w:ind w:left="426"/>
        <w:jc w:val="both"/>
        <w:rPr>
          <w:rFonts w:ascii="Palatino Linotype" w:hAnsi="Palatino Linotype"/>
        </w:rPr>
      </w:pPr>
      <w:r w:rsidRPr="00B13545">
        <w:rPr>
          <w:rFonts w:ascii="Palatino Linotype" w:eastAsia="Palatino Linotype" w:hAnsi="Palatino Linotype" w:cs="Palatino Linotype"/>
        </w:rPr>
        <w:t>Se eligió como modalidad de entrega a través de la plataforma digital Sistema de Acceso a la Información Mexiquense (SAIMEX).</w:t>
      </w:r>
    </w:p>
    <w:p w14:paraId="36DC105E" w14:textId="77777777" w:rsidR="00F07561" w:rsidRPr="00B13545" w:rsidRDefault="00F07561" w:rsidP="00F07561">
      <w:pPr>
        <w:pStyle w:val="Prrafodelista"/>
        <w:spacing w:line="360" w:lineRule="auto"/>
        <w:jc w:val="both"/>
        <w:rPr>
          <w:rFonts w:ascii="Palatino Linotype" w:hAnsi="Palatino Linotype"/>
        </w:rPr>
      </w:pPr>
    </w:p>
    <w:p w14:paraId="5D2D82E9" w14:textId="621DCC35" w:rsidR="00F07561" w:rsidRPr="00B13545" w:rsidRDefault="00F07561" w:rsidP="00F07561">
      <w:pPr>
        <w:pStyle w:val="Prrafodelista"/>
        <w:numPr>
          <w:ilvl w:val="0"/>
          <w:numId w:val="2"/>
        </w:numPr>
        <w:spacing w:line="360" w:lineRule="auto"/>
        <w:ind w:left="0" w:firstLine="0"/>
        <w:jc w:val="both"/>
        <w:rPr>
          <w:rFonts w:ascii="Palatino Linotype" w:hAnsi="Palatino Linotype"/>
        </w:rPr>
      </w:pPr>
      <w:r w:rsidRPr="00B13545">
        <w:rPr>
          <w:rFonts w:ascii="Palatino Linotype" w:hAnsi="Palatino Linotype"/>
        </w:rPr>
        <w:t>Se realiz</w:t>
      </w:r>
      <w:r w:rsidR="00FA0DC4" w:rsidRPr="00B13545">
        <w:rPr>
          <w:rFonts w:ascii="Palatino Linotype" w:hAnsi="Palatino Linotype"/>
        </w:rPr>
        <w:t xml:space="preserve">aron tres </w:t>
      </w:r>
      <w:r w:rsidRPr="00B13545">
        <w:rPr>
          <w:rFonts w:ascii="Palatino Linotype" w:hAnsi="Palatino Linotype"/>
        </w:rPr>
        <w:t>requerimiento</w:t>
      </w:r>
      <w:r w:rsidR="00FA0DC4" w:rsidRPr="00B13545">
        <w:rPr>
          <w:rFonts w:ascii="Palatino Linotype" w:hAnsi="Palatino Linotype"/>
        </w:rPr>
        <w:t>s</w:t>
      </w:r>
      <w:r w:rsidRPr="00B13545">
        <w:rPr>
          <w:rFonts w:ascii="Palatino Linotype" w:hAnsi="Palatino Linotype"/>
        </w:rPr>
        <w:t xml:space="preserve"> al servidor público habilitado en fecha </w:t>
      </w:r>
      <w:r w:rsidR="00FA0DC4" w:rsidRPr="00B13545">
        <w:rPr>
          <w:rFonts w:ascii="Palatino Linotype" w:hAnsi="Palatino Linotype"/>
          <w:b/>
        </w:rPr>
        <w:t xml:space="preserve">dos de abril de </w:t>
      </w:r>
      <w:r w:rsidRPr="00B13545">
        <w:rPr>
          <w:rFonts w:ascii="Palatino Linotype" w:hAnsi="Palatino Linotype"/>
          <w:b/>
        </w:rPr>
        <w:t>dos mil veinticuatro.</w:t>
      </w:r>
    </w:p>
    <w:p w14:paraId="2A54D9C5" w14:textId="77777777" w:rsidR="00F07561" w:rsidRPr="00B13545" w:rsidRDefault="00F07561" w:rsidP="00F07561">
      <w:pPr>
        <w:pStyle w:val="Prrafodelista"/>
        <w:spacing w:line="360" w:lineRule="auto"/>
        <w:ind w:left="0"/>
        <w:jc w:val="both"/>
        <w:rPr>
          <w:rFonts w:ascii="Palatino Linotype" w:hAnsi="Palatino Linotype"/>
        </w:rPr>
      </w:pPr>
    </w:p>
    <w:p w14:paraId="371E27E3" w14:textId="3B7416D6" w:rsidR="00A41585" w:rsidRPr="00B13545" w:rsidRDefault="00F07561" w:rsidP="00EF370B">
      <w:pPr>
        <w:pStyle w:val="Prrafodelista"/>
        <w:numPr>
          <w:ilvl w:val="0"/>
          <w:numId w:val="2"/>
        </w:numPr>
        <w:spacing w:line="360" w:lineRule="auto"/>
        <w:ind w:left="0" w:firstLine="0"/>
        <w:jc w:val="both"/>
        <w:rPr>
          <w:rFonts w:ascii="Palatino Linotype" w:eastAsia="Palatino Linotype" w:hAnsi="Palatino Linotype" w:cs="Palatino Linotype"/>
          <w:iCs/>
        </w:rPr>
      </w:pPr>
      <w:r w:rsidRPr="00B13545">
        <w:rPr>
          <w:rFonts w:ascii="Palatino Linotype" w:hAnsi="Palatino Linotype"/>
        </w:rPr>
        <w:t xml:space="preserve">En fecha </w:t>
      </w:r>
      <w:r w:rsidRPr="00B13545">
        <w:rPr>
          <w:rFonts w:ascii="Palatino Linotype" w:hAnsi="Palatino Linotype"/>
          <w:b/>
        </w:rPr>
        <w:t>veinti</w:t>
      </w:r>
      <w:r w:rsidR="00EF370B" w:rsidRPr="00B13545">
        <w:rPr>
          <w:rFonts w:ascii="Palatino Linotype" w:hAnsi="Palatino Linotype"/>
          <w:b/>
        </w:rPr>
        <w:t xml:space="preserve">dós de abril </w:t>
      </w:r>
      <w:r w:rsidRPr="00B13545">
        <w:rPr>
          <w:rFonts w:ascii="Palatino Linotype" w:hAnsi="Palatino Linotype"/>
          <w:b/>
        </w:rPr>
        <w:t xml:space="preserve">de dos mil veinticuatro, </w:t>
      </w:r>
      <w:r w:rsidRPr="00B13545">
        <w:rPr>
          <w:rFonts w:ascii="Palatino Linotype" w:hAnsi="Palatino Linotype"/>
        </w:rPr>
        <w:t xml:space="preserve">el </w:t>
      </w:r>
      <w:bookmarkStart w:id="2" w:name="_Hlk180345996"/>
      <w:r w:rsidR="00085838" w:rsidRPr="00B13545">
        <w:rPr>
          <w:rFonts w:ascii="Palatino Linotype" w:eastAsia="Palatino Linotype" w:hAnsi="Palatino Linotype" w:cs="Palatino Linotype"/>
          <w:b/>
        </w:rPr>
        <w:t>SUJETO OBLIGADO</w:t>
      </w:r>
      <w:r w:rsidR="00085838" w:rsidRPr="00B13545">
        <w:rPr>
          <w:rFonts w:ascii="Palatino Linotype" w:eastAsia="Palatino Linotype" w:hAnsi="Palatino Linotype" w:cs="Palatino Linotype"/>
          <w:b/>
          <w:i/>
        </w:rPr>
        <w:t xml:space="preserve"> </w:t>
      </w:r>
      <w:r w:rsidR="00085838" w:rsidRPr="00B13545">
        <w:rPr>
          <w:rFonts w:ascii="Palatino Linotype" w:eastAsia="Palatino Linotype" w:hAnsi="Palatino Linotype" w:cs="Palatino Linotype"/>
        </w:rPr>
        <w:t xml:space="preserve">dio respuesta a la solicitud de información </w:t>
      </w:r>
      <w:r w:rsidR="009B406D" w:rsidRPr="00B13545">
        <w:rPr>
          <w:rFonts w:ascii="Palatino Linotype" w:eastAsia="Palatino Linotype" w:hAnsi="Palatino Linotype" w:cs="Palatino Linotype"/>
        </w:rPr>
        <w:t xml:space="preserve">mediante </w:t>
      </w:r>
      <w:r w:rsidR="00EF3494" w:rsidRPr="00B13545">
        <w:rPr>
          <w:rFonts w:ascii="Palatino Linotype" w:eastAsia="Palatino Linotype" w:hAnsi="Palatino Linotype" w:cs="Palatino Linotype"/>
        </w:rPr>
        <w:t>SAIMEX:</w:t>
      </w:r>
    </w:p>
    <w:p w14:paraId="519BF40B" w14:textId="77777777" w:rsidR="002445C8" w:rsidRPr="00B13545" w:rsidRDefault="002445C8" w:rsidP="00E5591C">
      <w:pPr>
        <w:pStyle w:val="Prrafodelista"/>
        <w:shd w:val="clear" w:color="auto" w:fill="FFFFFF" w:themeFill="background1"/>
        <w:spacing w:line="360" w:lineRule="auto"/>
        <w:ind w:left="851" w:right="538"/>
        <w:jc w:val="both"/>
        <w:rPr>
          <w:rFonts w:ascii="Palatino Linotype" w:eastAsia="Palatino Linotype" w:hAnsi="Palatino Linotype" w:cs="Palatino Linotype"/>
          <w:i/>
          <w:iCs/>
        </w:rPr>
      </w:pPr>
    </w:p>
    <w:p w14:paraId="0D4DDBF9" w14:textId="77777777" w:rsidR="00EF370B" w:rsidRPr="00B13545" w:rsidRDefault="00EF3494" w:rsidP="00E5591C">
      <w:pPr>
        <w:pStyle w:val="Prrafodelista"/>
        <w:shd w:val="clear" w:color="auto" w:fill="FFFFFF" w:themeFill="background1"/>
        <w:spacing w:line="360" w:lineRule="auto"/>
        <w:ind w:left="851" w:right="538"/>
        <w:jc w:val="both"/>
        <w:rPr>
          <w:rFonts w:ascii="Palatino Linotype" w:hAnsi="Palatino Linotype"/>
          <w:i/>
          <w:color w:val="000000"/>
        </w:rPr>
      </w:pPr>
      <w:r w:rsidRPr="00B13545">
        <w:rPr>
          <w:rFonts w:ascii="Palatino Linotype" w:eastAsia="Palatino Linotype" w:hAnsi="Palatino Linotype" w:cs="Palatino Linotype"/>
          <w:i/>
          <w:iCs/>
        </w:rPr>
        <w:t>“</w:t>
      </w:r>
      <w:r w:rsidR="00EF370B" w:rsidRPr="00B13545">
        <w:rPr>
          <w:rFonts w:ascii="Palatino Linotype" w:hAnsi="Palatino Linotype"/>
          <w:i/>
          <w:color w:val="000000"/>
        </w:rPr>
        <w:t>En respuesta a las solicitud recibida, nos permitimos hacer de su conocimiento que con fundamento en el artículo 53, Fracciones: II, V y VI de la Ley de Transparencia y Acceso a la Información Pública del Estado de México y Municipios, le contestamos que:</w:t>
      </w:r>
    </w:p>
    <w:p w14:paraId="33BE80DF" w14:textId="7947D3DD" w:rsidR="00EF3494" w:rsidRPr="00B13545" w:rsidRDefault="00AE3A10" w:rsidP="00E5591C">
      <w:pPr>
        <w:pStyle w:val="Prrafodelista"/>
        <w:shd w:val="clear" w:color="auto" w:fill="FFFFFF" w:themeFill="background1"/>
        <w:spacing w:line="360" w:lineRule="auto"/>
        <w:ind w:left="851" w:right="538"/>
        <w:jc w:val="both"/>
        <w:rPr>
          <w:rFonts w:ascii="Palatino Linotype" w:eastAsia="Palatino Linotype" w:hAnsi="Palatino Linotype" w:cs="Palatino Linotype"/>
          <w:i/>
          <w:iCs/>
        </w:rPr>
      </w:pPr>
      <w:r w:rsidRPr="00B13545">
        <w:rPr>
          <w:rFonts w:ascii="Palatino Linotype" w:eastAsia="Palatino Linotype" w:hAnsi="Palatino Linotype" w:cs="Palatino Linotype"/>
          <w:i/>
          <w:iCs/>
        </w:rPr>
        <w:t>se anexa respuesta…</w:t>
      </w:r>
      <w:r w:rsidR="00EF3494" w:rsidRPr="00B13545">
        <w:rPr>
          <w:rFonts w:ascii="Palatino Linotype" w:hAnsi="Palatino Linotype"/>
          <w:i/>
          <w:color w:val="000000"/>
        </w:rPr>
        <w:t>” (Sic)</w:t>
      </w:r>
    </w:p>
    <w:p w14:paraId="2E62ABFA" w14:textId="77777777" w:rsidR="00EF3494" w:rsidRPr="00B13545" w:rsidRDefault="00EF3494" w:rsidP="002445C8">
      <w:pPr>
        <w:pStyle w:val="Prrafodelista"/>
        <w:spacing w:line="276" w:lineRule="auto"/>
        <w:ind w:left="0"/>
        <w:jc w:val="both"/>
        <w:rPr>
          <w:rFonts w:ascii="Palatino Linotype" w:eastAsia="Palatino Linotype" w:hAnsi="Palatino Linotype" w:cs="Palatino Linotype"/>
          <w:iCs/>
        </w:rPr>
      </w:pPr>
    </w:p>
    <w:p w14:paraId="09D7643D" w14:textId="0EB353C4" w:rsidR="00A41585" w:rsidRPr="00B13545" w:rsidRDefault="00A41585" w:rsidP="005817E9">
      <w:pPr>
        <w:spacing w:line="360" w:lineRule="auto"/>
        <w:ind w:right="538"/>
        <w:jc w:val="both"/>
        <w:rPr>
          <w:rFonts w:ascii="Palatino Linotype" w:eastAsia="Palatino Linotype" w:hAnsi="Palatino Linotype" w:cs="Palatino Linotype"/>
          <w:iCs/>
        </w:rPr>
      </w:pPr>
      <w:r w:rsidRPr="00B13545">
        <w:rPr>
          <w:rFonts w:ascii="Palatino Linotype" w:eastAsia="Palatino Linotype" w:hAnsi="Palatino Linotype" w:cs="Palatino Linotype"/>
          <w:iCs/>
        </w:rPr>
        <w:t>El Sujeto Obligado adjuntó l</w:t>
      </w:r>
      <w:r w:rsidR="002445C8" w:rsidRPr="00B13545">
        <w:rPr>
          <w:rFonts w:ascii="Palatino Linotype" w:eastAsia="Palatino Linotype" w:hAnsi="Palatino Linotype" w:cs="Palatino Linotype"/>
          <w:iCs/>
        </w:rPr>
        <w:t>os</w:t>
      </w:r>
      <w:r w:rsidRPr="00B13545">
        <w:rPr>
          <w:rFonts w:ascii="Palatino Linotype" w:eastAsia="Palatino Linotype" w:hAnsi="Palatino Linotype" w:cs="Palatino Linotype"/>
          <w:iCs/>
        </w:rPr>
        <w:t xml:space="preserve"> siguiente</w:t>
      </w:r>
      <w:r w:rsidR="002445C8" w:rsidRPr="00B13545">
        <w:rPr>
          <w:rFonts w:ascii="Palatino Linotype" w:eastAsia="Palatino Linotype" w:hAnsi="Palatino Linotype" w:cs="Palatino Linotype"/>
          <w:iCs/>
        </w:rPr>
        <w:t>s</w:t>
      </w:r>
      <w:r w:rsidRPr="00B13545">
        <w:rPr>
          <w:rFonts w:ascii="Palatino Linotype" w:eastAsia="Palatino Linotype" w:hAnsi="Palatino Linotype" w:cs="Palatino Linotype"/>
          <w:iCs/>
        </w:rPr>
        <w:t xml:space="preserve"> </w:t>
      </w:r>
      <w:r w:rsidR="00820066" w:rsidRPr="00B13545">
        <w:rPr>
          <w:rFonts w:ascii="Palatino Linotype" w:eastAsia="Palatino Linotype" w:hAnsi="Palatino Linotype" w:cs="Palatino Linotype"/>
          <w:iCs/>
        </w:rPr>
        <w:t>archivos electrónicos</w:t>
      </w:r>
      <w:r w:rsidRPr="00B13545">
        <w:rPr>
          <w:rFonts w:ascii="Palatino Linotype" w:eastAsia="Palatino Linotype" w:hAnsi="Palatino Linotype" w:cs="Palatino Linotype"/>
          <w:iCs/>
        </w:rPr>
        <w:t xml:space="preserve">: </w:t>
      </w:r>
    </w:p>
    <w:p w14:paraId="00D79859" w14:textId="097BBA2B" w:rsidR="00201712" w:rsidRPr="00B13545" w:rsidRDefault="00AE3A10" w:rsidP="00201712">
      <w:pPr>
        <w:pStyle w:val="Prrafodelista"/>
        <w:numPr>
          <w:ilvl w:val="0"/>
          <w:numId w:val="6"/>
        </w:numPr>
        <w:spacing w:line="360" w:lineRule="auto"/>
        <w:ind w:left="426" w:right="538"/>
        <w:jc w:val="both"/>
        <w:rPr>
          <w:rFonts w:ascii="Palatino Linotype" w:eastAsia="Palatino Linotype" w:hAnsi="Palatino Linotype" w:cs="Palatino Linotype"/>
          <w:iCs/>
          <w:sz w:val="22"/>
          <w:szCs w:val="22"/>
        </w:rPr>
      </w:pPr>
      <w:r w:rsidRPr="00B13545">
        <w:rPr>
          <w:rFonts w:ascii="Palatino Linotype" w:eastAsia="Palatino Linotype" w:hAnsi="Palatino Linotype" w:cs="Palatino Linotype"/>
          <w:b/>
          <w:iCs/>
          <w:sz w:val="22"/>
          <w:szCs w:val="22"/>
        </w:rPr>
        <w:lastRenderedPageBreak/>
        <w:t>SERVICIO PÚBLICO DE TRANSPORTE EN LA MODALIDAD DENOMINADO ECOBICITAXI</w:t>
      </w:r>
      <w:r w:rsidR="00820066" w:rsidRPr="00B13545">
        <w:rPr>
          <w:rFonts w:ascii="Palatino Linotype" w:eastAsia="Palatino Linotype" w:hAnsi="Palatino Linotype" w:cs="Palatino Linotype"/>
          <w:b/>
          <w:iCs/>
          <w:sz w:val="22"/>
          <w:szCs w:val="22"/>
        </w:rPr>
        <w:t>.p</w:t>
      </w:r>
      <w:r w:rsidRPr="00B13545">
        <w:rPr>
          <w:rFonts w:ascii="Palatino Linotype" w:eastAsia="Palatino Linotype" w:hAnsi="Palatino Linotype" w:cs="Palatino Linotype"/>
          <w:b/>
          <w:iCs/>
          <w:sz w:val="22"/>
          <w:szCs w:val="22"/>
        </w:rPr>
        <w:t>df</w:t>
      </w:r>
      <w:r w:rsidR="00820066" w:rsidRPr="00B13545">
        <w:rPr>
          <w:rFonts w:ascii="Palatino Linotype" w:eastAsia="Palatino Linotype" w:hAnsi="Palatino Linotype" w:cs="Palatino Linotype"/>
          <w:b/>
          <w:iCs/>
          <w:sz w:val="22"/>
          <w:szCs w:val="22"/>
        </w:rPr>
        <w:t xml:space="preserve">: </w:t>
      </w:r>
      <w:r w:rsidR="00820066" w:rsidRPr="00B13545">
        <w:rPr>
          <w:rFonts w:ascii="Palatino Linotype" w:eastAsia="Palatino Linotype" w:hAnsi="Palatino Linotype" w:cs="Palatino Linotype"/>
          <w:iCs/>
          <w:sz w:val="22"/>
          <w:szCs w:val="22"/>
        </w:rPr>
        <w:t xml:space="preserve">Contiene </w:t>
      </w:r>
      <w:r w:rsidR="00BA4B1F" w:rsidRPr="00B13545">
        <w:rPr>
          <w:rFonts w:ascii="Palatino Linotype" w:eastAsia="Palatino Linotype" w:hAnsi="Palatino Linotype" w:cs="Palatino Linotype"/>
          <w:iCs/>
          <w:sz w:val="22"/>
          <w:szCs w:val="22"/>
        </w:rPr>
        <w:t xml:space="preserve">documento </w:t>
      </w:r>
      <w:r w:rsidR="00131661" w:rsidRPr="00B13545">
        <w:rPr>
          <w:rFonts w:ascii="Palatino Linotype" w:eastAsia="Palatino Linotype" w:hAnsi="Palatino Linotype" w:cs="Palatino Linotype"/>
          <w:iCs/>
          <w:sz w:val="22"/>
          <w:szCs w:val="22"/>
        </w:rPr>
        <w:t xml:space="preserve">constante de una foja útil, correspondiente a la carátula del </w:t>
      </w:r>
      <w:r w:rsidR="00BA4B1F" w:rsidRPr="00B13545">
        <w:rPr>
          <w:rFonts w:ascii="Palatino Linotype" w:eastAsia="Palatino Linotype" w:hAnsi="Palatino Linotype" w:cs="Palatino Linotype"/>
          <w:iCs/>
          <w:sz w:val="22"/>
          <w:szCs w:val="22"/>
        </w:rPr>
        <w:t xml:space="preserve">Periódico Oficial “Gaceta del Gobierno” de fecha </w:t>
      </w:r>
      <w:r w:rsidR="00522C85" w:rsidRPr="00B13545">
        <w:rPr>
          <w:rFonts w:ascii="Palatino Linotype" w:eastAsia="Palatino Linotype" w:hAnsi="Palatino Linotype" w:cs="Palatino Linotype"/>
          <w:iCs/>
          <w:sz w:val="22"/>
          <w:szCs w:val="22"/>
        </w:rPr>
        <w:t xml:space="preserve">jueves 2 de mayo de 2019, donde entre otras cosas se observa en la carátula lo siguiente: </w:t>
      </w:r>
    </w:p>
    <w:p w14:paraId="1DF87AB2" w14:textId="77777777" w:rsidR="00461011" w:rsidRPr="00B13545" w:rsidRDefault="00461011" w:rsidP="00461011">
      <w:pPr>
        <w:pStyle w:val="Prrafodelista"/>
        <w:spacing w:line="276" w:lineRule="auto"/>
        <w:ind w:left="426" w:right="538"/>
        <w:jc w:val="both"/>
        <w:rPr>
          <w:rFonts w:ascii="Palatino Linotype" w:eastAsia="Palatino Linotype" w:hAnsi="Palatino Linotype" w:cs="Palatino Linotype"/>
          <w:iCs/>
          <w:sz w:val="22"/>
          <w:szCs w:val="22"/>
        </w:rPr>
      </w:pPr>
    </w:p>
    <w:p w14:paraId="48C653E9" w14:textId="77A21601" w:rsidR="00522C85" w:rsidRPr="00B13545" w:rsidRDefault="00522C85" w:rsidP="00ED71EA">
      <w:pPr>
        <w:pStyle w:val="Prrafodelista"/>
        <w:numPr>
          <w:ilvl w:val="0"/>
          <w:numId w:val="10"/>
        </w:numPr>
        <w:spacing w:line="360" w:lineRule="auto"/>
        <w:ind w:left="851" w:right="538"/>
        <w:jc w:val="both"/>
        <w:rPr>
          <w:rFonts w:ascii="Palatino Linotype" w:eastAsia="Palatino Linotype" w:hAnsi="Palatino Linotype" w:cs="Palatino Linotype"/>
          <w:iCs/>
          <w:sz w:val="22"/>
          <w:szCs w:val="22"/>
        </w:rPr>
      </w:pPr>
      <w:r w:rsidRPr="00B13545">
        <w:rPr>
          <w:rFonts w:ascii="Palatino Linotype" w:eastAsia="Palatino Linotype" w:hAnsi="Palatino Linotype" w:cs="Palatino Linotype"/>
          <w:b/>
          <w:iCs/>
          <w:sz w:val="22"/>
          <w:szCs w:val="22"/>
        </w:rPr>
        <w:t>ACUERDO DEL SECRETARIO DE MOVILIDAD DEL ESTADO DE MÉXICO QUE ESTABLECE LA NORMA TÉCNICA DEL SERVICIO PÚBLICO DE TRANSPORTE EN LA MODALIDAD DE DISCRECIONAL DE PASAJE INDIVIDUAL, EN VEHÍCULO DE PROPULSIÓN NO MECÁNICA DENOMINADO ECOBICITAXI.</w:t>
      </w:r>
    </w:p>
    <w:p w14:paraId="419EBB3F" w14:textId="77777777" w:rsidR="00522C85" w:rsidRPr="00B13545" w:rsidRDefault="00522C85" w:rsidP="00CC7F40">
      <w:pPr>
        <w:pStyle w:val="Prrafodelista"/>
        <w:spacing w:line="276" w:lineRule="auto"/>
        <w:ind w:left="851" w:right="538"/>
        <w:jc w:val="both"/>
        <w:rPr>
          <w:rFonts w:ascii="Palatino Linotype" w:eastAsia="Palatino Linotype" w:hAnsi="Palatino Linotype" w:cs="Palatino Linotype"/>
          <w:iCs/>
          <w:sz w:val="22"/>
          <w:szCs w:val="22"/>
        </w:rPr>
      </w:pPr>
    </w:p>
    <w:p w14:paraId="5D892ECC" w14:textId="3DA8E4EA" w:rsidR="00AF6F47" w:rsidRPr="00B13545" w:rsidRDefault="00D70CA5" w:rsidP="00201712">
      <w:pPr>
        <w:pStyle w:val="Prrafodelista"/>
        <w:numPr>
          <w:ilvl w:val="0"/>
          <w:numId w:val="6"/>
        </w:numPr>
        <w:spacing w:line="360" w:lineRule="auto"/>
        <w:ind w:left="426" w:right="538"/>
        <w:jc w:val="both"/>
        <w:rPr>
          <w:rFonts w:ascii="Palatino Linotype" w:eastAsia="Palatino Linotype" w:hAnsi="Palatino Linotype" w:cs="Palatino Linotype"/>
          <w:i/>
          <w:iCs/>
          <w:sz w:val="22"/>
          <w:szCs w:val="22"/>
        </w:rPr>
      </w:pPr>
      <w:r w:rsidRPr="00B13545">
        <w:rPr>
          <w:rFonts w:ascii="Palatino Linotype" w:eastAsia="Palatino Linotype" w:hAnsi="Palatino Linotype" w:cs="Palatino Linotype"/>
          <w:b/>
          <w:iCs/>
          <w:sz w:val="22"/>
          <w:szCs w:val="22"/>
        </w:rPr>
        <w:t>Respuesta a solicitud 214.</w:t>
      </w:r>
      <w:r w:rsidR="00820066" w:rsidRPr="00B13545">
        <w:rPr>
          <w:rFonts w:ascii="Palatino Linotype" w:eastAsia="Palatino Linotype" w:hAnsi="Palatino Linotype" w:cs="Palatino Linotype"/>
          <w:b/>
          <w:iCs/>
          <w:sz w:val="22"/>
          <w:szCs w:val="22"/>
        </w:rPr>
        <w:t xml:space="preserve">pdf: </w:t>
      </w:r>
      <w:r w:rsidR="00AF6F47" w:rsidRPr="00B13545">
        <w:rPr>
          <w:rFonts w:ascii="Palatino Linotype" w:eastAsia="Palatino Linotype" w:hAnsi="Palatino Linotype" w:cs="Palatino Linotype"/>
          <w:iCs/>
          <w:sz w:val="22"/>
          <w:szCs w:val="22"/>
        </w:rPr>
        <w:t xml:space="preserve">Contiene </w:t>
      </w:r>
      <w:r w:rsidR="00E614A3" w:rsidRPr="00B13545">
        <w:rPr>
          <w:rFonts w:ascii="Palatino Linotype" w:eastAsia="Palatino Linotype" w:hAnsi="Palatino Linotype" w:cs="Palatino Linotype"/>
          <w:iCs/>
          <w:sz w:val="22"/>
          <w:szCs w:val="22"/>
        </w:rPr>
        <w:t>el oficio número 000214/SMOV/IP/2024, de fecha veintidós de abril de dos mil veinticuatro, suscrito por el Titular de la Unidad de Transparencia de la Secretaría de Movilidad</w:t>
      </w:r>
      <w:r w:rsidR="00CF7714" w:rsidRPr="00B13545">
        <w:rPr>
          <w:rFonts w:ascii="Palatino Linotype" w:eastAsia="Palatino Linotype" w:hAnsi="Palatino Linotype" w:cs="Palatino Linotype"/>
          <w:iCs/>
          <w:sz w:val="22"/>
          <w:szCs w:val="22"/>
        </w:rPr>
        <w:t>, por medio del cual se le dio respuesta a la particular</w:t>
      </w:r>
      <w:r w:rsidR="005A29DE" w:rsidRPr="00B13545">
        <w:rPr>
          <w:rFonts w:ascii="Palatino Linotype" w:eastAsia="Palatino Linotype" w:hAnsi="Palatino Linotype" w:cs="Palatino Linotype"/>
          <w:iCs/>
          <w:sz w:val="22"/>
          <w:szCs w:val="22"/>
        </w:rPr>
        <w:t xml:space="preserve">, observando las </w:t>
      </w:r>
      <w:r w:rsidR="009C30FA" w:rsidRPr="00B13545">
        <w:rPr>
          <w:rFonts w:ascii="Palatino Linotype" w:eastAsia="Palatino Linotype" w:hAnsi="Palatino Linotype" w:cs="Palatino Linotype"/>
          <w:iCs/>
          <w:sz w:val="22"/>
          <w:szCs w:val="22"/>
        </w:rPr>
        <w:t>manifestaciones</w:t>
      </w:r>
      <w:r w:rsidR="005A29DE" w:rsidRPr="00B13545">
        <w:rPr>
          <w:rFonts w:ascii="Palatino Linotype" w:eastAsia="Palatino Linotype" w:hAnsi="Palatino Linotype" w:cs="Palatino Linotype"/>
          <w:iCs/>
          <w:sz w:val="22"/>
          <w:szCs w:val="22"/>
        </w:rPr>
        <w:t xml:space="preserve"> de la</w:t>
      </w:r>
      <w:r w:rsidR="009C30FA" w:rsidRPr="00B13545">
        <w:rPr>
          <w:rFonts w:ascii="Palatino Linotype" w:eastAsia="Palatino Linotype" w:hAnsi="Palatino Linotype" w:cs="Palatino Linotype"/>
          <w:iCs/>
          <w:sz w:val="22"/>
          <w:szCs w:val="22"/>
        </w:rPr>
        <w:t>s</w:t>
      </w:r>
      <w:r w:rsidR="005A29DE" w:rsidRPr="00B13545">
        <w:rPr>
          <w:rFonts w:ascii="Palatino Linotype" w:eastAsia="Palatino Linotype" w:hAnsi="Palatino Linotype" w:cs="Palatino Linotype"/>
          <w:iCs/>
          <w:sz w:val="22"/>
          <w:szCs w:val="22"/>
        </w:rPr>
        <w:t xml:space="preserve"> siguientes Unidades Administrativas: Instituto del Transporte, Coordinación Jurídica</w:t>
      </w:r>
      <w:r w:rsidR="00141B4B" w:rsidRPr="00B13545">
        <w:rPr>
          <w:rFonts w:ascii="Palatino Linotype" w:eastAsia="Palatino Linotype" w:hAnsi="Palatino Linotype" w:cs="Palatino Linotype"/>
          <w:iCs/>
          <w:sz w:val="22"/>
          <w:szCs w:val="22"/>
        </w:rPr>
        <w:t xml:space="preserve"> y la</w:t>
      </w:r>
      <w:r w:rsidR="005A29DE" w:rsidRPr="00B13545">
        <w:rPr>
          <w:rFonts w:ascii="Palatino Linotype" w:eastAsia="Palatino Linotype" w:hAnsi="Palatino Linotype" w:cs="Palatino Linotype"/>
          <w:iCs/>
          <w:sz w:val="22"/>
          <w:szCs w:val="22"/>
        </w:rPr>
        <w:t xml:space="preserve"> Dirección del Registro Estatal de Transporte Público</w:t>
      </w:r>
      <w:r w:rsidR="009C30FA" w:rsidRPr="00B13545">
        <w:rPr>
          <w:rFonts w:ascii="Palatino Linotype" w:eastAsia="Palatino Linotype" w:hAnsi="Palatino Linotype" w:cs="Palatino Linotype"/>
          <w:iCs/>
          <w:sz w:val="22"/>
          <w:szCs w:val="22"/>
        </w:rPr>
        <w:t>.</w:t>
      </w:r>
    </w:p>
    <w:p w14:paraId="75B236E1" w14:textId="77777777" w:rsidR="00AF6F47" w:rsidRPr="00B13545" w:rsidRDefault="00AF6F47" w:rsidP="00AF6F47">
      <w:pPr>
        <w:pStyle w:val="Prrafodelista"/>
        <w:spacing w:line="360" w:lineRule="auto"/>
        <w:ind w:left="426" w:right="538"/>
        <w:jc w:val="both"/>
        <w:rPr>
          <w:rFonts w:ascii="Palatino Linotype" w:eastAsia="Palatino Linotype" w:hAnsi="Palatino Linotype" w:cs="Palatino Linotype"/>
          <w:i/>
          <w:iCs/>
          <w:sz w:val="22"/>
          <w:szCs w:val="22"/>
        </w:rPr>
      </w:pPr>
    </w:p>
    <w:bookmarkEnd w:id="2"/>
    <w:p w14:paraId="6649E97E" w14:textId="42EAACF5" w:rsidR="00630BD4" w:rsidRPr="00B13545" w:rsidRDefault="00630BD4" w:rsidP="004F71FD">
      <w:pPr>
        <w:pStyle w:val="Prrafodelista"/>
        <w:numPr>
          <w:ilvl w:val="0"/>
          <w:numId w:val="3"/>
        </w:numPr>
        <w:spacing w:line="360" w:lineRule="auto"/>
        <w:ind w:right="538"/>
        <w:jc w:val="both"/>
        <w:rPr>
          <w:rFonts w:ascii="Palatino Linotype" w:eastAsia="Palatino Linotype" w:hAnsi="Palatino Linotype" w:cs="Palatino Linotype"/>
          <w:b/>
          <w:i/>
          <w:iCs/>
          <w:sz w:val="22"/>
          <w:szCs w:val="22"/>
          <w:u w:val="single"/>
        </w:rPr>
      </w:pPr>
      <w:r w:rsidRPr="00B13545">
        <w:rPr>
          <w:rFonts w:ascii="Palatino Linotype" w:eastAsia="Palatino Linotype" w:hAnsi="Palatino Linotype" w:cs="Palatino Linotype"/>
          <w:b/>
          <w:iCs/>
          <w:sz w:val="22"/>
          <w:szCs w:val="22"/>
          <w:u w:val="single"/>
        </w:rPr>
        <w:t>Recurso de Revisión (razones o motivos de inconformidad)</w:t>
      </w:r>
    </w:p>
    <w:p w14:paraId="2E428ADD" w14:textId="2F4C4011" w:rsidR="00085838" w:rsidRPr="00B13545" w:rsidRDefault="00085838" w:rsidP="004F71FD">
      <w:pPr>
        <w:pStyle w:val="Prrafodelista"/>
        <w:numPr>
          <w:ilvl w:val="0"/>
          <w:numId w:val="2"/>
        </w:numPr>
        <w:spacing w:line="360" w:lineRule="auto"/>
        <w:ind w:left="0" w:right="49" w:firstLine="0"/>
        <w:jc w:val="both"/>
        <w:rPr>
          <w:rFonts w:ascii="Palatino Linotype" w:hAnsi="Palatino Linotype" w:cs="Arial"/>
          <w:i/>
          <w:color w:val="000000" w:themeColor="text1"/>
        </w:rPr>
      </w:pPr>
      <w:r w:rsidRPr="00B13545">
        <w:rPr>
          <w:rFonts w:ascii="Palatino Linotype" w:hAnsi="Palatino Linotype"/>
        </w:rPr>
        <w:t>En fecha</w:t>
      </w:r>
      <w:r w:rsidR="00DA2AEA" w:rsidRPr="00B13545">
        <w:rPr>
          <w:rFonts w:ascii="Palatino Linotype" w:hAnsi="Palatino Linotype"/>
          <w:b/>
          <w:bCs/>
        </w:rPr>
        <w:t xml:space="preserve"> </w:t>
      </w:r>
      <w:r w:rsidR="009D6245" w:rsidRPr="00B13545">
        <w:rPr>
          <w:rFonts w:ascii="Palatino Linotype" w:hAnsi="Palatino Linotype"/>
          <w:b/>
          <w:bCs/>
        </w:rPr>
        <w:t>veinti</w:t>
      </w:r>
      <w:r w:rsidR="0006706C" w:rsidRPr="00B13545">
        <w:rPr>
          <w:rFonts w:ascii="Palatino Linotype" w:hAnsi="Palatino Linotype"/>
          <w:b/>
          <w:bCs/>
        </w:rPr>
        <w:t>séis</w:t>
      </w:r>
      <w:r w:rsidR="009D6245" w:rsidRPr="00B13545">
        <w:rPr>
          <w:rFonts w:ascii="Palatino Linotype" w:hAnsi="Palatino Linotype"/>
          <w:b/>
          <w:bCs/>
        </w:rPr>
        <w:t xml:space="preserve"> de abril</w:t>
      </w:r>
      <w:r w:rsidR="00DA2AEA" w:rsidRPr="00B13545">
        <w:rPr>
          <w:rFonts w:ascii="Palatino Linotype" w:hAnsi="Palatino Linotype"/>
          <w:b/>
          <w:bCs/>
        </w:rPr>
        <w:t xml:space="preserve"> de dos mil veinticuatro</w:t>
      </w:r>
      <w:r w:rsidRPr="00B13545">
        <w:rPr>
          <w:rFonts w:ascii="Palatino Linotype" w:hAnsi="Palatino Linotype"/>
          <w:b/>
        </w:rPr>
        <w:t>,</w:t>
      </w:r>
      <w:r w:rsidRPr="00B13545">
        <w:rPr>
          <w:rFonts w:ascii="Palatino Linotype" w:hAnsi="Palatino Linotype"/>
        </w:rPr>
        <w:t xml:space="preserve"> </w:t>
      </w:r>
      <w:r w:rsidRPr="00B13545">
        <w:rPr>
          <w:rFonts w:ascii="Palatino Linotype" w:hAnsi="Palatino Linotype" w:cs="Arial"/>
          <w:color w:val="000000" w:themeColor="text1"/>
          <w:lang w:val="es-ES"/>
        </w:rPr>
        <w:t>el particular interpuso el recurso de revisión en contra de la respuesta, manifestando las siguientes razones o motivos de inconformidad:</w:t>
      </w:r>
    </w:p>
    <w:p w14:paraId="4674CAD6" w14:textId="77777777" w:rsidR="000273F4" w:rsidRPr="00B13545" w:rsidRDefault="000273F4" w:rsidP="00F361B4">
      <w:pPr>
        <w:pStyle w:val="Prrafodelista"/>
        <w:spacing w:line="276" w:lineRule="auto"/>
        <w:ind w:left="0" w:right="49"/>
        <w:jc w:val="both"/>
        <w:rPr>
          <w:rFonts w:ascii="Palatino Linotype" w:hAnsi="Palatino Linotype" w:cs="Arial"/>
          <w:i/>
          <w:color w:val="000000" w:themeColor="text1"/>
        </w:rPr>
      </w:pPr>
    </w:p>
    <w:p w14:paraId="73C73DF7" w14:textId="6FBB0C61" w:rsidR="005F6F83" w:rsidRPr="00B13545" w:rsidRDefault="005F6F83" w:rsidP="00EA34EC">
      <w:pPr>
        <w:pStyle w:val="Prrafodelista"/>
        <w:numPr>
          <w:ilvl w:val="0"/>
          <w:numId w:val="5"/>
        </w:numPr>
        <w:spacing w:line="360" w:lineRule="auto"/>
        <w:ind w:right="49"/>
        <w:jc w:val="both"/>
        <w:rPr>
          <w:rFonts w:ascii="Palatino Linotype" w:hAnsi="Palatino Linotype"/>
        </w:rPr>
      </w:pPr>
      <w:r w:rsidRPr="00B13545">
        <w:rPr>
          <w:rFonts w:ascii="Palatino Linotype" w:hAnsi="Palatino Linotype"/>
          <w:b/>
          <w:bCs/>
        </w:rPr>
        <w:t>Acto impugnado</w:t>
      </w:r>
      <w:r w:rsidRPr="00B13545">
        <w:rPr>
          <w:rFonts w:ascii="Palatino Linotype" w:hAnsi="Palatino Linotype"/>
        </w:rPr>
        <w:t xml:space="preserve">: </w:t>
      </w:r>
      <w:bookmarkStart w:id="3" w:name="_Toc466982515"/>
      <w:r w:rsidR="00491254" w:rsidRPr="00B13545">
        <w:rPr>
          <w:rFonts w:ascii="Palatino Linotype" w:hAnsi="Palatino Linotype"/>
          <w:i/>
          <w:iCs/>
        </w:rPr>
        <w:t>“</w:t>
      </w:r>
      <w:proofErr w:type="spellStart"/>
      <w:r w:rsidR="00202AEB" w:rsidRPr="00B13545">
        <w:rPr>
          <w:rFonts w:ascii="Palatino Linotype" w:hAnsi="Palatino Linotype"/>
          <w:i/>
          <w:color w:val="000000"/>
        </w:rPr>
        <w:t>negacion</w:t>
      </w:r>
      <w:proofErr w:type="spellEnd"/>
      <w:r w:rsidR="00202AEB" w:rsidRPr="00B13545">
        <w:rPr>
          <w:rFonts w:ascii="Palatino Linotype" w:hAnsi="Palatino Linotype"/>
          <w:i/>
          <w:color w:val="000000"/>
        </w:rPr>
        <w:t xml:space="preserve"> de información</w:t>
      </w:r>
      <w:r w:rsidR="004460EA" w:rsidRPr="00B13545">
        <w:rPr>
          <w:rFonts w:ascii="Palatino Linotype" w:hAnsi="Palatino Linotype"/>
          <w:i/>
          <w:iCs/>
        </w:rPr>
        <w:t>”</w:t>
      </w:r>
      <w:r w:rsidR="004460EA" w:rsidRPr="00B13545">
        <w:rPr>
          <w:rFonts w:ascii="Palatino Linotype" w:hAnsi="Palatino Linotype"/>
        </w:rPr>
        <w:t xml:space="preserve"> (Sic)</w:t>
      </w:r>
    </w:p>
    <w:p w14:paraId="2DDFE5A6" w14:textId="77777777" w:rsidR="00EA34EC" w:rsidRPr="00B13545" w:rsidRDefault="00EA34EC" w:rsidP="00EA34EC">
      <w:pPr>
        <w:pStyle w:val="Prrafodelista"/>
        <w:spacing w:line="360" w:lineRule="auto"/>
        <w:ind w:right="49"/>
        <w:jc w:val="both"/>
        <w:rPr>
          <w:rFonts w:ascii="Palatino Linotype" w:hAnsi="Palatino Linotype"/>
        </w:rPr>
      </w:pPr>
    </w:p>
    <w:p w14:paraId="63A2B46B" w14:textId="4E1A6443" w:rsidR="00085838" w:rsidRPr="00B13545" w:rsidRDefault="00085838" w:rsidP="00EA34EC">
      <w:pPr>
        <w:pStyle w:val="Prrafodelista"/>
        <w:numPr>
          <w:ilvl w:val="0"/>
          <w:numId w:val="5"/>
        </w:numPr>
        <w:spacing w:line="360" w:lineRule="auto"/>
        <w:jc w:val="both"/>
        <w:rPr>
          <w:rFonts w:ascii="Palatino Linotype" w:eastAsiaTheme="majorEastAsia" w:hAnsi="Palatino Linotype" w:cstheme="majorBidi"/>
          <w:i/>
          <w:color w:val="000000" w:themeColor="text1"/>
        </w:rPr>
      </w:pPr>
      <w:bookmarkStart w:id="4" w:name="_Toc53584977"/>
      <w:bookmarkStart w:id="5" w:name="_Toc60925404"/>
      <w:bookmarkStart w:id="6" w:name="_Toc81364834"/>
      <w:bookmarkStart w:id="7" w:name="_Toc81390611"/>
      <w:bookmarkStart w:id="8" w:name="_Toc82611034"/>
      <w:bookmarkStart w:id="9" w:name="_Toc83128577"/>
      <w:r w:rsidRPr="00B13545">
        <w:rPr>
          <w:rStyle w:val="Ttulo2Car"/>
          <w:rFonts w:ascii="Palatino Linotype" w:hAnsi="Palatino Linotype"/>
          <w:b/>
          <w:color w:val="000000" w:themeColor="text1"/>
          <w:sz w:val="24"/>
          <w:szCs w:val="24"/>
        </w:rPr>
        <w:lastRenderedPageBreak/>
        <w:t>Razones o Motivos de inconformidad:</w:t>
      </w:r>
      <w:bookmarkEnd w:id="3"/>
      <w:bookmarkEnd w:id="4"/>
      <w:bookmarkEnd w:id="5"/>
      <w:bookmarkEnd w:id="6"/>
      <w:bookmarkEnd w:id="7"/>
      <w:bookmarkEnd w:id="8"/>
      <w:bookmarkEnd w:id="9"/>
      <w:r w:rsidRPr="00B13545">
        <w:rPr>
          <w:rStyle w:val="Ttulo2Car"/>
          <w:rFonts w:ascii="Palatino Linotype" w:hAnsi="Palatino Linotype"/>
          <w:b/>
          <w:color w:val="000000" w:themeColor="text1"/>
          <w:sz w:val="24"/>
          <w:szCs w:val="24"/>
        </w:rPr>
        <w:t xml:space="preserve"> </w:t>
      </w:r>
      <w:r w:rsidRPr="00B13545">
        <w:rPr>
          <w:rStyle w:val="Ttulo2Car"/>
          <w:rFonts w:ascii="Palatino Linotype" w:hAnsi="Palatino Linotype"/>
          <w:i/>
          <w:color w:val="000000" w:themeColor="text1"/>
          <w:sz w:val="24"/>
          <w:szCs w:val="24"/>
        </w:rPr>
        <w:t>“</w:t>
      </w:r>
      <w:r w:rsidR="00202AEB" w:rsidRPr="00B13545">
        <w:rPr>
          <w:rFonts w:ascii="Palatino Linotype" w:hAnsi="Palatino Linotype"/>
          <w:i/>
          <w:color w:val="000000"/>
        </w:rPr>
        <w:t>negativa de respuesta</w:t>
      </w:r>
      <w:r w:rsidRPr="00B13545">
        <w:rPr>
          <w:rStyle w:val="Ttulo2Car"/>
          <w:rFonts w:ascii="Palatino Linotype" w:hAnsi="Palatino Linotype"/>
          <w:i/>
          <w:color w:val="000000" w:themeColor="text1"/>
          <w:sz w:val="24"/>
          <w:szCs w:val="24"/>
        </w:rPr>
        <w:t>”</w:t>
      </w:r>
      <w:r w:rsidR="00AA1A3F" w:rsidRPr="00B13545">
        <w:rPr>
          <w:rFonts w:ascii="Palatino Linotype" w:hAnsi="Palatino Linotype"/>
          <w:i/>
        </w:rPr>
        <w:t xml:space="preserve"> (Sic)</w:t>
      </w:r>
    </w:p>
    <w:p w14:paraId="545BBC87" w14:textId="77777777" w:rsidR="00195237" w:rsidRPr="00B13545" w:rsidRDefault="00195237" w:rsidP="00C512BA">
      <w:pPr>
        <w:pStyle w:val="Prrafodelista"/>
        <w:spacing w:line="360" w:lineRule="auto"/>
        <w:rPr>
          <w:rStyle w:val="Ttulo2Car"/>
          <w:rFonts w:ascii="Palatino Linotype" w:hAnsi="Palatino Linotype"/>
          <w:i/>
          <w:color w:val="000000" w:themeColor="text1"/>
          <w:sz w:val="24"/>
          <w:szCs w:val="24"/>
        </w:rPr>
      </w:pPr>
    </w:p>
    <w:p w14:paraId="2A38DD7D" w14:textId="77777777" w:rsidR="00AF43E7" w:rsidRPr="00B13545" w:rsidRDefault="00AF43E7" w:rsidP="004F71FD">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B13545">
        <w:rPr>
          <w:rFonts w:ascii="Palatino Linotype" w:hAnsi="Palatino Linotype"/>
          <w:b/>
          <w:u w:val="single"/>
        </w:rPr>
        <w:t>Manifestaciones, alegatos y respuesta complementaría.</w:t>
      </w:r>
    </w:p>
    <w:p w14:paraId="7E5458BD" w14:textId="31C4643B" w:rsidR="005A582E" w:rsidRPr="00B13545" w:rsidRDefault="00EB3B41" w:rsidP="004F71FD">
      <w:pPr>
        <w:pStyle w:val="Prrafodelista"/>
        <w:numPr>
          <w:ilvl w:val="0"/>
          <w:numId w:val="2"/>
        </w:numPr>
        <w:spacing w:line="360" w:lineRule="auto"/>
        <w:ind w:left="0" w:firstLine="0"/>
        <w:jc w:val="both"/>
        <w:rPr>
          <w:rFonts w:ascii="Palatino Linotype" w:hAnsi="Palatino Linotype"/>
        </w:rPr>
      </w:pPr>
      <w:r w:rsidRPr="00B13545">
        <w:rPr>
          <w:rFonts w:ascii="Palatino Linotype" w:eastAsia="Palatino Linotype" w:hAnsi="Palatino Linotype" w:cs="Palatino Linotype"/>
        </w:rPr>
        <w:t>Con funda</w:t>
      </w:r>
      <w:r w:rsidR="003906AB" w:rsidRPr="00B13545">
        <w:rPr>
          <w:rFonts w:ascii="Palatino Linotype" w:eastAsia="Palatino Linotype" w:hAnsi="Palatino Linotype" w:cs="Palatino Linotype"/>
        </w:rPr>
        <w:t>mento en lo dispuesto por el artículo 185 fracción II de la ley de la materia</w:t>
      </w:r>
      <w:r w:rsidR="000A4715" w:rsidRPr="00B13545">
        <w:rPr>
          <w:rFonts w:ascii="Palatino Linotype" w:eastAsia="Palatino Linotype" w:hAnsi="Palatino Linotype" w:cs="Palatino Linotype"/>
        </w:rPr>
        <w:t>, se acordó a las partes a efecto de que</w:t>
      </w:r>
      <w:r w:rsidR="00195237" w:rsidRPr="00B13545">
        <w:rPr>
          <w:rFonts w:ascii="Palatino Linotype" w:eastAsia="Palatino Linotype" w:hAnsi="Palatino Linotype" w:cs="Palatino Linotype"/>
        </w:rPr>
        <w:t>,</w:t>
      </w:r>
      <w:r w:rsidR="000A4715" w:rsidRPr="00B13545">
        <w:rPr>
          <w:rFonts w:ascii="Palatino Linotype" w:eastAsia="Palatino Linotype" w:hAnsi="Palatino Linotype" w:cs="Palatino Linotype"/>
        </w:rPr>
        <w:t xml:space="preserve"> en un plazo máximo de siete días, el Recurrente manifestara lo que a su derecho conviniera, ofrecieran pruebas y alegatos, y el Sujet</w:t>
      </w:r>
      <w:r w:rsidR="001978B7" w:rsidRPr="00B13545">
        <w:rPr>
          <w:rFonts w:ascii="Palatino Linotype" w:eastAsia="Palatino Linotype" w:hAnsi="Palatino Linotype" w:cs="Palatino Linotype"/>
        </w:rPr>
        <w:t>o Obligado presentara el Informe</w:t>
      </w:r>
      <w:r w:rsidR="000A4715" w:rsidRPr="00B13545">
        <w:rPr>
          <w:rFonts w:ascii="Palatino Linotype" w:eastAsia="Palatino Linotype" w:hAnsi="Palatino Linotype" w:cs="Palatino Linotype"/>
        </w:rPr>
        <w:t xml:space="preserve"> Justificado</w:t>
      </w:r>
    </w:p>
    <w:p w14:paraId="56B43CC0" w14:textId="77777777" w:rsidR="000A4715" w:rsidRPr="00B13545" w:rsidRDefault="000A4715" w:rsidP="000A4715">
      <w:pPr>
        <w:pStyle w:val="Prrafodelista"/>
        <w:spacing w:line="360" w:lineRule="auto"/>
        <w:ind w:left="0"/>
        <w:jc w:val="both"/>
        <w:rPr>
          <w:rFonts w:ascii="Palatino Linotype" w:hAnsi="Palatino Linotype"/>
        </w:rPr>
      </w:pPr>
    </w:p>
    <w:p w14:paraId="29DD2A24" w14:textId="77777777" w:rsidR="004B213F" w:rsidRPr="00B13545" w:rsidRDefault="00A13403" w:rsidP="004F71FD">
      <w:pPr>
        <w:numPr>
          <w:ilvl w:val="0"/>
          <w:numId w:val="2"/>
        </w:numPr>
        <w:spacing w:line="360" w:lineRule="auto"/>
        <w:ind w:left="0" w:firstLine="0"/>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rPr>
        <w:t xml:space="preserve">El Recurrente dejó de realizar manifestaciones que a su derecho conviniera y asistiera. </w:t>
      </w:r>
    </w:p>
    <w:p w14:paraId="1F3FD07D" w14:textId="77777777" w:rsidR="004B213F" w:rsidRPr="00B13545" w:rsidRDefault="004B213F" w:rsidP="004B213F">
      <w:pPr>
        <w:pStyle w:val="Prrafodelista"/>
        <w:rPr>
          <w:rFonts w:ascii="Palatino Linotype" w:eastAsia="Palatino Linotype" w:hAnsi="Palatino Linotype" w:cs="Palatino Linotype"/>
        </w:rPr>
      </w:pPr>
    </w:p>
    <w:p w14:paraId="2582B051" w14:textId="049D3036" w:rsidR="00085838" w:rsidRPr="00B13545" w:rsidRDefault="00A13403" w:rsidP="004F71FD">
      <w:pPr>
        <w:numPr>
          <w:ilvl w:val="0"/>
          <w:numId w:val="2"/>
        </w:numPr>
        <w:spacing w:line="360" w:lineRule="auto"/>
        <w:ind w:left="0" w:firstLine="0"/>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rPr>
        <w:t xml:space="preserve">Por su parte el </w:t>
      </w:r>
      <w:r w:rsidR="00085838" w:rsidRPr="00B13545">
        <w:rPr>
          <w:rFonts w:ascii="Palatino Linotype" w:eastAsia="Palatino Linotype" w:hAnsi="Palatino Linotype" w:cs="Palatino Linotype"/>
        </w:rPr>
        <w:t xml:space="preserve">Sujeto Obligado </w:t>
      </w:r>
      <w:r w:rsidR="004B213F" w:rsidRPr="00B13545">
        <w:rPr>
          <w:rFonts w:ascii="Palatino Linotype" w:eastAsia="Palatino Linotype" w:hAnsi="Palatino Linotype" w:cs="Palatino Linotype"/>
        </w:rPr>
        <w:t xml:space="preserve">en fecha </w:t>
      </w:r>
      <w:r w:rsidR="00A96011" w:rsidRPr="00B13545">
        <w:rPr>
          <w:rFonts w:ascii="Palatino Linotype" w:eastAsia="Palatino Linotype" w:hAnsi="Palatino Linotype" w:cs="Palatino Linotype"/>
          <w:b/>
        </w:rPr>
        <w:t>diez de mayo</w:t>
      </w:r>
      <w:r w:rsidR="004B213F" w:rsidRPr="00B13545">
        <w:rPr>
          <w:rFonts w:ascii="Palatino Linotype" w:eastAsia="Palatino Linotype" w:hAnsi="Palatino Linotype" w:cs="Palatino Linotype"/>
          <w:b/>
        </w:rPr>
        <w:t xml:space="preserve"> de dos mil veinticuatro, </w:t>
      </w:r>
      <w:r w:rsidR="003649AC" w:rsidRPr="00B13545">
        <w:rPr>
          <w:rFonts w:ascii="Palatino Linotype" w:eastAsia="Palatino Linotype" w:hAnsi="Palatino Linotype" w:cs="Palatino Linotype"/>
        </w:rPr>
        <w:t>rindió informe justificado</w:t>
      </w:r>
      <w:r w:rsidR="004B213F" w:rsidRPr="00B13545">
        <w:rPr>
          <w:rFonts w:ascii="Palatino Linotype" w:eastAsia="Palatino Linotype" w:hAnsi="Palatino Linotype" w:cs="Palatino Linotype"/>
        </w:rPr>
        <w:t>, por el cual confirmó su respuesta</w:t>
      </w:r>
      <w:r w:rsidR="00C512BA" w:rsidRPr="00B13545">
        <w:rPr>
          <w:rFonts w:ascii="Palatino Linotype" w:eastAsia="Palatino Linotype" w:hAnsi="Palatino Linotype" w:cs="Palatino Linotype"/>
        </w:rPr>
        <w:t>, además de que adjuntó los siguientes archivos electrónicos:</w:t>
      </w:r>
    </w:p>
    <w:p w14:paraId="02D1A273" w14:textId="77777777" w:rsidR="00C512BA" w:rsidRPr="00B13545" w:rsidRDefault="00C512BA" w:rsidP="00C512BA">
      <w:pPr>
        <w:pStyle w:val="Prrafodelista"/>
        <w:rPr>
          <w:rFonts w:ascii="Palatino Linotype" w:eastAsia="Palatino Linotype" w:hAnsi="Palatino Linotype" w:cs="Palatino Linotype"/>
          <w:i/>
          <w:color w:val="000000"/>
        </w:rPr>
      </w:pPr>
    </w:p>
    <w:p w14:paraId="1D4F35DA" w14:textId="5DCAF5C1" w:rsidR="00C512BA" w:rsidRPr="00B13545" w:rsidRDefault="00C512BA" w:rsidP="00ED71EA">
      <w:pPr>
        <w:pStyle w:val="Prrafodelista"/>
        <w:numPr>
          <w:ilvl w:val="0"/>
          <w:numId w:val="11"/>
        </w:numPr>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b/>
          <w:color w:val="000000"/>
        </w:rPr>
        <w:t xml:space="preserve">OFICIO ITEM.pdf: </w:t>
      </w:r>
      <w:r w:rsidRPr="00B13545">
        <w:rPr>
          <w:rFonts w:ascii="Palatino Linotype" w:eastAsia="Palatino Linotype" w:hAnsi="Palatino Linotype" w:cs="Palatino Linotype"/>
          <w:color w:val="000000"/>
        </w:rPr>
        <w:t>Oficio</w:t>
      </w:r>
      <w:r w:rsidR="00AE041E" w:rsidRPr="00B13545">
        <w:rPr>
          <w:rFonts w:ascii="Palatino Linotype" w:eastAsia="Palatino Linotype" w:hAnsi="Palatino Linotype" w:cs="Palatino Linotype"/>
          <w:color w:val="000000"/>
        </w:rPr>
        <w:t xml:space="preserve"> número 220B0101000200L/020/2024, de fecha tres de mayo de dos mil veinticuatro, suscrito por la Subdirectora de Normatividad y Capacitación del Instituto del Transporte del Estado de México, del cual entre otras cosas se observa:</w:t>
      </w:r>
    </w:p>
    <w:p w14:paraId="4E42C707" w14:textId="545A5BE8" w:rsidR="00AE041E" w:rsidRPr="00B13545" w:rsidRDefault="00AE041E" w:rsidP="00AE041E">
      <w:pPr>
        <w:pStyle w:val="Prrafodelista"/>
        <w:spacing w:line="360" w:lineRule="auto"/>
        <w:jc w:val="both"/>
        <w:rPr>
          <w:rFonts w:ascii="Palatino Linotype" w:eastAsia="Palatino Linotype" w:hAnsi="Palatino Linotype" w:cs="Palatino Linotype"/>
          <w:b/>
          <w:i/>
          <w:color w:val="000000"/>
        </w:rPr>
      </w:pPr>
      <w:r w:rsidRPr="00B13545">
        <w:rPr>
          <w:rFonts w:ascii="Palatino Linotype" w:eastAsia="Palatino Linotype" w:hAnsi="Palatino Linotype" w:cs="Palatino Linotype"/>
          <w:b/>
          <w:i/>
          <w:color w:val="000000"/>
        </w:rPr>
        <w:t xml:space="preserve">“… </w:t>
      </w:r>
      <w:r w:rsidRPr="00B13545">
        <w:rPr>
          <w:rFonts w:ascii="Palatino Linotype" w:eastAsia="Palatino Linotype" w:hAnsi="Palatino Linotype" w:cs="Palatino Linotype"/>
          <w:i/>
          <w:color w:val="000000"/>
        </w:rPr>
        <w:t xml:space="preserve">En competencia del Instituto del Transporte, con fundamento en lo vertido en el Artículo 146 del Título Sexto del Reglamento del Transporte Público y Servicios Conexos del Estado de México publicado en el Periódico Oficial Gaceta de Gobierno del Estado de México el 25 de marzo de 2002, así como a las atribuciones contenidas en el Artículo 15 del Reglamento Interno del Instituto del Transporte del Estado de México, publicado el 03 de octubre de 2005 en el Periódico Oficial Gaceta del Gobierno. Se </w:t>
      </w:r>
      <w:r w:rsidRPr="00B13545">
        <w:rPr>
          <w:rFonts w:ascii="Palatino Linotype" w:eastAsia="Palatino Linotype" w:hAnsi="Palatino Linotype" w:cs="Palatino Linotype"/>
          <w:i/>
          <w:color w:val="000000"/>
        </w:rPr>
        <w:lastRenderedPageBreak/>
        <w:t xml:space="preserve">proporciona Copia del Periódico Oficial en el cual se publicó el </w:t>
      </w:r>
      <w:r w:rsidRPr="00B13545">
        <w:rPr>
          <w:rFonts w:ascii="Palatino Linotype" w:eastAsia="Palatino Linotype" w:hAnsi="Palatino Linotype" w:cs="Palatino Linotype"/>
          <w:b/>
          <w:i/>
          <w:color w:val="000000"/>
        </w:rPr>
        <w:t>ACUERDO DEL SECRETARIO DE MOVILIDAD DEL ESTADO DE MÉXICO QUE ESTABLECE LA NORMA TÉCNICA DEL SERVICIO PÚBLICO DE TRANSPORTE EN LA MODALIDAD DE DISCRECIONAL DE PASAJE INDIVIDUAL, EN VEHÍCULO DE PROPULSIÓN NO MECÁNICA DENOMINADO ECOBICITAXI.</w:t>
      </w:r>
    </w:p>
    <w:p w14:paraId="2984BB49" w14:textId="300F6E28" w:rsidR="00AE041E" w:rsidRPr="00B13545" w:rsidRDefault="00AE041E" w:rsidP="00AE041E">
      <w:pPr>
        <w:pStyle w:val="Prrafodelista"/>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i/>
          <w:color w:val="000000"/>
        </w:rPr>
        <w:t xml:space="preserve">Así mismos, después de una exhaustiva búsqueda en los archivos físicos y electrónicos que obran en este Instituto del </w:t>
      </w:r>
      <w:r w:rsidR="00833C82" w:rsidRPr="00B13545">
        <w:rPr>
          <w:rFonts w:ascii="Palatino Linotype" w:eastAsia="Palatino Linotype" w:hAnsi="Palatino Linotype" w:cs="Palatino Linotype"/>
          <w:i/>
          <w:color w:val="000000"/>
        </w:rPr>
        <w:t>Trasporte del Estado de México, no se localizó la información solicitada bajo el nombre de “</w:t>
      </w:r>
      <w:r w:rsidR="00833C82" w:rsidRPr="00B13545">
        <w:rPr>
          <w:rFonts w:ascii="Palatino Linotype" w:eastAsia="Palatino Linotype" w:hAnsi="Palatino Linotype" w:cs="Palatino Linotype"/>
          <w:b/>
          <w:i/>
          <w:color w:val="000000"/>
        </w:rPr>
        <w:t>eco-taxis” y ECOTAXI</w:t>
      </w:r>
      <w:r w:rsidR="00833C82" w:rsidRPr="00B13545">
        <w:rPr>
          <w:rFonts w:ascii="Palatino Linotype" w:eastAsia="Palatino Linotype" w:hAnsi="Palatino Linotype" w:cs="Palatino Linotype"/>
          <w:i/>
          <w:color w:val="000000"/>
        </w:rPr>
        <w:t>…”</w:t>
      </w:r>
      <w:r w:rsidR="00833C82" w:rsidRPr="00B13545">
        <w:rPr>
          <w:rFonts w:ascii="Palatino Linotype" w:eastAsia="Palatino Linotype" w:hAnsi="Palatino Linotype" w:cs="Palatino Linotype"/>
          <w:color w:val="000000"/>
        </w:rPr>
        <w:t xml:space="preserve"> (Sic)</w:t>
      </w:r>
    </w:p>
    <w:p w14:paraId="16025C9C" w14:textId="727D4930" w:rsidR="00C512BA" w:rsidRPr="00B13545" w:rsidRDefault="00C512BA" w:rsidP="00ED71EA">
      <w:pPr>
        <w:pStyle w:val="Prrafodelista"/>
        <w:numPr>
          <w:ilvl w:val="0"/>
          <w:numId w:val="11"/>
        </w:numPr>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b/>
          <w:color w:val="000000"/>
        </w:rPr>
        <w:t xml:space="preserve">OFICIO DGRETP.pdf: </w:t>
      </w:r>
      <w:r w:rsidRPr="00B13545">
        <w:rPr>
          <w:rFonts w:ascii="Palatino Linotype" w:eastAsia="Palatino Linotype" w:hAnsi="Palatino Linotype" w:cs="Palatino Linotype"/>
          <w:color w:val="000000"/>
        </w:rPr>
        <w:t>Oficio</w:t>
      </w:r>
      <w:r w:rsidR="006149D7" w:rsidRPr="00B13545">
        <w:rPr>
          <w:rFonts w:ascii="Palatino Linotype" w:eastAsia="Palatino Linotype" w:hAnsi="Palatino Linotype" w:cs="Palatino Linotype"/>
          <w:color w:val="000000"/>
        </w:rPr>
        <w:t xml:space="preserve"> DGRETP/22000007000000L/2024/2444, de fecha siete de mayo de dos mil veinticuatro, suscrito por </w:t>
      </w:r>
      <w:r w:rsidR="00530FC5" w:rsidRPr="00B13545">
        <w:rPr>
          <w:rFonts w:ascii="Palatino Linotype" w:eastAsia="Palatino Linotype" w:hAnsi="Palatino Linotype" w:cs="Palatino Linotype"/>
          <w:color w:val="000000"/>
        </w:rPr>
        <w:t>el Director del Registro Estatal de Transporte Público, del cual entre otras cosas se observa lo siguientes:</w:t>
      </w:r>
    </w:p>
    <w:p w14:paraId="4B6DBC42" w14:textId="17457EF9" w:rsidR="00530FC5" w:rsidRPr="00B13545" w:rsidRDefault="00530FC5" w:rsidP="00530FC5">
      <w:pPr>
        <w:pStyle w:val="Prrafodelista"/>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b/>
          <w:i/>
          <w:color w:val="000000"/>
        </w:rPr>
        <w:t>“…</w:t>
      </w:r>
      <w:r w:rsidRPr="00B13545">
        <w:rPr>
          <w:rFonts w:ascii="Palatino Linotype" w:eastAsia="Palatino Linotype" w:hAnsi="Palatino Linotype" w:cs="Palatino Linotype"/>
          <w:i/>
          <w:color w:val="000000"/>
        </w:rPr>
        <w:t xml:space="preserve">Que si bien es cierto la Secretaría de Movilidad del Estado de México, para el desahogo de sus competencia se auxilia de las unidades administrativas adscritas a la misma, </w:t>
      </w:r>
      <w:r w:rsidR="00A8172E" w:rsidRPr="00B13545">
        <w:rPr>
          <w:rFonts w:ascii="Palatino Linotype" w:eastAsia="Palatino Linotype" w:hAnsi="Palatino Linotype" w:cs="Palatino Linotype"/>
          <w:i/>
          <w:color w:val="000000"/>
        </w:rPr>
        <w:t>también lo es, que estas de manera específica tienen asignadas las atribuciones que les corresponden respectivamente en concordancia del Reglamento Interior de la Secretaría de Movilidad de la entidad, por lo que, las funciones desempeñadas por las áreas adscritas a esta dependencia son de forma limitativa según las facultades que por ley ostenten.</w:t>
      </w:r>
    </w:p>
    <w:p w14:paraId="5114B276" w14:textId="77777777" w:rsidR="00A8172E" w:rsidRPr="00B13545" w:rsidRDefault="00A8172E" w:rsidP="00530FC5">
      <w:pPr>
        <w:pStyle w:val="Prrafodelista"/>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i/>
          <w:color w:val="000000"/>
        </w:rPr>
        <w:t>En tal sentido, es puntual citar atribuciones conferidas a esta Dirección del Registro Estatal de Transporte Público en el Reglamento Interior de la Secretaría de Movilidad específicamente las señaladas en su artículo 14 fracciones XI y XXIX…</w:t>
      </w:r>
    </w:p>
    <w:p w14:paraId="2A902854" w14:textId="77777777" w:rsidR="00A8172E" w:rsidRPr="00B13545" w:rsidRDefault="00A8172E" w:rsidP="00530FC5">
      <w:pPr>
        <w:pStyle w:val="Prrafodelista"/>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i/>
          <w:color w:val="000000"/>
        </w:rPr>
        <w:t xml:space="preserve">Esto es que, de forma limitativa, </w:t>
      </w:r>
      <w:r w:rsidRPr="00B13545">
        <w:rPr>
          <w:rFonts w:ascii="Palatino Linotype" w:eastAsia="Palatino Linotype" w:hAnsi="Palatino Linotype" w:cs="Palatino Linotype"/>
          <w:b/>
          <w:i/>
          <w:color w:val="000000"/>
        </w:rPr>
        <w:t xml:space="preserve">esta Dirección, únicamente integra los documentos suscritos por la autoridad competente, que adviertan el </w:t>
      </w:r>
      <w:r w:rsidRPr="00B13545">
        <w:rPr>
          <w:rFonts w:ascii="Palatino Linotype" w:eastAsia="Palatino Linotype" w:hAnsi="Palatino Linotype" w:cs="Palatino Linotype"/>
          <w:b/>
          <w:i/>
          <w:color w:val="000000"/>
        </w:rPr>
        <w:lastRenderedPageBreak/>
        <w:t>otorgamiento de concesiones y/o permisos en el Estado de México</w:t>
      </w:r>
      <w:r w:rsidRPr="00B13545">
        <w:rPr>
          <w:rFonts w:ascii="Palatino Linotype" w:eastAsia="Palatino Linotype" w:hAnsi="Palatino Linotype" w:cs="Palatino Linotype"/>
          <w:i/>
          <w:color w:val="000000"/>
        </w:rPr>
        <w:t>, a fin de formar parte del expediente correspondiente, ergo, que queden inscritos en el Registro Estatal de Transporte Público…</w:t>
      </w:r>
    </w:p>
    <w:p w14:paraId="491609BD" w14:textId="033D1CEE" w:rsidR="00A2080B" w:rsidRPr="00B13545" w:rsidRDefault="00A8172E" w:rsidP="00530FC5">
      <w:pPr>
        <w:pStyle w:val="Prrafodelista"/>
        <w:spacing w:line="360" w:lineRule="auto"/>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i/>
          <w:color w:val="000000"/>
        </w:rPr>
        <w:t xml:space="preserve">En marco de lo anterior, es indispensable resaltar que, </w:t>
      </w:r>
      <w:r w:rsidR="00A2080B" w:rsidRPr="00B13545">
        <w:rPr>
          <w:rFonts w:ascii="Palatino Linotype" w:eastAsia="Palatino Linotype" w:hAnsi="Palatino Linotype" w:cs="Palatino Linotype"/>
          <w:i/>
          <w:color w:val="000000"/>
        </w:rPr>
        <w:t xml:space="preserve">en la respuesta de forma textual, se señaló la imposibilidad para proporcionar como Sujeto Obligado la información solicitada, en sustento que se realizó la búsqueda correspondiente en los archivos digitales del Registro Estatal de Transporte Público, de matrículas emitidas en la modalidad de ecotaxi, sin encontrar antecedente alguno, en ese sentido, es evidente que la búsqueda exhaustiva y razonable efectuada satisface el derecho de acceso a la información, …” </w:t>
      </w:r>
      <w:r w:rsidR="00A2080B" w:rsidRPr="00B13545">
        <w:rPr>
          <w:rFonts w:ascii="Palatino Linotype" w:eastAsia="Palatino Linotype" w:hAnsi="Palatino Linotype" w:cs="Palatino Linotype"/>
          <w:color w:val="000000"/>
        </w:rPr>
        <w:t>(Sic)</w:t>
      </w:r>
    </w:p>
    <w:p w14:paraId="4833A9A5" w14:textId="72B87572" w:rsidR="00C512BA" w:rsidRPr="00B13545" w:rsidRDefault="00C512BA" w:rsidP="00ED71EA">
      <w:pPr>
        <w:pStyle w:val="Prrafodelista"/>
        <w:numPr>
          <w:ilvl w:val="0"/>
          <w:numId w:val="11"/>
        </w:numPr>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b/>
          <w:color w:val="000000"/>
        </w:rPr>
        <w:t>OFICIO DGAJ.pdf</w:t>
      </w:r>
      <w:r w:rsidRPr="00B13545">
        <w:rPr>
          <w:rFonts w:ascii="Palatino Linotype" w:eastAsia="Palatino Linotype" w:hAnsi="Palatino Linotype" w:cs="Palatino Linotype"/>
          <w:color w:val="000000"/>
        </w:rPr>
        <w:t>: Oficio</w:t>
      </w:r>
      <w:r w:rsidR="00C40675" w:rsidRPr="00B13545">
        <w:rPr>
          <w:rFonts w:ascii="Palatino Linotype" w:eastAsia="Palatino Linotype" w:hAnsi="Palatino Linotype" w:cs="Palatino Linotype"/>
          <w:color w:val="000000"/>
        </w:rPr>
        <w:t xml:space="preserve"> 22000006000000L/0560/2024, de fecha dos de mayo de dos mil veinticuatro, suscrito por el Coordinador Jurídico, de Igualdad de Género y Erradicación de la Violencia, por el cual presentó su informe justificado</w:t>
      </w:r>
      <w:r w:rsidR="0011535B" w:rsidRPr="00B13545">
        <w:rPr>
          <w:rFonts w:ascii="Palatino Linotype" w:eastAsia="Palatino Linotype" w:hAnsi="Palatino Linotype" w:cs="Palatino Linotype"/>
          <w:color w:val="000000"/>
        </w:rPr>
        <w:t>, por el cual ratificó su respuesta primigenia.</w:t>
      </w:r>
    </w:p>
    <w:p w14:paraId="538A7705" w14:textId="6D15585D" w:rsidR="00C512BA" w:rsidRPr="00B13545" w:rsidRDefault="00C512BA" w:rsidP="00ED71EA">
      <w:pPr>
        <w:pStyle w:val="Prrafodelista"/>
        <w:numPr>
          <w:ilvl w:val="0"/>
          <w:numId w:val="11"/>
        </w:numPr>
        <w:spacing w:line="360" w:lineRule="auto"/>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b/>
          <w:color w:val="000000"/>
        </w:rPr>
        <w:t>Informe Justificado</w:t>
      </w:r>
      <w:r w:rsidRPr="00B13545">
        <w:rPr>
          <w:rFonts w:ascii="Palatino Linotype" w:eastAsia="Palatino Linotype" w:hAnsi="Palatino Linotype" w:cs="Palatino Linotype"/>
          <w:i/>
          <w:color w:val="000000"/>
        </w:rPr>
        <w:t xml:space="preserve"> </w:t>
      </w:r>
      <w:r w:rsidRPr="00B13545">
        <w:rPr>
          <w:rFonts w:ascii="Palatino Linotype" w:eastAsia="Palatino Linotype" w:hAnsi="Palatino Linotype" w:cs="Palatino Linotype"/>
          <w:b/>
          <w:color w:val="000000"/>
        </w:rPr>
        <w:t xml:space="preserve">2258 1.docx.pdf: </w:t>
      </w:r>
      <w:r w:rsidRPr="00B13545">
        <w:rPr>
          <w:rFonts w:ascii="Palatino Linotype" w:eastAsia="Palatino Linotype" w:hAnsi="Palatino Linotype" w:cs="Palatino Linotype"/>
          <w:color w:val="000000"/>
        </w:rPr>
        <w:t>Oficio</w:t>
      </w:r>
      <w:r w:rsidR="00734D2E" w:rsidRPr="00B13545">
        <w:rPr>
          <w:rFonts w:ascii="Palatino Linotype" w:eastAsia="Palatino Linotype" w:hAnsi="Palatino Linotype" w:cs="Palatino Linotype"/>
          <w:color w:val="000000"/>
        </w:rPr>
        <w:t xml:space="preserve"> CCT/UT/0482/2024, de fecha nueve de mayo de dos mil veinticuatro, suscrito por el Titular de la Unidad de Transparencia y Coordinador Técnico, por medio del cual </w:t>
      </w:r>
      <w:r w:rsidR="00260CD4" w:rsidRPr="00B13545">
        <w:rPr>
          <w:rFonts w:ascii="Palatino Linotype" w:eastAsia="Palatino Linotype" w:hAnsi="Palatino Linotype" w:cs="Palatino Linotype"/>
          <w:color w:val="000000"/>
        </w:rPr>
        <w:t xml:space="preserve">confirma su respuesta primigenia. </w:t>
      </w:r>
    </w:p>
    <w:p w14:paraId="3F51B65F" w14:textId="77777777" w:rsidR="00C512BA" w:rsidRPr="00B13545" w:rsidRDefault="00C512BA" w:rsidP="00260CD4">
      <w:pPr>
        <w:spacing w:line="360" w:lineRule="auto"/>
        <w:jc w:val="both"/>
        <w:rPr>
          <w:rFonts w:ascii="Palatino Linotype" w:eastAsia="Palatino Linotype" w:hAnsi="Palatino Linotype" w:cs="Palatino Linotype"/>
          <w:i/>
          <w:color w:val="000000"/>
        </w:rPr>
      </w:pPr>
    </w:p>
    <w:p w14:paraId="68576144" w14:textId="77777777" w:rsidR="00A13403" w:rsidRPr="00B13545" w:rsidRDefault="00A13403" w:rsidP="004F71FD">
      <w:pPr>
        <w:pStyle w:val="Prrafodelista"/>
        <w:numPr>
          <w:ilvl w:val="0"/>
          <w:numId w:val="7"/>
        </w:numPr>
        <w:tabs>
          <w:tab w:val="left" w:pos="0"/>
        </w:tabs>
        <w:spacing w:line="360" w:lineRule="auto"/>
        <w:ind w:left="709" w:right="49"/>
        <w:jc w:val="both"/>
        <w:rPr>
          <w:rFonts w:ascii="Palatino Linotype" w:hAnsi="Palatino Linotype" w:cs="Arial"/>
          <w:i/>
          <w:color w:val="000000" w:themeColor="text1"/>
          <w:u w:val="single"/>
        </w:rPr>
      </w:pPr>
      <w:r w:rsidRPr="00B13545">
        <w:rPr>
          <w:rFonts w:ascii="Palatino Linotype" w:hAnsi="Palatino Linotype"/>
          <w:b/>
          <w:u w:val="single"/>
        </w:rPr>
        <w:t>Ampliación para resolver y cierre de instrucción.</w:t>
      </w:r>
    </w:p>
    <w:p w14:paraId="107C9375" w14:textId="77777777" w:rsidR="00085838" w:rsidRPr="00B13545"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3545">
        <w:rPr>
          <w:rFonts w:ascii="Palatino Linotype" w:eastAsia="Palatino Linotype" w:hAnsi="Palatino Linotype" w:cs="Palatino Linotype"/>
          <w:color w:val="000000"/>
        </w:rPr>
        <w:t xml:space="preserve">Este organismo garante no pasa por alto justificar, que la dilación en la resolución del presente asunto encuentra justificación en el alto número de recursos de revisión recibidos, circunstancia atípica que ha rebasado las capacidades técnicas y </w:t>
      </w:r>
      <w:r w:rsidRPr="00B13545">
        <w:rPr>
          <w:rFonts w:ascii="Palatino Linotype" w:eastAsia="Palatino Linotype" w:hAnsi="Palatino Linotype" w:cs="Palatino Linotype"/>
          <w:color w:val="000000"/>
        </w:rPr>
        <w:lastRenderedPageBreak/>
        <w:t>humanas del personal encargado de la proyección de las resoluciones a dichos medios de impugnación.</w:t>
      </w:r>
    </w:p>
    <w:p w14:paraId="55C6A1D1" w14:textId="77777777" w:rsidR="00005992" w:rsidRPr="00B13545" w:rsidRDefault="00005992" w:rsidP="0000599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0877522C" w14:textId="03C44A4B" w:rsidR="00085838" w:rsidRPr="00B13545"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3545">
        <w:rPr>
          <w:rFonts w:ascii="Palatino Linotype" w:eastAsia="Palatino Linotype" w:hAnsi="Palatino Linotype" w:cs="Palatino Linotype"/>
          <w:color w:val="000000"/>
        </w:rPr>
        <w:t>Por ello, es menester precisar que</w:t>
      </w:r>
      <w:r w:rsidR="00234569" w:rsidRPr="00B13545">
        <w:rPr>
          <w:rFonts w:ascii="Palatino Linotype" w:eastAsia="Palatino Linotype" w:hAnsi="Palatino Linotype" w:cs="Palatino Linotype"/>
          <w:color w:val="000000"/>
        </w:rPr>
        <w:t>,</w:t>
      </w:r>
      <w:r w:rsidRPr="00B13545">
        <w:rPr>
          <w:rFonts w:ascii="Palatino Linotype" w:eastAsia="Palatino Linotype" w:hAnsi="Palatino Linotype" w:cs="Palatino Linotype"/>
          <w:color w:val="000000"/>
        </w:rPr>
        <w:t xml:space="preserve"> si bien se ha excedido el plazo para resolver el presente medio de impugnación, de conformidad con la ley de la materia, dicha dilación es de carácter excepcional y se encuentra justificada en los elementos para medir la razonabilidad del plazo de resolución de asuntos conforme a los parámetros establecidos por diversos órganos jurisdiccionales federales, aplicables también en procedimientos análogos, como el que nos ocupa.</w:t>
      </w:r>
    </w:p>
    <w:p w14:paraId="56C9ED53" w14:textId="77777777" w:rsidR="007820AD" w:rsidRPr="00B13545" w:rsidRDefault="007820AD" w:rsidP="007820AD">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37E3F3E7" w14:textId="1C62C982" w:rsidR="00085838" w:rsidRPr="00B13545"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3545">
        <w:rPr>
          <w:rFonts w:ascii="Palatino Linotype" w:eastAsia="Palatino Linotype" w:hAnsi="Palatino Linotype" w:cs="Palatino Linotype"/>
          <w:color w:val="000000"/>
        </w:rPr>
        <w:t>Así, en términos de lo que establecen los artículos 8.1 y 25</w:t>
      </w:r>
      <w:r w:rsidR="00234569" w:rsidRPr="00B13545">
        <w:rPr>
          <w:rFonts w:ascii="Palatino Linotype" w:eastAsia="Palatino Linotype" w:hAnsi="Palatino Linotype" w:cs="Palatino Linotype"/>
          <w:color w:val="000000"/>
        </w:rPr>
        <w:t>,</w:t>
      </w:r>
      <w:r w:rsidRPr="00B13545">
        <w:rPr>
          <w:rFonts w:ascii="Palatino Linotype" w:eastAsia="Palatino Linotype" w:hAnsi="Palatino Linotype" w:cs="Palatino Linotype"/>
          <w:color w:val="000000"/>
        </w:rPr>
        <w:t xml:space="preserve"> de la Convención Americana sobre Derechos Humanos, los recursos deben ser sencillos y resolverse en el menor tiempo posible, tomando en consideración la dilación total del procedimiento; esto es, en un plazo razonable.</w:t>
      </w:r>
    </w:p>
    <w:p w14:paraId="3F10C80C" w14:textId="77777777" w:rsidR="00085838" w:rsidRPr="00B13545" w:rsidRDefault="00085838" w:rsidP="0005422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01D75A1E" w14:textId="77777777" w:rsidR="00085838" w:rsidRPr="00B13545"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3545">
        <w:rPr>
          <w:rFonts w:ascii="Palatino Linotype" w:eastAsia="Palatino Linotype" w:hAnsi="Palatino Linotype" w:cs="Palatino Linotype"/>
          <w:color w:val="000000"/>
        </w:rPr>
        <w:t xml:space="preserve">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 </w:t>
      </w:r>
    </w:p>
    <w:p w14:paraId="3DA8D7A3" w14:textId="77777777" w:rsidR="00085838" w:rsidRPr="00B13545" w:rsidRDefault="00085838" w:rsidP="0005422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1655E8A" w14:textId="77777777" w:rsidR="00085838" w:rsidRPr="00B13545"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3545">
        <w:rPr>
          <w:rFonts w:ascii="Palatino Linotype" w:eastAsia="Palatino Linotype" w:hAnsi="Palatino Linotype" w:cs="Palatino Linotype"/>
          <w:color w:val="000000"/>
        </w:rPr>
        <w:t xml:space="preserve">Por ello, excepcionalmente, si un asunto es resuelto con posterioridad a los plazos señalados por la norma debe analizarse la razonabilidad de dicha dilación atendiendo a los siguientes criterios:   </w:t>
      </w:r>
    </w:p>
    <w:p w14:paraId="0AC9E74E" w14:textId="77777777" w:rsidR="00085838" w:rsidRPr="00B13545"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rPr>
      </w:pPr>
      <w:r w:rsidRPr="00B13545">
        <w:rPr>
          <w:rFonts w:ascii="Palatino Linotype" w:eastAsia="Palatino Linotype" w:hAnsi="Palatino Linotype" w:cs="Palatino Linotype"/>
          <w:color w:val="000000"/>
        </w:rPr>
        <w:lastRenderedPageBreak/>
        <w:t xml:space="preserve">Complejidad del </w:t>
      </w:r>
      <w:r w:rsidRPr="00B13545">
        <w:rPr>
          <w:rFonts w:ascii="Palatino Linotype" w:eastAsia="Palatino Linotype" w:hAnsi="Palatino Linotype" w:cs="Palatino Linotype"/>
        </w:rPr>
        <w:t>asunto</w:t>
      </w:r>
      <w:r w:rsidRPr="00B13545">
        <w:rPr>
          <w:rFonts w:ascii="Palatino Linotype" w:eastAsia="Palatino Linotype" w:hAnsi="Palatino Linotype" w:cs="Palatino Linotype"/>
          <w:color w:val="000000"/>
        </w:rPr>
        <w:t xml:space="preserve">: La complejidad de la prueba, la pluralidad de sujetos procesales, el tiempo transcurrido, las características y contexto del recurso. </w:t>
      </w:r>
    </w:p>
    <w:p w14:paraId="7EBB58D9" w14:textId="77777777" w:rsidR="00085838" w:rsidRPr="00B13545"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Actividad Procesal del interesado. Acciones u omisiones del interesado.</w:t>
      </w:r>
    </w:p>
    <w:p w14:paraId="744C81E7" w14:textId="77777777" w:rsidR="00085838" w:rsidRPr="00B13545"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Conducta de la Autoridad: Las Acciones u omisiones realizadas en el procedimiento. Así como si la autoridad actuó con la debida diligencia.</w:t>
      </w:r>
    </w:p>
    <w:p w14:paraId="36206B89" w14:textId="77777777" w:rsidR="00085838" w:rsidRPr="00B13545" w:rsidRDefault="00085838" w:rsidP="004F71FD">
      <w:pPr>
        <w:numPr>
          <w:ilvl w:val="0"/>
          <w:numId w:val="1"/>
        </w:num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La afectación generada en la situación jurídica de la persona involucrada en el proceso: Violación a sus derechos humanos.</w:t>
      </w:r>
    </w:p>
    <w:p w14:paraId="14CA40E9" w14:textId="77777777" w:rsidR="00085838" w:rsidRPr="00B13545" w:rsidRDefault="00085838" w:rsidP="00054226">
      <w:pPr>
        <w:pBdr>
          <w:top w:val="nil"/>
          <w:left w:val="nil"/>
          <w:bottom w:val="nil"/>
          <w:right w:val="nil"/>
          <w:between w:val="nil"/>
        </w:pBdr>
        <w:spacing w:line="360" w:lineRule="auto"/>
        <w:ind w:left="992"/>
        <w:jc w:val="both"/>
        <w:rPr>
          <w:rFonts w:ascii="Palatino Linotype" w:eastAsia="Palatino Linotype" w:hAnsi="Palatino Linotype" w:cs="Palatino Linotype"/>
          <w:color w:val="000000"/>
        </w:rPr>
      </w:pPr>
    </w:p>
    <w:p w14:paraId="2E28F1D4" w14:textId="77777777" w:rsidR="00085838" w:rsidRPr="00B13545"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3545">
        <w:rPr>
          <w:rFonts w:ascii="Palatino Linotype" w:eastAsia="Palatino Linotype" w:hAnsi="Palatino Linotype" w:cs="Palatino Linotype"/>
          <w:color w:val="000000"/>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73D21AEB" w14:textId="77777777" w:rsidR="00085838" w:rsidRPr="00B13545" w:rsidRDefault="00085838" w:rsidP="00054226">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5E5F9F75" w14:textId="77777777" w:rsidR="00085838" w:rsidRPr="00B13545" w:rsidRDefault="00085838" w:rsidP="004F71FD">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b/>
          <w:color w:val="000000"/>
        </w:rPr>
      </w:pPr>
      <w:r w:rsidRPr="00B13545">
        <w:rPr>
          <w:rFonts w:ascii="Palatino Linotype" w:eastAsia="Palatino Linotype" w:hAnsi="Palatino Linotype" w:cs="Palatino Linotype"/>
          <w:color w:val="000000"/>
        </w:rPr>
        <w:t xml:space="preserve">Argumento que encuentra sustento en la jurisprudencia P./J. 32/92 emitida por el Pleno de la Suprema Corte de Justicia de la Nación </w:t>
      </w:r>
      <w:r w:rsidRPr="00B13545">
        <w:rPr>
          <w:rFonts w:ascii="Palatino Linotype" w:eastAsia="Palatino Linotype" w:hAnsi="Palatino Linotype" w:cs="Palatino Linotype"/>
        </w:rPr>
        <w:t>del rubro</w:t>
      </w:r>
      <w:r w:rsidRPr="00B13545">
        <w:rPr>
          <w:rFonts w:ascii="Palatino Linotype" w:eastAsia="Palatino Linotype" w:hAnsi="Palatino Linotype" w:cs="Palatino Linotype"/>
          <w:color w:val="000000"/>
        </w:rPr>
        <w:t xml:space="preserve"> </w:t>
      </w:r>
      <w:r w:rsidRPr="00B13545">
        <w:rPr>
          <w:rFonts w:ascii="Palatino Linotype" w:eastAsia="Palatino Linotype" w:hAnsi="Palatino Linotype" w:cs="Palatino Linotype"/>
          <w:i/>
          <w:color w:val="000000"/>
          <w:sz w:val="22"/>
          <w:szCs w:val="22"/>
        </w:rPr>
        <w:t>“TÉRMINOS PROCESALES. PARA DETERMINAR SI UN FUNCIONARIO JUDICIAL ACTUÓ INDEBIDAMENTE POR NO RESPETARLOS SE DEBE ATENDER AL PRESUPUESTO QUE CONSIDERÓ EL LEGISLADOR AL FIJARLOS Y LAS CARACTERÍSTICAS DEL CASO.”</w:t>
      </w:r>
      <w:r w:rsidRPr="00B13545">
        <w:rPr>
          <w:rFonts w:ascii="Palatino Linotype" w:eastAsia="Palatino Linotype" w:hAnsi="Palatino Linotype" w:cs="Palatino Linotype"/>
          <w:color w:val="000000"/>
        </w:rPr>
        <w:t xml:space="preserve">, visible en la Gaceta del </w:t>
      </w:r>
      <w:r w:rsidRPr="00B13545">
        <w:rPr>
          <w:rFonts w:ascii="Palatino Linotype" w:eastAsia="Palatino Linotype" w:hAnsi="Palatino Linotype" w:cs="Palatino Linotype"/>
        </w:rPr>
        <w:t>Semanario</w:t>
      </w:r>
      <w:r w:rsidRPr="00B13545">
        <w:rPr>
          <w:rFonts w:ascii="Palatino Linotype" w:eastAsia="Palatino Linotype" w:hAnsi="Palatino Linotype" w:cs="Palatino Linotype"/>
          <w:color w:val="000000"/>
        </w:rPr>
        <w:t xml:space="preserve"> Judicial de la Federación con el registro digital 205635.</w:t>
      </w:r>
    </w:p>
    <w:p w14:paraId="403ABFB1" w14:textId="77777777" w:rsidR="00005992" w:rsidRPr="00B13545" w:rsidRDefault="00005992" w:rsidP="00005992">
      <w:pPr>
        <w:pBdr>
          <w:top w:val="nil"/>
          <w:left w:val="nil"/>
          <w:bottom w:val="nil"/>
          <w:right w:val="nil"/>
          <w:between w:val="nil"/>
        </w:pBdr>
        <w:spacing w:line="360" w:lineRule="auto"/>
        <w:jc w:val="both"/>
        <w:rPr>
          <w:rFonts w:ascii="Palatino Linotype" w:eastAsia="Palatino Linotype" w:hAnsi="Palatino Linotype" w:cs="Palatino Linotype"/>
          <w:b/>
          <w:color w:val="000000"/>
        </w:rPr>
      </w:pPr>
    </w:p>
    <w:p w14:paraId="7A3A1D3D" w14:textId="36CBC59C" w:rsidR="009578F4" w:rsidRPr="00B13545" w:rsidRDefault="009578F4" w:rsidP="004F71FD">
      <w:pPr>
        <w:numPr>
          <w:ilvl w:val="0"/>
          <w:numId w:val="2"/>
        </w:numPr>
        <w:spacing w:line="360" w:lineRule="auto"/>
        <w:ind w:left="0" w:firstLine="0"/>
        <w:jc w:val="both"/>
        <w:rPr>
          <w:rFonts w:ascii="Palatino Linotype" w:eastAsia="Palatino Linotype" w:hAnsi="Palatino Linotype" w:cs="Palatino Linotype"/>
          <w:b/>
        </w:rPr>
      </w:pPr>
      <w:r w:rsidRPr="00B13545">
        <w:rPr>
          <w:rFonts w:ascii="Palatino Linotype" w:eastAsia="Palatino Linotype" w:hAnsi="Palatino Linotype" w:cs="Palatino Linotype"/>
        </w:rPr>
        <w:lastRenderedPageBreak/>
        <w:t xml:space="preserve">En fecha </w:t>
      </w:r>
      <w:r w:rsidR="00005992" w:rsidRPr="00B13545">
        <w:rPr>
          <w:rFonts w:ascii="Palatino Linotype" w:eastAsia="Palatino Linotype" w:hAnsi="Palatino Linotype" w:cs="Palatino Linotype"/>
          <w:b/>
        </w:rPr>
        <w:t>once de junio</w:t>
      </w:r>
      <w:r w:rsidRPr="00B13545">
        <w:rPr>
          <w:rFonts w:ascii="Palatino Linotype" w:eastAsia="Palatino Linotype" w:hAnsi="Palatino Linotype" w:cs="Palatino Linotype"/>
          <w:b/>
        </w:rPr>
        <w:t xml:space="preserve"> de dos mil veinticuatro, </w:t>
      </w:r>
      <w:r w:rsidRPr="00B13545">
        <w:rPr>
          <w:rFonts w:ascii="Palatino Linotype" w:eastAsia="Palatino Linotype" w:hAnsi="Palatino Linotype" w:cs="Palatino Linotype"/>
        </w:rPr>
        <w:t>se notificó el acuerdo de ampliación de plazo.</w:t>
      </w:r>
    </w:p>
    <w:p w14:paraId="2280AB91" w14:textId="77777777" w:rsidR="009578F4" w:rsidRPr="00B13545" w:rsidRDefault="009578F4" w:rsidP="009578F4">
      <w:pPr>
        <w:pStyle w:val="Prrafodelista"/>
        <w:rPr>
          <w:rFonts w:ascii="Palatino Linotype" w:eastAsia="Palatino Linotype" w:hAnsi="Palatino Linotype" w:cs="Palatino Linotype"/>
        </w:rPr>
      </w:pPr>
    </w:p>
    <w:p w14:paraId="415EEFA8" w14:textId="7E08101C" w:rsidR="008064D0" w:rsidRPr="00B13545" w:rsidRDefault="00DE2DE1" w:rsidP="004F71FD">
      <w:pPr>
        <w:numPr>
          <w:ilvl w:val="0"/>
          <w:numId w:val="2"/>
        </w:numPr>
        <w:spacing w:line="360" w:lineRule="auto"/>
        <w:ind w:left="0" w:firstLine="0"/>
        <w:jc w:val="both"/>
        <w:rPr>
          <w:rFonts w:ascii="Palatino Linotype" w:eastAsia="Palatino Linotype" w:hAnsi="Palatino Linotype" w:cs="Palatino Linotype"/>
          <w:b/>
        </w:rPr>
      </w:pPr>
      <w:r w:rsidRPr="00B13545">
        <w:rPr>
          <w:rFonts w:ascii="Palatino Linotype" w:eastAsia="Palatino Linotype" w:hAnsi="Palatino Linotype" w:cs="Palatino Linotype"/>
        </w:rPr>
        <w:t xml:space="preserve">Seguidamente, en fecha </w:t>
      </w:r>
      <w:r w:rsidR="00353139" w:rsidRPr="00B13545">
        <w:rPr>
          <w:rFonts w:ascii="Palatino Linotype" w:eastAsia="Palatino Linotype" w:hAnsi="Palatino Linotype" w:cs="Palatino Linotype"/>
          <w:b/>
        </w:rPr>
        <w:t>veinte</w:t>
      </w:r>
      <w:r w:rsidR="00B652C0" w:rsidRPr="00B13545">
        <w:rPr>
          <w:rFonts w:ascii="Palatino Linotype" w:eastAsia="Palatino Linotype" w:hAnsi="Palatino Linotype" w:cs="Palatino Linotype"/>
          <w:b/>
        </w:rPr>
        <w:t xml:space="preserve"> de </w:t>
      </w:r>
      <w:r w:rsidR="00005992" w:rsidRPr="00B13545">
        <w:rPr>
          <w:rFonts w:ascii="Palatino Linotype" w:eastAsia="Palatino Linotype" w:hAnsi="Palatino Linotype" w:cs="Palatino Linotype"/>
          <w:b/>
        </w:rPr>
        <w:t>diciembre</w:t>
      </w:r>
      <w:r w:rsidR="00A13403" w:rsidRPr="00B13545">
        <w:rPr>
          <w:rFonts w:ascii="Palatino Linotype" w:eastAsia="Palatino Linotype" w:hAnsi="Palatino Linotype" w:cs="Palatino Linotype"/>
          <w:b/>
        </w:rPr>
        <w:t xml:space="preserve"> de dos mil veinticuatro</w:t>
      </w:r>
      <w:r w:rsidR="00A13403"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rPr>
        <w:t>la Comisionada Ponente dictó el cierre del periodo de instrucción y, ordenó la resolución que conforme a Derecho proceda, de acuerdo a las siguientes:</w:t>
      </w:r>
      <w:bookmarkStart w:id="10" w:name="_heading=h.1fob9te" w:colFirst="0" w:colLast="0"/>
      <w:bookmarkEnd w:id="10"/>
      <w:r w:rsidRPr="00B13545">
        <w:rPr>
          <w:rFonts w:ascii="Palatino Linotype" w:eastAsia="Palatino Linotype" w:hAnsi="Palatino Linotype" w:cs="Palatino Linotype"/>
          <w:b/>
        </w:rPr>
        <w:t xml:space="preserve"> </w:t>
      </w:r>
    </w:p>
    <w:p w14:paraId="170070BE" w14:textId="77777777" w:rsidR="00DE2DE1" w:rsidRPr="00B13545" w:rsidRDefault="00DE2DE1" w:rsidP="00DE2DE1">
      <w:pPr>
        <w:pStyle w:val="Prrafodelista"/>
        <w:rPr>
          <w:rFonts w:ascii="Palatino Linotype" w:eastAsia="Palatino Linotype" w:hAnsi="Palatino Linotype" w:cs="Palatino Linotype"/>
          <w:b/>
        </w:rPr>
      </w:pPr>
    </w:p>
    <w:p w14:paraId="6D71D6DD" w14:textId="77777777" w:rsidR="00963F99" w:rsidRPr="00B13545" w:rsidRDefault="00963F99" w:rsidP="00963F99">
      <w:pPr>
        <w:pStyle w:val="Prrafodelista"/>
        <w:spacing w:line="360" w:lineRule="auto"/>
        <w:ind w:left="0"/>
        <w:jc w:val="center"/>
        <w:rPr>
          <w:rFonts w:ascii="Palatino Linotype" w:hAnsi="Palatino Linotype"/>
          <w:b/>
          <w:color w:val="000000" w:themeColor="text1"/>
        </w:rPr>
      </w:pPr>
      <w:r w:rsidRPr="00B13545">
        <w:rPr>
          <w:rFonts w:ascii="Palatino Linotype" w:hAnsi="Palatino Linotype"/>
          <w:b/>
          <w:color w:val="000000" w:themeColor="text1"/>
        </w:rPr>
        <w:t>C O N S I D E R A C I O N E S</w:t>
      </w:r>
    </w:p>
    <w:p w14:paraId="56625FC2" w14:textId="77777777" w:rsidR="00DE2DE1" w:rsidRPr="00B13545" w:rsidRDefault="00DE2DE1" w:rsidP="00DE2DE1">
      <w:pPr>
        <w:spacing w:line="360" w:lineRule="auto"/>
        <w:jc w:val="both"/>
        <w:rPr>
          <w:rFonts w:ascii="Palatino Linotype" w:eastAsia="Palatino Linotype" w:hAnsi="Palatino Linotype" w:cs="Palatino Linotype"/>
          <w:b/>
        </w:rPr>
      </w:pPr>
    </w:p>
    <w:p w14:paraId="086F403B" w14:textId="77777777" w:rsidR="00963F99" w:rsidRPr="00B13545" w:rsidRDefault="00963F99" w:rsidP="00963F99">
      <w:pPr>
        <w:pStyle w:val="Ttulo2"/>
        <w:spacing w:before="0" w:line="360" w:lineRule="auto"/>
        <w:rPr>
          <w:rFonts w:ascii="Palatino Linotype" w:hAnsi="Palatino Linotype"/>
          <w:b/>
          <w:color w:val="auto"/>
          <w:sz w:val="24"/>
          <w:szCs w:val="24"/>
        </w:rPr>
      </w:pPr>
      <w:bookmarkStart w:id="11" w:name="_Toc491791303"/>
      <w:bookmarkStart w:id="12" w:name="_Toc83128579"/>
      <w:r w:rsidRPr="00B13545">
        <w:rPr>
          <w:rFonts w:ascii="Palatino Linotype" w:hAnsi="Palatino Linotype"/>
          <w:b/>
          <w:color w:val="auto"/>
          <w:sz w:val="24"/>
          <w:szCs w:val="24"/>
        </w:rPr>
        <w:t>PRIMERA. Competencia</w:t>
      </w:r>
      <w:bookmarkEnd w:id="11"/>
      <w:bookmarkEnd w:id="12"/>
    </w:p>
    <w:p w14:paraId="2EFFCC69" w14:textId="7AC1364D" w:rsidR="00963F99" w:rsidRPr="00B13545" w:rsidRDefault="00963F99" w:rsidP="00E41F26">
      <w:pPr>
        <w:pStyle w:val="Prrafodelista"/>
        <w:numPr>
          <w:ilvl w:val="0"/>
          <w:numId w:val="2"/>
        </w:numPr>
        <w:spacing w:line="360" w:lineRule="auto"/>
        <w:ind w:left="0" w:firstLine="0"/>
        <w:jc w:val="both"/>
        <w:rPr>
          <w:rFonts w:ascii="Palatino Linotype" w:hAnsi="Palatino Linotype" w:cs="Tahoma"/>
        </w:rPr>
      </w:pPr>
      <w:r w:rsidRPr="00B13545">
        <w:rPr>
          <w:rFonts w:ascii="Palatino Linotype" w:hAnsi="Palatino Linotype" w:cs="Tahoma"/>
        </w:rPr>
        <w:t xml:space="preserve">El Instituto de Transparencia, Acceso a la Información Pública y Protección de Datos Personales del </w:t>
      </w:r>
      <w:r w:rsidRPr="00B13545">
        <w:rPr>
          <w:rFonts w:ascii="Palatino Linotype" w:hAnsi="Palatino Linotype"/>
        </w:rPr>
        <w:t>Estado</w:t>
      </w:r>
      <w:r w:rsidRPr="00B13545">
        <w:rPr>
          <w:rFonts w:ascii="Palatino Linotype" w:hAnsi="Palatino Linotype" w:cs="Tahoma"/>
        </w:rPr>
        <w:t xml:space="preserve"> de México y Municipios, es competente para conocer y resolver el presente recurso de revisión interpuesto por la parte recurrente, conforme a lo dispuesto en los artículos 6°, apartado A, de la Constitución Política de los Estados Unidos Mexicanos; 5°, párrafos trigésimo segundo, trigésimo tercero y trigésimo cuarto, fracciones I, II, III, IV y V de la Constitución Política del Estado Libre y Soberano de México; 1°, 8°, 9°, 10, 37 y 42, fracciones I, II y III, de la Ley General de Transparencia y Acceso a la Información Pública; 1°, 2°, fracciones II y IV; 13, 29, 36, fracciones I y II; 176, 178, 179, 181 párrafo tercero, 185, 188 y 189 de la Ley Transparencia y Acceso a la Información Pública del Estado de México y Municipios; 7°, 9°, fracciones I y XXIII, y 11 del Reglamento Interior del Instituto de Transparencia, Acceso a la Información Pública y Protección de Datos Personales del Estado de México y Municipios.</w:t>
      </w:r>
    </w:p>
    <w:p w14:paraId="26519BBB" w14:textId="77777777" w:rsidR="00963F99" w:rsidRPr="00B13545" w:rsidRDefault="00963F99" w:rsidP="00963F99">
      <w:pPr>
        <w:pStyle w:val="Prrafodelista"/>
        <w:spacing w:line="360" w:lineRule="auto"/>
        <w:ind w:left="0"/>
        <w:jc w:val="both"/>
        <w:rPr>
          <w:rFonts w:ascii="Palatino Linotype" w:hAnsi="Palatino Linotype" w:cs="Tahoma"/>
        </w:rPr>
      </w:pPr>
    </w:p>
    <w:p w14:paraId="23D028A1" w14:textId="77777777" w:rsidR="00963F99" w:rsidRPr="00B13545" w:rsidRDefault="00963F99" w:rsidP="00963F99">
      <w:pPr>
        <w:pStyle w:val="Ttulo2"/>
        <w:spacing w:before="0" w:line="360" w:lineRule="auto"/>
        <w:rPr>
          <w:rFonts w:ascii="Palatino Linotype" w:hAnsi="Palatino Linotype"/>
          <w:b/>
          <w:color w:val="auto"/>
          <w:sz w:val="24"/>
          <w:szCs w:val="24"/>
        </w:rPr>
      </w:pPr>
      <w:bookmarkStart w:id="13" w:name="_Toc491791304"/>
      <w:bookmarkStart w:id="14" w:name="_Toc83128580"/>
      <w:r w:rsidRPr="00B13545">
        <w:rPr>
          <w:rFonts w:ascii="Palatino Linotype" w:hAnsi="Palatino Linotype"/>
          <w:b/>
          <w:color w:val="auto"/>
          <w:sz w:val="24"/>
          <w:szCs w:val="24"/>
        </w:rPr>
        <w:lastRenderedPageBreak/>
        <w:t>SEGUNDA. Procedencia.</w:t>
      </w:r>
      <w:bookmarkEnd w:id="13"/>
      <w:bookmarkEnd w:id="14"/>
    </w:p>
    <w:p w14:paraId="03B37E36" w14:textId="77777777" w:rsidR="00963F99" w:rsidRPr="00B13545" w:rsidRDefault="00963F99" w:rsidP="00E41F26">
      <w:pPr>
        <w:numPr>
          <w:ilvl w:val="0"/>
          <w:numId w:val="2"/>
        </w:numPr>
        <w:spacing w:line="360" w:lineRule="auto"/>
        <w:ind w:left="0" w:firstLine="0"/>
        <w:contextualSpacing/>
        <w:jc w:val="both"/>
        <w:rPr>
          <w:rFonts w:ascii="Palatino Linotype" w:hAnsi="Palatino Linotype"/>
        </w:rPr>
      </w:pPr>
      <w:r w:rsidRPr="00B13545">
        <w:rPr>
          <w:rFonts w:ascii="Palatino Linotype" w:eastAsia="Calibri" w:hAnsi="Palatino Linotype" w:cs="Arial"/>
        </w:rPr>
        <w:t xml:space="preserve">Este Órgano Garante considera que el medio de impugnación reúne los requisitos de procedencia </w:t>
      </w:r>
      <w:r w:rsidRPr="00B13545">
        <w:rPr>
          <w:rFonts w:ascii="Palatino Linotype" w:eastAsia="Calibri" w:hAnsi="Palatino Linotype" w:cs="Tahoma"/>
          <w:color w:val="000000"/>
        </w:rPr>
        <w:t>toda vez que: el recurso fue presentado dentro del plazo establecido en el artículo 178 de la Ley de Transparencia y Acceso a la Información Pública del Estado de México y Municipios; asimismo no se tiene conocimiento de que se encuentre en trámite algún medio de defensa presentado por el Recurrente ante otra instancia.</w:t>
      </w:r>
    </w:p>
    <w:p w14:paraId="70A36FC0" w14:textId="77777777" w:rsidR="007820AD" w:rsidRPr="00B13545" w:rsidRDefault="007820AD" w:rsidP="007820AD">
      <w:pPr>
        <w:spacing w:line="360" w:lineRule="auto"/>
        <w:contextualSpacing/>
        <w:jc w:val="both"/>
        <w:rPr>
          <w:rFonts w:ascii="Palatino Linotype" w:hAnsi="Palatino Linotype"/>
        </w:rPr>
      </w:pPr>
    </w:p>
    <w:p w14:paraId="748924D6" w14:textId="77777777" w:rsidR="00963F99" w:rsidRPr="00B13545" w:rsidRDefault="00963F99" w:rsidP="00E41F26">
      <w:pPr>
        <w:numPr>
          <w:ilvl w:val="0"/>
          <w:numId w:val="2"/>
        </w:numPr>
        <w:spacing w:line="360" w:lineRule="auto"/>
        <w:ind w:left="0" w:firstLine="0"/>
        <w:contextualSpacing/>
        <w:jc w:val="both"/>
        <w:rPr>
          <w:rFonts w:ascii="Palatino Linotype" w:eastAsia="Calibri" w:hAnsi="Palatino Linotype" w:cs="Arial"/>
        </w:rPr>
      </w:pPr>
      <w:r w:rsidRPr="00B13545">
        <w:rPr>
          <w:rFonts w:ascii="Palatino Linotype" w:eastAsia="Calibri" w:hAnsi="Palatino Linotype" w:cs="Arial"/>
        </w:rPr>
        <w:t>Finalmente, el escrito contiene las formalidades previstas por el artículo 180 último párrafo de la citada Ley de la materia, por lo que es procedente que este Instituto conozca y resuelva el presente Recurso.</w:t>
      </w:r>
    </w:p>
    <w:p w14:paraId="4C572C17" w14:textId="77777777" w:rsidR="00963F99" w:rsidRPr="00B13545" w:rsidRDefault="00963F99" w:rsidP="00963F99">
      <w:pPr>
        <w:pStyle w:val="Prrafodelista"/>
        <w:spacing w:line="360" w:lineRule="auto"/>
        <w:ind w:left="0"/>
        <w:rPr>
          <w:rFonts w:ascii="Palatino Linotype" w:eastAsia="Calibri" w:hAnsi="Palatino Linotype" w:cs="Arial"/>
        </w:rPr>
      </w:pPr>
    </w:p>
    <w:p w14:paraId="2EA0F8C4" w14:textId="77777777" w:rsidR="005A4E62" w:rsidRPr="00B13545" w:rsidRDefault="00963F99" w:rsidP="005A4E62">
      <w:pPr>
        <w:pStyle w:val="Ttulo2"/>
        <w:tabs>
          <w:tab w:val="left" w:pos="0"/>
        </w:tabs>
        <w:spacing w:before="0" w:line="360" w:lineRule="auto"/>
        <w:rPr>
          <w:rFonts w:ascii="Palatino Linotype" w:eastAsia="Palatino Linotype" w:hAnsi="Palatino Linotype" w:cs="Palatino Linotype"/>
          <w:b/>
          <w:color w:val="000000"/>
          <w:sz w:val="24"/>
          <w:szCs w:val="24"/>
        </w:rPr>
      </w:pPr>
      <w:bookmarkStart w:id="15" w:name="_Toc66998086"/>
      <w:bookmarkStart w:id="16" w:name="_Toc70526130"/>
      <w:r w:rsidRPr="00B13545">
        <w:rPr>
          <w:rFonts w:ascii="Palatino Linotype" w:hAnsi="Palatino Linotype"/>
          <w:b/>
          <w:color w:val="auto"/>
          <w:sz w:val="24"/>
          <w:szCs w:val="24"/>
        </w:rPr>
        <w:t xml:space="preserve">TERCERA. </w:t>
      </w:r>
      <w:bookmarkEnd w:id="15"/>
      <w:bookmarkEnd w:id="16"/>
      <w:r w:rsidR="005A4E62" w:rsidRPr="00B13545">
        <w:rPr>
          <w:rFonts w:ascii="Palatino Linotype" w:eastAsia="Palatino Linotype" w:hAnsi="Palatino Linotype" w:cs="Palatino Linotype"/>
          <w:b/>
          <w:color w:val="000000"/>
          <w:sz w:val="24"/>
          <w:szCs w:val="24"/>
        </w:rPr>
        <w:t>Descripción de hechos y planteamiento de la controversia.</w:t>
      </w:r>
    </w:p>
    <w:p w14:paraId="04B423D9" w14:textId="77777777" w:rsidR="00963F99" w:rsidRPr="00B13545" w:rsidRDefault="00963F99" w:rsidP="00E41F26">
      <w:pPr>
        <w:pStyle w:val="Prrafodelista"/>
        <w:numPr>
          <w:ilvl w:val="0"/>
          <w:numId w:val="2"/>
        </w:numPr>
        <w:spacing w:line="360" w:lineRule="auto"/>
        <w:ind w:left="0" w:firstLine="0"/>
        <w:jc w:val="both"/>
        <w:rPr>
          <w:rFonts w:ascii="Palatino Linotype" w:hAnsi="Palatino Linotype" w:cs="Arial"/>
        </w:rPr>
      </w:pPr>
      <w:r w:rsidRPr="00B13545">
        <w:rPr>
          <w:rFonts w:ascii="Palatino Linotype" w:hAnsi="Palatino Linotype" w:cs="Arial"/>
        </w:rPr>
        <w:t xml:space="preserve">Se </w:t>
      </w:r>
      <w:r w:rsidRPr="00B13545">
        <w:rPr>
          <w:rFonts w:ascii="Palatino Linotype" w:eastAsia="Calibri" w:hAnsi="Palatino Linotype" w:cs="Arial"/>
        </w:rPr>
        <w:t>realizó el requerimiento</w:t>
      </w:r>
      <w:r w:rsidRPr="00B13545">
        <w:rPr>
          <w:rFonts w:ascii="Palatino Linotype" w:hAnsi="Palatino Linotype" w:cs="Arial"/>
        </w:rPr>
        <w:t xml:space="preserve"> siguiente:</w:t>
      </w:r>
    </w:p>
    <w:p w14:paraId="5BBD2BAF" w14:textId="77777777" w:rsidR="00DA08B0" w:rsidRPr="00B13545" w:rsidRDefault="00DA08B0" w:rsidP="00DA08B0">
      <w:pPr>
        <w:spacing w:line="360" w:lineRule="auto"/>
        <w:ind w:left="851" w:right="822"/>
        <w:jc w:val="both"/>
        <w:rPr>
          <w:rFonts w:ascii="Palatino Linotype" w:hAnsi="Palatino Linotype"/>
          <w:i/>
          <w:color w:val="000000"/>
        </w:rPr>
      </w:pPr>
    </w:p>
    <w:p w14:paraId="7DFB658B" w14:textId="30738B8B" w:rsidR="00DA08B0" w:rsidRPr="00B13545" w:rsidRDefault="00DA08B0" w:rsidP="00DA08B0">
      <w:pPr>
        <w:spacing w:line="360" w:lineRule="auto"/>
        <w:ind w:left="851" w:right="822"/>
        <w:jc w:val="both"/>
        <w:rPr>
          <w:rFonts w:ascii="Palatino Linotype" w:eastAsia="Palatino Linotype" w:hAnsi="Palatino Linotype" w:cs="Palatino Linotype"/>
          <w:i/>
          <w:color w:val="000000"/>
        </w:rPr>
      </w:pPr>
      <w:r w:rsidRPr="00B13545">
        <w:rPr>
          <w:rFonts w:ascii="Palatino Linotype" w:eastAsia="Palatino Linotype" w:hAnsi="Palatino Linotype" w:cs="Palatino Linotype"/>
          <w:i/>
          <w:color w:val="000000"/>
        </w:rPr>
        <w:t>“</w:t>
      </w:r>
      <w:r w:rsidRPr="00B13545">
        <w:rPr>
          <w:rFonts w:ascii="Palatino Linotype" w:hAnsi="Palatino Linotype"/>
          <w:i/>
          <w:color w:val="000000"/>
        </w:rPr>
        <w:t xml:space="preserve">Requiero conocer el fundamento legal y administrativo por el cual el Estado de México otorga concesiones para el transporte denominado ECOTAXI Cuantas concesiones se han otorgado de ECOTAXI Requiero conocer el fundamento legal y administrativo por el cual el Estado de México permite la instalación de bases de "ecotaxis" como un medio de transporte y en que lugares se encuentran que características físicas y mecánicas deben reunir los vehículos para ser considerados ecotaxis asimismo requiero, los requisitos para colocar una base de "eco-taxis" en el Estado de México; en caso de no </w:t>
      </w:r>
      <w:r w:rsidRPr="00B13545">
        <w:rPr>
          <w:rFonts w:ascii="Palatino Linotype" w:hAnsi="Palatino Linotype"/>
          <w:i/>
          <w:color w:val="000000"/>
        </w:rPr>
        <w:lastRenderedPageBreak/>
        <w:t>contar con la información requiero la declaratoria de inexistencia de la información.</w:t>
      </w:r>
      <w:r w:rsidRPr="00B13545">
        <w:rPr>
          <w:rFonts w:ascii="Palatino Linotype" w:eastAsia="Palatino Linotype" w:hAnsi="Palatino Linotype" w:cs="Palatino Linotype"/>
          <w:i/>
          <w:color w:val="000000"/>
        </w:rPr>
        <w:t xml:space="preserve">” </w:t>
      </w:r>
      <w:r w:rsidRPr="00B13545">
        <w:rPr>
          <w:rFonts w:ascii="Palatino Linotype" w:eastAsia="Palatino Linotype" w:hAnsi="Palatino Linotype" w:cs="Palatino Linotype"/>
          <w:color w:val="000000"/>
        </w:rPr>
        <w:t>(Sic)</w:t>
      </w:r>
      <w:r w:rsidRPr="00B13545">
        <w:rPr>
          <w:rFonts w:ascii="Palatino Linotype" w:eastAsia="Palatino Linotype" w:hAnsi="Palatino Linotype" w:cs="Palatino Linotype"/>
          <w:i/>
          <w:color w:val="000000"/>
        </w:rPr>
        <w:t xml:space="preserve"> </w:t>
      </w:r>
    </w:p>
    <w:p w14:paraId="7DC8F39C" w14:textId="77777777" w:rsidR="00963F99" w:rsidRPr="00B13545" w:rsidRDefault="00963F99" w:rsidP="00966F39">
      <w:pPr>
        <w:pStyle w:val="Prrafodelista"/>
        <w:spacing w:line="360" w:lineRule="auto"/>
        <w:ind w:left="778" w:right="616"/>
        <w:jc w:val="both"/>
        <w:rPr>
          <w:rFonts w:ascii="Palatino Linotype" w:hAnsi="Palatino Linotype" w:cs="Arial"/>
          <w:b/>
        </w:rPr>
      </w:pPr>
    </w:p>
    <w:p w14:paraId="21369658" w14:textId="0F85A352" w:rsidR="00963F99" w:rsidRPr="00B13545" w:rsidRDefault="00963F99" w:rsidP="00E41F26">
      <w:pPr>
        <w:numPr>
          <w:ilvl w:val="0"/>
          <w:numId w:val="2"/>
        </w:numPr>
        <w:spacing w:line="360" w:lineRule="auto"/>
        <w:ind w:left="0" w:firstLine="0"/>
        <w:contextualSpacing/>
        <w:jc w:val="both"/>
        <w:rPr>
          <w:rFonts w:ascii="Palatino Linotype" w:hAnsi="Palatino Linotype" w:cs="Arial"/>
          <w:i/>
          <w:color w:val="000000" w:themeColor="text1"/>
        </w:rPr>
      </w:pPr>
      <w:r w:rsidRPr="00B13545">
        <w:rPr>
          <w:rFonts w:ascii="Palatino Linotype" w:hAnsi="Palatino Linotype" w:cs="Arial"/>
        </w:rPr>
        <w:t xml:space="preserve">En </w:t>
      </w:r>
      <w:r w:rsidRPr="00B13545">
        <w:rPr>
          <w:rFonts w:ascii="Palatino Linotype" w:eastAsia="Calibri" w:hAnsi="Palatino Linotype" w:cs="Arial"/>
        </w:rPr>
        <w:t>respuesta</w:t>
      </w:r>
      <w:r w:rsidRPr="00B13545">
        <w:rPr>
          <w:rFonts w:ascii="Palatino Linotype" w:hAnsi="Palatino Linotype" w:cs="Arial"/>
        </w:rPr>
        <w:t>, el Sujeto Obligado</w:t>
      </w:r>
      <w:r w:rsidRPr="00B13545">
        <w:rPr>
          <w:rFonts w:ascii="Palatino Linotype" w:hAnsi="Palatino Linotype" w:cs="Arial"/>
          <w:b/>
        </w:rPr>
        <w:t xml:space="preserve"> </w:t>
      </w:r>
      <w:r w:rsidRPr="00B13545">
        <w:rPr>
          <w:rFonts w:ascii="Palatino Linotype" w:hAnsi="Palatino Linotype" w:cs="Arial"/>
        </w:rPr>
        <w:t xml:space="preserve">remitió </w:t>
      </w:r>
      <w:r w:rsidR="00FC6CAB" w:rsidRPr="00B13545">
        <w:rPr>
          <w:rFonts w:ascii="Palatino Linotype" w:hAnsi="Palatino Linotype" w:cs="Arial"/>
        </w:rPr>
        <w:t xml:space="preserve">lo ya descrito </w:t>
      </w:r>
      <w:r w:rsidR="00B332EE" w:rsidRPr="00B13545">
        <w:rPr>
          <w:rFonts w:ascii="Palatino Linotype" w:hAnsi="Palatino Linotype" w:cs="Arial"/>
        </w:rPr>
        <w:t xml:space="preserve">en el anterior numeral </w:t>
      </w:r>
      <w:r w:rsidR="003C5507" w:rsidRPr="00B13545">
        <w:rPr>
          <w:rFonts w:ascii="Palatino Linotype" w:hAnsi="Palatino Linotype" w:cs="Arial"/>
        </w:rPr>
        <w:t>3</w:t>
      </w:r>
      <w:r w:rsidR="00B332EE" w:rsidRPr="00B13545">
        <w:rPr>
          <w:rFonts w:ascii="Palatino Linotype" w:hAnsi="Palatino Linotype" w:cs="Arial"/>
        </w:rPr>
        <w:t xml:space="preserve"> de la presente resolución</w:t>
      </w:r>
      <w:r w:rsidRPr="00B13545">
        <w:rPr>
          <w:rFonts w:ascii="Palatino Linotype" w:hAnsi="Palatino Linotype" w:cs="Arial"/>
        </w:rPr>
        <w:t xml:space="preserve">. Inconforme con la respuesta, se interpuso recurso de revisión inconformándose </w:t>
      </w:r>
      <w:r w:rsidR="00FC6CAB" w:rsidRPr="00B13545">
        <w:rPr>
          <w:rFonts w:ascii="Palatino Linotype" w:hAnsi="Palatino Linotype" w:cs="Arial"/>
        </w:rPr>
        <w:t xml:space="preserve">de manera general manifestando </w:t>
      </w:r>
      <w:r w:rsidR="00372F43" w:rsidRPr="00B13545">
        <w:rPr>
          <w:rFonts w:ascii="Palatino Linotype" w:hAnsi="Palatino Linotype" w:cs="Arial"/>
        </w:rPr>
        <w:t>negación de la información</w:t>
      </w:r>
      <w:r w:rsidRPr="00B13545">
        <w:rPr>
          <w:rFonts w:ascii="Palatino Linotype" w:hAnsi="Palatino Linotype" w:cs="Arial"/>
        </w:rPr>
        <w:t>.</w:t>
      </w:r>
    </w:p>
    <w:p w14:paraId="12C8F49E" w14:textId="77777777" w:rsidR="00957C79" w:rsidRPr="00B13545" w:rsidRDefault="00957C79" w:rsidP="00957C79">
      <w:pPr>
        <w:spacing w:line="360" w:lineRule="auto"/>
        <w:contextualSpacing/>
        <w:jc w:val="both"/>
        <w:rPr>
          <w:rFonts w:ascii="Palatino Linotype" w:hAnsi="Palatino Linotype" w:cs="Arial"/>
          <w:i/>
          <w:color w:val="000000" w:themeColor="text1"/>
        </w:rPr>
      </w:pPr>
    </w:p>
    <w:p w14:paraId="1774D135" w14:textId="7148BA0C" w:rsidR="00963F99" w:rsidRPr="00B13545" w:rsidRDefault="00963F99" w:rsidP="00CA7A7F">
      <w:pPr>
        <w:numPr>
          <w:ilvl w:val="0"/>
          <w:numId w:val="2"/>
        </w:numPr>
        <w:spacing w:line="360" w:lineRule="auto"/>
        <w:ind w:left="0" w:firstLine="0"/>
        <w:contextualSpacing/>
        <w:jc w:val="both"/>
        <w:rPr>
          <w:rFonts w:ascii="Palatino Linotype" w:eastAsia="MS Mincho" w:hAnsi="Palatino Linotype" w:cs="Arial"/>
        </w:rPr>
      </w:pPr>
      <w:r w:rsidRPr="00B13545">
        <w:rPr>
          <w:rFonts w:ascii="Palatino Linotype" w:eastAsia="MS Mincho" w:hAnsi="Palatino Linotype" w:cs="Arial"/>
        </w:rPr>
        <w:t xml:space="preserve">En </w:t>
      </w:r>
      <w:r w:rsidRPr="00B13545">
        <w:rPr>
          <w:rFonts w:ascii="Palatino Linotype" w:hAnsi="Palatino Linotype" w:cs="Arial"/>
        </w:rPr>
        <w:t xml:space="preserve">dichas condiciones, la controversia a resolver en el presente proveído, corresponde a determinar si </w:t>
      </w:r>
      <w:r w:rsidRPr="00B13545">
        <w:rPr>
          <w:rFonts w:ascii="Palatino Linotype" w:eastAsia="MS Mincho" w:hAnsi="Palatino Linotype" w:cs="Arial"/>
        </w:rPr>
        <w:t xml:space="preserve">se actualiza la causal de procedencia prevista en el artículo 179, fracción </w:t>
      </w:r>
      <w:r w:rsidR="00957C79" w:rsidRPr="00B13545">
        <w:rPr>
          <w:rFonts w:ascii="Palatino Linotype" w:eastAsia="MS Mincho" w:hAnsi="Palatino Linotype" w:cs="Arial"/>
        </w:rPr>
        <w:t>I</w:t>
      </w:r>
      <w:r w:rsidRPr="00B13545">
        <w:rPr>
          <w:rFonts w:ascii="Palatino Linotype" w:eastAsia="MS Mincho" w:hAnsi="Palatino Linotype" w:cs="Arial"/>
          <w:b/>
        </w:rPr>
        <w:t xml:space="preserve"> </w:t>
      </w:r>
      <w:r w:rsidRPr="00B13545">
        <w:rPr>
          <w:rFonts w:ascii="Palatino Linotype" w:eastAsia="MS Mincho" w:hAnsi="Palatino Linotype" w:cs="Arial"/>
        </w:rPr>
        <w:t>de la Ley de Transparencia y Acceso a la Información Pública del Estado de</w:t>
      </w:r>
      <w:r w:rsidRPr="00B13545">
        <w:rPr>
          <w:rFonts w:ascii="Palatino Linotype" w:eastAsia="MS Mincho" w:hAnsi="Palatino Linotype" w:cs="Arial"/>
          <w:b/>
        </w:rPr>
        <w:t xml:space="preserve"> </w:t>
      </w:r>
      <w:r w:rsidRPr="00B13545">
        <w:rPr>
          <w:rFonts w:ascii="Palatino Linotype" w:hAnsi="Palatino Linotype" w:cs="Arial"/>
        </w:rPr>
        <w:t>México</w:t>
      </w:r>
      <w:r w:rsidRPr="00B13545">
        <w:rPr>
          <w:rFonts w:ascii="Palatino Linotype" w:eastAsia="MS Mincho" w:hAnsi="Palatino Linotype" w:cs="Arial"/>
          <w:b/>
        </w:rPr>
        <w:t xml:space="preserve"> </w:t>
      </w:r>
      <w:r w:rsidRPr="00B13545">
        <w:rPr>
          <w:rFonts w:ascii="Palatino Linotype" w:eastAsia="MS Mincho" w:hAnsi="Palatino Linotype" w:cs="Arial"/>
        </w:rPr>
        <w:t>y</w:t>
      </w:r>
      <w:r w:rsidRPr="00B13545">
        <w:rPr>
          <w:rFonts w:ascii="Palatino Linotype" w:eastAsia="MS Mincho" w:hAnsi="Palatino Linotype" w:cs="Arial"/>
          <w:b/>
        </w:rPr>
        <w:t xml:space="preserve"> </w:t>
      </w:r>
      <w:r w:rsidRPr="00B13545">
        <w:rPr>
          <w:rFonts w:ascii="Palatino Linotype" w:hAnsi="Palatino Linotype" w:cs="Arial"/>
        </w:rPr>
        <w:t>Municipios</w:t>
      </w:r>
      <w:r w:rsidRPr="00B13545">
        <w:rPr>
          <w:rFonts w:ascii="Palatino Linotype" w:eastAsia="MS Mincho" w:hAnsi="Palatino Linotype" w:cs="Arial"/>
        </w:rPr>
        <w:t xml:space="preserve">; </w:t>
      </w:r>
      <w:r w:rsidRPr="00B13545">
        <w:rPr>
          <w:rFonts w:ascii="Palatino Linotype" w:hAnsi="Palatino Linotype" w:cs="Arial"/>
          <w:color w:val="000000" w:themeColor="text1"/>
          <w:lang w:val="es-ES"/>
        </w:rPr>
        <w:t xml:space="preserve">fracción que determina la hipótesis relativa a la </w:t>
      </w:r>
      <w:r w:rsidR="00957C79" w:rsidRPr="00B13545">
        <w:rPr>
          <w:rFonts w:ascii="Palatino Linotype" w:hAnsi="Palatino Linotype" w:cs="Arial"/>
          <w:color w:val="000000" w:themeColor="text1"/>
          <w:lang w:val="es-ES"/>
        </w:rPr>
        <w:t>negativa a la información solicitada</w:t>
      </w:r>
      <w:r w:rsidRPr="00B13545">
        <w:rPr>
          <w:rFonts w:ascii="Palatino Linotype" w:hAnsi="Palatino Linotype" w:cs="Arial"/>
          <w:color w:val="000000" w:themeColor="text1"/>
          <w:lang w:val="es-ES"/>
        </w:rPr>
        <w:t xml:space="preserve">; </w:t>
      </w:r>
      <w:r w:rsidRPr="00B13545">
        <w:rPr>
          <w:rFonts w:ascii="Palatino Linotype" w:eastAsia="MS Mincho" w:hAnsi="Palatino Linotype" w:cs="Arial"/>
        </w:rPr>
        <w:t>contexto del cual se dolió el Recurrente al momento de interponer su inconformidad.</w:t>
      </w:r>
      <w:r w:rsidRPr="00B13545">
        <w:rPr>
          <w:rFonts w:ascii="Palatino Linotype" w:hAnsi="Palatino Linotype" w:cs="Arial"/>
          <w:color w:val="000000" w:themeColor="text1"/>
          <w:lang w:val="es-ES"/>
        </w:rPr>
        <w:t xml:space="preserve"> De modo tal </w:t>
      </w:r>
      <w:r w:rsidRPr="00B13545">
        <w:rPr>
          <w:rFonts w:ascii="Palatino Linotype" w:hAnsi="Palatino Linotype" w:cs="Arial"/>
          <w:color w:val="000000" w:themeColor="text1"/>
        </w:rPr>
        <w:t xml:space="preserve">que el presente recurso de revisión se abocara en determinar si el Sujeto Obligado con su respuesta ciertamente </w:t>
      </w:r>
      <w:r w:rsidRPr="00B13545">
        <w:rPr>
          <w:rFonts w:ascii="Palatino Linotype" w:hAnsi="Palatino Linotype"/>
          <w:color w:val="000000" w:themeColor="text1"/>
        </w:rPr>
        <w:t>actualiza la causal de procedencia</w:t>
      </w:r>
      <w:r w:rsidRPr="00B13545">
        <w:rPr>
          <w:rFonts w:ascii="Palatino Linotype" w:hAnsi="Palatino Linotype"/>
          <w:b/>
          <w:color w:val="000000" w:themeColor="text1"/>
        </w:rPr>
        <w:t xml:space="preserve"> </w:t>
      </w:r>
      <w:r w:rsidRPr="00B13545">
        <w:rPr>
          <w:rFonts w:ascii="Palatino Linotype" w:hAnsi="Palatino Linotype" w:cs="Arial"/>
          <w:color w:val="000000" w:themeColor="text1"/>
        </w:rPr>
        <w:t xml:space="preserve">señalada. </w:t>
      </w:r>
    </w:p>
    <w:p w14:paraId="778A9D6A" w14:textId="77777777" w:rsidR="00963F99" w:rsidRPr="00B13545" w:rsidRDefault="00963F99" w:rsidP="00963F99">
      <w:pPr>
        <w:spacing w:line="360" w:lineRule="auto"/>
        <w:rPr>
          <w:rFonts w:ascii="Palatino Linotype" w:eastAsia="MS Mincho" w:hAnsi="Palatino Linotype" w:cs="Arial"/>
        </w:rPr>
      </w:pPr>
    </w:p>
    <w:p w14:paraId="1BC5F06F" w14:textId="77777777" w:rsidR="00963F99" w:rsidRPr="00B13545" w:rsidRDefault="00963F99" w:rsidP="00E41F26">
      <w:pPr>
        <w:numPr>
          <w:ilvl w:val="0"/>
          <w:numId w:val="2"/>
        </w:numPr>
        <w:spacing w:line="360" w:lineRule="auto"/>
        <w:ind w:left="0" w:firstLine="0"/>
        <w:contextualSpacing/>
        <w:jc w:val="both"/>
        <w:rPr>
          <w:rFonts w:ascii="Palatino Linotype" w:hAnsi="Palatino Linotype" w:cs="Tahoma"/>
          <w:bCs/>
          <w:iCs/>
        </w:rPr>
      </w:pPr>
      <w:r w:rsidRPr="00B13545">
        <w:rPr>
          <w:rFonts w:ascii="Palatino Linotype" w:eastAsia="MS Mincho" w:hAnsi="Palatino Linotype" w:cs="Arial"/>
        </w:rPr>
        <w:t xml:space="preserve">Determinado lo anterior; revisaremos la atención otorgada por el Sujeto Obligado a la solicitud que dio origen a este recurso, considerando imprescindible establecer lo que la regulación determina, por ello, en primer lugar, vamos a revisar lo que mandata nuestra Ley de Transparencia local, en su artículo </w:t>
      </w:r>
      <w:r w:rsidRPr="00B13545">
        <w:rPr>
          <w:rFonts w:ascii="Palatino Linotype" w:hAnsi="Palatino Linotype" w:cs="Tahoma"/>
          <w:bCs/>
          <w:iCs/>
        </w:rPr>
        <w:t xml:space="preserve">12, el cual establece que quienes generen, recopilen, administren, manejen, procesen, archiven o conserven información pública serán responsables de la misma, del mismo modo, el artículo 18 establece que los Sujetos Obligados deberán documentar todo acto que derive del </w:t>
      </w:r>
      <w:r w:rsidRPr="00B13545">
        <w:rPr>
          <w:rFonts w:ascii="Palatino Linotype" w:hAnsi="Palatino Linotype" w:cs="Tahoma"/>
          <w:bCs/>
          <w:iCs/>
        </w:rPr>
        <w:lastRenderedPageBreak/>
        <w:t>ejercicio de sus facultades, competencias o funciones desde su origen la eventual publicidad y reutilización de la información que generen.</w:t>
      </w:r>
    </w:p>
    <w:p w14:paraId="66D515C0" w14:textId="77777777" w:rsidR="007820AD" w:rsidRPr="00B13545" w:rsidRDefault="007820AD" w:rsidP="007820AD">
      <w:pPr>
        <w:pStyle w:val="Prrafodelista"/>
        <w:rPr>
          <w:rFonts w:ascii="Palatino Linotype" w:hAnsi="Palatino Linotype" w:cs="Tahoma"/>
          <w:bCs/>
          <w:iCs/>
        </w:rPr>
      </w:pPr>
    </w:p>
    <w:p w14:paraId="14ADB3BD" w14:textId="77777777" w:rsidR="007820AD" w:rsidRPr="00B13545" w:rsidRDefault="007820AD" w:rsidP="007820AD">
      <w:pPr>
        <w:spacing w:line="360" w:lineRule="auto"/>
        <w:contextualSpacing/>
        <w:jc w:val="both"/>
        <w:rPr>
          <w:rFonts w:ascii="Palatino Linotype" w:hAnsi="Palatino Linotype" w:cs="Tahoma"/>
          <w:bCs/>
          <w:iCs/>
        </w:rPr>
      </w:pPr>
    </w:p>
    <w:p w14:paraId="3AB53B88" w14:textId="77777777" w:rsidR="00C1628F" w:rsidRPr="00B13545" w:rsidRDefault="00C1628F" w:rsidP="00C1628F">
      <w:pPr>
        <w:pStyle w:val="Ttulo2"/>
        <w:tabs>
          <w:tab w:val="left" w:pos="0"/>
        </w:tabs>
        <w:spacing w:before="0" w:line="360" w:lineRule="auto"/>
        <w:jc w:val="both"/>
        <w:rPr>
          <w:rFonts w:ascii="Palatino Linotype" w:eastAsia="Palatino Linotype" w:hAnsi="Palatino Linotype" w:cs="Palatino Linotype"/>
          <w:color w:val="000000"/>
          <w:sz w:val="24"/>
          <w:szCs w:val="24"/>
        </w:rPr>
      </w:pPr>
      <w:r w:rsidRPr="00B13545">
        <w:rPr>
          <w:rFonts w:ascii="Palatino Linotype" w:eastAsia="Palatino Linotype" w:hAnsi="Palatino Linotype" w:cs="Palatino Linotype"/>
          <w:b/>
          <w:color w:val="000000"/>
          <w:sz w:val="24"/>
          <w:szCs w:val="24"/>
        </w:rPr>
        <w:t>CUARTA</w:t>
      </w:r>
      <w:r w:rsidRPr="00B13545">
        <w:rPr>
          <w:rFonts w:ascii="Palatino Linotype" w:eastAsia="Palatino Linotype" w:hAnsi="Palatino Linotype" w:cs="Palatino Linotype"/>
          <w:b/>
          <w:color w:val="000000" w:themeColor="text1"/>
          <w:sz w:val="24"/>
          <w:szCs w:val="24"/>
        </w:rPr>
        <w:t xml:space="preserve">. </w:t>
      </w:r>
      <w:r w:rsidRPr="00B13545">
        <w:rPr>
          <w:rFonts w:ascii="Palatino Linotype" w:eastAsia="Palatino Linotype" w:hAnsi="Palatino Linotype" w:cs="Palatino Linotype"/>
          <w:color w:val="000000"/>
          <w:sz w:val="24"/>
          <w:szCs w:val="24"/>
        </w:rPr>
        <w:t>Estudio de la controversia.</w:t>
      </w:r>
    </w:p>
    <w:p w14:paraId="5163CBA0" w14:textId="77777777" w:rsidR="00963F99" w:rsidRPr="00B13545" w:rsidRDefault="00963F99" w:rsidP="00E41F26">
      <w:pPr>
        <w:numPr>
          <w:ilvl w:val="0"/>
          <w:numId w:val="2"/>
        </w:numPr>
        <w:spacing w:line="360" w:lineRule="auto"/>
        <w:ind w:left="0" w:firstLine="0"/>
        <w:contextualSpacing/>
        <w:jc w:val="both"/>
        <w:rPr>
          <w:rFonts w:ascii="Palatino Linotype" w:hAnsi="Palatino Linotype" w:cs="Tahoma"/>
          <w:bCs/>
          <w:iCs/>
        </w:rPr>
      </w:pPr>
      <w:r w:rsidRPr="00B13545">
        <w:rPr>
          <w:rFonts w:ascii="Palatino Linotype" w:hAnsi="Palatino Linotype" w:cs="Tahoma"/>
          <w:bCs/>
          <w:iCs/>
        </w:rPr>
        <w:t>Asimismo, es relevante mencionar que el artículo 19 del ordenamiento local de la materia señala que se presume que la información debe existir si se refiere a las facultades, competencias y funciones que los ordenamientos jurídicos aplicables otorgan a los sujetos obligados y en caso de que dichas facultades no se hayan ejercido, se deberá motivar la respuesta en función de las causas que motivaron tal circunstancia.</w:t>
      </w:r>
    </w:p>
    <w:p w14:paraId="7C8796B5" w14:textId="77777777" w:rsidR="00963F99" w:rsidRPr="00B13545" w:rsidRDefault="00963F99" w:rsidP="00963F99">
      <w:pPr>
        <w:pStyle w:val="Prrafodelista"/>
        <w:spacing w:line="360" w:lineRule="auto"/>
        <w:rPr>
          <w:rFonts w:ascii="Palatino Linotype" w:hAnsi="Palatino Linotype" w:cs="Tahoma"/>
          <w:bCs/>
          <w:iCs/>
        </w:rPr>
      </w:pPr>
    </w:p>
    <w:p w14:paraId="78AD98EF" w14:textId="5D087552" w:rsidR="00963F99" w:rsidRPr="00B13545" w:rsidRDefault="00CE6D01" w:rsidP="00E41F26">
      <w:pPr>
        <w:numPr>
          <w:ilvl w:val="0"/>
          <w:numId w:val="2"/>
        </w:numPr>
        <w:spacing w:line="360" w:lineRule="auto"/>
        <w:ind w:left="0" w:firstLine="0"/>
        <w:contextualSpacing/>
        <w:jc w:val="both"/>
        <w:rPr>
          <w:rFonts w:ascii="Palatino Linotype" w:hAnsi="Palatino Linotype" w:cs="Tahoma"/>
          <w:bCs/>
          <w:iCs/>
        </w:rPr>
      </w:pPr>
      <w:r w:rsidRPr="00B13545">
        <w:rPr>
          <w:rFonts w:ascii="Palatino Linotype" w:hAnsi="Palatino Linotype" w:cs="Tahoma"/>
          <w:bCs/>
          <w:iCs/>
        </w:rPr>
        <w:t>E</w:t>
      </w:r>
      <w:r w:rsidR="00963F99" w:rsidRPr="00B13545">
        <w:rPr>
          <w:rFonts w:ascii="Palatino Linotype" w:hAnsi="Palatino Linotype" w:cs="Tahoma"/>
          <w:bCs/>
          <w:iCs/>
        </w:rPr>
        <w:t>l derecho de acceso a la información pública es un derecho humano que abarca el solicitar, investigar, difundir y buscar información que se encuentre en los archivos de los sujetos obligados, ya sea porque estos las generaron o la poseen en atención a sus funciones, por lo que se le considera un bien común de dominio público, toda vez que al tratarse de acciones ejercidas por un servidor público, este lo hace en representación del Estado, por lo que le pertenece a todos y debe ser accesible a cualquier persona, ya sea que los particulares la puedan consultar por encontrarse publicada en cualquier medio de difusión o porque la requieren a través de una solicitud de acceso a la información, siempre y cuando no encuadre en una de las excepciones contempladas por la ley.</w:t>
      </w:r>
    </w:p>
    <w:p w14:paraId="483E96E8" w14:textId="77777777" w:rsidR="000E17CF" w:rsidRPr="00B13545" w:rsidRDefault="000E17CF" w:rsidP="000E17CF">
      <w:pPr>
        <w:spacing w:line="360" w:lineRule="auto"/>
        <w:contextualSpacing/>
        <w:jc w:val="both"/>
        <w:rPr>
          <w:rFonts w:ascii="Palatino Linotype" w:hAnsi="Palatino Linotype" w:cs="Tahoma"/>
          <w:bCs/>
          <w:iCs/>
        </w:rPr>
      </w:pPr>
    </w:p>
    <w:p w14:paraId="408F5395" w14:textId="54C28441" w:rsidR="0019560B" w:rsidRPr="00B13545" w:rsidRDefault="00CA7A7F" w:rsidP="00CA7A7F">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lastRenderedPageBreak/>
        <w:t>En ese orden de ideas, es menester clarificar si el Sujeto Obligado cuenta con atribuciones para haber generado o poseer dicha información dentro de sus archivos, de acuerdo a lo siguiente:</w:t>
      </w:r>
    </w:p>
    <w:p w14:paraId="11F769DD" w14:textId="77777777" w:rsidR="000862BA" w:rsidRPr="00B13545" w:rsidRDefault="000862BA" w:rsidP="00CF35CE">
      <w:pPr>
        <w:pStyle w:val="Prrafodelista"/>
        <w:spacing w:line="360" w:lineRule="auto"/>
        <w:ind w:left="851" w:right="539"/>
        <w:jc w:val="center"/>
        <w:rPr>
          <w:rFonts w:ascii="Palatino Linotype" w:hAnsi="Palatino Linotype" w:cs="Tahoma"/>
          <w:b/>
          <w:i/>
          <w:iCs/>
        </w:rPr>
      </w:pPr>
    </w:p>
    <w:p w14:paraId="09541805" w14:textId="4A6B5061" w:rsidR="00C51D5F" w:rsidRPr="00B13545" w:rsidRDefault="00C51D5F" w:rsidP="006E054D">
      <w:pPr>
        <w:pStyle w:val="Prrafodelista"/>
        <w:spacing w:line="276" w:lineRule="auto"/>
        <w:ind w:left="851" w:right="539"/>
        <w:jc w:val="center"/>
        <w:rPr>
          <w:rFonts w:ascii="Palatino Linotype" w:hAnsi="Palatino Linotype" w:cs="Tahoma"/>
          <w:b/>
          <w:i/>
          <w:iCs/>
          <w:sz w:val="22"/>
          <w:szCs w:val="22"/>
        </w:rPr>
      </w:pPr>
      <w:r w:rsidRPr="00B13545">
        <w:rPr>
          <w:rFonts w:ascii="Palatino Linotype" w:hAnsi="Palatino Linotype" w:cs="Tahoma"/>
          <w:b/>
          <w:i/>
          <w:iCs/>
          <w:sz w:val="22"/>
          <w:szCs w:val="22"/>
        </w:rPr>
        <w:t>LEY DE MOVILIDAD DEL ESTADO DE MÉXICO</w:t>
      </w:r>
    </w:p>
    <w:p w14:paraId="2C93E134" w14:textId="22CB9304" w:rsidR="005C5CFA" w:rsidRPr="00B13545" w:rsidRDefault="005C5CFA"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
          <w:i/>
          <w:iCs/>
          <w:sz w:val="22"/>
          <w:szCs w:val="22"/>
        </w:rPr>
        <w:t>(</w:t>
      </w:r>
      <w:r w:rsidRPr="00B13545">
        <w:rPr>
          <w:rFonts w:ascii="Palatino Linotype" w:hAnsi="Palatino Linotype" w:cs="Tahoma"/>
          <w:bCs/>
          <w:i/>
          <w:iCs/>
          <w:sz w:val="22"/>
          <w:szCs w:val="22"/>
        </w:rPr>
        <w:t>Publicada en el Periódico Oficial “Gaceta del Gobierno” el 12 de agosto de 2015 y Abrogada por el Decreto 264 de la LXI Legislatura publicado el 21 de mayo de 2024</w:t>
      </w:r>
      <w:r w:rsidR="00EB4190" w:rsidRPr="00B13545">
        <w:rPr>
          <w:rFonts w:ascii="Palatino Linotype" w:hAnsi="Palatino Linotype" w:cs="Tahoma"/>
          <w:bCs/>
          <w:i/>
          <w:iCs/>
          <w:sz w:val="22"/>
          <w:szCs w:val="22"/>
        </w:rPr>
        <w:t>)</w:t>
      </w:r>
    </w:p>
    <w:p w14:paraId="6F10E652" w14:textId="2E3611C9" w:rsidR="00C51D5F" w:rsidRPr="00B13545" w:rsidRDefault="00AD6622" w:rsidP="006E054D">
      <w:pPr>
        <w:pStyle w:val="Prrafodelista"/>
        <w:spacing w:line="276" w:lineRule="auto"/>
        <w:ind w:left="851" w:right="539"/>
        <w:jc w:val="center"/>
        <w:rPr>
          <w:rFonts w:ascii="Palatino Linotype" w:hAnsi="Palatino Linotype" w:cs="Tahoma"/>
          <w:b/>
          <w:i/>
          <w:iCs/>
          <w:sz w:val="22"/>
          <w:szCs w:val="22"/>
        </w:rPr>
      </w:pPr>
      <w:r w:rsidRPr="00B13545">
        <w:rPr>
          <w:rFonts w:ascii="Palatino Linotype" w:hAnsi="Palatino Linotype" w:cs="Tahoma"/>
          <w:b/>
          <w:i/>
          <w:iCs/>
          <w:sz w:val="22"/>
          <w:szCs w:val="22"/>
        </w:rPr>
        <w:t>(…)</w:t>
      </w:r>
    </w:p>
    <w:p w14:paraId="78DE4489" w14:textId="63A64185" w:rsidR="00C51D5F" w:rsidRPr="00B13545" w:rsidRDefault="00AD6622"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
          <w:i/>
          <w:iCs/>
          <w:sz w:val="22"/>
          <w:szCs w:val="22"/>
        </w:rPr>
        <w:t>Artículo 34.</w:t>
      </w:r>
      <w:r w:rsidRPr="00B13545">
        <w:rPr>
          <w:rFonts w:ascii="Palatino Linotype" w:hAnsi="Palatino Linotype" w:cs="Tahoma"/>
          <w:bCs/>
          <w:i/>
          <w:iCs/>
          <w:sz w:val="22"/>
          <w:szCs w:val="22"/>
        </w:rPr>
        <w:t xml:space="preserve"> Clasificación del Servicio de Transporte Público. El Servicio se clasifica en:</w:t>
      </w:r>
    </w:p>
    <w:p w14:paraId="33413296" w14:textId="47022625" w:rsidR="00A837A8" w:rsidRPr="00B13545" w:rsidRDefault="00A837A8"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w:t>
      </w:r>
    </w:p>
    <w:p w14:paraId="5EC108F6" w14:textId="3BB8FB45" w:rsidR="00A837A8" w:rsidRPr="00B13545" w:rsidRDefault="00A837A8"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I. De pasajeros:</w:t>
      </w:r>
    </w:p>
    <w:p w14:paraId="1CF7C816" w14:textId="1A0AB9EC" w:rsidR="00A837A8" w:rsidRPr="00B13545" w:rsidRDefault="00A837A8"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w:t>
      </w:r>
    </w:p>
    <w:p w14:paraId="03CEE33F" w14:textId="30557FAF" w:rsidR="00A837A8" w:rsidRPr="00B13545" w:rsidRDefault="00B26796"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f</w:t>
      </w:r>
      <w:r w:rsidRPr="00B13545">
        <w:rPr>
          <w:rFonts w:ascii="Palatino Linotype" w:hAnsi="Palatino Linotype" w:cs="Tahoma"/>
          <w:b/>
          <w:i/>
          <w:iCs/>
          <w:sz w:val="22"/>
          <w:szCs w:val="22"/>
        </w:rPr>
        <w:t>) Ecotaxi, se presta a través de vehículos no motorizado, que cumplan con las características físicas y de operación que establezca la norma técnica correspondiente</w:t>
      </w:r>
      <w:r w:rsidRPr="00B13545">
        <w:rPr>
          <w:rFonts w:ascii="Palatino Linotype" w:hAnsi="Palatino Linotype" w:cs="Tahoma"/>
          <w:bCs/>
          <w:i/>
          <w:iCs/>
          <w:sz w:val="22"/>
          <w:szCs w:val="22"/>
        </w:rPr>
        <w:t>. Quedando estrictamente prohibido desarrollarlo con adecuaciones no previstas expresamente en la legislación aplicable.</w:t>
      </w:r>
    </w:p>
    <w:p w14:paraId="390EC27F" w14:textId="77777777" w:rsidR="00B26796" w:rsidRPr="00B13545" w:rsidRDefault="00B26796" w:rsidP="006E054D">
      <w:pPr>
        <w:pStyle w:val="Prrafodelista"/>
        <w:spacing w:line="276" w:lineRule="auto"/>
        <w:ind w:left="851" w:right="539"/>
        <w:jc w:val="both"/>
        <w:rPr>
          <w:rFonts w:ascii="Palatino Linotype" w:hAnsi="Palatino Linotype" w:cs="Tahoma"/>
          <w:bCs/>
          <w:i/>
          <w:iCs/>
          <w:sz w:val="22"/>
          <w:szCs w:val="22"/>
        </w:rPr>
      </w:pPr>
    </w:p>
    <w:p w14:paraId="195607C0" w14:textId="77777777" w:rsidR="0019421C" w:rsidRPr="00B13545" w:rsidRDefault="00B26796"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
          <w:i/>
          <w:iCs/>
          <w:sz w:val="22"/>
          <w:szCs w:val="22"/>
        </w:rPr>
        <w:t>Artículo 35.</w:t>
      </w:r>
      <w:r w:rsidRPr="00B13545">
        <w:rPr>
          <w:rFonts w:ascii="Palatino Linotype" w:hAnsi="Palatino Linotype" w:cs="Tahoma"/>
          <w:bCs/>
          <w:i/>
          <w:iCs/>
          <w:sz w:val="22"/>
          <w:szCs w:val="22"/>
        </w:rPr>
        <w:t xml:space="preserve"> Distribución de competencia en materia de Servicio de Transporte Público. Corresponderá a la Secretaría la programación, coordinación, dirección, evaluación y control de los medios del Sistema de Transporte Público, que se establecen a continuación:</w:t>
      </w:r>
    </w:p>
    <w:p w14:paraId="465C427F" w14:textId="1F57033A" w:rsidR="0019421C" w:rsidRPr="00B13545" w:rsidRDefault="0019421C"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w:t>
      </w:r>
    </w:p>
    <w:p w14:paraId="225647FA" w14:textId="6A4971E8" w:rsidR="00B26796" w:rsidRPr="00B13545" w:rsidRDefault="00B26796"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IV. Ecotaxi.</w:t>
      </w:r>
    </w:p>
    <w:p w14:paraId="0D4C57DC" w14:textId="77777777" w:rsidR="0019421C" w:rsidRPr="00B13545" w:rsidRDefault="0019421C" w:rsidP="006E054D">
      <w:pPr>
        <w:pStyle w:val="Prrafodelista"/>
        <w:spacing w:line="276" w:lineRule="auto"/>
        <w:ind w:left="851" w:right="539"/>
        <w:jc w:val="both"/>
        <w:rPr>
          <w:rFonts w:ascii="Palatino Linotype" w:hAnsi="Palatino Linotype" w:cs="Tahoma"/>
          <w:bCs/>
          <w:i/>
          <w:iCs/>
          <w:sz w:val="22"/>
          <w:szCs w:val="22"/>
        </w:rPr>
      </w:pPr>
    </w:p>
    <w:p w14:paraId="1697429B" w14:textId="77777777" w:rsidR="00B26796" w:rsidRPr="00B13545" w:rsidRDefault="00B26796" w:rsidP="006E054D">
      <w:pPr>
        <w:pStyle w:val="Prrafodelista"/>
        <w:spacing w:line="276" w:lineRule="auto"/>
        <w:ind w:left="851" w:right="539"/>
        <w:jc w:val="both"/>
        <w:rPr>
          <w:rFonts w:ascii="Palatino Linotype" w:hAnsi="Palatino Linotype" w:cs="Tahoma"/>
          <w:bCs/>
          <w:i/>
          <w:iCs/>
          <w:sz w:val="22"/>
          <w:szCs w:val="22"/>
        </w:rPr>
      </w:pPr>
    </w:p>
    <w:p w14:paraId="4E08E22A" w14:textId="1BA4E39C" w:rsidR="00B26796" w:rsidRPr="00B13545" w:rsidRDefault="00175207" w:rsidP="006E054D">
      <w:pPr>
        <w:pStyle w:val="Prrafodelista"/>
        <w:spacing w:line="276" w:lineRule="auto"/>
        <w:ind w:left="851" w:right="539"/>
        <w:jc w:val="center"/>
        <w:rPr>
          <w:rFonts w:ascii="Palatino Linotype" w:hAnsi="Palatino Linotype" w:cs="Tahoma"/>
          <w:b/>
          <w:i/>
          <w:iCs/>
          <w:sz w:val="22"/>
          <w:szCs w:val="22"/>
        </w:rPr>
      </w:pPr>
      <w:r w:rsidRPr="00B13545">
        <w:rPr>
          <w:rFonts w:ascii="Palatino Linotype" w:hAnsi="Palatino Linotype" w:cs="Tahoma"/>
          <w:b/>
          <w:i/>
          <w:iCs/>
          <w:sz w:val="22"/>
          <w:szCs w:val="22"/>
        </w:rPr>
        <w:t>LEY DE MOVILIDAD Y SEGURIDAD VIAL DEL ESTADO DE MÉXICO Y SUS MUNICIPIOS</w:t>
      </w:r>
    </w:p>
    <w:p w14:paraId="4D7C8B0B" w14:textId="67F5B699" w:rsidR="00175207" w:rsidRPr="00B13545" w:rsidRDefault="00175207" w:rsidP="006E054D">
      <w:pPr>
        <w:pStyle w:val="Prrafodelista"/>
        <w:spacing w:line="276" w:lineRule="auto"/>
        <w:ind w:left="851" w:right="539"/>
        <w:jc w:val="center"/>
        <w:rPr>
          <w:rFonts w:ascii="Palatino Linotype" w:hAnsi="Palatino Linotype" w:cs="Tahoma"/>
          <w:bCs/>
          <w:i/>
          <w:iCs/>
          <w:sz w:val="22"/>
          <w:szCs w:val="22"/>
        </w:rPr>
      </w:pPr>
      <w:r w:rsidRPr="00B13545">
        <w:rPr>
          <w:rFonts w:ascii="Palatino Linotype" w:hAnsi="Palatino Linotype" w:cs="Tahoma"/>
          <w:bCs/>
          <w:i/>
          <w:iCs/>
          <w:sz w:val="22"/>
          <w:szCs w:val="22"/>
        </w:rPr>
        <w:t>(Publicada en el Periódico Oficial “Gaceta del Gobierno” el 21 de mayo de 2024)</w:t>
      </w:r>
    </w:p>
    <w:p w14:paraId="46BC9CD6" w14:textId="77777777" w:rsidR="00C51D5F" w:rsidRPr="00B13545" w:rsidRDefault="00C51D5F" w:rsidP="006E054D">
      <w:pPr>
        <w:pStyle w:val="Prrafodelista"/>
        <w:spacing w:line="276" w:lineRule="auto"/>
        <w:ind w:left="851" w:right="539"/>
        <w:jc w:val="center"/>
        <w:rPr>
          <w:rFonts w:ascii="Palatino Linotype" w:hAnsi="Palatino Linotype" w:cs="Tahoma"/>
          <w:b/>
          <w:i/>
          <w:iCs/>
          <w:sz w:val="22"/>
          <w:szCs w:val="22"/>
        </w:rPr>
      </w:pPr>
    </w:p>
    <w:p w14:paraId="4E1F5EB2" w14:textId="77777777" w:rsidR="006D4C8F" w:rsidRPr="00B13545" w:rsidRDefault="006D4C8F"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
          <w:i/>
          <w:iCs/>
          <w:sz w:val="22"/>
          <w:szCs w:val="22"/>
        </w:rPr>
        <w:t>Artículo 87.</w:t>
      </w:r>
      <w:r w:rsidRPr="00B13545">
        <w:rPr>
          <w:rFonts w:ascii="Palatino Linotype" w:hAnsi="Palatino Linotype" w:cs="Tahoma"/>
          <w:bCs/>
          <w:i/>
          <w:iCs/>
          <w:sz w:val="22"/>
          <w:szCs w:val="22"/>
        </w:rPr>
        <w:t xml:space="preserve"> Clasificación del Servicio Público de Transporte.  </w:t>
      </w:r>
    </w:p>
    <w:p w14:paraId="476C701E" w14:textId="2480B652" w:rsidR="00175207" w:rsidRPr="00B13545" w:rsidRDefault="006D4C8F"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El Servicio Público de Transporte se clasifica en:</w:t>
      </w:r>
    </w:p>
    <w:p w14:paraId="2156CE5A" w14:textId="7FB74059" w:rsidR="006D4C8F" w:rsidRPr="00B13545" w:rsidRDefault="006D4C8F"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lastRenderedPageBreak/>
        <w:t>I. De pasajeros:</w:t>
      </w:r>
    </w:p>
    <w:p w14:paraId="2F35C4E5" w14:textId="2AB7A54A" w:rsidR="006D4C8F" w:rsidRPr="00B13545" w:rsidRDefault="006D4C8F"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w:t>
      </w:r>
    </w:p>
    <w:p w14:paraId="354F2380" w14:textId="054C2A25" w:rsidR="006D4C8F" w:rsidRPr="00B13545" w:rsidRDefault="00476269"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f). Mototaxi o Bicitaxi se presta a través de vehículos motorizados o no motorizados, que cumplan con las características físicas y de operación que establezca la norma técnica correspondiente. Quedando estrictamente prohibido desarrollarlo con adecuaciones no previstas expresamente en la legislación aplicable y en los reglamentos municipales;</w:t>
      </w:r>
    </w:p>
    <w:p w14:paraId="5EFBF2BE" w14:textId="77777777" w:rsidR="00476269" w:rsidRPr="00B13545" w:rsidRDefault="00476269" w:rsidP="006E054D">
      <w:pPr>
        <w:pStyle w:val="Prrafodelista"/>
        <w:spacing w:line="276" w:lineRule="auto"/>
        <w:ind w:left="851" w:right="539"/>
        <w:jc w:val="both"/>
        <w:rPr>
          <w:rFonts w:ascii="Palatino Linotype" w:hAnsi="Palatino Linotype" w:cs="Tahoma"/>
          <w:bCs/>
          <w:i/>
          <w:iCs/>
          <w:sz w:val="22"/>
          <w:szCs w:val="22"/>
        </w:rPr>
      </w:pPr>
    </w:p>
    <w:p w14:paraId="4C542E0C" w14:textId="77777777" w:rsidR="00476269" w:rsidRPr="00B13545" w:rsidRDefault="00476269"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
          <w:i/>
          <w:iCs/>
          <w:sz w:val="22"/>
          <w:szCs w:val="22"/>
        </w:rPr>
        <w:t>Artículo 88</w:t>
      </w:r>
      <w:r w:rsidRPr="00B13545">
        <w:rPr>
          <w:rFonts w:ascii="Palatino Linotype" w:hAnsi="Palatino Linotype" w:cs="Tahoma"/>
          <w:bCs/>
          <w:i/>
          <w:iCs/>
          <w:sz w:val="22"/>
          <w:szCs w:val="22"/>
        </w:rPr>
        <w:t xml:space="preserve">. Distribución de competencia en materia de Servicio Público de Transporte. </w:t>
      </w:r>
    </w:p>
    <w:p w14:paraId="3F19D8FC" w14:textId="1CBAFBA2" w:rsidR="00476269" w:rsidRPr="00B13545" w:rsidRDefault="00476269"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Corresponderá a la Secretaría a través del Registro Público Estatal de Movilidad, Seguridad Vial y Transporte, la programación, coordinación, dirección, evaluación y control de los medios del Sistema de Transporte Público, que se establecen a continuación:</w:t>
      </w:r>
    </w:p>
    <w:p w14:paraId="036C12F1" w14:textId="3873B4A5" w:rsidR="00476269" w:rsidRPr="00B13545" w:rsidRDefault="00476269"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w:t>
      </w:r>
    </w:p>
    <w:p w14:paraId="13126B5A" w14:textId="5F9AE098" w:rsidR="00476269" w:rsidRPr="00B13545" w:rsidRDefault="00351568"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e). Mototaxi y bicitaxi;</w:t>
      </w:r>
    </w:p>
    <w:p w14:paraId="4C2D8819" w14:textId="77777777" w:rsidR="00351568" w:rsidRPr="00B13545" w:rsidRDefault="00351568" w:rsidP="006E054D">
      <w:pPr>
        <w:pStyle w:val="Prrafodelista"/>
        <w:spacing w:line="276" w:lineRule="auto"/>
        <w:ind w:left="851" w:right="539"/>
        <w:jc w:val="both"/>
        <w:rPr>
          <w:rFonts w:ascii="Palatino Linotype" w:hAnsi="Palatino Linotype" w:cs="Tahoma"/>
          <w:bCs/>
          <w:i/>
          <w:iCs/>
          <w:sz w:val="22"/>
          <w:szCs w:val="22"/>
        </w:rPr>
      </w:pPr>
    </w:p>
    <w:p w14:paraId="111C39DE" w14:textId="77777777" w:rsidR="00670215" w:rsidRPr="00B13545" w:rsidRDefault="00670215"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
          <w:i/>
          <w:iCs/>
          <w:sz w:val="22"/>
          <w:szCs w:val="22"/>
        </w:rPr>
        <w:t>Artículo 108.</w:t>
      </w:r>
      <w:r w:rsidRPr="00B13545">
        <w:rPr>
          <w:rFonts w:ascii="Palatino Linotype" w:hAnsi="Palatino Linotype" w:cs="Tahoma"/>
          <w:bCs/>
          <w:i/>
          <w:iCs/>
          <w:sz w:val="22"/>
          <w:szCs w:val="22"/>
        </w:rPr>
        <w:t xml:space="preserve"> Materias que integran el Registro Estatal de Movilidad, Seguridad Vial y Transporte.  </w:t>
      </w:r>
    </w:p>
    <w:p w14:paraId="187985D2" w14:textId="77777777" w:rsidR="00670215" w:rsidRPr="00B13545" w:rsidRDefault="00670215"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 xml:space="preserve">Deberán inscribirse en el Registro Estatal: </w:t>
      </w:r>
    </w:p>
    <w:p w14:paraId="31801BE6" w14:textId="2C422D68" w:rsidR="00670215" w:rsidRPr="00B13545" w:rsidRDefault="004F3E7E"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w:t>
      </w:r>
      <w:r w:rsidR="00670215" w:rsidRPr="00B13545">
        <w:rPr>
          <w:rFonts w:ascii="Palatino Linotype" w:hAnsi="Palatino Linotype" w:cs="Tahoma"/>
          <w:bCs/>
          <w:i/>
          <w:iCs/>
          <w:sz w:val="22"/>
          <w:szCs w:val="22"/>
        </w:rPr>
        <w:t xml:space="preserve"> </w:t>
      </w:r>
    </w:p>
    <w:p w14:paraId="22657B50" w14:textId="090F7820" w:rsidR="00670215" w:rsidRPr="00B13545" w:rsidRDefault="00670215"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II. Todas las concesiones, contratos de subrogación, autorizaciones y permisos en sus distintas modalidades, que expida el Ejecutivo del Gobierno del Estado, así como autorizaciones de bases, lanzaderas y derroteros, modificaciones de alargamiento y enlaces de los mismos;</w:t>
      </w:r>
    </w:p>
    <w:p w14:paraId="0160D82F" w14:textId="77777777" w:rsidR="00471709" w:rsidRPr="00B13545" w:rsidRDefault="00471709" w:rsidP="006E054D">
      <w:pPr>
        <w:pStyle w:val="Prrafodelista"/>
        <w:spacing w:line="276" w:lineRule="auto"/>
        <w:ind w:left="851" w:right="539"/>
        <w:jc w:val="both"/>
        <w:rPr>
          <w:rFonts w:ascii="Palatino Linotype" w:hAnsi="Palatino Linotype" w:cs="Tahoma"/>
          <w:bCs/>
          <w:i/>
          <w:iCs/>
          <w:sz w:val="22"/>
          <w:szCs w:val="22"/>
        </w:rPr>
      </w:pPr>
    </w:p>
    <w:p w14:paraId="2679D892" w14:textId="77777777" w:rsidR="00471709" w:rsidRPr="00B13545" w:rsidRDefault="00471709" w:rsidP="006E054D">
      <w:pPr>
        <w:pStyle w:val="Prrafodelista"/>
        <w:spacing w:line="276" w:lineRule="auto"/>
        <w:ind w:left="851" w:right="539"/>
        <w:jc w:val="both"/>
        <w:rPr>
          <w:rFonts w:ascii="Palatino Linotype" w:hAnsi="Palatino Linotype" w:cs="Tahoma"/>
          <w:b/>
          <w:i/>
          <w:iCs/>
          <w:sz w:val="22"/>
          <w:szCs w:val="22"/>
        </w:rPr>
      </w:pPr>
      <w:r w:rsidRPr="00B13545">
        <w:rPr>
          <w:rFonts w:ascii="Palatino Linotype" w:hAnsi="Palatino Linotype" w:cs="Tahoma"/>
          <w:b/>
          <w:i/>
          <w:iCs/>
          <w:sz w:val="22"/>
          <w:szCs w:val="22"/>
        </w:rPr>
        <w:t xml:space="preserve">Artículo 110. Información del Registro Estatal.  </w:t>
      </w:r>
    </w:p>
    <w:p w14:paraId="6B496FEF" w14:textId="77777777" w:rsidR="00471709" w:rsidRPr="00B13545" w:rsidRDefault="00471709"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 xml:space="preserve">La información contenida en el Registro Estatal es de consulta pública, salvo aquella que por sus características sea de carácter confidencial o reservado, en términos de la Ley de Transparencia y Acceso a la Información Pública del Estado de México y Municipios, la Ley de Protección de Datos Personales en Posesión de Sujetos Obligados del Estado de México y Municipios, sus Reglamentos y demás disposiciones aplicables en la materia. Las inscripciones en el Registro Estatal, y las constancias debidamente certificadas que de ellas se expidan, harán prueba plena. </w:t>
      </w:r>
    </w:p>
    <w:p w14:paraId="1E597600" w14:textId="2B760FD0" w:rsidR="00471709" w:rsidRPr="00B13545" w:rsidRDefault="00471709" w:rsidP="006E054D">
      <w:pPr>
        <w:pStyle w:val="Prrafodelista"/>
        <w:spacing w:line="276" w:lineRule="auto"/>
        <w:ind w:left="851" w:right="539"/>
        <w:jc w:val="both"/>
        <w:rPr>
          <w:rFonts w:ascii="Palatino Linotype" w:hAnsi="Palatino Linotype" w:cs="Tahoma"/>
          <w:bCs/>
          <w:i/>
          <w:iCs/>
          <w:sz w:val="22"/>
          <w:szCs w:val="22"/>
        </w:rPr>
      </w:pPr>
      <w:r w:rsidRPr="00B13545">
        <w:rPr>
          <w:rFonts w:ascii="Palatino Linotype" w:hAnsi="Palatino Linotype" w:cs="Tahoma"/>
          <w:bCs/>
          <w:i/>
          <w:iCs/>
          <w:sz w:val="22"/>
          <w:szCs w:val="22"/>
        </w:rPr>
        <w:t xml:space="preserve">Las personas prestadoras del servicio público de transporte y/o personas particulares podrán solicitar al Registro Estatal la certificación de sus registros e inscripciones, </w:t>
      </w:r>
      <w:r w:rsidRPr="00B13545">
        <w:rPr>
          <w:rFonts w:ascii="Palatino Linotype" w:hAnsi="Palatino Linotype" w:cs="Tahoma"/>
          <w:bCs/>
          <w:i/>
          <w:iCs/>
          <w:sz w:val="22"/>
          <w:szCs w:val="22"/>
        </w:rPr>
        <w:lastRenderedPageBreak/>
        <w:t>previo pago de los derechos correspondientes y la acreditación de su personalidad o autorización para la obtención de las constancias correspondientes</w:t>
      </w:r>
    </w:p>
    <w:p w14:paraId="536237BF" w14:textId="77777777" w:rsidR="00C51D5F" w:rsidRPr="00B13545" w:rsidRDefault="00C51D5F" w:rsidP="006E054D">
      <w:pPr>
        <w:pStyle w:val="Prrafodelista"/>
        <w:spacing w:line="276" w:lineRule="auto"/>
        <w:ind w:left="851" w:right="539"/>
        <w:jc w:val="center"/>
        <w:rPr>
          <w:rFonts w:ascii="Palatino Linotype" w:hAnsi="Palatino Linotype" w:cs="Tahoma"/>
          <w:bCs/>
          <w:i/>
          <w:iCs/>
          <w:sz w:val="22"/>
          <w:szCs w:val="22"/>
        </w:rPr>
      </w:pPr>
    </w:p>
    <w:p w14:paraId="7398D5BB" w14:textId="77777777" w:rsidR="006D4C8F" w:rsidRPr="00B13545" w:rsidRDefault="006D4C8F" w:rsidP="006E054D">
      <w:pPr>
        <w:pStyle w:val="Prrafodelista"/>
        <w:spacing w:line="276" w:lineRule="auto"/>
        <w:ind w:left="851" w:right="539"/>
        <w:jc w:val="center"/>
        <w:rPr>
          <w:rFonts w:ascii="Palatino Linotype" w:hAnsi="Palatino Linotype" w:cs="Tahoma"/>
          <w:bCs/>
          <w:i/>
          <w:iCs/>
          <w:sz w:val="22"/>
          <w:szCs w:val="22"/>
        </w:rPr>
      </w:pPr>
    </w:p>
    <w:p w14:paraId="3A3AE707" w14:textId="77777777" w:rsidR="006D4C8F" w:rsidRPr="00B13545" w:rsidRDefault="006D4C8F" w:rsidP="006E054D">
      <w:pPr>
        <w:pStyle w:val="Prrafodelista"/>
        <w:spacing w:line="276" w:lineRule="auto"/>
        <w:ind w:left="851" w:right="539"/>
        <w:jc w:val="center"/>
        <w:rPr>
          <w:rFonts w:ascii="Palatino Linotype" w:hAnsi="Palatino Linotype" w:cs="Tahoma"/>
          <w:b/>
          <w:i/>
          <w:iCs/>
          <w:sz w:val="22"/>
          <w:szCs w:val="22"/>
        </w:rPr>
      </w:pPr>
    </w:p>
    <w:p w14:paraId="73534B77" w14:textId="575385A5" w:rsidR="00A728DA" w:rsidRPr="00B13545" w:rsidRDefault="00C51D5F" w:rsidP="006E054D">
      <w:pPr>
        <w:pStyle w:val="Prrafodelista"/>
        <w:spacing w:line="276" w:lineRule="auto"/>
        <w:ind w:left="851" w:right="539"/>
        <w:jc w:val="center"/>
        <w:rPr>
          <w:rFonts w:ascii="Palatino Linotype" w:hAnsi="Palatino Linotype" w:cs="Tahoma"/>
          <w:b/>
          <w:i/>
          <w:iCs/>
          <w:sz w:val="22"/>
          <w:szCs w:val="22"/>
        </w:rPr>
      </w:pPr>
      <w:r w:rsidRPr="00B13545">
        <w:rPr>
          <w:rFonts w:ascii="Palatino Linotype" w:hAnsi="Palatino Linotype" w:cs="Tahoma"/>
          <w:b/>
          <w:i/>
          <w:iCs/>
          <w:sz w:val="22"/>
          <w:szCs w:val="22"/>
        </w:rPr>
        <w:t>R</w:t>
      </w:r>
      <w:r w:rsidR="00A728DA" w:rsidRPr="00B13545">
        <w:rPr>
          <w:rFonts w:ascii="Palatino Linotype" w:hAnsi="Palatino Linotype" w:cs="Tahoma"/>
          <w:b/>
          <w:i/>
          <w:iCs/>
          <w:sz w:val="22"/>
          <w:szCs w:val="22"/>
        </w:rPr>
        <w:t>EGLAMENTO INTERIOR DE LA SECRETARÍA DE MOVILIDAD</w:t>
      </w:r>
    </w:p>
    <w:p w14:paraId="26818F19" w14:textId="04229639" w:rsidR="008701DA" w:rsidRPr="00B13545" w:rsidRDefault="008701DA" w:rsidP="006E054D">
      <w:pPr>
        <w:pStyle w:val="Prrafodelista"/>
        <w:spacing w:line="276" w:lineRule="auto"/>
        <w:ind w:left="851" w:right="539"/>
        <w:jc w:val="center"/>
        <w:rPr>
          <w:rFonts w:ascii="Palatino Linotype" w:hAnsi="Palatino Linotype" w:cs="Tahoma"/>
          <w:bCs/>
          <w:i/>
          <w:iCs/>
          <w:sz w:val="20"/>
          <w:szCs w:val="20"/>
        </w:rPr>
      </w:pPr>
      <w:r w:rsidRPr="00B13545">
        <w:rPr>
          <w:rFonts w:ascii="Palatino Linotype" w:hAnsi="Palatino Linotype" w:cs="Tahoma"/>
          <w:bCs/>
          <w:i/>
          <w:iCs/>
          <w:sz w:val="20"/>
          <w:szCs w:val="20"/>
        </w:rPr>
        <w:t>(Publicado en el Periódico Oficial “Gaceta del Gobierno” el 20 de diciembre de 2023)</w:t>
      </w:r>
    </w:p>
    <w:p w14:paraId="1AD99FF3" w14:textId="77777777" w:rsidR="00A728DA" w:rsidRPr="00B13545" w:rsidRDefault="00A728DA" w:rsidP="006E054D">
      <w:pPr>
        <w:pStyle w:val="Prrafodelista"/>
        <w:spacing w:line="276" w:lineRule="auto"/>
        <w:ind w:left="851" w:right="539"/>
        <w:rPr>
          <w:rFonts w:ascii="Palatino Linotype" w:hAnsi="Palatino Linotype" w:cs="Tahoma"/>
          <w:bCs/>
          <w:iCs/>
          <w:sz w:val="22"/>
          <w:szCs w:val="22"/>
        </w:rPr>
      </w:pPr>
    </w:p>
    <w:p w14:paraId="1EC981B1" w14:textId="09107655" w:rsidR="009A4BAB" w:rsidRPr="00B13545" w:rsidRDefault="00A728DA"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i/>
          <w:iCs/>
          <w:sz w:val="22"/>
          <w:szCs w:val="22"/>
          <w:lang w:eastAsia="en-US"/>
        </w:rPr>
        <w:t>Artículo 2</w:t>
      </w:r>
      <w:r w:rsidRPr="00B13545">
        <w:rPr>
          <w:rFonts w:ascii="Palatino Linotype" w:eastAsiaTheme="minorHAnsi" w:hAnsi="Palatino Linotype" w:cstheme="minorBidi"/>
          <w:i/>
          <w:iCs/>
          <w:sz w:val="22"/>
          <w:szCs w:val="22"/>
          <w:lang w:eastAsia="en-US"/>
        </w:rPr>
        <w:t xml:space="preserve">. La Secretaría de Movilidad tiene a su cargo el despacho de los asuntos que le encomiendan la Ley Orgánica de la Administración Pública del Estado de México, </w:t>
      </w:r>
      <w:r w:rsidR="006B79B8" w:rsidRPr="00B13545">
        <w:rPr>
          <w:rFonts w:ascii="Palatino Linotype" w:eastAsiaTheme="minorHAnsi" w:hAnsi="Palatino Linotype" w:cstheme="minorBidi"/>
          <w:i/>
          <w:iCs/>
          <w:sz w:val="22"/>
          <w:szCs w:val="22"/>
          <w:lang w:eastAsia="en-US"/>
        </w:rPr>
        <w:t>la Ley de Movilidad del Estado de México, el Código Administrativo del Estado de México, el Reglamento del Transporte Público</w:t>
      </w:r>
      <w:r w:rsidR="009A4BAB" w:rsidRPr="00B13545">
        <w:rPr>
          <w:rFonts w:ascii="Palatino Linotype" w:eastAsiaTheme="minorHAnsi" w:hAnsi="Palatino Linotype" w:cstheme="minorBidi"/>
          <w:i/>
          <w:iCs/>
          <w:sz w:val="22"/>
          <w:szCs w:val="22"/>
          <w:lang w:eastAsia="en-US"/>
        </w:rPr>
        <w:t xml:space="preserve"> y Servicios Conexos del Estado de México, el Reglamento de Comunicaciones del Estado de México, y demás ordenamientos jurídicos aplicables. Asimismo, la Secretaría de Movilidad asumirá los compromisos y las obligaciones que establezcan los acuerdos, convenios o contratos que suscriba el Gobierno del Estado de México, con los gobiernos Federales, estatales y municipales en las materias que se encuentren en el ámbito de su competencia.</w:t>
      </w:r>
    </w:p>
    <w:p w14:paraId="7D4A7FD2" w14:textId="587849EF" w:rsidR="00A728DA" w:rsidRPr="00B13545" w:rsidRDefault="00F46E7D" w:rsidP="006E054D">
      <w:pPr>
        <w:autoSpaceDE w:val="0"/>
        <w:autoSpaceDN w:val="0"/>
        <w:adjustRightInd w:val="0"/>
        <w:spacing w:line="276" w:lineRule="auto"/>
        <w:ind w:left="851" w:right="539"/>
        <w:jc w:val="both"/>
        <w:rPr>
          <w:rFonts w:ascii="Palatino Linotype" w:eastAsiaTheme="minorHAnsi" w:hAnsi="Palatino Linotype" w:cstheme="minorBidi"/>
          <w:sz w:val="22"/>
          <w:szCs w:val="22"/>
          <w:lang w:eastAsia="en-US"/>
        </w:rPr>
      </w:pPr>
      <w:r w:rsidRPr="00B13545">
        <w:rPr>
          <w:rFonts w:ascii="Palatino Linotype" w:eastAsiaTheme="minorHAnsi" w:hAnsi="Palatino Linotype" w:cstheme="minorBidi"/>
          <w:i/>
          <w:iCs/>
          <w:sz w:val="22"/>
          <w:szCs w:val="22"/>
          <w:lang w:eastAsia="en-US"/>
        </w:rPr>
        <w:t>…</w:t>
      </w:r>
      <w:r w:rsidR="00A728DA" w:rsidRPr="00B13545">
        <w:rPr>
          <w:rFonts w:ascii="Palatino Linotype" w:eastAsiaTheme="minorHAnsi" w:hAnsi="Palatino Linotype" w:cstheme="minorBidi"/>
          <w:i/>
          <w:iCs/>
          <w:sz w:val="22"/>
          <w:szCs w:val="22"/>
          <w:lang w:eastAsia="en-US"/>
        </w:rPr>
        <w:t xml:space="preserve"> </w:t>
      </w:r>
    </w:p>
    <w:p w14:paraId="196F8908" w14:textId="77777777" w:rsidR="00F46E7D" w:rsidRPr="00B13545" w:rsidRDefault="00A728DA"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i/>
          <w:iCs/>
          <w:sz w:val="22"/>
          <w:szCs w:val="22"/>
          <w:lang w:eastAsia="en-US"/>
        </w:rPr>
        <w:t>Artículo 3</w:t>
      </w:r>
      <w:r w:rsidRPr="00B13545">
        <w:rPr>
          <w:rFonts w:ascii="Palatino Linotype" w:eastAsiaTheme="minorHAnsi" w:hAnsi="Palatino Linotype" w:cstheme="minorBidi"/>
          <w:i/>
          <w:iCs/>
          <w:sz w:val="22"/>
          <w:szCs w:val="22"/>
          <w:lang w:eastAsia="en-US"/>
        </w:rPr>
        <w:t>. Para</w:t>
      </w:r>
      <w:r w:rsidR="00F46E7D" w:rsidRPr="00B13545">
        <w:rPr>
          <w:rFonts w:ascii="Palatino Linotype" w:eastAsiaTheme="minorHAnsi" w:hAnsi="Palatino Linotype" w:cstheme="minorBidi"/>
          <w:i/>
          <w:iCs/>
          <w:sz w:val="22"/>
          <w:szCs w:val="22"/>
          <w:lang w:eastAsia="en-US"/>
        </w:rPr>
        <w:t xml:space="preserve"> los efectos del presente Reglamento se entenderá por:</w:t>
      </w:r>
    </w:p>
    <w:p w14:paraId="27BC3D5F" w14:textId="2407FF8A" w:rsidR="00F46E7D" w:rsidRPr="00B13545" w:rsidRDefault="00F46E7D"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Coordinaciones: a la Coordinación Administrativa, y a la Coordinación Jurídica, de Igualdad de Género y Erradicación de la Violencia];</w:t>
      </w:r>
    </w:p>
    <w:p w14:paraId="18748596" w14:textId="6560D2D2" w:rsidR="001A06E1" w:rsidRPr="00B13545" w:rsidRDefault="001A06E1"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Direcciones Generales: A las Direcciones Generales</w:t>
      </w:r>
      <w:r w:rsidR="00401CF4" w:rsidRPr="00B13545">
        <w:rPr>
          <w:rFonts w:ascii="Palatino Linotype" w:eastAsiaTheme="minorHAnsi" w:hAnsi="Palatino Linotype" w:cstheme="minorBidi"/>
          <w:i/>
          <w:iCs/>
          <w:sz w:val="22"/>
          <w:szCs w:val="22"/>
          <w:lang w:eastAsia="en-US"/>
        </w:rPr>
        <w:t xml:space="preserve"> de Movilidad I, II, III y IV, así como a la Dirección General de Vialidad</w:t>
      </w:r>
    </w:p>
    <w:p w14:paraId="4E84A592" w14:textId="6F9DD1E3" w:rsidR="00401CF4" w:rsidRPr="00B13545" w:rsidRDefault="00401CF4"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Personas servidores públicas: A toda persona que desempeñe un empleo, cargo o comisión adscrita a las Secretaría de Movilidad</w:t>
      </w:r>
      <w:r w:rsidR="00891861" w:rsidRPr="00B13545">
        <w:rPr>
          <w:rFonts w:ascii="Palatino Linotype" w:eastAsiaTheme="minorHAnsi" w:hAnsi="Palatino Linotype" w:cstheme="minorBidi"/>
          <w:i/>
          <w:iCs/>
          <w:sz w:val="22"/>
          <w:szCs w:val="22"/>
          <w:lang w:eastAsia="en-US"/>
        </w:rPr>
        <w:t>;</w:t>
      </w:r>
    </w:p>
    <w:p w14:paraId="1489F21F" w14:textId="006A3161" w:rsidR="00891861" w:rsidRPr="00B13545" w:rsidRDefault="00891861"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Persona Titular de la Secretaría: A la persona que sea nombrada para estar al frente de la Secretaría</w:t>
      </w:r>
      <w:r w:rsidR="00C30A87" w:rsidRPr="00B13545">
        <w:rPr>
          <w:rFonts w:ascii="Palatino Linotype" w:eastAsiaTheme="minorHAnsi" w:hAnsi="Palatino Linotype" w:cstheme="minorBidi"/>
          <w:i/>
          <w:iCs/>
          <w:sz w:val="22"/>
          <w:szCs w:val="22"/>
          <w:lang w:eastAsia="en-US"/>
        </w:rPr>
        <w:t>:</w:t>
      </w:r>
    </w:p>
    <w:p w14:paraId="04F508F8" w14:textId="7901E31B" w:rsidR="00C30A87" w:rsidRPr="00B13545" w:rsidRDefault="00C30A87"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Persona Titular del Poder Ejecutivo: A la persona titular del Gobierno del Estado;</w:t>
      </w:r>
    </w:p>
    <w:p w14:paraId="58728E8C" w14:textId="0D9DFBB6" w:rsidR="00C30A87" w:rsidRPr="00B13545" w:rsidRDefault="00C30A87"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Reglamento: Al Reglamento Interior de la Secretaría de Movilidad;</w:t>
      </w:r>
    </w:p>
    <w:p w14:paraId="00CE2AD8" w14:textId="5E33AFB2" w:rsidR="00C30A87" w:rsidRPr="00B13545" w:rsidRDefault="00C30A87"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Secretaría: A la Secretaría de Movilidad, y </w:t>
      </w:r>
    </w:p>
    <w:p w14:paraId="7FE83646" w14:textId="68A1833F" w:rsidR="00C30A87" w:rsidRPr="00B13545" w:rsidRDefault="00C30A87" w:rsidP="006E054D">
      <w:pPr>
        <w:pStyle w:val="Prrafodelista"/>
        <w:numPr>
          <w:ilvl w:val="1"/>
          <w:numId w:val="2"/>
        </w:numPr>
        <w:autoSpaceDE w:val="0"/>
        <w:autoSpaceDN w:val="0"/>
        <w:adjustRightInd w:val="0"/>
        <w:spacing w:line="276" w:lineRule="auto"/>
        <w:ind w:left="993" w:right="539" w:firstLine="0"/>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Subsecretaría: A la Subsecretaría de Movilidad</w:t>
      </w:r>
      <w:r w:rsidR="00CF35CE" w:rsidRPr="00B13545">
        <w:rPr>
          <w:rFonts w:ascii="Palatino Linotype" w:eastAsiaTheme="minorHAnsi" w:hAnsi="Palatino Linotype" w:cstheme="minorBidi"/>
          <w:i/>
          <w:iCs/>
          <w:sz w:val="22"/>
          <w:szCs w:val="22"/>
          <w:lang w:eastAsia="en-US"/>
        </w:rPr>
        <w:t>.</w:t>
      </w:r>
    </w:p>
    <w:p w14:paraId="1734FE20" w14:textId="77777777" w:rsidR="00CF35CE" w:rsidRPr="00B13545" w:rsidRDefault="00CF35CE" w:rsidP="006E054D">
      <w:pPr>
        <w:pStyle w:val="Prrafodelista"/>
        <w:autoSpaceDE w:val="0"/>
        <w:autoSpaceDN w:val="0"/>
        <w:adjustRightInd w:val="0"/>
        <w:spacing w:line="276" w:lineRule="auto"/>
        <w:ind w:left="993" w:right="539"/>
        <w:jc w:val="both"/>
        <w:rPr>
          <w:rFonts w:ascii="Palatino Linotype" w:eastAsiaTheme="minorHAnsi" w:hAnsi="Palatino Linotype" w:cstheme="minorBidi"/>
          <w:i/>
          <w:iCs/>
          <w:sz w:val="22"/>
          <w:szCs w:val="22"/>
          <w:lang w:eastAsia="en-US"/>
        </w:rPr>
      </w:pPr>
    </w:p>
    <w:p w14:paraId="08A51388" w14:textId="736C031D" w:rsidR="00576F22" w:rsidRPr="00B13545" w:rsidRDefault="00576F22"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i/>
          <w:iCs/>
          <w:sz w:val="22"/>
          <w:szCs w:val="22"/>
          <w:lang w:eastAsia="en-US"/>
        </w:rPr>
        <w:t xml:space="preserve">Artículo 7. </w:t>
      </w:r>
      <w:r w:rsidRPr="00B13545">
        <w:rPr>
          <w:rFonts w:ascii="Palatino Linotype" w:eastAsiaTheme="minorHAnsi" w:hAnsi="Palatino Linotype" w:cstheme="minorBidi"/>
          <w:i/>
          <w:iCs/>
          <w:sz w:val="22"/>
          <w:szCs w:val="22"/>
          <w:lang w:eastAsia="en-US"/>
        </w:rPr>
        <w:t>Corresponde a la persona titular de la Secretaría las atribuciones siguientes:</w:t>
      </w:r>
    </w:p>
    <w:p w14:paraId="2A7B4B90" w14:textId="4233999C" w:rsidR="006B233E" w:rsidRPr="00B13545" w:rsidRDefault="006B233E"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b/>
          <w:i/>
          <w:iCs/>
          <w:sz w:val="22"/>
          <w:szCs w:val="22"/>
          <w:lang w:eastAsia="en-US"/>
        </w:rPr>
      </w:pPr>
      <w:r w:rsidRPr="00B13545">
        <w:rPr>
          <w:rFonts w:ascii="Palatino Linotype" w:eastAsiaTheme="minorHAnsi" w:hAnsi="Palatino Linotype" w:cstheme="minorBidi"/>
          <w:b/>
          <w:i/>
          <w:iCs/>
          <w:sz w:val="22"/>
          <w:szCs w:val="22"/>
          <w:lang w:eastAsia="en-US"/>
        </w:rPr>
        <w:t>…</w:t>
      </w:r>
    </w:p>
    <w:p w14:paraId="7AE9F9A7" w14:textId="580A5C0D" w:rsidR="00E9515D" w:rsidRPr="00B13545" w:rsidRDefault="00F47C3E"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bCs/>
          <w:i/>
          <w:iCs/>
          <w:sz w:val="22"/>
          <w:szCs w:val="22"/>
          <w:lang w:eastAsia="en-US"/>
        </w:rPr>
        <w:lastRenderedPageBreak/>
        <w:t>XLII.</w:t>
      </w:r>
      <w:r w:rsidRPr="00B13545">
        <w:rPr>
          <w:rFonts w:ascii="Palatino Linotype" w:eastAsiaTheme="minorHAnsi" w:hAnsi="Palatino Linotype" w:cstheme="minorBidi"/>
          <w:i/>
          <w:iCs/>
          <w:sz w:val="22"/>
          <w:szCs w:val="22"/>
          <w:lang w:eastAsia="en-US"/>
        </w:rPr>
        <w:t xml:space="preserve"> Aprobar las concesiones, permisos o autorizaciones, según corresponda, para la prestación del servicio público de pasajeros colectivo, individual, mixto, y el servicio de arrastre, salvamento, guarda, custodia y depósito de vehículos;</w:t>
      </w:r>
    </w:p>
    <w:p w14:paraId="0BA50051" w14:textId="5E29AEA0" w:rsidR="00F47C3E" w:rsidRPr="00B13545" w:rsidRDefault="00F47C3E"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7658EBC9" w14:textId="1579A9C1" w:rsidR="00F47C3E" w:rsidRPr="00B13545" w:rsidRDefault="00F47C3E"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bCs/>
          <w:i/>
          <w:iCs/>
          <w:sz w:val="22"/>
          <w:szCs w:val="22"/>
          <w:lang w:eastAsia="en-US"/>
        </w:rPr>
        <w:t>XLIV.</w:t>
      </w:r>
      <w:r w:rsidRPr="00B13545">
        <w:rPr>
          <w:rFonts w:ascii="Palatino Linotype" w:eastAsiaTheme="minorHAnsi" w:hAnsi="Palatino Linotype" w:cstheme="minorBidi"/>
          <w:i/>
          <w:iCs/>
          <w:sz w:val="22"/>
          <w:szCs w:val="22"/>
          <w:lang w:eastAsia="en-US"/>
        </w:rPr>
        <w:t xml:space="preserve"> Determinar el otorgamiento, modificación, revocación, rescate, sustitución, cancelación o terminación de las concesiones, permisos o autorizaciones,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 así como para el  ejercicio de los derechos de rescate y reversión;</w:t>
      </w:r>
    </w:p>
    <w:p w14:paraId="7C6DECA3" w14:textId="6445EA3D" w:rsidR="00BC6CD8" w:rsidRPr="00B13545" w:rsidRDefault="00BC6CD8"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i/>
          <w:iCs/>
          <w:sz w:val="22"/>
          <w:szCs w:val="22"/>
          <w:lang w:eastAsia="en-US"/>
        </w:rPr>
        <w:t>…</w:t>
      </w:r>
    </w:p>
    <w:p w14:paraId="40D7B115" w14:textId="5092FAB6" w:rsidR="00CF35CE" w:rsidRPr="00B13545" w:rsidRDefault="00300DB3"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i/>
          <w:iCs/>
          <w:sz w:val="22"/>
          <w:szCs w:val="22"/>
          <w:lang w:eastAsia="en-US"/>
        </w:rPr>
        <w:t>LIV.</w:t>
      </w:r>
      <w:r w:rsidRPr="00B13545">
        <w:rPr>
          <w:rFonts w:ascii="Palatino Linotype" w:eastAsiaTheme="minorHAnsi" w:hAnsi="Palatino Linotype" w:cstheme="minorBidi"/>
          <w:i/>
          <w:iCs/>
          <w:sz w:val="22"/>
          <w:szCs w:val="22"/>
          <w:lang w:eastAsia="en-US"/>
        </w:rPr>
        <w:t xml:space="preserve"> Aprobar y suscribir las bases, convocatoria y autorizaciones para el otorgamiento, prórroga, modificación, revocación, cancelación, rescate, </w:t>
      </w:r>
      <w:r w:rsidRPr="00B13545">
        <w:rPr>
          <w:rFonts w:ascii="Palatino Linotype" w:eastAsiaTheme="minorHAnsi" w:hAnsi="Palatino Linotype" w:cstheme="minorBidi"/>
          <w:b/>
          <w:i/>
          <w:iCs/>
          <w:sz w:val="22"/>
          <w:szCs w:val="22"/>
          <w:u w:val="single"/>
          <w:lang w:eastAsia="en-US"/>
        </w:rPr>
        <w:t>de concesiones y permisos</w:t>
      </w:r>
      <w:r w:rsidRPr="00B13545">
        <w:rPr>
          <w:rFonts w:ascii="Palatino Linotype" w:eastAsiaTheme="minorHAnsi" w:hAnsi="Palatino Linotype" w:cstheme="minorBidi"/>
          <w:i/>
          <w:iCs/>
          <w:sz w:val="22"/>
          <w:szCs w:val="22"/>
          <w:lang w:eastAsia="en-US"/>
        </w:rPr>
        <w:t>, según corresponda, para la prestación del servicio público de pasajeros colectivo, individual, mixto, y el servicio de arrastre, salvamento, guarda, custodia y depósito de vehículos, y para la construcción, ampliación, rehabilitación, mantenimiento, administración y operación de la infraestructura vial primaria libre de peaje y de cuota y de los sistemas de transporte masivo o de alta capacidad;</w:t>
      </w:r>
    </w:p>
    <w:p w14:paraId="693823F6" w14:textId="25F16819" w:rsidR="00BC6CD8" w:rsidRPr="00B13545" w:rsidRDefault="00BC6CD8"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i/>
          <w:iCs/>
          <w:sz w:val="22"/>
          <w:szCs w:val="22"/>
          <w:lang w:eastAsia="en-US"/>
        </w:rPr>
        <w:t>…</w:t>
      </w:r>
    </w:p>
    <w:p w14:paraId="21F83670" w14:textId="77777777" w:rsidR="00837D78" w:rsidRPr="00B13545" w:rsidRDefault="00837D78" w:rsidP="006E054D">
      <w:pPr>
        <w:autoSpaceDE w:val="0"/>
        <w:autoSpaceDN w:val="0"/>
        <w:adjustRightInd w:val="0"/>
        <w:spacing w:line="276" w:lineRule="auto"/>
        <w:ind w:left="851" w:right="539"/>
        <w:jc w:val="center"/>
        <w:rPr>
          <w:rFonts w:ascii="Palatino Linotype" w:eastAsiaTheme="minorHAnsi" w:hAnsi="Palatino Linotype" w:cstheme="minorBidi"/>
          <w:i/>
          <w:iCs/>
          <w:sz w:val="22"/>
          <w:szCs w:val="22"/>
          <w:lang w:eastAsia="en-US"/>
        </w:rPr>
      </w:pPr>
    </w:p>
    <w:p w14:paraId="247E83B5" w14:textId="55E08918" w:rsidR="00837D78" w:rsidRPr="00B13545" w:rsidRDefault="00837D78" w:rsidP="006E054D">
      <w:pPr>
        <w:autoSpaceDE w:val="0"/>
        <w:autoSpaceDN w:val="0"/>
        <w:adjustRightInd w:val="0"/>
        <w:spacing w:line="276" w:lineRule="auto"/>
        <w:ind w:left="851" w:right="539"/>
        <w:jc w:val="center"/>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Capítulo III</w:t>
      </w:r>
    </w:p>
    <w:p w14:paraId="078BD0EE" w14:textId="197D60DF" w:rsidR="00837D78" w:rsidRPr="00B13545" w:rsidRDefault="00837D78" w:rsidP="006E054D">
      <w:pPr>
        <w:autoSpaceDE w:val="0"/>
        <w:autoSpaceDN w:val="0"/>
        <w:adjustRightInd w:val="0"/>
        <w:spacing w:line="276" w:lineRule="auto"/>
        <w:ind w:left="851" w:right="539"/>
        <w:jc w:val="center"/>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De las Atribuciones Específicas de las Personas Titulares de las Unidades Administrativas adscritas a la Secretaría</w:t>
      </w:r>
    </w:p>
    <w:p w14:paraId="01B86167" w14:textId="77777777" w:rsidR="00837D78" w:rsidRPr="00B13545" w:rsidRDefault="00837D78"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7CD2A780" w14:textId="19DB00BF" w:rsidR="0088181C" w:rsidRPr="00B13545" w:rsidRDefault="00837D78"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Artículo 10. Corresponden a la Subsecretaría las siguientes atribuciones:</w:t>
      </w:r>
    </w:p>
    <w:p w14:paraId="0B4D8ACB" w14:textId="2D7ABAD9" w:rsidR="00837D78" w:rsidRPr="00B13545" w:rsidRDefault="00837D78"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4A7B1E89" w14:textId="77777777" w:rsidR="00837D78" w:rsidRPr="00B13545" w:rsidRDefault="00837D78"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II. Suscribir los documentos relacionados con el otorgamiento de concesiones, permisos, autorizaciones de bases, lanzaderas y derroteros, modificaciones de alargamientos y enlaces de los mismos, así como con las autorizaciones de </w:t>
      </w:r>
      <w:proofErr w:type="spellStart"/>
      <w:r w:rsidRPr="00B13545">
        <w:rPr>
          <w:rFonts w:ascii="Palatino Linotype" w:eastAsiaTheme="minorHAnsi" w:hAnsi="Palatino Linotype" w:cstheme="minorBidi"/>
          <w:i/>
          <w:iCs/>
          <w:sz w:val="22"/>
          <w:szCs w:val="22"/>
          <w:lang w:eastAsia="en-US"/>
        </w:rPr>
        <w:t>emplacamiento</w:t>
      </w:r>
      <w:proofErr w:type="spellEnd"/>
      <w:r w:rsidRPr="00B13545">
        <w:rPr>
          <w:rFonts w:ascii="Palatino Linotype" w:eastAsiaTheme="minorHAnsi" w:hAnsi="Palatino Linotype" w:cstheme="minorBidi"/>
          <w:i/>
          <w:iCs/>
          <w:sz w:val="22"/>
          <w:szCs w:val="22"/>
          <w:lang w:eastAsia="en-US"/>
        </w:rPr>
        <w:t>, previo acuerdo con la persona Titular de la Secretaría;</w:t>
      </w:r>
    </w:p>
    <w:p w14:paraId="784794E8" w14:textId="704F46A2" w:rsidR="00837D78" w:rsidRPr="00B13545" w:rsidRDefault="00837D78"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III. Suscribir los documentos relativos a concesiones, permisos y autorizaciones para la prestación del servicio público de transporte en sus diversas modalidades o relacionadas </w:t>
      </w:r>
      <w:r w:rsidRPr="00B13545">
        <w:rPr>
          <w:rFonts w:ascii="Palatino Linotype" w:eastAsiaTheme="minorHAnsi" w:hAnsi="Palatino Linotype" w:cstheme="minorBidi"/>
          <w:i/>
          <w:iCs/>
          <w:sz w:val="22"/>
          <w:szCs w:val="22"/>
          <w:lang w:eastAsia="en-US"/>
        </w:rPr>
        <w:lastRenderedPageBreak/>
        <w:t>con él, de los servicios auxiliares y de las autorizaciones de los servicios conexos y aquellas para la operación de los talleres de inspección y servicio;</w:t>
      </w:r>
    </w:p>
    <w:p w14:paraId="198325BC" w14:textId="122EB607"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069B1CA6" w14:textId="77777777"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089120BB" w14:textId="77777777"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Artículo 11. La Subsecretaría tendrá bajo su adscripción las siguientes unidades administrativas: </w:t>
      </w:r>
    </w:p>
    <w:p w14:paraId="43689D63" w14:textId="77777777"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bookmarkStart w:id="17" w:name="_Hlk185349113"/>
      <w:r w:rsidRPr="00B13545">
        <w:rPr>
          <w:rFonts w:ascii="Palatino Linotype" w:eastAsiaTheme="minorHAnsi" w:hAnsi="Palatino Linotype" w:cstheme="minorBidi"/>
          <w:i/>
          <w:iCs/>
          <w:sz w:val="22"/>
          <w:szCs w:val="22"/>
          <w:lang w:eastAsia="en-US"/>
        </w:rPr>
        <w:t xml:space="preserve">I. Dirección General de Movilidad Zona I; </w:t>
      </w:r>
    </w:p>
    <w:p w14:paraId="26D33D7D" w14:textId="77777777"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II. Dirección General de Movilidad Zona II; </w:t>
      </w:r>
    </w:p>
    <w:p w14:paraId="13222D85" w14:textId="77777777"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III. Dirección General de Movilidad Zona III; </w:t>
      </w:r>
    </w:p>
    <w:p w14:paraId="21DD50B7" w14:textId="77777777"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 IV. Dirección General de Movilidad Zona IV, y </w:t>
      </w:r>
    </w:p>
    <w:p w14:paraId="2135430F" w14:textId="2138FA0C" w:rsidR="00AE1A57" w:rsidRPr="00B13545" w:rsidRDefault="00AE1A5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V. Dirección del Registro Estatal de Transporte Público</w:t>
      </w:r>
      <w:bookmarkEnd w:id="17"/>
      <w:r w:rsidRPr="00B13545">
        <w:rPr>
          <w:rFonts w:ascii="Palatino Linotype" w:eastAsiaTheme="minorHAnsi" w:hAnsi="Palatino Linotype" w:cstheme="minorBidi"/>
          <w:i/>
          <w:iCs/>
          <w:sz w:val="22"/>
          <w:szCs w:val="22"/>
          <w:lang w:eastAsia="en-US"/>
        </w:rPr>
        <w:t>.</w:t>
      </w:r>
    </w:p>
    <w:p w14:paraId="58E36BC8" w14:textId="77777777" w:rsidR="0088181C" w:rsidRPr="00B13545" w:rsidRDefault="0088181C"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0D6A7961" w14:textId="51818E53" w:rsidR="00BC26E1" w:rsidRPr="00B13545" w:rsidRDefault="00BC26E1"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Artículo 12.  Corresponden a las Direcciones Generales de Movilidad Zona I, II, III y IV, en su respectiva circunscripción territorial, las atribuciones siguientes:</w:t>
      </w:r>
    </w:p>
    <w:p w14:paraId="4BFD6271" w14:textId="19522CCA" w:rsidR="00BC26E1" w:rsidRPr="00B13545" w:rsidRDefault="00BC26E1"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3BE4FEB9" w14:textId="1B398C31" w:rsidR="00BC26E1" w:rsidRPr="00B13545" w:rsidRDefault="00BC26E1"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V. Coordinar la atención a las solicitudes y dar seguimiento a la </w:t>
      </w:r>
      <w:r w:rsidRPr="00B13545">
        <w:rPr>
          <w:rFonts w:ascii="Palatino Linotype" w:eastAsiaTheme="minorHAnsi" w:hAnsi="Palatino Linotype" w:cstheme="minorBidi"/>
          <w:b/>
          <w:bCs/>
          <w:i/>
          <w:iCs/>
          <w:sz w:val="22"/>
          <w:szCs w:val="22"/>
          <w:lang w:eastAsia="en-US"/>
        </w:rPr>
        <w:t>expedición de concesiones, permisos</w:t>
      </w:r>
      <w:r w:rsidRPr="00B13545">
        <w:rPr>
          <w:rFonts w:ascii="Palatino Linotype" w:eastAsiaTheme="minorHAnsi" w:hAnsi="Palatino Linotype" w:cstheme="minorBidi"/>
          <w:i/>
          <w:iCs/>
          <w:sz w:val="22"/>
          <w:szCs w:val="22"/>
          <w:lang w:eastAsia="en-US"/>
        </w:rPr>
        <w:t xml:space="preserve">, </w:t>
      </w:r>
      <w:r w:rsidRPr="00B13545">
        <w:rPr>
          <w:rFonts w:ascii="Palatino Linotype" w:eastAsiaTheme="minorHAnsi" w:hAnsi="Palatino Linotype" w:cstheme="minorBidi"/>
          <w:b/>
          <w:bCs/>
          <w:i/>
          <w:iCs/>
          <w:sz w:val="22"/>
          <w:szCs w:val="22"/>
          <w:lang w:eastAsia="en-US"/>
        </w:rPr>
        <w:t xml:space="preserve">autorizaciones de para </w:t>
      </w:r>
      <w:r w:rsidRPr="00B13545">
        <w:rPr>
          <w:rFonts w:ascii="Palatino Linotype" w:eastAsiaTheme="minorHAnsi" w:hAnsi="Palatino Linotype" w:cstheme="minorBidi"/>
          <w:i/>
          <w:iCs/>
          <w:sz w:val="22"/>
          <w:szCs w:val="22"/>
          <w:lang w:eastAsia="en-US"/>
        </w:rPr>
        <w:t xml:space="preserve">los alargamientos, derroteros, enlace, enrolamiento, </w:t>
      </w:r>
      <w:r w:rsidRPr="00B13545">
        <w:rPr>
          <w:rFonts w:ascii="Palatino Linotype" w:eastAsiaTheme="minorHAnsi" w:hAnsi="Palatino Linotype" w:cstheme="minorBidi"/>
          <w:b/>
          <w:bCs/>
          <w:i/>
          <w:iCs/>
          <w:sz w:val="22"/>
          <w:szCs w:val="22"/>
          <w:lang w:eastAsia="en-US"/>
        </w:rPr>
        <w:t>bases</w:t>
      </w:r>
      <w:r w:rsidRPr="00B13545">
        <w:rPr>
          <w:rFonts w:ascii="Palatino Linotype" w:eastAsiaTheme="minorHAnsi" w:hAnsi="Palatino Linotype" w:cstheme="minorBidi"/>
          <w:i/>
          <w:iCs/>
          <w:sz w:val="22"/>
          <w:szCs w:val="22"/>
          <w:lang w:eastAsia="en-US"/>
        </w:rPr>
        <w:t>, paraderos, frecuencia, rutas y horarios para la operación de los servicios de transporte en la Entidad, de acuerdo con los estudios técnicos y tomando en cuenta la necesidad pública existente;</w:t>
      </w:r>
    </w:p>
    <w:p w14:paraId="3F4D9460" w14:textId="67CF91CE" w:rsidR="00CD07BA" w:rsidRPr="00B13545" w:rsidRDefault="00CD07BA"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6A9FDE81" w14:textId="7237C4C8" w:rsidR="00CD07BA" w:rsidRPr="00B13545" w:rsidRDefault="00CD07BA"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XIX. Dictaminar respecto de la creación, modificación, enlace o cancelación de alargamientos, derroteros, enlaces, enrolamientos, bases, paraderos, frecuencias y horarios, previo acuerdo de la persona titular de la Subsecretaría;</w:t>
      </w:r>
    </w:p>
    <w:p w14:paraId="708400C0" w14:textId="7913B23E" w:rsidR="00CD07BA" w:rsidRPr="00B13545" w:rsidRDefault="00CD07BA"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2B940482" w14:textId="44C59EB9" w:rsidR="00CD07BA" w:rsidRPr="00B13545" w:rsidRDefault="00CD07BA"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XX. Supervisar los actos relacionados con el otorgamiento de concesiones, permisos y autorizaciones en los que intervengan las delegaciones regionales de movilidad bajo su adscripción;</w:t>
      </w:r>
    </w:p>
    <w:p w14:paraId="16B61D5A" w14:textId="5B8A5500" w:rsidR="005E53DC" w:rsidRPr="00B13545" w:rsidRDefault="005E53DC"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450C3D84" w14:textId="2B6905A8" w:rsidR="005E53DC" w:rsidRPr="00B13545" w:rsidRDefault="005E53DC"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XXXI. </w:t>
      </w:r>
      <w:r w:rsidRPr="00B13545">
        <w:rPr>
          <w:rFonts w:ascii="Palatino Linotype" w:eastAsiaTheme="minorHAnsi" w:hAnsi="Palatino Linotype" w:cstheme="minorBidi"/>
          <w:b/>
          <w:bCs/>
          <w:i/>
          <w:iCs/>
          <w:sz w:val="22"/>
          <w:szCs w:val="22"/>
          <w:lang w:eastAsia="en-US"/>
        </w:rPr>
        <w:t>Coordinar la realización de los trámites para el otorgamiento de permisos para la prestación de servicios de transporte de pasajeros</w:t>
      </w:r>
      <w:r w:rsidRPr="00B13545">
        <w:rPr>
          <w:rFonts w:ascii="Palatino Linotype" w:eastAsiaTheme="minorHAnsi" w:hAnsi="Palatino Linotype" w:cstheme="minorBidi"/>
          <w:i/>
          <w:iCs/>
          <w:sz w:val="22"/>
          <w:szCs w:val="22"/>
          <w:lang w:eastAsia="en-US"/>
        </w:rPr>
        <w:t>, de carga y de arrastre y traslado; de servicios conexos; y para la instalación y explotación de anuncios publicitarios en los diversos tipos de vehículos y servicios auxiliares y conexos;</w:t>
      </w:r>
    </w:p>
    <w:p w14:paraId="75F9F854" w14:textId="77777777" w:rsidR="005E53DC" w:rsidRPr="00B13545" w:rsidRDefault="005E53DC"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725BF9E2" w14:textId="7ABDF045" w:rsidR="005E53DC" w:rsidRPr="00B13545" w:rsidRDefault="00856E4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lastRenderedPageBreak/>
        <w:t>Artículo 14. Corresponden a la Dirección del Registro Estatal del Transporte Público las siguientes atribuciones:</w:t>
      </w:r>
    </w:p>
    <w:p w14:paraId="120F7C5A" w14:textId="44D65075" w:rsidR="00856E47" w:rsidRPr="00B13545" w:rsidRDefault="00856E4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6D9FA4A8" w14:textId="3A279601" w:rsidR="00856E47" w:rsidRPr="00B13545" w:rsidRDefault="00586890"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II. Contribuir con las demás unidades administrativas competentes de la Secretaría, en el otorgamiento, revocación, rescate, terminación, modificación y registro de las concesiones, permisos y autorizaciones para la prestación del servicio público de transporte de pasajeros y de carga;</w:t>
      </w:r>
    </w:p>
    <w:p w14:paraId="2B2FF096" w14:textId="42BB6D58" w:rsidR="00586890" w:rsidRPr="00B13545" w:rsidRDefault="00607632"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675C7F18" w14:textId="6C5BF81A" w:rsidR="00607632" w:rsidRPr="00B13545" w:rsidRDefault="00607632"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XIV. Integrar, supervisar, operar, actualizar, controlar, evaluar y validar el Registro Estatal de Transporte Público;</w:t>
      </w:r>
    </w:p>
    <w:p w14:paraId="128DDECE" w14:textId="77777777" w:rsidR="00586890" w:rsidRPr="00B13545" w:rsidRDefault="00586890"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7C12B770" w14:textId="14248A89" w:rsidR="0088181C" w:rsidRPr="00B13545" w:rsidRDefault="0088181C" w:rsidP="006E054D">
      <w:pPr>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ACUERDO DEL SECRETARIO DE MOVILIDAD DEL ESTADO DE MÉXICO QUE ESTABLECE LA NORMA TÉCNICA DEL SERVICIO PÚBLICO DE TRANSPORTE EN LA MODALIDAD DE DISCRECIONAL DE PASAJE INDIVIDUAL, EN VEHÍCULO DE PROPULSIÓN NO MECÁNICA DENOMINADO ECOBICITAXI.</w:t>
      </w:r>
    </w:p>
    <w:p w14:paraId="6B87B6FF" w14:textId="57F8CB9A" w:rsidR="009E3819" w:rsidRPr="00B13545" w:rsidRDefault="009E3819" w:rsidP="009E3819">
      <w:pPr>
        <w:autoSpaceDE w:val="0"/>
        <w:autoSpaceDN w:val="0"/>
        <w:adjustRightInd w:val="0"/>
        <w:spacing w:line="276" w:lineRule="auto"/>
        <w:ind w:left="851" w:right="539"/>
        <w:jc w:val="center"/>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bCs/>
          <w:i/>
          <w:iCs/>
          <w:sz w:val="22"/>
          <w:szCs w:val="22"/>
          <w:lang w:eastAsia="en-US"/>
        </w:rPr>
        <w:t>(</w:t>
      </w:r>
      <w:r w:rsidRPr="00B13545">
        <w:rPr>
          <w:rFonts w:ascii="Palatino Linotype" w:eastAsiaTheme="minorHAnsi" w:hAnsi="Palatino Linotype" w:cstheme="minorBidi"/>
          <w:i/>
          <w:iCs/>
          <w:sz w:val="22"/>
          <w:szCs w:val="22"/>
          <w:lang w:eastAsia="en-US"/>
        </w:rPr>
        <w:t>Publicado en el Periódico Oficial, Gaceta del Gobierno, en fecha 02 de mayo de 2019)</w:t>
      </w:r>
    </w:p>
    <w:p w14:paraId="61BAFDB7" w14:textId="786E4C9A" w:rsidR="0088181C" w:rsidRPr="00B13545" w:rsidRDefault="00E247C1"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03473EBE" w14:textId="59467886" w:rsidR="00E247C1" w:rsidRPr="00B13545" w:rsidRDefault="00E247C1"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III. DEFINICIONES</w:t>
      </w:r>
    </w:p>
    <w:p w14:paraId="048A7DA0" w14:textId="7FEA9EA8" w:rsidR="00E247C1" w:rsidRPr="00B13545" w:rsidRDefault="00E247C1"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04E693BF" w14:textId="3A1FAF0C" w:rsidR="00CF35CE" w:rsidRPr="00B13545" w:rsidRDefault="00E247C1"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roofErr w:type="spellStart"/>
      <w:r w:rsidRPr="00B13545">
        <w:rPr>
          <w:rFonts w:ascii="Palatino Linotype" w:eastAsiaTheme="minorHAnsi" w:hAnsi="Palatino Linotype" w:cstheme="minorBidi"/>
          <w:b/>
          <w:bCs/>
          <w:i/>
          <w:iCs/>
          <w:sz w:val="22"/>
          <w:szCs w:val="22"/>
          <w:lang w:eastAsia="en-US"/>
        </w:rPr>
        <w:t>Ecobicitaxi</w:t>
      </w:r>
      <w:proofErr w:type="spellEnd"/>
      <w:r w:rsidRPr="00B13545">
        <w:rPr>
          <w:rFonts w:ascii="Palatino Linotype" w:eastAsiaTheme="minorHAnsi" w:hAnsi="Palatino Linotype" w:cstheme="minorBidi"/>
          <w:b/>
          <w:bCs/>
          <w:i/>
          <w:iCs/>
          <w:sz w:val="22"/>
          <w:szCs w:val="22"/>
          <w:lang w:eastAsia="en-US"/>
        </w:rPr>
        <w:t xml:space="preserve">: Vehículo que se homologa al </w:t>
      </w:r>
      <w:r w:rsidRPr="00B13545">
        <w:rPr>
          <w:rFonts w:ascii="Palatino Linotype" w:eastAsiaTheme="minorHAnsi" w:hAnsi="Palatino Linotype" w:cstheme="minorBidi"/>
          <w:b/>
          <w:bCs/>
          <w:i/>
          <w:iCs/>
          <w:sz w:val="22"/>
          <w:szCs w:val="22"/>
          <w:u w:val="single"/>
          <w:lang w:eastAsia="en-US"/>
        </w:rPr>
        <w:t>Ecotaxi</w:t>
      </w:r>
      <w:r w:rsidRPr="00B13545">
        <w:rPr>
          <w:rFonts w:ascii="Palatino Linotype" w:eastAsiaTheme="minorHAnsi" w:hAnsi="Palatino Linotype" w:cstheme="minorBidi"/>
          <w:i/>
          <w:iCs/>
          <w:sz w:val="22"/>
          <w:szCs w:val="22"/>
          <w:lang w:eastAsia="en-US"/>
        </w:rPr>
        <w:t xml:space="preserve">; el cual es construido bajo el principio de una bicicleta, de una misma estructura o articulado; el cual es accionado con la fuerza derivada del movimiento humano a través de pedales, asistido por componentes o impulsores eléctricos, con una capacidad de transportar de uno a dos pasajeros adultos sentados y al ciclista.  </w:t>
      </w:r>
    </w:p>
    <w:p w14:paraId="30F0AFCD" w14:textId="45FA7CDE" w:rsidR="00B42B27" w:rsidRPr="00B13545" w:rsidRDefault="00B42B2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36EAAAD1" w14:textId="76CCB6A3" w:rsidR="00B42B27" w:rsidRPr="00B13545" w:rsidRDefault="00B42B2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Permisionario: Persona física o jurídico colectiva autorizada por la Secretaría de Movilidad del Estado de México, para la prestación del servicio público de transporte de pasajeros en las modalidades previstas en el Reglamento del Transporte Público y Servicios Conexos del Estado de México.</w:t>
      </w:r>
    </w:p>
    <w:p w14:paraId="37CE8746" w14:textId="0C23D3CC" w:rsidR="00B42B27" w:rsidRPr="00B13545" w:rsidRDefault="00B42B2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793C6FE4" w14:textId="77777777" w:rsidR="00905063" w:rsidRPr="00B13545" w:rsidRDefault="00B42B2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IV.- TIPOS DE ECOBICITAXI </w:t>
      </w:r>
    </w:p>
    <w:p w14:paraId="1C297CF2" w14:textId="77777777" w:rsidR="00905063" w:rsidRPr="00B13545" w:rsidRDefault="00B42B2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IV 1.-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de Remolque: Vehículo constituido por una bicicleta, con adaptación para arrastrar en su parte trasera un remolque, que opera como compartimento para </w:t>
      </w:r>
      <w:r w:rsidRPr="00B13545">
        <w:rPr>
          <w:rFonts w:ascii="Palatino Linotype" w:eastAsiaTheme="minorHAnsi" w:hAnsi="Palatino Linotype" w:cstheme="minorBidi"/>
          <w:i/>
          <w:iCs/>
          <w:sz w:val="22"/>
          <w:szCs w:val="22"/>
          <w:lang w:eastAsia="en-US"/>
        </w:rPr>
        <w:lastRenderedPageBreak/>
        <w:t xml:space="preserve">trasportar pasajeros, que funciona mediante tracción humana a través de pedales y puede ser asistido por componentes o impulsores eléctricos. </w:t>
      </w:r>
    </w:p>
    <w:p w14:paraId="062E9125" w14:textId="77777777" w:rsidR="00905063" w:rsidRPr="00B13545" w:rsidRDefault="00B42B2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IV 2.-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Integral: Triciclo construido en una sola estructura, que funciona mediante tracción humana a través de pedales y puede ser asistido por componentes o impulsores eléctricos. </w:t>
      </w:r>
    </w:p>
    <w:p w14:paraId="3060DA38" w14:textId="77777777" w:rsidR="00ED6E97" w:rsidRPr="00B13545" w:rsidRDefault="00B42B2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IV 3.-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Eléctrico: Vehículo que funciona únicamente asistido por componentes o impulsores eléctricos.</w:t>
      </w:r>
    </w:p>
    <w:p w14:paraId="6A967A4E" w14:textId="77777777" w:rsidR="00ED6E9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En los tipos señalados, cuando se utilice componentes o impulsores eléctricos deberán contar con un sistema de frenado por tambor o disco y estarán diseñados para permitir una velocidad máxima de 25 kilómetros por hora. </w:t>
      </w:r>
    </w:p>
    <w:p w14:paraId="27F30883" w14:textId="77777777" w:rsidR="004B5E8C"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V. CARACTERÍSTICAS, ESTRUCTURA Y ESPECIFICACIONES DEL ECOBICITAXI </w:t>
      </w:r>
    </w:p>
    <w:p w14:paraId="49AA9978" w14:textId="77777777" w:rsidR="004B5E8C"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Las características técnicas y especificaciones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deben reunir los lineamientos básicos de confort y seguridad para el servicio público de transporte de pasajeros. </w:t>
      </w:r>
    </w:p>
    <w:p w14:paraId="60A1BEE2" w14:textId="77777777" w:rsidR="004B5E8C"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La estructura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debe estar integrada por el número necesario de partes para reducir el peso de la unidad.</w:t>
      </w:r>
    </w:p>
    <w:p w14:paraId="58798E6A" w14:textId="77777777" w:rsidR="004B5E8C"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 Así mismo, deberá contar con un sistema que evite las vibraciones excesivas y deberá ser lo suficientemente resistente para soportar los diferentes esfuerzos a los que será sometida la estructura; debiendo contar con superficies protegidas para protección climática.</w:t>
      </w:r>
    </w:p>
    <w:p w14:paraId="7763FC45"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VI.- UNIDAD PROPULSORA “BICICLETA” </w:t>
      </w:r>
    </w:p>
    <w:p w14:paraId="3AE0F134"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La bicicleta deberá de facilitar el arrastre del remolque con carga y sin carga.  </w:t>
      </w:r>
    </w:p>
    <w:p w14:paraId="79AD401A"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 xml:space="preserve">VII.- EQUIPAMIENTO Y ACCESORIOS  </w:t>
      </w:r>
    </w:p>
    <w:p w14:paraId="4C7DA011"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b/>
          <w:bCs/>
          <w:i/>
          <w:iCs/>
          <w:sz w:val="22"/>
          <w:szCs w:val="22"/>
          <w:lang w:eastAsia="en-US"/>
        </w:rPr>
        <w:t>a) Asiento del ciclista:</w:t>
      </w:r>
      <w:r w:rsidRPr="00B13545">
        <w:rPr>
          <w:rFonts w:ascii="Palatino Linotype" w:eastAsiaTheme="minorHAnsi" w:hAnsi="Palatino Linotype" w:cstheme="minorBidi"/>
          <w:i/>
          <w:iCs/>
          <w:sz w:val="22"/>
          <w:szCs w:val="22"/>
          <w:lang w:eastAsia="en-US"/>
        </w:rPr>
        <w:t xml:space="preserve"> Debe permitir que el ciclista se apoye y se mueva ágilmente dejando libre el movimiento de las piernas; deberá sujetarse a la estructura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w:t>
      </w:r>
    </w:p>
    <w:p w14:paraId="65D27DB7"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b) Cinturón de seguridad: Como parte del asiento de los pasajeros del remolque, éste deberá contar con los cinturones de seguridad necesarios, debiendo estos estar afianzados firmemente a las estructuras del remolque, que impida que los pasajeros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se afecten por la fuerza de inercia o la fuerza centrífuga; este cinturón será de 4.8 centímetros de ancho como mínimo, el cual sujetará a los usuarios a la altura del estómago y permita facilitar su uso.</w:t>
      </w:r>
    </w:p>
    <w:p w14:paraId="0EF38B3B" w14:textId="77777777" w:rsidR="000B6137" w:rsidRPr="00B13545" w:rsidRDefault="000B613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171F76DF"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lastRenderedPageBreak/>
        <w:t xml:space="preserve">c) Claxon: Para denotar la presencia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que circule, debe estar provisto de un claxon audible. </w:t>
      </w:r>
    </w:p>
    <w:p w14:paraId="1047A7F2"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d) Espejos retrovisores: La unidad deberá estar provista de dos espejos retrovisores, uno izquierdo y otro derecho que, sin alterar su maniobrabilidad, posibiliten observar hacia su parte posterior.  </w:t>
      </w:r>
    </w:p>
    <w:p w14:paraId="5A976A5B" w14:textId="77777777" w:rsidR="000B613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e) Faros y reflejantes: 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deberá contar con un faro en la parte delantera, de tal forma que permita el libre movimiento del mismo, el cual emitirá luz que permita ver a personas y objetos. </w:t>
      </w:r>
    </w:p>
    <w:p w14:paraId="7B1F17E9" w14:textId="77777777" w:rsidR="007F6FDF"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Deberá de contar como mínimo con dos reflejantes de color ámbar, visibles por la noche desde una distancia de 100 metros que deberá ser Grado Diamante, cúbico DG3, Serie Amarillo 4091.</w:t>
      </w:r>
    </w:p>
    <w:p w14:paraId="7081D18F" w14:textId="77777777" w:rsidR="007F6FDF"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f) Frenos: 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deberá estar provisto con un sistema de frenado que será accionado por el ciclista desde su asiento, que permitan reducir su velocidad e inmovilizarle de modo seguro, rápido y eficaz.</w:t>
      </w:r>
    </w:p>
    <w:p w14:paraId="6A5B4230" w14:textId="77777777" w:rsidR="007F6FDF"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g) Llantas: Las llantas deberán garantizar la seguridad del vehículo y propiciar su adecuada adherencia sobre el pavimento; </w:t>
      </w:r>
      <w:proofErr w:type="spellStart"/>
      <w:r w:rsidRPr="00B13545">
        <w:rPr>
          <w:rFonts w:ascii="Palatino Linotype" w:eastAsiaTheme="minorHAnsi" w:hAnsi="Palatino Linotype" w:cstheme="minorBidi"/>
          <w:i/>
          <w:iCs/>
          <w:sz w:val="22"/>
          <w:szCs w:val="22"/>
          <w:lang w:eastAsia="en-US"/>
        </w:rPr>
        <w:t>aún</w:t>
      </w:r>
      <w:proofErr w:type="spellEnd"/>
      <w:r w:rsidRPr="00B13545">
        <w:rPr>
          <w:rFonts w:ascii="Palatino Linotype" w:eastAsiaTheme="minorHAnsi" w:hAnsi="Palatino Linotype" w:cstheme="minorBidi"/>
          <w:i/>
          <w:iCs/>
          <w:sz w:val="22"/>
          <w:szCs w:val="22"/>
          <w:lang w:eastAsia="en-US"/>
        </w:rPr>
        <w:t xml:space="preserve"> cuando se encuentre mojado. </w:t>
      </w:r>
    </w:p>
    <w:p w14:paraId="2C5BC867" w14:textId="77777777" w:rsidR="007F6FDF"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h) Manubrio: Deberé contar con asideras </w:t>
      </w:r>
      <w:proofErr w:type="spellStart"/>
      <w:r w:rsidRPr="00B13545">
        <w:rPr>
          <w:rFonts w:ascii="Palatino Linotype" w:eastAsiaTheme="minorHAnsi" w:hAnsi="Palatino Linotype" w:cstheme="minorBidi"/>
          <w:i/>
          <w:iCs/>
          <w:sz w:val="22"/>
          <w:szCs w:val="22"/>
          <w:lang w:eastAsia="en-US"/>
        </w:rPr>
        <w:t>antiderrapantes</w:t>
      </w:r>
      <w:proofErr w:type="spellEnd"/>
      <w:r w:rsidRPr="00B13545">
        <w:rPr>
          <w:rFonts w:ascii="Palatino Linotype" w:eastAsiaTheme="minorHAnsi" w:hAnsi="Palatino Linotype" w:cstheme="minorBidi"/>
          <w:i/>
          <w:iCs/>
          <w:sz w:val="22"/>
          <w:szCs w:val="22"/>
          <w:lang w:eastAsia="en-US"/>
        </w:rPr>
        <w:t xml:space="preserve"> y preferentemente poder variar su posición. </w:t>
      </w:r>
    </w:p>
    <w:p w14:paraId="351D6C03" w14:textId="77777777" w:rsidR="007F6FDF"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 Remolque: EI remolque deberá de ser de una estructura tubular redondo o material resistente, teniendo como dimensiones de 1.20 a 1.28 metros de ancho y un largo máximo de 2.72 a 3 metros aproximadamente. </w:t>
      </w:r>
    </w:p>
    <w:p w14:paraId="1E5E3491" w14:textId="77777777" w:rsidR="007F6FDF"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Esta estructura, se divide en dos partes principales: el conjunto inferior del remolque base-asiento y la estructura superior o toldo. </w:t>
      </w:r>
    </w:p>
    <w:p w14:paraId="3407E6B8" w14:textId="1F135C0B" w:rsidR="00ED6E97" w:rsidRPr="00B13545" w:rsidRDefault="00ED6E9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El asiento y el respaldo para los pasajeros deberán tener la capacidad de soportar a dos adultos cómodamente sentados y seguros.</w:t>
      </w:r>
    </w:p>
    <w:p w14:paraId="3B1E722C" w14:textId="77777777" w:rsidR="00B46A47" w:rsidRPr="00B13545" w:rsidRDefault="00B46A4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La base o piso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irá fija al remolque. </w:t>
      </w:r>
    </w:p>
    <w:p w14:paraId="48810EE6" w14:textId="77777777" w:rsidR="00B46A47" w:rsidRPr="00B13545" w:rsidRDefault="00B46A47" w:rsidP="006E054D">
      <w:pPr>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2681D861" w14:textId="77777777" w:rsidR="00B46A47" w:rsidRPr="00B13545" w:rsidRDefault="00B46A47" w:rsidP="00ED71EA">
      <w:pPr>
        <w:pStyle w:val="Prrafodelista"/>
        <w:numPr>
          <w:ilvl w:val="0"/>
          <w:numId w:val="13"/>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Faros y reflejantes: </w:t>
      </w:r>
    </w:p>
    <w:p w14:paraId="7CE051F6" w14:textId="77777777" w:rsidR="00B46A47" w:rsidRPr="00B13545" w:rsidRDefault="00B46A47" w:rsidP="006E054D">
      <w:pPr>
        <w:pStyle w:val="Prrafodelista"/>
        <w:autoSpaceDE w:val="0"/>
        <w:autoSpaceDN w:val="0"/>
        <w:adjustRightInd w:val="0"/>
        <w:spacing w:line="276" w:lineRule="auto"/>
        <w:ind w:left="157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Deberá contar con dos lámparas que emitan luz roja visible desde una distancia de 100 metros, así mismo se colocará a cada lado del remolque, una película reflejante fluorescente serie 4000 amarillo 4083, para delimitar el ancho, a una altura comprendida entre 60 y 100 centímetros del piso.  </w:t>
      </w:r>
    </w:p>
    <w:p w14:paraId="35590E32" w14:textId="77777777" w:rsidR="00B46A47" w:rsidRPr="00B13545" w:rsidRDefault="00B46A47" w:rsidP="00ED71EA">
      <w:pPr>
        <w:pStyle w:val="Prrafodelista"/>
        <w:numPr>
          <w:ilvl w:val="0"/>
          <w:numId w:val="13"/>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Lonas: </w:t>
      </w:r>
    </w:p>
    <w:p w14:paraId="1B5200D0" w14:textId="77777777" w:rsidR="0059022B" w:rsidRPr="00B13545" w:rsidRDefault="00B46A47" w:rsidP="006E054D">
      <w:pPr>
        <w:pStyle w:val="Prrafodelista"/>
        <w:autoSpaceDE w:val="0"/>
        <w:autoSpaceDN w:val="0"/>
        <w:adjustRightInd w:val="0"/>
        <w:spacing w:line="276" w:lineRule="auto"/>
        <w:ind w:left="157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lastRenderedPageBreak/>
        <w:t xml:space="preserve">Las laterales del remolque y el respaldo del asiento deberán estar cubiertos con lona de forma tal que impida que objetos en el pavimento, el viento o el agua incidan directamente sobre los usuarios.  </w:t>
      </w:r>
    </w:p>
    <w:p w14:paraId="0E80938A" w14:textId="77777777" w:rsidR="0059022B" w:rsidRPr="00B13545" w:rsidRDefault="00B46A47" w:rsidP="006E054D">
      <w:pPr>
        <w:pStyle w:val="Prrafodelista"/>
        <w:autoSpaceDE w:val="0"/>
        <w:autoSpaceDN w:val="0"/>
        <w:adjustRightInd w:val="0"/>
        <w:spacing w:line="276" w:lineRule="auto"/>
        <w:ind w:left="157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La lona deberá reunir los requisitos de identificación asignado a la zona de operación que correspondan, en términos del apartado correspondiente a elementos de identificación (Cromática) de la presente Norma Técnica. </w:t>
      </w:r>
    </w:p>
    <w:p w14:paraId="00759FEC" w14:textId="77777777" w:rsidR="0059022B" w:rsidRPr="00B13545" w:rsidRDefault="00B46A47" w:rsidP="00ED71EA">
      <w:pPr>
        <w:pStyle w:val="Prrafodelista"/>
        <w:numPr>
          <w:ilvl w:val="0"/>
          <w:numId w:val="13"/>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Toldo: </w:t>
      </w:r>
    </w:p>
    <w:p w14:paraId="6D75B47B" w14:textId="77777777" w:rsidR="0059022B" w:rsidRPr="00B13545" w:rsidRDefault="00B46A47" w:rsidP="006E054D">
      <w:pPr>
        <w:pStyle w:val="Prrafodelista"/>
        <w:autoSpaceDE w:val="0"/>
        <w:autoSpaceDN w:val="0"/>
        <w:adjustRightInd w:val="0"/>
        <w:spacing w:line="276" w:lineRule="auto"/>
        <w:ind w:left="157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El Toldo deberá ser de material resistente o lona, los cuales podrán ser fijos o abatibles; mismos que deberá cubrir adecuadamente el área de pasajeros, así como proporcionar protección en casos de situaciones climáticas desfavorables, tales como lluvia, viento o sol excesivo.</w:t>
      </w:r>
    </w:p>
    <w:p w14:paraId="3451C31C" w14:textId="77777777" w:rsidR="0059022B" w:rsidRPr="00B13545" w:rsidRDefault="0059022B" w:rsidP="006E054D">
      <w:pPr>
        <w:pStyle w:val="Prrafodelista"/>
        <w:autoSpaceDE w:val="0"/>
        <w:autoSpaceDN w:val="0"/>
        <w:adjustRightInd w:val="0"/>
        <w:spacing w:line="276" w:lineRule="auto"/>
        <w:ind w:left="1571" w:right="539"/>
        <w:jc w:val="both"/>
        <w:rPr>
          <w:rFonts w:ascii="Palatino Linotype" w:eastAsiaTheme="minorHAnsi" w:hAnsi="Palatino Linotype" w:cstheme="minorBidi"/>
          <w:i/>
          <w:iCs/>
          <w:sz w:val="22"/>
          <w:szCs w:val="22"/>
          <w:lang w:eastAsia="en-US"/>
        </w:rPr>
      </w:pPr>
    </w:p>
    <w:p w14:paraId="723D16FD" w14:textId="3653D7BB" w:rsidR="005A1A0C" w:rsidRPr="00B13545" w:rsidRDefault="00B46A47"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j) Piso: Deberá contar con una superficie </w:t>
      </w:r>
      <w:proofErr w:type="spellStart"/>
      <w:r w:rsidRPr="00B13545">
        <w:rPr>
          <w:rFonts w:ascii="Palatino Linotype" w:eastAsiaTheme="minorHAnsi" w:hAnsi="Palatino Linotype" w:cstheme="minorBidi"/>
          <w:i/>
          <w:iCs/>
          <w:sz w:val="22"/>
          <w:szCs w:val="22"/>
          <w:lang w:eastAsia="en-US"/>
        </w:rPr>
        <w:t>antiderrapante</w:t>
      </w:r>
      <w:proofErr w:type="spellEnd"/>
      <w:r w:rsidRPr="00B13545">
        <w:rPr>
          <w:rFonts w:ascii="Palatino Linotype" w:eastAsiaTheme="minorHAnsi" w:hAnsi="Palatino Linotype" w:cstheme="minorBidi"/>
          <w:i/>
          <w:iCs/>
          <w:sz w:val="22"/>
          <w:szCs w:val="22"/>
          <w:lang w:eastAsia="en-US"/>
        </w:rPr>
        <w:t>, sin presentar bordes y salientes que dificulten el ascenso, desplazamiento y descenso de los pasajeros.</w:t>
      </w:r>
    </w:p>
    <w:p w14:paraId="010E0B35" w14:textId="77777777" w:rsidR="00E919F0" w:rsidRPr="00B13545" w:rsidRDefault="00E919F0"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3E30960E" w14:textId="77777777" w:rsidR="00E919F0" w:rsidRPr="00B13545" w:rsidRDefault="00E919F0"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VIII.- ELEMENTOS DE SEGURIDAD </w:t>
      </w:r>
    </w:p>
    <w:p w14:paraId="62EA77C9" w14:textId="4E706329" w:rsidR="00E919F0"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Para asegurar la integración de los componentes, el sistema de unión entre la bicicleta y el remolque, deberán ser resistentes para soportar los tirones y la carga a la cual será sometida.</w:t>
      </w:r>
    </w:p>
    <w:p w14:paraId="4A4658F4" w14:textId="77777777" w:rsidR="0064219D"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Los elementos mecánicos móviles deberán contar con protectores que eviten su contacto directo con los usuarios o el ciclista.</w:t>
      </w:r>
    </w:p>
    <w:p w14:paraId="2D398131" w14:textId="2FD5ADCB" w:rsidR="0064219D"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Deberá contar con un dispositivo consistente en una bandera con forma de triángulo equilátero de 30 centímetros por lado, en material impermeable, resistente, reflejante y de color naranja fluorescente, Grado Diamante, cúbico DG3, Serie Naranja 4091, sujeta por uno de sus extremos a una asta colocada a la estructura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dando una altura total del piso a su punta superior de 1.80 metros como mínimo, ubicada en una parte visible para los peatones y conductores de otros tipos de vehículos.</w:t>
      </w:r>
    </w:p>
    <w:p w14:paraId="339AD2EF" w14:textId="77777777" w:rsidR="0064219D"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Las llantas no deberán tener en su periferia bloques, clavos, salientes, listones, puntos o protuberancias de cualquier otro material que no sea caucho que sobresalgan de la huella, de la superficie de tracción de las propias llantas.</w:t>
      </w:r>
    </w:p>
    <w:p w14:paraId="42D0CC5B" w14:textId="77777777" w:rsidR="0064219D"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Deberá contar con asideras de apoyo auxiliares para permitir que los pasajeros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desciendan, asciendan o se desplacen con seguridad.</w:t>
      </w:r>
    </w:p>
    <w:p w14:paraId="77774A0D" w14:textId="77777777" w:rsidR="0064219D"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lastRenderedPageBreak/>
        <w:t>Deberá contar preferentemente en su parte posterior con una protección (defensa) que abarque cuando menos el ancho total de la unidad.</w:t>
      </w:r>
    </w:p>
    <w:p w14:paraId="6DE40C21" w14:textId="77777777" w:rsidR="0064219D"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Los componentes estructurales del vehículo deberán evitar la aplicación de acabados superficiales reflejantes.</w:t>
      </w:r>
    </w:p>
    <w:p w14:paraId="4B825641" w14:textId="77777777" w:rsidR="00836069"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Los componentes estructurales deberán contar con acabados superficiales que impidan su corrosión y abrasión, debiéndose aplicar periódicamente una capa de primer y pintura.</w:t>
      </w:r>
    </w:p>
    <w:p w14:paraId="0107803B" w14:textId="77777777" w:rsidR="00836069"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Cada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preferentemente deberá portar, una caja de herramientas que contenga los elementos y herramientas mínimas para atender una pinchadura de llanta o realizar una reparación mecánica; así mismo deberá de contar con un botiquín para primeros auxilios. </w:t>
      </w:r>
    </w:p>
    <w:p w14:paraId="6B14785C" w14:textId="2A61B272" w:rsidR="00E919F0" w:rsidRPr="00B13545" w:rsidRDefault="00E919F0" w:rsidP="00ED71EA">
      <w:pPr>
        <w:pStyle w:val="Prrafodelista"/>
        <w:numPr>
          <w:ilvl w:val="0"/>
          <w:numId w:val="14"/>
        </w:numPr>
        <w:autoSpaceDE w:val="0"/>
        <w:autoSpaceDN w:val="0"/>
        <w:adjustRightInd w:val="0"/>
        <w:spacing w:line="276" w:lineRule="auto"/>
        <w:ind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Se deberá realizar al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mantenimientos preventivo y correctivo, cuando este los requiera.</w:t>
      </w:r>
    </w:p>
    <w:p w14:paraId="67321966" w14:textId="77777777" w:rsidR="00836069" w:rsidRPr="00B13545" w:rsidRDefault="00836069"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7A4537DE" w14:textId="77777777" w:rsidR="000D0311" w:rsidRPr="00B13545" w:rsidRDefault="00836069"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IX.- ELEMENTOS DE SEGURIDAD PARA EL CICLISTA </w:t>
      </w:r>
    </w:p>
    <w:p w14:paraId="65693868" w14:textId="77777777" w:rsidR="000D0311" w:rsidRPr="00B13545" w:rsidRDefault="00836069"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Con objeto de garantizar la operación segura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el ciclista deberá usar con carácter obligatorio los siguientes accesorios: </w:t>
      </w:r>
    </w:p>
    <w:p w14:paraId="4E4A160B" w14:textId="77777777" w:rsidR="000D0311" w:rsidRPr="00B13545" w:rsidRDefault="00836069"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1. Gafete o identificación que será emitido por las asociaciones de las que forman parte.  </w:t>
      </w:r>
      <w:r w:rsidR="000D0311" w:rsidRPr="00B13545">
        <w:rPr>
          <w:rFonts w:ascii="Palatino Linotype" w:eastAsiaTheme="minorHAnsi" w:hAnsi="Palatino Linotype" w:cstheme="minorBidi"/>
          <w:i/>
          <w:iCs/>
          <w:sz w:val="22"/>
          <w:szCs w:val="22"/>
          <w:lang w:eastAsia="en-US"/>
        </w:rPr>
        <w:t xml:space="preserve">2. Casco para ciclista. </w:t>
      </w:r>
    </w:p>
    <w:p w14:paraId="46D8E30A" w14:textId="45FC54BE" w:rsidR="000D0311" w:rsidRPr="00B13545" w:rsidRDefault="000D0311"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3. Chaleco de seguridad fosforescente con Grado Diamante, cúbico DG3, Serie Banco 4090 y Amarillo 4091.</w:t>
      </w:r>
    </w:p>
    <w:p w14:paraId="5516D057" w14:textId="77777777" w:rsidR="000D0311" w:rsidRPr="00B13545" w:rsidRDefault="000D0311"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783B2443" w14:textId="77777777" w:rsidR="000D0311" w:rsidRPr="00B13545" w:rsidRDefault="000D0311"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 ELEMENTOS DE IDENTIFICACIÓN (CROMÁTICA) </w:t>
      </w:r>
    </w:p>
    <w:p w14:paraId="245FAF2E" w14:textId="0FEB152E" w:rsidR="000D0311" w:rsidRPr="00B13545" w:rsidRDefault="000D0311"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Los elementos de identificación establecidos por la Secretaría de Movilidad en los diversos tipos de vehículos de propulsión no motorizada, afectos al transporte público en la modalidad de discrecional de pasaje individual denominado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en el Estado de México, señalados en el ejemplo del Apéndice Uno de la presente Norma Técnica, deberán de ser replicados de acuerdo al diseño del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incorporando como parte de la cromática, el color naranja representativo de la “Campaña Únete del Secretariado General de las Nacional Unidas”, para poner fin a la violencia contra las mujeres.</w:t>
      </w:r>
    </w:p>
    <w:p w14:paraId="374FA7D0"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1BD30998"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XI.- PERMISO PARA EL ECOBICITAXI </w:t>
      </w:r>
    </w:p>
    <w:p w14:paraId="1C57D4FB"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39987FA0"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lastRenderedPageBreak/>
        <w:t xml:space="preserve">Para otorgar el permiso de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se deberán seguir los siguientes lineamientos: </w:t>
      </w:r>
    </w:p>
    <w:p w14:paraId="7F3DA992"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1.- Presentar solicitud por escrito ante las Delegaciones Regionales. </w:t>
      </w:r>
    </w:p>
    <w:p w14:paraId="2753D5E9"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2.- Contar con el estudio técnico por parte de la Delegación Regional correspondiente.</w:t>
      </w:r>
    </w:p>
    <w:p w14:paraId="76669C32"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3.- Haber obtenido el oficio de otorgamiento de permiso por parte de la Subsecretaría de Movilidad o Dirección General de Zona, dependiendo el municipio donde se pretenda operar el servicio.</w:t>
      </w:r>
    </w:p>
    <w:p w14:paraId="55A7C85E" w14:textId="1764D0D4"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4.- Presentarse ante la Dirección General del Registro Estatal de Transporte Público para su inscripción al Registro con la siguiente documentación:  </w:t>
      </w:r>
    </w:p>
    <w:p w14:paraId="1010B879"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45D74C30"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Personas Físicas: </w:t>
      </w:r>
    </w:p>
    <w:p w14:paraId="677028BD"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a) Acta de Nacimiento. </w:t>
      </w:r>
    </w:p>
    <w:p w14:paraId="7730AAC0"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b) Comprobante de domicilio (vigencia no mayor a 3 meses). </w:t>
      </w:r>
    </w:p>
    <w:p w14:paraId="0142DC35"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c) Identificación oficial vigente del solicitante. (IFE, INE, pasaporte, cedula profesional, licencia de conducir). </w:t>
      </w:r>
    </w:p>
    <w:p w14:paraId="003E83DC"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d) Factura o documento legal que acredite la propiedad o posesión del vehículo que pretenda destinar al servicio de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w:t>
      </w:r>
    </w:p>
    <w:p w14:paraId="57E3C916" w14:textId="77777777"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e) Estudio técnico correspondiente.</w:t>
      </w:r>
    </w:p>
    <w:p w14:paraId="48E10AB9" w14:textId="58A64581" w:rsidR="00B349E4" w:rsidRPr="00B13545" w:rsidRDefault="00B349E4"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f) Pagos de derechos respectivos conforme al Código Financiero del Estado de México y Municipios.</w:t>
      </w:r>
    </w:p>
    <w:p w14:paraId="6EB931F7"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1C1B03EC"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Sociedades Mercantiles: </w:t>
      </w:r>
    </w:p>
    <w:p w14:paraId="5F187ECB"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a) Acta constitutiva y/o protocolización de acta de asamblea vigente, en la que conste que dentro del objeto social de la empresa está la prestación del servicio público de transporte en la modalidad ya sea de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o vehículo de propulsión no mecánica., con facultad del representante para ejercer actos de administración, debidamente inscrita en el Instituto de la Función Registral del Estado de México.</w:t>
      </w:r>
    </w:p>
    <w:p w14:paraId="6F66369E"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b) Comprobante de domicilio (vigencia no mayor a 3 meses). </w:t>
      </w:r>
    </w:p>
    <w:p w14:paraId="1B77BBD8"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c) Identificación oficial vigente del representante legal de la empresa solicitante (IFE, INE, pasaporte, cedula profesional, licencia de conducir. </w:t>
      </w:r>
    </w:p>
    <w:p w14:paraId="25553F07"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d) Factura o documento legal que acredite la propiedad o posesión del vehículo y que pretenda destinar al servicio de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 xml:space="preserve">. </w:t>
      </w:r>
    </w:p>
    <w:p w14:paraId="3EC37186"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e) Estudio técnico correspondiente. f) Pagos de derechos respectivos conforme al Código Financiero del Estado de México y Municipios.</w:t>
      </w:r>
    </w:p>
    <w:p w14:paraId="3C3778E0" w14:textId="77777777"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37282518" w14:textId="3724F4AE" w:rsidR="001B25EA" w:rsidRPr="00B13545" w:rsidRDefault="001B25EA"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lastRenderedPageBreak/>
        <w:t xml:space="preserve">5.- Una vez completado el expediente se realizará la entrega de los elementos de matrícula y tarjeta de circulación para su operación.  </w:t>
      </w:r>
    </w:p>
    <w:p w14:paraId="6A7A7474" w14:textId="7FCEE09A" w:rsidR="00B2407C"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w:t>
      </w:r>
    </w:p>
    <w:p w14:paraId="6298F337"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 xml:space="preserve">XVII.- DE LAS AUTORIDADES </w:t>
      </w:r>
    </w:p>
    <w:p w14:paraId="36A3659E" w14:textId="77777777" w:rsidR="005320F0" w:rsidRPr="00B13545" w:rsidRDefault="005320F0"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42C535EC" w14:textId="040308A4"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XVII.1.- Secretaría de Movilidad</w:t>
      </w:r>
    </w:p>
    <w:p w14:paraId="3571DDEF"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XVII.1.1.- Autorizará y modificará en el momento necesario la presente Norma Técnica. </w:t>
      </w:r>
    </w:p>
    <w:p w14:paraId="1F23CC7C" w14:textId="77777777" w:rsidR="005320F0" w:rsidRPr="00B13545" w:rsidRDefault="005320F0"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2F2A3740"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 xml:space="preserve">XVII.2.- Subsecretaria de Movilidad </w:t>
      </w:r>
    </w:p>
    <w:p w14:paraId="7F596715"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XVII.2.1.- Someterá a la aprobación del Secretario, el otorgamiento del permiso.</w:t>
      </w:r>
    </w:p>
    <w:p w14:paraId="297DBE6E" w14:textId="77777777" w:rsidR="005320F0" w:rsidRPr="00B13545" w:rsidRDefault="005320F0"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54032746"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 xml:space="preserve">XVII.3.-Dirección General del Registro Estatal de Transporte Público del Estado de México </w:t>
      </w:r>
    </w:p>
    <w:p w14:paraId="4E30522F"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XVII.3.1.-Expedirá placas y tarjetas de circulación para 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w:t>
      </w:r>
    </w:p>
    <w:p w14:paraId="251AC8E7" w14:textId="77777777" w:rsidR="005320F0" w:rsidRPr="00B13545" w:rsidRDefault="005320F0"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0286E4C2"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 xml:space="preserve">XVII.4.- Direcciones Generales de Zona, Delegaciones Regionales y Subdelegaciones de Movilidad </w:t>
      </w:r>
    </w:p>
    <w:p w14:paraId="5B7CCFF1"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XVII.4.1.- Realizarán los estudios </w:t>
      </w:r>
      <w:proofErr w:type="spellStart"/>
      <w:r w:rsidRPr="00B13545">
        <w:rPr>
          <w:rFonts w:ascii="Palatino Linotype" w:eastAsiaTheme="minorHAnsi" w:hAnsi="Palatino Linotype" w:cstheme="minorBidi"/>
          <w:i/>
          <w:iCs/>
          <w:sz w:val="22"/>
          <w:szCs w:val="22"/>
          <w:lang w:eastAsia="en-US"/>
        </w:rPr>
        <w:t>técnicosy</w:t>
      </w:r>
      <w:proofErr w:type="spellEnd"/>
      <w:r w:rsidRPr="00B13545">
        <w:rPr>
          <w:rFonts w:ascii="Palatino Linotype" w:eastAsiaTheme="minorHAnsi" w:hAnsi="Palatino Linotype" w:cstheme="minorBidi"/>
          <w:i/>
          <w:iCs/>
          <w:sz w:val="22"/>
          <w:szCs w:val="22"/>
          <w:lang w:eastAsia="en-US"/>
        </w:rPr>
        <w:t xml:space="preserve"> económicos a solicitud de los particulares, para otorgar el permiso.</w:t>
      </w:r>
    </w:p>
    <w:p w14:paraId="3D5C3A2E" w14:textId="77777777" w:rsidR="005320F0"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XVII.4.2.- Vigilarán el cumplimiento de la presente Norma Técnica. </w:t>
      </w:r>
    </w:p>
    <w:p w14:paraId="695EA729" w14:textId="77777777" w:rsidR="005320F0" w:rsidRPr="00B13545" w:rsidRDefault="005320F0"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0D9A7BE4" w14:textId="77777777" w:rsidR="00B15F86"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b/>
          <w:bCs/>
          <w:i/>
          <w:iCs/>
          <w:sz w:val="22"/>
          <w:szCs w:val="22"/>
          <w:lang w:eastAsia="en-US"/>
        </w:rPr>
      </w:pPr>
      <w:r w:rsidRPr="00B13545">
        <w:rPr>
          <w:rFonts w:ascii="Palatino Linotype" w:eastAsiaTheme="minorHAnsi" w:hAnsi="Palatino Linotype" w:cstheme="minorBidi"/>
          <w:b/>
          <w:bCs/>
          <w:i/>
          <w:iCs/>
          <w:sz w:val="22"/>
          <w:szCs w:val="22"/>
          <w:lang w:eastAsia="en-US"/>
        </w:rPr>
        <w:t xml:space="preserve">XVII.5.- Instituto de Transporte del Estado de México </w:t>
      </w:r>
    </w:p>
    <w:p w14:paraId="624A09F9" w14:textId="6ADF24FA" w:rsidR="00B2407C" w:rsidRPr="00B13545" w:rsidRDefault="00B2407C"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 xml:space="preserve">XVII.5.1.- Realizará los estudios correspondientes para proponer la tarifa para el </w:t>
      </w:r>
      <w:proofErr w:type="spellStart"/>
      <w:r w:rsidRPr="00B13545">
        <w:rPr>
          <w:rFonts w:ascii="Palatino Linotype" w:eastAsiaTheme="minorHAnsi" w:hAnsi="Palatino Linotype" w:cstheme="minorBidi"/>
          <w:i/>
          <w:iCs/>
          <w:sz w:val="22"/>
          <w:szCs w:val="22"/>
          <w:lang w:eastAsia="en-US"/>
        </w:rPr>
        <w:t>Ecobicitaxi</w:t>
      </w:r>
      <w:proofErr w:type="spellEnd"/>
      <w:r w:rsidRPr="00B13545">
        <w:rPr>
          <w:rFonts w:ascii="Palatino Linotype" w:eastAsiaTheme="minorHAnsi" w:hAnsi="Palatino Linotype" w:cstheme="minorBidi"/>
          <w:i/>
          <w:iCs/>
          <w:sz w:val="22"/>
          <w:szCs w:val="22"/>
          <w:lang w:eastAsia="en-US"/>
        </w:rPr>
        <w:t>.</w:t>
      </w:r>
    </w:p>
    <w:p w14:paraId="4EDC407F" w14:textId="77777777" w:rsidR="00B25FDE" w:rsidRPr="00B13545" w:rsidRDefault="00B25FDE"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7AC51E2D" w14:textId="4B935F2D" w:rsidR="00B25FDE" w:rsidRPr="00B13545" w:rsidRDefault="00B25FDE" w:rsidP="006E054D">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sz w:val="22"/>
          <w:szCs w:val="22"/>
          <w:lang w:eastAsia="en-US"/>
        </w:rPr>
        <w:t>De ser necesario se convocará a profesionistas, especialistas o autoridades públicas o privadas para realizar revisiones, evaluaciones o estudios complementarios para cumplir con estas disposiciones o proponer modificaciones del presente instrumento, de acuerdo a las circunstancias que se vayan presentando.</w:t>
      </w:r>
    </w:p>
    <w:p w14:paraId="4BF7E766" w14:textId="77777777" w:rsidR="00B2407C" w:rsidRPr="00B13545" w:rsidRDefault="00B2407C" w:rsidP="00836069">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7F299580" w14:textId="0AD2A0B2" w:rsidR="00A556E2" w:rsidRPr="00B13545" w:rsidRDefault="00A556E2" w:rsidP="00D728E7">
      <w:pPr>
        <w:pStyle w:val="Prrafodelista"/>
        <w:autoSpaceDE w:val="0"/>
        <w:autoSpaceDN w:val="0"/>
        <w:adjustRightInd w:val="0"/>
        <w:spacing w:line="276" w:lineRule="auto"/>
        <w:ind w:left="851" w:right="539"/>
        <w:jc w:val="center"/>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noProof/>
          <w:sz w:val="22"/>
          <w:szCs w:val="22"/>
        </w:rPr>
        <w:lastRenderedPageBreak/>
        <w:drawing>
          <wp:inline distT="0" distB="0" distL="0" distR="0" wp14:anchorId="4D6B9259" wp14:editId="64C09235">
            <wp:extent cx="4660942" cy="6347637"/>
            <wp:effectExtent l="0" t="0" r="6350" b="0"/>
            <wp:docPr id="42980308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803086" name=""/>
                    <pic:cNvPicPr/>
                  </pic:nvPicPr>
                  <pic:blipFill>
                    <a:blip r:embed="rId7"/>
                    <a:stretch>
                      <a:fillRect/>
                    </a:stretch>
                  </pic:blipFill>
                  <pic:spPr>
                    <a:xfrm>
                      <a:off x="0" y="0"/>
                      <a:ext cx="4670901" cy="6361200"/>
                    </a:xfrm>
                    <a:prstGeom prst="rect">
                      <a:avLst/>
                    </a:prstGeom>
                  </pic:spPr>
                </pic:pic>
              </a:graphicData>
            </a:graphic>
          </wp:inline>
        </w:drawing>
      </w:r>
    </w:p>
    <w:p w14:paraId="240711A6" w14:textId="77777777" w:rsidR="00214938" w:rsidRPr="00B13545" w:rsidRDefault="00214938" w:rsidP="00836069">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3EE725DC" w14:textId="77777777" w:rsidR="00214938" w:rsidRPr="00B13545" w:rsidRDefault="00214938" w:rsidP="00836069">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6AE198AF" w14:textId="7F221EC9" w:rsidR="00214938" w:rsidRPr="00B13545" w:rsidRDefault="00214938" w:rsidP="00D728E7">
      <w:pPr>
        <w:pStyle w:val="Prrafodelista"/>
        <w:autoSpaceDE w:val="0"/>
        <w:autoSpaceDN w:val="0"/>
        <w:adjustRightInd w:val="0"/>
        <w:spacing w:line="276" w:lineRule="auto"/>
        <w:ind w:left="851" w:right="539"/>
        <w:jc w:val="center"/>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noProof/>
          <w:sz w:val="22"/>
          <w:szCs w:val="22"/>
        </w:rPr>
        <w:lastRenderedPageBreak/>
        <w:drawing>
          <wp:inline distT="0" distB="0" distL="0" distR="0" wp14:anchorId="5B03F5EF" wp14:editId="1C44CF11">
            <wp:extent cx="5190261" cy="6464595"/>
            <wp:effectExtent l="0" t="0" r="0" b="0"/>
            <wp:docPr id="141155916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59161" name=""/>
                    <pic:cNvPicPr/>
                  </pic:nvPicPr>
                  <pic:blipFill>
                    <a:blip r:embed="rId8"/>
                    <a:stretch>
                      <a:fillRect/>
                    </a:stretch>
                  </pic:blipFill>
                  <pic:spPr>
                    <a:xfrm>
                      <a:off x="0" y="0"/>
                      <a:ext cx="5199397" cy="6475974"/>
                    </a:xfrm>
                    <a:prstGeom prst="rect">
                      <a:avLst/>
                    </a:prstGeom>
                  </pic:spPr>
                </pic:pic>
              </a:graphicData>
            </a:graphic>
          </wp:inline>
        </w:drawing>
      </w:r>
    </w:p>
    <w:p w14:paraId="3AFE094A" w14:textId="77777777" w:rsidR="00D728E7" w:rsidRPr="00B13545" w:rsidRDefault="00D728E7" w:rsidP="00836069">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11C93798" w14:textId="77777777" w:rsidR="00D728E7" w:rsidRPr="00B13545" w:rsidRDefault="00D728E7" w:rsidP="00836069">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4A72EBAE" w14:textId="2E178876" w:rsidR="00D728E7" w:rsidRPr="00B13545" w:rsidRDefault="00D728E7" w:rsidP="00D728E7">
      <w:pPr>
        <w:pStyle w:val="Prrafodelista"/>
        <w:autoSpaceDE w:val="0"/>
        <w:autoSpaceDN w:val="0"/>
        <w:adjustRightInd w:val="0"/>
        <w:spacing w:line="276" w:lineRule="auto"/>
        <w:ind w:left="851" w:right="539"/>
        <w:jc w:val="center"/>
        <w:rPr>
          <w:rFonts w:ascii="Palatino Linotype" w:eastAsiaTheme="minorHAnsi" w:hAnsi="Palatino Linotype" w:cstheme="minorBidi"/>
          <w:i/>
          <w:iCs/>
          <w:sz w:val="22"/>
          <w:szCs w:val="22"/>
          <w:lang w:eastAsia="en-US"/>
        </w:rPr>
      </w:pPr>
      <w:r w:rsidRPr="00B13545">
        <w:rPr>
          <w:rFonts w:ascii="Palatino Linotype" w:eastAsiaTheme="minorHAnsi" w:hAnsi="Palatino Linotype" w:cstheme="minorBidi"/>
          <w:i/>
          <w:iCs/>
          <w:noProof/>
          <w:sz w:val="22"/>
          <w:szCs w:val="22"/>
        </w:rPr>
        <w:lastRenderedPageBreak/>
        <w:drawing>
          <wp:inline distT="0" distB="0" distL="0" distR="0" wp14:anchorId="57DAE577" wp14:editId="7DF908CF">
            <wp:extent cx="5366370" cy="7102549"/>
            <wp:effectExtent l="0" t="0" r="6350" b="3175"/>
            <wp:docPr id="166028979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289795" name=""/>
                    <pic:cNvPicPr/>
                  </pic:nvPicPr>
                  <pic:blipFill>
                    <a:blip r:embed="rId9"/>
                    <a:stretch>
                      <a:fillRect/>
                    </a:stretch>
                  </pic:blipFill>
                  <pic:spPr>
                    <a:xfrm>
                      <a:off x="0" y="0"/>
                      <a:ext cx="5374312" cy="7113061"/>
                    </a:xfrm>
                    <a:prstGeom prst="rect">
                      <a:avLst/>
                    </a:prstGeom>
                  </pic:spPr>
                </pic:pic>
              </a:graphicData>
            </a:graphic>
          </wp:inline>
        </w:drawing>
      </w:r>
    </w:p>
    <w:p w14:paraId="28044073" w14:textId="77777777" w:rsidR="00B2407C" w:rsidRPr="00B13545" w:rsidRDefault="00B2407C" w:rsidP="00836069">
      <w:pPr>
        <w:pStyle w:val="Prrafodelista"/>
        <w:autoSpaceDE w:val="0"/>
        <w:autoSpaceDN w:val="0"/>
        <w:adjustRightInd w:val="0"/>
        <w:spacing w:line="276" w:lineRule="auto"/>
        <w:ind w:left="851" w:right="539"/>
        <w:jc w:val="both"/>
        <w:rPr>
          <w:rFonts w:ascii="Palatino Linotype" w:eastAsiaTheme="minorHAnsi" w:hAnsi="Palatino Linotype" w:cstheme="minorBidi"/>
          <w:i/>
          <w:iCs/>
          <w:sz w:val="22"/>
          <w:szCs w:val="22"/>
          <w:lang w:eastAsia="en-US"/>
        </w:rPr>
      </w:pPr>
    </w:p>
    <w:p w14:paraId="44D77B41" w14:textId="77777777" w:rsidR="00452DB6" w:rsidRPr="00B13545" w:rsidRDefault="00DE57FC" w:rsidP="00DE57FC">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lastRenderedPageBreak/>
        <w:t xml:space="preserve">De lo anterior, </w:t>
      </w:r>
      <w:r w:rsidR="00452DB6" w:rsidRPr="00B13545">
        <w:rPr>
          <w:rFonts w:ascii="Palatino Linotype" w:hAnsi="Palatino Linotype" w:cs="Tahoma"/>
          <w:bCs/>
          <w:iCs/>
        </w:rPr>
        <w:t>podemos arribar a las siguientes conclusiones:</w:t>
      </w:r>
    </w:p>
    <w:p w14:paraId="16829F20" w14:textId="77777777" w:rsidR="009919DC" w:rsidRPr="00B13545" w:rsidRDefault="009919DC" w:rsidP="009919DC">
      <w:pPr>
        <w:pStyle w:val="Prrafodelista"/>
        <w:spacing w:line="360" w:lineRule="auto"/>
        <w:ind w:left="0"/>
        <w:jc w:val="both"/>
        <w:rPr>
          <w:rFonts w:ascii="Palatino Linotype" w:hAnsi="Palatino Linotype" w:cs="Tahoma"/>
          <w:bCs/>
          <w:iCs/>
        </w:rPr>
      </w:pPr>
    </w:p>
    <w:p w14:paraId="23F7166F" w14:textId="4510E612" w:rsidR="00E577D6" w:rsidRPr="00B13545" w:rsidRDefault="00452DB6" w:rsidP="003F03FC">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La Secretaría de Movilidad del Estado de México, es la autoridad que cuenta con atribuciones par</w:t>
      </w:r>
      <w:r w:rsidR="003426C1" w:rsidRPr="00B13545">
        <w:rPr>
          <w:rFonts w:ascii="Palatino Linotype" w:hAnsi="Palatino Linotype" w:cs="Tahoma"/>
          <w:bCs/>
          <w:iCs/>
        </w:rPr>
        <w:t>a determinar la clasificación del servicio público de pasajeros</w:t>
      </w:r>
      <w:r w:rsidR="00E577D6" w:rsidRPr="00B13545">
        <w:rPr>
          <w:rFonts w:ascii="Palatino Linotype" w:hAnsi="Palatino Linotype" w:cs="Tahoma"/>
          <w:bCs/>
          <w:iCs/>
        </w:rPr>
        <w:t xml:space="preserve"> en sus diversas modalidades, dentro de la cual se prevé la figura del ecotaxi o bicitaxi</w:t>
      </w:r>
      <w:r w:rsidR="003B69C4" w:rsidRPr="00B13545">
        <w:rPr>
          <w:rFonts w:ascii="Palatino Linotype" w:hAnsi="Palatino Linotype" w:cs="Tahoma"/>
          <w:bCs/>
          <w:iCs/>
        </w:rPr>
        <w:t xml:space="preserve"> (considerando que tanto la ley de movilidad abrogada y vigente prevén esta figura de transporte, esto, tomando en consideración la fecha de solicitud de información realizada por el recurrente).</w:t>
      </w:r>
    </w:p>
    <w:p w14:paraId="2C1F512A" w14:textId="77777777" w:rsidR="009919DC" w:rsidRPr="00B13545" w:rsidRDefault="009919DC" w:rsidP="009919DC">
      <w:pPr>
        <w:pStyle w:val="Prrafodelista"/>
        <w:spacing w:line="360" w:lineRule="auto"/>
        <w:ind w:left="426"/>
        <w:jc w:val="both"/>
        <w:rPr>
          <w:rFonts w:ascii="Palatino Linotype" w:hAnsi="Palatino Linotype" w:cs="Tahoma"/>
          <w:bCs/>
          <w:iCs/>
        </w:rPr>
      </w:pPr>
    </w:p>
    <w:p w14:paraId="3587B8A2" w14:textId="32A69CC1" w:rsidR="00452DB6" w:rsidRPr="00B13545" w:rsidRDefault="003B69C4" w:rsidP="003F03FC">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 xml:space="preserve">La Secretaría de Movilidad del Estado de México, </w:t>
      </w:r>
      <w:r w:rsidR="00BD7E4B" w:rsidRPr="00B13545">
        <w:rPr>
          <w:rFonts w:ascii="Palatino Linotype" w:hAnsi="Palatino Linotype" w:cs="Tahoma"/>
          <w:bCs/>
          <w:iCs/>
        </w:rPr>
        <w:t xml:space="preserve">a través de su Titular así como de </w:t>
      </w:r>
      <w:r w:rsidRPr="00B13545">
        <w:rPr>
          <w:rFonts w:ascii="Palatino Linotype" w:hAnsi="Palatino Linotype" w:cs="Tahoma"/>
          <w:bCs/>
          <w:iCs/>
        </w:rPr>
        <w:t xml:space="preserve">diversas áreas, como lo son </w:t>
      </w:r>
      <w:r w:rsidR="00BD7E4B" w:rsidRPr="00B13545">
        <w:rPr>
          <w:rFonts w:ascii="Palatino Linotype" w:hAnsi="Palatino Linotype" w:cs="Tahoma"/>
          <w:bCs/>
          <w:iCs/>
        </w:rPr>
        <w:t>la Dirección General de Movilidad Zona I; Dirección General de Movilidad Zona II; Dirección General de Movilidad Zona III;  Dirección General de Movilidad Zona IV, y  Dirección del Registro Estatal de Transporte Público, cuentan con atribuciones legales para</w:t>
      </w:r>
      <w:r w:rsidR="00C012AE" w:rsidRPr="00B13545">
        <w:rPr>
          <w:rFonts w:ascii="Palatino Linotype" w:hAnsi="Palatino Linotype" w:cs="Tahoma"/>
          <w:bCs/>
          <w:iCs/>
        </w:rPr>
        <w:t xml:space="preserve"> intervenir en la </w:t>
      </w:r>
      <w:r w:rsidR="00452DB6" w:rsidRPr="00B13545">
        <w:rPr>
          <w:rFonts w:ascii="Palatino Linotype" w:hAnsi="Palatino Linotype" w:cs="Tahoma"/>
          <w:bCs/>
          <w:iCs/>
        </w:rPr>
        <w:t>expedición de concesiones y permisos para la prestación del servicio público de pasajeros</w:t>
      </w:r>
      <w:r w:rsidR="008B6807" w:rsidRPr="00B13545">
        <w:rPr>
          <w:rFonts w:ascii="Palatino Linotype" w:hAnsi="Palatino Linotype" w:cs="Tahoma"/>
          <w:bCs/>
          <w:iCs/>
        </w:rPr>
        <w:t xml:space="preserve">; </w:t>
      </w:r>
      <w:r w:rsidR="004911E9" w:rsidRPr="00B13545">
        <w:rPr>
          <w:rFonts w:ascii="Palatino Linotype" w:hAnsi="Palatino Linotype" w:cs="Tahoma"/>
          <w:bCs/>
          <w:iCs/>
        </w:rPr>
        <w:t>para establecer</w:t>
      </w:r>
      <w:r w:rsidR="00C012AE" w:rsidRPr="00B13545">
        <w:rPr>
          <w:rFonts w:ascii="Palatino Linotype" w:hAnsi="Palatino Linotype" w:cs="Tahoma"/>
          <w:bCs/>
          <w:iCs/>
        </w:rPr>
        <w:t xml:space="preserve"> bases del transporte público, así como para llevar un control y registro de las mismas; por lo que es dable considerar que sí se genera y posee información</w:t>
      </w:r>
      <w:r w:rsidR="007C4350" w:rsidRPr="00B13545">
        <w:rPr>
          <w:rFonts w:ascii="Palatino Linotype" w:hAnsi="Palatino Linotype" w:cs="Tahoma"/>
          <w:bCs/>
          <w:iCs/>
        </w:rPr>
        <w:t xml:space="preserve"> relacionado con lo solicitado por el recurrente.</w:t>
      </w:r>
    </w:p>
    <w:p w14:paraId="2F68181E" w14:textId="77777777" w:rsidR="00225026" w:rsidRPr="00B13545" w:rsidRDefault="00225026" w:rsidP="00225026">
      <w:pPr>
        <w:pStyle w:val="Prrafodelista"/>
        <w:spacing w:line="360" w:lineRule="auto"/>
        <w:ind w:left="426"/>
        <w:jc w:val="both"/>
        <w:rPr>
          <w:rFonts w:ascii="Palatino Linotype" w:hAnsi="Palatino Linotype" w:cs="Tahoma"/>
          <w:bCs/>
          <w:iCs/>
        </w:rPr>
      </w:pPr>
    </w:p>
    <w:p w14:paraId="0339858A" w14:textId="4FA5C20F" w:rsidR="00C012AE" w:rsidRPr="00B13545" w:rsidRDefault="007C4350" w:rsidP="003F03FC">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Que se encuentra vigente una norma técnica</w:t>
      </w:r>
      <w:r w:rsidR="00FE54FB" w:rsidRPr="00B13545">
        <w:rPr>
          <w:rFonts w:ascii="Palatino Linotype" w:hAnsi="Palatino Linotype" w:cs="Tahoma"/>
          <w:bCs/>
          <w:iCs/>
        </w:rPr>
        <w:t xml:space="preserve"> del servicio público de transporte en la modalidad discrecional de pasaje individual, en vehículo de propulsión no mecánica denominada </w:t>
      </w:r>
      <w:proofErr w:type="spellStart"/>
      <w:r w:rsidR="00FE54FB" w:rsidRPr="00B13545">
        <w:rPr>
          <w:rFonts w:ascii="Palatino Linotype" w:hAnsi="Palatino Linotype" w:cs="Tahoma"/>
          <w:bCs/>
          <w:iCs/>
        </w:rPr>
        <w:t>ecobicitaxi</w:t>
      </w:r>
      <w:proofErr w:type="spellEnd"/>
      <w:r w:rsidR="00FE54FB" w:rsidRPr="00B13545">
        <w:rPr>
          <w:rFonts w:ascii="Palatino Linotype" w:hAnsi="Palatino Linotype" w:cs="Tahoma"/>
          <w:bCs/>
          <w:iCs/>
        </w:rPr>
        <w:t>.</w:t>
      </w:r>
    </w:p>
    <w:p w14:paraId="1FE2FC64" w14:textId="77777777" w:rsidR="00FE0D3E" w:rsidRPr="00B13545" w:rsidRDefault="00FE0D3E" w:rsidP="00FE0D3E">
      <w:pPr>
        <w:pStyle w:val="Prrafodelista"/>
        <w:rPr>
          <w:rFonts w:ascii="Palatino Linotype" w:hAnsi="Palatino Linotype" w:cs="Tahoma"/>
          <w:bCs/>
          <w:iCs/>
        </w:rPr>
      </w:pPr>
    </w:p>
    <w:p w14:paraId="3484C65B" w14:textId="6725D627" w:rsidR="00FE0D3E" w:rsidRPr="00B13545" w:rsidRDefault="00FE0D3E" w:rsidP="00FE0D3E">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lastRenderedPageBreak/>
        <w:t xml:space="preserve">En razón de lo anterior es que relativo a  las características de los </w:t>
      </w:r>
      <w:proofErr w:type="spellStart"/>
      <w:r w:rsidRPr="00B13545">
        <w:rPr>
          <w:rFonts w:ascii="Palatino Linotype" w:hAnsi="Palatino Linotype" w:cs="Tahoma"/>
          <w:bCs/>
          <w:iCs/>
        </w:rPr>
        <w:t>ecobicitaxis</w:t>
      </w:r>
      <w:proofErr w:type="spellEnd"/>
      <w:r w:rsidRPr="00B13545">
        <w:rPr>
          <w:rFonts w:ascii="Palatino Linotype" w:hAnsi="Palatino Linotype" w:cs="Tahoma"/>
          <w:bCs/>
          <w:iCs/>
        </w:rPr>
        <w:t xml:space="preserve">, la norma técnica fue enviada por el SUJETO OBLIGADO desde respuesta inicial, en el archivo  denominado </w:t>
      </w:r>
      <w:r w:rsidRPr="00B13545">
        <w:rPr>
          <w:rFonts w:ascii="Palatino Linotype" w:hAnsi="Palatino Linotype" w:cs="Tahoma"/>
          <w:b/>
          <w:bCs/>
          <w:i/>
          <w:iCs/>
        </w:rPr>
        <w:t>SERVICIO PÚBLICO DE TRANSPORTE EN LA MODALIDAD DENOMINADO ECOBICITAXI.pdf</w:t>
      </w:r>
      <w:r w:rsidRPr="00B13545">
        <w:rPr>
          <w:rFonts w:ascii="Palatino Linotype" w:hAnsi="Palatino Linotype" w:cs="Tahoma"/>
          <w:bCs/>
          <w:iCs/>
        </w:rPr>
        <w:t xml:space="preserve"> y</w:t>
      </w:r>
      <w:r w:rsidR="00A625E0" w:rsidRPr="00B13545">
        <w:rPr>
          <w:rFonts w:ascii="Palatino Linotype" w:hAnsi="Palatino Linotype" w:cs="Tahoma"/>
          <w:bCs/>
          <w:iCs/>
        </w:rPr>
        <w:t>a que</w:t>
      </w:r>
      <w:r w:rsidRPr="00B13545">
        <w:rPr>
          <w:rFonts w:ascii="Palatino Linotype" w:hAnsi="Palatino Linotype" w:cs="Tahoma"/>
          <w:bCs/>
          <w:iCs/>
        </w:rPr>
        <w:t xml:space="preserve"> en dicha norma se establecen “V. CARACTERÍSTICAS, ESTRUCTURA Y ESPECIFICACIONES DEL ECOBICITAXI, se inserta un extracto:</w:t>
      </w:r>
    </w:p>
    <w:p w14:paraId="64BA6FD7"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V. CARACTERÍSTICAS, ESTRUCTURA Y ESPECIFICACIONES DEL ECOBICITAXI</w:t>
      </w:r>
    </w:p>
    <w:p w14:paraId="5F6182B0"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 xml:space="preserve">Las características técnicas y especificaciones del </w:t>
      </w:r>
      <w:proofErr w:type="spellStart"/>
      <w:r w:rsidRPr="00B13545">
        <w:rPr>
          <w:rFonts w:ascii="Palatino Linotype" w:hAnsi="Palatino Linotype" w:cs="Tahoma"/>
          <w:bCs/>
          <w:i/>
          <w:iCs/>
        </w:rPr>
        <w:t>Ecobicitaxi</w:t>
      </w:r>
      <w:proofErr w:type="spellEnd"/>
      <w:r w:rsidRPr="00B13545">
        <w:rPr>
          <w:rFonts w:ascii="Palatino Linotype" w:hAnsi="Palatino Linotype" w:cs="Tahoma"/>
          <w:bCs/>
          <w:i/>
          <w:iCs/>
        </w:rPr>
        <w:t xml:space="preserve"> deben reunir los lineamientos básicos de confort y seguridad para el servicio público de transporte de pasajeros.</w:t>
      </w:r>
    </w:p>
    <w:p w14:paraId="3ADF963F"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 xml:space="preserve">La estructura del </w:t>
      </w:r>
      <w:proofErr w:type="spellStart"/>
      <w:r w:rsidRPr="00B13545">
        <w:rPr>
          <w:rFonts w:ascii="Palatino Linotype" w:hAnsi="Palatino Linotype" w:cs="Tahoma"/>
          <w:bCs/>
          <w:i/>
          <w:iCs/>
        </w:rPr>
        <w:t>Ecobicitaxi</w:t>
      </w:r>
      <w:proofErr w:type="spellEnd"/>
      <w:r w:rsidRPr="00B13545">
        <w:rPr>
          <w:rFonts w:ascii="Palatino Linotype" w:hAnsi="Palatino Linotype" w:cs="Tahoma"/>
          <w:bCs/>
          <w:i/>
          <w:iCs/>
        </w:rPr>
        <w:t xml:space="preserve"> debe estar integrada por el número necesario de partes para reducir el peso de la unidad.</w:t>
      </w:r>
    </w:p>
    <w:p w14:paraId="2E93AF7A"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Así mismo, deberá contar con un sistema que evite las vibraciones excesivas y deberá ser lo suficientemente resistente para soportar los diferentes esfuerzos a los que será sometida la estructura; debiendo contar con superficies protegidas para protección climática.</w:t>
      </w:r>
    </w:p>
    <w:p w14:paraId="72BFA4D2"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VI.- UNIDAD PROPULSORA “BICICLETA”</w:t>
      </w:r>
    </w:p>
    <w:p w14:paraId="3D2313C3"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La bicicleta deberá de facilitar el arrastre del remolque con carga y sin carga.</w:t>
      </w:r>
    </w:p>
    <w:p w14:paraId="05B9E2E8"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VII.- EQUIPAMIENTO Y ACCESORIOS</w:t>
      </w:r>
    </w:p>
    <w:p w14:paraId="47428133" w14:textId="77777777" w:rsidR="00FE0D3E" w:rsidRPr="00B13545" w:rsidRDefault="00FE0D3E" w:rsidP="00FE0D3E">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a) Asiento del ciclista:</w:t>
      </w:r>
    </w:p>
    <w:p w14:paraId="6D70EA8C" w14:textId="5D634DBA" w:rsidR="00FE0D3E" w:rsidRPr="00B13545" w:rsidRDefault="00FE0D3E" w:rsidP="00A625E0">
      <w:pPr>
        <w:pStyle w:val="Prrafodelista"/>
        <w:spacing w:line="360" w:lineRule="auto"/>
        <w:jc w:val="both"/>
        <w:rPr>
          <w:rFonts w:ascii="Palatino Linotype" w:hAnsi="Palatino Linotype" w:cs="Tahoma"/>
          <w:bCs/>
          <w:i/>
          <w:iCs/>
        </w:rPr>
      </w:pPr>
      <w:r w:rsidRPr="00B13545">
        <w:rPr>
          <w:rFonts w:ascii="Palatino Linotype" w:hAnsi="Palatino Linotype" w:cs="Tahoma"/>
          <w:bCs/>
          <w:i/>
          <w:iCs/>
        </w:rPr>
        <w:t xml:space="preserve">Debe permitir que el ciclista se apoye y se mueva ágilmente dejando libre el movimiento de las piernas; deberá sujetarse a la estructura del </w:t>
      </w:r>
      <w:proofErr w:type="spellStart"/>
      <w:r w:rsidRPr="00B13545">
        <w:rPr>
          <w:rFonts w:ascii="Palatino Linotype" w:hAnsi="Palatino Linotype" w:cs="Tahoma"/>
          <w:bCs/>
          <w:i/>
          <w:iCs/>
        </w:rPr>
        <w:t>Ecobicitaxi</w:t>
      </w:r>
      <w:proofErr w:type="spellEnd"/>
      <w:r w:rsidRPr="00B13545">
        <w:rPr>
          <w:rFonts w:ascii="Palatino Linotype" w:hAnsi="Palatino Linotype" w:cs="Tahoma"/>
          <w:bCs/>
          <w:i/>
          <w:iCs/>
        </w:rPr>
        <w:t>.</w:t>
      </w:r>
    </w:p>
    <w:p w14:paraId="43A1D422" w14:textId="77777777" w:rsidR="00225026" w:rsidRPr="00B13545" w:rsidRDefault="00225026" w:rsidP="00225026">
      <w:pPr>
        <w:pStyle w:val="Prrafodelista"/>
        <w:rPr>
          <w:rFonts w:ascii="Palatino Linotype" w:hAnsi="Palatino Linotype" w:cs="Tahoma"/>
          <w:bCs/>
          <w:iCs/>
        </w:rPr>
      </w:pPr>
    </w:p>
    <w:p w14:paraId="571353C0" w14:textId="1CF1E255" w:rsidR="00167A04" w:rsidRPr="00B13545" w:rsidRDefault="00A625E0" w:rsidP="003F03FC">
      <w:pPr>
        <w:pStyle w:val="Prrafodelista"/>
        <w:numPr>
          <w:ilvl w:val="0"/>
          <w:numId w:val="2"/>
        </w:numPr>
        <w:spacing w:line="360" w:lineRule="auto"/>
        <w:ind w:left="0" w:firstLine="0"/>
        <w:jc w:val="both"/>
        <w:rPr>
          <w:rFonts w:ascii="Palatino Linotype" w:eastAsiaTheme="minorHAnsi" w:hAnsi="Palatino Linotype" w:cstheme="minorBidi"/>
          <w:i/>
          <w:iCs/>
          <w:sz w:val="22"/>
          <w:szCs w:val="22"/>
          <w:lang w:eastAsia="en-US"/>
        </w:rPr>
      </w:pPr>
      <w:r w:rsidRPr="00B13545">
        <w:rPr>
          <w:rFonts w:ascii="Palatino Linotype" w:hAnsi="Palatino Linotype" w:cs="Tahoma"/>
          <w:bCs/>
          <w:iCs/>
        </w:rPr>
        <w:lastRenderedPageBreak/>
        <w:t>Ahora bien,</w:t>
      </w:r>
      <w:r w:rsidR="00167A04" w:rsidRPr="00B13545">
        <w:rPr>
          <w:rFonts w:ascii="Palatino Linotype" w:hAnsi="Palatino Linotype" w:cs="Tahoma"/>
          <w:bCs/>
          <w:iCs/>
        </w:rPr>
        <w:t xml:space="preserve"> dentro de la citada norma </w:t>
      </w:r>
      <w:r w:rsidR="000538C7" w:rsidRPr="00B13545">
        <w:rPr>
          <w:rFonts w:ascii="Palatino Linotype" w:hAnsi="Palatino Linotype" w:cs="Tahoma"/>
          <w:bCs/>
          <w:iCs/>
        </w:rPr>
        <w:t>s</w:t>
      </w:r>
      <w:r w:rsidR="00167A04" w:rsidRPr="00B13545">
        <w:rPr>
          <w:rFonts w:ascii="Palatino Linotype" w:hAnsi="Palatino Linotype" w:cs="Tahoma"/>
          <w:bCs/>
          <w:iCs/>
        </w:rPr>
        <w:t xml:space="preserve">e define al </w:t>
      </w:r>
      <w:proofErr w:type="spellStart"/>
      <w:r w:rsidR="00167A04" w:rsidRPr="00B13545">
        <w:rPr>
          <w:rFonts w:ascii="Palatino Linotype" w:hAnsi="Palatino Linotype" w:cs="Tahoma"/>
          <w:bCs/>
          <w:iCs/>
        </w:rPr>
        <w:t>ecobicitaxi</w:t>
      </w:r>
      <w:proofErr w:type="spellEnd"/>
      <w:r w:rsidR="00167A04" w:rsidRPr="00B13545">
        <w:rPr>
          <w:rFonts w:ascii="Palatino Linotype" w:hAnsi="Palatino Linotype" w:cs="Tahoma"/>
          <w:bCs/>
          <w:iCs/>
        </w:rPr>
        <w:t xml:space="preserve"> como un vehículo que es construido bajo el principio de una bicicleta, de una misma estructura o articulado</w:t>
      </w:r>
      <w:r w:rsidR="00E16575" w:rsidRPr="00B13545">
        <w:rPr>
          <w:rFonts w:ascii="Palatino Linotype" w:hAnsi="Palatino Linotype" w:cs="Tahoma"/>
          <w:bCs/>
          <w:iCs/>
        </w:rPr>
        <w:t xml:space="preserve">, el cual es accionado con la fuerza derivada del movimiento humano a través de pedales, asistido por </w:t>
      </w:r>
      <w:r w:rsidR="00A47266" w:rsidRPr="00B13545">
        <w:rPr>
          <w:rFonts w:ascii="Palatino Linotype" w:hAnsi="Palatino Linotype" w:cs="Tahoma"/>
          <w:bCs/>
          <w:iCs/>
        </w:rPr>
        <w:t>c</w:t>
      </w:r>
      <w:r w:rsidR="00E16575" w:rsidRPr="00B13545">
        <w:rPr>
          <w:rFonts w:ascii="Palatino Linotype" w:hAnsi="Palatino Linotype" w:cs="Tahoma"/>
          <w:bCs/>
          <w:iCs/>
        </w:rPr>
        <w:t xml:space="preserve">omponentes o impulsores eléctricos, con una capacidad de transportar de uno a dos pasajeros adultos sentados y al ciclista. Así también, en dicha norma se establece que el </w:t>
      </w:r>
      <w:proofErr w:type="spellStart"/>
      <w:r w:rsidR="00A47266" w:rsidRPr="00B13545">
        <w:rPr>
          <w:rFonts w:ascii="Palatino Linotype" w:hAnsi="Palatino Linotype" w:cs="Tahoma"/>
          <w:bCs/>
          <w:iCs/>
        </w:rPr>
        <w:t>e</w:t>
      </w:r>
      <w:r w:rsidR="00E16575" w:rsidRPr="00B13545">
        <w:rPr>
          <w:rFonts w:ascii="Palatino Linotype" w:hAnsi="Palatino Linotype" w:cs="Tahoma"/>
          <w:bCs/>
          <w:iCs/>
        </w:rPr>
        <w:t>cobicitaxi</w:t>
      </w:r>
      <w:proofErr w:type="spellEnd"/>
      <w:r w:rsidR="00E16575" w:rsidRPr="00B13545">
        <w:rPr>
          <w:rFonts w:ascii="Palatino Linotype" w:hAnsi="Palatino Linotype" w:cs="Tahoma"/>
          <w:bCs/>
          <w:iCs/>
        </w:rPr>
        <w:t xml:space="preserve"> se homologa al </w:t>
      </w:r>
      <w:r w:rsidR="00A47266" w:rsidRPr="00B13545">
        <w:rPr>
          <w:rFonts w:ascii="Palatino Linotype" w:hAnsi="Palatino Linotype" w:cs="Tahoma"/>
          <w:bCs/>
          <w:iCs/>
        </w:rPr>
        <w:t>ecotaxi, por lo que claramente la normatividad prevé tal figura.</w:t>
      </w:r>
    </w:p>
    <w:p w14:paraId="247882E9" w14:textId="77777777" w:rsidR="00225026" w:rsidRPr="00B13545" w:rsidRDefault="00225026" w:rsidP="003F03FC">
      <w:pPr>
        <w:pStyle w:val="Prrafodelista"/>
        <w:spacing w:line="276" w:lineRule="auto"/>
        <w:rPr>
          <w:rFonts w:ascii="Palatino Linotype" w:eastAsiaTheme="minorHAnsi" w:hAnsi="Palatino Linotype" w:cstheme="minorBidi"/>
          <w:i/>
          <w:iCs/>
          <w:lang w:eastAsia="en-US"/>
        </w:rPr>
      </w:pPr>
    </w:p>
    <w:p w14:paraId="06183D11" w14:textId="76AD0FE6" w:rsidR="00380CE5" w:rsidRPr="00B13545" w:rsidRDefault="00380CE5" w:rsidP="007E0EC3">
      <w:pPr>
        <w:pStyle w:val="Prrafodelista"/>
        <w:numPr>
          <w:ilvl w:val="0"/>
          <w:numId w:val="2"/>
        </w:numPr>
        <w:spacing w:line="360" w:lineRule="auto"/>
        <w:ind w:left="0" w:firstLine="0"/>
        <w:jc w:val="both"/>
        <w:rPr>
          <w:rFonts w:ascii="Palatino Linotype" w:eastAsiaTheme="minorHAnsi" w:hAnsi="Palatino Linotype" w:cstheme="minorBidi"/>
          <w:i/>
          <w:iCs/>
          <w:sz w:val="22"/>
          <w:szCs w:val="22"/>
          <w:lang w:eastAsia="en-US"/>
        </w:rPr>
      </w:pPr>
      <w:r w:rsidRPr="00B13545">
        <w:rPr>
          <w:rFonts w:ascii="Palatino Linotype" w:hAnsi="Palatino Linotype" w:cs="Tahoma"/>
          <w:bCs/>
          <w:iCs/>
        </w:rPr>
        <w:t>Así también, se define al permisionario como la persona físic</w:t>
      </w:r>
      <w:r w:rsidR="00FA76E5" w:rsidRPr="00B13545">
        <w:rPr>
          <w:rFonts w:ascii="Palatino Linotype" w:hAnsi="Palatino Linotype" w:cs="Tahoma"/>
          <w:bCs/>
          <w:iCs/>
        </w:rPr>
        <w:t>a</w:t>
      </w:r>
      <w:r w:rsidRPr="00B13545">
        <w:rPr>
          <w:rFonts w:ascii="Palatino Linotype" w:hAnsi="Palatino Linotype" w:cs="Tahoma"/>
          <w:bCs/>
          <w:iCs/>
        </w:rPr>
        <w:t xml:space="preserve"> o jurídica colectiva autorizada por la Secretaría de Movilidad del Estado de México</w:t>
      </w:r>
      <w:r w:rsidR="002927D8" w:rsidRPr="00B13545">
        <w:rPr>
          <w:rFonts w:ascii="Palatino Linotype" w:hAnsi="Palatino Linotype" w:cs="Tahoma"/>
          <w:bCs/>
          <w:iCs/>
        </w:rPr>
        <w:t>, para la prestación del servicio público de transporte de pasajeros.</w:t>
      </w:r>
    </w:p>
    <w:p w14:paraId="57D8FF56" w14:textId="77777777" w:rsidR="003F03FC" w:rsidRPr="00B13545" w:rsidRDefault="003F03FC" w:rsidP="003F03FC">
      <w:pPr>
        <w:pStyle w:val="Prrafodelista"/>
        <w:rPr>
          <w:rFonts w:ascii="Palatino Linotype" w:eastAsiaTheme="minorHAnsi" w:hAnsi="Palatino Linotype" w:cstheme="minorBidi"/>
          <w:i/>
          <w:iCs/>
          <w:sz w:val="22"/>
          <w:szCs w:val="22"/>
          <w:lang w:eastAsia="en-US"/>
        </w:rPr>
      </w:pPr>
    </w:p>
    <w:p w14:paraId="0DEE860F" w14:textId="6E18782A" w:rsidR="00C31EFD" w:rsidRPr="00B13545" w:rsidRDefault="00A47266" w:rsidP="007E0EC3">
      <w:pPr>
        <w:pStyle w:val="Prrafodelista"/>
        <w:numPr>
          <w:ilvl w:val="0"/>
          <w:numId w:val="2"/>
        </w:numPr>
        <w:spacing w:line="360" w:lineRule="auto"/>
        <w:ind w:left="0" w:firstLine="0"/>
        <w:jc w:val="both"/>
        <w:rPr>
          <w:rFonts w:ascii="Palatino Linotype" w:eastAsiaTheme="minorHAnsi" w:hAnsi="Palatino Linotype" w:cstheme="minorBidi"/>
          <w:i/>
          <w:iCs/>
          <w:sz w:val="22"/>
          <w:szCs w:val="22"/>
          <w:lang w:eastAsia="en-US"/>
        </w:rPr>
      </w:pPr>
      <w:r w:rsidRPr="00B13545">
        <w:rPr>
          <w:rFonts w:ascii="Palatino Linotype" w:hAnsi="Palatino Linotype" w:cs="Tahoma"/>
          <w:bCs/>
          <w:iCs/>
        </w:rPr>
        <w:t xml:space="preserve">De la norma </w:t>
      </w:r>
      <w:r w:rsidR="002E4DA4" w:rsidRPr="00B13545">
        <w:rPr>
          <w:rFonts w:ascii="Palatino Linotype" w:hAnsi="Palatino Linotype" w:cs="Tahoma"/>
          <w:bCs/>
          <w:iCs/>
        </w:rPr>
        <w:t>multicitada</w:t>
      </w:r>
      <w:r w:rsidRPr="00B13545">
        <w:rPr>
          <w:rFonts w:ascii="Palatino Linotype" w:hAnsi="Palatino Linotype" w:cs="Tahoma"/>
          <w:bCs/>
          <w:iCs/>
        </w:rPr>
        <w:t xml:space="preserve">, se desprenden los tipos de </w:t>
      </w:r>
      <w:proofErr w:type="spellStart"/>
      <w:r w:rsidRPr="00B13545">
        <w:rPr>
          <w:rFonts w:ascii="Palatino Linotype" w:hAnsi="Palatino Linotype" w:cs="Tahoma"/>
          <w:bCs/>
          <w:iCs/>
        </w:rPr>
        <w:t>ecobicitaxi</w:t>
      </w:r>
      <w:proofErr w:type="spellEnd"/>
      <w:r w:rsidRPr="00B13545">
        <w:rPr>
          <w:rFonts w:ascii="Palatino Linotype" w:hAnsi="Palatino Linotype" w:cs="Tahoma"/>
          <w:bCs/>
          <w:iCs/>
        </w:rPr>
        <w:t xml:space="preserve"> (ecotaxi);</w:t>
      </w:r>
      <w:r w:rsidR="002927D8" w:rsidRPr="00B13545">
        <w:rPr>
          <w:rFonts w:ascii="Palatino Linotype" w:hAnsi="Palatino Linotype" w:cs="Tahoma"/>
          <w:bCs/>
          <w:iCs/>
        </w:rPr>
        <w:t xml:space="preserve"> características, estructura y especificaciones; unidad propulsora (bicicleta); equipamiento y accesorios; elementos de seguridad; </w:t>
      </w:r>
      <w:r w:rsidR="003365C3" w:rsidRPr="00B13545">
        <w:rPr>
          <w:rFonts w:ascii="Palatino Linotype" w:hAnsi="Palatino Linotype" w:cs="Tahoma"/>
          <w:bCs/>
          <w:iCs/>
        </w:rPr>
        <w:t xml:space="preserve">elementos de seguridad para el ciclista; </w:t>
      </w:r>
      <w:r w:rsidR="002E4DA4" w:rsidRPr="00B13545">
        <w:rPr>
          <w:rFonts w:ascii="Palatino Linotype" w:hAnsi="Palatino Linotype" w:cs="Tahoma"/>
          <w:bCs/>
          <w:iCs/>
        </w:rPr>
        <w:t xml:space="preserve">así como </w:t>
      </w:r>
      <w:r w:rsidR="003365C3" w:rsidRPr="00B13545">
        <w:rPr>
          <w:rFonts w:ascii="Palatino Linotype" w:hAnsi="Palatino Linotype" w:cs="Tahoma"/>
          <w:bCs/>
          <w:iCs/>
        </w:rPr>
        <w:t>de identificación (cromática)</w:t>
      </w:r>
      <w:r w:rsidR="00C31EFD" w:rsidRPr="00B13545">
        <w:rPr>
          <w:rFonts w:ascii="Palatino Linotype" w:hAnsi="Palatino Linotype" w:cs="Tahoma"/>
          <w:bCs/>
          <w:iCs/>
        </w:rPr>
        <w:t>.</w:t>
      </w:r>
    </w:p>
    <w:p w14:paraId="55F51CDB" w14:textId="77777777" w:rsidR="003F03FC" w:rsidRPr="00B13545" w:rsidRDefault="003F03FC" w:rsidP="003F03FC">
      <w:pPr>
        <w:pStyle w:val="Prrafodelista"/>
        <w:rPr>
          <w:rFonts w:ascii="Palatino Linotype" w:eastAsiaTheme="minorHAnsi" w:hAnsi="Palatino Linotype" w:cstheme="minorBidi"/>
          <w:i/>
          <w:iCs/>
          <w:sz w:val="22"/>
          <w:szCs w:val="22"/>
          <w:lang w:eastAsia="en-US"/>
        </w:rPr>
      </w:pPr>
    </w:p>
    <w:p w14:paraId="0C57DCA4" w14:textId="364B6369" w:rsidR="00B20203" w:rsidRPr="00B13545" w:rsidRDefault="00C31EFD" w:rsidP="007E0EC3">
      <w:pPr>
        <w:pStyle w:val="Prrafodelista"/>
        <w:numPr>
          <w:ilvl w:val="0"/>
          <w:numId w:val="2"/>
        </w:numPr>
        <w:spacing w:line="360" w:lineRule="auto"/>
        <w:ind w:left="0" w:firstLine="0"/>
        <w:jc w:val="both"/>
        <w:rPr>
          <w:rFonts w:ascii="Palatino Linotype" w:eastAsiaTheme="minorHAnsi" w:hAnsi="Palatino Linotype" w:cstheme="minorBidi"/>
          <w:i/>
          <w:iCs/>
          <w:sz w:val="22"/>
          <w:szCs w:val="22"/>
          <w:lang w:eastAsia="en-US"/>
        </w:rPr>
      </w:pPr>
      <w:r w:rsidRPr="00B13545">
        <w:rPr>
          <w:rFonts w:ascii="Palatino Linotype" w:hAnsi="Palatino Linotype" w:cs="Tahoma"/>
          <w:bCs/>
          <w:iCs/>
        </w:rPr>
        <w:t xml:space="preserve">Que en la norma en comente se prevé el </w:t>
      </w:r>
      <w:r w:rsidR="003365C3" w:rsidRPr="00B13545">
        <w:rPr>
          <w:rFonts w:ascii="Palatino Linotype" w:hAnsi="Palatino Linotype" w:cs="Tahoma"/>
          <w:bCs/>
          <w:iCs/>
        </w:rPr>
        <w:t xml:space="preserve">permiso para el </w:t>
      </w:r>
      <w:proofErr w:type="spellStart"/>
      <w:r w:rsidR="003365C3" w:rsidRPr="00B13545">
        <w:rPr>
          <w:rFonts w:ascii="Palatino Linotype" w:hAnsi="Palatino Linotype" w:cs="Tahoma"/>
          <w:bCs/>
          <w:iCs/>
        </w:rPr>
        <w:t>ecobicitaxi</w:t>
      </w:r>
      <w:proofErr w:type="spellEnd"/>
      <w:r w:rsidR="003365C3" w:rsidRPr="00B13545">
        <w:rPr>
          <w:rFonts w:ascii="Palatino Linotype" w:hAnsi="Palatino Linotype" w:cs="Tahoma"/>
          <w:bCs/>
          <w:iCs/>
        </w:rPr>
        <w:t xml:space="preserve"> (ecotaxi),</w:t>
      </w:r>
      <w:r w:rsidRPr="00B13545">
        <w:rPr>
          <w:rFonts w:ascii="Palatino Linotype" w:hAnsi="Palatino Linotype" w:cs="Tahoma"/>
          <w:bCs/>
          <w:iCs/>
        </w:rPr>
        <w:t xml:space="preserve"> donde expresamente se prevé que su solicitud debe presentarse por escrito ante las Delegaciones Regionales</w:t>
      </w:r>
      <w:r w:rsidR="00B20203" w:rsidRPr="00B13545">
        <w:rPr>
          <w:rFonts w:ascii="Palatino Linotype" w:hAnsi="Palatino Linotype" w:cs="Tahoma"/>
          <w:bCs/>
          <w:iCs/>
        </w:rPr>
        <w:t xml:space="preserve">, contar con estudio técnico por parte de la Delegación Regional Correspondiente y haber obtenido el oficio de otorgamiento de permiso por parte de la Subsecretaría de Movilidad o Dirección General de Zona, dependiendo del municipio donde se pretenda operar el servicio, y </w:t>
      </w:r>
      <w:r w:rsidR="00C000E8" w:rsidRPr="00B13545">
        <w:rPr>
          <w:rFonts w:ascii="Palatino Linotype" w:hAnsi="Palatino Linotype" w:cs="Tahoma"/>
          <w:bCs/>
          <w:iCs/>
        </w:rPr>
        <w:t>presentarse ante la Dirección General del Registro Estatal de Transporte Público para su inscripción, señalando  documentación para el supuesto de persona física o sociedades mercantiles.</w:t>
      </w:r>
    </w:p>
    <w:p w14:paraId="695FC924" w14:textId="3F566ED4" w:rsidR="00C000E8" w:rsidRPr="00B13545" w:rsidRDefault="00C000E8" w:rsidP="007E0EC3">
      <w:pPr>
        <w:pStyle w:val="Prrafodelista"/>
        <w:numPr>
          <w:ilvl w:val="0"/>
          <w:numId w:val="2"/>
        </w:numPr>
        <w:spacing w:line="360" w:lineRule="auto"/>
        <w:ind w:left="0" w:firstLine="0"/>
        <w:jc w:val="both"/>
        <w:rPr>
          <w:rFonts w:ascii="Palatino Linotype" w:eastAsiaTheme="minorHAnsi" w:hAnsi="Palatino Linotype" w:cstheme="minorBidi"/>
          <w:i/>
          <w:iCs/>
          <w:sz w:val="22"/>
          <w:szCs w:val="22"/>
          <w:lang w:eastAsia="en-US"/>
        </w:rPr>
      </w:pPr>
      <w:r w:rsidRPr="00B13545">
        <w:rPr>
          <w:rFonts w:ascii="Palatino Linotype" w:hAnsi="Palatino Linotype" w:cs="Tahoma"/>
          <w:bCs/>
          <w:iCs/>
        </w:rPr>
        <w:lastRenderedPageBreak/>
        <w:t>Que</w:t>
      </w:r>
      <w:r w:rsidR="00DA050F" w:rsidRPr="00B13545">
        <w:rPr>
          <w:rFonts w:ascii="Palatino Linotype" w:hAnsi="Palatino Linotype" w:cs="Tahoma"/>
          <w:bCs/>
          <w:iCs/>
        </w:rPr>
        <w:t>,</w:t>
      </w:r>
      <w:r w:rsidRPr="00B13545">
        <w:rPr>
          <w:rFonts w:ascii="Palatino Linotype" w:hAnsi="Palatino Linotype" w:cs="Tahoma"/>
          <w:bCs/>
          <w:iCs/>
        </w:rPr>
        <w:t xml:space="preserve"> </w:t>
      </w:r>
      <w:r w:rsidR="002A0E5E" w:rsidRPr="00B13545">
        <w:rPr>
          <w:rFonts w:ascii="Palatino Linotype" w:hAnsi="Palatino Linotype" w:cs="Tahoma"/>
          <w:bCs/>
          <w:iCs/>
        </w:rPr>
        <w:t xml:space="preserve">de manera expresa, </w:t>
      </w:r>
      <w:r w:rsidRPr="00B13545">
        <w:rPr>
          <w:rFonts w:ascii="Palatino Linotype" w:hAnsi="Palatino Linotype" w:cs="Tahoma"/>
          <w:bCs/>
          <w:iCs/>
        </w:rPr>
        <w:t>en la norma técnica de mérito, se prevén las autoridades de la Secretaría de Movilidad que intervienen</w:t>
      </w:r>
      <w:r w:rsidR="001855D2" w:rsidRPr="00B13545">
        <w:rPr>
          <w:rFonts w:ascii="Palatino Linotype" w:hAnsi="Palatino Linotype" w:cs="Tahoma"/>
          <w:bCs/>
          <w:iCs/>
        </w:rPr>
        <w:t xml:space="preserve"> en esta modalidad de trasporte público de pasajeros, así como la atribución para cada una de ellas, y que a saber son: </w:t>
      </w:r>
    </w:p>
    <w:p w14:paraId="13445D2B" w14:textId="0CC63A81" w:rsidR="001855D2" w:rsidRPr="00B13545" w:rsidRDefault="001855D2" w:rsidP="007E0EC3">
      <w:pPr>
        <w:pStyle w:val="Prrafodelista"/>
        <w:spacing w:line="360" w:lineRule="auto"/>
        <w:ind w:left="851" w:right="539"/>
        <w:jc w:val="both"/>
        <w:rPr>
          <w:rFonts w:ascii="Palatino Linotype" w:eastAsiaTheme="minorHAnsi" w:hAnsi="Palatino Linotype" w:cstheme="minorBidi"/>
          <w:i/>
          <w:iCs/>
          <w:lang w:eastAsia="en-US"/>
        </w:rPr>
      </w:pPr>
      <w:r w:rsidRPr="00B13545">
        <w:rPr>
          <w:rFonts w:ascii="Palatino Linotype" w:hAnsi="Palatino Linotype" w:cs="Tahoma"/>
          <w:bCs/>
          <w:i/>
          <w:iCs/>
        </w:rPr>
        <w:t xml:space="preserve">- </w:t>
      </w:r>
      <w:r w:rsidR="007C4350" w:rsidRPr="00B13545">
        <w:rPr>
          <w:rFonts w:ascii="Palatino Linotype" w:eastAsiaTheme="minorHAnsi" w:hAnsi="Palatino Linotype" w:cstheme="minorBidi"/>
          <w:b/>
          <w:bCs/>
          <w:i/>
          <w:iCs/>
          <w:lang w:eastAsia="en-US"/>
        </w:rPr>
        <w:t>Secretaría de Movilidad</w:t>
      </w:r>
      <w:r w:rsidRPr="00B13545">
        <w:rPr>
          <w:rFonts w:ascii="Palatino Linotype" w:eastAsiaTheme="minorHAnsi" w:hAnsi="Palatino Linotype" w:cstheme="minorBidi"/>
          <w:b/>
          <w:bCs/>
          <w:i/>
          <w:iCs/>
          <w:lang w:eastAsia="en-US"/>
        </w:rPr>
        <w:t xml:space="preserve">: </w:t>
      </w:r>
      <w:r w:rsidR="007C4350" w:rsidRPr="00B13545">
        <w:rPr>
          <w:rFonts w:ascii="Palatino Linotype" w:eastAsiaTheme="minorHAnsi" w:hAnsi="Palatino Linotype" w:cstheme="minorBidi"/>
          <w:i/>
          <w:iCs/>
          <w:lang w:eastAsia="en-US"/>
        </w:rPr>
        <w:t xml:space="preserve">Autorizará y modificará en el momento necesario la presente Norma Técnica. </w:t>
      </w:r>
    </w:p>
    <w:p w14:paraId="58FE108E" w14:textId="1D5D3481" w:rsidR="007C4350" w:rsidRPr="00B13545" w:rsidRDefault="001855D2" w:rsidP="007E0EC3">
      <w:pPr>
        <w:pStyle w:val="Prrafodelista"/>
        <w:spacing w:line="360" w:lineRule="auto"/>
        <w:ind w:left="851" w:right="539"/>
        <w:jc w:val="both"/>
        <w:rPr>
          <w:rFonts w:ascii="Palatino Linotype" w:eastAsiaTheme="minorHAnsi" w:hAnsi="Palatino Linotype" w:cstheme="minorBidi"/>
          <w:i/>
          <w:iCs/>
          <w:lang w:eastAsia="en-US"/>
        </w:rPr>
      </w:pPr>
      <w:r w:rsidRPr="00B13545">
        <w:rPr>
          <w:rFonts w:ascii="Palatino Linotype" w:eastAsiaTheme="minorHAnsi" w:hAnsi="Palatino Linotype" w:cstheme="minorBidi"/>
          <w:i/>
          <w:iCs/>
          <w:lang w:eastAsia="en-US"/>
        </w:rPr>
        <w:t xml:space="preserve">- </w:t>
      </w:r>
      <w:r w:rsidR="007C4350" w:rsidRPr="00B13545">
        <w:rPr>
          <w:rFonts w:ascii="Palatino Linotype" w:eastAsiaTheme="minorHAnsi" w:hAnsi="Palatino Linotype" w:cstheme="minorBidi"/>
          <w:b/>
          <w:bCs/>
          <w:i/>
          <w:iCs/>
          <w:lang w:eastAsia="en-US"/>
        </w:rPr>
        <w:t>Subsecretaria de Movilidad</w:t>
      </w:r>
      <w:r w:rsidRPr="00B13545">
        <w:rPr>
          <w:rFonts w:ascii="Palatino Linotype" w:eastAsiaTheme="minorHAnsi" w:hAnsi="Palatino Linotype" w:cstheme="minorBidi"/>
          <w:b/>
          <w:bCs/>
          <w:i/>
          <w:iCs/>
          <w:lang w:eastAsia="en-US"/>
        </w:rPr>
        <w:t xml:space="preserve">: </w:t>
      </w:r>
      <w:r w:rsidR="007C4350" w:rsidRPr="00B13545">
        <w:rPr>
          <w:rFonts w:ascii="Palatino Linotype" w:eastAsiaTheme="minorHAnsi" w:hAnsi="Palatino Linotype" w:cstheme="minorBidi"/>
          <w:i/>
          <w:iCs/>
          <w:lang w:eastAsia="en-US"/>
        </w:rPr>
        <w:t>Someterá a la aprobación del Secretario, el otorgamiento del permiso</w:t>
      </w:r>
      <w:r w:rsidR="004A69B2" w:rsidRPr="00B13545">
        <w:rPr>
          <w:rFonts w:ascii="Palatino Linotype" w:eastAsiaTheme="minorHAnsi" w:hAnsi="Palatino Linotype" w:cstheme="minorBidi"/>
          <w:i/>
          <w:iCs/>
          <w:lang w:eastAsia="en-US"/>
        </w:rPr>
        <w:t>.</w:t>
      </w:r>
    </w:p>
    <w:p w14:paraId="3AB66A79" w14:textId="1DC48F8F" w:rsidR="007C4350" w:rsidRPr="00B13545" w:rsidRDefault="004A69B2" w:rsidP="007E0EC3">
      <w:pPr>
        <w:pStyle w:val="Prrafodelista"/>
        <w:spacing w:line="360" w:lineRule="auto"/>
        <w:ind w:left="851" w:right="539"/>
        <w:jc w:val="both"/>
        <w:rPr>
          <w:rFonts w:ascii="Palatino Linotype" w:eastAsiaTheme="minorHAnsi" w:hAnsi="Palatino Linotype" w:cstheme="minorBidi"/>
          <w:i/>
          <w:iCs/>
          <w:lang w:eastAsia="en-US"/>
        </w:rPr>
      </w:pPr>
      <w:r w:rsidRPr="00B13545">
        <w:rPr>
          <w:rFonts w:ascii="Palatino Linotype" w:eastAsiaTheme="minorHAnsi" w:hAnsi="Palatino Linotype" w:cstheme="minorBidi"/>
          <w:i/>
          <w:iCs/>
          <w:lang w:eastAsia="en-US"/>
        </w:rPr>
        <w:t xml:space="preserve">- </w:t>
      </w:r>
      <w:r w:rsidR="007C4350" w:rsidRPr="00B13545">
        <w:rPr>
          <w:rFonts w:ascii="Palatino Linotype" w:eastAsiaTheme="minorHAnsi" w:hAnsi="Palatino Linotype" w:cstheme="minorBidi"/>
          <w:b/>
          <w:bCs/>
          <w:i/>
          <w:iCs/>
          <w:lang w:eastAsia="en-US"/>
        </w:rPr>
        <w:t>Dirección General del Registro Estatal de Transporte Público del Estado de México</w:t>
      </w:r>
      <w:r w:rsidRPr="00B13545">
        <w:rPr>
          <w:rFonts w:ascii="Palatino Linotype" w:eastAsiaTheme="minorHAnsi" w:hAnsi="Palatino Linotype" w:cstheme="minorBidi"/>
          <w:b/>
          <w:bCs/>
          <w:i/>
          <w:iCs/>
          <w:lang w:eastAsia="en-US"/>
        </w:rPr>
        <w:t xml:space="preserve">: </w:t>
      </w:r>
      <w:r w:rsidR="007C4350" w:rsidRPr="00B13545">
        <w:rPr>
          <w:rFonts w:ascii="Palatino Linotype" w:eastAsiaTheme="minorHAnsi" w:hAnsi="Palatino Linotype" w:cstheme="minorBidi"/>
          <w:i/>
          <w:iCs/>
          <w:lang w:eastAsia="en-US"/>
        </w:rPr>
        <w:t xml:space="preserve">Expedirá placas y tarjetas de circulación para el </w:t>
      </w:r>
      <w:proofErr w:type="spellStart"/>
      <w:r w:rsidR="007C4350" w:rsidRPr="00B13545">
        <w:rPr>
          <w:rFonts w:ascii="Palatino Linotype" w:eastAsiaTheme="minorHAnsi" w:hAnsi="Palatino Linotype" w:cstheme="minorBidi"/>
          <w:i/>
          <w:iCs/>
          <w:lang w:eastAsia="en-US"/>
        </w:rPr>
        <w:t>Ecobicitaxi</w:t>
      </w:r>
      <w:proofErr w:type="spellEnd"/>
      <w:r w:rsidR="007C4350" w:rsidRPr="00B13545">
        <w:rPr>
          <w:rFonts w:ascii="Palatino Linotype" w:eastAsiaTheme="minorHAnsi" w:hAnsi="Palatino Linotype" w:cstheme="minorBidi"/>
          <w:i/>
          <w:iCs/>
          <w:lang w:eastAsia="en-US"/>
        </w:rPr>
        <w:t>.</w:t>
      </w:r>
    </w:p>
    <w:p w14:paraId="1D25CE69" w14:textId="580582E6" w:rsidR="007C4350" w:rsidRPr="00B13545" w:rsidRDefault="004A69B2" w:rsidP="007E0EC3">
      <w:pPr>
        <w:pStyle w:val="Prrafodelista"/>
        <w:spacing w:line="360" w:lineRule="auto"/>
        <w:ind w:left="851" w:right="539"/>
        <w:jc w:val="both"/>
        <w:rPr>
          <w:rFonts w:ascii="Palatino Linotype" w:eastAsiaTheme="minorHAnsi" w:hAnsi="Palatino Linotype" w:cstheme="minorBidi"/>
          <w:i/>
          <w:iCs/>
          <w:lang w:eastAsia="en-US"/>
        </w:rPr>
      </w:pPr>
      <w:r w:rsidRPr="00B13545">
        <w:rPr>
          <w:rFonts w:ascii="Palatino Linotype" w:eastAsiaTheme="minorHAnsi" w:hAnsi="Palatino Linotype" w:cstheme="minorBidi"/>
          <w:i/>
          <w:iCs/>
          <w:lang w:eastAsia="en-US"/>
        </w:rPr>
        <w:t xml:space="preserve">- </w:t>
      </w:r>
      <w:r w:rsidR="007C4350" w:rsidRPr="00B13545">
        <w:rPr>
          <w:rFonts w:ascii="Palatino Linotype" w:eastAsiaTheme="minorHAnsi" w:hAnsi="Palatino Linotype" w:cstheme="minorBidi"/>
          <w:b/>
          <w:bCs/>
          <w:i/>
          <w:iCs/>
          <w:lang w:eastAsia="en-US"/>
        </w:rPr>
        <w:t>Direcciones Generales de Zona, Delegaciones Regionales y Subdelegaciones de Movilidad</w:t>
      </w:r>
      <w:r w:rsidRPr="00B13545">
        <w:rPr>
          <w:rFonts w:ascii="Palatino Linotype" w:eastAsiaTheme="minorHAnsi" w:hAnsi="Palatino Linotype" w:cstheme="minorBidi"/>
          <w:b/>
          <w:bCs/>
          <w:i/>
          <w:iCs/>
          <w:lang w:eastAsia="en-US"/>
        </w:rPr>
        <w:t xml:space="preserve">: </w:t>
      </w:r>
      <w:r w:rsidR="007C4350" w:rsidRPr="00B13545">
        <w:rPr>
          <w:rFonts w:ascii="Palatino Linotype" w:eastAsiaTheme="minorHAnsi" w:hAnsi="Palatino Linotype" w:cstheme="minorBidi"/>
          <w:i/>
          <w:iCs/>
          <w:lang w:eastAsia="en-US"/>
        </w:rPr>
        <w:t>Realizarán los estudios técnicos</w:t>
      </w:r>
      <w:r w:rsidRPr="00B13545">
        <w:rPr>
          <w:rFonts w:ascii="Palatino Linotype" w:eastAsiaTheme="minorHAnsi" w:hAnsi="Palatino Linotype" w:cstheme="minorBidi"/>
          <w:i/>
          <w:iCs/>
          <w:lang w:eastAsia="en-US"/>
        </w:rPr>
        <w:t xml:space="preserve"> </w:t>
      </w:r>
      <w:r w:rsidR="007C4350" w:rsidRPr="00B13545">
        <w:rPr>
          <w:rFonts w:ascii="Palatino Linotype" w:eastAsiaTheme="minorHAnsi" w:hAnsi="Palatino Linotype" w:cstheme="minorBidi"/>
          <w:i/>
          <w:iCs/>
          <w:lang w:eastAsia="en-US"/>
        </w:rPr>
        <w:t>y económicos a solicitud de los particulares, para otorgar el permiso</w:t>
      </w:r>
      <w:r w:rsidRPr="00B13545">
        <w:rPr>
          <w:rFonts w:ascii="Palatino Linotype" w:eastAsiaTheme="minorHAnsi" w:hAnsi="Palatino Linotype" w:cstheme="minorBidi"/>
          <w:i/>
          <w:iCs/>
          <w:lang w:eastAsia="en-US"/>
        </w:rPr>
        <w:t xml:space="preserve"> y v</w:t>
      </w:r>
      <w:r w:rsidR="007C4350" w:rsidRPr="00B13545">
        <w:rPr>
          <w:rFonts w:ascii="Palatino Linotype" w:eastAsiaTheme="minorHAnsi" w:hAnsi="Palatino Linotype" w:cstheme="minorBidi"/>
          <w:i/>
          <w:iCs/>
          <w:lang w:eastAsia="en-US"/>
        </w:rPr>
        <w:t xml:space="preserve">igilarán el cumplimiento de la presente Norma Técnica. </w:t>
      </w:r>
    </w:p>
    <w:p w14:paraId="5AC093DC" w14:textId="051F9467" w:rsidR="007C4350" w:rsidRPr="00B13545" w:rsidRDefault="004A69B2" w:rsidP="007E0EC3">
      <w:pPr>
        <w:pStyle w:val="Prrafodelista"/>
        <w:spacing w:line="360" w:lineRule="auto"/>
        <w:ind w:left="851" w:right="539"/>
        <w:jc w:val="both"/>
        <w:rPr>
          <w:rFonts w:ascii="Palatino Linotype" w:eastAsiaTheme="minorHAnsi" w:hAnsi="Palatino Linotype" w:cstheme="minorBidi"/>
          <w:i/>
          <w:iCs/>
          <w:lang w:eastAsia="en-US"/>
        </w:rPr>
      </w:pPr>
      <w:r w:rsidRPr="00B13545">
        <w:rPr>
          <w:rFonts w:ascii="Palatino Linotype" w:eastAsiaTheme="minorHAnsi" w:hAnsi="Palatino Linotype" w:cstheme="minorBidi"/>
          <w:i/>
          <w:iCs/>
          <w:lang w:eastAsia="en-US"/>
        </w:rPr>
        <w:t xml:space="preserve">- </w:t>
      </w:r>
      <w:r w:rsidR="007C4350" w:rsidRPr="00B13545">
        <w:rPr>
          <w:rFonts w:ascii="Palatino Linotype" w:eastAsiaTheme="minorHAnsi" w:hAnsi="Palatino Linotype" w:cstheme="minorBidi"/>
          <w:b/>
          <w:bCs/>
          <w:i/>
          <w:iCs/>
          <w:lang w:eastAsia="en-US"/>
        </w:rPr>
        <w:t>Instituto de Transporte del Estado de México</w:t>
      </w:r>
      <w:r w:rsidRPr="00B13545">
        <w:rPr>
          <w:rFonts w:ascii="Palatino Linotype" w:eastAsiaTheme="minorHAnsi" w:hAnsi="Palatino Linotype" w:cstheme="minorBidi"/>
          <w:b/>
          <w:bCs/>
          <w:i/>
          <w:iCs/>
          <w:lang w:eastAsia="en-US"/>
        </w:rPr>
        <w:t xml:space="preserve">: </w:t>
      </w:r>
      <w:r w:rsidR="007C4350" w:rsidRPr="00B13545">
        <w:rPr>
          <w:rFonts w:ascii="Palatino Linotype" w:eastAsiaTheme="minorHAnsi" w:hAnsi="Palatino Linotype" w:cstheme="minorBidi"/>
          <w:i/>
          <w:iCs/>
          <w:lang w:eastAsia="en-US"/>
        </w:rPr>
        <w:t xml:space="preserve">Realizará los estudios correspondientes para proponer la tarifa para el </w:t>
      </w:r>
      <w:proofErr w:type="spellStart"/>
      <w:r w:rsidR="007C4350" w:rsidRPr="00B13545">
        <w:rPr>
          <w:rFonts w:ascii="Palatino Linotype" w:eastAsiaTheme="minorHAnsi" w:hAnsi="Palatino Linotype" w:cstheme="minorBidi"/>
          <w:i/>
          <w:iCs/>
          <w:lang w:eastAsia="en-US"/>
        </w:rPr>
        <w:t>Ecobicitaxi</w:t>
      </w:r>
      <w:proofErr w:type="spellEnd"/>
      <w:r w:rsidR="007C4350" w:rsidRPr="00B13545">
        <w:rPr>
          <w:rFonts w:ascii="Palatino Linotype" w:eastAsiaTheme="minorHAnsi" w:hAnsi="Palatino Linotype" w:cstheme="minorBidi"/>
          <w:i/>
          <w:iCs/>
          <w:lang w:eastAsia="en-US"/>
        </w:rPr>
        <w:t>.</w:t>
      </w:r>
    </w:p>
    <w:p w14:paraId="05434EA4" w14:textId="77777777" w:rsidR="008E121C" w:rsidRPr="00B13545" w:rsidRDefault="008E121C" w:rsidP="008E121C">
      <w:pPr>
        <w:pStyle w:val="Prrafodelista"/>
        <w:spacing w:line="360" w:lineRule="auto"/>
        <w:jc w:val="both"/>
        <w:rPr>
          <w:rFonts w:ascii="Palatino Linotype" w:eastAsiaTheme="minorHAnsi" w:hAnsi="Palatino Linotype" w:cstheme="minorBidi"/>
          <w:iCs/>
          <w:lang w:eastAsia="en-US"/>
        </w:rPr>
      </w:pPr>
    </w:p>
    <w:p w14:paraId="30CC36D3" w14:textId="3F52C3D8" w:rsidR="008E121C" w:rsidRPr="00B13545" w:rsidRDefault="00283CE0" w:rsidP="00DE57FC">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 xml:space="preserve">En esa virtud, </w:t>
      </w:r>
      <w:r w:rsidR="008E121C" w:rsidRPr="00B13545">
        <w:rPr>
          <w:rFonts w:ascii="Palatino Linotype" w:hAnsi="Palatino Linotype" w:cs="Tahoma"/>
          <w:bCs/>
          <w:iCs/>
        </w:rPr>
        <w:t>es dable establecer que la Secretaría de Movilidad del Estado de México, como sujeto obligado en el presente asunto es competente</w:t>
      </w:r>
      <w:r w:rsidR="00380F37" w:rsidRPr="00B13545">
        <w:rPr>
          <w:rFonts w:ascii="Palatino Linotype" w:hAnsi="Palatino Linotype" w:cs="Tahoma"/>
          <w:bCs/>
          <w:iCs/>
        </w:rPr>
        <w:t>,</w:t>
      </w:r>
      <w:r w:rsidR="008E121C" w:rsidRPr="00B13545">
        <w:rPr>
          <w:rFonts w:ascii="Palatino Linotype" w:hAnsi="Palatino Linotype" w:cs="Tahoma"/>
          <w:bCs/>
          <w:iCs/>
        </w:rPr>
        <w:t xml:space="preserve"> conforme a las atribuciones legalmente establecidas</w:t>
      </w:r>
      <w:r w:rsidR="00380F37" w:rsidRPr="00B13545">
        <w:rPr>
          <w:rFonts w:ascii="Palatino Linotype" w:hAnsi="Palatino Linotype" w:cs="Tahoma"/>
          <w:bCs/>
          <w:iCs/>
        </w:rPr>
        <w:t>,</w:t>
      </w:r>
      <w:r w:rsidR="008E121C" w:rsidRPr="00B13545">
        <w:rPr>
          <w:rFonts w:ascii="Palatino Linotype" w:hAnsi="Palatino Linotype" w:cs="Tahoma"/>
          <w:bCs/>
          <w:iCs/>
        </w:rPr>
        <w:t xml:space="preserve"> para conocer de la modalidad del servicio público de transporte de pasajeros en su modalidad de ecotaxi o </w:t>
      </w:r>
      <w:proofErr w:type="spellStart"/>
      <w:r w:rsidR="00F96D39" w:rsidRPr="00B13545">
        <w:rPr>
          <w:rFonts w:ascii="Palatino Linotype" w:hAnsi="Palatino Linotype" w:cs="Tahoma"/>
          <w:bCs/>
          <w:iCs/>
        </w:rPr>
        <w:t>ecobicitaxi</w:t>
      </w:r>
      <w:proofErr w:type="spellEnd"/>
      <w:r w:rsidR="00F96D39" w:rsidRPr="00B13545">
        <w:rPr>
          <w:rFonts w:ascii="Palatino Linotype" w:hAnsi="Palatino Linotype" w:cs="Tahoma"/>
          <w:bCs/>
          <w:iCs/>
        </w:rPr>
        <w:t>, tal y como ha quedado debidamente acreditado</w:t>
      </w:r>
      <w:r w:rsidR="00380F37" w:rsidRPr="00B13545">
        <w:rPr>
          <w:rFonts w:ascii="Palatino Linotype" w:hAnsi="Palatino Linotype" w:cs="Tahoma"/>
          <w:bCs/>
          <w:iCs/>
        </w:rPr>
        <w:t xml:space="preserve"> y por ende </w:t>
      </w:r>
      <w:r w:rsidR="0059198E" w:rsidRPr="00B13545">
        <w:rPr>
          <w:rFonts w:ascii="Palatino Linotype" w:hAnsi="Palatino Linotype" w:cs="Tahoma"/>
          <w:bCs/>
          <w:iCs/>
        </w:rPr>
        <w:t xml:space="preserve">es factible </w:t>
      </w:r>
      <w:r w:rsidR="00380F37" w:rsidRPr="00B13545">
        <w:rPr>
          <w:rFonts w:ascii="Palatino Linotype" w:hAnsi="Palatino Linotype" w:cs="Tahoma"/>
          <w:bCs/>
          <w:iCs/>
        </w:rPr>
        <w:t>considerar que genera</w:t>
      </w:r>
      <w:r w:rsidR="0059198E" w:rsidRPr="00B13545">
        <w:rPr>
          <w:rFonts w:ascii="Palatino Linotype" w:hAnsi="Palatino Linotype" w:cs="Tahoma"/>
          <w:bCs/>
          <w:iCs/>
        </w:rPr>
        <w:t xml:space="preserve">, posee o administra </w:t>
      </w:r>
      <w:r w:rsidR="00380F37" w:rsidRPr="00B13545">
        <w:rPr>
          <w:rFonts w:ascii="Palatino Linotype" w:hAnsi="Palatino Linotype" w:cs="Tahoma"/>
          <w:bCs/>
          <w:iCs/>
        </w:rPr>
        <w:t>información relacionada con la solicitada por el recurrente.</w:t>
      </w:r>
    </w:p>
    <w:p w14:paraId="3286E8A6" w14:textId="77777777" w:rsidR="0059198E" w:rsidRPr="00B13545" w:rsidRDefault="0059198E" w:rsidP="0059198E">
      <w:pPr>
        <w:pStyle w:val="Prrafodelista"/>
        <w:spacing w:line="360" w:lineRule="auto"/>
        <w:ind w:left="0"/>
        <w:jc w:val="both"/>
        <w:rPr>
          <w:rFonts w:ascii="Palatino Linotype" w:hAnsi="Palatino Linotype" w:cs="Tahoma"/>
          <w:bCs/>
          <w:iCs/>
        </w:rPr>
      </w:pPr>
    </w:p>
    <w:p w14:paraId="592EBB17" w14:textId="49BC3DF4" w:rsidR="00F02BD4" w:rsidRPr="00B13545" w:rsidRDefault="0059198E" w:rsidP="00A352DA">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lastRenderedPageBreak/>
        <w:t xml:space="preserve">Luego entonces, la </w:t>
      </w:r>
      <w:r w:rsidR="00283CE0" w:rsidRPr="00B13545">
        <w:rPr>
          <w:rFonts w:ascii="Palatino Linotype" w:hAnsi="Palatino Linotype" w:cs="Tahoma"/>
          <w:bCs/>
          <w:iCs/>
        </w:rPr>
        <w:t>Ley de Transparencia local contempla en su artículo 4 que toda información generada, obtenida, adquirida</w:t>
      </w:r>
      <w:r w:rsidR="00FC70F2" w:rsidRPr="00B13545">
        <w:rPr>
          <w:rFonts w:ascii="Palatino Linotype" w:hAnsi="Palatino Linotype" w:cs="Tahoma"/>
          <w:bCs/>
          <w:iCs/>
        </w:rPr>
        <w:t>, trasformada, administrada o en posesión de los Sujetos Obligados es</w:t>
      </w:r>
      <w:r w:rsidR="00F02BD4" w:rsidRPr="00B13545">
        <w:rPr>
          <w:rFonts w:ascii="Palatino Linotype" w:hAnsi="Palatino Linotype" w:cs="Tahoma"/>
          <w:bCs/>
          <w:iCs/>
        </w:rPr>
        <w:t xml:space="preserve"> pública y accesible de manera permanente a cualquier persona.</w:t>
      </w:r>
    </w:p>
    <w:p w14:paraId="66247D8A" w14:textId="77777777" w:rsidR="00F02BD4" w:rsidRPr="00B13545" w:rsidRDefault="00F02BD4" w:rsidP="00F02BD4">
      <w:pPr>
        <w:pStyle w:val="Prrafodelista"/>
        <w:rPr>
          <w:rFonts w:ascii="Palatino Linotype" w:hAnsi="Palatino Linotype" w:cs="Tahoma"/>
          <w:bCs/>
          <w:iCs/>
        </w:rPr>
      </w:pPr>
    </w:p>
    <w:p w14:paraId="2CB5DBDD" w14:textId="1623136C" w:rsidR="00EC2D63" w:rsidRPr="00B13545" w:rsidRDefault="00F02BD4" w:rsidP="00DE57FC">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Ante lo anterior, resulta claro que existe fuente obligacional que constriñe al Sujeto Obligado</w:t>
      </w:r>
      <w:r w:rsidR="00EC2D63" w:rsidRPr="00B13545">
        <w:rPr>
          <w:rFonts w:ascii="Palatino Linotype" w:hAnsi="Palatino Linotype" w:cs="Tahoma"/>
          <w:bCs/>
          <w:iCs/>
        </w:rPr>
        <w:t>, para poseer información relacionada con</w:t>
      </w:r>
      <w:r w:rsidR="00785310" w:rsidRPr="00B13545">
        <w:rPr>
          <w:rFonts w:ascii="Palatino Linotype" w:hAnsi="Palatino Linotype" w:cs="Tahoma"/>
          <w:bCs/>
          <w:iCs/>
        </w:rPr>
        <w:t xml:space="preserve"> la figura de servicio público de transporte de pasajeros denominada ecotaxi o </w:t>
      </w:r>
      <w:proofErr w:type="spellStart"/>
      <w:r w:rsidR="00785310" w:rsidRPr="00B13545">
        <w:rPr>
          <w:rFonts w:ascii="Palatino Linotype" w:hAnsi="Palatino Linotype" w:cs="Tahoma"/>
          <w:bCs/>
          <w:iCs/>
        </w:rPr>
        <w:t>ecobicitaxo</w:t>
      </w:r>
      <w:proofErr w:type="spellEnd"/>
      <w:r w:rsidR="00785310" w:rsidRPr="00B13545">
        <w:rPr>
          <w:rFonts w:ascii="Palatino Linotype" w:hAnsi="Palatino Linotype" w:cs="Tahoma"/>
          <w:bCs/>
          <w:iCs/>
        </w:rPr>
        <w:t xml:space="preserve">, </w:t>
      </w:r>
      <w:r w:rsidR="00D543B2" w:rsidRPr="00B13545">
        <w:rPr>
          <w:rFonts w:ascii="Palatino Linotype" w:hAnsi="Palatino Linotype" w:cs="Tahoma"/>
          <w:bCs/>
          <w:iCs/>
        </w:rPr>
        <w:t xml:space="preserve">de sus características y especificaciones, </w:t>
      </w:r>
      <w:r w:rsidR="00785310" w:rsidRPr="00B13545">
        <w:rPr>
          <w:rFonts w:ascii="Palatino Linotype" w:hAnsi="Palatino Linotype" w:cs="Tahoma"/>
          <w:bCs/>
          <w:iCs/>
        </w:rPr>
        <w:t>así como de l</w:t>
      </w:r>
      <w:r w:rsidR="008772DB" w:rsidRPr="00B13545">
        <w:rPr>
          <w:rFonts w:ascii="Palatino Linotype" w:hAnsi="Palatino Linotype" w:cs="Tahoma"/>
          <w:bCs/>
          <w:iCs/>
        </w:rPr>
        <w:t xml:space="preserve">os </w:t>
      </w:r>
      <w:r w:rsidR="00D543B2" w:rsidRPr="00B13545">
        <w:rPr>
          <w:rFonts w:ascii="Palatino Linotype" w:hAnsi="Palatino Linotype" w:cs="Tahoma"/>
          <w:bCs/>
          <w:iCs/>
        </w:rPr>
        <w:t>permisos,</w:t>
      </w:r>
      <w:r w:rsidR="008772DB" w:rsidRPr="00B13545">
        <w:rPr>
          <w:rFonts w:ascii="Palatino Linotype" w:hAnsi="Palatino Linotype" w:cs="Tahoma"/>
          <w:bCs/>
          <w:iCs/>
        </w:rPr>
        <w:t xml:space="preserve"> bases y fundamento legal</w:t>
      </w:r>
      <w:r w:rsidR="006B41DF" w:rsidRPr="00B13545">
        <w:rPr>
          <w:rFonts w:ascii="Palatino Linotype" w:hAnsi="Palatino Linotype" w:cs="Tahoma"/>
          <w:bCs/>
          <w:iCs/>
        </w:rPr>
        <w:t>, de estas últimas ya remitidas siendo colmado el punto de referencia.</w:t>
      </w:r>
    </w:p>
    <w:p w14:paraId="0FD04B04" w14:textId="77777777" w:rsidR="00EC2D63" w:rsidRPr="00B13545" w:rsidRDefault="00EC2D63" w:rsidP="00EC2D63">
      <w:pPr>
        <w:pStyle w:val="Prrafodelista"/>
        <w:rPr>
          <w:rFonts w:ascii="Palatino Linotype" w:hAnsi="Palatino Linotype" w:cs="Tahoma"/>
          <w:bCs/>
          <w:iCs/>
        </w:rPr>
      </w:pPr>
    </w:p>
    <w:p w14:paraId="776A6A3C" w14:textId="07BC57C3" w:rsidR="00283CE0" w:rsidRPr="00B13545" w:rsidRDefault="00EC2D63" w:rsidP="00DE57FC">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En este sentido, es de suma importancia señalar los objetivos de la ley de Transparencia y Acceso a la Información Pública del Estado de México y Municipios, en relación con la obligación de acceso por parte de los Sujetos Obligados, los cuales se encuentran establecidos</w:t>
      </w:r>
      <w:r w:rsidR="007A58CE" w:rsidRPr="00B13545">
        <w:rPr>
          <w:rFonts w:ascii="Palatino Linotype" w:hAnsi="Palatino Linotype" w:cs="Tahoma"/>
          <w:bCs/>
          <w:iCs/>
        </w:rPr>
        <w:t xml:space="preserve"> en el artículo 2 de dicho ordenamiento jurídico y son los siguientes:</w:t>
      </w:r>
      <w:r w:rsidRPr="00B13545">
        <w:rPr>
          <w:rFonts w:ascii="Palatino Linotype" w:hAnsi="Palatino Linotype" w:cs="Tahoma"/>
          <w:bCs/>
          <w:iCs/>
        </w:rPr>
        <w:t xml:space="preserve">  </w:t>
      </w:r>
      <w:r w:rsidR="00F02BD4" w:rsidRPr="00B13545">
        <w:rPr>
          <w:rFonts w:ascii="Palatino Linotype" w:hAnsi="Palatino Linotype" w:cs="Tahoma"/>
          <w:bCs/>
          <w:iCs/>
        </w:rPr>
        <w:t xml:space="preserve"> </w:t>
      </w:r>
      <w:r w:rsidR="00FC70F2" w:rsidRPr="00B13545">
        <w:rPr>
          <w:rFonts w:ascii="Palatino Linotype" w:hAnsi="Palatino Linotype" w:cs="Tahoma"/>
          <w:bCs/>
          <w:iCs/>
        </w:rPr>
        <w:t xml:space="preserve"> </w:t>
      </w:r>
    </w:p>
    <w:p w14:paraId="4539BDFB" w14:textId="77777777" w:rsidR="00CC4247" w:rsidRPr="00B13545" w:rsidRDefault="00CC4247" w:rsidP="00CC4247">
      <w:pPr>
        <w:pStyle w:val="Prrafodelista"/>
        <w:rPr>
          <w:rFonts w:ascii="Palatino Linotype" w:hAnsi="Palatino Linotype" w:cs="Tahoma"/>
          <w:bCs/>
          <w:iCs/>
        </w:rPr>
      </w:pPr>
    </w:p>
    <w:p w14:paraId="543D0D72" w14:textId="3053BE54" w:rsidR="00CC4247" w:rsidRPr="00B13545" w:rsidRDefault="00CC4247" w:rsidP="00ED71EA">
      <w:pPr>
        <w:pStyle w:val="Prrafodelista"/>
        <w:numPr>
          <w:ilvl w:val="0"/>
          <w:numId w:val="12"/>
        </w:numPr>
        <w:spacing w:line="360" w:lineRule="auto"/>
        <w:jc w:val="both"/>
        <w:rPr>
          <w:rFonts w:ascii="Palatino Linotype" w:hAnsi="Palatino Linotype" w:cs="Tahoma"/>
          <w:bCs/>
          <w:iCs/>
        </w:rPr>
      </w:pPr>
      <w:r w:rsidRPr="00B13545">
        <w:rPr>
          <w:rFonts w:ascii="Palatino Linotype" w:hAnsi="Palatino Linotype" w:cs="Tahoma"/>
          <w:bCs/>
          <w:iCs/>
        </w:rPr>
        <w:t>Proveer lo necesario para garantizar a toda persona el derecho de acceso a la información pública, a través de procedimientos sencillos, expeditos, oportunos y gratuitos, determinando las bases mínimas sobre las cuales se regirán los mismos;</w:t>
      </w:r>
    </w:p>
    <w:p w14:paraId="17B96FEA" w14:textId="7D3D526A" w:rsidR="00CC4247" w:rsidRPr="00B13545" w:rsidRDefault="00CC4247" w:rsidP="00ED71EA">
      <w:pPr>
        <w:pStyle w:val="Prrafodelista"/>
        <w:numPr>
          <w:ilvl w:val="0"/>
          <w:numId w:val="12"/>
        </w:numPr>
        <w:spacing w:line="360" w:lineRule="auto"/>
        <w:jc w:val="both"/>
        <w:rPr>
          <w:rFonts w:ascii="Palatino Linotype" w:hAnsi="Palatino Linotype" w:cs="Tahoma"/>
          <w:bCs/>
          <w:iCs/>
        </w:rPr>
      </w:pPr>
      <w:r w:rsidRPr="00B13545">
        <w:rPr>
          <w:rFonts w:ascii="Palatino Linotype" w:hAnsi="Palatino Linotype" w:cs="Tahoma"/>
          <w:bCs/>
          <w:iCs/>
        </w:rPr>
        <w:t>Contribuir a la mejora de procedimientos y mecanismos que permitan transparentar la gestión pública y mejorar la toma de decisiones, mediante la difusión de la información que generen los sujetos obligados.</w:t>
      </w:r>
    </w:p>
    <w:p w14:paraId="03B70F44" w14:textId="77777777" w:rsidR="00CC4247" w:rsidRPr="00B13545" w:rsidRDefault="00CC4247" w:rsidP="00CC4247">
      <w:pPr>
        <w:spacing w:line="360" w:lineRule="auto"/>
        <w:jc w:val="both"/>
        <w:rPr>
          <w:rFonts w:ascii="Palatino Linotype" w:hAnsi="Palatino Linotype" w:cs="Tahoma"/>
          <w:bCs/>
          <w:iCs/>
        </w:rPr>
      </w:pPr>
    </w:p>
    <w:p w14:paraId="6BA380E7" w14:textId="0E6945B1" w:rsidR="00CC4247" w:rsidRPr="00B13545" w:rsidRDefault="00CC4247" w:rsidP="00CC4247">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lastRenderedPageBreak/>
        <w:t xml:space="preserve">Conforme a lo anterior, se desprende que los objetivos de la Ley de la materia, son establecer las bases que regirán las formas para garantizar el derecho de acceso a la información, mediante procesos sencillos y expeditos, la promoción, fomento y difusión de la cultura de transparencia </w:t>
      </w:r>
      <w:r w:rsidR="00FC450A" w:rsidRPr="00B13545">
        <w:rPr>
          <w:rFonts w:ascii="Palatino Linotype" w:hAnsi="Palatino Linotype" w:cs="Tahoma"/>
          <w:bCs/>
          <w:iCs/>
        </w:rPr>
        <w:t>y la rendición de cuentas, a través de establecimiento de políticas públicas y mecanismos que garanticen la publicidad de información oportuna, verificable, comprensibles, actualizada y completa.</w:t>
      </w:r>
    </w:p>
    <w:p w14:paraId="77A34D19" w14:textId="77777777" w:rsidR="000B4B49" w:rsidRPr="00B13545" w:rsidRDefault="000B4B49" w:rsidP="000B4B49">
      <w:pPr>
        <w:pStyle w:val="Prrafodelista"/>
        <w:spacing w:line="360" w:lineRule="auto"/>
        <w:ind w:left="0"/>
        <w:jc w:val="both"/>
        <w:rPr>
          <w:rFonts w:ascii="Palatino Linotype" w:hAnsi="Palatino Linotype" w:cs="Tahoma"/>
          <w:bCs/>
          <w:iCs/>
        </w:rPr>
      </w:pPr>
    </w:p>
    <w:p w14:paraId="513217AE" w14:textId="5C47317E" w:rsidR="00FC450A" w:rsidRPr="00B13545" w:rsidRDefault="000F79CB" w:rsidP="000F79CB">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 xml:space="preserve">En ese orden de ideas, para la atención de las solicitudes de acceso a la información, debe privilegiarse el principio de máxima publicidad el cual dispone que toda la información en posesión de los Sujetos Obligados será pública, completa, oportuna y accesible, sujeta a un claro régimen de excepciones que deberán estar definidas y ser legítimas y estrictamente necesarias en una sociedad democrática.  </w:t>
      </w:r>
    </w:p>
    <w:p w14:paraId="422B8AE8" w14:textId="77777777" w:rsidR="000F79CB" w:rsidRPr="00B13545" w:rsidRDefault="000F79CB" w:rsidP="000F79CB">
      <w:pPr>
        <w:pStyle w:val="Prrafodelista"/>
        <w:spacing w:line="360" w:lineRule="auto"/>
        <w:ind w:left="0"/>
        <w:jc w:val="both"/>
        <w:rPr>
          <w:rFonts w:ascii="Palatino Linotype" w:hAnsi="Palatino Linotype" w:cs="Tahoma"/>
          <w:bCs/>
          <w:iCs/>
        </w:rPr>
      </w:pPr>
    </w:p>
    <w:p w14:paraId="3242A7C9" w14:textId="383D0A4B" w:rsidR="000F79CB" w:rsidRPr="00B13545" w:rsidRDefault="00FB20D4" w:rsidP="00CC4247">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Para lograr lo precisado, los Sujetos Obligados deben seguir el procedimiento para la atención a las solicitudes de acceso a la información, establecidos en los artículos</w:t>
      </w:r>
      <w:r w:rsidR="000A1366" w:rsidRPr="00B13545">
        <w:rPr>
          <w:rFonts w:ascii="Palatino Linotype" w:hAnsi="Palatino Linotype" w:cs="Tahoma"/>
          <w:bCs/>
          <w:iCs/>
        </w:rPr>
        <w:t xml:space="preserve"> 151, 160, 162, 163, 164, 165, 166 y 169 de la Ley de Transparencia y Acceso a la Información Pública.</w:t>
      </w:r>
    </w:p>
    <w:p w14:paraId="3227EE15" w14:textId="77777777" w:rsidR="000A1366" w:rsidRPr="00B13545" w:rsidRDefault="000A1366" w:rsidP="000A1366">
      <w:pPr>
        <w:pStyle w:val="Prrafodelista"/>
        <w:rPr>
          <w:rFonts w:ascii="Palatino Linotype" w:hAnsi="Palatino Linotype" w:cs="Tahoma"/>
          <w:bCs/>
          <w:iCs/>
        </w:rPr>
      </w:pPr>
    </w:p>
    <w:p w14:paraId="18C0A934" w14:textId="4F69CB75" w:rsidR="000A1366" w:rsidRPr="00B13545" w:rsidRDefault="000A1366" w:rsidP="00CC4247">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En este sentido, con el objeti</w:t>
      </w:r>
      <w:r w:rsidR="00A44ED0" w:rsidRPr="00B13545">
        <w:rPr>
          <w:rFonts w:ascii="Palatino Linotype" w:hAnsi="Palatino Linotype" w:cs="Tahoma"/>
          <w:bCs/>
          <w:iCs/>
        </w:rPr>
        <w:t>v</w:t>
      </w:r>
      <w:r w:rsidRPr="00B13545">
        <w:rPr>
          <w:rFonts w:ascii="Palatino Linotype" w:hAnsi="Palatino Linotype" w:cs="Tahoma"/>
          <w:bCs/>
          <w:iCs/>
        </w:rPr>
        <w:t>o de generar un estudio claro de las actuaciones, a continuación, se inserta una tabla de relación, en la que se pueden observar de manera clara, la respuesta que recayó a la solicitud,</w:t>
      </w:r>
      <w:r w:rsidR="00DF710B" w:rsidRPr="00B13545">
        <w:rPr>
          <w:rFonts w:ascii="Palatino Linotype" w:hAnsi="Palatino Linotype" w:cs="Tahoma"/>
          <w:bCs/>
          <w:iCs/>
        </w:rPr>
        <w:t xml:space="preserve"> considerando de manera general las respuestas emitidas por las diversas áreas del sujeto obligado, respecto de las </w:t>
      </w:r>
      <w:r w:rsidRPr="00B13545">
        <w:rPr>
          <w:rFonts w:ascii="Palatino Linotype" w:hAnsi="Palatino Linotype" w:cs="Tahoma"/>
          <w:bCs/>
          <w:iCs/>
        </w:rPr>
        <w:t>inconformidad</w:t>
      </w:r>
      <w:r w:rsidR="00DF710B" w:rsidRPr="00B13545">
        <w:rPr>
          <w:rFonts w:ascii="Palatino Linotype" w:hAnsi="Palatino Linotype" w:cs="Tahoma"/>
          <w:bCs/>
          <w:iCs/>
        </w:rPr>
        <w:t>es</w:t>
      </w:r>
      <w:r w:rsidRPr="00B13545">
        <w:rPr>
          <w:rFonts w:ascii="Palatino Linotype" w:hAnsi="Palatino Linotype" w:cs="Tahoma"/>
          <w:bCs/>
          <w:iCs/>
        </w:rPr>
        <w:t xml:space="preserve"> expuesta por el Recurrente</w:t>
      </w:r>
      <w:r w:rsidR="009B42D8" w:rsidRPr="00B13545">
        <w:rPr>
          <w:rFonts w:ascii="Palatino Linotype" w:hAnsi="Palatino Linotype" w:cs="Tahoma"/>
          <w:bCs/>
          <w:iCs/>
        </w:rPr>
        <w:t>:</w:t>
      </w:r>
    </w:p>
    <w:p w14:paraId="225F227E" w14:textId="77777777" w:rsidR="009B42D8" w:rsidRPr="00B13545" w:rsidRDefault="009B42D8" w:rsidP="009B42D8">
      <w:pPr>
        <w:pStyle w:val="Prrafodelista"/>
        <w:rPr>
          <w:rFonts w:ascii="Palatino Linotype" w:hAnsi="Palatino Linotype" w:cs="Tahoma"/>
          <w:bCs/>
          <w:iCs/>
        </w:rPr>
      </w:pPr>
    </w:p>
    <w:tbl>
      <w:tblPr>
        <w:tblStyle w:val="Tablaconcuadrcula"/>
        <w:tblW w:w="0" w:type="auto"/>
        <w:tblLayout w:type="fixed"/>
        <w:tblLook w:val="04A0" w:firstRow="1" w:lastRow="0" w:firstColumn="1" w:lastColumn="0" w:noHBand="0" w:noVBand="1"/>
      </w:tblPr>
      <w:tblGrid>
        <w:gridCol w:w="1838"/>
        <w:gridCol w:w="5103"/>
        <w:gridCol w:w="2093"/>
      </w:tblGrid>
      <w:tr w:rsidR="009B42D8" w:rsidRPr="00B13545" w14:paraId="1BFD3360" w14:textId="77777777" w:rsidTr="000E08B8">
        <w:tc>
          <w:tcPr>
            <w:tcW w:w="1838" w:type="dxa"/>
            <w:vAlign w:val="center"/>
          </w:tcPr>
          <w:p w14:paraId="02ED9B40" w14:textId="77777777" w:rsidR="009B42D8" w:rsidRPr="00B13545" w:rsidRDefault="009B42D8" w:rsidP="00A352DA">
            <w:pPr>
              <w:pStyle w:val="Prrafodelista"/>
              <w:spacing w:line="360" w:lineRule="auto"/>
              <w:ind w:left="0"/>
              <w:jc w:val="center"/>
              <w:rPr>
                <w:rFonts w:ascii="Palatino Linotype" w:hAnsi="Palatino Linotype" w:cs="Tahoma"/>
                <w:b/>
                <w:bCs/>
                <w:iCs/>
                <w:sz w:val="20"/>
                <w:szCs w:val="20"/>
              </w:rPr>
            </w:pPr>
            <w:r w:rsidRPr="00B13545">
              <w:rPr>
                <w:rFonts w:ascii="Palatino Linotype" w:hAnsi="Palatino Linotype" w:cs="Tahoma"/>
                <w:b/>
                <w:bCs/>
                <w:iCs/>
                <w:sz w:val="20"/>
                <w:szCs w:val="20"/>
              </w:rPr>
              <w:lastRenderedPageBreak/>
              <w:t>INFORMACIÓN SOLICITADA</w:t>
            </w:r>
          </w:p>
        </w:tc>
        <w:tc>
          <w:tcPr>
            <w:tcW w:w="5103" w:type="dxa"/>
            <w:vAlign w:val="center"/>
          </w:tcPr>
          <w:p w14:paraId="70699EE5" w14:textId="77777777" w:rsidR="009B42D8" w:rsidRPr="00B13545" w:rsidRDefault="009B42D8" w:rsidP="00A352DA">
            <w:pPr>
              <w:pStyle w:val="Prrafodelista"/>
              <w:spacing w:line="360" w:lineRule="auto"/>
              <w:ind w:left="0"/>
              <w:jc w:val="center"/>
              <w:rPr>
                <w:rFonts w:ascii="Palatino Linotype" w:hAnsi="Palatino Linotype" w:cs="Tahoma"/>
                <w:b/>
                <w:bCs/>
                <w:iCs/>
                <w:sz w:val="20"/>
                <w:szCs w:val="20"/>
              </w:rPr>
            </w:pPr>
            <w:r w:rsidRPr="00B13545">
              <w:rPr>
                <w:rFonts w:ascii="Palatino Linotype" w:hAnsi="Palatino Linotype" w:cs="Tahoma"/>
                <w:b/>
                <w:bCs/>
                <w:iCs/>
                <w:sz w:val="20"/>
                <w:szCs w:val="20"/>
              </w:rPr>
              <w:t>RESPUESTA</w:t>
            </w:r>
          </w:p>
        </w:tc>
        <w:tc>
          <w:tcPr>
            <w:tcW w:w="2093" w:type="dxa"/>
            <w:vAlign w:val="center"/>
          </w:tcPr>
          <w:p w14:paraId="1F019D53" w14:textId="77777777" w:rsidR="009B42D8" w:rsidRPr="00B13545" w:rsidRDefault="009B42D8" w:rsidP="00A352DA">
            <w:pPr>
              <w:pStyle w:val="Prrafodelista"/>
              <w:spacing w:line="360" w:lineRule="auto"/>
              <w:ind w:left="0"/>
              <w:jc w:val="center"/>
              <w:rPr>
                <w:rFonts w:ascii="Palatino Linotype" w:hAnsi="Palatino Linotype" w:cs="Tahoma"/>
                <w:b/>
                <w:bCs/>
                <w:iCs/>
                <w:sz w:val="20"/>
                <w:szCs w:val="20"/>
              </w:rPr>
            </w:pPr>
            <w:r w:rsidRPr="00B13545">
              <w:rPr>
                <w:rFonts w:ascii="Palatino Linotype" w:hAnsi="Palatino Linotype" w:cs="Tahoma"/>
                <w:b/>
                <w:bCs/>
                <w:iCs/>
                <w:sz w:val="20"/>
                <w:szCs w:val="20"/>
              </w:rPr>
              <w:t>COMENTARIOS</w:t>
            </w:r>
          </w:p>
        </w:tc>
      </w:tr>
      <w:tr w:rsidR="009B42D8" w:rsidRPr="00B13545" w14:paraId="5DEBC760" w14:textId="77777777" w:rsidTr="000E08B8">
        <w:tc>
          <w:tcPr>
            <w:tcW w:w="1838" w:type="dxa"/>
            <w:vAlign w:val="center"/>
          </w:tcPr>
          <w:p w14:paraId="5BA8A285" w14:textId="77777777" w:rsidR="009B42D8" w:rsidRPr="00B13545" w:rsidRDefault="009B42D8" w:rsidP="00A352DA">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i/>
                <w:color w:val="000000"/>
                <w:sz w:val="20"/>
                <w:szCs w:val="20"/>
              </w:rPr>
              <w:t>Requiero conocer el fundamento legal y administrativo por el cual el Estado de México otorga concesiones para el transporte denominado ECOTAXI</w:t>
            </w:r>
          </w:p>
        </w:tc>
        <w:tc>
          <w:tcPr>
            <w:tcW w:w="5103" w:type="dxa"/>
            <w:vAlign w:val="center"/>
          </w:tcPr>
          <w:p w14:paraId="6F6FAE71" w14:textId="77777777" w:rsidR="009B42D8" w:rsidRPr="00B13545" w:rsidRDefault="009B42D8" w:rsidP="00A352DA">
            <w:pPr>
              <w:pStyle w:val="Prrafodelista"/>
              <w:spacing w:line="360" w:lineRule="auto"/>
              <w:ind w:left="0"/>
              <w:jc w:val="both"/>
              <w:rPr>
                <w:rFonts w:ascii="Palatino Linotype" w:hAnsi="Palatino Linotype" w:cs="Tahoma"/>
                <w:b/>
                <w:bCs/>
                <w:iCs/>
                <w:sz w:val="20"/>
                <w:szCs w:val="20"/>
              </w:rPr>
            </w:pPr>
            <w:r w:rsidRPr="00B13545">
              <w:rPr>
                <w:rFonts w:ascii="Palatino Linotype" w:hAnsi="Palatino Linotype" w:cs="Tahoma"/>
                <w:b/>
                <w:bCs/>
                <w:iCs/>
                <w:sz w:val="20"/>
                <w:szCs w:val="20"/>
              </w:rPr>
              <w:t>Coordinación Jurídica:</w:t>
            </w:r>
          </w:p>
          <w:p w14:paraId="2A8414FF"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Señaló sus atribuciones conforme al artículo 16, del Reglamento Interior de la Secretaría de Movilidad, y con la finalidad de dar oportuna contestación a lo solicitado por el peticionario, se hace de su conocimiento que dicha información podrá ser consultada en los link que a continuación se señalan: • https://legislacion.edomex.gob.mx/acerca_legistel. •https://smovilidad.edomex.gob.mx/sites/smovilidad.edomex.gob.mx/files/files/pdf/ley_movilidad_edomex.pdf se informa que: • Ley de Movilidad del Estado de México • La Norma Técnica del Servicio Público de Transporte en la modalidad de Discrecional de pasaje Individual, en vehículo de propulsión no mecánica</w:t>
            </w:r>
          </w:p>
        </w:tc>
        <w:tc>
          <w:tcPr>
            <w:tcW w:w="2093" w:type="dxa"/>
            <w:vAlign w:val="center"/>
          </w:tcPr>
          <w:p w14:paraId="28263C80"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No colma en virtud de que el primer enlace se encuentra en formato cerrado e implica una búsqueda al usuario; el segundo link remite a la Ley de Movilidad del Estado de México abrogada, si bien se encuentra en formato abierto, no atiende con precisión la información solicitada</w:t>
            </w:r>
          </w:p>
        </w:tc>
      </w:tr>
      <w:tr w:rsidR="009B42D8" w:rsidRPr="00B13545" w14:paraId="2019A272" w14:textId="77777777" w:rsidTr="000E08B8">
        <w:tc>
          <w:tcPr>
            <w:tcW w:w="1838" w:type="dxa"/>
            <w:vAlign w:val="center"/>
          </w:tcPr>
          <w:p w14:paraId="394C95A7" w14:textId="77777777" w:rsidR="009B42D8" w:rsidRPr="00B13545" w:rsidRDefault="009B42D8" w:rsidP="00A352DA">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i/>
                <w:color w:val="000000"/>
                <w:sz w:val="20"/>
                <w:szCs w:val="20"/>
              </w:rPr>
              <w:t>Cuantas concesiones se han otorgado de ECOTAXI</w:t>
            </w:r>
          </w:p>
        </w:tc>
        <w:tc>
          <w:tcPr>
            <w:tcW w:w="5103" w:type="dxa"/>
            <w:vAlign w:val="center"/>
          </w:tcPr>
          <w:p w14:paraId="4A15F119" w14:textId="77777777" w:rsidR="009B42D8" w:rsidRPr="00B13545" w:rsidRDefault="009B42D8" w:rsidP="000E08B8">
            <w:pPr>
              <w:pStyle w:val="Prrafodelista"/>
              <w:spacing w:line="276" w:lineRule="auto"/>
              <w:ind w:left="0"/>
              <w:jc w:val="both"/>
              <w:rPr>
                <w:rFonts w:ascii="Palatino Linotype" w:hAnsi="Palatino Linotype"/>
                <w:b/>
                <w:sz w:val="20"/>
                <w:szCs w:val="20"/>
              </w:rPr>
            </w:pPr>
            <w:r w:rsidRPr="00B13545">
              <w:rPr>
                <w:rFonts w:ascii="Palatino Linotype" w:hAnsi="Palatino Linotype"/>
                <w:b/>
                <w:sz w:val="20"/>
                <w:szCs w:val="20"/>
              </w:rPr>
              <w:t>Coordinación Jurídica:</w:t>
            </w:r>
          </w:p>
          <w:p w14:paraId="46CF2638" w14:textId="77777777" w:rsidR="009B42D8" w:rsidRPr="00B13545" w:rsidRDefault="009B42D8" w:rsidP="000E08B8">
            <w:pPr>
              <w:pStyle w:val="Prrafodelista"/>
              <w:spacing w:line="276" w:lineRule="auto"/>
              <w:ind w:left="0"/>
              <w:jc w:val="both"/>
              <w:rPr>
                <w:rFonts w:ascii="Palatino Linotype" w:hAnsi="Palatino Linotype"/>
                <w:sz w:val="20"/>
                <w:szCs w:val="20"/>
              </w:rPr>
            </w:pPr>
            <w:r w:rsidRPr="00B13545">
              <w:rPr>
                <w:rFonts w:ascii="Palatino Linotype" w:hAnsi="Palatino Linotype"/>
                <w:sz w:val="20"/>
                <w:szCs w:val="20"/>
              </w:rPr>
              <w:t>No obstante, lo anterior, y con la finalidad de estar en posibilidad de dar una oportuna respuesta al peticionario, se procedió a realizar una búsqueda exhaustiva dentro de los archivos físicos y digitales con los que cuenta esta Unidad Administrativa dentro de las áreas administrativas que comprenden la misma, obteniendo como resultado que no se cuenta con la información requerida</w:t>
            </w:r>
          </w:p>
          <w:p w14:paraId="13FA1FE4" w14:textId="77777777" w:rsidR="009B42D8" w:rsidRPr="00B13545" w:rsidRDefault="009B42D8" w:rsidP="000E08B8">
            <w:pPr>
              <w:pStyle w:val="Prrafodelista"/>
              <w:spacing w:line="276" w:lineRule="auto"/>
              <w:ind w:left="0"/>
              <w:jc w:val="both"/>
              <w:rPr>
                <w:rFonts w:ascii="Palatino Linotype" w:hAnsi="Palatino Linotype"/>
                <w:sz w:val="20"/>
                <w:szCs w:val="20"/>
              </w:rPr>
            </w:pPr>
          </w:p>
          <w:p w14:paraId="7DA636BB" w14:textId="77777777" w:rsidR="009B42D8" w:rsidRPr="00B13545" w:rsidRDefault="009B42D8" w:rsidP="000E08B8">
            <w:pPr>
              <w:pStyle w:val="Prrafodelista"/>
              <w:spacing w:line="276" w:lineRule="auto"/>
              <w:ind w:left="0"/>
              <w:jc w:val="both"/>
              <w:rPr>
                <w:rFonts w:ascii="Palatino Linotype" w:hAnsi="Palatino Linotype"/>
                <w:b/>
                <w:sz w:val="20"/>
                <w:szCs w:val="20"/>
              </w:rPr>
            </w:pPr>
            <w:r w:rsidRPr="00B13545">
              <w:rPr>
                <w:rFonts w:ascii="Palatino Linotype" w:hAnsi="Palatino Linotype"/>
                <w:b/>
                <w:sz w:val="20"/>
                <w:szCs w:val="20"/>
              </w:rPr>
              <w:t>Dirección del Registro Estatal de Transporte Público:</w:t>
            </w:r>
          </w:p>
          <w:p w14:paraId="6C8E9A05"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sz w:val="20"/>
                <w:szCs w:val="20"/>
              </w:rPr>
              <w:t>“me permito hacer de su conocimiento que se realizó la búsqueda correspondiente, sin embargo, no se localizó registro de concesiones para la prestación del servicio de ecotaxi.</w:t>
            </w:r>
          </w:p>
        </w:tc>
        <w:tc>
          <w:tcPr>
            <w:tcW w:w="2093" w:type="dxa"/>
            <w:vAlign w:val="center"/>
          </w:tcPr>
          <w:p w14:paraId="35B795D9"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5EFC6C30"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14CF5CC9"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72273B58"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661CA53D"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p>
          <w:p w14:paraId="0B8FA018" w14:textId="4B139ADB" w:rsidR="009B42D8" w:rsidRPr="00B13545" w:rsidRDefault="009B42D8" w:rsidP="00790C86">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Colma parcialmente, por lo que hace a las áreas informante</w:t>
            </w:r>
            <w:r w:rsidR="000E08B8" w:rsidRPr="00B13545">
              <w:rPr>
                <w:rFonts w:ascii="Palatino Linotype" w:hAnsi="Palatino Linotype" w:cs="Tahoma"/>
                <w:bCs/>
                <w:iCs/>
                <w:sz w:val="20"/>
                <w:szCs w:val="20"/>
              </w:rPr>
              <w:t>s</w:t>
            </w:r>
          </w:p>
          <w:p w14:paraId="1FFD8034"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5B2C094E"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436DDAF0"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68750EB7"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6DC2610A"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p w14:paraId="55119F50" w14:textId="77777777" w:rsidR="009B42D8" w:rsidRPr="00B13545" w:rsidRDefault="009B42D8" w:rsidP="00A352DA">
            <w:pPr>
              <w:pStyle w:val="Prrafodelista"/>
              <w:spacing w:line="360" w:lineRule="auto"/>
              <w:ind w:left="0"/>
              <w:jc w:val="both"/>
              <w:rPr>
                <w:rFonts w:ascii="Palatino Linotype" w:hAnsi="Palatino Linotype" w:cs="Tahoma"/>
                <w:bCs/>
                <w:iCs/>
                <w:sz w:val="20"/>
                <w:szCs w:val="20"/>
              </w:rPr>
            </w:pPr>
          </w:p>
        </w:tc>
      </w:tr>
      <w:tr w:rsidR="009B42D8" w:rsidRPr="00B13545" w14:paraId="61A0DF31" w14:textId="77777777" w:rsidTr="000E08B8">
        <w:tc>
          <w:tcPr>
            <w:tcW w:w="1838" w:type="dxa"/>
            <w:vAlign w:val="center"/>
          </w:tcPr>
          <w:p w14:paraId="1279B5DA" w14:textId="77777777" w:rsidR="009B42D8" w:rsidRPr="00B13545" w:rsidRDefault="009B42D8" w:rsidP="00A352DA">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i/>
                <w:color w:val="000000"/>
                <w:sz w:val="20"/>
                <w:szCs w:val="20"/>
              </w:rPr>
              <w:lastRenderedPageBreak/>
              <w:t>Requiero conocer el fundamento legal y administrativo por el cual el Estado de México permite la instalación de bases de "ecotaxis" como un medio de transporte</w:t>
            </w:r>
          </w:p>
        </w:tc>
        <w:tc>
          <w:tcPr>
            <w:tcW w:w="5103" w:type="dxa"/>
            <w:vAlign w:val="center"/>
          </w:tcPr>
          <w:p w14:paraId="624215C7" w14:textId="77777777" w:rsidR="009B42D8" w:rsidRPr="00B13545" w:rsidRDefault="009B42D8" w:rsidP="000E08B8">
            <w:pPr>
              <w:pStyle w:val="Prrafodelista"/>
              <w:spacing w:line="276" w:lineRule="auto"/>
              <w:ind w:left="0"/>
              <w:jc w:val="both"/>
              <w:rPr>
                <w:rFonts w:ascii="Palatino Linotype" w:hAnsi="Palatino Linotype" w:cs="Tahoma"/>
                <w:b/>
                <w:bCs/>
                <w:iCs/>
                <w:sz w:val="20"/>
                <w:szCs w:val="20"/>
              </w:rPr>
            </w:pPr>
            <w:r w:rsidRPr="00B13545">
              <w:rPr>
                <w:rFonts w:ascii="Palatino Linotype" w:hAnsi="Palatino Linotype" w:cs="Tahoma"/>
                <w:b/>
                <w:bCs/>
                <w:iCs/>
                <w:sz w:val="20"/>
                <w:szCs w:val="20"/>
              </w:rPr>
              <w:t>Coordinación Jurídica:</w:t>
            </w:r>
          </w:p>
          <w:p w14:paraId="1C4A6C3B"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Señaló sus atribuciones conforme al artículo 16, del Reglamento Interior de la Secretaría de Movilidad, y con la finalidad de dar oportuna contestación a lo solicitado por el peticionario, se hace de su conocimiento que dicha información podrá ser consultada en los link que a continuación se señalan: • https://legislacion.edomex.gob.mx/acerca_legistel. •https://smovilidad.edomex.gob.mx/sites/smovilidad.edomex.gob.mx/files/files/pdf/ley_movilidad_edomex.pdf se informa que: • Ley de Movilidad del Estado de México • La Norma Técnica del Servicio Público de Transporte en la modalidad de Discrecional de pasaje Individual, en vehículo de propulsión no mecánica</w:t>
            </w:r>
          </w:p>
        </w:tc>
        <w:tc>
          <w:tcPr>
            <w:tcW w:w="2093" w:type="dxa"/>
            <w:vAlign w:val="center"/>
          </w:tcPr>
          <w:p w14:paraId="6E26CD5A" w14:textId="77777777" w:rsidR="009B42D8" w:rsidRPr="00B13545" w:rsidRDefault="009B42D8" w:rsidP="00790C86">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No colma en virtud de que el primer enlace se encuentra en formato cerrado e implica una búsqueda al usuario; el segundo link remite a la Ley de Movilidad del Estado de México abrogada, si bien se encuentra en formato abierto, no atiende con precisión la información solicitada</w:t>
            </w:r>
          </w:p>
        </w:tc>
      </w:tr>
      <w:tr w:rsidR="009B42D8" w:rsidRPr="00B13545" w14:paraId="2FE3E30E" w14:textId="77777777" w:rsidTr="000E08B8">
        <w:tc>
          <w:tcPr>
            <w:tcW w:w="1838" w:type="dxa"/>
            <w:vAlign w:val="center"/>
          </w:tcPr>
          <w:p w14:paraId="739F5169" w14:textId="77777777" w:rsidR="009B42D8" w:rsidRPr="00B13545" w:rsidRDefault="009B42D8" w:rsidP="00A352DA">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i/>
                <w:color w:val="000000"/>
                <w:sz w:val="20"/>
                <w:szCs w:val="20"/>
              </w:rPr>
              <w:t>en que lugares se encuentran que características físicas y mecánicas deben reunir los vehículos para ser considerados ecotaxis</w:t>
            </w:r>
          </w:p>
        </w:tc>
        <w:tc>
          <w:tcPr>
            <w:tcW w:w="5103" w:type="dxa"/>
            <w:vAlign w:val="center"/>
          </w:tcPr>
          <w:p w14:paraId="42031797" w14:textId="77777777" w:rsidR="009B42D8" w:rsidRPr="00B13545" w:rsidRDefault="009B42D8" w:rsidP="000E08B8">
            <w:pPr>
              <w:pStyle w:val="Prrafodelista"/>
              <w:spacing w:line="276" w:lineRule="auto"/>
              <w:ind w:left="0"/>
              <w:jc w:val="both"/>
              <w:rPr>
                <w:rFonts w:ascii="Palatino Linotype" w:hAnsi="Palatino Linotype"/>
                <w:b/>
                <w:sz w:val="20"/>
                <w:szCs w:val="20"/>
              </w:rPr>
            </w:pPr>
            <w:r w:rsidRPr="00B13545">
              <w:rPr>
                <w:rFonts w:ascii="Palatino Linotype" w:hAnsi="Palatino Linotype"/>
                <w:b/>
                <w:sz w:val="20"/>
                <w:szCs w:val="20"/>
              </w:rPr>
              <w:t>Coordinación Jurídica:</w:t>
            </w:r>
          </w:p>
          <w:p w14:paraId="0BACCBCF" w14:textId="31DC421B" w:rsidR="009B42D8" w:rsidRPr="00B13545" w:rsidRDefault="009B42D8" w:rsidP="000E08B8">
            <w:pPr>
              <w:pStyle w:val="Prrafodelista"/>
              <w:spacing w:line="276" w:lineRule="auto"/>
              <w:ind w:left="0"/>
              <w:jc w:val="both"/>
              <w:rPr>
                <w:rFonts w:ascii="Palatino Linotype" w:hAnsi="Palatino Linotype"/>
                <w:sz w:val="20"/>
                <w:szCs w:val="20"/>
              </w:rPr>
            </w:pPr>
            <w:r w:rsidRPr="00B13545">
              <w:rPr>
                <w:rFonts w:ascii="Palatino Linotype" w:hAnsi="Palatino Linotype"/>
                <w:sz w:val="20"/>
                <w:szCs w:val="20"/>
              </w:rPr>
              <w:t>No obstante, lo anterior, y con la finalidad de estar en posibilidad de dar una oportuna respuesta al peticionario, se procedió a realizar una búsqueda exhaustiva dentro de los archivos físicos y digitales con los que cuenta esta Unidad Administrativa dentro de las áreas administrativas que comprenden la misma, obteniendo como resultado que no se cuenta con la información requerida</w:t>
            </w:r>
            <w:r w:rsidR="00790C86" w:rsidRPr="00B13545">
              <w:rPr>
                <w:rFonts w:ascii="Palatino Linotype" w:hAnsi="Palatino Linotype"/>
                <w:sz w:val="20"/>
                <w:szCs w:val="20"/>
              </w:rPr>
              <w:t>.</w:t>
            </w:r>
          </w:p>
          <w:p w14:paraId="06BD362F" w14:textId="42B84282" w:rsidR="009B42D8" w:rsidRPr="00B13545" w:rsidRDefault="009B42D8" w:rsidP="00790C86">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 xml:space="preserve">Señaló sus atribuciones conforme al artículo 16, del Reglamento Interior de la Secretaría de Movilidad, y con la finalidad de dar oportuna contestación a lo solicitado por el peticionario, se hace de su conocimiento que dicha información podrá ser consultada en los link que a continuación se señalan: • https://legislacion.edomex.gob.mx/acerca_legistel. •https://smovilidad.edomex.gob.mx/sites/smovilidad.edomex.gob.mx/files/files/pdf/ley_movilidad_edomex.pdf se informa que: • Ley de Movilidad del Estado de México • La Norma Técnica del Servicio Público de </w:t>
            </w:r>
            <w:r w:rsidRPr="00B13545">
              <w:rPr>
                <w:rFonts w:ascii="Palatino Linotype" w:hAnsi="Palatino Linotype" w:cs="Tahoma"/>
                <w:bCs/>
                <w:iCs/>
                <w:sz w:val="20"/>
                <w:szCs w:val="20"/>
              </w:rPr>
              <w:lastRenderedPageBreak/>
              <w:t>Transporte en la modalidad de Discrecional de pasaje Individual, en vehículo de propulsión no mecánica</w:t>
            </w:r>
          </w:p>
        </w:tc>
        <w:tc>
          <w:tcPr>
            <w:tcW w:w="2093" w:type="dxa"/>
            <w:vAlign w:val="center"/>
          </w:tcPr>
          <w:p w14:paraId="389FD4BF" w14:textId="20DB8091" w:rsidR="00A625E0" w:rsidRPr="00B13545" w:rsidRDefault="00A625E0" w:rsidP="00A625E0">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lastRenderedPageBreak/>
              <w:t xml:space="preserve">Al punto 4, relativo a  las características de los </w:t>
            </w:r>
            <w:proofErr w:type="spellStart"/>
            <w:r w:rsidRPr="00B13545">
              <w:rPr>
                <w:rFonts w:ascii="Palatino Linotype" w:hAnsi="Palatino Linotype" w:cs="Tahoma"/>
                <w:bCs/>
                <w:iCs/>
                <w:sz w:val="20"/>
                <w:szCs w:val="20"/>
              </w:rPr>
              <w:t>ecobicitaxis</w:t>
            </w:r>
            <w:proofErr w:type="spellEnd"/>
            <w:r w:rsidRPr="00B13545">
              <w:rPr>
                <w:rFonts w:ascii="Palatino Linotype" w:hAnsi="Palatino Linotype" w:cs="Tahoma"/>
                <w:bCs/>
                <w:iCs/>
                <w:sz w:val="20"/>
                <w:szCs w:val="20"/>
              </w:rPr>
              <w:t xml:space="preserve">, se remitió la norma técnica en donde se establecen las características, estructura y especificaciones del </w:t>
            </w:r>
            <w:proofErr w:type="spellStart"/>
            <w:r w:rsidRPr="00B13545">
              <w:rPr>
                <w:rFonts w:ascii="Palatino Linotype" w:hAnsi="Palatino Linotype" w:cs="Tahoma"/>
                <w:bCs/>
                <w:iCs/>
                <w:sz w:val="20"/>
                <w:szCs w:val="20"/>
              </w:rPr>
              <w:t>ecobicitaxi</w:t>
            </w:r>
            <w:proofErr w:type="spellEnd"/>
            <w:r w:rsidRPr="00B13545">
              <w:rPr>
                <w:rFonts w:ascii="Palatino Linotype" w:hAnsi="Palatino Linotype" w:cs="Tahoma"/>
                <w:bCs/>
                <w:iCs/>
                <w:sz w:val="20"/>
                <w:szCs w:val="20"/>
              </w:rPr>
              <w:t>.</w:t>
            </w:r>
          </w:p>
          <w:p w14:paraId="6DD8C3FE" w14:textId="40F8B8EF" w:rsidR="00A625E0" w:rsidRPr="00B13545" w:rsidRDefault="00A625E0" w:rsidP="00A625E0">
            <w:pPr>
              <w:pStyle w:val="Prrafodelista"/>
              <w:spacing w:line="276" w:lineRule="auto"/>
              <w:ind w:left="0"/>
              <w:jc w:val="both"/>
              <w:rPr>
                <w:rFonts w:ascii="Palatino Linotype" w:hAnsi="Palatino Linotype" w:cs="Tahoma"/>
                <w:bCs/>
                <w:iCs/>
                <w:sz w:val="20"/>
                <w:szCs w:val="20"/>
              </w:rPr>
            </w:pPr>
          </w:p>
        </w:tc>
      </w:tr>
      <w:tr w:rsidR="009B42D8" w:rsidRPr="00B13545" w14:paraId="30B16D79" w14:textId="77777777" w:rsidTr="000E08B8">
        <w:tc>
          <w:tcPr>
            <w:tcW w:w="1838" w:type="dxa"/>
            <w:vAlign w:val="center"/>
          </w:tcPr>
          <w:p w14:paraId="548A6C9F" w14:textId="77777777" w:rsidR="009B42D8" w:rsidRPr="00B13545" w:rsidRDefault="009B42D8" w:rsidP="00A352DA">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i/>
                <w:color w:val="000000"/>
                <w:sz w:val="20"/>
                <w:szCs w:val="20"/>
              </w:rPr>
              <w:t>requiero, los requisitos para colocar una base de "eco-taxis" en el Estado de México;</w:t>
            </w:r>
          </w:p>
        </w:tc>
        <w:tc>
          <w:tcPr>
            <w:tcW w:w="5103" w:type="dxa"/>
            <w:vAlign w:val="center"/>
          </w:tcPr>
          <w:p w14:paraId="5D75F61D" w14:textId="77777777" w:rsidR="009B42D8" w:rsidRPr="00B13545" w:rsidRDefault="009B42D8" w:rsidP="000E08B8">
            <w:pPr>
              <w:pStyle w:val="Prrafodelista"/>
              <w:spacing w:line="276" w:lineRule="auto"/>
              <w:ind w:left="0"/>
              <w:jc w:val="both"/>
              <w:rPr>
                <w:rFonts w:ascii="Palatino Linotype" w:hAnsi="Palatino Linotype"/>
                <w:b/>
                <w:sz w:val="20"/>
                <w:szCs w:val="20"/>
              </w:rPr>
            </w:pPr>
            <w:r w:rsidRPr="00B13545">
              <w:rPr>
                <w:rFonts w:ascii="Palatino Linotype" w:hAnsi="Palatino Linotype"/>
                <w:b/>
                <w:sz w:val="20"/>
                <w:szCs w:val="20"/>
              </w:rPr>
              <w:t>Coordinación Jurídica:</w:t>
            </w:r>
          </w:p>
          <w:p w14:paraId="116F9506"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sz w:val="20"/>
                <w:szCs w:val="20"/>
              </w:rPr>
              <w:t>No obstante, lo anterior, y con la finalidad de estar en posibilidad de dar una oportuna respuesta al peticionario, se procedió a realizar una búsqueda exhaustiva dentro de los archivos físicos y digitales con los que cuenta esta Unidad Administrativa dentro de las áreas administrativas que comprenden la misma, obteniendo como resultado que no se cuenta con la información requerida</w:t>
            </w:r>
          </w:p>
        </w:tc>
        <w:tc>
          <w:tcPr>
            <w:tcW w:w="2093" w:type="dxa"/>
            <w:vAlign w:val="center"/>
          </w:tcPr>
          <w:p w14:paraId="00B4BC88"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Colma Parcialmente por lo que hace a la búsqueda del área informante</w:t>
            </w:r>
          </w:p>
        </w:tc>
      </w:tr>
      <w:tr w:rsidR="009B42D8" w:rsidRPr="00B13545" w14:paraId="410A4A7F" w14:textId="77777777" w:rsidTr="000E08B8">
        <w:tc>
          <w:tcPr>
            <w:tcW w:w="1838" w:type="dxa"/>
            <w:vAlign w:val="center"/>
          </w:tcPr>
          <w:p w14:paraId="21C17A0D" w14:textId="77777777" w:rsidR="009B42D8" w:rsidRPr="00B13545" w:rsidRDefault="009B42D8" w:rsidP="00A352DA">
            <w:pPr>
              <w:pStyle w:val="Prrafodelista"/>
              <w:spacing w:line="276" w:lineRule="auto"/>
              <w:ind w:left="0"/>
              <w:jc w:val="both"/>
              <w:rPr>
                <w:rFonts w:ascii="Palatino Linotype" w:hAnsi="Palatino Linotype"/>
                <w:i/>
                <w:color w:val="000000"/>
                <w:sz w:val="20"/>
                <w:szCs w:val="20"/>
              </w:rPr>
            </w:pPr>
            <w:r w:rsidRPr="00B13545">
              <w:rPr>
                <w:rFonts w:ascii="Palatino Linotype" w:hAnsi="Palatino Linotype"/>
                <w:i/>
                <w:color w:val="000000"/>
                <w:sz w:val="20"/>
                <w:szCs w:val="20"/>
              </w:rPr>
              <w:t>en caso de no contar con la información requiero la declaratoria de inexistencia de la información.</w:t>
            </w:r>
            <w:r w:rsidRPr="00B13545">
              <w:rPr>
                <w:rFonts w:ascii="Palatino Linotype" w:eastAsia="Palatino Linotype" w:hAnsi="Palatino Linotype" w:cs="Palatino Linotype"/>
                <w:i/>
                <w:color w:val="000000"/>
                <w:sz w:val="20"/>
                <w:szCs w:val="20"/>
              </w:rPr>
              <w:t>”</w:t>
            </w:r>
          </w:p>
        </w:tc>
        <w:tc>
          <w:tcPr>
            <w:tcW w:w="5103" w:type="dxa"/>
            <w:vAlign w:val="center"/>
          </w:tcPr>
          <w:p w14:paraId="16740174" w14:textId="77777777" w:rsidR="009B42D8" w:rsidRPr="00B13545" w:rsidRDefault="009B42D8" w:rsidP="000E08B8">
            <w:pPr>
              <w:pStyle w:val="Prrafodelista"/>
              <w:spacing w:line="276" w:lineRule="auto"/>
              <w:ind w:left="0"/>
              <w:jc w:val="both"/>
              <w:rPr>
                <w:rFonts w:ascii="Palatino Linotype" w:hAnsi="Palatino Linotype" w:cs="Tahoma"/>
                <w:b/>
                <w:bCs/>
                <w:iCs/>
                <w:sz w:val="20"/>
                <w:szCs w:val="20"/>
              </w:rPr>
            </w:pPr>
            <w:r w:rsidRPr="00B13545">
              <w:rPr>
                <w:rFonts w:ascii="Palatino Linotype" w:hAnsi="Palatino Linotype" w:cs="Tahoma"/>
                <w:b/>
                <w:bCs/>
                <w:iCs/>
                <w:sz w:val="20"/>
                <w:szCs w:val="20"/>
              </w:rPr>
              <w:t>Coordinación Jurídica:</w:t>
            </w:r>
          </w:p>
          <w:p w14:paraId="7B688E39"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…de acuerdo a lo antes señalado y a la búsqueda exhaustiva dentro de los archivos físicos y digitales con los que cuenta esta Unidad Administrativa dentro de las áreas administrativas que comprenden la misma y a la incompetencia de no generar, poseer o administrar la información solicitada, se considera que no es necesario que el Comité de Transparencia emita una resolución que confirme la inexistencia de la información…</w:t>
            </w:r>
          </w:p>
          <w:p w14:paraId="2DB29DC0" w14:textId="77777777" w:rsidR="009B42D8" w:rsidRPr="00B13545" w:rsidRDefault="009B42D8" w:rsidP="000E08B8">
            <w:pPr>
              <w:pStyle w:val="Prrafodelista"/>
              <w:spacing w:line="276" w:lineRule="auto"/>
              <w:ind w:left="0"/>
              <w:jc w:val="both"/>
              <w:rPr>
                <w:rFonts w:ascii="Palatino Linotype" w:hAnsi="Palatino Linotype" w:cs="Tahoma"/>
                <w:b/>
                <w:bCs/>
                <w:iCs/>
                <w:sz w:val="20"/>
                <w:szCs w:val="20"/>
              </w:rPr>
            </w:pPr>
            <w:r w:rsidRPr="00B13545">
              <w:rPr>
                <w:rFonts w:ascii="Palatino Linotype" w:hAnsi="Palatino Linotype" w:cs="Tahoma"/>
                <w:b/>
                <w:bCs/>
                <w:iCs/>
                <w:sz w:val="20"/>
                <w:szCs w:val="20"/>
              </w:rPr>
              <w:t>Dirección del Registro Estatal de Transporte Público:</w:t>
            </w:r>
          </w:p>
          <w:p w14:paraId="385AAB4A"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…esta unidad administrativa, tiene impedimento para solicitar una declaratoria de inexistencia, toda vez que, se trata de un hecho negativo, el cual no es susceptible de exigir su demostración, lo anterior en sustento que de acuerdo a las atribuciones que ostenta esta Dirección del Registro Estatal de Transporte Público y en carácter únicamente de SUJETO HABILITADO, se realizó la búsqueda correspondiente en los archivos del Registro Estatal de Transporte Público…</w:t>
            </w:r>
          </w:p>
        </w:tc>
        <w:tc>
          <w:tcPr>
            <w:tcW w:w="2093" w:type="dxa"/>
            <w:vAlign w:val="center"/>
          </w:tcPr>
          <w:p w14:paraId="0969F5E0" w14:textId="77777777" w:rsidR="009B42D8" w:rsidRPr="00B13545" w:rsidRDefault="009B42D8" w:rsidP="000E08B8">
            <w:pPr>
              <w:pStyle w:val="Prrafodelista"/>
              <w:spacing w:line="276" w:lineRule="auto"/>
              <w:ind w:left="0"/>
              <w:jc w:val="both"/>
              <w:rPr>
                <w:rFonts w:ascii="Palatino Linotype" w:hAnsi="Palatino Linotype" w:cs="Tahoma"/>
                <w:bCs/>
                <w:iCs/>
                <w:sz w:val="20"/>
                <w:szCs w:val="20"/>
              </w:rPr>
            </w:pPr>
            <w:r w:rsidRPr="00B13545">
              <w:rPr>
                <w:rFonts w:ascii="Palatino Linotype" w:hAnsi="Palatino Linotype" w:cs="Tahoma"/>
                <w:bCs/>
                <w:iCs/>
                <w:sz w:val="20"/>
                <w:szCs w:val="20"/>
              </w:rPr>
              <w:t>Colma de manera parcial solamente por cuanto hace a la Coordinación Jurídica y a la Dirección del Registro Estatal de Transporte Público</w:t>
            </w:r>
          </w:p>
        </w:tc>
      </w:tr>
    </w:tbl>
    <w:p w14:paraId="7C3BEF7A" w14:textId="77777777" w:rsidR="009B42D8" w:rsidRPr="00B13545" w:rsidRDefault="009B42D8" w:rsidP="009B42D8">
      <w:pPr>
        <w:pStyle w:val="Prrafodelista"/>
        <w:spacing w:line="360" w:lineRule="auto"/>
        <w:ind w:left="0"/>
        <w:jc w:val="both"/>
        <w:rPr>
          <w:rFonts w:ascii="Palatino Linotype" w:hAnsi="Palatino Linotype" w:cs="Tahoma"/>
          <w:bCs/>
          <w:iCs/>
        </w:rPr>
      </w:pPr>
    </w:p>
    <w:p w14:paraId="73A6C9A3" w14:textId="3E90A97C" w:rsidR="00790C86" w:rsidRPr="00B13545" w:rsidRDefault="00790C86" w:rsidP="00820F17">
      <w:pPr>
        <w:pStyle w:val="Prrafodelista"/>
        <w:numPr>
          <w:ilvl w:val="0"/>
          <w:numId w:val="2"/>
        </w:numPr>
        <w:pBdr>
          <w:top w:val="nil"/>
          <w:left w:val="nil"/>
          <w:bottom w:val="nil"/>
          <w:right w:val="nil"/>
          <w:between w:val="nil"/>
        </w:pBdr>
        <w:tabs>
          <w:tab w:val="left" w:pos="0"/>
        </w:tabs>
        <w:spacing w:line="360" w:lineRule="auto"/>
        <w:ind w:left="0"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 xml:space="preserve">Ahora bien, respecto de la solicitud de información </w:t>
      </w:r>
      <w:r w:rsidRPr="00B13545">
        <w:rPr>
          <w:rFonts w:ascii="Palatino Linotype" w:eastAsia="Palatino Linotype" w:hAnsi="Palatino Linotype" w:cs="Palatino Linotype"/>
          <w:b/>
          <w:color w:val="000000"/>
        </w:rPr>
        <w:t xml:space="preserve">00214/SMOV/IP/2024, </w:t>
      </w:r>
      <w:r w:rsidRPr="00B13545">
        <w:rPr>
          <w:rFonts w:ascii="Palatino Linotype" w:eastAsia="Palatino Linotype" w:hAnsi="Palatino Linotype" w:cs="Palatino Linotype"/>
          <w:color w:val="000000"/>
        </w:rPr>
        <w:t xml:space="preserve">el </w:t>
      </w:r>
      <w:r w:rsidRPr="00B13545">
        <w:rPr>
          <w:rFonts w:ascii="Palatino Linotype" w:eastAsia="Palatino Linotype" w:hAnsi="Palatino Linotype" w:cs="Palatino Linotype"/>
          <w:b/>
          <w:color w:val="000000"/>
        </w:rPr>
        <w:t>SUJETO OBLIGADO</w:t>
      </w:r>
      <w:r w:rsidRPr="00B13545">
        <w:rPr>
          <w:rFonts w:ascii="Palatino Linotype" w:eastAsia="Palatino Linotype" w:hAnsi="Palatino Linotype" w:cs="Palatino Linotype"/>
          <w:color w:val="000000"/>
        </w:rPr>
        <w:t xml:space="preserve">, a través del servidor público habilitado, </w:t>
      </w:r>
      <w:r w:rsidR="00054FD3" w:rsidRPr="00B13545">
        <w:rPr>
          <w:rFonts w:ascii="Palatino Linotype" w:eastAsia="Palatino Linotype" w:hAnsi="Palatino Linotype" w:cs="Palatino Linotype"/>
          <w:color w:val="000000"/>
        </w:rPr>
        <w:t>dentro de la respuesta emitida,</w:t>
      </w:r>
      <w:r w:rsidRPr="00B13545">
        <w:rPr>
          <w:rFonts w:ascii="Palatino Linotype" w:eastAsia="Palatino Linotype" w:hAnsi="Palatino Linotype" w:cs="Palatino Linotype"/>
          <w:color w:val="000000"/>
        </w:rPr>
        <w:t xml:space="preserve"> se observa que proporcionó </w:t>
      </w:r>
      <w:r w:rsidR="00054FD3" w:rsidRPr="00B13545">
        <w:rPr>
          <w:rFonts w:ascii="Palatino Linotype" w:eastAsia="Palatino Linotype" w:hAnsi="Palatino Linotype" w:cs="Palatino Linotype"/>
          <w:color w:val="000000"/>
        </w:rPr>
        <w:t>los siguientes l</w:t>
      </w:r>
      <w:r w:rsidRPr="00B13545">
        <w:rPr>
          <w:rFonts w:ascii="Palatino Linotype" w:eastAsia="Palatino Linotype" w:hAnsi="Palatino Linotype" w:cs="Palatino Linotype"/>
          <w:color w:val="000000"/>
        </w:rPr>
        <w:t>inks</w:t>
      </w:r>
      <w:r w:rsidR="00054FD3" w:rsidRPr="00B13545">
        <w:rPr>
          <w:rFonts w:ascii="Palatino Linotype" w:eastAsia="Palatino Linotype" w:hAnsi="Palatino Linotype" w:cs="Palatino Linotype"/>
          <w:color w:val="000000"/>
        </w:rPr>
        <w:t>:</w:t>
      </w:r>
      <w:r w:rsidRPr="00B13545">
        <w:rPr>
          <w:rFonts w:ascii="Palatino Linotype" w:eastAsia="Palatino Linotype" w:hAnsi="Palatino Linotype" w:cs="Palatino Linotype"/>
          <w:color w:val="000000"/>
        </w:rPr>
        <w:t xml:space="preserve">  </w:t>
      </w:r>
      <w:hyperlink r:id="rId10" w:history="1">
        <w:r w:rsidRPr="00B13545">
          <w:rPr>
            <w:rStyle w:val="Hipervnculo"/>
            <w:rFonts w:ascii="Palatino Linotype" w:hAnsi="Palatino Linotype" w:cs="Tahoma"/>
            <w:bCs/>
            <w:iCs/>
          </w:rPr>
          <w:t>https://legislacion.edomex.gob.mx/acerca_legistel</w:t>
        </w:r>
      </w:hyperlink>
      <w:r w:rsidRPr="00B13545">
        <w:rPr>
          <w:rFonts w:ascii="Palatino Linotype" w:hAnsi="Palatino Linotype" w:cs="Tahoma"/>
          <w:bCs/>
          <w:iCs/>
        </w:rPr>
        <w:t xml:space="preserve"> y </w:t>
      </w:r>
      <w:hyperlink r:id="rId11" w:history="1">
        <w:r w:rsidR="00820F17" w:rsidRPr="00B13545">
          <w:rPr>
            <w:rStyle w:val="Hipervnculo"/>
            <w:rFonts w:ascii="Palatino Linotype" w:hAnsi="Palatino Linotype" w:cs="Tahoma"/>
            <w:bCs/>
            <w:iCs/>
          </w:rPr>
          <w:t>https://smovilidad.edomex.gob.mx/sites/smovilidad.edomex.gob.mx/files/files/pdf/ley_movilidad_edomex.pdf</w:t>
        </w:r>
      </w:hyperlink>
      <w:r w:rsidR="00820F17" w:rsidRPr="00B13545">
        <w:rPr>
          <w:rFonts w:ascii="Palatino Linotype" w:hAnsi="Palatino Linotype" w:cs="Tahoma"/>
          <w:bCs/>
          <w:iCs/>
        </w:rPr>
        <w:t>,</w:t>
      </w:r>
      <w:r w:rsidR="00054FD3" w:rsidRPr="00B13545">
        <w:rPr>
          <w:rFonts w:ascii="Palatino Linotype" w:hAnsi="Palatino Linotype" w:cs="Tahoma"/>
          <w:bCs/>
          <w:iCs/>
        </w:rPr>
        <w:t xml:space="preserve"> </w:t>
      </w:r>
      <w:r w:rsidRPr="00B13545">
        <w:rPr>
          <w:rFonts w:ascii="Palatino Linotype" w:eastAsia="Palatino Linotype" w:hAnsi="Palatino Linotype" w:cs="Palatino Linotype"/>
          <w:color w:val="000000"/>
        </w:rPr>
        <w:t xml:space="preserve">a efecto de que el </w:t>
      </w:r>
      <w:r w:rsidRPr="00B13545">
        <w:rPr>
          <w:rFonts w:ascii="Palatino Linotype" w:eastAsia="Palatino Linotype" w:hAnsi="Palatino Linotype" w:cs="Palatino Linotype"/>
          <w:b/>
          <w:color w:val="000000"/>
        </w:rPr>
        <w:t>RECURRENTE</w:t>
      </w:r>
      <w:r w:rsidRPr="00B13545">
        <w:rPr>
          <w:rFonts w:ascii="Palatino Linotype" w:eastAsia="Palatino Linotype" w:hAnsi="Palatino Linotype" w:cs="Palatino Linotype"/>
          <w:color w:val="000000"/>
        </w:rPr>
        <w:t xml:space="preserve"> tuviera acceso al </w:t>
      </w:r>
      <w:r w:rsidR="00820F17" w:rsidRPr="00B13545">
        <w:rPr>
          <w:rFonts w:ascii="Palatino Linotype" w:eastAsia="Palatino Linotype" w:hAnsi="Palatino Linotype" w:cs="Palatino Linotype"/>
          <w:color w:val="000000"/>
        </w:rPr>
        <w:t>Reglamento de la Secretaría de Movilidad, dichos links se encuentran en formato abierto, pero como remiten a la Ley de Movilidad, implica que el usuario realice una búsqueda, es decir la información no atiende con precisión el requerimiento</w:t>
      </w:r>
      <w:r w:rsidRPr="00B13545">
        <w:rPr>
          <w:rFonts w:ascii="Palatino Linotype" w:eastAsia="Palatino Linotype" w:hAnsi="Palatino Linotype" w:cs="Palatino Linotype"/>
          <w:color w:val="000000"/>
        </w:rPr>
        <w:t xml:space="preserve">. </w:t>
      </w:r>
    </w:p>
    <w:p w14:paraId="5685D536" w14:textId="77777777" w:rsidR="00820F17" w:rsidRPr="00B13545" w:rsidRDefault="00820F17" w:rsidP="00820F17">
      <w:pPr>
        <w:pStyle w:val="Prrafodelista"/>
        <w:spacing w:line="360" w:lineRule="auto"/>
        <w:rPr>
          <w:rFonts w:ascii="Palatino Linotype" w:hAnsi="Palatino Linotype" w:cs="Tahoma"/>
          <w:bCs/>
          <w:iCs/>
        </w:rPr>
      </w:pPr>
    </w:p>
    <w:p w14:paraId="189006C2" w14:textId="77777777" w:rsidR="00790C86" w:rsidRPr="00B13545" w:rsidRDefault="00790C86" w:rsidP="00790C86">
      <w:pPr>
        <w:numPr>
          <w:ilvl w:val="0"/>
          <w:numId w:val="2"/>
        </w:numPr>
        <w:pBdr>
          <w:top w:val="nil"/>
          <w:left w:val="nil"/>
          <w:bottom w:val="nil"/>
          <w:right w:val="nil"/>
          <w:between w:val="nil"/>
        </w:pBdr>
        <w:spacing w:line="360" w:lineRule="auto"/>
        <w:ind w:left="0" w:right="49"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No obstante a ello, se estima que la orientación no cumple con lo dispuesto en el artículo 161 de la Ley de Transparencia y Acceso a la Información Pública del Estado de México y Municipios</w:t>
      </w:r>
      <w:r w:rsidRPr="00B13545">
        <w:rPr>
          <w:rFonts w:ascii="Palatino Linotype" w:eastAsia="Palatino Linotype" w:hAnsi="Palatino Linotype" w:cs="Palatino Linotype"/>
          <w:i/>
          <w:color w:val="000000"/>
        </w:rPr>
        <w:t xml:space="preserve">, </w:t>
      </w:r>
      <w:r w:rsidRPr="00B13545">
        <w:rPr>
          <w:rFonts w:ascii="Palatino Linotype" w:eastAsia="Palatino Linotype" w:hAnsi="Palatino Linotype" w:cs="Palatino Linotype"/>
          <w:color w:val="000000"/>
        </w:rPr>
        <w:t xml:space="preserve">el cual establece las características que debe tener la información desde el momento en el que se genera, su publicación y entrega; así como el procedimiento a seguir por los Sujetos Obligados para informar a los solicitantes sobre información que se encuentre disponible en libros, compendios, formatos electrónicos, entre otros, haciéndole saber al solicitante como podrá consultar, reproducir o adquirir la información, en un plazo no mayor </w:t>
      </w:r>
      <w:r w:rsidRPr="00B13545">
        <w:rPr>
          <w:rFonts w:ascii="Palatino Linotype" w:eastAsia="Palatino Linotype" w:hAnsi="Palatino Linotype" w:cs="Palatino Linotype"/>
          <w:b/>
          <w:color w:val="000000"/>
          <w:u w:val="single"/>
        </w:rPr>
        <w:t>a cinco días hábiles</w:t>
      </w:r>
      <w:r w:rsidRPr="00B13545">
        <w:rPr>
          <w:rFonts w:ascii="Palatino Linotype" w:eastAsia="Palatino Linotype" w:hAnsi="Palatino Linotype" w:cs="Palatino Linotype"/>
          <w:color w:val="000000"/>
        </w:rPr>
        <w:t>, comprendiendo:</w:t>
      </w:r>
    </w:p>
    <w:p w14:paraId="685FEF01" w14:textId="77777777" w:rsidR="00790C86" w:rsidRPr="00B13545" w:rsidRDefault="00790C86" w:rsidP="00790C86">
      <w:pPr>
        <w:spacing w:before="120" w:line="360" w:lineRule="auto"/>
        <w:ind w:left="284" w:right="51"/>
        <w:rPr>
          <w:rFonts w:ascii="Palatino Linotype" w:eastAsia="Palatino Linotype" w:hAnsi="Palatino Linotype" w:cs="Palatino Linotype"/>
        </w:rPr>
      </w:pPr>
      <w:r w:rsidRPr="00B13545">
        <w:rPr>
          <w:rFonts w:ascii="Palatino Linotype" w:eastAsia="Palatino Linotype" w:hAnsi="Palatino Linotype" w:cs="Palatino Linotype"/>
        </w:rPr>
        <w:t>a) La fuente</w:t>
      </w:r>
    </w:p>
    <w:p w14:paraId="4360F1D9" w14:textId="77777777" w:rsidR="00790C86" w:rsidRPr="00B13545" w:rsidRDefault="00790C86" w:rsidP="00790C86">
      <w:pPr>
        <w:spacing w:before="120" w:line="360" w:lineRule="auto"/>
        <w:ind w:left="284" w:right="51"/>
        <w:rPr>
          <w:rFonts w:ascii="Palatino Linotype" w:eastAsia="Palatino Linotype" w:hAnsi="Palatino Linotype" w:cs="Palatino Linotype"/>
        </w:rPr>
      </w:pPr>
      <w:r w:rsidRPr="00B13545">
        <w:rPr>
          <w:rFonts w:ascii="Palatino Linotype" w:eastAsia="Palatino Linotype" w:hAnsi="Palatino Linotype" w:cs="Palatino Linotype"/>
        </w:rPr>
        <w:t>b) El lugar y</w:t>
      </w:r>
    </w:p>
    <w:p w14:paraId="792AEEAA" w14:textId="77777777" w:rsidR="00790C86" w:rsidRPr="00B13545" w:rsidRDefault="00790C86" w:rsidP="00790C86">
      <w:pPr>
        <w:spacing w:before="120" w:line="360" w:lineRule="auto"/>
        <w:ind w:left="284" w:right="51"/>
        <w:rPr>
          <w:rFonts w:ascii="Palatino Linotype" w:eastAsia="Palatino Linotype" w:hAnsi="Palatino Linotype" w:cs="Palatino Linotype"/>
        </w:rPr>
      </w:pPr>
      <w:r w:rsidRPr="00B13545">
        <w:rPr>
          <w:rFonts w:ascii="Palatino Linotype" w:eastAsia="Palatino Linotype" w:hAnsi="Palatino Linotype" w:cs="Palatino Linotype"/>
        </w:rPr>
        <w:t>c) La forma</w:t>
      </w:r>
    </w:p>
    <w:p w14:paraId="7F12F1FB" w14:textId="77777777" w:rsidR="00790C86" w:rsidRPr="00B13545" w:rsidRDefault="00790C86" w:rsidP="00790C86">
      <w:pPr>
        <w:spacing w:before="240" w:line="360" w:lineRule="auto"/>
        <w:ind w:right="49"/>
        <w:rPr>
          <w:rFonts w:ascii="Palatino Linotype" w:eastAsia="Palatino Linotype" w:hAnsi="Palatino Linotype" w:cs="Palatino Linotype"/>
        </w:rPr>
      </w:pPr>
      <w:r w:rsidRPr="00B13545">
        <w:rPr>
          <w:rFonts w:ascii="Palatino Linotype" w:eastAsia="Palatino Linotype" w:hAnsi="Palatino Linotype" w:cs="Palatino Linotype"/>
        </w:rPr>
        <w:t>Asimismo, se establece que la fuente de la información deberá ser:</w:t>
      </w:r>
    </w:p>
    <w:p w14:paraId="14DA1EB3" w14:textId="77777777" w:rsidR="00790C86" w:rsidRPr="00B13545" w:rsidRDefault="00790C86" w:rsidP="00790C86">
      <w:pPr>
        <w:spacing w:before="120" w:line="360" w:lineRule="auto"/>
        <w:ind w:left="284" w:right="51"/>
        <w:rPr>
          <w:rFonts w:ascii="Palatino Linotype" w:eastAsia="Palatino Linotype" w:hAnsi="Palatino Linotype" w:cs="Palatino Linotype"/>
        </w:rPr>
      </w:pPr>
      <w:r w:rsidRPr="00B13545">
        <w:rPr>
          <w:rFonts w:ascii="Palatino Linotype" w:eastAsia="Palatino Linotype" w:hAnsi="Palatino Linotype" w:cs="Palatino Linotype"/>
        </w:rPr>
        <w:t>a) Precisa</w:t>
      </w:r>
    </w:p>
    <w:p w14:paraId="0ED87DE4" w14:textId="77777777" w:rsidR="00790C86" w:rsidRPr="00B13545" w:rsidRDefault="00790C86" w:rsidP="00790C86">
      <w:pPr>
        <w:spacing w:before="120" w:line="360" w:lineRule="auto"/>
        <w:ind w:left="284" w:right="51"/>
        <w:rPr>
          <w:rFonts w:ascii="Palatino Linotype" w:eastAsia="Palatino Linotype" w:hAnsi="Palatino Linotype" w:cs="Palatino Linotype"/>
        </w:rPr>
      </w:pPr>
      <w:r w:rsidRPr="00B13545">
        <w:rPr>
          <w:rFonts w:ascii="Palatino Linotype" w:eastAsia="Palatino Linotype" w:hAnsi="Palatino Linotype" w:cs="Palatino Linotype"/>
        </w:rPr>
        <w:t>b) Concreta</w:t>
      </w:r>
    </w:p>
    <w:p w14:paraId="22624489" w14:textId="77777777" w:rsidR="00790C86" w:rsidRPr="00B13545" w:rsidRDefault="00790C86" w:rsidP="00790C86">
      <w:pPr>
        <w:spacing w:line="360" w:lineRule="auto"/>
        <w:ind w:right="51"/>
        <w:jc w:val="both"/>
        <w:rPr>
          <w:rFonts w:ascii="Palatino Linotype" w:eastAsia="Palatino Linotype" w:hAnsi="Palatino Linotype" w:cs="Palatino Linotype"/>
        </w:rPr>
      </w:pPr>
    </w:p>
    <w:p w14:paraId="2EEBF1CB" w14:textId="77777777" w:rsidR="00790C86" w:rsidRPr="00B13545" w:rsidRDefault="00790C86" w:rsidP="00790C86">
      <w:pPr>
        <w:spacing w:line="360" w:lineRule="auto"/>
        <w:ind w:right="51"/>
        <w:jc w:val="both"/>
        <w:rPr>
          <w:rFonts w:ascii="Palatino Linotype" w:eastAsia="Palatino Linotype" w:hAnsi="Palatino Linotype" w:cs="Palatino Linotype"/>
        </w:rPr>
      </w:pPr>
      <w:r w:rsidRPr="00B13545">
        <w:rPr>
          <w:rFonts w:ascii="Palatino Linotype" w:eastAsia="Palatino Linotype" w:hAnsi="Palatino Linotype" w:cs="Palatino Linotype"/>
        </w:rPr>
        <w:lastRenderedPageBreak/>
        <w:t>Y no debe implicar que el solicitante realice una búsqueda en toda la información que se encuentre disponible.</w:t>
      </w:r>
    </w:p>
    <w:p w14:paraId="2CA7D12A" w14:textId="77777777" w:rsidR="00790C86" w:rsidRPr="00B13545" w:rsidRDefault="00790C86" w:rsidP="00790C86">
      <w:pPr>
        <w:spacing w:line="360" w:lineRule="auto"/>
        <w:ind w:left="284" w:right="51"/>
        <w:rPr>
          <w:rFonts w:ascii="Palatino Linotype" w:eastAsia="Palatino Linotype" w:hAnsi="Palatino Linotype" w:cs="Palatino Linotype"/>
        </w:rPr>
      </w:pPr>
    </w:p>
    <w:p w14:paraId="3D0FF89F" w14:textId="77777777" w:rsidR="00790C86" w:rsidRPr="00B13545" w:rsidRDefault="00790C86" w:rsidP="00790C86">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Imperativos legales que establecen el procedimiento a seguir por los Sujetos Obligados, para que pueda tomarse como válida su orientación sobre la forma en que puede consultar la información requerida. Lo cual no aconteció en el presente asunto, toda vez que, si bien el Sujeto Obligado proporcionó un link, también lo es que no señaló al particular el procedimiento a seguir para consultar la información peticionada.</w:t>
      </w:r>
    </w:p>
    <w:p w14:paraId="28C1C6BA" w14:textId="77777777" w:rsidR="00790C86" w:rsidRPr="00B13545" w:rsidRDefault="00790C86" w:rsidP="00790C86">
      <w:pPr>
        <w:pBdr>
          <w:top w:val="nil"/>
          <w:left w:val="nil"/>
          <w:bottom w:val="nil"/>
          <w:right w:val="nil"/>
          <w:between w:val="nil"/>
        </w:pBdr>
        <w:spacing w:line="360" w:lineRule="auto"/>
        <w:ind w:right="51"/>
        <w:jc w:val="both"/>
        <w:rPr>
          <w:rFonts w:ascii="Palatino Linotype" w:eastAsia="Palatino Linotype" w:hAnsi="Palatino Linotype" w:cs="Palatino Linotype"/>
          <w:color w:val="000000"/>
        </w:rPr>
      </w:pPr>
    </w:p>
    <w:p w14:paraId="2CF194AE" w14:textId="77777777" w:rsidR="00790C86" w:rsidRPr="00B13545" w:rsidRDefault="00790C86" w:rsidP="00790C86">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Derivado de lo anterior, cabe destacar que Trujillo, Humberto (2019), en el “Diccionario de Transparencia y Acceso a la Información Pública” (p. 136 y 137), precisa que cuando un Sujeto Obligado proporciona información pública de manera electrónica es necesario garantizar su interoperabilidad, lo cual se traduce al hecho a que la información contenga datos en formatos y estándares abiertos para su reproducción y reutilización electrónica de manera libre y sin ninguna restricción.</w:t>
      </w:r>
    </w:p>
    <w:p w14:paraId="4AE19926" w14:textId="77777777" w:rsidR="00790C86" w:rsidRPr="00B13545" w:rsidRDefault="00790C86" w:rsidP="00790C86">
      <w:pPr>
        <w:pBdr>
          <w:top w:val="nil"/>
          <w:left w:val="nil"/>
          <w:bottom w:val="nil"/>
          <w:right w:val="nil"/>
          <w:between w:val="nil"/>
        </w:pBdr>
        <w:spacing w:line="360" w:lineRule="auto"/>
        <w:ind w:left="720"/>
        <w:jc w:val="both"/>
        <w:rPr>
          <w:rFonts w:ascii="Palatino Linotype" w:eastAsia="Palatino Linotype" w:hAnsi="Palatino Linotype" w:cs="Palatino Linotype"/>
          <w:color w:val="000000"/>
        </w:rPr>
      </w:pPr>
    </w:p>
    <w:p w14:paraId="4BBD1AA6" w14:textId="77777777" w:rsidR="00790C86" w:rsidRPr="00B13545" w:rsidRDefault="00790C86" w:rsidP="00790C86">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Asimismo, establece que al proporcionar información pública es necesario que sea en un formato que no tenga ninguna restricción en el acceso o reutilización, por lo que, es necesario que los datos digitales (como ligas electrónicas), se proporcionen en un formato abierto.</w:t>
      </w:r>
    </w:p>
    <w:p w14:paraId="30B435F6" w14:textId="77777777" w:rsidR="00790C86" w:rsidRPr="00B13545" w:rsidRDefault="00790C86" w:rsidP="00790C86">
      <w:pPr>
        <w:pBdr>
          <w:top w:val="nil"/>
          <w:left w:val="nil"/>
          <w:bottom w:val="nil"/>
          <w:right w:val="nil"/>
          <w:between w:val="nil"/>
        </w:pBdr>
        <w:ind w:left="720"/>
        <w:rPr>
          <w:rFonts w:ascii="Palatino Linotype" w:eastAsia="Palatino Linotype" w:hAnsi="Palatino Linotype" w:cs="Palatino Linotype"/>
          <w:color w:val="000000"/>
        </w:rPr>
      </w:pPr>
    </w:p>
    <w:p w14:paraId="0C86E82D" w14:textId="77777777" w:rsidR="00790C86" w:rsidRPr="00B13545" w:rsidRDefault="00790C86" w:rsidP="00790C86">
      <w:pPr>
        <w:numPr>
          <w:ilvl w:val="0"/>
          <w:numId w:val="2"/>
        </w:numPr>
        <w:pBdr>
          <w:top w:val="nil"/>
          <w:left w:val="nil"/>
          <w:bottom w:val="nil"/>
          <w:right w:val="nil"/>
          <w:between w:val="nil"/>
        </w:pBdr>
        <w:spacing w:line="360" w:lineRule="auto"/>
        <w:ind w:left="0" w:right="-29" w:firstLine="0"/>
        <w:jc w:val="both"/>
        <w:rPr>
          <w:rFonts w:ascii="Palatino Linotype" w:eastAsia="Palatino Linotype" w:hAnsi="Palatino Linotype" w:cs="Palatino Linotype"/>
          <w:b/>
          <w:i/>
          <w:color w:val="000000"/>
        </w:rPr>
      </w:pPr>
      <w:r w:rsidRPr="00B13545">
        <w:rPr>
          <w:rFonts w:ascii="Palatino Linotype" w:eastAsia="Palatino Linotype" w:hAnsi="Palatino Linotype" w:cs="Palatino Linotype"/>
          <w:color w:val="000000"/>
        </w:rPr>
        <w:lastRenderedPageBreak/>
        <w:t>Derivado de lo anterior, se considera necesario precisar que datos abiertos, conforme a la Carta Internacional de Datos Abiertos</w:t>
      </w:r>
      <w:r w:rsidRPr="00B13545">
        <w:rPr>
          <w:rFonts w:ascii="Palatino Linotype" w:eastAsia="Palatino Linotype" w:hAnsi="Palatino Linotype" w:cs="Palatino Linotype"/>
          <w:color w:val="000000"/>
          <w:vertAlign w:val="superscript"/>
        </w:rPr>
        <w:footnoteReference w:id="1"/>
      </w:r>
      <w:r w:rsidRPr="00B13545">
        <w:rPr>
          <w:rFonts w:ascii="Palatino Linotype" w:eastAsia="Palatino Linotype" w:hAnsi="Palatino Linotype" w:cs="Palatino Linotype"/>
          <w:color w:val="000000"/>
        </w:rPr>
        <w:t xml:space="preserve"> </w:t>
      </w:r>
      <w:r w:rsidRPr="00B13545">
        <w:rPr>
          <w:rFonts w:ascii="Palatino Linotype" w:eastAsia="Palatino Linotype" w:hAnsi="Palatino Linotype" w:cs="Palatino Linotype"/>
          <w:i/>
          <w:color w:val="000000"/>
        </w:rPr>
        <w:t xml:space="preserve">son datos digitales que son puestos a disposición con las características técnicas y jurídicas necesarias para que </w:t>
      </w:r>
      <w:r w:rsidRPr="00B13545">
        <w:rPr>
          <w:rFonts w:ascii="Palatino Linotype" w:eastAsia="Palatino Linotype" w:hAnsi="Palatino Linotype" w:cs="Palatino Linotype"/>
          <w:b/>
          <w:i/>
          <w:color w:val="000000"/>
        </w:rPr>
        <w:t xml:space="preserve">puedan ser </w:t>
      </w:r>
      <w:r w:rsidRPr="00B13545">
        <w:rPr>
          <w:rFonts w:ascii="Palatino Linotype" w:eastAsia="Palatino Linotype" w:hAnsi="Palatino Linotype" w:cs="Palatino Linotype"/>
          <w:b/>
          <w:i/>
          <w:color w:val="000000"/>
          <w:u w:val="single"/>
        </w:rPr>
        <w:t>usados, reutilizados y redistribuidos</w:t>
      </w:r>
      <w:r w:rsidRPr="00B13545">
        <w:rPr>
          <w:rFonts w:ascii="Palatino Linotype" w:eastAsia="Palatino Linotype" w:hAnsi="Palatino Linotype" w:cs="Palatino Linotype"/>
          <w:b/>
          <w:i/>
          <w:color w:val="000000"/>
        </w:rPr>
        <w:t xml:space="preserve"> libremente por cualquier persona, en cualquier momento y en cualquier lugar.</w:t>
      </w:r>
    </w:p>
    <w:p w14:paraId="2E85B69A" w14:textId="77777777" w:rsidR="00790C86" w:rsidRPr="00B13545" w:rsidRDefault="00790C86" w:rsidP="00790C86">
      <w:pPr>
        <w:pBdr>
          <w:top w:val="nil"/>
          <w:left w:val="nil"/>
          <w:bottom w:val="nil"/>
          <w:right w:val="nil"/>
          <w:between w:val="nil"/>
        </w:pBdr>
        <w:spacing w:line="360" w:lineRule="auto"/>
        <w:ind w:right="-29"/>
        <w:jc w:val="both"/>
        <w:rPr>
          <w:rFonts w:ascii="Palatino Linotype" w:eastAsia="Palatino Linotype" w:hAnsi="Palatino Linotype" w:cs="Palatino Linotype"/>
          <w:b/>
          <w:i/>
          <w:color w:val="000000"/>
        </w:rPr>
      </w:pPr>
    </w:p>
    <w:p w14:paraId="5ABB0AE2" w14:textId="77777777" w:rsidR="00790C86" w:rsidRPr="00B13545" w:rsidRDefault="00790C86" w:rsidP="00790C8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En ese contexto, el artículo 3°, fracción VI y X, de la Ley General de Transparencia y Acceso a la Información Pública, con relación, al diverso 3°, fracciones VIII y XVI de la Ley de Transparencia y Acceso a la Información Pública del Estado de México y Municipios, precisan lo siguiente:</w:t>
      </w:r>
    </w:p>
    <w:p w14:paraId="549D713E" w14:textId="77777777" w:rsidR="00790C86" w:rsidRPr="00B13545" w:rsidRDefault="00790C86" w:rsidP="00790C86">
      <w:pPr>
        <w:spacing w:line="276" w:lineRule="auto"/>
        <w:jc w:val="both"/>
        <w:rPr>
          <w:rFonts w:ascii="Palatino Linotype" w:eastAsia="Palatino Linotype" w:hAnsi="Palatino Linotype" w:cs="Palatino Linotype"/>
        </w:rPr>
      </w:pPr>
      <w:r w:rsidRPr="00B13545">
        <w:rPr>
          <w:rFonts w:ascii="Palatino Linotype" w:eastAsia="Palatino Linotype" w:hAnsi="Palatino Linotype" w:cs="Palatino Linotype"/>
        </w:rPr>
        <w:t> </w:t>
      </w:r>
    </w:p>
    <w:p w14:paraId="370E3C01" w14:textId="77777777" w:rsidR="00790C86" w:rsidRPr="00B13545" w:rsidRDefault="00790C86" w:rsidP="00790C86">
      <w:pPr>
        <w:spacing w:line="360" w:lineRule="auto"/>
        <w:ind w:left="720"/>
        <w:jc w:val="both"/>
        <w:rPr>
          <w:rFonts w:ascii="Palatino Linotype" w:eastAsia="Palatino Linotype" w:hAnsi="Palatino Linotype" w:cs="Palatino Linotype"/>
        </w:rPr>
      </w:pPr>
      <w:r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b/>
        </w:rPr>
        <w:t xml:space="preserve">Dato abierto: </w:t>
      </w:r>
      <w:r w:rsidRPr="00B13545">
        <w:rPr>
          <w:rFonts w:ascii="Palatino Linotype" w:eastAsia="Palatino Linotype" w:hAnsi="Palatino Linotype" w:cs="Palatino Linotype"/>
        </w:rPr>
        <w:t>Datos digitales de carácter público que son accesibles en línea que pueden ser usados, reutilizados y redistribuidos por cualquier persona, mismos que se conforman de diversas características, entre las cuales se encuentra que se encuentren en formatos abiertos.</w:t>
      </w:r>
    </w:p>
    <w:p w14:paraId="3820BC18" w14:textId="77777777" w:rsidR="00790C86" w:rsidRPr="00B13545" w:rsidRDefault="00790C86" w:rsidP="00790C86">
      <w:pPr>
        <w:spacing w:line="360" w:lineRule="auto"/>
        <w:ind w:left="720"/>
        <w:jc w:val="both"/>
        <w:rPr>
          <w:rFonts w:ascii="Palatino Linotype" w:eastAsia="Palatino Linotype" w:hAnsi="Palatino Linotype" w:cs="Palatino Linotype"/>
        </w:rPr>
      </w:pPr>
      <w:r w:rsidRPr="00B13545">
        <w:rPr>
          <w:rFonts w:ascii="Palatino Linotype" w:eastAsia="Palatino Linotype" w:hAnsi="Palatino Linotype" w:cs="Palatino Linotype"/>
          <w:b/>
        </w:rPr>
        <w:t> </w:t>
      </w:r>
    </w:p>
    <w:p w14:paraId="5ADCB45E" w14:textId="77777777" w:rsidR="00790C86" w:rsidRPr="00B13545" w:rsidRDefault="00790C86" w:rsidP="00790C86">
      <w:pPr>
        <w:spacing w:line="360" w:lineRule="auto"/>
        <w:ind w:left="720"/>
        <w:jc w:val="both"/>
        <w:rPr>
          <w:rFonts w:ascii="Palatino Linotype" w:eastAsia="Palatino Linotype" w:hAnsi="Palatino Linotype" w:cs="Palatino Linotype"/>
        </w:rPr>
      </w:pPr>
      <w:r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b/>
        </w:rPr>
        <w:t xml:space="preserve">Formato accesible: </w:t>
      </w:r>
      <w:r w:rsidRPr="00B13545">
        <w:rPr>
          <w:rFonts w:ascii="Palatino Linotype" w:eastAsia="Palatino Linotype" w:hAnsi="Palatino Linotype" w:cs="Palatino Linotype"/>
        </w:rPr>
        <w:t>Conjunto de características técnicas y de presentación de la información que corresponden a la estructura lógica usada para almacenar datos de forma integral y facilitan su procesamiento digital, cuyas especificaciones estás disponibles públicamente y que permite el acceso sin restricción de uso por parte de los usuarios.</w:t>
      </w:r>
    </w:p>
    <w:p w14:paraId="60005735" w14:textId="77777777" w:rsidR="00790C86" w:rsidRPr="00B13545" w:rsidRDefault="00790C86" w:rsidP="00790C86">
      <w:pPr>
        <w:spacing w:line="360" w:lineRule="auto"/>
        <w:jc w:val="both"/>
        <w:rPr>
          <w:rFonts w:ascii="Palatino Linotype" w:eastAsia="Palatino Linotype" w:hAnsi="Palatino Linotype" w:cs="Palatino Linotype"/>
        </w:rPr>
      </w:pPr>
    </w:p>
    <w:p w14:paraId="081E7D06" w14:textId="77777777" w:rsidR="00790C86" w:rsidRPr="00B13545" w:rsidRDefault="00790C86" w:rsidP="00790C8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lastRenderedPageBreak/>
        <w:t xml:space="preserve">Es así que, los datos abiertos cumplen con la finalidad de poder ser utilizados, </w:t>
      </w:r>
      <w:r w:rsidRPr="00B13545">
        <w:rPr>
          <w:rFonts w:ascii="Palatino Linotype" w:eastAsia="Palatino Linotype" w:hAnsi="Palatino Linotype" w:cs="Palatino Linotype"/>
          <w:b/>
          <w:color w:val="000000"/>
          <w:u w:val="single"/>
        </w:rPr>
        <w:t xml:space="preserve">reutilizados </w:t>
      </w:r>
      <w:r w:rsidRPr="00B13545">
        <w:rPr>
          <w:rFonts w:ascii="Palatino Linotype" w:eastAsia="Palatino Linotype" w:hAnsi="Palatino Linotype" w:cs="Palatino Linotype"/>
          <w:color w:val="000000"/>
        </w:rPr>
        <w:t xml:space="preserve">y redistribuidos; y que el formato de datos abiertos, </w:t>
      </w:r>
      <w:r w:rsidRPr="00B13545">
        <w:rPr>
          <w:rFonts w:ascii="Palatino Linotype" w:eastAsia="Palatino Linotype" w:hAnsi="Palatino Linotype" w:cs="Palatino Linotype"/>
          <w:b/>
          <w:color w:val="000000"/>
        </w:rPr>
        <w:t>debe permitir la aplicación y reproducción</w:t>
      </w:r>
      <w:r w:rsidRPr="00B13545">
        <w:rPr>
          <w:rFonts w:ascii="Palatino Linotype" w:eastAsia="Palatino Linotype" w:hAnsi="Palatino Linotype" w:cs="Palatino Linotype"/>
          <w:color w:val="000000"/>
        </w:rPr>
        <w:t xml:space="preserve"> de la información sin estar condicionados a contraprestaciones; lo anterior no debe traducirse en la posibilidad de alteración, edición o modificación del original; entonces, podemos advertir que el documento entregado en formato </w:t>
      </w:r>
      <w:proofErr w:type="spellStart"/>
      <w:r w:rsidRPr="00B13545">
        <w:rPr>
          <w:rFonts w:ascii="Palatino Linotype" w:eastAsia="Palatino Linotype" w:hAnsi="Palatino Linotype" w:cs="Palatino Linotype"/>
          <w:color w:val="000000"/>
        </w:rPr>
        <w:t>pdf</w:t>
      </w:r>
      <w:proofErr w:type="spellEnd"/>
      <w:r w:rsidRPr="00B13545">
        <w:rPr>
          <w:rFonts w:ascii="Palatino Linotype" w:eastAsia="Palatino Linotype" w:hAnsi="Palatino Linotype" w:cs="Palatino Linotype"/>
          <w:color w:val="000000"/>
        </w:rPr>
        <w:t>, no permite seleccionar texto, copiarlo y pegarlo; por tanto, tampoco permite que la información pueda ser utilizada, reutilizada o redistribuida.</w:t>
      </w:r>
    </w:p>
    <w:p w14:paraId="14AF10D2" w14:textId="77777777" w:rsidR="00790C86" w:rsidRPr="00B13545" w:rsidRDefault="00790C86" w:rsidP="00790C86">
      <w:pPr>
        <w:pBdr>
          <w:top w:val="nil"/>
          <w:left w:val="nil"/>
          <w:bottom w:val="nil"/>
          <w:right w:val="nil"/>
          <w:between w:val="nil"/>
        </w:pBdr>
        <w:spacing w:line="360" w:lineRule="auto"/>
        <w:jc w:val="both"/>
        <w:rPr>
          <w:rFonts w:ascii="Palatino Linotype" w:eastAsia="Palatino Linotype" w:hAnsi="Palatino Linotype" w:cs="Palatino Linotype"/>
          <w:color w:val="000000"/>
        </w:rPr>
      </w:pPr>
    </w:p>
    <w:p w14:paraId="1B250043" w14:textId="77777777" w:rsidR="00790C86" w:rsidRPr="00B13545" w:rsidRDefault="00790C86" w:rsidP="00790C86">
      <w:pPr>
        <w:numPr>
          <w:ilvl w:val="0"/>
          <w:numId w:val="2"/>
        </w:numPr>
        <w:pBdr>
          <w:top w:val="nil"/>
          <w:left w:val="nil"/>
          <w:bottom w:val="nil"/>
          <w:right w:val="nil"/>
          <w:between w:val="nil"/>
        </w:pBdr>
        <w:spacing w:line="360" w:lineRule="auto"/>
        <w:ind w:left="0"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 xml:space="preserve">Conforme a lo anterior, se solicita al </w:t>
      </w:r>
      <w:r w:rsidRPr="00B13545">
        <w:rPr>
          <w:rFonts w:ascii="Palatino Linotype" w:eastAsia="Palatino Linotype" w:hAnsi="Palatino Linotype" w:cs="Palatino Linotype"/>
          <w:b/>
          <w:color w:val="000000"/>
        </w:rPr>
        <w:t xml:space="preserve">SUJETO OBLIGADO </w:t>
      </w:r>
      <w:r w:rsidRPr="00B13545">
        <w:rPr>
          <w:rFonts w:ascii="Palatino Linotype" w:eastAsia="Palatino Linotype" w:hAnsi="Palatino Linotype" w:cs="Palatino Linotype"/>
          <w:color w:val="000000"/>
        </w:rPr>
        <w:t>que en subsecuentes ocasiones haga entrega en datos abiertos, es decir, en un formato que permita la accesibilidad y facilidad a los Particulares, para obtener la información contenida estas.</w:t>
      </w:r>
    </w:p>
    <w:p w14:paraId="5A734494" w14:textId="77777777" w:rsidR="00EA1084" w:rsidRPr="00B13545" w:rsidRDefault="00EA1084" w:rsidP="00EA1084">
      <w:pPr>
        <w:pStyle w:val="Prrafodelista"/>
        <w:rPr>
          <w:rFonts w:ascii="Palatino Linotype" w:eastAsia="Palatino Linotype" w:hAnsi="Palatino Linotype" w:cs="Palatino Linotype"/>
          <w:color w:val="000000"/>
        </w:rPr>
      </w:pPr>
    </w:p>
    <w:p w14:paraId="4D313CEB" w14:textId="77777777" w:rsidR="000D1659" w:rsidRPr="00B13545" w:rsidRDefault="000D1659" w:rsidP="000D1659">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eastAsia="Palatino Linotype" w:hAnsi="Palatino Linotype" w:cs="Palatino Linotype"/>
        </w:rPr>
        <w:t xml:space="preserve">Por otro lado, estima prudente señalar al </w:t>
      </w:r>
      <w:r w:rsidRPr="00B13545">
        <w:rPr>
          <w:rFonts w:ascii="Palatino Linotype" w:eastAsia="Palatino Linotype" w:hAnsi="Palatino Linotype" w:cs="Palatino Linotype"/>
          <w:b/>
        </w:rPr>
        <w:t>Sujeto Obligado</w:t>
      </w:r>
      <w:r w:rsidRPr="00B13545">
        <w:rPr>
          <w:rFonts w:ascii="Palatino Linotype" w:eastAsia="Palatino Linotype" w:hAnsi="Palatino Linotype" w:cs="Palatino Linotype"/>
        </w:rPr>
        <w:t xml:space="preserve"> que, en caso de que la información solicitada, debiera obrar en sus archivos y no cuente con ella, deberá entregar el Acuerdo del Comité de Transparencia, en donde conste la declaratoria de inexistencia de la misma.</w:t>
      </w:r>
    </w:p>
    <w:p w14:paraId="5A3B4D4D" w14:textId="77777777" w:rsidR="000D1659" w:rsidRPr="00B13545" w:rsidRDefault="000D1659" w:rsidP="000D1659">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eastAsia="Palatino Linotype" w:hAnsi="Palatino Linotype" w:cs="Palatino Linotype"/>
        </w:rPr>
        <w:t>Siendo importante resaltar que los artículos 18 y 19 de la Ley de Transparencia y Acceso a la Información Pública del Estado de México y Municipios establecen que los Sujetos Obligados deben documentar todo acto que derive del ejercicio de sus facultades, competencias o funciones y que se presume que la información debe existir si se refiere a dichas facultades, competencias y/o funciones.</w:t>
      </w:r>
    </w:p>
    <w:p w14:paraId="0DA0C3BB" w14:textId="77777777" w:rsidR="00794286" w:rsidRPr="00B13545" w:rsidRDefault="00794286" w:rsidP="00AF400A">
      <w:pPr>
        <w:pStyle w:val="Prrafodelista"/>
        <w:spacing w:line="360" w:lineRule="auto"/>
        <w:rPr>
          <w:rFonts w:ascii="Palatino Linotype" w:hAnsi="Palatino Linotype" w:cs="Tahoma"/>
          <w:bCs/>
          <w:iCs/>
        </w:rPr>
      </w:pPr>
    </w:p>
    <w:p w14:paraId="26A957A6" w14:textId="77777777" w:rsidR="000D1659" w:rsidRPr="00B13545" w:rsidRDefault="000D1659" w:rsidP="000D1659">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eastAsia="Palatino Linotype" w:hAnsi="Palatino Linotype" w:cs="Palatino Linotype"/>
        </w:rPr>
        <w:lastRenderedPageBreak/>
        <w:t>En tal caso, la declaratoria a que se ha hecho referencia deberá realizarse, conforme a lo dispuesto en los artículos 49, fracciones II y XIII, 169 y 170 de la Ley de Transparencia y Acceso a la Información Pública del Estado de México y Municipios, que establecen la forma en que los Sujetos Obligados deben dar curso a las Declaratorias de Inexistencia.</w:t>
      </w:r>
    </w:p>
    <w:p w14:paraId="709E9528" w14:textId="77777777" w:rsidR="00794286" w:rsidRPr="00B13545" w:rsidRDefault="00794286" w:rsidP="004C28EC">
      <w:pPr>
        <w:pStyle w:val="Prrafodelista"/>
        <w:spacing w:line="360" w:lineRule="auto"/>
        <w:rPr>
          <w:rFonts w:ascii="Palatino Linotype" w:hAnsi="Palatino Linotype" w:cs="Tahoma"/>
          <w:bCs/>
          <w:iCs/>
        </w:rPr>
      </w:pPr>
    </w:p>
    <w:p w14:paraId="5701273D" w14:textId="77777777" w:rsidR="000D1659" w:rsidRPr="00B13545" w:rsidRDefault="000D1659" w:rsidP="000D1659">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eastAsia="Palatino Linotype" w:hAnsi="Palatino Linotype" w:cs="Palatino Linotype"/>
        </w:rPr>
        <w:t>Resulta aplicable el criterio de interpretación en el orden administrativo número 0008-19 emitido por Acuerdo del Pleno del Instituto de Transparencia y Acceso a la Información Pública del Estado de México y Municipios, que a la letra dice:</w:t>
      </w:r>
    </w:p>
    <w:p w14:paraId="385D6B44" w14:textId="77777777" w:rsidR="00794286" w:rsidRPr="00B13545" w:rsidRDefault="00794286" w:rsidP="00794286">
      <w:pPr>
        <w:pBdr>
          <w:top w:val="nil"/>
          <w:left w:val="nil"/>
          <w:bottom w:val="nil"/>
          <w:right w:val="nil"/>
          <w:between w:val="nil"/>
        </w:pBdr>
        <w:spacing w:line="276" w:lineRule="auto"/>
        <w:ind w:left="862" w:right="862"/>
        <w:jc w:val="both"/>
        <w:rPr>
          <w:rFonts w:ascii="Palatino Linotype" w:eastAsia="Palatino Linotype" w:hAnsi="Palatino Linotype" w:cs="Palatino Linotype"/>
          <w:i/>
          <w:sz w:val="22"/>
          <w:szCs w:val="22"/>
        </w:rPr>
      </w:pPr>
      <w:r w:rsidRPr="00B13545">
        <w:rPr>
          <w:rFonts w:ascii="Palatino Linotype" w:eastAsia="Palatino Linotype" w:hAnsi="Palatino Linotype" w:cs="Palatino Linotype"/>
          <w:b/>
          <w:i/>
          <w:sz w:val="22"/>
          <w:szCs w:val="22"/>
        </w:rPr>
        <w:t xml:space="preserve">INEXISTENCIA DE LA INFORMACIÓN. SUPUESTOS PARA EMITIR LA RESOLUCIÓN DE LA. </w:t>
      </w:r>
      <w:r w:rsidRPr="00B13545">
        <w:rPr>
          <w:rFonts w:ascii="Palatino Linotype" w:eastAsia="Palatino Linotype" w:hAnsi="Palatino Linotype" w:cs="Palatino Linotype"/>
          <w:i/>
          <w:sz w:val="22"/>
          <w:szCs w:val="22"/>
        </w:rPr>
        <w:t>De conformidad con los artículos 19, párrafo tercero y 170 de la Ley de Transparencia y Acceso a la Información Pública del Estado de México y Municipios, el Comité de Transparencia deberá emitir un acuerdo de inexistencia de información debidamente fundado y motivado, para justificar por qué no obra en los archivos del Sujeto Obligado la información que deriva de las facultades, competencias y atribuciones que los ordenamientos jurídicos aplicables le otorgan, la cual debió generar, poseer y administrar. Por tanto, en términos de los numerales previamente citados, el referido acuerdo de inexistencia procede en los siguientes momentos: a) cuando no se generó, poseyó o administró el documento teniendo la obligación conforme a la presunción legal que deriva de las facultades, competencias y atribuciones que los ordenamientos jurídicos aplicables le otorgan; b) que habiendo sido generada, poseída o administrada, por algún motivo ya no se cuenta con la información solicitada; o bien, c) cuando el Sujeto Obligado fue omiso en ejercer una facultad, competencia o atribución inexcusable. Supuestos que, de actualizarse, deberán acreditarse con las exigencias legales contempladas en los numerales 49, fracción II, 169 y 170 de la Ley de Transparencia de la entidad, a través de una resolución del Comité de Transparencia del Sujeto Obligado que confirme la inexistencia de la información, acto jurídico que genera certeza jurídica al particular de que se realizó un criterio de búsqueda exhaustivo y razonable con la debida justificación de la falta de información y en su caso, las consecuencias de ello.</w:t>
      </w:r>
    </w:p>
    <w:p w14:paraId="7EF5EAFC" w14:textId="77777777" w:rsidR="00794286" w:rsidRPr="00B13545" w:rsidRDefault="00794286" w:rsidP="00794286">
      <w:pPr>
        <w:pStyle w:val="Prrafodelista"/>
        <w:spacing w:line="360" w:lineRule="auto"/>
        <w:ind w:left="0"/>
        <w:jc w:val="both"/>
        <w:rPr>
          <w:rFonts w:ascii="Palatino Linotype" w:hAnsi="Palatino Linotype" w:cs="Tahoma"/>
          <w:bCs/>
          <w:iCs/>
        </w:rPr>
      </w:pPr>
    </w:p>
    <w:p w14:paraId="6C13BB99" w14:textId="77777777" w:rsidR="00AB1CA3" w:rsidRPr="00B13545" w:rsidRDefault="00B85F6E" w:rsidP="00AB1CA3">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hAnsi="Palatino Linotype" w:cs="Tahoma"/>
          <w:bCs/>
          <w:iCs/>
        </w:rPr>
        <w:t xml:space="preserve">Por lo que en atención a lo antes expuesto y fundado, es procedente que el sujeto obligado </w:t>
      </w:r>
      <w:r w:rsidRPr="00B13545">
        <w:rPr>
          <w:rFonts w:ascii="Palatino Linotype" w:eastAsia="Palatino Linotype" w:hAnsi="Palatino Linotype" w:cs="Palatino Linotype"/>
          <w:color w:val="000000"/>
        </w:rPr>
        <w:t xml:space="preserve">deberá </w:t>
      </w:r>
      <w:r w:rsidRPr="00B13545">
        <w:rPr>
          <w:rFonts w:ascii="Palatino Linotype" w:hAnsi="Palatino Linotype" w:cs="Tahoma"/>
          <w:bCs/>
          <w:iCs/>
        </w:rPr>
        <w:t>atender las solicitudes de información,</w:t>
      </w:r>
      <w:r w:rsidR="006C1067" w:rsidRPr="00B13545">
        <w:rPr>
          <w:rFonts w:ascii="Palatino Linotype" w:hAnsi="Palatino Linotype" w:cs="Tahoma"/>
          <w:bCs/>
          <w:iCs/>
        </w:rPr>
        <w:t xml:space="preserve"> aún de aquellas que quedaron c</w:t>
      </w:r>
      <w:r w:rsidR="008D4756" w:rsidRPr="00B13545">
        <w:rPr>
          <w:rFonts w:ascii="Palatino Linotype" w:hAnsi="Palatino Linotype" w:cs="Tahoma"/>
          <w:bCs/>
          <w:iCs/>
        </w:rPr>
        <w:t xml:space="preserve">omo </w:t>
      </w:r>
      <w:r w:rsidR="006C1067" w:rsidRPr="00B13545">
        <w:rPr>
          <w:rFonts w:ascii="Palatino Linotype" w:hAnsi="Palatino Linotype" w:cs="Tahoma"/>
          <w:bCs/>
          <w:iCs/>
        </w:rPr>
        <w:t xml:space="preserve">señaladas que cumplió de manera parcial por cuanto hace a las áreas que se pronunciaron en la respuesta; debiendo realizar </w:t>
      </w:r>
      <w:r w:rsidRPr="00B13545">
        <w:rPr>
          <w:rFonts w:ascii="Palatino Linotype" w:hAnsi="Palatino Linotype" w:cs="Tahoma"/>
          <w:bCs/>
          <w:iCs/>
        </w:rPr>
        <w:t>una búsqueda exhaustiva y razonable en los archivos de</w:t>
      </w:r>
      <w:r w:rsidR="006C1067" w:rsidRPr="00B13545">
        <w:rPr>
          <w:rFonts w:ascii="Palatino Linotype" w:hAnsi="Palatino Linotype" w:cs="Tahoma"/>
          <w:bCs/>
          <w:iCs/>
        </w:rPr>
        <w:t xml:space="preserve"> las diversas áreas de la Secretaría de Movilidad del Estado de México que pudieran tener competencia conforme a la normatividad descrita en el cuerpo de la presente resolución, de manera enunciativa más no limitativa, </w:t>
      </w:r>
      <w:r w:rsidR="008D4756" w:rsidRPr="00B13545">
        <w:rPr>
          <w:rFonts w:ascii="Palatino Linotype" w:hAnsi="Palatino Linotype" w:cs="Tahoma"/>
          <w:bCs/>
          <w:iCs/>
        </w:rPr>
        <w:t xml:space="preserve">donde </w:t>
      </w:r>
      <w:r w:rsidRPr="00B13545">
        <w:rPr>
          <w:rFonts w:ascii="Palatino Linotype" w:hAnsi="Palatino Linotype" w:cs="Tahoma"/>
          <w:bCs/>
          <w:iCs/>
        </w:rPr>
        <w:t xml:space="preserve">se considere </w:t>
      </w:r>
      <w:r w:rsidR="008D4756" w:rsidRPr="00B13545">
        <w:rPr>
          <w:rFonts w:ascii="Palatino Linotype" w:hAnsi="Palatino Linotype" w:cs="Tahoma"/>
          <w:bCs/>
          <w:iCs/>
        </w:rPr>
        <w:t xml:space="preserve">pueda encontrarse </w:t>
      </w:r>
      <w:r w:rsidRPr="00B13545">
        <w:rPr>
          <w:rFonts w:ascii="Palatino Linotype" w:hAnsi="Palatino Linotype" w:cs="Tahoma"/>
          <w:bCs/>
          <w:iCs/>
        </w:rPr>
        <w:t>la información solicitada, con el fin de dar cumplimiento a los artículos 12, 160 y 162 de la Ley de la materia</w:t>
      </w:r>
      <w:r w:rsidR="008D4756" w:rsidRPr="00B13545">
        <w:rPr>
          <w:rFonts w:ascii="Palatino Linotype" w:hAnsi="Palatino Linotype" w:cs="Tahoma"/>
          <w:bCs/>
          <w:iCs/>
        </w:rPr>
        <w:t xml:space="preserve"> y en caso de no contar con ella por no existir o haberse generado, bastará que lo haga del conocimiento del recurrente.</w:t>
      </w:r>
    </w:p>
    <w:p w14:paraId="4E5D8F99" w14:textId="77777777" w:rsidR="00FA5263" w:rsidRPr="00B13545" w:rsidRDefault="00FA5263" w:rsidP="00FA5263">
      <w:pPr>
        <w:pStyle w:val="Prrafodelista"/>
        <w:spacing w:line="360" w:lineRule="auto"/>
        <w:ind w:left="0"/>
        <w:jc w:val="both"/>
        <w:rPr>
          <w:rFonts w:ascii="Palatino Linotype" w:hAnsi="Palatino Linotype" w:cs="Tahoma"/>
          <w:bCs/>
          <w:iCs/>
        </w:rPr>
      </w:pPr>
    </w:p>
    <w:p w14:paraId="342C67B2" w14:textId="3CCCEB78" w:rsidR="00DA078E" w:rsidRPr="00B13545" w:rsidRDefault="00FA5263" w:rsidP="00DA078E">
      <w:pPr>
        <w:pStyle w:val="Prrafodelista"/>
        <w:numPr>
          <w:ilvl w:val="0"/>
          <w:numId w:val="2"/>
        </w:numPr>
        <w:spacing w:line="360" w:lineRule="auto"/>
        <w:ind w:left="0" w:firstLine="0"/>
        <w:jc w:val="both"/>
        <w:rPr>
          <w:rFonts w:ascii="Palatino Linotype" w:hAnsi="Palatino Linotype" w:cs="Tahoma"/>
        </w:rPr>
      </w:pPr>
      <w:r w:rsidRPr="00B13545">
        <w:rPr>
          <w:rFonts w:ascii="Palatino Linotype" w:hAnsi="Palatino Linotype" w:cs="Tahoma"/>
          <w:bCs/>
          <w:iCs/>
        </w:rPr>
        <w:t>Finalmente el lapso temporal del cual deberá versar la búsqueda de referencia deberá corresponde a la fecha en que ingreso la solicitud</w:t>
      </w:r>
      <w:r w:rsidR="00DA078E" w:rsidRPr="00B13545">
        <w:rPr>
          <w:rFonts w:ascii="Palatino Linotype" w:hAnsi="Palatino Linotype" w:cs="Tahoma"/>
          <w:bCs/>
          <w:iCs/>
        </w:rPr>
        <w:t>; derivado de la falta de temporalidad de la cual se requiere la información, con excepción de lo relativo a los d</w:t>
      </w:r>
      <w:r w:rsidR="00DA078E" w:rsidRPr="00B13545">
        <w:rPr>
          <w:rFonts w:ascii="Palatino Linotype" w:hAnsi="Palatino Linotype"/>
          <w:color w:val="000000"/>
        </w:rPr>
        <w:t xml:space="preserve">ocumentos donde conste o se advierta el número de concesiones otorgadas, en la modalidad </w:t>
      </w:r>
      <w:r w:rsidR="00DA078E" w:rsidRPr="00B13545">
        <w:rPr>
          <w:rFonts w:ascii="Palatino Linotype" w:eastAsia="Palatino Linotype" w:hAnsi="Palatino Linotype" w:cs="Palatino Linotype"/>
          <w:color w:val="000000"/>
        </w:rPr>
        <w:t xml:space="preserve">de transporte público </w:t>
      </w:r>
      <w:proofErr w:type="spellStart"/>
      <w:r w:rsidR="00DA078E" w:rsidRPr="00B13545">
        <w:rPr>
          <w:rFonts w:ascii="Palatino Linotype" w:eastAsia="Palatino Linotype" w:hAnsi="Palatino Linotype" w:cs="Palatino Linotype"/>
          <w:color w:val="000000"/>
        </w:rPr>
        <w:t>ecobicitaxi</w:t>
      </w:r>
      <w:proofErr w:type="spellEnd"/>
      <w:r w:rsidR="00DA078E" w:rsidRPr="00B13545">
        <w:rPr>
          <w:rFonts w:ascii="Palatino Linotype" w:eastAsia="Palatino Linotype" w:hAnsi="Palatino Linotype" w:cs="Palatino Linotype"/>
          <w:color w:val="000000"/>
        </w:rPr>
        <w:t xml:space="preserve"> (ecotaxi)</w:t>
      </w:r>
      <w:r w:rsidR="00DA078E" w:rsidRPr="00B13545">
        <w:rPr>
          <w:rFonts w:ascii="Palatino Linotype" w:eastAsia="Calibri" w:hAnsi="Palatino Linotype" w:cs="Tahoma"/>
          <w:color w:val="000000"/>
          <w:lang w:val="es-ES"/>
        </w:rPr>
        <w:t>, de la cual es menester precisar que deberá corresponde del año inmediato anterior a que se interpuso la solicitud de información por lo que</w:t>
      </w:r>
      <w:r w:rsidR="00DA078E" w:rsidRPr="00B13545">
        <w:rPr>
          <w:rFonts w:ascii="Palatino Linotype" w:hAnsi="Palatino Linotype" w:cs="Tahoma"/>
        </w:rPr>
        <w:t xml:space="preserve"> el sujeto Obligado deberá realizar la búsqueda en sus archivos por el periodo correspondiente a un año, contado a partir de la fecha de presentación de la solicitud, es decir, del 1 de abril de 2023 al 1 de abril de 2024; de conformidad con lo establecido en el Criterio orientador 9/13 del Instituto Nacional de Transparencia, Acceso a la Información y Protección de Datos Personales, el cual se reproduce a continuación:  </w:t>
      </w:r>
    </w:p>
    <w:p w14:paraId="2692F28E" w14:textId="77777777" w:rsidR="00DA078E" w:rsidRPr="00B13545" w:rsidRDefault="00DA078E" w:rsidP="00DA078E">
      <w:pPr>
        <w:pStyle w:val="Prrafodelista"/>
        <w:autoSpaceDE w:val="0"/>
        <w:autoSpaceDN w:val="0"/>
        <w:adjustRightInd w:val="0"/>
        <w:spacing w:line="360" w:lineRule="auto"/>
        <w:ind w:left="4754"/>
        <w:jc w:val="both"/>
        <w:rPr>
          <w:rFonts w:ascii="Palatino Linotype" w:hAnsi="Palatino Linotype" w:cs="Tahoma"/>
          <w:sz w:val="22"/>
          <w:szCs w:val="22"/>
        </w:rPr>
      </w:pPr>
    </w:p>
    <w:p w14:paraId="6E6FF1B9" w14:textId="77777777" w:rsidR="00DA078E" w:rsidRPr="00B13545" w:rsidRDefault="00DA078E" w:rsidP="00DA078E">
      <w:pPr>
        <w:pStyle w:val="Prrafodelista"/>
        <w:spacing w:line="360" w:lineRule="auto"/>
        <w:ind w:left="567" w:right="567"/>
        <w:jc w:val="both"/>
        <w:rPr>
          <w:rFonts w:ascii="Palatino Linotype" w:hAnsi="Palatino Linotype" w:cs="Tahoma"/>
          <w:i/>
        </w:rPr>
      </w:pPr>
      <w:r w:rsidRPr="00B13545">
        <w:rPr>
          <w:rFonts w:ascii="Palatino Linotype" w:hAnsi="Palatino Linotype" w:cs="Tahoma"/>
          <w:i/>
        </w:rPr>
        <w:t>“Periodo de búsqueda de la información, cuando no se precisa en la solicitud de información. El artículo 40, fracción II de la Ley Federal de Transparencia y Acceso a la Información Pública Gubernamental, señala que los particulares deberán describir en su solicitud de información, de forma clara y precisa, los documentos requeridos. En ese sentido, en el supuesto de que el particular no haya   señalado   el   periodo   sobre   el   que   requiere   la   información,   deberá interpretarse que su requerimiento se refiere al del año inmediato anterior contado a partir de la fecha en que se presentó la solicitud. Lo anterior permite que los sujetos obligados cuenten con mayores elementos para precisar y localizar la información solicitada.”</w:t>
      </w:r>
    </w:p>
    <w:p w14:paraId="579932A1" w14:textId="77777777" w:rsidR="00DA078E" w:rsidRPr="00B13545" w:rsidRDefault="00DA078E" w:rsidP="00DA078E">
      <w:pPr>
        <w:pStyle w:val="Prrafodelista"/>
        <w:autoSpaceDE w:val="0"/>
        <w:autoSpaceDN w:val="0"/>
        <w:adjustRightInd w:val="0"/>
        <w:spacing w:line="360" w:lineRule="auto"/>
        <w:ind w:left="4754"/>
        <w:jc w:val="both"/>
        <w:rPr>
          <w:rFonts w:ascii="Palatino Linotype" w:eastAsia="Calibri" w:hAnsi="Palatino Linotype" w:cs="Tahoma"/>
          <w:color w:val="000000"/>
          <w:sz w:val="22"/>
          <w:lang w:val="es-ES"/>
        </w:rPr>
      </w:pPr>
    </w:p>
    <w:p w14:paraId="0C48CF31" w14:textId="77777777" w:rsidR="00AB1CA3" w:rsidRPr="00B13545" w:rsidRDefault="00AB1CA3" w:rsidP="00AB1CA3">
      <w:pPr>
        <w:spacing w:line="360" w:lineRule="auto"/>
        <w:jc w:val="both"/>
        <w:rPr>
          <w:rFonts w:ascii="Palatino Linotype" w:hAnsi="Palatino Linotype" w:cs="Tahoma"/>
          <w:bCs/>
          <w:iCs/>
        </w:rPr>
      </w:pPr>
    </w:p>
    <w:p w14:paraId="24B8105B" w14:textId="672EDFB3" w:rsidR="00AB1CA3" w:rsidRPr="00B13545" w:rsidRDefault="00AB1CA3" w:rsidP="00AB1CA3">
      <w:pPr>
        <w:spacing w:line="360" w:lineRule="auto"/>
        <w:jc w:val="both"/>
        <w:rPr>
          <w:rFonts w:ascii="Palatino Linotype" w:hAnsi="Palatino Linotype" w:cs="Tahoma"/>
          <w:bCs/>
          <w:iCs/>
        </w:rPr>
      </w:pPr>
      <w:r w:rsidRPr="00B13545">
        <w:rPr>
          <w:rFonts w:ascii="Palatino Linotype" w:hAnsi="Palatino Linotype" w:cs="Tahoma"/>
          <w:b/>
          <w:iCs/>
        </w:rPr>
        <w:t>QUINTO</w:t>
      </w:r>
      <w:r w:rsidRPr="00B13545">
        <w:rPr>
          <w:rFonts w:ascii="Palatino Linotype" w:hAnsi="Palatino Linotype" w:cs="Tahoma"/>
          <w:bCs/>
          <w:iCs/>
        </w:rPr>
        <w:t>. De la versión pública.</w:t>
      </w:r>
    </w:p>
    <w:p w14:paraId="4458372B" w14:textId="77777777" w:rsidR="00AB1CA3" w:rsidRPr="00B13545" w:rsidRDefault="00AB1CA3" w:rsidP="00AB1CA3">
      <w:pPr>
        <w:pStyle w:val="Prrafodelista"/>
        <w:spacing w:line="360" w:lineRule="auto"/>
        <w:jc w:val="both"/>
        <w:rPr>
          <w:rFonts w:ascii="Palatino Linotype" w:hAnsi="Palatino Linotype" w:cs="Tahoma"/>
          <w:bCs/>
          <w:iCs/>
        </w:rPr>
      </w:pPr>
    </w:p>
    <w:p w14:paraId="3B74B97A" w14:textId="07494ABC" w:rsidR="00AB1CA3" w:rsidRPr="00B13545" w:rsidRDefault="00AB1CA3" w:rsidP="00AB1CA3">
      <w:pPr>
        <w:pStyle w:val="Prrafodelista"/>
        <w:spacing w:line="360" w:lineRule="auto"/>
        <w:ind w:left="0"/>
        <w:jc w:val="both"/>
        <w:rPr>
          <w:rFonts w:ascii="Palatino Linotype" w:hAnsi="Palatino Linotype" w:cs="Tahoma"/>
          <w:bCs/>
          <w:iCs/>
        </w:rPr>
      </w:pPr>
      <w:r w:rsidRPr="00B13545">
        <w:rPr>
          <w:rFonts w:ascii="Palatino Linotype" w:hAnsi="Palatino Linotype" w:cs="Tahoma"/>
          <w:bCs/>
          <w:iCs/>
        </w:rPr>
        <w:t>I.</w:t>
      </w:r>
      <w:r w:rsidRPr="00B13545">
        <w:rPr>
          <w:rFonts w:ascii="Palatino Linotype" w:hAnsi="Palatino Linotype" w:cs="Tahoma"/>
          <w:bCs/>
          <w:iCs/>
        </w:rPr>
        <w:tab/>
        <w:t>Nociones generales.</w:t>
      </w:r>
    </w:p>
    <w:p w14:paraId="76C27066" w14:textId="77777777" w:rsidR="00AB1CA3" w:rsidRPr="00B13545" w:rsidRDefault="00AB1CA3" w:rsidP="00AB1CA3">
      <w:pPr>
        <w:pStyle w:val="Prrafodelista"/>
        <w:spacing w:line="360" w:lineRule="auto"/>
        <w:ind w:left="0"/>
        <w:jc w:val="both"/>
        <w:rPr>
          <w:rFonts w:ascii="Palatino Linotype" w:hAnsi="Palatino Linotype" w:cs="Tahoma"/>
          <w:bCs/>
          <w:iCs/>
        </w:rPr>
      </w:pPr>
    </w:p>
    <w:p w14:paraId="45F5E2CC" w14:textId="77777777" w:rsidR="00AB1CA3" w:rsidRPr="00B13545" w:rsidRDefault="00AB1CA3" w:rsidP="00AB1CA3">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eastAsia="Palatino Linotype" w:hAnsi="Palatino Linotype" w:cs="Palatino Linotype"/>
          <w:color w:val="000000"/>
        </w:rPr>
        <w:t>Debe destacarse que, debido a la naturaleza de la información solicitada</w:t>
      </w:r>
      <w:r w:rsidRPr="00B13545">
        <w:rPr>
          <w:rFonts w:ascii="Palatino Linotype" w:eastAsia="Palatino Linotype" w:hAnsi="Palatino Linotype" w:cs="Palatino Linotype"/>
          <w:b/>
          <w:color w:val="000000"/>
        </w:rPr>
        <w:t xml:space="preserve">, </w:t>
      </w:r>
      <w:r w:rsidRPr="00B13545">
        <w:rPr>
          <w:rFonts w:ascii="Palatino Linotype" w:eastAsia="Palatino Linotype" w:hAnsi="Palatino Linotype" w:cs="Palatino Linotype"/>
          <w:color w:val="000000"/>
        </w:rPr>
        <w:t xml:space="preserve">eventualmente pudiera obrar datos personales susceptibles de protegerse, así como información susceptible de clasificarse como reservada, el </w:t>
      </w:r>
      <w:r w:rsidRPr="00B13545">
        <w:rPr>
          <w:rFonts w:ascii="Palatino Linotype" w:eastAsia="Palatino Linotype" w:hAnsi="Palatino Linotype" w:cs="Palatino Linotype"/>
          <w:b/>
          <w:color w:val="000000"/>
        </w:rPr>
        <w:t xml:space="preserve">SUJETO OBLIGADO </w:t>
      </w:r>
      <w:r w:rsidRPr="00B13545">
        <w:rPr>
          <w:rFonts w:ascii="Palatino Linotype" w:eastAsia="Palatino Linotype" w:hAnsi="Palatino Linotype" w:cs="Palatino Linotype"/>
          <w:color w:val="000000"/>
        </w:rPr>
        <w:t xml:space="preserve">deberá de hacer la adecuada versión pública, protegiendo los datos que no son susceptibles de ser proporcionados. </w:t>
      </w:r>
    </w:p>
    <w:p w14:paraId="7E2F1F0D" w14:textId="77777777" w:rsidR="00AB1CA3" w:rsidRPr="00B13545" w:rsidRDefault="00AB1CA3" w:rsidP="00AB1CA3">
      <w:pPr>
        <w:pStyle w:val="Prrafodelista"/>
        <w:spacing w:line="360" w:lineRule="auto"/>
        <w:ind w:left="0"/>
        <w:jc w:val="both"/>
        <w:rPr>
          <w:rFonts w:ascii="Palatino Linotype" w:hAnsi="Palatino Linotype" w:cs="Tahoma"/>
          <w:bCs/>
          <w:iCs/>
        </w:rPr>
      </w:pPr>
    </w:p>
    <w:p w14:paraId="4C0AC845" w14:textId="050A7B76" w:rsidR="00AB1CA3" w:rsidRPr="00B13545" w:rsidRDefault="00AB1CA3" w:rsidP="00AB1CA3">
      <w:pPr>
        <w:pStyle w:val="Prrafodelista"/>
        <w:numPr>
          <w:ilvl w:val="0"/>
          <w:numId w:val="2"/>
        </w:numPr>
        <w:spacing w:line="360" w:lineRule="auto"/>
        <w:ind w:left="0" w:firstLine="0"/>
        <w:jc w:val="both"/>
        <w:rPr>
          <w:rFonts w:ascii="Palatino Linotype" w:hAnsi="Palatino Linotype" w:cs="Tahoma"/>
          <w:bCs/>
          <w:iCs/>
        </w:rPr>
      </w:pPr>
      <w:r w:rsidRPr="00B13545">
        <w:rPr>
          <w:rFonts w:ascii="Palatino Linotype" w:eastAsia="Palatino Linotype" w:hAnsi="Palatino Linotype" w:cs="Palatino Linotype"/>
          <w:color w:val="000000"/>
        </w:rPr>
        <w:t xml:space="preserve">No pasa desapercibido para este Órgano Garante que los </w:t>
      </w:r>
      <w:r w:rsidRPr="00B13545">
        <w:rPr>
          <w:rFonts w:ascii="Palatino Linotype" w:eastAsia="Palatino Linotype" w:hAnsi="Palatino Linotype" w:cs="Palatino Linotype"/>
          <w:b/>
          <w:color w:val="000000"/>
        </w:rPr>
        <w:t xml:space="preserve">Sujetos Obligados </w:t>
      </w:r>
      <w:r w:rsidRPr="00B13545">
        <w:rPr>
          <w:rFonts w:ascii="Palatino Linotype" w:eastAsia="Palatino Linotype" w:hAnsi="Palatino Linotype" w:cs="Palatino Linotype"/>
          <w:color w:val="000000"/>
        </w:rPr>
        <w:t xml:space="preserve">serán responsables de los datos personales en su posesión y que, en caso de localizarse </w:t>
      </w:r>
      <w:r w:rsidRPr="00B13545">
        <w:rPr>
          <w:rFonts w:ascii="Palatino Linotype" w:eastAsia="Palatino Linotype" w:hAnsi="Palatino Linotype" w:cs="Palatino Linotype"/>
          <w:color w:val="000000"/>
        </w:rPr>
        <w:lastRenderedPageBreak/>
        <w:t>datos concernientes a terceros, éstos no podrán difundir, distribuir o comercializar los datos personales.  Cabe destacar que, para la realización de la clasificación de la información, se deben seguir una serie de pasos y procedimientos, por lo que es menester reiterar los mismos:</w:t>
      </w:r>
    </w:p>
    <w:p w14:paraId="54B1E784" w14:textId="77777777" w:rsidR="00AB1CA3" w:rsidRPr="00B13545" w:rsidRDefault="00AB1CA3" w:rsidP="00AB1CA3">
      <w:pPr>
        <w:tabs>
          <w:tab w:val="left" w:pos="284"/>
        </w:tabs>
        <w:spacing w:line="360" w:lineRule="auto"/>
        <w:ind w:right="49"/>
        <w:jc w:val="both"/>
        <w:rPr>
          <w:rFonts w:ascii="Palatino Linotype" w:eastAsia="Palatino Linotype" w:hAnsi="Palatino Linotype" w:cs="Palatino Linotype"/>
          <w:color w:val="000000"/>
        </w:rPr>
      </w:pPr>
    </w:p>
    <w:tbl>
      <w:tblPr>
        <w:tblW w:w="8835"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9"/>
        <w:gridCol w:w="6996"/>
      </w:tblGrid>
      <w:tr w:rsidR="00AB1CA3" w:rsidRPr="00B13545" w14:paraId="310A7EEA" w14:textId="77777777" w:rsidTr="00AB1CA3">
        <w:tc>
          <w:tcPr>
            <w:tcW w:w="1838" w:type="dxa"/>
            <w:tcBorders>
              <w:top w:val="single" w:sz="4" w:space="0" w:color="000000"/>
              <w:left w:val="single" w:sz="4" w:space="0" w:color="000000"/>
              <w:bottom w:val="single" w:sz="4" w:space="0" w:color="000000"/>
              <w:right w:val="single" w:sz="4" w:space="0" w:color="000000"/>
            </w:tcBorders>
            <w:hideMark/>
          </w:tcPr>
          <w:p w14:paraId="480B94BC" w14:textId="77777777" w:rsidR="00AB1CA3" w:rsidRPr="00B13545" w:rsidRDefault="00AB1CA3">
            <w:pPr>
              <w:tabs>
                <w:tab w:val="left" w:pos="284"/>
              </w:tabs>
              <w:spacing w:line="256" w:lineRule="auto"/>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a) Requisitos previos.</w:t>
            </w:r>
          </w:p>
        </w:tc>
        <w:tc>
          <w:tcPr>
            <w:tcW w:w="6990" w:type="dxa"/>
            <w:tcBorders>
              <w:top w:val="single" w:sz="4" w:space="0" w:color="000000"/>
              <w:left w:val="single" w:sz="4" w:space="0" w:color="000000"/>
              <w:bottom w:val="single" w:sz="4" w:space="0" w:color="000000"/>
              <w:right w:val="single" w:sz="4" w:space="0" w:color="000000"/>
            </w:tcBorders>
            <w:hideMark/>
          </w:tcPr>
          <w:p w14:paraId="7F55CBB5"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Los artículos 100 y 122 de la Ley Estatal y de la Ley General, respectivamente, señalan que si los Sujetos Obligados determinan que la información actualiza alguno de los supuestos de clasificación, es deber de los titulares de las áreas proponer su clasificación y no del Comité de Transparencia. </w:t>
            </w:r>
          </w:p>
          <w:p w14:paraId="1974CFAC"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Al hacerlo tienen que precisar de qué información se trata, señalando el supuesto de clasificación (confidencialidad o reserva).</w:t>
            </w:r>
          </w:p>
          <w:p w14:paraId="314FC922"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Además, se debe señalar el procedimiento, de los tres que establecen los artículos 132 y 106 de la Ley Estatal y General, respectivamente.</w:t>
            </w:r>
          </w:p>
          <w:p w14:paraId="5CE3FA69" w14:textId="77777777" w:rsidR="00AB1CA3" w:rsidRPr="00B13545" w:rsidRDefault="00AB1CA3">
            <w:pPr>
              <w:tabs>
                <w:tab w:val="left" w:pos="284"/>
              </w:tabs>
              <w:spacing w:line="256" w:lineRule="auto"/>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El último de estos requisitos previos consiste en que no se pueden emitir acuerdos de carácter general ni particular, esto es, </w:t>
            </w:r>
            <w:r w:rsidRPr="00B13545">
              <w:rPr>
                <w:rFonts w:ascii="Palatino Linotype" w:eastAsia="Palatino Linotype" w:hAnsi="Palatino Linotype" w:cs="Palatino Linotype"/>
                <w:u w:val="single"/>
                <w:lang w:eastAsia="en-US"/>
              </w:rPr>
              <w:t>no se puede hacer un acuerdo para clasificar de manera general todos los documentos de un expediente o área, sin</w:t>
            </w:r>
            <w:r w:rsidRPr="00B13545">
              <w:rPr>
                <w:rFonts w:ascii="Palatino Linotype" w:eastAsia="Palatino Linotype" w:hAnsi="Palatino Linotype" w:cs="Palatino Linotype"/>
                <w:lang w:eastAsia="en-US"/>
              </w:rPr>
              <w:t xml:space="preserve"> individualizar su análisis y tampoco se puede hacer un acuerdo por cada dato que se vaya a clasificar dentro de un documento con diez datos, por ejemplo, susceptibles de ser clasificados.</w:t>
            </w:r>
          </w:p>
        </w:tc>
      </w:tr>
      <w:tr w:rsidR="00AB1CA3" w:rsidRPr="00B13545" w14:paraId="0A25AC91" w14:textId="77777777" w:rsidTr="00AB1CA3">
        <w:tc>
          <w:tcPr>
            <w:tcW w:w="1838" w:type="dxa"/>
            <w:tcBorders>
              <w:top w:val="single" w:sz="4" w:space="0" w:color="000000"/>
              <w:left w:val="single" w:sz="4" w:space="0" w:color="000000"/>
              <w:bottom w:val="single" w:sz="4" w:space="0" w:color="000000"/>
              <w:right w:val="single" w:sz="4" w:space="0" w:color="000000"/>
            </w:tcBorders>
            <w:hideMark/>
          </w:tcPr>
          <w:p w14:paraId="7AB398A4" w14:textId="77777777" w:rsidR="00AB1CA3" w:rsidRPr="00B13545" w:rsidRDefault="00AB1CA3">
            <w:pPr>
              <w:tabs>
                <w:tab w:val="left" w:pos="284"/>
              </w:tabs>
              <w:spacing w:line="256" w:lineRule="auto"/>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b) Supuestos de clasificación.</w:t>
            </w:r>
          </w:p>
        </w:tc>
        <w:tc>
          <w:tcPr>
            <w:tcW w:w="6990" w:type="dxa"/>
            <w:tcBorders>
              <w:top w:val="single" w:sz="4" w:space="0" w:color="000000"/>
              <w:left w:val="single" w:sz="4" w:space="0" w:color="000000"/>
              <w:bottom w:val="single" w:sz="4" w:space="0" w:color="000000"/>
              <w:right w:val="single" w:sz="4" w:space="0" w:color="000000"/>
            </w:tcBorders>
            <w:hideMark/>
          </w:tcPr>
          <w:p w14:paraId="56F3D046"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Las disposiciones constitucionales y legales en la materia establecen los dos supuestos generales para clasificar la información: por reserva y por confidencialidad.</w:t>
            </w:r>
          </w:p>
          <w:p w14:paraId="628A01A4"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Los artículos 116 y 143 de la Ley Estatal y de la Ley General, respectivamente, señalan los supuestos para que la información pueda ser clasificada como confidencial. Mientras que los artículos 105 y 130 de la Ley Estatal y de la Ley General, respectivamente, señalan que la aplicación de estos supuestos </w:t>
            </w:r>
            <w:r w:rsidRPr="00B13545">
              <w:rPr>
                <w:rFonts w:ascii="Palatino Linotype" w:eastAsia="Palatino Linotype" w:hAnsi="Palatino Linotype" w:cs="Palatino Linotype"/>
                <w:lang w:eastAsia="en-US"/>
              </w:rPr>
              <w:lastRenderedPageBreak/>
              <w:t>debe realizarse de manera restrictiva y limitada, por lo que debe acreditarse que se cumple con esta condición y no se pueden ampliar las excepciones o supuestos de clasificación aduciendo analogía o mayoría de razón.</w:t>
            </w:r>
          </w:p>
          <w:p w14:paraId="636DE637" w14:textId="77777777" w:rsidR="00AB1CA3" w:rsidRPr="00B13545" w:rsidRDefault="00AB1CA3">
            <w:pPr>
              <w:tabs>
                <w:tab w:val="left" w:pos="284"/>
              </w:tabs>
              <w:spacing w:line="256" w:lineRule="auto"/>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El </w:t>
            </w:r>
            <w:r w:rsidRPr="00B13545">
              <w:rPr>
                <w:rFonts w:ascii="Palatino Linotype" w:eastAsia="Palatino Linotype" w:hAnsi="Palatino Linotype" w:cs="Palatino Linotype"/>
                <w:b/>
                <w:lang w:eastAsia="en-US"/>
              </w:rPr>
              <w:t>Sujeto Obligado</w:t>
            </w:r>
            <w:r w:rsidRPr="00B13545">
              <w:rPr>
                <w:rFonts w:ascii="Palatino Linotype" w:eastAsia="Palatino Linotype" w:hAnsi="Palatino Linotype" w:cs="Palatino Linotype"/>
                <w:lang w:eastAsia="en-US"/>
              </w:rPr>
              <w:t xml:space="preserve"> debe identificar claramente el tipo de información y hacer un juicio de subsunción o encaje para acreditar que el supuesto de hecho corresponde estrictamente con la hipótesis jurídica. Esto también lo debe de realizar el servidor público habilitado y el titular del área que administra la información.</w:t>
            </w:r>
          </w:p>
        </w:tc>
      </w:tr>
      <w:tr w:rsidR="00AB1CA3" w:rsidRPr="00B13545" w14:paraId="62AC35FF" w14:textId="77777777" w:rsidTr="00AB1CA3">
        <w:tc>
          <w:tcPr>
            <w:tcW w:w="1838" w:type="dxa"/>
            <w:tcBorders>
              <w:top w:val="single" w:sz="4" w:space="0" w:color="000000"/>
              <w:left w:val="single" w:sz="4" w:space="0" w:color="000000"/>
              <w:bottom w:val="single" w:sz="4" w:space="0" w:color="000000"/>
              <w:right w:val="single" w:sz="4" w:space="0" w:color="000000"/>
            </w:tcBorders>
            <w:hideMark/>
          </w:tcPr>
          <w:p w14:paraId="6259EF52" w14:textId="77777777" w:rsidR="00AB1CA3" w:rsidRPr="00B13545" w:rsidRDefault="00AB1CA3">
            <w:pPr>
              <w:tabs>
                <w:tab w:val="left" w:pos="284"/>
              </w:tabs>
              <w:spacing w:line="256" w:lineRule="auto"/>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lastRenderedPageBreak/>
              <w:t>c) Formalidades para emitir el acuerdo de clasificación.</w:t>
            </w:r>
          </w:p>
        </w:tc>
        <w:tc>
          <w:tcPr>
            <w:tcW w:w="6990" w:type="dxa"/>
            <w:tcBorders>
              <w:top w:val="single" w:sz="4" w:space="0" w:color="000000"/>
              <w:left w:val="single" w:sz="4" w:space="0" w:color="000000"/>
              <w:bottom w:val="single" w:sz="4" w:space="0" w:color="000000"/>
              <w:right w:val="single" w:sz="4" w:space="0" w:color="000000"/>
            </w:tcBorders>
            <w:hideMark/>
          </w:tcPr>
          <w:p w14:paraId="2F3F02EB"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El Comité de Transparencia, según lo dispuesto en los artículos cuenta con las facultades para aprobar, modificar o revocar la clasificación de la información que haya propuesto. </w:t>
            </w:r>
          </w:p>
          <w:p w14:paraId="1F5FBAF4"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Es necesario que </w:t>
            </w:r>
            <w:r w:rsidRPr="00B13545">
              <w:rPr>
                <w:rFonts w:ascii="Palatino Linotype" w:eastAsia="Palatino Linotype" w:hAnsi="Palatino Linotype" w:cs="Palatino Linotype"/>
                <w:b/>
                <w:u w:val="single"/>
                <w:lang w:eastAsia="en-US"/>
              </w:rPr>
              <w:t>el acto reúna con los requisitos elementales</w:t>
            </w:r>
            <w:r w:rsidRPr="00B13545">
              <w:rPr>
                <w:rFonts w:ascii="Palatino Linotype" w:eastAsia="Palatino Linotype" w:hAnsi="Palatino Linotype" w:cs="Palatino Linotype"/>
                <w:lang w:eastAsia="en-US"/>
              </w:rPr>
              <w:t>, entre ellos, que la autoridad que va a emitir el acto de autoridad sea la legalmente facultada para ello.</w:t>
            </w:r>
          </w:p>
          <w:p w14:paraId="3693E45B" w14:textId="77777777" w:rsidR="00AB1CA3" w:rsidRPr="00B13545" w:rsidRDefault="00AB1CA3">
            <w:pPr>
              <w:tabs>
                <w:tab w:val="left" w:pos="284"/>
              </w:tabs>
              <w:spacing w:line="256" w:lineRule="auto"/>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La decisión de aprobar, modificar o revocar la clasificación deberá de asentarse en un documento que registre la determinación a la que se llegue después de un análisis minucioso a partir de lo propuesto por el Titular del I. área que administra la información, cuyo análisis debe integrarse en la agenda de los asuntos a tratar en las sesiones, se insiste, a partir de las decisiones adoptadas previamente por los titulares de áreas y que son sujetas a control, en primera instancia, por el Comité de Transparencia.</w:t>
            </w:r>
          </w:p>
        </w:tc>
      </w:tr>
      <w:tr w:rsidR="00AB1CA3" w:rsidRPr="00B13545" w14:paraId="305B73A7" w14:textId="77777777" w:rsidTr="00AB1CA3">
        <w:tc>
          <w:tcPr>
            <w:tcW w:w="1838" w:type="dxa"/>
            <w:tcBorders>
              <w:top w:val="single" w:sz="4" w:space="0" w:color="000000"/>
              <w:left w:val="single" w:sz="4" w:space="0" w:color="000000"/>
              <w:bottom w:val="single" w:sz="4" w:space="0" w:color="000000"/>
              <w:right w:val="single" w:sz="4" w:space="0" w:color="000000"/>
            </w:tcBorders>
          </w:tcPr>
          <w:p w14:paraId="03A067A9" w14:textId="77777777" w:rsidR="00AB1CA3" w:rsidRPr="00B13545" w:rsidRDefault="00AB1CA3">
            <w:pPr>
              <w:tabs>
                <w:tab w:val="left" w:pos="284"/>
              </w:tabs>
              <w:spacing w:line="256" w:lineRule="auto"/>
              <w:rPr>
                <w:rFonts w:ascii="Palatino Linotype" w:eastAsia="Palatino Linotype" w:hAnsi="Palatino Linotype" w:cs="Palatino Linotype"/>
                <w:lang w:eastAsia="en-US"/>
              </w:rPr>
            </w:pPr>
          </w:p>
          <w:p w14:paraId="3BB560B6" w14:textId="77777777" w:rsidR="00AB1CA3" w:rsidRPr="00B13545" w:rsidRDefault="00AB1CA3">
            <w:pPr>
              <w:tabs>
                <w:tab w:val="left" w:pos="284"/>
              </w:tabs>
              <w:spacing w:line="256" w:lineRule="auto"/>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d) Requisitos de fondo del acuerdo de clasificación. </w:t>
            </w:r>
          </w:p>
        </w:tc>
        <w:tc>
          <w:tcPr>
            <w:tcW w:w="6990" w:type="dxa"/>
            <w:tcBorders>
              <w:top w:val="single" w:sz="4" w:space="0" w:color="000000"/>
              <w:left w:val="single" w:sz="4" w:space="0" w:color="000000"/>
              <w:bottom w:val="single" w:sz="4" w:space="0" w:color="000000"/>
              <w:right w:val="single" w:sz="4" w:space="0" w:color="000000"/>
            </w:tcBorders>
            <w:hideMark/>
          </w:tcPr>
          <w:p w14:paraId="384C074D"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Como se ha señalado antes, al hacer el juicio de subsunción o encaje entre el supuesto de hecho y la hipótesis jurídica, se debe acreditar la estricta correspondencia entre un elemento y otro. Ahora, en esta parte del procedimiento, que se desahoga en sede del Comité de Transparencia, la ley señala que la carga de la prueba, para justificar las restricciones, corresponde a los </w:t>
            </w:r>
            <w:r w:rsidRPr="00B13545">
              <w:rPr>
                <w:rFonts w:ascii="Palatino Linotype" w:eastAsia="Palatino Linotype" w:hAnsi="Palatino Linotype" w:cs="Palatino Linotype"/>
                <w:b/>
                <w:lang w:eastAsia="en-US"/>
              </w:rPr>
              <w:t>Sujetos Obligados</w:t>
            </w:r>
            <w:r w:rsidRPr="00B13545">
              <w:rPr>
                <w:rFonts w:ascii="Palatino Linotype" w:eastAsia="Palatino Linotype" w:hAnsi="Palatino Linotype" w:cs="Palatino Linotype"/>
                <w:lang w:eastAsia="en-US"/>
              </w:rPr>
              <w:t xml:space="preserve">, por lo que deberán fundar y motivar debidamente la clasificación. </w:t>
            </w:r>
          </w:p>
          <w:p w14:paraId="57C0DF00"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lastRenderedPageBreak/>
              <w:t xml:space="preserve">De lo anterior, se desprende que para una correcta </w:t>
            </w:r>
            <w:r w:rsidRPr="00B13545">
              <w:rPr>
                <w:rFonts w:ascii="Palatino Linotype" w:eastAsia="Palatino Linotype" w:hAnsi="Palatino Linotype" w:cs="Palatino Linotype"/>
                <w:b/>
                <w:lang w:eastAsia="en-US"/>
              </w:rPr>
              <w:t>clasificación total o parcial</w:t>
            </w:r>
            <w:r w:rsidRPr="00B13545">
              <w:rPr>
                <w:rFonts w:ascii="Palatino Linotype" w:eastAsia="Palatino Linotype" w:hAnsi="Palatino Linotype" w:cs="Palatino Linotype"/>
                <w:lang w:eastAsia="en-US"/>
              </w:rPr>
              <w:t>, esto es determinar los datos que se suprimen en las versiones públicas, es necesario fundar y motivar, de manera correcta, la clasificación; considerando que todo acto que la autoridad pronuncie en el ejercicio de sus atribuciones, debe expresar los fundamentos legales que le dieron origen y las razones por las que se deben aplicar al caso concreto.</w:t>
            </w:r>
          </w:p>
          <w:p w14:paraId="1D37EE86"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Así, en un acto de autoridad se cumple con la debida fundamentación cuando se cita el precepto legal aplicable al caso concreto y la debida motivación cuando se expresan las razones, motivos o circunstancias que tomó en cuenta la autoridad para adecuar el hecho a los fundamentos de derecho. De este modo, la persona que se sienta afectada pueda impugnar la decisión, permitiéndole una real y auténtica defensa.</w:t>
            </w:r>
          </w:p>
          <w:p w14:paraId="05C65743"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En ese mismo sentido, el numeral trigésimo tercero fracción V de los Lineamientos Generales, precisa que para motivar la clasificación se deben acreditar las circunstancias de tiempo, modo y lugar.</w:t>
            </w:r>
          </w:p>
          <w:p w14:paraId="250E4AE2"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Ahora bien, </w:t>
            </w:r>
            <w:r w:rsidRPr="00B13545">
              <w:rPr>
                <w:rFonts w:ascii="Palatino Linotype" w:eastAsia="Palatino Linotype" w:hAnsi="Palatino Linotype" w:cs="Palatino Linotype"/>
                <w:b/>
                <w:u w:val="single"/>
                <w:lang w:eastAsia="en-US"/>
              </w:rPr>
              <w:t>para cada caso además de fundar y motivar</w:t>
            </w:r>
            <w:r w:rsidRPr="00B13545">
              <w:rPr>
                <w:rFonts w:ascii="Palatino Linotype" w:eastAsia="Palatino Linotype" w:hAnsi="Palatino Linotype" w:cs="Palatino Linotype"/>
                <w:lang w:eastAsia="en-US"/>
              </w:rPr>
              <w:t>, se debe identificar con claridad que datos contenidos en las documentales que son susceptibles de suprimirse, por ejemplo; Clave Única de Registro de Población (CURP), Registro Federal de Contribuyentes (R.F.C.), claves de seguros, préstamos o descuentos personales, secretos bancario, fiduciario, industrial, comercial, fiscal, bursátil y postal, cuya titularidad corresponda a particulares, entre otros.</w:t>
            </w:r>
          </w:p>
        </w:tc>
      </w:tr>
      <w:tr w:rsidR="00AB1CA3" w:rsidRPr="00B13545" w14:paraId="35E4E7ED" w14:textId="77777777" w:rsidTr="00AB1CA3">
        <w:tc>
          <w:tcPr>
            <w:tcW w:w="1838" w:type="dxa"/>
            <w:tcBorders>
              <w:top w:val="single" w:sz="4" w:space="0" w:color="000000"/>
              <w:left w:val="single" w:sz="4" w:space="0" w:color="000000"/>
              <w:bottom w:val="single" w:sz="4" w:space="0" w:color="000000"/>
              <w:right w:val="single" w:sz="4" w:space="0" w:color="000000"/>
            </w:tcBorders>
            <w:hideMark/>
          </w:tcPr>
          <w:p w14:paraId="3F70A64F"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lastRenderedPageBreak/>
              <w:t xml:space="preserve">e) Condiciones especiales de la clasificación de la información como confidencial. </w:t>
            </w:r>
          </w:p>
        </w:tc>
        <w:tc>
          <w:tcPr>
            <w:tcW w:w="6990" w:type="dxa"/>
            <w:tcBorders>
              <w:top w:val="single" w:sz="4" w:space="0" w:color="000000"/>
              <w:left w:val="single" w:sz="4" w:space="0" w:color="000000"/>
              <w:bottom w:val="single" w:sz="4" w:space="0" w:color="000000"/>
              <w:right w:val="single" w:sz="4" w:space="0" w:color="000000"/>
            </w:tcBorders>
            <w:hideMark/>
          </w:tcPr>
          <w:p w14:paraId="5FA8F9F7"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Los artículos 148 y 120 de la Ley Estatal y de la Ley General, respectivamente, establecen que aun tratándose de datos personales, se podrán proporcionar, incluso sin solicitar el consentimiento de su titular. </w:t>
            </w:r>
          </w:p>
          <w:p w14:paraId="708A6DB1" w14:textId="77777777" w:rsidR="00AB1CA3" w:rsidRPr="00B13545" w:rsidRDefault="00AB1CA3">
            <w:pPr>
              <w:tabs>
                <w:tab w:val="left" w:pos="284"/>
              </w:tabs>
              <w:spacing w:line="256" w:lineRule="auto"/>
              <w:ind w:right="49"/>
              <w:jc w:val="both"/>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 xml:space="preserve">En el caso de lo señalado en la fracción IV, será el Instituto quien deba aplicar la prueba de interés público, considerando también que como recientemente ha discutido la Suprema Corte de </w:t>
            </w:r>
            <w:r w:rsidRPr="00B13545">
              <w:rPr>
                <w:rFonts w:ascii="Palatino Linotype" w:eastAsia="Palatino Linotype" w:hAnsi="Palatino Linotype" w:cs="Palatino Linotype"/>
                <w:lang w:eastAsia="en-US"/>
              </w:rPr>
              <w:lastRenderedPageBreak/>
              <w:t xml:space="preserve">Justicia de la Nación, los servidores públicos nos encontramos sujetos a un régimen menor de protección. </w:t>
            </w:r>
          </w:p>
          <w:p w14:paraId="099F0DE6" w14:textId="77777777" w:rsidR="00AB1CA3" w:rsidRPr="00B13545" w:rsidRDefault="00AB1CA3">
            <w:pPr>
              <w:tabs>
                <w:tab w:val="left" w:pos="284"/>
              </w:tabs>
              <w:spacing w:line="256" w:lineRule="auto"/>
              <w:rPr>
                <w:rFonts w:ascii="Palatino Linotype" w:eastAsia="Palatino Linotype" w:hAnsi="Palatino Linotype" w:cs="Palatino Linotype"/>
                <w:lang w:eastAsia="en-US"/>
              </w:rPr>
            </w:pPr>
            <w:r w:rsidRPr="00B13545">
              <w:rPr>
                <w:rFonts w:ascii="Palatino Linotype" w:eastAsia="Palatino Linotype" w:hAnsi="Palatino Linotype" w:cs="Palatino Linotype"/>
                <w:lang w:eastAsia="en-US"/>
              </w:rPr>
              <w:t>Pero si la información que se pretende clasificar como confidencial no se encuentra en los supuestos de los artículos señalados y es posible, se deberá consultar al titular de los datos si permite o no el acceso. De no ser posible, la realización de la consulta, procede, fundando y motivando, la clasificación.</w:t>
            </w:r>
          </w:p>
        </w:tc>
      </w:tr>
    </w:tbl>
    <w:p w14:paraId="125E65C0" w14:textId="77777777" w:rsidR="00AB1CA3" w:rsidRPr="00B13545" w:rsidRDefault="00AB1CA3" w:rsidP="00AB1CA3">
      <w:pPr>
        <w:pStyle w:val="Prrafodelista"/>
        <w:spacing w:line="360" w:lineRule="auto"/>
        <w:ind w:left="0"/>
        <w:jc w:val="both"/>
        <w:rPr>
          <w:rFonts w:ascii="Palatino Linotype" w:hAnsi="Palatino Linotype" w:cs="Tahoma"/>
          <w:bCs/>
          <w:iCs/>
        </w:rPr>
      </w:pPr>
    </w:p>
    <w:p w14:paraId="706048CE" w14:textId="2DD3908D" w:rsidR="00AB1CA3" w:rsidRPr="00B13545" w:rsidRDefault="0026362F" w:rsidP="00AB1CA3">
      <w:pPr>
        <w:spacing w:line="360" w:lineRule="auto"/>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b/>
        </w:rPr>
        <w:t>62</w:t>
      </w:r>
      <w:r w:rsidR="00AB1CA3" w:rsidRPr="00B13545">
        <w:rPr>
          <w:rFonts w:ascii="Palatino Linotype" w:eastAsia="Palatino Linotype" w:hAnsi="Palatino Linotype" w:cs="Palatino Linotype"/>
          <w:b/>
        </w:rPr>
        <w:t>.</w:t>
      </w:r>
      <w:r w:rsidR="00AB1CA3" w:rsidRPr="00B13545">
        <w:rPr>
          <w:rFonts w:ascii="Palatino Linotype" w:eastAsia="Palatino Linotype" w:hAnsi="Palatino Linotype" w:cs="Palatino Linotype"/>
        </w:rPr>
        <w:t xml:space="preserve"> Por lo anteriormente expuesto, este Órgano Garante considera fundadas las razones o motivos de inconformidad que plantea el</w:t>
      </w:r>
      <w:r w:rsidR="00AB1CA3" w:rsidRPr="00B13545">
        <w:rPr>
          <w:rFonts w:ascii="Palatino Linotype" w:eastAsia="Palatino Linotype" w:hAnsi="Palatino Linotype" w:cs="Palatino Linotype"/>
          <w:b/>
        </w:rPr>
        <w:t xml:space="preserve"> RECURRENTE</w:t>
      </w:r>
      <w:r w:rsidR="00AB1CA3" w:rsidRPr="00B13545">
        <w:rPr>
          <w:rFonts w:ascii="Palatino Linotype" w:eastAsia="Palatino Linotype" w:hAnsi="Palatino Linotype" w:cs="Palatino Linotype"/>
        </w:rPr>
        <w:t xml:space="preserve">, determinando </w:t>
      </w:r>
      <w:r w:rsidR="00AB1CA3" w:rsidRPr="00B13545">
        <w:rPr>
          <w:rFonts w:ascii="Palatino Linotype" w:eastAsia="Palatino Linotype" w:hAnsi="Palatino Linotype" w:cs="Palatino Linotype"/>
          <w:b/>
        </w:rPr>
        <w:t xml:space="preserve">MODIFICAR </w:t>
      </w:r>
      <w:r w:rsidR="00AB1CA3" w:rsidRPr="00B13545">
        <w:rPr>
          <w:rFonts w:ascii="Palatino Linotype" w:eastAsia="Palatino Linotype" w:hAnsi="Palatino Linotype" w:cs="Palatino Linotype"/>
        </w:rPr>
        <w:t xml:space="preserve">la respuesta del </w:t>
      </w:r>
      <w:r w:rsidR="00AB1CA3" w:rsidRPr="00B13545">
        <w:rPr>
          <w:rFonts w:ascii="Palatino Linotype" w:eastAsia="Palatino Linotype" w:hAnsi="Palatino Linotype" w:cs="Palatino Linotype"/>
          <w:b/>
        </w:rPr>
        <w:t>SUJETO OBLIGADO</w:t>
      </w:r>
      <w:r w:rsidR="00AB1CA3" w:rsidRPr="00B13545">
        <w:rPr>
          <w:rFonts w:ascii="Palatino Linotype" w:eastAsia="Palatino Linotype" w:hAnsi="Palatino Linotype" w:cs="Palatino Linotype"/>
        </w:rPr>
        <w:t xml:space="preserve">, por lo que con fundamento en lo prescrito en los artículos 5 párrafos vigésimo noveno, trigésimo y trigésimo primero fracciones IV y V de la Constitución Política del Estado Libre y Soberano de México; 2, fracción II; 29, 36 fracciones I y II; 176, 178, 181, 185 de la Ley de Transparencia y Acceso a la Información Pública del Estado de México y Municipios, </w:t>
      </w:r>
      <w:r w:rsidR="00AB1CA3" w:rsidRPr="00B13545">
        <w:rPr>
          <w:rFonts w:ascii="Palatino Linotype" w:eastAsia="Palatino Linotype" w:hAnsi="Palatino Linotype" w:cs="Palatino Linotype"/>
          <w:color w:val="000000"/>
        </w:rPr>
        <w:t xml:space="preserve">este </w:t>
      </w:r>
      <w:r w:rsidR="00AB1CA3" w:rsidRPr="00B13545">
        <w:rPr>
          <w:rFonts w:ascii="Palatino Linotype" w:eastAsia="Palatino Linotype" w:hAnsi="Palatino Linotype" w:cs="Palatino Linotype"/>
          <w:b/>
          <w:color w:val="000000"/>
        </w:rPr>
        <w:t>ÓRGANO GARANTE</w:t>
      </w:r>
      <w:r w:rsidR="00AB1CA3" w:rsidRPr="00B13545">
        <w:rPr>
          <w:rFonts w:ascii="Palatino Linotype" w:eastAsia="Palatino Linotype" w:hAnsi="Palatino Linotype" w:cs="Palatino Linotype"/>
          <w:color w:val="000000"/>
        </w:rPr>
        <w:t xml:space="preserve"> emite los siguientes.</w:t>
      </w:r>
    </w:p>
    <w:p w14:paraId="0149D0E4" w14:textId="77777777" w:rsidR="00AB1CA3" w:rsidRPr="00B13545" w:rsidRDefault="00AB1CA3" w:rsidP="00AB1CA3">
      <w:pPr>
        <w:spacing w:line="360" w:lineRule="auto"/>
        <w:jc w:val="both"/>
        <w:rPr>
          <w:rFonts w:ascii="Palatino Linotype" w:eastAsia="Palatino Linotype" w:hAnsi="Palatino Linotype" w:cs="Palatino Linotype"/>
          <w:color w:val="000000"/>
        </w:rPr>
      </w:pPr>
    </w:p>
    <w:p w14:paraId="37862052" w14:textId="77777777" w:rsidR="00A84431" w:rsidRPr="00B13545" w:rsidRDefault="00A84431" w:rsidP="00A84431">
      <w:pPr>
        <w:pStyle w:val="Prrafodelista"/>
        <w:spacing w:line="360" w:lineRule="auto"/>
        <w:ind w:left="0"/>
        <w:jc w:val="center"/>
        <w:rPr>
          <w:rFonts w:ascii="Palatino Linotype" w:eastAsia="Palatino Linotype" w:hAnsi="Palatino Linotype" w:cs="Palatino Linotype"/>
          <w:b/>
        </w:rPr>
      </w:pPr>
      <w:r w:rsidRPr="00B13545">
        <w:rPr>
          <w:rFonts w:ascii="Palatino Linotype" w:eastAsia="Palatino Linotype" w:hAnsi="Palatino Linotype" w:cs="Palatino Linotype"/>
          <w:b/>
        </w:rPr>
        <w:t>R E S O L U T I V O S</w:t>
      </w:r>
    </w:p>
    <w:p w14:paraId="2F92B073" w14:textId="77777777" w:rsidR="00A84431" w:rsidRPr="00B13545" w:rsidRDefault="00A84431" w:rsidP="00A84431">
      <w:pPr>
        <w:pStyle w:val="Prrafodelista"/>
        <w:spacing w:line="360" w:lineRule="auto"/>
        <w:ind w:left="0"/>
        <w:rPr>
          <w:rFonts w:ascii="Palatino Linotype" w:eastAsia="Palatino Linotype" w:hAnsi="Palatino Linotype" w:cs="Palatino Linotype"/>
        </w:rPr>
      </w:pPr>
    </w:p>
    <w:p w14:paraId="2987EA45" w14:textId="4EB5293D" w:rsidR="00A84431" w:rsidRPr="00B13545" w:rsidRDefault="00A84431" w:rsidP="00A84431">
      <w:pPr>
        <w:pStyle w:val="Prrafodelista"/>
        <w:spacing w:line="360" w:lineRule="auto"/>
        <w:ind w:left="0"/>
        <w:jc w:val="both"/>
        <w:rPr>
          <w:rFonts w:ascii="Palatino Linotype" w:eastAsia="Palatino Linotype" w:hAnsi="Palatino Linotype" w:cs="Palatino Linotype"/>
        </w:rPr>
      </w:pPr>
      <w:r w:rsidRPr="00B13545">
        <w:rPr>
          <w:rFonts w:ascii="Palatino Linotype" w:eastAsia="Palatino Linotype" w:hAnsi="Palatino Linotype" w:cs="Palatino Linotype"/>
          <w:b/>
        </w:rPr>
        <w:t>PRIMERO</w:t>
      </w:r>
      <w:r w:rsidRPr="00B13545">
        <w:rPr>
          <w:rFonts w:ascii="Palatino Linotype" w:eastAsia="Palatino Linotype" w:hAnsi="Palatino Linotype" w:cs="Palatino Linotype"/>
        </w:rPr>
        <w:t xml:space="preserve">. </w:t>
      </w:r>
      <w:r w:rsidR="0093777E" w:rsidRPr="00B13545">
        <w:rPr>
          <w:rFonts w:ascii="Palatino Linotype" w:eastAsia="Palatino Linotype" w:hAnsi="Palatino Linotype" w:cs="Palatino Linotype"/>
        </w:rPr>
        <w:t>S</w:t>
      </w:r>
      <w:r w:rsidR="00D579B6" w:rsidRPr="00B13545">
        <w:rPr>
          <w:rFonts w:ascii="Palatino Linotype" w:eastAsia="Palatino Linotype" w:hAnsi="Palatino Linotype" w:cs="Palatino Linotype"/>
        </w:rPr>
        <w:t>e</w:t>
      </w:r>
      <w:r w:rsidR="0093777E" w:rsidRPr="00B13545">
        <w:rPr>
          <w:rFonts w:ascii="Palatino Linotype" w:eastAsia="Palatino Linotype" w:hAnsi="Palatino Linotype" w:cs="Palatino Linotype"/>
          <w:b/>
          <w:bCs/>
        </w:rPr>
        <w:t xml:space="preserve"> </w:t>
      </w:r>
      <w:r w:rsidR="005F6394" w:rsidRPr="00B13545">
        <w:rPr>
          <w:rFonts w:ascii="Palatino Linotype" w:eastAsia="Palatino Linotype" w:hAnsi="Palatino Linotype" w:cs="Palatino Linotype"/>
          <w:b/>
          <w:bCs/>
        </w:rPr>
        <w:t>MODIFICA</w:t>
      </w:r>
      <w:r w:rsidR="00D579B6" w:rsidRPr="00B13545">
        <w:rPr>
          <w:rFonts w:ascii="Palatino Linotype" w:eastAsia="Palatino Linotype" w:hAnsi="Palatino Linotype" w:cs="Palatino Linotype"/>
          <w:b/>
          <w:bCs/>
        </w:rPr>
        <w:t xml:space="preserve"> </w:t>
      </w:r>
      <w:r w:rsidR="0093777E" w:rsidRPr="00B13545">
        <w:rPr>
          <w:rFonts w:ascii="Palatino Linotype" w:eastAsia="Palatino Linotype" w:hAnsi="Palatino Linotype" w:cs="Palatino Linotype"/>
        </w:rPr>
        <w:t xml:space="preserve">la respuesta emitida por EL SUJETO OBLIGADO, al resultar parcialmente </w:t>
      </w:r>
      <w:r w:rsidRPr="00B13545">
        <w:rPr>
          <w:rFonts w:ascii="Palatino Linotype" w:eastAsia="Palatino Linotype" w:hAnsi="Palatino Linotype" w:cs="Palatino Linotype"/>
        </w:rPr>
        <w:t xml:space="preserve">fundadas las razones o motivos de inconformidad hechos valer en el Recurso de Revisión </w:t>
      </w:r>
      <w:r w:rsidRPr="00B13545">
        <w:rPr>
          <w:rFonts w:ascii="Palatino Linotype" w:eastAsia="Palatino Linotype" w:hAnsi="Palatino Linotype" w:cs="Palatino Linotype"/>
          <w:b/>
        </w:rPr>
        <w:t>0</w:t>
      </w:r>
      <w:r w:rsidR="00302A73" w:rsidRPr="00B13545">
        <w:rPr>
          <w:rFonts w:ascii="Palatino Linotype" w:eastAsia="Palatino Linotype" w:hAnsi="Palatino Linotype" w:cs="Palatino Linotype"/>
          <w:b/>
        </w:rPr>
        <w:t>2</w:t>
      </w:r>
      <w:r w:rsidR="00053011" w:rsidRPr="00B13545">
        <w:rPr>
          <w:rFonts w:ascii="Palatino Linotype" w:eastAsia="Palatino Linotype" w:hAnsi="Palatino Linotype" w:cs="Palatino Linotype"/>
          <w:b/>
        </w:rPr>
        <w:t>25</w:t>
      </w:r>
      <w:r w:rsidR="00302A73" w:rsidRPr="00B13545">
        <w:rPr>
          <w:rFonts w:ascii="Palatino Linotype" w:eastAsia="Palatino Linotype" w:hAnsi="Palatino Linotype" w:cs="Palatino Linotype"/>
          <w:b/>
        </w:rPr>
        <w:t>8</w:t>
      </w:r>
      <w:r w:rsidRPr="00B13545">
        <w:rPr>
          <w:rFonts w:ascii="Palatino Linotype" w:eastAsia="Palatino Linotype" w:hAnsi="Palatino Linotype" w:cs="Palatino Linotype"/>
          <w:b/>
        </w:rPr>
        <w:t>/INFOEM/IP/RR/2024</w:t>
      </w:r>
      <w:r w:rsidRPr="00B13545">
        <w:rPr>
          <w:rFonts w:ascii="Palatino Linotype" w:eastAsia="Palatino Linotype" w:hAnsi="Palatino Linotype" w:cs="Palatino Linotype"/>
        </w:rPr>
        <w:t xml:space="preserve">, </w:t>
      </w:r>
      <w:r w:rsidR="0077602E" w:rsidRPr="00B13545">
        <w:rPr>
          <w:rFonts w:ascii="Palatino Linotype" w:eastAsia="Palatino Linotype" w:hAnsi="Palatino Linotype" w:cs="Palatino Linotype"/>
        </w:rPr>
        <w:t>en términos de</w:t>
      </w:r>
      <w:r w:rsidR="00AB1CA3" w:rsidRPr="00B13545">
        <w:rPr>
          <w:rFonts w:ascii="Palatino Linotype" w:eastAsia="Palatino Linotype" w:hAnsi="Palatino Linotype" w:cs="Palatino Linotype"/>
        </w:rPr>
        <w:t xml:space="preserve"> los </w:t>
      </w:r>
      <w:r w:rsidRPr="00B13545">
        <w:rPr>
          <w:rFonts w:ascii="Palatino Linotype" w:eastAsia="Palatino Linotype" w:hAnsi="Palatino Linotype" w:cs="Palatino Linotype"/>
        </w:rPr>
        <w:t>Considerando</w:t>
      </w:r>
      <w:r w:rsidR="002027C1" w:rsidRPr="00B13545">
        <w:rPr>
          <w:rFonts w:ascii="Palatino Linotype" w:eastAsia="Palatino Linotype" w:hAnsi="Palatino Linotype" w:cs="Palatino Linotype"/>
        </w:rPr>
        <w:t>s</w:t>
      </w:r>
      <w:r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b/>
          <w:bCs/>
        </w:rPr>
        <w:t>CUARTO</w:t>
      </w:r>
      <w:r w:rsidRPr="00B13545">
        <w:rPr>
          <w:rFonts w:ascii="Palatino Linotype" w:eastAsia="Palatino Linotype" w:hAnsi="Palatino Linotype" w:cs="Palatino Linotype"/>
        </w:rPr>
        <w:t xml:space="preserve"> </w:t>
      </w:r>
      <w:r w:rsidR="00AB1CA3" w:rsidRPr="00B13545">
        <w:rPr>
          <w:rFonts w:ascii="Palatino Linotype" w:eastAsia="Palatino Linotype" w:hAnsi="Palatino Linotype" w:cs="Palatino Linotype"/>
        </w:rPr>
        <w:t xml:space="preserve">y </w:t>
      </w:r>
      <w:r w:rsidR="00AB1CA3" w:rsidRPr="00B13545">
        <w:rPr>
          <w:rFonts w:ascii="Palatino Linotype" w:eastAsia="Palatino Linotype" w:hAnsi="Palatino Linotype" w:cs="Palatino Linotype"/>
          <w:b/>
          <w:bCs/>
        </w:rPr>
        <w:t>QUINTO</w:t>
      </w:r>
      <w:r w:rsidR="00AB1CA3"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rPr>
        <w:t>de la presente resolución</w:t>
      </w:r>
      <w:r w:rsidR="001E398F" w:rsidRPr="00B13545">
        <w:rPr>
          <w:rFonts w:ascii="Palatino Linotype" w:eastAsia="Palatino Linotype" w:hAnsi="Palatino Linotype" w:cs="Palatino Linotype"/>
        </w:rPr>
        <w:t>.</w:t>
      </w:r>
    </w:p>
    <w:p w14:paraId="5E331F46" w14:textId="77777777" w:rsidR="00A84431" w:rsidRPr="00B13545" w:rsidRDefault="00A84431" w:rsidP="0077602E">
      <w:pPr>
        <w:pStyle w:val="Prrafodelista"/>
        <w:spacing w:line="360" w:lineRule="auto"/>
        <w:ind w:left="0"/>
        <w:rPr>
          <w:rFonts w:ascii="Palatino Linotype" w:eastAsia="Palatino Linotype" w:hAnsi="Palatino Linotype" w:cs="Palatino Linotype"/>
        </w:rPr>
      </w:pPr>
    </w:p>
    <w:p w14:paraId="36324C76" w14:textId="58F226E3" w:rsidR="0077602E" w:rsidRPr="00B13545" w:rsidRDefault="0077602E" w:rsidP="00171C28">
      <w:pPr>
        <w:spacing w:line="360" w:lineRule="auto"/>
        <w:ind w:right="49"/>
        <w:jc w:val="both"/>
        <w:rPr>
          <w:rFonts w:ascii="Palatino Linotype" w:eastAsia="Palatino Linotype" w:hAnsi="Palatino Linotype" w:cs="Palatino Linotype"/>
        </w:rPr>
      </w:pPr>
      <w:r w:rsidRPr="00B13545">
        <w:rPr>
          <w:rFonts w:ascii="Palatino Linotype" w:eastAsia="Palatino Linotype" w:hAnsi="Palatino Linotype" w:cs="Palatino Linotype"/>
          <w:b/>
        </w:rPr>
        <w:lastRenderedPageBreak/>
        <w:t xml:space="preserve">SEGUNDO. </w:t>
      </w:r>
      <w:r w:rsidRPr="00B13545">
        <w:rPr>
          <w:rFonts w:ascii="Palatino Linotype" w:eastAsia="Palatino Linotype" w:hAnsi="Palatino Linotype" w:cs="Palatino Linotype"/>
        </w:rPr>
        <w:t xml:space="preserve">Se </w:t>
      </w:r>
      <w:r w:rsidRPr="00B13545">
        <w:rPr>
          <w:rFonts w:ascii="Palatino Linotype" w:eastAsia="Palatino Linotype" w:hAnsi="Palatino Linotype" w:cs="Palatino Linotype"/>
          <w:b/>
        </w:rPr>
        <w:t>ordena</w:t>
      </w:r>
      <w:r w:rsidRPr="00B13545">
        <w:rPr>
          <w:rFonts w:ascii="Palatino Linotype" w:eastAsia="Palatino Linotype" w:hAnsi="Palatino Linotype" w:cs="Palatino Linotype"/>
        </w:rPr>
        <w:t xml:space="preserve"> al </w:t>
      </w:r>
      <w:r w:rsidRPr="00B13545">
        <w:rPr>
          <w:rFonts w:ascii="Palatino Linotype" w:eastAsia="Palatino Linotype" w:hAnsi="Palatino Linotype" w:cs="Palatino Linotype"/>
          <w:b/>
        </w:rPr>
        <w:t>Sujeto Obligado</w:t>
      </w:r>
      <w:r w:rsidR="00D579B6" w:rsidRPr="00B13545">
        <w:rPr>
          <w:rFonts w:ascii="Palatino Linotype" w:eastAsia="Palatino Linotype" w:hAnsi="Palatino Linotype" w:cs="Palatino Linotype"/>
          <w:bCs/>
        </w:rPr>
        <w:t xml:space="preserve">, previa búsqueda exhaustiva y razonable, entregar </w:t>
      </w:r>
      <w:r w:rsidRPr="00B13545">
        <w:rPr>
          <w:rFonts w:ascii="Palatino Linotype" w:eastAsia="Palatino Linotype" w:hAnsi="Palatino Linotype" w:cs="Palatino Linotype"/>
        </w:rPr>
        <w:t>vía Sistema de Acceso a la Información Mexiquense</w:t>
      </w:r>
      <w:r w:rsidR="00D579B6" w:rsidRPr="00B13545">
        <w:rPr>
          <w:rFonts w:ascii="Palatino Linotype" w:eastAsia="Palatino Linotype" w:hAnsi="Palatino Linotype" w:cs="Palatino Linotype"/>
        </w:rPr>
        <w:t xml:space="preserve"> (</w:t>
      </w:r>
      <w:r w:rsidR="0026362F" w:rsidRPr="00B13545">
        <w:rPr>
          <w:rFonts w:ascii="Palatino Linotype" w:eastAsia="Palatino Linotype" w:hAnsi="Palatino Linotype" w:cs="Palatino Linotype"/>
        </w:rPr>
        <w:t>SAIMEX</w:t>
      </w:r>
      <w:r w:rsidR="00D579B6" w:rsidRPr="00B13545">
        <w:rPr>
          <w:rFonts w:ascii="Palatino Linotype" w:eastAsia="Palatino Linotype" w:hAnsi="Palatino Linotype" w:cs="Palatino Linotype"/>
        </w:rPr>
        <w:t>)</w:t>
      </w:r>
      <w:r w:rsidRPr="00B13545">
        <w:rPr>
          <w:rFonts w:ascii="Palatino Linotype" w:eastAsia="Palatino Linotype" w:hAnsi="Palatino Linotype" w:cs="Palatino Linotype"/>
        </w:rPr>
        <w:t>,</w:t>
      </w:r>
      <w:r w:rsidR="00AB1CA3" w:rsidRPr="00B13545">
        <w:rPr>
          <w:rFonts w:ascii="Palatino Linotype" w:eastAsia="Palatino Linotype" w:hAnsi="Palatino Linotype" w:cs="Palatino Linotype"/>
        </w:rPr>
        <w:t xml:space="preserve"> en versión pública de ser procedente</w:t>
      </w:r>
      <w:r w:rsidR="002027C1" w:rsidRPr="00B13545">
        <w:rPr>
          <w:rFonts w:ascii="Palatino Linotype" w:eastAsia="Palatino Linotype" w:hAnsi="Palatino Linotype" w:cs="Palatino Linotype"/>
        </w:rPr>
        <w:t>,</w:t>
      </w:r>
      <w:r w:rsidR="00AB1CA3" w:rsidRPr="00B13545">
        <w:rPr>
          <w:rFonts w:ascii="Palatino Linotype" w:eastAsia="Palatino Linotype" w:hAnsi="Palatino Linotype" w:cs="Palatino Linotype"/>
        </w:rPr>
        <w:t xml:space="preserve"> </w:t>
      </w:r>
      <w:r w:rsidRPr="00B13545">
        <w:rPr>
          <w:rFonts w:ascii="Palatino Linotype" w:eastAsia="Palatino Linotype" w:hAnsi="Palatino Linotype" w:cs="Palatino Linotype"/>
        </w:rPr>
        <w:t xml:space="preserve"> </w:t>
      </w:r>
      <w:r w:rsidR="00D579B6" w:rsidRPr="00B13545">
        <w:rPr>
          <w:rFonts w:ascii="Palatino Linotype" w:eastAsia="Palatino Linotype" w:hAnsi="Palatino Linotype" w:cs="Palatino Linotype"/>
        </w:rPr>
        <w:t>la siguiente información</w:t>
      </w:r>
      <w:r w:rsidR="00171C28" w:rsidRPr="00B13545">
        <w:rPr>
          <w:rFonts w:ascii="Palatino Linotype" w:eastAsia="Palatino Linotype" w:hAnsi="Palatino Linotype" w:cs="Palatino Linotype"/>
        </w:rPr>
        <w:t>:</w:t>
      </w:r>
      <w:r w:rsidRPr="00B13545">
        <w:rPr>
          <w:rFonts w:ascii="Palatino Linotype" w:eastAsia="Palatino Linotype" w:hAnsi="Palatino Linotype" w:cs="Palatino Linotype"/>
        </w:rPr>
        <w:t xml:space="preserve"> </w:t>
      </w:r>
    </w:p>
    <w:p w14:paraId="42AC0BD5" w14:textId="77777777" w:rsidR="0077602E" w:rsidRPr="00B13545" w:rsidRDefault="0077602E" w:rsidP="0077602E">
      <w:pPr>
        <w:spacing w:line="360" w:lineRule="auto"/>
        <w:ind w:right="49"/>
        <w:jc w:val="both"/>
        <w:rPr>
          <w:rFonts w:ascii="Palatino Linotype" w:eastAsia="Palatino Linotype" w:hAnsi="Palatino Linotype" w:cs="Palatino Linotype"/>
        </w:rPr>
      </w:pPr>
    </w:p>
    <w:p w14:paraId="0A7FC374" w14:textId="22CADD45" w:rsidR="006041D8" w:rsidRPr="00B13545" w:rsidRDefault="008605F3" w:rsidP="00ED71EA">
      <w:pPr>
        <w:numPr>
          <w:ilvl w:val="0"/>
          <w:numId w:val="9"/>
        </w:numPr>
        <w:pBdr>
          <w:top w:val="nil"/>
          <w:left w:val="nil"/>
          <w:bottom w:val="nil"/>
          <w:right w:val="nil"/>
          <w:between w:val="nil"/>
        </w:pBdr>
        <w:tabs>
          <w:tab w:val="left" w:pos="993"/>
        </w:tabs>
        <w:spacing w:line="360" w:lineRule="auto"/>
        <w:ind w:left="851" w:right="616"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Fundamento</w:t>
      </w:r>
      <w:r w:rsidR="003F7DEA" w:rsidRPr="00B13545">
        <w:rPr>
          <w:rFonts w:ascii="Palatino Linotype" w:eastAsia="Palatino Linotype" w:hAnsi="Palatino Linotype" w:cs="Palatino Linotype"/>
          <w:color w:val="000000"/>
        </w:rPr>
        <w:t xml:space="preserve"> legal</w:t>
      </w:r>
      <w:r w:rsidR="001E398F" w:rsidRPr="00B13545">
        <w:rPr>
          <w:rFonts w:ascii="Palatino Linotype" w:eastAsia="Palatino Linotype" w:hAnsi="Palatino Linotype" w:cs="Palatino Linotype"/>
          <w:color w:val="000000"/>
        </w:rPr>
        <w:t xml:space="preserve"> mediante el cual se autorizan </w:t>
      </w:r>
      <w:r w:rsidR="004D3FC5" w:rsidRPr="00B13545">
        <w:rPr>
          <w:rFonts w:ascii="Palatino Linotype" w:eastAsia="Palatino Linotype" w:hAnsi="Palatino Linotype" w:cs="Palatino Linotype"/>
          <w:color w:val="000000"/>
        </w:rPr>
        <w:t>concesiones</w:t>
      </w:r>
      <w:r w:rsidR="00702F4C" w:rsidRPr="00B13545">
        <w:rPr>
          <w:rFonts w:ascii="Palatino Linotype" w:eastAsia="Palatino Linotype" w:hAnsi="Palatino Linotype" w:cs="Palatino Linotype"/>
          <w:color w:val="000000"/>
        </w:rPr>
        <w:t xml:space="preserve"> </w:t>
      </w:r>
      <w:r w:rsidR="006041D8" w:rsidRPr="00B13545">
        <w:rPr>
          <w:rFonts w:ascii="Palatino Linotype" w:eastAsia="Palatino Linotype" w:hAnsi="Palatino Linotype" w:cs="Palatino Linotype"/>
          <w:color w:val="000000"/>
        </w:rPr>
        <w:t>de transporte público de pasajeros denominado</w:t>
      </w:r>
      <w:r w:rsidR="001E398F" w:rsidRPr="00B13545">
        <w:rPr>
          <w:rFonts w:ascii="Palatino Linotype" w:eastAsia="Palatino Linotype" w:hAnsi="Palatino Linotype" w:cs="Palatino Linotype"/>
          <w:color w:val="000000"/>
        </w:rPr>
        <w:t xml:space="preserve"> </w:t>
      </w:r>
      <w:proofErr w:type="spellStart"/>
      <w:r w:rsidR="001E398F" w:rsidRPr="00B13545">
        <w:rPr>
          <w:rFonts w:ascii="Palatino Linotype" w:eastAsia="Palatino Linotype" w:hAnsi="Palatino Linotype" w:cs="Palatino Linotype"/>
          <w:color w:val="000000"/>
        </w:rPr>
        <w:t>ecobicitaxi</w:t>
      </w:r>
      <w:proofErr w:type="spellEnd"/>
      <w:r w:rsidR="001E398F" w:rsidRPr="00B13545">
        <w:rPr>
          <w:rFonts w:ascii="Palatino Linotype" w:eastAsia="Palatino Linotype" w:hAnsi="Palatino Linotype" w:cs="Palatino Linotype"/>
          <w:color w:val="000000"/>
        </w:rPr>
        <w:t xml:space="preserve"> (ecotaxi)</w:t>
      </w:r>
      <w:r w:rsidR="00FE0D3E" w:rsidRPr="00B13545">
        <w:rPr>
          <w:rFonts w:ascii="Palatino Linotype" w:eastAsia="Palatino Linotype" w:hAnsi="Palatino Linotype" w:cs="Palatino Linotype"/>
          <w:color w:val="000000"/>
        </w:rPr>
        <w:t xml:space="preserve">, vigente </w:t>
      </w:r>
      <w:r w:rsidR="00361604" w:rsidRPr="00B13545">
        <w:rPr>
          <w:rFonts w:ascii="Palatino Linotype" w:eastAsia="Palatino Linotype" w:hAnsi="Palatino Linotype" w:cs="Palatino Linotype"/>
          <w:color w:val="000000"/>
        </w:rPr>
        <w:t>al primero de abril de dos mil veinticuatro</w:t>
      </w:r>
      <w:r w:rsidR="001E398F" w:rsidRPr="00B13545">
        <w:rPr>
          <w:rFonts w:ascii="Palatino Linotype" w:eastAsia="Palatino Linotype" w:hAnsi="Palatino Linotype" w:cs="Palatino Linotype"/>
          <w:color w:val="000000"/>
        </w:rPr>
        <w:t>;</w:t>
      </w:r>
    </w:p>
    <w:p w14:paraId="2205A808" w14:textId="5D197FDE" w:rsidR="00FC4F61" w:rsidRPr="00B13545" w:rsidRDefault="001E398F" w:rsidP="00ED71EA">
      <w:pPr>
        <w:numPr>
          <w:ilvl w:val="0"/>
          <w:numId w:val="9"/>
        </w:numPr>
        <w:pBdr>
          <w:top w:val="nil"/>
          <w:left w:val="nil"/>
          <w:bottom w:val="nil"/>
          <w:right w:val="nil"/>
          <w:between w:val="nil"/>
        </w:pBdr>
        <w:tabs>
          <w:tab w:val="left" w:pos="993"/>
        </w:tabs>
        <w:spacing w:line="360" w:lineRule="auto"/>
        <w:ind w:left="851" w:right="616" w:firstLine="0"/>
        <w:jc w:val="both"/>
        <w:rPr>
          <w:rFonts w:ascii="Palatino Linotype" w:eastAsia="Palatino Linotype" w:hAnsi="Palatino Linotype" w:cs="Palatino Linotype"/>
          <w:color w:val="000000"/>
        </w:rPr>
      </w:pPr>
      <w:r w:rsidRPr="00B13545">
        <w:rPr>
          <w:rFonts w:ascii="Palatino Linotype" w:hAnsi="Palatino Linotype"/>
          <w:color w:val="000000"/>
        </w:rPr>
        <w:t xml:space="preserve">Documento donde conste o se advierta el número </w:t>
      </w:r>
      <w:r w:rsidR="00FC4F61" w:rsidRPr="00B13545">
        <w:rPr>
          <w:rFonts w:ascii="Palatino Linotype" w:hAnsi="Palatino Linotype"/>
          <w:color w:val="000000"/>
        </w:rPr>
        <w:t>de concesiones otorgadas</w:t>
      </w:r>
      <w:r w:rsidR="00702F4C" w:rsidRPr="00B13545">
        <w:rPr>
          <w:rFonts w:ascii="Palatino Linotype" w:hAnsi="Palatino Linotype"/>
          <w:color w:val="000000"/>
        </w:rPr>
        <w:t xml:space="preserve">, </w:t>
      </w:r>
      <w:r w:rsidR="00FC4F61" w:rsidRPr="00B13545">
        <w:rPr>
          <w:rFonts w:ascii="Palatino Linotype" w:hAnsi="Palatino Linotype"/>
          <w:color w:val="000000"/>
        </w:rPr>
        <w:t xml:space="preserve">en la modalidad </w:t>
      </w:r>
      <w:r w:rsidR="00FC4F61" w:rsidRPr="00B13545">
        <w:rPr>
          <w:rFonts w:ascii="Palatino Linotype" w:eastAsia="Palatino Linotype" w:hAnsi="Palatino Linotype" w:cs="Palatino Linotype"/>
          <w:color w:val="000000"/>
        </w:rPr>
        <w:t xml:space="preserve">de transporte público </w:t>
      </w:r>
      <w:proofErr w:type="spellStart"/>
      <w:r w:rsidR="00FC4F61" w:rsidRPr="00B13545">
        <w:rPr>
          <w:rFonts w:ascii="Palatino Linotype" w:eastAsia="Palatino Linotype" w:hAnsi="Palatino Linotype" w:cs="Palatino Linotype"/>
          <w:color w:val="000000"/>
        </w:rPr>
        <w:t>ecobicitaxi</w:t>
      </w:r>
      <w:proofErr w:type="spellEnd"/>
      <w:r w:rsidR="00FC4F61" w:rsidRPr="00B13545">
        <w:rPr>
          <w:rFonts w:ascii="Palatino Linotype" w:eastAsia="Palatino Linotype" w:hAnsi="Palatino Linotype" w:cs="Palatino Linotype"/>
          <w:color w:val="000000"/>
        </w:rPr>
        <w:t xml:space="preserve"> (ecotaxi)</w:t>
      </w:r>
      <w:r w:rsidR="00361604" w:rsidRPr="00B13545">
        <w:t xml:space="preserve"> de</w:t>
      </w:r>
      <w:r w:rsidR="00361604" w:rsidRPr="00B13545">
        <w:rPr>
          <w:rFonts w:ascii="Palatino Linotype" w:eastAsia="Palatino Linotype" w:hAnsi="Palatino Linotype" w:cs="Palatino Linotype"/>
          <w:color w:val="000000"/>
        </w:rPr>
        <w:t>l primero de abril de dos mil veintitrés</w:t>
      </w:r>
      <w:r w:rsidR="00361604" w:rsidRPr="00B13545">
        <w:t xml:space="preserve"> </w:t>
      </w:r>
      <w:r w:rsidR="00361604" w:rsidRPr="00B13545">
        <w:rPr>
          <w:rFonts w:ascii="Palatino Linotype" w:eastAsia="Palatino Linotype" w:hAnsi="Palatino Linotype" w:cs="Palatino Linotype"/>
          <w:color w:val="000000"/>
        </w:rPr>
        <w:t>al primero de abril de dos mil veinticuatro</w:t>
      </w:r>
      <w:r w:rsidRPr="00B13545">
        <w:rPr>
          <w:rFonts w:ascii="Palatino Linotype" w:eastAsia="Palatino Linotype" w:hAnsi="Palatino Linotype" w:cs="Palatino Linotype"/>
          <w:color w:val="000000"/>
        </w:rPr>
        <w:t>;</w:t>
      </w:r>
      <w:r w:rsidR="00361604" w:rsidRPr="00B13545">
        <w:rPr>
          <w:rFonts w:ascii="Palatino Linotype" w:eastAsia="Palatino Linotype" w:hAnsi="Palatino Linotype" w:cs="Palatino Linotype"/>
          <w:color w:val="000000"/>
        </w:rPr>
        <w:t xml:space="preserve"> </w:t>
      </w:r>
    </w:p>
    <w:p w14:paraId="3A5D02B3" w14:textId="5DF504DE" w:rsidR="00C75BA1" w:rsidRPr="00B13545" w:rsidRDefault="003F7DEA" w:rsidP="00ED71EA">
      <w:pPr>
        <w:numPr>
          <w:ilvl w:val="0"/>
          <w:numId w:val="9"/>
        </w:numPr>
        <w:pBdr>
          <w:top w:val="nil"/>
          <w:left w:val="nil"/>
          <w:bottom w:val="nil"/>
          <w:right w:val="nil"/>
          <w:between w:val="nil"/>
        </w:pBdr>
        <w:tabs>
          <w:tab w:val="left" w:pos="993"/>
        </w:tabs>
        <w:spacing w:line="360" w:lineRule="auto"/>
        <w:ind w:left="851" w:right="616"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Fundamento legal</w:t>
      </w:r>
      <w:r w:rsidR="001E398F" w:rsidRPr="00B13545">
        <w:rPr>
          <w:rFonts w:ascii="Palatino Linotype" w:eastAsia="Palatino Linotype" w:hAnsi="Palatino Linotype" w:cs="Palatino Linotype"/>
          <w:color w:val="000000"/>
        </w:rPr>
        <w:t xml:space="preserve"> mediante el cual se permite</w:t>
      </w:r>
      <w:r w:rsidR="00C75BA1" w:rsidRPr="00B13545">
        <w:rPr>
          <w:rFonts w:ascii="Palatino Linotype" w:eastAsia="Palatino Linotype" w:hAnsi="Palatino Linotype" w:cs="Palatino Linotype"/>
          <w:color w:val="000000"/>
        </w:rPr>
        <w:t xml:space="preserve"> la instalación de </w:t>
      </w:r>
      <w:r w:rsidR="001E398F" w:rsidRPr="00B13545">
        <w:rPr>
          <w:rFonts w:ascii="Palatino Linotype" w:eastAsia="Palatino Linotype" w:hAnsi="Palatino Linotype" w:cs="Palatino Linotype"/>
          <w:color w:val="000000"/>
        </w:rPr>
        <w:t xml:space="preserve">bases de </w:t>
      </w:r>
      <w:proofErr w:type="spellStart"/>
      <w:r w:rsidR="001E398F" w:rsidRPr="00B13545">
        <w:rPr>
          <w:rFonts w:ascii="Palatino Linotype" w:eastAsia="Palatino Linotype" w:hAnsi="Palatino Linotype" w:cs="Palatino Linotype"/>
          <w:color w:val="000000"/>
        </w:rPr>
        <w:t>ecobicitaxis</w:t>
      </w:r>
      <w:proofErr w:type="spellEnd"/>
      <w:r w:rsidR="001E398F" w:rsidRPr="00B13545">
        <w:rPr>
          <w:rFonts w:ascii="Palatino Linotype" w:eastAsia="Palatino Linotype" w:hAnsi="Palatino Linotype" w:cs="Palatino Linotype"/>
          <w:color w:val="000000"/>
        </w:rPr>
        <w:t xml:space="preserve"> (ecotaxi)</w:t>
      </w:r>
      <w:r w:rsidR="00361604" w:rsidRPr="00B13545">
        <w:t xml:space="preserve"> </w:t>
      </w:r>
      <w:r w:rsidR="00361604" w:rsidRPr="00B13545">
        <w:rPr>
          <w:rFonts w:ascii="Palatino Linotype" w:eastAsia="Palatino Linotype" w:hAnsi="Palatino Linotype" w:cs="Palatino Linotype"/>
          <w:color w:val="000000"/>
        </w:rPr>
        <w:t>al primero de abril de dos mil veinticuatro</w:t>
      </w:r>
      <w:r w:rsidR="001E398F" w:rsidRPr="00B13545">
        <w:rPr>
          <w:rFonts w:ascii="Palatino Linotype" w:eastAsia="Palatino Linotype" w:hAnsi="Palatino Linotype" w:cs="Palatino Linotype"/>
          <w:color w:val="000000"/>
        </w:rPr>
        <w:t>;</w:t>
      </w:r>
    </w:p>
    <w:p w14:paraId="599BBA6B" w14:textId="70488E55" w:rsidR="000406B4" w:rsidRPr="00B13545" w:rsidRDefault="001E398F" w:rsidP="00ED71EA">
      <w:pPr>
        <w:numPr>
          <w:ilvl w:val="0"/>
          <w:numId w:val="9"/>
        </w:numPr>
        <w:pBdr>
          <w:top w:val="nil"/>
          <w:left w:val="nil"/>
          <w:bottom w:val="nil"/>
          <w:right w:val="nil"/>
          <w:between w:val="nil"/>
        </w:pBdr>
        <w:tabs>
          <w:tab w:val="left" w:pos="993"/>
        </w:tabs>
        <w:spacing w:line="360" w:lineRule="auto"/>
        <w:ind w:left="851" w:right="616" w:firstLine="0"/>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Soporte documental mediante el cual se adviertan los r</w:t>
      </w:r>
      <w:r w:rsidR="000406B4" w:rsidRPr="00B13545">
        <w:rPr>
          <w:rFonts w:ascii="Palatino Linotype" w:eastAsia="Palatino Linotype" w:hAnsi="Palatino Linotype" w:cs="Palatino Linotype"/>
          <w:color w:val="000000"/>
        </w:rPr>
        <w:t>equisitos</w:t>
      </w:r>
      <w:r w:rsidR="00CD3B9C" w:rsidRPr="00B13545">
        <w:rPr>
          <w:rFonts w:ascii="Palatino Linotype" w:eastAsia="Palatino Linotype" w:hAnsi="Palatino Linotype" w:cs="Palatino Linotype"/>
          <w:color w:val="000000"/>
        </w:rPr>
        <w:t xml:space="preserve"> </w:t>
      </w:r>
      <w:r w:rsidRPr="00B13545">
        <w:rPr>
          <w:rFonts w:ascii="Palatino Linotype" w:eastAsia="Palatino Linotype" w:hAnsi="Palatino Linotype" w:cs="Palatino Linotype"/>
          <w:color w:val="000000"/>
        </w:rPr>
        <w:t xml:space="preserve">para </w:t>
      </w:r>
      <w:r w:rsidR="000406B4" w:rsidRPr="00B13545">
        <w:rPr>
          <w:rFonts w:ascii="Palatino Linotype" w:eastAsia="Palatino Linotype" w:hAnsi="Palatino Linotype" w:cs="Palatino Linotype"/>
          <w:color w:val="000000"/>
        </w:rPr>
        <w:t xml:space="preserve"> la instalación de una base de </w:t>
      </w:r>
      <w:proofErr w:type="spellStart"/>
      <w:r w:rsidR="000406B4" w:rsidRPr="00B13545">
        <w:rPr>
          <w:rFonts w:ascii="Palatino Linotype" w:eastAsia="Palatino Linotype" w:hAnsi="Palatino Linotype" w:cs="Palatino Linotype"/>
          <w:color w:val="000000"/>
        </w:rPr>
        <w:t>ecobicitaxis</w:t>
      </w:r>
      <w:proofErr w:type="spellEnd"/>
      <w:r w:rsidR="000406B4" w:rsidRPr="00B13545">
        <w:rPr>
          <w:rFonts w:ascii="Palatino Linotype" w:eastAsia="Palatino Linotype" w:hAnsi="Palatino Linotype" w:cs="Palatino Linotype"/>
          <w:color w:val="000000"/>
        </w:rPr>
        <w:t xml:space="preserve"> (ecotaxi)</w:t>
      </w:r>
      <w:r w:rsidR="00361604" w:rsidRPr="00B13545">
        <w:rPr>
          <w:rFonts w:ascii="Palatino Linotype" w:eastAsia="Palatino Linotype" w:hAnsi="Palatino Linotype" w:cs="Palatino Linotype"/>
          <w:color w:val="000000"/>
        </w:rPr>
        <w:t xml:space="preserve"> al primero d</w:t>
      </w:r>
      <w:r w:rsidR="00FE0D3E" w:rsidRPr="00B13545">
        <w:rPr>
          <w:rFonts w:ascii="Palatino Linotype" w:eastAsia="Palatino Linotype" w:hAnsi="Palatino Linotype" w:cs="Palatino Linotype"/>
          <w:color w:val="000000"/>
        </w:rPr>
        <w:t>e abril de dos mil veinticuatro</w:t>
      </w:r>
      <w:r w:rsidR="000406B4" w:rsidRPr="00B13545">
        <w:rPr>
          <w:rFonts w:ascii="Palatino Linotype" w:eastAsia="Palatino Linotype" w:hAnsi="Palatino Linotype" w:cs="Palatino Linotype"/>
          <w:color w:val="000000"/>
        </w:rPr>
        <w:t>.</w:t>
      </w:r>
    </w:p>
    <w:p w14:paraId="75560309" w14:textId="77777777" w:rsidR="00AB1CA3" w:rsidRPr="00B13545" w:rsidRDefault="00AB1CA3" w:rsidP="00AB1CA3">
      <w:pPr>
        <w:pBdr>
          <w:top w:val="nil"/>
          <w:left w:val="nil"/>
          <w:bottom w:val="nil"/>
          <w:right w:val="nil"/>
          <w:between w:val="nil"/>
        </w:pBdr>
        <w:tabs>
          <w:tab w:val="left" w:pos="993"/>
        </w:tabs>
        <w:spacing w:line="360" w:lineRule="auto"/>
        <w:ind w:right="616"/>
        <w:jc w:val="both"/>
        <w:rPr>
          <w:rFonts w:ascii="Palatino Linotype" w:eastAsia="Palatino Linotype" w:hAnsi="Palatino Linotype" w:cs="Palatino Linotype"/>
          <w:color w:val="000000"/>
        </w:rPr>
      </w:pPr>
    </w:p>
    <w:p w14:paraId="213D29EC" w14:textId="655C585D" w:rsidR="00AB1CA3" w:rsidRPr="00B13545" w:rsidRDefault="00AB1CA3" w:rsidP="00AB1CA3">
      <w:pPr>
        <w:pBdr>
          <w:top w:val="nil"/>
          <w:left w:val="nil"/>
          <w:bottom w:val="nil"/>
          <w:right w:val="nil"/>
          <w:between w:val="nil"/>
        </w:pBdr>
        <w:tabs>
          <w:tab w:val="left" w:pos="993"/>
        </w:tabs>
        <w:spacing w:line="360" w:lineRule="auto"/>
        <w:ind w:right="255"/>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Para efectos de lo anterior, se deberá emitir el Acuerdo del Comité de Transparencia en términos de los artículos 49, fracción VIII y 132, fracción II de la Ley de Transparencia y Acceso a la Información Pública del Estado de México y Municipios, en el que funde y motive las razones sobre los datos que se supriman o eliminen dentro del soporte documental respectivo objeto de las versiones públicas que se formulen y se pongan a disposición del RECURRENTE.</w:t>
      </w:r>
    </w:p>
    <w:p w14:paraId="427DF95B" w14:textId="77777777" w:rsidR="00AB1CA3" w:rsidRPr="00B13545" w:rsidRDefault="00AB1CA3" w:rsidP="00AB1CA3">
      <w:pPr>
        <w:pBdr>
          <w:top w:val="nil"/>
          <w:left w:val="nil"/>
          <w:bottom w:val="nil"/>
          <w:right w:val="nil"/>
          <w:between w:val="nil"/>
        </w:pBdr>
        <w:tabs>
          <w:tab w:val="left" w:pos="993"/>
        </w:tabs>
        <w:spacing w:line="360" w:lineRule="auto"/>
        <w:ind w:right="616"/>
        <w:jc w:val="both"/>
        <w:rPr>
          <w:rFonts w:ascii="Palatino Linotype" w:eastAsia="Palatino Linotype" w:hAnsi="Palatino Linotype" w:cs="Palatino Linotype"/>
          <w:color w:val="000000"/>
        </w:rPr>
      </w:pPr>
    </w:p>
    <w:p w14:paraId="215490E6" w14:textId="06889B28" w:rsidR="00D472A9" w:rsidRPr="00B13545" w:rsidRDefault="00225710" w:rsidP="00AB1CA3">
      <w:pPr>
        <w:pBdr>
          <w:top w:val="nil"/>
          <w:left w:val="nil"/>
          <w:bottom w:val="nil"/>
          <w:right w:val="nil"/>
          <w:between w:val="nil"/>
        </w:pBdr>
        <w:tabs>
          <w:tab w:val="left" w:pos="993"/>
        </w:tabs>
        <w:spacing w:line="360" w:lineRule="auto"/>
        <w:ind w:right="113"/>
        <w:jc w:val="both"/>
        <w:rPr>
          <w:rFonts w:ascii="Palatino Linotype" w:eastAsia="Palatino Linotype" w:hAnsi="Palatino Linotype" w:cs="Palatino Linotype"/>
          <w:color w:val="000000"/>
        </w:rPr>
      </w:pPr>
      <w:r w:rsidRPr="00B13545">
        <w:rPr>
          <w:rFonts w:ascii="Palatino Linotype" w:eastAsia="Palatino Linotype" w:hAnsi="Palatino Linotype" w:cs="Palatino Linotype"/>
          <w:color w:val="000000"/>
        </w:rPr>
        <w:t>De ser el caso de que la información solicitada en el numeral 2 no se hubiera generado, poseído o administrado dentro de los archivos del SUJETO OBLIGADO bastará con que lo haga del conocimiento del RECURRENTE de conformidad con el artículo 19 párrafo segundo de la Ley de Transparencia y Acceso a la Información Pública del Estado de México y Municipios.</w:t>
      </w:r>
    </w:p>
    <w:p w14:paraId="08BEE343" w14:textId="2E5BFD2F" w:rsidR="00D472A9" w:rsidRPr="00B13545" w:rsidRDefault="00D472A9" w:rsidP="00D472A9">
      <w:pPr>
        <w:pBdr>
          <w:top w:val="nil"/>
          <w:left w:val="nil"/>
          <w:bottom w:val="nil"/>
          <w:right w:val="nil"/>
          <w:between w:val="nil"/>
        </w:pBdr>
        <w:tabs>
          <w:tab w:val="left" w:pos="993"/>
        </w:tabs>
        <w:spacing w:line="360" w:lineRule="auto"/>
        <w:ind w:right="616"/>
        <w:jc w:val="both"/>
        <w:rPr>
          <w:rFonts w:ascii="Palatino Linotype" w:eastAsia="Palatino Linotype" w:hAnsi="Palatino Linotype" w:cs="Palatino Linotype"/>
          <w:color w:val="000000"/>
        </w:rPr>
      </w:pPr>
    </w:p>
    <w:p w14:paraId="051617A3" w14:textId="73A3E4DA" w:rsidR="0077602E" w:rsidRPr="00B13545" w:rsidRDefault="00B10DE1" w:rsidP="00F32A8D">
      <w:pPr>
        <w:spacing w:line="360" w:lineRule="auto"/>
        <w:ind w:right="49"/>
        <w:jc w:val="both"/>
        <w:rPr>
          <w:rFonts w:ascii="Palatino Linotype" w:eastAsia="Palatino Linotype" w:hAnsi="Palatino Linotype" w:cs="Palatino Linotype"/>
          <w:b/>
        </w:rPr>
      </w:pPr>
      <w:r w:rsidRPr="00B13545">
        <w:rPr>
          <w:rFonts w:ascii="Palatino Linotype" w:eastAsia="Palatino Linotype" w:hAnsi="Palatino Linotype" w:cs="Palatino Linotype"/>
          <w:b/>
        </w:rPr>
        <w:t>TERCERO</w:t>
      </w:r>
      <w:r w:rsidR="0077602E" w:rsidRPr="00B13545">
        <w:rPr>
          <w:rFonts w:ascii="Palatino Linotype" w:eastAsia="Palatino Linotype" w:hAnsi="Palatino Linotype" w:cs="Palatino Linotype"/>
          <w:b/>
        </w:rPr>
        <w:t>.</w:t>
      </w:r>
      <w:r w:rsidR="0077602E" w:rsidRPr="00B13545">
        <w:rPr>
          <w:rFonts w:ascii="Palatino Linotype" w:eastAsia="Palatino Linotype" w:hAnsi="Palatino Linotype" w:cs="Palatino Linotype"/>
        </w:rPr>
        <w:t xml:space="preserve"> </w:t>
      </w:r>
      <w:r w:rsidR="0077602E" w:rsidRPr="00B13545">
        <w:rPr>
          <w:rFonts w:ascii="Palatino Linotype" w:eastAsia="Palatino Linotype" w:hAnsi="Palatino Linotype" w:cs="Palatino Linotype"/>
          <w:b/>
        </w:rPr>
        <w:t xml:space="preserve">Notifíquese </w:t>
      </w:r>
      <w:r w:rsidR="0077602E" w:rsidRPr="00B13545">
        <w:rPr>
          <w:rFonts w:ascii="Palatino Linotype" w:eastAsia="Palatino Linotype" w:hAnsi="Palatino Linotype" w:cs="Palatino Linotype"/>
        </w:rPr>
        <w:t>la presente resolución al T</w:t>
      </w:r>
      <w:r w:rsidR="0077602E" w:rsidRPr="00B13545">
        <w:rPr>
          <w:rFonts w:ascii="Palatino Linotype" w:eastAsia="Palatino Linotype" w:hAnsi="Palatino Linotype" w:cs="Palatino Linotype"/>
          <w:b/>
        </w:rPr>
        <w:t xml:space="preserve">itular de la Unidad de Transparencia </w:t>
      </w:r>
      <w:r w:rsidR="0077602E" w:rsidRPr="00B13545">
        <w:rPr>
          <w:rFonts w:ascii="Palatino Linotype" w:eastAsia="Palatino Linotype" w:hAnsi="Palatino Linotype" w:cs="Palatino Linotype"/>
        </w:rPr>
        <w:t xml:space="preserve">del </w:t>
      </w:r>
      <w:r w:rsidR="0077602E" w:rsidRPr="00B13545">
        <w:rPr>
          <w:rFonts w:ascii="Palatino Linotype" w:eastAsia="Palatino Linotype" w:hAnsi="Palatino Linotype" w:cs="Palatino Linotype"/>
          <w:b/>
        </w:rPr>
        <w:t>Sujeto Obligado</w:t>
      </w:r>
      <w:r w:rsidR="0026362F" w:rsidRPr="00B13545">
        <w:rPr>
          <w:rFonts w:ascii="Palatino Linotype" w:eastAsia="Palatino Linotype" w:hAnsi="Palatino Linotype" w:cs="Palatino Linotype"/>
          <w:b/>
        </w:rPr>
        <w:t xml:space="preserve"> vía SAIMEX</w:t>
      </w:r>
      <w:r w:rsidR="0077602E" w:rsidRPr="00B13545">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w:t>
      </w:r>
      <w:r w:rsidR="00171C28" w:rsidRPr="00B13545">
        <w:rPr>
          <w:rFonts w:ascii="Palatino Linotype" w:eastAsia="Palatino Linotype" w:hAnsi="Palatino Linotype" w:cs="Palatino Linotype"/>
        </w:rPr>
        <w:t xml:space="preserve"> </w:t>
      </w:r>
      <w:r w:rsidR="0077602E" w:rsidRPr="00B13545">
        <w:rPr>
          <w:rFonts w:ascii="Palatino Linotype" w:eastAsia="Palatino Linotype" w:hAnsi="Palatino Linotype" w:cs="Palatino Linotype"/>
        </w:rPr>
        <w:t>de la Ley  de Transparencia y Acceso a la Información Pública del Estado de México y Municipios.</w:t>
      </w:r>
    </w:p>
    <w:p w14:paraId="3B957AA4" w14:textId="77777777" w:rsidR="0077602E" w:rsidRPr="00B13545" w:rsidRDefault="0077602E" w:rsidP="00F32A8D">
      <w:pPr>
        <w:spacing w:line="360" w:lineRule="auto"/>
        <w:ind w:right="49"/>
        <w:jc w:val="both"/>
        <w:rPr>
          <w:rFonts w:ascii="Palatino Linotype" w:eastAsia="Palatino Linotype" w:hAnsi="Palatino Linotype" w:cs="Palatino Linotype"/>
        </w:rPr>
      </w:pPr>
    </w:p>
    <w:p w14:paraId="708EC8C8" w14:textId="3CB25E65" w:rsidR="0077602E" w:rsidRPr="00B13545" w:rsidRDefault="00B10DE1" w:rsidP="00F32A8D">
      <w:pPr>
        <w:spacing w:line="360" w:lineRule="auto"/>
        <w:ind w:right="49"/>
        <w:jc w:val="both"/>
        <w:rPr>
          <w:rFonts w:ascii="Palatino Linotype" w:eastAsia="Palatino Linotype" w:hAnsi="Palatino Linotype" w:cs="Palatino Linotype"/>
        </w:rPr>
      </w:pPr>
      <w:r w:rsidRPr="00B13545">
        <w:rPr>
          <w:rFonts w:ascii="Palatino Linotype" w:eastAsia="Palatino Linotype" w:hAnsi="Palatino Linotype" w:cs="Palatino Linotype"/>
          <w:b/>
        </w:rPr>
        <w:t>CUARTO.</w:t>
      </w:r>
      <w:r w:rsidRPr="00B13545">
        <w:rPr>
          <w:rFonts w:ascii="Palatino Linotype" w:eastAsia="Palatino Linotype" w:hAnsi="Palatino Linotype" w:cs="Palatino Linotype"/>
        </w:rPr>
        <w:t xml:space="preserve"> </w:t>
      </w:r>
      <w:r w:rsidR="0077602E" w:rsidRPr="00B13545">
        <w:rPr>
          <w:rFonts w:ascii="Palatino Linotype" w:eastAsia="Palatino Linotype" w:hAnsi="Palatino Linotype" w:cs="Palatino Linotype"/>
          <w:b/>
        </w:rPr>
        <w:t xml:space="preserve">Notifíquese vía SAIMEX </w:t>
      </w:r>
      <w:r w:rsidR="0077602E" w:rsidRPr="00B13545">
        <w:rPr>
          <w:rFonts w:ascii="Palatino Linotype" w:eastAsia="Palatino Linotype" w:hAnsi="Palatino Linotype" w:cs="Palatino Linotype"/>
        </w:rPr>
        <w:t xml:space="preserve">a la parte </w:t>
      </w:r>
      <w:r w:rsidR="0077602E" w:rsidRPr="00B13545">
        <w:rPr>
          <w:rFonts w:ascii="Palatino Linotype" w:eastAsia="Palatino Linotype" w:hAnsi="Palatino Linotype" w:cs="Palatino Linotype"/>
          <w:b/>
        </w:rPr>
        <w:t xml:space="preserve">Recurrente </w:t>
      </w:r>
      <w:r w:rsidR="0077602E" w:rsidRPr="00B13545">
        <w:rPr>
          <w:rFonts w:ascii="Palatino Linotype" w:eastAsia="Palatino Linotype" w:hAnsi="Palatino Linotype" w:cs="Palatino Linotype"/>
        </w:rPr>
        <w:t xml:space="preserve">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572175A6" w14:textId="77777777" w:rsidR="008C1063" w:rsidRPr="00B13545" w:rsidRDefault="008C1063" w:rsidP="00F32A8D">
      <w:pPr>
        <w:spacing w:line="360" w:lineRule="auto"/>
        <w:ind w:right="49"/>
        <w:jc w:val="both"/>
        <w:rPr>
          <w:rFonts w:ascii="Palatino Linotype" w:eastAsia="Palatino Linotype" w:hAnsi="Palatino Linotype" w:cs="Palatino Linotype"/>
          <w:b/>
        </w:rPr>
      </w:pPr>
    </w:p>
    <w:p w14:paraId="59718B4B" w14:textId="29239E7D" w:rsidR="0077602E" w:rsidRPr="00B13545" w:rsidRDefault="00B10DE1" w:rsidP="00F32A8D">
      <w:pPr>
        <w:spacing w:line="360" w:lineRule="auto"/>
        <w:ind w:right="49"/>
        <w:jc w:val="both"/>
        <w:rPr>
          <w:rFonts w:ascii="Palatino Linotype" w:eastAsia="Palatino Linotype" w:hAnsi="Palatino Linotype" w:cs="Palatino Linotype"/>
        </w:rPr>
      </w:pPr>
      <w:r w:rsidRPr="00B13545">
        <w:rPr>
          <w:rFonts w:ascii="Palatino Linotype" w:eastAsia="Palatino Linotype" w:hAnsi="Palatino Linotype" w:cs="Palatino Linotype"/>
          <w:b/>
        </w:rPr>
        <w:lastRenderedPageBreak/>
        <w:t>QUINTO.</w:t>
      </w:r>
      <w:r w:rsidR="0077602E" w:rsidRPr="00B13545">
        <w:rPr>
          <w:rFonts w:ascii="Palatino Linotype" w:eastAsia="Palatino Linotype" w:hAnsi="Palatino Linotype" w:cs="Palatino Linotype"/>
        </w:rPr>
        <w:t xml:space="preserve"> De conformidad con el artículo 198 de la Ley de Transparencia y Acceso a la Información Pública del Estado de México y Municipios, de considerarlo procedente, el </w:t>
      </w:r>
      <w:r w:rsidR="0077602E" w:rsidRPr="00B13545">
        <w:rPr>
          <w:rFonts w:ascii="Palatino Linotype" w:eastAsia="Palatino Linotype" w:hAnsi="Palatino Linotype" w:cs="Palatino Linotype"/>
          <w:b/>
        </w:rPr>
        <w:t>Sujeto Obligado</w:t>
      </w:r>
      <w:r w:rsidR="0077602E" w:rsidRPr="00B13545">
        <w:rPr>
          <w:rFonts w:ascii="Palatino Linotype" w:eastAsia="Palatino Linotype" w:hAnsi="Palatino Linotype" w:cs="Palatino Linotype"/>
        </w:rPr>
        <w:t xml:space="preserve"> de manera fundada y motivada, podrá solicitar una ampliación de plazo para el cumplimiento de la presente resolución.</w:t>
      </w:r>
    </w:p>
    <w:p w14:paraId="3AC6594D" w14:textId="77777777" w:rsidR="00A84431" w:rsidRPr="00B13545" w:rsidRDefault="00A84431" w:rsidP="00A84431">
      <w:pPr>
        <w:pStyle w:val="Prrafodelista"/>
        <w:spacing w:line="360" w:lineRule="auto"/>
        <w:ind w:left="0"/>
        <w:rPr>
          <w:rFonts w:ascii="Palatino Linotype" w:eastAsia="Palatino Linotype" w:hAnsi="Palatino Linotype" w:cs="Palatino Linotype"/>
        </w:rPr>
      </w:pPr>
    </w:p>
    <w:p w14:paraId="2B5F39B5" w14:textId="77777777" w:rsidR="0026362F" w:rsidRPr="003C7186" w:rsidRDefault="0026362F" w:rsidP="0026362F">
      <w:pPr>
        <w:spacing w:line="360" w:lineRule="auto"/>
        <w:ind w:left="-142" w:right="-234" w:firstLine="1"/>
        <w:jc w:val="both"/>
        <w:rPr>
          <w:rFonts w:ascii="Palatino Linotype" w:hAnsi="Palatino Linotype"/>
        </w:rPr>
      </w:pPr>
      <w:r w:rsidRPr="00B13545">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PRIMERA SESIÓN ORDINARIA CELEBRADA EL QUINCE (15) DE ENERO DE DOS MIL VEINTICINCO, ANTE EL SECRETARIO TÉCNICO DEL PLENO ALEXIS TAPIA RAMÍREZ.</w:t>
      </w:r>
      <w:r w:rsidRPr="003C7186">
        <w:rPr>
          <w:rFonts w:ascii="Palatino Linotype" w:hAnsi="Palatino Linotype"/>
        </w:rPr>
        <w:t xml:space="preserve"> </w:t>
      </w:r>
    </w:p>
    <w:p w14:paraId="2BE737F6" w14:textId="77777777" w:rsidR="00A84431" w:rsidRDefault="00A84431" w:rsidP="00A84431">
      <w:pPr>
        <w:spacing w:line="360" w:lineRule="auto"/>
        <w:contextualSpacing/>
        <w:jc w:val="both"/>
        <w:rPr>
          <w:rFonts w:ascii="Palatino Linotype" w:hAnsi="Palatino Linotype" w:cs="Tahoma"/>
          <w:bCs/>
          <w:iCs/>
        </w:rPr>
      </w:pPr>
    </w:p>
    <w:sectPr w:rsidR="00A84431" w:rsidSect="00372F43">
      <w:headerReference w:type="even" r:id="rId12"/>
      <w:headerReference w:type="default" r:id="rId13"/>
      <w:footerReference w:type="default" r:id="rId14"/>
      <w:headerReference w:type="first" r:id="rId15"/>
      <w:footerReference w:type="first" r:id="rId16"/>
      <w:pgSz w:w="12240" w:h="15840"/>
      <w:pgMar w:top="299" w:right="1608" w:bottom="1418" w:left="1588" w:header="227" w:footer="91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E71E0" w14:textId="77777777" w:rsidR="00062B7E" w:rsidRDefault="00062B7E" w:rsidP="00085838">
      <w:r>
        <w:separator/>
      </w:r>
    </w:p>
  </w:endnote>
  <w:endnote w:type="continuationSeparator" w:id="0">
    <w:p w14:paraId="371D5297" w14:textId="77777777" w:rsidR="00062B7E" w:rsidRDefault="00062B7E" w:rsidP="00085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D92E2" w14:textId="77777777" w:rsidR="00FE0D3E" w:rsidRDefault="00FE0D3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13545">
      <w:rPr>
        <w:b/>
        <w:noProof/>
        <w:color w:val="000000"/>
      </w:rPr>
      <w:t>21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13545">
      <w:rPr>
        <w:b/>
        <w:noProof/>
        <w:color w:val="000000"/>
      </w:rPr>
      <w:t>50</w:t>
    </w:r>
    <w:r>
      <w:rPr>
        <w:b/>
        <w:color w:val="000000"/>
      </w:rPr>
      <w:fldChar w:fldCharType="end"/>
    </w:r>
  </w:p>
  <w:p w14:paraId="31E8C012" w14:textId="77777777" w:rsidR="00FE0D3E" w:rsidRDefault="00FE0D3E">
    <w:pPr>
      <w:pBdr>
        <w:top w:val="nil"/>
        <w:left w:val="nil"/>
        <w:bottom w:val="nil"/>
        <w:right w:val="nil"/>
        <w:between w:val="nil"/>
      </w:pBdr>
      <w:tabs>
        <w:tab w:val="center" w:pos="4419"/>
        <w:tab w:val="right" w:pos="8838"/>
      </w:tabs>
      <w:rPr>
        <w:color w:val="000000"/>
      </w:rPr>
    </w:pPr>
  </w:p>
  <w:p w14:paraId="3ADEB1DD" w14:textId="77777777" w:rsidR="00FE0D3E" w:rsidRDefault="00FE0D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6AB9EE" w14:textId="77777777" w:rsidR="00FE0D3E" w:rsidRDefault="00FE0D3E">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B13545">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B13545">
      <w:rPr>
        <w:b/>
        <w:noProof/>
        <w:color w:val="000000"/>
      </w:rPr>
      <w:t>50</w:t>
    </w:r>
    <w:r>
      <w:rPr>
        <w:b/>
        <w:color w:val="000000"/>
      </w:rPr>
      <w:fldChar w:fldCharType="end"/>
    </w:r>
  </w:p>
  <w:p w14:paraId="126BB867" w14:textId="77777777" w:rsidR="00FE0D3E" w:rsidRDefault="00FE0D3E">
    <w:pPr>
      <w:pBdr>
        <w:top w:val="nil"/>
        <w:left w:val="nil"/>
        <w:bottom w:val="nil"/>
        <w:right w:val="nil"/>
        <w:between w:val="nil"/>
      </w:pBdr>
      <w:tabs>
        <w:tab w:val="center" w:pos="4419"/>
        <w:tab w:val="right" w:pos="8838"/>
      </w:tabs>
      <w:rPr>
        <w:color w:val="000000"/>
      </w:rPr>
    </w:pPr>
  </w:p>
  <w:p w14:paraId="2C5D0987" w14:textId="77777777" w:rsidR="00FE0D3E" w:rsidRDefault="00FE0D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61C160" w14:textId="77777777" w:rsidR="00062B7E" w:rsidRDefault="00062B7E" w:rsidP="00085838">
      <w:r>
        <w:separator/>
      </w:r>
    </w:p>
  </w:footnote>
  <w:footnote w:type="continuationSeparator" w:id="0">
    <w:p w14:paraId="7F2CFEEB" w14:textId="77777777" w:rsidR="00062B7E" w:rsidRDefault="00062B7E" w:rsidP="00085838">
      <w:r>
        <w:continuationSeparator/>
      </w:r>
    </w:p>
  </w:footnote>
  <w:footnote w:id="1">
    <w:p w14:paraId="7587D81D" w14:textId="77777777" w:rsidR="00FE0D3E" w:rsidRDefault="00FE0D3E" w:rsidP="00790C86">
      <w:pPr>
        <w:pBdr>
          <w:top w:val="nil"/>
          <w:left w:val="nil"/>
          <w:bottom w:val="nil"/>
          <w:right w:val="nil"/>
          <w:between w:val="nil"/>
        </w:pBdr>
        <w:rPr>
          <w:rFonts w:ascii="Calibri" w:eastAsia="Calibri" w:hAnsi="Calibri" w:cs="Calibri"/>
          <w:i/>
          <w:color w:val="000000"/>
          <w:sz w:val="18"/>
          <w:szCs w:val="18"/>
        </w:rPr>
      </w:pPr>
      <w:r>
        <w:rPr>
          <w:vertAlign w:val="superscript"/>
        </w:rPr>
        <w:footnoteRef/>
      </w:r>
      <w:r>
        <w:rPr>
          <w:rFonts w:ascii="Calibri" w:eastAsia="Calibri" w:hAnsi="Calibri" w:cs="Calibri"/>
          <w:color w:val="000000"/>
          <w:sz w:val="20"/>
          <w:szCs w:val="20"/>
        </w:rPr>
        <w:t xml:space="preserve"> </w:t>
      </w:r>
      <w:hyperlink r:id="rId1">
        <w:r>
          <w:rPr>
            <w:rFonts w:ascii="Calibri" w:eastAsia="Calibri" w:hAnsi="Calibri" w:cs="Calibri"/>
            <w:i/>
            <w:color w:val="0563C1"/>
            <w:sz w:val="18"/>
            <w:szCs w:val="18"/>
            <w:u w:val="single"/>
          </w:rPr>
          <w:t>https://opendatacharter.net/principles-es/</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85407" w14:textId="77777777" w:rsidR="00FE0D3E" w:rsidRDefault="00062B7E">
    <w:pPr>
      <w:pBdr>
        <w:top w:val="nil"/>
        <w:left w:val="nil"/>
        <w:bottom w:val="nil"/>
        <w:right w:val="nil"/>
        <w:between w:val="nil"/>
      </w:pBdr>
      <w:tabs>
        <w:tab w:val="center" w:pos="4419"/>
        <w:tab w:val="right" w:pos="8838"/>
      </w:tabs>
      <w:rPr>
        <w:color w:val="000000"/>
      </w:rPr>
    </w:pPr>
    <w:r>
      <w:rPr>
        <w:color w:val="000000"/>
      </w:rPr>
      <w:pict w14:anchorId="3F50E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alt="" style="position:absolute;margin-left:0;margin-top:0;width:589.8pt;height:768pt;z-index:-251655168;mso-position-horizontal:center;mso-position-horizontal-relative:margin;mso-position-vertical:center;mso-position-vertical-relative:margin">
          <v:imagedata r:id="rId1" o:title="image1"/>
          <w10:wrap anchorx="margin" anchory="margin"/>
        </v:shape>
      </w:pict>
    </w:r>
  </w:p>
  <w:p w14:paraId="03698702" w14:textId="77777777" w:rsidR="00FE0D3E" w:rsidRDefault="00FE0D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BF337" w14:textId="1147174C" w:rsidR="00FE0D3E" w:rsidRDefault="00062B7E">
    <w:pPr>
      <w:widowControl w:val="0"/>
      <w:pBdr>
        <w:top w:val="nil"/>
        <w:left w:val="nil"/>
        <w:bottom w:val="nil"/>
        <w:right w:val="nil"/>
        <w:between w:val="nil"/>
      </w:pBdr>
      <w:spacing w:line="276" w:lineRule="auto"/>
      <w:rPr>
        <w:color w:val="000000"/>
      </w:rPr>
    </w:pPr>
    <w:r>
      <w:rPr>
        <w:color w:val="000000"/>
      </w:rPr>
      <w:pict w14:anchorId="1CFB10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 style="position:absolute;margin-left:-79.65pt;margin-top:-145.1pt;width:589.8pt;height:768pt;z-index:-251657216;mso-position-horizontal-relative:margin;mso-position-vertical-relative:margin">
          <v:imagedata r:id="rId1" o:title="image1"/>
          <w10:wrap anchorx="margin" anchory="margin"/>
        </v:shape>
      </w:pict>
    </w:r>
  </w:p>
  <w:p w14:paraId="1DCE8423" w14:textId="77777777" w:rsidR="00FE0D3E" w:rsidRDefault="00FE0D3E">
    <w:pPr>
      <w:widowControl w:val="0"/>
      <w:pBdr>
        <w:top w:val="nil"/>
        <w:left w:val="nil"/>
        <w:bottom w:val="nil"/>
        <w:right w:val="nil"/>
        <w:between w:val="nil"/>
      </w:pBdr>
      <w:spacing w:line="276" w:lineRule="auto"/>
      <w:rPr>
        <w:color w:val="000000"/>
      </w:rPr>
    </w:pPr>
  </w:p>
  <w:tbl>
    <w:tblPr>
      <w:tblW w:w="6396" w:type="dxa"/>
      <w:tblInd w:w="3452" w:type="dxa"/>
      <w:tblLayout w:type="fixed"/>
      <w:tblLook w:val="0400" w:firstRow="0" w:lastRow="0" w:firstColumn="0" w:lastColumn="0" w:noHBand="0" w:noVBand="1"/>
    </w:tblPr>
    <w:tblGrid>
      <w:gridCol w:w="2689"/>
      <w:gridCol w:w="3707"/>
    </w:tblGrid>
    <w:tr w:rsidR="00FE0D3E" w14:paraId="2ABE3396" w14:textId="77777777" w:rsidTr="000E17CF">
      <w:trPr>
        <w:trHeight w:val="73"/>
      </w:trPr>
      <w:tc>
        <w:tcPr>
          <w:tcW w:w="2689" w:type="dxa"/>
          <w:tcBorders>
            <w:top w:val="nil"/>
            <w:left w:val="nil"/>
            <w:bottom w:val="nil"/>
            <w:right w:val="nil"/>
          </w:tcBorders>
        </w:tcPr>
        <w:p w14:paraId="4CC5F7FA" w14:textId="77777777" w:rsidR="00FE0D3E" w:rsidRDefault="00FE0D3E" w:rsidP="000E17CF">
          <w:pPr>
            <w:tabs>
              <w:tab w:val="right" w:pos="8838"/>
            </w:tabs>
            <w:ind w:left="-264" w:right="-105" w:firstLine="195"/>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707" w:type="dxa"/>
          <w:tcBorders>
            <w:top w:val="nil"/>
            <w:left w:val="nil"/>
            <w:bottom w:val="nil"/>
            <w:right w:val="nil"/>
          </w:tcBorders>
        </w:tcPr>
        <w:p w14:paraId="61C702AB" w14:textId="493015C6" w:rsidR="00FE0D3E" w:rsidRDefault="00FE0D3E" w:rsidP="008818F1">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02258/INFOEM/IP/RR/2024</w:t>
          </w:r>
        </w:p>
      </w:tc>
    </w:tr>
    <w:tr w:rsidR="00FE0D3E" w14:paraId="0FC0DE65" w14:textId="77777777" w:rsidTr="000E17CF">
      <w:trPr>
        <w:trHeight w:val="144"/>
      </w:trPr>
      <w:tc>
        <w:tcPr>
          <w:tcW w:w="2689" w:type="dxa"/>
          <w:tcBorders>
            <w:top w:val="nil"/>
            <w:left w:val="nil"/>
            <w:bottom w:val="nil"/>
            <w:right w:val="nil"/>
          </w:tcBorders>
        </w:tcPr>
        <w:p w14:paraId="5DCDD6AF" w14:textId="77777777" w:rsidR="00FE0D3E" w:rsidRDefault="00FE0D3E" w:rsidP="000E17C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707" w:type="dxa"/>
          <w:tcBorders>
            <w:top w:val="nil"/>
            <w:left w:val="nil"/>
            <w:bottom w:val="nil"/>
            <w:right w:val="nil"/>
          </w:tcBorders>
        </w:tcPr>
        <w:p w14:paraId="3CB1E592" w14:textId="77777777" w:rsidR="00FE0D3E" w:rsidRDefault="00FE0D3E" w:rsidP="000E17CF">
          <w:pPr>
            <w:tabs>
              <w:tab w:val="left" w:pos="2834"/>
            </w:tabs>
            <w:ind w:left="-74" w:right="-1415"/>
            <w:rPr>
              <w:rFonts w:ascii="Palatino Linotype" w:eastAsia="Palatino Linotype" w:hAnsi="Palatino Linotype" w:cs="Palatino Linotype"/>
            </w:rPr>
          </w:pPr>
          <w:r>
            <w:rPr>
              <w:rFonts w:ascii="Palatino Linotype" w:eastAsia="Palatino Linotype" w:hAnsi="Palatino Linotype" w:cs="Palatino Linotype"/>
            </w:rPr>
            <w:t>Secretaría de Movilidad</w:t>
          </w:r>
        </w:p>
      </w:tc>
    </w:tr>
    <w:tr w:rsidR="00FE0D3E" w14:paraId="7747D9EA" w14:textId="77777777" w:rsidTr="000E17CF">
      <w:trPr>
        <w:trHeight w:val="144"/>
      </w:trPr>
      <w:tc>
        <w:tcPr>
          <w:tcW w:w="2689" w:type="dxa"/>
          <w:tcBorders>
            <w:top w:val="nil"/>
            <w:left w:val="nil"/>
            <w:bottom w:val="nil"/>
            <w:right w:val="nil"/>
          </w:tcBorders>
        </w:tcPr>
        <w:p w14:paraId="75207FB0" w14:textId="77777777" w:rsidR="00FE0D3E" w:rsidRDefault="00FE0D3E" w:rsidP="000E17CF">
          <w:pPr>
            <w:tabs>
              <w:tab w:val="right" w:pos="8838"/>
            </w:tabs>
            <w:ind w:left="-74" w:right="-105"/>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707" w:type="dxa"/>
          <w:tcBorders>
            <w:top w:val="nil"/>
            <w:left w:val="nil"/>
            <w:bottom w:val="nil"/>
            <w:right w:val="nil"/>
          </w:tcBorders>
        </w:tcPr>
        <w:p w14:paraId="7ACF6936" w14:textId="77777777" w:rsidR="00FE0D3E" w:rsidRDefault="00FE0D3E" w:rsidP="000E17CF">
          <w:pPr>
            <w:tabs>
              <w:tab w:val="right" w:pos="8838"/>
            </w:tabs>
            <w:ind w:left="-74" w:right="-1415"/>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02043A93" w14:textId="77777777" w:rsidR="00FE0D3E" w:rsidRDefault="00FE0D3E" w:rsidP="000E17CF">
          <w:pPr>
            <w:tabs>
              <w:tab w:val="right" w:pos="8838"/>
            </w:tabs>
            <w:ind w:left="-74" w:right="-1415"/>
            <w:rPr>
              <w:rFonts w:ascii="Palatino Linotype" w:eastAsia="Palatino Linotype" w:hAnsi="Palatino Linotype" w:cs="Palatino Linotype"/>
              <w:b/>
            </w:rPr>
          </w:pPr>
        </w:p>
      </w:tc>
    </w:tr>
  </w:tbl>
  <w:p w14:paraId="4EB8376F" w14:textId="77777777" w:rsidR="00FE0D3E" w:rsidRDefault="00FE0D3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268D4" w14:textId="4CE1DCF0" w:rsidR="00FE0D3E" w:rsidRDefault="00062B7E">
    <w:pPr>
      <w:widowControl w:val="0"/>
      <w:pBdr>
        <w:top w:val="nil"/>
        <w:left w:val="nil"/>
        <w:bottom w:val="nil"/>
        <w:right w:val="nil"/>
        <w:between w:val="nil"/>
      </w:pBdr>
      <w:spacing w:line="276" w:lineRule="auto"/>
      <w:rPr>
        <w:color w:val="000000"/>
        <w:sz w:val="14"/>
        <w:szCs w:val="14"/>
      </w:rPr>
    </w:pPr>
    <w:r>
      <w:rPr>
        <w:color w:val="000000"/>
      </w:rPr>
      <w:pict w14:anchorId="66B07F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 style="position:absolute;margin-left:-68.8pt;margin-top:-156.1pt;width:589.8pt;height:768pt;z-index:-251656192;mso-position-horizontal-relative:margin;mso-position-vertical-relative:margin">
          <v:imagedata r:id="rId1" o:title="image1"/>
          <w10:wrap anchorx="margin" anchory="margin"/>
        </v:shape>
      </w:pict>
    </w:r>
  </w:p>
  <w:tbl>
    <w:tblPr>
      <w:tblW w:w="9915" w:type="dxa"/>
      <w:tblLayout w:type="fixed"/>
      <w:tblLook w:val="0400" w:firstRow="0" w:lastRow="0" w:firstColumn="0" w:lastColumn="0" w:noHBand="0" w:noVBand="1"/>
    </w:tblPr>
    <w:tblGrid>
      <w:gridCol w:w="2265"/>
      <w:gridCol w:w="7650"/>
    </w:tblGrid>
    <w:tr w:rsidR="00FE0D3E" w14:paraId="680114EA" w14:textId="77777777">
      <w:trPr>
        <w:trHeight w:val="2514"/>
      </w:trPr>
      <w:tc>
        <w:tcPr>
          <w:tcW w:w="2265" w:type="dxa"/>
        </w:tcPr>
        <w:p w14:paraId="7A6C783C" w14:textId="77777777" w:rsidR="00FE0D3E" w:rsidRDefault="00FE0D3E">
          <w:pPr>
            <w:tabs>
              <w:tab w:val="right" w:pos="4273"/>
            </w:tabs>
            <w:rPr>
              <w:rFonts w:ascii="Garamond" w:eastAsia="Garamond" w:hAnsi="Garamond" w:cs="Garamond"/>
            </w:rPr>
          </w:pPr>
        </w:p>
      </w:tc>
      <w:tc>
        <w:tcPr>
          <w:tcW w:w="7650" w:type="dxa"/>
        </w:tcPr>
        <w:p w14:paraId="2E4D934E" w14:textId="77777777" w:rsidR="00FE0D3E" w:rsidRDefault="00FE0D3E">
          <w:pPr>
            <w:widowControl w:val="0"/>
            <w:pBdr>
              <w:top w:val="nil"/>
              <w:left w:val="nil"/>
              <w:bottom w:val="nil"/>
              <w:right w:val="nil"/>
              <w:between w:val="nil"/>
            </w:pBdr>
            <w:spacing w:line="276" w:lineRule="auto"/>
            <w:rPr>
              <w:rFonts w:ascii="Garamond" w:eastAsia="Garamond" w:hAnsi="Garamond" w:cs="Garamond"/>
            </w:rPr>
          </w:pPr>
        </w:p>
        <w:tbl>
          <w:tblPr>
            <w:tblW w:w="6690" w:type="dxa"/>
            <w:tblInd w:w="700" w:type="dxa"/>
            <w:tblLayout w:type="fixed"/>
            <w:tblLook w:val="0400" w:firstRow="0" w:lastRow="0" w:firstColumn="0" w:lastColumn="0" w:noHBand="0" w:noVBand="1"/>
          </w:tblPr>
          <w:tblGrid>
            <w:gridCol w:w="2807"/>
            <w:gridCol w:w="3883"/>
          </w:tblGrid>
          <w:tr w:rsidR="00FE0D3E" w14:paraId="746C4C57" w14:textId="77777777">
            <w:trPr>
              <w:trHeight w:val="144"/>
            </w:trPr>
            <w:tc>
              <w:tcPr>
                <w:tcW w:w="2807" w:type="dxa"/>
                <w:tcBorders>
                  <w:top w:val="nil"/>
                  <w:left w:val="nil"/>
                  <w:bottom w:val="nil"/>
                  <w:right w:val="nil"/>
                </w:tcBorders>
              </w:tcPr>
              <w:p w14:paraId="7118D466" w14:textId="77777777" w:rsidR="00FE0D3E" w:rsidRDefault="00FE0D3E">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Recurso de Revisión:</w:t>
                </w:r>
              </w:p>
            </w:tc>
            <w:tc>
              <w:tcPr>
                <w:tcW w:w="3883" w:type="dxa"/>
                <w:tcBorders>
                  <w:top w:val="nil"/>
                  <w:left w:val="nil"/>
                  <w:bottom w:val="nil"/>
                  <w:right w:val="nil"/>
                </w:tcBorders>
              </w:tcPr>
              <w:p w14:paraId="60994EAE" w14:textId="2FECF57E" w:rsidR="00FE0D3E" w:rsidRDefault="00FE0D3E" w:rsidP="004C5BBD">
                <w:pPr>
                  <w:ind w:right="-494"/>
                  <w:rPr>
                    <w:rFonts w:ascii="Palatino Linotype" w:eastAsia="Palatino Linotype" w:hAnsi="Palatino Linotype" w:cs="Palatino Linotype"/>
                  </w:rPr>
                </w:pPr>
                <w:r>
                  <w:rPr>
                    <w:rFonts w:ascii="Palatino Linotype" w:eastAsia="Palatino Linotype" w:hAnsi="Palatino Linotype" w:cs="Palatino Linotype"/>
                  </w:rPr>
                  <w:t>02258/INFOEM/IP/RR/2024</w:t>
                </w:r>
              </w:p>
            </w:tc>
          </w:tr>
          <w:tr w:rsidR="00FE0D3E" w14:paraId="29604BD1" w14:textId="77777777">
            <w:trPr>
              <w:trHeight w:val="144"/>
            </w:trPr>
            <w:tc>
              <w:tcPr>
                <w:tcW w:w="2807" w:type="dxa"/>
                <w:tcBorders>
                  <w:top w:val="nil"/>
                  <w:left w:val="nil"/>
                  <w:bottom w:val="nil"/>
                  <w:right w:val="nil"/>
                </w:tcBorders>
              </w:tcPr>
              <w:p w14:paraId="79B98B5B" w14:textId="77777777" w:rsidR="00FE0D3E" w:rsidRDefault="00FE0D3E">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83" w:type="dxa"/>
                <w:tcBorders>
                  <w:top w:val="nil"/>
                  <w:left w:val="nil"/>
                  <w:bottom w:val="nil"/>
                  <w:right w:val="nil"/>
                </w:tcBorders>
              </w:tcPr>
              <w:p w14:paraId="5E2415AC" w14:textId="5D8DCC9F" w:rsidR="00FE0D3E" w:rsidRDefault="00B13545" w:rsidP="009C2340">
                <w:pPr>
                  <w:tabs>
                    <w:tab w:val="left" w:pos="3827"/>
                  </w:tabs>
                  <w:ind w:right="-494"/>
                  <w:rPr>
                    <w:rFonts w:ascii="Palatino Linotype" w:eastAsia="Palatino Linotype" w:hAnsi="Palatino Linotype" w:cs="Palatino Linotype"/>
                  </w:rPr>
                </w:pPr>
                <w:r>
                  <w:rPr>
                    <w:rFonts w:ascii="Palatino Linotype" w:eastAsia="Palatino Linotype" w:hAnsi="Palatino Linotype" w:cs="Palatino Linotype"/>
                  </w:rPr>
                  <w:t>XXXXXXXXXX</w:t>
                </w:r>
              </w:p>
            </w:tc>
          </w:tr>
          <w:tr w:rsidR="00FE0D3E" w14:paraId="613C36AF" w14:textId="77777777">
            <w:trPr>
              <w:trHeight w:val="283"/>
            </w:trPr>
            <w:tc>
              <w:tcPr>
                <w:tcW w:w="2807" w:type="dxa"/>
                <w:tcBorders>
                  <w:top w:val="nil"/>
                  <w:left w:val="nil"/>
                  <w:bottom w:val="nil"/>
                  <w:right w:val="nil"/>
                </w:tcBorders>
              </w:tcPr>
              <w:p w14:paraId="6E494CB7" w14:textId="77777777" w:rsidR="00FE0D3E" w:rsidRDefault="00FE0D3E">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83" w:type="dxa"/>
                <w:tcBorders>
                  <w:top w:val="nil"/>
                  <w:left w:val="nil"/>
                  <w:bottom w:val="nil"/>
                  <w:right w:val="nil"/>
                </w:tcBorders>
              </w:tcPr>
              <w:p w14:paraId="0D1106BD" w14:textId="43BE0BFF" w:rsidR="00FE0D3E" w:rsidRDefault="00FE0D3E" w:rsidP="009C2340">
                <w:pPr>
                  <w:tabs>
                    <w:tab w:val="left" w:pos="2834"/>
                  </w:tabs>
                  <w:ind w:right="-494"/>
                  <w:rPr>
                    <w:rFonts w:ascii="Palatino Linotype" w:eastAsia="Palatino Linotype" w:hAnsi="Palatino Linotype" w:cs="Palatino Linotype"/>
                  </w:rPr>
                </w:pPr>
                <w:r>
                  <w:rPr>
                    <w:rFonts w:ascii="Palatino Linotype" w:eastAsia="Palatino Linotype" w:hAnsi="Palatino Linotype" w:cs="Palatino Linotype"/>
                  </w:rPr>
                  <w:t>Secretaría de Movilidad</w:t>
                </w:r>
              </w:p>
            </w:tc>
          </w:tr>
          <w:tr w:rsidR="00FE0D3E" w14:paraId="7AB18ED1" w14:textId="77777777">
            <w:trPr>
              <w:trHeight w:val="283"/>
            </w:trPr>
            <w:tc>
              <w:tcPr>
                <w:tcW w:w="2807" w:type="dxa"/>
                <w:tcBorders>
                  <w:top w:val="nil"/>
                  <w:left w:val="nil"/>
                  <w:bottom w:val="nil"/>
                  <w:right w:val="nil"/>
                </w:tcBorders>
              </w:tcPr>
              <w:p w14:paraId="5E0AAFFD" w14:textId="77777777" w:rsidR="00FE0D3E" w:rsidRDefault="00FE0D3E">
                <w:pPr>
                  <w:tabs>
                    <w:tab w:val="right" w:pos="8838"/>
                  </w:tabs>
                  <w:ind w:right="16"/>
                  <w:rPr>
                    <w:rFonts w:ascii="Palatino Linotype" w:eastAsia="Palatino Linotype" w:hAnsi="Palatino Linotype" w:cs="Palatino Linotype"/>
                    <w:b/>
                  </w:rPr>
                </w:pPr>
                <w:r>
                  <w:rPr>
                    <w:rFonts w:ascii="Palatino Linotype" w:eastAsia="Palatino Linotype" w:hAnsi="Palatino Linotype" w:cs="Palatino Linotype"/>
                    <w:b/>
                  </w:rPr>
                  <w:t>Comisionada ponente:</w:t>
                </w:r>
              </w:p>
            </w:tc>
            <w:tc>
              <w:tcPr>
                <w:tcW w:w="3883" w:type="dxa"/>
                <w:tcBorders>
                  <w:top w:val="nil"/>
                  <w:left w:val="nil"/>
                  <w:bottom w:val="nil"/>
                  <w:right w:val="nil"/>
                </w:tcBorders>
              </w:tcPr>
              <w:p w14:paraId="5B0E63A3" w14:textId="77777777" w:rsidR="00FE0D3E" w:rsidRDefault="00FE0D3E">
                <w:pPr>
                  <w:ind w:right="-49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p w14:paraId="52113F2D" w14:textId="77777777" w:rsidR="00FE0D3E" w:rsidRDefault="00FE0D3E">
                <w:pPr>
                  <w:ind w:right="-494"/>
                  <w:rPr>
                    <w:rFonts w:ascii="Palatino Linotype" w:eastAsia="Palatino Linotype" w:hAnsi="Palatino Linotype" w:cs="Palatino Linotype"/>
                    <w:b/>
                  </w:rPr>
                </w:pPr>
              </w:p>
            </w:tc>
          </w:tr>
        </w:tbl>
        <w:p w14:paraId="08C0D03B" w14:textId="77777777" w:rsidR="00FE0D3E" w:rsidRDefault="00FE0D3E">
          <w:pPr>
            <w:tabs>
              <w:tab w:val="right" w:pos="8838"/>
            </w:tabs>
            <w:ind w:left="-28"/>
            <w:jc w:val="both"/>
            <w:rPr>
              <w:rFonts w:ascii="Arial" w:eastAsia="Arial" w:hAnsi="Arial" w:cs="Arial"/>
              <w:b/>
            </w:rPr>
          </w:pPr>
        </w:p>
      </w:tc>
    </w:tr>
  </w:tbl>
  <w:p w14:paraId="0C8C38AA" w14:textId="612E6B93" w:rsidR="00FE0D3E" w:rsidRDefault="00FE0D3E">
    <w:pPr>
      <w:pBdr>
        <w:top w:val="nil"/>
        <w:left w:val="nil"/>
        <w:bottom w:val="nil"/>
        <w:right w:val="nil"/>
        <w:between w:val="nil"/>
      </w:pBdr>
      <w:tabs>
        <w:tab w:val="center" w:pos="4419"/>
        <w:tab w:val="right" w:pos="8838"/>
      </w:tabs>
      <w:rPr>
        <w:color w:val="000000"/>
        <w:sz w:val="2"/>
        <w:szCs w:val="2"/>
      </w:rPr>
    </w:pPr>
  </w:p>
  <w:p w14:paraId="55BA9E34" w14:textId="77777777" w:rsidR="00FE0D3E" w:rsidRDefault="00FE0D3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5E2DBE"/>
    <w:multiLevelType w:val="multilevel"/>
    <w:tmpl w:val="F3861A6A"/>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E7738D"/>
    <w:multiLevelType w:val="hybridMultilevel"/>
    <w:tmpl w:val="82E86E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2F26FB"/>
    <w:multiLevelType w:val="hybridMultilevel"/>
    <w:tmpl w:val="439E6A34"/>
    <w:lvl w:ilvl="0" w:tplc="AB185D8C">
      <w:start w:val="1"/>
      <w:numFmt w:val="low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3" w15:restartNumberingAfterBreak="0">
    <w:nsid w:val="0FCD4D37"/>
    <w:multiLevelType w:val="multilevel"/>
    <w:tmpl w:val="34D8BD3A"/>
    <w:lvl w:ilvl="0">
      <w:start w:val="1"/>
      <w:numFmt w:val="decimal"/>
      <w:lvlText w:val="%1."/>
      <w:lvlJc w:val="left"/>
      <w:pPr>
        <w:ind w:left="475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1997"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69B7535"/>
    <w:multiLevelType w:val="hybridMultilevel"/>
    <w:tmpl w:val="A762F62C"/>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5" w15:restartNumberingAfterBreak="0">
    <w:nsid w:val="1C0363A9"/>
    <w:multiLevelType w:val="multilevel"/>
    <w:tmpl w:val="83AA9744"/>
    <w:lvl w:ilvl="0">
      <w:start w:val="1"/>
      <w:numFmt w:val="decimal"/>
      <w:lvlText w:val="%1."/>
      <w:lvlJc w:val="left"/>
      <w:pPr>
        <w:ind w:left="928" w:hanging="360"/>
      </w:pPr>
      <w:rPr>
        <w:rFonts w:ascii="Palatino Linotype" w:hAnsi="Palatino Linotype" w:hint="default"/>
        <w:b/>
        <w:i w:val="0"/>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5206BF"/>
    <w:multiLevelType w:val="hybridMultilevel"/>
    <w:tmpl w:val="7DC42EB6"/>
    <w:lvl w:ilvl="0" w:tplc="080A000B">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7" w15:restartNumberingAfterBreak="0">
    <w:nsid w:val="2DE14CD8"/>
    <w:multiLevelType w:val="multilevel"/>
    <w:tmpl w:val="983A81B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26631A2"/>
    <w:multiLevelType w:val="multilevel"/>
    <w:tmpl w:val="46267782"/>
    <w:lvl w:ilvl="0">
      <w:start w:val="1"/>
      <w:numFmt w:val="lowerLetter"/>
      <w:lvlText w:val="%1)"/>
      <w:lvlJc w:val="left"/>
      <w:pPr>
        <w:ind w:left="1440" w:hanging="360"/>
      </w:pPr>
      <w:rPr>
        <w:b/>
        <w:bCs/>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33A200DB"/>
    <w:multiLevelType w:val="hybridMultilevel"/>
    <w:tmpl w:val="62C8ED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69E16FA"/>
    <w:multiLevelType w:val="multilevel"/>
    <w:tmpl w:val="6F4AEF44"/>
    <w:lvl w:ilvl="0">
      <w:start w:val="1"/>
      <w:numFmt w:val="bullet"/>
      <w:pStyle w:val="Listaconvietas3"/>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AD8321B"/>
    <w:multiLevelType w:val="hybridMultilevel"/>
    <w:tmpl w:val="465E0190"/>
    <w:lvl w:ilvl="0" w:tplc="5650BC10">
      <w:start w:val="29"/>
      <w:numFmt w:val="decimal"/>
      <w:lvlText w:val="%1."/>
      <w:lvlJc w:val="left"/>
      <w:pPr>
        <w:ind w:left="3621" w:hanging="360"/>
      </w:pPr>
      <w:rPr>
        <w:rFonts w:cs="Times New Roman" w:hint="default"/>
        <w:b/>
        <w:i w:val="0"/>
      </w:rPr>
    </w:lvl>
    <w:lvl w:ilvl="1" w:tplc="080A0019" w:tentative="1">
      <w:start w:val="1"/>
      <w:numFmt w:val="lowerLetter"/>
      <w:lvlText w:val="%2."/>
      <w:lvlJc w:val="left"/>
      <w:pPr>
        <w:ind w:left="4341" w:hanging="360"/>
      </w:pPr>
      <w:rPr>
        <w:rFonts w:cs="Times New Roman"/>
      </w:rPr>
    </w:lvl>
    <w:lvl w:ilvl="2" w:tplc="080A001B" w:tentative="1">
      <w:start w:val="1"/>
      <w:numFmt w:val="lowerRoman"/>
      <w:lvlText w:val="%3."/>
      <w:lvlJc w:val="right"/>
      <w:pPr>
        <w:ind w:left="5061" w:hanging="180"/>
      </w:pPr>
      <w:rPr>
        <w:rFonts w:cs="Times New Roman"/>
      </w:rPr>
    </w:lvl>
    <w:lvl w:ilvl="3" w:tplc="080A000F" w:tentative="1">
      <w:start w:val="1"/>
      <w:numFmt w:val="decimal"/>
      <w:lvlText w:val="%4."/>
      <w:lvlJc w:val="left"/>
      <w:pPr>
        <w:ind w:left="5781" w:hanging="360"/>
      </w:pPr>
      <w:rPr>
        <w:rFonts w:cs="Times New Roman"/>
      </w:rPr>
    </w:lvl>
    <w:lvl w:ilvl="4" w:tplc="080A0019" w:tentative="1">
      <w:start w:val="1"/>
      <w:numFmt w:val="lowerLetter"/>
      <w:lvlText w:val="%5."/>
      <w:lvlJc w:val="left"/>
      <w:pPr>
        <w:ind w:left="6501" w:hanging="360"/>
      </w:pPr>
      <w:rPr>
        <w:rFonts w:cs="Times New Roman"/>
      </w:rPr>
    </w:lvl>
    <w:lvl w:ilvl="5" w:tplc="080A001B" w:tentative="1">
      <w:start w:val="1"/>
      <w:numFmt w:val="lowerRoman"/>
      <w:lvlText w:val="%6."/>
      <w:lvlJc w:val="right"/>
      <w:pPr>
        <w:ind w:left="7221" w:hanging="180"/>
      </w:pPr>
      <w:rPr>
        <w:rFonts w:cs="Times New Roman"/>
      </w:rPr>
    </w:lvl>
    <w:lvl w:ilvl="6" w:tplc="080A000F" w:tentative="1">
      <w:start w:val="1"/>
      <w:numFmt w:val="decimal"/>
      <w:lvlText w:val="%7."/>
      <w:lvlJc w:val="left"/>
      <w:pPr>
        <w:ind w:left="7941" w:hanging="360"/>
      </w:pPr>
      <w:rPr>
        <w:rFonts w:cs="Times New Roman"/>
      </w:rPr>
    </w:lvl>
    <w:lvl w:ilvl="7" w:tplc="080A0019" w:tentative="1">
      <w:start w:val="1"/>
      <w:numFmt w:val="lowerLetter"/>
      <w:lvlText w:val="%8."/>
      <w:lvlJc w:val="left"/>
      <w:pPr>
        <w:ind w:left="8661" w:hanging="360"/>
      </w:pPr>
      <w:rPr>
        <w:rFonts w:cs="Times New Roman"/>
      </w:rPr>
    </w:lvl>
    <w:lvl w:ilvl="8" w:tplc="080A001B" w:tentative="1">
      <w:start w:val="1"/>
      <w:numFmt w:val="lowerRoman"/>
      <w:lvlText w:val="%9."/>
      <w:lvlJc w:val="right"/>
      <w:pPr>
        <w:ind w:left="9381" w:hanging="180"/>
      </w:pPr>
      <w:rPr>
        <w:rFonts w:cs="Times New Roman"/>
      </w:rPr>
    </w:lvl>
  </w:abstractNum>
  <w:abstractNum w:abstractNumId="12" w15:restartNumberingAfterBreak="0">
    <w:nsid w:val="46FC6A70"/>
    <w:multiLevelType w:val="hybridMultilevel"/>
    <w:tmpl w:val="42B697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9131D06"/>
    <w:multiLevelType w:val="hybridMultilevel"/>
    <w:tmpl w:val="B0183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B3B4B87"/>
    <w:multiLevelType w:val="hybridMultilevel"/>
    <w:tmpl w:val="7DA252E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1EB0D53"/>
    <w:multiLevelType w:val="hybridMultilevel"/>
    <w:tmpl w:val="10784592"/>
    <w:lvl w:ilvl="0" w:tplc="080A000B">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7AB53EB0"/>
    <w:multiLevelType w:val="hybridMultilevel"/>
    <w:tmpl w:val="0FB85ED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4"/>
  </w:num>
  <w:num w:numId="4">
    <w:abstractNumId w:val="16"/>
  </w:num>
  <w:num w:numId="5">
    <w:abstractNumId w:val="9"/>
  </w:num>
  <w:num w:numId="6">
    <w:abstractNumId w:val="13"/>
  </w:num>
  <w:num w:numId="7">
    <w:abstractNumId w:val="15"/>
  </w:num>
  <w:num w:numId="8">
    <w:abstractNumId w:val="11"/>
  </w:num>
  <w:num w:numId="9">
    <w:abstractNumId w:val="0"/>
  </w:num>
  <w:num w:numId="10">
    <w:abstractNumId w:val="6"/>
  </w:num>
  <w:num w:numId="11">
    <w:abstractNumId w:val="1"/>
  </w:num>
  <w:num w:numId="12">
    <w:abstractNumId w:val="12"/>
  </w:num>
  <w:num w:numId="13">
    <w:abstractNumId w:val="4"/>
  </w:num>
  <w:num w:numId="14">
    <w:abstractNumId w:val="2"/>
  </w:num>
  <w:num w:numId="15">
    <w:abstractNumId w:val="10"/>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838"/>
    <w:rsid w:val="00000800"/>
    <w:rsid w:val="00001E73"/>
    <w:rsid w:val="00002426"/>
    <w:rsid w:val="00003941"/>
    <w:rsid w:val="00005992"/>
    <w:rsid w:val="000273F4"/>
    <w:rsid w:val="00031752"/>
    <w:rsid w:val="00035B60"/>
    <w:rsid w:val="000361D3"/>
    <w:rsid w:val="00037C7B"/>
    <w:rsid w:val="000406B4"/>
    <w:rsid w:val="0004141F"/>
    <w:rsid w:val="00045DAA"/>
    <w:rsid w:val="0005008E"/>
    <w:rsid w:val="00053011"/>
    <w:rsid w:val="00053267"/>
    <w:rsid w:val="00053388"/>
    <w:rsid w:val="000534FA"/>
    <w:rsid w:val="000538C7"/>
    <w:rsid w:val="00054226"/>
    <w:rsid w:val="00054FD3"/>
    <w:rsid w:val="00062B7E"/>
    <w:rsid w:val="00063C70"/>
    <w:rsid w:val="00063D9A"/>
    <w:rsid w:val="000659BF"/>
    <w:rsid w:val="0006706C"/>
    <w:rsid w:val="00072CDD"/>
    <w:rsid w:val="00076595"/>
    <w:rsid w:val="00081E6B"/>
    <w:rsid w:val="000822E8"/>
    <w:rsid w:val="00084FED"/>
    <w:rsid w:val="00085838"/>
    <w:rsid w:val="00085D41"/>
    <w:rsid w:val="000862BA"/>
    <w:rsid w:val="00094F40"/>
    <w:rsid w:val="000956D5"/>
    <w:rsid w:val="00097061"/>
    <w:rsid w:val="000A096E"/>
    <w:rsid w:val="000A0FE6"/>
    <w:rsid w:val="000A1366"/>
    <w:rsid w:val="000A3E4A"/>
    <w:rsid w:val="000A4715"/>
    <w:rsid w:val="000A5283"/>
    <w:rsid w:val="000A79DF"/>
    <w:rsid w:val="000B030A"/>
    <w:rsid w:val="000B18DE"/>
    <w:rsid w:val="000B23CC"/>
    <w:rsid w:val="000B4B49"/>
    <w:rsid w:val="000B4C27"/>
    <w:rsid w:val="000B5C32"/>
    <w:rsid w:val="000B6137"/>
    <w:rsid w:val="000B6303"/>
    <w:rsid w:val="000B7516"/>
    <w:rsid w:val="000C2D81"/>
    <w:rsid w:val="000C3982"/>
    <w:rsid w:val="000C4F89"/>
    <w:rsid w:val="000C5543"/>
    <w:rsid w:val="000C589A"/>
    <w:rsid w:val="000C699E"/>
    <w:rsid w:val="000D0311"/>
    <w:rsid w:val="000D0E1C"/>
    <w:rsid w:val="000D1659"/>
    <w:rsid w:val="000D294D"/>
    <w:rsid w:val="000D485B"/>
    <w:rsid w:val="000D561F"/>
    <w:rsid w:val="000D790D"/>
    <w:rsid w:val="000D7D71"/>
    <w:rsid w:val="000D7D9E"/>
    <w:rsid w:val="000E08B8"/>
    <w:rsid w:val="000E17CF"/>
    <w:rsid w:val="000E1804"/>
    <w:rsid w:val="000E461E"/>
    <w:rsid w:val="000E5164"/>
    <w:rsid w:val="000E7ABD"/>
    <w:rsid w:val="000F154A"/>
    <w:rsid w:val="000F3E0F"/>
    <w:rsid w:val="000F79CB"/>
    <w:rsid w:val="001015A1"/>
    <w:rsid w:val="00101778"/>
    <w:rsid w:val="001040C9"/>
    <w:rsid w:val="00105860"/>
    <w:rsid w:val="00106E48"/>
    <w:rsid w:val="001110CE"/>
    <w:rsid w:val="00111538"/>
    <w:rsid w:val="00111C66"/>
    <w:rsid w:val="001127E2"/>
    <w:rsid w:val="0011291E"/>
    <w:rsid w:val="0011535B"/>
    <w:rsid w:val="00116857"/>
    <w:rsid w:val="001177DB"/>
    <w:rsid w:val="00117D38"/>
    <w:rsid w:val="0012007B"/>
    <w:rsid w:val="00120776"/>
    <w:rsid w:val="00120F37"/>
    <w:rsid w:val="00121AF7"/>
    <w:rsid w:val="00122DBB"/>
    <w:rsid w:val="00123E6D"/>
    <w:rsid w:val="00126BBC"/>
    <w:rsid w:val="00126CA3"/>
    <w:rsid w:val="00131661"/>
    <w:rsid w:val="00135F2D"/>
    <w:rsid w:val="00136416"/>
    <w:rsid w:val="00141B4B"/>
    <w:rsid w:val="001441EC"/>
    <w:rsid w:val="00145A8F"/>
    <w:rsid w:val="00146995"/>
    <w:rsid w:val="00160E5C"/>
    <w:rsid w:val="00161E93"/>
    <w:rsid w:val="00165402"/>
    <w:rsid w:val="00165B07"/>
    <w:rsid w:val="001666B7"/>
    <w:rsid w:val="00167A04"/>
    <w:rsid w:val="00171C28"/>
    <w:rsid w:val="0017290A"/>
    <w:rsid w:val="00174E7C"/>
    <w:rsid w:val="00175207"/>
    <w:rsid w:val="00176C80"/>
    <w:rsid w:val="00177F59"/>
    <w:rsid w:val="001801EF"/>
    <w:rsid w:val="00180F5D"/>
    <w:rsid w:val="001855D2"/>
    <w:rsid w:val="00185FC9"/>
    <w:rsid w:val="00187CD4"/>
    <w:rsid w:val="00187D8D"/>
    <w:rsid w:val="00190F70"/>
    <w:rsid w:val="00193CAB"/>
    <w:rsid w:val="0019421C"/>
    <w:rsid w:val="00195237"/>
    <w:rsid w:val="0019560B"/>
    <w:rsid w:val="00196627"/>
    <w:rsid w:val="00196EB5"/>
    <w:rsid w:val="001978B7"/>
    <w:rsid w:val="00197A6C"/>
    <w:rsid w:val="001A06E1"/>
    <w:rsid w:val="001A0FCC"/>
    <w:rsid w:val="001A2E8E"/>
    <w:rsid w:val="001A676D"/>
    <w:rsid w:val="001B1BC3"/>
    <w:rsid w:val="001B25EA"/>
    <w:rsid w:val="001B2631"/>
    <w:rsid w:val="001B2B2D"/>
    <w:rsid w:val="001B5516"/>
    <w:rsid w:val="001B770B"/>
    <w:rsid w:val="001B7818"/>
    <w:rsid w:val="001C2C29"/>
    <w:rsid w:val="001C5909"/>
    <w:rsid w:val="001C72FE"/>
    <w:rsid w:val="001C76B1"/>
    <w:rsid w:val="001C7951"/>
    <w:rsid w:val="001D0F3D"/>
    <w:rsid w:val="001D22EE"/>
    <w:rsid w:val="001D36A1"/>
    <w:rsid w:val="001D6CFB"/>
    <w:rsid w:val="001D7209"/>
    <w:rsid w:val="001E0082"/>
    <w:rsid w:val="001E017B"/>
    <w:rsid w:val="001E398F"/>
    <w:rsid w:val="001E5894"/>
    <w:rsid w:val="001E5E91"/>
    <w:rsid w:val="001F035D"/>
    <w:rsid w:val="001F0563"/>
    <w:rsid w:val="001F1A3B"/>
    <w:rsid w:val="001F3996"/>
    <w:rsid w:val="001F6469"/>
    <w:rsid w:val="001F65DC"/>
    <w:rsid w:val="001F69D9"/>
    <w:rsid w:val="001F76AB"/>
    <w:rsid w:val="00201712"/>
    <w:rsid w:val="002027C1"/>
    <w:rsid w:val="00202AEB"/>
    <w:rsid w:val="00206A1E"/>
    <w:rsid w:val="002121DB"/>
    <w:rsid w:val="00214938"/>
    <w:rsid w:val="002155AD"/>
    <w:rsid w:val="0021587C"/>
    <w:rsid w:val="002160AE"/>
    <w:rsid w:val="00225026"/>
    <w:rsid w:val="00225710"/>
    <w:rsid w:val="00226DFB"/>
    <w:rsid w:val="0022741F"/>
    <w:rsid w:val="0022762D"/>
    <w:rsid w:val="00227876"/>
    <w:rsid w:val="0023038D"/>
    <w:rsid w:val="0023140E"/>
    <w:rsid w:val="00234569"/>
    <w:rsid w:val="00234BFE"/>
    <w:rsid w:val="00240627"/>
    <w:rsid w:val="002445C8"/>
    <w:rsid w:val="00244686"/>
    <w:rsid w:val="00251AA5"/>
    <w:rsid w:val="002525B9"/>
    <w:rsid w:val="00253B71"/>
    <w:rsid w:val="00260CD4"/>
    <w:rsid w:val="0026362F"/>
    <w:rsid w:val="00265049"/>
    <w:rsid w:val="002725F9"/>
    <w:rsid w:val="00272B56"/>
    <w:rsid w:val="00272FF5"/>
    <w:rsid w:val="00273C7C"/>
    <w:rsid w:val="002753BD"/>
    <w:rsid w:val="00280902"/>
    <w:rsid w:val="00280A2B"/>
    <w:rsid w:val="00283CE0"/>
    <w:rsid w:val="00284E92"/>
    <w:rsid w:val="002927D8"/>
    <w:rsid w:val="00294EAC"/>
    <w:rsid w:val="00294F19"/>
    <w:rsid w:val="00294FC6"/>
    <w:rsid w:val="0029566A"/>
    <w:rsid w:val="00297C87"/>
    <w:rsid w:val="002A075D"/>
    <w:rsid w:val="002A0E5E"/>
    <w:rsid w:val="002A1910"/>
    <w:rsid w:val="002A25D2"/>
    <w:rsid w:val="002A2B66"/>
    <w:rsid w:val="002A6E12"/>
    <w:rsid w:val="002B05CE"/>
    <w:rsid w:val="002B05F2"/>
    <w:rsid w:val="002B2A3E"/>
    <w:rsid w:val="002B4D5A"/>
    <w:rsid w:val="002B79B4"/>
    <w:rsid w:val="002C3197"/>
    <w:rsid w:val="002D07CF"/>
    <w:rsid w:val="002D1768"/>
    <w:rsid w:val="002D2AAA"/>
    <w:rsid w:val="002D742C"/>
    <w:rsid w:val="002E4DA4"/>
    <w:rsid w:val="002E62B7"/>
    <w:rsid w:val="002E6C74"/>
    <w:rsid w:val="002F061F"/>
    <w:rsid w:val="002F26E4"/>
    <w:rsid w:val="002F6F49"/>
    <w:rsid w:val="002F79ED"/>
    <w:rsid w:val="00300DB3"/>
    <w:rsid w:val="00301105"/>
    <w:rsid w:val="00302A73"/>
    <w:rsid w:val="00302CEC"/>
    <w:rsid w:val="00304806"/>
    <w:rsid w:val="00304D17"/>
    <w:rsid w:val="003076CE"/>
    <w:rsid w:val="00312CE3"/>
    <w:rsid w:val="003160D8"/>
    <w:rsid w:val="00321C7B"/>
    <w:rsid w:val="00325F55"/>
    <w:rsid w:val="003267A0"/>
    <w:rsid w:val="00327513"/>
    <w:rsid w:val="003277EB"/>
    <w:rsid w:val="00327BBC"/>
    <w:rsid w:val="00333A7D"/>
    <w:rsid w:val="003365C3"/>
    <w:rsid w:val="00340DEF"/>
    <w:rsid w:val="003426C1"/>
    <w:rsid w:val="00342BD0"/>
    <w:rsid w:val="003452C2"/>
    <w:rsid w:val="00347F9E"/>
    <w:rsid w:val="00351568"/>
    <w:rsid w:val="00351618"/>
    <w:rsid w:val="00352375"/>
    <w:rsid w:val="00353139"/>
    <w:rsid w:val="003572C4"/>
    <w:rsid w:val="00360021"/>
    <w:rsid w:val="00361604"/>
    <w:rsid w:val="003647F7"/>
    <w:rsid w:val="003649AC"/>
    <w:rsid w:val="0036734B"/>
    <w:rsid w:val="00367CB9"/>
    <w:rsid w:val="00372F43"/>
    <w:rsid w:val="00373F8A"/>
    <w:rsid w:val="003740FE"/>
    <w:rsid w:val="00380CE5"/>
    <w:rsid w:val="00380F37"/>
    <w:rsid w:val="00383416"/>
    <w:rsid w:val="0038572E"/>
    <w:rsid w:val="003906AB"/>
    <w:rsid w:val="003907DA"/>
    <w:rsid w:val="00390B8C"/>
    <w:rsid w:val="0039569B"/>
    <w:rsid w:val="00397727"/>
    <w:rsid w:val="003A11FA"/>
    <w:rsid w:val="003A2EB3"/>
    <w:rsid w:val="003A2EBD"/>
    <w:rsid w:val="003A7549"/>
    <w:rsid w:val="003B474F"/>
    <w:rsid w:val="003B4846"/>
    <w:rsid w:val="003B69C4"/>
    <w:rsid w:val="003C10CC"/>
    <w:rsid w:val="003C11AA"/>
    <w:rsid w:val="003C2797"/>
    <w:rsid w:val="003C5507"/>
    <w:rsid w:val="003C6E2B"/>
    <w:rsid w:val="003D1272"/>
    <w:rsid w:val="003D1727"/>
    <w:rsid w:val="003D1FB8"/>
    <w:rsid w:val="003D451A"/>
    <w:rsid w:val="003E2495"/>
    <w:rsid w:val="003E6F41"/>
    <w:rsid w:val="003F03FC"/>
    <w:rsid w:val="003F1A23"/>
    <w:rsid w:val="003F1C6F"/>
    <w:rsid w:val="003F1C97"/>
    <w:rsid w:val="003F7DEA"/>
    <w:rsid w:val="00401569"/>
    <w:rsid w:val="00401CF4"/>
    <w:rsid w:val="004047C2"/>
    <w:rsid w:val="004103B7"/>
    <w:rsid w:val="00412855"/>
    <w:rsid w:val="00417325"/>
    <w:rsid w:val="0042197F"/>
    <w:rsid w:val="00421F89"/>
    <w:rsid w:val="0042377F"/>
    <w:rsid w:val="004247F3"/>
    <w:rsid w:val="00426513"/>
    <w:rsid w:val="004279A2"/>
    <w:rsid w:val="00431283"/>
    <w:rsid w:val="004429D1"/>
    <w:rsid w:val="00443F23"/>
    <w:rsid w:val="004460EA"/>
    <w:rsid w:val="00447693"/>
    <w:rsid w:val="0045274F"/>
    <w:rsid w:val="00452B48"/>
    <w:rsid w:val="00452DB6"/>
    <w:rsid w:val="0045765A"/>
    <w:rsid w:val="00461011"/>
    <w:rsid w:val="0046272E"/>
    <w:rsid w:val="0046294A"/>
    <w:rsid w:val="00462A62"/>
    <w:rsid w:val="00463EC7"/>
    <w:rsid w:val="004665A2"/>
    <w:rsid w:val="0047049A"/>
    <w:rsid w:val="00471709"/>
    <w:rsid w:val="0047282E"/>
    <w:rsid w:val="00476269"/>
    <w:rsid w:val="0047696B"/>
    <w:rsid w:val="004805F5"/>
    <w:rsid w:val="00480977"/>
    <w:rsid w:val="00481CF8"/>
    <w:rsid w:val="0048536A"/>
    <w:rsid w:val="0048705D"/>
    <w:rsid w:val="004878ED"/>
    <w:rsid w:val="004911E9"/>
    <w:rsid w:val="00491216"/>
    <w:rsid w:val="00491254"/>
    <w:rsid w:val="00497239"/>
    <w:rsid w:val="00497337"/>
    <w:rsid w:val="004A0502"/>
    <w:rsid w:val="004A285D"/>
    <w:rsid w:val="004A395E"/>
    <w:rsid w:val="004A3AE9"/>
    <w:rsid w:val="004A553E"/>
    <w:rsid w:val="004A69B2"/>
    <w:rsid w:val="004A7D06"/>
    <w:rsid w:val="004B213F"/>
    <w:rsid w:val="004B23C7"/>
    <w:rsid w:val="004B5E8C"/>
    <w:rsid w:val="004B5EBC"/>
    <w:rsid w:val="004B6FB7"/>
    <w:rsid w:val="004C2083"/>
    <w:rsid w:val="004C28EC"/>
    <w:rsid w:val="004C5BBD"/>
    <w:rsid w:val="004C6708"/>
    <w:rsid w:val="004D279A"/>
    <w:rsid w:val="004D3FC5"/>
    <w:rsid w:val="004D6213"/>
    <w:rsid w:val="004D6781"/>
    <w:rsid w:val="004D6989"/>
    <w:rsid w:val="004E17EE"/>
    <w:rsid w:val="004E3593"/>
    <w:rsid w:val="004E4091"/>
    <w:rsid w:val="004E416C"/>
    <w:rsid w:val="004E4429"/>
    <w:rsid w:val="004E4F79"/>
    <w:rsid w:val="004F1652"/>
    <w:rsid w:val="004F258B"/>
    <w:rsid w:val="004F3DC9"/>
    <w:rsid w:val="004F3E7E"/>
    <w:rsid w:val="004F3F02"/>
    <w:rsid w:val="004F6596"/>
    <w:rsid w:val="004F684A"/>
    <w:rsid w:val="004F71FD"/>
    <w:rsid w:val="004F749C"/>
    <w:rsid w:val="005006D6"/>
    <w:rsid w:val="00500EB1"/>
    <w:rsid w:val="00501C0A"/>
    <w:rsid w:val="005021E0"/>
    <w:rsid w:val="0050226A"/>
    <w:rsid w:val="00502682"/>
    <w:rsid w:val="005029AF"/>
    <w:rsid w:val="0050730A"/>
    <w:rsid w:val="005105B3"/>
    <w:rsid w:val="00510D3E"/>
    <w:rsid w:val="0051137F"/>
    <w:rsid w:val="00511C9E"/>
    <w:rsid w:val="0051475D"/>
    <w:rsid w:val="00514EB3"/>
    <w:rsid w:val="00522C85"/>
    <w:rsid w:val="005237A2"/>
    <w:rsid w:val="00524468"/>
    <w:rsid w:val="00530983"/>
    <w:rsid w:val="00530FC5"/>
    <w:rsid w:val="00531DF5"/>
    <w:rsid w:val="005320F0"/>
    <w:rsid w:val="005342C8"/>
    <w:rsid w:val="00537995"/>
    <w:rsid w:val="00541AB9"/>
    <w:rsid w:val="00543F4E"/>
    <w:rsid w:val="00545FE3"/>
    <w:rsid w:val="00547D52"/>
    <w:rsid w:val="00553D91"/>
    <w:rsid w:val="00554F0D"/>
    <w:rsid w:val="0056534E"/>
    <w:rsid w:val="005668DB"/>
    <w:rsid w:val="0056749A"/>
    <w:rsid w:val="00570A48"/>
    <w:rsid w:val="00572119"/>
    <w:rsid w:val="005738F8"/>
    <w:rsid w:val="00576F22"/>
    <w:rsid w:val="005808B9"/>
    <w:rsid w:val="005812AF"/>
    <w:rsid w:val="005817E9"/>
    <w:rsid w:val="00585937"/>
    <w:rsid w:val="00586890"/>
    <w:rsid w:val="00586EC6"/>
    <w:rsid w:val="005875A2"/>
    <w:rsid w:val="00587762"/>
    <w:rsid w:val="0059022B"/>
    <w:rsid w:val="00590BFA"/>
    <w:rsid w:val="00591521"/>
    <w:rsid w:val="0059198E"/>
    <w:rsid w:val="00593033"/>
    <w:rsid w:val="005943ED"/>
    <w:rsid w:val="0059795E"/>
    <w:rsid w:val="005A1552"/>
    <w:rsid w:val="005A1A0C"/>
    <w:rsid w:val="005A29DE"/>
    <w:rsid w:val="005A4A13"/>
    <w:rsid w:val="005A4E62"/>
    <w:rsid w:val="005A582E"/>
    <w:rsid w:val="005B0B8E"/>
    <w:rsid w:val="005B18FB"/>
    <w:rsid w:val="005B4BC8"/>
    <w:rsid w:val="005C1B07"/>
    <w:rsid w:val="005C3CA4"/>
    <w:rsid w:val="005C4742"/>
    <w:rsid w:val="005C5CFA"/>
    <w:rsid w:val="005C7961"/>
    <w:rsid w:val="005D0A42"/>
    <w:rsid w:val="005D3485"/>
    <w:rsid w:val="005D5F9C"/>
    <w:rsid w:val="005D6363"/>
    <w:rsid w:val="005D7A1A"/>
    <w:rsid w:val="005E53DC"/>
    <w:rsid w:val="005F11A7"/>
    <w:rsid w:val="005F1D60"/>
    <w:rsid w:val="005F1FEE"/>
    <w:rsid w:val="005F5135"/>
    <w:rsid w:val="005F5ED0"/>
    <w:rsid w:val="005F6394"/>
    <w:rsid w:val="005F6F83"/>
    <w:rsid w:val="00601572"/>
    <w:rsid w:val="006041D8"/>
    <w:rsid w:val="006042AA"/>
    <w:rsid w:val="006042AC"/>
    <w:rsid w:val="00604BCF"/>
    <w:rsid w:val="00607632"/>
    <w:rsid w:val="00607A57"/>
    <w:rsid w:val="006115A8"/>
    <w:rsid w:val="00614251"/>
    <w:rsid w:val="00614325"/>
    <w:rsid w:val="006149D7"/>
    <w:rsid w:val="00621511"/>
    <w:rsid w:val="00625516"/>
    <w:rsid w:val="0063019D"/>
    <w:rsid w:val="00630BD4"/>
    <w:rsid w:val="00630E7D"/>
    <w:rsid w:val="00631E10"/>
    <w:rsid w:val="006353C3"/>
    <w:rsid w:val="00636CA0"/>
    <w:rsid w:val="0063734C"/>
    <w:rsid w:val="0064195D"/>
    <w:rsid w:val="00641D77"/>
    <w:rsid w:val="0064219D"/>
    <w:rsid w:val="0064259B"/>
    <w:rsid w:val="00643ABB"/>
    <w:rsid w:val="00651A7C"/>
    <w:rsid w:val="00653556"/>
    <w:rsid w:val="00660D23"/>
    <w:rsid w:val="006610CA"/>
    <w:rsid w:val="00661970"/>
    <w:rsid w:val="00661A76"/>
    <w:rsid w:val="00661AC6"/>
    <w:rsid w:val="00665E60"/>
    <w:rsid w:val="00666AE2"/>
    <w:rsid w:val="00670215"/>
    <w:rsid w:val="00681DF4"/>
    <w:rsid w:val="00681F0A"/>
    <w:rsid w:val="006853C9"/>
    <w:rsid w:val="00685638"/>
    <w:rsid w:val="0069130D"/>
    <w:rsid w:val="0069200E"/>
    <w:rsid w:val="00692796"/>
    <w:rsid w:val="00695CF1"/>
    <w:rsid w:val="006A17EE"/>
    <w:rsid w:val="006A2C86"/>
    <w:rsid w:val="006A3A8C"/>
    <w:rsid w:val="006A3FBE"/>
    <w:rsid w:val="006A404B"/>
    <w:rsid w:val="006A41F3"/>
    <w:rsid w:val="006A73B3"/>
    <w:rsid w:val="006B0743"/>
    <w:rsid w:val="006B15E5"/>
    <w:rsid w:val="006B1DBC"/>
    <w:rsid w:val="006B233E"/>
    <w:rsid w:val="006B41DF"/>
    <w:rsid w:val="006B4AC8"/>
    <w:rsid w:val="006B5980"/>
    <w:rsid w:val="006B6166"/>
    <w:rsid w:val="006B772E"/>
    <w:rsid w:val="006B7797"/>
    <w:rsid w:val="006B79B8"/>
    <w:rsid w:val="006C07A7"/>
    <w:rsid w:val="006C1067"/>
    <w:rsid w:val="006C27DE"/>
    <w:rsid w:val="006C52C1"/>
    <w:rsid w:val="006C62F0"/>
    <w:rsid w:val="006D38ED"/>
    <w:rsid w:val="006D4C8F"/>
    <w:rsid w:val="006D5029"/>
    <w:rsid w:val="006D5BFC"/>
    <w:rsid w:val="006D63BE"/>
    <w:rsid w:val="006D6EAF"/>
    <w:rsid w:val="006E054D"/>
    <w:rsid w:val="006E0A86"/>
    <w:rsid w:val="006E1232"/>
    <w:rsid w:val="006E14A4"/>
    <w:rsid w:val="006E37D9"/>
    <w:rsid w:val="006F158B"/>
    <w:rsid w:val="006F3DDD"/>
    <w:rsid w:val="006F784B"/>
    <w:rsid w:val="00700B50"/>
    <w:rsid w:val="0070149F"/>
    <w:rsid w:val="00702F4C"/>
    <w:rsid w:val="00704861"/>
    <w:rsid w:val="00704C54"/>
    <w:rsid w:val="00707FC6"/>
    <w:rsid w:val="00711757"/>
    <w:rsid w:val="00711D87"/>
    <w:rsid w:val="007142A7"/>
    <w:rsid w:val="00716887"/>
    <w:rsid w:val="0071730A"/>
    <w:rsid w:val="00717563"/>
    <w:rsid w:val="00717A81"/>
    <w:rsid w:val="00720411"/>
    <w:rsid w:val="007239E1"/>
    <w:rsid w:val="00723F92"/>
    <w:rsid w:val="007263F5"/>
    <w:rsid w:val="00730E57"/>
    <w:rsid w:val="00732130"/>
    <w:rsid w:val="00734D2E"/>
    <w:rsid w:val="00734DD9"/>
    <w:rsid w:val="00735083"/>
    <w:rsid w:val="00737D64"/>
    <w:rsid w:val="00742E47"/>
    <w:rsid w:val="007439DB"/>
    <w:rsid w:val="00745BE6"/>
    <w:rsid w:val="00746CBE"/>
    <w:rsid w:val="0074704F"/>
    <w:rsid w:val="007475B5"/>
    <w:rsid w:val="0074782B"/>
    <w:rsid w:val="00751DE5"/>
    <w:rsid w:val="007520C6"/>
    <w:rsid w:val="00752AB2"/>
    <w:rsid w:val="00754840"/>
    <w:rsid w:val="007560A6"/>
    <w:rsid w:val="00760379"/>
    <w:rsid w:val="00761A07"/>
    <w:rsid w:val="00761F87"/>
    <w:rsid w:val="007629F3"/>
    <w:rsid w:val="007640C5"/>
    <w:rsid w:val="007646E5"/>
    <w:rsid w:val="00771CC7"/>
    <w:rsid w:val="007738BE"/>
    <w:rsid w:val="00773E42"/>
    <w:rsid w:val="0077464D"/>
    <w:rsid w:val="00775A7E"/>
    <w:rsid w:val="0077602E"/>
    <w:rsid w:val="00776542"/>
    <w:rsid w:val="007820AD"/>
    <w:rsid w:val="00783E9A"/>
    <w:rsid w:val="00785310"/>
    <w:rsid w:val="00790C86"/>
    <w:rsid w:val="00791886"/>
    <w:rsid w:val="007921EA"/>
    <w:rsid w:val="007929CF"/>
    <w:rsid w:val="00792CFF"/>
    <w:rsid w:val="007935D0"/>
    <w:rsid w:val="00794286"/>
    <w:rsid w:val="007949C7"/>
    <w:rsid w:val="00795E45"/>
    <w:rsid w:val="00795EA8"/>
    <w:rsid w:val="00797039"/>
    <w:rsid w:val="007A0AE1"/>
    <w:rsid w:val="007A0CDD"/>
    <w:rsid w:val="007A2F99"/>
    <w:rsid w:val="007A3A98"/>
    <w:rsid w:val="007A58CE"/>
    <w:rsid w:val="007A744A"/>
    <w:rsid w:val="007B08BF"/>
    <w:rsid w:val="007B1EC2"/>
    <w:rsid w:val="007B4895"/>
    <w:rsid w:val="007B537A"/>
    <w:rsid w:val="007B5793"/>
    <w:rsid w:val="007B68D7"/>
    <w:rsid w:val="007B73F2"/>
    <w:rsid w:val="007C2578"/>
    <w:rsid w:val="007C4350"/>
    <w:rsid w:val="007C667B"/>
    <w:rsid w:val="007D39B4"/>
    <w:rsid w:val="007D4D2C"/>
    <w:rsid w:val="007D6115"/>
    <w:rsid w:val="007D6287"/>
    <w:rsid w:val="007E0EC3"/>
    <w:rsid w:val="007E2C5B"/>
    <w:rsid w:val="007E2FC3"/>
    <w:rsid w:val="007E3CDC"/>
    <w:rsid w:val="007E4267"/>
    <w:rsid w:val="007E619E"/>
    <w:rsid w:val="007F102D"/>
    <w:rsid w:val="007F47F3"/>
    <w:rsid w:val="007F4C18"/>
    <w:rsid w:val="007F4C9C"/>
    <w:rsid w:val="007F5848"/>
    <w:rsid w:val="007F5EDF"/>
    <w:rsid w:val="007F6FDF"/>
    <w:rsid w:val="007F78CC"/>
    <w:rsid w:val="00803293"/>
    <w:rsid w:val="008047E7"/>
    <w:rsid w:val="00805D59"/>
    <w:rsid w:val="008064D0"/>
    <w:rsid w:val="00806FCF"/>
    <w:rsid w:val="00811B80"/>
    <w:rsid w:val="00820066"/>
    <w:rsid w:val="00820F17"/>
    <w:rsid w:val="00825C77"/>
    <w:rsid w:val="00830C29"/>
    <w:rsid w:val="00830D26"/>
    <w:rsid w:val="00833398"/>
    <w:rsid w:val="00833C82"/>
    <w:rsid w:val="008343CE"/>
    <w:rsid w:val="00836069"/>
    <w:rsid w:val="00837D78"/>
    <w:rsid w:val="008405E3"/>
    <w:rsid w:val="00840B9A"/>
    <w:rsid w:val="00843627"/>
    <w:rsid w:val="00843E97"/>
    <w:rsid w:val="00844399"/>
    <w:rsid w:val="008464C5"/>
    <w:rsid w:val="0085050D"/>
    <w:rsid w:val="0085161C"/>
    <w:rsid w:val="0085214A"/>
    <w:rsid w:val="00856492"/>
    <w:rsid w:val="008566F5"/>
    <w:rsid w:val="00856E47"/>
    <w:rsid w:val="008605F3"/>
    <w:rsid w:val="008606A0"/>
    <w:rsid w:val="008632CC"/>
    <w:rsid w:val="008641E5"/>
    <w:rsid w:val="00864387"/>
    <w:rsid w:val="008701DA"/>
    <w:rsid w:val="0087207B"/>
    <w:rsid w:val="00872BC0"/>
    <w:rsid w:val="00874857"/>
    <w:rsid w:val="00876209"/>
    <w:rsid w:val="0087633A"/>
    <w:rsid w:val="008772DB"/>
    <w:rsid w:val="0088181C"/>
    <w:rsid w:val="008818F1"/>
    <w:rsid w:val="00882034"/>
    <w:rsid w:val="00883639"/>
    <w:rsid w:val="00883E2A"/>
    <w:rsid w:val="008858D7"/>
    <w:rsid w:val="008901E7"/>
    <w:rsid w:val="0089060D"/>
    <w:rsid w:val="008915F6"/>
    <w:rsid w:val="00891861"/>
    <w:rsid w:val="00893226"/>
    <w:rsid w:val="008935DD"/>
    <w:rsid w:val="0089550C"/>
    <w:rsid w:val="008959AB"/>
    <w:rsid w:val="008962D6"/>
    <w:rsid w:val="008A0350"/>
    <w:rsid w:val="008B1FBB"/>
    <w:rsid w:val="008B2F71"/>
    <w:rsid w:val="008B3725"/>
    <w:rsid w:val="008B3AFE"/>
    <w:rsid w:val="008B6807"/>
    <w:rsid w:val="008C1063"/>
    <w:rsid w:val="008C3002"/>
    <w:rsid w:val="008D3E03"/>
    <w:rsid w:val="008D44C9"/>
    <w:rsid w:val="008D4756"/>
    <w:rsid w:val="008D4DBB"/>
    <w:rsid w:val="008D5A2B"/>
    <w:rsid w:val="008D6414"/>
    <w:rsid w:val="008D6611"/>
    <w:rsid w:val="008D6E4C"/>
    <w:rsid w:val="008E121C"/>
    <w:rsid w:val="008E436E"/>
    <w:rsid w:val="008E6983"/>
    <w:rsid w:val="008F164B"/>
    <w:rsid w:val="008F23B3"/>
    <w:rsid w:val="008F3CBB"/>
    <w:rsid w:val="008F680F"/>
    <w:rsid w:val="0090330A"/>
    <w:rsid w:val="00904267"/>
    <w:rsid w:val="009048F0"/>
    <w:rsid w:val="00904F3C"/>
    <w:rsid w:val="00905063"/>
    <w:rsid w:val="00905F38"/>
    <w:rsid w:val="009152A8"/>
    <w:rsid w:val="009175B8"/>
    <w:rsid w:val="009220B8"/>
    <w:rsid w:val="0092265F"/>
    <w:rsid w:val="00924D60"/>
    <w:rsid w:val="009317E7"/>
    <w:rsid w:val="00932F55"/>
    <w:rsid w:val="00933077"/>
    <w:rsid w:val="0093777E"/>
    <w:rsid w:val="0094048A"/>
    <w:rsid w:val="00940D9F"/>
    <w:rsid w:val="009414FB"/>
    <w:rsid w:val="00941A6E"/>
    <w:rsid w:val="00943A7D"/>
    <w:rsid w:val="00944364"/>
    <w:rsid w:val="00945181"/>
    <w:rsid w:val="00946F66"/>
    <w:rsid w:val="00951980"/>
    <w:rsid w:val="00952750"/>
    <w:rsid w:val="00952C88"/>
    <w:rsid w:val="009541F9"/>
    <w:rsid w:val="009562EF"/>
    <w:rsid w:val="00956D83"/>
    <w:rsid w:val="0095707E"/>
    <w:rsid w:val="009578F4"/>
    <w:rsid w:val="00957C79"/>
    <w:rsid w:val="0096150D"/>
    <w:rsid w:val="00962A63"/>
    <w:rsid w:val="00963EC4"/>
    <w:rsid w:val="00963F99"/>
    <w:rsid w:val="00966F39"/>
    <w:rsid w:val="0096726C"/>
    <w:rsid w:val="00973215"/>
    <w:rsid w:val="009741A8"/>
    <w:rsid w:val="00974779"/>
    <w:rsid w:val="009761EA"/>
    <w:rsid w:val="009767BC"/>
    <w:rsid w:val="0098025D"/>
    <w:rsid w:val="00980450"/>
    <w:rsid w:val="0098349D"/>
    <w:rsid w:val="0098518E"/>
    <w:rsid w:val="009855E9"/>
    <w:rsid w:val="009919DC"/>
    <w:rsid w:val="009952AC"/>
    <w:rsid w:val="009A1115"/>
    <w:rsid w:val="009A1299"/>
    <w:rsid w:val="009A402E"/>
    <w:rsid w:val="009A4367"/>
    <w:rsid w:val="009A4BAB"/>
    <w:rsid w:val="009A555C"/>
    <w:rsid w:val="009B0B98"/>
    <w:rsid w:val="009B393A"/>
    <w:rsid w:val="009B3CC1"/>
    <w:rsid w:val="009B406D"/>
    <w:rsid w:val="009B42D8"/>
    <w:rsid w:val="009C00F2"/>
    <w:rsid w:val="009C1522"/>
    <w:rsid w:val="009C2340"/>
    <w:rsid w:val="009C30FA"/>
    <w:rsid w:val="009C5B08"/>
    <w:rsid w:val="009C640C"/>
    <w:rsid w:val="009C6598"/>
    <w:rsid w:val="009C65E7"/>
    <w:rsid w:val="009C6DE4"/>
    <w:rsid w:val="009D3EC5"/>
    <w:rsid w:val="009D4392"/>
    <w:rsid w:val="009D6245"/>
    <w:rsid w:val="009E1E96"/>
    <w:rsid w:val="009E3819"/>
    <w:rsid w:val="009E431E"/>
    <w:rsid w:val="009E53C5"/>
    <w:rsid w:val="009E6B13"/>
    <w:rsid w:val="009E739E"/>
    <w:rsid w:val="009F044C"/>
    <w:rsid w:val="009F51FF"/>
    <w:rsid w:val="00A0215F"/>
    <w:rsid w:val="00A026EA"/>
    <w:rsid w:val="00A02FC1"/>
    <w:rsid w:val="00A03422"/>
    <w:rsid w:val="00A046C2"/>
    <w:rsid w:val="00A07963"/>
    <w:rsid w:val="00A13403"/>
    <w:rsid w:val="00A2080B"/>
    <w:rsid w:val="00A22DCA"/>
    <w:rsid w:val="00A247C0"/>
    <w:rsid w:val="00A25886"/>
    <w:rsid w:val="00A351C7"/>
    <w:rsid w:val="00A352DA"/>
    <w:rsid w:val="00A41585"/>
    <w:rsid w:val="00A42BFF"/>
    <w:rsid w:val="00A44ED0"/>
    <w:rsid w:val="00A45B24"/>
    <w:rsid w:val="00A47266"/>
    <w:rsid w:val="00A47B38"/>
    <w:rsid w:val="00A516F1"/>
    <w:rsid w:val="00A556E2"/>
    <w:rsid w:val="00A57892"/>
    <w:rsid w:val="00A625E0"/>
    <w:rsid w:val="00A62A9D"/>
    <w:rsid w:val="00A64FF8"/>
    <w:rsid w:val="00A65A92"/>
    <w:rsid w:val="00A65D62"/>
    <w:rsid w:val="00A6668A"/>
    <w:rsid w:val="00A71350"/>
    <w:rsid w:val="00A728DA"/>
    <w:rsid w:val="00A76D8D"/>
    <w:rsid w:val="00A7782C"/>
    <w:rsid w:val="00A8014E"/>
    <w:rsid w:val="00A8172E"/>
    <w:rsid w:val="00A837A8"/>
    <w:rsid w:val="00A83A2C"/>
    <w:rsid w:val="00A83A4C"/>
    <w:rsid w:val="00A84431"/>
    <w:rsid w:val="00A8508D"/>
    <w:rsid w:val="00A860B5"/>
    <w:rsid w:val="00A87E02"/>
    <w:rsid w:val="00A87FAE"/>
    <w:rsid w:val="00A94D35"/>
    <w:rsid w:val="00A96011"/>
    <w:rsid w:val="00A96D0D"/>
    <w:rsid w:val="00AA1A3F"/>
    <w:rsid w:val="00AA6E8A"/>
    <w:rsid w:val="00AB044A"/>
    <w:rsid w:val="00AB0646"/>
    <w:rsid w:val="00AB0E4A"/>
    <w:rsid w:val="00AB1C28"/>
    <w:rsid w:val="00AB1CA3"/>
    <w:rsid w:val="00AB1CBD"/>
    <w:rsid w:val="00AB2F8E"/>
    <w:rsid w:val="00AB486F"/>
    <w:rsid w:val="00AB63F8"/>
    <w:rsid w:val="00AC2EDF"/>
    <w:rsid w:val="00AC63A4"/>
    <w:rsid w:val="00AD060D"/>
    <w:rsid w:val="00AD6622"/>
    <w:rsid w:val="00AE041E"/>
    <w:rsid w:val="00AE1A57"/>
    <w:rsid w:val="00AE1BCF"/>
    <w:rsid w:val="00AE3A10"/>
    <w:rsid w:val="00AE5078"/>
    <w:rsid w:val="00AE5431"/>
    <w:rsid w:val="00AE5A60"/>
    <w:rsid w:val="00AE6250"/>
    <w:rsid w:val="00AE794A"/>
    <w:rsid w:val="00AF0232"/>
    <w:rsid w:val="00AF1B3C"/>
    <w:rsid w:val="00AF2433"/>
    <w:rsid w:val="00AF3DE7"/>
    <w:rsid w:val="00AF400A"/>
    <w:rsid w:val="00AF43E7"/>
    <w:rsid w:val="00AF6F47"/>
    <w:rsid w:val="00AF6F80"/>
    <w:rsid w:val="00B005B7"/>
    <w:rsid w:val="00B0150B"/>
    <w:rsid w:val="00B068E2"/>
    <w:rsid w:val="00B06ADA"/>
    <w:rsid w:val="00B074F2"/>
    <w:rsid w:val="00B10DE1"/>
    <w:rsid w:val="00B11B57"/>
    <w:rsid w:val="00B123AD"/>
    <w:rsid w:val="00B130F8"/>
    <w:rsid w:val="00B13545"/>
    <w:rsid w:val="00B13731"/>
    <w:rsid w:val="00B14365"/>
    <w:rsid w:val="00B15361"/>
    <w:rsid w:val="00B15F86"/>
    <w:rsid w:val="00B16B12"/>
    <w:rsid w:val="00B16DDB"/>
    <w:rsid w:val="00B20203"/>
    <w:rsid w:val="00B210AD"/>
    <w:rsid w:val="00B2407C"/>
    <w:rsid w:val="00B25FDE"/>
    <w:rsid w:val="00B26796"/>
    <w:rsid w:val="00B332EE"/>
    <w:rsid w:val="00B349E4"/>
    <w:rsid w:val="00B37816"/>
    <w:rsid w:val="00B42B27"/>
    <w:rsid w:val="00B4431F"/>
    <w:rsid w:val="00B46A47"/>
    <w:rsid w:val="00B5368B"/>
    <w:rsid w:val="00B555B7"/>
    <w:rsid w:val="00B602B5"/>
    <w:rsid w:val="00B6508A"/>
    <w:rsid w:val="00B652C0"/>
    <w:rsid w:val="00B74074"/>
    <w:rsid w:val="00B772C9"/>
    <w:rsid w:val="00B81389"/>
    <w:rsid w:val="00B84114"/>
    <w:rsid w:val="00B85BA1"/>
    <w:rsid w:val="00B85F6E"/>
    <w:rsid w:val="00B9133B"/>
    <w:rsid w:val="00B931B9"/>
    <w:rsid w:val="00B9452F"/>
    <w:rsid w:val="00B974CF"/>
    <w:rsid w:val="00B976A7"/>
    <w:rsid w:val="00B97C3B"/>
    <w:rsid w:val="00BA0066"/>
    <w:rsid w:val="00BA00BB"/>
    <w:rsid w:val="00BA4B1F"/>
    <w:rsid w:val="00BA4E6A"/>
    <w:rsid w:val="00BA4EDA"/>
    <w:rsid w:val="00BA6B9F"/>
    <w:rsid w:val="00BB1BFE"/>
    <w:rsid w:val="00BB25BF"/>
    <w:rsid w:val="00BB3321"/>
    <w:rsid w:val="00BB5C80"/>
    <w:rsid w:val="00BB76A4"/>
    <w:rsid w:val="00BB7EC5"/>
    <w:rsid w:val="00BC26E1"/>
    <w:rsid w:val="00BC6CD8"/>
    <w:rsid w:val="00BD2068"/>
    <w:rsid w:val="00BD7E4B"/>
    <w:rsid w:val="00BE02E0"/>
    <w:rsid w:val="00BE1974"/>
    <w:rsid w:val="00BE291E"/>
    <w:rsid w:val="00BE3EB4"/>
    <w:rsid w:val="00BE650C"/>
    <w:rsid w:val="00BF436D"/>
    <w:rsid w:val="00C000E8"/>
    <w:rsid w:val="00C012AE"/>
    <w:rsid w:val="00C06C9E"/>
    <w:rsid w:val="00C06DA8"/>
    <w:rsid w:val="00C07F7D"/>
    <w:rsid w:val="00C1112C"/>
    <w:rsid w:val="00C12512"/>
    <w:rsid w:val="00C153C2"/>
    <w:rsid w:val="00C15D48"/>
    <w:rsid w:val="00C161E6"/>
    <w:rsid w:val="00C1628F"/>
    <w:rsid w:val="00C16DDE"/>
    <w:rsid w:val="00C175FF"/>
    <w:rsid w:val="00C206F9"/>
    <w:rsid w:val="00C2560F"/>
    <w:rsid w:val="00C262A4"/>
    <w:rsid w:val="00C30A87"/>
    <w:rsid w:val="00C30F5C"/>
    <w:rsid w:val="00C3101D"/>
    <w:rsid w:val="00C31486"/>
    <w:rsid w:val="00C31CB6"/>
    <w:rsid w:val="00C31EFD"/>
    <w:rsid w:val="00C32085"/>
    <w:rsid w:val="00C33192"/>
    <w:rsid w:val="00C3484C"/>
    <w:rsid w:val="00C35B9E"/>
    <w:rsid w:val="00C36B46"/>
    <w:rsid w:val="00C40675"/>
    <w:rsid w:val="00C4115C"/>
    <w:rsid w:val="00C44AE1"/>
    <w:rsid w:val="00C452D5"/>
    <w:rsid w:val="00C46781"/>
    <w:rsid w:val="00C46BB6"/>
    <w:rsid w:val="00C512BA"/>
    <w:rsid w:val="00C51D5F"/>
    <w:rsid w:val="00C523A5"/>
    <w:rsid w:val="00C52F88"/>
    <w:rsid w:val="00C53C0C"/>
    <w:rsid w:val="00C548F7"/>
    <w:rsid w:val="00C55BAF"/>
    <w:rsid w:val="00C56B31"/>
    <w:rsid w:val="00C5721E"/>
    <w:rsid w:val="00C579D0"/>
    <w:rsid w:val="00C62653"/>
    <w:rsid w:val="00C63492"/>
    <w:rsid w:val="00C63D3B"/>
    <w:rsid w:val="00C65916"/>
    <w:rsid w:val="00C66FE7"/>
    <w:rsid w:val="00C67DEC"/>
    <w:rsid w:val="00C70FB1"/>
    <w:rsid w:val="00C74134"/>
    <w:rsid w:val="00C74158"/>
    <w:rsid w:val="00C743B2"/>
    <w:rsid w:val="00C75BA1"/>
    <w:rsid w:val="00C80A0D"/>
    <w:rsid w:val="00C81D76"/>
    <w:rsid w:val="00C827D4"/>
    <w:rsid w:val="00C8432C"/>
    <w:rsid w:val="00C8471C"/>
    <w:rsid w:val="00C84855"/>
    <w:rsid w:val="00C85E3B"/>
    <w:rsid w:val="00C8655B"/>
    <w:rsid w:val="00C869CA"/>
    <w:rsid w:val="00C87997"/>
    <w:rsid w:val="00C93A21"/>
    <w:rsid w:val="00C95C77"/>
    <w:rsid w:val="00CA3B15"/>
    <w:rsid w:val="00CA5784"/>
    <w:rsid w:val="00CA7784"/>
    <w:rsid w:val="00CA7A7F"/>
    <w:rsid w:val="00CB2115"/>
    <w:rsid w:val="00CB25D7"/>
    <w:rsid w:val="00CB371B"/>
    <w:rsid w:val="00CB5802"/>
    <w:rsid w:val="00CC07BC"/>
    <w:rsid w:val="00CC361E"/>
    <w:rsid w:val="00CC3DDE"/>
    <w:rsid w:val="00CC4247"/>
    <w:rsid w:val="00CC7F40"/>
    <w:rsid w:val="00CD07BA"/>
    <w:rsid w:val="00CD14FE"/>
    <w:rsid w:val="00CD2B87"/>
    <w:rsid w:val="00CD3B9C"/>
    <w:rsid w:val="00CD54FF"/>
    <w:rsid w:val="00CD6630"/>
    <w:rsid w:val="00CE1250"/>
    <w:rsid w:val="00CE1F2F"/>
    <w:rsid w:val="00CE5600"/>
    <w:rsid w:val="00CE658D"/>
    <w:rsid w:val="00CE6D01"/>
    <w:rsid w:val="00CE7203"/>
    <w:rsid w:val="00CE7FF2"/>
    <w:rsid w:val="00CF2333"/>
    <w:rsid w:val="00CF2AE9"/>
    <w:rsid w:val="00CF33D3"/>
    <w:rsid w:val="00CF35CE"/>
    <w:rsid w:val="00CF4CB5"/>
    <w:rsid w:val="00CF5EA7"/>
    <w:rsid w:val="00CF7714"/>
    <w:rsid w:val="00D01837"/>
    <w:rsid w:val="00D04347"/>
    <w:rsid w:val="00D06657"/>
    <w:rsid w:val="00D07186"/>
    <w:rsid w:val="00D126B9"/>
    <w:rsid w:val="00D13BCD"/>
    <w:rsid w:val="00D17063"/>
    <w:rsid w:val="00D2042C"/>
    <w:rsid w:val="00D21CAD"/>
    <w:rsid w:val="00D24A90"/>
    <w:rsid w:val="00D304AB"/>
    <w:rsid w:val="00D31880"/>
    <w:rsid w:val="00D326DE"/>
    <w:rsid w:val="00D37EB0"/>
    <w:rsid w:val="00D4482A"/>
    <w:rsid w:val="00D472A9"/>
    <w:rsid w:val="00D4769F"/>
    <w:rsid w:val="00D47C7D"/>
    <w:rsid w:val="00D51507"/>
    <w:rsid w:val="00D51F7C"/>
    <w:rsid w:val="00D52F7F"/>
    <w:rsid w:val="00D533EC"/>
    <w:rsid w:val="00D54225"/>
    <w:rsid w:val="00D543B2"/>
    <w:rsid w:val="00D5721A"/>
    <w:rsid w:val="00D577FD"/>
    <w:rsid w:val="00D579B6"/>
    <w:rsid w:val="00D60DCA"/>
    <w:rsid w:val="00D62CB7"/>
    <w:rsid w:val="00D6346C"/>
    <w:rsid w:val="00D640BA"/>
    <w:rsid w:val="00D64476"/>
    <w:rsid w:val="00D64807"/>
    <w:rsid w:val="00D6504F"/>
    <w:rsid w:val="00D6508A"/>
    <w:rsid w:val="00D65905"/>
    <w:rsid w:val="00D70C10"/>
    <w:rsid w:val="00D70CA5"/>
    <w:rsid w:val="00D728E7"/>
    <w:rsid w:val="00D72C74"/>
    <w:rsid w:val="00D74449"/>
    <w:rsid w:val="00D75DF0"/>
    <w:rsid w:val="00D762A2"/>
    <w:rsid w:val="00D81823"/>
    <w:rsid w:val="00D84F50"/>
    <w:rsid w:val="00D87470"/>
    <w:rsid w:val="00D924F4"/>
    <w:rsid w:val="00D92618"/>
    <w:rsid w:val="00D96AD0"/>
    <w:rsid w:val="00DA050F"/>
    <w:rsid w:val="00DA078E"/>
    <w:rsid w:val="00DA08B0"/>
    <w:rsid w:val="00DA0EC3"/>
    <w:rsid w:val="00DA1A90"/>
    <w:rsid w:val="00DA20F1"/>
    <w:rsid w:val="00DA2AEA"/>
    <w:rsid w:val="00DA3BB7"/>
    <w:rsid w:val="00DA466F"/>
    <w:rsid w:val="00DA5134"/>
    <w:rsid w:val="00DA7243"/>
    <w:rsid w:val="00DB3A50"/>
    <w:rsid w:val="00DB5117"/>
    <w:rsid w:val="00DC342E"/>
    <w:rsid w:val="00DC361D"/>
    <w:rsid w:val="00DC36DA"/>
    <w:rsid w:val="00DC5977"/>
    <w:rsid w:val="00DC61E5"/>
    <w:rsid w:val="00DC7AD7"/>
    <w:rsid w:val="00DC7E6F"/>
    <w:rsid w:val="00DD4660"/>
    <w:rsid w:val="00DD6CE3"/>
    <w:rsid w:val="00DD73C3"/>
    <w:rsid w:val="00DD7D8E"/>
    <w:rsid w:val="00DE28EF"/>
    <w:rsid w:val="00DE2DE1"/>
    <w:rsid w:val="00DE392C"/>
    <w:rsid w:val="00DE43A3"/>
    <w:rsid w:val="00DE57FC"/>
    <w:rsid w:val="00DE6949"/>
    <w:rsid w:val="00DE70A0"/>
    <w:rsid w:val="00DF3DED"/>
    <w:rsid w:val="00DF46A6"/>
    <w:rsid w:val="00DF630D"/>
    <w:rsid w:val="00DF710B"/>
    <w:rsid w:val="00E00E18"/>
    <w:rsid w:val="00E0275B"/>
    <w:rsid w:val="00E030C9"/>
    <w:rsid w:val="00E0324C"/>
    <w:rsid w:val="00E03C03"/>
    <w:rsid w:val="00E05179"/>
    <w:rsid w:val="00E16575"/>
    <w:rsid w:val="00E16816"/>
    <w:rsid w:val="00E16F55"/>
    <w:rsid w:val="00E247C1"/>
    <w:rsid w:val="00E24A21"/>
    <w:rsid w:val="00E24E9B"/>
    <w:rsid w:val="00E259A9"/>
    <w:rsid w:val="00E279D2"/>
    <w:rsid w:val="00E27B71"/>
    <w:rsid w:val="00E308E9"/>
    <w:rsid w:val="00E30AAE"/>
    <w:rsid w:val="00E332B2"/>
    <w:rsid w:val="00E33D1F"/>
    <w:rsid w:val="00E33E28"/>
    <w:rsid w:val="00E34277"/>
    <w:rsid w:val="00E357FD"/>
    <w:rsid w:val="00E379C6"/>
    <w:rsid w:val="00E37E98"/>
    <w:rsid w:val="00E41F26"/>
    <w:rsid w:val="00E425FA"/>
    <w:rsid w:val="00E42A19"/>
    <w:rsid w:val="00E42DBC"/>
    <w:rsid w:val="00E445CF"/>
    <w:rsid w:val="00E45157"/>
    <w:rsid w:val="00E46DCC"/>
    <w:rsid w:val="00E47AF3"/>
    <w:rsid w:val="00E5037A"/>
    <w:rsid w:val="00E558E1"/>
    <w:rsid w:val="00E5591C"/>
    <w:rsid w:val="00E57585"/>
    <w:rsid w:val="00E577D6"/>
    <w:rsid w:val="00E60915"/>
    <w:rsid w:val="00E614A3"/>
    <w:rsid w:val="00E62AAC"/>
    <w:rsid w:val="00E62E6E"/>
    <w:rsid w:val="00E631AA"/>
    <w:rsid w:val="00E65B90"/>
    <w:rsid w:val="00E72C39"/>
    <w:rsid w:val="00E82307"/>
    <w:rsid w:val="00E838B6"/>
    <w:rsid w:val="00E83C97"/>
    <w:rsid w:val="00E84B19"/>
    <w:rsid w:val="00E919F0"/>
    <w:rsid w:val="00E9248C"/>
    <w:rsid w:val="00E9515D"/>
    <w:rsid w:val="00E95C2F"/>
    <w:rsid w:val="00E964E8"/>
    <w:rsid w:val="00E96BE9"/>
    <w:rsid w:val="00E97156"/>
    <w:rsid w:val="00EA1084"/>
    <w:rsid w:val="00EA1609"/>
    <w:rsid w:val="00EA34EC"/>
    <w:rsid w:val="00EA6D87"/>
    <w:rsid w:val="00EA723C"/>
    <w:rsid w:val="00EA7DBB"/>
    <w:rsid w:val="00EB0C7F"/>
    <w:rsid w:val="00EB2986"/>
    <w:rsid w:val="00EB2AF8"/>
    <w:rsid w:val="00EB2C80"/>
    <w:rsid w:val="00EB3B41"/>
    <w:rsid w:val="00EB4190"/>
    <w:rsid w:val="00EB5EFF"/>
    <w:rsid w:val="00EB7384"/>
    <w:rsid w:val="00EC2D63"/>
    <w:rsid w:val="00EC38A7"/>
    <w:rsid w:val="00EC58CB"/>
    <w:rsid w:val="00ED2E29"/>
    <w:rsid w:val="00ED377D"/>
    <w:rsid w:val="00ED37F2"/>
    <w:rsid w:val="00ED6E97"/>
    <w:rsid w:val="00ED71EA"/>
    <w:rsid w:val="00EE094F"/>
    <w:rsid w:val="00EE19E3"/>
    <w:rsid w:val="00EE2894"/>
    <w:rsid w:val="00EE29E5"/>
    <w:rsid w:val="00EE4F5A"/>
    <w:rsid w:val="00EE5C59"/>
    <w:rsid w:val="00EE7DE7"/>
    <w:rsid w:val="00EF2429"/>
    <w:rsid w:val="00EF2C90"/>
    <w:rsid w:val="00EF3494"/>
    <w:rsid w:val="00EF367E"/>
    <w:rsid w:val="00EF370B"/>
    <w:rsid w:val="00EF7D83"/>
    <w:rsid w:val="00F01FFF"/>
    <w:rsid w:val="00F02BD4"/>
    <w:rsid w:val="00F0572F"/>
    <w:rsid w:val="00F07561"/>
    <w:rsid w:val="00F16069"/>
    <w:rsid w:val="00F212B2"/>
    <w:rsid w:val="00F267F3"/>
    <w:rsid w:val="00F27B89"/>
    <w:rsid w:val="00F32A8D"/>
    <w:rsid w:val="00F33DB4"/>
    <w:rsid w:val="00F35C2E"/>
    <w:rsid w:val="00F35E41"/>
    <w:rsid w:val="00F35FB9"/>
    <w:rsid w:val="00F361B4"/>
    <w:rsid w:val="00F3645F"/>
    <w:rsid w:val="00F43D31"/>
    <w:rsid w:val="00F45DB8"/>
    <w:rsid w:val="00F46E7D"/>
    <w:rsid w:val="00F47C3E"/>
    <w:rsid w:val="00F52CB2"/>
    <w:rsid w:val="00F55FEC"/>
    <w:rsid w:val="00F56848"/>
    <w:rsid w:val="00F56D5B"/>
    <w:rsid w:val="00F60EB4"/>
    <w:rsid w:val="00F6396A"/>
    <w:rsid w:val="00F64430"/>
    <w:rsid w:val="00F65EAC"/>
    <w:rsid w:val="00F67776"/>
    <w:rsid w:val="00F71352"/>
    <w:rsid w:val="00F71B77"/>
    <w:rsid w:val="00F72375"/>
    <w:rsid w:val="00F76794"/>
    <w:rsid w:val="00F83D61"/>
    <w:rsid w:val="00F87280"/>
    <w:rsid w:val="00F87E7F"/>
    <w:rsid w:val="00F95161"/>
    <w:rsid w:val="00F955E2"/>
    <w:rsid w:val="00F96447"/>
    <w:rsid w:val="00F96D39"/>
    <w:rsid w:val="00FA0DC4"/>
    <w:rsid w:val="00FA3DDD"/>
    <w:rsid w:val="00FA3FD0"/>
    <w:rsid w:val="00FA46DF"/>
    <w:rsid w:val="00FA50E7"/>
    <w:rsid w:val="00FA51B3"/>
    <w:rsid w:val="00FA5263"/>
    <w:rsid w:val="00FA57CC"/>
    <w:rsid w:val="00FA6034"/>
    <w:rsid w:val="00FA6DA1"/>
    <w:rsid w:val="00FA76E5"/>
    <w:rsid w:val="00FB004F"/>
    <w:rsid w:val="00FB0360"/>
    <w:rsid w:val="00FB1D4C"/>
    <w:rsid w:val="00FB20D4"/>
    <w:rsid w:val="00FB5BEB"/>
    <w:rsid w:val="00FB7AE4"/>
    <w:rsid w:val="00FC0292"/>
    <w:rsid w:val="00FC37C0"/>
    <w:rsid w:val="00FC3A71"/>
    <w:rsid w:val="00FC450A"/>
    <w:rsid w:val="00FC4F61"/>
    <w:rsid w:val="00FC53A0"/>
    <w:rsid w:val="00FC6CAB"/>
    <w:rsid w:val="00FC70F2"/>
    <w:rsid w:val="00FC77E5"/>
    <w:rsid w:val="00FD18D3"/>
    <w:rsid w:val="00FD1AFE"/>
    <w:rsid w:val="00FD3DF4"/>
    <w:rsid w:val="00FD7059"/>
    <w:rsid w:val="00FD7849"/>
    <w:rsid w:val="00FE0D3E"/>
    <w:rsid w:val="00FE14C3"/>
    <w:rsid w:val="00FE1CAE"/>
    <w:rsid w:val="00FE4E64"/>
    <w:rsid w:val="00FE54FB"/>
    <w:rsid w:val="00FE58F6"/>
    <w:rsid w:val="00FE7E01"/>
    <w:rsid w:val="00FF12A6"/>
    <w:rsid w:val="00FF5005"/>
    <w:rsid w:val="00FF558A"/>
    <w:rsid w:val="00FF56BB"/>
    <w:rsid w:val="00FF70DC"/>
    <w:rsid w:val="00FF745B"/>
    <w:rsid w:val="00FF74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9274FE"/>
  <w15:chartTrackingRefBased/>
  <w15:docId w15:val="{25036406-7D4E-4F8E-988F-F387B7860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838"/>
    <w:pPr>
      <w:spacing w:after="0" w:line="240" w:lineRule="auto"/>
    </w:pPr>
    <w:rPr>
      <w:rFonts w:ascii="Times New Roman" w:eastAsia="Times New Roman" w:hAnsi="Times New Roman" w:cs="Times New Roman"/>
      <w:kern w:val="0"/>
      <w:sz w:val="24"/>
      <w:szCs w:val="24"/>
      <w:lang w:eastAsia="es-MX"/>
    </w:rPr>
  </w:style>
  <w:style w:type="paragraph" w:styleId="Ttulo1">
    <w:name w:val="heading 1"/>
    <w:basedOn w:val="Normal"/>
    <w:next w:val="Normal"/>
    <w:link w:val="Ttulo1Car"/>
    <w:rsid w:val="00085838"/>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085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A22DCA"/>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85838"/>
    <w:rPr>
      <w:rFonts w:ascii="Times New Roman" w:eastAsia="Times New Roman" w:hAnsi="Times New Roman" w:cs="Times New Roman"/>
      <w:b/>
      <w:kern w:val="0"/>
      <w:sz w:val="48"/>
      <w:szCs w:val="48"/>
      <w:lang w:eastAsia="es-MX"/>
    </w:rPr>
  </w:style>
  <w:style w:type="character" w:customStyle="1" w:styleId="Ttulo2Car">
    <w:name w:val="Título 2 Car"/>
    <w:basedOn w:val="Fuentedeprrafopredeter"/>
    <w:link w:val="Ttulo2"/>
    <w:uiPriority w:val="9"/>
    <w:rsid w:val="00085838"/>
    <w:rPr>
      <w:rFonts w:asciiTheme="majorHAnsi" w:eastAsiaTheme="majorEastAsia" w:hAnsiTheme="majorHAnsi" w:cstheme="majorBidi"/>
      <w:color w:val="2F5496" w:themeColor="accent1" w:themeShade="BF"/>
      <w:kern w:val="0"/>
      <w:sz w:val="26"/>
      <w:szCs w:val="26"/>
      <w:lang w:eastAsia="es-MX"/>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72"/>
    <w:qFormat/>
    <w:rsid w:val="00085838"/>
    <w:pPr>
      <w:ind w:left="720"/>
      <w:contextualSpacing/>
    </w:pPr>
    <w:rPr>
      <w:rFonts w:ascii="Century Gothic" w:hAnsi="Century Gothic"/>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72"/>
    <w:qFormat/>
    <w:locked/>
    <w:rsid w:val="00085838"/>
    <w:rPr>
      <w:rFonts w:ascii="Century Gothic" w:eastAsia="Times New Roman" w:hAnsi="Century Gothic" w:cs="Times New Roman"/>
      <w:kern w:val="0"/>
      <w:sz w:val="24"/>
      <w:szCs w:val="24"/>
      <w:lang w:eastAsia="es-MX"/>
    </w:rPr>
  </w:style>
  <w:style w:type="character" w:styleId="Hipervnculo">
    <w:name w:val="Hyperlink"/>
    <w:aliases w:val="Hipervínculo1,Hipervínculo11,Hipervínculo12,Hipervínculo13,Hipervínculo14,Hipervínculo15"/>
    <w:basedOn w:val="Fuentedeprrafopredeter"/>
    <w:uiPriority w:val="99"/>
    <w:unhideWhenUsed/>
    <w:rsid w:val="00085838"/>
    <w:rPr>
      <w:color w:val="0563C1"/>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85838"/>
    <w:rPr>
      <w:rFonts w:asciiTheme="minorHAnsi" w:eastAsiaTheme="minorHAnsi" w:hAnsiTheme="minorHAnsi" w:cstheme="minorBidi"/>
      <w:sz w:val="20"/>
      <w:szCs w:val="20"/>
      <w:lang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085838"/>
    <w:rPr>
      <w:kern w:val="0"/>
      <w:sz w:val="20"/>
      <w:szCs w:val="20"/>
    </w:rPr>
  </w:style>
  <w:style w:type="character" w:styleId="Refdenotaalpie">
    <w:name w:val="footnote reference"/>
    <w:aliases w:val="Footnotes refss,Texto de nota al pie,Ref. de nota al pie 2,Appel note de bas de page,referencia nota al pie,BVI fnr,Footnote number,4_G,16 Point,Superscript 6 Point,Texto nota al pie,Footnote Reference Char3,Ref,de nota al pie,註腳內容,f"/>
    <w:basedOn w:val="Fuentedeprrafopredeter"/>
    <w:uiPriority w:val="99"/>
    <w:unhideWhenUsed/>
    <w:qFormat/>
    <w:rsid w:val="00085838"/>
    <w:rPr>
      <w:vertAlign w:val="superscript"/>
    </w:rPr>
  </w:style>
  <w:style w:type="paragraph" w:styleId="Piedepgina">
    <w:name w:val="footer"/>
    <w:basedOn w:val="Normal"/>
    <w:link w:val="PiedepginaCar"/>
    <w:uiPriority w:val="99"/>
    <w:unhideWhenUsed/>
    <w:rsid w:val="00085838"/>
    <w:pPr>
      <w:tabs>
        <w:tab w:val="center" w:pos="4419"/>
        <w:tab w:val="right" w:pos="8838"/>
      </w:tabs>
    </w:pPr>
  </w:style>
  <w:style w:type="character" w:customStyle="1" w:styleId="PiedepginaCar">
    <w:name w:val="Pie de página Car"/>
    <w:basedOn w:val="Fuentedeprrafopredeter"/>
    <w:link w:val="Piedepgina"/>
    <w:uiPriority w:val="99"/>
    <w:rsid w:val="00085838"/>
    <w:rPr>
      <w:rFonts w:ascii="Times New Roman" w:eastAsia="Times New Roman" w:hAnsi="Times New Roman" w:cs="Times New Roman"/>
      <w:kern w:val="0"/>
      <w:sz w:val="24"/>
      <w:szCs w:val="24"/>
      <w:lang w:eastAsia="es-MX"/>
    </w:rPr>
  </w:style>
  <w:style w:type="table" w:styleId="Tablaconcuadrcula">
    <w:name w:val="Table Grid"/>
    <w:basedOn w:val="Tablanormal"/>
    <w:uiPriority w:val="39"/>
    <w:qFormat/>
    <w:rsid w:val="00883E2A"/>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39569B"/>
    <w:pPr>
      <w:spacing w:after="120"/>
    </w:pPr>
  </w:style>
  <w:style w:type="character" w:customStyle="1" w:styleId="TextoindependienteCar">
    <w:name w:val="Texto independiente Car"/>
    <w:basedOn w:val="Fuentedeprrafopredeter"/>
    <w:link w:val="Textoindependiente"/>
    <w:uiPriority w:val="99"/>
    <w:semiHidden/>
    <w:rsid w:val="0039569B"/>
    <w:rPr>
      <w:rFonts w:ascii="Times New Roman" w:eastAsia="Times New Roman" w:hAnsi="Times New Roman" w:cs="Times New Roman"/>
      <w:kern w:val="0"/>
      <w:sz w:val="24"/>
      <w:szCs w:val="24"/>
      <w:lang w:eastAsia="es-MX"/>
    </w:rPr>
  </w:style>
  <w:style w:type="table" w:customStyle="1" w:styleId="Tablanormal12">
    <w:name w:val="Tabla normal 12"/>
    <w:basedOn w:val="Tablanormal"/>
    <w:next w:val="Tablanormal1"/>
    <w:uiPriority w:val="41"/>
    <w:rsid w:val="00CF2AE9"/>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1">
    <w:name w:val="Plain Table 1"/>
    <w:basedOn w:val="Tablanormal"/>
    <w:uiPriority w:val="41"/>
    <w:rsid w:val="00CF2AE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3Car">
    <w:name w:val="Título 3 Car"/>
    <w:basedOn w:val="Fuentedeprrafopredeter"/>
    <w:link w:val="Ttulo3"/>
    <w:uiPriority w:val="9"/>
    <w:semiHidden/>
    <w:rsid w:val="00A22DCA"/>
    <w:rPr>
      <w:rFonts w:asciiTheme="majorHAnsi" w:eastAsiaTheme="majorEastAsia" w:hAnsiTheme="majorHAnsi" w:cstheme="majorBidi"/>
      <w:color w:val="1F3763" w:themeColor="accent1" w:themeShade="7F"/>
      <w:kern w:val="0"/>
      <w:sz w:val="24"/>
      <w:szCs w:val="24"/>
      <w:lang w:eastAsia="es-MX"/>
    </w:rPr>
  </w:style>
  <w:style w:type="paragraph" w:customStyle="1" w:styleId="Default">
    <w:name w:val="Default"/>
    <w:rsid w:val="00AE5A60"/>
    <w:pPr>
      <w:autoSpaceDE w:val="0"/>
      <w:autoSpaceDN w:val="0"/>
      <w:adjustRightInd w:val="0"/>
      <w:spacing w:after="0" w:line="240" w:lineRule="auto"/>
    </w:pPr>
    <w:rPr>
      <w:rFonts w:ascii="Arial" w:hAnsi="Arial" w:cs="Arial"/>
      <w:color w:val="000000"/>
      <w:kern w:val="0"/>
      <w:sz w:val="24"/>
      <w:szCs w:val="24"/>
      <w14:ligatures w14:val="none"/>
    </w:rPr>
  </w:style>
  <w:style w:type="paragraph" w:styleId="Encabezado">
    <w:name w:val="header"/>
    <w:basedOn w:val="Normal"/>
    <w:link w:val="EncabezadoCar"/>
    <w:uiPriority w:val="99"/>
    <w:unhideWhenUsed/>
    <w:rsid w:val="00DF630D"/>
    <w:pPr>
      <w:tabs>
        <w:tab w:val="center" w:pos="4419"/>
        <w:tab w:val="right" w:pos="8838"/>
      </w:tabs>
    </w:pPr>
    <w:rPr>
      <w:rFonts w:asciiTheme="minorHAnsi" w:eastAsiaTheme="minorEastAsia" w:hAnsiTheme="minorHAnsi" w:cstheme="minorBidi"/>
      <w:lang w:val="es-ES_tradnl" w:eastAsia="es-ES"/>
      <w14:ligatures w14:val="none"/>
    </w:rPr>
  </w:style>
  <w:style w:type="character" w:customStyle="1" w:styleId="EncabezadoCar">
    <w:name w:val="Encabezado Car"/>
    <w:basedOn w:val="Fuentedeprrafopredeter"/>
    <w:link w:val="Encabezado"/>
    <w:uiPriority w:val="99"/>
    <w:rsid w:val="00DF630D"/>
    <w:rPr>
      <w:rFonts w:eastAsiaTheme="minorEastAsia"/>
      <w:kern w:val="0"/>
      <w:sz w:val="24"/>
      <w:szCs w:val="24"/>
      <w:lang w:val="es-ES_tradnl" w:eastAsia="es-ES"/>
      <w14:ligatures w14:val="none"/>
    </w:rPr>
  </w:style>
  <w:style w:type="character" w:customStyle="1" w:styleId="eop">
    <w:name w:val="eop"/>
    <w:basedOn w:val="Fuentedeprrafopredeter"/>
    <w:rsid w:val="00A84431"/>
  </w:style>
  <w:style w:type="paragraph" w:customStyle="1" w:styleId="paragraph">
    <w:name w:val="paragraph"/>
    <w:basedOn w:val="Normal"/>
    <w:rsid w:val="00A84431"/>
    <w:pPr>
      <w:spacing w:before="100" w:beforeAutospacing="1" w:after="100" w:afterAutospacing="1"/>
    </w:pPr>
    <w:rPr>
      <w14:ligatures w14:val="none"/>
    </w:rPr>
  </w:style>
  <w:style w:type="paragraph" w:styleId="Sinespaciado">
    <w:name w:val="No Spacing"/>
    <w:aliases w:val="Francesa,INAI"/>
    <w:link w:val="SinespaciadoCar"/>
    <w:uiPriority w:val="1"/>
    <w:qFormat/>
    <w:rsid w:val="00500EB1"/>
    <w:pPr>
      <w:spacing w:after="0" w:line="240" w:lineRule="auto"/>
    </w:pPr>
    <w:rPr>
      <w:rFonts w:ascii="Times New Roman" w:eastAsia="Times New Roman" w:hAnsi="Times New Roman" w:cs="Times New Roman"/>
      <w:kern w:val="0"/>
      <w:sz w:val="24"/>
      <w:szCs w:val="24"/>
      <w:lang w:eastAsia="es-ES"/>
      <w14:ligatures w14:val="none"/>
    </w:rPr>
  </w:style>
  <w:style w:type="character" w:customStyle="1" w:styleId="SinespaciadoCar">
    <w:name w:val="Sin espaciado Car"/>
    <w:aliases w:val="Francesa Car,INAI Car"/>
    <w:link w:val="Sinespaciado"/>
    <w:uiPriority w:val="1"/>
    <w:locked/>
    <w:rsid w:val="00500EB1"/>
    <w:rPr>
      <w:rFonts w:ascii="Times New Roman" w:eastAsia="Times New Roman" w:hAnsi="Times New Roman" w:cs="Times New Roman"/>
      <w:kern w:val="0"/>
      <w:sz w:val="24"/>
      <w:szCs w:val="24"/>
      <w:lang w:eastAsia="es-ES"/>
      <w14:ligatures w14:val="none"/>
    </w:rPr>
  </w:style>
  <w:style w:type="paragraph" w:customStyle="1" w:styleId="INFOEM">
    <w:name w:val="INFOEM"/>
    <w:basedOn w:val="Normal"/>
    <w:qFormat/>
    <w:rsid w:val="00500EB1"/>
    <w:pPr>
      <w:spacing w:before="240" w:after="160" w:line="360" w:lineRule="auto"/>
      <w:ind w:left="851" w:right="851"/>
      <w:jc w:val="both"/>
    </w:pPr>
    <w:rPr>
      <w:rFonts w:ascii="Palatino Linotype" w:eastAsiaTheme="minorHAnsi" w:hAnsi="Palatino Linotype" w:cstheme="minorBidi"/>
      <w:i/>
      <w:sz w:val="22"/>
      <w:szCs w:val="14"/>
      <w:lang w:eastAsia="en-US"/>
      <w14:ligatures w14:val="none"/>
    </w:rPr>
  </w:style>
  <w:style w:type="paragraph" w:customStyle="1" w:styleId="Citas">
    <w:name w:val="Citas"/>
    <w:basedOn w:val="Normal"/>
    <w:qFormat/>
    <w:rsid w:val="00500EB1"/>
    <w:pPr>
      <w:spacing w:before="240" w:after="160" w:line="360" w:lineRule="auto"/>
      <w:ind w:left="851" w:right="851"/>
      <w:jc w:val="both"/>
    </w:pPr>
    <w:rPr>
      <w:rFonts w:ascii="Palatino Linotype" w:eastAsiaTheme="minorHAnsi" w:hAnsi="Palatino Linotype" w:cs="Arial"/>
      <w:i/>
      <w:sz w:val="22"/>
      <w:szCs w:val="22"/>
      <w:lang w:eastAsia="en-US"/>
      <w14:ligatures w14:val="none"/>
    </w:rPr>
  </w:style>
  <w:style w:type="paragraph" w:styleId="Listaconvietas3">
    <w:name w:val="List Bullet 3"/>
    <w:basedOn w:val="Normal"/>
    <w:uiPriority w:val="99"/>
    <w:unhideWhenUsed/>
    <w:rsid w:val="000D1659"/>
    <w:pPr>
      <w:numPr>
        <w:numId w:val="15"/>
      </w:numPr>
      <w:contextualSpacing/>
    </w:pPr>
    <w:rPr>
      <w14:ligatures w14:val="none"/>
    </w:rPr>
  </w:style>
  <w:style w:type="paragraph" w:styleId="Puesto">
    <w:name w:val="Title"/>
    <w:aliases w:val="Cita textual"/>
    <w:next w:val="Normal"/>
    <w:link w:val="PuestoCar"/>
    <w:uiPriority w:val="10"/>
    <w:qFormat/>
    <w:rsid w:val="00D472A9"/>
    <w:pPr>
      <w:spacing w:after="0" w:line="240" w:lineRule="auto"/>
      <w:ind w:left="567" w:right="567"/>
      <w:contextualSpacing/>
      <w:jc w:val="both"/>
    </w:pPr>
    <w:rPr>
      <w:rFonts w:ascii="Palatino Linotype" w:eastAsiaTheme="majorEastAsia" w:hAnsi="Palatino Linotype" w:cstheme="majorBidi"/>
      <w:i/>
      <w:kern w:val="28"/>
      <w:sz w:val="24"/>
      <w:szCs w:val="56"/>
      <w:lang w:eastAsia="es-ES"/>
      <w14:ligatures w14:val="none"/>
    </w:rPr>
  </w:style>
  <w:style w:type="character" w:customStyle="1" w:styleId="PuestoCar">
    <w:name w:val="Puesto Car"/>
    <w:aliases w:val="Cita textual Car"/>
    <w:basedOn w:val="Fuentedeprrafopredeter"/>
    <w:link w:val="Puesto"/>
    <w:uiPriority w:val="10"/>
    <w:rsid w:val="00D472A9"/>
    <w:rPr>
      <w:rFonts w:ascii="Palatino Linotype" w:eastAsiaTheme="majorEastAsia" w:hAnsi="Palatino Linotype" w:cstheme="majorBidi"/>
      <w:i/>
      <w:kern w:val="28"/>
      <w:sz w:val="24"/>
      <w:szCs w:val="56"/>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99121">
      <w:bodyDiv w:val="1"/>
      <w:marLeft w:val="0"/>
      <w:marRight w:val="0"/>
      <w:marTop w:val="0"/>
      <w:marBottom w:val="0"/>
      <w:divBdr>
        <w:top w:val="none" w:sz="0" w:space="0" w:color="auto"/>
        <w:left w:val="none" w:sz="0" w:space="0" w:color="auto"/>
        <w:bottom w:val="none" w:sz="0" w:space="0" w:color="auto"/>
        <w:right w:val="none" w:sz="0" w:space="0" w:color="auto"/>
      </w:divBdr>
    </w:div>
    <w:div w:id="223025945">
      <w:bodyDiv w:val="1"/>
      <w:marLeft w:val="0"/>
      <w:marRight w:val="0"/>
      <w:marTop w:val="0"/>
      <w:marBottom w:val="0"/>
      <w:divBdr>
        <w:top w:val="none" w:sz="0" w:space="0" w:color="auto"/>
        <w:left w:val="none" w:sz="0" w:space="0" w:color="auto"/>
        <w:bottom w:val="none" w:sz="0" w:space="0" w:color="auto"/>
        <w:right w:val="none" w:sz="0" w:space="0" w:color="auto"/>
      </w:divBdr>
    </w:div>
    <w:div w:id="352460303">
      <w:bodyDiv w:val="1"/>
      <w:marLeft w:val="0"/>
      <w:marRight w:val="0"/>
      <w:marTop w:val="0"/>
      <w:marBottom w:val="0"/>
      <w:divBdr>
        <w:top w:val="none" w:sz="0" w:space="0" w:color="auto"/>
        <w:left w:val="none" w:sz="0" w:space="0" w:color="auto"/>
        <w:bottom w:val="none" w:sz="0" w:space="0" w:color="auto"/>
        <w:right w:val="none" w:sz="0" w:space="0" w:color="auto"/>
      </w:divBdr>
    </w:div>
    <w:div w:id="505091850">
      <w:bodyDiv w:val="1"/>
      <w:marLeft w:val="0"/>
      <w:marRight w:val="0"/>
      <w:marTop w:val="0"/>
      <w:marBottom w:val="0"/>
      <w:divBdr>
        <w:top w:val="none" w:sz="0" w:space="0" w:color="auto"/>
        <w:left w:val="none" w:sz="0" w:space="0" w:color="auto"/>
        <w:bottom w:val="none" w:sz="0" w:space="0" w:color="auto"/>
        <w:right w:val="none" w:sz="0" w:space="0" w:color="auto"/>
      </w:divBdr>
    </w:div>
    <w:div w:id="723916074">
      <w:bodyDiv w:val="1"/>
      <w:marLeft w:val="0"/>
      <w:marRight w:val="0"/>
      <w:marTop w:val="0"/>
      <w:marBottom w:val="0"/>
      <w:divBdr>
        <w:top w:val="none" w:sz="0" w:space="0" w:color="auto"/>
        <w:left w:val="none" w:sz="0" w:space="0" w:color="auto"/>
        <w:bottom w:val="none" w:sz="0" w:space="0" w:color="auto"/>
        <w:right w:val="none" w:sz="0" w:space="0" w:color="auto"/>
      </w:divBdr>
    </w:div>
    <w:div w:id="1333071159">
      <w:bodyDiv w:val="1"/>
      <w:marLeft w:val="0"/>
      <w:marRight w:val="0"/>
      <w:marTop w:val="0"/>
      <w:marBottom w:val="0"/>
      <w:divBdr>
        <w:top w:val="none" w:sz="0" w:space="0" w:color="auto"/>
        <w:left w:val="none" w:sz="0" w:space="0" w:color="auto"/>
        <w:bottom w:val="none" w:sz="0" w:space="0" w:color="auto"/>
        <w:right w:val="none" w:sz="0" w:space="0" w:color="auto"/>
      </w:divBdr>
    </w:div>
    <w:div w:id="20418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movilidad.edomex.gob.mx/sites/smovilidad.edomex.gob.mx/files/files/pdf/ley_movilidad_edomex.pdf"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legislacion.edomex.gob.mx/acerca_legiste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opendatacharter.net/principle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50</Pages>
  <Words>11711</Words>
  <Characters>64415</Characters>
  <Application>Microsoft Office Word</Application>
  <DocSecurity>0</DocSecurity>
  <Lines>536</Lines>
  <Paragraphs>151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adan gaona valle</dc:creator>
  <cp:keywords/>
  <dc:description/>
  <cp:lastModifiedBy>INFOEM403</cp:lastModifiedBy>
  <cp:revision>16</cp:revision>
  <dcterms:created xsi:type="dcterms:W3CDTF">2024-12-18T19:00:00Z</dcterms:created>
  <dcterms:modified xsi:type="dcterms:W3CDTF">2025-01-24T17:38:00Z</dcterms:modified>
</cp:coreProperties>
</file>