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17E5" w14:textId="6CC6113E" w:rsidR="00C91C7B" w:rsidRPr="00D6033B" w:rsidRDefault="009B45E6" w:rsidP="009B45E6">
      <w:pPr>
        <w:spacing w:line="360" w:lineRule="auto"/>
        <w:jc w:val="both"/>
        <w:rPr>
          <w:rFonts w:ascii="Palatino Linotype" w:hAnsi="Palatino Linotype"/>
          <w:sz w:val="24"/>
          <w:szCs w:val="24"/>
        </w:rPr>
      </w:pPr>
      <w:r w:rsidRPr="00D6033B">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7E3FE4" w:rsidRPr="00D6033B">
        <w:rPr>
          <w:rFonts w:ascii="Palatino Linotype" w:hAnsi="Palatino Linotype"/>
          <w:sz w:val="24"/>
          <w:szCs w:val="24"/>
        </w:rPr>
        <w:t>seis</w:t>
      </w:r>
      <w:r w:rsidRPr="00D6033B">
        <w:rPr>
          <w:rFonts w:ascii="Palatino Linotype" w:hAnsi="Palatino Linotype"/>
          <w:sz w:val="24"/>
          <w:szCs w:val="24"/>
        </w:rPr>
        <w:t xml:space="preserve"> de marzo de dos mil veinticinco</w:t>
      </w:r>
      <w:r w:rsidR="007E3FE4" w:rsidRPr="00D6033B">
        <w:rPr>
          <w:rFonts w:ascii="Palatino Linotype" w:hAnsi="Palatino Linotype"/>
          <w:sz w:val="24"/>
          <w:szCs w:val="24"/>
        </w:rPr>
        <w:t>.</w:t>
      </w:r>
    </w:p>
    <w:p w14:paraId="33287ED7"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3396BEFF"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b/>
          <w:color w:val="000000"/>
          <w:sz w:val="24"/>
          <w:szCs w:val="24"/>
        </w:rPr>
        <w:t>VISTO</w:t>
      </w:r>
      <w:r w:rsidRPr="00D6033B">
        <w:rPr>
          <w:rFonts w:ascii="Palatino Linotype" w:eastAsia="Palatino Linotype" w:hAnsi="Palatino Linotype" w:cs="Palatino Linotype"/>
          <w:color w:val="000000"/>
          <w:sz w:val="24"/>
          <w:szCs w:val="24"/>
        </w:rPr>
        <w:t xml:space="preserve"> el expediente electrónico formado con motivo del recurso de revisión número </w:t>
      </w:r>
      <w:r w:rsidRPr="00D6033B">
        <w:rPr>
          <w:rFonts w:ascii="Palatino Linotype" w:eastAsia="Palatino Linotype" w:hAnsi="Palatino Linotype" w:cs="Palatino Linotype"/>
          <w:b/>
          <w:color w:val="000000"/>
          <w:sz w:val="24"/>
          <w:szCs w:val="24"/>
        </w:rPr>
        <w:t>00520/INFOEM/IP/RR/2025</w:t>
      </w:r>
      <w:r w:rsidRPr="00D6033B">
        <w:rPr>
          <w:rFonts w:ascii="Palatino Linotype" w:eastAsia="Palatino Linotype" w:hAnsi="Palatino Linotype" w:cs="Palatino Linotype"/>
          <w:color w:val="000000"/>
          <w:sz w:val="24"/>
          <w:szCs w:val="24"/>
        </w:rPr>
        <w:t xml:space="preserve">, interpuesto por </w:t>
      </w:r>
      <w:r w:rsidRPr="00D6033B">
        <w:rPr>
          <w:rFonts w:ascii="Palatino Linotype" w:eastAsia="Palatino Linotype" w:hAnsi="Palatino Linotype" w:cs="Palatino Linotype"/>
          <w:b/>
          <w:color w:val="000000"/>
          <w:sz w:val="24"/>
          <w:szCs w:val="24"/>
        </w:rPr>
        <w:t>un particular que no proporciono nombre o seudónimo</w:t>
      </w:r>
      <w:r w:rsidRPr="00D6033B">
        <w:rPr>
          <w:rFonts w:ascii="Palatino Linotype" w:eastAsia="Palatino Linotype" w:hAnsi="Palatino Linotype" w:cs="Palatino Linotype"/>
          <w:sz w:val="24"/>
          <w:szCs w:val="24"/>
        </w:rPr>
        <w:t xml:space="preserve">, </w:t>
      </w:r>
      <w:r w:rsidRPr="00D6033B">
        <w:rPr>
          <w:rFonts w:ascii="Palatino Linotype" w:eastAsia="Palatino Linotype" w:hAnsi="Palatino Linotype" w:cs="Palatino Linotype"/>
          <w:color w:val="000000"/>
          <w:sz w:val="24"/>
          <w:szCs w:val="24"/>
        </w:rPr>
        <w:t xml:space="preserve">en lo sucesivo el </w:t>
      </w:r>
      <w:r w:rsidRPr="00D6033B">
        <w:rPr>
          <w:rFonts w:ascii="Palatino Linotype" w:eastAsia="Palatino Linotype" w:hAnsi="Palatino Linotype" w:cs="Palatino Linotype"/>
          <w:b/>
          <w:color w:val="000000"/>
          <w:sz w:val="24"/>
          <w:szCs w:val="24"/>
        </w:rPr>
        <w:t>Recurrente</w:t>
      </w:r>
      <w:r w:rsidRPr="00D6033B">
        <w:rPr>
          <w:rFonts w:ascii="Palatino Linotype" w:eastAsia="Palatino Linotype" w:hAnsi="Palatino Linotype" w:cs="Palatino Linotype"/>
          <w:color w:val="000000"/>
          <w:sz w:val="24"/>
          <w:szCs w:val="24"/>
        </w:rPr>
        <w:t>, en contra de la respuesta del</w:t>
      </w:r>
      <w:r w:rsidRPr="00D6033B">
        <w:rPr>
          <w:rFonts w:ascii="Palatino Linotype" w:eastAsia="Palatino Linotype" w:hAnsi="Palatino Linotype" w:cs="Palatino Linotype"/>
          <w:b/>
          <w:color w:val="000000"/>
          <w:sz w:val="24"/>
          <w:szCs w:val="24"/>
        </w:rPr>
        <w:t xml:space="preserve"> Ayuntamiento de Toluca</w:t>
      </w:r>
      <w:r w:rsidRPr="00D6033B">
        <w:rPr>
          <w:rFonts w:ascii="Palatino Linotype" w:eastAsia="Palatino Linotype" w:hAnsi="Palatino Linotype" w:cs="Palatino Linotype"/>
          <w:color w:val="000000"/>
          <w:sz w:val="24"/>
          <w:szCs w:val="24"/>
        </w:rPr>
        <w:t>, en lo subsecuente</w:t>
      </w:r>
      <w:r w:rsidRPr="00D6033B">
        <w:rPr>
          <w:rFonts w:ascii="Palatino Linotype" w:eastAsia="Palatino Linotype" w:hAnsi="Palatino Linotype" w:cs="Palatino Linotype"/>
          <w:b/>
          <w:color w:val="000000"/>
          <w:sz w:val="24"/>
          <w:szCs w:val="24"/>
        </w:rPr>
        <w:t xml:space="preserve"> </w:t>
      </w:r>
      <w:r w:rsidRPr="00D6033B">
        <w:rPr>
          <w:rFonts w:ascii="Palatino Linotype" w:eastAsia="Palatino Linotype" w:hAnsi="Palatino Linotype" w:cs="Palatino Linotype"/>
          <w:color w:val="000000"/>
          <w:sz w:val="24"/>
          <w:szCs w:val="24"/>
        </w:rPr>
        <w:t>el</w:t>
      </w:r>
      <w:r w:rsidRPr="00D6033B">
        <w:rPr>
          <w:rFonts w:ascii="Palatino Linotype" w:eastAsia="Palatino Linotype" w:hAnsi="Palatino Linotype" w:cs="Palatino Linotype"/>
          <w:b/>
          <w:color w:val="000000"/>
          <w:sz w:val="24"/>
          <w:szCs w:val="24"/>
        </w:rPr>
        <w:t xml:space="preserve"> Sujeto Obligado, </w:t>
      </w:r>
      <w:r w:rsidRPr="00D6033B">
        <w:rPr>
          <w:rFonts w:ascii="Palatino Linotype" w:eastAsia="Palatino Linotype" w:hAnsi="Palatino Linotype" w:cs="Palatino Linotype"/>
          <w:color w:val="000000"/>
          <w:sz w:val="24"/>
          <w:szCs w:val="24"/>
        </w:rPr>
        <w:t>se procede a dictar la presente resolución.</w:t>
      </w:r>
    </w:p>
    <w:p w14:paraId="3929FBA7"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1AA8064B" w14:textId="77777777" w:rsidR="00C91C7B" w:rsidRPr="00D6033B" w:rsidRDefault="009B45E6">
      <w:pPr>
        <w:keepNext/>
        <w:keepLines/>
        <w:spacing w:after="0" w:line="360" w:lineRule="auto"/>
        <w:jc w:val="center"/>
        <w:rPr>
          <w:rFonts w:ascii="Palatino Linotype" w:eastAsia="Palatino Linotype" w:hAnsi="Palatino Linotype" w:cs="Palatino Linotype"/>
          <w:b/>
          <w:color w:val="000000"/>
          <w:sz w:val="32"/>
          <w:szCs w:val="32"/>
        </w:rPr>
      </w:pPr>
      <w:r w:rsidRPr="00D6033B">
        <w:rPr>
          <w:rFonts w:ascii="Palatino Linotype" w:eastAsia="Palatino Linotype" w:hAnsi="Palatino Linotype" w:cs="Palatino Linotype"/>
          <w:b/>
          <w:color w:val="000000"/>
          <w:sz w:val="32"/>
          <w:szCs w:val="32"/>
        </w:rPr>
        <w:t>ANTECEDENTES</w:t>
      </w:r>
    </w:p>
    <w:p w14:paraId="3B062FCE"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7764D364"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t>PRIMERO. De la Solicitud de Información.</w:t>
      </w:r>
    </w:p>
    <w:p w14:paraId="720E9032"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Con fecha tres de diciembre de dos mil veinticuatro, el Recurrente presentó mediante el Sistema de Acceso a la Información Mexiquense (SAIMEX), solicitud de información registrada con el número de </w:t>
      </w:r>
      <w:r w:rsidRPr="00D6033B">
        <w:rPr>
          <w:rFonts w:ascii="Palatino Linotype" w:eastAsia="Palatino Linotype" w:hAnsi="Palatino Linotype" w:cs="Palatino Linotype"/>
          <w:sz w:val="24"/>
          <w:szCs w:val="24"/>
        </w:rPr>
        <w:t>expediente</w:t>
      </w:r>
      <w:r w:rsidRPr="00D6033B">
        <w:rPr>
          <w:rFonts w:ascii="Verdana" w:eastAsia="Verdana" w:hAnsi="Verdana" w:cs="Verdana"/>
          <w:b/>
          <w:color w:val="FF0000"/>
          <w:sz w:val="24"/>
          <w:szCs w:val="24"/>
        </w:rPr>
        <w:t> </w:t>
      </w:r>
      <w:r w:rsidRPr="00D6033B">
        <w:rPr>
          <w:color w:val="000000"/>
          <w:sz w:val="27"/>
          <w:szCs w:val="27"/>
        </w:rPr>
        <w:t> </w:t>
      </w:r>
      <w:r w:rsidRPr="00D6033B">
        <w:rPr>
          <w:rFonts w:ascii="Verdana" w:eastAsia="Verdana" w:hAnsi="Verdana" w:cs="Verdana"/>
          <w:b/>
          <w:color w:val="FF0000"/>
          <w:sz w:val="20"/>
          <w:szCs w:val="20"/>
        </w:rPr>
        <w:t> </w:t>
      </w:r>
      <w:r w:rsidRPr="00D6033B">
        <w:rPr>
          <w:rFonts w:ascii="Palatino Linotype" w:hAnsi="Palatino Linotype"/>
          <w:b/>
          <w:bCs/>
          <w:sz w:val="24"/>
          <w:szCs w:val="24"/>
        </w:rPr>
        <w:t>03150/TOLUCA/IP/2024</w:t>
      </w:r>
      <w:r w:rsidRPr="00D6033B">
        <w:rPr>
          <w:rFonts w:ascii="Palatino Linotype" w:eastAsia="Palatino Linotype" w:hAnsi="Palatino Linotype" w:cs="Palatino Linotype"/>
          <w:sz w:val="24"/>
          <w:szCs w:val="24"/>
        </w:rPr>
        <w:t>,</w:t>
      </w:r>
      <w:r w:rsidRPr="00D6033B">
        <w:rPr>
          <w:rFonts w:ascii="Palatino Linotype" w:eastAsia="Palatino Linotype" w:hAnsi="Palatino Linotype" w:cs="Palatino Linotype"/>
          <w:b/>
          <w:sz w:val="24"/>
          <w:szCs w:val="24"/>
        </w:rPr>
        <w:t xml:space="preserve"> </w:t>
      </w:r>
      <w:r w:rsidRPr="00D6033B">
        <w:rPr>
          <w:rFonts w:ascii="Palatino Linotype" w:eastAsia="Palatino Linotype" w:hAnsi="Palatino Linotype" w:cs="Palatino Linotype"/>
          <w:color w:val="000000"/>
          <w:sz w:val="24"/>
          <w:szCs w:val="24"/>
        </w:rPr>
        <w:t>mediante la cual solicitó información en el tenor siguiente:</w:t>
      </w:r>
    </w:p>
    <w:p w14:paraId="33BECB85" w14:textId="77777777" w:rsidR="00C91C7B" w:rsidRPr="00D6033B" w:rsidRDefault="00C91C7B">
      <w:pPr>
        <w:spacing w:after="0" w:line="360" w:lineRule="auto"/>
        <w:jc w:val="both"/>
        <w:rPr>
          <w:rFonts w:ascii="Palatino Linotype" w:eastAsia="Palatino Linotype" w:hAnsi="Palatino Linotype" w:cs="Palatino Linotype"/>
          <w:i/>
          <w:color w:val="000000"/>
          <w:sz w:val="24"/>
          <w:szCs w:val="24"/>
        </w:rPr>
      </w:pPr>
    </w:p>
    <w:p w14:paraId="399282CF" w14:textId="77777777" w:rsidR="00C91C7B" w:rsidRPr="00D6033B" w:rsidRDefault="009B45E6">
      <w:pPr>
        <w:spacing w:after="0" w:line="360" w:lineRule="auto"/>
        <w:ind w:left="567" w:right="567"/>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sz w:val="24"/>
          <w:szCs w:val="24"/>
        </w:rPr>
        <w:t>“</w:t>
      </w:r>
      <w:r w:rsidRPr="00D6033B">
        <w:rPr>
          <w:rFonts w:ascii="Palatino Linotype" w:hAnsi="Palatino Linotype"/>
          <w:i/>
          <w:color w:val="000000"/>
          <w:sz w:val="24"/>
          <w:szCs w:val="24"/>
        </w:rPr>
        <w:t>Se solicita información de Alma Merino su curricular y su contra onde servicios de sus despachos y facturas pagadas por año</w:t>
      </w:r>
      <w:r w:rsidRPr="00D6033B">
        <w:rPr>
          <w:rFonts w:ascii="Palatino Linotype" w:eastAsia="Palatino Linotype" w:hAnsi="Palatino Linotype" w:cs="Palatino Linotype"/>
          <w:i/>
          <w:color w:val="000000"/>
          <w:sz w:val="24"/>
          <w:szCs w:val="24"/>
        </w:rPr>
        <w:t>.”</w:t>
      </w:r>
      <w:r w:rsidRPr="00D6033B">
        <w:rPr>
          <w:rFonts w:ascii="Palatino Linotype" w:eastAsia="Palatino Linotype" w:hAnsi="Palatino Linotype" w:cs="Palatino Linotype"/>
          <w:i/>
          <w:color w:val="000000"/>
        </w:rPr>
        <w:t xml:space="preserve"> (Sic)</w:t>
      </w:r>
    </w:p>
    <w:p w14:paraId="44B122B4"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5A8D359F" w14:textId="77777777" w:rsidR="00C91C7B" w:rsidRPr="00D6033B" w:rsidRDefault="009B45E6">
      <w:pPr>
        <w:spacing w:after="0" w:line="360" w:lineRule="auto"/>
        <w:jc w:val="both"/>
        <w:rPr>
          <w:rFonts w:ascii="Palatino Linotype" w:eastAsia="Palatino Linotype" w:hAnsi="Palatino Linotype" w:cs="Palatino Linotype"/>
          <w:b/>
          <w:color w:val="000000"/>
          <w:sz w:val="24"/>
          <w:szCs w:val="24"/>
        </w:rPr>
      </w:pPr>
      <w:r w:rsidRPr="00D6033B">
        <w:rPr>
          <w:rFonts w:ascii="Palatino Linotype" w:eastAsia="Palatino Linotype" w:hAnsi="Palatino Linotype" w:cs="Palatino Linotype"/>
          <w:color w:val="000000"/>
          <w:sz w:val="24"/>
          <w:szCs w:val="24"/>
        </w:rPr>
        <w:t xml:space="preserve">Modalidad de entrega: </w:t>
      </w:r>
      <w:r w:rsidRPr="00D6033B">
        <w:rPr>
          <w:rFonts w:ascii="Palatino Linotype" w:eastAsia="Palatino Linotype" w:hAnsi="Palatino Linotype" w:cs="Palatino Linotype"/>
          <w:b/>
          <w:color w:val="000000"/>
          <w:sz w:val="24"/>
          <w:szCs w:val="24"/>
        </w:rPr>
        <w:t>A través del SAIMEX</w:t>
      </w:r>
      <w:r w:rsidRPr="00D6033B">
        <w:rPr>
          <w:rFonts w:ascii="Palatino Linotype" w:eastAsia="Palatino Linotype" w:hAnsi="Palatino Linotype" w:cs="Palatino Linotype"/>
          <w:color w:val="000000"/>
          <w:sz w:val="24"/>
          <w:szCs w:val="24"/>
        </w:rPr>
        <w:t>.</w:t>
      </w:r>
    </w:p>
    <w:p w14:paraId="764EF39E"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4DE4F2F4"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lastRenderedPageBreak/>
        <w:t>SEGUNDO. De la respuesta del Sujeto Obligado.</w:t>
      </w:r>
    </w:p>
    <w:p w14:paraId="63494C89"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De las constancias que obran en el expediente electrónico, se observa que el catorce de enero de dos mil veinticinco, el Sujeto Obligado dio respuesta a la solicitud de información manifestando lo siguiente:</w:t>
      </w:r>
    </w:p>
    <w:p w14:paraId="0E0A1211"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tbl>
      <w:tblPr>
        <w:tblW w:w="7618" w:type="dxa"/>
        <w:jc w:val="center"/>
        <w:tblCellSpacing w:w="0" w:type="dxa"/>
        <w:tblCellMar>
          <w:left w:w="0" w:type="dxa"/>
          <w:right w:w="0" w:type="dxa"/>
        </w:tblCellMar>
        <w:tblLook w:val="04A0" w:firstRow="1" w:lastRow="0" w:firstColumn="1" w:lastColumn="0" w:noHBand="0" w:noVBand="1"/>
      </w:tblPr>
      <w:tblGrid>
        <w:gridCol w:w="7618"/>
      </w:tblGrid>
      <w:tr w:rsidR="009B45E6" w:rsidRPr="00D6033B" w14:paraId="1863C483" w14:textId="77777777" w:rsidTr="009B45E6">
        <w:trPr>
          <w:trHeight w:val="283"/>
          <w:tblCellSpacing w:w="0" w:type="dxa"/>
          <w:jc w:val="center"/>
        </w:trPr>
        <w:tc>
          <w:tcPr>
            <w:tcW w:w="0" w:type="auto"/>
            <w:vAlign w:val="center"/>
            <w:hideMark/>
          </w:tcPr>
          <w:p w14:paraId="3363D80A" w14:textId="77777777" w:rsidR="009B45E6" w:rsidRPr="00D6033B" w:rsidRDefault="009B45E6" w:rsidP="009B45E6">
            <w:pPr>
              <w:spacing w:after="0" w:line="240" w:lineRule="auto"/>
              <w:jc w:val="right"/>
              <w:rPr>
                <w:rFonts w:ascii="Palatino Linotype" w:eastAsia="Times New Roman" w:hAnsi="Palatino Linotype" w:cs="Times New Roman"/>
                <w:i/>
              </w:rPr>
            </w:pPr>
            <w:r w:rsidRPr="00D6033B">
              <w:rPr>
                <w:rFonts w:ascii="Palatino Linotype" w:eastAsia="Times New Roman" w:hAnsi="Palatino Linotype" w:cs="Times New Roman"/>
                <w:i/>
              </w:rPr>
              <w:t>Toluca, México a 14 de Enero de 2025</w:t>
            </w:r>
          </w:p>
        </w:tc>
      </w:tr>
      <w:tr w:rsidR="009B45E6" w:rsidRPr="00D6033B" w14:paraId="4E8BCACB" w14:textId="77777777" w:rsidTr="009B45E6">
        <w:trPr>
          <w:trHeight w:val="283"/>
          <w:tblCellSpacing w:w="0" w:type="dxa"/>
          <w:jc w:val="center"/>
        </w:trPr>
        <w:tc>
          <w:tcPr>
            <w:tcW w:w="0" w:type="auto"/>
            <w:vAlign w:val="center"/>
            <w:hideMark/>
          </w:tcPr>
          <w:p w14:paraId="46769701" w14:textId="77777777" w:rsidR="009B45E6" w:rsidRPr="00D6033B" w:rsidRDefault="009B45E6" w:rsidP="009B45E6">
            <w:pPr>
              <w:spacing w:after="0" w:line="240" w:lineRule="auto"/>
              <w:jc w:val="right"/>
              <w:rPr>
                <w:rFonts w:ascii="Palatino Linotype" w:eastAsia="Times New Roman" w:hAnsi="Palatino Linotype" w:cs="Times New Roman"/>
                <w:i/>
              </w:rPr>
            </w:pPr>
            <w:r w:rsidRPr="00D6033B">
              <w:rPr>
                <w:rFonts w:ascii="Palatino Linotype" w:eastAsia="Times New Roman" w:hAnsi="Palatino Linotype" w:cs="Times New Roman"/>
                <w:i/>
              </w:rPr>
              <w:t>Nombre del solicitante: C. Solicitante</w:t>
            </w:r>
          </w:p>
        </w:tc>
      </w:tr>
      <w:tr w:rsidR="009B45E6" w:rsidRPr="00D6033B" w14:paraId="7C0876A5" w14:textId="77777777" w:rsidTr="009B45E6">
        <w:trPr>
          <w:trHeight w:val="283"/>
          <w:tblCellSpacing w:w="0" w:type="dxa"/>
          <w:jc w:val="center"/>
        </w:trPr>
        <w:tc>
          <w:tcPr>
            <w:tcW w:w="0" w:type="auto"/>
            <w:vAlign w:val="center"/>
            <w:hideMark/>
          </w:tcPr>
          <w:p w14:paraId="63EFA7E2" w14:textId="77777777" w:rsidR="009B45E6" w:rsidRPr="00D6033B" w:rsidRDefault="009B45E6" w:rsidP="009B45E6">
            <w:pPr>
              <w:spacing w:after="0" w:line="240" w:lineRule="auto"/>
              <w:jc w:val="right"/>
              <w:rPr>
                <w:rFonts w:ascii="Palatino Linotype" w:eastAsia="Times New Roman" w:hAnsi="Palatino Linotype" w:cs="Times New Roman"/>
                <w:i/>
              </w:rPr>
            </w:pPr>
            <w:r w:rsidRPr="00D6033B">
              <w:rPr>
                <w:rFonts w:ascii="Palatino Linotype" w:eastAsia="Times New Roman" w:hAnsi="Palatino Linotype" w:cs="Times New Roman"/>
                <w:i/>
              </w:rPr>
              <w:t>Folio de la solicitud: 03150/TOLUCA/IP/2024</w:t>
            </w:r>
          </w:p>
        </w:tc>
      </w:tr>
      <w:tr w:rsidR="009B45E6" w:rsidRPr="00D6033B" w14:paraId="3A9BF26B" w14:textId="77777777" w:rsidTr="009B45E6">
        <w:trPr>
          <w:trHeight w:val="425"/>
          <w:tblCellSpacing w:w="0" w:type="dxa"/>
          <w:jc w:val="center"/>
        </w:trPr>
        <w:tc>
          <w:tcPr>
            <w:tcW w:w="0" w:type="auto"/>
            <w:vAlign w:val="center"/>
            <w:hideMark/>
          </w:tcPr>
          <w:p w14:paraId="6BBC8735" w14:textId="77777777" w:rsidR="009B45E6" w:rsidRPr="00D6033B" w:rsidRDefault="009B45E6" w:rsidP="009B45E6">
            <w:pPr>
              <w:spacing w:after="0" w:line="240" w:lineRule="auto"/>
              <w:jc w:val="right"/>
              <w:rPr>
                <w:rFonts w:ascii="Palatino Linotype" w:eastAsia="Times New Roman" w:hAnsi="Palatino Linotype" w:cs="Times New Roman"/>
                <w:i/>
              </w:rPr>
            </w:pPr>
          </w:p>
        </w:tc>
      </w:tr>
      <w:tr w:rsidR="009B45E6" w:rsidRPr="00D6033B" w14:paraId="6F229842" w14:textId="77777777" w:rsidTr="009B45E6">
        <w:trPr>
          <w:trHeight w:val="141"/>
          <w:tblCellSpacing w:w="0" w:type="dxa"/>
          <w:jc w:val="center"/>
        </w:trPr>
        <w:tc>
          <w:tcPr>
            <w:tcW w:w="0" w:type="auto"/>
            <w:vAlign w:val="center"/>
            <w:hideMark/>
          </w:tcPr>
          <w:p w14:paraId="0BAFB795" w14:textId="77777777" w:rsidR="009B45E6" w:rsidRPr="00D6033B" w:rsidRDefault="009B45E6" w:rsidP="009B45E6">
            <w:pPr>
              <w:spacing w:after="0" w:line="240" w:lineRule="auto"/>
              <w:jc w:val="both"/>
              <w:rPr>
                <w:rFonts w:ascii="Palatino Linotype" w:eastAsia="Times New Roman" w:hAnsi="Palatino Linotype" w:cs="Times New Roman"/>
                <w:i/>
              </w:rPr>
            </w:pPr>
            <w:r w:rsidRPr="00D6033B">
              <w:rPr>
                <w:rFonts w:ascii="Palatino Linotype" w:eastAsia="Times New Roman" w:hAnsi="Palatino Linotype" w:cs="Times New Roman"/>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B45E6" w:rsidRPr="00D6033B" w14:paraId="087C120E" w14:textId="77777777" w:rsidTr="009B45E6">
        <w:trPr>
          <w:trHeight w:val="141"/>
          <w:tblCellSpacing w:w="0" w:type="dxa"/>
          <w:jc w:val="center"/>
        </w:trPr>
        <w:tc>
          <w:tcPr>
            <w:tcW w:w="0" w:type="auto"/>
            <w:vAlign w:val="center"/>
            <w:hideMark/>
          </w:tcPr>
          <w:p w14:paraId="1D38009C" w14:textId="77777777" w:rsidR="009B45E6" w:rsidRPr="00D6033B" w:rsidRDefault="009B45E6" w:rsidP="009B45E6">
            <w:pPr>
              <w:spacing w:after="0" w:line="240" w:lineRule="auto"/>
              <w:rPr>
                <w:rFonts w:ascii="Palatino Linotype" w:eastAsia="Times New Roman" w:hAnsi="Palatino Linotype" w:cs="Times New Roman"/>
                <w:i/>
              </w:rPr>
            </w:pPr>
            <w:r w:rsidRPr="00D6033B">
              <w:rPr>
                <w:rFonts w:ascii="Palatino Linotype" w:eastAsia="Times New Roman" w:hAnsi="Palatino Linotype" w:cs="Times New Roman"/>
                <w:i/>
              </w:rPr>
              <w:t>En atención a la solicitud con folio 03150/TOLUCA/IP/2024, me permito adjuntar al presente la respuesta correspondiente. Sin más por el momento, reciba un saludo.</w:t>
            </w:r>
          </w:p>
        </w:tc>
      </w:tr>
    </w:tbl>
    <w:p w14:paraId="1ACD4B1A" w14:textId="77777777" w:rsidR="00C91C7B" w:rsidRPr="00D6033B" w:rsidRDefault="00C91C7B">
      <w:pPr>
        <w:spacing w:after="0" w:line="360" w:lineRule="auto"/>
        <w:jc w:val="both"/>
        <w:rPr>
          <w:rFonts w:ascii="Palatino Linotype" w:eastAsia="Palatino Linotype" w:hAnsi="Palatino Linotype" w:cs="Palatino Linotype"/>
          <w:i/>
          <w:color w:val="000000"/>
        </w:rPr>
      </w:pPr>
    </w:p>
    <w:p w14:paraId="50C6D7C5" w14:textId="77777777" w:rsidR="00C91C7B" w:rsidRPr="00D6033B" w:rsidRDefault="009B45E6">
      <w:pPr>
        <w:spacing w:after="0" w:line="360" w:lineRule="auto"/>
        <w:jc w:val="both"/>
        <w:rPr>
          <w:rFonts w:ascii="Palatino Linotype" w:eastAsia="Palatino Linotype" w:hAnsi="Palatino Linotype" w:cs="Palatino Linotype"/>
          <w:b/>
          <w:i/>
          <w:sz w:val="24"/>
          <w:szCs w:val="24"/>
        </w:rPr>
      </w:pPr>
      <w:r w:rsidRPr="00D6033B">
        <w:rPr>
          <w:rFonts w:ascii="Palatino Linotype" w:eastAsia="Palatino Linotype" w:hAnsi="Palatino Linotype" w:cs="Palatino Linotype"/>
          <w:color w:val="000000"/>
          <w:sz w:val="24"/>
          <w:szCs w:val="24"/>
        </w:rPr>
        <w:t xml:space="preserve">El Sujeto Obligado, adjuntó a su respuesta el documento denominado </w:t>
      </w:r>
      <w:r w:rsidRPr="00D6033B">
        <w:rPr>
          <w:rFonts w:ascii="Palatino Linotype" w:eastAsia="Palatino Linotype" w:hAnsi="Palatino Linotype" w:cs="Palatino Linotype"/>
          <w:i/>
          <w:sz w:val="24"/>
          <w:szCs w:val="24"/>
        </w:rPr>
        <w:t>“</w:t>
      </w:r>
      <w:r w:rsidRPr="00D6033B">
        <w:rPr>
          <w:rFonts w:ascii="Palatino Linotype" w:hAnsi="Palatino Linotype" w:cs="Arial"/>
          <w:b/>
          <w:bCs/>
          <w:i/>
          <w:sz w:val="24"/>
          <w:szCs w:val="24"/>
        </w:rPr>
        <w:t>RESPUESTA 03150. 2024.pdf</w:t>
      </w:r>
      <w:r w:rsidRPr="00D6033B">
        <w:rPr>
          <w:rFonts w:ascii="Palatino Linotype" w:eastAsia="Palatino Linotype" w:hAnsi="Palatino Linotype" w:cs="Palatino Linotype"/>
          <w:b/>
          <w:i/>
          <w:sz w:val="24"/>
          <w:szCs w:val="24"/>
        </w:rPr>
        <w:t xml:space="preserve">”, </w:t>
      </w:r>
      <w:r w:rsidRPr="00D6033B">
        <w:rPr>
          <w:rFonts w:ascii="Palatino Linotype" w:eastAsia="Palatino Linotype" w:hAnsi="Palatino Linotype" w:cs="Palatino Linotype"/>
          <w:sz w:val="24"/>
          <w:szCs w:val="24"/>
        </w:rPr>
        <w:t xml:space="preserve">los cuales </w:t>
      </w:r>
      <w:r w:rsidRPr="00D6033B">
        <w:rPr>
          <w:rFonts w:ascii="Palatino Linotype" w:eastAsia="Palatino Linotype" w:hAnsi="Palatino Linotype" w:cs="Palatino Linotype"/>
          <w:color w:val="000000"/>
          <w:sz w:val="24"/>
          <w:szCs w:val="24"/>
        </w:rPr>
        <w:t>no se reproducen por ser del conocimiento de las partes; no obstante, su contenido será motivo de análisis en el estudio correspondiente.</w:t>
      </w:r>
    </w:p>
    <w:p w14:paraId="77508AA9" w14:textId="77777777" w:rsidR="00C91C7B" w:rsidRPr="00D6033B" w:rsidRDefault="00C91C7B">
      <w:pPr>
        <w:spacing w:after="0" w:line="360" w:lineRule="auto"/>
        <w:jc w:val="both"/>
        <w:rPr>
          <w:rFonts w:ascii="Palatino Linotype" w:eastAsia="Palatino Linotype" w:hAnsi="Palatino Linotype" w:cs="Palatino Linotype"/>
          <w:sz w:val="24"/>
          <w:szCs w:val="24"/>
        </w:rPr>
      </w:pPr>
    </w:p>
    <w:p w14:paraId="67E47D63"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t>TERCERO. Del recurso de revisión.</w:t>
      </w:r>
    </w:p>
    <w:p w14:paraId="43AB32E1"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Inconforme con la respuesta emitida por el Sujeto Obligado, el Recurrente interpuso el presente recurso de revisión el día cuatro de febrero de dos mil veinticinco, el cual se registró con el expediente número </w:t>
      </w:r>
      <w:r w:rsidRPr="00D6033B">
        <w:rPr>
          <w:rFonts w:ascii="Palatino Linotype" w:eastAsia="Palatino Linotype" w:hAnsi="Palatino Linotype" w:cs="Palatino Linotype"/>
          <w:b/>
          <w:color w:val="000000"/>
          <w:sz w:val="24"/>
          <w:szCs w:val="24"/>
        </w:rPr>
        <w:t>00520/INFOEM/IP/RR/2025</w:t>
      </w:r>
      <w:r w:rsidRPr="00D6033B">
        <w:rPr>
          <w:rFonts w:ascii="Palatino Linotype" w:eastAsia="Palatino Linotype" w:hAnsi="Palatino Linotype" w:cs="Palatino Linotype"/>
          <w:color w:val="000000"/>
          <w:sz w:val="24"/>
          <w:szCs w:val="24"/>
        </w:rPr>
        <w:t>, manifestando lo siguiente:</w:t>
      </w:r>
    </w:p>
    <w:p w14:paraId="19CBBB81" w14:textId="77777777" w:rsidR="009B45E6" w:rsidRPr="00D6033B" w:rsidRDefault="009B45E6" w:rsidP="009B45E6">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sidRPr="00D6033B">
        <w:rPr>
          <w:rFonts w:ascii="Palatino Linotype" w:eastAsia="Palatino Linotype" w:hAnsi="Palatino Linotype" w:cs="Palatino Linotype"/>
          <w:b/>
          <w:i/>
          <w:color w:val="000000"/>
          <w:sz w:val="24"/>
          <w:szCs w:val="24"/>
        </w:rPr>
        <w:t xml:space="preserve">Acto Impugnado </w:t>
      </w:r>
    </w:p>
    <w:p w14:paraId="37E50E91" w14:textId="77777777" w:rsidR="009B45E6" w:rsidRPr="00D6033B" w:rsidRDefault="009B45E6" w:rsidP="009B45E6">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r w:rsidRPr="00D6033B">
        <w:rPr>
          <w:rFonts w:ascii="Palatino Linotype" w:eastAsia="Palatino Linotype" w:hAnsi="Palatino Linotype" w:cs="Palatino Linotype"/>
          <w:i/>
          <w:color w:val="000000"/>
          <w:sz w:val="24"/>
          <w:szCs w:val="24"/>
        </w:rPr>
        <w:t>“</w:t>
      </w:r>
      <w:r w:rsidRPr="00D6033B">
        <w:rPr>
          <w:rFonts w:ascii="Palatino Linotype" w:hAnsi="Palatino Linotype"/>
          <w:i/>
          <w:color w:val="000000"/>
          <w:sz w:val="24"/>
          <w:szCs w:val="24"/>
        </w:rPr>
        <w:t>No entrega el contrato y lo que se pide</w:t>
      </w:r>
      <w:r w:rsidRPr="00D6033B">
        <w:rPr>
          <w:rFonts w:ascii="Palatino Linotype" w:eastAsia="Palatino Linotype" w:hAnsi="Palatino Linotype" w:cs="Palatino Linotype"/>
          <w:i/>
          <w:color w:val="000000"/>
          <w:sz w:val="24"/>
          <w:szCs w:val="24"/>
        </w:rPr>
        <w:t xml:space="preserve"> “ (Sic)</w:t>
      </w:r>
    </w:p>
    <w:p w14:paraId="696CAE2F" w14:textId="77777777" w:rsidR="009B45E6" w:rsidRPr="00D6033B" w:rsidRDefault="009B45E6" w:rsidP="009B45E6">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p>
    <w:p w14:paraId="0963354B" w14:textId="77777777" w:rsidR="009B45E6" w:rsidRPr="00D6033B" w:rsidRDefault="009B45E6" w:rsidP="009B45E6">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sidRPr="00D6033B">
        <w:rPr>
          <w:rFonts w:ascii="Palatino Linotype" w:eastAsia="Palatino Linotype" w:hAnsi="Palatino Linotype" w:cs="Palatino Linotype"/>
          <w:b/>
          <w:i/>
          <w:color w:val="000000"/>
          <w:sz w:val="24"/>
          <w:szCs w:val="24"/>
        </w:rPr>
        <w:t xml:space="preserve"> Motivos de Inconformidad</w:t>
      </w:r>
      <w:r w:rsidRPr="00D6033B">
        <w:rPr>
          <w:rFonts w:ascii="Palatino Linotype" w:eastAsia="Palatino Linotype" w:hAnsi="Palatino Linotype" w:cs="Palatino Linotype"/>
          <w:color w:val="000000"/>
          <w:sz w:val="24"/>
          <w:szCs w:val="24"/>
        </w:rPr>
        <w:t>:</w:t>
      </w:r>
      <w:r w:rsidRPr="00D6033B">
        <w:rPr>
          <w:rFonts w:ascii="Palatino Linotype" w:eastAsia="Palatino Linotype" w:hAnsi="Palatino Linotype" w:cs="Palatino Linotype"/>
          <w:b/>
          <w:color w:val="000000"/>
          <w:sz w:val="24"/>
          <w:szCs w:val="24"/>
        </w:rPr>
        <w:t xml:space="preserve">: </w:t>
      </w:r>
    </w:p>
    <w:p w14:paraId="3E002728" w14:textId="77777777" w:rsidR="00C91C7B" w:rsidRPr="00D6033B" w:rsidRDefault="009B45E6" w:rsidP="009B45E6">
      <w:pPr>
        <w:pBdr>
          <w:top w:val="nil"/>
          <w:left w:val="nil"/>
          <w:bottom w:val="nil"/>
          <w:right w:val="nil"/>
          <w:between w:val="nil"/>
        </w:pBdr>
        <w:spacing w:after="0" w:line="360" w:lineRule="auto"/>
        <w:ind w:right="567" w:firstLine="425"/>
        <w:jc w:val="both"/>
        <w:rPr>
          <w:rFonts w:ascii="Palatino Linotype" w:eastAsia="Palatino Linotype" w:hAnsi="Palatino Linotype" w:cs="Palatino Linotype"/>
          <w:i/>
          <w:color w:val="000000"/>
          <w:sz w:val="24"/>
          <w:szCs w:val="24"/>
        </w:rPr>
      </w:pPr>
      <w:r w:rsidRPr="00D6033B">
        <w:rPr>
          <w:rFonts w:ascii="Palatino Linotype" w:eastAsia="Palatino Linotype" w:hAnsi="Palatino Linotype" w:cs="Palatino Linotype"/>
          <w:color w:val="000000"/>
          <w:sz w:val="24"/>
          <w:szCs w:val="24"/>
        </w:rPr>
        <w:t>“</w:t>
      </w:r>
      <w:r w:rsidRPr="00D6033B">
        <w:rPr>
          <w:rFonts w:ascii="Palatino Linotype" w:hAnsi="Palatino Linotype"/>
          <w:i/>
          <w:color w:val="000000"/>
          <w:sz w:val="24"/>
          <w:szCs w:val="24"/>
        </w:rPr>
        <w:t>No entrega contrato y no atiende mi solicitud</w:t>
      </w:r>
      <w:r w:rsidRPr="00D6033B">
        <w:rPr>
          <w:rFonts w:ascii="Palatino Linotype" w:eastAsia="Palatino Linotype" w:hAnsi="Palatino Linotype" w:cs="Palatino Linotype"/>
          <w:i/>
          <w:color w:val="000000"/>
          <w:sz w:val="24"/>
          <w:szCs w:val="24"/>
        </w:rPr>
        <w:t xml:space="preserve"> “ (Sic)</w:t>
      </w:r>
    </w:p>
    <w:p w14:paraId="26EB0A1E" w14:textId="77777777" w:rsidR="009B45E6" w:rsidRPr="00D6033B" w:rsidRDefault="009B45E6" w:rsidP="009B45E6">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p>
    <w:p w14:paraId="21EFD98C"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t>CUARTO. Del turno y admisión del recurso de revisión.</w:t>
      </w:r>
    </w:p>
    <w:p w14:paraId="09798FA1"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Medio de impugnación que le fue turnado al </w:t>
      </w:r>
      <w:r w:rsidRPr="00D6033B">
        <w:rPr>
          <w:rFonts w:ascii="Palatino Linotype" w:eastAsia="Palatino Linotype" w:hAnsi="Palatino Linotype" w:cs="Palatino Linotype"/>
          <w:b/>
          <w:color w:val="000000"/>
          <w:sz w:val="24"/>
          <w:szCs w:val="24"/>
        </w:rPr>
        <w:t>Comisionado Presidente José Martínez Vilchis</w:t>
      </w:r>
      <w:r w:rsidRPr="00D6033B">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al cual recayó acuerdo de admisión de fecha</w:t>
      </w:r>
      <w:r w:rsidRPr="00D6033B">
        <w:rPr>
          <w:rFonts w:ascii="Palatino Linotype" w:eastAsia="Palatino Linotype" w:hAnsi="Palatino Linotype" w:cs="Palatino Linotype"/>
          <w:b/>
          <w:color w:val="000000"/>
          <w:sz w:val="24"/>
          <w:szCs w:val="24"/>
        </w:rPr>
        <w:t xml:space="preserve"> siete de febrero de dos mil veinticinco</w:t>
      </w:r>
      <w:r w:rsidRPr="00D6033B">
        <w:rPr>
          <w:rFonts w:ascii="Palatino Linotype" w:eastAsia="Palatino Linotype" w:hAnsi="Palatino Linotype" w:cs="Palatino Linotype"/>
          <w:color w:val="000000"/>
          <w:sz w:val="24"/>
          <w:szCs w:val="24"/>
        </w:rPr>
        <w:t xml:space="preserve">, </w:t>
      </w:r>
      <w:r w:rsidRPr="00D6033B">
        <w:rPr>
          <w:rFonts w:ascii="Palatino Linotype" w:eastAsia="Palatino Linotype" w:hAnsi="Palatino Linotype" w:cs="Palatino Linotype"/>
          <w:sz w:val="24"/>
          <w:szCs w:val="24"/>
        </w:rPr>
        <w:t>otorgándose</w:t>
      </w:r>
      <w:r w:rsidRPr="00D6033B">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1787B6B5" w14:textId="77777777" w:rsidR="00C91C7B" w:rsidRPr="00D6033B" w:rsidRDefault="00C91C7B">
      <w:pPr>
        <w:spacing w:after="0" w:line="360" w:lineRule="auto"/>
        <w:jc w:val="both"/>
        <w:rPr>
          <w:rFonts w:ascii="Palatino Linotype" w:eastAsia="Palatino Linotype" w:hAnsi="Palatino Linotype" w:cs="Palatino Linotype"/>
          <w:color w:val="000000"/>
          <w:sz w:val="28"/>
          <w:szCs w:val="28"/>
        </w:rPr>
      </w:pPr>
    </w:p>
    <w:p w14:paraId="4C78FF77"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t>QUINTO. De la etapa de instrucción.</w:t>
      </w:r>
    </w:p>
    <w:p w14:paraId="58ED5D88"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Una vez abierta la etapa de instrucción, el Sujeto Obligado rindió su informe justificado en fecha </w:t>
      </w:r>
      <w:r w:rsidRPr="00D6033B">
        <w:rPr>
          <w:rFonts w:ascii="Palatino Linotype" w:eastAsia="Palatino Linotype" w:hAnsi="Palatino Linotype" w:cs="Palatino Linotype"/>
          <w:b/>
          <w:color w:val="000000"/>
          <w:sz w:val="24"/>
          <w:szCs w:val="24"/>
        </w:rPr>
        <w:t>dieciocho de febrero de dos mil veinticinco</w:t>
      </w:r>
      <w:r w:rsidRPr="00D6033B">
        <w:rPr>
          <w:rFonts w:ascii="Palatino Linotype" w:eastAsia="Palatino Linotype" w:hAnsi="Palatino Linotype" w:cs="Palatino Linotype"/>
          <w:color w:val="000000"/>
          <w:sz w:val="24"/>
          <w:szCs w:val="24"/>
        </w:rPr>
        <w:t xml:space="preserve">, por lo que en fecha diecinueve de febrero de dos mil veinticinco fue puesto a la vista del Recurrente para que rindiera sus manifestaciones, los cuales no se reproducen por ser del conocimiento de las partes pero serán motivo de análisis en el considerando respectivo. Por su parte, el Recurrente no realizó manifestaciones, vertió alegatos ni presentó pruebas que a su derecho convinieran. </w:t>
      </w:r>
    </w:p>
    <w:p w14:paraId="252A1A6D"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5B449047" w14:textId="77777777" w:rsidR="009B45E6" w:rsidRPr="00D6033B" w:rsidRDefault="009B45E6">
      <w:pPr>
        <w:spacing w:after="0" w:line="360" w:lineRule="auto"/>
        <w:jc w:val="both"/>
        <w:rPr>
          <w:rFonts w:ascii="Palatino Linotype" w:eastAsia="Palatino Linotype" w:hAnsi="Palatino Linotype" w:cs="Palatino Linotype"/>
          <w:color w:val="000000"/>
          <w:sz w:val="24"/>
          <w:szCs w:val="24"/>
        </w:rPr>
      </w:pPr>
    </w:p>
    <w:p w14:paraId="705FD4F9" w14:textId="77777777" w:rsidR="009B45E6" w:rsidRPr="00D6033B" w:rsidRDefault="009B45E6">
      <w:pPr>
        <w:spacing w:after="0" w:line="360" w:lineRule="auto"/>
        <w:jc w:val="both"/>
        <w:rPr>
          <w:rFonts w:ascii="Palatino Linotype" w:eastAsia="Palatino Linotype" w:hAnsi="Palatino Linotype" w:cs="Palatino Linotype"/>
          <w:color w:val="000000"/>
          <w:sz w:val="24"/>
          <w:szCs w:val="24"/>
        </w:rPr>
      </w:pPr>
    </w:p>
    <w:p w14:paraId="277A44DA"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b/>
          <w:color w:val="000000"/>
          <w:sz w:val="28"/>
          <w:szCs w:val="28"/>
        </w:rPr>
        <w:lastRenderedPageBreak/>
        <w:t>SEXTO. Del cierre de instrucción.</w:t>
      </w:r>
    </w:p>
    <w:p w14:paraId="18B0245B"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Así, una vez transcurrido el término legal, se decretó el cierre de instrucción en fecha</w:t>
      </w:r>
      <w:r w:rsidRPr="00D6033B">
        <w:rPr>
          <w:rFonts w:ascii="Palatino Linotype" w:eastAsia="Palatino Linotype" w:hAnsi="Palatino Linotype" w:cs="Palatino Linotype"/>
          <w:b/>
          <w:color w:val="000000"/>
          <w:sz w:val="24"/>
          <w:szCs w:val="24"/>
        </w:rPr>
        <w:t xml:space="preserve"> veinticinco de febrero de dos mil veinticinco</w:t>
      </w:r>
      <w:r w:rsidRPr="00D6033B">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386F83A3"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2919D01E" w14:textId="77777777" w:rsidR="009B45E6" w:rsidRPr="00D6033B" w:rsidRDefault="009B45E6">
      <w:pPr>
        <w:spacing w:after="0" w:line="360" w:lineRule="auto"/>
        <w:jc w:val="both"/>
        <w:rPr>
          <w:rFonts w:ascii="Palatino Linotype" w:eastAsia="Palatino Linotype" w:hAnsi="Palatino Linotype" w:cs="Palatino Linotype"/>
          <w:color w:val="000000"/>
          <w:sz w:val="24"/>
          <w:szCs w:val="24"/>
        </w:rPr>
      </w:pPr>
    </w:p>
    <w:p w14:paraId="5E51E8D0" w14:textId="77777777" w:rsidR="00C91C7B" w:rsidRPr="00D6033B" w:rsidRDefault="009B45E6">
      <w:pPr>
        <w:keepNext/>
        <w:keepLines/>
        <w:spacing w:after="0" w:line="360" w:lineRule="auto"/>
        <w:jc w:val="center"/>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t>C  O   N   S   I   D  E   R  A   N   D   O</w:t>
      </w:r>
    </w:p>
    <w:p w14:paraId="075D4C35"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21413C29" w14:textId="77777777" w:rsidR="009B45E6"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p>
    <w:p w14:paraId="5EADBF7E"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8"/>
          <w:szCs w:val="28"/>
        </w:rPr>
      </w:pPr>
      <w:r w:rsidRPr="00D6033B">
        <w:rPr>
          <w:rFonts w:ascii="Palatino Linotype" w:eastAsia="Palatino Linotype" w:hAnsi="Palatino Linotype" w:cs="Palatino Linotype"/>
          <w:b/>
          <w:color w:val="000000"/>
          <w:sz w:val="28"/>
          <w:szCs w:val="28"/>
        </w:rPr>
        <w:t>PRIMERO. De la competencia.</w:t>
      </w:r>
    </w:p>
    <w:p w14:paraId="4A98335E"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BF77AE2"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6"/>
          <w:szCs w:val="26"/>
        </w:rPr>
      </w:pPr>
      <w:r w:rsidRPr="00D6033B">
        <w:rPr>
          <w:rFonts w:ascii="Palatino Linotype" w:eastAsia="Palatino Linotype" w:hAnsi="Palatino Linotype" w:cs="Palatino Linotype"/>
          <w:b/>
          <w:color w:val="000000"/>
          <w:sz w:val="26"/>
          <w:szCs w:val="26"/>
        </w:rPr>
        <w:lastRenderedPageBreak/>
        <w:t xml:space="preserve">SEGUNDO. Sobre los alcances del recurso de revisión. </w:t>
      </w:r>
    </w:p>
    <w:p w14:paraId="703212DB" w14:textId="77777777" w:rsidR="00C91C7B" w:rsidRPr="00D6033B" w:rsidRDefault="009B45E6">
      <w:pPr>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0A44D5" w14:textId="77777777" w:rsidR="009B45E6" w:rsidRPr="00D6033B" w:rsidRDefault="009B45E6">
      <w:pPr>
        <w:spacing w:after="0" w:line="360" w:lineRule="auto"/>
        <w:jc w:val="both"/>
        <w:rPr>
          <w:rFonts w:ascii="Palatino Linotype" w:eastAsia="Palatino Linotype" w:hAnsi="Palatino Linotype" w:cs="Palatino Linotype"/>
          <w:sz w:val="24"/>
          <w:szCs w:val="24"/>
        </w:rPr>
      </w:pPr>
    </w:p>
    <w:p w14:paraId="40FF8129" w14:textId="77777777" w:rsidR="00C91C7B" w:rsidRPr="00D6033B" w:rsidRDefault="009B45E6">
      <w:pPr>
        <w:spacing w:before="240" w:line="360" w:lineRule="auto"/>
        <w:rPr>
          <w:rFonts w:ascii="Palatino Linotype" w:eastAsia="Palatino Linotype" w:hAnsi="Palatino Linotype" w:cs="Palatino Linotype"/>
          <w:b/>
          <w:color w:val="000000"/>
          <w:sz w:val="26"/>
          <w:szCs w:val="26"/>
        </w:rPr>
      </w:pPr>
      <w:r w:rsidRPr="00D6033B">
        <w:rPr>
          <w:rFonts w:ascii="Palatino Linotype" w:eastAsia="Palatino Linotype" w:hAnsi="Palatino Linotype" w:cs="Palatino Linotype"/>
          <w:b/>
          <w:color w:val="000000"/>
          <w:sz w:val="26"/>
          <w:szCs w:val="26"/>
        </w:rPr>
        <w:t xml:space="preserve">TERCERO. De las causas de improcedencia. </w:t>
      </w:r>
    </w:p>
    <w:p w14:paraId="250ADD4F"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D8EA41"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189F8F31"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D6033B">
        <w:rPr>
          <w:rFonts w:ascii="Palatino Linotype" w:eastAsia="Palatino Linotype" w:hAnsi="Palatino Linotype" w:cs="Palatino Linotype"/>
          <w:color w:val="000000"/>
          <w:sz w:val="24"/>
          <w:szCs w:val="24"/>
        </w:rPr>
        <w:lastRenderedPageBreak/>
        <w:t>una figura procesal adoptada en la ley de la materia</w:t>
      </w:r>
      <w:r w:rsidRPr="00D6033B">
        <w:rPr>
          <w:rFonts w:ascii="Palatino Linotype" w:eastAsia="Palatino Linotype" w:hAnsi="Palatino Linotype" w:cs="Palatino Linotype"/>
          <w:color w:val="000000"/>
          <w:sz w:val="24"/>
          <w:szCs w:val="24"/>
          <w:vertAlign w:val="superscript"/>
        </w:rPr>
        <w:footnoteReference w:id="1"/>
      </w:r>
      <w:r w:rsidRPr="00D6033B">
        <w:rPr>
          <w:rFonts w:ascii="Palatino Linotype" w:eastAsia="Palatino Linotype" w:hAnsi="Palatino Linotype" w:cs="Palatino Linotype"/>
          <w:color w:val="000000"/>
          <w:sz w:val="24"/>
          <w:szCs w:val="24"/>
        </w:rPr>
        <w:t>, la cual permite dilucidar alguna causal que impida el estudio y resolución, cuando una vez admitido el recurso de revisión se advierta una causa de improcedencia que permita sobreseerlo, sin estudiar el fondo del asunto.</w:t>
      </w:r>
    </w:p>
    <w:p w14:paraId="3C44FA88"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3D4C01EE" w14:textId="77777777" w:rsidR="00C91C7B" w:rsidRPr="00D6033B" w:rsidRDefault="009B45E6" w:rsidP="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7F2EF17" w14:textId="77777777" w:rsidR="00C91C7B" w:rsidRPr="00D6033B" w:rsidRDefault="009B45E6">
      <w:pPr>
        <w:spacing w:before="80"/>
        <w:rPr>
          <w:rFonts w:ascii="Palatino Linotype" w:eastAsia="Palatino Linotype" w:hAnsi="Palatino Linotype" w:cs="Palatino Linotype"/>
          <w:b/>
        </w:rPr>
      </w:pPr>
      <w:r w:rsidRPr="00D6033B">
        <w:rPr>
          <w:rFonts w:ascii="Palatino Linotype" w:eastAsia="Palatino Linotype" w:hAnsi="Palatino Linotype" w:cs="Palatino Linotype"/>
          <w:b/>
          <w:sz w:val="28"/>
          <w:szCs w:val="28"/>
        </w:rPr>
        <w:lastRenderedPageBreak/>
        <w:t>TERCERO. Cuestiones de previo y especial pronunciamiento</w:t>
      </w:r>
    </w:p>
    <w:p w14:paraId="2DCB00DA" w14:textId="77777777" w:rsidR="00C91C7B" w:rsidRPr="00D6033B" w:rsidRDefault="009B45E6">
      <w:pPr>
        <w:spacing w:before="240" w:line="360" w:lineRule="auto"/>
        <w:jc w:val="both"/>
        <w:rPr>
          <w:rFonts w:ascii="Palatino Linotype" w:eastAsia="Palatino Linotype" w:hAnsi="Palatino Linotype" w:cs="Palatino Linotype"/>
        </w:rPr>
      </w:pPr>
      <w:r w:rsidRPr="00D6033B">
        <w:rPr>
          <w:rFonts w:ascii="Palatino Linotype" w:eastAsia="Palatino Linotype" w:hAnsi="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5FEC6736" w14:textId="77777777" w:rsidR="00C91C7B" w:rsidRPr="00D6033B" w:rsidRDefault="009B45E6">
      <w:pPr>
        <w:spacing w:before="240" w:line="360" w:lineRule="auto"/>
        <w:ind w:left="360" w:firstLine="348"/>
        <w:jc w:val="both"/>
        <w:rPr>
          <w:rFonts w:ascii="Palatino Linotype" w:eastAsia="Palatino Linotype" w:hAnsi="Palatino Linotype" w:cs="Palatino Linotype"/>
          <w:i/>
        </w:rPr>
      </w:pPr>
      <w:r w:rsidRPr="00D6033B">
        <w:rPr>
          <w:rFonts w:ascii="Palatino Linotype" w:eastAsia="Palatino Linotype" w:hAnsi="Palatino Linotype" w:cs="Palatino Linotype"/>
          <w:i/>
        </w:rPr>
        <w:t>“Artículo 180. El recurso de revisión contendrá:</w:t>
      </w:r>
    </w:p>
    <w:p w14:paraId="0B406F6B" w14:textId="77777777" w:rsidR="00C91C7B" w:rsidRPr="00D6033B" w:rsidRDefault="009B45E6">
      <w:pPr>
        <w:numPr>
          <w:ilvl w:val="0"/>
          <w:numId w:val="8"/>
        </w:numPr>
        <w:spacing w:before="240" w:after="0" w:line="360" w:lineRule="auto"/>
        <w:jc w:val="both"/>
        <w:rPr>
          <w:rFonts w:ascii="Palatino Linotype" w:eastAsia="Palatino Linotype" w:hAnsi="Palatino Linotype" w:cs="Palatino Linotype"/>
          <w:i/>
        </w:rPr>
      </w:pPr>
      <w:r w:rsidRPr="00D6033B">
        <w:rPr>
          <w:rFonts w:ascii="Palatino Linotype" w:eastAsia="Palatino Linotype" w:hAnsi="Palatino Linotype" w:cs="Palatino Linotype"/>
          <w:i/>
        </w:rPr>
        <w:t>EL sujeto obligado ante la cual se presentó la solicitud;</w:t>
      </w:r>
    </w:p>
    <w:p w14:paraId="41FF0575" w14:textId="77777777" w:rsidR="00C91C7B" w:rsidRPr="00D6033B" w:rsidRDefault="009B45E6">
      <w:pPr>
        <w:numPr>
          <w:ilvl w:val="0"/>
          <w:numId w:val="8"/>
        </w:numPr>
        <w:spacing w:before="240" w:after="0" w:line="360" w:lineRule="auto"/>
        <w:jc w:val="both"/>
        <w:rPr>
          <w:rFonts w:ascii="Palatino Linotype" w:eastAsia="Palatino Linotype" w:hAnsi="Palatino Linotype" w:cs="Palatino Linotype"/>
          <w:i/>
        </w:rPr>
      </w:pPr>
      <w:r w:rsidRPr="00D6033B">
        <w:rPr>
          <w:rFonts w:ascii="Palatino Linotype" w:eastAsia="Palatino Linotype" w:hAnsi="Palatino Linotype" w:cs="Palatino Linotype"/>
          <w:i/>
        </w:rPr>
        <w:t>El nombre del solicitante que recurre o de su representante y, en su caso, del tercero interesado, así como la dirección o medio que señale para recibir notificaciones;</w:t>
      </w:r>
    </w:p>
    <w:p w14:paraId="6F812C13" w14:textId="77777777" w:rsidR="00C91C7B" w:rsidRPr="00D6033B" w:rsidRDefault="009B45E6">
      <w:pPr>
        <w:numPr>
          <w:ilvl w:val="0"/>
          <w:numId w:val="8"/>
        </w:numPr>
        <w:spacing w:before="240" w:after="0" w:line="360" w:lineRule="auto"/>
        <w:jc w:val="both"/>
        <w:rPr>
          <w:rFonts w:ascii="Palatino Linotype" w:eastAsia="Palatino Linotype" w:hAnsi="Palatino Linotype" w:cs="Palatino Linotype"/>
          <w:i/>
        </w:rPr>
      </w:pPr>
      <w:r w:rsidRPr="00D6033B">
        <w:rPr>
          <w:rFonts w:ascii="Palatino Linotype" w:eastAsia="Palatino Linotype" w:hAnsi="Palatino Linotype" w:cs="Palatino Linotype"/>
          <w:i/>
        </w:rPr>
        <w:t>El número de folio de respuesta de la solicitud de acceso;</w:t>
      </w:r>
    </w:p>
    <w:p w14:paraId="4984B52F" w14:textId="77777777" w:rsidR="00C91C7B" w:rsidRPr="00D6033B" w:rsidRDefault="009B45E6">
      <w:pPr>
        <w:spacing w:before="240" w:line="360" w:lineRule="auto"/>
        <w:ind w:left="1080"/>
        <w:jc w:val="both"/>
        <w:rPr>
          <w:rFonts w:ascii="Palatino Linotype" w:eastAsia="Palatino Linotype" w:hAnsi="Palatino Linotype" w:cs="Palatino Linotype"/>
          <w:i/>
        </w:rPr>
      </w:pPr>
      <w:r w:rsidRPr="00D6033B">
        <w:rPr>
          <w:rFonts w:ascii="Palatino Linotype" w:eastAsia="Palatino Linotype" w:hAnsi="Palatino Linotype" w:cs="Palatino Linotype"/>
          <w:i/>
        </w:rPr>
        <w:t>IV. La fecha en que fue notificada la respuesta al solicitante o tuvo conocimiento del acto reclamado, o de presentación de la solicitud, en caso de falta de respuesta;</w:t>
      </w:r>
    </w:p>
    <w:p w14:paraId="0327B5A7" w14:textId="77777777" w:rsidR="00C91C7B" w:rsidRPr="00D6033B" w:rsidRDefault="009B45E6">
      <w:pPr>
        <w:spacing w:before="240" w:line="360" w:lineRule="auto"/>
        <w:ind w:left="732" w:firstLine="348"/>
        <w:jc w:val="both"/>
        <w:rPr>
          <w:rFonts w:ascii="Palatino Linotype" w:eastAsia="Palatino Linotype" w:hAnsi="Palatino Linotype" w:cs="Palatino Linotype"/>
          <w:i/>
        </w:rPr>
      </w:pPr>
      <w:r w:rsidRPr="00D6033B">
        <w:rPr>
          <w:rFonts w:ascii="Palatino Linotype" w:eastAsia="Palatino Linotype" w:hAnsi="Palatino Linotype" w:cs="Palatino Linotype"/>
          <w:i/>
        </w:rPr>
        <w:t>V. El acto que se recurre;</w:t>
      </w:r>
    </w:p>
    <w:p w14:paraId="25707886" w14:textId="77777777" w:rsidR="00C91C7B" w:rsidRPr="00D6033B" w:rsidRDefault="009B45E6">
      <w:pPr>
        <w:spacing w:before="240" w:line="360" w:lineRule="auto"/>
        <w:ind w:left="732" w:firstLine="348"/>
        <w:jc w:val="both"/>
        <w:rPr>
          <w:rFonts w:ascii="Palatino Linotype" w:eastAsia="Palatino Linotype" w:hAnsi="Palatino Linotype" w:cs="Palatino Linotype"/>
          <w:i/>
        </w:rPr>
      </w:pPr>
      <w:r w:rsidRPr="00D6033B">
        <w:rPr>
          <w:rFonts w:ascii="Palatino Linotype" w:eastAsia="Palatino Linotype" w:hAnsi="Palatino Linotype" w:cs="Palatino Linotype"/>
          <w:i/>
        </w:rPr>
        <w:t>VI. Las razones o motivos de inconformidad;</w:t>
      </w:r>
    </w:p>
    <w:p w14:paraId="66CC70A4" w14:textId="77777777" w:rsidR="00C91C7B" w:rsidRPr="00D6033B" w:rsidRDefault="009B45E6">
      <w:pPr>
        <w:spacing w:before="240" w:line="360" w:lineRule="auto"/>
        <w:ind w:left="1080"/>
        <w:jc w:val="both"/>
        <w:rPr>
          <w:rFonts w:ascii="Palatino Linotype" w:eastAsia="Palatino Linotype" w:hAnsi="Palatino Linotype" w:cs="Palatino Linotype"/>
          <w:i/>
        </w:rPr>
      </w:pPr>
      <w:r w:rsidRPr="00D6033B">
        <w:rPr>
          <w:rFonts w:ascii="Palatino Linotype" w:eastAsia="Palatino Linotype" w:hAnsi="Palatino Linotype" w:cs="Palatino Linotype"/>
          <w:i/>
        </w:rPr>
        <w:t>VII. La copia de la respuesta que se impugna y, en su caso, de la notificación correspondiente, en el caso de respuesta de la solicitud; y</w:t>
      </w:r>
    </w:p>
    <w:p w14:paraId="4C0A2AC1" w14:textId="77777777" w:rsidR="00C91C7B" w:rsidRPr="00D6033B" w:rsidRDefault="009B45E6">
      <w:pPr>
        <w:spacing w:before="240" w:line="360" w:lineRule="auto"/>
        <w:ind w:left="732" w:firstLine="348"/>
        <w:jc w:val="both"/>
        <w:rPr>
          <w:rFonts w:ascii="Palatino Linotype" w:eastAsia="Palatino Linotype" w:hAnsi="Palatino Linotype" w:cs="Palatino Linotype"/>
          <w:i/>
        </w:rPr>
      </w:pPr>
      <w:r w:rsidRPr="00D6033B">
        <w:rPr>
          <w:rFonts w:ascii="Palatino Linotype" w:eastAsia="Palatino Linotype" w:hAnsi="Palatino Linotype" w:cs="Palatino Linotype"/>
          <w:i/>
        </w:rPr>
        <w:t>VIII. Firma del recurrente, en su caso, cuando se presente por escrito, requisito sin el cual se dará trámite al recurso.</w:t>
      </w:r>
    </w:p>
    <w:p w14:paraId="3D170C86" w14:textId="77777777" w:rsidR="00C91C7B" w:rsidRPr="00D6033B" w:rsidRDefault="009B45E6">
      <w:pPr>
        <w:spacing w:before="240" w:line="360" w:lineRule="auto"/>
        <w:ind w:left="1080"/>
        <w:jc w:val="both"/>
        <w:rPr>
          <w:rFonts w:ascii="Palatino Linotype" w:eastAsia="Palatino Linotype" w:hAnsi="Palatino Linotype" w:cs="Palatino Linotype"/>
          <w:i/>
        </w:rPr>
      </w:pPr>
      <w:r w:rsidRPr="00D6033B">
        <w:rPr>
          <w:rFonts w:ascii="Palatino Linotype" w:eastAsia="Palatino Linotype" w:hAnsi="Palatino Linotype" w:cs="Palatino Linotype"/>
          <w:i/>
        </w:rPr>
        <w:t>Adicionalmente, se podrán anexar las pruebas y demás elementos que considere procedentes someter a juicio del Instituto.</w:t>
      </w:r>
    </w:p>
    <w:p w14:paraId="3848456D" w14:textId="77777777" w:rsidR="00C91C7B" w:rsidRPr="00D6033B" w:rsidRDefault="009B45E6">
      <w:pPr>
        <w:spacing w:before="240" w:line="360" w:lineRule="auto"/>
        <w:ind w:left="732" w:firstLine="348"/>
        <w:jc w:val="both"/>
        <w:rPr>
          <w:rFonts w:ascii="Palatino Linotype" w:eastAsia="Palatino Linotype" w:hAnsi="Palatino Linotype" w:cs="Palatino Linotype"/>
          <w:i/>
        </w:rPr>
      </w:pPr>
      <w:r w:rsidRPr="00D6033B">
        <w:rPr>
          <w:rFonts w:ascii="Palatino Linotype" w:eastAsia="Palatino Linotype" w:hAnsi="Palatino Linotype" w:cs="Palatino Linotype"/>
          <w:i/>
        </w:rPr>
        <w:lastRenderedPageBreak/>
        <w:t>En ningún caso será necesario que el particular ratifique el recurso de revisión interpuesto.</w:t>
      </w:r>
    </w:p>
    <w:p w14:paraId="479C2AC8" w14:textId="77777777" w:rsidR="00C91C7B" w:rsidRPr="00D6033B" w:rsidRDefault="009B45E6">
      <w:pPr>
        <w:spacing w:before="240" w:line="360" w:lineRule="auto"/>
        <w:ind w:left="1080"/>
        <w:jc w:val="both"/>
        <w:rPr>
          <w:rFonts w:ascii="Palatino Linotype" w:eastAsia="Palatino Linotype" w:hAnsi="Palatino Linotype" w:cs="Palatino Linotype"/>
          <w:b/>
          <w:i/>
          <w:u w:val="single"/>
        </w:rPr>
      </w:pPr>
      <w:r w:rsidRPr="00D6033B">
        <w:rPr>
          <w:rFonts w:ascii="Palatino Linotype" w:eastAsia="Palatino Linotype" w:hAnsi="Palatino Linotype" w:cs="Palatino Linotype"/>
          <w:b/>
          <w:i/>
          <w:u w:val="single"/>
        </w:rPr>
        <w:t>En caso de que el recurso se interponga de manera electrónica no será indispensable que contengan los requisitos establecidos en las fracciones II, IV, VII y VIII.” [Sic]</w:t>
      </w:r>
    </w:p>
    <w:p w14:paraId="4D221FBC" w14:textId="77777777" w:rsidR="00F73F66" w:rsidRPr="00D6033B" w:rsidRDefault="00F73F66">
      <w:pPr>
        <w:spacing w:line="360" w:lineRule="auto"/>
        <w:jc w:val="both"/>
        <w:rPr>
          <w:rFonts w:ascii="Palatino Linotype" w:eastAsia="Palatino Linotype" w:hAnsi="Palatino Linotype" w:cs="Palatino Linotype"/>
        </w:rPr>
      </w:pPr>
    </w:p>
    <w:p w14:paraId="31284A69" w14:textId="77777777" w:rsidR="00C91C7B" w:rsidRPr="00D6033B" w:rsidRDefault="009B45E6">
      <w:pPr>
        <w:spacing w:line="360" w:lineRule="auto"/>
        <w:jc w:val="both"/>
        <w:rPr>
          <w:rFonts w:ascii="Palatino Linotype" w:eastAsia="Palatino Linotype" w:hAnsi="Palatino Linotype" w:cs="Palatino Linotype"/>
        </w:rPr>
      </w:pPr>
      <w:r w:rsidRPr="00D6033B">
        <w:rPr>
          <w:rFonts w:ascii="Palatino Linotype" w:eastAsia="Palatino Linotype" w:hAnsi="Palatino Linotype" w:cs="Palatino Linotype"/>
        </w:rPr>
        <w:t xml:space="preserve">Cabe señalar que </w:t>
      </w:r>
      <w:r w:rsidRPr="00D6033B">
        <w:rPr>
          <w:rFonts w:ascii="Palatino Linotype" w:eastAsia="Palatino Linotype" w:hAnsi="Palatino Linotype" w:cs="Palatino Linotype"/>
          <w:b/>
        </w:rPr>
        <w:t>El Recurrente</w:t>
      </w:r>
      <w:r w:rsidRPr="00D6033B">
        <w:rPr>
          <w:rFonts w:ascii="Palatino Linotype" w:eastAsia="Palatino Linotype" w:hAnsi="Palatino Linotype" w:cs="Palatino Linotype"/>
        </w:rPr>
        <w:t xml:space="preserve"> </w:t>
      </w:r>
      <w:r w:rsidRPr="00D6033B">
        <w:rPr>
          <w:rFonts w:ascii="Palatino Linotype" w:eastAsia="Palatino Linotype" w:hAnsi="Palatino Linotype" w:cs="Palatino Linotype"/>
          <w:u w:val="single"/>
        </w:rPr>
        <w:t>ejerció de manera anónima su derecho de acceso a la información pública</w:t>
      </w:r>
      <w:r w:rsidRPr="00D6033B">
        <w:rPr>
          <w:rFonts w:ascii="Palatino Linotype" w:eastAsia="Palatino Linotype" w:hAnsi="Palatino Linotype" w:cs="Palatino Linotype"/>
        </w:rPr>
        <w:t>,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1BB732F"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6033B">
        <w:rPr>
          <w:rFonts w:ascii="Palatino Linotype" w:eastAsia="Palatino Linotype" w:hAnsi="Palatino Linotype" w:cs="Palatino Linotype"/>
          <w:b/>
          <w:i/>
        </w:rPr>
        <w:t>[Sic]</w:t>
      </w:r>
    </w:p>
    <w:p w14:paraId="3F3ED87F" w14:textId="77777777" w:rsidR="00C91C7B" w:rsidRPr="00D6033B" w:rsidRDefault="00C91C7B">
      <w:pPr>
        <w:spacing w:before="240" w:line="360" w:lineRule="auto"/>
        <w:ind w:left="851" w:right="851"/>
        <w:jc w:val="both"/>
        <w:rPr>
          <w:rFonts w:ascii="Palatino Linotype" w:eastAsia="Palatino Linotype" w:hAnsi="Palatino Linotype" w:cs="Palatino Linotype"/>
          <w:b/>
          <w:i/>
        </w:rPr>
      </w:pPr>
    </w:p>
    <w:p w14:paraId="690454E1" w14:textId="77777777" w:rsidR="00C91C7B" w:rsidRPr="00D6033B" w:rsidRDefault="009B45E6">
      <w:pPr>
        <w:spacing w:line="360" w:lineRule="auto"/>
        <w:jc w:val="both"/>
        <w:rPr>
          <w:rFonts w:ascii="Palatino Linotype" w:eastAsia="Palatino Linotype" w:hAnsi="Palatino Linotype" w:cs="Palatino Linotype"/>
        </w:rPr>
      </w:pPr>
      <w:r w:rsidRPr="00D6033B">
        <w:rPr>
          <w:rFonts w:ascii="Palatino Linotype" w:eastAsia="Palatino Linotype" w:hAnsi="Palatino Linotype" w:cs="Palatino Linotype"/>
        </w:rPr>
        <w:t>Robustece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6392649" w14:textId="77777777" w:rsidR="00C91C7B" w:rsidRPr="00D6033B" w:rsidRDefault="009B45E6">
      <w:pPr>
        <w:spacing w:before="240" w:line="360" w:lineRule="auto"/>
        <w:ind w:left="851" w:right="851"/>
        <w:jc w:val="both"/>
        <w:rPr>
          <w:rFonts w:ascii="Palatino Linotype" w:eastAsia="Palatino Linotype" w:hAnsi="Palatino Linotype" w:cs="Palatino Linotype"/>
          <w:b/>
          <w:i/>
          <w:u w:val="single"/>
        </w:rPr>
      </w:pPr>
      <w:r w:rsidRPr="00D6033B">
        <w:rPr>
          <w:rFonts w:ascii="Palatino Linotype" w:eastAsia="Palatino Linotype" w:hAnsi="Palatino Linotype" w:cs="Palatino Linotype"/>
          <w:b/>
          <w:i/>
          <w:u w:val="single"/>
        </w:rPr>
        <w:t>Constitución Política de los Estados Unidos Mexicanos</w:t>
      </w:r>
    </w:p>
    <w:p w14:paraId="397EA399"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6</w:t>
      </w:r>
      <w:r w:rsidRPr="00D6033B">
        <w:rPr>
          <w:rFonts w:ascii="Palatino Linotype" w:eastAsia="Palatino Linotype" w:hAnsi="Palatino Linotype" w:cs="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A56FFB2"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lastRenderedPageBreak/>
        <w:t>(…)</w:t>
      </w:r>
    </w:p>
    <w:p w14:paraId="069C24B6"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Para efectos de lo dispuesto en el presente artículo se observará lo siguiente: </w:t>
      </w:r>
    </w:p>
    <w:p w14:paraId="2F3913D0"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3BB9E728"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65E5C624"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14:paraId="3AEF4066"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t xml:space="preserve">IV. Se establecerán mecanismos de acceso a la información y procedimientos de revisión expeditos que se sustanciarán ante los organismos autónomos especializados e imparciales que establece esta Constitución.” </w:t>
      </w:r>
      <w:r w:rsidRPr="00D6033B">
        <w:rPr>
          <w:rFonts w:ascii="Palatino Linotype" w:eastAsia="Palatino Linotype" w:hAnsi="Palatino Linotype" w:cs="Palatino Linotype"/>
          <w:b/>
          <w:i/>
        </w:rPr>
        <w:t>[Sic]</w:t>
      </w:r>
    </w:p>
    <w:p w14:paraId="0786636C" w14:textId="77777777" w:rsidR="00C91C7B" w:rsidRPr="00D6033B" w:rsidRDefault="009B45E6">
      <w:pPr>
        <w:spacing w:before="240" w:line="360" w:lineRule="auto"/>
        <w:ind w:left="851" w:right="851"/>
        <w:jc w:val="both"/>
        <w:rPr>
          <w:rFonts w:ascii="Palatino Linotype" w:eastAsia="Palatino Linotype" w:hAnsi="Palatino Linotype" w:cs="Palatino Linotype"/>
          <w:b/>
          <w:i/>
          <w:u w:val="single"/>
        </w:rPr>
      </w:pPr>
      <w:r w:rsidRPr="00D6033B">
        <w:rPr>
          <w:rFonts w:ascii="Palatino Linotype" w:eastAsia="Palatino Linotype" w:hAnsi="Palatino Linotype" w:cs="Palatino Linotype"/>
          <w:b/>
          <w:i/>
          <w:u w:val="single"/>
        </w:rPr>
        <w:t>Constitución Política del Estado Libre y Soberano de México</w:t>
      </w:r>
    </w:p>
    <w:p w14:paraId="49A0DBF5"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r w:rsidRPr="00D6033B">
        <w:rPr>
          <w:rFonts w:ascii="Palatino Linotype" w:eastAsia="Palatino Linotype" w:hAnsi="Palatino Linotype" w:cs="Palatino Linotype"/>
          <w:b/>
          <w:i/>
        </w:rPr>
        <w:t>Artículo 5</w:t>
      </w:r>
      <w:r w:rsidRPr="00D6033B">
        <w:rPr>
          <w:rFonts w:ascii="Palatino Linotype" w:eastAsia="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B2328E9"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4EE5437E"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lastRenderedPageBreak/>
        <w:t xml:space="preserve">transparencia, acceso a la información pública y a la protección de datos personales en posesión de los sujetos obligados en los términos que establezca la ley. (…)” </w:t>
      </w:r>
      <w:r w:rsidRPr="00D6033B">
        <w:rPr>
          <w:rFonts w:ascii="Palatino Linotype" w:eastAsia="Palatino Linotype" w:hAnsi="Palatino Linotype" w:cs="Palatino Linotype"/>
          <w:b/>
          <w:i/>
        </w:rPr>
        <w:t>[Sic]</w:t>
      </w:r>
    </w:p>
    <w:p w14:paraId="4C5B123D" w14:textId="77777777" w:rsidR="00C91C7B" w:rsidRPr="00D6033B" w:rsidRDefault="009B45E6">
      <w:pPr>
        <w:spacing w:before="240" w:line="360" w:lineRule="auto"/>
        <w:jc w:val="both"/>
        <w:rPr>
          <w:rFonts w:ascii="Palatino Linotype" w:eastAsia="Palatino Linotype" w:hAnsi="Palatino Linotype" w:cs="Palatino Linotype"/>
        </w:rPr>
      </w:pPr>
      <w:r w:rsidRPr="00D6033B">
        <w:rPr>
          <w:rFonts w:ascii="Palatino Linotype" w:eastAsia="Palatino Linotype" w:hAnsi="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6033B">
        <w:rPr>
          <w:rFonts w:ascii="Palatino Linotype" w:eastAsia="Palatino Linotype" w:hAnsi="Palatino Linotype" w:cs="Palatino Linotype"/>
          <w:b/>
          <w:u w:val="single"/>
        </w:rPr>
        <w:t>incluso, la solicitud de acceso a la información pueda ser anónima</w:t>
      </w:r>
      <w:r w:rsidRPr="00D6033B">
        <w:rPr>
          <w:rFonts w:ascii="Palatino Linotype" w:eastAsia="Palatino Linotype" w:hAnsi="Palatino Linotype" w:cs="Palatino Linotype"/>
        </w:rPr>
        <w:t xml:space="preserve"> o no contener un nombre que identifique al solicitante o que permita tener certeza sobre su identidad. En conclusión, se cubrieron los requisitos de procedencia y procedibilidad y conforme a las constancias que obran en el expediente.</w:t>
      </w:r>
    </w:p>
    <w:p w14:paraId="5CD7835A" w14:textId="77777777" w:rsidR="00C91C7B" w:rsidRPr="00D6033B" w:rsidRDefault="00C91C7B">
      <w:pPr>
        <w:spacing w:before="240" w:line="360" w:lineRule="auto"/>
        <w:jc w:val="both"/>
        <w:rPr>
          <w:b/>
        </w:rPr>
      </w:pPr>
    </w:p>
    <w:p w14:paraId="52D701B0" w14:textId="77777777" w:rsidR="00C91C7B" w:rsidRPr="00D6033B" w:rsidRDefault="009B45E6">
      <w:pPr>
        <w:keepNext/>
        <w:keepLines/>
        <w:spacing w:line="360" w:lineRule="auto"/>
        <w:jc w:val="both"/>
        <w:rPr>
          <w:rFonts w:ascii="Palatino Linotype" w:eastAsia="Palatino Linotype" w:hAnsi="Palatino Linotype" w:cs="Palatino Linotype"/>
          <w:b/>
          <w:color w:val="000000"/>
          <w:sz w:val="26"/>
          <w:szCs w:val="26"/>
        </w:rPr>
      </w:pPr>
      <w:r w:rsidRPr="00D6033B">
        <w:rPr>
          <w:rFonts w:ascii="Palatino Linotype" w:eastAsia="Palatino Linotype" w:hAnsi="Palatino Linotype" w:cs="Palatino Linotype"/>
          <w:b/>
          <w:color w:val="000000"/>
          <w:sz w:val="26"/>
          <w:szCs w:val="26"/>
        </w:rPr>
        <w:t>CUARTO. De las causas de improcedencia.</w:t>
      </w:r>
    </w:p>
    <w:p w14:paraId="1D68AFA8" w14:textId="77777777" w:rsidR="00C91C7B" w:rsidRPr="00D6033B" w:rsidRDefault="009B45E6">
      <w:pPr>
        <w:spacing w:after="0" w:line="360" w:lineRule="auto"/>
        <w:jc w:val="both"/>
        <w:rPr>
          <w:rFonts w:ascii="Palatino Linotype" w:eastAsia="Palatino Linotype" w:hAnsi="Palatino Linotype" w:cs="Palatino Linotype"/>
          <w:color w:val="000000"/>
        </w:rPr>
      </w:pPr>
      <w:r w:rsidRPr="00D6033B">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277707" w14:textId="77777777" w:rsidR="00C91C7B" w:rsidRPr="00D6033B" w:rsidRDefault="00C91C7B">
      <w:pPr>
        <w:spacing w:after="0" w:line="360" w:lineRule="auto"/>
        <w:jc w:val="both"/>
        <w:rPr>
          <w:rFonts w:ascii="Palatino Linotype" w:eastAsia="Palatino Linotype" w:hAnsi="Palatino Linotype" w:cs="Palatino Linotype"/>
          <w:color w:val="000000"/>
        </w:rPr>
      </w:pPr>
    </w:p>
    <w:p w14:paraId="090E2DD3" w14:textId="77777777" w:rsidR="00C91C7B" w:rsidRPr="00D6033B" w:rsidRDefault="009B45E6">
      <w:pPr>
        <w:spacing w:after="0" w:line="360" w:lineRule="auto"/>
        <w:jc w:val="both"/>
        <w:rPr>
          <w:rFonts w:ascii="Palatino Linotype" w:eastAsia="Palatino Linotype" w:hAnsi="Palatino Linotype" w:cs="Palatino Linotype"/>
          <w:color w:val="000000"/>
        </w:rPr>
      </w:pPr>
      <w:r w:rsidRPr="00D6033B">
        <w:rPr>
          <w:rFonts w:ascii="Palatino Linotype" w:eastAsia="Palatino Linotype" w:hAnsi="Palatino Linotype" w:cs="Palatino Linotype"/>
          <w:color w:val="000000"/>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w:t>
      </w:r>
      <w:r w:rsidRPr="00D6033B">
        <w:rPr>
          <w:rFonts w:ascii="Palatino Linotype" w:eastAsia="Palatino Linotype" w:hAnsi="Palatino Linotype" w:cs="Palatino Linotype"/>
          <w:color w:val="000000"/>
        </w:rPr>
        <w:lastRenderedPageBreak/>
        <w:t>ley de la materia</w:t>
      </w:r>
      <w:r w:rsidRPr="00D6033B">
        <w:rPr>
          <w:rFonts w:ascii="Palatino Linotype" w:eastAsia="Palatino Linotype" w:hAnsi="Palatino Linotype" w:cs="Palatino Linotype"/>
          <w:color w:val="000000"/>
          <w:vertAlign w:val="superscript"/>
        </w:rPr>
        <w:footnoteReference w:id="2"/>
      </w:r>
      <w:r w:rsidRPr="00D6033B">
        <w:rPr>
          <w:rFonts w:ascii="Palatino Linotype" w:eastAsia="Palatino Linotype" w:hAnsi="Palatino Linotype" w:cs="Palatino Linotype"/>
          <w:color w:val="000000"/>
        </w:rPr>
        <w:t>, la cual permite dilucidar alguna causal que impida el estudio y resolución, cuando una vez admitido el recurso de revisión se advierta una causa de improcedencia que permita sobreseerlo, sin estudiar el fondo del asunto.</w:t>
      </w:r>
    </w:p>
    <w:p w14:paraId="0000A8CF" w14:textId="77777777" w:rsidR="00C91C7B" w:rsidRPr="00D6033B" w:rsidRDefault="00C91C7B">
      <w:pPr>
        <w:spacing w:after="0" w:line="360" w:lineRule="auto"/>
        <w:jc w:val="both"/>
        <w:rPr>
          <w:rFonts w:ascii="Palatino Linotype" w:eastAsia="Palatino Linotype" w:hAnsi="Palatino Linotype" w:cs="Palatino Linotype"/>
          <w:color w:val="000000"/>
        </w:rPr>
      </w:pPr>
    </w:p>
    <w:p w14:paraId="3458C6AC" w14:textId="77777777" w:rsidR="00C91C7B" w:rsidRPr="00D6033B" w:rsidRDefault="009B45E6">
      <w:pPr>
        <w:spacing w:after="0" w:line="360" w:lineRule="auto"/>
        <w:jc w:val="both"/>
        <w:rPr>
          <w:rFonts w:ascii="Palatino Linotype" w:eastAsia="Palatino Linotype" w:hAnsi="Palatino Linotype" w:cs="Palatino Linotype"/>
          <w:color w:val="000000"/>
        </w:rPr>
      </w:pPr>
      <w:r w:rsidRPr="00D6033B">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CCA742D"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0DD7B2C0" w14:textId="77777777" w:rsidR="00C91C7B" w:rsidRPr="00D6033B" w:rsidRDefault="009B45E6">
      <w:pPr>
        <w:keepNext/>
        <w:keepLines/>
        <w:spacing w:after="0" w:line="360" w:lineRule="auto"/>
        <w:jc w:val="both"/>
        <w:rPr>
          <w:rFonts w:ascii="Palatino Linotype" w:eastAsia="Palatino Linotype" w:hAnsi="Palatino Linotype" w:cs="Palatino Linotype"/>
          <w:b/>
          <w:color w:val="000000"/>
          <w:sz w:val="26"/>
          <w:szCs w:val="26"/>
        </w:rPr>
      </w:pPr>
      <w:r w:rsidRPr="00D6033B">
        <w:rPr>
          <w:rFonts w:ascii="Palatino Linotype" w:eastAsia="Palatino Linotype" w:hAnsi="Palatino Linotype" w:cs="Palatino Linotype"/>
          <w:b/>
          <w:color w:val="000000"/>
          <w:sz w:val="26"/>
          <w:szCs w:val="26"/>
        </w:rPr>
        <w:lastRenderedPageBreak/>
        <w:t xml:space="preserve">QUINTO. </w:t>
      </w:r>
      <w:r w:rsidRPr="00D6033B">
        <w:rPr>
          <w:rFonts w:ascii="Palatino Linotype" w:eastAsia="Palatino Linotype" w:hAnsi="Palatino Linotype" w:cs="Palatino Linotype"/>
          <w:b/>
          <w:color w:val="000000"/>
          <w:sz w:val="28"/>
          <w:szCs w:val="28"/>
        </w:rPr>
        <w:t>Estudio y resolución del asunto</w:t>
      </w:r>
      <w:r w:rsidRPr="00D6033B">
        <w:rPr>
          <w:rFonts w:ascii="Palatino Linotype" w:eastAsia="Palatino Linotype" w:hAnsi="Palatino Linotype" w:cs="Palatino Linotype"/>
          <w:b/>
          <w:color w:val="000000"/>
          <w:sz w:val="26"/>
          <w:szCs w:val="26"/>
        </w:rPr>
        <w:t>.</w:t>
      </w:r>
    </w:p>
    <w:p w14:paraId="26F11F68"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B4EA057" w14:textId="77777777" w:rsidR="00C91C7B" w:rsidRPr="00D6033B" w:rsidRDefault="00C91C7B">
      <w:pPr>
        <w:spacing w:after="0" w:line="360" w:lineRule="auto"/>
        <w:jc w:val="both"/>
        <w:rPr>
          <w:rFonts w:ascii="Palatino Linotype" w:eastAsia="Palatino Linotype" w:hAnsi="Palatino Linotype" w:cs="Palatino Linotype"/>
          <w:color w:val="000000"/>
          <w:sz w:val="24"/>
          <w:szCs w:val="24"/>
        </w:rPr>
      </w:pPr>
    </w:p>
    <w:p w14:paraId="6269EEFD"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Por tanto, es conveniente recordar que el hoy Recurrente requirió del Sujeto Obligado, lo siguiente:</w:t>
      </w:r>
    </w:p>
    <w:p w14:paraId="15024165" w14:textId="77777777" w:rsidR="009B45E6" w:rsidRPr="00D6033B" w:rsidRDefault="009B45E6">
      <w:pPr>
        <w:numPr>
          <w:ilvl w:val="0"/>
          <w:numId w:val="1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De la persona referida en la solicitud de información.</w:t>
      </w:r>
    </w:p>
    <w:p w14:paraId="12937F3C" w14:textId="77777777" w:rsidR="009B45E6" w:rsidRPr="00D6033B" w:rsidRDefault="009B45E6" w:rsidP="009B45E6">
      <w:pPr>
        <w:numPr>
          <w:ilvl w:val="4"/>
          <w:numId w:val="14"/>
        </w:numPr>
        <w:pBdr>
          <w:top w:val="nil"/>
          <w:left w:val="nil"/>
          <w:bottom w:val="nil"/>
          <w:right w:val="nil"/>
          <w:between w:val="nil"/>
        </w:pBdr>
        <w:spacing w:after="0" w:line="360" w:lineRule="auto"/>
        <w:ind w:left="2127"/>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Información Curricular</w:t>
      </w:r>
    </w:p>
    <w:p w14:paraId="3F84D579" w14:textId="77777777" w:rsidR="009B45E6" w:rsidRPr="00D6033B" w:rsidRDefault="009B45E6" w:rsidP="009B45E6">
      <w:pPr>
        <w:numPr>
          <w:ilvl w:val="4"/>
          <w:numId w:val="14"/>
        </w:numPr>
        <w:pBdr>
          <w:top w:val="nil"/>
          <w:left w:val="nil"/>
          <w:bottom w:val="nil"/>
          <w:right w:val="nil"/>
          <w:between w:val="nil"/>
        </w:pBdr>
        <w:spacing w:after="0" w:line="360" w:lineRule="auto"/>
        <w:ind w:left="2127"/>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Contrato de servicios de sus despachos</w:t>
      </w:r>
    </w:p>
    <w:p w14:paraId="65FE5108" w14:textId="77777777" w:rsidR="00C91C7B" w:rsidRPr="00D6033B" w:rsidRDefault="009B45E6" w:rsidP="009B45E6">
      <w:pPr>
        <w:numPr>
          <w:ilvl w:val="4"/>
          <w:numId w:val="14"/>
        </w:numPr>
        <w:pBdr>
          <w:top w:val="nil"/>
          <w:left w:val="nil"/>
          <w:bottom w:val="nil"/>
          <w:right w:val="nil"/>
          <w:between w:val="nil"/>
        </w:pBdr>
        <w:spacing w:after="0" w:line="360" w:lineRule="auto"/>
        <w:ind w:left="2127"/>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Facturas pagadas por año </w:t>
      </w:r>
    </w:p>
    <w:p w14:paraId="68778415" w14:textId="77777777" w:rsidR="00C91C7B" w:rsidRPr="00D6033B" w:rsidRDefault="00C91C7B">
      <w:pPr>
        <w:pBdr>
          <w:top w:val="nil"/>
          <w:left w:val="nil"/>
          <w:bottom w:val="nil"/>
          <w:right w:val="nil"/>
          <w:between w:val="nil"/>
        </w:pBdr>
        <w:spacing w:after="0" w:line="360" w:lineRule="auto"/>
        <w:ind w:left="1080"/>
        <w:jc w:val="both"/>
        <w:rPr>
          <w:rFonts w:ascii="Palatino Linotype" w:eastAsia="Palatino Linotype" w:hAnsi="Palatino Linotype" w:cs="Palatino Linotype"/>
          <w:color w:val="000000"/>
          <w:sz w:val="24"/>
          <w:szCs w:val="24"/>
        </w:rPr>
      </w:pPr>
    </w:p>
    <w:p w14:paraId="4C131436"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Por lo que atento a la solicitud de información el Sujeto Obligado hizo entrega del siguiente archivo electrónico:</w:t>
      </w:r>
    </w:p>
    <w:p w14:paraId="12FB3BC1" w14:textId="77777777" w:rsidR="00C91C7B" w:rsidRPr="00D6033B" w:rsidRDefault="009B45E6" w:rsidP="009B45E6">
      <w:pPr>
        <w:pStyle w:val="Prrafodelista"/>
        <w:numPr>
          <w:ilvl w:val="0"/>
          <w:numId w:val="15"/>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D6033B">
        <w:rPr>
          <w:rFonts w:ascii="Palatino Linotype" w:hAnsi="Palatino Linotype" w:cs="Arial"/>
          <w:b/>
          <w:bCs/>
          <w:i/>
          <w:sz w:val="24"/>
          <w:szCs w:val="24"/>
        </w:rPr>
        <w:t xml:space="preserve">RESPUESTA 03150. 2024.pdf; </w:t>
      </w:r>
      <w:r w:rsidRPr="00D6033B">
        <w:rPr>
          <w:rFonts w:ascii="Palatino Linotype" w:hAnsi="Palatino Linotype" w:cs="Arial"/>
          <w:bCs/>
          <w:sz w:val="24"/>
          <w:szCs w:val="24"/>
        </w:rPr>
        <w:t xml:space="preserve">Documento que consta de dos fojas en formato PDF de fecha catorce de enero de dos mil veinticinco </w:t>
      </w:r>
      <w:r w:rsidR="00201E75" w:rsidRPr="00D6033B">
        <w:rPr>
          <w:rFonts w:ascii="Palatino Linotype" w:hAnsi="Palatino Linotype" w:cs="Arial"/>
          <w:bCs/>
          <w:sz w:val="24"/>
          <w:szCs w:val="24"/>
        </w:rPr>
        <w:t xml:space="preserve">por medio del cual la Dirección General de Administración a través del servidor público habilitado de la Dirección de Recursos Materiales informa al Titular </w:t>
      </w:r>
      <w:r w:rsidR="00201E75" w:rsidRPr="00D6033B">
        <w:rPr>
          <w:rFonts w:ascii="Palatino Linotype" w:hAnsi="Palatino Linotype" w:cs="Arial"/>
          <w:bCs/>
          <w:sz w:val="24"/>
          <w:szCs w:val="24"/>
        </w:rPr>
        <w:lastRenderedPageBreak/>
        <w:t xml:space="preserve">de la Unidad de Transparencia que después de una búsqueda exhaustiva y razonable en sus archivos localizo el contrato AT-AD-019-2023 celebrado por la persona jurídico colectiva “MDONTOVA ASOC S.C.” en el cual su representante legal es la persona referida en la solicitud. </w:t>
      </w:r>
    </w:p>
    <w:p w14:paraId="4B301050" w14:textId="77777777" w:rsidR="008F0B40" w:rsidRPr="00D6033B" w:rsidRDefault="008F0B40" w:rsidP="008F0B40">
      <w:pPr>
        <w:pStyle w:val="Prrafodelista"/>
        <w:pBdr>
          <w:top w:val="nil"/>
          <w:left w:val="nil"/>
          <w:bottom w:val="nil"/>
          <w:right w:val="nil"/>
          <w:between w:val="nil"/>
        </w:pBdr>
        <w:spacing w:after="0" w:line="360" w:lineRule="auto"/>
        <w:ind w:left="1440"/>
        <w:jc w:val="both"/>
        <w:rPr>
          <w:rFonts w:ascii="Palatino Linotype" w:eastAsia="Palatino Linotype" w:hAnsi="Palatino Linotype" w:cs="Palatino Linotype"/>
          <w:i/>
          <w:color w:val="000000"/>
          <w:sz w:val="24"/>
          <w:szCs w:val="24"/>
        </w:rPr>
      </w:pPr>
    </w:p>
    <w:p w14:paraId="0DEEA58E" w14:textId="77777777" w:rsidR="00201E75" w:rsidRPr="00D6033B" w:rsidRDefault="00201E75" w:rsidP="008F0B40">
      <w:pPr>
        <w:pStyle w:val="Prrafodelista"/>
        <w:pBdr>
          <w:top w:val="nil"/>
          <w:left w:val="nil"/>
          <w:bottom w:val="nil"/>
          <w:right w:val="nil"/>
          <w:between w:val="nil"/>
        </w:pBdr>
        <w:spacing w:after="0" w:line="360" w:lineRule="auto"/>
        <w:ind w:left="1440"/>
        <w:jc w:val="both"/>
        <w:rPr>
          <w:rFonts w:ascii="Palatino Linotype" w:hAnsi="Palatino Linotype" w:cs="Arial"/>
          <w:bCs/>
          <w:sz w:val="24"/>
          <w:szCs w:val="24"/>
        </w:rPr>
      </w:pPr>
      <w:r w:rsidRPr="00D6033B">
        <w:rPr>
          <w:rFonts w:ascii="Palatino Linotype" w:hAnsi="Palatino Linotype" w:cs="Arial"/>
          <w:bCs/>
          <w:sz w:val="24"/>
          <w:szCs w:val="24"/>
        </w:rPr>
        <w:t xml:space="preserve">En este sentido la Tesorería Municipal informa </w:t>
      </w:r>
      <w:r w:rsidR="008F0B40" w:rsidRPr="00D6033B">
        <w:rPr>
          <w:rFonts w:ascii="Palatino Linotype" w:hAnsi="Palatino Linotype" w:cs="Arial"/>
          <w:bCs/>
          <w:sz w:val="24"/>
          <w:szCs w:val="24"/>
        </w:rPr>
        <w:t xml:space="preserve">al Titular de la Unidad de Transparencia </w:t>
      </w:r>
      <w:r w:rsidRPr="00D6033B">
        <w:rPr>
          <w:rFonts w:ascii="Palatino Linotype" w:hAnsi="Palatino Linotype" w:cs="Arial"/>
          <w:bCs/>
          <w:sz w:val="24"/>
          <w:szCs w:val="24"/>
        </w:rPr>
        <w:t xml:space="preserve">que después de realizar una búsqueda exhaustiva y razonable en sus archivos no se obtuvieron </w:t>
      </w:r>
      <w:r w:rsidR="008F0B40" w:rsidRPr="00D6033B">
        <w:rPr>
          <w:rFonts w:ascii="Palatino Linotype" w:hAnsi="Palatino Linotype" w:cs="Arial"/>
          <w:bCs/>
          <w:sz w:val="24"/>
          <w:szCs w:val="24"/>
        </w:rPr>
        <w:t xml:space="preserve">resultados debido a que el Ayuntamiento no cuenta con un proveedor con esa nominación. </w:t>
      </w:r>
    </w:p>
    <w:p w14:paraId="1751FFEC" w14:textId="77777777" w:rsidR="009B45E6" w:rsidRPr="00D6033B" w:rsidRDefault="009B45E6" w:rsidP="009B45E6">
      <w:pPr>
        <w:pBdr>
          <w:top w:val="nil"/>
          <w:left w:val="nil"/>
          <w:bottom w:val="nil"/>
          <w:right w:val="nil"/>
          <w:between w:val="nil"/>
        </w:pBdr>
        <w:spacing w:after="0" w:line="360" w:lineRule="auto"/>
        <w:ind w:left="1080"/>
        <w:jc w:val="both"/>
        <w:rPr>
          <w:rFonts w:ascii="Palatino Linotype" w:eastAsia="Palatino Linotype" w:hAnsi="Palatino Linotype" w:cs="Palatino Linotype"/>
          <w:i/>
          <w:color w:val="000000"/>
          <w:sz w:val="24"/>
          <w:szCs w:val="24"/>
        </w:rPr>
      </w:pPr>
    </w:p>
    <w:p w14:paraId="3FD3B137"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Ante la respuesta emitida por el Sujeto Obligado, el Recurrente consideró que su derecho a la información pública había sido conculcado, por lo que interpuso el recurso de revisión al rubro citado, señalando como acto impugnado </w:t>
      </w:r>
      <w:r w:rsidR="008F0B40" w:rsidRPr="00D6033B">
        <w:rPr>
          <w:rFonts w:ascii="Palatino Linotype" w:eastAsia="Palatino Linotype" w:hAnsi="Palatino Linotype" w:cs="Palatino Linotype"/>
          <w:color w:val="000000"/>
          <w:sz w:val="24"/>
          <w:szCs w:val="24"/>
        </w:rPr>
        <w:t>“</w:t>
      </w:r>
      <w:r w:rsidR="008F0B40" w:rsidRPr="00D6033B">
        <w:rPr>
          <w:rFonts w:ascii="Palatino Linotype" w:hAnsi="Palatino Linotype"/>
          <w:i/>
          <w:color w:val="000000"/>
          <w:sz w:val="24"/>
          <w:szCs w:val="24"/>
        </w:rPr>
        <w:t xml:space="preserve">No entrega el contrato y lo que se pide” </w:t>
      </w:r>
      <w:r w:rsidRPr="00D6033B">
        <w:rPr>
          <w:rFonts w:ascii="Palatino Linotype" w:eastAsia="Palatino Linotype" w:hAnsi="Palatino Linotype" w:cs="Palatino Linotype"/>
          <w:color w:val="000000"/>
          <w:sz w:val="24"/>
          <w:szCs w:val="24"/>
        </w:rPr>
        <w:t xml:space="preserve">y motivos de inconformidad </w:t>
      </w:r>
      <w:r w:rsidRPr="00D6033B">
        <w:rPr>
          <w:rFonts w:ascii="Palatino Linotype" w:eastAsia="Palatino Linotype" w:hAnsi="Palatino Linotype" w:cs="Palatino Linotype"/>
          <w:i/>
          <w:color w:val="000000"/>
          <w:sz w:val="24"/>
          <w:szCs w:val="24"/>
        </w:rPr>
        <w:t>“</w:t>
      </w:r>
      <w:r w:rsidR="008F0B40" w:rsidRPr="00D6033B">
        <w:rPr>
          <w:rFonts w:ascii="Palatino Linotype" w:hAnsi="Palatino Linotype"/>
          <w:i/>
          <w:color w:val="000000"/>
          <w:sz w:val="24"/>
          <w:szCs w:val="24"/>
        </w:rPr>
        <w:t>No entrega contrato y no atiende mi solicitud”</w:t>
      </w:r>
      <w:r w:rsidRPr="00D6033B">
        <w:rPr>
          <w:rFonts w:ascii="Palatino Linotype" w:eastAsia="Palatino Linotype" w:hAnsi="Palatino Linotype" w:cs="Palatino Linotype"/>
          <w:i/>
          <w:color w:val="000000"/>
          <w:sz w:val="24"/>
          <w:szCs w:val="24"/>
        </w:rPr>
        <w:t>,</w:t>
      </w:r>
      <w:r w:rsidRPr="00D6033B">
        <w:rPr>
          <w:rFonts w:ascii="Palatino Linotype" w:eastAsia="Palatino Linotype" w:hAnsi="Palatino Linotype" w:cs="Palatino Linotype"/>
          <w:color w:val="000000"/>
          <w:sz w:val="24"/>
          <w:szCs w:val="24"/>
        </w:rPr>
        <w:t xml:space="preserve"> en este sentido el Recurrente consideró que el Sujeto Obligado no le</w:t>
      </w:r>
      <w:r w:rsidR="008F0B40" w:rsidRPr="00D6033B">
        <w:rPr>
          <w:rFonts w:ascii="Palatino Linotype" w:eastAsia="Palatino Linotype" w:hAnsi="Palatino Linotype" w:cs="Palatino Linotype"/>
          <w:color w:val="000000"/>
          <w:sz w:val="24"/>
          <w:szCs w:val="24"/>
        </w:rPr>
        <w:t xml:space="preserve"> dio cuenta de los contratos celebrados entre el ayuntamiento y la persona referida en la solicitud</w:t>
      </w:r>
      <w:r w:rsidRPr="00D6033B">
        <w:rPr>
          <w:rFonts w:ascii="Palatino Linotype" w:eastAsia="Palatino Linotype" w:hAnsi="Palatino Linotype" w:cs="Palatino Linotype"/>
          <w:color w:val="000000"/>
          <w:sz w:val="24"/>
          <w:szCs w:val="24"/>
        </w:rPr>
        <w:t xml:space="preserve">. </w:t>
      </w:r>
    </w:p>
    <w:p w14:paraId="37425277" w14:textId="77777777" w:rsidR="008F0B40" w:rsidRPr="00D6033B" w:rsidRDefault="008F0B40">
      <w:pPr>
        <w:spacing w:after="0" w:line="360" w:lineRule="auto"/>
        <w:jc w:val="both"/>
        <w:rPr>
          <w:rFonts w:ascii="Palatino Linotype" w:eastAsia="Palatino Linotype" w:hAnsi="Palatino Linotype" w:cs="Palatino Linotype"/>
          <w:color w:val="000000"/>
          <w:sz w:val="24"/>
          <w:szCs w:val="24"/>
        </w:rPr>
      </w:pPr>
    </w:p>
    <w:p w14:paraId="06625DA6" w14:textId="77777777" w:rsidR="00C91C7B" w:rsidRPr="00D6033B" w:rsidRDefault="009B45E6" w:rsidP="008F0B40">
      <w:pPr>
        <w:spacing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De lo anterior y a efecto de no vulnerar el derecho al acceso a la información del recurrente el Sujeto Obligado mediante Inform</w:t>
      </w:r>
      <w:r w:rsidR="008F0B40" w:rsidRPr="00D6033B">
        <w:rPr>
          <w:rFonts w:ascii="Palatino Linotype" w:eastAsia="Palatino Linotype" w:hAnsi="Palatino Linotype" w:cs="Palatino Linotype"/>
          <w:color w:val="000000"/>
          <w:sz w:val="24"/>
          <w:szCs w:val="24"/>
        </w:rPr>
        <w:t>e Justificado hizo entrega del archivo electrónico denominado “</w:t>
      </w:r>
      <w:r w:rsidR="008F0B40" w:rsidRPr="00D6033B">
        <w:rPr>
          <w:rFonts w:ascii="Palatino Linotype" w:hAnsi="Palatino Linotype" w:cs="Arial"/>
          <w:b/>
          <w:bCs/>
          <w:i/>
          <w:sz w:val="24"/>
          <w:szCs w:val="24"/>
        </w:rPr>
        <w:t xml:space="preserve">INFORME JUSTIFICADO 520-2025.pdf” </w:t>
      </w:r>
      <w:r w:rsidR="008F0B40" w:rsidRPr="00D6033B">
        <w:rPr>
          <w:rFonts w:ascii="Palatino Linotype" w:hAnsi="Palatino Linotype" w:cs="Arial"/>
          <w:bCs/>
          <w:sz w:val="24"/>
          <w:szCs w:val="24"/>
        </w:rPr>
        <w:t xml:space="preserve">por medio del cual el Sujeto Obligado ratifica su respuesta primigenia. </w:t>
      </w:r>
      <w:r w:rsidR="008F0B40" w:rsidRPr="00D6033B">
        <w:rPr>
          <w:rFonts w:ascii="Palatino Linotype" w:eastAsia="Palatino Linotype" w:hAnsi="Palatino Linotype" w:cs="Palatino Linotype"/>
          <w:i/>
          <w:color w:val="000000"/>
          <w:sz w:val="24"/>
          <w:szCs w:val="24"/>
        </w:rPr>
        <w:t xml:space="preserve"> </w:t>
      </w:r>
    </w:p>
    <w:p w14:paraId="06AF688C" w14:textId="77777777" w:rsidR="008F0B40" w:rsidRPr="00D6033B" w:rsidRDefault="008F0B40" w:rsidP="008F0B40">
      <w:pPr>
        <w:pBdr>
          <w:top w:val="nil"/>
          <w:left w:val="nil"/>
          <w:bottom w:val="nil"/>
          <w:right w:val="nil"/>
          <w:between w:val="nil"/>
        </w:pBdr>
        <w:spacing w:line="360" w:lineRule="auto"/>
        <w:ind w:left="1080"/>
        <w:jc w:val="both"/>
        <w:rPr>
          <w:rFonts w:ascii="Palatino Linotype" w:hAnsi="Palatino Linotype"/>
          <w:i/>
          <w:color w:val="000000"/>
          <w:sz w:val="24"/>
          <w:szCs w:val="24"/>
        </w:rPr>
      </w:pPr>
    </w:p>
    <w:p w14:paraId="124A8207" w14:textId="77777777" w:rsidR="00C91C7B" w:rsidRPr="00D6033B" w:rsidRDefault="009B45E6">
      <w:pPr>
        <w:tabs>
          <w:tab w:val="left" w:pos="709"/>
        </w:tabs>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lastRenderedPageBreak/>
        <w:t>De lo anterior se debe señalar que el artículo 4, párrafo segundo de la Ley de Transparencia y Acceso a la Información Pública del Estado de México y Municipios, dispone:</w:t>
      </w:r>
    </w:p>
    <w:p w14:paraId="4F6AFEBD"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r w:rsidRPr="00D6033B">
        <w:rPr>
          <w:rFonts w:ascii="Palatino Linotype" w:eastAsia="Palatino Linotype" w:hAnsi="Palatino Linotype" w:cs="Palatino Linotype"/>
          <w:b/>
          <w:i/>
        </w:rPr>
        <w:t xml:space="preserve">Artículo 4. </w:t>
      </w:r>
      <w:r w:rsidRPr="00D6033B">
        <w:rPr>
          <w:rFonts w:ascii="Palatino Linotype" w:eastAsia="Palatino Linotype" w:hAnsi="Palatino Linotype" w:cs="Palatino Linotype"/>
          <w:i/>
        </w:rPr>
        <w:t xml:space="preserve">… </w:t>
      </w:r>
    </w:p>
    <w:p w14:paraId="56BB7B57"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1779AE9" w14:textId="77777777" w:rsidR="00C91C7B" w:rsidRPr="00D6033B" w:rsidRDefault="00C91C7B">
      <w:pPr>
        <w:spacing w:after="0" w:line="360" w:lineRule="auto"/>
        <w:ind w:left="567" w:right="616"/>
        <w:jc w:val="both"/>
        <w:rPr>
          <w:rFonts w:ascii="Palatino Linotype" w:eastAsia="Palatino Linotype" w:hAnsi="Palatino Linotype" w:cs="Palatino Linotype"/>
          <w:i/>
        </w:rPr>
      </w:pPr>
    </w:p>
    <w:p w14:paraId="147EC27A" w14:textId="77777777" w:rsidR="00C91C7B" w:rsidRPr="00D6033B" w:rsidRDefault="009B45E6">
      <w:pPr>
        <w:tabs>
          <w:tab w:val="left" w:pos="709"/>
        </w:tabs>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DF7701A" w14:textId="77777777" w:rsidR="00C91C7B" w:rsidRPr="00D6033B" w:rsidRDefault="00C91C7B">
      <w:pPr>
        <w:tabs>
          <w:tab w:val="left" w:pos="709"/>
        </w:tabs>
        <w:spacing w:after="0" w:line="360" w:lineRule="auto"/>
        <w:jc w:val="both"/>
        <w:rPr>
          <w:rFonts w:ascii="Palatino Linotype" w:eastAsia="Palatino Linotype" w:hAnsi="Palatino Linotype" w:cs="Palatino Linotype"/>
          <w:sz w:val="24"/>
          <w:szCs w:val="24"/>
        </w:rPr>
      </w:pPr>
    </w:p>
    <w:p w14:paraId="78946E9B" w14:textId="77777777" w:rsidR="00C91C7B" w:rsidRPr="00D6033B" w:rsidRDefault="009B45E6">
      <w:pPr>
        <w:tabs>
          <w:tab w:val="left" w:pos="709"/>
        </w:tabs>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En esta misma tesitura, el derecho de acceso a la información pública, consiste en que la información solicitada conste en un soporte documental en cualquiera de sus formas, a saber: </w:t>
      </w:r>
      <w:r w:rsidRPr="00D6033B">
        <w:rPr>
          <w:rFonts w:ascii="Palatino Linotype" w:eastAsia="Palatino Linotype" w:hAnsi="Palatino Linotype" w:cs="Palatino Linotype"/>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6033B">
        <w:rPr>
          <w:rFonts w:ascii="Palatino Linotype" w:eastAsia="Palatino Linotype" w:hAnsi="Palatino Linotype" w:cs="Palatino Linotype"/>
          <w:sz w:val="24"/>
          <w:szCs w:val="24"/>
        </w:rPr>
        <w:t xml:space="preserve"> de los Sujetos Obligados; los que, podrán estar en cualquier medio, sea escrito, impreso, sonoro, visual, electrónico, informático u </w:t>
      </w:r>
      <w:r w:rsidRPr="00D6033B">
        <w:rPr>
          <w:rFonts w:ascii="Palatino Linotype" w:eastAsia="Palatino Linotype" w:hAnsi="Palatino Linotype" w:cs="Palatino Linotype"/>
          <w:sz w:val="24"/>
          <w:szCs w:val="24"/>
        </w:rPr>
        <w:lastRenderedPageBreak/>
        <w:t xml:space="preserve">holográfico, de conformidad con el artículo 3, fracción XI, de la Ley de la materia, el cual dispone lo siguiente: </w:t>
      </w:r>
    </w:p>
    <w:p w14:paraId="7164365A"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r w:rsidRPr="00D6033B">
        <w:rPr>
          <w:rFonts w:ascii="Palatino Linotype" w:eastAsia="Palatino Linotype" w:hAnsi="Palatino Linotype" w:cs="Palatino Linotype"/>
          <w:b/>
          <w:i/>
        </w:rPr>
        <w:t xml:space="preserve">Artículo 3. </w:t>
      </w:r>
      <w:r w:rsidRPr="00D6033B">
        <w:rPr>
          <w:rFonts w:ascii="Palatino Linotype" w:eastAsia="Palatino Linotype" w:hAnsi="Palatino Linotype" w:cs="Palatino Linotype"/>
          <w:i/>
        </w:rPr>
        <w:t>Para los efectos de la presente Ley se entenderá por:</w:t>
      </w:r>
    </w:p>
    <w:p w14:paraId="2C861940"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2F837E26"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XI. Documento:</w:t>
      </w:r>
      <w:r w:rsidRPr="00D6033B">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w:t>
      </w:r>
      <w:r w:rsidRPr="00D6033B">
        <w:rPr>
          <w:rFonts w:ascii="Palatino Linotype" w:eastAsia="Palatino Linotype" w:hAnsi="Palatino Linotype" w:cs="Palatino Linotype"/>
          <w:b/>
          <w:i/>
          <w:u w:val="single"/>
        </w:rPr>
        <w:t>registro que documente el ejercicio de las facultades, funciones y competencias de los sujetos obligados</w:t>
      </w:r>
      <w:r w:rsidRPr="00D6033B">
        <w:rPr>
          <w:rFonts w:ascii="Palatino Linotype" w:eastAsia="Palatino Linotype" w:hAnsi="Palatino Linotype" w:cs="Palatino Linotype"/>
          <w:i/>
          <w:u w:val="single"/>
        </w:rPr>
        <w:t>,</w:t>
      </w:r>
      <w:r w:rsidRPr="00D6033B">
        <w:rPr>
          <w:rFonts w:ascii="Palatino Linotype" w:eastAsia="Palatino Linotype" w:hAnsi="Palatino Linotype" w:cs="Palatino Linotype"/>
          <w:i/>
        </w:rPr>
        <w:t xml:space="preserve"> sus servidores públicos e integrantes, </w:t>
      </w:r>
      <w:r w:rsidRPr="00D6033B">
        <w:rPr>
          <w:rFonts w:ascii="Palatino Linotype" w:eastAsia="Palatino Linotype" w:hAnsi="Palatino Linotype" w:cs="Palatino Linotype"/>
          <w:b/>
          <w:i/>
          <w:u w:val="single"/>
        </w:rPr>
        <w:t>sin importar su fuente o fecha de elaboración.</w:t>
      </w:r>
      <w:r w:rsidRPr="00D6033B">
        <w:rPr>
          <w:rFonts w:ascii="Palatino Linotype" w:eastAsia="Palatino Linotype" w:hAnsi="Palatino Linotype" w:cs="Palatino Linotype"/>
          <w:i/>
        </w:rPr>
        <w:t xml:space="preserve"> Los documentos podrán estar en cualquier medio, sea escrito, impreso, sonoro, visual, electrónico, informático u holográfico;</w:t>
      </w:r>
    </w:p>
    <w:p w14:paraId="628B3FBC"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1318F786" w14:textId="77777777" w:rsidR="00C91C7B" w:rsidRPr="00D6033B" w:rsidRDefault="00C91C7B">
      <w:pPr>
        <w:spacing w:after="0" w:line="360" w:lineRule="auto"/>
        <w:ind w:right="49"/>
        <w:jc w:val="both"/>
        <w:rPr>
          <w:rFonts w:ascii="Palatino Linotype" w:eastAsia="Palatino Linotype" w:hAnsi="Palatino Linotype" w:cs="Palatino Linotype"/>
          <w:sz w:val="24"/>
          <w:szCs w:val="24"/>
        </w:rPr>
      </w:pPr>
    </w:p>
    <w:p w14:paraId="3FDC9C8E" w14:textId="77777777" w:rsidR="00F73F66" w:rsidRPr="00D6033B" w:rsidRDefault="009B45E6">
      <w:pPr>
        <w:spacing w:after="0" w:line="360" w:lineRule="auto"/>
        <w:ind w:right="49"/>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D6EDB5D" w14:textId="2D40D7FC" w:rsidR="00C91C7B" w:rsidRPr="00D6033B" w:rsidRDefault="009B45E6">
      <w:pPr>
        <w:spacing w:after="0" w:line="360" w:lineRule="auto"/>
        <w:ind w:right="49"/>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lastRenderedPageBreak/>
        <w:t xml:space="preserve">De la misma forma, </w:t>
      </w:r>
      <w:r w:rsidR="000B66E7" w:rsidRPr="00D6033B">
        <w:rPr>
          <w:rFonts w:ascii="Palatino Linotype" w:eastAsia="Palatino Linotype" w:hAnsi="Palatino Linotype" w:cs="Palatino Linotype"/>
          <w:sz w:val="24"/>
          <w:szCs w:val="24"/>
        </w:rPr>
        <w:t>de acuerdo con el</w:t>
      </w:r>
      <w:r w:rsidRPr="00D6033B">
        <w:rPr>
          <w:rFonts w:ascii="Palatino Linotype" w:eastAsia="Palatino Linotype" w:hAnsi="Palatino Linotype" w:cs="Palatino Linotype"/>
          <w:sz w:val="24"/>
          <w:szCs w:val="24"/>
        </w:rPr>
        <w:t xml:space="preserve"> contenido del artículo 160, de la Ley General de Transparencia y Acceso a la Información Pública que a la letra dispone;</w:t>
      </w:r>
    </w:p>
    <w:p w14:paraId="70E24836" w14:textId="77777777" w:rsidR="00C91C7B" w:rsidRPr="00D6033B" w:rsidRDefault="009B45E6">
      <w:pPr>
        <w:spacing w:after="0" w:line="360" w:lineRule="auto"/>
        <w:ind w:left="567" w:right="6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160</w:t>
      </w:r>
      <w:r w:rsidRPr="00D6033B">
        <w:rPr>
          <w:rFonts w:ascii="Palatino Linotype" w:eastAsia="Palatino Linotype" w:hAnsi="Palatino Linotype" w:cs="Palatino Linotype"/>
          <w:i/>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3F9401F" w14:textId="77777777" w:rsidR="00C91C7B" w:rsidRPr="00D6033B" w:rsidRDefault="00C91C7B">
      <w:pPr>
        <w:spacing w:after="0" w:line="360" w:lineRule="auto"/>
        <w:jc w:val="both"/>
        <w:rPr>
          <w:rFonts w:ascii="Palatino Linotype" w:eastAsia="Palatino Linotype" w:hAnsi="Palatino Linotype" w:cs="Palatino Linotype"/>
          <w:sz w:val="24"/>
          <w:szCs w:val="24"/>
        </w:rPr>
      </w:pPr>
    </w:p>
    <w:p w14:paraId="7C1DAC84" w14:textId="77777777" w:rsidR="00C91C7B" w:rsidRPr="00D6033B" w:rsidRDefault="009B45E6">
      <w:pPr>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Expuesto lo anterior, se procede al análisis de la totalidad de las constancias que integran el expediente electrónico del </w:t>
      </w:r>
      <w:r w:rsidRPr="00D6033B">
        <w:rPr>
          <w:rFonts w:ascii="Palatino Linotype" w:eastAsia="Palatino Linotype" w:hAnsi="Palatino Linotype" w:cs="Palatino Linotype"/>
          <w:b/>
          <w:sz w:val="24"/>
          <w:szCs w:val="24"/>
        </w:rPr>
        <w:t>SAIMEX</w:t>
      </w:r>
      <w:r w:rsidRPr="00D6033B">
        <w:rPr>
          <w:rFonts w:ascii="Palatino Linotype" w:eastAsia="Palatino Linotype" w:hAnsi="Palatino Linotype" w:cs="Palatino Linotype"/>
          <w:sz w:val="24"/>
          <w:szCs w:val="24"/>
        </w:rPr>
        <w:t xml:space="preserve">, a efecto de determinar si con la información remitida por </w:t>
      </w:r>
      <w:r w:rsidRPr="00D6033B">
        <w:rPr>
          <w:rFonts w:ascii="Palatino Linotype" w:eastAsia="Palatino Linotype" w:hAnsi="Palatino Linotype" w:cs="Palatino Linotype"/>
          <w:b/>
          <w:sz w:val="24"/>
          <w:szCs w:val="24"/>
        </w:rPr>
        <w:t>El Sujeto Obligado</w:t>
      </w:r>
      <w:r w:rsidRPr="00D6033B">
        <w:rPr>
          <w:rFonts w:ascii="Palatino Linotype" w:eastAsia="Palatino Linotype" w:hAnsi="Palatino Linotype" w:cs="Palatino Linotype"/>
          <w:sz w:val="24"/>
          <w:szCs w:val="24"/>
        </w:rPr>
        <w:t xml:space="preserve"> a través de su respuesta se colma lo requerido en dicha solicitud.</w:t>
      </w:r>
    </w:p>
    <w:p w14:paraId="19703A31" w14:textId="77777777" w:rsidR="00C91C7B" w:rsidRPr="00D6033B" w:rsidRDefault="00C91C7B">
      <w:pPr>
        <w:spacing w:line="360" w:lineRule="auto"/>
        <w:jc w:val="both"/>
      </w:pPr>
    </w:p>
    <w:p w14:paraId="0175358F" w14:textId="77777777" w:rsidR="00FF5365" w:rsidRPr="00D6033B" w:rsidRDefault="009B45E6" w:rsidP="00FF5365">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Por lo que, conforme con los artículos </w:t>
      </w:r>
      <w:r w:rsidR="00FF5365" w:rsidRPr="00D6033B">
        <w:rPr>
          <w:rFonts w:ascii="Palatino Linotype" w:eastAsia="Palatino Linotype" w:hAnsi="Palatino Linotype" w:cs="Palatino Linotype"/>
          <w:sz w:val="24"/>
          <w:szCs w:val="24"/>
        </w:rPr>
        <w:t xml:space="preserve">90 y 92 fracción II y VI del Bando Municipal del Sujeto Obligado a efecto de advertir que la Dirección General de Administración es la unidad administrativa encargada de la gestión del capital humano y la Tesorería Municipal es la unidad administrativa </w:t>
      </w:r>
      <w:r w:rsidR="00FF5365" w:rsidRPr="00D6033B">
        <w:rPr>
          <w:rFonts w:ascii="Palatino Linotype" w:hAnsi="Palatino Linotype"/>
          <w:sz w:val="24"/>
          <w:szCs w:val="24"/>
        </w:rPr>
        <w:t xml:space="preserve">responsable de la administración y control de los recursos financieros del municipio, en los términos siguientes; </w:t>
      </w:r>
    </w:p>
    <w:p w14:paraId="08945491" w14:textId="77777777" w:rsidR="00FF5365" w:rsidRPr="00D6033B" w:rsidRDefault="00FF5365" w:rsidP="00FF5365">
      <w:pPr>
        <w:spacing w:line="360" w:lineRule="auto"/>
        <w:ind w:left="720"/>
        <w:jc w:val="both"/>
        <w:rPr>
          <w:rFonts w:ascii="Palatino Linotype" w:hAnsi="Palatino Linotype"/>
          <w:i/>
        </w:rPr>
      </w:pPr>
      <w:r w:rsidRPr="00D6033B">
        <w:rPr>
          <w:rFonts w:ascii="Palatino Linotype" w:hAnsi="Palatino Linotype"/>
          <w:b/>
          <w:i/>
        </w:rPr>
        <w:t>Artículo 90.</w:t>
      </w:r>
      <w:r w:rsidRPr="00D6033B">
        <w:rPr>
          <w:rFonts w:ascii="Palatino Linotype" w:hAnsi="Palatino Linotype"/>
          <w:i/>
        </w:rPr>
        <w:t xml:space="preserve">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3D7CF932" w14:textId="77777777" w:rsidR="00FF5365" w:rsidRPr="00D6033B" w:rsidRDefault="00FF5365" w:rsidP="00FF5365">
      <w:pPr>
        <w:pStyle w:val="Prrafodelista"/>
        <w:numPr>
          <w:ilvl w:val="0"/>
          <w:numId w:val="14"/>
        </w:numPr>
        <w:spacing w:line="360" w:lineRule="auto"/>
        <w:jc w:val="both"/>
        <w:rPr>
          <w:rFonts w:ascii="Palatino Linotype" w:hAnsi="Palatino Linotype"/>
          <w:i/>
        </w:rPr>
      </w:pPr>
      <w:r w:rsidRPr="00D6033B">
        <w:rPr>
          <w:rFonts w:ascii="Palatino Linotype" w:hAnsi="Palatino Linotype"/>
          <w:i/>
        </w:rPr>
        <w:lastRenderedPageBreak/>
        <w:t>Tesorería Municipal;</w:t>
      </w:r>
    </w:p>
    <w:p w14:paraId="7E70D32E" w14:textId="77777777" w:rsidR="00FF5365" w:rsidRPr="00D6033B" w:rsidRDefault="00FF5365" w:rsidP="00FF5365">
      <w:pPr>
        <w:spacing w:line="360" w:lineRule="auto"/>
        <w:ind w:left="720"/>
        <w:jc w:val="both"/>
        <w:rPr>
          <w:rFonts w:ascii="Palatino Linotype" w:hAnsi="Palatino Linotype"/>
          <w:i/>
        </w:rPr>
      </w:pPr>
      <w:r w:rsidRPr="00D6033B">
        <w:rPr>
          <w:rFonts w:ascii="Palatino Linotype" w:hAnsi="Palatino Linotype"/>
          <w:i/>
        </w:rPr>
        <w:t>…</w:t>
      </w:r>
    </w:p>
    <w:p w14:paraId="49629654" w14:textId="77777777" w:rsidR="00FF5365" w:rsidRPr="00D6033B" w:rsidRDefault="00FF5365" w:rsidP="00FF5365">
      <w:pPr>
        <w:spacing w:line="360" w:lineRule="auto"/>
        <w:ind w:left="720"/>
        <w:jc w:val="both"/>
        <w:rPr>
          <w:rFonts w:ascii="Palatino Linotype" w:eastAsia="Palatino Linotype" w:hAnsi="Palatino Linotype" w:cs="Palatino Linotype"/>
          <w:i/>
          <w:color w:val="000000"/>
          <w:sz w:val="24"/>
          <w:szCs w:val="24"/>
        </w:rPr>
      </w:pPr>
      <w:r w:rsidRPr="00D6033B">
        <w:rPr>
          <w:rFonts w:ascii="Palatino Linotype" w:hAnsi="Palatino Linotype"/>
          <w:i/>
        </w:rPr>
        <w:t>6. Dirección General de Administración;</w:t>
      </w:r>
    </w:p>
    <w:p w14:paraId="662DEFDA" w14:textId="77777777" w:rsidR="00FF5365" w:rsidRPr="00D6033B" w:rsidRDefault="00FF5365" w:rsidP="00FF5365">
      <w:pPr>
        <w:pBdr>
          <w:top w:val="nil"/>
          <w:left w:val="nil"/>
          <w:bottom w:val="nil"/>
          <w:right w:val="nil"/>
          <w:between w:val="nil"/>
        </w:pBdr>
        <w:spacing w:line="360" w:lineRule="auto"/>
        <w:ind w:left="720"/>
        <w:jc w:val="both"/>
        <w:rPr>
          <w:rFonts w:ascii="Palatino Linotype" w:hAnsi="Palatino Linotype"/>
          <w:b/>
          <w:i/>
        </w:rPr>
      </w:pPr>
    </w:p>
    <w:p w14:paraId="0B576826" w14:textId="77777777" w:rsidR="00C91C7B" w:rsidRPr="00D6033B" w:rsidRDefault="00FF5365" w:rsidP="00FF5365">
      <w:pPr>
        <w:pBdr>
          <w:top w:val="nil"/>
          <w:left w:val="nil"/>
          <w:bottom w:val="nil"/>
          <w:right w:val="nil"/>
          <w:between w:val="nil"/>
        </w:pBdr>
        <w:spacing w:line="360" w:lineRule="auto"/>
        <w:ind w:left="720"/>
        <w:jc w:val="both"/>
        <w:rPr>
          <w:rFonts w:ascii="Palatino Linotype" w:hAnsi="Palatino Linotype"/>
          <w:i/>
        </w:rPr>
      </w:pPr>
      <w:r w:rsidRPr="00D6033B">
        <w:rPr>
          <w:rFonts w:ascii="Palatino Linotype" w:hAnsi="Palatino Linotype"/>
          <w:b/>
          <w:i/>
        </w:rPr>
        <w:t>Artículo 92.</w:t>
      </w:r>
      <w:r w:rsidRPr="00D6033B">
        <w:rPr>
          <w:rFonts w:ascii="Palatino Linotype" w:hAnsi="Palatino Linotype"/>
          <w:i/>
        </w:rPr>
        <w:t xml:space="preserve">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33432723" w14:textId="77777777" w:rsidR="00FF5365" w:rsidRPr="00D6033B" w:rsidRDefault="00FF5365" w:rsidP="00FF5365">
      <w:pPr>
        <w:pBdr>
          <w:top w:val="nil"/>
          <w:left w:val="nil"/>
          <w:bottom w:val="nil"/>
          <w:right w:val="nil"/>
          <w:between w:val="nil"/>
        </w:pBdr>
        <w:spacing w:line="360" w:lineRule="auto"/>
        <w:ind w:left="720"/>
        <w:jc w:val="both"/>
        <w:rPr>
          <w:rFonts w:ascii="Palatino Linotype" w:hAnsi="Palatino Linotype"/>
          <w:i/>
        </w:rPr>
      </w:pPr>
      <w:r w:rsidRPr="00D6033B">
        <w:rPr>
          <w:rFonts w:ascii="Palatino Linotype" w:hAnsi="Palatino Linotype"/>
          <w:i/>
        </w:rPr>
        <w:t>….</w:t>
      </w:r>
    </w:p>
    <w:p w14:paraId="32413F6F" w14:textId="77777777" w:rsidR="00FF5365" w:rsidRPr="00D6033B" w:rsidRDefault="00FF5365" w:rsidP="00FF5365">
      <w:pPr>
        <w:pBdr>
          <w:top w:val="nil"/>
          <w:left w:val="nil"/>
          <w:bottom w:val="nil"/>
          <w:right w:val="nil"/>
          <w:between w:val="nil"/>
        </w:pBdr>
        <w:spacing w:line="360" w:lineRule="auto"/>
        <w:ind w:left="720"/>
        <w:jc w:val="both"/>
        <w:rPr>
          <w:rFonts w:ascii="Palatino Linotype" w:hAnsi="Palatino Linotype"/>
          <w:i/>
        </w:rPr>
      </w:pPr>
      <w:r w:rsidRPr="00D6033B">
        <w:rPr>
          <w:rFonts w:ascii="Palatino Linotype" w:hAnsi="Palatino Linotype"/>
          <w:b/>
          <w:i/>
        </w:rPr>
        <w:t>II. La persona titular de la Tesorería Municipal es responsable de la administración y control de los recursos financieros del municipio</w:t>
      </w:r>
      <w:r w:rsidRPr="00D6033B">
        <w:rPr>
          <w:rFonts w:ascii="Palatino Linotype" w:hAnsi="Palatino Linotype"/>
          <w:i/>
        </w:rPr>
        <w:t>, asegurando el cumplimiento de las disposiciones fiscales y presupuestales. Sus funciones incluyen la recaudación, fiscalización y administración de ingresos municipales, así como la elaboración y supervisión de los informes financieros y la cuenta pública. Además, coordina la aplicación de políticas de racionalidad y austeridad presupuestal, otorga suficiencia presupuestaria a las dependencias municipales, y gestiona la nómina del personal, garantizando su pago oportuno.</w:t>
      </w:r>
    </w:p>
    <w:p w14:paraId="0C2B5760" w14:textId="77777777" w:rsidR="00FF5365" w:rsidRPr="00D6033B" w:rsidRDefault="00FF5365" w:rsidP="00FF5365">
      <w:pPr>
        <w:pBdr>
          <w:top w:val="nil"/>
          <w:left w:val="nil"/>
          <w:bottom w:val="nil"/>
          <w:right w:val="nil"/>
          <w:between w:val="nil"/>
        </w:pBdr>
        <w:spacing w:line="360" w:lineRule="auto"/>
        <w:ind w:left="720"/>
        <w:jc w:val="both"/>
        <w:rPr>
          <w:rFonts w:ascii="Palatino Linotype" w:hAnsi="Palatino Linotype"/>
          <w:i/>
        </w:rPr>
      </w:pPr>
      <w:r w:rsidRPr="00D6033B">
        <w:rPr>
          <w:rFonts w:ascii="Palatino Linotype" w:hAnsi="Palatino Linotype"/>
          <w:i/>
        </w:rPr>
        <w:t>….</w:t>
      </w:r>
    </w:p>
    <w:p w14:paraId="75C3AD60" w14:textId="77777777" w:rsidR="00FF5365" w:rsidRPr="00D6033B" w:rsidRDefault="00FF5365" w:rsidP="00FF5365">
      <w:pPr>
        <w:pBdr>
          <w:top w:val="nil"/>
          <w:left w:val="nil"/>
          <w:bottom w:val="nil"/>
          <w:right w:val="nil"/>
          <w:between w:val="nil"/>
        </w:pBdr>
        <w:spacing w:line="360" w:lineRule="auto"/>
        <w:ind w:left="720"/>
        <w:jc w:val="both"/>
        <w:rPr>
          <w:rFonts w:ascii="Palatino Linotype" w:hAnsi="Palatino Linotype"/>
          <w:i/>
        </w:rPr>
      </w:pPr>
      <w:r w:rsidRPr="00D6033B">
        <w:rPr>
          <w:rFonts w:ascii="Palatino Linotype" w:hAnsi="Palatino Linotype"/>
          <w:b/>
          <w:i/>
        </w:rPr>
        <w:t>VI. La persona titular de la Dirección General de Administración es responsable de la gestión integral del capital humano del Ayuntamiento</w:t>
      </w:r>
      <w:r w:rsidRPr="00D6033B">
        <w:rPr>
          <w:rFonts w:ascii="Palatino Linotype" w:hAnsi="Palatino Linotype"/>
          <w:i/>
        </w:rPr>
        <w:t xml:space="preserve">, coordinando el reclutamiento, contratación, capacitación y  desarrollo del personal, así como la aplicación de las disposiciones laborales y sindicales. Supervisará la elaboración y distribución de la nómina, garantizando su apego a la normatividad y el presupuesto autorizado. </w:t>
      </w:r>
      <w:r w:rsidRPr="00D6033B">
        <w:rPr>
          <w:rFonts w:ascii="Palatino Linotype" w:hAnsi="Palatino Linotype"/>
          <w:b/>
          <w:i/>
        </w:rPr>
        <w:t xml:space="preserve">Dirigirá los procesos de adquisición, </w:t>
      </w:r>
      <w:r w:rsidRPr="00D6033B">
        <w:rPr>
          <w:rFonts w:ascii="Palatino Linotype" w:hAnsi="Palatino Linotype"/>
          <w:b/>
          <w:i/>
        </w:rPr>
        <w:lastRenderedPageBreak/>
        <w:t>arrendamiento y contratación de servicios, asegurando la eficiencia y transparencia en el uso de los recursos públicos</w:t>
      </w:r>
      <w:r w:rsidRPr="00D6033B">
        <w:rPr>
          <w:rFonts w:ascii="Palatino Linotype" w:hAnsi="Palatino Linotype"/>
          <w:i/>
        </w:rPr>
        <w:t>.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6EDF4238" w14:textId="77777777" w:rsidR="00FF5365" w:rsidRPr="00D6033B" w:rsidRDefault="00FF5365" w:rsidP="00FF536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5FC5269" w14:textId="2CDAE712" w:rsidR="00F73F66" w:rsidRPr="00D6033B" w:rsidRDefault="00FF5365" w:rsidP="00F73F6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 xml:space="preserve">De lo anterior se debe advertir que en respuesta el Sujeto Obligado a través del servidor público de la Dirección de Recursos Materiales perteneciente a la </w:t>
      </w:r>
      <w:r w:rsidRPr="00D6033B">
        <w:rPr>
          <w:rFonts w:ascii="Palatino Linotype" w:eastAsia="Palatino Linotype" w:hAnsi="Palatino Linotype" w:cs="Palatino Linotype"/>
          <w:sz w:val="24"/>
          <w:szCs w:val="24"/>
        </w:rPr>
        <w:t xml:space="preserve">Dirección General de Administración manifestó la existencia de un contrato signado con el número </w:t>
      </w:r>
      <w:r w:rsidRPr="00D6033B">
        <w:rPr>
          <w:rFonts w:ascii="Palatino Linotype" w:hAnsi="Palatino Linotype" w:cs="Arial"/>
          <w:bCs/>
          <w:sz w:val="24"/>
          <w:szCs w:val="24"/>
        </w:rPr>
        <w:t>AT-AD-019-2023, siendo omiso para la entrega de dicho soporte documental.</w:t>
      </w:r>
      <w:r w:rsidR="00F73F66" w:rsidRPr="00D6033B">
        <w:rPr>
          <w:rFonts w:ascii="Palatino Linotype" w:eastAsia="Palatino Linotype" w:hAnsi="Palatino Linotype" w:cs="Palatino Linotype"/>
          <w:color w:val="000000"/>
          <w:sz w:val="24"/>
          <w:szCs w:val="24"/>
        </w:rPr>
        <w:t xml:space="preserve"> </w:t>
      </w:r>
      <w:r w:rsidR="00F73F66" w:rsidRPr="00D6033B">
        <w:rPr>
          <w:rFonts w:ascii="Palatino Linotype" w:hAnsi="Palatino Linotype"/>
          <w:sz w:val="24"/>
          <w:szCs w:val="24"/>
        </w:rPr>
        <w:t>Ahora bien, respecto el curriculum el</w:t>
      </w:r>
      <w:r w:rsidR="00F73F66" w:rsidRPr="00D6033B">
        <w:rPr>
          <w:rFonts w:ascii="Palatino Linotype" w:eastAsia="Palatino Linotype" w:hAnsi="Palatino Linotype" w:cs="Palatino Linotype"/>
          <w:color w:val="000000"/>
          <w:sz w:val="24"/>
          <w:szCs w:val="24"/>
        </w:rPr>
        <w:t xml:space="preserve"> servidor público de la Dirección de Recursos Materiales manifestó que la persona referida en solicitud no es servidora pública del Ayuntamiento por lo que se encuentra imposibilitado para brindarle el curriculum</w:t>
      </w:r>
      <w:r w:rsidR="00F73F66" w:rsidRPr="00D6033B">
        <w:rPr>
          <w:rFonts w:ascii="Palatino Linotype" w:eastAsia="Palatino Linotype" w:hAnsi="Palatino Linotype" w:cs="Palatino Linotype"/>
          <w:sz w:val="24"/>
          <w:szCs w:val="24"/>
        </w:rPr>
        <w:t xml:space="preserve">, por lo tanto, es de referir que nos encontramos, </w:t>
      </w:r>
      <w:r w:rsidR="00CA541D" w:rsidRPr="00D6033B">
        <w:rPr>
          <w:rFonts w:ascii="Palatino Linotype" w:eastAsia="Palatino Linotype" w:hAnsi="Palatino Linotype" w:cs="Palatino Linotype"/>
          <w:sz w:val="24"/>
          <w:szCs w:val="24"/>
        </w:rPr>
        <w:t>ante hechos</w:t>
      </w:r>
      <w:r w:rsidR="00F73F66" w:rsidRPr="00D6033B">
        <w:rPr>
          <w:rFonts w:ascii="Palatino Linotype" w:eastAsia="Palatino Linotype" w:hAnsi="Palatino Linotype" w:cs="Palatino Linotype"/>
          <w:sz w:val="24"/>
          <w:szCs w:val="24"/>
        </w:rPr>
        <w:t xml:space="preserve"> negativos, resultando aplicable la siguiente tesis: </w:t>
      </w:r>
    </w:p>
    <w:p w14:paraId="3BF2478F" w14:textId="77777777" w:rsidR="00F73F66" w:rsidRPr="00D6033B" w:rsidRDefault="00F73F66" w:rsidP="00F73F6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w:t>
      </w:r>
      <w:r w:rsidRPr="00D6033B">
        <w:rPr>
          <w:rFonts w:ascii="Palatino Linotype" w:eastAsia="Palatino Linotype" w:hAnsi="Palatino Linotype" w:cs="Palatino Linotype"/>
          <w:b/>
          <w:i/>
          <w:color w:val="000000"/>
        </w:rPr>
        <w:t>HECHOS NEGATIVOS, NO SON SUSCEPTIBLES DE DEMOSTRACIÓN.</w:t>
      </w:r>
    </w:p>
    <w:p w14:paraId="58B00261" w14:textId="77777777" w:rsidR="00F73F66" w:rsidRPr="00D6033B" w:rsidRDefault="00F73F66" w:rsidP="00F73F6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14:paraId="73581D60" w14:textId="77777777" w:rsidR="00F73F66" w:rsidRPr="00D6033B" w:rsidRDefault="00F73F66" w:rsidP="00F73F6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Amparo en revisión 2022/61. José García Florín (Menor). 9 de octubre de 1961. Cinco votos. Ponente: José Rivera Pérez Campos</w:t>
      </w:r>
    </w:p>
    <w:p w14:paraId="166BD96C" w14:textId="77777777" w:rsidR="00F73F66" w:rsidRPr="00D6033B" w:rsidRDefault="00F73F66" w:rsidP="00F73F66">
      <w:pPr>
        <w:spacing w:line="360" w:lineRule="auto"/>
        <w:jc w:val="both"/>
        <w:rPr>
          <w:rFonts w:ascii="Palatino Linotype" w:eastAsia="Palatino Linotype" w:hAnsi="Palatino Linotype" w:cs="Palatino Linotype"/>
          <w:sz w:val="24"/>
          <w:szCs w:val="24"/>
        </w:rPr>
      </w:pPr>
    </w:p>
    <w:p w14:paraId="4280CD4A" w14:textId="77777777" w:rsidR="00F73F66" w:rsidRPr="00D6033B" w:rsidRDefault="00F73F66" w:rsidP="00F73F66">
      <w:pPr>
        <w:spacing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sz w:val="24"/>
          <w:szCs w:val="24"/>
        </w:rPr>
        <w:t xml:space="preserve">De lo que se desprende que es materialmente imposible realizar la entrega de alguna documental que no ha generado el </w:t>
      </w:r>
      <w:r w:rsidRPr="00D6033B">
        <w:rPr>
          <w:rFonts w:ascii="Palatino Linotype" w:eastAsia="Palatino Linotype" w:hAnsi="Palatino Linotype" w:cs="Palatino Linotype"/>
          <w:b/>
          <w:sz w:val="24"/>
          <w:szCs w:val="24"/>
        </w:rPr>
        <w:t>SUJETO OBLIGADO</w:t>
      </w:r>
      <w:r w:rsidRPr="00D6033B">
        <w:rPr>
          <w:rFonts w:ascii="Palatino Linotype" w:eastAsia="Palatino Linotype" w:hAnsi="Palatino Linotype" w:cs="Palatino Linotype"/>
          <w:sz w:val="24"/>
          <w:szCs w:val="24"/>
        </w:rPr>
        <w:t xml:space="preserve">. </w:t>
      </w:r>
      <w:r w:rsidRPr="00D6033B">
        <w:rPr>
          <w:rFonts w:ascii="Palatino Linotype" w:eastAsia="Palatino Linotype" w:hAnsi="Palatino Linotype" w:cs="Palatino Linotype"/>
          <w:color w:val="000000"/>
          <w:sz w:val="24"/>
          <w:szCs w:val="24"/>
        </w:rPr>
        <w:t xml:space="preserve">Al respecto, este Órgano </w:t>
      </w:r>
      <w:r w:rsidRPr="00D6033B">
        <w:rPr>
          <w:rFonts w:ascii="Palatino Linotype" w:eastAsia="Palatino Linotype" w:hAnsi="Palatino Linotype" w:cs="Palatino Linotype"/>
          <w:color w:val="000000"/>
          <w:sz w:val="24"/>
          <w:szCs w:val="24"/>
        </w:rPr>
        <w:lastRenderedPageBreak/>
        <w:t>Garante carece de facultades para dudar de la veracidad de la respuesta emitida pues no está facultado para pronunciarse sobre la veracidad de la información que los Sujetos Obligados ponen a disposición de los solicitantes; situación que se aleja de las atribuciones de este Instituto.</w:t>
      </w:r>
    </w:p>
    <w:p w14:paraId="62506D8B" w14:textId="77777777" w:rsidR="00F73F66" w:rsidRPr="00D6033B" w:rsidRDefault="00F73F66" w:rsidP="00F73F66">
      <w:pPr>
        <w:spacing w:line="360" w:lineRule="auto"/>
        <w:jc w:val="both"/>
        <w:rPr>
          <w:rFonts w:ascii="Palatino Linotype" w:eastAsia="Palatino Linotype" w:hAnsi="Palatino Linotype" w:cs="Palatino Linotype"/>
          <w:color w:val="000000"/>
          <w:sz w:val="24"/>
          <w:szCs w:val="24"/>
        </w:rPr>
      </w:pPr>
    </w:p>
    <w:p w14:paraId="42874949"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Por lo que, debe observarse lo establecido en los artículos 1, fracción III, 20, 21, 22, 23, 24, 26, 27 y 39 de la Ley de Contratación Pública del Estado de México y Municipios, los cuales se transcriben a continuación:</w:t>
      </w:r>
    </w:p>
    <w:p w14:paraId="5B133C8D"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r w:rsidRPr="00D6033B">
        <w:rPr>
          <w:rFonts w:ascii="Palatino Linotype" w:eastAsia="Palatino Linotype" w:hAnsi="Palatino Linotype" w:cs="Palatino Linotype"/>
          <w:b/>
          <w:i/>
        </w:rPr>
        <w:t>Artículo 1</w:t>
      </w:r>
      <w:r w:rsidRPr="00D6033B">
        <w:rPr>
          <w:rFonts w:ascii="Palatino Linotype" w:eastAsia="Palatino Linotype" w:hAnsi="Palatino Linotype" w:cs="Palatino Linotype"/>
          <w:i/>
        </w:rPr>
        <w:t xml:space="preserve">.- Esta Ley tiene por objeto regular los actos relativos a la planeación, programación, presupuestación, ejecución y control </w:t>
      </w:r>
      <w:r w:rsidRPr="00D6033B">
        <w:rPr>
          <w:rFonts w:ascii="Palatino Linotype" w:eastAsia="Palatino Linotype" w:hAnsi="Palatino Linotype" w:cs="Palatino Linotype"/>
          <w:b/>
          <w:i/>
          <w:u w:val="single"/>
        </w:rPr>
        <w:t>de la adquisición, enajenación y arrendamiento de bienes, y la contratación de servicios de cualquier naturaleza, que realicen</w:t>
      </w:r>
      <w:r w:rsidRPr="00D6033B">
        <w:rPr>
          <w:rFonts w:ascii="Palatino Linotype" w:eastAsia="Palatino Linotype" w:hAnsi="Palatino Linotype" w:cs="Palatino Linotype"/>
          <w:i/>
        </w:rPr>
        <w:t xml:space="preserve">: </w:t>
      </w:r>
    </w:p>
    <w:p w14:paraId="0C06CE8F" w14:textId="77777777" w:rsidR="00C91C7B" w:rsidRPr="00D6033B" w:rsidRDefault="009B45E6">
      <w:pPr>
        <w:ind w:left="416" w:firstLine="291"/>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 </w:t>
      </w:r>
    </w:p>
    <w:p w14:paraId="7C2EF58C" w14:textId="77777777" w:rsidR="00C91C7B" w:rsidRPr="00D6033B" w:rsidRDefault="009B45E6">
      <w:pPr>
        <w:ind w:left="416" w:firstLine="291"/>
        <w:jc w:val="both"/>
        <w:rPr>
          <w:rFonts w:ascii="Palatino Linotype" w:eastAsia="Palatino Linotype" w:hAnsi="Palatino Linotype" w:cs="Palatino Linotype"/>
        </w:rPr>
      </w:pPr>
      <w:r w:rsidRPr="00D6033B">
        <w:rPr>
          <w:rFonts w:ascii="Palatino Linotype" w:eastAsia="Palatino Linotype" w:hAnsi="Palatino Linotype" w:cs="Palatino Linotype"/>
          <w:i/>
        </w:rPr>
        <w:t>III. Los ayuntamientos de los municipios del Estado</w:t>
      </w:r>
      <w:r w:rsidRPr="00D6033B">
        <w:rPr>
          <w:rFonts w:ascii="Palatino Linotype" w:eastAsia="Palatino Linotype" w:hAnsi="Palatino Linotype" w:cs="Palatino Linotype"/>
        </w:rPr>
        <w:t xml:space="preserve">. </w:t>
      </w:r>
    </w:p>
    <w:p w14:paraId="308F0581" w14:textId="77777777" w:rsidR="00C91C7B" w:rsidRPr="00D6033B" w:rsidRDefault="00C91C7B">
      <w:pPr>
        <w:ind w:left="416" w:firstLine="291"/>
        <w:jc w:val="both"/>
        <w:rPr>
          <w:rFonts w:ascii="Palatino Linotype" w:eastAsia="Palatino Linotype" w:hAnsi="Palatino Linotype" w:cs="Palatino Linotype"/>
        </w:rPr>
      </w:pPr>
    </w:p>
    <w:p w14:paraId="79D2F343"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20</w:t>
      </w:r>
      <w:r w:rsidRPr="00D6033B">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sidRPr="00D6033B">
        <w:rPr>
          <w:rFonts w:ascii="Palatino Linotype" w:eastAsia="Palatino Linotype" w:hAnsi="Palatino Linotype" w:cs="Palatino Linotype"/>
          <w:b/>
          <w:i/>
        </w:rPr>
        <w:t xml:space="preserve">Establecerán y operarán también el catálogo de bienes y servicios específicos que sean susceptibles de ser adquiridos o contratados </w:t>
      </w:r>
      <w:r w:rsidRPr="00D6033B">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2CCB4388" w14:textId="77777777" w:rsidR="00C91C7B" w:rsidRPr="00D6033B" w:rsidRDefault="00C91C7B">
      <w:pPr>
        <w:ind w:left="416"/>
        <w:jc w:val="both"/>
        <w:rPr>
          <w:rFonts w:ascii="Palatino Linotype" w:eastAsia="Palatino Linotype" w:hAnsi="Palatino Linotype" w:cs="Palatino Linotype"/>
        </w:rPr>
      </w:pPr>
    </w:p>
    <w:p w14:paraId="0CEA8B5B" w14:textId="77777777" w:rsidR="00C91C7B" w:rsidRPr="00D6033B" w:rsidRDefault="009B45E6">
      <w:pPr>
        <w:ind w:left="416"/>
        <w:jc w:val="both"/>
        <w:rPr>
          <w:rFonts w:ascii="Palatino Linotype" w:eastAsia="Palatino Linotype" w:hAnsi="Palatino Linotype" w:cs="Palatino Linotype"/>
          <w:b/>
          <w:i/>
        </w:rPr>
      </w:pPr>
      <w:r w:rsidRPr="00D6033B">
        <w:rPr>
          <w:rFonts w:ascii="Palatino Linotype" w:eastAsia="Palatino Linotype" w:hAnsi="Palatino Linotype" w:cs="Palatino Linotype"/>
          <w:b/>
          <w:i/>
        </w:rPr>
        <w:t>Artículo 21.-</w:t>
      </w:r>
      <w:r w:rsidRPr="00D6033B">
        <w:rPr>
          <w:rFonts w:ascii="Palatino Linotype" w:eastAsia="Palatino Linotype" w:hAnsi="Palatino Linotype" w:cs="Palatino Linotype"/>
          <w:i/>
        </w:rPr>
        <w:t xml:space="preserve"> </w:t>
      </w:r>
      <w:r w:rsidRPr="00D6033B">
        <w:rPr>
          <w:rFonts w:ascii="Palatino Linotype" w:eastAsia="Palatino Linotype" w:hAnsi="Palatino Linotype" w:cs="Palatino Linotype"/>
          <w:b/>
          <w:i/>
        </w:rPr>
        <w:t>A fin de conocer la capacidad administrativa, financiera, legal y técnica de las fuentes de suministro</w:t>
      </w:r>
      <w:r w:rsidRPr="00D6033B">
        <w:rPr>
          <w:rFonts w:ascii="Palatino Linotype" w:eastAsia="Palatino Linotype" w:hAnsi="Palatino Linotype" w:cs="Palatino Linotype"/>
          <w:i/>
        </w:rPr>
        <w:t xml:space="preserve">, la Secretaría y </w:t>
      </w:r>
      <w:r w:rsidRPr="00D6033B">
        <w:rPr>
          <w:rFonts w:ascii="Palatino Linotype" w:eastAsia="Palatino Linotype" w:hAnsi="Palatino Linotype" w:cs="Palatino Linotype"/>
          <w:b/>
          <w:i/>
        </w:rPr>
        <w:t xml:space="preserve">los ayuntamientos integrarán un catálogo de proveedores y de prestadores de servicios. </w:t>
      </w:r>
    </w:p>
    <w:p w14:paraId="1CF0D876" w14:textId="77777777" w:rsidR="00C91C7B" w:rsidRPr="00D6033B" w:rsidRDefault="00C91C7B">
      <w:pPr>
        <w:ind w:left="416"/>
        <w:jc w:val="both"/>
        <w:rPr>
          <w:rFonts w:ascii="Palatino Linotype" w:eastAsia="Palatino Linotype" w:hAnsi="Palatino Linotype" w:cs="Palatino Linotype"/>
          <w:i/>
        </w:rPr>
      </w:pPr>
    </w:p>
    <w:p w14:paraId="5EACD565"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i/>
        </w:rPr>
        <w:lastRenderedPageBreak/>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4D015995" w14:textId="77777777" w:rsidR="00082752" w:rsidRPr="00D6033B" w:rsidRDefault="00082752">
      <w:pPr>
        <w:ind w:left="416"/>
        <w:jc w:val="both"/>
        <w:rPr>
          <w:rFonts w:ascii="Palatino Linotype" w:eastAsia="Palatino Linotype" w:hAnsi="Palatino Linotype" w:cs="Palatino Linotype"/>
          <w:i/>
        </w:rPr>
      </w:pPr>
    </w:p>
    <w:p w14:paraId="27837C2E"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22.-</w:t>
      </w:r>
      <w:r w:rsidRPr="00D6033B">
        <w:rPr>
          <w:rFonts w:ascii="Palatino Linotype" w:eastAsia="Palatino Linotype" w:hAnsi="Palatino Linotype" w:cs="Palatino Linotype"/>
          <w:i/>
        </w:rPr>
        <w:t xml:space="preserve"> Lo</w:t>
      </w:r>
      <w:r w:rsidRPr="00D6033B">
        <w:rPr>
          <w:rFonts w:ascii="Palatino Linotype" w:eastAsia="Palatino Linotype" w:hAnsi="Palatino Linotype" w:cs="Palatino Linotype"/>
          <w:b/>
          <w:i/>
        </w:rPr>
        <w:t>s comités son órganos colegiados con facultades de opinión, que tienen por objeto auxiliar a</w:t>
      </w:r>
      <w:r w:rsidRPr="00D6033B">
        <w:rPr>
          <w:rFonts w:ascii="Palatino Linotype" w:eastAsia="Palatino Linotype" w:hAnsi="Palatino Linotype" w:cs="Palatino Linotype"/>
          <w:i/>
        </w:rPr>
        <w:t xml:space="preserve"> la Secretaría, entidades, tribunales administrativos y </w:t>
      </w:r>
      <w:r w:rsidRPr="00D6033B">
        <w:rPr>
          <w:rFonts w:ascii="Palatino Linotype" w:eastAsia="Palatino Linotype" w:hAnsi="Palatino Linotype" w:cs="Palatino Linotype"/>
          <w:b/>
          <w:i/>
        </w:rPr>
        <w:t>ayuntamientos</w:t>
      </w:r>
      <w:r w:rsidRPr="00D6033B">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D6033B">
        <w:rPr>
          <w:rFonts w:ascii="Palatino Linotype" w:eastAsia="Palatino Linotype" w:hAnsi="Palatino Linotype" w:cs="Palatino Linotype"/>
          <w:b/>
          <w:i/>
        </w:rPr>
        <w:t xml:space="preserve">los ayuntamientos se auxiliarán de un comité de arrendamientos, adquisiciones de inmuebles </w:t>
      </w:r>
      <w:r w:rsidRPr="00D6033B">
        <w:rPr>
          <w:rFonts w:ascii="Palatino Linotype" w:eastAsia="Palatino Linotype" w:hAnsi="Palatino Linotype" w:cs="Palatino Linotype"/>
          <w:i/>
        </w:rPr>
        <w:t>y enajenaciones</w:t>
      </w:r>
      <w:r w:rsidRPr="00D6033B">
        <w:rPr>
          <w:rFonts w:ascii="Palatino Linotype" w:eastAsia="Palatino Linotype" w:hAnsi="Palatino Linotype" w:cs="Palatino Linotype"/>
          <w:b/>
          <w:i/>
        </w:rPr>
        <w:t>.”</w:t>
      </w:r>
      <w:r w:rsidRPr="00D6033B">
        <w:rPr>
          <w:rFonts w:ascii="Palatino Linotype" w:eastAsia="Palatino Linotype" w:hAnsi="Palatino Linotype" w:cs="Palatino Linotype"/>
          <w:i/>
        </w:rPr>
        <w:t xml:space="preserve"> </w:t>
      </w:r>
    </w:p>
    <w:p w14:paraId="7A3FA72E" w14:textId="77777777" w:rsidR="00C91C7B" w:rsidRPr="00D6033B" w:rsidRDefault="00C91C7B">
      <w:pPr>
        <w:jc w:val="both"/>
        <w:rPr>
          <w:rFonts w:ascii="Palatino Linotype" w:eastAsia="Palatino Linotype" w:hAnsi="Palatino Linotype" w:cs="Palatino Linotype"/>
          <w:i/>
        </w:rPr>
      </w:pPr>
    </w:p>
    <w:p w14:paraId="76FD91EF"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23.- Los comités de adquisiciones y de servicios tendrán las funciones siguientes</w:t>
      </w:r>
      <w:r w:rsidRPr="00D6033B">
        <w:rPr>
          <w:rFonts w:ascii="Palatino Linotype" w:eastAsia="Palatino Linotype" w:hAnsi="Palatino Linotype" w:cs="Palatino Linotype"/>
          <w:i/>
        </w:rPr>
        <w:t xml:space="preserve">: </w:t>
      </w:r>
    </w:p>
    <w:p w14:paraId="78D47256" w14:textId="77777777" w:rsidR="00C91C7B" w:rsidRPr="00D6033B" w:rsidRDefault="009B45E6">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Dictaminar sobre la procedencia de los casos de excepción al procedimiento de licitación pública. </w:t>
      </w:r>
    </w:p>
    <w:p w14:paraId="09333878" w14:textId="77777777" w:rsidR="00C91C7B" w:rsidRPr="00D6033B" w:rsidRDefault="009B45E6">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0D0A0460" w14:textId="77777777" w:rsidR="00C91C7B" w:rsidRPr="00D6033B" w:rsidRDefault="009B45E6">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Emitir los dictámenes de adjudicación. </w:t>
      </w:r>
    </w:p>
    <w:p w14:paraId="545693DE" w14:textId="77777777" w:rsidR="00C91C7B" w:rsidRPr="00D6033B" w:rsidRDefault="009B45E6">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 Las demás que establezca el reglamento de esta Ley.” </w:t>
      </w:r>
    </w:p>
    <w:p w14:paraId="18737FF2" w14:textId="77777777" w:rsidR="00C91C7B" w:rsidRPr="00D6033B" w:rsidRDefault="00C91C7B">
      <w:pPr>
        <w:jc w:val="both"/>
        <w:rPr>
          <w:rFonts w:ascii="Palatino Linotype" w:eastAsia="Palatino Linotype" w:hAnsi="Palatino Linotype" w:cs="Palatino Linotype"/>
          <w:b/>
          <w:i/>
        </w:rPr>
      </w:pPr>
    </w:p>
    <w:p w14:paraId="220027A7"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24.-</w:t>
      </w:r>
      <w:r w:rsidRPr="00D6033B">
        <w:rPr>
          <w:rFonts w:ascii="Palatino Linotype" w:eastAsia="Palatino Linotype" w:hAnsi="Palatino Linotype" w:cs="Palatino Linotype"/>
          <w:i/>
        </w:rPr>
        <w:t xml:space="preserve"> El comité de arrendamientos, </w:t>
      </w:r>
      <w:r w:rsidRPr="00D6033B">
        <w:rPr>
          <w:rFonts w:ascii="Palatino Linotype" w:eastAsia="Palatino Linotype" w:hAnsi="Palatino Linotype" w:cs="Palatino Linotype"/>
          <w:i/>
          <w:u w:val="single"/>
        </w:rPr>
        <w:t>adquisiciones de inmuebles</w:t>
      </w:r>
      <w:r w:rsidRPr="00D6033B">
        <w:rPr>
          <w:rFonts w:ascii="Palatino Linotype" w:eastAsia="Palatino Linotype" w:hAnsi="Palatino Linotype" w:cs="Palatino Linotype"/>
          <w:i/>
        </w:rPr>
        <w:t xml:space="preserve"> y enajenaciones tendrá las funciones siguientes: </w:t>
      </w:r>
    </w:p>
    <w:p w14:paraId="7AFE091B" w14:textId="77777777" w:rsidR="00C91C7B" w:rsidRPr="00D6033B" w:rsidRDefault="009B45E6">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14:paraId="7EB05009" w14:textId="77777777" w:rsidR="00C91C7B" w:rsidRPr="00D6033B" w:rsidRDefault="009B45E6">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lastRenderedPageBreak/>
        <w:t xml:space="preserve"> Participar en los procedimientos de licitación, invitación restringida y adjudicación directa, hasta dejarlos en estado de dictar el fallo correspondiente, tratándose de adquisición de inmuebles y arrendamientos. </w:t>
      </w:r>
    </w:p>
    <w:p w14:paraId="4CFB5398" w14:textId="77777777" w:rsidR="00C91C7B" w:rsidRPr="00D6033B" w:rsidRDefault="009B45E6">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Emitir los dictámenes de adjudicación, tratándose de adquisiciones de inmuebles y arrendamientos. </w:t>
      </w:r>
    </w:p>
    <w:p w14:paraId="60C2BE77" w14:textId="77777777" w:rsidR="00C91C7B" w:rsidRPr="00D6033B" w:rsidRDefault="009B45E6">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14:paraId="2A11C9AD" w14:textId="77777777" w:rsidR="00C91C7B" w:rsidRPr="00D6033B" w:rsidRDefault="009B45E6">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Las demás que establezca el reglamento de esta Ley.” </w:t>
      </w:r>
    </w:p>
    <w:p w14:paraId="0772C1A6" w14:textId="77777777" w:rsidR="00FF5365" w:rsidRPr="00D6033B" w:rsidRDefault="00FF5365">
      <w:pPr>
        <w:ind w:left="416"/>
        <w:jc w:val="both"/>
        <w:rPr>
          <w:rFonts w:ascii="Palatino Linotype" w:eastAsia="Palatino Linotype" w:hAnsi="Palatino Linotype" w:cs="Palatino Linotype"/>
          <w:b/>
          <w:i/>
        </w:rPr>
      </w:pPr>
    </w:p>
    <w:p w14:paraId="587BC1F0"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26</w:t>
      </w:r>
      <w:r w:rsidRPr="00D6033B">
        <w:rPr>
          <w:rFonts w:ascii="Palatino Linotype" w:eastAsia="Palatino Linotype" w:hAnsi="Palatino Linotype" w:cs="Palatino Linotype"/>
          <w:i/>
        </w:rPr>
        <w:t xml:space="preserve">.- </w:t>
      </w:r>
      <w:r w:rsidRPr="00D6033B">
        <w:rPr>
          <w:rFonts w:ascii="Palatino Linotype" w:eastAsia="Palatino Linotype" w:hAnsi="Palatino Linotype" w:cs="Palatino Linotype"/>
          <w:b/>
          <w:i/>
        </w:rPr>
        <w:t>Las adquisiciones, arrendamientos y servicios se adjudicarán a través de licitaciones públicas, mediante convocatoria pública</w:t>
      </w:r>
    </w:p>
    <w:p w14:paraId="1ECBFCB7" w14:textId="77777777" w:rsidR="00C91C7B" w:rsidRPr="00D6033B" w:rsidRDefault="00C91C7B">
      <w:pPr>
        <w:ind w:left="416"/>
        <w:jc w:val="both"/>
        <w:rPr>
          <w:rFonts w:ascii="Palatino Linotype" w:eastAsia="Palatino Linotype" w:hAnsi="Palatino Linotype" w:cs="Palatino Linotype"/>
          <w:b/>
          <w:i/>
        </w:rPr>
      </w:pPr>
    </w:p>
    <w:p w14:paraId="12AABADF"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27</w:t>
      </w:r>
      <w:r w:rsidRPr="00D6033B">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14:paraId="3ACFADF1" w14:textId="77777777" w:rsidR="00C91C7B" w:rsidRPr="00D6033B" w:rsidRDefault="009B45E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Invitación restringida.</w:t>
      </w:r>
    </w:p>
    <w:p w14:paraId="4C50C17B" w14:textId="77777777" w:rsidR="00C91C7B" w:rsidRPr="00D6033B" w:rsidRDefault="009B45E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i/>
          <w:color w:val="000000"/>
        </w:rPr>
        <w:t xml:space="preserve"> Adjudicación directa. </w:t>
      </w:r>
    </w:p>
    <w:p w14:paraId="511B57BC" w14:textId="77777777" w:rsidR="00C91C7B" w:rsidRPr="00D6033B" w:rsidRDefault="00C91C7B">
      <w:pPr>
        <w:jc w:val="both"/>
        <w:rPr>
          <w:rFonts w:ascii="Palatino Linotype" w:eastAsia="Palatino Linotype" w:hAnsi="Palatino Linotype" w:cs="Palatino Linotype"/>
          <w:b/>
          <w:i/>
        </w:rPr>
      </w:pPr>
    </w:p>
    <w:p w14:paraId="2101AF26"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39.-</w:t>
      </w:r>
      <w:r w:rsidRPr="00D6033B">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14:paraId="58A91534" w14:textId="77777777" w:rsidR="00C91C7B" w:rsidRPr="00D6033B" w:rsidRDefault="00C91C7B">
      <w:pPr>
        <w:ind w:left="416"/>
        <w:jc w:val="both"/>
        <w:rPr>
          <w:rFonts w:ascii="Palatino Linotype" w:eastAsia="Palatino Linotype" w:hAnsi="Palatino Linotype" w:cs="Palatino Linotype"/>
          <w:i/>
          <w:sz w:val="24"/>
          <w:szCs w:val="24"/>
        </w:rPr>
      </w:pPr>
    </w:p>
    <w:p w14:paraId="699F41E8"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Al respecto, se trae a colación la Ley de Fiscalización Superior del Estado de México, que señala que son sujetos de fiscalización los Municipios del Estado de México, además, en su artículo 2, fracciones VIII y XI, establece lo que es la Cuenta Pública y los Informes trimestrales, tal como se precisa a continuación:</w:t>
      </w:r>
    </w:p>
    <w:p w14:paraId="1DB04F34" w14:textId="77777777" w:rsidR="00C91C7B" w:rsidRPr="00D6033B" w:rsidRDefault="009B45E6" w:rsidP="00EA1F68">
      <w:pPr>
        <w:spacing w:line="276" w:lineRule="auto"/>
        <w:ind w:firstLine="708"/>
        <w:jc w:val="both"/>
        <w:rPr>
          <w:rFonts w:ascii="Palatino Linotype" w:eastAsia="Palatino Linotype" w:hAnsi="Palatino Linotype" w:cs="Palatino Linotype"/>
          <w:b/>
          <w:i/>
        </w:rPr>
      </w:pPr>
      <w:r w:rsidRPr="00D6033B">
        <w:rPr>
          <w:rFonts w:ascii="Palatino Linotype" w:eastAsia="Palatino Linotype" w:hAnsi="Palatino Linotype" w:cs="Palatino Linotype"/>
          <w:b/>
          <w:i/>
        </w:rPr>
        <w:lastRenderedPageBreak/>
        <w:t>Artículo 2. Para los efectos de la presente Ley, se entenderá por:</w:t>
      </w:r>
    </w:p>
    <w:p w14:paraId="0FDB4347" w14:textId="77777777" w:rsidR="00C91C7B" w:rsidRPr="00D6033B" w:rsidRDefault="009B45E6" w:rsidP="00EA1F68">
      <w:pPr>
        <w:spacing w:line="276" w:lineRule="auto"/>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b/>
          <w:i/>
        </w:rPr>
        <w:t>VIII. Cuenta Pública:</w:t>
      </w:r>
      <w:r w:rsidRPr="00D6033B">
        <w:rPr>
          <w:rFonts w:ascii="Palatino Linotype" w:eastAsia="Palatino Linotype" w:hAnsi="Palatino Linotype" w:cs="Palatino Linotype"/>
          <w:i/>
        </w:rPr>
        <w:t xml:space="preserve"> Los informes que rinden anualmente a la Legislatura, el Gobernador y los Presidentes Municipales, respecto de los resultados y la situación financiera del ejercicio fiscal inmediato anterior según corresponda;</w:t>
      </w:r>
    </w:p>
    <w:p w14:paraId="69B0B5E9" w14:textId="77777777" w:rsidR="00C91C7B" w:rsidRPr="00D6033B" w:rsidRDefault="00EA1F68" w:rsidP="00EA1F68">
      <w:pPr>
        <w:tabs>
          <w:tab w:val="left" w:pos="2595"/>
        </w:tabs>
        <w:spacing w:line="276" w:lineRule="auto"/>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r w:rsidR="009B45E6" w:rsidRPr="00D6033B">
        <w:rPr>
          <w:rFonts w:ascii="Palatino Linotype" w:eastAsia="Palatino Linotype" w:hAnsi="Palatino Linotype" w:cs="Palatino Linotype"/>
          <w:i/>
        </w:rPr>
        <w:tab/>
      </w:r>
    </w:p>
    <w:p w14:paraId="3B3F918C" w14:textId="77777777" w:rsidR="00C91C7B" w:rsidRPr="00D6033B" w:rsidRDefault="009B45E6" w:rsidP="00EA1F68">
      <w:pPr>
        <w:spacing w:line="276" w:lineRule="auto"/>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b/>
          <w:i/>
        </w:rPr>
        <w:t>XI. Informe Trimestral</w:t>
      </w:r>
      <w:r w:rsidRPr="00D6033B">
        <w:rPr>
          <w:rFonts w:ascii="Palatino Linotype" w:eastAsia="Palatino Linotype" w:hAnsi="Palatino Linotype" w:cs="Palatino Linotype"/>
          <w:i/>
        </w:rPr>
        <w:t>: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10BF82E7" w14:textId="77777777" w:rsidR="00C91C7B" w:rsidRPr="00D6033B" w:rsidRDefault="00C91C7B">
      <w:pPr>
        <w:ind w:left="708"/>
        <w:jc w:val="both"/>
        <w:rPr>
          <w:rFonts w:ascii="Palatino Linotype" w:eastAsia="Palatino Linotype" w:hAnsi="Palatino Linotype" w:cs="Palatino Linotype"/>
          <w:i/>
        </w:rPr>
      </w:pPr>
    </w:p>
    <w:p w14:paraId="1E0D7FA2"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De lo anterior, se advierte que el Sujeto Obligado, cuenta con la competencia para regular los actos relativos a la planeación, programación, presupuestación, ejecución y control de la adquisición y arrendamiento de bienes, así como la contratación de servicios de cualquier naturaleza; para tales efectos, se auxilia de los comités de arrendamientos y de adquisiciones de inmuebles y enajenaciones, quienes, entre otras funciones, emiten los dictámenes correspondientes a la adjudicación, debiendo levantar para cada procedimiento adquisitivo el acta respectiva.</w:t>
      </w:r>
    </w:p>
    <w:p w14:paraId="06E627AC"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468C9F57" w14:textId="77777777" w:rsidR="00C91C7B" w:rsidRPr="00D6033B" w:rsidRDefault="009B45E6">
      <w:pPr>
        <w:spacing w:after="0"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color w:val="000000"/>
          <w:sz w:val="24"/>
          <w:szCs w:val="24"/>
        </w:rPr>
        <w:t>Por su parte la Ley de Contratación Pública del Estado de México y Municipios, establece que los ayuntamientos deberán programar sus adquisiciones, arrendamientos y servicios, tal como refiere en sus artículos:</w:t>
      </w:r>
    </w:p>
    <w:p w14:paraId="1BC9ACBE" w14:textId="77777777" w:rsidR="00C91C7B" w:rsidRPr="00D6033B" w:rsidRDefault="009B45E6">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b/>
          <w:i/>
          <w:color w:val="000000"/>
        </w:rPr>
        <w:t>Artículo 10.-</w:t>
      </w:r>
      <w:r w:rsidRPr="00D6033B">
        <w:rPr>
          <w:rFonts w:ascii="Palatino Linotype" w:eastAsia="Palatino Linotype" w:hAnsi="Palatino Linotype" w:cs="Palatino Linotype"/>
          <w:i/>
          <w:color w:val="000000"/>
        </w:rPr>
        <w:t xml:space="preserve"> Las dependencias, entidades, ayuntamientos y tribunales administrativos deberán programar sus adquisiciones, arrendamientos y servicios, tomando en consideración, según corresponda, lo siguiente: </w:t>
      </w:r>
    </w:p>
    <w:p w14:paraId="22F4AA3A" w14:textId="77777777" w:rsidR="00C91C7B" w:rsidRPr="00D6033B" w:rsidRDefault="009B45E6">
      <w:pPr>
        <w:numPr>
          <w:ilvl w:val="0"/>
          <w:numId w:val="4"/>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lastRenderedPageBreak/>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14:paraId="1F332533" w14:textId="77777777" w:rsidR="00C91C7B" w:rsidRPr="00D6033B" w:rsidRDefault="009B45E6">
      <w:pPr>
        <w:numPr>
          <w:ilvl w:val="0"/>
          <w:numId w:val="4"/>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 xml:space="preserve">Los objetivos, estrategias y líneas de acción establecidos en los planes de desarrollo municipal. </w:t>
      </w:r>
    </w:p>
    <w:p w14:paraId="0826DCDD" w14:textId="77777777" w:rsidR="00C91C7B" w:rsidRPr="00D6033B" w:rsidRDefault="009B45E6">
      <w:pPr>
        <w:numPr>
          <w:ilvl w:val="0"/>
          <w:numId w:val="4"/>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14:paraId="55F3BAC3" w14:textId="77777777" w:rsidR="00C91C7B" w:rsidRPr="00D6033B" w:rsidRDefault="009B45E6">
      <w:pPr>
        <w:numPr>
          <w:ilvl w:val="0"/>
          <w:numId w:val="4"/>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Las medidas que en materia de austeridad señale el Presupuesto de Egresos respectivo.</w:t>
      </w:r>
    </w:p>
    <w:p w14:paraId="0250B8B0" w14:textId="77777777" w:rsidR="00C91C7B" w:rsidRPr="00D6033B" w:rsidRDefault="009B45E6">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b/>
          <w:i/>
          <w:color w:val="000000"/>
        </w:rPr>
        <w:t>Artículo 11.-</w:t>
      </w:r>
      <w:r w:rsidRPr="00D6033B">
        <w:rPr>
          <w:rFonts w:ascii="Palatino Linotype" w:eastAsia="Palatino Linotype" w:hAnsi="Palatino Linotype" w:cs="Palatino Linotype"/>
          <w:i/>
          <w:color w:val="000000"/>
        </w:rPr>
        <w:t xml:space="preserve"> Las dependencias, entidades, ayuntamientos y tribunales administrativos, al formular sus programas anuales de adquisiciones, arrendamientos y servicios, además de lo establecido en otras disposiciones legales, deberán observar lo siguiente:  </w:t>
      </w:r>
    </w:p>
    <w:p w14:paraId="6DC9F65A" w14:textId="77777777" w:rsidR="00C91C7B" w:rsidRPr="00D6033B" w:rsidRDefault="009B45E6">
      <w:pPr>
        <w:numPr>
          <w:ilvl w:val="0"/>
          <w:numId w:val="5"/>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Los bienes, arrendamientos y servicios que solucionen de manera adecuada sus necesidades de operación.</w:t>
      </w:r>
    </w:p>
    <w:p w14:paraId="77FCC04C" w14:textId="77777777" w:rsidR="00C91C7B" w:rsidRPr="00D6033B" w:rsidRDefault="009B45E6">
      <w:pPr>
        <w:numPr>
          <w:ilvl w:val="0"/>
          <w:numId w:val="5"/>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 xml:space="preserve">Los recursos financieros y materiales, y los servicios con los que se cuente. </w:t>
      </w:r>
    </w:p>
    <w:p w14:paraId="366A2037" w14:textId="77777777" w:rsidR="00C91C7B" w:rsidRPr="00D6033B" w:rsidRDefault="009B45E6">
      <w:pPr>
        <w:numPr>
          <w:ilvl w:val="0"/>
          <w:numId w:val="5"/>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 xml:space="preserve">Los plazos estimados en los que se requerirán los bienes, arrendamientos y servicios. </w:t>
      </w:r>
    </w:p>
    <w:p w14:paraId="2062BA85" w14:textId="77777777" w:rsidR="00C91C7B" w:rsidRPr="00D6033B" w:rsidRDefault="009B45E6">
      <w:pPr>
        <w:numPr>
          <w:ilvl w:val="0"/>
          <w:numId w:val="5"/>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 xml:space="preserve">Las políticas y normas administrativas que establezcan la Oficialía Mayor y los ayuntamientos, en su caso, para optimizar las adquisiciones, arrendamientos y servicios. </w:t>
      </w:r>
    </w:p>
    <w:p w14:paraId="069A404F" w14:textId="77777777" w:rsidR="00C91C7B" w:rsidRPr="00D6033B" w:rsidRDefault="009B45E6">
      <w:pPr>
        <w:numPr>
          <w:ilvl w:val="0"/>
          <w:numId w:val="5"/>
        </w:numPr>
        <w:pBdr>
          <w:top w:val="nil"/>
          <w:left w:val="nil"/>
          <w:bottom w:val="nil"/>
          <w:right w:val="nil"/>
          <w:between w:val="nil"/>
        </w:pBdr>
        <w:spacing w:before="240" w:line="276" w:lineRule="auto"/>
        <w:ind w:right="851"/>
        <w:jc w:val="both"/>
      </w:pPr>
      <w:r w:rsidRPr="00D6033B">
        <w:rPr>
          <w:rFonts w:ascii="Palatino Linotype" w:eastAsia="Palatino Linotype" w:hAnsi="Palatino Linotype" w:cs="Palatino Linotype"/>
          <w:i/>
          <w:color w:val="000000"/>
        </w:rPr>
        <w:t xml:space="preserve">Las demás previsiones que sean necesarias para la adecuada planeación, operación y ejecución de los programas y acciones correspondientes. </w:t>
      </w:r>
    </w:p>
    <w:p w14:paraId="66A1CED2"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68882A00"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lastRenderedPageBreak/>
        <w:t>Las dependencias, entidades estatales, ayuntamientos y tribunales administrativos, formularán sus programas de adquisiciones, arrendamientos y servicios, simultáneamente con sus programas anuales y proyectos de presupuestos de egresos</w:t>
      </w:r>
      <w:r w:rsidRPr="00D6033B">
        <w:t>.</w:t>
      </w:r>
    </w:p>
    <w:p w14:paraId="4AC0286D" w14:textId="77777777" w:rsidR="00C91C7B" w:rsidRPr="00D6033B" w:rsidRDefault="00C91C7B">
      <w:pPr>
        <w:jc w:val="both"/>
        <w:rPr>
          <w:rFonts w:ascii="Palatino Linotype" w:eastAsia="Palatino Linotype" w:hAnsi="Palatino Linotype" w:cs="Palatino Linotype"/>
          <w:sz w:val="24"/>
          <w:szCs w:val="24"/>
        </w:rPr>
      </w:pPr>
    </w:p>
    <w:p w14:paraId="48DBC30D"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De lo anterior la Ley de Transparencia en su numeral 92 en su fracción XXIX establece como obligación de transparencia común la información sobre los procesos y resultados de procedimientos de adjudicación directa, invitación restringida y licitación de cualquier naturaleza, en los términos siguientes; </w:t>
      </w:r>
    </w:p>
    <w:p w14:paraId="31D6A151" w14:textId="77777777" w:rsidR="00C91C7B" w:rsidRPr="00D6033B" w:rsidRDefault="009B45E6">
      <w:pPr>
        <w:ind w:left="416"/>
        <w:jc w:val="center"/>
        <w:rPr>
          <w:rFonts w:ascii="Palatino Linotype" w:eastAsia="Palatino Linotype" w:hAnsi="Palatino Linotype" w:cs="Palatino Linotype"/>
          <w:b/>
          <w:i/>
        </w:rPr>
      </w:pPr>
      <w:r w:rsidRPr="00D6033B">
        <w:rPr>
          <w:rFonts w:ascii="Palatino Linotype" w:eastAsia="Palatino Linotype" w:hAnsi="Palatino Linotype" w:cs="Palatino Linotype"/>
          <w:b/>
          <w:i/>
        </w:rPr>
        <w:t>Capítulo II De las Obligaciones de Transparencia Comunes</w:t>
      </w:r>
    </w:p>
    <w:p w14:paraId="11F760DE"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Artículo 92.</w:t>
      </w:r>
      <w:r w:rsidRPr="00D6033B">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A4BE037" w14:textId="77777777" w:rsidR="00C91C7B" w:rsidRPr="00D6033B" w:rsidRDefault="00C91C7B">
      <w:pPr>
        <w:jc w:val="both"/>
        <w:rPr>
          <w:rFonts w:ascii="Palatino Linotype" w:eastAsia="Palatino Linotype" w:hAnsi="Palatino Linotype" w:cs="Palatino Linotype"/>
        </w:rPr>
      </w:pPr>
    </w:p>
    <w:p w14:paraId="2BE58755"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b/>
          <w:i/>
        </w:rPr>
        <w:t>XXIX.</w:t>
      </w:r>
      <w:r w:rsidRPr="00D6033B">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w:t>
      </w:r>
      <w:r w:rsidRPr="00D6033B">
        <w:rPr>
          <w:rFonts w:ascii="Palatino Linotype" w:eastAsia="Palatino Linotype" w:hAnsi="Palatino Linotype" w:cs="Palatino Linotype"/>
          <w:b/>
          <w:i/>
          <w:u w:val="single"/>
        </w:rPr>
        <w:t>de los contratos celebrados</w:t>
      </w:r>
      <w:r w:rsidRPr="00D6033B">
        <w:rPr>
          <w:rFonts w:ascii="Palatino Linotype" w:eastAsia="Palatino Linotype" w:hAnsi="Palatino Linotype" w:cs="Palatino Linotype"/>
          <w:i/>
        </w:rPr>
        <w:t>, que deberán contener, por los menos, lo siguiente:</w:t>
      </w:r>
    </w:p>
    <w:p w14:paraId="1F858A31" w14:textId="77777777" w:rsidR="00C91C7B" w:rsidRPr="00D6033B" w:rsidRDefault="00C91C7B">
      <w:pPr>
        <w:jc w:val="both"/>
        <w:rPr>
          <w:rFonts w:ascii="Palatino Linotype" w:eastAsia="Palatino Linotype" w:hAnsi="Palatino Linotype" w:cs="Palatino Linotype"/>
          <w:i/>
        </w:rPr>
      </w:pPr>
    </w:p>
    <w:p w14:paraId="61134A1F" w14:textId="77777777" w:rsidR="00C91C7B" w:rsidRPr="00D6033B" w:rsidRDefault="009B45E6">
      <w:pPr>
        <w:ind w:left="416"/>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a) De licitaciones públicas o procedimientos de invitación restringida: </w:t>
      </w:r>
    </w:p>
    <w:p w14:paraId="3C0F7CAD"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1) La convocatoria o invitación emitida, así como los fundamentos legales aplicados para llevarla a cabo; </w:t>
      </w:r>
    </w:p>
    <w:p w14:paraId="392EC487"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2) Los nombres de los participantes o invitados; </w:t>
      </w:r>
    </w:p>
    <w:p w14:paraId="5236340D"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3) El nombre del ganador y las razones que lo justifican; </w:t>
      </w:r>
    </w:p>
    <w:p w14:paraId="0477BBBB"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4) El área solicitante y la responsable de su ejecución; </w:t>
      </w:r>
    </w:p>
    <w:p w14:paraId="0069A2B8"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5) Las convocatorias e invitaciones emitidas; </w:t>
      </w:r>
    </w:p>
    <w:p w14:paraId="6F941FA4" w14:textId="77777777" w:rsidR="00C91C7B" w:rsidRPr="00D6033B" w:rsidRDefault="009B45E6">
      <w:pPr>
        <w:ind w:left="708"/>
        <w:jc w:val="both"/>
      </w:pPr>
      <w:r w:rsidRPr="00D6033B">
        <w:rPr>
          <w:rFonts w:ascii="Palatino Linotype" w:eastAsia="Palatino Linotype" w:hAnsi="Palatino Linotype" w:cs="Palatino Linotype"/>
          <w:i/>
        </w:rPr>
        <w:lastRenderedPageBreak/>
        <w:t>6) Los dictámenes y fallo de adjudicación;</w:t>
      </w:r>
      <w:r w:rsidRPr="00D6033B">
        <w:t xml:space="preserve"> </w:t>
      </w:r>
    </w:p>
    <w:p w14:paraId="208EDCA1"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7) </w:t>
      </w:r>
      <w:r w:rsidRPr="00D6033B">
        <w:rPr>
          <w:rFonts w:ascii="Palatino Linotype" w:eastAsia="Palatino Linotype" w:hAnsi="Palatino Linotype" w:cs="Palatino Linotype"/>
          <w:b/>
          <w:i/>
          <w:u w:val="single"/>
        </w:rPr>
        <w:t>El contrato y, en su caso, sus anexos</w:t>
      </w:r>
      <w:r w:rsidRPr="00D6033B">
        <w:rPr>
          <w:rFonts w:ascii="Palatino Linotype" w:eastAsia="Palatino Linotype" w:hAnsi="Palatino Linotype" w:cs="Palatino Linotype"/>
          <w:i/>
        </w:rPr>
        <w:t>;</w:t>
      </w:r>
    </w:p>
    <w:p w14:paraId="23B2CCB4"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14:paraId="1D63E26B"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9) La partida presupuestal, de conformidad con el clasificador por objeto del gasto, en el caso de ser aplicable; </w:t>
      </w:r>
    </w:p>
    <w:p w14:paraId="1BF1F239"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2BE635E5"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11) Los convenios modificatorios que, en su caso, sean firmados, precisando el objeto y la fecha de celebración; </w:t>
      </w:r>
    </w:p>
    <w:p w14:paraId="39AE6D15"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12) Los informes de avance físico y financiero sobre las obras o servicios contratados; </w:t>
      </w:r>
    </w:p>
    <w:p w14:paraId="739B7EC4"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13) El convenio de terminación; y </w:t>
      </w:r>
    </w:p>
    <w:p w14:paraId="2F5B11A0" w14:textId="77777777" w:rsidR="00C91C7B" w:rsidRPr="00D6033B" w:rsidRDefault="009B45E6">
      <w:pPr>
        <w:ind w:left="708"/>
        <w:jc w:val="both"/>
        <w:rPr>
          <w:rFonts w:ascii="Palatino Linotype" w:eastAsia="Palatino Linotype" w:hAnsi="Palatino Linotype" w:cs="Palatino Linotype"/>
          <w:i/>
        </w:rPr>
      </w:pPr>
      <w:r w:rsidRPr="00D6033B">
        <w:rPr>
          <w:rFonts w:ascii="Palatino Linotype" w:eastAsia="Palatino Linotype" w:hAnsi="Palatino Linotype" w:cs="Palatino Linotype"/>
          <w:i/>
        </w:rPr>
        <w:t>14) El finiquito</w:t>
      </w:r>
      <w:r w:rsidRPr="00D6033B">
        <w:t>.</w:t>
      </w:r>
    </w:p>
    <w:p w14:paraId="53BFFAAB" w14:textId="77777777" w:rsidR="00C91C7B" w:rsidRPr="00D6033B" w:rsidRDefault="009B45E6">
      <w:pPr>
        <w:ind w:firstLine="416"/>
        <w:jc w:val="both"/>
        <w:rPr>
          <w:rFonts w:ascii="Palatino Linotype" w:eastAsia="Palatino Linotype" w:hAnsi="Palatino Linotype" w:cs="Palatino Linotype"/>
          <w:i/>
        </w:rPr>
      </w:pPr>
      <w:r w:rsidRPr="00D6033B">
        <w:rPr>
          <w:rFonts w:ascii="Palatino Linotype" w:eastAsia="Palatino Linotype" w:hAnsi="Palatino Linotype" w:cs="Palatino Linotype"/>
          <w:i/>
        </w:rPr>
        <w:t>b) De las adjudicaciones directas:</w:t>
      </w:r>
    </w:p>
    <w:p w14:paraId="07006045" w14:textId="77777777" w:rsidR="00C91C7B" w:rsidRPr="00D6033B" w:rsidRDefault="009B45E6">
      <w:pPr>
        <w:ind w:left="416" w:firstLine="284"/>
        <w:jc w:val="both"/>
        <w:rPr>
          <w:rFonts w:ascii="Palatino Linotype" w:eastAsia="Palatino Linotype" w:hAnsi="Palatino Linotype" w:cs="Palatino Linotype"/>
          <w:i/>
        </w:rPr>
      </w:pPr>
      <w:r w:rsidRPr="00D6033B">
        <w:rPr>
          <w:rFonts w:ascii="Palatino Linotype" w:eastAsia="Palatino Linotype" w:hAnsi="Palatino Linotype" w:cs="Palatino Linotype"/>
          <w:i/>
        </w:rPr>
        <w:t>1) La propuesta enviada por el participante;</w:t>
      </w:r>
    </w:p>
    <w:p w14:paraId="3479EAFE" w14:textId="77777777" w:rsidR="00C91C7B" w:rsidRPr="00D6033B" w:rsidRDefault="009B45E6">
      <w:pPr>
        <w:ind w:left="416" w:firstLine="284"/>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 2) Los motivos y fundamentos legales aplicados para llevarla a cabo; </w:t>
      </w:r>
    </w:p>
    <w:p w14:paraId="4438E764" w14:textId="77777777" w:rsidR="00C91C7B" w:rsidRPr="00D6033B" w:rsidRDefault="009B45E6">
      <w:pPr>
        <w:ind w:left="416" w:firstLine="284"/>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3) La autorización del ejercicio de la opción; </w:t>
      </w:r>
    </w:p>
    <w:p w14:paraId="5611CE5A" w14:textId="77777777" w:rsidR="00C91C7B" w:rsidRPr="00D6033B" w:rsidRDefault="009B45E6">
      <w:pPr>
        <w:ind w:left="701"/>
        <w:jc w:val="both"/>
        <w:rPr>
          <w:rFonts w:ascii="Palatino Linotype" w:eastAsia="Palatino Linotype" w:hAnsi="Palatino Linotype" w:cs="Palatino Linotype"/>
          <w:i/>
        </w:rPr>
      </w:pPr>
      <w:r w:rsidRPr="00D6033B">
        <w:rPr>
          <w:rFonts w:ascii="Palatino Linotype" w:eastAsia="Palatino Linotype" w:hAnsi="Palatino Linotype" w:cs="Palatino Linotype"/>
          <w:i/>
        </w:rPr>
        <w:t>4) En su caso, las cotizaciones consideradas, especificando los nombres de los proveedores y sus montos;</w:t>
      </w:r>
    </w:p>
    <w:p w14:paraId="04264989" w14:textId="77777777" w:rsidR="00C91C7B" w:rsidRPr="00D6033B" w:rsidRDefault="009B45E6">
      <w:pPr>
        <w:ind w:left="416" w:firstLine="284"/>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 5) El nombre de la persona física o jurídica colectiva adjudicada; </w:t>
      </w:r>
    </w:p>
    <w:p w14:paraId="4BDFC364" w14:textId="77777777" w:rsidR="00C91C7B" w:rsidRPr="00D6033B" w:rsidRDefault="009B45E6">
      <w:pPr>
        <w:ind w:left="416" w:firstLine="284"/>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6) La unidad administrativa solicitante y la responsable de su ejecución; </w:t>
      </w:r>
    </w:p>
    <w:p w14:paraId="6257BD20" w14:textId="77777777" w:rsidR="00C91C7B" w:rsidRPr="00D6033B" w:rsidRDefault="009B45E6">
      <w:pPr>
        <w:ind w:left="701"/>
        <w:jc w:val="both"/>
        <w:rPr>
          <w:rFonts w:ascii="Palatino Linotype" w:eastAsia="Palatino Linotype" w:hAnsi="Palatino Linotype" w:cs="Palatino Linotype"/>
          <w:b/>
          <w:i/>
        </w:rPr>
      </w:pPr>
      <w:r w:rsidRPr="00D6033B">
        <w:rPr>
          <w:rFonts w:ascii="Palatino Linotype" w:eastAsia="Palatino Linotype" w:hAnsi="Palatino Linotype" w:cs="Palatino Linotype"/>
          <w:i/>
        </w:rPr>
        <w:t xml:space="preserve">7) El número, fecha, el monto </w:t>
      </w:r>
      <w:r w:rsidRPr="00D6033B">
        <w:rPr>
          <w:rFonts w:ascii="Palatino Linotype" w:eastAsia="Palatino Linotype" w:hAnsi="Palatino Linotype" w:cs="Palatino Linotype"/>
          <w:b/>
          <w:i/>
        </w:rPr>
        <w:t xml:space="preserve">del contrato y el plazo de entrega o de ejecución de los servicios u obra; </w:t>
      </w:r>
    </w:p>
    <w:p w14:paraId="5AFF60BF" w14:textId="77777777" w:rsidR="00C91C7B" w:rsidRPr="00D6033B" w:rsidRDefault="009B45E6">
      <w:pPr>
        <w:ind w:left="701"/>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122F5D5A" w14:textId="77777777" w:rsidR="00C91C7B" w:rsidRPr="00D6033B" w:rsidRDefault="009B45E6">
      <w:pPr>
        <w:ind w:left="701"/>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9) Los informes de avance sobre las obras o servicios contratados; </w:t>
      </w:r>
    </w:p>
    <w:p w14:paraId="3E1CF0A1" w14:textId="77777777" w:rsidR="00C91C7B" w:rsidRPr="00D6033B" w:rsidRDefault="009B45E6">
      <w:pPr>
        <w:ind w:left="701"/>
        <w:jc w:val="both"/>
        <w:rPr>
          <w:rFonts w:ascii="Palatino Linotype" w:eastAsia="Palatino Linotype" w:hAnsi="Palatino Linotype" w:cs="Palatino Linotype"/>
          <w:i/>
        </w:rPr>
      </w:pPr>
      <w:r w:rsidRPr="00D6033B">
        <w:rPr>
          <w:rFonts w:ascii="Palatino Linotype" w:eastAsia="Palatino Linotype" w:hAnsi="Palatino Linotype" w:cs="Palatino Linotype"/>
          <w:i/>
        </w:rPr>
        <w:lastRenderedPageBreak/>
        <w:t xml:space="preserve">10) El convenio de terminación; y </w:t>
      </w:r>
    </w:p>
    <w:p w14:paraId="77482D65" w14:textId="77777777" w:rsidR="00C91C7B" w:rsidRPr="00D6033B" w:rsidRDefault="009B45E6">
      <w:pPr>
        <w:ind w:left="701"/>
        <w:jc w:val="both"/>
        <w:rPr>
          <w:rFonts w:ascii="Palatino Linotype" w:eastAsia="Palatino Linotype" w:hAnsi="Palatino Linotype" w:cs="Palatino Linotype"/>
          <w:i/>
        </w:rPr>
      </w:pPr>
      <w:r w:rsidRPr="00D6033B">
        <w:rPr>
          <w:rFonts w:ascii="Palatino Linotype" w:eastAsia="Palatino Linotype" w:hAnsi="Palatino Linotype" w:cs="Palatino Linotype"/>
          <w:i/>
        </w:rPr>
        <w:t>11) El finiquito</w:t>
      </w:r>
    </w:p>
    <w:p w14:paraId="270284E3"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661F676C" w14:textId="4E3FE199" w:rsidR="00EA1F68"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Aunado a ello, los documentos a los que el Recurrente pretende acceder son contratos por naturaleza pública y que además constan en documentos definitivos que no se van a modificar. Es decir, soportes documentales cuyo contenido de forma y fondo no es susceptible de variar por razón alguna.</w:t>
      </w:r>
      <w:r w:rsidR="00A82EB6" w:rsidRPr="00D6033B">
        <w:rPr>
          <w:rFonts w:ascii="Palatino Linotype" w:eastAsia="Palatino Linotype" w:hAnsi="Palatino Linotype" w:cs="Palatino Linotype"/>
          <w:sz w:val="24"/>
          <w:szCs w:val="24"/>
        </w:rPr>
        <w:t xml:space="preserve"> </w:t>
      </w:r>
      <w:r w:rsidRPr="00D6033B">
        <w:rPr>
          <w:rFonts w:ascii="Palatino Linotype" w:eastAsia="Palatino Linotype" w:hAnsi="Palatino Linotype" w:cs="Palatino Linotype"/>
          <w:sz w:val="24"/>
          <w:szCs w:val="24"/>
        </w:rPr>
        <w:t>Por lo que resulta prudente tomar en consideración lo plasmado en el criterio 09/2004 emitido por la Suprema Corte de Justicia de la Nación, cuya literalidad es la siguiente:</w:t>
      </w:r>
    </w:p>
    <w:p w14:paraId="5DCF914B" w14:textId="77777777" w:rsidR="00C91C7B" w:rsidRPr="00D6033B" w:rsidRDefault="009B45E6">
      <w:pPr>
        <w:tabs>
          <w:tab w:val="left" w:pos="4962"/>
        </w:tabs>
        <w:spacing w:line="360" w:lineRule="auto"/>
        <w:ind w:left="567" w:right="539"/>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r w:rsidRPr="00D6033B">
        <w:rPr>
          <w:rFonts w:ascii="Palatino Linotype" w:eastAsia="Palatino Linotype" w:hAnsi="Palatino Linotype" w:cs="Palatino Linotype"/>
          <w:b/>
          <w:i/>
        </w:rPr>
        <w:t>INFORMACIÓN SUJETA A REVISIÓN. SI YA CONSTA EN UN DOCUMENTO DEFINITIVO, DEBE PERMITIRSE EL ACCESO A ÉSTE</w:t>
      </w:r>
      <w:r w:rsidRPr="00D6033B">
        <w:rPr>
          <w:rFonts w:ascii="Palatino Linotype" w:eastAsia="Palatino Linotype" w:hAnsi="Palatino Linotype" w:cs="Palatino Linotype"/>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7F05DC22" w14:textId="77777777" w:rsidR="00C91C7B" w:rsidRPr="00D6033B" w:rsidRDefault="009B45E6">
      <w:pPr>
        <w:tabs>
          <w:tab w:val="left" w:pos="4962"/>
        </w:tabs>
        <w:spacing w:line="360" w:lineRule="auto"/>
        <w:ind w:left="567" w:right="539"/>
        <w:jc w:val="both"/>
        <w:rPr>
          <w:rFonts w:ascii="Palatino Linotype" w:eastAsia="Palatino Linotype" w:hAnsi="Palatino Linotype" w:cs="Palatino Linotype"/>
          <w:i/>
        </w:rPr>
      </w:pPr>
      <w:r w:rsidRPr="00D6033B">
        <w:rPr>
          <w:rFonts w:ascii="Palatino Linotype" w:eastAsia="Palatino Linotype" w:hAnsi="Palatino Linotype" w:cs="Palatino Linotype"/>
          <w:i/>
        </w:rPr>
        <w:t>Clasificación de la información 10/2004-J, 19 de mayo de 2004.</w:t>
      </w:r>
    </w:p>
    <w:p w14:paraId="1EDB0827" w14:textId="77777777" w:rsidR="00C91C7B" w:rsidRPr="00D6033B" w:rsidRDefault="009B45E6">
      <w:pPr>
        <w:tabs>
          <w:tab w:val="left" w:pos="4962"/>
        </w:tabs>
        <w:spacing w:line="360" w:lineRule="auto"/>
        <w:ind w:left="567" w:right="539"/>
        <w:jc w:val="both"/>
        <w:rPr>
          <w:rFonts w:ascii="Palatino Linotype" w:eastAsia="Palatino Linotype" w:hAnsi="Palatino Linotype" w:cs="Palatino Linotype"/>
          <w:i/>
        </w:rPr>
      </w:pPr>
      <w:r w:rsidRPr="00D6033B">
        <w:rPr>
          <w:rFonts w:ascii="Palatino Linotype" w:eastAsia="Palatino Linotype" w:hAnsi="Palatino Linotype" w:cs="Palatino Linotype"/>
          <w:i/>
        </w:rPr>
        <w:t>Unanimidad de votos"</w:t>
      </w:r>
    </w:p>
    <w:p w14:paraId="53D48720" w14:textId="77777777" w:rsidR="00A82EB6" w:rsidRPr="00D6033B" w:rsidRDefault="00A82EB6">
      <w:pPr>
        <w:tabs>
          <w:tab w:val="left" w:pos="4962"/>
        </w:tabs>
        <w:spacing w:line="360" w:lineRule="auto"/>
        <w:ind w:right="539"/>
        <w:jc w:val="both"/>
        <w:rPr>
          <w:rFonts w:ascii="Palatino Linotype" w:eastAsia="Palatino Linotype" w:hAnsi="Palatino Linotype" w:cs="Palatino Linotype"/>
          <w:sz w:val="24"/>
          <w:szCs w:val="24"/>
        </w:rPr>
      </w:pPr>
    </w:p>
    <w:p w14:paraId="1B50B0FE" w14:textId="77777777" w:rsidR="00C91C7B" w:rsidRPr="00D6033B" w:rsidRDefault="009B45E6">
      <w:pPr>
        <w:spacing w:line="360" w:lineRule="auto"/>
        <w:jc w:val="both"/>
        <w:rPr>
          <w:rFonts w:ascii="Palatino Linotype" w:eastAsia="Palatino Linotype" w:hAnsi="Palatino Linotype" w:cs="Palatino Linotype"/>
        </w:rPr>
      </w:pPr>
      <w:r w:rsidRPr="00D6033B">
        <w:rPr>
          <w:rFonts w:ascii="Palatino Linotype" w:eastAsia="Palatino Linotype" w:hAnsi="Palatino Linotype" w:cs="Palatino Linotype"/>
          <w:sz w:val="24"/>
          <w:szCs w:val="24"/>
        </w:rPr>
        <w:lastRenderedPageBreak/>
        <w:t xml:space="preserve">Por su parte, el artículo 8 de la Ley de Fiscalización Superior del Estado de México, señala que dentro de las atribuciones con las que cuenta el Órgano Superior de Fiscalización, está la de 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revisar las cuentas públicas de las entidades fiscalizables y entregar a la Legislatura, a través de la Comisión, el informe de resultados y los informes de auditorías que correspondan, requerir a las entidades fiscalizables la información, documentos físicos y/o electrónicos necesarios para los actos de fiscalización, así como, solicitar a otras autoridades el auxilio o colaboración para el cumplimiento de sus atribuciones. </w:t>
      </w:r>
    </w:p>
    <w:p w14:paraId="01A2B600"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5A2CDA8A" w14:textId="2F0972DB"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En razón de lo </w:t>
      </w:r>
      <w:r w:rsidR="006D07D6" w:rsidRPr="00D6033B">
        <w:rPr>
          <w:rFonts w:ascii="Palatino Linotype" w:eastAsia="Palatino Linotype" w:hAnsi="Palatino Linotype" w:cs="Palatino Linotype"/>
          <w:sz w:val="24"/>
          <w:szCs w:val="24"/>
        </w:rPr>
        <w:t>anterior, es</w:t>
      </w:r>
      <w:r w:rsidRPr="00D6033B">
        <w:rPr>
          <w:rFonts w:ascii="Palatino Linotype" w:eastAsia="Palatino Linotype" w:hAnsi="Palatino Linotype" w:cs="Palatino Linotype"/>
          <w:sz w:val="24"/>
          <w:szCs w:val="24"/>
        </w:rPr>
        <w:t xml:space="preserve"> de considerarse que el Sujeto Obligado </w:t>
      </w:r>
      <w:r w:rsidR="00855EC0" w:rsidRPr="00D6033B">
        <w:rPr>
          <w:rFonts w:ascii="Palatino Linotype" w:eastAsia="Palatino Linotype" w:hAnsi="Palatino Linotype" w:cs="Palatino Linotype"/>
          <w:sz w:val="24"/>
          <w:szCs w:val="24"/>
        </w:rPr>
        <w:t xml:space="preserve">manifestó </w:t>
      </w:r>
      <w:r w:rsidRPr="00D6033B">
        <w:rPr>
          <w:rFonts w:ascii="Palatino Linotype" w:eastAsia="Palatino Linotype" w:hAnsi="Palatino Linotype" w:cs="Palatino Linotype"/>
          <w:sz w:val="24"/>
          <w:szCs w:val="24"/>
        </w:rPr>
        <w:t xml:space="preserve">contar con el soporte documental requerido por el Recurrente como lo </w:t>
      </w:r>
      <w:r w:rsidR="00E77C78" w:rsidRPr="00D6033B">
        <w:rPr>
          <w:rFonts w:ascii="Palatino Linotype" w:eastAsia="Palatino Linotype" w:hAnsi="Palatino Linotype" w:cs="Palatino Linotype"/>
          <w:sz w:val="24"/>
          <w:szCs w:val="24"/>
        </w:rPr>
        <w:t xml:space="preserve">es los contratos de servicios de los despachos de la persona referida en solicitud, </w:t>
      </w:r>
      <w:r w:rsidRPr="00D6033B">
        <w:rPr>
          <w:rFonts w:ascii="Palatino Linotype" w:eastAsia="Palatino Linotype" w:hAnsi="Palatino Linotype" w:cs="Palatino Linotype"/>
          <w:b/>
          <w:sz w:val="24"/>
          <w:szCs w:val="24"/>
        </w:rPr>
        <w:t>si</w:t>
      </w:r>
      <w:r w:rsidR="00E77C78" w:rsidRPr="00D6033B">
        <w:rPr>
          <w:rFonts w:ascii="Palatino Linotype" w:eastAsia="Palatino Linotype" w:hAnsi="Palatino Linotype" w:cs="Palatino Linotype"/>
          <w:b/>
          <w:sz w:val="24"/>
          <w:szCs w:val="24"/>
        </w:rPr>
        <w:t>n embargo fue omiso en anexarlo</w:t>
      </w:r>
      <w:r w:rsidRPr="00D6033B">
        <w:rPr>
          <w:rFonts w:ascii="Palatino Linotype" w:eastAsia="Palatino Linotype" w:hAnsi="Palatino Linotype" w:cs="Palatino Linotype"/>
          <w:sz w:val="24"/>
          <w:szCs w:val="24"/>
        </w:rPr>
        <w:t xml:space="preserve"> a su respuesta </w:t>
      </w:r>
      <w:r w:rsidR="00E77C78" w:rsidRPr="00D6033B">
        <w:rPr>
          <w:rFonts w:ascii="Palatino Linotype" w:eastAsia="Palatino Linotype" w:hAnsi="Palatino Linotype" w:cs="Palatino Linotype"/>
          <w:sz w:val="24"/>
          <w:szCs w:val="24"/>
        </w:rPr>
        <w:t>y durante la etapa de manifestaciones.</w:t>
      </w:r>
      <w:r w:rsidR="007A2DB6" w:rsidRPr="00D6033B">
        <w:rPr>
          <w:rFonts w:ascii="Palatino Linotype" w:eastAsia="Palatino Linotype" w:hAnsi="Palatino Linotype" w:cs="Palatino Linotype"/>
          <w:sz w:val="24"/>
          <w:szCs w:val="24"/>
        </w:rPr>
        <w:t xml:space="preserve"> Así como el requerimiento de información correspondiente a las “</w:t>
      </w:r>
      <w:r w:rsidR="007A2DB6" w:rsidRPr="00D6033B">
        <w:rPr>
          <w:rFonts w:ascii="Palatino Linotype" w:eastAsia="Palatino Linotype" w:hAnsi="Palatino Linotype" w:cs="Palatino Linotype"/>
          <w:i/>
          <w:sz w:val="24"/>
          <w:szCs w:val="24"/>
        </w:rPr>
        <w:t>facturas pagadas por año</w:t>
      </w:r>
      <w:r w:rsidR="007A2DB6" w:rsidRPr="00D6033B">
        <w:rPr>
          <w:rFonts w:ascii="Palatino Linotype" w:eastAsia="Palatino Linotype" w:hAnsi="Palatino Linotype" w:cs="Palatino Linotype"/>
          <w:sz w:val="24"/>
          <w:szCs w:val="24"/>
        </w:rPr>
        <w:t>”.</w:t>
      </w:r>
    </w:p>
    <w:p w14:paraId="05C8D759" w14:textId="77777777" w:rsidR="00E77C78" w:rsidRPr="00D6033B" w:rsidRDefault="00E77C78">
      <w:pPr>
        <w:spacing w:line="360" w:lineRule="auto"/>
        <w:jc w:val="both"/>
        <w:rPr>
          <w:rFonts w:ascii="Palatino Linotype" w:eastAsia="Palatino Linotype" w:hAnsi="Palatino Linotype" w:cs="Palatino Linotype"/>
          <w:sz w:val="24"/>
          <w:szCs w:val="24"/>
        </w:rPr>
      </w:pPr>
    </w:p>
    <w:p w14:paraId="04FA2FE7" w14:textId="77777777" w:rsidR="00F73F66" w:rsidRPr="00D6033B" w:rsidRDefault="00F73F66" w:rsidP="00EA1F68">
      <w:pPr>
        <w:spacing w:line="360" w:lineRule="auto"/>
        <w:ind w:right="49"/>
        <w:jc w:val="both"/>
        <w:rPr>
          <w:rFonts w:ascii="Palatino Linotype" w:eastAsia="Palatino Linotype" w:hAnsi="Palatino Linotype" w:cs="Palatino Linotype"/>
          <w:sz w:val="24"/>
          <w:szCs w:val="24"/>
          <w:lang w:eastAsia="es-ES"/>
        </w:rPr>
      </w:pPr>
      <w:r w:rsidRPr="00D6033B">
        <w:rPr>
          <w:rFonts w:ascii="Palatino Linotype" w:eastAsia="Palatino Linotype" w:hAnsi="Palatino Linotype" w:cs="Palatino Linotype"/>
          <w:sz w:val="24"/>
          <w:szCs w:val="24"/>
          <w:lang w:eastAsia="es-ES"/>
        </w:rPr>
        <w:t xml:space="preserve">Ahora bien, sobre la naturaleza de la información, es de mencionar que el particular peticionó las </w:t>
      </w:r>
      <w:r w:rsidRPr="00D6033B">
        <w:rPr>
          <w:rFonts w:ascii="Palatino Linotype" w:eastAsia="Palatino Linotype" w:hAnsi="Palatino Linotype" w:cs="Palatino Linotype"/>
          <w:b/>
          <w:sz w:val="24"/>
          <w:szCs w:val="24"/>
          <w:lang w:eastAsia="es-ES"/>
        </w:rPr>
        <w:t xml:space="preserve">facturas pagadas </w:t>
      </w:r>
      <w:r w:rsidRPr="00D6033B">
        <w:rPr>
          <w:rFonts w:ascii="Palatino Linotype" w:eastAsia="Palatino Linotype" w:hAnsi="Palatino Linotype" w:cs="Palatino Linotype"/>
          <w:sz w:val="24"/>
          <w:szCs w:val="24"/>
          <w:lang w:eastAsia="es-ES"/>
        </w:rPr>
        <w:t>por año</w:t>
      </w:r>
      <w:r w:rsidRPr="00D6033B">
        <w:rPr>
          <w:rFonts w:ascii="Palatino Linotype" w:eastAsia="Palatino Linotype" w:hAnsi="Palatino Linotype" w:cs="Palatino Linotype"/>
          <w:b/>
          <w:sz w:val="24"/>
          <w:szCs w:val="24"/>
          <w:lang w:eastAsia="es-ES"/>
        </w:rPr>
        <w:t xml:space="preserve"> </w:t>
      </w:r>
      <w:r w:rsidRPr="00D6033B">
        <w:rPr>
          <w:rFonts w:ascii="Palatino Linotype" w:hAnsi="Palatino Linotype"/>
          <w:color w:val="000000"/>
          <w:sz w:val="24"/>
          <w:szCs w:val="24"/>
        </w:rPr>
        <w:t>a la persona referida en solici</w:t>
      </w:r>
      <w:r w:rsidR="007A2DB6" w:rsidRPr="00D6033B">
        <w:rPr>
          <w:rFonts w:ascii="Palatino Linotype" w:hAnsi="Palatino Linotype"/>
          <w:color w:val="000000"/>
          <w:sz w:val="24"/>
          <w:szCs w:val="24"/>
        </w:rPr>
        <w:t>tud</w:t>
      </w:r>
      <w:r w:rsidRPr="00D6033B">
        <w:rPr>
          <w:rFonts w:ascii="Palatino Linotype" w:eastAsia="Palatino Linotype" w:hAnsi="Palatino Linotype" w:cs="Palatino Linotype"/>
          <w:color w:val="000000"/>
          <w:sz w:val="24"/>
          <w:szCs w:val="24"/>
        </w:rPr>
        <w:t>;</w:t>
      </w:r>
      <w:r w:rsidRPr="00D6033B">
        <w:rPr>
          <w:rFonts w:ascii="Palatino Linotype" w:eastAsia="Palatino Linotype" w:hAnsi="Palatino Linotype" w:cs="Palatino Linotype"/>
          <w:sz w:val="24"/>
          <w:szCs w:val="24"/>
          <w:lang w:eastAsia="es-ES"/>
        </w:rPr>
        <w:t xml:space="preserve"> por lo que resulta importante señalar que este término se encuentra definido en el Glosario de </w:t>
      </w:r>
      <w:r w:rsidRPr="00D6033B">
        <w:rPr>
          <w:rFonts w:ascii="Palatino Linotype" w:eastAsia="Palatino Linotype" w:hAnsi="Palatino Linotype" w:cs="Palatino Linotype"/>
          <w:sz w:val="24"/>
          <w:szCs w:val="24"/>
          <w:lang w:eastAsia="es-ES"/>
        </w:rPr>
        <w:lastRenderedPageBreak/>
        <w:t>Términos Hacendarios que emite el Instituto Hacendario del Estado de México, el cual expresa lo siguiente:</w:t>
      </w:r>
    </w:p>
    <w:p w14:paraId="0D0C57BC" w14:textId="77777777" w:rsidR="00F73F66" w:rsidRPr="00D6033B" w:rsidRDefault="00F73F66" w:rsidP="00EA1F68">
      <w:pPr>
        <w:spacing w:line="360" w:lineRule="auto"/>
        <w:ind w:left="567" w:right="567"/>
        <w:jc w:val="both"/>
        <w:rPr>
          <w:rFonts w:ascii="Palatino Linotype" w:eastAsia="Palatino Linotype" w:hAnsi="Palatino Linotype" w:cs="Palatino Linotype"/>
          <w:b/>
          <w:i/>
          <w:sz w:val="24"/>
          <w:szCs w:val="24"/>
          <w:lang w:eastAsia="es-ES"/>
        </w:rPr>
      </w:pPr>
      <w:r w:rsidRPr="00D6033B">
        <w:rPr>
          <w:rFonts w:ascii="Palatino Linotype" w:eastAsia="Palatino Linotype" w:hAnsi="Palatino Linotype" w:cs="Palatino Linotype"/>
          <w:i/>
          <w:sz w:val="24"/>
          <w:szCs w:val="24"/>
          <w:lang w:eastAsia="es-ES"/>
        </w:rPr>
        <w:t>“</w:t>
      </w:r>
      <w:r w:rsidRPr="00D6033B">
        <w:rPr>
          <w:rFonts w:ascii="Palatino Linotype" w:eastAsia="Palatino Linotype" w:hAnsi="Palatino Linotype" w:cs="Palatino Linotype"/>
          <w:b/>
          <w:i/>
          <w:lang w:eastAsia="es-ES"/>
        </w:rPr>
        <w:t xml:space="preserve">FACTURA  </w:t>
      </w:r>
      <w:r w:rsidRPr="00D6033B">
        <w:rPr>
          <w:rFonts w:ascii="Palatino Linotype" w:eastAsia="Palatino Linotype" w:hAnsi="Palatino Linotype" w:cs="Palatino Linotype"/>
          <w:i/>
          <w:lang w:eastAsia="es-ES"/>
        </w:rPr>
        <w:t xml:space="preserve">Es el documento fiscal que emite la persona física o moral para </w:t>
      </w:r>
      <w:r w:rsidRPr="00D6033B">
        <w:rPr>
          <w:rFonts w:ascii="Palatino Linotype" w:eastAsia="Palatino Linotype" w:hAnsi="Palatino Linotype" w:cs="Palatino Linotype"/>
          <w:b/>
          <w:i/>
          <w:u w:val="single"/>
          <w:lang w:eastAsia="es-ES"/>
        </w:rPr>
        <w:t>comprobar la venta o adquisición de un bien y/o servicio</w:t>
      </w:r>
      <w:r w:rsidRPr="00D6033B">
        <w:rPr>
          <w:rFonts w:ascii="Palatino Linotype" w:eastAsia="Palatino Linotype" w:hAnsi="Palatino Linotype" w:cs="Palatino Linotype"/>
          <w:i/>
          <w:lang w:eastAsia="es-ES"/>
        </w:rPr>
        <w:t>.” (Sic) (Énfasis añadido)</w:t>
      </w:r>
    </w:p>
    <w:p w14:paraId="2D8E7E39" w14:textId="77777777" w:rsidR="00EA1F68" w:rsidRPr="00D6033B" w:rsidRDefault="00EA1F68" w:rsidP="00F73F66">
      <w:pPr>
        <w:spacing w:line="360" w:lineRule="auto"/>
        <w:jc w:val="both"/>
        <w:rPr>
          <w:rFonts w:ascii="Palatino Linotype" w:eastAsia="Palatino Linotype" w:hAnsi="Palatino Linotype" w:cs="Palatino Linotype"/>
          <w:sz w:val="24"/>
          <w:szCs w:val="24"/>
          <w:lang w:eastAsia="es-ES"/>
        </w:rPr>
      </w:pPr>
    </w:p>
    <w:p w14:paraId="4E8D09A7" w14:textId="77777777" w:rsidR="00F73F66" w:rsidRPr="00D6033B" w:rsidRDefault="00F73F66" w:rsidP="00F73F66">
      <w:pPr>
        <w:spacing w:line="360" w:lineRule="auto"/>
        <w:jc w:val="both"/>
        <w:rPr>
          <w:rFonts w:ascii="Palatino Linotype" w:eastAsia="Palatino Linotype" w:hAnsi="Palatino Linotype" w:cs="Palatino Linotype"/>
          <w:sz w:val="24"/>
          <w:szCs w:val="24"/>
          <w:lang w:eastAsia="es-ES"/>
        </w:rPr>
      </w:pPr>
      <w:r w:rsidRPr="00D6033B">
        <w:rPr>
          <w:rFonts w:ascii="Palatino Linotype" w:eastAsia="Palatino Linotype" w:hAnsi="Palatino Linotype" w:cs="Palatino Linotype"/>
          <w:sz w:val="24"/>
          <w:szCs w:val="24"/>
          <w:lang w:eastAsia="es-E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D6033B">
        <w:rPr>
          <w:rFonts w:ascii="Palatino Linotype" w:eastAsia="Palatino Linotype" w:hAnsi="Palatino Linotype" w:cs="Palatino Linotype"/>
          <w:color w:val="000000"/>
          <w:sz w:val="24"/>
          <w:szCs w:val="24"/>
          <w:lang w:eastAsia="es-ES"/>
        </w:rPr>
        <w:t xml:space="preserve">os recursos económicos del Estado, de los Municipios, así como de los Organismos Autónomos, se administrarán con eficiencia, eficacia y honradez, para cumplir con los objetivos y programas a los que estén destinados. </w:t>
      </w:r>
    </w:p>
    <w:p w14:paraId="13B8274F" w14:textId="77777777" w:rsidR="00F73F66" w:rsidRPr="00D6033B" w:rsidRDefault="00F73F66" w:rsidP="00F73F66">
      <w:pPr>
        <w:spacing w:line="360" w:lineRule="auto"/>
        <w:ind w:right="49"/>
        <w:contextualSpacing/>
        <w:jc w:val="both"/>
        <w:rPr>
          <w:rFonts w:ascii="Palatino Linotype" w:eastAsia="Times New Roman" w:hAnsi="Palatino Linotype" w:cs="Arial"/>
          <w:sz w:val="24"/>
          <w:szCs w:val="24"/>
          <w:lang w:eastAsia="es-ES"/>
        </w:rPr>
      </w:pPr>
    </w:p>
    <w:p w14:paraId="1AC8BACC" w14:textId="77777777" w:rsidR="00F73F66" w:rsidRPr="00D6033B" w:rsidRDefault="00F73F66" w:rsidP="00EA1F68">
      <w:pPr>
        <w:spacing w:line="360" w:lineRule="auto"/>
        <w:ind w:right="49"/>
        <w:contextualSpacing/>
        <w:jc w:val="both"/>
        <w:rPr>
          <w:rFonts w:ascii="Palatino Linotype" w:eastAsia="Times New Roman" w:hAnsi="Palatino Linotype" w:cs="Arial"/>
          <w:sz w:val="24"/>
          <w:szCs w:val="24"/>
          <w:lang w:eastAsia="es-ES"/>
        </w:rPr>
      </w:pPr>
      <w:r w:rsidRPr="00D6033B">
        <w:rPr>
          <w:rFonts w:ascii="Palatino Linotype" w:eastAsia="Times New Roman" w:hAnsi="Palatino Linotype" w:cs="Arial"/>
          <w:sz w:val="24"/>
          <w:szCs w:val="24"/>
          <w:lang w:eastAsia="es-ES"/>
        </w:rPr>
        <w:t>Aunado a lo anterior, los artículos 342, 343, 344 y 345 del Código Financiero del Estado de México y Municipios disponen el sistema y las políticas que deben seguirse para llevar el registro contable y presupuestal de las operaciones financier</w:t>
      </w:r>
      <w:r w:rsidR="00EA1F68" w:rsidRPr="00D6033B">
        <w:rPr>
          <w:rFonts w:ascii="Palatino Linotype" w:eastAsia="Times New Roman" w:hAnsi="Palatino Linotype" w:cs="Arial"/>
          <w:sz w:val="24"/>
          <w:szCs w:val="24"/>
          <w:lang w:eastAsia="es-ES"/>
        </w:rPr>
        <w:t>as, en los siguientes términos:</w:t>
      </w:r>
    </w:p>
    <w:p w14:paraId="21B2E752" w14:textId="77777777" w:rsidR="00F73F66" w:rsidRPr="00D6033B" w:rsidRDefault="00F73F66" w:rsidP="00F73F66">
      <w:pPr>
        <w:spacing w:line="360" w:lineRule="auto"/>
        <w:ind w:left="567" w:right="567"/>
        <w:jc w:val="both"/>
        <w:rPr>
          <w:rFonts w:ascii="Palatino Linotype" w:eastAsia="Times New Roman" w:hAnsi="Palatino Linotype" w:cs="Times New Roman"/>
          <w:b/>
          <w:i/>
          <w:lang w:eastAsia="es-ES"/>
        </w:rPr>
      </w:pPr>
      <w:r w:rsidRPr="00D6033B">
        <w:rPr>
          <w:rFonts w:ascii="Palatino Linotype" w:eastAsia="Times New Roman" w:hAnsi="Palatino Linotype" w:cs="Arial"/>
          <w:bCs/>
          <w:i/>
          <w:color w:val="000000"/>
          <w:sz w:val="24"/>
          <w:szCs w:val="24"/>
          <w:lang w:eastAsia="es-ES"/>
        </w:rPr>
        <w:t>“</w:t>
      </w:r>
      <w:r w:rsidRPr="00D6033B">
        <w:rPr>
          <w:rFonts w:ascii="Palatino Linotype" w:eastAsia="Times New Roman" w:hAnsi="Palatino Linotype" w:cs="Times New Roman"/>
          <w:b/>
          <w:i/>
          <w:lang w:eastAsia="es-ES"/>
        </w:rPr>
        <w:t>Artículo 342.-</w:t>
      </w:r>
      <w:r w:rsidRPr="00D6033B">
        <w:rPr>
          <w:rFonts w:ascii="Palatino Linotype" w:eastAsia="Times New Roman" w:hAnsi="Palatino Linotype" w:cs="Times New Roman"/>
          <w:i/>
          <w:lang w:eastAsia="es-ES"/>
        </w:rPr>
        <w:t xml:space="preserve"> </w:t>
      </w:r>
      <w:r w:rsidRPr="00D6033B">
        <w:rPr>
          <w:rFonts w:ascii="Palatino Linotype" w:eastAsia="Times New Roman" w:hAnsi="Palatino Linotype" w:cs="Times New Roman"/>
          <w:b/>
          <w:i/>
          <w:lang w:eastAsia="es-ES"/>
        </w:rPr>
        <w:t xml:space="preserve">El registro contable del efecto patrimonial y presupuestal de las operaciones financieras, se realizará conforme al sistema y a las disposiciones que se aprueben en materia </w:t>
      </w:r>
      <w:r w:rsidRPr="00D6033B">
        <w:rPr>
          <w:rFonts w:ascii="Palatino Linotype" w:eastAsia="Times New Roman" w:hAnsi="Palatino Linotype" w:cs="Times New Roman"/>
          <w:i/>
          <w:lang w:eastAsia="es-ES"/>
        </w:rPr>
        <w:t xml:space="preserve">de </w:t>
      </w:r>
      <w:r w:rsidRPr="00D6033B">
        <w:rPr>
          <w:rFonts w:ascii="Palatino Linotype" w:eastAsia="Times New Roman" w:hAnsi="Palatino Linotype" w:cs="Arial"/>
          <w:i/>
          <w:color w:val="000000"/>
          <w:lang w:eastAsia="es-ES"/>
        </w:rPr>
        <w:t>planeación</w:t>
      </w:r>
      <w:r w:rsidRPr="00D6033B">
        <w:rPr>
          <w:rFonts w:ascii="Palatino Linotype" w:eastAsia="Times New Roman" w:hAnsi="Palatino Linotype" w:cs="Times New Roman"/>
          <w:i/>
          <w:lang w:eastAsia="es-ES"/>
        </w:rPr>
        <w:t>,</w:t>
      </w:r>
      <w:r w:rsidRPr="00D6033B">
        <w:rPr>
          <w:rFonts w:ascii="Palatino Linotype" w:eastAsia="Times New Roman" w:hAnsi="Palatino Linotype" w:cs="Times New Roman"/>
          <w:b/>
          <w:i/>
          <w:lang w:eastAsia="es-ES"/>
        </w:rPr>
        <w:t xml:space="preserve"> programación, presupuestación</w:t>
      </w:r>
      <w:r w:rsidRPr="00D6033B">
        <w:rPr>
          <w:rFonts w:ascii="Palatino Linotype" w:eastAsia="Times New Roman" w:hAnsi="Palatino Linotype" w:cs="Times New Roman"/>
          <w:i/>
          <w:lang w:eastAsia="es-ES"/>
        </w:rPr>
        <w:t xml:space="preserve">, evaluación y </w:t>
      </w:r>
      <w:r w:rsidRPr="00D6033B">
        <w:rPr>
          <w:rFonts w:ascii="Palatino Linotype" w:eastAsia="Times New Roman" w:hAnsi="Palatino Linotype" w:cs="Arial"/>
          <w:b/>
          <w:i/>
          <w:color w:val="000000"/>
          <w:lang w:eastAsia="es-ES"/>
        </w:rPr>
        <w:t>contabilidad</w:t>
      </w:r>
      <w:r w:rsidRPr="00D6033B">
        <w:rPr>
          <w:rFonts w:ascii="Palatino Linotype" w:eastAsia="Times New Roman" w:hAnsi="Palatino Linotype" w:cs="Times New Roman"/>
          <w:b/>
          <w:i/>
          <w:lang w:eastAsia="es-ES"/>
        </w:rPr>
        <w:t xml:space="preserve"> gubernamental.</w:t>
      </w:r>
      <w:r w:rsidRPr="00D6033B">
        <w:rPr>
          <w:rFonts w:ascii="Palatino Linotype" w:eastAsia="Times New Roman" w:hAnsi="Palatino Linotype" w:cs="Times New Roman"/>
          <w:i/>
          <w:lang w:eastAsia="es-ES"/>
        </w:rPr>
        <w:t xml:space="preserve"> </w:t>
      </w:r>
    </w:p>
    <w:p w14:paraId="67610C01" w14:textId="77777777" w:rsidR="00F73F66" w:rsidRPr="00D6033B" w:rsidRDefault="00F73F66" w:rsidP="00F73F66">
      <w:pPr>
        <w:spacing w:line="360" w:lineRule="auto"/>
        <w:ind w:left="567" w:right="567"/>
        <w:jc w:val="both"/>
        <w:rPr>
          <w:rFonts w:ascii="Palatino Linotype" w:eastAsia="Times New Roman" w:hAnsi="Palatino Linotype" w:cs="Times New Roman"/>
          <w:b/>
          <w:i/>
          <w:lang w:eastAsia="es-ES"/>
        </w:rPr>
      </w:pPr>
      <w:r w:rsidRPr="00D6033B">
        <w:rPr>
          <w:rFonts w:ascii="Palatino Linotype" w:eastAsia="Times New Roman" w:hAnsi="Palatino Linotype" w:cs="Arial"/>
          <w:b/>
          <w:bCs/>
          <w:i/>
          <w:color w:val="000000"/>
          <w:lang w:eastAsia="es-ES"/>
        </w:rPr>
        <w:t>…</w:t>
      </w:r>
    </w:p>
    <w:p w14:paraId="11166CB1" w14:textId="77777777" w:rsidR="00F73F66" w:rsidRPr="00D6033B" w:rsidRDefault="00F73F66" w:rsidP="00F73F66">
      <w:pPr>
        <w:spacing w:line="360" w:lineRule="auto"/>
        <w:ind w:left="567" w:right="567"/>
        <w:jc w:val="both"/>
        <w:rPr>
          <w:rFonts w:ascii="Palatino Linotype" w:eastAsia="Times New Roman" w:hAnsi="Palatino Linotype" w:cs="Times New Roman"/>
          <w:i/>
          <w:lang w:eastAsia="es-ES"/>
        </w:rPr>
      </w:pPr>
      <w:r w:rsidRPr="00D6033B">
        <w:rPr>
          <w:rFonts w:ascii="Palatino Linotype" w:eastAsia="Times New Roman" w:hAnsi="Palatino Linotype" w:cs="Times New Roman"/>
          <w:b/>
          <w:i/>
          <w:lang w:eastAsia="es-ES"/>
        </w:rPr>
        <w:lastRenderedPageBreak/>
        <w:t>Artículo 343.-</w:t>
      </w:r>
      <w:r w:rsidRPr="00D6033B">
        <w:rPr>
          <w:rFonts w:ascii="Palatino Linotype" w:eastAsia="Times New Roman" w:hAnsi="Palatino Linotype" w:cs="Times New Roman"/>
          <w:i/>
          <w:lang w:eastAsia="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24546C1D" w14:textId="77777777" w:rsidR="00F73F66" w:rsidRPr="00D6033B" w:rsidRDefault="00F73F66" w:rsidP="00F73F66">
      <w:pPr>
        <w:spacing w:line="360" w:lineRule="auto"/>
        <w:ind w:left="567" w:right="567"/>
        <w:jc w:val="both"/>
        <w:rPr>
          <w:rFonts w:ascii="Palatino Linotype" w:eastAsia="Times New Roman" w:hAnsi="Palatino Linotype" w:cs="Times New Roman"/>
          <w:i/>
          <w:lang w:eastAsia="es-ES"/>
        </w:rPr>
      </w:pPr>
      <w:r w:rsidRPr="00D6033B">
        <w:rPr>
          <w:rFonts w:ascii="Palatino Linotype" w:eastAsia="Times New Roman" w:hAnsi="Palatino Linotype" w:cs="Times New Roman"/>
          <w:i/>
          <w:lang w:eastAsia="es-ES"/>
        </w:rPr>
        <w:t xml:space="preserve">El sistema de contabilidad sobre base acumulativa total se sustentará en los postulados básicos y el marco conceptual de la contabilidad gubernamental. </w:t>
      </w:r>
    </w:p>
    <w:p w14:paraId="55C455A6" w14:textId="77777777" w:rsidR="00F73F66" w:rsidRPr="00D6033B" w:rsidRDefault="00F73F66" w:rsidP="00F73F66">
      <w:pPr>
        <w:spacing w:line="360" w:lineRule="auto"/>
        <w:ind w:left="567" w:right="567"/>
        <w:jc w:val="both"/>
        <w:rPr>
          <w:rFonts w:ascii="Palatino Linotype" w:eastAsia="Times New Roman" w:hAnsi="Palatino Linotype" w:cs="Times New Roman"/>
          <w:i/>
          <w:lang w:eastAsia="es-ES"/>
        </w:rPr>
      </w:pPr>
    </w:p>
    <w:p w14:paraId="68169539" w14:textId="77777777" w:rsidR="007A2DB6" w:rsidRPr="00D6033B" w:rsidRDefault="00F73F66" w:rsidP="007A2DB6">
      <w:pPr>
        <w:spacing w:line="360" w:lineRule="auto"/>
        <w:ind w:left="567" w:right="567"/>
        <w:jc w:val="both"/>
        <w:rPr>
          <w:rFonts w:ascii="Palatino Linotype" w:hAnsi="Palatino Linotype"/>
          <w:b/>
          <w:i/>
          <w:u w:val="single"/>
        </w:rPr>
      </w:pPr>
      <w:r w:rsidRPr="00D6033B">
        <w:rPr>
          <w:rFonts w:ascii="Palatino Linotype" w:eastAsia="Times New Roman" w:hAnsi="Palatino Linotype" w:cs="Times New Roman"/>
          <w:b/>
          <w:i/>
          <w:lang w:eastAsia="es-ES"/>
        </w:rPr>
        <w:t xml:space="preserve">Artículo 344.- </w:t>
      </w:r>
      <w:r w:rsidR="007A2DB6" w:rsidRPr="00D6033B">
        <w:rPr>
          <w:rFonts w:ascii="Palatino Linotype" w:hAnsi="Palatino Linotype"/>
          <w:b/>
          <w:i/>
        </w:rPr>
        <w:t xml:space="preserve">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w:t>
      </w:r>
      <w:r w:rsidR="007A2DB6" w:rsidRPr="00D6033B">
        <w:rPr>
          <w:rFonts w:ascii="Palatino Linotype" w:hAnsi="Palatino Linotype"/>
          <w:b/>
          <w:i/>
          <w:u w:val="single"/>
        </w:rPr>
        <w:t>en el caso de los Municipios, se hará por la Tesorería.</w:t>
      </w:r>
    </w:p>
    <w:p w14:paraId="45679654" w14:textId="77777777" w:rsidR="007A2DB6" w:rsidRPr="00D6033B" w:rsidRDefault="007A2DB6" w:rsidP="007A2DB6">
      <w:pPr>
        <w:spacing w:line="360" w:lineRule="auto"/>
        <w:ind w:left="567" w:right="567"/>
        <w:jc w:val="both"/>
        <w:rPr>
          <w:rFonts w:ascii="Palatino Linotype" w:hAnsi="Palatino Linotype"/>
          <w:b/>
          <w:i/>
          <w:u w:val="single"/>
        </w:rPr>
      </w:pPr>
    </w:p>
    <w:p w14:paraId="31FF0090" w14:textId="77777777" w:rsidR="007A2DB6" w:rsidRPr="00D6033B" w:rsidRDefault="007A2DB6" w:rsidP="007A2DB6">
      <w:pPr>
        <w:spacing w:line="360" w:lineRule="auto"/>
        <w:ind w:left="567" w:right="567"/>
        <w:jc w:val="both"/>
        <w:rPr>
          <w:rFonts w:ascii="Palatino Linotype" w:hAnsi="Palatino Linotype"/>
          <w:b/>
          <w:i/>
        </w:rPr>
      </w:pPr>
      <w:r w:rsidRPr="00D6033B">
        <w:rPr>
          <w:rFonts w:ascii="Palatino Linotype" w:hAnsi="Palatino Linotype"/>
          <w:b/>
          <w:i/>
        </w:rPr>
        <w:t xml:space="preserve"> 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En el caso de los Municipios, dicha obligación corresponderá a la Tesorería</w:t>
      </w:r>
    </w:p>
    <w:p w14:paraId="1EC56B4E" w14:textId="77777777" w:rsidR="00F73F66" w:rsidRPr="00D6033B" w:rsidRDefault="007A2DB6" w:rsidP="007A2DB6">
      <w:pPr>
        <w:spacing w:line="360" w:lineRule="auto"/>
        <w:ind w:left="567" w:right="567"/>
        <w:jc w:val="both"/>
        <w:rPr>
          <w:rFonts w:ascii="Palatino Linotype" w:eastAsia="Times New Roman" w:hAnsi="Palatino Linotype" w:cs="Times New Roman"/>
          <w:i/>
          <w:lang w:eastAsia="es-ES"/>
        </w:rPr>
      </w:pPr>
      <w:r w:rsidRPr="00D6033B">
        <w:lastRenderedPageBreak/>
        <w:t>.</w:t>
      </w:r>
      <w:r w:rsidR="00F73F66" w:rsidRPr="00D6033B">
        <w:rPr>
          <w:rFonts w:ascii="Palatino Linotype" w:eastAsia="Times New Roman" w:hAnsi="Palatino Linotype" w:cs="Times New Roman"/>
          <w:i/>
          <w:lang w:eastAsia="es-ES"/>
        </w:rPr>
        <w:t>…</w:t>
      </w:r>
    </w:p>
    <w:p w14:paraId="16B264C2" w14:textId="77777777" w:rsidR="00F73F66" w:rsidRPr="00D6033B" w:rsidRDefault="00F73F66" w:rsidP="00F73F66">
      <w:pPr>
        <w:spacing w:line="360" w:lineRule="auto"/>
        <w:ind w:left="567" w:right="567"/>
        <w:jc w:val="both"/>
        <w:rPr>
          <w:rFonts w:ascii="Palatino Linotype" w:eastAsia="Times New Roman" w:hAnsi="Palatino Linotype" w:cs="Times New Roman"/>
          <w:i/>
          <w:lang w:eastAsia="es-ES"/>
        </w:rPr>
      </w:pPr>
      <w:r w:rsidRPr="00D6033B">
        <w:rPr>
          <w:rFonts w:ascii="Palatino Linotype" w:eastAsia="Times New Roman" w:hAnsi="Palatino Linotype" w:cs="Times New Roman"/>
          <w:b/>
          <w:i/>
          <w:lang w:eastAsia="es-ES"/>
        </w:rPr>
        <w:t>Artículo 345.-</w:t>
      </w:r>
      <w:r w:rsidRPr="00D6033B">
        <w:rPr>
          <w:rFonts w:ascii="Palatino Linotype" w:eastAsia="Times New Roman" w:hAnsi="Palatino Linotype" w:cs="Times New Roman"/>
          <w:i/>
          <w:lang w:eastAsia="es-ES"/>
        </w:rPr>
        <w:t xml:space="preserve"> </w:t>
      </w:r>
      <w:r w:rsidRPr="00D6033B">
        <w:rPr>
          <w:rFonts w:ascii="Palatino Linotype" w:eastAsia="Times New Roman" w:hAnsi="Palatino Linotype" w:cs="Times New Roman"/>
          <w:b/>
          <w:i/>
          <w:lang w:eastAsia="es-ES"/>
        </w:rPr>
        <w:t>Las Dependencias, Entidades Públicas y unidades administrativas deberán conservar la documentación contable del año en curso y la de ejercicios anteriores cuyas cuentas públicas hayan sido revisadas y fiscalizadas por la Legislatura</w:t>
      </w:r>
      <w:r w:rsidRPr="00D6033B">
        <w:rPr>
          <w:rFonts w:ascii="Palatino Linotype" w:eastAsia="Times New Roman" w:hAnsi="Palatino Linotype" w:cs="Times New Roman"/>
          <w:i/>
          <w:lang w:eastAsia="es-ES"/>
        </w:rPr>
        <w:t xml:space="preserve">, la remitirán en un plazo que no excederá de seis meses al Archivo Contable Gubernamental. </w:t>
      </w:r>
      <w:r w:rsidRPr="00D6033B">
        <w:rPr>
          <w:rFonts w:ascii="Palatino Linotype" w:eastAsia="Times New Roman" w:hAnsi="Palatino Linotype" w:cs="Times New Roman"/>
          <w:b/>
          <w:i/>
          <w:lang w:eastAsia="es-ES"/>
        </w:rPr>
        <w:t>Tratándose de los comprobantes fiscales digitales, estos deberán estar agregados en forma electrónica en cada póliza de registro contable</w:t>
      </w:r>
      <w:r w:rsidRPr="00D6033B">
        <w:rPr>
          <w:rFonts w:ascii="Palatino Linotype" w:eastAsia="Times New Roman" w:hAnsi="Palatino Linotype" w:cs="Times New Roman"/>
          <w:i/>
          <w:lang w:eastAsia="es-ES"/>
        </w:rPr>
        <w:t xml:space="preserve">. </w:t>
      </w:r>
    </w:p>
    <w:p w14:paraId="54D01CA6" w14:textId="77777777" w:rsidR="00F73F66" w:rsidRPr="00D6033B" w:rsidRDefault="00F73F66" w:rsidP="00F73F66">
      <w:pPr>
        <w:spacing w:line="360" w:lineRule="auto"/>
        <w:ind w:left="567" w:right="567"/>
        <w:jc w:val="both"/>
        <w:rPr>
          <w:rFonts w:ascii="Palatino Linotype" w:eastAsia="Times New Roman" w:hAnsi="Palatino Linotype" w:cs="Arial"/>
          <w:bCs/>
          <w:i/>
          <w:color w:val="000000"/>
          <w:lang w:eastAsia="es-ES"/>
        </w:rPr>
      </w:pPr>
      <w:r w:rsidRPr="00D6033B">
        <w:rPr>
          <w:rFonts w:ascii="Palatino Linotype" w:eastAsia="Times New Roman" w:hAnsi="Palatino Linotype" w:cs="Times New Roman"/>
          <w:i/>
          <w:lang w:eastAsia="es-ES"/>
        </w:rPr>
        <w:t>El plazo señalado en el párrafo anterior, empezará a contar a partir de la publicación en el Periódico Oficial, del decreto correspondiente.</w:t>
      </w:r>
      <w:r w:rsidRPr="00D6033B">
        <w:rPr>
          <w:rFonts w:ascii="Palatino Linotype" w:eastAsia="Times New Roman" w:hAnsi="Palatino Linotype" w:cs="Arial"/>
          <w:bCs/>
          <w:i/>
          <w:color w:val="000000"/>
          <w:lang w:eastAsia="es-ES"/>
        </w:rPr>
        <w:t xml:space="preserve"> “</w:t>
      </w:r>
      <w:r w:rsidRPr="00D6033B">
        <w:rPr>
          <w:rFonts w:ascii="Palatino Linotype" w:eastAsia="Times New Roman" w:hAnsi="Palatino Linotype" w:cs="Arial"/>
          <w:i/>
          <w:lang w:eastAsia="es-ES"/>
        </w:rPr>
        <w:t>(Sic)</w:t>
      </w:r>
      <w:r w:rsidRPr="00D6033B">
        <w:rPr>
          <w:rFonts w:ascii="Palatino Linotype" w:eastAsia="Times New Roman" w:hAnsi="Palatino Linotype" w:cs="Arial"/>
          <w:bCs/>
          <w:i/>
          <w:color w:val="000000"/>
          <w:lang w:eastAsia="es-ES"/>
        </w:rPr>
        <w:t xml:space="preserve">    (Énfasis añadido)</w:t>
      </w:r>
    </w:p>
    <w:p w14:paraId="4EE7F2A8" w14:textId="77777777" w:rsidR="00F73F66" w:rsidRPr="00D6033B" w:rsidRDefault="00F73F66" w:rsidP="00F73F66">
      <w:pPr>
        <w:spacing w:line="360" w:lineRule="auto"/>
        <w:ind w:left="567" w:right="567"/>
        <w:jc w:val="both"/>
        <w:rPr>
          <w:rFonts w:ascii="Palatino Linotype" w:eastAsia="Times New Roman" w:hAnsi="Palatino Linotype" w:cs="Arial"/>
          <w:bCs/>
          <w:color w:val="000000"/>
          <w:sz w:val="24"/>
          <w:szCs w:val="24"/>
          <w:lang w:eastAsia="es-ES"/>
        </w:rPr>
      </w:pPr>
    </w:p>
    <w:p w14:paraId="3354F584" w14:textId="77777777" w:rsidR="00F73F66" w:rsidRPr="00D6033B" w:rsidRDefault="00F73F66" w:rsidP="00F73F66">
      <w:pPr>
        <w:spacing w:line="360" w:lineRule="auto"/>
        <w:contextualSpacing/>
        <w:jc w:val="both"/>
        <w:rPr>
          <w:rFonts w:ascii="Palatino Linotype" w:eastAsia="Times New Roman" w:hAnsi="Palatino Linotype" w:cs="Arial"/>
          <w:bCs/>
          <w:color w:val="000000"/>
          <w:sz w:val="24"/>
          <w:szCs w:val="24"/>
          <w:lang w:eastAsia="es-ES"/>
        </w:rPr>
      </w:pPr>
      <w:r w:rsidRPr="00D6033B">
        <w:rPr>
          <w:rFonts w:ascii="Palatino Linotype" w:eastAsia="Times New Roman" w:hAnsi="Palatino Linotype" w:cs="Arial"/>
          <w:sz w:val="24"/>
          <w:szCs w:val="24"/>
          <w:lang w:eastAsia="es-ES"/>
        </w:rPr>
        <w:t>De una interpretación sistemática de los artículos transcritos, se desprende primeramente que el</w:t>
      </w:r>
      <w:r w:rsidRPr="00D6033B">
        <w:rPr>
          <w:rFonts w:ascii="Palatino Linotype" w:eastAsia="Times New Roman" w:hAnsi="Palatino Linotype" w:cs="Arial"/>
          <w:bCs/>
          <w:color w:val="000000"/>
          <w:sz w:val="24"/>
          <w:szCs w:val="24"/>
          <w:lang w:eastAsia="es-E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5D5BA4AA" w14:textId="77777777" w:rsidR="00F73F66" w:rsidRPr="00D6033B" w:rsidRDefault="00F73F66" w:rsidP="00F73F66">
      <w:pPr>
        <w:spacing w:line="360" w:lineRule="auto"/>
        <w:jc w:val="both"/>
        <w:rPr>
          <w:rFonts w:ascii="Palatino Linotype" w:eastAsia="Times New Roman" w:hAnsi="Palatino Linotype" w:cs="Arial"/>
          <w:bCs/>
          <w:color w:val="000000"/>
          <w:sz w:val="24"/>
          <w:szCs w:val="24"/>
          <w:lang w:eastAsia="es-ES"/>
        </w:rPr>
      </w:pPr>
    </w:p>
    <w:p w14:paraId="1FC8F430" w14:textId="77777777" w:rsidR="00F73F66" w:rsidRPr="00D6033B" w:rsidRDefault="00F73F66" w:rsidP="00F73F66">
      <w:pPr>
        <w:spacing w:line="360" w:lineRule="auto"/>
        <w:contextualSpacing/>
        <w:jc w:val="both"/>
        <w:rPr>
          <w:rFonts w:ascii="Palatino Linotype" w:eastAsia="Times New Roman" w:hAnsi="Palatino Linotype" w:cs="Arial"/>
          <w:bCs/>
          <w:color w:val="000000"/>
          <w:sz w:val="24"/>
          <w:szCs w:val="24"/>
          <w:lang w:eastAsia="es-ES"/>
        </w:rPr>
      </w:pPr>
      <w:r w:rsidRPr="00D6033B">
        <w:rPr>
          <w:rFonts w:ascii="Palatino Linotype" w:eastAsia="Times New Roman" w:hAnsi="Palatino Linotype" w:cs="Arial"/>
          <w:sz w:val="24"/>
          <w:szCs w:val="24"/>
          <w:lang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D6033B">
        <w:rPr>
          <w:rFonts w:ascii="Palatino Linotype" w:eastAsia="Times New Roman" w:hAnsi="Palatino Linotype" w:cs="Arial"/>
          <w:sz w:val="24"/>
          <w:szCs w:val="24"/>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w:t>
      </w:r>
      <w:r w:rsidRPr="00D6033B">
        <w:rPr>
          <w:rFonts w:ascii="Palatino Linotype" w:eastAsia="Times New Roman" w:hAnsi="Palatino Linotype" w:cs="Arial"/>
          <w:sz w:val="24"/>
          <w:szCs w:val="24"/>
        </w:rPr>
        <w:lastRenderedPageBreak/>
        <w:t xml:space="preserve">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7B4C9486" w14:textId="77777777" w:rsidR="00F73F66" w:rsidRPr="00D6033B" w:rsidRDefault="00F73F66" w:rsidP="00F73F66">
      <w:pPr>
        <w:spacing w:line="360" w:lineRule="auto"/>
        <w:ind w:left="567" w:right="567"/>
        <w:jc w:val="both"/>
        <w:rPr>
          <w:rFonts w:ascii="Palatino Linotype" w:eastAsia="Times New Roman" w:hAnsi="Palatino Linotype" w:cs="Arial"/>
          <w:b/>
          <w:i/>
        </w:rPr>
      </w:pPr>
      <w:r w:rsidRPr="00D6033B">
        <w:rPr>
          <w:rFonts w:ascii="Palatino Linotype" w:eastAsia="Times New Roman" w:hAnsi="Palatino Linotype" w:cs="Arial"/>
          <w:b/>
          <w:i/>
        </w:rPr>
        <w:t xml:space="preserve">“REGISTRO CONTABLE </w:t>
      </w:r>
    </w:p>
    <w:p w14:paraId="43EAD6A2" w14:textId="77777777" w:rsidR="00F73F66" w:rsidRPr="00D6033B" w:rsidRDefault="00F73F66" w:rsidP="00F73F66">
      <w:pPr>
        <w:spacing w:line="360" w:lineRule="auto"/>
        <w:ind w:left="567" w:right="567"/>
        <w:jc w:val="both"/>
        <w:rPr>
          <w:rFonts w:ascii="Palatino Linotype" w:eastAsia="Times New Roman" w:hAnsi="Palatino Linotype" w:cs="Arial"/>
          <w:i/>
          <w:lang w:eastAsia="es-ES"/>
        </w:rPr>
      </w:pPr>
      <w:r w:rsidRPr="00D6033B">
        <w:rPr>
          <w:rFonts w:ascii="Palatino Linotype" w:eastAsia="Times New Roman" w:hAnsi="Palatino Linotype" w:cs="Arial"/>
          <w:i/>
        </w:rPr>
        <w:t xml:space="preserve">Asiento que se realiza en los libros de contabilidad de las actividades relacionadas con el ingreso y egresos de un ente económico.” </w:t>
      </w:r>
      <w:r w:rsidRPr="00D6033B">
        <w:rPr>
          <w:rFonts w:ascii="Palatino Linotype" w:eastAsia="Times New Roman" w:hAnsi="Palatino Linotype" w:cs="Arial"/>
          <w:i/>
          <w:lang w:eastAsia="es-ES"/>
        </w:rPr>
        <w:t>(Sic)</w:t>
      </w:r>
    </w:p>
    <w:p w14:paraId="2338EBBB" w14:textId="77777777" w:rsidR="00F73F66" w:rsidRPr="00D6033B" w:rsidRDefault="00F73F66" w:rsidP="00F73F66">
      <w:pPr>
        <w:spacing w:line="360" w:lineRule="auto"/>
        <w:ind w:left="567" w:right="567"/>
        <w:jc w:val="both"/>
        <w:rPr>
          <w:rFonts w:ascii="Palatino Linotype" w:eastAsia="Times New Roman" w:hAnsi="Palatino Linotype" w:cs="Arial"/>
          <w:i/>
        </w:rPr>
      </w:pPr>
    </w:p>
    <w:p w14:paraId="59B82778" w14:textId="77777777" w:rsidR="00F73F66" w:rsidRPr="00D6033B" w:rsidRDefault="00F73F66" w:rsidP="00F73F66">
      <w:pPr>
        <w:spacing w:line="360" w:lineRule="auto"/>
        <w:ind w:left="567" w:right="567"/>
        <w:jc w:val="both"/>
        <w:rPr>
          <w:rFonts w:ascii="Palatino Linotype" w:eastAsia="Times New Roman" w:hAnsi="Palatino Linotype" w:cs="Arial"/>
          <w:b/>
          <w:i/>
        </w:rPr>
      </w:pPr>
      <w:r w:rsidRPr="00D6033B">
        <w:rPr>
          <w:rFonts w:ascii="Palatino Linotype" w:eastAsia="Times New Roman" w:hAnsi="Palatino Linotype" w:cs="Arial"/>
          <w:b/>
          <w:i/>
        </w:rPr>
        <w:t>“REGISTRO PRESUPUESTARIO</w:t>
      </w:r>
    </w:p>
    <w:p w14:paraId="08CF0BD3" w14:textId="77777777" w:rsidR="00F73F66" w:rsidRPr="00D6033B" w:rsidRDefault="00F73F66" w:rsidP="00F73F66">
      <w:pPr>
        <w:spacing w:line="360" w:lineRule="auto"/>
        <w:ind w:left="567" w:right="567"/>
        <w:jc w:val="both"/>
        <w:rPr>
          <w:rFonts w:ascii="Palatino Linotype" w:eastAsia="Times New Roman" w:hAnsi="Palatino Linotype" w:cs="Arial"/>
          <w:i/>
          <w:lang w:eastAsia="es-ES"/>
        </w:rPr>
      </w:pPr>
      <w:r w:rsidRPr="00D6033B">
        <w:rPr>
          <w:rFonts w:ascii="Palatino Linotype" w:eastAsia="Times New Roman" w:hAnsi="Palatino Linotype" w:cs="Arial"/>
          <w:i/>
        </w:rPr>
        <w:t xml:space="preserve">Asiento contable de las erogaciones realizadas por las dependencias y entidades con relación a la asignación, modificación y ejercicio de los recursos presupuestarios que se les hayan autorizado.” </w:t>
      </w:r>
      <w:r w:rsidRPr="00D6033B">
        <w:rPr>
          <w:rFonts w:ascii="Palatino Linotype" w:eastAsia="Times New Roman" w:hAnsi="Palatino Linotype" w:cs="Arial"/>
          <w:i/>
          <w:lang w:eastAsia="es-ES"/>
        </w:rPr>
        <w:t>(Sic)</w:t>
      </w:r>
    </w:p>
    <w:p w14:paraId="0A056058" w14:textId="77777777" w:rsidR="00F73F66" w:rsidRPr="00D6033B" w:rsidRDefault="00F73F66" w:rsidP="00F73F66">
      <w:pPr>
        <w:spacing w:line="360" w:lineRule="auto"/>
        <w:contextualSpacing/>
        <w:jc w:val="both"/>
        <w:rPr>
          <w:rFonts w:ascii="Palatino Linotype" w:eastAsia="Times New Roman" w:hAnsi="Palatino Linotype" w:cs="Arial"/>
          <w:bCs/>
          <w:color w:val="000000"/>
          <w:sz w:val="24"/>
          <w:szCs w:val="24"/>
          <w:lang w:eastAsia="es-ES"/>
        </w:rPr>
      </w:pPr>
    </w:p>
    <w:p w14:paraId="0B4DB669" w14:textId="77777777" w:rsidR="00F73F66" w:rsidRPr="00D6033B" w:rsidRDefault="00F73F66" w:rsidP="00F73F66">
      <w:pPr>
        <w:spacing w:line="360" w:lineRule="auto"/>
        <w:contextualSpacing/>
        <w:jc w:val="both"/>
        <w:rPr>
          <w:rFonts w:ascii="Palatino Linotype" w:eastAsia="Times New Roman" w:hAnsi="Palatino Linotype" w:cs="Arial"/>
          <w:bCs/>
          <w:color w:val="000000"/>
          <w:sz w:val="24"/>
          <w:szCs w:val="24"/>
          <w:lang w:eastAsia="es-ES"/>
        </w:rPr>
      </w:pPr>
      <w:r w:rsidRPr="00D6033B">
        <w:rPr>
          <w:rFonts w:ascii="Palatino Linotype" w:eastAsia="Times New Roman" w:hAnsi="Palatino Linotype" w:cs="Arial"/>
          <w:bCs/>
          <w:color w:val="000000"/>
          <w:sz w:val="24"/>
          <w:szCs w:val="24"/>
          <w:lang w:eastAsia="es-ES"/>
        </w:rPr>
        <w:t xml:space="preserve">Por otra parte, se establece que el sistema de contabilidad sobre base acumulativa total se sustentará en los principios de contabilidad gubernamental, igualmente señalan que los </w:t>
      </w:r>
      <w:r w:rsidRPr="00D6033B">
        <w:rPr>
          <w:rFonts w:ascii="Palatino Linotype" w:eastAsia="Times New Roman" w:hAnsi="Palatino Linotype" w:cs="Arial"/>
          <w:b/>
          <w:bCs/>
          <w:color w:val="000000"/>
          <w:sz w:val="24"/>
          <w:szCs w:val="24"/>
          <w:lang w:eastAsia="es-ES"/>
        </w:rPr>
        <w:t>Sujetos Obligados</w:t>
      </w:r>
      <w:r w:rsidRPr="00D6033B">
        <w:rPr>
          <w:rFonts w:ascii="Palatino Linotype" w:eastAsia="Times New Roman" w:hAnsi="Palatino Linotype" w:cs="Arial"/>
          <w:bCs/>
          <w:color w:val="000000"/>
          <w:sz w:val="24"/>
          <w:szCs w:val="24"/>
          <w:lang w:eastAsia="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3F5B9497" w14:textId="77777777" w:rsidR="00F73F66" w:rsidRPr="00D6033B" w:rsidRDefault="00F73F66" w:rsidP="00F73F66">
      <w:pPr>
        <w:spacing w:line="360" w:lineRule="auto"/>
        <w:contextualSpacing/>
        <w:jc w:val="both"/>
        <w:rPr>
          <w:rFonts w:ascii="Palatino Linotype" w:eastAsia="Times New Roman" w:hAnsi="Palatino Linotype" w:cs="Arial"/>
          <w:bCs/>
          <w:color w:val="000000"/>
          <w:sz w:val="24"/>
          <w:szCs w:val="24"/>
          <w:lang w:eastAsia="es-ES"/>
        </w:rPr>
      </w:pPr>
    </w:p>
    <w:p w14:paraId="37603268" w14:textId="77777777" w:rsidR="00F73F66" w:rsidRPr="00D6033B" w:rsidRDefault="00F73F66" w:rsidP="00F73F66">
      <w:pPr>
        <w:autoSpaceDE w:val="0"/>
        <w:autoSpaceDN w:val="0"/>
        <w:adjustRightInd w:val="0"/>
        <w:spacing w:line="360" w:lineRule="auto"/>
        <w:jc w:val="both"/>
        <w:rPr>
          <w:rFonts w:ascii="Palatino Linotype" w:eastAsia="Times New Roman" w:hAnsi="Palatino Linotype" w:cs="Arial"/>
          <w:sz w:val="24"/>
          <w:szCs w:val="24"/>
        </w:rPr>
      </w:pPr>
      <w:r w:rsidRPr="00D6033B">
        <w:rPr>
          <w:rFonts w:ascii="Palatino Linotype" w:eastAsia="Times New Roman" w:hAnsi="Palatino Linotype" w:cs="Arial"/>
          <w:sz w:val="24"/>
          <w:szCs w:val="24"/>
        </w:rPr>
        <w:lastRenderedPageBreak/>
        <w:t xml:space="preserve">Correlativo a lo anterior, es preciso referir una definición de </w:t>
      </w:r>
      <w:r w:rsidRPr="00D6033B">
        <w:rPr>
          <w:rFonts w:ascii="Palatino Linotype" w:eastAsia="Times New Roman" w:hAnsi="Palatino Linotype" w:cs="Arial"/>
          <w:i/>
          <w:sz w:val="24"/>
          <w:szCs w:val="24"/>
        </w:rPr>
        <w:t>póliza contable</w:t>
      </w:r>
      <w:r w:rsidRPr="00D6033B">
        <w:rPr>
          <w:rFonts w:ascii="Palatino Linotype" w:eastAsia="Times New Roman" w:hAnsi="Palatino Linotype" w:cs="Arial"/>
          <w:sz w:val="24"/>
          <w:szCs w:val="24"/>
        </w:rPr>
        <w:t xml:space="preserve">, la cual, primeramente, no está definida en el Código Financiero del Estado de México y Municipios; no obstante, los ya mencionados Glosarios la definen como: </w:t>
      </w:r>
    </w:p>
    <w:p w14:paraId="007A998D" w14:textId="77777777" w:rsidR="00F73F66" w:rsidRPr="00D6033B" w:rsidRDefault="00F73F66" w:rsidP="00F73F66">
      <w:pPr>
        <w:spacing w:line="360" w:lineRule="auto"/>
        <w:ind w:left="567" w:right="567"/>
        <w:jc w:val="both"/>
        <w:rPr>
          <w:rFonts w:ascii="Palatino Linotype" w:eastAsia="Times New Roman" w:hAnsi="Palatino Linotype" w:cs="Arial"/>
          <w:b/>
          <w:i/>
        </w:rPr>
      </w:pPr>
      <w:r w:rsidRPr="00D6033B">
        <w:rPr>
          <w:rFonts w:ascii="Palatino Linotype" w:eastAsia="Times New Roman" w:hAnsi="Palatino Linotype" w:cs="Arial"/>
          <w:i/>
        </w:rPr>
        <w:t>“</w:t>
      </w:r>
      <w:r w:rsidRPr="00D6033B">
        <w:rPr>
          <w:rFonts w:ascii="Palatino Linotype" w:eastAsia="Times New Roman" w:hAnsi="Palatino Linotype" w:cs="Arial"/>
          <w:b/>
          <w:i/>
        </w:rPr>
        <w:t>PÓLIZA CONTABLE</w:t>
      </w:r>
    </w:p>
    <w:p w14:paraId="7A615A8F" w14:textId="77777777" w:rsidR="00F73F66" w:rsidRPr="00D6033B" w:rsidRDefault="00F73F66" w:rsidP="00F73F66">
      <w:pPr>
        <w:spacing w:line="360" w:lineRule="auto"/>
        <w:ind w:left="567" w:right="567"/>
        <w:jc w:val="both"/>
        <w:rPr>
          <w:rFonts w:ascii="Palatino Linotype" w:eastAsia="Times New Roman" w:hAnsi="Palatino Linotype" w:cs="Arial"/>
          <w:i/>
        </w:rPr>
      </w:pPr>
      <w:r w:rsidRPr="00D6033B">
        <w:rPr>
          <w:rFonts w:ascii="Palatino Linotype" w:eastAsia="Times New Roman" w:hAnsi="Palatino Linotype" w:cs="Arial"/>
          <w:i/>
        </w:rPr>
        <w:t>Documento en el cual se asientan en forma individual todas y cada una de las operaciones desarrolladas por una institución, así como la información necesaria para la identificación de dichas operaciones.” (sic)</w:t>
      </w:r>
    </w:p>
    <w:p w14:paraId="03DC23D4" w14:textId="77777777" w:rsidR="00F73F66" w:rsidRPr="00D6033B" w:rsidRDefault="00F73F66" w:rsidP="00F73F66">
      <w:pPr>
        <w:spacing w:line="360" w:lineRule="auto"/>
        <w:ind w:left="567" w:right="618"/>
        <w:jc w:val="both"/>
        <w:rPr>
          <w:rFonts w:ascii="Palatino Linotype" w:eastAsia="Times New Roman" w:hAnsi="Palatino Linotype" w:cs="Arial"/>
          <w:i/>
          <w:sz w:val="24"/>
          <w:szCs w:val="24"/>
        </w:rPr>
      </w:pPr>
    </w:p>
    <w:p w14:paraId="2F572F0B" w14:textId="77777777" w:rsidR="00F73F66" w:rsidRPr="00D6033B" w:rsidRDefault="00F73F66" w:rsidP="00F73F66">
      <w:pPr>
        <w:spacing w:line="360" w:lineRule="auto"/>
        <w:contextualSpacing/>
        <w:jc w:val="both"/>
        <w:rPr>
          <w:rFonts w:ascii="Palatino Linotype" w:eastAsia="Times New Roman" w:hAnsi="Palatino Linotype" w:cs="Arial"/>
          <w:sz w:val="24"/>
          <w:szCs w:val="24"/>
        </w:rPr>
      </w:pPr>
      <w:r w:rsidRPr="00D6033B">
        <w:rPr>
          <w:rFonts w:ascii="Palatino Linotype" w:eastAsia="Times New Roman" w:hAnsi="Palatino Linotype" w:cs="Arial"/>
          <w:sz w:val="24"/>
          <w:szCs w:val="24"/>
        </w:rPr>
        <w:t xml:space="preserve">Así, se advierte que la </w:t>
      </w:r>
      <w:r w:rsidRPr="00D6033B">
        <w:rPr>
          <w:rFonts w:ascii="Palatino Linotype" w:eastAsia="Times New Roman" w:hAnsi="Palatino Linotype" w:cs="Arial"/>
          <w:i/>
          <w:sz w:val="24"/>
          <w:szCs w:val="24"/>
        </w:rPr>
        <w:t>póliza contable</w:t>
      </w:r>
      <w:r w:rsidRPr="00D6033B">
        <w:rPr>
          <w:rFonts w:ascii="Palatino Linotype" w:eastAsia="Times New Roman" w:hAnsi="Palatino Linotype" w:cs="Arial"/>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3EB48739" w14:textId="77777777" w:rsidR="00F73F66" w:rsidRPr="00D6033B" w:rsidRDefault="00F73F66" w:rsidP="00F73F66">
      <w:pPr>
        <w:spacing w:line="360" w:lineRule="auto"/>
        <w:contextualSpacing/>
        <w:jc w:val="both"/>
        <w:rPr>
          <w:rFonts w:ascii="Palatino Linotype" w:eastAsia="Times New Roman" w:hAnsi="Palatino Linotype" w:cs="Arial"/>
          <w:sz w:val="24"/>
          <w:szCs w:val="24"/>
        </w:rPr>
      </w:pPr>
    </w:p>
    <w:p w14:paraId="590BB7D8" w14:textId="2AEDB83E" w:rsidR="00F73F66" w:rsidRPr="00D6033B" w:rsidRDefault="00F73F66" w:rsidP="00B77F01">
      <w:pPr>
        <w:pBdr>
          <w:top w:val="nil"/>
          <w:left w:val="nil"/>
          <w:bottom w:val="nil"/>
          <w:right w:val="nil"/>
          <w:between w:val="nil"/>
        </w:pBdr>
        <w:spacing w:line="360" w:lineRule="auto"/>
        <w:contextualSpacing/>
        <w:jc w:val="both"/>
        <w:rPr>
          <w:rFonts w:ascii="Palatino Linotype" w:hAnsi="Palatino Linotype"/>
          <w:sz w:val="24"/>
          <w:szCs w:val="24"/>
        </w:rPr>
      </w:pPr>
      <w:r w:rsidRPr="00D6033B">
        <w:rPr>
          <w:rFonts w:ascii="Palatino Linotype" w:hAnsi="Palatino Linotype"/>
          <w:sz w:val="24"/>
          <w:szCs w:val="24"/>
        </w:rPr>
        <w:t xml:space="preserve">En este sentido, existen diversos tipos de pólizas contables de acuerdo con las operaciones realizadas, dentro de las cuales, encontramos las llamadas </w:t>
      </w:r>
      <w:r w:rsidRPr="00D6033B">
        <w:rPr>
          <w:rFonts w:ascii="Palatino Linotype" w:hAnsi="Palatino Linotype"/>
          <w:b/>
          <w:sz w:val="24"/>
          <w:szCs w:val="24"/>
        </w:rPr>
        <w:t>pólizas de egresos con los documentos probatorios</w:t>
      </w:r>
      <w:r w:rsidRPr="00D6033B">
        <w:rPr>
          <w:rFonts w:ascii="Palatino Linotype" w:hAnsi="Palatino Linotype"/>
          <w:sz w:val="24"/>
          <w:szCs w:val="24"/>
        </w:rPr>
        <w:t>, la cual refleja cualquier operación contable en 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3198BA5A" w14:textId="77777777" w:rsidR="00F73F66" w:rsidRPr="00D6033B" w:rsidRDefault="00F73F66" w:rsidP="00B77F01">
      <w:pPr>
        <w:pBdr>
          <w:top w:val="nil"/>
          <w:left w:val="nil"/>
          <w:bottom w:val="nil"/>
          <w:right w:val="nil"/>
          <w:between w:val="nil"/>
        </w:pBdr>
        <w:spacing w:line="360" w:lineRule="auto"/>
        <w:contextualSpacing/>
        <w:jc w:val="both"/>
        <w:rPr>
          <w:rFonts w:ascii="Palatino Linotype" w:hAnsi="Palatino Linotype"/>
          <w:sz w:val="24"/>
          <w:szCs w:val="24"/>
        </w:rPr>
      </w:pPr>
      <w:r w:rsidRPr="00D6033B">
        <w:rPr>
          <w:rFonts w:ascii="Palatino Linotype" w:hAnsi="Palatino Linotype"/>
          <w:sz w:val="24"/>
          <w:szCs w:val="24"/>
        </w:rPr>
        <w:lastRenderedPageBreak/>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4B31E337" w14:textId="77777777" w:rsidR="00F73F66" w:rsidRPr="00D6033B" w:rsidRDefault="00F73F66" w:rsidP="00B77F01">
      <w:pPr>
        <w:pBdr>
          <w:top w:val="nil"/>
          <w:left w:val="nil"/>
          <w:bottom w:val="nil"/>
          <w:right w:val="nil"/>
          <w:between w:val="nil"/>
        </w:pBdr>
        <w:spacing w:line="360" w:lineRule="auto"/>
        <w:contextualSpacing/>
        <w:jc w:val="both"/>
        <w:rPr>
          <w:rFonts w:ascii="Palatino Linotype" w:hAnsi="Palatino Linotype"/>
          <w:sz w:val="24"/>
          <w:szCs w:val="24"/>
        </w:rPr>
      </w:pPr>
    </w:p>
    <w:p w14:paraId="53E68A9F" w14:textId="77777777" w:rsidR="00F73F66" w:rsidRPr="00D6033B" w:rsidRDefault="00F73F66" w:rsidP="00B77F01">
      <w:pPr>
        <w:pBdr>
          <w:top w:val="nil"/>
          <w:left w:val="nil"/>
          <w:bottom w:val="nil"/>
          <w:right w:val="nil"/>
          <w:between w:val="nil"/>
        </w:pBdr>
        <w:spacing w:line="360" w:lineRule="auto"/>
        <w:contextualSpacing/>
        <w:jc w:val="both"/>
        <w:rPr>
          <w:rFonts w:ascii="Palatino Linotype" w:hAnsi="Palatino Linotype"/>
          <w:i/>
          <w:sz w:val="24"/>
          <w:szCs w:val="24"/>
        </w:rPr>
      </w:pPr>
      <w:r w:rsidRPr="00D6033B">
        <w:rPr>
          <w:rFonts w:ascii="Palatino Linotype" w:hAnsi="Palatino Linotype"/>
          <w:i/>
          <w:noProof/>
          <w:sz w:val="24"/>
          <w:szCs w:val="24"/>
          <w:lang w:val="es-ES" w:eastAsia="es-ES"/>
          <w14:ligatures w14:val="standardContextual"/>
        </w:rPr>
        <mc:AlternateContent>
          <mc:Choice Requires="wps">
            <w:drawing>
              <wp:anchor distT="0" distB="0" distL="114300" distR="114300" simplePos="0" relativeHeight="251659264" behindDoc="0" locked="0" layoutInCell="1" allowOverlap="1" wp14:anchorId="0F0C220C" wp14:editId="5F82F0D6">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EBE39F6" id="Rectángulo 6" o:spid="_x0000_s1026" style="position:absolute;margin-left:70.65pt;margin-top:32.35pt;width:391.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D6033B">
        <w:rPr>
          <w:rFonts w:ascii="Palatino Linotype" w:hAnsi="Palatino Linotype"/>
          <w:i/>
          <w:noProof/>
          <w:sz w:val="24"/>
          <w:szCs w:val="24"/>
          <w:lang w:val="es-ES" w:eastAsia="es-ES"/>
        </w:rPr>
        <w:drawing>
          <wp:inline distT="0" distB="0" distL="0" distR="0" wp14:anchorId="3D5E30B6" wp14:editId="617F9054">
            <wp:extent cx="5939790" cy="1902460"/>
            <wp:effectExtent l="0" t="0" r="381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1902460"/>
                    </a:xfrm>
                    <a:prstGeom prst="rect">
                      <a:avLst/>
                    </a:prstGeom>
                  </pic:spPr>
                </pic:pic>
              </a:graphicData>
            </a:graphic>
          </wp:inline>
        </w:drawing>
      </w:r>
    </w:p>
    <w:p w14:paraId="4E60E734" w14:textId="77777777" w:rsidR="00F73F66" w:rsidRPr="00D6033B" w:rsidRDefault="00F73F66" w:rsidP="00B77F01">
      <w:pPr>
        <w:pBdr>
          <w:top w:val="nil"/>
          <w:left w:val="nil"/>
          <w:bottom w:val="nil"/>
          <w:right w:val="nil"/>
          <w:between w:val="nil"/>
        </w:pBdr>
        <w:spacing w:line="360" w:lineRule="auto"/>
        <w:contextualSpacing/>
        <w:jc w:val="both"/>
        <w:rPr>
          <w:rFonts w:ascii="Palatino Linotype" w:hAnsi="Palatino Linotype"/>
          <w:i/>
          <w:sz w:val="24"/>
          <w:szCs w:val="24"/>
        </w:rPr>
      </w:pPr>
    </w:p>
    <w:p w14:paraId="76928FE0" w14:textId="77777777" w:rsidR="00F73F66" w:rsidRPr="00D6033B" w:rsidRDefault="00F73F66" w:rsidP="00B77F01">
      <w:pPr>
        <w:pBdr>
          <w:top w:val="nil"/>
          <w:left w:val="nil"/>
          <w:bottom w:val="nil"/>
          <w:right w:val="nil"/>
          <w:between w:val="nil"/>
        </w:pBdr>
        <w:spacing w:line="360" w:lineRule="auto"/>
        <w:contextualSpacing/>
        <w:jc w:val="both"/>
        <w:rPr>
          <w:rFonts w:ascii="Palatino Linotype" w:hAnsi="Palatino Linotype"/>
          <w:sz w:val="24"/>
          <w:szCs w:val="24"/>
        </w:rPr>
      </w:pPr>
      <w:r w:rsidRPr="00D6033B">
        <w:rPr>
          <w:rFonts w:ascii="Palatino Linotype" w:hAnsi="Palatino Linotype"/>
          <w:sz w:val="24"/>
          <w:szCs w:val="24"/>
        </w:rPr>
        <w:t xml:space="preserve">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por lo que, debe de obrar en sus archivos las facturas que guardan relación con lo requerido por el ahora recurrente. </w:t>
      </w:r>
    </w:p>
    <w:p w14:paraId="6FA68A58" w14:textId="77777777" w:rsidR="007A2DB6" w:rsidRPr="00D6033B" w:rsidRDefault="007A2DB6" w:rsidP="00B77F01">
      <w:pPr>
        <w:pBdr>
          <w:top w:val="nil"/>
          <w:left w:val="nil"/>
          <w:bottom w:val="nil"/>
          <w:right w:val="nil"/>
          <w:between w:val="nil"/>
        </w:pBdr>
        <w:spacing w:line="360" w:lineRule="auto"/>
        <w:contextualSpacing/>
        <w:jc w:val="both"/>
        <w:rPr>
          <w:rFonts w:ascii="Palatino Linotype" w:hAnsi="Palatino Linotype"/>
          <w:sz w:val="24"/>
          <w:szCs w:val="24"/>
        </w:rPr>
      </w:pPr>
    </w:p>
    <w:p w14:paraId="6316497A" w14:textId="77777777" w:rsidR="007A2DB6" w:rsidRPr="00D6033B" w:rsidRDefault="007A2DB6" w:rsidP="00B77F01">
      <w:pPr>
        <w:pBdr>
          <w:top w:val="nil"/>
          <w:left w:val="nil"/>
          <w:bottom w:val="nil"/>
          <w:right w:val="nil"/>
          <w:between w:val="nil"/>
        </w:pBdr>
        <w:spacing w:line="360" w:lineRule="auto"/>
        <w:contextualSpacing/>
        <w:jc w:val="both"/>
        <w:rPr>
          <w:rFonts w:ascii="Palatino Linotype" w:hAnsi="Palatino Linotype"/>
          <w:sz w:val="24"/>
          <w:szCs w:val="24"/>
        </w:rPr>
      </w:pPr>
      <w:r w:rsidRPr="00D6033B">
        <w:rPr>
          <w:rFonts w:ascii="Palatino Linotype" w:hAnsi="Palatino Linotype"/>
          <w:sz w:val="24"/>
          <w:szCs w:val="24"/>
        </w:rPr>
        <w:lastRenderedPageBreak/>
        <w:t>De lo anterior sin que pase por desapercibido que el Sujeto Obligado señalo la existencia de un contrato del año 2023, por lo que</w:t>
      </w:r>
      <w:r w:rsidR="00B77F01" w:rsidRPr="00D6033B">
        <w:rPr>
          <w:rFonts w:ascii="Palatino Linotype" w:hAnsi="Palatino Linotype"/>
          <w:sz w:val="24"/>
          <w:szCs w:val="24"/>
        </w:rPr>
        <w:t xml:space="preserve"> al no ser proporcionadas</w:t>
      </w:r>
      <w:r w:rsidRPr="00D6033B">
        <w:rPr>
          <w:rFonts w:ascii="Palatino Linotype" w:hAnsi="Palatino Linotype"/>
          <w:sz w:val="24"/>
          <w:szCs w:val="24"/>
        </w:rPr>
        <w:t xml:space="preserve"> las facturas </w:t>
      </w:r>
      <w:r w:rsidR="00B77F01" w:rsidRPr="00D6033B">
        <w:rPr>
          <w:rFonts w:ascii="Palatino Linotype" w:hAnsi="Palatino Linotype"/>
          <w:sz w:val="24"/>
          <w:szCs w:val="24"/>
        </w:rPr>
        <w:t>requeridas por el Recurrente resulta dable ordenar las facturas generadas del contrato referido en respuesta por el Sujeto Obligado de ser procedente en versión pública.</w:t>
      </w:r>
    </w:p>
    <w:p w14:paraId="690DC2BB" w14:textId="77777777" w:rsidR="00F73F66" w:rsidRPr="00D6033B" w:rsidRDefault="00F73F66" w:rsidP="00F73F66">
      <w:pPr>
        <w:spacing w:line="360" w:lineRule="auto"/>
        <w:jc w:val="both"/>
        <w:rPr>
          <w:rFonts w:ascii="Palatino Linotype" w:eastAsia="Times New Roman" w:hAnsi="Palatino Linotype" w:cs="Arial"/>
          <w:bCs/>
          <w:color w:val="000000"/>
          <w:sz w:val="24"/>
          <w:szCs w:val="24"/>
          <w:lang w:eastAsia="es-ES"/>
        </w:rPr>
      </w:pPr>
    </w:p>
    <w:p w14:paraId="4FF471F9" w14:textId="77777777" w:rsidR="00F73F66" w:rsidRPr="00D6033B" w:rsidRDefault="00F73F66" w:rsidP="00F73F66">
      <w:pPr>
        <w:spacing w:line="360" w:lineRule="auto"/>
        <w:contextualSpacing/>
        <w:jc w:val="both"/>
        <w:rPr>
          <w:rFonts w:ascii="Palatino Linotype" w:eastAsia="Times New Roman" w:hAnsi="Palatino Linotype" w:cs="Arial"/>
          <w:bCs/>
          <w:color w:val="000000"/>
          <w:sz w:val="24"/>
          <w:szCs w:val="24"/>
          <w:lang w:eastAsia="es-ES"/>
        </w:rPr>
      </w:pPr>
      <w:r w:rsidRPr="00D6033B">
        <w:rPr>
          <w:rFonts w:ascii="Palatino Linotype" w:eastAsia="Times New Roman" w:hAnsi="Palatino Linotype" w:cs="Arial"/>
          <w:bCs/>
          <w:color w:val="000000"/>
          <w:sz w:val="24"/>
          <w:szCs w:val="24"/>
          <w:lang w:eastAsia="es-ES"/>
        </w:rPr>
        <w:t xml:space="preserve">Cabe destacar, que el ordenamiento legal en cita refiere que todo registro contable y presupuestal </w:t>
      </w:r>
      <w:r w:rsidRPr="00D6033B">
        <w:rPr>
          <w:rFonts w:ascii="Palatino Linotype" w:eastAsia="Times New Roman" w:hAnsi="Palatino Linotype" w:cs="Arial"/>
          <w:b/>
          <w:bCs/>
          <w:color w:val="000000"/>
          <w:sz w:val="24"/>
          <w:szCs w:val="24"/>
          <w:lang w:eastAsia="es-ES"/>
        </w:rPr>
        <w:t>deberá estar soportado con los documentos comprobatorios originales</w:t>
      </w:r>
      <w:r w:rsidRPr="00D6033B">
        <w:rPr>
          <w:rFonts w:ascii="Palatino Linotype" w:eastAsia="Times New Roman" w:hAnsi="Palatino Linotype" w:cs="Arial"/>
          <w:bCs/>
          <w:color w:val="000000"/>
          <w:sz w:val="24"/>
          <w:szCs w:val="24"/>
          <w:lang w:eastAsia="es-ES"/>
        </w:rPr>
        <w:t>, como lo son las facturas solicitadas, los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w:t>
      </w:r>
    </w:p>
    <w:p w14:paraId="6FC548D4" w14:textId="77777777" w:rsidR="00F73F66" w:rsidRPr="00D6033B" w:rsidRDefault="00F73F66" w:rsidP="00F73F66">
      <w:pPr>
        <w:spacing w:line="360" w:lineRule="auto"/>
        <w:ind w:right="-93"/>
        <w:jc w:val="both"/>
        <w:rPr>
          <w:rFonts w:ascii="Palatino Linotype" w:hAnsi="Palatino Linotype" w:cs="Tahoma"/>
          <w:b/>
          <w:bCs/>
          <w:sz w:val="24"/>
          <w:szCs w:val="24"/>
        </w:rPr>
      </w:pPr>
    </w:p>
    <w:p w14:paraId="7E87D204" w14:textId="77777777" w:rsidR="007A2DB6" w:rsidRPr="00D6033B" w:rsidRDefault="00F73F66" w:rsidP="00F73F66">
      <w:pPr>
        <w:spacing w:line="360" w:lineRule="auto"/>
        <w:ind w:right="-93"/>
        <w:jc w:val="both"/>
        <w:rPr>
          <w:rFonts w:ascii="Palatino Linotype" w:eastAsia="Times New Roman" w:hAnsi="Palatino Linotype" w:cs="Tahoma"/>
          <w:sz w:val="24"/>
          <w:szCs w:val="24"/>
          <w:lang w:eastAsia="es-ES"/>
        </w:rPr>
      </w:pPr>
      <w:r w:rsidRPr="00D6033B">
        <w:rPr>
          <w:rFonts w:ascii="Palatino Linotype" w:eastAsia="Times New Roman" w:hAnsi="Palatino Linotype" w:cs="Tahoma"/>
          <w:sz w:val="24"/>
          <w:szCs w:val="24"/>
          <w:lang w:eastAsia="es-ES"/>
        </w:rPr>
        <w:t xml:space="preserve">Atento a lo anterior, resulta claro que existe fuente obligacional que constriñe al Sujeto Obligado a generar administrar y poseer la información interés del Particular, en consecuencia, la información solicitada; debe obrar en los </w:t>
      </w:r>
      <w:r w:rsidR="007A2DB6" w:rsidRPr="00D6033B">
        <w:rPr>
          <w:rFonts w:ascii="Palatino Linotype" w:eastAsia="Times New Roman" w:hAnsi="Palatino Linotype" w:cs="Tahoma"/>
          <w:sz w:val="24"/>
          <w:szCs w:val="24"/>
          <w:lang w:eastAsia="es-ES"/>
        </w:rPr>
        <w:t xml:space="preserve">archivos del Sujeto Obligado.  </w:t>
      </w:r>
    </w:p>
    <w:p w14:paraId="3B90DDF6" w14:textId="77777777" w:rsidR="007A2DB6" w:rsidRPr="00D6033B" w:rsidRDefault="007A2DB6" w:rsidP="00F73F66">
      <w:pPr>
        <w:spacing w:line="360" w:lineRule="auto"/>
        <w:ind w:right="-93"/>
        <w:jc w:val="both"/>
        <w:rPr>
          <w:rFonts w:ascii="Palatino Linotype" w:eastAsia="Times New Roman" w:hAnsi="Palatino Linotype" w:cs="Tahoma"/>
          <w:sz w:val="24"/>
          <w:szCs w:val="24"/>
          <w:lang w:eastAsia="es-ES"/>
        </w:rPr>
      </w:pPr>
    </w:p>
    <w:p w14:paraId="3F9FFF9B" w14:textId="77777777" w:rsidR="00F73F66" w:rsidRPr="00D6033B" w:rsidRDefault="00F73F66" w:rsidP="00355475">
      <w:pPr>
        <w:spacing w:line="360" w:lineRule="auto"/>
        <w:ind w:right="-93"/>
        <w:jc w:val="both"/>
        <w:rPr>
          <w:rFonts w:ascii="Palatino Linotype" w:eastAsia="Times New Roman" w:hAnsi="Palatino Linotype" w:cs="Tahoma"/>
          <w:sz w:val="24"/>
          <w:szCs w:val="24"/>
          <w:lang w:eastAsia="es-ES"/>
        </w:rPr>
      </w:pPr>
      <w:r w:rsidRPr="00D6033B">
        <w:rPr>
          <w:rFonts w:ascii="Palatino Linotype" w:eastAsia="Times New Roman" w:hAnsi="Palatino Linotype" w:cs="Tahoma"/>
          <w:sz w:val="24"/>
          <w:szCs w:val="24"/>
          <w:lang w:eastAsia="es-ES"/>
        </w:rPr>
        <w:t>En este sentido, de acuerdo a la naturaleza de la información solicitada se concluye que esta es de interés general y de alcance público, puesto que la ciudadanía tiene derecho a saber los gastos realizados por los sujetos obligados, esto es, su acceso permite transparentar las er</w:t>
      </w:r>
      <w:r w:rsidR="00355475" w:rsidRPr="00D6033B">
        <w:rPr>
          <w:rFonts w:ascii="Palatino Linotype" w:eastAsia="Times New Roman" w:hAnsi="Palatino Linotype" w:cs="Tahoma"/>
          <w:sz w:val="24"/>
          <w:szCs w:val="24"/>
          <w:lang w:eastAsia="es-ES"/>
        </w:rPr>
        <w:t>ogaciones del servicio público.</w:t>
      </w:r>
    </w:p>
    <w:p w14:paraId="781DC3F5"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28F3885D" w14:textId="41A09A04" w:rsidR="00E77C78" w:rsidRPr="00D6033B" w:rsidRDefault="009B45E6">
      <w:pPr>
        <w:spacing w:line="360" w:lineRule="auto"/>
        <w:jc w:val="both"/>
        <w:rPr>
          <w:rFonts w:ascii="Palatino Linotype" w:eastAsia="Palatino Linotype" w:hAnsi="Palatino Linotype" w:cs="Palatino Linotype"/>
          <w:color w:val="000000"/>
          <w:sz w:val="24"/>
          <w:szCs w:val="24"/>
        </w:rPr>
      </w:pPr>
      <w:r w:rsidRPr="00D6033B">
        <w:rPr>
          <w:rFonts w:ascii="Palatino Linotype" w:eastAsia="Palatino Linotype" w:hAnsi="Palatino Linotype" w:cs="Palatino Linotype"/>
          <w:sz w:val="24"/>
          <w:szCs w:val="24"/>
        </w:rPr>
        <w:lastRenderedPageBreak/>
        <w:t xml:space="preserve">Con base en lo anteriormente expuesto, </w:t>
      </w:r>
      <w:r w:rsidR="00E77C78" w:rsidRPr="00D6033B">
        <w:rPr>
          <w:rFonts w:ascii="Palatino Linotype" w:eastAsia="Palatino Linotype" w:hAnsi="Palatino Linotype" w:cs="Palatino Linotype"/>
          <w:sz w:val="24"/>
          <w:szCs w:val="24"/>
        </w:rPr>
        <w:t>este Órgano Garante</w:t>
      </w:r>
      <w:r w:rsidRPr="00D6033B">
        <w:rPr>
          <w:rFonts w:ascii="Palatino Linotype" w:eastAsia="Palatino Linotype" w:hAnsi="Palatino Linotype" w:cs="Palatino Linotype"/>
          <w:sz w:val="24"/>
          <w:szCs w:val="24"/>
        </w:rPr>
        <w:t xml:space="preserve"> arriba a la conclusión que, se acredita de manera fehaciente que el Sujeto Obligado no colmó el derecho de acceso a la información pública. Consecuentemente resulta procedente ordenar la entrega, en versión pública de ser procedente, </w:t>
      </w:r>
      <w:r w:rsidR="003D6E3A" w:rsidRPr="00D6033B">
        <w:rPr>
          <w:rFonts w:ascii="Palatino Linotype" w:eastAsia="Palatino Linotype" w:hAnsi="Palatino Linotype" w:cs="Palatino Linotype"/>
          <w:sz w:val="24"/>
          <w:szCs w:val="24"/>
        </w:rPr>
        <w:t xml:space="preserve">contrato referido en respuesta </w:t>
      </w:r>
      <w:r w:rsidRPr="00D6033B">
        <w:rPr>
          <w:rFonts w:ascii="Palatino Linotype" w:eastAsia="Palatino Linotype" w:hAnsi="Palatino Linotype" w:cs="Palatino Linotype"/>
          <w:sz w:val="24"/>
          <w:szCs w:val="24"/>
        </w:rPr>
        <w:t>por el sujeto obligado</w:t>
      </w:r>
      <w:r w:rsidR="00355475" w:rsidRPr="00D6033B">
        <w:rPr>
          <w:rFonts w:ascii="Palatino Linotype" w:eastAsia="Palatino Linotype" w:hAnsi="Palatino Linotype" w:cs="Palatino Linotype"/>
          <w:sz w:val="24"/>
          <w:szCs w:val="24"/>
        </w:rPr>
        <w:t xml:space="preserve"> así como las facturas generadas </w:t>
      </w:r>
      <w:r w:rsidR="003D6E3A" w:rsidRPr="00D6033B">
        <w:rPr>
          <w:rFonts w:ascii="Palatino Linotype" w:eastAsia="Palatino Linotype" w:hAnsi="Palatino Linotype" w:cs="Palatino Linotype"/>
          <w:sz w:val="24"/>
          <w:szCs w:val="24"/>
        </w:rPr>
        <w:t xml:space="preserve">que amparan el contrato. </w:t>
      </w:r>
    </w:p>
    <w:p w14:paraId="21C32317" w14:textId="77777777" w:rsidR="00E77C78" w:rsidRPr="00D6033B" w:rsidRDefault="00E77C78">
      <w:pPr>
        <w:spacing w:line="360" w:lineRule="auto"/>
        <w:jc w:val="both"/>
        <w:rPr>
          <w:rFonts w:ascii="Palatino Linotype" w:eastAsia="Palatino Linotype" w:hAnsi="Palatino Linotype" w:cs="Palatino Linotype"/>
          <w:color w:val="000000"/>
          <w:sz w:val="24"/>
          <w:szCs w:val="24"/>
        </w:rPr>
      </w:pPr>
    </w:p>
    <w:p w14:paraId="5625F1E3"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Finalmente, la información requerida, 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w:t>
      </w:r>
    </w:p>
    <w:p w14:paraId="08BD64B7" w14:textId="77777777" w:rsidR="00C91C7B" w:rsidRPr="00D6033B" w:rsidRDefault="00C91C7B">
      <w:pPr>
        <w:spacing w:after="0" w:line="360" w:lineRule="auto"/>
        <w:jc w:val="both"/>
        <w:rPr>
          <w:rFonts w:ascii="Palatino Linotype" w:eastAsia="Palatino Linotype" w:hAnsi="Palatino Linotype" w:cs="Palatino Linotype"/>
          <w:b/>
          <w:i/>
          <w:sz w:val="28"/>
          <w:szCs w:val="28"/>
        </w:rPr>
      </w:pPr>
    </w:p>
    <w:p w14:paraId="64CD6C63" w14:textId="77777777" w:rsidR="00C91C7B" w:rsidRPr="00D6033B" w:rsidRDefault="009B45E6">
      <w:pPr>
        <w:spacing w:after="80" w:line="360" w:lineRule="auto"/>
        <w:jc w:val="both"/>
        <w:rPr>
          <w:rFonts w:ascii="Palatino Linotype" w:eastAsia="Palatino Linotype" w:hAnsi="Palatino Linotype" w:cs="Palatino Linotype"/>
          <w:b/>
          <w:i/>
          <w:sz w:val="28"/>
          <w:szCs w:val="28"/>
        </w:rPr>
      </w:pPr>
      <w:r w:rsidRPr="00D6033B">
        <w:rPr>
          <w:rFonts w:ascii="Palatino Linotype" w:eastAsia="Palatino Linotype" w:hAnsi="Palatino Linotype" w:cs="Palatino Linotype"/>
          <w:b/>
          <w:i/>
          <w:sz w:val="28"/>
          <w:szCs w:val="28"/>
        </w:rPr>
        <w:t>De la versión pública</w:t>
      </w:r>
    </w:p>
    <w:p w14:paraId="37C3FCBD" w14:textId="77777777" w:rsidR="00C91C7B" w:rsidRPr="00D6033B" w:rsidRDefault="009B45E6">
      <w:pPr>
        <w:tabs>
          <w:tab w:val="left" w:pos="7938"/>
        </w:tabs>
        <w:spacing w:before="80" w:after="24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w:t>
      </w:r>
      <w:r w:rsidRPr="00D6033B">
        <w:rPr>
          <w:rFonts w:ascii="Palatino Linotype" w:eastAsia="Palatino Linotype" w:hAnsi="Palatino Linotype" w:cs="Palatino Linotype"/>
          <w:sz w:val="24"/>
          <w:szCs w:val="24"/>
        </w:rPr>
        <w:lastRenderedPageBreak/>
        <w:t>protección de datos personales, cuyo fundamento legal aplicable se encuentra inmerso en los numerales de la Ley de la materia, que a la letra esgrimen:</w:t>
      </w:r>
    </w:p>
    <w:p w14:paraId="74C3B247"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“Artículo 3. Para los efectos de la presente Ley se entenderá por:</w:t>
      </w:r>
    </w:p>
    <w:p w14:paraId="129B42E9"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69629486"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b/>
          <w:i/>
          <w:u w:val="single"/>
        </w:rPr>
        <w:t>IX. Datos personales:</w:t>
      </w:r>
      <w:r w:rsidRPr="00D6033B">
        <w:rPr>
          <w:rFonts w:ascii="Palatino Linotype" w:eastAsia="Palatino Linotype" w:hAnsi="Palatino Linotype" w:cs="Palatino Linotype"/>
          <w:b/>
          <w:i/>
        </w:rPr>
        <w:t xml:space="preserve"> </w:t>
      </w:r>
      <w:r w:rsidRPr="00D6033B">
        <w:rPr>
          <w:rFonts w:ascii="Palatino Linotype" w:eastAsia="Palatino Linotype" w:hAnsi="Palatino Linotype" w:cs="Palatino Linotype"/>
          <w:i/>
        </w:rPr>
        <w:t>La información concerniente a una persona, identificada o identificable según lo dispuesto por la Ley de Protección de Datos Personales del Estado de México;</w:t>
      </w:r>
    </w:p>
    <w:p w14:paraId="05E8B525"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b/>
          <w:i/>
        </w:rPr>
        <w:t>(…)</w:t>
      </w:r>
    </w:p>
    <w:p w14:paraId="4B7A0576"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b/>
          <w:i/>
          <w:u w:val="single"/>
        </w:rPr>
        <w:t>XLV. Versión pública:</w:t>
      </w:r>
      <w:r w:rsidRPr="00D6033B">
        <w:rPr>
          <w:rFonts w:ascii="Palatino Linotype" w:eastAsia="Palatino Linotype" w:hAnsi="Palatino Linotype" w:cs="Palatino Linotype"/>
          <w:b/>
          <w:i/>
        </w:rPr>
        <w:t xml:space="preserve"> </w:t>
      </w:r>
      <w:r w:rsidRPr="00D6033B">
        <w:rPr>
          <w:rFonts w:ascii="Palatino Linotype" w:eastAsia="Palatino Linotype" w:hAnsi="Palatino Linotype" w:cs="Palatino Linotype"/>
          <w:i/>
        </w:rPr>
        <w:t>Documento en el que se elimine, suprime o borra la información clasificada como reservada o confidencial para permitir su acceso.</w:t>
      </w:r>
    </w:p>
    <w:p w14:paraId="2330627A"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t xml:space="preserve">Artículo 122. </w:t>
      </w:r>
      <w:r w:rsidRPr="00D6033B">
        <w:rPr>
          <w:rFonts w:ascii="Palatino Linotype" w:eastAsia="Palatino Linotype" w:hAnsi="Palatino Linotype" w:cs="Palatino Linotype"/>
          <w:b/>
          <w:i/>
          <w:u w:val="single"/>
        </w:rPr>
        <w:t>La clasificación es el proceso mediante el cual el sujeto obligado determina que la información en su poder actualiza alguno de los supuestos de reserva o confidencialidad, de conformidad con lo dispuesto en el presente título.</w:t>
      </w:r>
    </w:p>
    <w:p w14:paraId="123E974C"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063F0233"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Artículo 132. La clasificación de la información se llevará a cabo en el momento en que:</w:t>
      </w:r>
    </w:p>
    <w:p w14:paraId="3A440BDC"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w:t>
      </w:r>
    </w:p>
    <w:p w14:paraId="5F87CCA3" w14:textId="77777777" w:rsidR="00C91C7B" w:rsidRPr="00D6033B" w:rsidRDefault="009B45E6">
      <w:pPr>
        <w:spacing w:before="240" w:line="360" w:lineRule="auto"/>
        <w:ind w:left="851" w:right="851"/>
        <w:jc w:val="both"/>
        <w:rPr>
          <w:rFonts w:ascii="Palatino Linotype" w:eastAsia="Palatino Linotype" w:hAnsi="Palatino Linotype" w:cs="Palatino Linotype"/>
          <w:b/>
          <w:i/>
          <w:u w:val="single"/>
        </w:rPr>
      </w:pPr>
      <w:r w:rsidRPr="00D6033B">
        <w:rPr>
          <w:rFonts w:ascii="Palatino Linotype" w:eastAsia="Palatino Linotype" w:hAnsi="Palatino Linotype" w:cs="Palatino Linotype"/>
          <w:b/>
          <w:i/>
          <w:u w:val="single"/>
        </w:rPr>
        <w:t>II. Se determine mediante resolución de autoridad competente; o</w:t>
      </w:r>
    </w:p>
    <w:p w14:paraId="77C2819F"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b/>
          <w:i/>
        </w:rPr>
        <w:t xml:space="preserve">(…) </w:t>
      </w:r>
    </w:p>
    <w:p w14:paraId="7BF3ACFD"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D6033B">
        <w:rPr>
          <w:rFonts w:ascii="Palatino Linotype" w:eastAsia="Palatino Linotype" w:hAnsi="Palatino Linotype" w:cs="Palatino Linotype"/>
          <w:b/>
          <w:i/>
        </w:rPr>
        <w:t xml:space="preserve"> </w:t>
      </w:r>
      <w:r w:rsidRPr="00D6033B">
        <w:rPr>
          <w:rFonts w:ascii="Palatino Linotype" w:eastAsia="Palatino Linotype" w:hAnsi="Palatino Linotype" w:cs="Palatino Linotype"/>
          <w:b/>
          <w:i/>
          <w:u w:val="single"/>
        </w:rPr>
        <w:t xml:space="preserve">de manera genérica y fundando y motivando su clasificación.” </w:t>
      </w:r>
      <w:r w:rsidRPr="00D6033B">
        <w:rPr>
          <w:rFonts w:ascii="Palatino Linotype" w:eastAsia="Palatino Linotype" w:hAnsi="Palatino Linotype" w:cs="Palatino Linotype"/>
          <w:b/>
          <w:i/>
        </w:rPr>
        <w:t>[Sic]</w:t>
      </w:r>
    </w:p>
    <w:p w14:paraId="4E406C68"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188BAD6C"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14:paraId="4188C154" w14:textId="77777777" w:rsidR="00C91C7B" w:rsidRPr="00D6033B" w:rsidRDefault="009B45E6">
      <w:pPr>
        <w:numPr>
          <w:ilvl w:val="0"/>
          <w:numId w:val="6"/>
        </w:numPr>
        <w:pBdr>
          <w:top w:val="nil"/>
          <w:left w:val="nil"/>
          <w:bottom w:val="nil"/>
          <w:right w:val="nil"/>
          <w:between w:val="nil"/>
        </w:pBdr>
        <w:spacing w:after="0" w:line="360" w:lineRule="auto"/>
        <w:jc w:val="both"/>
        <w:rPr>
          <w:color w:val="000000"/>
          <w:sz w:val="24"/>
          <w:szCs w:val="24"/>
        </w:rPr>
      </w:pPr>
      <w:r w:rsidRPr="00D6033B">
        <w:rPr>
          <w:rFonts w:ascii="Palatino Linotype" w:eastAsia="Palatino Linotype" w:hAnsi="Palatino Linotype" w:cs="Palatino Linotype"/>
          <w:color w:val="000000"/>
          <w:sz w:val="24"/>
          <w:szCs w:val="24"/>
        </w:rPr>
        <w:t xml:space="preserve">La </w:t>
      </w:r>
      <w:r w:rsidRPr="00D6033B">
        <w:rPr>
          <w:rFonts w:ascii="Palatino Linotype" w:eastAsia="Palatino Linotype" w:hAnsi="Palatino Linotype" w:cs="Palatino Linotype"/>
          <w:b/>
          <w:color w:val="000000"/>
          <w:sz w:val="24"/>
          <w:szCs w:val="24"/>
        </w:rPr>
        <w:t>clave de elector</w:t>
      </w:r>
      <w:r w:rsidRPr="00D6033B">
        <w:rPr>
          <w:rFonts w:ascii="Palatino Linotype" w:eastAsia="Palatino Linotype" w:hAnsi="Palatino Linotype" w:cs="Palatino Linotype"/>
          <w:color w:val="000000"/>
          <w:sz w:val="24"/>
          <w:szCs w:val="24"/>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366D9D17"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26305293" w14:textId="77777777" w:rsidR="00C91C7B" w:rsidRPr="00D6033B" w:rsidRDefault="009B45E6">
      <w:pPr>
        <w:numPr>
          <w:ilvl w:val="0"/>
          <w:numId w:val="6"/>
        </w:numPr>
        <w:pBdr>
          <w:top w:val="nil"/>
          <w:left w:val="nil"/>
          <w:bottom w:val="nil"/>
          <w:right w:val="nil"/>
          <w:between w:val="nil"/>
        </w:pBdr>
        <w:spacing w:after="0" w:line="360" w:lineRule="auto"/>
        <w:jc w:val="both"/>
        <w:rPr>
          <w:color w:val="000000"/>
          <w:sz w:val="24"/>
          <w:szCs w:val="24"/>
        </w:rPr>
      </w:pPr>
      <w:r w:rsidRPr="00D6033B">
        <w:rPr>
          <w:rFonts w:ascii="Palatino Linotype" w:eastAsia="Palatino Linotype" w:hAnsi="Palatino Linotype" w:cs="Palatino Linotype"/>
          <w:color w:val="000000"/>
          <w:sz w:val="24"/>
          <w:szCs w:val="24"/>
        </w:rPr>
        <w:t xml:space="preserve">El </w:t>
      </w:r>
      <w:r w:rsidRPr="00D6033B">
        <w:rPr>
          <w:rFonts w:ascii="Palatino Linotype" w:eastAsia="Palatino Linotype" w:hAnsi="Palatino Linotype" w:cs="Palatino Linotype"/>
          <w:b/>
          <w:color w:val="000000"/>
          <w:sz w:val="24"/>
          <w:szCs w:val="24"/>
        </w:rPr>
        <w:t>número de OCR,</w:t>
      </w:r>
      <w:r w:rsidRPr="00D6033B">
        <w:rPr>
          <w:rFonts w:ascii="Palatino Linotype" w:eastAsia="Palatino Linotype" w:hAnsi="Palatino Linotype" w:cs="Palatino Linotype"/>
          <w:color w:val="000000"/>
          <w:sz w:val="24"/>
          <w:szCs w:val="24"/>
        </w:rPr>
        <w:t xml:space="preserve"> denominado Reconocimiento Óptico de Caracteres (OCR), contiene el número de la sección electoral en donde vota el ciudadano titular de </w:t>
      </w:r>
      <w:r w:rsidRPr="00D6033B">
        <w:rPr>
          <w:rFonts w:ascii="Palatino Linotype" w:eastAsia="Palatino Linotype" w:hAnsi="Palatino Linotype" w:cs="Palatino Linotype"/>
          <w:color w:val="000000"/>
          <w:sz w:val="24"/>
          <w:szCs w:val="24"/>
        </w:rPr>
        <w:lastRenderedPageBreak/>
        <w:t>dicho documento, por lo que constituye un dato personal en razón de que revela información concerniente a una persona física identificada o identificable en función de la información geoelectoral ahí contenida, por lo que es susceptible de resguardarse.</w:t>
      </w:r>
    </w:p>
    <w:p w14:paraId="26DC955D" w14:textId="77777777" w:rsidR="00C91C7B" w:rsidRPr="00D6033B" w:rsidRDefault="00C91C7B">
      <w:pPr>
        <w:pBdr>
          <w:top w:val="nil"/>
          <w:left w:val="nil"/>
          <w:bottom w:val="nil"/>
          <w:right w:val="nil"/>
          <w:between w:val="nil"/>
        </w:pBdr>
        <w:spacing w:after="0"/>
        <w:ind w:left="720"/>
        <w:rPr>
          <w:rFonts w:ascii="Palatino Linotype" w:eastAsia="Palatino Linotype" w:hAnsi="Palatino Linotype" w:cs="Palatino Linotype"/>
          <w:color w:val="000000"/>
          <w:sz w:val="24"/>
          <w:szCs w:val="24"/>
        </w:rPr>
      </w:pPr>
    </w:p>
    <w:p w14:paraId="775AE0F5" w14:textId="77777777" w:rsidR="00C91C7B" w:rsidRPr="00D6033B" w:rsidRDefault="009B45E6">
      <w:pPr>
        <w:numPr>
          <w:ilvl w:val="0"/>
          <w:numId w:val="6"/>
        </w:numPr>
        <w:pBdr>
          <w:top w:val="nil"/>
          <w:left w:val="nil"/>
          <w:bottom w:val="nil"/>
          <w:right w:val="nil"/>
          <w:between w:val="nil"/>
        </w:pBdr>
        <w:spacing w:after="0" w:line="360" w:lineRule="auto"/>
        <w:ind w:right="51"/>
        <w:jc w:val="both"/>
        <w:rPr>
          <w:color w:val="000000"/>
          <w:sz w:val="24"/>
          <w:szCs w:val="24"/>
        </w:rPr>
      </w:pPr>
      <w:r w:rsidRPr="00D6033B">
        <w:rPr>
          <w:rFonts w:ascii="Palatino Linotype" w:eastAsia="Palatino Linotype" w:hAnsi="Palatino Linotype" w:cs="Palatino Linotype"/>
          <w:b/>
          <w:color w:val="000000"/>
          <w:sz w:val="24"/>
          <w:szCs w:val="24"/>
        </w:rPr>
        <w:t xml:space="preserve">Correo electrónico personal: </w:t>
      </w:r>
      <w:r w:rsidRPr="00D6033B">
        <w:rPr>
          <w:rFonts w:ascii="Palatino Linotype" w:eastAsia="Palatino Linotype" w:hAnsi="Palatino Linotype" w:cs="Palatino Linotype"/>
          <w:color w:val="000000"/>
          <w:sz w:val="24"/>
          <w:szCs w:val="24"/>
        </w:rPr>
        <w:t xml:space="preserve">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 Solo será público cuando se trata de un correo empresarial o institucional. </w:t>
      </w:r>
    </w:p>
    <w:p w14:paraId="7474FE7A" w14:textId="77777777" w:rsidR="00C91C7B" w:rsidRPr="00D6033B" w:rsidRDefault="00C91C7B">
      <w:pPr>
        <w:pBdr>
          <w:top w:val="nil"/>
          <w:left w:val="nil"/>
          <w:bottom w:val="nil"/>
          <w:right w:val="nil"/>
          <w:between w:val="nil"/>
        </w:pBdr>
        <w:spacing w:after="0"/>
        <w:ind w:left="720"/>
        <w:rPr>
          <w:rFonts w:ascii="Palatino Linotype" w:eastAsia="Palatino Linotype" w:hAnsi="Palatino Linotype" w:cs="Palatino Linotype"/>
          <w:color w:val="000000"/>
          <w:sz w:val="24"/>
          <w:szCs w:val="24"/>
        </w:rPr>
      </w:pPr>
    </w:p>
    <w:p w14:paraId="475388AE" w14:textId="77777777" w:rsidR="00C91C7B" w:rsidRPr="00D6033B" w:rsidRDefault="009B45E6">
      <w:pPr>
        <w:numPr>
          <w:ilvl w:val="0"/>
          <w:numId w:val="6"/>
        </w:numPr>
        <w:pBdr>
          <w:top w:val="nil"/>
          <w:left w:val="nil"/>
          <w:bottom w:val="nil"/>
          <w:right w:val="nil"/>
          <w:between w:val="nil"/>
        </w:pBdr>
        <w:spacing w:after="0" w:line="360" w:lineRule="auto"/>
        <w:ind w:right="51"/>
        <w:jc w:val="both"/>
        <w:rPr>
          <w:color w:val="000000"/>
          <w:sz w:val="24"/>
          <w:szCs w:val="24"/>
        </w:rPr>
      </w:pPr>
      <w:r w:rsidRPr="00D6033B">
        <w:rPr>
          <w:rFonts w:ascii="Palatino Linotype" w:eastAsia="Palatino Linotype" w:hAnsi="Palatino Linotype" w:cs="Palatino Linotype"/>
          <w:color w:val="000000"/>
          <w:sz w:val="24"/>
          <w:szCs w:val="24"/>
        </w:rPr>
        <w:t xml:space="preserve">Igualmente, resulta importante destacar que el </w:t>
      </w:r>
      <w:r w:rsidRPr="00D6033B">
        <w:rPr>
          <w:rFonts w:ascii="Palatino Linotype" w:eastAsia="Palatino Linotype" w:hAnsi="Palatino Linotype" w:cs="Palatino Linotype"/>
          <w:b/>
          <w:i/>
          <w:color w:val="000000"/>
          <w:sz w:val="24"/>
          <w:szCs w:val="24"/>
        </w:rPr>
        <w:t>número de cuenta bancaria</w:t>
      </w:r>
      <w:r w:rsidRPr="00D6033B">
        <w:rPr>
          <w:rFonts w:ascii="Palatino Linotype" w:eastAsia="Palatino Linotype" w:hAnsi="Palatino Linotype" w:cs="Palatino Linotype"/>
          <w:b/>
          <w:color w:val="000000"/>
          <w:sz w:val="24"/>
          <w:szCs w:val="24"/>
        </w:rPr>
        <w:t xml:space="preserve"> de las personas físicas </w:t>
      </w:r>
      <w:r w:rsidRPr="00D6033B">
        <w:rPr>
          <w:rFonts w:ascii="Palatino Linotype" w:eastAsia="Palatino Linotype" w:hAnsi="Palatino Linotype" w:cs="Palatino Linotype"/>
          <w:color w:val="000000"/>
          <w:sz w:val="24"/>
          <w:szCs w:val="24"/>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AAF4683" w14:textId="77777777" w:rsidR="00C91C7B" w:rsidRPr="00D6033B" w:rsidRDefault="00C91C7B">
      <w:pPr>
        <w:spacing w:line="360" w:lineRule="auto"/>
        <w:ind w:right="50"/>
        <w:jc w:val="both"/>
        <w:rPr>
          <w:rFonts w:ascii="Palatino Linotype" w:eastAsia="Palatino Linotype" w:hAnsi="Palatino Linotype" w:cs="Palatino Linotype"/>
          <w:sz w:val="24"/>
          <w:szCs w:val="24"/>
        </w:rPr>
      </w:pPr>
    </w:p>
    <w:p w14:paraId="6130FE7B" w14:textId="77777777" w:rsidR="00C91C7B" w:rsidRPr="00D6033B" w:rsidRDefault="009B45E6">
      <w:pPr>
        <w:spacing w:line="360" w:lineRule="auto"/>
        <w:ind w:right="50"/>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2F9FAE4B" w14:textId="77777777" w:rsidR="00C91C7B" w:rsidRPr="00D6033B" w:rsidRDefault="009B45E6">
      <w:pPr>
        <w:spacing w:line="360" w:lineRule="auto"/>
        <w:ind w:right="50"/>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BEE4585" w14:textId="77777777" w:rsidR="00C91C7B" w:rsidRPr="00D6033B" w:rsidRDefault="00C91C7B">
      <w:pPr>
        <w:spacing w:line="360" w:lineRule="auto"/>
        <w:ind w:right="50"/>
        <w:jc w:val="both"/>
        <w:rPr>
          <w:rFonts w:ascii="Palatino Linotype" w:eastAsia="Palatino Linotype" w:hAnsi="Palatino Linotype" w:cs="Palatino Linotype"/>
          <w:sz w:val="24"/>
          <w:szCs w:val="24"/>
        </w:rPr>
      </w:pPr>
    </w:p>
    <w:p w14:paraId="1EEDC3BA" w14:textId="77777777" w:rsidR="00C91C7B" w:rsidRPr="00D6033B" w:rsidRDefault="009B45E6">
      <w:pPr>
        <w:spacing w:line="360" w:lineRule="auto"/>
        <w:ind w:right="50"/>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  Es por esta razón que se debe omitir el o los números de cuentas bancarias de particulares en las versiones públicas que del contrato y la o las facturas se hagan, para ser entregadas.</w:t>
      </w:r>
    </w:p>
    <w:p w14:paraId="227A8A31" w14:textId="77777777" w:rsidR="00C91C7B" w:rsidRPr="00D6033B" w:rsidRDefault="009B45E6">
      <w:pPr>
        <w:spacing w:line="360" w:lineRule="auto"/>
        <w:ind w:right="50"/>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5214488D" w14:textId="77777777" w:rsidR="0072078B" w:rsidRPr="00D6033B" w:rsidRDefault="0072078B">
      <w:pPr>
        <w:spacing w:line="360" w:lineRule="auto"/>
        <w:ind w:right="50"/>
        <w:jc w:val="both"/>
        <w:rPr>
          <w:rFonts w:ascii="Palatino Linotype" w:eastAsia="Palatino Linotype" w:hAnsi="Palatino Linotype" w:cs="Palatino Linotype"/>
          <w:sz w:val="24"/>
          <w:szCs w:val="24"/>
        </w:rPr>
      </w:pPr>
    </w:p>
    <w:p w14:paraId="6F301F63" w14:textId="77777777" w:rsidR="00C91C7B" w:rsidRPr="00D6033B" w:rsidRDefault="009B45E6">
      <w:pPr>
        <w:spacing w:line="360" w:lineRule="auto"/>
        <w:ind w:right="50"/>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243114D3" w14:textId="77777777" w:rsidR="00C91C7B" w:rsidRPr="00D6033B" w:rsidRDefault="009B45E6">
      <w:pPr>
        <w:spacing w:after="240" w:line="276" w:lineRule="auto"/>
        <w:ind w:left="851" w:right="900"/>
        <w:jc w:val="both"/>
        <w:rPr>
          <w:rFonts w:ascii="Palatino Linotype" w:eastAsia="Palatino Linotype" w:hAnsi="Palatino Linotype" w:cs="Palatino Linotype"/>
          <w:i/>
        </w:rPr>
      </w:pPr>
      <w:r w:rsidRPr="00D6033B">
        <w:rPr>
          <w:rFonts w:ascii="Palatino Linotype" w:eastAsia="Palatino Linotype" w:hAnsi="Palatino Linotype" w:cs="Palatino Linotype"/>
          <w:b/>
          <w:i/>
        </w:rPr>
        <w:lastRenderedPageBreak/>
        <w:t>“Cuentas bancarias y/o CLABE interbancaria de personas físicas y morales privadas.</w:t>
      </w:r>
      <w:r w:rsidRPr="00D6033B">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9F89FDF" w14:textId="77777777" w:rsidR="00C91C7B" w:rsidRPr="00D6033B" w:rsidRDefault="009B45E6">
      <w:pPr>
        <w:spacing w:before="240" w:line="276" w:lineRule="auto"/>
        <w:ind w:left="851" w:right="900"/>
        <w:jc w:val="both"/>
        <w:rPr>
          <w:rFonts w:ascii="Palatino Linotype" w:eastAsia="Palatino Linotype" w:hAnsi="Palatino Linotype" w:cs="Palatino Linotype"/>
          <w:i/>
        </w:rPr>
      </w:pPr>
      <w:r w:rsidRPr="00D6033B">
        <w:rPr>
          <w:rFonts w:ascii="Palatino Linotype" w:eastAsia="Palatino Linotype" w:hAnsi="Palatino Linotype" w:cs="Palatino Linotype"/>
          <w:b/>
          <w:i/>
        </w:rPr>
        <w:t>Cuentas bancarias y/o CLABE interbancaria de sujetos obligados que reciben y/o transfieren recursos públicos, son información pública</w:t>
      </w:r>
      <w:r w:rsidRPr="00D6033B">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219F0DA" w14:textId="77777777" w:rsidR="00C91C7B" w:rsidRPr="00D6033B" w:rsidRDefault="00C91C7B">
      <w:pPr>
        <w:spacing w:line="360" w:lineRule="auto"/>
        <w:ind w:right="51"/>
        <w:jc w:val="both"/>
        <w:rPr>
          <w:rFonts w:ascii="Palatino Linotype" w:eastAsia="Palatino Linotype" w:hAnsi="Palatino Linotype" w:cs="Palatino Linotype"/>
        </w:rPr>
      </w:pPr>
    </w:p>
    <w:p w14:paraId="58398F92" w14:textId="77777777" w:rsidR="00C91C7B" w:rsidRPr="00D6033B" w:rsidRDefault="009B45E6">
      <w:pPr>
        <w:spacing w:line="360" w:lineRule="auto"/>
        <w:ind w:right="51"/>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Verbigracia, previo a poner a disposición la información correspondiente debe considerarse que tiene carácter de confidencial el </w:t>
      </w:r>
      <w:r w:rsidRPr="00D6033B">
        <w:rPr>
          <w:rFonts w:ascii="Palatino Linotype" w:eastAsia="Palatino Linotype" w:hAnsi="Palatino Linotype" w:cs="Palatino Linotype"/>
          <w:b/>
          <w:sz w:val="24"/>
          <w:szCs w:val="24"/>
        </w:rPr>
        <w:t>Registro Federal de Contribuyentes (RFC) que no sean de proveedores</w:t>
      </w:r>
      <w:r w:rsidRPr="00D6033B">
        <w:rPr>
          <w:rFonts w:ascii="Palatino Linotype" w:eastAsia="Palatino Linotype" w:hAnsi="Palatino Linotype" w:cs="Palatino Linotype"/>
          <w:sz w:val="24"/>
          <w:szCs w:val="24"/>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345AC9B" w14:textId="77777777" w:rsidR="00C91C7B" w:rsidRPr="00D6033B" w:rsidRDefault="009B45E6">
      <w:pPr>
        <w:spacing w:before="240" w:after="240" w:line="360" w:lineRule="auto"/>
        <w:ind w:right="-91"/>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Lo anterior es compartido por el ahora </w:t>
      </w:r>
      <w:r w:rsidRPr="00D6033B">
        <w:rPr>
          <w:rFonts w:ascii="Palatino Linotype" w:eastAsia="Palatino Linotype" w:hAnsi="Palatino Linotype" w:cs="Palatino Linotype"/>
          <w:b/>
          <w:sz w:val="24"/>
          <w:szCs w:val="24"/>
        </w:rPr>
        <w:t>Instituto Nacional de Transparencia, Acceso a la Información y Protección de Datos Personales</w:t>
      </w:r>
      <w:r w:rsidRPr="00D6033B">
        <w:rPr>
          <w:rFonts w:ascii="Palatino Linotype" w:eastAsia="Palatino Linotype" w:hAnsi="Palatino Linotype" w:cs="Palatino Linotype"/>
          <w:sz w:val="24"/>
          <w:szCs w:val="24"/>
        </w:rPr>
        <w:t xml:space="preserve"> (INAI), conforme al criterio </w:t>
      </w:r>
      <w:r w:rsidRPr="00D6033B">
        <w:rPr>
          <w:rFonts w:ascii="Palatino Linotype" w:eastAsia="Palatino Linotype" w:hAnsi="Palatino Linotype" w:cs="Palatino Linotype"/>
          <w:b/>
          <w:sz w:val="24"/>
          <w:szCs w:val="24"/>
        </w:rPr>
        <w:t>004/2021,</w:t>
      </w:r>
      <w:r w:rsidRPr="00D6033B">
        <w:rPr>
          <w:rFonts w:ascii="Palatino Linotype" w:eastAsia="Palatino Linotype" w:hAnsi="Palatino Linotype" w:cs="Palatino Linotype"/>
          <w:sz w:val="24"/>
          <w:szCs w:val="24"/>
        </w:rPr>
        <w:t xml:space="preserve"> el cual es del tenor literal siguiente:</w:t>
      </w:r>
    </w:p>
    <w:p w14:paraId="12FB849D" w14:textId="77777777" w:rsidR="00C91C7B" w:rsidRPr="00D6033B" w:rsidRDefault="009B45E6">
      <w:pPr>
        <w:spacing w:before="240" w:line="360" w:lineRule="auto"/>
        <w:ind w:left="851" w:right="851"/>
        <w:jc w:val="center"/>
        <w:rPr>
          <w:rFonts w:ascii="Palatino Linotype" w:eastAsia="Palatino Linotype" w:hAnsi="Palatino Linotype" w:cs="Palatino Linotype"/>
          <w:b/>
          <w:i/>
        </w:rPr>
      </w:pPr>
      <w:r w:rsidRPr="00D6033B">
        <w:rPr>
          <w:rFonts w:ascii="Palatino Linotype" w:eastAsia="Palatino Linotype" w:hAnsi="Palatino Linotype" w:cs="Palatino Linotype"/>
          <w:i/>
        </w:rPr>
        <w:lastRenderedPageBreak/>
        <w:t>“</w:t>
      </w:r>
      <w:r w:rsidRPr="00D6033B">
        <w:rPr>
          <w:rFonts w:ascii="Palatino Linotype" w:eastAsia="Palatino Linotype" w:hAnsi="Palatino Linotype" w:cs="Palatino Linotype"/>
          <w:b/>
          <w:i/>
        </w:rPr>
        <w:t>Registro Federal de Contribuyentes (RFC) de personas físicas proveedores o contratistas.</w:t>
      </w:r>
    </w:p>
    <w:p w14:paraId="561B2764" w14:textId="77777777" w:rsidR="00C91C7B" w:rsidRPr="00D6033B" w:rsidRDefault="009B45E6">
      <w:pPr>
        <w:spacing w:before="240" w:line="360" w:lineRule="auto"/>
        <w:ind w:left="851" w:right="851"/>
        <w:jc w:val="both"/>
        <w:rPr>
          <w:rFonts w:ascii="Palatino Linotype" w:eastAsia="Palatino Linotype" w:hAnsi="Palatino Linotype" w:cs="Palatino Linotype"/>
          <w:i/>
        </w:rPr>
      </w:pPr>
      <w:r w:rsidRPr="00D6033B">
        <w:rPr>
          <w:rFonts w:ascii="Palatino Linotype" w:eastAsia="Palatino Linotype" w:hAnsi="Palatino Linotype" w:cs="Palatino Linotype"/>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6AC3158C"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b/>
          <w:i/>
        </w:rPr>
        <w:t>Precedentes:</w:t>
      </w:r>
    </w:p>
    <w:p w14:paraId="591E7D1D" w14:textId="77777777" w:rsidR="00C91C7B" w:rsidRPr="00D6033B" w:rsidRDefault="009B45E6">
      <w:pPr>
        <w:numPr>
          <w:ilvl w:val="0"/>
          <w:numId w:val="10"/>
        </w:numPr>
        <w:spacing w:before="240" w:line="240" w:lineRule="auto"/>
        <w:ind w:left="720" w:right="851"/>
        <w:jc w:val="both"/>
        <w:rPr>
          <w:i/>
          <w:sz w:val="20"/>
          <w:szCs w:val="20"/>
        </w:rPr>
      </w:pPr>
      <w:r w:rsidRPr="00D6033B">
        <w:rPr>
          <w:rFonts w:ascii="Palatino Linotype" w:eastAsia="Palatino Linotype" w:hAnsi="Palatino Linotype" w:cs="Palatino Linotype"/>
          <w:i/>
          <w:sz w:val="20"/>
          <w:szCs w:val="20"/>
        </w:rPr>
        <w:t>Acceso a la información Pública. RRA 3639/19. Sesión del 10 de julio de 2019. Votación por mayoría. Con voto disidente del Comisionado Joel Salas Suárez. Instituto para la Protección del Ahorro Bancario. Comisionada Ponente María Patricia Kurczyn Villalobos.</w:t>
      </w:r>
    </w:p>
    <w:p w14:paraId="01B2B8E6" w14:textId="77777777" w:rsidR="00C91C7B" w:rsidRPr="00D6033B" w:rsidRDefault="009B45E6">
      <w:pPr>
        <w:numPr>
          <w:ilvl w:val="0"/>
          <w:numId w:val="10"/>
        </w:numPr>
        <w:spacing w:before="240" w:line="240" w:lineRule="auto"/>
        <w:ind w:left="720" w:right="851"/>
        <w:jc w:val="both"/>
        <w:rPr>
          <w:i/>
          <w:sz w:val="20"/>
          <w:szCs w:val="20"/>
        </w:rPr>
      </w:pPr>
      <w:r w:rsidRPr="00D6033B">
        <w:rPr>
          <w:rFonts w:ascii="Palatino Linotype" w:eastAsia="Palatino Linotype" w:hAnsi="Palatino Linotype" w:cs="Palatino Linotype"/>
          <w:i/>
          <w:sz w:val="20"/>
          <w:szCs w:val="20"/>
        </w:rPr>
        <w:t>Acceso a la información Pública. RRA 7709/19. Sesión del 13 de agosto de 2019. Votación por unanimidad. Con voto particular de la Comisionada Josefina Román Vergara. Suprema Corte de Justicia de la Nación. Comisionada Ponente Josefina Román Vergara.</w:t>
      </w:r>
    </w:p>
    <w:p w14:paraId="406C1098" w14:textId="77777777" w:rsidR="00C91C7B" w:rsidRPr="00D6033B" w:rsidRDefault="009B45E6">
      <w:pPr>
        <w:numPr>
          <w:ilvl w:val="0"/>
          <w:numId w:val="10"/>
        </w:numPr>
        <w:spacing w:before="240" w:line="240" w:lineRule="auto"/>
        <w:ind w:left="851" w:right="851"/>
        <w:jc w:val="both"/>
        <w:rPr>
          <w:b/>
          <w:i/>
          <w:sz w:val="20"/>
          <w:szCs w:val="20"/>
        </w:rPr>
      </w:pPr>
      <w:r w:rsidRPr="00D6033B">
        <w:rPr>
          <w:rFonts w:ascii="Palatino Linotype" w:eastAsia="Palatino Linotype" w:hAnsi="Palatino Linotype" w:cs="Palatino Linotype"/>
          <w:i/>
          <w:sz w:val="20"/>
          <w:szCs w:val="20"/>
        </w:rPr>
        <w:t>Acceso a la información Pública. RRA 5774/19. Sesión del 21 de agosto de 2019. Votación por mayoría. Con voto disidente del Comisionado Joel Salas Suárez. Secretaría de Marina. Comisionada Ponente Blanca Lilia Ibarra Cadena.” [Sic]</w:t>
      </w:r>
    </w:p>
    <w:p w14:paraId="0CC5642D" w14:textId="77777777" w:rsidR="00C91C7B" w:rsidRPr="00D6033B" w:rsidRDefault="00C91C7B">
      <w:pPr>
        <w:spacing w:before="120" w:after="120"/>
        <w:ind w:left="567" w:right="850"/>
        <w:jc w:val="both"/>
        <w:rPr>
          <w:rFonts w:ascii="Palatino Linotype" w:eastAsia="Palatino Linotype" w:hAnsi="Palatino Linotype" w:cs="Palatino Linotype"/>
          <w:i/>
        </w:rPr>
      </w:pPr>
    </w:p>
    <w:p w14:paraId="0BA0CB5F" w14:textId="77777777" w:rsidR="00C91C7B" w:rsidRPr="00D6033B" w:rsidRDefault="009B45E6">
      <w:pPr>
        <w:spacing w:before="240" w:after="24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32A6B7C1" w14:textId="77777777" w:rsidR="00C91C7B" w:rsidRPr="00D6033B" w:rsidRDefault="009B45E6">
      <w:pPr>
        <w:spacing w:before="240" w:after="24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En cuanto a la Clave Única de Registro de Población (CURP) en virtud de que éste se integra por datos personales que únicamente le conciernen a un particular como son su fecha de nacimiento, su nombre, sus apellidos y su lugar de nacimiento; información que </w:t>
      </w:r>
      <w:r w:rsidRPr="00D6033B">
        <w:rPr>
          <w:rFonts w:ascii="Palatino Linotype" w:eastAsia="Palatino Linotype" w:hAnsi="Palatino Linotype" w:cs="Palatino Linotype"/>
          <w:sz w:val="24"/>
          <w:szCs w:val="24"/>
        </w:rPr>
        <w:lastRenderedPageBreak/>
        <w:t>permite distinguirlo del resto de los habitantes, se considera que es de carácter confidencial.</w:t>
      </w:r>
    </w:p>
    <w:p w14:paraId="40E44273" w14:textId="77777777" w:rsidR="00C91C7B" w:rsidRPr="00D6033B" w:rsidRDefault="009B45E6">
      <w:pPr>
        <w:spacing w:before="240" w:after="240" w:line="360" w:lineRule="auto"/>
        <w:ind w:right="-91"/>
        <w:jc w:val="both"/>
        <w:rPr>
          <w:rFonts w:ascii="Palatino Linotype" w:eastAsia="Palatino Linotype" w:hAnsi="Palatino Linotype" w:cs="Palatino Linotype"/>
        </w:rPr>
      </w:pPr>
      <w:r w:rsidRPr="00D6033B">
        <w:rPr>
          <w:rFonts w:ascii="Palatino Linotype" w:eastAsia="Palatino Linotype" w:hAnsi="Palatino Linotype" w:cs="Palatino Linotype"/>
          <w:sz w:val="24"/>
          <w:szCs w:val="24"/>
        </w:rPr>
        <w:t xml:space="preserve">Argumento que es compartido por el </w:t>
      </w:r>
      <w:r w:rsidRPr="00D6033B">
        <w:rPr>
          <w:rFonts w:ascii="Palatino Linotype" w:eastAsia="Palatino Linotype" w:hAnsi="Palatino Linotype" w:cs="Palatino Linotype"/>
          <w:b/>
          <w:sz w:val="24"/>
          <w:szCs w:val="24"/>
        </w:rPr>
        <w:t xml:space="preserve">Instituto Nacional de Transparencia, Acceso a la Información y Protección de Datos Personales, conforme al </w:t>
      </w:r>
      <w:r w:rsidRPr="00D6033B">
        <w:rPr>
          <w:rFonts w:ascii="Palatino Linotype" w:eastAsia="Palatino Linotype" w:hAnsi="Palatino Linotype" w:cs="Palatino Linotype"/>
          <w:sz w:val="24"/>
          <w:szCs w:val="24"/>
        </w:rPr>
        <w:t>criterio número 18/17 el cual refiere</w:t>
      </w:r>
      <w:r w:rsidRPr="00D6033B">
        <w:rPr>
          <w:rFonts w:ascii="Palatino Linotype" w:eastAsia="Palatino Linotype" w:hAnsi="Palatino Linotype" w:cs="Palatino Linotype"/>
        </w:rPr>
        <w:t xml:space="preserve">: </w:t>
      </w:r>
    </w:p>
    <w:p w14:paraId="0FD61FBB" w14:textId="77777777" w:rsidR="00C91C7B" w:rsidRPr="00D6033B" w:rsidRDefault="009B45E6">
      <w:pPr>
        <w:spacing w:before="240" w:line="360" w:lineRule="auto"/>
        <w:ind w:left="851" w:right="851"/>
        <w:jc w:val="center"/>
        <w:rPr>
          <w:rFonts w:ascii="Palatino Linotype" w:eastAsia="Palatino Linotype" w:hAnsi="Palatino Linotype" w:cs="Palatino Linotype"/>
          <w:b/>
          <w:i/>
        </w:rPr>
      </w:pPr>
      <w:r w:rsidRPr="00D6033B">
        <w:rPr>
          <w:rFonts w:ascii="Palatino Linotype" w:eastAsia="Palatino Linotype" w:hAnsi="Palatino Linotype" w:cs="Palatino Linotype"/>
          <w:i/>
        </w:rPr>
        <w:t>“</w:t>
      </w:r>
      <w:r w:rsidRPr="00D6033B">
        <w:rPr>
          <w:rFonts w:ascii="Palatino Linotype" w:eastAsia="Palatino Linotype" w:hAnsi="Palatino Linotype" w:cs="Palatino Linotype"/>
          <w:b/>
          <w:i/>
        </w:rPr>
        <w:t>CLAVE ÚNICA DE REGISTRO DE POBLACIÓN (CURP).</w:t>
      </w:r>
    </w:p>
    <w:p w14:paraId="248BF644"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873646C" w14:textId="77777777" w:rsidR="00C91C7B" w:rsidRPr="00D6033B" w:rsidRDefault="009B45E6">
      <w:pPr>
        <w:spacing w:before="240" w:line="360" w:lineRule="auto"/>
        <w:ind w:left="851" w:right="851"/>
        <w:jc w:val="both"/>
        <w:rPr>
          <w:rFonts w:ascii="Palatino Linotype" w:eastAsia="Palatino Linotype" w:hAnsi="Palatino Linotype" w:cs="Palatino Linotype"/>
          <w:b/>
          <w:i/>
        </w:rPr>
      </w:pPr>
      <w:r w:rsidRPr="00D6033B">
        <w:rPr>
          <w:rFonts w:ascii="Palatino Linotype" w:eastAsia="Palatino Linotype" w:hAnsi="Palatino Linotype" w:cs="Palatino Linotype"/>
          <w:i/>
        </w:rPr>
        <w:t xml:space="preserve"> </w:t>
      </w:r>
      <w:r w:rsidRPr="00D6033B">
        <w:rPr>
          <w:rFonts w:ascii="Palatino Linotype" w:eastAsia="Palatino Linotype" w:hAnsi="Palatino Linotype" w:cs="Palatino Linotype"/>
          <w:b/>
          <w:i/>
        </w:rPr>
        <w:t>Resoluciones:</w:t>
      </w:r>
    </w:p>
    <w:p w14:paraId="6DE05547" w14:textId="77777777" w:rsidR="00C91C7B" w:rsidRPr="00D6033B" w:rsidRDefault="009B45E6">
      <w:pPr>
        <w:spacing w:before="240" w:line="240" w:lineRule="auto"/>
        <w:ind w:left="851" w:right="851"/>
        <w:jc w:val="both"/>
        <w:rPr>
          <w:rFonts w:ascii="Palatino Linotype" w:eastAsia="Palatino Linotype" w:hAnsi="Palatino Linotype" w:cs="Palatino Linotype"/>
          <w:b/>
          <w:i/>
          <w:sz w:val="18"/>
          <w:szCs w:val="18"/>
        </w:rPr>
      </w:pPr>
      <w:r w:rsidRPr="00D6033B">
        <w:rPr>
          <w:rFonts w:ascii="Palatino Linotype" w:eastAsia="Palatino Linotype" w:hAnsi="Palatino Linotype" w:cs="Palatino Linotype"/>
          <w:b/>
          <w:i/>
          <w:sz w:val="18"/>
          <w:szCs w:val="18"/>
        </w:rPr>
        <w:t xml:space="preserve">RRA 3995/16. </w:t>
      </w:r>
      <w:r w:rsidRPr="00D6033B">
        <w:rPr>
          <w:rFonts w:ascii="Palatino Linotype" w:eastAsia="Palatino Linotype" w:hAnsi="Palatino Linotype" w:cs="Palatino Linotype"/>
          <w:i/>
          <w:sz w:val="18"/>
          <w:szCs w:val="18"/>
        </w:rPr>
        <w:t>Secretaría de la Defensa Nacional. 1 de febrero de 2017. Por unanimidad. Comisionado Ponente Rosendoevgueni Monterrey Chepov.</w:t>
      </w:r>
    </w:p>
    <w:p w14:paraId="52348106" w14:textId="77777777" w:rsidR="00C91C7B" w:rsidRPr="00D6033B" w:rsidRDefault="009B45E6">
      <w:pPr>
        <w:spacing w:before="240" w:line="240" w:lineRule="auto"/>
        <w:ind w:left="851" w:right="851"/>
        <w:jc w:val="both"/>
        <w:rPr>
          <w:rFonts w:ascii="Palatino Linotype" w:eastAsia="Palatino Linotype" w:hAnsi="Palatino Linotype" w:cs="Palatino Linotype"/>
          <w:b/>
          <w:i/>
          <w:sz w:val="18"/>
          <w:szCs w:val="18"/>
        </w:rPr>
      </w:pPr>
      <w:r w:rsidRPr="00D6033B">
        <w:rPr>
          <w:rFonts w:ascii="Palatino Linotype" w:eastAsia="Palatino Linotype" w:hAnsi="Palatino Linotype" w:cs="Palatino Linotype"/>
          <w:b/>
          <w:i/>
          <w:sz w:val="18"/>
          <w:szCs w:val="18"/>
        </w:rPr>
        <w:t xml:space="preserve">RRA 0937/17. </w:t>
      </w:r>
      <w:r w:rsidRPr="00D6033B">
        <w:rPr>
          <w:rFonts w:ascii="Palatino Linotype" w:eastAsia="Palatino Linotype" w:hAnsi="Palatino Linotype" w:cs="Palatino Linotype"/>
          <w:i/>
          <w:sz w:val="18"/>
          <w:szCs w:val="18"/>
        </w:rPr>
        <w:t xml:space="preserve">Senado de la República. 15 de marzo de 2017. Por unanimidad. Comisionada Ponente Ximena Puente de la Mora. </w:t>
      </w:r>
    </w:p>
    <w:p w14:paraId="4346A350" w14:textId="77777777" w:rsidR="00C91C7B" w:rsidRPr="00D6033B" w:rsidRDefault="009B45E6">
      <w:pPr>
        <w:spacing w:before="240" w:line="240" w:lineRule="auto"/>
        <w:ind w:left="851" w:right="851"/>
        <w:jc w:val="both"/>
        <w:rPr>
          <w:rFonts w:ascii="Palatino Linotype" w:eastAsia="Palatino Linotype" w:hAnsi="Palatino Linotype" w:cs="Palatino Linotype"/>
          <w:b/>
          <w:i/>
          <w:sz w:val="18"/>
          <w:szCs w:val="18"/>
        </w:rPr>
      </w:pPr>
      <w:r w:rsidRPr="00D6033B">
        <w:rPr>
          <w:rFonts w:ascii="Palatino Linotype" w:eastAsia="Palatino Linotype" w:hAnsi="Palatino Linotype" w:cs="Palatino Linotype"/>
          <w:b/>
          <w:i/>
          <w:sz w:val="18"/>
          <w:szCs w:val="18"/>
        </w:rPr>
        <w:t xml:space="preserve">RRA 0478/17. </w:t>
      </w:r>
      <w:r w:rsidRPr="00D6033B">
        <w:rPr>
          <w:rFonts w:ascii="Palatino Linotype" w:eastAsia="Palatino Linotype" w:hAnsi="Palatino Linotype" w:cs="Palatino Linotype"/>
          <w:i/>
          <w:sz w:val="18"/>
          <w:szCs w:val="18"/>
        </w:rPr>
        <w:t xml:space="preserve">Secretaría de Relaciones Exteriores. 26 de abril de 2017. Por unanimidad. Comisionada Ponente Areli Cano Guadiana.” </w:t>
      </w:r>
      <w:r w:rsidRPr="00D6033B">
        <w:rPr>
          <w:rFonts w:ascii="Palatino Linotype" w:eastAsia="Palatino Linotype" w:hAnsi="Palatino Linotype" w:cs="Palatino Linotype"/>
          <w:b/>
          <w:i/>
          <w:sz w:val="18"/>
          <w:szCs w:val="18"/>
        </w:rPr>
        <w:t>[Sic]</w:t>
      </w:r>
    </w:p>
    <w:p w14:paraId="07F40FA1" w14:textId="77777777" w:rsidR="00C91C7B" w:rsidRPr="00D6033B" w:rsidRDefault="00C91C7B">
      <w:pPr>
        <w:spacing w:line="360" w:lineRule="auto"/>
        <w:ind w:right="51"/>
        <w:jc w:val="both"/>
        <w:rPr>
          <w:rFonts w:ascii="Palatino Linotype" w:eastAsia="Palatino Linotype" w:hAnsi="Palatino Linotype" w:cs="Palatino Linotype"/>
          <w:sz w:val="24"/>
          <w:szCs w:val="24"/>
        </w:rPr>
      </w:pPr>
    </w:p>
    <w:p w14:paraId="3908459E" w14:textId="77777777" w:rsidR="00C91C7B" w:rsidRPr="00D6033B" w:rsidRDefault="009B45E6">
      <w:pPr>
        <w:spacing w:line="360" w:lineRule="auto"/>
        <w:ind w:right="51"/>
        <w:jc w:val="both"/>
        <w:rPr>
          <w:b/>
          <w:sz w:val="24"/>
          <w:szCs w:val="24"/>
        </w:rPr>
      </w:pPr>
      <w:r w:rsidRPr="00D6033B">
        <w:rPr>
          <w:rFonts w:ascii="Palatino Linotype" w:eastAsia="Palatino Linotype" w:hAnsi="Palatino Linotype" w:cs="Palatino Linotype"/>
          <w:sz w:val="24"/>
          <w:szCs w:val="24"/>
        </w:rPr>
        <w:t>El nombre, firma y rubrica del apoderado legal, se consideran públicos de conformidad con el criterio 01/19</w:t>
      </w:r>
      <w:r w:rsidR="00C37576" w:rsidRPr="00D6033B">
        <w:rPr>
          <w:rFonts w:ascii="Palatino Linotype" w:eastAsia="Palatino Linotype" w:hAnsi="Palatino Linotype" w:cs="Palatino Linotype"/>
          <w:sz w:val="24"/>
          <w:szCs w:val="24"/>
        </w:rPr>
        <w:t xml:space="preserve"> así como el criterio 08/2019</w:t>
      </w:r>
      <w:r w:rsidRPr="00D6033B">
        <w:rPr>
          <w:rFonts w:ascii="Palatino Linotype" w:eastAsia="Palatino Linotype" w:hAnsi="Palatino Linotype" w:cs="Palatino Linotype"/>
          <w:sz w:val="24"/>
          <w:szCs w:val="24"/>
        </w:rPr>
        <w:t xml:space="preserve"> reiterado vigente del INAI:</w:t>
      </w:r>
    </w:p>
    <w:p w14:paraId="0D6385BC" w14:textId="77777777" w:rsidR="00C91C7B" w:rsidRPr="00D6033B" w:rsidRDefault="009B45E6">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D6033B">
        <w:rPr>
          <w:rFonts w:ascii="Palatino Linotype" w:eastAsia="Palatino Linotype" w:hAnsi="Palatino Linotype" w:cs="Palatino Linotype"/>
          <w:b/>
          <w:i/>
          <w:color w:val="000000"/>
        </w:rPr>
        <w:t>Datos de identificación del representante o apoderado legal.</w:t>
      </w:r>
      <w:r w:rsidRPr="00D6033B">
        <w:rPr>
          <w:rFonts w:ascii="Palatino Linotype" w:eastAsia="Palatino Linotype" w:hAnsi="Palatino Linotype" w:cs="Palatino Linotype"/>
          <w:i/>
          <w:color w:val="000000"/>
        </w:rPr>
        <w:t xml:space="preserve"> </w:t>
      </w:r>
      <w:r w:rsidRPr="00D6033B">
        <w:rPr>
          <w:rFonts w:ascii="Palatino Linotype" w:eastAsia="Palatino Linotype" w:hAnsi="Palatino Linotype" w:cs="Palatino Linotype"/>
          <w:b/>
          <w:i/>
          <w:color w:val="000000"/>
        </w:rPr>
        <w:t xml:space="preserve">Naturaleza jurídica. </w:t>
      </w:r>
      <w:r w:rsidRPr="00D6033B">
        <w:rPr>
          <w:rFonts w:ascii="Palatino Linotype" w:eastAsia="Palatino Linotype" w:hAnsi="Palatino Linotype" w:cs="Palatino Linotype"/>
          <w:i/>
          <w:color w:val="000000"/>
        </w:rPr>
        <w:t xml:space="preserve">El nombre, la firma y la rúbrica de una persona física, que actúe como </w:t>
      </w:r>
      <w:r w:rsidRPr="00D6033B">
        <w:rPr>
          <w:rFonts w:ascii="Palatino Linotype" w:eastAsia="Palatino Linotype" w:hAnsi="Palatino Linotype" w:cs="Palatino Linotype"/>
          <w:i/>
          <w:color w:val="000000"/>
        </w:rPr>
        <w:lastRenderedPageBreak/>
        <w:t>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3E0E2DC7" w14:textId="77777777" w:rsidR="00C91C7B" w:rsidRPr="00D6033B" w:rsidRDefault="009B45E6">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b/>
          <w:i/>
          <w:color w:val="000000"/>
          <w:sz w:val="20"/>
          <w:szCs w:val="20"/>
        </w:rPr>
      </w:pPr>
      <w:r w:rsidRPr="00D6033B">
        <w:rPr>
          <w:rFonts w:ascii="Palatino Linotype" w:eastAsia="Palatino Linotype" w:hAnsi="Palatino Linotype" w:cs="Palatino Linotype"/>
          <w:b/>
          <w:i/>
          <w:color w:val="000000"/>
          <w:sz w:val="20"/>
          <w:szCs w:val="20"/>
        </w:rPr>
        <w:t>Precedentes:</w:t>
      </w:r>
    </w:p>
    <w:p w14:paraId="40FEF2C6" w14:textId="77777777" w:rsidR="00C91C7B" w:rsidRPr="00D6033B" w:rsidRDefault="009B45E6">
      <w:pPr>
        <w:numPr>
          <w:ilvl w:val="0"/>
          <w:numId w:val="7"/>
        </w:numPr>
        <w:pBdr>
          <w:top w:val="nil"/>
          <w:left w:val="nil"/>
          <w:bottom w:val="nil"/>
          <w:right w:val="nil"/>
          <w:between w:val="nil"/>
        </w:pBdr>
        <w:spacing w:before="240" w:line="240" w:lineRule="auto"/>
        <w:ind w:right="851"/>
        <w:jc w:val="both"/>
        <w:rPr>
          <w:i/>
          <w:color w:val="000000"/>
          <w:sz w:val="20"/>
          <w:szCs w:val="20"/>
        </w:rPr>
      </w:pPr>
      <w:r w:rsidRPr="00D6033B">
        <w:rPr>
          <w:rFonts w:ascii="Palatino Linotype" w:eastAsia="Palatino Linotype" w:hAnsi="Palatino Linotype" w:cs="Palatino Linotype"/>
          <w:i/>
          <w:color w:val="000000"/>
          <w:sz w:val="20"/>
          <w:szCs w:val="20"/>
        </w:rPr>
        <w:t>Acceso a la información pública. RRA 3104/16. Sesión del 01 de noviembre del 2016. Votación por unanimidad. Sin votos disidentes o particulares. Secretaría de la Defensa Nacional. Comisionado Ponente Oscar Mauricio Guerra Ford.</w:t>
      </w:r>
    </w:p>
    <w:p w14:paraId="0FB47AB6" w14:textId="77777777" w:rsidR="00C91C7B" w:rsidRPr="00D6033B" w:rsidRDefault="009B45E6">
      <w:pPr>
        <w:numPr>
          <w:ilvl w:val="0"/>
          <w:numId w:val="7"/>
        </w:numPr>
        <w:pBdr>
          <w:top w:val="nil"/>
          <w:left w:val="nil"/>
          <w:bottom w:val="nil"/>
          <w:right w:val="nil"/>
          <w:between w:val="nil"/>
        </w:pBdr>
        <w:spacing w:before="240" w:line="240" w:lineRule="auto"/>
        <w:ind w:right="851"/>
        <w:jc w:val="both"/>
        <w:rPr>
          <w:b/>
          <w:i/>
          <w:color w:val="000000"/>
          <w:sz w:val="20"/>
          <w:szCs w:val="20"/>
        </w:rPr>
      </w:pPr>
      <w:r w:rsidRPr="00D6033B">
        <w:rPr>
          <w:rFonts w:ascii="Palatino Linotype" w:eastAsia="Palatino Linotype" w:hAnsi="Palatino Linotype" w:cs="Palatino Linotype"/>
          <w:i/>
          <w:color w:val="000000"/>
          <w:sz w:val="20"/>
          <w:szCs w:val="20"/>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19D4575C" w14:textId="77777777" w:rsidR="0072078B" w:rsidRPr="00D6033B" w:rsidRDefault="009B45E6" w:rsidP="00C37576">
      <w:pPr>
        <w:numPr>
          <w:ilvl w:val="0"/>
          <w:numId w:val="7"/>
        </w:numPr>
        <w:pBdr>
          <w:top w:val="nil"/>
          <w:left w:val="nil"/>
          <w:bottom w:val="nil"/>
          <w:right w:val="nil"/>
          <w:between w:val="nil"/>
        </w:pBdr>
        <w:spacing w:before="240" w:line="240" w:lineRule="auto"/>
        <w:ind w:right="851"/>
        <w:jc w:val="both"/>
        <w:rPr>
          <w:i/>
          <w:color w:val="000000"/>
          <w:sz w:val="20"/>
          <w:szCs w:val="20"/>
        </w:rPr>
      </w:pPr>
      <w:r w:rsidRPr="00D6033B">
        <w:rPr>
          <w:rFonts w:ascii="Palatino Linotype" w:eastAsia="Palatino Linotype" w:hAnsi="Palatino Linotype" w:cs="Palatino Linotype"/>
          <w:i/>
          <w:color w:val="000000"/>
          <w:sz w:val="20"/>
          <w:szCs w:val="20"/>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02282397" w14:textId="77777777" w:rsidR="00C37576" w:rsidRPr="00D6033B" w:rsidRDefault="00C37576" w:rsidP="00C37576">
      <w:pPr>
        <w:spacing w:line="360" w:lineRule="auto"/>
        <w:ind w:right="51"/>
        <w:jc w:val="both"/>
        <w:rPr>
          <w:rFonts w:ascii="Palatino Linotype" w:eastAsia="Palatino Linotype" w:hAnsi="Palatino Linotype" w:cs="Palatino Linotype"/>
        </w:rPr>
      </w:pPr>
    </w:p>
    <w:p w14:paraId="58EA100D" w14:textId="77777777" w:rsidR="00C37576" w:rsidRPr="00D6033B" w:rsidRDefault="00C37576" w:rsidP="00C37576">
      <w:pPr>
        <w:spacing w:line="360" w:lineRule="auto"/>
        <w:ind w:left="360"/>
        <w:jc w:val="both"/>
        <w:rPr>
          <w:rFonts w:ascii="Palatino Linotype" w:hAnsi="Palatino Linotype" w:cs="Arial"/>
          <w:bCs/>
          <w:i/>
        </w:rPr>
      </w:pPr>
      <w:r w:rsidRPr="00D6033B">
        <w:rPr>
          <w:rFonts w:ascii="Palatino Linotype" w:hAnsi="Palatino Linotype" w:cs="Arial"/>
          <w:b/>
          <w:bCs/>
          <w:i/>
        </w:rPr>
        <w:t>Razón social y RFC de personas morales</w:t>
      </w:r>
      <w:r w:rsidRPr="00D6033B">
        <w:rPr>
          <w:rFonts w:ascii="Palatino Linotype" w:hAnsi="Palatino Linotype" w:cs="Arial"/>
          <w:b/>
          <w:i/>
        </w:rPr>
        <w:t xml:space="preserve">. </w:t>
      </w:r>
      <w:r w:rsidRPr="00D6033B">
        <w:rPr>
          <w:rFonts w:ascii="Palatino Linotype" w:hAnsi="Palatino Linotype" w:cs="Arial"/>
          <w:bCs/>
          <w:i/>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2676A568" w14:textId="77777777" w:rsidR="00C37576" w:rsidRPr="00D6033B" w:rsidRDefault="00C37576" w:rsidP="00C37576">
      <w:pPr>
        <w:spacing w:line="360" w:lineRule="auto"/>
        <w:ind w:left="708" w:firstLine="708"/>
        <w:jc w:val="both"/>
        <w:rPr>
          <w:rFonts w:ascii="Palatino Linotype" w:hAnsi="Palatino Linotype" w:cs="Arial"/>
          <w:b/>
          <w:i/>
          <w:sz w:val="18"/>
          <w:szCs w:val="18"/>
        </w:rPr>
      </w:pPr>
      <w:r w:rsidRPr="00D6033B">
        <w:rPr>
          <w:rFonts w:ascii="Palatino Linotype" w:hAnsi="Palatino Linotype" w:cs="Arial"/>
          <w:b/>
          <w:i/>
          <w:sz w:val="18"/>
          <w:szCs w:val="18"/>
        </w:rPr>
        <w:t>Precedentes:</w:t>
      </w:r>
    </w:p>
    <w:p w14:paraId="30B459BA" w14:textId="77777777" w:rsidR="00C37576" w:rsidRPr="00D6033B" w:rsidRDefault="00C37576" w:rsidP="00C37576">
      <w:pPr>
        <w:pStyle w:val="Prrafodelista"/>
        <w:numPr>
          <w:ilvl w:val="1"/>
          <w:numId w:val="16"/>
        </w:numPr>
        <w:spacing w:after="0" w:line="360" w:lineRule="auto"/>
        <w:jc w:val="both"/>
        <w:rPr>
          <w:rFonts w:ascii="Palatino Linotype" w:hAnsi="Palatino Linotype" w:cs="Arial"/>
          <w:b/>
          <w:bCs/>
          <w:i/>
          <w:sz w:val="18"/>
          <w:szCs w:val="18"/>
        </w:rPr>
      </w:pPr>
      <w:r w:rsidRPr="00D6033B">
        <w:rPr>
          <w:rFonts w:ascii="Palatino Linotype" w:hAnsi="Palatino Linotype" w:cs="Arial"/>
          <w:i/>
          <w:sz w:val="18"/>
          <w:szCs w:val="18"/>
        </w:rPr>
        <w:t xml:space="preserve">Acceso a la información pública. RRA 3104/16. Sesión del 01 de noviembre de 2016. Votación por unanimidad. </w:t>
      </w:r>
      <w:r w:rsidRPr="00D6033B">
        <w:rPr>
          <w:rFonts w:ascii="Palatino Linotype" w:eastAsia="Arial" w:hAnsi="Palatino Linotype" w:cs="Arial"/>
          <w:i/>
          <w:sz w:val="18"/>
          <w:szCs w:val="18"/>
        </w:rPr>
        <w:t>Sin votos disidentes o particulares.</w:t>
      </w:r>
      <w:r w:rsidRPr="00D6033B">
        <w:rPr>
          <w:rFonts w:ascii="Palatino Linotype" w:hAnsi="Palatino Linotype" w:cs="Arial"/>
          <w:i/>
          <w:sz w:val="18"/>
          <w:szCs w:val="18"/>
        </w:rPr>
        <w:t xml:space="preserve"> Secretaría de la Defensa Nacional. Comisionado Ponente Oscar Mauricio Guerra Ford.</w:t>
      </w:r>
    </w:p>
    <w:p w14:paraId="11E31156" w14:textId="77777777" w:rsidR="00C37576" w:rsidRPr="00D6033B" w:rsidRDefault="00C37576" w:rsidP="00C37576">
      <w:pPr>
        <w:pStyle w:val="Prrafodelista"/>
        <w:numPr>
          <w:ilvl w:val="1"/>
          <w:numId w:val="16"/>
        </w:numPr>
        <w:spacing w:after="0" w:line="360" w:lineRule="auto"/>
        <w:jc w:val="both"/>
        <w:rPr>
          <w:rFonts w:ascii="Palatino Linotype" w:hAnsi="Palatino Linotype" w:cs="Arial"/>
          <w:b/>
          <w:bCs/>
          <w:i/>
          <w:sz w:val="18"/>
          <w:szCs w:val="18"/>
        </w:rPr>
      </w:pPr>
      <w:r w:rsidRPr="00D6033B">
        <w:rPr>
          <w:rFonts w:ascii="Palatino Linotype" w:hAnsi="Palatino Linotype" w:cs="Arial"/>
          <w:i/>
          <w:sz w:val="18"/>
          <w:szCs w:val="18"/>
        </w:rPr>
        <w:lastRenderedPageBreak/>
        <w:t xml:space="preserve">Acceso a la información pública. RRA 5402/17. Sesión del 25 de octubre de 2017. Votación por unanimidad. </w:t>
      </w:r>
      <w:r w:rsidRPr="00D6033B">
        <w:rPr>
          <w:rFonts w:ascii="Palatino Linotype" w:eastAsia="Arial" w:hAnsi="Palatino Linotype" w:cs="Arial"/>
          <w:i/>
          <w:sz w:val="18"/>
          <w:szCs w:val="18"/>
        </w:rPr>
        <w:t>Sin votos disidentes o particulares.</w:t>
      </w:r>
      <w:r w:rsidRPr="00D6033B">
        <w:rPr>
          <w:rFonts w:ascii="Palatino Linotype" w:hAnsi="Palatino Linotype" w:cs="Arial"/>
          <w:i/>
          <w:sz w:val="18"/>
          <w:szCs w:val="18"/>
        </w:rPr>
        <w:t xml:space="preserve"> Comisión Federal para la Protección contra Riesgos Sanitarios. Comisionado Ponente Rosendoevgueni Monterrey Chepov.</w:t>
      </w:r>
    </w:p>
    <w:p w14:paraId="4F1CBEC6" w14:textId="77777777" w:rsidR="00C37576" w:rsidRPr="00D6033B" w:rsidRDefault="00C37576" w:rsidP="00C37576">
      <w:pPr>
        <w:pStyle w:val="Prrafodelista"/>
        <w:numPr>
          <w:ilvl w:val="1"/>
          <w:numId w:val="16"/>
        </w:numPr>
        <w:spacing w:after="0" w:line="360" w:lineRule="auto"/>
        <w:jc w:val="both"/>
        <w:rPr>
          <w:rFonts w:ascii="Palatino Linotype" w:hAnsi="Palatino Linotype" w:cs="Arial"/>
          <w:i/>
          <w:color w:val="000000"/>
          <w:sz w:val="18"/>
          <w:szCs w:val="18"/>
        </w:rPr>
      </w:pPr>
      <w:r w:rsidRPr="00D6033B">
        <w:rPr>
          <w:rFonts w:ascii="Palatino Linotype" w:hAnsi="Palatino Linotype" w:cs="Arial"/>
          <w:i/>
          <w:sz w:val="18"/>
          <w:szCs w:val="18"/>
        </w:rPr>
        <w:t xml:space="preserve">Acceso a la información pública. RRA 7492/17. Sesión del 07 de febrero de 2018. Votación por unanimidad. </w:t>
      </w:r>
      <w:r w:rsidRPr="00D6033B">
        <w:rPr>
          <w:rFonts w:ascii="Palatino Linotype" w:eastAsia="Arial" w:hAnsi="Palatino Linotype" w:cs="Arial"/>
          <w:i/>
          <w:sz w:val="18"/>
          <w:szCs w:val="18"/>
        </w:rPr>
        <w:t>Sin votos disidentes o particulares.</w:t>
      </w:r>
      <w:r w:rsidRPr="00D6033B">
        <w:rPr>
          <w:rFonts w:ascii="Palatino Linotype" w:hAnsi="Palatino Linotype" w:cs="Arial"/>
          <w:i/>
          <w:sz w:val="18"/>
          <w:szCs w:val="18"/>
        </w:rPr>
        <w:t xml:space="preserve"> Procuraduría Federal del Consumidor. Comisionada Ponente Areli Cano Guadiana. </w:t>
      </w:r>
    </w:p>
    <w:p w14:paraId="1CCF840E" w14:textId="77777777" w:rsidR="00C37576" w:rsidRPr="00D6033B" w:rsidRDefault="00C37576">
      <w:pPr>
        <w:spacing w:line="360" w:lineRule="auto"/>
        <w:ind w:right="51"/>
        <w:jc w:val="both"/>
        <w:rPr>
          <w:rFonts w:ascii="Palatino Linotype" w:eastAsia="Palatino Linotype" w:hAnsi="Palatino Linotype" w:cs="Palatino Linotype"/>
          <w:sz w:val="18"/>
          <w:szCs w:val="18"/>
        </w:rPr>
      </w:pPr>
    </w:p>
    <w:p w14:paraId="6009C38F" w14:textId="77777777" w:rsidR="00C91C7B" w:rsidRPr="00D6033B" w:rsidRDefault="009B45E6">
      <w:pPr>
        <w:spacing w:line="360" w:lineRule="auto"/>
        <w:ind w:right="51"/>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6033B">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D6033B">
        <w:rPr>
          <w:rFonts w:ascii="Palatino Linotype" w:eastAsia="Palatino Linotype" w:hAnsi="Palatino Linotype" w:cs="Palatino Linotype"/>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1A020CF" w14:textId="77777777" w:rsidR="0072078B" w:rsidRPr="00D6033B" w:rsidRDefault="0072078B">
      <w:pPr>
        <w:spacing w:line="360" w:lineRule="auto"/>
        <w:jc w:val="both"/>
        <w:rPr>
          <w:rFonts w:ascii="Palatino Linotype" w:eastAsia="Palatino Linotype" w:hAnsi="Palatino Linotype" w:cs="Palatino Linotype"/>
          <w:color w:val="000000"/>
          <w:sz w:val="24"/>
          <w:szCs w:val="24"/>
        </w:rPr>
      </w:pPr>
      <w:bookmarkStart w:id="0" w:name="_30j0zll" w:colFirst="0" w:colLast="0"/>
      <w:bookmarkEnd w:id="0"/>
    </w:p>
    <w:p w14:paraId="27179991" w14:textId="49416F2F"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Finalmente, y en mérito de lo expuesto en líneas anteriores, resultan </w:t>
      </w:r>
      <w:r w:rsidR="0072078B" w:rsidRPr="00D6033B">
        <w:rPr>
          <w:rFonts w:ascii="Palatino Linotype" w:eastAsia="Palatino Linotype" w:hAnsi="Palatino Linotype" w:cs="Palatino Linotype"/>
          <w:i/>
          <w:sz w:val="24"/>
          <w:szCs w:val="24"/>
        </w:rPr>
        <w:t xml:space="preserve">parcialmente </w:t>
      </w:r>
      <w:r w:rsidRPr="00D6033B">
        <w:rPr>
          <w:rFonts w:ascii="Palatino Linotype" w:eastAsia="Palatino Linotype" w:hAnsi="Palatino Linotype" w:cs="Palatino Linotype"/>
          <w:i/>
          <w:sz w:val="24"/>
          <w:szCs w:val="24"/>
        </w:rPr>
        <w:t>fundados</w:t>
      </w:r>
      <w:r w:rsidRPr="00D6033B">
        <w:rPr>
          <w:rFonts w:ascii="Palatino Linotype" w:eastAsia="Palatino Linotype" w:hAnsi="Palatino Linotype" w:cs="Palatino Linotype"/>
          <w:sz w:val="24"/>
          <w:szCs w:val="24"/>
        </w:rPr>
        <w:t xml:space="preserve"> los motivos de inconformidad vertidos por </w:t>
      </w:r>
      <w:r w:rsidRPr="00D6033B">
        <w:rPr>
          <w:rFonts w:ascii="Palatino Linotype" w:eastAsia="Palatino Linotype" w:hAnsi="Palatino Linotype" w:cs="Palatino Linotype"/>
          <w:b/>
          <w:sz w:val="24"/>
          <w:szCs w:val="24"/>
        </w:rPr>
        <w:t>El Recurrente</w:t>
      </w:r>
      <w:r w:rsidRPr="00D6033B">
        <w:rPr>
          <w:rFonts w:ascii="Palatino Linotype" w:eastAsia="Palatino Linotype" w:hAnsi="Palatino Linotype" w:cs="Palatino Linotype"/>
          <w:sz w:val="24"/>
          <w:szCs w:val="24"/>
        </w:rPr>
        <w:t xml:space="preserve">, por ello con fundamento en la </w:t>
      </w:r>
      <w:r w:rsidRPr="00D6033B">
        <w:rPr>
          <w:rFonts w:ascii="Palatino Linotype" w:eastAsia="Palatino Linotype" w:hAnsi="Palatino Linotype" w:cs="Palatino Linotype"/>
          <w:i/>
          <w:sz w:val="24"/>
          <w:szCs w:val="24"/>
        </w:rPr>
        <w:t>segunda hipótesis</w:t>
      </w:r>
      <w:r w:rsidRPr="00D6033B">
        <w:rPr>
          <w:rFonts w:ascii="Palatino Linotype" w:eastAsia="Palatino Linotype" w:hAnsi="Palatino Linotype" w:cs="Palatino Linotype"/>
          <w:sz w:val="24"/>
          <w:szCs w:val="24"/>
        </w:rPr>
        <w:t xml:space="preserve"> del artículo 186, fracción III, de la Ley de Transparencia y Acceso a la Información Pública del Estado de México y Municipios, se </w:t>
      </w:r>
      <w:r w:rsidRPr="00D6033B">
        <w:rPr>
          <w:rFonts w:ascii="Palatino Linotype" w:eastAsia="Palatino Linotype" w:hAnsi="Palatino Linotype" w:cs="Palatino Linotype"/>
          <w:b/>
          <w:sz w:val="24"/>
          <w:szCs w:val="24"/>
        </w:rPr>
        <w:t xml:space="preserve">MODIFICA </w:t>
      </w:r>
      <w:r w:rsidRPr="00D6033B">
        <w:rPr>
          <w:rFonts w:ascii="Palatino Linotype" w:eastAsia="Palatino Linotype" w:hAnsi="Palatino Linotype" w:cs="Palatino Linotype"/>
          <w:sz w:val="24"/>
          <w:szCs w:val="24"/>
        </w:rPr>
        <w:t xml:space="preserve">la respuesta a la solicitud de información </w:t>
      </w:r>
      <w:r w:rsidR="0072078B" w:rsidRPr="00D6033B">
        <w:rPr>
          <w:rFonts w:ascii="Palatino Linotype" w:hAnsi="Palatino Linotype"/>
          <w:b/>
          <w:bCs/>
        </w:rPr>
        <w:t xml:space="preserve">03150/TOLUCA/IP/2024 </w:t>
      </w:r>
      <w:r w:rsidRPr="00D6033B">
        <w:rPr>
          <w:rFonts w:ascii="Palatino Linotype" w:eastAsia="Palatino Linotype" w:hAnsi="Palatino Linotype" w:cs="Palatino Linotype"/>
          <w:sz w:val="24"/>
          <w:szCs w:val="24"/>
        </w:rPr>
        <w:t>que ha sido materia del presente fallo.</w:t>
      </w:r>
    </w:p>
    <w:p w14:paraId="57E8FAE4" w14:textId="0FC128E9" w:rsidR="0072078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lastRenderedPageBreak/>
        <w:t xml:space="preserve">Por lo antes expuesto y fundado. </w:t>
      </w:r>
    </w:p>
    <w:p w14:paraId="1FEDD878" w14:textId="77777777" w:rsidR="00C91C7B" w:rsidRPr="00D6033B" w:rsidRDefault="009B45E6">
      <w:pPr>
        <w:spacing w:line="360" w:lineRule="auto"/>
        <w:jc w:val="center"/>
        <w:rPr>
          <w:rFonts w:ascii="Palatino Linotype" w:eastAsia="Palatino Linotype" w:hAnsi="Palatino Linotype" w:cs="Palatino Linotype"/>
          <w:b/>
          <w:sz w:val="28"/>
          <w:szCs w:val="28"/>
        </w:rPr>
      </w:pPr>
      <w:r w:rsidRPr="00D6033B">
        <w:rPr>
          <w:rFonts w:ascii="Palatino Linotype" w:eastAsia="Palatino Linotype" w:hAnsi="Palatino Linotype" w:cs="Palatino Linotype"/>
          <w:b/>
          <w:sz w:val="28"/>
          <w:szCs w:val="28"/>
        </w:rPr>
        <w:t>SE    RESUELVE</w:t>
      </w:r>
    </w:p>
    <w:p w14:paraId="02962CB1" w14:textId="77777777" w:rsidR="00C91C7B" w:rsidRPr="00D6033B" w:rsidRDefault="00C91C7B">
      <w:pPr>
        <w:rPr>
          <w:rFonts w:ascii="Palatino Linotype" w:eastAsia="Palatino Linotype" w:hAnsi="Palatino Linotype" w:cs="Palatino Linotype"/>
          <w:sz w:val="24"/>
          <w:szCs w:val="24"/>
        </w:rPr>
      </w:pPr>
    </w:p>
    <w:p w14:paraId="563D4583" w14:textId="77777777" w:rsidR="00C91C7B" w:rsidRPr="00D6033B" w:rsidRDefault="009B45E6">
      <w:pPr>
        <w:spacing w:line="360" w:lineRule="auto"/>
        <w:ind w:right="49"/>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b/>
          <w:sz w:val="24"/>
          <w:szCs w:val="24"/>
        </w:rPr>
        <w:t>PRIMERO.</w:t>
      </w:r>
      <w:r w:rsidRPr="00D6033B">
        <w:rPr>
          <w:rFonts w:ascii="Palatino Linotype" w:eastAsia="Palatino Linotype" w:hAnsi="Palatino Linotype" w:cs="Palatino Linotype"/>
          <w:sz w:val="24"/>
          <w:szCs w:val="24"/>
        </w:rPr>
        <w:t xml:space="preserve"> Se</w:t>
      </w:r>
      <w:r w:rsidRPr="00D6033B">
        <w:rPr>
          <w:rFonts w:ascii="Palatino Linotype" w:eastAsia="Palatino Linotype" w:hAnsi="Palatino Linotype" w:cs="Palatino Linotype"/>
          <w:b/>
          <w:sz w:val="24"/>
          <w:szCs w:val="24"/>
        </w:rPr>
        <w:t xml:space="preserve"> MODIFICA </w:t>
      </w:r>
      <w:r w:rsidRPr="00D6033B">
        <w:rPr>
          <w:rFonts w:ascii="Palatino Linotype" w:eastAsia="Palatino Linotype" w:hAnsi="Palatino Linotype" w:cs="Palatino Linotype"/>
          <w:sz w:val="24"/>
          <w:szCs w:val="24"/>
        </w:rPr>
        <w:t xml:space="preserve">la respuesta entregada por </w:t>
      </w:r>
      <w:r w:rsidRPr="00D6033B">
        <w:rPr>
          <w:rFonts w:ascii="Palatino Linotype" w:eastAsia="Palatino Linotype" w:hAnsi="Palatino Linotype" w:cs="Palatino Linotype"/>
          <w:b/>
          <w:sz w:val="24"/>
          <w:szCs w:val="24"/>
        </w:rPr>
        <w:t xml:space="preserve">El Sujeto Obligado </w:t>
      </w:r>
      <w:r w:rsidRPr="00D6033B">
        <w:rPr>
          <w:rFonts w:ascii="Palatino Linotype" w:eastAsia="Palatino Linotype" w:hAnsi="Palatino Linotype" w:cs="Palatino Linotype"/>
          <w:sz w:val="24"/>
          <w:szCs w:val="24"/>
        </w:rPr>
        <w:t xml:space="preserve">a la solicitud de información número </w:t>
      </w:r>
      <w:r w:rsidR="0072078B" w:rsidRPr="00D6033B">
        <w:rPr>
          <w:rFonts w:ascii="Palatino Linotype" w:hAnsi="Palatino Linotype"/>
          <w:b/>
          <w:bCs/>
        </w:rPr>
        <w:t>03150/TOLUCA/IP/2024</w:t>
      </w:r>
      <w:r w:rsidRPr="00D6033B">
        <w:rPr>
          <w:rFonts w:ascii="Palatino Linotype" w:eastAsia="Palatino Linotype" w:hAnsi="Palatino Linotype" w:cs="Palatino Linotype"/>
          <w:sz w:val="24"/>
          <w:szCs w:val="24"/>
        </w:rPr>
        <w:t>, por resultar parcialmente fundados los motivos de inconformidad vertidos por el</w:t>
      </w:r>
      <w:r w:rsidRPr="00D6033B">
        <w:rPr>
          <w:rFonts w:ascii="Palatino Linotype" w:eastAsia="Palatino Linotype" w:hAnsi="Palatino Linotype" w:cs="Palatino Linotype"/>
          <w:b/>
          <w:sz w:val="24"/>
          <w:szCs w:val="24"/>
        </w:rPr>
        <w:t xml:space="preserve"> Recurrente</w:t>
      </w:r>
      <w:r w:rsidRPr="00D6033B">
        <w:rPr>
          <w:rFonts w:ascii="Palatino Linotype" w:eastAsia="Palatino Linotype" w:hAnsi="Palatino Linotype" w:cs="Palatino Linotype"/>
          <w:sz w:val="24"/>
          <w:szCs w:val="24"/>
        </w:rPr>
        <w:t xml:space="preserve">, en términos del Considerando </w:t>
      </w:r>
      <w:r w:rsidRPr="00D6033B">
        <w:rPr>
          <w:rFonts w:ascii="Palatino Linotype" w:eastAsia="Palatino Linotype" w:hAnsi="Palatino Linotype" w:cs="Palatino Linotype"/>
          <w:b/>
          <w:sz w:val="24"/>
          <w:szCs w:val="24"/>
        </w:rPr>
        <w:t>QUINTO</w:t>
      </w:r>
      <w:r w:rsidRPr="00D6033B">
        <w:rPr>
          <w:rFonts w:ascii="Palatino Linotype" w:eastAsia="Palatino Linotype" w:hAnsi="Palatino Linotype" w:cs="Palatino Linotype"/>
          <w:sz w:val="24"/>
          <w:szCs w:val="24"/>
        </w:rPr>
        <w:t xml:space="preserve"> de esta resolución.</w:t>
      </w:r>
    </w:p>
    <w:p w14:paraId="07A089D0" w14:textId="77777777" w:rsidR="00C91C7B" w:rsidRPr="00D6033B" w:rsidRDefault="00C91C7B">
      <w:pPr>
        <w:spacing w:line="360" w:lineRule="auto"/>
        <w:ind w:right="49"/>
        <w:jc w:val="both"/>
        <w:rPr>
          <w:rFonts w:ascii="Palatino Linotype" w:eastAsia="Palatino Linotype" w:hAnsi="Palatino Linotype" w:cs="Palatino Linotype"/>
          <w:sz w:val="24"/>
          <w:szCs w:val="24"/>
        </w:rPr>
      </w:pPr>
    </w:p>
    <w:p w14:paraId="34D3A52A"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b/>
          <w:sz w:val="24"/>
          <w:szCs w:val="24"/>
        </w:rPr>
        <w:t>SEGUNDO.</w:t>
      </w:r>
      <w:r w:rsidRPr="00D6033B">
        <w:rPr>
          <w:rFonts w:ascii="Palatino Linotype" w:eastAsia="Palatino Linotype" w:hAnsi="Palatino Linotype" w:cs="Palatino Linotype"/>
          <w:sz w:val="24"/>
          <w:szCs w:val="24"/>
        </w:rPr>
        <w:t xml:space="preserve"> Se </w:t>
      </w:r>
      <w:r w:rsidRPr="00D6033B">
        <w:rPr>
          <w:rFonts w:ascii="Palatino Linotype" w:eastAsia="Palatino Linotype" w:hAnsi="Palatino Linotype" w:cs="Palatino Linotype"/>
          <w:b/>
          <w:sz w:val="24"/>
          <w:szCs w:val="24"/>
        </w:rPr>
        <w:t>ORDENA</w:t>
      </w:r>
      <w:r w:rsidRPr="00D6033B">
        <w:rPr>
          <w:rFonts w:ascii="Palatino Linotype" w:eastAsia="Palatino Linotype" w:hAnsi="Palatino Linotype" w:cs="Palatino Linotype"/>
          <w:sz w:val="24"/>
          <w:szCs w:val="24"/>
        </w:rPr>
        <w:t xml:space="preserve"> al </w:t>
      </w:r>
      <w:r w:rsidRPr="00D6033B">
        <w:rPr>
          <w:rFonts w:ascii="Palatino Linotype" w:eastAsia="Palatino Linotype" w:hAnsi="Palatino Linotype" w:cs="Palatino Linotype"/>
          <w:b/>
          <w:sz w:val="24"/>
          <w:szCs w:val="24"/>
        </w:rPr>
        <w:t>Sujeto Obligado</w:t>
      </w:r>
      <w:r w:rsidRPr="00D6033B">
        <w:rPr>
          <w:rFonts w:ascii="Palatino Linotype" w:eastAsia="Palatino Linotype" w:hAnsi="Palatino Linotype" w:cs="Palatino Linotype"/>
          <w:sz w:val="24"/>
          <w:szCs w:val="24"/>
        </w:rPr>
        <w:t xml:space="preserve"> haga entrega al </w:t>
      </w:r>
      <w:r w:rsidRPr="00D6033B">
        <w:rPr>
          <w:rFonts w:ascii="Palatino Linotype" w:eastAsia="Palatino Linotype" w:hAnsi="Palatino Linotype" w:cs="Palatino Linotype"/>
          <w:b/>
          <w:sz w:val="24"/>
          <w:szCs w:val="24"/>
        </w:rPr>
        <w:t xml:space="preserve">Recurrente </w:t>
      </w:r>
      <w:r w:rsidRPr="00D6033B">
        <w:rPr>
          <w:rFonts w:ascii="Palatino Linotype" w:eastAsia="Palatino Linotype" w:hAnsi="Palatino Linotype" w:cs="Palatino Linotype"/>
          <w:sz w:val="24"/>
          <w:szCs w:val="24"/>
        </w:rPr>
        <w:t xml:space="preserve">en términos del Considerando </w:t>
      </w:r>
      <w:r w:rsidRPr="00D6033B">
        <w:rPr>
          <w:rFonts w:ascii="Palatino Linotype" w:eastAsia="Palatino Linotype" w:hAnsi="Palatino Linotype" w:cs="Palatino Linotype"/>
          <w:b/>
          <w:sz w:val="24"/>
          <w:szCs w:val="24"/>
        </w:rPr>
        <w:t xml:space="preserve">QUINTO </w:t>
      </w:r>
      <w:r w:rsidRPr="00D6033B">
        <w:rPr>
          <w:rFonts w:ascii="Palatino Linotype" w:eastAsia="Palatino Linotype" w:hAnsi="Palatino Linotype" w:cs="Palatino Linotype"/>
          <w:sz w:val="24"/>
          <w:szCs w:val="24"/>
        </w:rPr>
        <w:t>de esta resolución, a través del</w:t>
      </w:r>
      <w:r w:rsidRPr="00D6033B">
        <w:rPr>
          <w:rFonts w:ascii="Palatino Linotype" w:eastAsia="Palatino Linotype" w:hAnsi="Palatino Linotype" w:cs="Palatino Linotype"/>
          <w:b/>
          <w:sz w:val="24"/>
          <w:szCs w:val="24"/>
        </w:rPr>
        <w:t xml:space="preserve"> </w:t>
      </w:r>
      <w:r w:rsidRPr="00D6033B">
        <w:rPr>
          <w:rFonts w:ascii="Palatino Linotype" w:eastAsia="Palatino Linotype" w:hAnsi="Palatino Linotype" w:cs="Palatino Linotype"/>
          <w:sz w:val="24"/>
          <w:szCs w:val="24"/>
        </w:rPr>
        <w:t xml:space="preserve">Sistema de Acceso a la Información Mexiquense </w:t>
      </w:r>
      <w:r w:rsidRPr="00D6033B">
        <w:rPr>
          <w:rFonts w:ascii="Palatino Linotype" w:eastAsia="Palatino Linotype" w:hAnsi="Palatino Linotype" w:cs="Palatino Linotype"/>
          <w:b/>
          <w:sz w:val="24"/>
          <w:szCs w:val="24"/>
        </w:rPr>
        <w:t>(SAIMEX)</w:t>
      </w:r>
      <w:r w:rsidRPr="00D6033B">
        <w:rPr>
          <w:rFonts w:ascii="Palatino Linotype" w:eastAsia="Palatino Linotype" w:hAnsi="Palatino Linotype" w:cs="Palatino Linotype"/>
          <w:sz w:val="24"/>
          <w:szCs w:val="24"/>
        </w:rPr>
        <w:t>, de ser procedente en versión pública, de lo siguiente:</w:t>
      </w:r>
    </w:p>
    <w:p w14:paraId="37BC6E30" w14:textId="77777777" w:rsidR="00B77D98" w:rsidRPr="00D6033B" w:rsidRDefault="00B77D98" w:rsidP="00B77D98">
      <w:pPr>
        <w:pStyle w:val="Prrafodelista"/>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color w:val="000000"/>
          <w:sz w:val="24"/>
          <w:szCs w:val="24"/>
        </w:rPr>
        <w:t xml:space="preserve">El contrato </w:t>
      </w:r>
      <w:r w:rsidR="0072078B" w:rsidRPr="00D6033B">
        <w:rPr>
          <w:rFonts w:ascii="Palatino Linotype" w:eastAsia="Palatino Linotype" w:hAnsi="Palatino Linotype" w:cs="Palatino Linotype"/>
          <w:color w:val="000000"/>
          <w:sz w:val="24"/>
          <w:szCs w:val="24"/>
        </w:rPr>
        <w:t xml:space="preserve">referido </w:t>
      </w:r>
      <w:r w:rsidR="009B45E6" w:rsidRPr="00D6033B">
        <w:rPr>
          <w:rFonts w:ascii="Palatino Linotype" w:eastAsia="Palatino Linotype" w:hAnsi="Palatino Linotype" w:cs="Palatino Linotype"/>
          <w:color w:val="000000"/>
          <w:sz w:val="24"/>
          <w:szCs w:val="24"/>
        </w:rPr>
        <w:t>en respuesta.</w:t>
      </w:r>
    </w:p>
    <w:p w14:paraId="142DF2D7" w14:textId="4CA6FEFF" w:rsidR="00235067" w:rsidRPr="00D6033B" w:rsidRDefault="00235067" w:rsidP="00B77D98">
      <w:pPr>
        <w:pStyle w:val="Prrafodelista"/>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color w:val="000000"/>
          <w:sz w:val="24"/>
          <w:szCs w:val="24"/>
        </w:rPr>
        <w:t>Facturas</w:t>
      </w:r>
      <w:r w:rsidR="00B77D98" w:rsidRPr="00D6033B">
        <w:rPr>
          <w:rFonts w:ascii="Palatino Linotype" w:eastAsia="Palatino Linotype" w:hAnsi="Palatino Linotype" w:cs="Palatino Linotype"/>
          <w:color w:val="000000"/>
          <w:sz w:val="24"/>
          <w:szCs w:val="24"/>
        </w:rPr>
        <w:t xml:space="preserve"> que amparen el contrato referido en respuesta</w:t>
      </w:r>
      <w:r w:rsidR="0098403F" w:rsidRPr="00D6033B">
        <w:rPr>
          <w:rFonts w:ascii="Palatino Linotype" w:eastAsia="Palatino Linotype" w:hAnsi="Palatino Linotype" w:cs="Palatino Linotype"/>
          <w:color w:val="000000"/>
          <w:sz w:val="24"/>
          <w:szCs w:val="24"/>
        </w:rPr>
        <w:t xml:space="preserve"> al tres de diciembre de dos mil veinticuatro</w:t>
      </w:r>
      <w:r w:rsidR="004354B1" w:rsidRPr="00D6033B">
        <w:rPr>
          <w:rFonts w:ascii="Palatino Linotype" w:eastAsia="Palatino Linotype" w:hAnsi="Palatino Linotype" w:cs="Palatino Linotype"/>
          <w:color w:val="000000"/>
          <w:sz w:val="24"/>
          <w:szCs w:val="24"/>
        </w:rPr>
        <w:t>.</w:t>
      </w:r>
      <w:r w:rsidRPr="00D6033B">
        <w:rPr>
          <w:rFonts w:ascii="Palatino Linotype" w:eastAsia="Palatino Linotype" w:hAnsi="Palatino Linotype" w:cs="Palatino Linotype"/>
          <w:color w:val="000000"/>
          <w:sz w:val="24"/>
          <w:szCs w:val="24"/>
        </w:rPr>
        <w:t xml:space="preserve"> </w:t>
      </w:r>
    </w:p>
    <w:p w14:paraId="41C9DF66" w14:textId="77777777" w:rsidR="00C91C7B" w:rsidRPr="00D6033B" w:rsidRDefault="00C91C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88C15DB" w14:textId="77777777" w:rsidR="00C91C7B" w:rsidRPr="00D6033B" w:rsidRDefault="009B45E6">
      <w:pPr>
        <w:ind w:left="708"/>
        <w:jc w:val="both"/>
        <w:rPr>
          <w:rFonts w:ascii="Palatino Linotype" w:eastAsia="Palatino Linotype" w:hAnsi="Palatino Linotype" w:cs="Palatino Linotype"/>
          <w:i/>
          <w:sz w:val="24"/>
          <w:szCs w:val="24"/>
        </w:rPr>
      </w:pPr>
      <w:r w:rsidRPr="00D6033B">
        <w:rPr>
          <w:rFonts w:ascii="Palatino Linotype" w:eastAsia="Palatino Linotype" w:hAnsi="Palatino Linotype" w:cs="Palatino Linotype"/>
          <w:i/>
          <w:sz w:val="24"/>
          <w:szCs w:val="24"/>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6033B">
        <w:rPr>
          <w:rFonts w:ascii="Palatino Linotype" w:eastAsia="Palatino Linotype" w:hAnsi="Palatino Linotype" w:cs="Palatino Linotype"/>
          <w:b/>
          <w:i/>
          <w:sz w:val="24"/>
          <w:szCs w:val="24"/>
        </w:rPr>
        <w:t>Recurrente</w:t>
      </w:r>
      <w:r w:rsidRPr="00D6033B">
        <w:rPr>
          <w:rFonts w:ascii="Palatino Linotype" w:eastAsia="Palatino Linotype" w:hAnsi="Palatino Linotype" w:cs="Palatino Linotype"/>
          <w:i/>
          <w:sz w:val="24"/>
          <w:szCs w:val="24"/>
        </w:rPr>
        <w:t>.</w:t>
      </w:r>
    </w:p>
    <w:p w14:paraId="312F6F8A" w14:textId="77777777" w:rsidR="00C91C7B" w:rsidRPr="00D6033B" w:rsidRDefault="00C91C7B">
      <w:pPr>
        <w:jc w:val="both"/>
        <w:rPr>
          <w:rFonts w:ascii="Palatino Linotype" w:eastAsia="Palatino Linotype" w:hAnsi="Palatino Linotype" w:cs="Palatino Linotype"/>
          <w:i/>
          <w:sz w:val="24"/>
          <w:szCs w:val="24"/>
        </w:rPr>
      </w:pPr>
    </w:p>
    <w:p w14:paraId="03D6DA14" w14:textId="77777777" w:rsidR="00C91C7B" w:rsidRPr="00D6033B" w:rsidRDefault="009B45E6">
      <w:pPr>
        <w:spacing w:line="360" w:lineRule="auto"/>
        <w:ind w:right="49"/>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b/>
          <w:sz w:val="24"/>
          <w:szCs w:val="24"/>
        </w:rPr>
        <w:lastRenderedPageBreak/>
        <w:t xml:space="preserve">TERCERO. NOTIFÍQUESE </w:t>
      </w:r>
      <w:r w:rsidRPr="00D6033B">
        <w:rPr>
          <w:rFonts w:ascii="Palatino Linotype" w:eastAsia="Palatino Linotype" w:hAnsi="Palatino Linotype" w:cs="Palatino Linotype"/>
          <w:sz w:val="24"/>
          <w:szCs w:val="24"/>
        </w:rPr>
        <w:t xml:space="preserve">la presente resolución a través del Sistema de Acceso a la Información Mexiquense </w:t>
      </w:r>
      <w:r w:rsidRPr="00D6033B">
        <w:rPr>
          <w:rFonts w:ascii="Palatino Linotype" w:eastAsia="Palatino Linotype" w:hAnsi="Palatino Linotype" w:cs="Palatino Linotype"/>
          <w:b/>
          <w:sz w:val="24"/>
          <w:szCs w:val="24"/>
        </w:rPr>
        <w:t>(SAIMEX)</w:t>
      </w:r>
      <w:r w:rsidRPr="00D6033B">
        <w:rPr>
          <w:rFonts w:ascii="Palatino Linotype" w:eastAsia="Palatino Linotype" w:hAnsi="Palatino Linotype" w:cs="Palatino Linotype"/>
          <w:sz w:val="24"/>
          <w:szCs w:val="24"/>
        </w:rPr>
        <w:t xml:space="preserve"> al Titular de la Unidad de Transparencia del </w:t>
      </w:r>
      <w:r w:rsidRPr="00D6033B">
        <w:rPr>
          <w:rFonts w:ascii="Palatino Linotype" w:eastAsia="Palatino Linotype" w:hAnsi="Palatino Linotype" w:cs="Palatino Linotype"/>
          <w:b/>
          <w:sz w:val="24"/>
          <w:szCs w:val="24"/>
        </w:rPr>
        <w:t>Sujeto Obligado</w:t>
      </w:r>
      <w:r w:rsidRPr="00D6033B">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78D5AE" w14:textId="77777777" w:rsidR="00C91C7B" w:rsidRPr="00D6033B" w:rsidRDefault="00C91C7B">
      <w:pPr>
        <w:spacing w:line="360" w:lineRule="auto"/>
        <w:ind w:right="49"/>
        <w:jc w:val="both"/>
        <w:rPr>
          <w:rFonts w:ascii="Palatino Linotype" w:eastAsia="Palatino Linotype" w:hAnsi="Palatino Linotype" w:cs="Palatino Linotype"/>
          <w:sz w:val="24"/>
          <w:szCs w:val="24"/>
        </w:rPr>
      </w:pPr>
    </w:p>
    <w:p w14:paraId="0AAA58B1" w14:textId="77777777" w:rsidR="00C91C7B" w:rsidRPr="00D6033B" w:rsidRDefault="009B45E6">
      <w:pPr>
        <w:spacing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b/>
          <w:sz w:val="24"/>
          <w:szCs w:val="24"/>
        </w:rPr>
        <w:t>CUARTO.</w:t>
      </w:r>
      <w:r w:rsidRPr="00D6033B">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D6033B">
        <w:rPr>
          <w:rFonts w:ascii="Palatino Linotype" w:eastAsia="Palatino Linotype" w:hAnsi="Palatino Linotype" w:cs="Palatino Linotype"/>
          <w:b/>
          <w:sz w:val="24"/>
          <w:szCs w:val="24"/>
        </w:rPr>
        <w:t>Sujeto Obligado</w:t>
      </w:r>
      <w:r w:rsidRPr="00D6033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4194808" w14:textId="77777777" w:rsidR="00C91C7B" w:rsidRPr="00D6033B" w:rsidRDefault="00C91C7B">
      <w:pPr>
        <w:spacing w:line="360" w:lineRule="auto"/>
        <w:jc w:val="both"/>
        <w:rPr>
          <w:rFonts w:ascii="Palatino Linotype" w:eastAsia="Palatino Linotype" w:hAnsi="Palatino Linotype" w:cs="Palatino Linotype"/>
          <w:sz w:val="24"/>
          <w:szCs w:val="24"/>
        </w:rPr>
      </w:pPr>
    </w:p>
    <w:p w14:paraId="18ED2A8F" w14:textId="77777777" w:rsidR="00C91C7B" w:rsidRPr="00D6033B" w:rsidRDefault="009B45E6">
      <w:pPr>
        <w:spacing w:line="360" w:lineRule="auto"/>
        <w:ind w:right="49"/>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b/>
          <w:sz w:val="24"/>
          <w:szCs w:val="24"/>
        </w:rPr>
        <w:t>QUINTO. NOTIFÍQUESE</w:t>
      </w:r>
      <w:r w:rsidRPr="00D6033B">
        <w:rPr>
          <w:rFonts w:ascii="Palatino Linotype" w:eastAsia="Palatino Linotype" w:hAnsi="Palatino Linotype" w:cs="Palatino Linotype"/>
          <w:sz w:val="24"/>
          <w:szCs w:val="24"/>
        </w:rPr>
        <w:t xml:space="preserve"> al </w:t>
      </w:r>
      <w:r w:rsidRPr="00D6033B">
        <w:rPr>
          <w:rFonts w:ascii="Palatino Linotype" w:eastAsia="Palatino Linotype" w:hAnsi="Palatino Linotype" w:cs="Palatino Linotype"/>
          <w:b/>
          <w:sz w:val="24"/>
          <w:szCs w:val="24"/>
        </w:rPr>
        <w:t>Recurrente</w:t>
      </w:r>
      <w:r w:rsidRPr="00D6033B">
        <w:rPr>
          <w:rFonts w:ascii="Palatino Linotype" w:eastAsia="Palatino Linotype" w:hAnsi="Palatino Linotype" w:cs="Palatino Linotype"/>
          <w:sz w:val="24"/>
          <w:szCs w:val="24"/>
        </w:rPr>
        <w:t xml:space="preserve"> la presente resolución a través del Sistema de Acceso a la Información Mexiquense </w:t>
      </w:r>
      <w:r w:rsidRPr="00D6033B">
        <w:rPr>
          <w:rFonts w:ascii="Palatino Linotype" w:eastAsia="Palatino Linotype" w:hAnsi="Palatino Linotype" w:cs="Palatino Linotype"/>
          <w:b/>
          <w:sz w:val="24"/>
          <w:szCs w:val="24"/>
        </w:rPr>
        <w:t>(SAIMEX),</w:t>
      </w:r>
      <w:r w:rsidRPr="00D6033B">
        <w:rPr>
          <w:rFonts w:ascii="Palatino Linotype" w:eastAsia="Palatino Linotype" w:hAnsi="Palatino Linotype" w:cs="Palatino Linotype"/>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D8666A5" w14:textId="77777777" w:rsidR="00C91C7B" w:rsidRPr="00D6033B" w:rsidRDefault="00C91C7B">
      <w:pPr>
        <w:spacing w:after="0" w:line="360" w:lineRule="auto"/>
        <w:jc w:val="both"/>
        <w:rPr>
          <w:rFonts w:ascii="Palatino Linotype" w:eastAsia="Palatino Linotype" w:hAnsi="Palatino Linotype" w:cs="Palatino Linotype"/>
          <w:sz w:val="24"/>
          <w:szCs w:val="24"/>
        </w:rPr>
      </w:pPr>
    </w:p>
    <w:p w14:paraId="081CB8B6" w14:textId="1C538818" w:rsidR="00C91C7B" w:rsidRPr="00D6033B" w:rsidRDefault="009B45E6">
      <w:pPr>
        <w:spacing w:after="0" w:line="360" w:lineRule="auto"/>
        <w:jc w:val="both"/>
        <w:rPr>
          <w:rFonts w:ascii="Palatino Linotype" w:eastAsia="Palatino Linotype" w:hAnsi="Palatino Linotype" w:cs="Palatino Linotype"/>
          <w:sz w:val="24"/>
          <w:szCs w:val="24"/>
        </w:rPr>
      </w:pPr>
      <w:r w:rsidRPr="00D6033B">
        <w:rPr>
          <w:rFonts w:ascii="Palatino Linotype" w:eastAsia="Palatino Linotype" w:hAnsi="Palatino Linotype" w:cs="Palatino Linotype"/>
          <w:sz w:val="24"/>
          <w:szCs w:val="24"/>
        </w:rPr>
        <w:t xml:space="preserve">ASÍ LO RESUELVE, POR </w:t>
      </w:r>
      <w:r w:rsidRPr="00D6033B">
        <w:rPr>
          <w:rFonts w:ascii="Palatino Linotype" w:eastAsia="Palatino Linotype" w:hAnsi="Palatino Linotype" w:cs="Palatino Linotype"/>
          <w:b/>
          <w:sz w:val="24"/>
          <w:szCs w:val="24"/>
        </w:rPr>
        <w:t>UNANIMIDAD</w:t>
      </w:r>
      <w:r w:rsidRPr="00D6033B">
        <w:rPr>
          <w:rFonts w:ascii="Palatino Linotype" w:eastAsia="Palatino Linotype" w:hAnsi="Palatino Linotype" w:cs="Palatino Linotype"/>
          <w:sz w:val="24"/>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D6033B">
        <w:rPr>
          <w:rFonts w:ascii="Palatino Linotype" w:eastAsia="Palatino Linotype" w:hAnsi="Palatino Linotype" w:cs="Palatino Linotype"/>
          <w:b/>
          <w:sz w:val="24"/>
          <w:szCs w:val="24"/>
        </w:rPr>
        <w:t>OCTAVA SESIÓN ORDINARIA CELEBRADA EL</w:t>
      </w:r>
      <w:r w:rsidR="007E3FE4" w:rsidRPr="00D6033B">
        <w:rPr>
          <w:rFonts w:ascii="Palatino Linotype" w:eastAsia="Palatino Linotype" w:hAnsi="Palatino Linotype" w:cs="Palatino Linotype"/>
          <w:b/>
          <w:sz w:val="24"/>
          <w:szCs w:val="24"/>
        </w:rPr>
        <w:t xml:space="preserve"> SEIS DE MARZO DE DOS MIL VEINTICINCO</w:t>
      </w:r>
      <w:r w:rsidRPr="00D6033B">
        <w:rPr>
          <w:rFonts w:ascii="Palatino Linotype" w:eastAsia="Palatino Linotype" w:hAnsi="Palatino Linotype" w:cs="Palatino Linotype"/>
          <w:sz w:val="24"/>
          <w:szCs w:val="24"/>
        </w:rPr>
        <w:t>, ANTE EL SECRETARIO TÉCNICO DEL PLENO, ALEXIS TAPIA RAMÍREZ. ------------------------------------------------------------------------------------------------------------------------------------------------------------------------------------------------------------------------------------------------------------------------------------------------------------------------------------------------------------------------------------------</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r w:rsidR="009E7706" w:rsidRPr="00D6033B">
        <w:rPr>
          <w:rFonts w:ascii="Palatino Linotype" w:eastAsia="Palatino Linotype" w:hAnsi="Palatino Linotype" w:cs="Palatino Linotype"/>
          <w:sz w:val="24"/>
          <w:szCs w:val="24"/>
          <w:lang w:val="es-ES_tradnl"/>
        </w:rPr>
        <w:t>--------------------------------------------------------------------------</w:t>
      </w:r>
      <w:r w:rsidR="009E7706" w:rsidRPr="00D6033B">
        <w:rPr>
          <w:rFonts w:ascii="Palatino Linotype" w:eastAsia="Palatino Linotype" w:hAnsi="Palatino Linotype" w:cs="Palatino Linotype"/>
          <w:sz w:val="24"/>
          <w:szCs w:val="24"/>
        </w:rPr>
        <w:t>-------------------------------------------</w:t>
      </w:r>
    </w:p>
    <w:p w14:paraId="50E6DFC1" w14:textId="77777777" w:rsidR="00C91C7B" w:rsidRDefault="009B45E6">
      <w:pPr>
        <w:spacing w:after="0" w:line="360" w:lineRule="auto"/>
        <w:jc w:val="both"/>
        <w:rPr>
          <w:rFonts w:ascii="Palatino Linotype" w:eastAsia="Palatino Linotype" w:hAnsi="Palatino Linotype" w:cs="Palatino Linotype"/>
          <w:sz w:val="20"/>
          <w:szCs w:val="20"/>
        </w:rPr>
      </w:pPr>
      <w:r w:rsidRPr="00D6033B">
        <w:rPr>
          <w:rFonts w:ascii="Palatino Linotype" w:eastAsia="Palatino Linotype" w:hAnsi="Palatino Linotype" w:cs="Palatino Linotype"/>
          <w:sz w:val="20"/>
          <w:szCs w:val="20"/>
        </w:rPr>
        <w:t>JMV/CCR/NJMB</w:t>
      </w:r>
      <w:bookmarkStart w:id="1" w:name="_GoBack"/>
      <w:bookmarkEnd w:id="1"/>
    </w:p>
    <w:p w14:paraId="4422CD73" w14:textId="77777777" w:rsidR="00C91C7B" w:rsidRDefault="00C91C7B">
      <w:pPr>
        <w:spacing w:after="0" w:line="360" w:lineRule="auto"/>
        <w:jc w:val="both"/>
        <w:rPr>
          <w:rFonts w:ascii="Palatino Linotype" w:eastAsia="Palatino Linotype" w:hAnsi="Palatino Linotype" w:cs="Palatino Linotype"/>
          <w:sz w:val="20"/>
          <w:szCs w:val="20"/>
        </w:rPr>
      </w:pPr>
    </w:p>
    <w:p w14:paraId="0630828F" w14:textId="77777777" w:rsidR="00C91C7B" w:rsidRDefault="00C91C7B">
      <w:pPr>
        <w:spacing w:after="0" w:line="360" w:lineRule="auto"/>
        <w:jc w:val="both"/>
        <w:rPr>
          <w:rFonts w:ascii="Palatino Linotype" w:eastAsia="Palatino Linotype" w:hAnsi="Palatino Linotype" w:cs="Palatino Linotype"/>
          <w:sz w:val="20"/>
          <w:szCs w:val="20"/>
        </w:rPr>
      </w:pPr>
    </w:p>
    <w:p w14:paraId="0E0D49E5"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2ED89488"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5C7040A"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7EF2DD47"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61FF157"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527A7CE2"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015C19E"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1DB1AA3C"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3DC7F7C"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7D13A105" w14:textId="77777777" w:rsidR="00C91C7B" w:rsidRDefault="00C91C7B">
      <w:pPr>
        <w:spacing w:after="0" w:line="360" w:lineRule="auto"/>
        <w:jc w:val="both"/>
        <w:rPr>
          <w:rFonts w:ascii="Palatino Linotype" w:eastAsia="Palatino Linotype" w:hAnsi="Palatino Linotype" w:cs="Palatino Linotype"/>
          <w:sz w:val="24"/>
          <w:szCs w:val="24"/>
        </w:rPr>
      </w:pPr>
    </w:p>
    <w:p w14:paraId="75152903" w14:textId="77777777" w:rsidR="00C91C7B" w:rsidRDefault="00C91C7B">
      <w:pPr>
        <w:spacing w:after="0" w:line="360" w:lineRule="auto"/>
        <w:jc w:val="both"/>
        <w:rPr>
          <w:rFonts w:ascii="Palatino Linotype" w:eastAsia="Palatino Linotype" w:hAnsi="Palatino Linotype" w:cs="Palatino Linotype"/>
          <w:sz w:val="24"/>
          <w:szCs w:val="24"/>
        </w:rPr>
      </w:pPr>
    </w:p>
    <w:p w14:paraId="47D33D05" w14:textId="77777777" w:rsidR="00C91C7B" w:rsidRDefault="00C91C7B">
      <w:pPr>
        <w:spacing w:after="0" w:line="360" w:lineRule="auto"/>
        <w:jc w:val="both"/>
        <w:rPr>
          <w:rFonts w:ascii="Palatino Linotype" w:eastAsia="Palatino Linotype" w:hAnsi="Palatino Linotype" w:cs="Palatino Linotype"/>
          <w:sz w:val="24"/>
          <w:szCs w:val="24"/>
        </w:rPr>
      </w:pPr>
    </w:p>
    <w:p w14:paraId="0DD8B612" w14:textId="77777777" w:rsidR="00C91C7B" w:rsidRDefault="00C91C7B">
      <w:pPr>
        <w:spacing w:after="0" w:line="360" w:lineRule="auto"/>
        <w:jc w:val="both"/>
        <w:rPr>
          <w:rFonts w:ascii="Palatino Linotype" w:eastAsia="Palatino Linotype" w:hAnsi="Palatino Linotype" w:cs="Palatino Linotype"/>
          <w:sz w:val="24"/>
          <w:szCs w:val="24"/>
        </w:rPr>
      </w:pPr>
    </w:p>
    <w:p w14:paraId="4DCD8E6E" w14:textId="77777777" w:rsidR="00C91C7B" w:rsidRDefault="00C91C7B">
      <w:pPr>
        <w:spacing w:line="360" w:lineRule="auto"/>
      </w:pPr>
    </w:p>
    <w:p w14:paraId="61DDED26" w14:textId="77777777" w:rsidR="00C91C7B" w:rsidRDefault="00C91C7B">
      <w:pPr>
        <w:spacing w:line="360" w:lineRule="auto"/>
      </w:pPr>
    </w:p>
    <w:p w14:paraId="19DFA6D2" w14:textId="77777777" w:rsidR="00C91C7B" w:rsidRDefault="00C91C7B">
      <w:pPr>
        <w:spacing w:line="360" w:lineRule="auto"/>
      </w:pPr>
    </w:p>
    <w:p w14:paraId="340F7BDD" w14:textId="77777777" w:rsidR="00C91C7B" w:rsidRDefault="00C91C7B">
      <w:pPr>
        <w:spacing w:line="360" w:lineRule="auto"/>
      </w:pPr>
    </w:p>
    <w:p w14:paraId="510FA241" w14:textId="77777777" w:rsidR="00C91C7B" w:rsidRDefault="00C91C7B">
      <w:pPr>
        <w:spacing w:line="360" w:lineRule="auto"/>
      </w:pPr>
    </w:p>
    <w:p w14:paraId="5FD070B4" w14:textId="77777777" w:rsidR="00C91C7B" w:rsidRDefault="00C91C7B"/>
    <w:p w14:paraId="5A80821B" w14:textId="77777777" w:rsidR="00C91C7B" w:rsidRDefault="00C91C7B"/>
    <w:sectPr w:rsidR="00C91C7B">
      <w:headerReference w:type="even" r:id="rId8"/>
      <w:headerReference w:type="default" r:id="rId9"/>
      <w:footerReference w:type="default" r:id="rId10"/>
      <w:headerReference w:type="first" r:id="rId11"/>
      <w:footerReference w:type="first" r:id="rId12"/>
      <w:pgSz w:w="12240" w:h="15840"/>
      <w:pgMar w:top="2977" w:right="1134" w:bottom="1191" w:left="1752"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68B05" w14:textId="77777777" w:rsidR="006F0B70" w:rsidRDefault="006F0B70">
      <w:pPr>
        <w:spacing w:after="0" w:line="240" w:lineRule="auto"/>
      </w:pPr>
      <w:r>
        <w:separator/>
      </w:r>
    </w:p>
  </w:endnote>
  <w:endnote w:type="continuationSeparator" w:id="0">
    <w:p w14:paraId="1DF92CE0" w14:textId="77777777" w:rsidR="006F0B70" w:rsidRDefault="006F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A866" w14:textId="3E189D9C" w:rsidR="00F73F66" w:rsidRDefault="00F73F6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6033B">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6033B">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7F90" w14:textId="42091416" w:rsidR="00F73F66" w:rsidRDefault="00F73F6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6033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6033B">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AB45" w14:textId="77777777" w:rsidR="006F0B70" w:rsidRDefault="006F0B70">
      <w:pPr>
        <w:spacing w:after="0" w:line="240" w:lineRule="auto"/>
      </w:pPr>
      <w:r>
        <w:separator/>
      </w:r>
    </w:p>
  </w:footnote>
  <w:footnote w:type="continuationSeparator" w:id="0">
    <w:p w14:paraId="114AC642" w14:textId="77777777" w:rsidR="006F0B70" w:rsidRDefault="006F0B70">
      <w:pPr>
        <w:spacing w:after="0" w:line="240" w:lineRule="auto"/>
      </w:pPr>
      <w:r>
        <w:continuationSeparator/>
      </w:r>
    </w:p>
  </w:footnote>
  <w:footnote w:id="1">
    <w:p w14:paraId="38275FCE" w14:textId="77777777" w:rsidR="00F73F66" w:rsidRDefault="00F73F66">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9932738" w14:textId="77777777" w:rsidR="00F73F66" w:rsidRDefault="00F73F66">
      <w:pPr>
        <w:rPr>
          <w:color w:val="000000"/>
          <w:sz w:val="20"/>
          <w:szCs w:val="20"/>
        </w:rPr>
      </w:pPr>
    </w:p>
    <w:p w14:paraId="7D5470D2" w14:textId="77777777" w:rsidR="00F73F66" w:rsidRDefault="00F73F66">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B79348E" w14:textId="77777777" w:rsidR="00F73F66" w:rsidRDefault="00F73F66">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3E2069F" w14:textId="77777777" w:rsidR="00F73F66" w:rsidRDefault="00F73F66">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124F633" w14:textId="77777777" w:rsidR="00F73F66" w:rsidRDefault="00F73F66">
      <w:pPr>
        <w:rPr>
          <w:color w:val="000000"/>
          <w:sz w:val="20"/>
          <w:szCs w:val="20"/>
        </w:rPr>
      </w:pPr>
    </w:p>
    <w:p w14:paraId="3205E6B5" w14:textId="77777777" w:rsidR="00F73F66" w:rsidRDefault="00F73F66">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770820D" w14:textId="77777777" w:rsidR="00F73F66" w:rsidRDefault="00F73F66">
      <w:pPr>
        <w:jc w:val="both"/>
        <w:rPr>
          <w:i/>
          <w:sz w:val="20"/>
          <w:szCs w:val="20"/>
        </w:rPr>
      </w:pPr>
      <w:r>
        <w:rPr>
          <w:i/>
          <w:sz w:val="20"/>
          <w:szCs w:val="20"/>
        </w:rPr>
        <w:t xml:space="preserve">Del examen de compatibilidad de los artículos </w:t>
      </w:r>
      <w:hyperlink r:id="rId3">
        <w:r>
          <w:rPr>
            <w:i/>
            <w:color w:val="000000"/>
            <w:sz w:val="20"/>
            <w:szCs w:val="20"/>
            <w:u w:val="single"/>
          </w:rPr>
          <w:t>73 y 74 de la Ley de Amparo</w:t>
        </w:r>
      </w:hyperlink>
      <w:r>
        <w:rPr>
          <w:i/>
          <w:sz w:val="20"/>
          <w:szCs w:val="20"/>
        </w:rPr>
        <w:t xml:space="preserve"> con el artículo </w:t>
      </w:r>
      <w:hyperlink r:id="rId4">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BBF1" w14:textId="77777777" w:rsidR="00F73F66" w:rsidRDefault="00D6033B">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59F4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BFFCE" w14:textId="77777777" w:rsidR="00F73F66" w:rsidRDefault="00F73F6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0"/>
      <w:tblW w:w="9641" w:type="dxa"/>
      <w:tblInd w:w="0" w:type="dxa"/>
      <w:tblLayout w:type="fixed"/>
      <w:tblLook w:val="0400" w:firstRow="0" w:lastRow="0" w:firstColumn="0" w:lastColumn="0" w:noHBand="0" w:noVBand="1"/>
    </w:tblPr>
    <w:tblGrid>
      <w:gridCol w:w="5180"/>
      <w:gridCol w:w="4461"/>
    </w:tblGrid>
    <w:tr w:rsidR="00F73F66" w14:paraId="102AE8A7" w14:textId="77777777">
      <w:trPr>
        <w:trHeight w:val="237"/>
      </w:trPr>
      <w:tc>
        <w:tcPr>
          <w:tcW w:w="5180" w:type="dxa"/>
        </w:tcPr>
        <w:p w14:paraId="37B1718E" w14:textId="77777777" w:rsidR="00F73F66" w:rsidRDefault="00F73F66">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61" w:type="dxa"/>
        </w:tcPr>
        <w:p w14:paraId="2D5E27D5" w14:textId="77777777" w:rsidR="00F73F66" w:rsidRDefault="00F73F66">
          <w:pPr>
            <w:spacing w:after="120" w:line="240" w:lineRule="auto"/>
            <w:ind w:right="71"/>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00520/INFOEM/IP/RR/2025</w:t>
          </w:r>
        </w:p>
      </w:tc>
    </w:tr>
    <w:tr w:rsidR="00F73F66" w14:paraId="03BC0838" w14:textId="77777777">
      <w:trPr>
        <w:trHeight w:val="252"/>
      </w:trPr>
      <w:tc>
        <w:tcPr>
          <w:tcW w:w="5180" w:type="dxa"/>
        </w:tcPr>
        <w:p w14:paraId="592C1314" w14:textId="77777777" w:rsidR="00F73F66" w:rsidRDefault="00F73F66">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61" w:type="dxa"/>
        </w:tcPr>
        <w:p w14:paraId="0AE4B9E4" w14:textId="77777777" w:rsidR="00F73F66" w:rsidRDefault="00F73F66" w:rsidP="009B45E6">
          <w:pPr>
            <w:spacing w:after="120" w:line="240" w:lineRule="auto"/>
            <w:ind w:left="-81" w:right="71"/>
            <w:jc w:val="right"/>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Ayuntamiento de Toluca</w:t>
          </w:r>
        </w:p>
      </w:tc>
    </w:tr>
    <w:tr w:rsidR="00F73F66" w14:paraId="6467F0C4" w14:textId="77777777">
      <w:trPr>
        <w:trHeight w:val="357"/>
      </w:trPr>
      <w:tc>
        <w:tcPr>
          <w:tcW w:w="5180" w:type="dxa"/>
        </w:tcPr>
        <w:p w14:paraId="5F93FC25" w14:textId="77777777" w:rsidR="00F73F66" w:rsidRDefault="00F73F66">
          <w:pPr>
            <w:tabs>
              <w:tab w:val="left" w:pos="4892"/>
            </w:tabs>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461" w:type="dxa"/>
        </w:tcPr>
        <w:p w14:paraId="4B3D134C" w14:textId="77777777" w:rsidR="00F73F66" w:rsidRDefault="00F73F66">
          <w:pPr>
            <w:spacing w:after="120" w:line="240" w:lineRule="auto"/>
            <w:ind w:left="-486" w:right="71"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p w14:paraId="011A2E1E" w14:textId="77777777" w:rsidR="00F73F66" w:rsidRDefault="00F73F66">
          <w:pPr>
            <w:spacing w:after="120" w:line="240" w:lineRule="auto"/>
            <w:ind w:left="-486" w:right="71" w:firstLine="567"/>
            <w:jc w:val="right"/>
            <w:rPr>
              <w:rFonts w:ascii="Palatino Linotype" w:eastAsia="Palatino Linotype" w:hAnsi="Palatino Linotype" w:cs="Palatino Linotype"/>
              <w:sz w:val="24"/>
              <w:szCs w:val="24"/>
            </w:rPr>
          </w:pPr>
        </w:p>
      </w:tc>
    </w:tr>
  </w:tbl>
  <w:p w14:paraId="028C6E11" w14:textId="77777777" w:rsidR="00F73F66" w:rsidRDefault="00D6033B">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4"/>
        <w:szCs w:val="24"/>
      </w:rPr>
      <w:pict w14:anchorId="0A29E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81.55pt;margin-top:-142.95pt;width:609.4pt;height:793.75pt;z-index:-251658752;mso-position-horizontal:absolute;mso-position-horizontal-relative:margin;mso-position-vertical:absolute;mso-position-vertical-relative:margin">
          <v:imagedata r:id="rId1" o:title="image2"/>
          <w10:wrap anchorx="margin" anchory="margin"/>
        </v:shape>
      </w:pict>
    </w:r>
    <w:r w:rsidR="00F73F66">
      <w:rPr>
        <w:rFonts w:ascii="Times New Roman" w:eastAsia="Times New Roman" w:hAnsi="Times New Roman" w:cs="Times New Roman"/>
        <w:color w:val="000000"/>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42CC" w14:textId="77777777" w:rsidR="00F73F66" w:rsidRDefault="00F73F6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
        <w:szCs w:val="2"/>
      </w:rPr>
    </w:pPr>
  </w:p>
  <w:tbl>
    <w:tblPr>
      <w:tblStyle w:val="a1"/>
      <w:tblW w:w="9498" w:type="dxa"/>
      <w:tblInd w:w="0" w:type="dxa"/>
      <w:tblLayout w:type="fixed"/>
      <w:tblLook w:val="0400" w:firstRow="0" w:lastRow="0" w:firstColumn="0" w:lastColumn="0" w:noHBand="0" w:noVBand="1"/>
    </w:tblPr>
    <w:tblGrid>
      <w:gridCol w:w="5103"/>
      <w:gridCol w:w="4395"/>
    </w:tblGrid>
    <w:tr w:rsidR="00F73F66" w14:paraId="45554A2A" w14:textId="77777777">
      <w:trPr>
        <w:trHeight w:val="227"/>
      </w:trPr>
      <w:tc>
        <w:tcPr>
          <w:tcW w:w="5103" w:type="dxa"/>
        </w:tcPr>
        <w:p w14:paraId="2E4F5EC2" w14:textId="77777777" w:rsidR="00F73F66" w:rsidRDefault="00F73F66">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395" w:type="dxa"/>
        </w:tcPr>
        <w:p w14:paraId="35F2F95E" w14:textId="77777777" w:rsidR="00F73F66" w:rsidRDefault="00F73F66">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00520/INFOEM/IP/RR/2025</w:t>
          </w:r>
        </w:p>
      </w:tc>
    </w:tr>
    <w:tr w:rsidR="00F73F66" w14:paraId="638CB406" w14:textId="77777777">
      <w:trPr>
        <w:trHeight w:val="227"/>
      </w:trPr>
      <w:tc>
        <w:tcPr>
          <w:tcW w:w="5103" w:type="dxa"/>
        </w:tcPr>
        <w:p w14:paraId="740AFDE1" w14:textId="77777777" w:rsidR="00F73F66" w:rsidRDefault="00F73F66">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Recurrente:     </w:t>
          </w:r>
        </w:p>
      </w:tc>
      <w:tc>
        <w:tcPr>
          <w:tcW w:w="4395" w:type="dxa"/>
        </w:tcPr>
        <w:p w14:paraId="64BA8BA9" w14:textId="651A7129" w:rsidR="00F73F66" w:rsidRDefault="00C9375A">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XXXX</w:t>
          </w:r>
        </w:p>
      </w:tc>
    </w:tr>
    <w:tr w:rsidR="00F73F66" w14:paraId="4AF00DDC" w14:textId="77777777">
      <w:trPr>
        <w:trHeight w:val="242"/>
      </w:trPr>
      <w:tc>
        <w:tcPr>
          <w:tcW w:w="5103" w:type="dxa"/>
        </w:tcPr>
        <w:p w14:paraId="27E33E05" w14:textId="77777777" w:rsidR="00F73F66" w:rsidRDefault="00F73F66">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395" w:type="dxa"/>
        </w:tcPr>
        <w:p w14:paraId="53CF189C" w14:textId="77777777" w:rsidR="00F73F66" w:rsidRDefault="00F73F66">
          <w:pPr>
            <w:spacing w:after="120" w:line="240" w:lineRule="auto"/>
            <w:ind w:left="-70" w:right="68"/>
            <w:jc w:val="right"/>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Ayuntamiento de Toluca</w:t>
          </w:r>
        </w:p>
      </w:tc>
    </w:tr>
    <w:tr w:rsidR="00F73F66" w14:paraId="7C1AAA51" w14:textId="77777777">
      <w:trPr>
        <w:trHeight w:val="342"/>
      </w:trPr>
      <w:tc>
        <w:tcPr>
          <w:tcW w:w="5103" w:type="dxa"/>
        </w:tcPr>
        <w:p w14:paraId="76508E0E" w14:textId="77777777" w:rsidR="00F73F66" w:rsidRDefault="00F73F66">
          <w:pPr>
            <w:tabs>
              <w:tab w:val="left" w:pos="4892"/>
            </w:tabs>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395" w:type="dxa"/>
        </w:tcPr>
        <w:p w14:paraId="0B66A6D3" w14:textId="77777777" w:rsidR="00F73F66" w:rsidRDefault="00F73F66">
          <w:pPr>
            <w:spacing w:after="120" w:line="240" w:lineRule="auto"/>
            <w:ind w:left="-486" w:right="68"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tc>
    </w:tr>
  </w:tbl>
  <w:p w14:paraId="2604D213" w14:textId="77777777" w:rsidR="00F73F66" w:rsidRDefault="00F73F66">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4"/>
        <w:szCs w:val="24"/>
        <w:lang w:val="es-ES" w:eastAsia="es-ES"/>
      </w:rPr>
      <w:drawing>
        <wp:anchor distT="0" distB="0" distL="0" distR="0" simplePos="0" relativeHeight="251656704" behindDoc="1" locked="0" layoutInCell="1" hidden="0" allowOverlap="1" wp14:anchorId="03E1E5FF" wp14:editId="0C41174B">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9704339"/>
    <w:multiLevelType w:val="multilevel"/>
    <w:tmpl w:val="6B7CF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0673831"/>
    <w:multiLevelType w:val="hybridMultilevel"/>
    <w:tmpl w:val="8F482896"/>
    <w:lvl w:ilvl="0" w:tplc="FE523040">
      <w:start w:val="1"/>
      <w:numFmt w:val="bullet"/>
      <w:lvlText w:val=""/>
      <w:lvlJc w:val="left"/>
      <w:pPr>
        <w:ind w:left="1440" w:hanging="360"/>
      </w:pPr>
      <w:rPr>
        <w:rFonts w:ascii="Symbol" w:eastAsia="Palatino Linotype" w:hAnsi="Symbol" w:cs="Palatino Linotype"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1376D87"/>
    <w:multiLevelType w:val="multilevel"/>
    <w:tmpl w:val="31389804"/>
    <w:lvl w:ilvl="0">
      <w:start w:val="1"/>
      <w:numFmt w:val="decimal"/>
      <w:lvlText w:val="%1."/>
      <w:lvlJc w:val="left"/>
      <w:pPr>
        <w:ind w:left="1080" w:hanging="360"/>
      </w:pPr>
    </w:lvl>
    <w:lvl w:ilvl="1">
      <w:start w:val="1"/>
      <w:numFmt w:val="upp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A45A4B"/>
    <w:multiLevelType w:val="multilevel"/>
    <w:tmpl w:val="67F80484"/>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6" w15:restartNumberingAfterBreak="0">
    <w:nsid w:val="3B0E5A79"/>
    <w:multiLevelType w:val="multilevel"/>
    <w:tmpl w:val="38BE23AE"/>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D0D5605"/>
    <w:multiLevelType w:val="multilevel"/>
    <w:tmpl w:val="704ECD9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EA15C39"/>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AA405F2"/>
    <w:multiLevelType w:val="multilevel"/>
    <w:tmpl w:val="7F5A219E"/>
    <w:lvl w:ilvl="0">
      <w:start w:val="1"/>
      <w:numFmt w:val="decimal"/>
      <w:lvlText w:val="%1."/>
      <w:lvlJc w:val="left"/>
      <w:pPr>
        <w:ind w:left="1440" w:hanging="360"/>
      </w:pPr>
      <w:rPr>
        <w:rFonts w:ascii="Palatino Linotype" w:eastAsia="Palatino Linotype" w:hAnsi="Palatino Linotype" w:cs="Palatino Linotype"/>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D3223DC"/>
    <w:multiLevelType w:val="multilevel"/>
    <w:tmpl w:val="DFCAF5C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780E09B3"/>
    <w:multiLevelType w:val="multilevel"/>
    <w:tmpl w:val="A6B84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2F0F39"/>
    <w:multiLevelType w:val="multilevel"/>
    <w:tmpl w:val="6CC2DE44"/>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9"/>
  </w:num>
  <w:num w:numId="2">
    <w:abstractNumId w:val="13"/>
  </w:num>
  <w:num w:numId="3">
    <w:abstractNumId w:val="0"/>
  </w:num>
  <w:num w:numId="4">
    <w:abstractNumId w:val="10"/>
  </w:num>
  <w:num w:numId="5">
    <w:abstractNumId w:val="7"/>
  </w:num>
  <w:num w:numId="6">
    <w:abstractNumId w:val="14"/>
  </w:num>
  <w:num w:numId="7">
    <w:abstractNumId w:val="1"/>
  </w:num>
  <w:num w:numId="8">
    <w:abstractNumId w:val="8"/>
  </w:num>
  <w:num w:numId="9">
    <w:abstractNumId w:val="12"/>
  </w:num>
  <w:num w:numId="10">
    <w:abstractNumId w:val="5"/>
  </w:num>
  <w:num w:numId="11">
    <w:abstractNumId w:val="11"/>
  </w:num>
  <w:num w:numId="12">
    <w:abstractNumId w:val="15"/>
  </w:num>
  <w:num w:numId="13">
    <w:abstractNumId w:val="6"/>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7B"/>
    <w:rsid w:val="00082752"/>
    <w:rsid w:val="000B66E7"/>
    <w:rsid w:val="00155259"/>
    <w:rsid w:val="00201E75"/>
    <w:rsid w:val="00235067"/>
    <w:rsid w:val="00355475"/>
    <w:rsid w:val="00373960"/>
    <w:rsid w:val="003D6E3A"/>
    <w:rsid w:val="004354B1"/>
    <w:rsid w:val="006D07D6"/>
    <w:rsid w:val="006F0B70"/>
    <w:rsid w:val="0072078B"/>
    <w:rsid w:val="007A2DB6"/>
    <w:rsid w:val="007D44A4"/>
    <w:rsid w:val="007E0EEC"/>
    <w:rsid w:val="007E3FE4"/>
    <w:rsid w:val="008260B7"/>
    <w:rsid w:val="00855EC0"/>
    <w:rsid w:val="00895466"/>
    <w:rsid w:val="008D5D98"/>
    <w:rsid w:val="008F0B40"/>
    <w:rsid w:val="009647E4"/>
    <w:rsid w:val="0098403F"/>
    <w:rsid w:val="009B45E6"/>
    <w:rsid w:val="009E1B31"/>
    <w:rsid w:val="009E7706"/>
    <w:rsid w:val="00A82EB6"/>
    <w:rsid w:val="00B77D98"/>
    <w:rsid w:val="00B77F01"/>
    <w:rsid w:val="00C37576"/>
    <w:rsid w:val="00C91C7B"/>
    <w:rsid w:val="00C9375A"/>
    <w:rsid w:val="00CA23B0"/>
    <w:rsid w:val="00CA541D"/>
    <w:rsid w:val="00D45468"/>
    <w:rsid w:val="00D6033B"/>
    <w:rsid w:val="00DD7676"/>
    <w:rsid w:val="00E77C78"/>
    <w:rsid w:val="00EA1F68"/>
    <w:rsid w:val="00F73F66"/>
    <w:rsid w:val="00FF5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877290"/>
  <w15:docId w15:val="{3BD35AF7-EBAE-4678-871A-586ECED6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9B45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5E6"/>
  </w:style>
  <w:style w:type="character" w:styleId="Hipervnculo">
    <w:name w:val="Hyperlink"/>
    <w:basedOn w:val="Fuentedeprrafopredeter"/>
    <w:uiPriority w:val="99"/>
    <w:semiHidden/>
    <w:unhideWhenUsed/>
    <w:rsid w:val="009B45E6"/>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B45E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F0B40"/>
  </w:style>
  <w:style w:type="paragraph" w:customStyle="1" w:styleId="Citas">
    <w:name w:val="Citas"/>
    <w:basedOn w:val="Normal"/>
    <w:qFormat/>
    <w:rsid w:val="008F0B40"/>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9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48</Pages>
  <Words>10659</Words>
  <Characters>58627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INFOEM365</dc:creator>
  <cp:lastModifiedBy>COMPAC24</cp:lastModifiedBy>
  <cp:revision>5</cp:revision>
  <dcterms:created xsi:type="dcterms:W3CDTF">2025-03-07T15:07:00Z</dcterms:created>
  <dcterms:modified xsi:type="dcterms:W3CDTF">2025-05-09T01:21:00Z</dcterms:modified>
</cp:coreProperties>
</file>