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322" w:rsidRPr="00A600F4" w:rsidRDefault="00ED451E" w:rsidP="00EB4322">
      <w:pPr>
        <w:spacing w:before="240" w:line="360" w:lineRule="auto"/>
        <w:jc w:val="both"/>
        <w:rPr>
          <w:rFonts w:ascii="Palatino Linotype" w:eastAsia="Times New Roman" w:hAnsi="Palatino Linotype" w:cs="Arial"/>
          <w:sz w:val="24"/>
          <w:szCs w:val="24"/>
          <w:lang w:eastAsia="es-MX"/>
        </w:rPr>
      </w:pPr>
      <w:r>
        <w:rPr>
          <w:rFonts w:ascii="Palatino Linotype" w:eastAsia="Times New Roman" w:hAnsi="Palatino Linotype" w:cs="Arial"/>
          <w:sz w:val="24"/>
          <w:szCs w:val="24"/>
          <w:lang w:eastAsia="es-MX"/>
        </w:rPr>
        <w:t xml:space="preserve"> </w:t>
      </w:r>
      <w:r w:rsidRPr="00A600F4">
        <w:rPr>
          <w:rFonts w:ascii="Palatino Linotype" w:eastAsia="Times New Roman" w:hAnsi="Palatino Linotype" w:cs="Arial"/>
          <w:sz w:val="24"/>
          <w:szCs w:val="24"/>
          <w:lang w:eastAsia="es-MX"/>
        </w:rPr>
        <w:t>Re</w:t>
      </w:r>
      <w:r w:rsidR="00EB4322" w:rsidRPr="00A600F4">
        <w:rPr>
          <w:rFonts w:ascii="Palatino Linotype" w:eastAsia="Times New Roman" w:hAnsi="Palatino Linotype" w:cs="Arial"/>
          <w:sz w:val="24"/>
          <w:szCs w:val="24"/>
          <w:lang w:eastAsia="es-MX"/>
        </w:rPr>
        <w:t xml:space="preserve">solución del Pleno del Instituto de Transparencia, Acceso a la Información Pública y Protección de Datos Personales del Estado de México y Municipios, con domicilio en Metepec, Estado de México, a </w:t>
      </w:r>
      <w:r w:rsidRPr="00A600F4">
        <w:rPr>
          <w:rFonts w:ascii="Palatino Linotype" w:eastAsia="Times New Roman" w:hAnsi="Palatino Linotype" w:cs="Arial"/>
          <w:b/>
          <w:sz w:val="24"/>
          <w:szCs w:val="24"/>
          <w:lang w:eastAsia="es-MX"/>
        </w:rPr>
        <w:t>quince</w:t>
      </w:r>
      <w:r w:rsidR="00EB4322" w:rsidRPr="00A600F4">
        <w:rPr>
          <w:rFonts w:ascii="Palatino Linotype" w:eastAsia="Times New Roman" w:hAnsi="Palatino Linotype" w:cs="Arial"/>
          <w:b/>
          <w:sz w:val="24"/>
          <w:szCs w:val="24"/>
          <w:lang w:eastAsia="es-MX"/>
        </w:rPr>
        <w:t xml:space="preserve"> de octubre de dos mil veinticinco</w:t>
      </w:r>
      <w:r w:rsidR="00EB4322" w:rsidRPr="00A600F4">
        <w:rPr>
          <w:rFonts w:ascii="Palatino Linotype" w:eastAsia="Times New Roman" w:hAnsi="Palatino Linotype" w:cs="Arial"/>
          <w:sz w:val="24"/>
          <w:szCs w:val="24"/>
          <w:lang w:eastAsia="es-MX"/>
        </w:rPr>
        <w:t>.</w:t>
      </w:r>
    </w:p>
    <w:p w:rsidR="00EB4322" w:rsidRPr="00A600F4" w:rsidRDefault="00EB4322" w:rsidP="00EB4322">
      <w:pPr>
        <w:tabs>
          <w:tab w:val="left" w:pos="1701"/>
        </w:tabs>
        <w:spacing w:before="240" w:line="360" w:lineRule="auto"/>
        <w:jc w:val="both"/>
        <w:rPr>
          <w:rFonts w:ascii="Palatino Linotype" w:hAnsi="Palatino Linotype"/>
          <w:sz w:val="24"/>
        </w:rPr>
      </w:pPr>
      <w:r w:rsidRPr="00A600F4">
        <w:rPr>
          <w:rFonts w:ascii="Palatino Linotype" w:hAnsi="Palatino Linotype" w:cs="Arial"/>
          <w:b/>
          <w:sz w:val="24"/>
        </w:rPr>
        <w:t>VISTO</w:t>
      </w:r>
      <w:r w:rsidRPr="00A600F4">
        <w:rPr>
          <w:rFonts w:ascii="Palatino Linotype" w:hAnsi="Palatino Linotype" w:cs="Arial"/>
          <w:sz w:val="24"/>
        </w:rPr>
        <w:t xml:space="preserve"> el expediente electrónico formado con motivo del recurso de revisión número</w:t>
      </w:r>
      <w:r w:rsidRPr="00A600F4">
        <w:rPr>
          <w:rFonts w:ascii="Palatino Linotype" w:hAnsi="Palatino Linotype" w:cs="Arial"/>
          <w:b/>
          <w:sz w:val="24"/>
        </w:rPr>
        <w:t xml:space="preserve"> 0</w:t>
      </w:r>
      <w:r w:rsidRPr="00A600F4">
        <w:rPr>
          <w:rFonts w:ascii="Palatino Linotype" w:hAnsi="Palatino Linotype" w:cs="Arial"/>
          <w:b/>
          <w:bCs/>
          <w:sz w:val="24"/>
          <w:lang w:eastAsia="es-MX"/>
        </w:rPr>
        <w:t xml:space="preserve">9960/INFOEM/IP/RR/2025, </w:t>
      </w:r>
      <w:r w:rsidRPr="00A600F4">
        <w:rPr>
          <w:rFonts w:ascii="Palatino Linotype" w:hAnsi="Palatino Linotype"/>
          <w:sz w:val="24"/>
        </w:rPr>
        <w:t xml:space="preserve">interpuesto por </w:t>
      </w:r>
      <w:r w:rsidR="005F7194">
        <w:rPr>
          <w:rFonts w:ascii="Palatino Linotype" w:hAnsi="Palatino Linotype"/>
          <w:b/>
          <w:sz w:val="24"/>
        </w:rPr>
        <w:t>XXXXXXXXXXXXX</w:t>
      </w:r>
      <w:r w:rsidRPr="00A600F4">
        <w:rPr>
          <w:rFonts w:ascii="Palatino Linotype" w:hAnsi="Palatino Linotype"/>
          <w:sz w:val="24"/>
        </w:rPr>
        <w:t xml:space="preserve">, en lo sucesivo la parte </w:t>
      </w:r>
      <w:r w:rsidRPr="00A600F4">
        <w:rPr>
          <w:rFonts w:ascii="Palatino Linotype" w:hAnsi="Palatino Linotype"/>
          <w:b/>
          <w:sz w:val="24"/>
        </w:rPr>
        <w:t>Recurrente</w:t>
      </w:r>
      <w:r w:rsidRPr="00A600F4">
        <w:rPr>
          <w:rFonts w:ascii="Palatino Linotype" w:hAnsi="Palatino Linotype"/>
          <w:sz w:val="24"/>
        </w:rPr>
        <w:t xml:space="preserve">, en contra de la falta de respuesta </w:t>
      </w:r>
      <w:r w:rsidRPr="00A600F4">
        <w:rPr>
          <w:rFonts w:ascii="Palatino Linotype" w:hAnsi="Palatino Linotype"/>
          <w:sz w:val="24"/>
          <w:szCs w:val="24"/>
        </w:rPr>
        <w:t>del</w:t>
      </w:r>
      <w:r w:rsidRPr="00A600F4">
        <w:rPr>
          <w:rFonts w:ascii="Palatino Linotype" w:hAnsi="Palatino Linotype"/>
          <w:b/>
          <w:bCs/>
          <w:sz w:val="24"/>
          <w:szCs w:val="24"/>
        </w:rPr>
        <w:t xml:space="preserve"> </w:t>
      </w:r>
      <w:r w:rsidRPr="00A600F4">
        <w:rPr>
          <w:rFonts w:ascii="Palatino Linotype" w:hAnsi="Palatino Linotype"/>
          <w:b/>
          <w:bCs/>
          <w:color w:val="000000"/>
          <w:sz w:val="24"/>
          <w:szCs w:val="24"/>
        </w:rPr>
        <w:t>Ayuntamiento de Mexicaltzingo</w:t>
      </w:r>
      <w:r w:rsidRPr="00A600F4">
        <w:rPr>
          <w:rFonts w:ascii="Palatino Linotype" w:hAnsi="Palatino Linotype"/>
          <w:sz w:val="24"/>
          <w:szCs w:val="24"/>
        </w:rPr>
        <w:t>,</w:t>
      </w:r>
      <w:r w:rsidRPr="00A600F4">
        <w:rPr>
          <w:rFonts w:ascii="Palatino Linotype" w:hAnsi="Palatino Linotype"/>
          <w:sz w:val="24"/>
        </w:rPr>
        <w:t xml:space="preserve"> en lo subsecuente el </w:t>
      </w:r>
      <w:r w:rsidRPr="00A600F4">
        <w:rPr>
          <w:rFonts w:ascii="Palatino Linotype" w:hAnsi="Palatino Linotype"/>
          <w:b/>
          <w:sz w:val="24"/>
        </w:rPr>
        <w:t>Sujeto Obligado</w:t>
      </w:r>
      <w:r w:rsidRPr="00A600F4">
        <w:rPr>
          <w:rFonts w:ascii="Palatino Linotype" w:hAnsi="Palatino Linotype"/>
          <w:sz w:val="24"/>
        </w:rPr>
        <w:t xml:space="preserve">, se procede a dictar la presente resolución. </w:t>
      </w:r>
    </w:p>
    <w:p w:rsidR="00EB4322" w:rsidRPr="00A600F4" w:rsidRDefault="00EB4322" w:rsidP="00EB4322">
      <w:pPr>
        <w:tabs>
          <w:tab w:val="left" w:pos="1701"/>
        </w:tabs>
        <w:spacing w:before="240" w:line="360" w:lineRule="auto"/>
        <w:jc w:val="both"/>
        <w:rPr>
          <w:rFonts w:ascii="Palatino Linotype" w:hAnsi="Palatino Linotype"/>
          <w:sz w:val="24"/>
        </w:rPr>
      </w:pPr>
    </w:p>
    <w:p w:rsidR="00EB4322" w:rsidRPr="00A600F4" w:rsidRDefault="00EB4322" w:rsidP="00EB4322">
      <w:pPr>
        <w:pStyle w:val="infoemcitas"/>
        <w:jc w:val="center"/>
        <w:rPr>
          <w:b/>
          <w:bCs/>
          <w:i w:val="0"/>
          <w:iCs/>
          <w:sz w:val="28"/>
          <w:szCs w:val="28"/>
        </w:rPr>
      </w:pPr>
      <w:r w:rsidRPr="00A600F4">
        <w:rPr>
          <w:b/>
          <w:bCs/>
          <w:i w:val="0"/>
          <w:iCs/>
          <w:sz w:val="28"/>
          <w:szCs w:val="28"/>
        </w:rPr>
        <w:t>A N T E C E D E N T E S   D E L   A S U N T O</w:t>
      </w:r>
    </w:p>
    <w:p w:rsidR="00EB4322" w:rsidRPr="00A600F4" w:rsidRDefault="00EB4322" w:rsidP="00EB4322">
      <w:pPr>
        <w:pStyle w:val="infoemcitas"/>
        <w:jc w:val="center"/>
        <w:rPr>
          <w:b/>
          <w:bCs/>
          <w:i w:val="0"/>
          <w:iCs/>
          <w:sz w:val="28"/>
          <w:szCs w:val="28"/>
        </w:rPr>
      </w:pPr>
    </w:p>
    <w:p w:rsidR="00EB4322" w:rsidRPr="00A600F4" w:rsidRDefault="00EB4322" w:rsidP="00EB4322">
      <w:pPr>
        <w:spacing w:before="240" w:after="240" w:line="360" w:lineRule="auto"/>
        <w:jc w:val="both"/>
        <w:rPr>
          <w:rFonts w:ascii="Palatino Linotype" w:hAnsi="Palatino Linotype"/>
        </w:rPr>
      </w:pPr>
      <w:r w:rsidRPr="00A600F4">
        <w:rPr>
          <w:rFonts w:ascii="Palatino Linotype" w:hAnsi="Palatino Linotype" w:cs="Arial"/>
          <w:b/>
          <w:sz w:val="28"/>
        </w:rPr>
        <w:t>PRIMERO.</w:t>
      </w:r>
      <w:r w:rsidRPr="00A600F4">
        <w:rPr>
          <w:rFonts w:ascii="Palatino Linotype" w:hAnsi="Palatino Linotype" w:cs="Arial"/>
        </w:rPr>
        <w:t xml:space="preserve"> </w:t>
      </w:r>
      <w:r w:rsidRPr="00A600F4">
        <w:rPr>
          <w:rFonts w:ascii="Palatino Linotype" w:hAnsi="Palatino Linotype"/>
          <w:b/>
          <w:sz w:val="28"/>
          <w:szCs w:val="28"/>
        </w:rPr>
        <w:t>De la Solicitud de Información.</w:t>
      </w:r>
    </w:p>
    <w:p w:rsidR="00EB4322" w:rsidRPr="00A600F4" w:rsidRDefault="00EB4322" w:rsidP="00EB4322">
      <w:pPr>
        <w:spacing w:before="240" w:line="360" w:lineRule="auto"/>
        <w:jc w:val="both"/>
        <w:rPr>
          <w:rFonts w:ascii="Palatino Linotype" w:hAnsi="Palatino Linotype" w:cs="Arial"/>
          <w:sz w:val="24"/>
        </w:rPr>
      </w:pPr>
      <w:r w:rsidRPr="00A600F4">
        <w:rPr>
          <w:rFonts w:ascii="Palatino Linotype" w:hAnsi="Palatino Linotype" w:cs="Arial"/>
          <w:sz w:val="24"/>
        </w:rPr>
        <w:t xml:space="preserve">Con fecha </w:t>
      </w:r>
      <w:r w:rsidRPr="00A600F4">
        <w:rPr>
          <w:rFonts w:ascii="Palatino Linotype" w:hAnsi="Palatino Linotype" w:cs="Arial"/>
          <w:b/>
          <w:sz w:val="24"/>
        </w:rPr>
        <w:t>quince de julio de dos mil veinticinco</w:t>
      </w:r>
      <w:r w:rsidRPr="00A600F4">
        <w:rPr>
          <w:rFonts w:ascii="Palatino Linotype" w:hAnsi="Palatino Linotype" w:cs="Arial"/>
          <w:sz w:val="24"/>
        </w:rPr>
        <w:t xml:space="preserve">, </w:t>
      </w:r>
      <w:r w:rsidRPr="00A600F4">
        <w:rPr>
          <w:rFonts w:ascii="Palatino Linotype" w:hAnsi="Palatino Linotype"/>
          <w:sz w:val="24"/>
        </w:rPr>
        <w:t xml:space="preserve">la parte </w:t>
      </w:r>
      <w:r w:rsidRPr="00A600F4">
        <w:rPr>
          <w:rFonts w:ascii="Palatino Linotype" w:hAnsi="Palatino Linotype" w:cs="Arial"/>
          <w:b/>
          <w:sz w:val="24"/>
        </w:rPr>
        <w:t xml:space="preserve">Recurrente </w:t>
      </w:r>
      <w:r w:rsidRPr="00A600F4">
        <w:rPr>
          <w:rFonts w:ascii="Palatino Linotype" w:hAnsi="Palatino Linotype" w:cs="Arial"/>
          <w:sz w:val="24"/>
        </w:rPr>
        <w:t>presentó a través del Sistema de Acceso a la Información Mexiquense (</w:t>
      </w:r>
      <w:r w:rsidRPr="00A600F4">
        <w:rPr>
          <w:rFonts w:ascii="Palatino Linotype" w:hAnsi="Palatino Linotype" w:cs="Arial"/>
          <w:b/>
          <w:sz w:val="24"/>
        </w:rPr>
        <w:t>SAIMEX)</w:t>
      </w:r>
      <w:r w:rsidRPr="00A600F4">
        <w:rPr>
          <w:rFonts w:ascii="Palatino Linotype" w:hAnsi="Palatino Linotype" w:cs="Arial"/>
          <w:sz w:val="24"/>
        </w:rPr>
        <w:t xml:space="preserve"> ante </w:t>
      </w:r>
      <w:r w:rsidRPr="00A600F4">
        <w:rPr>
          <w:rFonts w:ascii="Palatino Linotype" w:hAnsi="Palatino Linotype" w:cs="Arial"/>
          <w:b/>
          <w:sz w:val="24"/>
        </w:rPr>
        <w:t>El Sujeto Obligado</w:t>
      </w:r>
      <w:r w:rsidRPr="00A600F4">
        <w:rPr>
          <w:rFonts w:ascii="Palatino Linotype" w:hAnsi="Palatino Linotype" w:cs="Arial"/>
          <w:sz w:val="24"/>
        </w:rPr>
        <w:t>, solicitud de acceso a la información pública, registrada bajo el número de expediente</w:t>
      </w:r>
      <w:r w:rsidRPr="00A600F4">
        <w:rPr>
          <w:rFonts w:ascii="Palatino Linotype" w:hAnsi="Palatino Linotype" w:cs="Arial"/>
          <w:b/>
          <w:sz w:val="24"/>
        </w:rPr>
        <w:t xml:space="preserve"> </w:t>
      </w:r>
      <w:r w:rsidRPr="00A600F4">
        <w:rPr>
          <w:rFonts w:ascii="Palatino Linotype" w:hAnsi="Palatino Linotype"/>
          <w:b/>
          <w:bCs/>
          <w:sz w:val="24"/>
          <w:szCs w:val="24"/>
        </w:rPr>
        <w:t> 00349/MEXICAL/IP/2025</w:t>
      </w:r>
      <w:r w:rsidRPr="00A600F4">
        <w:rPr>
          <w:rFonts w:ascii="Palatino Linotype" w:hAnsi="Palatino Linotype" w:cs="Arial"/>
          <w:b/>
          <w:sz w:val="24"/>
        </w:rPr>
        <w:t xml:space="preserve">, </w:t>
      </w:r>
      <w:r w:rsidRPr="00A600F4">
        <w:rPr>
          <w:rFonts w:ascii="Palatino Linotype" w:hAnsi="Palatino Linotype" w:cs="Arial"/>
          <w:sz w:val="24"/>
        </w:rPr>
        <w:t>mediante la cual solicitó información en el tenor siguiente:</w:t>
      </w:r>
    </w:p>
    <w:p w:rsidR="00EB4322" w:rsidRPr="00A600F4" w:rsidRDefault="00EB4322" w:rsidP="00EB4322">
      <w:pPr>
        <w:pStyle w:val="INFOEM"/>
        <w:rPr>
          <w:sz w:val="24"/>
          <w:szCs w:val="24"/>
          <w:lang w:val="es-ES_tradnl" w:eastAsia="es-ES"/>
        </w:rPr>
      </w:pPr>
      <w:r w:rsidRPr="00A600F4">
        <w:rPr>
          <w:sz w:val="24"/>
          <w:szCs w:val="24"/>
          <w:lang w:val="es-ES_tradnl" w:eastAsia="es-ES"/>
        </w:rPr>
        <w:t>“</w:t>
      </w:r>
      <w:r w:rsidRPr="00A600F4">
        <w:rPr>
          <w:color w:val="000000"/>
          <w:sz w:val="24"/>
          <w:szCs w:val="24"/>
        </w:rPr>
        <w:t>Plan de obras autorizadas a realizar en 2025</w:t>
      </w:r>
      <w:r w:rsidRPr="00A600F4">
        <w:rPr>
          <w:sz w:val="24"/>
          <w:szCs w:val="24"/>
        </w:rPr>
        <w:t>”</w:t>
      </w:r>
      <w:r w:rsidRPr="00A600F4">
        <w:rPr>
          <w:sz w:val="14"/>
        </w:rPr>
        <w:t xml:space="preserve"> </w:t>
      </w:r>
      <w:r w:rsidRPr="00A600F4">
        <w:rPr>
          <w:sz w:val="24"/>
          <w:szCs w:val="24"/>
          <w:lang w:val="es-ES_tradnl" w:eastAsia="es-ES"/>
        </w:rPr>
        <w:t>(sic)</w:t>
      </w:r>
    </w:p>
    <w:p w:rsidR="00EB4322" w:rsidRPr="00A600F4" w:rsidRDefault="00EB4322" w:rsidP="00EB4322">
      <w:pPr>
        <w:spacing w:before="240" w:line="360" w:lineRule="auto"/>
        <w:jc w:val="both"/>
        <w:rPr>
          <w:rFonts w:ascii="Palatino Linotype" w:eastAsia="Times New Roman" w:hAnsi="Palatino Linotype" w:cs="Times New Roman"/>
          <w:sz w:val="24"/>
          <w:szCs w:val="24"/>
          <w:lang w:val="es-ES_tradnl" w:eastAsia="es-ES"/>
        </w:rPr>
      </w:pPr>
      <w:r w:rsidRPr="00A600F4">
        <w:rPr>
          <w:rFonts w:ascii="Palatino Linotype" w:eastAsia="Times New Roman" w:hAnsi="Palatino Linotype" w:cs="Times New Roman"/>
          <w:b/>
          <w:sz w:val="24"/>
          <w:szCs w:val="24"/>
          <w:lang w:val="es-ES_tradnl" w:eastAsia="es-ES"/>
        </w:rPr>
        <w:t>Modalidad de entrega:</w:t>
      </w:r>
      <w:r w:rsidRPr="00A600F4">
        <w:rPr>
          <w:rFonts w:ascii="Palatino Linotype" w:eastAsia="Times New Roman" w:hAnsi="Palatino Linotype" w:cs="Times New Roman"/>
          <w:sz w:val="24"/>
          <w:szCs w:val="24"/>
          <w:lang w:val="es-ES_tradnl" w:eastAsia="es-ES"/>
        </w:rPr>
        <w:t xml:space="preserve"> A través del SAIMEX.</w:t>
      </w:r>
    </w:p>
    <w:p w:rsidR="00EB4322" w:rsidRPr="00A600F4" w:rsidRDefault="00EB4322" w:rsidP="00EB4322">
      <w:pPr>
        <w:spacing w:line="360" w:lineRule="auto"/>
        <w:jc w:val="both"/>
        <w:rPr>
          <w:rFonts w:ascii="Palatino Linotype" w:hAnsi="Palatino Linotype" w:cs="Arial"/>
          <w:sz w:val="24"/>
        </w:rPr>
      </w:pPr>
      <w:r w:rsidRPr="00A600F4">
        <w:rPr>
          <w:rFonts w:ascii="Palatino Linotype" w:hAnsi="Palatino Linotype" w:cs="Arial"/>
          <w:b/>
          <w:sz w:val="28"/>
        </w:rPr>
        <w:lastRenderedPageBreak/>
        <w:t>SEGUNDO.</w:t>
      </w:r>
      <w:r w:rsidRPr="00A600F4">
        <w:rPr>
          <w:rFonts w:ascii="Palatino Linotype" w:hAnsi="Palatino Linotype" w:cs="Arial"/>
          <w:b/>
          <w:sz w:val="24"/>
          <w:szCs w:val="24"/>
        </w:rPr>
        <w:t xml:space="preserve"> </w:t>
      </w:r>
      <w:r w:rsidRPr="00A600F4">
        <w:rPr>
          <w:rFonts w:ascii="Palatino Linotype" w:hAnsi="Palatino Linotype"/>
          <w:b/>
          <w:sz w:val="28"/>
        </w:rPr>
        <w:t xml:space="preserve">De la </w:t>
      </w:r>
      <w:r w:rsidRPr="00A600F4">
        <w:rPr>
          <w:rFonts w:ascii="Palatino Linotype" w:eastAsia="Palatino Linotype" w:hAnsi="Palatino Linotype" w:cs="Palatino Linotype"/>
          <w:b/>
          <w:sz w:val="28"/>
          <w:szCs w:val="28"/>
        </w:rPr>
        <w:t>falta de respuesta del Sujeto Obligado</w:t>
      </w:r>
    </w:p>
    <w:p w:rsidR="00EB4322" w:rsidRPr="00A600F4" w:rsidRDefault="00EB4322" w:rsidP="00EB4322">
      <w:pPr>
        <w:pBdr>
          <w:top w:val="nil"/>
          <w:left w:val="nil"/>
          <w:bottom w:val="nil"/>
          <w:right w:val="nil"/>
          <w:between w:val="nil"/>
        </w:pBdr>
        <w:spacing w:line="360" w:lineRule="auto"/>
        <w:contextualSpacing/>
        <w:jc w:val="both"/>
        <w:rPr>
          <w:rFonts w:ascii="Palatino Linotype" w:eastAsia="Palatino Linotype" w:hAnsi="Palatino Linotype" w:cs="Palatino Linotype"/>
          <w:b/>
          <w:bCs/>
          <w:sz w:val="24"/>
          <w:szCs w:val="24"/>
          <w:lang w:val="es-ES"/>
        </w:rPr>
      </w:pPr>
      <w:r w:rsidRPr="00A600F4">
        <w:rPr>
          <w:rFonts w:ascii="Palatino Linotype" w:eastAsia="Palatino Linotype" w:hAnsi="Palatino Linotype" w:cs="Palatino Linotype"/>
          <w:sz w:val="24"/>
          <w:szCs w:val="24"/>
        </w:rPr>
        <w:t xml:space="preserve">En el expediente electrónico SAIMEX, se observa que el Sujeto Obligado fue omiso en dar respuesta a la solicitud de información presentada por la Recurrente. Derivado de lo anterior, se constituye la figura de la </w:t>
      </w:r>
      <w:r w:rsidRPr="00A600F4">
        <w:rPr>
          <w:rFonts w:ascii="Palatino Linotype" w:eastAsia="Palatino Linotype" w:hAnsi="Palatino Linotype" w:cs="Palatino Linotype"/>
          <w:b/>
          <w:sz w:val="24"/>
          <w:szCs w:val="24"/>
        </w:rPr>
        <w:t>Negativa Ficta</w:t>
      </w:r>
      <w:r w:rsidRPr="00A600F4">
        <w:rPr>
          <w:rFonts w:ascii="Palatino Linotype" w:eastAsia="Palatino Linotype" w:hAnsi="Palatino Linotype" w:cs="Palatino Linotype"/>
          <w:sz w:val="24"/>
          <w:szCs w:val="24"/>
        </w:rPr>
        <w:t>, cuya esencia consiste en atribuir un efecto negativo de la autoridad administrativa frente a las instancias y solicitudes que hagan los particulares.</w:t>
      </w:r>
    </w:p>
    <w:p w:rsidR="00EB4322" w:rsidRPr="00A600F4" w:rsidRDefault="00EB4322" w:rsidP="00EB4322">
      <w:pPr>
        <w:pBdr>
          <w:top w:val="nil"/>
          <w:left w:val="nil"/>
          <w:bottom w:val="nil"/>
          <w:right w:val="nil"/>
          <w:between w:val="nil"/>
        </w:pBdr>
        <w:spacing w:line="360" w:lineRule="auto"/>
        <w:contextualSpacing/>
        <w:jc w:val="both"/>
        <w:rPr>
          <w:rFonts w:ascii="Palatino Linotype" w:eastAsia="Palatino Linotype" w:hAnsi="Palatino Linotype" w:cs="Palatino Linotype"/>
          <w:b/>
          <w:bCs/>
          <w:sz w:val="24"/>
          <w:szCs w:val="24"/>
          <w:lang w:val="es-ES"/>
        </w:rPr>
      </w:pPr>
    </w:p>
    <w:p w:rsidR="00EB4322" w:rsidRPr="00A600F4" w:rsidRDefault="00EB4322" w:rsidP="00EB4322">
      <w:pPr>
        <w:spacing w:after="0" w:line="360" w:lineRule="auto"/>
        <w:jc w:val="both"/>
        <w:rPr>
          <w:rFonts w:ascii="Palatino Linotype" w:hAnsi="Palatino Linotype" w:cs="Arial"/>
          <w:b/>
          <w:sz w:val="28"/>
        </w:rPr>
      </w:pPr>
      <w:r w:rsidRPr="00A600F4">
        <w:rPr>
          <w:rFonts w:ascii="Palatino Linotype" w:hAnsi="Palatino Linotype" w:cs="Arial"/>
          <w:b/>
          <w:sz w:val="28"/>
        </w:rPr>
        <w:t xml:space="preserve">TERCERO. </w:t>
      </w:r>
      <w:r w:rsidRPr="00A600F4">
        <w:rPr>
          <w:rFonts w:ascii="Palatino Linotype" w:hAnsi="Palatino Linotype"/>
          <w:b/>
          <w:sz w:val="28"/>
        </w:rPr>
        <w:t>Del recurso de revisión.</w:t>
      </w:r>
    </w:p>
    <w:p w:rsidR="00EB4322" w:rsidRPr="00A600F4" w:rsidRDefault="00EB4322" w:rsidP="00EB4322">
      <w:pPr>
        <w:spacing w:before="240" w:line="360" w:lineRule="auto"/>
        <w:jc w:val="both"/>
        <w:rPr>
          <w:rFonts w:ascii="Palatino Linotype" w:hAnsi="Palatino Linotype" w:cs="Arial"/>
          <w:sz w:val="24"/>
          <w:szCs w:val="24"/>
        </w:rPr>
      </w:pPr>
      <w:r w:rsidRPr="00A600F4">
        <w:rPr>
          <w:rFonts w:ascii="Palatino Linotype" w:hAnsi="Palatino Linotype" w:cs="Arial"/>
          <w:sz w:val="24"/>
          <w:szCs w:val="24"/>
        </w:rPr>
        <w:t xml:space="preserve">Inconforme con la respuesta notificada por </w:t>
      </w:r>
      <w:r w:rsidRPr="00A600F4">
        <w:rPr>
          <w:rFonts w:ascii="Palatino Linotype" w:hAnsi="Palatino Linotype" w:cs="Arial"/>
          <w:b/>
          <w:sz w:val="24"/>
          <w:szCs w:val="24"/>
        </w:rPr>
        <w:t xml:space="preserve">El Sujeto Obligado, </w:t>
      </w:r>
      <w:r w:rsidRPr="00A600F4">
        <w:rPr>
          <w:rFonts w:ascii="Palatino Linotype" w:hAnsi="Palatino Linotype"/>
          <w:sz w:val="24"/>
        </w:rPr>
        <w:t xml:space="preserve">la parte </w:t>
      </w:r>
      <w:r w:rsidRPr="00A600F4">
        <w:rPr>
          <w:rFonts w:ascii="Palatino Linotype" w:hAnsi="Palatino Linotype" w:cs="Arial"/>
          <w:b/>
          <w:sz w:val="24"/>
          <w:szCs w:val="24"/>
        </w:rPr>
        <w:t xml:space="preserve">Recurrente </w:t>
      </w:r>
      <w:r w:rsidRPr="00A600F4">
        <w:rPr>
          <w:rFonts w:ascii="Palatino Linotype" w:hAnsi="Palatino Linotype" w:cs="Arial"/>
          <w:sz w:val="24"/>
          <w:szCs w:val="24"/>
        </w:rPr>
        <w:t xml:space="preserve">interpuso recurso de revisión, en fecha </w:t>
      </w:r>
      <w:r w:rsidRPr="00A600F4">
        <w:rPr>
          <w:rFonts w:ascii="Palatino Linotype" w:hAnsi="Palatino Linotype" w:cs="Arial"/>
          <w:b/>
          <w:sz w:val="24"/>
        </w:rPr>
        <w:t>veintidós de agosto de dos mil veinticinco</w:t>
      </w:r>
      <w:r w:rsidRPr="00A600F4">
        <w:rPr>
          <w:rFonts w:ascii="Palatino Linotype" w:hAnsi="Palatino Linotype" w:cs="Arial"/>
          <w:sz w:val="24"/>
          <w:szCs w:val="24"/>
        </w:rPr>
        <w:t xml:space="preserve">, el cual fue registrado en el sistema electrónico con el expediente número </w:t>
      </w:r>
      <w:r w:rsidRPr="00A600F4">
        <w:rPr>
          <w:rFonts w:ascii="Palatino Linotype" w:hAnsi="Palatino Linotype" w:cs="Arial"/>
          <w:b/>
          <w:sz w:val="24"/>
          <w:szCs w:val="24"/>
        </w:rPr>
        <w:t xml:space="preserve">09960/INFOEM/IP/RR/2025; </w:t>
      </w:r>
      <w:r w:rsidRPr="00A600F4">
        <w:rPr>
          <w:rFonts w:ascii="Palatino Linotype" w:hAnsi="Palatino Linotype" w:cs="Arial"/>
          <w:sz w:val="24"/>
          <w:szCs w:val="24"/>
        </w:rPr>
        <w:t>en los cuales arguye las siguientes manifestaciones:</w:t>
      </w:r>
    </w:p>
    <w:p w:rsidR="00EB4322" w:rsidRPr="00A600F4" w:rsidRDefault="00EB4322" w:rsidP="00EB4322">
      <w:pPr>
        <w:pStyle w:val="Prrafodelista"/>
        <w:numPr>
          <w:ilvl w:val="0"/>
          <w:numId w:val="1"/>
        </w:numPr>
        <w:spacing w:before="240" w:after="0" w:line="360" w:lineRule="auto"/>
        <w:ind w:left="142" w:firstLine="0"/>
        <w:contextualSpacing w:val="0"/>
        <w:jc w:val="both"/>
        <w:rPr>
          <w:rFonts w:ascii="Palatino Linotype" w:hAnsi="Palatino Linotype" w:cs="Arial"/>
          <w:b/>
          <w:i/>
        </w:rPr>
      </w:pPr>
      <w:r w:rsidRPr="00A600F4">
        <w:rPr>
          <w:rFonts w:ascii="Palatino Linotype" w:hAnsi="Palatino Linotype" w:cs="Arial"/>
          <w:b/>
          <w:i/>
        </w:rPr>
        <w:t>Acto impugnado</w:t>
      </w:r>
    </w:p>
    <w:p w:rsidR="00EB4322" w:rsidRPr="00A600F4" w:rsidRDefault="00EB4322" w:rsidP="00EB4322">
      <w:pPr>
        <w:pStyle w:val="Prrafodelista"/>
        <w:spacing w:before="240" w:after="0" w:line="360" w:lineRule="auto"/>
        <w:ind w:left="142"/>
        <w:contextualSpacing w:val="0"/>
        <w:jc w:val="both"/>
        <w:rPr>
          <w:rFonts w:ascii="Palatino Linotype" w:hAnsi="Palatino Linotype" w:cs="Arial"/>
          <w:b/>
          <w:i/>
        </w:rPr>
      </w:pPr>
      <w:r w:rsidRPr="00A600F4">
        <w:rPr>
          <w:rFonts w:ascii="Palatino Linotype" w:hAnsi="Palatino Linotype"/>
          <w:i/>
          <w:sz w:val="24"/>
          <w:szCs w:val="24"/>
        </w:rPr>
        <w:t>“</w:t>
      </w:r>
      <w:r w:rsidRPr="00A600F4">
        <w:rPr>
          <w:rFonts w:ascii="Palatino Linotype" w:hAnsi="Palatino Linotype"/>
          <w:i/>
          <w:color w:val="000000"/>
          <w:sz w:val="24"/>
          <w:szCs w:val="24"/>
        </w:rPr>
        <w:t>No dio la información solicitada se niega a dar información oculta información</w:t>
      </w:r>
      <w:r w:rsidRPr="00A600F4">
        <w:rPr>
          <w:rFonts w:ascii="Palatino Linotype" w:hAnsi="Palatino Linotype" w:cs="Arial"/>
          <w:i/>
          <w:sz w:val="24"/>
          <w:szCs w:val="24"/>
        </w:rPr>
        <w:t>”</w:t>
      </w:r>
      <w:r w:rsidRPr="00A600F4">
        <w:rPr>
          <w:rFonts w:ascii="Palatino Linotype" w:hAnsi="Palatino Linotype" w:cs="Arial"/>
          <w:i/>
        </w:rPr>
        <w:t xml:space="preserve"> (sic)</w:t>
      </w:r>
    </w:p>
    <w:p w:rsidR="00EB4322" w:rsidRPr="00A600F4" w:rsidRDefault="00EB4322" w:rsidP="00EB4322">
      <w:pPr>
        <w:pStyle w:val="Prrafodelista"/>
        <w:numPr>
          <w:ilvl w:val="0"/>
          <w:numId w:val="1"/>
        </w:numPr>
        <w:spacing w:before="240" w:after="0" w:line="360" w:lineRule="auto"/>
        <w:ind w:left="142" w:firstLine="0"/>
        <w:contextualSpacing w:val="0"/>
        <w:jc w:val="both"/>
        <w:rPr>
          <w:rFonts w:ascii="Palatino Linotype" w:hAnsi="Palatino Linotype" w:cs="Arial"/>
          <w:b/>
          <w:i/>
        </w:rPr>
      </w:pPr>
      <w:r w:rsidRPr="00A600F4">
        <w:rPr>
          <w:rFonts w:ascii="Palatino Linotype" w:hAnsi="Palatino Linotype" w:cs="Arial"/>
          <w:b/>
          <w:i/>
        </w:rPr>
        <w:t>y Razones o motivos de inconformidad</w:t>
      </w:r>
    </w:p>
    <w:p w:rsidR="00EB4322" w:rsidRPr="00A600F4" w:rsidRDefault="00EB4322" w:rsidP="00EB4322">
      <w:pPr>
        <w:pStyle w:val="Prrafodelista"/>
        <w:spacing w:before="240" w:line="360" w:lineRule="auto"/>
        <w:jc w:val="both"/>
        <w:rPr>
          <w:rFonts w:ascii="Palatino Linotype" w:hAnsi="Palatino Linotype" w:cs="Arial"/>
          <w:i/>
        </w:rPr>
      </w:pPr>
      <w:r w:rsidRPr="00A600F4">
        <w:rPr>
          <w:rFonts w:ascii="Palatino Linotype" w:hAnsi="Palatino Linotype"/>
          <w:i/>
          <w:sz w:val="24"/>
          <w:szCs w:val="24"/>
        </w:rPr>
        <w:t xml:space="preserve"> “</w:t>
      </w:r>
      <w:r w:rsidRPr="00A600F4">
        <w:rPr>
          <w:rFonts w:ascii="Palatino Linotype" w:hAnsi="Palatino Linotype"/>
          <w:i/>
          <w:color w:val="000000"/>
          <w:sz w:val="24"/>
          <w:szCs w:val="24"/>
        </w:rPr>
        <w:t>Negativa a información</w:t>
      </w:r>
      <w:r w:rsidRPr="00A600F4">
        <w:rPr>
          <w:rFonts w:ascii="Palatino Linotype" w:hAnsi="Palatino Linotype" w:cs="Arial"/>
          <w:i/>
        </w:rPr>
        <w:t>” (sic)</w:t>
      </w:r>
    </w:p>
    <w:p w:rsidR="00EB4322" w:rsidRPr="00A600F4" w:rsidRDefault="00EB4322" w:rsidP="00EB4322">
      <w:pPr>
        <w:spacing w:before="240" w:line="360" w:lineRule="auto"/>
        <w:jc w:val="both"/>
        <w:rPr>
          <w:rFonts w:ascii="Palatino Linotype" w:hAnsi="Palatino Linotype" w:cs="Arial"/>
          <w:b/>
          <w:i/>
        </w:rPr>
      </w:pPr>
    </w:p>
    <w:p w:rsidR="00EB4322" w:rsidRPr="00A600F4" w:rsidRDefault="00EB4322" w:rsidP="00EB4322">
      <w:pPr>
        <w:spacing w:before="240" w:line="360" w:lineRule="auto"/>
        <w:jc w:val="both"/>
        <w:rPr>
          <w:rFonts w:ascii="Palatino Linotype" w:hAnsi="Palatino Linotype" w:cs="Arial"/>
          <w:b/>
          <w:sz w:val="24"/>
          <w:szCs w:val="24"/>
        </w:rPr>
      </w:pPr>
      <w:r w:rsidRPr="00A600F4">
        <w:rPr>
          <w:rFonts w:ascii="Palatino Linotype" w:hAnsi="Palatino Linotype" w:cs="Arial"/>
          <w:b/>
          <w:sz w:val="28"/>
        </w:rPr>
        <w:t>CUARTO</w:t>
      </w:r>
      <w:r w:rsidRPr="00A600F4">
        <w:rPr>
          <w:rFonts w:ascii="Palatino Linotype" w:hAnsi="Palatino Linotype" w:cs="Arial"/>
          <w:b/>
          <w:sz w:val="24"/>
          <w:szCs w:val="24"/>
        </w:rPr>
        <w:t xml:space="preserve">. </w:t>
      </w:r>
      <w:r w:rsidRPr="00A600F4">
        <w:rPr>
          <w:rFonts w:ascii="Palatino Linotype" w:hAnsi="Palatino Linotype" w:cs="Arial"/>
          <w:b/>
          <w:sz w:val="28"/>
          <w:szCs w:val="28"/>
        </w:rPr>
        <w:t>Del turno y admisión del recurso de revisión.</w:t>
      </w:r>
    </w:p>
    <w:p w:rsidR="00EB4322" w:rsidRPr="00A600F4" w:rsidRDefault="00EB4322" w:rsidP="00EB4322">
      <w:pPr>
        <w:spacing w:before="240" w:line="360" w:lineRule="auto"/>
        <w:jc w:val="both"/>
        <w:rPr>
          <w:rFonts w:ascii="Palatino Linotype" w:hAnsi="Palatino Linotype"/>
          <w:sz w:val="24"/>
        </w:rPr>
      </w:pPr>
      <w:r w:rsidRPr="00A600F4">
        <w:rPr>
          <w:rFonts w:ascii="Palatino Linotype" w:hAnsi="Palatino Linotype"/>
          <w:sz w:val="24"/>
        </w:rPr>
        <w:t xml:space="preserve">El medio de impugnación fue turnado al Comisionado Presidente </w:t>
      </w:r>
      <w:r w:rsidRPr="00A600F4">
        <w:rPr>
          <w:rFonts w:ascii="Palatino Linotype" w:hAnsi="Palatino Linotype"/>
          <w:b/>
          <w:sz w:val="24"/>
        </w:rPr>
        <w:t>José Martínez Vilchis,</w:t>
      </w:r>
      <w:r w:rsidRPr="00A600F4">
        <w:rPr>
          <w:rFonts w:ascii="Palatino Linotype" w:hAnsi="Palatino Linotype"/>
          <w:sz w:val="24"/>
        </w:rPr>
        <w:t xml:space="preserve"> por medio del sistema electrónico SAIMEX, en términos del artículo 185, </w:t>
      </w:r>
      <w:r w:rsidRPr="00A600F4">
        <w:rPr>
          <w:rFonts w:ascii="Palatino Linotype" w:hAnsi="Palatino Linotype"/>
          <w:sz w:val="24"/>
        </w:rPr>
        <w:lastRenderedPageBreak/>
        <w:t xml:space="preserve">fracción I, de la Ley de Transparencia y Acceso a la información Pública del Estado de México y Municipios, del cual recayó acuerdo de </w:t>
      </w:r>
      <w:r w:rsidRPr="00A600F4">
        <w:rPr>
          <w:rFonts w:ascii="Palatino Linotype" w:hAnsi="Palatino Linotype"/>
          <w:b/>
          <w:sz w:val="24"/>
        </w:rPr>
        <w:t>admisión</w:t>
      </w:r>
      <w:r w:rsidRPr="00A600F4">
        <w:rPr>
          <w:rFonts w:ascii="Palatino Linotype" w:hAnsi="Palatino Linotype"/>
          <w:sz w:val="24"/>
        </w:rPr>
        <w:t xml:space="preserve"> en fecha </w:t>
      </w:r>
      <w:r w:rsidRPr="00A600F4">
        <w:rPr>
          <w:rFonts w:ascii="Palatino Linotype" w:hAnsi="Palatino Linotype"/>
          <w:b/>
          <w:sz w:val="24"/>
        </w:rPr>
        <w:t>veintiséis de agosto de dos mil veinticinco</w:t>
      </w:r>
      <w:r w:rsidRPr="00A600F4">
        <w:rPr>
          <w:rFonts w:ascii="Palatino Linotype" w:hAnsi="Palatino Linotype"/>
          <w:sz w:val="24"/>
        </w:rPr>
        <w:t>, determinándose en ellos, un plazo de siete días para que las partes manifestaran lo que a su derecho corresponda en términos del numeral ya citado.</w:t>
      </w:r>
    </w:p>
    <w:p w:rsidR="00EB4322" w:rsidRPr="00A600F4" w:rsidRDefault="00EB4322" w:rsidP="00EB4322">
      <w:pPr>
        <w:pStyle w:val="Prrafodelista"/>
        <w:spacing w:line="360" w:lineRule="auto"/>
        <w:ind w:left="0"/>
        <w:jc w:val="both"/>
        <w:rPr>
          <w:rFonts w:ascii="Palatino Linotype" w:hAnsi="Palatino Linotype" w:cs="Arial"/>
          <w:b/>
          <w:sz w:val="28"/>
          <w:szCs w:val="28"/>
        </w:rPr>
      </w:pPr>
      <w:r w:rsidRPr="00A600F4">
        <w:rPr>
          <w:rFonts w:ascii="Palatino Linotype" w:hAnsi="Palatino Linotype" w:cs="Arial"/>
          <w:b/>
          <w:sz w:val="28"/>
        </w:rPr>
        <w:t>QUINTO</w:t>
      </w:r>
      <w:r w:rsidRPr="00A600F4">
        <w:rPr>
          <w:rFonts w:ascii="Palatino Linotype" w:hAnsi="Palatino Linotype" w:cs="Arial"/>
          <w:b/>
          <w:sz w:val="28"/>
          <w:szCs w:val="28"/>
        </w:rPr>
        <w:t>. De la etapa de instrucción.</w:t>
      </w:r>
    </w:p>
    <w:p w:rsidR="00EB4322" w:rsidRPr="00A600F4" w:rsidRDefault="00EB4322" w:rsidP="00EB4322">
      <w:pPr>
        <w:spacing w:after="0" w:line="360" w:lineRule="auto"/>
        <w:jc w:val="both"/>
        <w:rPr>
          <w:rFonts w:ascii="Palatino Linotype" w:hAnsi="Palatino Linotype" w:cs="Arial"/>
          <w:sz w:val="24"/>
          <w:szCs w:val="24"/>
        </w:rPr>
      </w:pPr>
      <w:r w:rsidRPr="00A600F4">
        <w:rPr>
          <w:rFonts w:ascii="Palatino Linotype" w:hAnsi="Palatino Linotype" w:cs="Arial"/>
          <w:sz w:val="24"/>
          <w:szCs w:val="24"/>
        </w:rPr>
        <w:t xml:space="preserve">De las constancias que obran en el expediente electrónico del SAIMEX, se advierte que el Sujeto Obligado </w:t>
      </w:r>
      <w:r w:rsidRPr="00A600F4">
        <w:rPr>
          <w:rFonts w:ascii="Palatino Linotype" w:hAnsi="Palatino Linotype" w:cs="Arial"/>
          <w:b/>
          <w:sz w:val="24"/>
          <w:szCs w:val="24"/>
        </w:rPr>
        <w:t>rindió su informe justificado</w:t>
      </w:r>
      <w:r w:rsidRPr="00A600F4">
        <w:rPr>
          <w:rFonts w:ascii="Palatino Linotype" w:hAnsi="Palatino Linotype" w:cs="Arial"/>
          <w:sz w:val="24"/>
          <w:szCs w:val="24"/>
        </w:rPr>
        <w:t>, en fecha cuatro de septiembre de dos mil veinticinco el cual fue puesto a la vista del Recurrente en fecha ocho de septiembre de dos mil veinticinco sin que se advierta que el Recurrente rindiera sus manifestaciones dentro del término de Ley.</w:t>
      </w:r>
    </w:p>
    <w:p w:rsidR="00EB4322" w:rsidRPr="00A600F4" w:rsidRDefault="00EB4322" w:rsidP="00EB4322">
      <w:pPr>
        <w:spacing w:line="360" w:lineRule="auto"/>
        <w:jc w:val="both"/>
        <w:rPr>
          <w:rFonts w:ascii="Palatino Linotype" w:hAnsi="Palatino Linotype"/>
          <w:sz w:val="24"/>
        </w:rPr>
      </w:pPr>
    </w:p>
    <w:p w:rsidR="00EB4322" w:rsidRPr="00A600F4" w:rsidRDefault="00EB4322" w:rsidP="00EB4322">
      <w:pPr>
        <w:spacing w:line="360" w:lineRule="auto"/>
        <w:jc w:val="both"/>
        <w:rPr>
          <w:rFonts w:ascii="Palatino Linotype" w:hAnsi="Palatino Linotype" w:cs="Arial"/>
          <w:b/>
          <w:sz w:val="28"/>
          <w:szCs w:val="28"/>
        </w:rPr>
      </w:pPr>
      <w:r w:rsidRPr="00A600F4">
        <w:rPr>
          <w:rFonts w:ascii="Palatino Linotype" w:hAnsi="Palatino Linotype" w:cs="Arial"/>
          <w:sz w:val="24"/>
        </w:rPr>
        <w:t xml:space="preserve"> </w:t>
      </w:r>
      <w:r w:rsidRPr="00A600F4">
        <w:rPr>
          <w:rFonts w:ascii="Palatino Linotype" w:hAnsi="Palatino Linotype" w:cs="Arial"/>
          <w:b/>
          <w:sz w:val="28"/>
          <w:szCs w:val="28"/>
        </w:rPr>
        <w:t>SEXTO. Del Cierre de Instrucción.</w:t>
      </w:r>
    </w:p>
    <w:p w:rsidR="00EB4322" w:rsidRPr="00A600F4" w:rsidRDefault="00EB4322" w:rsidP="00EB4322">
      <w:pPr>
        <w:spacing w:after="0" w:line="360" w:lineRule="auto"/>
        <w:jc w:val="both"/>
        <w:rPr>
          <w:rFonts w:ascii="Palatino Linotype" w:hAnsi="Palatino Linotype" w:cs="Arial"/>
          <w:sz w:val="24"/>
          <w:szCs w:val="24"/>
        </w:rPr>
      </w:pPr>
      <w:r w:rsidRPr="00A600F4">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Pr="00A600F4">
        <w:rPr>
          <w:rFonts w:ascii="Palatino Linotype" w:hAnsi="Palatino Linotype" w:cs="Arial"/>
          <w:b/>
          <w:sz w:val="24"/>
          <w:szCs w:val="24"/>
        </w:rPr>
        <w:t xml:space="preserve">dieciocho de septiembre de dos mil veinticinco </w:t>
      </w:r>
      <w:r w:rsidRPr="00A600F4">
        <w:rPr>
          <w:rFonts w:ascii="Palatino Linotype" w:hAnsi="Palatino Linotype" w:cs="Arial"/>
          <w:sz w:val="24"/>
          <w:szCs w:val="24"/>
        </w:rPr>
        <w:t>en términos del artículo 185 fracción VI de la Ley de Transparencia y Acceso a la Información Pública del Estado de México y Municipios, ordenándose turnar el expediente a la resolución que en derecho proceda.</w:t>
      </w:r>
    </w:p>
    <w:p w:rsidR="00EB4322" w:rsidRPr="00A600F4" w:rsidRDefault="00EB4322" w:rsidP="00EB4322">
      <w:pPr>
        <w:spacing w:after="0" w:line="360" w:lineRule="auto"/>
        <w:jc w:val="both"/>
        <w:rPr>
          <w:rFonts w:ascii="Palatino Linotype" w:hAnsi="Palatino Linotype" w:cs="Arial"/>
          <w:sz w:val="24"/>
          <w:szCs w:val="24"/>
        </w:rPr>
      </w:pPr>
    </w:p>
    <w:p w:rsidR="00EB4322" w:rsidRPr="00A600F4" w:rsidRDefault="00EB4322" w:rsidP="00E32F5A">
      <w:pPr>
        <w:keepNext/>
        <w:keepLines/>
        <w:spacing w:line="360" w:lineRule="auto"/>
        <w:jc w:val="both"/>
        <w:outlineLvl w:val="1"/>
        <w:rPr>
          <w:rFonts w:ascii="Palatino Linotype" w:hAnsi="Palatino Linotype" w:cs="Palatino Linotype"/>
          <w:color w:val="000000"/>
          <w:sz w:val="26"/>
          <w:szCs w:val="26"/>
        </w:rPr>
      </w:pPr>
      <w:r w:rsidRPr="00A600F4">
        <w:rPr>
          <w:rFonts w:ascii="Palatino Linotype" w:hAnsi="Palatino Linotype"/>
          <w:b/>
          <w:color w:val="000000" w:themeColor="text1"/>
          <w:sz w:val="26"/>
          <w:szCs w:val="26"/>
        </w:rPr>
        <w:lastRenderedPageBreak/>
        <w:t xml:space="preserve">SÉPTIMO. </w:t>
      </w:r>
      <w:r w:rsidRPr="00A600F4">
        <w:rPr>
          <w:rFonts w:ascii="Palatino Linotype" w:hAnsi="Palatino Linotype" w:cs="Arial"/>
          <w:b/>
          <w:sz w:val="26"/>
          <w:szCs w:val="26"/>
        </w:rPr>
        <w:t>De la ampliación del término para resolver.</w:t>
      </w:r>
    </w:p>
    <w:p w:rsidR="00EB4322" w:rsidRPr="00A600F4" w:rsidRDefault="00EB4322" w:rsidP="00E32F5A">
      <w:pPr>
        <w:spacing w:line="360" w:lineRule="auto"/>
        <w:contextualSpacing/>
        <w:jc w:val="both"/>
        <w:rPr>
          <w:rFonts w:ascii="Palatino Linotype" w:hAnsi="Palatino Linotype"/>
          <w:sz w:val="24"/>
          <w:szCs w:val="24"/>
        </w:rPr>
      </w:pPr>
      <w:r w:rsidRPr="00A600F4">
        <w:rPr>
          <w:rFonts w:ascii="Palatino Linotype" w:hAnsi="Palatino Linotype"/>
          <w:sz w:val="24"/>
          <w:szCs w:val="24"/>
        </w:rPr>
        <w:t>De las constancias que integran el expediente electrónico, se advierte que han transcurrido los términos de Ley, para la emisión de la resolución en el presente recurso de revisión, por lo que en fecha</w:t>
      </w:r>
      <w:r w:rsidRPr="00A600F4">
        <w:rPr>
          <w:rFonts w:ascii="Palatino Linotype" w:hAnsi="Palatino Linotype"/>
          <w:b/>
          <w:sz w:val="24"/>
          <w:szCs w:val="24"/>
        </w:rPr>
        <w:t xml:space="preserve"> </w:t>
      </w:r>
      <w:r w:rsidR="00F87593" w:rsidRPr="00A600F4">
        <w:rPr>
          <w:rFonts w:ascii="Palatino Linotype" w:hAnsi="Palatino Linotype"/>
          <w:b/>
          <w:sz w:val="24"/>
          <w:szCs w:val="24"/>
        </w:rPr>
        <w:t>dieciséis</w:t>
      </w:r>
      <w:r w:rsidRPr="00A600F4">
        <w:rPr>
          <w:rFonts w:ascii="Palatino Linotype" w:hAnsi="Palatino Linotype"/>
          <w:b/>
          <w:sz w:val="24"/>
          <w:szCs w:val="24"/>
        </w:rPr>
        <w:t xml:space="preserve"> de octubre de dos mil veinticinco</w:t>
      </w:r>
      <w:r w:rsidRPr="00A600F4">
        <w:rPr>
          <w:rFonts w:ascii="Palatino Linotype" w:hAnsi="Palatino Linotype"/>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EB4322" w:rsidRPr="00A600F4" w:rsidRDefault="00EB4322" w:rsidP="00EB4322">
      <w:pPr>
        <w:spacing w:after="0" w:line="360" w:lineRule="auto"/>
        <w:jc w:val="both"/>
        <w:rPr>
          <w:rFonts w:ascii="Palatino Linotype" w:hAnsi="Palatino Linotype" w:cs="Arial"/>
          <w:sz w:val="24"/>
          <w:szCs w:val="24"/>
        </w:rPr>
      </w:pPr>
    </w:p>
    <w:p w:rsidR="00EB4322" w:rsidRPr="00A600F4" w:rsidRDefault="00EB4322" w:rsidP="00EB4322">
      <w:pPr>
        <w:spacing w:before="240" w:line="360" w:lineRule="auto"/>
        <w:jc w:val="center"/>
        <w:rPr>
          <w:rFonts w:ascii="Palatino Linotype" w:hAnsi="Palatino Linotype" w:cs="Arial"/>
          <w:b/>
          <w:sz w:val="28"/>
        </w:rPr>
      </w:pPr>
      <w:r w:rsidRPr="00A600F4">
        <w:rPr>
          <w:rFonts w:ascii="Palatino Linotype" w:hAnsi="Palatino Linotype" w:cs="Arial"/>
          <w:b/>
          <w:sz w:val="28"/>
        </w:rPr>
        <w:t xml:space="preserve">C O N S I D E R A N D O </w:t>
      </w:r>
    </w:p>
    <w:p w:rsidR="00EB4322" w:rsidRPr="00A600F4" w:rsidRDefault="00EB4322" w:rsidP="00EB4322">
      <w:pPr>
        <w:pBdr>
          <w:top w:val="nil"/>
          <w:left w:val="nil"/>
          <w:bottom w:val="nil"/>
          <w:right w:val="nil"/>
          <w:between w:val="nil"/>
        </w:pBdr>
        <w:contextualSpacing/>
        <w:rPr>
          <w:rFonts w:ascii="Palatino Linotype" w:eastAsia="Palatino Linotype" w:hAnsi="Palatino Linotype" w:cs="Palatino Linotype"/>
          <w:szCs w:val="24"/>
        </w:rPr>
      </w:pPr>
    </w:p>
    <w:p w:rsidR="00EB4322" w:rsidRPr="00A600F4" w:rsidRDefault="00EB4322" w:rsidP="00EB4322">
      <w:pPr>
        <w:pStyle w:val="Ttulo2"/>
        <w:rPr>
          <w:rFonts w:ascii="Palatino Linotype" w:eastAsia="Palatino Linotype" w:hAnsi="Palatino Linotype"/>
          <w:b/>
          <w:bCs/>
          <w:color w:val="auto"/>
          <w:sz w:val="28"/>
          <w:szCs w:val="28"/>
        </w:rPr>
      </w:pPr>
      <w:r w:rsidRPr="00A600F4">
        <w:rPr>
          <w:rFonts w:ascii="Palatino Linotype" w:eastAsia="Palatino Linotype" w:hAnsi="Palatino Linotype"/>
          <w:b/>
          <w:bCs/>
          <w:color w:val="auto"/>
          <w:sz w:val="28"/>
          <w:szCs w:val="28"/>
        </w:rPr>
        <w:t>PRIMERO. De la competencia.</w:t>
      </w:r>
    </w:p>
    <w:p w:rsidR="00EB4322" w:rsidRPr="00A600F4" w:rsidRDefault="00EB4322" w:rsidP="00E32F5A">
      <w:pPr>
        <w:spacing w:line="360" w:lineRule="auto"/>
        <w:jc w:val="both"/>
        <w:rPr>
          <w:rFonts w:ascii="Palatino Linotype" w:hAnsi="Palatino Linotype"/>
          <w:sz w:val="24"/>
          <w:szCs w:val="24"/>
        </w:rPr>
      </w:pPr>
      <w:r w:rsidRPr="00A600F4">
        <w:rPr>
          <w:rFonts w:ascii="Palatino Linotype" w:hAnsi="Palatino Linotype"/>
          <w:sz w:val="24"/>
          <w:szCs w:val="24"/>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EB4322" w:rsidRPr="00A600F4" w:rsidRDefault="00EB4322" w:rsidP="00EB4322">
      <w:pPr>
        <w:pStyle w:val="Ttulo2"/>
        <w:rPr>
          <w:rFonts w:ascii="Palatino Linotype" w:eastAsia="Palatino Linotype" w:hAnsi="Palatino Linotype"/>
          <w:b/>
          <w:bCs/>
          <w:color w:val="auto"/>
          <w:sz w:val="28"/>
          <w:szCs w:val="28"/>
        </w:rPr>
      </w:pPr>
      <w:r w:rsidRPr="00A600F4">
        <w:rPr>
          <w:rFonts w:ascii="Palatino Linotype" w:eastAsia="Palatino Linotype" w:hAnsi="Palatino Linotype"/>
          <w:b/>
          <w:bCs/>
          <w:color w:val="auto"/>
          <w:sz w:val="28"/>
          <w:szCs w:val="28"/>
        </w:rPr>
        <w:lastRenderedPageBreak/>
        <w:t xml:space="preserve">SEGUNDO. De la oportunidad y procedencia del recurso de revisión. </w:t>
      </w:r>
    </w:p>
    <w:p w:rsidR="00EB4322" w:rsidRPr="00A600F4" w:rsidRDefault="00EB4322" w:rsidP="00EB4322">
      <w:pPr>
        <w:spacing w:line="360" w:lineRule="auto"/>
        <w:jc w:val="both"/>
        <w:rPr>
          <w:rFonts w:ascii="Palatino Linotype" w:hAnsi="Palatino Linotype"/>
          <w:sz w:val="24"/>
          <w:szCs w:val="24"/>
        </w:rPr>
      </w:pPr>
      <w:r w:rsidRPr="00A600F4">
        <w:rPr>
          <w:rFonts w:ascii="Palatino Linotype" w:hAnsi="Palatino Linotype"/>
          <w:sz w:val="24"/>
          <w:szCs w:val="24"/>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rsidR="00EB4322" w:rsidRPr="00A600F4" w:rsidRDefault="00EB4322" w:rsidP="00EB4322">
      <w:pPr>
        <w:spacing w:line="360" w:lineRule="auto"/>
        <w:jc w:val="both"/>
        <w:rPr>
          <w:rFonts w:ascii="Palatino Linotype" w:hAnsi="Palatino Linotype"/>
          <w:sz w:val="24"/>
          <w:szCs w:val="24"/>
        </w:rPr>
      </w:pPr>
    </w:p>
    <w:p w:rsidR="00EB4322" w:rsidRPr="00A600F4" w:rsidRDefault="00EB4322" w:rsidP="00EB4322">
      <w:pPr>
        <w:spacing w:line="360" w:lineRule="auto"/>
        <w:jc w:val="both"/>
        <w:rPr>
          <w:rFonts w:ascii="Palatino Linotype" w:hAnsi="Palatino Linotype"/>
          <w:sz w:val="24"/>
          <w:szCs w:val="24"/>
        </w:rPr>
      </w:pPr>
      <w:r w:rsidRPr="00A600F4">
        <w:rPr>
          <w:rFonts w:ascii="Palatino Linotype" w:hAnsi="Palatino Linotype"/>
          <w:sz w:val="24"/>
          <w:szCs w:val="24"/>
        </w:rPr>
        <w:t>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rsidR="00EB4322" w:rsidRPr="00A600F4" w:rsidRDefault="00EB4322" w:rsidP="00EB4322">
      <w:pPr>
        <w:spacing w:line="360" w:lineRule="auto"/>
        <w:jc w:val="both"/>
        <w:rPr>
          <w:rFonts w:ascii="Palatino Linotype" w:hAnsi="Palatino Linotype"/>
          <w:sz w:val="24"/>
          <w:szCs w:val="24"/>
        </w:rPr>
      </w:pPr>
    </w:p>
    <w:p w:rsidR="00EB4322" w:rsidRPr="00A600F4" w:rsidRDefault="00EB4322" w:rsidP="00EB4322">
      <w:pPr>
        <w:spacing w:line="360" w:lineRule="auto"/>
        <w:jc w:val="both"/>
        <w:rPr>
          <w:rFonts w:ascii="Palatino Linotype" w:hAnsi="Palatino Linotype"/>
          <w:sz w:val="24"/>
          <w:szCs w:val="24"/>
        </w:rPr>
      </w:pPr>
      <w:r w:rsidRPr="00A600F4">
        <w:rPr>
          <w:rFonts w:ascii="Palatino Linotype" w:hAnsi="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Sujeto Obligado, hipótesis jurídica que se actualiza en este caso, aunado a que la parte </w:t>
      </w:r>
      <w:r w:rsidRPr="00A600F4">
        <w:rPr>
          <w:rFonts w:ascii="Palatino Linotype" w:hAnsi="Palatino Linotype"/>
          <w:sz w:val="24"/>
          <w:szCs w:val="24"/>
        </w:rPr>
        <w:lastRenderedPageBreak/>
        <w:t>Recurrente combate falta de trámite por el Sujeto Obligado y expresa motivos de inconformidad en contra de dicha circunstancia.</w:t>
      </w:r>
    </w:p>
    <w:p w:rsidR="00EB4322" w:rsidRPr="00A600F4" w:rsidRDefault="00EB4322" w:rsidP="00EB4322">
      <w:pPr>
        <w:spacing w:line="360" w:lineRule="auto"/>
        <w:jc w:val="both"/>
        <w:rPr>
          <w:rFonts w:ascii="Palatino Linotype" w:hAnsi="Palatino Linotype"/>
          <w:sz w:val="24"/>
          <w:szCs w:val="24"/>
        </w:rPr>
      </w:pPr>
    </w:p>
    <w:p w:rsidR="00EB4322" w:rsidRPr="00A600F4" w:rsidRDefault="00EB4322" w:rsidP="00EB4322">
      <w:pPr>
        <w:spacing w:line="360" w:lineRule="auto"/>
        <w:jc w:val="both"/>
        <w:rPr>
          <w:rFonts w:ascii="Palatino Linotype" w:hAnsi="Palatino Linotype"/>
          <w:sz w:val="24"/>
          <w:szCs w:val="24"/>
        </w:rPr>
      </w:pPr>
      <w:r w:rsidRPr="00A600F4">
        <w:rPr>
          <w:rFonts w:ascii="Palatino Linotype" w:hAnsi="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EB4322" w:rsidRPr="00A600F4" w:rsidRDefault="00EB4322" w:rsidP="00EB4322">
      <w:pPr>
        <w:spacing w:line="360" w:lineRule="auto"/>
        <w:jc w:val="both"/>
        <w:rPr>
          <w:rFonts w:ascii="Palatino Linotype" w:eastAsia="Palatino Linotype" w:hAnsi="Palatino Linotype" w:cstheme="majorBidi"/>
          <w:b/>
          <w:sz w:val="24"/>
          <w:szCs w:val="24"/>
        </w:rPr>
      </w:pPr>
    </w:p>
    <w:p w:rsidR="00EB4322" w:rsidRPr="00A600F4" w:rsidRDefault="00EB4322" w:rsidP="00EB4322">
      <w:pPr>
        <w:widowControl w:val="0"/>
        <w:autoSpaceDE w:val="0"/>
        <w:autoSpaceDN w:val="0"/>
        <w:adjustRightInd w:val="0"/>
        <w:spacing w:line="360" w:lineRule="auto"/>
        <w:jc w:val="both"/>
        <w:rPr>
          <w:rFonts w:ascii="Palatino Linotype" w:hAnsi="Palatino Linotype" w:cs="Arial"/>
          <w:b/>
          <w:sz w:val="28"/>
          <w:szCs w:val="28"/>
          <w:lang w:val="es-ES" w:eastAsia="es-ES"/>
        </w:rPr>
      </w:pPr>
      <w:r w:rsidRPr="00A600F4">
        <w:rPr>
          <w:rFonts w:ascii="Palatino Linotype" w:hAnsi="Palatino Linotype" w:cs="Arial"/>
          <w:b/>
          <w:sz w:val="28"/>
          <w:szCs w:val="28"/>
          <w:lang w:val="es-ES" w:eastAsia="es-ES"/>
        </w:rPr>
        <w:t>TERCERO. Estudio y resolución del asunto</w:t>
      </w:r>
      <w:r w:rsidRPr="00A600F4">
        <w:rPr>
          <w:rFonts w:ascii="Palatino Linotype" w:hAnsi="Palatino Linotype"/>
          <w:b/>
          <w:sz w:val="28"/>
          <w:szCs w:val="28"/>
          <w:lang w:val="es-ES" w:eastAsia="es-ES"/>
        </w:rPr>
        <w:t xml:space="preserve">. </w:t>
      </w:r>
    </w:p>
    <w:p w:rsidR="00EB4322" w:rsidRPr="00A600F4" w:rsidRDefault="00EB4322" w:rsidP="00EB4322">
      <w:pPr>
        <w:spacing w:line="360" w:lineRule="auto"/>
        <w:contextualSpacing/>
        <w:jc w:val="both"/>
        <w:rPr>
          <w:rFonts w:ascii="Palatino Linotype" w:hAnsi="Palatino Linotype" w:cs="Arial"/>
          <w:sz w:val="24"/>
          <w:szCs w:val="24"/>
          <w:lang w:eastAsia="es-ES"/>
        </w:rPr>
      </w:pPr>
      <w:r w:rsidRPr="00A600F4">
        <w:rPr>
          <w:rFonts w:ascii="Palatino Linotype" w:eastAsia="MS Mincho" w:hAnsi="Palatino Linotype"/>
          <w:sz w:val="24"/>
          <w:szCs w:val="24"/>
          <w:lang w:val="es-ES" w:eastAsia="es-ES"/>
        </w:rPr>
        <w:t>E</w:t>
      </w:r>
      <w:r w:rsidRPr="00A600F4">
        <w:rPr>
          <w:rFonts w:ascii="Palatino Linotype" w:eastAsia="MS Mincho" w:hAnsi="Palatino Linotype"/>
          <w:sz w:val="24"/>
          <w:szCs w:val="24"/>
          <w:lang w:eastAsia="es-ES"/>
        </w:rPr>
        <w:t xml:space="preserve">l derecho de acceso a la información pública es un </w:t>
      </w:r>
      <w:r w:rsidRPr="00A600F4">
        <w:rPr>
          <w:rFonts w:ascii="Palatino Linotype" w:hAnsi="Palatino Linotype" w:cs="Arial"/>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w:t>
      </w:r>
      <w:r w:rsidRPr="00A600F4">
        <w:rPr>
          <w:rFonts w:ascii="Palatino Linotype" w:hAnsi="Palatino Linotype" w:cs="Arial"/>
          <w:sz w:val="24"/>
          <w:szCs w:val="24"/>
          <w:lang w:eastAsia="es-ES"/>
        </w:rPr>
        <w:t xml:space="preserve">a través del cual se puede solicitar aquellos documentos que generen, administren o posean las autoridades en ejercicio de sus respectivas atribuciones y competencias. </w:t>
      </w:r>
    </w:p>
    <w:p w:rsidR="00EB4322" w:rsidRPr="00A600F4" w:rsidRDefault="00EB4322" w:rsidP="00EB4322">
      <w:pPr>
        <w:spacing w:line="360" w:lineRule="auto"/>
        <w:contextualSpacing/>
        <w:jc w:val="both"/>
        <w:rPr>
          <w:rFonts w:ascii="Palatino Linotype" w:hAnsi="Palatino Linotype" w:cs="Arial"/>
          <w:sz w:val="24"/>
          <w:szCs w:val="24"/>
          <w:lang w:eastAsia="es-ES"/>
        </w:rPr>
      </w:pPr>
    </w:p>
    <w:p w:rsidR="00EB4322" w:rsidRPr="00A600F4" w:rsidRDefault="00EB4322" w:rsidP="00EB4322">
      <w:pPr>
        <w:autoSpaceDE w:val="0"/>
        <w:autoSpaceDN w:val="0"/>
        <w:adjustRightInd w:val="0"/>
        <w:spacing w:line="360" w:lineRule="auto"/>
        <w:jc w:val="both"/>
        <w:rPr>
          <w:rFonts w:ascii="Palatino Linotype" w:hAnsi="Palatino Linotype" w:cs="Arial"/>
          <w:sz w:val="24"/>
          <w:szCs w:val="24"/>
          <w:lang w:val="es-ES" w:eastAsia="es-ES"/>
        </w:rPr>
      </w:pPr>
      <w:r w:rsidRPr="00A600F4">
        <w:rPr>
          <w:rFonts w:ascii="Palatino Linotype" w:hAnsi="Palatino Linotype" w:cs="Arial"/>
          <w:sz w:val="24"/>
          <w:szCs w:val="24"/>
          <w:lang w:val="es-ES" w:eastAsia="es-ES"/>
        </w:rPr>
        <w:t xml:space="preserve">Por lo que en cumplimiento a las obligaciones que establece nuestra Carta Magna, la Constitución Estatal y la Ley de la materia le imponen, el </w:t>
      </w:r>
      <w:r w:rsidRPr="00A600F4">
        <w:rPr>
          <w:rFonts w:ascii="Palatino Linotype" w:hAnsi="Palatino Linotype" w:cs="Arial"/>
          <w:b/>
          <w:sz w:val="24"/>
          <w:szCs w:val="24"/>
          <w:lang w:val="es-ES" w:eastAsia="es-ES"/>
        </w:rPr>
        <w:t>Sujeto Obligado</w:t>
      </w:r>
      <w:r w:rsidRPr="00A600F4">
        <w:rPr>
          <w:rFonts w:ascii="Palatino Linotype" w:hAnsi="Palatino Linotype" w:cs="Arial"/>
          <w:sz w:val="24"/>
          <w:szCs w:val="24"/>
          <w:lang w:val="es-ES" w:eastAsia="es-ES"/>
        </w:rPr>
        <w:t xml:space="preserve"> está constreñido a dar atención a las solicitudes de información que a través del SAIMEX o </w:t>
      </w:r>
      <w:r w:rsidRPr="00A600F4">
        <w:rPr>
          <w:rFonts w:ascii="Palatino Linotype" w:hAnsi="Palatino Linotype" w:cs="Arial"/>
          <w:sz w:val="24"/>
          <w:szCs w:val="24"/>
          <w:lang w:val="es-ES" w:eastAsia="es-ES"/>
        </w:rPr>
        <w:lastRenderedPageBreak/>
        <w:t xml:space="preserve">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sidRPr="00A600F4">
        <w:rPr>
          <w:rFonts w:ascii="Palatino Linotype" w:hAnsi="Palatino Linotype" w:cs="Arial"/>
          <w:b/>
          <w:sz w:val="24"/>
          <w:szCs w:val="24"/>
          <w:lang w:val="es-ES" w:eastAsia="es-ES"/>
        </w:rPr>
        <w:t>Sujeto Obligado</w:t>
      </w:r>
      <w:r w:rsidRPr="00A600F4">
        <w:rPr>
          <w:rFonts w:ascii="Palatino Linotype" w:hAnsi="Palatino Linotype" w:cs="Arial"/>
          <w:sz w:val="24"/>
          <w:szCs w:val="24"/>
          <w:lang w:val="es-ES" w:eastAsia="es-ES"/>
        </w:rPr>
        <w:t xml:space="preserve"> fue omiso en dar respuesta a la solicitud de información dentro de los plazos establecidos en la Ley de Transparencia Local.</w:t>
      </w:r>
    </w:p>
    <w:p w:rsidR="00EB4322" w:rsidRPr="00A600F4" w:rsidRDefault="00EB4322" w:rsidP="00EB4322">
      <w:pPr>
        <w:autoSpaceDE w:val="0"/>
        <w:autoSpaceDN w:val="0"/>
        <w:adjustRightInd w:val="0"/>
        <w:spacing w:line="360" w:lineRule="auto"/>
        <w:jc w:val="both"/>
        <w:rPr>
          <w:rFonts w:ascii="Palatino Linotype" w:hAnsi="Palatino Linotype" w:cs="Arial"/>
          <w:sz w:val="24"/>
          <w:szCs w:val="24"/>
          <w:lang w:val="es-ES" w:eastAsia="es-ES"/>
        </w:rPr>
      </w:pPr>
    </w:p>
    <w:p w:rsidR="00EB4322" w:rsidRPr="00A600F4" w:rsidRDefault="00EB4322" w:rsidP="00EB4322">
      <w:pPr>
        <w:autoSpaceDE w:val="0"/>
        <w:autoSpaceDN w:val="0"/>
        <w:adjustRightInd w:val="0"/>
        <w:spacing w:line="360" w:lineRule="auto"/>
        <w:jc w:val="both"/>
        <w:rPr>
          <w:rFonts w:ascii="Palatino Linotype" w:hAnsi="Palatino Linotype" w:cs="Arial"/>
          <w:sz w:val="24"/>
          <w:szCs w:val="24"/>
          <w:lang w:val="es-ES" w:eastAsia="es-ES"/>
        </w:rPr>
      </w:pPr>
      <w:r w:rsidRPr="00A600F4">
        <w:rPr>
          <w:rFonts w:ascii="Palatino Linotype" w:hAnsi="Palatino Linotype" w:cs="Arial"/>
          <w:sz w:val="24"/>
          <w:szCs w:val="24"/>
          <w:lang w:val="es-ES" w:eastAsia="es-ES"/>
        </w:rPr>
        <w:t xml:space="preserve">Asimismo, los motivos o razones de inconformidad expuestos por la parte Recurrente se adolece de la falta de respuesta a la solicitud de acceso a la información formulada, por lo que se actualiza la causal de procedencia establecida en la fracción VII del artículo 179 de la </w:t>
      </w:r>
      <w:r w:rsidRPr="00A600F4">
        <w:rPr>
          <w:rFonts w:ascii="Palatino Linotype" w:hAnsi="Palatino Linotype" w:cs="Arial"/>
          <w:bCs/>
          <w:sz w:val="24"/>
          <w:szCs w:val="24"/>
          <w:lang w:val="es-ES" w:eastAsia="es-ES"/>
        </w:rPr>
        <w:t>Ley de Transparencia y Acceso a la Información Pública del Estado de México y Municipios</w:t>
      </w:r>
      <w:r w:rsidRPr="00A600F4">
        <w:rPr>
          <w:rFonts w:ascii="Palatino Linotype" w:hAnsi="Palatino Linotype" w:cs="Arial"/>
          <w:sz w:val="24"/>
          <w:szCs w:val="24"/>
          <w:lang w:val="es-ES" w:eastAsia="es-ES"/>
        </w:rPr>
        <w:t>,</w:t>
      </w:r>
      <w:r w:rsidRPr="00A600F4">
        <w:rPr>
          <w:rFonts w:ascii="Palatino Linotype" w:hAnsi="Palatino Linotype" w:cs="Arial"/>
          <w:b/>
          <w:sz w:val="24"/>
          <w:szCs w:val="24"/>
          <w:lang w:val="es-ES" w:eastAsia="es-ES"/>
        </w:rPr>
        <w:t xml:space="preserve"> </w:t>
      </w:r>
      <w:r w:rsidRPr="00A600F4">
        <w:rPr>
          <w:rFonts w:ascii="Palatino Linotype" w:hAnsi="Palatino Linotype" w:cs="Arial"/>
          <w:bCs/>
          <w:sz w:val="24"/>
          <w:szCs w:val="24"/>
          <w:lang w:val="es-ES" w:eastAsia="es-ES"/>
        </w:rPr>
        <w:t>y</w:t>
      </w:r>
      <w:r w:rsidRPr="00A600F4">
        <w:rPr>
          <w:rFonts w:ascii="Palatino Linotype" w:hAnsi="Palatino Linotype" w:cs="Arial"/>
          <w:b/>
          <w:sz w:val="24"/>
          <w:szCs w:val="24"/>
          <w:lang w:val="es-ES" w:eastAsia="es-ES"/>
        </w:rPr>
        <w:t xml:space="preserve"> </w:t>
      </w:r>
      <w:r w:rsidRPr="00A600F4">
        <w:rPr>
          <w:rFonts w:ascii="Palatino Linotype" w:hAnsi="Palatino Linotype" w:cs="Arial"/>
          <w:sz w:val="24"/>
          <w:szCs w:val="24"/>
          <w:lang w:val="es-ES" w:eastAsia="es-ES"/>
        </w:rPr>
        <w:t>por tanto, procedente la interposición del recurso de revisión.</w:t>
      </w:r>
    </w:p>
    <w:p w:rsidR="00E32F5A" w:rsidRPr="00A600F4" w:rsidRDefault="00E32F5A" w:rsidP="00EB4322">
      <w:pPr>
        <w:autoSpaceDE w:val="0"/>
        <w:autoSpaceDN w:val="0"/>
        <w:adjustRightInd w:val="0"/>
        <w:spacing w:line="360" w:lineRule="auto"/>
        <w:jc w:val="both"/>
        <w:rPr>
          <w:rFonts w:ascii="Palatino Linotype" w:hAnsi="Palatino Linotype" w:cs="Arial"/>
          <w:sz w:val="24"/>
          <w:szCs w:val="24"/>
          <w:lang w:val="es-ES" w:eastAsia="es-ES"/>
        </w:rPr>
      </w:pPr>
    </w:p>
    <w:p w:rsidR="00EB4322" w:rsidRPr="00A600F4" w:rsidRDefault="00EB4322" w:rsidP="00EB4322">
      <w:pPr>
        <w:autoSpaceDE w:val="0"/>
        <w:autoSpaceDN w:val="0"/>
        <w:adjustRightInd w:val="0"/>
        <w:spacing w:line="360" w:lineRule="auto"/>
        <w:jc w:val="both"/>
        <w:rPr>
          <w:rFonts w:ascii="Palatino Linotype" w:hAnsi="Palatino Linotype"/>
          <w:sz w:val="24"/>
          <w:szCs w:val="24"/>
          <w:lang w:val="es-ES"/>
        </w:rPr>
      </w:pPr>
      <w:r w:rsidRPr="00A600F4">
        <w:rPr>
          <w:rFonts w:ascii="Palatino Linotype" w:hAnsi="Palatino Linotype" w:cs="Arial"/>
          <w:sz w:val="24"/>
          <w:szCs w:val="24"/>
          <w:lang w:val="es-ES" w:eastAsia="es-ES"/>
        </w:rPr>
        <w:t xml:space="preserve">En consecuencia, las razones o motivos de </w:t>
      </w:r>
      <w:r w:rsidRPr="00A600F4">
        <w:rPr>
          <w:rFonts w:ascii="Palatino Linotype" w:hAnsi="Palatino Linotype"/>
          <w:sz w:val="24"/>
          <w:szCs w:val="24"/>
          <w:lang w:val="es-ES" w:eastAsia="es-ES"/>
        </w:rPr>
        <w:t xml:space="preserve">inconformidad hechos valer, resultan </w:t>
      </w:r>
      <w:r w:rsidRPr="00A600F4">
        <w:rPr>
          <w:rFonts w:ascii="Palatino Linotype" w:hAnsi="Palatino Linotype"/>
          <w:b/>
          <w:sz w:val="24"/>
          <w:szCs w:val="24"/>
          <w:lang w:val="es-ES" w:eastAsia="es-ES"/>
        </w:rPr>
        <w:t>fundadas y procedentes</w:t>
      </w:r>
      <w:r w:rsidRPr="00A600F4">
        <w:rPr>
          <w:rFonts w:ascii="Palatino Linotype" w:hAnsi="Palatino Linotype"/>
          <w:sz w:val="24"/>
          <w:szCs w:val="24"/>
          <w:lang w:val="es-ES" w:eastAsia="es-ES"/>
        </w:rPr>
        <w:t xml:space="preserve">, en virtud de las constancias que obran en el expediente electrónico SAIMEX, se acredita que el </w:t>
      </w:r>
      <w:r w:rsidRPr="00A600F4">
        <w:rPr>
          <w:rFonts w:ascii="Palatino Linotype" w:hAnsi="Palatino Linotype" w:cs="Arial"/>
          <w:b/>
          <w:sz w:val="24"/>
          <w:szCs w:val="24"/>
          <w:lang w:val="es-ES"/>
        </w:rPr>
        <w:t>Sujeto Obligado</w:t>
      </w:r>
      <w:r w:rsidRPr="00A600F4">
        <w:rPr>
          <w:rFonts w:ascii="Palatino Linotype" w:hAnsi="Palatino Linotype" w:cs="Arial"/>
          <w:sz w:val="24"/>
          <w:szCs w:val="24"/>
          <w:lang w:val="es-ES"/>
        </w:rPr>
        <w:t xml:space="preserve"> fue omiso en responder la solicitud de información hechas por la parte </w:t>
      </w:r>
      <w:r w:rsidRPr="00A600F4">
        <w:rPr>
          <w:rFonts w:ascii="Palatino Linotype" w:hAnsi="Palatino Linotype" w:cs="Arial"/>
          <w:b/>
          <w:sz w:val="24"/>
          <w:szCs w:val="24"/>
          <w:lang w:val="es-ES"/>
        </w:rPr>
        <w:t>Recurrente</w:t>
      </w:r>
      <w:r w:rsidRPr="00A600F4">
        <w:rPr>
          <w:rFonts w:ascii="Palatino Linotype" w:hAnsi="Palatino Linotype" w:cs="Arial"/>
          <w:sz w:val="24"/>
          <w:szCs w:val="24"/>
          <w:lang w:val="es-ES"/>
        </w:rPr>
        <w:t xml:space="preserve">, es decir, </w:t>
      </w:r>
      <w:r w:rsidRPr="00A600F4">
        <w:rPr>
          <w:rFonts w:ascii="Palatino Linotype" w:hAnsi="Palatino Linotype"/>
          <w:sz w:val="24"/>
          <w:szCs w:val="24"/>
          <w:lang w:val="es-ES"/>
        </w:rPr>
        <w:t xml:space="preserve">incumplió las obligaciones que se le imponen como </w:t>
      </w:r>
      <w:r w:rsidRPr="00A600F4">
        <w:rPr>
          <w:rFonts w:ascii="Palatino Linotype" w:hAnsi="Palatino Linotype"/>
          <w:b/>
          <w:sz w:val="24"/>
          <w:szCs w:val="24"/>
          <w:lang w:val="es-ES"/>
        </w:rPr>
        <w:t>Sujeto Obligado</w:t>
      </w:r>
      <w:r w:rsidRPr="00A600F4">
        <w:rPr>
          <w:rFonts w:ascii="Palatino Linotype" w:hAnsi="Palatino Linotype"/>
          <w:sz w:val="24"/>
          <w:szCs w:val="24"/>
          <w:lang w:val="es-ES"/>
        </w:rPr>
        <w:t>, de conformidad con lo establecido en los artículos 4, 12, 23 fracción IV, 24 último párrafo y 160 de la Ley de Transparencia y Acceso a la Información Pública del Estado de México y Municipios.</w:t>
      </w:r>
    </w:p>
    <w:p w:rsidR="00F87593" w:rsidRPr="00A600F4" w:rsidRDefault="00F87593" w:rsidP="00EB4322">
      <w:pPr>
        <w:autoSpaceDE w:val="0"/>
        <w:autoSpaceDN w:val="0"/>
        <w:adjustRightInd w:val="0"/>
        <w:spacing w:line="360" w:lineRule="auto"/>
        <w:jc w:val="both"/>
        <w:rPr>
          <w:rFonts w:ascii="Palatino Linotype" w:hAnsi="Palatino Linotype"/>
          <w:sz w:val="24"/>
          <w:szCs w:val="24"/>
          <w:lang w:val="es-ES"/>
        </w:rPr>
      </w:pPr>
    </w:p>
    <w:p w:rsidR="00EB4322" w:rsidRPr="00A600F4" w:rsidRDefault="00EB4322" w:rsidP="00EB4322">
      <w:pPr>
        <w:widowControl w:val="0"/>
        <w:tabs>
          <w:tab w:val="left" w:pos="1276"/>
        </w:tabs>
        <w:spacing w:line="360" w:lineRule="auto"/>
        <w:jc w:val="both"/>
        <w:rPr>
          <w:rFonts w:ascii="Palatino Linotype" w:eastAsia="Palatino Linotype" w:hAnsi="Palatino Linotype" w:cs="Palatino Linotype"/>
          <w:sz w:val="24"/>
          <w:szCs w:val="24"/>
        </w:rPr>
      </w:pPr>
      <w:r w:rsidRPr="00A600F4">
        <w:rPr>
          <w:rFonts w:ascii="Palatino Linotype" w:hAnsi="Palatino Linotype" w:cs="Arial"/>
          <w:sz w:val="24"/>
          <w:szCs w:val="24"/>
          <w:lang w:val="es-ES"/>
        </w:rPr>
        <w:t xml:space="preserve">De conformidad con lo establecido en los artículos 50 y 51 de la Ley de Transparencia </w:t>
      </w:r>
      <w:r w:rsidRPr="00A600F4">
        <w:rPr>
          <w:rFonts w:ascii="Palatino Linotype" w:hAnsi="Palatino Linotype" w:cs="Arial"/>
          <w:sz w:val="24"/>
          <w:szCs w:val="24"/>
          <w:lang w:val="es-ES"/>
        </w:rPr>
        <w:lastRenderedPageBreak/>
        <w:t xml:space="preserve">y Acceso a la Información Pública del Estado de México y Municipios, los </w:t>
      </w:r>
      <w:r w:rsidRPr="00A600F4">
        <w:rPr>
          <w:rFonts w:ascii="Palatino Linotype" w:eastAsia="Palatino Linotype" w:hAnsi="Palatino Linotype" w:cs="Palatino Linotype"/>
          <w:sz w:val="24"/>
          <w:szCs w:val="24"/>
        </w:rPr>
        <w:t xml:space="preserve">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EB4322" w:rsidRPr="00A600F4" w:rsidRDefault="00EB4322" w:rsidP="00EB4322">
      <w:pPr>
        <w:widowControl w:val="0"/>
        <w:tabs>
          <w:tab w:val="left" w:pos="1276"/>
        </w:tabs>
        <w:spacing w:line="360" w:lineRule="auto"/>
        <w:jc w:val="both"/>
        <w:rPr>
          <w:rFonts w:ascii="Palatino Linotype" w:eastAsia="Palatino Linotype" w:hAnsi="Palatino Linotype" w:cs="Palatino Linotype"/>
          <w:sz w:val="24"/>
          <w:szCs w:val="24"/>
        </w:rPr>
      </w:pPr>
    </w:p>
    <w:p w:rsidR="00EB4322" w:rsidRPr="00A600F4" w:rsidRDefault="00EB4322" w:rsidP="00EB4322">
      <w:pPr>
        <w:widowControl w:val="0"/>
        <w:tabs>
          <w:tab w:val="left" w:pos="1276"/>
        </w:tabs>
        <w:spacing w:line="360" w:lineRule="auto"/>
        <w:jc w:val="both"/>
        <w:rPr>
          <w:rFonts w:ascii="Palatino Linotype" w:eastAsia="Palatino Linotype" w:hAnsi="Palatino Linotype" w:cs="Palatino Linotype"/>
          <w:sz w:val="24"/>
          <w:szCs w:val="24"/>
        </w:rPr>
      </w:pPr>
      <w:r w:rsidRPr="00A600F4">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EB4322" w:rsidRPr="00A600F4" w:rsidRDefault="00EB4322" w:rsidP="00EB4322">
      <w:pPr>
        <w:widowControl w:val="0"/>
        <w:tabs>
          <w:tab w:val="left" w:pos="1276"/>
        </w:tabs>
        <w:spacing w:line="360" w:lineRule="auto"/>
        <w:jc w:val="both"/>
        <w:rPr>
          <w:rFonts w:ascii="Palatino Linotype" w:eastAsia="Palatino Linotype" w:hAnsi="Palatino Linotype" w:cs="Palatino Linotype"/>
          <w:sz w:val="24"/>
          <w:szCs w:val="24"/>
        </w:rPr>
      </w:pPr>
    </w:p>
    <w:p w:rsidR="00EB4322" w:rsidRPr="00A600F4" w:rsidRDefault="00EB4322" w:rsidP="00EB4322">
      <w:pPr>
        <w:spacing w:line="360" w:lineRule="auto"/>
        <w:jc w:val="both"/>
        <w:rPr>
          <w:rFonts w:ascii="Palatino Linotype" w:hAnsi="Palatino Linotype"/>
          <w:sz w:val="24"/>
          <w:szCs w:val="24"/>
          <w:lang w:val="es-ES" w:eastAsia="es-ES"/>
        </w:rPr>
      </w:pPr>
      <w:r w:rsidRPr="00A600F4">
        <w:rPr>
          <w:rFonts w:ascii="Palatino Linotype" w:eastAsia="Palatino Linotype" w:hAnsi="Palatino Linotype" w:cs="Palatino Linotype"/>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w:t>
      </w:r>
      <w:r w:rsidRPr="00A600F4">
        <w:rPr>
          <w:rFonts w:ascii="Palatino Linotype" w:hAnsi="Palatino Linotype"/>
          <w:sz w:val="24"/>
          <w:szCs w:val="24"/>
          <w:lang w:val="es-ES" w:eastAsia="es-ES"/>
        </w:rPr>
        <w:t xml:space="preserve">De tal manera que la omisión del Titular de la Unidad de Transparencia, como primer responsable de </w:t>
      </w:r>
      <w:r w:rsidRPr="00A600F4">
        <w:rPr>
          <w:rFonts w:ascii="Palatino Linotype" w:hAnsi="Palatino Linotype"/>
          <w:sz w:val="24"/>
          <w:szCs w:val="24"/>
          <w:lang w:val="es-ES" w:eastAsia="es-ES"/>
        </w:rPr>
        <w:lastRenderedPageBreak/>
        <w:t>atender la solicitud de información, se traduce en una conducta que ha vulnerado el derecho de acceso a la información consignado a favor del particular.</w:t>
      </w:r>
    </w:p>
    <w:p w:rsidR="00EB4322" w:rsidRPr="00A600F4" w:rsidRDefault="00EB4322" w:rsidP="00EB4322">
      <w:pPr>
        <w:spacing w:line="360" w:lineRule="auto"/>
        <w:jc w:val="both"/>
        <w:rPr>
          <w:rFonts w:ascii="Palatino Linotype" w:hAnsi="Palatino Linotype" w:cs="Segoe UI"/>
        </w:rPr>
      </w:pPr>
    </w:p>
    <w:p w:rsidR="00EB4322" w:rsidRPr="00A600F4" w:rsidRDefault="00EB4322" w:rsidP="00EB4322">
      <w:pPr>
        <w:spacing w:line="360" w:lineRule="auto"/>
        <w:jc w:val="both"/>
        <w:rPr>
          <w:rFonts w:ascii="Palatino Linotype" w:hAnsi="Palatino Linotype" w:cs="Arial"/>
          <w:sz w:val="24"/>
          <w:szCs w:val="24"/>
        </w:rPr>
      </w:pPr>
      <w:r w:rsidRPr="00A600F4">
        <w:rPr>
          <w:rFonts w:ascii="Palatino Linotype" w:hAnsi="Palatino Linotype" w:cs="Segoe UI"/>
          <w:sz w:val="24"/>
          <w:szCs w:val="24"/>
        </w:rPr>
        <w:t xml:space="preserve">Cabe señalar que </w:t>
      </w:r>
      <w:r w:rsidRPr="00A600F4">
        <w:rPr>
          <w:rFonts w:ascii="Palatino Linotype" w:hAnsi="Palatino Linotype" w:cs="Segoe UI"/>
          <w:b/>
          <w:sz w:val="24"/>
          <w:szCs w:val="24"/>
        </w:rPr>
        <w:t>la Recurrente</w:t>
      </w:r>
      <w:r w:rsidRPr="00A600F4">
        <w:rPr>
          <w:rFonts w:ascii="Palatino Linotype" w:hAnsi="Palatino Linotype" w:cs="Segoe UI"/>
          <w:sz w:val="24"/>
          <w:szCs w:val="24"/>
        </w:rPr>
        <w:t xml:space="preserve"> </w:t>
      </w:r>
      <w:r w:rsidRPr="00A600F4">
        <w:rPr>
          <w:rFonts w:ascii="Palatino Linotype" w:hAnsi="Palatino Linotype" w:cs="Segoe UI"/>
          <w:sz w:val="24"/>
          <w:szCs w:val="24"/>
          <w:u w:val="single"/>
        </w:rPr>
        <w:t>ejerció su derecho mediante su nombre, de haberlo realizado de manera anónima</w:t>
      </w:r>
      <w:r w:rsidRPr="00A600F4">
        <w:rPr>
          <w:rFonts w:ascii="Palatino Linotype" w:hAnsi="Palatino Linotype"/>
          <w:sz w:val="24"/>
          <w:szCs w:val="24"/>
        </w:rPr>
        <w:t xml:space="preserve">, no sería motivo para desechar las </w:t>
      </w:r>
      <w:r w:rsidRPr="00A600F4">
        <w:rPr>
          <w:rFonts w:ascii="Palatino Linotype" w:hAnsi="Palatino Linotype" w:cs="Arial"/>
          <w:sz w:val="24"/>
          <w:szCs w:val="24"/>
        </w:rPr>
        <w:t>solicitudes de acceso a la información pública conforme a lo previsto en el artículo 155, penúltimo párrafo de la Ley de Transparencia y Acceso a la Información Pública del Estado de México y Municipios que señala lo siguiente:</w:t>
      </w:r>
    </w:p>
    <w:p w:rsidR="00EB4322" w:rsidRPr="00A600F4" w:rsidRDefault="00EB4322" w:rsidP="00EB4322">
      <w:pPr>
        <w:spacing w:before="240" w:line="360" w:lineRule="auto"/>
        <w:ind w:left="851" w:right="851"/>
        <w:jc w:val="both"/>
        <w:rPr>
          <w:rFonts w:ascii="Palatino Linotype" w:hAnsi="Palatino Linotype" w:cs="Arial"/>
          <w:b/>
          <w:i/>
        </w:rPr>
      </w:pPr>
      <w:r w:rsidRPr="00A600F4">
        <w:rPr>
          <w:rFonts w:ascii="Palatino Linotype" w:hAnsi="Palatino Linotype" w:cs="Arial"/>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A600F4">
        <w:rPr>
          <w:rFonts w:ascii="Palatino Linotype" w:hAnsi="Palatino Linotype" w:cs="Arial"/>
          <w:b/>
          <w:i/>
        </w:rPr>
        <w:t>[Sic]</w:t>
      </w:r>
    </w:p>
    <w:p w:rsidR="00EB4322" w:rsidRPr="00A600F4" w:rsidRDefault="00EB4322" w:rsidP="00EB4322">
      <w:pPr>
        <w:autoSpaceDE w:val="0"/>
        <w:autoSpaceDN w:val="0"/>
        <w:adjustRightInd w:val="0"/>
        <w:spacing w:line="360" w:lineRule="auto"/>
        <w:jc w:val="both"/>
        <w:rPr>
          <w:rFonts w:ascii="Palatino Linotype" w:hAnsi="Palatino Linotype"/>
          <w:sz w:val="24"/>
          <w:szCs w:val="24"/>
          <w:lang w:val="es-ES" w:eastAsia="es-ES"/>
        </w:rPr>
      </w:pPr>
      <w:r w:rsidRPr="00A600F4">
        <w:rPr>
          <w:rFonts w:ascii="Palatino Linotype" w:hAnsi="Palatino Linotype" w:cs="Arial"/>
          <w:sz w:val="24"/>
          <w:szCs w:val="24"/>
          <w:lang w:eastAsia="es-ES"/>
        </w:rPr>
        <w:t xml:space="preserve">En consecuencia, </w:t>
      </w:r>
      <w:r w:rsidRPr="00A600F4">
        <w:rPr>
          <w:rFonts w:ascii="Palatino Linotype" w:hAnsi="Palatino Linotype"/>
          <w:sz w:val="24"/>
          <w:szCs w:val="24"/>
          <w:lang w:val="es-ES" w:eastAsia="es-ES"/>
        </w:rPr>
        <w:t xml:space="preserve">según lo dispuesto por el artículo 150 de la Ley de Transparencia y Acceso a la Información Pública del Estado de México y Municipios, el </w:t>
      </w:r>
      <w:r w:rsidRPr="00A600F4">
        <w:rPr>
          <w:rFonts w:ascii="Palatino Linotype" w:hAnsi="Palatino Linotype"/>
          <w:i/>
          <w:sz w:val="24"/>
          <w:szCs w:val="24"/>
          <w:lang w:val="es-ES" w:eastAsia="es-ES"/>
        </w:rPr>
        <w:t xml:space="preserve">procedimiento de acceso a la información es la garantía primaria del derecho en cuestión, </w:t>
      </w:r>
      <w:r w:rsidRPr="00A600F4">
        <w:rPr>
          <w:rFonts w:ascii="Palatino Linotype" w:hAnsi="Palatino Linotype"/>
          <w:sz w:val="24"/>
          <w:szCs w:val="24"/>
          <w:lang w:val="es-ES" w:eastAsia="es-ES"/>
        </w:rPr>
        <w:t xml:space="preserve">por lo tanto, la falta de respuesta a una solicitud de acceso a la información constituye un incumplimiento del </w:t>
      </w:r>
      <w:r w:rsidRPr="00A600F4">
        <w:rPr>
          <w:rFonts w:ascii="Palatino Linotype" w:hAnsi="Palatino Linotype"/>
          <w:b/>
          <w:sz w:val="24"/>
          <w:szCs w:val="24"/>
          <w:lang w:val="es-ES" w:eastAsia="es-ES"/>
        </w:rPr>
        <w:t>Sujeto Obligado</w:t>
      </w:r>
      <w:r w:rsidRPr="00A600F4">
        <w:rPr>
          <w:rFonts w:ascii="Palatino Linotype" w:hAnsi="Palatino Linotype"/>
          <w:sz w:val="24"/>
          <w:szCs w:val="24"/>
          <w:lang w:val="es-ES" w:eastAsia="es-ES"/>
        </w:rPr>
        <w:t xml:space="preserve"> a su deber de garantizar el derecho, lo que constituye una vulneración al mism</w:t>
      </w:r>
      <w:r w:rsidR="00357CF7" w:rsidRPr="00A600F4">
        <w:rPr>
          <w:rFonts w:ascii="Palatino Linotype" w:hAnsi="Palatino Linotype"/>
          <w:sz w:val="24"/>
          <w:szCs w:val="24"/>
          <w:lang w:val="es-ES" w:eastAsia="es-ES"/>
        </w:rPr>
        <w:t>o.</w:t>
      </w:r>
    </w:p>
    <w:p w:rsidR="00EB4322" w:rsidRPr="00A600F4" w:rsidRDefault="00EB4322" w:rsidP="00EB4322">
      <w:pPr>
        <w:autoSpaceDE w:val="0"/>
        <w:autoSpaceDN w:val="0"/>
        <w:adjustRightInd w:val="0"/>
        <w:spacing w:line="360" w:lineRule="auto"/>
        <w:jc w:val="both"/>
        <w:rPr>
          <w:rFonts w:ascii="Palatino Linotype" w:hAnsi="Palatino Linotype"/>
          <w:sz w:val="24"/>
          <w:szCs w:val="24"/>
          <w:lang w:val="es-ES" w:eastAsia="es-ES"/>
        </w:rPr>
      </w:pPr>
      <w:r w:rsidRPr="00A600F4">
        <w:rPr>
          <w:rFonts w:ascii="Palatino Linotype" w:hAnsi="Palatino Linotype"/>
          <w:sz w:val="24"/>
          <w:szCs w:val="24"/>
          <w:lang w:val="es-ES" w:eastAsia="es-ES"/>
        </w:rPr>
        <w:t xml:space="preserve">Por lo anterior es de establecerse que el Recurrente solicito lo siguiente; </w:t>
      </w:r>
    </w:p>
    <w:p w:rsidR="00EB4322" w:rsidRPr="00A600F4" w:rsidRDefault="00EB4322" w:rsidP="00EB4322">
      <w:pPr>
        <w:pStyle w:val="Prrafodelista"/>
        <w:numPr>
          <w:ilvl w:val="0"/>
          <w:numId w:val="2"/>
        </w:numPr>
        <w:autoSpaceDE w:val="0"/>
        <w:autoSpaceDN w:val="0"/>
        <w:adjustRightInd w:val="0"/>
        <w:spacing w:after="0" w:line="360" w:lineRule="auto"/>
        <w:contextualSpacing w:val="0"/>
        <w:jc w:val="both"/>
        <w:rPr>
          <w:rFonts w:ascii="Palatino Linotype" w:hAnsi="Palatino Linotype" w:cs="Arial"/>
        </w:rPr>
      </w:pPr>
      <w:r w:rsidRPr="00A600F4">
        <w:rPr>
          <w:rFonts w:ascii="Palatino Linotype" w:hAnsi="Palatino Linotype"/>
          <w:sz w:val="24"/>
          <w:szCs w:val="24"/>
        </w:rPr>
        <w:t> Plan Anual de Obras autorizado en 2025</w:t>
      </w:r>
      <w:r w:rsidRPr="00A600F4">
        <w:rPr>
          <w:rFonts w:ascii="Palatino Linotype" w:hAnsi="Palatino Linotype"/>
        </w:rPr>
        <w:t xml:space="preserve"> </w:t>
      </w:r>
    </w:p>
    <w:p w:rsidR="00EB4322" w:rsidRPr="00A600F4" w:rsidRDefault="00EB4322" w:rsidP="00EB4322">
      <w:pPr>
        <w:pStyle w:val="Prrafodelista"/>
        <w:autoSpaceDE w:val="0"/>
        <w:autoSpaceDN w:val="0"/>
        <w:adjustRightInd w:val="0"/>
        <w:spacing w:after="0" w:line="360" w:lineRule="auto"/>
        <w:contextualSpacing w:val="0"/>
        <w:jc w:val="both"/>
        <w:rPr>
          <w:rFonts w:ascii="Palatino Linotype" w:hAnsi="Palatino Linotype" w:cs="Arial"/>
        </w:rPr>
      </w:pPr>
    </w:p>
    <w:p w:rsidR="00EB4322" w:rsidRPr="00A600F4" w:rsidRDefault="00EB4322" w:rsidP="00EB4322">
      <w:pPr>
        <w:autoSpaceDE w:val="0"/>
        <w:autoSpaceDN w:val="0"/>
        <w:adjustRightInd w:val="0"/>
        <w:spacing w:line="360" w:lineRule="auto"/>
        <w:jc w:val="both"/>
        <w:rPr>
          <w:rFonts w:ascii="Palatino Linotype" w:hAnsi="Palatino Linotype" w:cs="Arial"/>
          <w:bCs/>
          <w:sz w:val="24"/>
          <w:szCs w:val="24"/>
        </w:rPr>
      </w:pPr>
      <w:r w:rsidRPr="00A600F4">
        <w:rPr>
          <w:rFonts w:ascii="Palatino Linotype" w:hAnsi="Palatino Linotype" w:cs="Arial"/>
          <w:sz w:val="24"/>
          <w:szCs w:val="24"/>
          <w:lang w:val="es-ES" w:eastAsia="es-ES"/>
        </w:rPr>
        <w:lastRenderedPageBreak/>
        <w:t>Por lo que, mediante informe justificado el Sujeto Obligado pretendió subsanar la vulneración del derecho al acceso a la información del Recurrente mediante el siguiente archivo electrónico;</w:t>
      </w:r>
    </w:p>
    <w:p w:rsidR="00EB4322" w:rsidRPr="00A600F4" w:rsidRDefault="00EB4322" w:rsidP="00EB4322">
      <w:pPr>
        <w:pStyle w:val="Prrafodelista"/>
        <w:numPr>
          <w:ilvl w:val="5"/>
          <w:numId w:val="2"/>
        </w:numPr>
        <w:spacing w:after="0" w:line="360" w:lineRule="auto"/>
        <w:ind w:left="426"/>
        <w:jc w:val="both"/>
        <w:rPr>
          <w:rFonts w:ascii="Palatino Linotype" w:hAnsi="Palatino Linotype"/>
          <w:sz w:val="24"/>
          <w:szCs w:val="24"/>
        </w:rPr>
      </w:pPr>
      <w:r w:rsidRPr="00A600F4">
        <w:rPr>
          <w:rFonts w:ascii="Palatino Linotype" w:hAnsi="Palatino Linotype" w:cs="Arial"/>
          <w:b/>
          <w:bCs/>
          <w:sz w:val="24"/>
          <w:szCs w:val="24"/>
        </w:rPr>
        <w:t xml:space="preserve">MANIFESTACIONES AL RR 9960-2025 SOL. 349.pdf: </w:t>
      </w:r>
      <w:r w:rsidRPr="00A600F4">
        <w:rPr>
          <w:rFonts w:ascii="Palatino Linotype" w:hAnsi="Palatino Linotype" w:cs="Arial"/>
          <w:bCs/>
          <w:sz w:val="24"/>
          <w:szCs w:val="24"/>
        </w:rPr>
        <w:t>Soporte documental que consta de tres fojas en formato PDF en los que se advierte lo siguiente;</w:t>
      </w:r>
      <w:r w:rsidRPr="00A600F4">
        <w:rPr>
          <w:rFonts w:ascii="Palatino Linotype" w:hAnsi="Palatino Linotype"/>
          <w:sz w:val="24"/>
          <w:szCs w:val="24"/>
        </w:rPr>
        <w:t xml:space="preserve"> </w:t>
      </w:r>
    </w:p>
    <w:p w:rsidR="00EB4322" w:rsidRPr="00A600F4" w:rsidRDefault="00EB4322" w:rsidP="00EB4322">
      <w:pPr>
        <w:pStyle w:val="Prrafodelista"/>
        <w:numPr>
          <w:ilvl w:val="3"/>
          <w:numId w:val="2"/>
        </w:numPr>
        <w:spacing w:after="0" w:line="360" w:lineRule="auto"/>
        <w:ind w:left="1418"/>
        <w:jc w:val="both"/>
        <w:rPr>
          <w:rFonts w:ascii="Palatino Linotype" w:hAnsi="Palatino Linotype"/>
          <w:sz w:val="24"/>
          <w:szCs w:val="24"/>
        </w:rPr>
      </w:pPr>
      <w:r w:rsidRPr="00A600F4">
        <w:rPr>
          <w:rFonts w:ascii="Palatino Linotype" w:hAnsi="Palatino Linotype" w:cs="Arial"/>
          <w:bCs/>
          <w:sz w:val="24"/>
          <w:szCs w:val="24"/>
        </w:rPr>
        <w:t>Oficio de fecha cuatro de septiembre de dos mil veinticinco por medio del cual el Titular de la Unidad de Transparencia manifiesta que la solicitud fue turnada en el que se refiere que el plan anual de obras se remitió a la Tesorería Municipal para que se anexara al Presupuesto de Egresos Municipales del Ejercicio Fiscal 2025, el cual fue aprobado en la Segunda Sesión Ordinaria de Cabildo adjuntando el Plan de Obras de 2025.</w:t>
      </w:r>
    </w:p>
    <w:p w:rsidR="00375F1A" w:rsidRPr="00A600F4" w:rsidRDefault="00375F1A" w:rsidP="00375F1A">
      <w:pPr>
        <w:pStyle w:val="Prrafodelista"/>
        <w:spacing w:after="0" w:line="360" w:lineRule="auto"/>
        <w:ind w:left="1418"/>
        <w:jc w:val="both"/>
        <w:rPr>
          <w:rFonts w:ascii="Palatino Linotype" w:hAnsi="Palatino Linotype"/>
          <w:sz w:val="24"/>
          <w:szCs w:val="24"/>
        </w:rPr>
      </w:pPr>
    </w:p>
    <w:p w:rsidR="00357CF7" w:rsidRPr="00A600F4" w:rsidRDefault="00EB4322" w:rsidP="00357CF7">
      <w:pPr>
        <w:pStyle w:val="Prrafodelista"/>
        <w:numPr>
          <w:ilvl w:val="3"/>
          <w:numId w:val="2"/>
        </w:numPr>
        <w:spacing w:after="0" w:line="360" w:lineRule="auto"/>
        <w:ind w:left="1418"/>
        <w:jc w:val="both"/>
        <w:rPr>
          <w:rFonts w:ascii="Palatino Linotype" w:hAnsi="Palatino Linotype"/>
          <w:sz w:val="24"/>
          <w:szCs w:val="24"/>
        </w:rPr>
      </w:pPr>
      <w:r w:rsidRPr="00A600F4">
        <w:rPr>
          <w:rFonts w:ascii="Palatino Linotype" w:hAnsi="Palatino Linotype" w:cs="Arial"/>
          <w:bCs/>
          <w:sz w:val="24"/>
          <w:szCs w:val="24"/>
        </w:rPr>
        <w:t>Oficio de fecha cuatro de septiembre por medio del cual el Director</w:t>
      </w:r>
      <w:r w:rsidR="00375F1A" w:rsidRPr="00A600F4">
        <w:rPr>
          <w:rFonts w:ascii="Palatino Linotype" w:hAnsi="Palatino Linotype" w:cs="Arial"/>
          <w:bCs/>
          <w:sz w:val="24"/>
          <w:szCs w:val="24"/>
        </w:rPr>
        <w:t xml:space="preserve"> de Obras Públicas, Agua Potable, Drenaje y Saneamiento por medio del cual manifiesta que el plan anual de obras se remitió a la Tesorería Municipal para que sea anexado al Presupuesto de Egresos Municipales del Ejercicio Fiscal 2025, el cual fue aprobado en Sesión de Cabildo adjuntando </w:t>
      </w:r>
      <w:r w:rsidR="00357CF7" w:rsidRPr="00A600F4">
        <w:rPr>
          <w:rFonts w:ascii="Palatino Linotype" w:hAnsi="Palatino Linotype" w:cs="Arial"/>
          <w:bCs/>
          <w:sz w:val="24"/>
          <w:szCs w:val="24"/>
        </w:rPr>
        <w:t xml:space="preserve">un documento </w:t>
      </w:r>
      <w:proofErr w:type="spellStart"/>
      <w:r w:rsidR="00357CF7" w:rsidRPr="00A600F4">
        <w:rPr>
          <w:rFonts w:ascii="Palatino Linotype" w:hAnsi="Palatino Linotype" w:cs="Arial"/>
          <w:bCs/>
          <w:sz w:val="24"/>
          <w:szCs w:val="24"/>
        </w:rPr>
        <w:t>adhoc</w:t>
      </w:r>
      <w:proofErr w:type="spellEnd"/>
      <w:r w:rsidR="00357CF7" w:rsidRPr="00A600F4">
        <w:rPr>
          <w:rFonts w:ascii="Palatino Linotype" w:hAnsi="Palatino Linotype" w:cs="Arial"/>
          <w:bCs/>
          <w:sz w:val="24"/>
          <w:szCs w:val="24"/>
        </w:rPr>
        <w:t xml:space="preserve"> del que se advierten dieciséis controles de obras, la ubicación, el tipo de ejecución, justificación y el tipo de adjudicación en los términos siguientes; </w:t>
      </w:r>
    </w:p>
    <w:p w:rsidR="00357CF7" w:rsidRPr="00A600F4" w:rsidRDefault="00357CF7" w:rsidP="00357CF7">
      <w:pPr>
        <w:spacing w:after="0" w:line="360" w:lineRule="auto"/>
        <w:jc w:val="both"/>
        <w:rPr>
          <w:rFonts w:ascii="Palatino Linotype" w:hAnsi="Palatino Linotype"/>
          <w:sz w:val="24"/>
          <w:szCs w:val="24"/>
        </w:rPr>
      </w:pPr>
    </w:p>
    <w:p w:rsidR="00357CF7" w:rsidRPr="00A600F4" w:rsidRDefault="00357CF7" w:rsidP="00357CF7">
      <w:pPr>
        <w:spacing w:after="0" w:line="360" w:lineRule="auto"/>
        <w:jc w:val="center"/>
        <w:rPr>
          <w:rFonts w:ascii="Palatino Linotype" w:hAnsi="Palatino Linotype"/>
          <w:sz w:val="24"/>
          <w:szCs w:val="24"/>
        </w:rPr>
      </w:pPr>
      <w:r w:rsidRPr="00A600F4">
        <w:rPr>
          <w:noProof/>
          <w:lang w:eastAsia="es-MX"/>
        </w:rPr>
        <w:lastRenderedPageBreak/>
        <w:drawing>
          <wp:inline distT="0" distB="0" distL="0" distR="0" wp14:anchorId="214C91B2" wp14:editId="5B34FF63">
            <wp:extent cx="4782348" cy="1194054"/>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860429" cy="1213549"/>
                    </a:xfrm>
                    <a:prstGeom prst="rect">
                      <a:avLst/>
                    </a:prstGeom>
                  </pic:spPr>
                </pic:pic>
              </a:graphicData>
            </a:graphic>
          </wp:inline>
        </w:drawing>
      </w:r>
    </w:p>
    <w:p w:rsidR="00357CF7" w:rsidRPr="00A600F4" w:rsidRDefault="00357CF7" w:rsidP="00711A45">
      <w:pPr>
        <w:spacing w:after="0" w:line="360" w:lineRule="auto"/>
        <w:jc w:val="both"/>
        <w:rPr>
          <w:rFonts w:ascii="Palatino Linotype" w:hAnsi="Palatino Linotype"/>
          <w:sz w:val="24"/>
          <w:szCs w:val="24"/>
        </w:rPr>
      </w:pPr>
    </w:p>
    <w:p w:rsidR="00711A45" w:rsidRPr="00A600F4" w:rsidRDefault="00EB4322" w:rsidP="00711A45">
      <w:pPr>
        <w:spacing w:after="0" w:line="360" w:lineRule="auto"/>
        <w:jc w:val="both"/>
        <w:rPr>
          <w:rFonts w:ascii="Palatino Linotype" w:hAnsi="Palatino Linotype"/>
          <w:sz w:val="24"/>
          <w:szCs w:val="24"/>
        </w:rPr>
      </w:pPr>
      <w:r w:rsidRPr="00A600F4">
        <w:rPr>
          <w:rFonts w:ascii="Palatino Linotype" w:hAnsi="Palatino Linotype"/>
          <w:sz w:val="24"/>
          <w:szCs w:val="24"/>
        </w:rPr>
        <w:t xml:space="preserve">En este tenor, en alusión al requerimiento formulado por el particular, resulta oportuno traer a colación </w:t>
      </w:r>
      <w:r w:rsidR="00711A45" w:rsidRPr="00A600F4">
        <w:rPr>
          <w:rFonts w:ascii="Palatino Linotype" w:hAnsi="Palatino Linotype"/>
          <w:sz w:val="24"/>
          <w:szCs w:val="24"/>
        </w:rPr>
        <w:t xml:space="preserve">los artículos 13 y 16 del Reglamento Orgánico del Sujeto Obligado a efecto de advertir que le corresponde a la Dirección General de Obras Públicas, Agua Potable, Drenaje y Saneamiento elaborar los programas anuales de obras </w:t>
      </w:r>
      <w:r w:rsidR="00C07FEA" w:rsidRPr="00A600F4">
        <w:rPr>
          <w:rFonts w:ascii="Palatino Linotype" w:hAnsi="Palatino Linotype"/>
          <w:sz w:val="24"/>
          <w:szCs w:val="24"/>
        </w:rPr>
        <w:t xml:space="preserve">así como proyectar las obras públicas y servicios relacionados, así mismo le corresponde al Titular de la Tesorería Municipal estrategias fiscales, la verificación de la suficiencia presupuestaria así como la integración del anteproyecto del presupuesto de Egresos del Ayuntamiento, en los términos siguientes; </w:t>
      </w:r>
    </w:p>
    <w:p w:rsidR="00711A45" w:rsidRPr="00A600F4" w:rsidRDefault="00711A45" w:rsidP="00711A45">
      <w:pPr>
        <w:spacing w:after="0" w:line="360" w:lineRule="auto"/>
        <w:ind w:firstLine="708"/>
        <w:jc w:val="both"/>
        <w:rPr>
          <w:rFonts w:ascii="Palatino Linotype" w:hAnsi="Palatino Linotype"/>
          <w:i/>
          <w:sz w:val="24"/>
          <w:szCs w:val="24"/>
        </w:rPr>
      </w:pPr>
      <w:r w:rsidRPr="00A600F4">
        <w:rPr>
          <w:rFonts w:ascii="Palatino Linotype" w:hAnsi="Palatino Linotype"/>
          <w:b/>
          <w:i/>
        </w:rPr>
        <w:t>Artículo 13.-</w:t>
      </w:r>
      <w:r w:rsidRPr="00A600F4">
        <w:rPr>
          <w:rFonts w:ascii="Palatino Linotype" w:hAnsi="Palatino Linotype"/>
          <w:i/>
        </w:rPr>
        <w:t xml:space="preserve"> El o la titular de la Tesorería, tiene las atribuciones siguientes:</w:t>
      </w:r>
    </w:p>
    <w:p w:rsidR="00711A45" w:rsidRPr="00A600F4" w:rsidRDefault="00711A45" w:rsidP="00711A45">
      <w:pPr>
        <w:spacing w:after="0" w:line="360" w:lineRule="auto"/>
        <w:ind w:left="1416"/>
        <w:jc w:val="both"/>
        <w:rPr>
          <w:rFonts w:ascii="Palatino Linotype" w:hAnsi="Palatino Linotype"/>
          <w:i/>
        </w:rPr>
      </w:pPr>
      <w:r w:rsidRPr="00A600F4">
        <w:rPr>
          <w:rFonts w:ascii="Palatino Linotype" w:hAnsi="Palatino Linotype"/>
          <w:i/>
        </w:rPr>
        <w:t xml:space="preserve">I. Proponer a la Titular del Ejecutivo Municipal las estrategias fiscales y de esfuerzo recaudatorio, de gasto público y </w:t>
      </w:r>
      <w:proofErr w:type="gramStart"/>
      <w:r w:rsidRPr="00A600F4">
        <w:rPr>
          <w:rFonts w:ascii="Palatino Linotype" w:hAnsi="Palatino Linotype"/>
          <w:i/>
        </w:rPr>
        <w:t>crediticia</w:t>
      </w:r>
      <w:proofErr w:type="gramEnd"/>
      <w:r w:rsidRPr="00A600F4">
        <w:rPr>
          <w:rFonts w:ascii="Palatino Linotype" w:hAnsi="Palatino Linotype"/>
          <w:i/>
        </w:rPr>
        <w:t xml:space="preserve"> del Municipio y llevar a cabo su aplicación, seguimiento y evaluación, en el ámbito de su competencia;</w:t>
      </w:r>
    </w:p>
    <w:p w:rsidR="00711A45" w:rsidRPr="00A600F4" w:rsidRDefault="00711A45" w:rsidP="00711A45">
      <w:pPr>
        <w:spacing w:after="0" w:line="360" w:lineRule="auto"/>
        <w:ind w:left="1416"/>
        <w:jc w:val="both"/>
        <w:rPr>
          <w:rFonts w:ascii="Palatino Linotype" w:hAnsi="Palatino Linotype"/>
          <w:i/>
        </w:rPr>
      </w:pPr>
      <w:r w:rsidRPr="00A600F4">
        <w:rPr>
          <w:rFonts w:ascii="Palatino Linotype" w:hAnsi="Palatino Linotype"/>
          <w:i/>
        </w:rPr>
        <w:t>…</w:t>
      </w:r>
    </w:p>
    <w:p w:rsidR="00711A45" w:rsidRPr="00A600F4" w:rsidRDefault="00711A45" w:rsidP="00711A45">
      <w:pPr>
        <w:spacing w:after="0" w:line="360" w:lineRule="auto"/>
        <w:ind w:left="1416"/>
        <w:jc w:val="both"/>
        <w:rPr>
          <w:rFonts w:ascii="Palatino Linotype" w:hAnsi="Palatino Linotype"/>
          <w:i/>
        </w:rPr>
      </w:pPr>
      <w:r w:rsidRPr="00A600F4">
        <w:rPr>
          <w:rFonts w:ascii="Palatino Linotype" w:hAnsi="Palatino Linotype"/>
          <w:i/>
        </w:rPr>
        <w:t>IV. Autorizar y verificar la suficiencia presupuestal para la celebración de contratos de obra pública, de adquisiciones de bienes o contratación de servicios, para programas que rebasen el año presupuestal;</w:t>
      </w:r>
    </w:p>
    <w:p w:rsidR="00711A45" w:rsidRPr="00A600F4" w:rsidRDefault="00711A45" w:rsidP="00711A45">
      <w:pPr>
        <w:spacing w:after="0" w:line="360" w:lineRule="auto"/>
        <w:ind w:left="1416"/>
        <w:jc w:val="both"/>
        <w:rPr>
          <w:rFonts w:ascii="Palatino Linotype" w:hAnsi="Palatino Linotype"/>
          <w:i/>
          <w:u w:val="single"/>
        </w:rPr>
      </w:pPr>
      <w:r w:rsidRPr="00A600F4">
        <w:rPr>
          <w:rFonts w:ascii="Palatino Linotype" w:hAnsi="Palatino Linotype"/>
          <w:i/>
          <w:u w:val="single"/>
        </w:rPr>
        <w:t>V. Someter a la autorización de la Titular del Ejecutivo Municipal, el anteproyecto de Presupuesto de Egresos del Ayuntamiento;</w:t>
      </w:r>
    </w:p>
    <w:p w:rsidR="00711A45" w:rsidRPr="00A600F4" w:rsidRDefault="00711A45" w:rsidP="00711A45">
      <w:pPr>
        <w:spacing w:after="0" w:line="360" w:lineRule="auto"/>
        <w:ind w:left="1416"/>
        <w:jc w:val="both"/>
        <w:rPr>
          <w:rFonts w:ascii="Palatino Linotype" w:hAnsi="Palatino Linotype"/>
          <w:i/>
        </w:rPr>
      </w:pPr>
    </w:p>
    <w:p w:rsidR="00711A45" w:rsidRPr="00A600F4" w:rsidRDefault="00711A45" w:rsidP="00711A45">
      <w:pPr>
        <w:spacing w:after="0" w:line="360" w:lineRule="auto"/>
        <w:ind w:left="708"/>
        <w:jc w:val="both"/>
        <w:rPr>
          <w:rFonts w:ascii="Palatino Linotype" w:hAnsi="Palatino Linotype"/>
          <w:i/>
        </w:rPr>
      </w:pPr>
      <w:r w:rsidRPr="00A600F4">
        <w:rPr>
          <w:rFonts w:ascii="Palatino Linotype" w:hAnsi="Palatino Linotype"/>
          <w:b/>
          <w:i/>
        </w:rPr>
        <w:lastRenderedPageBreak/>
        <w:t>Artículo 16</w:t>
      </w:r>
      <w:r w:rsidRPr="00A600F4">
        <w:rPr>
          <w:rFonts w:ascii="Palatino Linotype" w:hAnsi="Palatino Linotype"/>
          <w:i/>
        </w:rPr>
        <w:t>.- El o la titular de la Dirección General de Obras Públicas, Agua Potable, Drenaje y Saneamiento, tiene las atribuciones siguientes:</w:t>
      </w:r>
    </w:p>
    <w:p w:rsidR="00711A45" w:rsidRPr="00A600F4" w:rsidRDefault="00711A45" w:rsidP="00711A45">
      <w:pPr>
        <w:spacing w:after="0" w:line="360" w:lineRule="auto"/>
        <w:ind w:left="1416"/>
        <w:jc w:val="both"/>
      </w:pPr>
      <w:r w:rsidRPr="00A600F4">
        <w:rPr>
          <w:rFonts w:ascii="Palatino Linotype" w:hAnsi="Palatino Linotype"/>
          <w:i/>
        </w:rPr>
        <w:t>I. Elaborar y evaluar los programas anuales de obras públicas, de conformidad con los objetivos y lineamientos del Plan de Desarrollo Municipal y los que se deriven del Plan Nacional de Desarrollo</w:t>
      </w:r>
      <w:r w:rsidRPr="00A600F4">
        <w:t xml:space="preserve"> </w:t>
      </w:r>
    </w:p>
    <w:p w:rsidR="00711A45" w:rsidRPr="00A600F4" w:rsidRDefault="00711A45" w:rsidP="00711A45">
      <w:pPr>
        <w:spacing w:after="0" w:line="360" w:lineRule="auto"/>
        <w:ind w:left="1416"/>
        <w:jc w:val="both"/>
        <w:rPr>
          <w:rFonts w:ascii="Palatino Linotype" w:hAnsi="Palatino Linotype"/>
          <w:i/>
        </w:rPr>
      </w:pPr>
      <w:r w:rsidRPr="00A600F4">
        <w:rPr>
          <w:rFonts w:ascii="Palatino Linotype" w:hAnsi="Palatino Linotype"/>
          <w:i/>
        </w:rPr>
        <w:t>II. Proyectar las obras públicas y servicios relacionados, que realice el Municipio, incluyendo la conservación y mantenimiento de edificios, monumentos, calles, parques y jardines;</w:t>
      </w:r>
    </w:p>
    <w:p w:rsidR="00711A45" w:rsidRPr="00A600F4" w:rsidRDefault="00711A45" w:rsidP="00711A45">
      <w:pPr>
        <w:spacing w:after="0" w:line="360" w:lineRule="auto"/>
        <w:ind w:left="1416"/>
        <w:jc w:val="both"/>
        <w:rPr>
          <w:rFonts w:ascii="Palatino Linotype" w:hAnsi="Palatino Linotype"/>
          <w:i/>
        </w:rPr>
      </w:pPr>
    </w:p>
    <w:p w:rsidR="00982BFF" w:rsidRPr="00A600F4" w:rsidRDefault="00982BFF" w:rsidP="00982BFF">
      <w:pPr>
        <w:spacing w:line="360" w:lineRule="auto"/>
        <w:ind w:right="39"/>
        <w:jc w:val="both"/>
        <w:rPr>
          <w:rFonts w:ascii="Palatino Linotype" w:hAnsi="Palatino Linotype" w:cs="Arial"/>
          <w:sz w:val="24"/>
          <w:szCs w:val="24"/>
        </w:rPr>
      </w:pPr>
      <w:r w:rsidRPr="00A600F4">
        <w:rPr>
          <w:rFonts w:ascii="Palatino Linotype" w:hAnsi="Palatino Linotype" w:cs="Arial"/>
          <w:sz w:val="24"/>
          <w:szCs w:val="24"/>
        </w:rPr>
        <w:t xml:space="preserve">De lo anterior, este Instituto advierte que conforme los artículos 31 fracción XIX, 99 y 100 de la Ley Orgánica Municipal del Estado de México los ayuntamientos deberán aprobar anualmente su presupuesto de egresos el cual </w:t>
      </w:r>
      <w:r w:rsidRPr="00A600F4">
        <w:rPr>
          <w:rFonts w:ascii="Palatino Linotype" w:hAnsi="Palatino Linotype"/>
          <w:sz w:val="24"/>
          <w:szCs w:val="24"/>
        </w:rPr>
        <w:t>deberá contener las previsiones de gasto público que habrán de realizar los municipios</w:t>
      </w:r>
      <w:r w:rsidRPr="00A600F4">
        <w:rPr>
          <w:rFonts w:ascii="Palatino Linotype" w:hAnsi="Palatino Linotype" w:cs="Arial"/>
          <w:sz w:val="24"/>
          <w:szCs w:val="24"/>
        </w:rPr>
        <w:t>, conforme lo siguiente;</w:t>
      </w:r>
    </w:p>
    <w:p w:rsidR="00982BFF" w:rsidRPr="00A600F4" w:rsidRDefault="00982BFF" w:rsidP="00982BFF">
      <w:pPr>
        <w:spacing w:line="360" w:lineRule="auto"/>
        <w:ind w:right="39" w:firstLine="708"/>
        <w:jc w:val="both"/>
        <w:rPr>
          <w:rFonts w:ascii="Palatino Linotype" w:hAnsi="Palatino Linotype"/>
          <w:i/>
        </w:rPr>
      </w:pPr>
      <w:r w:rsidRPr="00A600F4">
        <w:rPr>
          <w:rFonts w:ascii="Palatino Linotype" w:hAnsi="Palatino Linotype"/>
          <w:b/>
          <w:i/>
        </w:rPr>
        <w:t>Artículo 31.- Son atribuciones de los ayuntamientos</w:t>
      </w:r>
      <w:r w:rsidRPr="00A600F4">
        <w:rPr>
          <w:rFonts w:ascii="Palatino Linotype" w:hAnsi="Palatino Linotype"/>
          <w:i/>
        </w:rPr>
        <w:t>:</w:t>
      </w:r>
    </w:p>
    <w:p w:rsidR="00982BFF" w:rsidRPr="00A600F4" w:rsidRDefault="00982BFF" w:rsidP="00982BFF">
      <w:pPr>
        <w:spacing w:line="360" w:lineRule="auto"/>
        <w:ind w:right="39" w:firstLine="708"/>
        <w:jc w:val="both"/>
        <w:rPr>
          <w:rFonts w:ascii="Palatino Linotype" w:hAnsi="Palatino Linotype" w:cs="Arial"/>
          <w:i/>
          <w:sz w:val="24"/>
          <w:szCs w:val="24"/>
        </w:rPr>
      </w:pPr>
      <w:r w:rsidRPr="00A600F4">
        <w:rPr>
          <w:rFonts w:ascii="Palatino Linotype" w:hAnsi="Palatino Linotype"/>
          <w:i/>
        </w:rPr>
        <w:t>….</w:t>
      </w:r>
    </w:p>
    <w:p w:rsidR="00982BFF" w:rsidRPr="00A600F4" w:rsidRDefault="00982BFF" w:rsidP="00982BFF">
      <w:pPr>
        <w:spacing w:line="360" w:lineRule="auto"/>
        <w:ind w:left="708" w:right="39"/>
        <w:jc w:val="both"/>
        <w:rPr>
          <w:rFonts w:ascii="Palatino Linotype" w:hAnsi="Palatino Linotype"/>
          <w:i/>
        </w:rPr>
      </w:pPr>
      <w:r w:rsidRPr="00A600F4">
        <w:rPr>
          <w:rFonts w:ascii="Palatino Linotype" w:hAnsi="Palatino Linotype"/>
          <w:b/>
          <w:i/>
        </w:rPr>
        <w:t>XIX.</w:t>
      </w:r>
      <w:r w:rsidRPr="00A600F4">
        <w:rPr>
          <w:rFonts w:ascii="Palatino Linotype" w:hAnsi="Palatino Linotype"/>
          <w:i/>
        </w:rPr>
        <w:t xml:space="preserve"> Aprobar anualmente a más tardar el 20 de diciembre, su Presupuesto de Egresos,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 </w:t>
      </w:r>
    </w:p>
    <w:p w:rsidR="00982BFF" w:rsidRPr="00A600F4" w:rsidRDefault="00982BFF" w:rsidP="00982BFF">
      <w:pPr>
        <w:spacing w:line="360" w:lineRule="auto"/>
        <w:ind w:left="708" w:right="39"/>
        <w:jc w:val="both"/>
        <w:rPr>
          <w:rFonts w:ascii="Palatino Linotype" w:hAnsi="Palatino Linotype"/>
          <w:i/>
        </w:rPr>
      </w:pPr>
      <w:r w:rsidRPr="00A600F4">
        <w:rPr>
          <w:rFonts w:ascii="Palatino Linotype" w:hAnsi="Palatino Linotype"/>
          <w:i/>
        </w:rPr>
        <w:t>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w:t>
      </w:r>
    </w:p>
    <w:p w:rsidR="00982BFF" w:rsidRPr="00A600F4" w:rsidRDefault="00982BFF" w:rsidP="00982BFF">
      <w:pPr>
        <w:spacing w:line="360" w:lineRule="auto"/>
        <w:ind w:left="708" w:right="39"/>
        <w:jc w:val="both"/>
        <w:rPr>
          <w:rFonts w:ascii="Palatino Linotype" w:hAnsi="Palatino Linotype"/>
          <w:i/>
        </w:rPr>
      </w:pPr>
      <w:r w:rsidRPr="00A600F4">
        <w:rPr>
          <w:rFonts w:ascii="Palatino Linotype" w:hAnsi="Palatino Linotype"/>
          <w:b/>
          <w:i/>
        </w:rPr>
        <w:lastRenderedPageBreak/>
        <w:t>Artículo 99</w:t>
      </w:r>
      <w:r w:rsidRPr="00A600F4">
        <w:rPr>
          <w:rFonts w:ascii="Palatino Linotype" w:hAnsi="Palatino Linotype"/>
          <w:i/>
        </w:rPr>
        <w:t>.- El presidente municipal presentará anualmente al ayuntamiento a más tardar el 20 de diciembre, el proyecto de presupuesto de egresos, para su consideración y aprobación.</w:t>
      </w:r>
    </w:p>
    <w:p w:rsidR="00982BFF" w:rsidRPr="00A600F4" w:rsidRDefault="00982BFF" w:rsidP="00982BFF">
      <w:pPr>
        <w:spacing w:line="360" w:lineRule="auto"/>
        <w:ind w:left="708" w:right="39"/>
        <w:jc w:val="both"/>
        <w:rPr>
          <w:rFonts w:ascii="Palatino Linotype" w:hAnsi="Palatino Linotype"/>
          <w:i/>
        </w:rPr>
      </w:pPr>
      <w:r w:rsidRPr="00A600F4">
        <w:rPr>
          <w:rFonts w:ascii="Palatino Linotype" w:hAnsi="Palatino Linotype"/>
          <w:b/>
          <w:i/>
        </w:rPr>
        <w:t>Artículo 100.-</w:t>
      </w:r>
      <w:r w:rsidRPr="00A600F4">
        <w:rPr>
          <w:rFonts w:ascii="Palatino Linotype" w:hAnsi="Palatino Linotype"/>
          <w:i/>
        </w:rPr>
        <w:t xml:space="preserve"> El presupuesto de egresos deberá contener las previsiones de gasto público que habrán de realizar los municipios.</w:t>
      </w:r>
    </w:p>
    <w:p w:rsidR="00982BFF" w:rsidRPr="00A600F4" w:rsidRDefault="00982BFF" w:rsidP="00982BFF">
      <w:pPr>
        <w:spacing w:line="360" w:lineRule="auto"/>
        <w:ind w:right="39"/>
        <w:jc w:val="both"/>
        <w:rPr>
          <w:rFonts w:ascii="Palatino Linotype" w:hAnsi="Palatino Linotype" w:cstheme="minorHAnsi"/>
          <w:sz w:val="24"/>
          <w:szCs w:val="24"/>
        </w:rPr>
      </w:pPr>
      <w:r w:rsidRPr="00A600F4">
        <w:rPr>
          <w:rFonts w:ascii="Palatino Linotype" w:hAnsi="Palatino Linotype" w:cstheme="minorHAnsi"/>
          <w:sz w:val="24"/>
          <w:szCs w:val="24"/>
        </w:rPr>
        <w:t>Conforme lo establecido por el artículo 285 del Código Financiero del Estado de México y Municipios, el Presupuesto de Egresos Municipal el presupuesto se conceptualiza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(PDM), durante el ejercicio fiscal correspondiente, por lo que resulta de interés establecer las funciones del presupuesto;</w:t>
      </w:r>
    </w:p>
    <w:p w:rsidR="00982BFF" w:rsidRPr="00A600F4" w:rsidRDefault="00982BFF" w:rsidP="00982BFF">
      <w:pPr>
        <w:pStyle w:val="Prrafodelista"/>
        <w:numPr>
          <w:ilvl w:val="0"/>
          <w:numId w:val="9"/>
        </w:numPr>
        <w:spacing w:line="360" w:lineRule="auto"/>
        <w:ind w:right="39"/>
        <w:jc w:val="both"/>
        <w:rPr>
          <w:rFonts w:ascii="Palatino Linotype" w:hAnsi="Palatino Linotype"/>
          <w:i/>
        </w:rPr>
      </w:pPr>
      <w:r w:rsidRPr="00A600F4">
        <w:rPr>
          <w:rFonts w:ascii="Palatino Linotype" w:hAnsi="Palatino Linotype"/>
          <w:b/>
          <w:i/>
        </w:rPr>
        <w:t>Organización para la asignación de recursos</w:t>
      </w:r>
      <w:r w:rsidRPr="00A600F4">
        <w:rPr>
          <w:rFonts w:ascii="Palatino Linotype" w:hAnsi="Palatino Linotype"/>
          <w:i/>
        </w:rPr>
        <w:t xml:space="preserve">: Tarea donde se identifican las estructuras programáticas, administrativas y del gasto para la orientación, asignación y ejercicio del recurso. </w:t>
      </w:r>
    </w:p>
    <w:p w:rsidR="00982BFF" w:rsidRPr="00A600F4" w:rsidRDefault="00982BFF" w:rsidP="00982BFF">
      <w:pPr>
        <w:pStyle w:val="Prrafodelista"/>
        <w:spacing w:line="360" w:lineRule="auto"/>
        <w:ind w:left="1068" w:right="39"/>
        <w:jc w:val="both"/>
        <w:rPr>
          <w:rFonts w:ascii="Palatino Linotype" w:hAnsi="Palatino Linotype"/>
          <w:i/>
        </w:rPr>
      </w:pPr>
    </w:p>
    <w:p w:rsidR="00982BFF" w:rsidRPr="00A600F4" w:rsidRDefault="00982BFF" w:rsidP="00982BFF">
      <w:pPr>
        <w:pStyle w:val="Prrafodelista"/>
        <w:numPr>
          <w:ilvl w:val="0"/>
          <w:numId w:val="9"/>
        </w:numPr>
        <w:spacing w:line="360" w:lineRule="auto"/>
        <w:ind w:right="39"/>
        <w:jc w:val="both"/>
        <w:rPr>
          <w:rFonts w:ascii="Palatino Linotype" w:hAnsi="Palatino Linotype"/>
          <w:i/>
        </w:rPr>
      </w:pPr>
      <w:r w:rsidRPr="00A600F4">
        <w:rPr>
          <w:rFonts w:ascii="Palatino Linotype" w:hAnsi="Palatino Linotype"/>
          <w:b/>
          <w:i/>
        </w:rPr>
        <w:t>Control de los recursos disponibles:</w:t>
      </w:r>
      <w:r w:rsidRPr="00A600F4">
        <w:rPr>
          <w:rFonts w:ascii="Palatino Linotype" w:hAnsi="Palatino Linotype"/>
          <w:i/>
        </w:rPr>
        <w:t xml:space="preserve"> Es el proceso de seguimiento que ayuda a identificar lo que se está haciendo, al comparar los resultados de los datos programados con los presupuestados correspondientes, así como verificar los logros para en su caso reconducir las metas. </w:t>
      </w:r>
    </w:p>
    <w:p w:rsidR="00982BFF" w:rsidRPr="00A600F4" w:rsidRDefault="00982BFF" w:rsidP="00982BFF">
      <w:pPr>
        <w:pStyle w:val="Prrafodelista"/>
        <w:rPr>
          <w:rFonts w:ascii="Palatino Linotype" w:hAnsi="Palatino Linotype"/>
          <w:b/>
          <w:i/>
        </w:rPr>
      </w:pPr>
    </w:p>
    <w:p w:rsidR="00982BFF" w:rsidRPr="00A600F4" w:rsidRDefault="00982BFF" w:rsidP="00982BFF">
      <w:pPr>
        <w:pStyle w:val="Prrafodelista"/>
        <w:numPr>
          <w:ilvl w:val="0"/>
          <w:numId w:val="9"/>
        </w:numPr>
        <w:spacing w:line="360" w:lineRule="auto"/>
        <w:ind w:right="39"/>
        <w:jc w:val="both"/>
        <w:rPr>
          <w:rFonts w:ascii="Palatino Linotype" w:hAnsi="Palatino Linotype"/>
          <w:i/>
        </w:rPr>
      </w:pPr>
      <w:r w:rsidRPr="00A600F4">
        <w:rPr>
          <w:rFonts w:ascii="Palatino Linotype" w:hAnsi="Palatino Linotype"/>
          <w:b/>
          <w:i/>
        </w:rPr>
        <w:t xml:space="preserve"> Promueve la disciplina financiera:</w:t>
      </w:r>
      <w:r w:rsidRPr="00A600F4">
        <w:rPr>
          <w:rFonts w:ascii="Palatino Linotype" w:hAnsi="Palatino Linotype"/>
          <w:i/>
        </w:rPr>
        <w:t xml:space="preserve"> El presupuesto se elabora para hacer eficaz el sistema de ejecución y la forma de organización de los recursos disponibles, a fin de alcanzar un equilibrio entre lo autorizado y lo ejercido, y minimizar el riesgo de generar un balance </w:t>
      </w:r>
      <w:r w:rsidRPr="00A600F4">
        <w:rPr>
          <w:rFonts w:ascii="Palatino Linotype" w:hAnsi="Palatino Linotype"/>
          <w:i/>
        </w:rPr>
        <w:lastRenderedPageBreak/>
        <w:t>presupuestario de recursos disponibles negativo en las operaciones de las Dependencias y Entidades públicas Municipales.</w:t>
      </w:r>
    </w:p>
    <w:p w:rsidR="00982BFF" w:rsidRPr="00A600F4" w:rsidRDefault="00982BFF" w:rsidP="00982BFF">
      <w:pPr>
        <w:spacing w:line="360" w:lineRule="auto"/>
        <w:ind w:right="39"/>
        <w:jc w:val="both"/>
        <w:rPr>
          <w:rFonts w:ascii="Palatino Linotype" w:hAnsi="Palatino Linotype" w:cs="Arial"/>
          <w:sz w:val="24"/>
          <w:szCs w:val="24"/>
        </w:rPr>
      </w:pPr>
    </w:p>
    <w:p w:rsidR="00982BFF" w:rsidRPr="00A600F4" w:rsidRDefault="00982BFF" w:rsidP="00982BFF">
      <w:pPr>
        <w:spacing w:line="360" w:lineRule="auto"/>
        <w:ind w:right="39"/>
        <w:jc w:val="both"/>
        <w:rPr>
          <w:rFonts w:ascii="Palatino Linotype" w:hAnsi="Palatino Linotype"/>
          <w:sz w:val="24"/>
          <w:szCs w:val="24"/>
        </w:rPr>
      </w:pPr>
      <w:r w:rsidRPr="00A600F4">
        <w:rPr>
          <w:rFonts w:ascii="Palatino Linotype" w:hAnsi="Palatino Linotype" w:cs="Arial"/>
          <w:sz w:val="24"/>
          <w:szCs w:val="24"/>
        </w:rPr>
        <w:t>Ahora bien el Ma</w:t>
      </w:r>
      <w:r w:rsidRPr="00A600F4">
        <w:rPr>
          <w:rFonts w:ascii="Palatino Linotype" w:hAnsi="Palatino Linotype"/>
          <w:sz w:val="24"/>
          <w:szCs w:val="24"/>
        </w:rPr>
        <w:t>nual para la Planeación, Programación y Presupuesto de Egresos Municipal para el Ejercicio Fiscal 2025</w:t>
      </w:r>
      <w:r w:rsidRPr="00A600F4">
        <w:rPr>
          <w:rFonts w:ascii="Palatino Linotype" w:hAnsi="Palatino Linotype" w:cs="Arial"/>
          <w:sz w:val="24"/>
          <w:szCs w:val="24"/>
        </w:rPr>
        <w:t xml:space="preserve"> establece que l</w:t>
      </w:r>
      <w:r w:rsidRPr="00A600F4">
        <w:rPr>
          <w:rFonts w:ascii="Palatino Linotype" w:hAnsi="Palatino Linotype"/>
          <w:sz w:val="24"/>
          <w:szCs w:val="24"/>
        </w:rPr>
        <w:t>as administraciones municipales deben adoptar el modelo de cultura organizacional, directiva y de gestión que pone énfasis en los resultados, lo que propicia que las políticas públicas se orienten hacia el cumplimiento de los objetivos planteados, para otorgar a la población respuesta a sus necesidades o demandas presentes y futuras, aplicando los conceptos básicos de la Gestión para Resultados (</w:t>
      </w:r>
      <w:proofErr w:type="spellStart"/>
      <w:r w:rsidRPr="00A600F4">
        <w:rPr>
          <w:rFonts w:ascii="Palatino Linotype" w:hAnsi="Palatino Linotype"/>
          <w:sz w:val="24"/>
          <w:szCs w:val="24"/>
        </w:rPr>
        <w:t>GpR</w:t>
      </w:r>
      <w:proofErr w:type="spellEnd"/>
      <w:r w:rsidRPr="00A600F4">
        <w:rPr>
          <w:rFonts w:ascii="Palatino Linotype" w:hAnsi="Palatino Linotype"/>
          <w:sz w:val="24"/>
          <w:szCs w:val="24"/>
        </w:rPr>
        <w:t>), permitiendo la redistribución de los recursos de manera socialmente responsable.</w:t>
      </w:r>
    </w:p>
    <w:p w:rsidR="00982BFF" w:rsidRPr="00A600F4" w:rsidRDefault="00982BFF" w:rsidP="00982BFF">
      <w:pPr>
        <w:spacing w:line="360" w:lineRule="auto"/>
        <w:ind w:right="39"/>
        <w:jc w:val="both"/>
        <w:rPr>
          <w:rFonts w:ascii="Palatino Linotype" w:hAnsi="Palatino Linotype"/>
          <w:sz w:val="24"/>
          <w:szCs w:val="24"/>
        </w:rPr>
      </w:pPr>
    </w:p>
    <w:p w:rsidR="00982BFF" w:rsidRPr="00A600F4" w:rsidRDefault="00982BFF" w:rsidP="00982BFF">
      <w:pPr>
        <w:spacing w:line="360" w:lineRule="auto"/>
        <w:ind w:right="39"/>
        <w:jc w:val="both"/>
        <w:rPr>
          <w:rFonts w:ascii="Palatino Linotype" w:hAnsi="Palatino Linotype"/>
          <w:sz w:val="24"/>
          <w:szCs w:val="24"/>
        </w:rPr>
      </w:pPr>
      <w:r w:rsidRPr="00A600F4">
        <w:rPr>
          <w:rFonts w:ascii="Palatino Linotype" w:hAnsi="Palatino Linotype" w:cs="Arial"/>
          <w:sz w:val="24"/>
          <w:szCs w:val="24"/>
        </w:rPr>
        <w:t>Por lo que el Ma</w:t>
      </w:r>
      <w:r w:rsidRPr="00A600F4">
        <w:rPr>
          <w:rFonts w:ascii="Palatino Linotype" w:hAnsi="Palatino Linotype"/>
          <w:sz w:val="24"/>
          <w:szCs w:val="24"/>
        </w:rPr>
        <w:t xml:space="preserve">nual para la Planeación, Programación y Presupuesto de Egresos Municipal para el Ejercicio Fiscal 2025 establece el proceso metodológico de la integración, ejecución y evaluación del presupuesto, siendo el siguiente; </w:t>
      </w:r>
    </w:p>
    <w:p w:rsidR="00982BFF" w:rsidRPr="00A600F4" w:rsidRDefault="00982BFF" w:rsidP="00982BFF">
      <w:pPr>
        <w:spacing w:line="360" w:lineRule="auto"/>
        <w:ind w:left="708" w:right="39"/>
        <w:jc w:val="both"/>
        <w:rPr>
          <w:rFonts w:ascii="Palatino Linotype" w:hAnsi="Palatino Linotype"/>
          <w:i/>
        </w:rPr>
      </w:pPr>
      <w:r w:rsidRPr="00A600F4">
        <w:rPr>
          <w:rFonts w:ascii="Palatino Linotype" w:hAnsi="Palatino Linotype"/>
          <w:i/>
        </w:rPr>
        <w:t>1. La Tesorería y la UIPPE serán, en el ámbito de sus competencias, los responsables de coordinar los trabajos del anteproyecto de las Dependencias Generales, Auxiliares y Organismos Municipales, para posteriormente integrar el Proyecto de Presupuesto de Egresos Municipal, que el Presidente Municipal presentará para análisis, discusión y eventual aprobación por parte del Cabildo. Es importante mencionar que en caso de no existir UIPPE, los servidores públicos serán los responsables de realizar dichas funciones.</w:t>
      </w:r>
    </w:p>
    <w:p w:rsidR="00982BFF" w:rsidRPr="00A600F4" w:rsidRDefault="00982BFF" w:rsidP="00982BFF">
      <w:pPr>
        <w:spacing w:line="360" w:lineRule="auto"/>
        <w:ind w:left="708" w:right="39"/>
        <w:jc w:val="both"/>
        <w:rPr>
          <w:rFonts w:ascii="Palatino Linotype" w:hAnsi="Palatino Linotype"/>
          <w:i/>
        </w:rPr>
      </w:pPr>
      <w:r w:rsidRPr="00A600F4">
        <w:rPr>
          <w:rFonts w:ascii="Palatino Linotype" w:hAnsi="Palatino Linotype"/>
          <w:i/>
        </w:rPr>
        <w:t xml:space="preserve"> 2. Las Dependencias Generales, Auxiliares y Organismos Municipales o similares, deben integrar y presentar a la UIPPE y Tesorería sus respectivos anteproyectos de acuerdo con el </w:t>
      </w:r>
      <w:r w:rsidRPr="00A600F4">
        <w:rPr>
          <w:rFonts w:ascii="Palatino Linotype" w:hAnsi="Palatino Linotype"/>
          <w:i/>
        </w:rPr>
        <w:lastRenderedPageBreak/>
        <w:t xml:space="preserve">presente manual, identificando la congruencia con el PDM vigente y la asignación de los recursos públicos, que deberán ser presupuestados observando las disposiciones de disciplina financiera y un enfoque para resultados. En la integración del anteproyecto, proyecto y eventualmente el Presupuesto de Egresos Municipal, se deberán observar en lo conducente las leyes y reglamentaciones establecidas sobre la igualdad entre mujeres y hombres, la atención de niños, niñas y adolescentes, el desarrollo integral de los pueblos y comunidades indígenas, el desarrollo de los jóvenes, la atención a grupos vulnerables y para la protección al ambiente, así como los catálogos que en este manual se anexan, a fin de cumplir con la presentación del Presupuesto de Egresos en su clasificación funcional, administrativa y económica homologada para todos los gobiernos municipales de la Entidad. </w:t>
      </w:r>
    </w:p>
    <w:p w:rsidR="00982BFF" w:rsidRPr="00A600F4" w:rsidRDefault="00982BFF" w:rsidP="00982BFF">
      <w:pPr>
        <w:spacing w:line="360" w:lineRule="auto"/>
        <w:ind w:left="708" w:right="39"/>
        <w:jc w:val="both"/>
        <w:rPr>
          <w:rFonts w:ascii="Palatino Linotype" w:hAnsi="Palatino Linotype"/>
          <w:i/>
        </w:rPr>
      </w:pPr>
      <w:r w:rsidRPr="00A600F4">
        <w:rPr>
          <w:rFonts w:ascii="Palatino Linotype" w:hAnsi="Palatino Linotype"/>
          <w:i/>
        </w:rPr>
        <w:t xml:space="preserve">3. El Proyecto de Presupuesto considerado como herramienta de programación anual, deberá contener sus respectivos objetivos, metas de actividad e indicadores, mismos que deberán vincularse al Plan de Desarrollo Municipal correspondiente. </w:t>
      </w:r>
    </w:p>
    <w:p w:rsidR="00982BFF" w:rsidRPr="00A600F4" w:rsidRDefault="00982BFF" w:rsidP="00982BFF">
      <w:pPr>
        <w:spacing w:line="360" w:lineRule="auto"/>
        <w:ind w:left="708" w:right="39"/>
        <w:jc w:val="both"/>
        <w:rPr>
          <w:rFonts w:ascii="Palatino Linotype" w:hAnsi="Palatino Linotype"/>
          <w:i/>
        </w:rPr>
      </w:pPr>
      <w:r w:rsidRPr="00A600F4">
        <w:rPr>
          <w:rFonts w:ascii="Palatino Linotype" w:hAnsi="Palatino Linotype"/>
          <w:i/>
        </w:rPr>
        <w:t xml:space="preserve">4. Las Dependencias Generales, Auxiliares y Organismos formularán su Anteproyecto de Presupuesto de Egresos con estricto apego al marco jurídico y normativo aplicable, ajustándose al techo presupuestario que la Tesorería comunique, aplicando criterios de racionalidad para la programación de recursos a cada proyecto, de acuerdo al catálogo de la estructura programática municipal, capítulo y partida del gasto, a fin de que les permita desarrollar y cumplir los procesos sustantivos y prioritarios comprometidos en el Programa Anual. </w:t>
      </w:r>
    </w:p>
    <w:p w:rsidR="00982BFF" w:rsidRPr="00A600F4" w:rsidRDefault="00982BFF" w:rsidP="00982BFF">
      <w:pPr>
        <w:spacing w:line="360" w:lineRule="auto"/>
        <w:ind w:left="708" w:right="39"/>
        <w:jc w:val="both"/>
        <w:rPr>
          <w:rFonts w:ascii="Palatino Linotype" w:hAnsi="Palatino Linotype"/>
          <w:i/>
        </w:rPr>
      </w:pPr>
      <w:r w:rsidRPr="00A600F4">
        <w:rPr>
          <w:rFonts w:ascii="Palatino Linotype" w:hAnsi="Palatino Linotype"/>
          <w:i/>
        </w:rPr>
        <w:t>5. Los municipios deberán reducir los gastos sin afectar el desarrollo de las actividades prioritarias, manteniendo la calidad y suficiencia en los bienes y servicios entregables, sin menoscabo de los objetivos definidos por la Administración Pública Municipal.</w:t>
      </w:r>
    </w:p>
    <w:p w:rsidR="00982BFF" w:rsidRPr="00A600F4" w:rsidRDefault="00982BFF" w:rsidP="00982BFF">
      <w:pPr>
        <w:spacing w:line="360" w:lineRule="auto"/>
        <w:ind w:left="708" w:right="39"/>
        <w:jc w:val="both"/>
        <w:rPr>
          <w:rFonts w:ascii="Palatino Linotype" w:hAnsi="Palatino Linotype"/>
          <w:i/>
        </w:rPr>
      </w:pPr>
      <w:r w:rsidRPr="00A600F4">
        <w:rPr>
          <w:rFonts w:ascii="Palatino Linotype" w:hAnsi="Palatino Linotype"/>
          <w:i/>
        </w:rPr>
        <w:t xml:space="preserve"> 6. Analizarán cada Proyecto presupuestario (</w:t>
      </w:r>
      <w:proofErr w:type="spellStart"/>
      <w:r w:rsidRPr="00A600F4">
        <w:rPr>
          <w:rFonts w:ascii="Palatino Linotype" w:hAnsi="Palatino Linotype"/>
          <w:i/>
        </w:rPr>
        <w:t>Py</w:t>
      </w:r>
      <w:proofErr w:type="spellEnd"/>
      <w:r w:rsidRPr="00A600F4">
        <w:rPr>
          <w:rFonts w:ascii="Palatino Linotype" w:hAnsi="Palatino Linotype"/>
          <w:i/>
        </w:rPr>
        <w:t xml:space="preserve">), a fin de identificar las actividades o procesos duplicados y su relevancia en la generación de valor público, así como aquellos que resulten complementarios a otros procesos, con el propósito de fusionarlos, modificarlos o eliminarlos. </w:t>
      </w:r>
    </w:p>
    <w:p w:rsidR="00982BFF" w:rsidRPr="00A600F4" w:rsidRDefault="00982BFF" w:rsidP="00982BFF">
      <w:pPr>
        <w:spacing w:line="360" w:lineRule="auto"/>
        <w:ind w:left="708" w:right="39"/>
        <w:jc w:val="both"/>
        <w:rPr>
          <w:rFonts w:ascii="Palatino Linotype" w:hAnsi="Palatino Linotype"/>
          <w:i/>
        </w:rPr>
      </w:pPr>
      <w:r w:rsidRPr="00A600F4">
        <w:rPr>
          <w:rFonts w:ascii="Palatino Linotype" w:hAnsi="Palatino Linotype"/>
          <w:i/>
        </w:rPr>
        <w:lastRenderedPageBreak/>
        <w:t>7. Se deberá analizar la estructura administrativa de la Administración Pública Municipal, con el objeto de evitar duplicidad de funciones, simplificarla e integrar aquellas estructuras que desarrollen actividades complementarias.</w:t>
      </w:r>
    </w:p>
    <w:p w:rsidR="00982BFF" w:rsidRPr="00A600F4" w:rsidRDefault="00982BFF" w:rsidP="00982BFF">
      <w:pPr>
        <w:spacing w:line="360" w:lineRule="auto"/>
        <w:ind w:left="708" w:right="39"/>
        <w:jc w:val="both"/>
        <w:rPr>
          <w:rFonts w:ascii="Palatino Linotype" w:hAnsi="Palatino Linotype"/>
          <w:i/>
        </w:rPr>
      </w:pPr>
      <w:r w:rsidRPr="00A600F4">
        <w:rPr>
          <w:rFonts w:ascii="Palatino Linotype" w:hAnsi="Palatino Linotype"/>
          <w:i/>
        </w:rPr>
        <w:t xml:space="preserve"> 8. El análisis de costos o costeo se elaborará con base en los techos financieros que la Tesorería comunique a las Dependencias y Organismos municipales, y por lo menos deberá aplicarse el sistema de prorrateo aquí recomendado. </w:t>
      </w:r>
    </w:p>
    <w:p w:rsidR="00982BFF" w:rsidRPr="00A600F4" w:rsidRDefault="00982BFF" w:rsidP="00982BFF">
      <w:pPr>
        <w:spacing w:line="360" w:lineRule="auto"/>
        <w:ind w:left="708" w:right="39"/>
        <w:jc w:val="both"/>
        <w:rPr>
          <w:rFonts w:ascii="Palatino Linotype" w:hAnsi="Palatino Linotype"/>
          <w:i/>
        </w:rPr>
      </w:pPr>
      <w:r w:rsidRPr="00A600F4">
        <w:rPr>
          <w:rFonts w:ascii="Palatino Linotype" w:hAnsi="Palatino Linotype"/>
          <w:i/>
        </w:rPr>
        <w:t xml:space="preserve">9. Para realizar el costeo se recomienda identificar los gastos directos e indirectos, además de dividir la asignación de los recursos en gasto corriente y gasto de inversión, así como generar una estrecha vinculación entre las acciones previstas a realizar y el costo que estas requieren, como son los servicios personales, los insumos o materiales, el gasto administrativo y pago de servicios. </w:t>
      </w:r>
    </w:p>
    <w:p w:rsidR="00982BFF" w:rsidRPr="00A600F4" w:rsidRDefault="00982BFF" w:rsidP="00982BFF">
      <w:pPr>
        <w:spacing w:line="360" w:lineRule="auto"/>
        <w:ind w:left="708" w:right="39"/>
        <w:jc w:val="both"/>
        <w:rPr>
          <w:rFonts w:ascii="Palatino Linotype" w:hAnsi="Palatino Linotype"/>
          <w:i/>
        </w:rPr>
      </w:pPr>
      <w:r w:rsidRPr="00A600F4">
        <w:rPr>
          <w:rFonts w:ascii="Palatino Linotype" w:hAnsi="Palatino Linotype"/>
          <w:i/>
        </w:rPr>
        <w:t xml:space="preserve">10. Para orientar el gasto es necesario elaborar una programación de acciones y priorizar los resultados, impacto o alcances a realizar en el territorio, la sociedad, el ambiente o la administración del Municipio, que se verán incluidos en el Programa Anual. </w:t>
      </w:r>
    </w:p>
    <w:p w:rsidR="00982BFF" w:rsidRPr="00A600F4" w:rsidRDefault="00982BFF" w:rsidP="00982BFF">
      <w:pPr>
        <w:spacing w:line="360" w:lineRule="auto"/>
        <w:ind w:left="708" w:right="39"/>
        <w:jc w:val="both"/>
        <w:rPr>
          <w:rFonts w:ascii="Palatino Linotype" w:hAnsi="Palatino Linotype"/>
          <w:i/>
        </w:rPr>
      </w:pPr>
      <w:r w:rsidRPr="00A600F4">
        <w:rPr>
          <w:rFonts w:ascii="Palatino Linotype" w:hAnsi="Palatino Linotype"/>
          <w:i/>
        </w:rPr>
        <w:t>11. Las Dependencias Generales y Auxiliares, en forma coordinada con la UIPPE o los servidores públicos responsables de cumplir con esas funciones, verificarán la elaboración y actualización de las fases de la Metodología del Marco Lógico para las Matrices de Indicadores para Resultados Tipo; estas matrices contienen</w:t>
      </w:r>
      <w:r w:rsidRPr="00A600F4">
        <w:rPr>
          <w:rFonts w:ascii="Palatino Linotype" w:hAnsi="Palatino Linotype"/>
          <w:i/>
          <w:sz w:val="24"/>
          <w:szCs w:val="24"/>
        </w:rPr>
        <w:t xml:space="preserve"> l</w:t>
      </w:r>
      <w:r w:rsidRPr="00A600F4">
        <w:rPr>
          <w:rFonts w:ascii="Palatino Linotype" w:hAnsi="Palatino Linotype"/>
          <w:i/>
        </w:rPr>
        <w:t xml:space="preserve">os indicadores estratégicos y de gestión, para el seguimiento y evaluación del desempeño de los Programas presupuestarios, de acuerdo a lo que se establece en la Metodología para la Construcción y Operación del Sistema de Evaluación de la Gestión Municipal (SEGEMUN) de este Manual. </w:t>
      </w:r>
    </w:p>
    <w:p w:rsidR="00982BFF" w:rsidRPr="00A600F4" w:rsidRDefault="00982BFF" w:rsidP="00982BFF">
      <w:pPr>
        <w:spacing w:line="360" w:lineRule="auto"/>
        <w:ind w:left="708" w:right="39"/>
        <w:jc w:val="both"/>
        <w:rPr>
          <w:rFonts w:ascii="Palatino Linotype" w:hAnsi="Palatino Linotype"/>
          <w:i/>
          <w:sz w:val="24"/>
          <w:szCs w:val="24"/>
        </w:rPr>
      </w:pPr>
      <w:r w:rsidRPr="00A600F4">
        <w:rPr>
          <w:rFonts w:ascii="Palatino Linotype" w:hAnsi="Palatino Linotype"/>
          <w:i/>
        </w:rPr>
        <w:t xml:space="preserve">12. Para el caso de que los resultados de la Evaluación de Diseño Programático a un </w:t>
      </w:r>
      <w:proofErr w:type="spellStart"/>
      <w:r w:rsidRPr="00A600F4">
        <w:rPr>
          <w:rFonts w:ascii="Palatino Linotype" w:hAnsi="Palatino Linotype"/>
          <w:i/>
        </w:rPr>
        <w:t>Pp</w:t>
      </w:r>
      <w:proofErr w:type="spellEnd"/>
      <w:r w:rsidRPr="00A600F4">
        <w:rPr>
          <w:rFonts w:ascii="Palatino Linotype" w:hAnsi="Palatino Linotype"/>
          <w:i/>
        </w:rPr>
        <w:t xml:space="preserve"> del PAE, reflejen que es necesario mejorar la MIR, es responsabilidad de la UIPPE o equivalente, informar oficialmente al Instituto Hacendario del Estado de México (IHAEM) y al OSFEM, </w:t>
      </w:r>
      <w:r w:rsidRPr="00A600F4">
        <w:rPr>
          <w:rFonts w:ascii="Palatino Linotype" w:hAnsi="Palatino Linotype"/>
          <w:i/>
        </w:rPr>
        <w:lastRenderedPageBreak/>
        <w:t xml:space="preserve">sobre la modificación que realizará a su MIR del </w:t>
      </w:r>
      <w:proofErr w:type="spellStart"/>
      <w:r w:rsidRPr="00A600F4">
        <w:rPr>
          <w:rFonts w:ascii="Palatino Linotype" w:hAnsi="Palatino Linotype"/>
          <w:i/>
        </w:rPr>
        <w:t>Pp</w:t>
      </w:r>
      <w:proofErr w:type="spellEnd"/>
      <w:r w:rsidRPr="00A600F4">
        <w:rPr>
          <w:rFonts w:ascii="Palatino Linotype" w:hAnsi="Palatino Linotype"/>
          <w:i/>
        </w:rPr>
        <w:t xml:space="preserve"> evaluado que corresponda, entendiendo que ésta nueva MIR sustituye y deja sin efectos únicamente a la MIR Tipo del Programa presupuestario en cuestión; asimismo, continuará reportando trimestralmente y al cierre del ejercicio en su Cuenta Pública, los resultados de los indicadores contenidos en la nueva MIR.</w:t>
      </w:r>
    </w:p>
    <w:p w:rsidR="00982BFF" w:rsidRPr="00A600F4" w:rsidRDefault="00982BFF" w:rsidP="00982BFF">
      <w:pPr>
        <w:spacing w:line="360" w:lineRule="auto"/>
        <w:ind w:left="708" w:right="39"/>
        <w:jc w:val="both"/>
        <w:rPr>
          <w:rFonts w:ascii="Palatino Linotype" w:hAnsi="Palatino Linotype"/>
          <w:i/>
        </w:rPr>
      </w:pPr>
      <w:r w:rsidRPr="00A600F4">
        <w:rPr>
          <w:rFonts w:ascii="Palatino Linotype" w:hAnsi="Palatino Linotype"/>
          <w:i/>
        </w:rPr>
        <w:t xml:space="preserve">13. En observancia a lo que establece la Ley de Disciplina Financiera de las Entidades Federativas y los Municipios (LDFEFM), las Dependencias y Organismos Municipales, deberán proporcionar a la Tesorería, toda la información financiera necesaria para estar en condiciones de realizar las proyecciones que estipula el artículo 18 del citado ordenamiento, para lo cual deberán hacer uso de los formatos emitidos por el CONAC disponibles para descarga en la liga: http://www.conac.gob.mx/es/CONAC/Criterios_LDF, asimismo, deberán prever la información relativa a: </w:t>
      </w:r>
    </w:p>
    <w:p w:rsidR="00982BFF" w:rsidRPr="00A600F4" w:rsidRDefault="00982BFF" w:rsidP="00982BFF">
      <w:pPr>
        <w:spacing w:line="360" w:lineRule="auto"/>
        <w:ind w:left="1416" w:right="39"/>
        <w:jc w:val="both"/>
        <w:rPr>
          <w:rFonts w:ascii="Palatino Linotype" w:hAnsi="Palatino Linotype"/>
          <w:i/>
        </w:rPr>
      </w:pPr>
      <w:r w:rsidRPr="00A600F4">
        <w:rPr>
          <w:rFonts w:ascii="Palatino Linotype" w:hAnsi="Palatino Linotype"/>
          <w:i/>
        </w:rPr>
        <w:t xml:space="preserve">• Proyecciones de finanzas públicas, considerando los Criterios Generales de Política Económica. </w:t>
      </w:r>
    </w:p>
    <w:p w:rsidR="00982BFF" w:rsidRPr="00A600F4" w:rsidRDefault="00982BFF" w:rsidP="00982BFF">
      <w:pPr>
        <w:spacing w:line="360" w:lineRule="auto"/>
        <w:ind w:left="1416" w:right="39"/>
        <w:jc w:val="both"/>
        <w:rPr>
          <w:rFonts w:ascii="Palatino Linotype" w:hAnsi="Palatino Linotype"/>
          <w:i/>
        </w:rPr>
      </w:pPr>
      <w:r w:rsidRPr="00A600F4">
        <w:rPr>
          <w:rFonts w:ascii="Palatino Linotype" w:hAnsi="Palatino Linotype"/>
          <w:i/>
        </w:rPr>
        <w:t xml:space="preserve">• Riesgos relevantes para sus finanzas públicas. </w:t>
      </w:r>
    </w:p>
    <w:p w:rsidR="00982BFF" w:rsidRPr="00A600F4" w:rsidRDefault="00982BFF" w:rsidP="00982BFF">
      <w:pPr>
        <w:spacing w:line="360" w:lineRule="auto"/>
        <w:ind w:left="1416" w:right="39"/>
        <w:jc w:val="both"/>
        <w:rPr>
          <w:rFonts w:ascii="Palatino Linotype" w:hAnsi="Palatino Linotype"/>
          <w:i/>
        </w:rPr>
      </w:pPr>
      <w:r w:rsidRPr="00A600F4">
        <w:rPr>
          <w:rFonts w:ascii="Palatino Linotype" w:hAnsi="Palatino Linotype"/>
          <w:i/>
        </w:rPr>
        <w:t xml:space="preserve">• El monto de deuda contingente y cursos de acción para enfrentarlos. </w:t>
      </w:r>
    </w:p>
    <w:p w:rsidR="00982BFF" w:rsidRPr="00A600F4" w:rsidRDefault="00982BFF" w:rsidP="00982BFF">
      <w:pPr>
        <w:spacing w:line="360" w:lineRule="auto"/>
        <w:ind w:left="1416" w:right="39"/>
        <w:jc w:val="both"/>
        <w:rPr>
          <w:rFonts w:ascii="Palatino Linotype" w:hAnsi="Palatino Linotype"/>
          <w:i/>
        </w:rPr>
      </w:pPr>
      <w:r w:rsidRPr="00A600F4">
        <w:rPr>
          <w:rFonts w:ascii="Palatino Linotype" w:hAnsi="Palatino Linotype"/>
          <w:i/>
        </w:rPr>
        <w:t xml:space="preserve">• Los resultados de las finanzas públicas de los últimos tres años. </w:t>
      </w:r>
    </w:p>
    <w:p w:rsidR="00E32F5A" w:rsidRPr="00A600F4" w:rsidRDefault="00E32F5A" w:rsidP="00982BFF">
      <w:pPr>
        <w:spacing w:line="360" w:lineRule="auto"/>
        <w:ind w:left="708" w:right="39"/>
        <w:jc w:val="both"/>
        <w:rPr>
          <w:rFonts w:ascii="Palatino Linotype" w:hAnsi="Palatino Linotype"/>
          <w:i/>
        </w:rPr>
      </w:pPr>
    </w:p>
    <w:p w:rsidR="00982BFF" w:rsidRPr="00A600F4" w:rsidRDefault="00982BFF" w:rsidP="00982BFF">
      <w:pPr>
        <w:spacing w:line="360" w:lineRule="auto"/>
        <w:ind w:left="708" w:right="39"/>
        <w:jc w:val="both"/>
        <w:rPr>
          <w:rFonts w:ascii="Palatino Linotype" w:hAnsi="Palatino Linotype"/>
          <w:i/>
        </w:rPr>
      </w:pPr>
      <w:r w:rsidRPr="00A600F4">
        <w:rPr>
          <w:rFonts w:ascii="Palatino Linotype" w:hAnsi="Palatino Linotype"/>
          <w:i/>
        </w:rPr>
        <w:t xml:space="preserve">14. Corresponderá a las Tesorerías, coordinarse con el </w:t>
      </w:r>
      <w:proofErr w:type="spellStart"/>
      <w:r w:rsidRPr="00A600F4">
        <w:rPr>
          <w:rFonts w:ascii="Palatino Linotype" w:hAnsi="Palatino Linotype"/>
          <w:i/>
        </w:rPr>
        <w:t>ISSEMyM</w:t>
      </w:r>
      <w:proofErr w:type="spellEnd"/>
      <w:r w:rsidRPr="00A600F4">
        <w:rPr>
          <w:rFonts w:ascii="Palatino Linotype" w:hAnsi="Palatino Linotype"/>
          <w:i/>
        </w:rPr>
        <w:t xml:space="preserve">, para la elaboración del estudio actuarial de las pensiones de los trabajadores, mismo que deberá contener los requisitos mínimos previstos en el artículo 18 fracción IV de la LDFEFM, incluirá la población afiliada, la edad promedio, las características de las prestaciones otorgadas por la ley aplicable, el monto de reservas de pensiones, así como el periodo de suficiencia y el balance actuarial en valor presente. </w:t>
      </w:r>
    </w:p>
    <w:p w:rsidR="00982BFF" w:rsidRPr="00A600F4" w:rsidRDefault="00982BFF" w:rsidP="00982BFF">
      <w:pPr>
        <w:spacing w:line="360" w:lineRule="auto"/>
        <w:ind w:left="708" w:right="39"/>
        <w:jc w:val="both"/>
        <w:rPr>
          <w:rFonts w:ascii="Palatino Linotype" w:hAnsi="Palatino Linotype" w:cs="Arial"/>
          <w:i/>
          <w:sz w:val="24"/>
          <w:szCs w:val="24"/>
        </w:rPr>
      </w:pPr>
      <w:r w:rsidRPr="00A600F4">
        <w:rPr>
          <w:rFonts w:ascii="Palatino Linotype" w:hAnsi="Palatino Linotype"/>
          <w:i/>
        </w:rPr>
        <w:lastRenderedPageBreak/>
        <w:t>15. Las Dependencias y Organismos Municipales, presentarán a la Tesorería los montos totales necesarios para hacer frente a los compromisos de pago derivados de contratos de Asociación Público-Privada, así como toda la información complementaria que resulte de utilidad, asimismo; deberán presentar las previsiones de adeudos de ejercicios fiscales anteriores (ADEFAS), en términos de los artículos 11 y 20 de la LDFEFM.</w:t>
      </w:r>
    </w:p>
    <w:p w:rsidR="00982BFF" w:rsidRPr="00A600F4" w:rsidRDefault="00982BFF" w:rsidP="00982BFF">
      <w:pPr>
        <w:spacing w:line="360" w:lineRule="auto"/>
        <w:ind w:right="39"/>
        <w:jc w:val="both"/>
        <w:rPr>
          <w:rFonts w:ascii="Palatino Linotype" w:hAnsi="Palatino Linotype" w:cs="Arial"/>
          <w:sz w:val="24"/>
          <w:szCs w:val="24"/>
        </w:rPr>
      </w:pPr>
    </w:p>
    <w:p w:rsidR="00982BFF" w:rsidRPr="00A600F4" w:rsidRDefault="00982BFF" w:rsidP="00982BFF">
      <w:pPr>
        <w:spacing w:line="360" w:lineRule="auto"/>
        <w:ind w:right="39"/>
        <w:jc w:val="both"/>
        <w:rPr>
          <w:rFonts w:ascii="Palatino Linotype" w:hAnsi="Palatino Linotype"/>
          <w:sz w:val="24"/>
          <w:szCs w:val="24"/>
        </w:rPr>
      </w:pPr>
      <w:r w:rsidRPr="00A600F4">
        <w:rPr>
          <w:rFonts w:ascii="Palatino Linotype" w:hAnsi="Palatino Linotype"/>
          <w:sz w:val="24"/>
          <w:szCs w:val="24"/>
        </w:rPr>
        <w:t xml:space="preserve">Por lo que para determinar el Proyecto de Presupuesto de Egresos se debe conocer la estimación de ingresos que serán captados por el Ayuntamiento para ello, servirá de apoyo el formato de </w:t>
      </w:r>
      <w:r w:rsidRPr="00A600F4">
        <w:rPr>
          <w:rFonts w:ascii="Palatino Linotype" w:hAnsi="Palatino Linotype"/>
          <w:b/>
          <w:sz w:val="24"/>
          <w:szCs w:val="24"/>
        </w:rPr>
        <w:t>Presupuesto de Ingresos detallado para el ejercicio fiscal 2025 PbRM-03a</w:t>
      </w:r>
      <w:r w:rsidRPr="00A600F4">
        <w:rPr>
          <w:rFonts w:ascii="Palatino Linotype" w:hAnsi="Palatino Linotype"/>
          <w:sz w:val="24"/>
          <w:szCs w:val="24"/>
        </w:rPr>
        <w:t xml:space="preserve">, el cual fue llenado durante la etapa del anteproyecto y en el que se deberán registrar los ingresos estimados a nivel concepto y distribuirlos por mes, del mismo modo </w:t>
      </w:r>
      <w:r w:rsidRPr="00A600F4">
        <w:rPr>
          <w:rFonts w:ascii="Palatino Linotype" w:hAnsi="Palatino Linotype"/>
          <w:b/>
          <w:sz w:val="24"/>
          <w:szCs w:val="24"/>
        </w:rPr>
        <w:t>se incluirá el formato relacionado con la Carátula de Presupuesto de Ingresos PbRM-03b</w:t>
      </w:r>
      <w:r w:rsidRPr="00A600F4">
        <w:rPr>
          <w:rFonts w:ascii="Palatino Linotype" w:hAnsi="Palatino Linotype"/>
          <w:sz w:val="24"/>
          <w:szCs w:val="24"/>
        </w:rPr>
        <w:t xml:space="preserve">. </w:t>
      </w:r>
    </w:p>
    <w:p w:rsidR="00982BFF" w:rsidRPr="00A600F4" w:rsidRDefault="00982BFF" w:rsidP="00982BFF">
      <w:pPr>
        <w:spacing w:line="360" w:lineRule="auto"/>
        <w:ind w:right="39"/>
        <w:jc w:val="both"/>
        <w:rPr>
          <w:rFonts w:ascii="Palatino Linotype" w:hAnsi="Palatino Linotype"/>
          <w:sz w:val="24"/>
          <w:szCs w:val="24"/>
        </w:rPr>
      </w:pPr>
    </w:p>
    <w:p w:rsidR="00982BFF" w:rsidRPr="00A600F4" w:rsidRDefault="00982BFF" w:rsidP="00982BFF">
      <w:pPr>
        <w:spacing w:line="360" w:lineRule="auto"/>
        <w:ind w:right="39"/>
        <w:jc w:val="both"/>
        <w:rPr>
          <w:rFonts w:ascii="Palatino Linotype" w:hAnsi="Palatino Linotype" w:cs="Arial"/>
          <w:sz w:val="24"/>
          <w:szCs w:val="24"/>
        </w:rPr>
      </w:pPr>
      <w:r w:rsidRPr="00A600F4">
        <w:rPr>
          <w:rFonts w:ascii="Palatino Linotype" w:hAnsi="Palatino Linotype"/>
          <w:sz w:val="24"/>
          <w:szCs w:val="24"/>
        </w:rPr>
        <w:t>Una vez recopilada la información del Anteproyecto de Presupuesto de Egresos por la Tesorería y la UIPPE o su equivalente, mediante los formatos del Programa Anual (PbRM-01 en todas sus series), así como del Presupuesto de Egresos Detallado (PbRM-04a), se integrará el Proyecto de Presupuesto de Egresos.</w:t>
      </w:r>
    </w:p>
    <w:p w:rsidR="00982BFF" w:rsidRPr="00A600F4" w:rsidRDefault="00982BFF" w:rsidP="00982BFF">
      <w:pPr>
        <w:spacing w:line="360" w:lineRule="auto"/>
        <w:ind w:right="39"/>
        <w:jc w:val="both"/>
        <w:rPr>
          <w:rFonts w:ascii="Palatino Linotype" w:eastAsia="Palatino Linotype" w:hAnsi="Palatino Linotype" w:cs="Palatino Linotype"/>
          <w:bCs/>
          <w:sz w:val="24"/>
          <w:szCs w:val="24"/>
        </w:rPr>
      </w:pPr>
    </w:p>
    <w:p w:rsidR="00982BFF" w:rsidRPr="00A600F4" w:rsidRDefault="00982BFF" w:rsidP="00982BFF">
      <w:pPr>
        <w:spacing w:line="360" w:lineRule="auto"/>
        <w:ind w:right="39"/>
        <w:jc w:val="both"/>
        <w:rPr>
          <w:rFonts w:ascii="Palatino Linotype" w:eastAsia="Palatino Linotype" w:hAnsi="Palatino Linotype" w:cs="Palatino Linotype"/>
          <w:bCs/>
          <w:sz w:val="24"/>
          <w:szCs w:val="24"/>
        </w:rPr>
      </w:pPr>
      <w:r w:rsidRPr="00A600F4">
        <w:rPr>
          <w:rFonts w:ascii="Palatino Linotype" w:hAnsi="Palatino Linotype" w:cs="Arial"/>
          <w:sz w:val="24"/>
          <w:szCs w:val="24"/>
        </w:rPr>
        <w:t>Al respecto el Ma</w:t>
      </w:r>
      <w:r w:rsidRPr="00A600F4">
        <w:rPr>
          <w:rFonts w:ascii="Palatino Linotype" w:hAnsi="Palatino Linotype"/>
          <w:sz w:val="24"/>
          <w:szCs w:val="24"/>
        </w:rPr>
        <w:t>nual para la Planeación, Programación y Presupuesto de Egresos Municipal para el Ejercicio Fiscal 2025</w:t>
      </w:r>
      <w:r w:rsidRPr="00A600F4">
        <w:rPr>
          <w:rFonts w:ascii="Palatino Linotype" w:hAnsi="Palatino Linotype" w:cs="Arial"/>
          <w:sz w:val="24"/>
          <w:szCs w:val="24"/>
        </w:rPr>
        <w:t xml:space="preserve"> establece que</w:t>
      </w:r>
      <w:r w:rsidRPr="00A600F4">
        <w:rPr>
          <w:rFonts w:ascii="Palatino Linotype" w:eastAsia="Palatino Linotype" w:hAnsi="Palatino Linotype" w:cs="Palatino Linotype"/>
          <w:bCs/>
          <w:sz w:val="24"/>
          <w:szCs w:val="24"/>
        </w:rPr>
        <w:t xml:space="preserve"> </w:t>
      </w:r>
      <w:r w:rsidRPr="00A600F4">
        <w:rPr>
          <w:rFonts w:ascii="Palatino Linotype" w:hAnsi="Palatino Linotype" w:cs="Tahoma"/>
          <w:bCs/>
          <w:color w:val="000000"/>
          <w:sz w:val="24"/>
          <w:szCs w:val="24"/>
        </w:rPr>
        <w:t xml:space="preserve">el </w:t>
      </w:r>
      <w:r w:rsidRPr="00A600F4">
        <w:rPr>
          <w:rFonts w:ascii="Palatino Linotype" w:hAnsi="Palatino Linotype" w:cs="Tahoma"/>
          <w:b/>
          <w:color w:val="000000"/>
          <w:sz w:val="24"/>
          <w:szCs w:val="24"/>
        </w:rPr>
        <w:t>PbRM 07a corresponde al Programa Anual de Obras</w:t>
      </w:r>
      <w:r w:rsidRPr="00A600F4">
        <w:rPr>
          <w:rFonts w:ascii="Palatino Linotype" w:hAnsi="Palatino Linotype" w:cs="Tahoma"/>
          <w:bCs/>
          <w:color w:val="000000"/>
          <w:sz w:val="24"/>
          <w:szCs w:val="24"/>
        </w:rPr>
        <w:t xml:space="preserve"> y e</w:t>
      </w:r>
      <w:r w:rsidRPr="00A600F4">
        <w:rPr>
          <w:rFonts w:ascii="Palatino Linotype" w:hAnsi="Palatino Linotype" w:cs="Tahoma"/>
          <w:b/>
          <w:color w:val="000000"/>
          <w:sz w:val="24"/>
          <w:szCs w:val="24"/>
        </w:rPr>
        <w:t xml:space="preserve">l PbRM 07b correspondiente al Programa Anual de Obras (reparaciones y mantenimiento), </w:t>
      </w:r>
      <w:r w:rsidRPr="00A600F4">
        <w:rPr>
          <w:rFonts w:ascii="Palatino Linotype" w:hAnsi="Palatino Linotype" w:cs="Tahoma"/>
          <w:color w:val="000000"/>
          <w:sz w:val="24"/>
          <w:szCs w:val="24"/>
        </w:rPr>
        <w:t xml:space="preserve">por lo que deben de </w:t>
      </w:r>
      <w:r w:rsidRPr="00A600F4">
        <w:rPr>
          <w:rFonts w:ascii="Palatino Linotype" w:hAnsi="Palatino Linotype" w:cs="Tahoma"/>
          <w:bCs/>
          <w:color w:val="000000"/>
          <w:sz w:val="24"/>
          <w:szCs w:val="24"/>
        </w:rPr>
        <w:t xml:space="preserve">corresponder al importe </w:t>
      </w:r>
      <w:r w:rsidRPr="00A600F4">
        <w:rPr>
          <w:rFonts w:ascii="Palatino Linotype" w:hAnsi="Palatino Linotype" w:cs="Tahoma"/>
          <w:bCs/>
          <w:color w:val="000000"/>
          <w:sz w:val="24"/>
          <w:szCs w:val="24"/>
        </w:rPr>
        <w:lastRenderedPageBreak/>
        <w:t xml:space="preserve">del </w:t>
      </w:r>
      <w:r w:rsidRPr="00A600F4">
        <w:rPr>
          <w:rFonts w:ascii="Palatino Linotype" w:hAnsi="Palatino Linotype" w:cs="Tahoma"/>
          <w:b/>
          <w:color w:val="000000"/>
          <w:sz w:val="24"/>
          <w:szCs w:val="24"/>
        </w:rPr>
        <w:t>Capítulo 6000</w:t>
      </w:r>
      <w:r w:rsidRPr="00A600F4">
        <w:rPr>
          <w:rFonts w:ascii="Palatino Linotype" w:hAnsi="Palatino Linotype" w:cs="Tahoma"/>
          <w:bCs/>
          <w:color w:val="000000"/>
          <w:sz w:val="24"/>
          <w:szCs w:val="24"/>
        </w:rPr>
        <w:t xml:space="preserve"> Inversión Pública contenido en la Carátula de Presupuesto de Egresos (PbRM- 04d), los cuales tienen el propósito de que los entes municipales tengan mayor facilidad en el manejo de los documentos que integran la Ley de Ingresos Municipal y el Presupuesto de Egresos Municipal, adicionalmente a la información impresa se deberá anexar información en archivos electrónicos atendiendo los lineamientos y disposiciones que establezca el OSFEM, los cuales deben contar con las siguientes características; </w:t>
      </w:r>
    </w:p>
    <w:p w:rsidR="00982BFF" w:rsidRPr="00A600F4" w:rsidRDefault="00982BFF" w:rsidP="00E32F5A">
      <w:pPr>
        <w:tabs>
          <w:tab w:val="left" w:pos="1470"/>
        </w:tabs>
        <w:spacing w:line="360" w:lineRule="auto"/>
        <w:ind w:right="-28"/>
        <w:jc w:val="center"/>
        <w:rPr>
          <w:rFonts w:ascii="Palatino Linotype" w:hAnsi="Palatino Linotype" w:cs="Tahoma"/>
          <w:bCs/>
          <w:color w:val="000000"/>
          <w:sz w:val="24"/>
          <w:szCs w:val="24"/>
        </w:rPr>
      </w:pPr>
      <w:r w:rsidRPr="00A600F4">
        <w:rPr>
          <w:rFonts w:ascii="Palatino Linotype" w:hAnsi="Palatino Linotype" w:cs="Tahoma"/>
          <w:bCs/>
          <w:noProof/>
          <w:color w:val="000000"/>
          <w:sz w:val="24"/>
          <w:szCs w:val="24"/>
          <w:lang w:eastAsia="es-MX"/>
        </w:rPr>
        <w:drawing>
          <wp:inline distT="0" distB="0" distL="0" distR="0" wp14:anchorId="4919B0FE" wp14:editId="79A7E98B">
            <wp:extent cx="5879335" cy="3172570"/>
            <wp:effectExtent l="0" t="0" r="762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20198" cy="3194620"/>
                    </a:xfrm>
                    <a:prstGeom prst="rect">
                      <a:avLst/>
                    </a:prstGeom>
                  </pic:spPr>
                </pic:pic>
              </a:graphicData>
            </a:graphic>
          </wp:inline>
        </w:drawing>
      </w:r>
    </w:p>
    <w:p w:rsidR="00982BFF" w:rsidRPr="00A600F4" w:rsidRDefault="00982BFF" w:rsidP="00E32F5A">
      <w:pPr>
        <w:tabs>
          <w:tab w:val="left" w:pos="1470"/>
        </w:tabs>
        <w:spacing w:line="360" w:lineRule="auto"/>
        <w:ind w:right="-28"/>
        <w:jc w:val="center"/>
        <w:rPr>
          <w:rFonts w:ascii="Palatino Linotype" w:hAnsi="Palatino Linotype" w:cs="Tahoma"/>
          <w:bCs/>
          <w:color w:val="000000"/>
          <w:sz w:val="24"/>
          <w:szCs w:val="24"/>
        </w:rPr>
      </w:pPr>
      <w:r w:rsidRPr="00A600F4">
        <w:rPr>
          <w:rFonts w:ascii="Palatino Linotype" w:hAnsi="Palatino Linotype" w:cs="Tahoma"/>
          <w:bCs/>
          <w:noProof/>
          <w:color w:val="000000"/>
          <w:sz w:val="24"/>
          <w:szCs w:val="24"/>
          <w:lang w:eastAsia="es-MX"/>
        </w:rPr>
        <w:lastRenderedPageBreak/>
        <w:drawing>
          <wp:inline distT="0" distB="0" distL="0" distR="0" wp14:anchorId="39B78191" wp14:editId="4FF26C1F">
            <wp:extent cx="4658360" cy="261538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83457" cy="2629471"/>
                    </a:xfrm>
                    <a:prstGeom prst="rect">
                      <a:avLst/>
                    </a:prstGeom>
                  </pic:spPr>
                </pic:pic>
              </a:graphicData>
            </a:graphic>
          </wp:inline>
        </w:drawing>
      </w:r>
    </w:p>
    <w:p w:rsidR="00E32F5A" w:rsidRPr="00A600F4" w:rsidRDefault="00E32F5A" w:rsidP="00E32F5A">
      <w:pPr>
        <w:tabs>
          <w:tab w:val="left" w:pos="1470"/>
        </w:tabs>
        <w:spacing w:line="360" w:lineRule="auto"/>
        <w:ind w:right="-28"/>
        <w:jc w:val="center"/>
        <w:rPr>
          <w:rFonts w:ascii="Palatino Linotype" w:hAnsi="Palatino Linotype" w:cs="Tahoma"/>
          <w:bCs/>
          <w:color w:val="000000"/>
          <w:sz w:val="24"/>
          <w:szCs w:val="24"/>
        </w:rPr>
      </w:pPr>
    </w:p>
    <w:p w:rsidR="00982BFF" w:rsidRPr="00A600F4" w:rsidRDefault="00982BFF" w:rsidP="00982BFF">
      <w:pPr>
        <w:spacing w:line="360" w:lineRule="auto"/>
        <w:jc w:val="center"/>
        <w:rPr>
          <w:rFonts w:ascii="Palatino Linotype" w:hAnsi="Palatino Linotype" w:cs="Tahoma"/>
          <w:bCs/>
          <w:color w:val="000000"/>
          <w:sz w:val="24"/>
          <w:szCs w:val="24"/>
        </w:rPr>
      </w:pPr>
      <w:r w:rsidRPr="00A600F4">
        <w:rPr>
          <w:rFonts w:ascii="Palatino Linotype" w:hAnsi="Palatino Linotype" w:cs="Tahoma"/>
          <w:bCs/>
          <w:noProof/>
          <w:color w:val="000000"/>
          <w:sz w:val="24"/>
          <w:szCs w:val="24"/>
          <w:lang w:eastAsia="es-MX"/>
        </w:rPr>
        <w:drawing>
          <wp:inline distT="0" distB="0" distL="0" distR="0" wp14:anchorId="222AAFF0" wp14:editId="5AAC5963">
            <wp:extent cx="4866364" cy="368541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85525" cy="3699921"/>
                    </a:xfrm>
                    <a:prstGeom prst="rect">
                      <a:avLst/>
                    </a:prstGeom>
                  </pic:spPr>
                </pic:pic>
              </a:graphicData>
            </a:graphic>
          </wp:inline>
        </w:drawing>
      </w:r>
    </w:p>
    <w:p w:rsidR="00982BFF" w:rsidRPr="00A600F4" w:rsidRDefault="00982BFF" w:rsidP="00982BFF">
      <w:pPr>
        <w:spacing w:line="360" w:lineRule="auto"/>
        <w:jc w:val="center"/>
        <w:rPr>
          <w:rFonts w:ascii="Palatino Linotype" w:hAnsi="Palatino Linotype" w:cs="Tahoma"/>
          <w:bCs/>
          <w:color w:val="000000"/>
          <w:sz w:val="24"/>
          <w:szCs w:val="24"/>
        </w:rPr>
      </w:pPr>
      <w:r w:rsidRPr="00A600F4">
        <w:rPr>
          <w:rFonts w:ascii="Palatino Linotype" w:hAnsi="Palatino Linotype" w:cs="Tahoma"/>
          <w:bCs/>
          <w:noProof/>
          <w:color w:val="000000"/>
          <w:sz w:val="24"/>
          <w:szCs w:val="24"/>
          <w:lang w:eastAsia="es-MX"/>
        </w:rPr>
        <w:lastRenderedPageBreak/>
        <w:drawing>
          <wp:inline distT="0" distB="0" distL="0" distR="0" wp14:anchorId="20EE0495" wp14:editId="663284E5">
            <wp:extent cx="4933746" cy="2768573"/>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49121" cy="2777201"/>
                    </a:xfrm>
                    <a:prstGeom prst="rect">
                      <a:avLst/>
                    </a:prstGeom>
                  </pic:spPr>
                </pic:pic>
              </a:graphicData>
            </a:graphic>
          </wp:inline>
        </w:drawing>
      </w:r>
    </w:p>
    <w:p w:rsidR="00982BFF" w:rsidRPr="00A600F4" w:rsidRDefault="00982BFF" w:rsidP="00982BFF">
      <w:pPr>
        <w:spacing w:line="360" w:lineRule="auto"/>
        <w:jc w:val="center"/>
        <w:rPr>
          <w:rFonts w:ascii="Palatino Linotype" w:hAnsi="Palatino Linotype" w:cs="Tahoma"/>
          <w:bCs/>
          <w:color w:val="000000"/>
          <w:sz w:val="24"/>
          <w:szCs w:val="24"/>
        </w:rPr>
      </w:pPr>
    </w:p>
    <w:p w:rsidR="00EB4322" w:rsidRPr="00A600F4" w:rsidRDefault="00982BFF" w:rsidP="00982BFF">
      <w:pPr>
        <w:tabs>
          <w:tab w:val="left" w:pos="1200"/>
        </w:tabs>
        <w:spacing w:line="360" w:lineRule="auto"/>
        <w:jc w:val="both"/>
        <w:rPr>
          <w:rFonts w:ascii="Palatino Linotype" w:hAnsi="Palatino Linotype" w:cs="Tahoma"/>
          <w:sz w:val="24"/>
          <w:szCs w:val="24"/>
        </w:rPr>
      </w:pPr>
      <w:r w:rsidRPr="00A600F4">
        <w:rPr>
          <w:rFonts w:ascii="Palatino Linotype" w:hAnsi="Palatino Linotype"/>
          <w:sz w:val="24"/>
          <w:szCs w:val="24"/>
        </w:rPr>
        <w:t xml:space="preserve">Atento a lo anterior, el </w:t>
      </w:r>
      <w:r w:rsidRPr="00A600F4">
        <w:rPr>
          <w:rFonts w:ascii="Palatino Linotype" w:eastAsia="Times New Roman" w:hAnsi="Palatino Linotype" w:cs="Tahoma"/>
          <w:bCs/>
          <w:sz w:val="24"/>
          <w:szCs w:val="24"/>
          <w:lang w:val="es-ES" w:eastAsia="es-ES"/>
        </w:rPr>
        <w:t xml:space="preserve">artículo 4° de la Ley de Transparencia y Acceso a la Información Pública del Estado de México y Municipios, establece que </w:t>
      </w:r>
      <w:r w:rsidRPr="00A600F4">
        <w:rPr>
          <w:rFonts w:ascii="Palatino Linotype" w:eastAsia="Times New Roman" w:hAnsi="Palatino Linotype" w:cs="Tahoma"/>
          <w:b/>
          <w:bCs/>
          <w:sz w:val="24"/>
          <w:szCs w:val="24"/>
          <w:lang w:val="es-ES" w:eastAsia="es-ES"/>
        </w:rPr>
        <w:t>toda la información que sea generada, obtenida, adquirida, transformada, administrada o se encuentre en posesión de los Sujetos Obligados, reviste el carácter de pública y, por tanto, debe ser accesible a cualquier persona</w:t>
      </w:r>
      <w:r w:rsidRPr="00A600F4">
        <w:rPr>
          <w:rFonts w:ascii="Palatino Linotype" w:eastAsia="Times New Roman" w:hAnsi="Palatino Linotype" w:cs="Tahoma"/>
          <w:bCs/>
          <w:sz w:val="24"/>
          <w:szCs w:val="24"/>
          <w:lang w:val="es-ES" w:eastAsia="es-ES"/>
        </w:rPr>
        <w:t>.</w:t>
      </w:r>
      <w:r w:rsidRPr="00A600F4">
        <w:rPr>
          <w:rFonts w:ascii="Palatino Linotype" w:hAnsi="Palatino Linotype" w:cs="Tahoma"/>
          <w:sz w:val="24"/>
          <w:szCs w:val="24"/>
        </w:rPr>
        <w:t xml:space="preserve"> </w:t>
      </w:r>
      <w:r w:rsidRPr="00A600F4">
        <w:rPr>
          <w:rFonts w:ascii="Palatino Linotype" w:eastAsia="Times New Roman" w:hAnsi="Palatino Linotype" w:cs="Tahoma"/>
          <w:bCs/>
          <w:sz w:val="24"/>
          <w:szCs w:val="24"/>
          <w:lang w:val="es-ES" w:eastAsia="es-ES"/>
        </w:rPr>
        <w:t>Además, el artículo 18 de la Ley de Transparencia y Acceso a la Información Pública del Estado de México y Municipios, contempla que los sujetos obligados deberán documentar todo acto que derive del ejercicio de sus facultades, competencias o funciones.</w:t>
      </w:r>
    </w:p>
    <w:p w:rsidR="00982BFF" w:rsidRPr="00A600F4" w:rsidRDefault="00982BFF" w:rsidP="00982BFF">
      <w:pPr>
        <w:tabs>
          <w:tab w:val="left" w:pos="1200"/>
        </w:tabs>
        <w:spacing w:line="360" w:lineRule="auto"/>
        <w:jc w:val="both"/>
        <w:rPr>
          <w:rFonts w:ascii="Palatino Linotype" w:hAnsi="Palatino Linotype" w:cs="Tahoma"/>
          <w:sz w:val="24"/>
          <w:szCs w:val="24"/>
        </w:rPr>
      </w:pPr>
    </w:p>
    <w:p w:rsidR="00982BFF" w:rsidRPr="00A600F4" w:rsidRDefault="00EB4322" w:rsidP="00982BFF">
      <w:pPr>
        <w:spacing w:line="360" w:lineRule="auto"/>
        <w:jc w:val="both"/>
        <w:rPr>
          <w:rFonts w:ascii="Palatino Linotype" w:hAnsi="Palatino Linotype" w:cs="Tahoma"/>
          <w:color w:val="000000"/>
          <w:sz w:val="24"/>
          <w:szCs w:val="24"/>
        </w:rPr>
      </w:pPr>
      <w:r w:rsidRPr="00A600F4">
        <w:rPr>
          <w:rFonts w:ascii="Palatino Linotype" w:hAnsi="Palatino Linotype"/>
          <w:sz w:val="24"/>
          <w:szCs w:val="24"/>
        </w:rPr>
        <w:t xml:space="preserve">Bajo ese contexto, </w:t>
      </w:r>
      <w:r w:rsidR="00982BFF" w:rsidRPr="00A600F4">
        <w:rPr>
          <w:rFonts w:ascii="Palatino Linotype" w:hAnsi="Palatino Linotype"/>
          <w:sz w:val="24"/>
          <w:szCs w:val="24"/>
        </w:rPr>
        <w:t xml:space="preserve">el documento enviado por el Sujeto Obligado en informe justificado no puede tenerse por colmado toda vez que no se puede tener certeza que se trate del documento aprobado e integrado en el Presupuesto de Egresos pues tal como se </w:t>
      </w:r>
      <w:r w:rsidR="00982BFF" w:rsidRPr="00A600F4">
        <w:rPr>
          <w:rFonts w:ascii="Palatino Linotype" w:hAnsi="Palatino Linotype"/>
          <w:sz w:val="24"/>
          <w:szCs w:val="24"/>
        </w:rPr>
        <w:lastRenderedPageBreak/>
        <w:t xml:space="preserve">advierte con anterioridad el Sujeto Obligado debe de integrar </w:t>
      </w:r>
      <w:r w:rsidR="00982BFF" w:rsidRPr="00A600F4">
        <w:rPr>
          <w:rFonts w:ascii="Palatino Linotype" w:hAnsi="Palatino Linotype" w:cs="Tahoma"/>
          <w:bCs/>
          <w:color w:val="000000"/>
          <w:sz w:val="24"/>
          <w:szCs w:val="24"/>
        </w:rPr>
        <w:t>el</w:t>
      </w:r>
      <w:r w:rsidR="00FD71DD" w:rsidRPr="00A600F4">
        <w:rPr>
          <w:rFonts w:ascii="Palatino Linotype" w:hAnsi="Palatino Linotype" w:cs="Tahoma"/>
          <w:bCs/>
          <w:color w:val="000000"/>
          <w:sz w:val="24"/>
          <w:szCs w:val="24"/>
        </w:rPr>
        <w:t xml:space="preserve"> formato denominado</w:t>
      </w:r>
      <w:r w:rsidR="00982BFF" w:rsidRPr="00A600F4">
        <w:rPr>
          <w:rFonts w:ascii="Palatino Linotype" w:hAnsi="Palatino Linotype" w:cs="Tahoma"/>
          <w:bCs/>
          <w:color w:val="000000"/>
          <w:sz w:val="24"/>
          <w:szCs w:val="24"/>
        </w:rPr>
        <w:t xml:space="preserve"> </w:t>
      </w:r>
      <w:r w:rsidR="00982BFF" w:rsidRPr="00A600F4">
        <w:rPr>
          <w:rFonts w:ascii="Palatino Linotype" w:hAnsi="Palatino Linotype" w:cs="Tahoma"/>
          <w:color w:val="000000"/>
          <w:sz w:val="24"/>
          <w:szCs w:val="24"/>
        </w:rPr>
        <w:t xml:space="preserve">PbRM 07a correspondiente al </w:t>
      </w:r>
      <w:r w:rsidR="00FD71DD" w:rsidRPr="00A600F4">
        <w:rPr>
          <w:rFonts w:ascii="Palatino Linotype" w:hAnsi="Palatino Linotype" w:cs="Tahoma"/>
          <w:color w:val="000000"/>
          <w:sz w:val="24"/>
          <w:szCs w:val="24"/>
        </w:rPr>
        <w:t>“</w:t>
      </w:r>
      <w:r w:rsidR="00982BFF" w:rsidRPr="00A600F4">
        <w:rPr>
          <w:rFonts w:ascii="Palatino Linotype" w:hAnsi="Palatino Linotype" w:cs="Tahoma"/>
          <w:color w:val="000000"/>
          <w:sz w:val="24"/>
          <w:szCs w:val="24"/>
        </w:rPr>
        <w:t>Programa Anual de Obras</w:t>
      </w:r>
      <w:r w:rsidR="00FD71DD" w:rsidRPr="00A600F4">
        <w:rPr>
          <w:rFonts w:ascii="Palatino Linotype" w:hAnsi="Palatino Linotype" w:cs="Tahoma"/>
          <w:color w:val="000000"/>
          <w:sz w:val="24"/>
          <w:szCs w:val="24"/>
        </w:rPr>
        <w:t>”</w:t>
      </w:r>
      <w:r w:rsidR="00982BFF" w:rsidRPr="00A600F4">
        <w:rPr>
          <w:rFonts w:ascii="Palatino Linotype" w:hAnsi="Palatino Linotype" w:cs="Tahoma"/>
          <w:color w:val="000000"/>
          <w:sz w:val="24"/>
          <w:szCs w:val="24"/>
        </w:rPr>
        <w:t>,</w:t>
      </w:r>
      <w:r w:rsidR="008A5004" w:rsidRPr="00A600F4">
        <w:rPr>
          <w:rFonts w:ascii="Palatino Linotype" w:hAnsi="Palatino Linotype" w:cs="Tahoma"/>
          <w:bCs/>
          <w:color w:val="000000"/>
          <w:sz w:val="24"/>
          <w:szCs w:val="24"/>
        </w:rPr>
        <w:t xml:space="preserve"> y e</w:t>
      </w:r>
      <w:r w:rsidR="008A5004" w:rsidRPr="00A600F4">
        <w:rPr>
          <w:rFonts w:ascii="Palatino Linotype" w:hAnsi="Palatino Linotype" w:cs="Tahoma"/>
          <w:b/>
          <w:color w:val="000000"/>
          <w:sz w:val="24"/>
          <w:szCs w:val="24"/>
        </w:rPr>
        <w:t xml:space="preserve">l </w:t>
      </w:r>
      <w:r w:rsidR="008A5004" w:rsidRPr="00A600F4">
        <w:rPr>
          <w:rFonts w:ascii="Palatino Linotype" w:hAnsi="Palatino Linotype" w:cs="Tahoma"/>
          <w:color w:val="000000"/>
          <w:sz w:val="24"/>
          <w:szCs w:val="24"/>
        </w:rPr>
        <w:t xml:space="preserve">PbRM 07b correspondiente al Programa Anual de Obras (reparaciones y mantenimiento), </w:t>
      </w:r>
      <w:r w:rsidR="00982BFF" w:rsidRPr="00A600F4">
        <w:rPr>
          <w:rFonts w:ascii="Palatino Linotype" w:hAnsi="Palatino Linotype" w:cs="Tahoma"/>
          <w:color w:val="000000"/>
          <w:sz w:val="24"/>
          <w:szCs w:val="24"/>
        </w:rPr>
        <w:t>documento</w:t>
      </w:r>
      <w:r w:rsidR="008A5004" w:rsidRPr="00A600F4">
        <w:rPr>
          <w:rFonts w:ascii="Palatino Linotype" w:hAnsi="Palatino Linotype" w:cs="Tahoma"/>
          <w:color w:val="000000"/>
          <w:sz w:val="24"/>
          <w:szCs w:val="24"/>
        </w:rPr>
        <w:t>s</w:t>
      </w:r>
      <w:r w:rsidR="00982BFF" w:rsidRPr="00A600F4">
        <w:rPr>
          <w:rFonts w:ascii="Palatino Linotype" w:hAnsi="Palatino Linotype" w:cs="Tahoma"/>
          <w:color w:val="000000"/>
          <w:sz w:val="24"/>
          <w:szCs w:val="24"/>
        </w:rPr>
        <w:t xml:space="preserve"> que </w:t>
      </w:r>
      <w:r w:rsidR="008A5004" w:rsidRPr="00A600F4">
        <w:rPr>
          <w:rFonts w:ascii="Palatino Linotype" w:hAnsi="Palatino Linotype" w:cs="Tahoma"/>
          <w:color w:val="000000"/>
          <w:sz w:val="24"/>
          <w:szCs w:val="24"/>
        </w:rPr>
        <w:t xml:space="preserve">podrían </w:t>
      </w:r>
      <w:r w:rsidR="00982BFF" w:rsidRPr="00A600F4">
        <w:rPr>
          <w:rFonts w:ascii="Palatino Linotype" w:hAnsi="Palatino Linotype" w:cs="Tahoma"/>
          <w:color w:val="000000"/>
          <w:sz w:val="24"/>
          <w:szCs w:val="24"/>
        </w:rPr>
        <w:t>da</w:t>
      </w:r>
      <w:r w:rsidR="008A5004" w:rsidRPr="00A600F4">
        <w:rPr>
          <w:rFonts w:ascii="Palatino Linotype" w:hAnsi="Palatino Linotype" w:cs="Tahoma"/>
          <w:color w:val="000000"/>
          <w:sz w:val="24"/>
          <w:szCs w:val="24"/>
        </w:rPr>
        <w:t>r</w:t>
      </w:r>
      <w:r w:rsidR="00982BFF" w:rsidRPr="00A600F4">
        <w:rPr>
          <w:rFonts w:ascii="Palatino Linotype" w:hAnsi="Palatino Linotype" w:cs="Tahoma"/>
          <w:color w:val="000000"/>
          <w:sz w:val="24"/>
          <w:szCs w:val="24"/>
        </w:rPr>
        <w:t xml:space="preserve"> cuenta de lo requerido al ser el documento definitivo aprobado  e integrado al Presupuesto de Egresos del Sujeto Obligado</w:t>
      </w:r>
      <w:r w:rsidR="00FD71DD" w:rsidRPr="00A600F4">
        <w:rPr>
          <w:rFonts w:ascii="Palatino Linotype" w:hAnsi="Palatino Linotype" w:cs="Tahoma"/>
          <w:color w:val="000000"/>
          <w:sz w:val="24"/>
          <w:szCs w:val="24"/>
        </w:rPr>
        <w:t>, p</w:t>
      </w:r>
      <w:r w:rsidR="00982BFF" w:rsidRPr="00A600F4">
        <w:rPr>
          <w:rFonts w:ascii="Palatino Linotype" w:hAnsi="Palatino Linotype" w:cs="Tahoma"/>
          <w:color w:val="000000"/>
          <w:sz w:val="24"/>
          <w:szCs w:val="24"/>
        </w:rPr>
        <w:t xml:space="preserve">or lo que </w:t>
      </w:r>
      <w:r w:rsidR="00FD71DD" w:rsidRPr="00A600F4">
        <w:rPr>
          <w:rFonts w:ascii="Palatino Linotype" w:hAnsi="Palatino Linotype" w:cs="Tahoma"/>
          <w:color w:val="000000"/>
          <w:sz w:val="24"/>
          <w:szCs w:val="24"/>
        </w:rPr>
        <w:t xml:space="preserve">este Instituto considera </w:t>
      </w:r>
      <w:r w:rsidR="00982BFF" w:rsidRPr="00A600F4">
        <w:rPr>
          <w:rFonts w:ascii="Palatino Linotype" w:hAnsi="Palatino Linotype" w:cs="Tahoma"/>
          <w:color w:val="000000"/>
          <w:sz w:val="24"/>
          <w:szCs w:val="24"/>
        </w:rPr>
        <w:t>dable ordenar</w:t>
      </w:r>
      <w:r w:rsidR="008A5004" w:rsidRPr="00A600F4">
        <w:rPr>
          <w:rFonts w:ascii="Palatino Linotype" w:hAnsi="Palatino Linotype" w:cs="Tahoma"/>
          <w:color w:val="000000"/>
          <w:sz w:val="24"/>
          <w:szCs w:val="24"/>
        </w:rPr>
        <w:t xml:space="preserve"> el soporte documental que dé cuenta del </w:t>
      </w:r>
      <w:r w:rsidR="00982BFF" w:rsidRPr="00A600F4">
        <w:rPr>
          <w:rFonts w:ascii="Palatino Linotype" w:hAnsi="Palatino Linotype" w:cs="Tahoma"/>
          <w:color w:val="000000"/>
          <w:sz w:val="24"/>
          <w:szCs w:val="24"/>
        </w:rPr>
        <w:t>Programa Anual de Obras</w:t>
      </w:r>
      <w:r w:rsidR="008A5004" w:rsidRPr="00A600F4">
        <w:rPr>
          <w:rFonts w:ascii="Palatino Linotype" w:hAnsi="Palatino Linotype" w:cs="Tahoma"/>
          <w:color w:val="000000"/>
          <w:sz w:val="24"/>
          <w:szCs w:val="24"/>
        </w:rPr>
        <w:t xml:space="preserve"> autorizado</w:t>
      </w:r>
      <w:r w:rsidR="00982BFF" w:rsidRPr="00A600F4">
        <w:rPr>
          <w:rFonts w:ascii="Palatino Linotype" w:hAnsi="Palatino Linotype" w:cs="Tahoma"/>
          <w:color w:val="000000"/>
          <w:sz w:val="24"/>
          <w:szCs w:val="24"/>
        </w:rPr>
        <w:t xml:space="preserve"> para el ejercicio 2025. </w:t>
      </w:r>
    </w:p>
    <w:p w:rsidR="00EB4322" w:rsidRPr="00A600F4" w:rsidRDefault="00EB4322" w:rsidP="00EB4322">
      <w:pPr>
        <w:spacing w:line="360" w:lineRule="auto"/>
        <w:jc w:val="both"/>
        <w:rPr>
          <w:rFonts w:ascii="Palatino Linotype" w:hAnsi="Palatino Linotype"/>
          <w:sz w:val="24"/>
          <w:szCs w:val="24"/>
        </w:rPr>
      </w:pPr>
    </w:p>
    <w:p w:rsidR="00EB4322" w:rsidRPr="00A600F4" w:rsidRDefault="00EB4322" w:rsidP="00EB4322">
      <w:pPr>
        <w:rPr>
          <w:rFonts w:ascii="Palatino Linotype" w:hAnsi="Palatino Linotype"/>
          <w:b/>
          <w:sz w:val="24"/>
          <w:szCs w:val="24"/>
        </w:rPr>
      </w:pPr>
      <w:r w:rsidRPr="00A600F4">
        <w:rPr>
          <w:rFonts w:ascii="Palatino Linotype" w:hAnsi="Palatino Linotype"/>
          <w:b/>
          <w:sz w:val="24"/>
          <w:szCs w:val="24"/>
        </w:rPr>
        <w:t>De la vista a los órganos internos de control competentes.</w:t>
      </w:r>
    </w:p>
    <w:p w:rsidR="00EB4322" w:rsidRPr="00A600F4" w:rsidRDefault="00EB4322" w:rsidP="00FD71DD">
      <w:pPr>
        <w:pBdr>
          <w:top w:val="nil"/>
          <w:left w:val="nil"/>
          <w:bottom w:val="nil"/>
          <w:right w:val="nil"/>
          <w:between w:val="nil"/>
        </w:pBdr>
        <w:spacing w:line="360" w:lineRule="auto"/>
        <w:contextualSpacing/>
        <w:jc w:val="both"/>
        <w:rPr>
          <w:rFonts w:ascii="Palatino Linotype" w:eastAsia="Palatino Linotype" w:hAnsi="Palatino Linotype" w:cs="Palatino Linotype"/>
          <w:sz w:val="24"/>
          <w:szCs w:val="24"/>
        </w:rPr>
      </w:pPr>
      <w:r w:rsidRPr="00A600F4">
        <w:rPr>
          <w:rFonts w:ascii="Palatino Linotype" w:eastAsia="Palatino Linotype" w:hAnsi="Palatino Linotype" w:cs="Palatino Linotype"/>
          <w:sz w:val="24"/>
          <w:szCs w:val="24"/>
        </w:rPr>
        <w:t>Como ya se mencionó, el Sujeto Obligado no proporcionó respuesta a la solicitud de acceso a la información pública en el término previsto en el artículo 163 de la Ley de Transparencia estatal 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w:t>
      </w:r>
      <w:r w:rsidR="00FD71DD" w:rsidRPr="00A600F4">
        <w:rPr>
          <w:rFonts w:ascii="Palatino Linotype" w:eastAsia="Palatino Linotype" w:hAnsi="Palatino Linotype" w:cs="Palatino Linotype"/>
          <w:sz w:val="24"/>
          <w:szCs w:val="24"/>
        </w:rPr>
        <w:t>os, se determine lo conducente.</w:t>
      </w:r>
    </w:p>
    <w:p w:rsidR="00FD71DD" w:rsidRPr="00A600F4" w:rsidRDefault="00FD71DD" w:rsidP="00FD71DD">
      <w:pPr>
        <w:pBdr>
          <w:top w:val="nil"/>
          <w:left w:val="nil"/>
          <w:bottom w:val="nil"/>
          <w:right w:val="nil"/>
          <w:between w:val="nil"/>
        </w:pBdr>
        <w:spacing w:line="360" w:lineRule="auto"/>
        <w:contextualSpacing/>
        <w:jc w:val="both"/>
        <w:rPr>
          <w:rFonts w:ascii="Palatino Linotype" w:eastAsia="Palatino Linotype" w:hAnsi="Palatino Linotype" w:cs="Palatino Linotype"/>
          <w:sz w:val="24"/>
          <w:szCs w:val="24"/>
        </w:rPr>
      </w:pPr>
    </w:p>
    <w:p w:rsidR="00EB4322" w:rsidRPr="00A600F4" w:rsidRDefault="00EB4322" w:rsidP="00EB4322">
      <w:pPr>
        <w:autoSpaceDE w:val="0"/>
        <w:autoSpaceDN w:val="0"/>
        <w:adjustRightInd w:val="0"/>
        <w:spacing w:line="360" w:lineRule="auto"/>
        <w:jc w:val="both"/>
        <w:rPr>
          <w:rFonts w:ascii="Palatino Linotype" w:hAnsi="Palatino Linotype" w:cs="Arial"/>
          <w:sz w:val="24"/>
          <w:szCs w:val="24"/>
        </w:rPr>
      </w:pPr>
      <w:r w:rsidRPr="00A600F4">
        <w:rPr>
          <w:rFonts w:ascii="Palatino Linotype" w:hAnsi="Palatino Linotype" w:cs="Arial"/>
          <w:sz w:val="24"/>
          <w:szCs w:val="24"/>
        </w:rPr>
        <w:t xml:space="preserve">Por lo tanto, de lo expuesto y con fundamento en la fracción IV del artículo 186, de la Ley de Transparencia y Acceso a la Información Pública del Estado de México y Municipios, se </w:t>
      </w:r>
      <w:r w:rsidRPr="00A600F4">
        <w:rPr>
          <w:rFonts w:ascii="Palatino Linotype" w:hAnsi="Palatino Linotype" w:cs="Arial"/>
          <w:b/>
          <w:sz w:val="24"/>
          <w:szCs w:val="24"/>
        </w:rPr>
        <w:t>ORDENA</w:t>
      </w:r>
      <w:r w:rsidRPr="00A600F4">
        <w:rPr>
          <w:rFonts w:ascii="Palatino Linotype" w:hAnsi="Palatino Linotype" w:cs="Arial"/>
          <w:sz w:val="24"/>
          <w:szCs w:val="24"/>
        </w:rPr>
        <w:t xml:space="preserve"> al </w:t>
      </w:r>
      <w:r w:rsidRPr="00A600F4">
        <w:rPr>
          <w:rFonts w:ascii="Palatino Linotype" w:hAnsi="Palatino Linotype" w:cs="Arial"/>
          <w:b/>
          <w:sz w:val="24"/>
          <w:szCs w:val="24"/>
        </w:rPr>
        <w:t>Sujeto Obligado</w:t>
      </w:r>
      <w:r w:rsidRPr="00A600F4">
        <w:rPr>
          <w:rFonts w:ascii="Palatino Linotype" w:hAnsi="Palatino Linotype" w:cs="Arial"/>
          <w:sz w:val="24"/>
          <w:szCs w:val="24"/>
        </w:rPr>
        <w:t>, atienda la solicitud de información</w:t>
      </w:r>
      <w:r w:rsidRPr="00A600F4">
        <w:rPr>
          <w:rFonts w:ascii="Palatino Linotype" w:eastAsia="Times New Roman" w:hAnsi="Palatino Linotype" w:cs="Times New Roman"/>
          <w:b/>
          <w:bCs/>
          <w:sz w:val="24"/>
          <w:szCs w:val="24"/>
          <w:lang w:val="es-ES" w:eastAsia="es-ES"/>
        </w:rPr>
        <w:t>,</w:t>
      </w:r>
      <w:r w:rsidRPr="00A600F4">
        <w:rPr>
          <w:rFonts w:ascii="Palatino Linotype" w:hAnsi="Palatino Linotype" w:cs="Arial"/>
          <w:sz w:val="24"/>
          <w:szCs w:val="24"/>
        </w:rPr>
        <w:t xml:space="preserve"> que ha sido materia del presente fallo.</w:t>
      </w:r>
    </w:p>
    <w:p w:rsidR="00EB4322" w:rsidRPr="00A600F4" w:rsidRDefault="00EB4322" w:rsidP="00EB4322">
      <w:pPr>
        <w:pStyle w:val="Prrafodelista"/>
        <w:spacing w:before="240" w:after="240"/>
        <w:ind w:left="0"/>
        <w:rPr>
          <w:rFonts w:ascii="Palatino Linotype" w:hAnsi="Palatino Linotype"/>
        </w:rPr>
      </w:pPr>
      <w:r w:rsidRPr="00A600F4">
        <w:rPr>
          <w:rFonts w:ascii="Palatino Linotype" w:hAnsi="Palatino Linotype"/>
        </w:rPr>
        <w:lastRenderedPageBreak/>
        <w:t xml:space="preserve">Por lo antes expuesto y fundado es de resolverse y, </w:t>
      </w:r>
    </w:p>
    <w:p w:rsidR="00EB4322" w:rsidRPr="00A600F4" w:rsidRDefault="00EB4322" w:rsidP="00EB4322">
      <w:pPr>
        <w:pStyle w:val="Prrafodelista"/>
        <w:spacing w:before="240" w:after="240"/>
        <w:ind w:left="0"/>
        <w:rPr>
          <w:rFonts w:ascii="Palatino Linotype" w:hAnsi="Palatino Linotype"/>
        </w:rPr>
      </w:pPr>
    </w:p>
    <w:p w:rsidR="00EB4322" w:rsidRPr="00A600F4" w:rsidRDefault="00EB4322" w:rsidP="00EB4322">
      <w:pPr>
        <w:pStyle w:val="Prrafodelista"/>
        <w:spacing w:before="240" w:after="240"/>
        <w:ind w:left="0"/>
        <w:rPr>
          <w:rFonts w:ascii="Palatino Linotype" w:hAnsi="Palatino Linotype"/>
        </w:rPr>
      </w:pPr>
    </w:p>
    <w:p w:rsidR="00EB4322" w:rsidRPr="00A600F4" w:rsidRDefault="00EB4322" w:rsidP="00EB4322">
      <w:pPr>
        <w:spacing w:before="240" w:line="360" w:lineRule="auto"/>
        <w:jc w:val="center"/>
        <w:rPr>
          <w:rFonts w:ascii="Palatino Linotype" w:hAnsi="Palatino Linotype"/>
          <w:b/>
          <w:bCs/>
          <w:spacing w:val="60"/>
          <w:sz w:val="28"/>
          <w:szCs w:val="28"/>
          <w:lang w:val="es-ES_tradnl"/>
        </w:rPr>
      </w:pPr>
      <w:r w:rsidRPr="00A600F4">
        <w:rPr>
          <w:rFonts w:ascii="Palatino Linotype" w:hAnsi="Palatino Linotype"/>
          <w:b/>
          <w:bCs/>
          <w:spacing w:val="60"/>
          <w:sz w:val="28"/>
          <w:szCs w:val="28"/>
          <w:lang w:val="es-ES_tradnl"/>
        </w:rPr>
        <w:t>SE    RESUELVE</w:t>
      </w:r>
    </w:p>
    <w:p w:rsidR="00C56E2E" w:rsidRPr="00A600F4" w:rsidRDefault="00C56E2E" w:rsidP="00EB4322">
      <w:pPr>
        <w:pBdr>
          <w:top w:val="nil"/>
          <w:left w:val="nil"/>
          <w:bottom w:val="nil"/>
          <w:right w:val="nil"/>
          <w:between w:val="nil"/>
        </w:pBdr>
        <w:spacing w:line="360" w:lineRule="auto"/>
        <w:jc w:val="both"/>
        <w:rPr>
          <w:rFonts w:ascii="Palatino Linotype" w:hAnsi="Palatino Linotype"/>
          <w:b/>
          <w:bCs/>
          <w:spacing w:val="60"/>
          <w:sz w:val="28"/>
          <w:szCs w:val="28"/>
          <w:lang w:val="es-ES_tradnl"/>
        </w:rPr>
      </w:pPr>
    </w:p>
    <w:p w:rsidR="00EB4322" w:rsidRPr="00A600F4" w:rsidRDefault="00EB4322" w:rsidP="00EB4322">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A600F4">
        <w:rPr>
          <w:rFonts w:ascii="Palatino Linotype" w:eastAsia="Palatino Linotype" w:hAnsi="Palatino Linotype" w:cs="Palatino Linotype"/>
          <w:b/>
          <w:sz w:val="24"/>
          <w:szCs w:val="24"/>
        </w:rPr>
        <w:t>PRIMERO.</w:t>
      </w:r>
      <w:r w:rsidRPr="00A600F4">
        <w:rPr>
          <w:rFonts w:ascii="Palatino Linotype" w:eastAsia="Palatino Linotype" w:hAnsi="Palatino Linotype" w:cs="Palatino Linotype"/>
          <w:sz w:val="24"/>
          <w:szCs w:val="24"/>
        </w:rPr>
        <w:t xml:space="preserve"> Se </w:t>
      </w:r>
      <w:r w:rsidRPr="00A600F4">
        <w:rPr>
          <w:rFonts w:ascii="Palatino Linotype" w:eastAsia="Palatino Linotype" w:hAnsi="Palatino Linotype" w:cs="Palatino Linotype"/>
          <w:b/>
          <w:sz w:val="24"/>
          <w:szCs w:val="24"/>
        </w:rPr>
        <w:t>ORDENA</w:t>
      </w:r>
      <w:r w:rsidRPr="00A600F4">
        <w:rPr>
          <w:rFonts w:ascii="Palatino Linotype" w:eastAsia="Palatino Linotype" w:hAnsi="Palatino Linotype" w:cs="Palatino Linotype"/>
          <w:sz w:val="24"/>
          <w:szCs w:val="24"/>
        </w:rPr>
        <w:t xml:space="preserve"> al </w:t>
      </w:r>
      <w:r w:rsidRPr="00A600F4">
        <w:rPr>
          <w:rFonts w:ascii="Palatino Linotype" w:eastAsia="Palatino Linotype" w:hAnsi="Palatino Linotype" w:cs="Palatino Linotype"/>
          <w:b/>
          <w:sz w:val="24"/>
          <w:szCs w:val="24"/>
        </w:rPr>
        <w:t>Sujeto Obligado</w:t>
      </w:r>
      <w:r w:rsidRPr="00A600F4">
        <w:rPr>
          <w:rFonts w:ascii="Palatino Linotype" w:eastAsia="Palatino Linotype" w:hAnsi="Palatino Linotype" w:cs="Palatino Linotype"/>
          <w:sz w:val="24"/>
          <w:szCs w:val="24"/>
        </w:rPr>
        <w:t xml:space="preserve"> que, haga entrega a la parte </w:t>
      </w:r>
      <w:r w:rsidRPr="00A600F4">
        <w:rPr>
          <w:rFonts w:ascii="Palatino Linotype" w:eastAsia="Palatino Linotype" w:hAnsi="Palatino Linotype" w:cs="Palatino Linotype"/>
          <w:b/>
          <w:sz w:val="24"/>
          <w:szCs w:val="24"/>
        </w:rPr>
        <w:t>Recurrente</w:t>
      </w:r>
      <w:r w:rsidRPr="00A600F4">
        <w:rPr>
          <w:rFonts w:ascii="Palatino Linotype" w:eastAsia="Palatino Linotype" w:hAnsi="Palatino Linotype" w:cs="Palatino Linotype"/>
          <w:sz w:val="24"/>
          <w:szCs w:val="24"/>
        </w:rPr>
        <w:t xml:space="preserve"> mediante el Sistema de Acceso a la Información Mexiquense (</w:t>
      </w:r>
      <w:r w:rsidRPr="00A600F4">
        <w:rPr>
          <w:rFonts w:ascii="Palatino Linotype" w:eastAsia="Palatino Linotype" w:hAnsi="Palatino Linotype" w:cs="Palatino Linotype"/>
          <w:b/>
          <w:sz w:val="24"/>
          <w:szCs w:val="24"/>
        </w:rPr>
        <w:t>SAIMEX</w:t>
      </w:r>
      <w:r w:rsidRPr="00A600F4">
        <w:rPr>
          <w:rFonts w:ascii="Palatino Linotype" w:eastAsia="Palatino Linotype" w:hAnsi="Palatino Linotype" w:cs="Palatino Linotype"/>
          <w:sz w:val="24"/>
          <w:szCs w:val="24"/>
        </w:rPr>
        <w:t xml:space="preserve">), por resultar fundados los motivos de inconformidad argüidos por la parte Recurrente en la solicitud de información </w:t>
      </w:r>
      <w:r w:rsidR="003F439F" w:rsidRPr="00A600F4">
        <w:rPr>
          <w:rFonts w:ascii="Palatino Linotype" w:hAnsi="Palatino Linotype"/>
          <w:b/>
          <w:bCs/>
          <w:sz w:val="24"/>
          <w:szCs w:val="24"/>
        </w:rPr>
        <w:t>00349/MEXICAL/IP/2025</w:t>
      </w:r>
      <w:r w:rsidR="003F439F" w:rsidRPr="00A600F4">
        <w:rPr>
          <w:rFonts w:ascii="Palatino Linotype" w:eastAsia="Palatino Linotype" w:hAnsi="Palatino Linotype" w:cs="Palatino Linotype"/>
          <w:sz w:val="24"/>
          <w:szCs w:val="24"/>
        </w:rPr>
        <w:t xml:space="preserve"> </w:t>
      </w:r>
      <w:r w:rsidRPr="00A600F4">
        <w:rPr>
          <w:rFonts w:ascii="Palatino Linotype" w:eastAsia="Palatino Linotype" w:hAnsi="Palatino Linotype" w:cs="Palatino Linotype"/>
          <w:sz w:val="24"/>
          <w:szCs w:val="24"/>
        </w:rPr>
        <w:t>en términos del Considerando</w:t>
      </w:r>
      <w:r w:rsidRPr="00A600F4">
        <w:rPr>
          <w:rFonts w:ascii="Palatino Linotype" w:eastAsia="Palatino Linotype" w:hAnsi="Palatino Linotype" w:cs="Palatino Linotype"/>
          <w:b/>
          <w:sz w:val="24"/>
          <w:szCs w:val="24"/>
        </w:rPr>
        <w:t xml:space="preserve"> TERCERO</w:t>
      </w:r>
      <w:r w:rsidRPr="00A600F4">
        <w:rPr>
          <w:rFonts w:ascii="Palatino Linotype" w:eastAsia="Palatino Linotype" w:hAnsi="Palatino Linotype" w:cs="Palatino Linotype"/>
          <w:sz w:val="24"/>
          <w:szCs w:val="24"/>
        </w:rPr>
        <w:t xml:space="preserve">  </w:t>
      </w:r>
      <w:r w:rsidR="00E83B89" w:rsidRPr="00A600F4">
        <w:rPr>
          <w:rFonts w:ascii="Palatino Linotype" w:eastAsia="Palatino Linotype" w:hAnsi="Palatino Linotype" w:cs="Palatino Linotype"/>
          <w:sz w:val="24"/>
          <w:szCs w:val="24"/>
        </w:rPr>
        <w:t xml:space="preserve">en versión íntegra </w:t>
      </w:r>
      <w:r w:rsidRPr="00A600F4">
        <w:rPr>
          <w:rFonts w:ascii="Palatino Linotype" w:eastAsia="Palatino Linotype" w:hAnsi="Palatino Linotype" w:cs="Palatino Linotype"/>
          <w:sz w:val="24"/>
          <w:szCs w:val="24"/>
        </w:rPr>
        <w:t>de lo siguiente:</w:t>
      </w:r>
    </w:p>
    <w:p w:rsidR="00EB4322" w:rsidRPr="00A600F4" w:rsidRDefault="008A5004" w:rsidP="00EB4322">
      <w:pPr>
        <w:pStyle w:val="Prrafodelista"/>
        <w:numPr>
          <w:ilvl w:val="0"/>
          <w:numId w:val="3"/>
        </w:numPr>
        <w:spacing w:after="0" w:line="360" w:lineRule="auto"/>
        <w:contextualSpacing w:val="0"/>
        <w:jc w:val="both"/>
        <w:rPr>
          <w:rFonts w:ascii="Palatino Linotype" w:hAnsi="Palatino Linotype"/>
          <w:i/>
          <w:sz w:val="24"/>
          <w:szCs w:val="24"/>
        </w:rPr>
      </w:pPr>
      <w:r w:rsidRPr="00A600F4">
        <w:rPr>
          <w:rFonts w:ascii="Palatino Linotype" w:hAnsi="Palatino Linotype" w:cs="Tahoma"/>
          <w:color w:val="000000"/>
          <w:sz w:val="24"/>
          <w:szCs w:val="24"/>
        </w:rPr>
        <w:t>Soporte documental que dé cuenta del Programa Anual de Obras autorizado para el ejercicio 2025</w:t>
      </w:r>
      <w:r w:rsidR="00EB4322" w:rsidRPr="00A600F4">
        <w:rPr>
          <w:rFonts w:ascii="Palatino Linotype" w:hAnsi="Palatino Linotype"/>
          <w:i/>
          <w:sz w:val="24"/>
          <w:szCs w:val="24"/>
        </w:rPr>
        <w:t xml:space="preserve">. </w:t>
      </w:r>
    </w:p>
    <w:p w:rsidR="00EB4322" w:rsidRPr="00A600F4" w:rsidRDefault="00EB4322" w:rsidP="00EB4322">
      <w:pPr>
        <w:spacing w:line="360" w:lineRule="auto"/>
        <w:jc w:val="both"/>
        <w:rPr>
          <w:rFonts w:ascii="Palatino Linotype" w:eastAsia="Palatino Linotype" w:hAnsi="Palatino Linotype" w:cs="Palatino Linotype"/>
          <w:i/>
        </w:rPr>
      </w:pPr>
    </w:p>
    <w:p w:rsidR="00EB4322" w:rsidRPr="00A600F4" w:rsidRDefault="00EB4322" w:rsidP="00EB4322">
      <w:pPr>
        <w:spacing w:line="360" w:lineRule="auto"/>
        <w:jc w:val="both"/>
        <w:rPr>
          <w:rFonts w:ascii="Palatino Linotype" w:hAnsi="Palatino Linotype" w:cs="Tahoma"/>
          <w:sz w:val="24"/>
          <w:szCs w:val="24"/>
          <w:lang w:eastAsia="es-ES"/>
        </w:rPr>
      </w:pPr>
      <w:r w:rsidRPr="00A600F4">
        <w:rPr>
          <w:rFonts w:ascii="Palatino Linotype" w:eastAsia="Palatino Linotype" w:hAnsi="Palatino Linotype" w:cs="Palatino Linotype"/>
          <w:b/>
          <w:sz w:val="24"/>
          <w:szCs w:val="24"/>
        </w:rPr>
        <w:t xml:space="preserve">SEGUNDO. </w:t>
      </w:r>
      <w:r w:rsidRPr="00A600F4">
        <w:rPr>
          <w:rFonts w:ascii="Palatino Linotype" w:hAnsi="Palatino Linotype" w:cs="Tahoma"/>
          <w:b/>
          <w:sz w:val="24"/>
          <w:szCs w:val="24"/>
          <w:lang w:eastAsia="es-ES"/>
        </w:rPr>
        <w:t xml:space="preserve">NOTIFÍQUESE </w:t>
      </w:r>
      <w:r w:rsidRPr="00A600F4">
        <w:rPr>
          <w:rFonts w:ascii="Palatino Linotype" w:hAnsi="Palatino Linotype" w:cs="Tahoma"/>
          <w:sz w:val="24"/>
          <w:szCs w:val="24"/>
          <w:lang w:eastAsia="es-ES"/>
        </w:rPr>
        <w:t xml:space="preserve">la presente resolución al Titular de la Unidad de Transparencia del Sujeto Obligado, vía </w:t>
      </w:r>
      <w:r w:rsidRPr="00A600F4">
        <w:rPr>
          <w:rFonts w:ascii="Palatino Linotype" w:eastAsia="Palatino Linotype" w:hAnsi="Palatino Linotype" w:cs="Palatino Linotype"/>
          <w:sz w:val="24"/>
          <w:szCs w:val="24"/>
        </w:rPr>
        <w:t>Sistema de Acceso a la Información Mexiquense (</w:t>
      </w:r>
      <w:r w:rsidRPr="00A600F4">
        <w:rPr>
          <w:rFonts w:ascii="Palatino Linotype" w:eastAsia="Palatino Linotype" w:hAnsi="Palatino Linotype" w:cs="Palatino Linotype"/>
          <w:b/>
          <w:sz w:val="24"/>
          <w:szCs w:val="24"/>
        </w:rPr>
        <w:t>SAIMEX</w:t>
      </w:r>
      <w:r w:rsidRPr="00A600F4">
        <w:rPr>
          <w:rFonts w:ascii="Palatino Linotype" w:eastAsia="Palatino Linotype" w:hAnsi="Palatino Linotype" w:cs="Palatino Linotype"/>
          <w:sz w:val="24"/>
          <w:szCs w:val="24"/>
        </w:rPr>
        <w:t xml:space="preserve">) </w:t>
      </w:r>
      <w:r w:rsidRPr="00A600F4">
        <w:rPr>
          <w:rFonts w:ascii="Palatino Linotype" w:hAnsi="Palatino Linotype" w:cs="Tahoma"/>
          <w:sz w:val="24"/>
          <w:szCs w:val="24"/>
          <w:lang w:eastAsia="es-ES"/>
        </w:rPr>
        <w:t xml:space="preserve">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w:t>
      </w:r>
      <w:r w:rsidRPr="00A600F4">
        <w:rPr>
          <w:rFonts w:ascii="Palatino Linotype" w:hAnsi="Palatino Linotype" w:cs="Tahoma"/>
          <w:sz w:val="24"/>
          <w:szCs w:val="24"/>
          <w:lang w:eastAsia="es-ES"/>
        </w:rPr>
        <w:lastRenderedPageBreak/>
        <w:t>y 216 de la Ley de Transparencia y Acceso a la Información Pública del Estado de México y Municipios.</w:t>
      </w:r>
    </w:p>
    <w:p w:rsidR="00EB4322" w:rsidRPr="00A600F4" w:rsidRDefault="00EB4322" w:rsidP="00EB4322">
      <w:pPr>
        <w:spacing w:line="360" w:lineRule="auto"/>
        <w:jc w:val="both"/>
        <w:rPr>
          <w:rFonts w:ascii="Palatino Linotype" w:hAnsi="Palatino Linotype" w:cs="Tahoma"/>
          <w:sz w:val="24"/>
          <w:szCs w:val="24"/>
          <w:lang w:eastAsia="es-ES"/>
        </w:rPr>
      </w:pPr>
    </w:p>
    <w:p w:rsidR="00EB4322" w:rsidRPr="00A600F4" w:rsidRDefault="00EB4322" w:rsidP="00EB4322">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A600F4">
        <w:rPr>
          <w:rFonts w:ascii="Palatino Linotype" w:eastAsia="Palatino Linotype" w:hAnsi="Palatino Linotype" w:cs="Palatino Linotype"/>
          <w:b/>
          <w:sz w:val="24"/>
          <w:szCs w:val="24"/>
        </w:rPr>
        <w:t xml:space="preserve">TERCERO. </w:t>
      </w:r>
      <w:r w:rsidRPr="00A600F4">
        <w:rPr>
          <w:rFonts w:ascii="Palatino Linotype" w:eastAsia="Palatino Linotype" w:hAnsi="Palatino Linotype" w:cs="Palatino Linotype"/>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EB4322" w:rsidRPr="00A600F4" w:rsidRDefault="00EB4322" w:rsidP="00EB4322">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p>
    <w:p w:rsidR="00EB4322" w:rsidRPr="00A600F4" w:rsidRDefault="00EB4322" w:rsidP="00EB4322">
      <w:pPr>
        <w:autoSpaceDE w:val="0"/>
        <w:autoSpaceDN w:val="0"/>
        <w:adjustRightInd w:val="0"/>
        <w:spacing w:line="360" w:lineRule="auto"/>
        <w:jc w:val="both"/>
        <w:rPr>
          <w:rFonts w:ascii="Palatino Linotype" w:hAnsi="Palatino Linotype"/>
          <w:b/>
          <w:sz w:val="24"/>
          <w:szCs w:val="24"/>
        </w:rPr>
      </w:pPr>
      <w:r w:rsidRPr="00A600F4">
        <w:rPr>
          <w:rFonts w:ascii="Palatino Linotype" w:hAnsi="Palatino Linotype"/>
          <w:b/>
          <w:sz w:val="24"/>
          <w:szCs w:val="24"/>
        </w:rPr>
        <w:t xml:space="preserve">CUARTO. </w:t>
      </w:r>
      <w:r w:rsidRPr="00A600F4">
        <w:rPr>
          <w:rFonts w:ascii="Palatino Linotype" w:hAnsi="Palatino Linotype" w:cstheme="minorHAnsi"/>
          <w:sz w:val="24"/>
          <w:szCs w:val="24"/>
          <w:lang w:eastAsia="es-ES_tradnl"/>
        </w:rPr>
        <w:t>Se hace del conocimiento de la parte Recurrente que, de conformidad con lo establecido en el segundo párrafo del artículo 179 de la Ley de Transparencia y Acceso a la Información Pública del Estado de México y Municipios, tiene derecho a interponer nuevamente Recurso de Revisión ante este Instituto, por la respuesta que proporcione el Sujeto Obligado en cumplimiento a esta Resolución</w:t>
      </w:r>
    </w:p>
    <w:p w:rsidR="00EB4322" w:rsidRPr="00A600F4" w:rsidRDefault="00EB4322" w:rsidP="00EB4322">
      <w:pPr>
        <w:pBdr>
          <w:top w:val="nil"/>
          <w:left w:val="nil"/>
          <w:bottom w:val="nil"/>
          <w:right w:val="nil"/>
          <w:between w:val="nil"/>
        </w:pBdr>
        <w:spacing w:line="360" w:lineRule="auto"/>
        <w:jc w:val="both"/>
        <w:rPr>
          <w:rFonts w:ascii="Palatino Linotype" w:eastAsia="Palatino Linotype" w:hAnsi="Palatino Linotype" w:cs="Palatino Linotype"/>
          <w:b/>
          <w:color w:val="000000"/>
          <w:sz w:val="24"/>
          <w:szCs w:val="24"/>
        </w:rPr>
      </w:pPr>
    </w:p>
    <w:p w:rsidR="00EB4322" w:rsidRPr="00A600F4" w:rsidRDefault="00EB4322" w:rsidP="00EB4322">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r w:rsidRPr="00A600F4">
        <w:rPr>
          <w:rFonts w:ascii="Palatino Linotype" w:eastAsia="Palatino Linotype" w:hAnsi="Palatino Linotype" w:cs="Palatino Linotype"/>
          <w:b/>
          <w:color w:val="000000"/>
          <w:sz w:val="24"/>
          <w:szCs w:val="24"/>
        </w:rPr>
        <w:t xml:space="preserve">QUINTO. </w:t>
      </w:r>
      <w:r w:rsidRPr="00A600F4">
        <w:rPr>
          <w:rFonts w:ascii="Palatino Linotype" w:hAnsi="Palatino Linotype" w:cs="Arial"/>
          <w:b/>
          <w:sz w:val="24"/>
          <w:szCs w:val="24"/>
        </w:rPr>
        <w:t>NOTIFÍQUESE</w:t>
      </w:r>
      <w:r w:rsidRPr="00A600F4">
        <w:rPr>
          <w:rFonts w:ascii="Palatino Linotype" w:hAnsi="Palatino Linotype" w:cs="Arial"/>
          <w:sz w:val="24"/>
          <w:szCs w:val="24"/>
        </w:rPr>
        <w:t xml:space="preserve"> a través del Sistema de Acceso a la Información Mexiquense (SAIMEX) a la </w:t>
      </w:r>
      <w:r w:rsidRPr="00A600F4">
        <w:rPr>
          <w:rFonts w:ascii="Palatino Linotype" w:hAnsi="Palatino Linotype" w:cs="Arial"/>
          <w:b/>
          <w:sz w:val="24"/>
          <w:szCs w:val="24"/>
        </w:rPr>
        <w:t>Recurrente</w:t>
      </w:r>
      <w:r w:rsidRPr="00A600F4">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EB4322" w:rsidRPr="00A600F4" w:rsidRDefault="00EB4322" w:rsidP="00EB4322">
      <w:pPr>
        <w:autoSpaceDE w:val="0"/>
        <w:autoSpaceDN w:val="0"/>
        <w:adjustRightInd w:val="0"/>
        <w:spacing w:line="360" w:lineRule="auto"/>
        <w:jc w:val="both"/>
        <w:rPr>
          <w:rFonts w:ascii="Palatino Linotype" w:hAnsi="Palatino Linotype" w:cs="Arial"/>
          <w:sz w:val="24"/>
          <w:szCs w:val="24"/>
        </w:rPr>
      </w:pPr>
    </w:p>
    <w:p w:rsidR="00EB4322" w:rsidRPr="00A600F4" w:rsidRDefault="00EB4322" w:rsidP="00EB4322">
      <w:pPr>
        <w:tabs>
          <w:tab w:val="left" w:pos="284"/>
        </w:tabs>
        <w:spacing w:line="360" w:lineRule="auto"/>
        <w:jc w:val="both"/>
        <w:rPr>
          <w:rFonts w:ascii="Palatino Linotype" w:hAnsi="Palatino Linotype"/>
          <w:sz w:val="24"/>
          <w:szCs w:val="24"/>
          <w:lang w:eastAsia="es-ES_tradnl"/>
        </w:rPr>
      </w:pPr>
      <w:r w:rsidRPr="00A600F4">
        <w:rPr>
          <w:rFonts w:ascii="Palatino Linotype" w:eastAsia="Times New Roman" w:hAnsi="Palatino Linotype" w:cs="Arial"/>
          <w:b/>
          <w:sz w:val="24"/>
          <w:szCs w:val="24"/>
          <w:lang w:val="es-ES" w:eastAsia="es-ES"/>
        </w:rPr>
        <w:lastRenderedPageBreak/>
        <w:t xml:space="preserve">SEXTO. </w:t>
      </w:r>
      <w:r w:rsidRPr="00A600F4">
        <w:rPr>
          <w:rFonts w:ascii="Palatino Linotype" w:hAnsi="Palatino Linotype" w:cs="Times New Roman"/>
          <w:b/>
          <w:sz w:val="24"/>
          <w:szCs w:val="24"/>
          <w:lang w:eastAsia="es-ES_tradnl"/>
        </w:rPr>
        <w:t xml:space="preserve">- </w:t>
      </w:r>
      <w:r w:rsidRPr="00A600F4">
        <w:rPr>
          <w:rFonts w:ascii="Palatino Linotype" w:eastAsia="Palatino Linotype" w:hAnsi="Palatino Linotype" w:cs="Palatino Linotype"/>
          <w:b/>
          <w:sz w:val="24"/>
          <w:szCs w:val="24"/>
        </w:rPr>
        <w:t xml:space="preserve">Gírese </w:t>
      </w:r>
      <w:r w:rsidRPr="00A600F4">
        <w:rPr>
          <w:rFonts w:ascii="Palatino Linotype" w:eastAsia="Palatino Linotype" w:hAnsi="Palatino Linotype" w:cs="Palatino Linotype"/>
          <w:bCs/>
          <w:sz w:val="24"/>
          <w:szCs w:val="24"/>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Pr="00A600F4">
        <w:rPr>
          <w:rFonts w:ascii="Palatino Linotype" w:eastAsia="Palatino Linotype" w:hAnsi="Palatino Linotype" w:cs="Palatino Linotype"/>
          <w:b/>
          <w:sz w:val="24"/>
          <w:szCs w:val="24"/>
        </w:rPr>
        <w:t xml:space="preserve"> Considerando TERCERO </w:t>
      </w:r>
      <w:r w:rsidRPr="00A600F4">
        <w:rPr>
          <w:rFonts w:ascii="Palatino Linotype" w:eastAsia="Palatino Linotype" w:hAnsi="Palatino Linotype" w:cs="Palatino Linotype"/>
          <w:bCs/>
          <w:sz w:val="24"/>
          <w:szCs w:val="24"/>
        </w:rPr>
        <w:t>de la presente resolución</w:t>
      </w:r>
      <w:r w:rsidRPr="00A600F4">
        <w:rPr>
          <w:rFonts w:ascii="Palatino Linotype" w:hAnsi="Palatino Linotype"/>
          <w:sz w:val="24"/>
          <w:szCs w:val="24"/>
          <w:lang w:eastAsia="es-ES_tradnl"/>
        </w:rPr>
        <w:t>.</w:t>
      </w:r>
    </w:p>
    <w:p w:rsidR="003F439F" w:rsidRPr="00A600F4" w:rsidRDefault="003F439F" w:rsidP="00EB4322">
      <w:pPr>
        <w:tabs>
          <w:tab w:val="left" w:pos="284"/>
        </w:tabs>
        <w:spacing w:line="360" w:lineRule="auto"/>
        <w:jc w:val="both"/>
        <w:rPr>
          <w:rFonts w:ascii="Palatino Linotype" w:hAnsi="Palatino Linotype"/>
          <w:sz w:val="24"/>
          <w:szCs w:val="24"/>
          <w:lang w:eastAsia="es-ES_tradnl"/>
        </w:rPr>
      </w:pPr>
    </w:p>
    <w:p w:rsidR="00EB4322" w:rsidRPr="00A600F4" w:rsidRDefault="00EB4322" w:rsidP="00EB4322">
      <w:pPr>
        <w:autoSpaceDE w:val="0"/>
        <w:autoSpaceDN w:val="0"/>
        <w:adjustRightInd w:val="0"/>
        <w:spacing w:line="360" w:lineRule="auto"/>
        <w:jc w:val="both"/>
        <w:rPr>
          <w:rFonts w:ascii="Palatino Linotype" w:hAnsi="Palatino Linotype" w:cs="Arial"/>
        </w:rPr>
      </w:pPr>
      <w:r w:rsidRPr="00A600F4">
        <w:rPr>
          <w:rFonts w:ascii="Palatino Linotype" w:hAnsi="Palatino Linotype" w:cs="Arial"/>
          <w:sz w:val="24"/>
        </w:rPr>
        <w:t xml:space="preserve">ASÍ LO ACORDÓ, POR </w:t>
      </w:r>
      <w:r w:rsidRPr="00A600F4">
        <w:rPr>
          <w:rFonts w:ascii="Palatino Linotype" w:hAnsi="Palatino Linotype" w:cs="Arial"/>
          <w:b/>
          <w:sz w:val="24"/>
        </w:rPr>
        <w:t>UNANIMIDAD DE VOTOS</w:t>
      </w:r>
      <w:r w:rsidRPr="00A600F4">
        <w:rPr>
          <w:rFonts w:ascii="Palatino Linotype" w:hAnsi="Palatino Linotype" w:cs="Arial"/>
          <w:sz w:val="24"/>
        </w:rPr>
        <w:t>, EL PLENO DEL</w:t>
      </w:r>
      <w:r w:rsidRPr="00A600F4">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A600F4">
        <w:rPr>
          <w:rFonts w:ascii="Palatino Linotype" w:hAnsi="Palatino Linotype" w:cs="Arial"/>
          <w:sz w:val="24"/>
        </w:rPr>
        <w:t>, CONFORMADO POR LOS COMISIONADOS JOSÉ MARTÍNEZ VILCHIS, MARÍA DEL ROSARIO MEJÍA AYALA, SHARON CRISTINA MORALES MARTÍNEZ</w:t>
      </w:r>
      <w:r w:rsidR="003C4A00" w:rsidRPr="00A600F4">
        <w:rPr>
          <w:rFonts w:ascii="Palatino Linotype" w:hAnsi="Palatino Linotype" w:cs="Arial"/>
          <w:sz w:val="24"/>
        </w:rPr>
        <w:t xml:space="preserve"> </w:t>
      </w:r>
      <w:r w:rsidRPr="00A600F4">
        <w:rPr>
          <w:rFonts w:ascii="Palatino Linotype" w:hAnsi="Palatino Linotype" w:cs="Arial"/>
          <w:sz w:val="24"/>
        </w:rPr>
        <w:t xml:space="preserve">, LUIS GUSTAVO PARRA NORIEGA Y GUADALUPE RAMÍREZ PEÑA EN LA </w:t>
      </w:r>
      <w:r w:rsidRPr="00A600F4">
        <w:rPr>
          <w:rFonts w:ascii="Palatino Linotype" w:hAnsi="Palatino Linotype" w:cs="Arial"/>
          <w:b/>
          <w:sz w:val="24"/>
        </w:rPr>
        <w:t xml:space="preserve">TRIGÉSIMA </w:t>
      </w:r>
      <w:r w:rsidR="00F87593" w:rsidRPr="00A600F4">
        <w:rPr>
          <w:rFonts w:ascii="Palatino Linotype" w:hAnsi="Palatino Linotype" w:cs="Arial"/>
          <w:b/>
          <w:sz w:val="24"/>
        </w:rPr>
        <w:t xml:space="preserve">SÉPTIMA </w:t>
      </w:r>
      <w:r w:rsidRPr="00A600F4">
        <w:rPr>
          <w:rFonts w:ascii="Palatino Linotype" w:hAnsi="Palatino Linotype" w:cs="Arial"/>
          <w:b/>
          <w:sz w:val="24"/>
        </w:rPr>
        <w:t xml:space="preserve">SESIÓN ORDINARIA CELEBRADA EL </w:t>
      </w:r>
      <w:r w:rsidR="00F87593" w:rsidRPr="00A600F4">
        <w:rPr>
          <w:rFonts w:ascii="Palatino Linotype" w:hAnsi="Palatino Linotype" w:cs="Arial"/>
          <w:b/>
          <w:sz w:val="24"/>
        </w:rPr>
        <w:t xml:space="preserve">QUINCE DE OCTUBRE </w:t>
      </w:r>
      <w:r w:rsidRPr="00A600F4">
        <w:rPr>
          <w:rFonts w:ascii="Palatino Linotype" w:hAnsi="Palatino Linotype" w:cs="Arial"/>
          <w:b/>
          <w:sz w:val="24"/>
        </w:rPr>
        <w:t>DE DOS MIL VEINTICINCO</w:t>
      </w:r>
      <w:r w:rsidRPr="00A600F4">
        <w:rPr>
          <w:rFonts w:ascii="Palatino Linotype" w:hAnsi="Palatino Linotype" w:cs="Arial"/>
          <w:sz w:val="24"/>
        </w:rPr>
        <w:t>, ANTE EL SECRETARIO TÉCNICO DEL PLENO, ALEXIS TAPIA RAMÍREZ. ----------------------------------------------------------------------------------------</w:t>
      </w:r>
      <w:r w:rsidRPr="00A600F4">
        <w:rPr>
          <w:rFonts w:ascii="Palatino Linotype" w:hAnsi="Palatino Linotype" w:cs="Arial"/>
        </w:rPr>
        <w:t>-----------------------------------------------------------------------------------------------------------------------------------------------------------------------------------------------------------------------------</w:t>
      </w:r>
      <w:r w:rsidR="00DA0444" w:rsidRPr="00A600F4">
        <w:rPr>
          <w:rFonts w:cs="Arial"/>
          <w:szCs w:val="24"/>
        </w:rPr>
        <w:t>--------------------------------------------------------------------------------------------------------------------------------------------------------------------------------------------------------------------------------------------------------------------------------------------------------------------------------------------------------------------------------------------------------------------------------------------------------------------------------------------------------------------------------------------------------------------------------------------------------------------------------------------------------------------------------------------------------------------------------------------------------------------------------------------------------------------------------------------------------------------------------------------------------------------------------------------------------------------------</w:t>
      </w:r>
    </w:p>
    <w:p w:rsidR="00EB4322" w:rsidRPr="00ED3150" w:rsidRDefault="00EB4322" w:rsidP="00EB4322">
      <w:pPr>
        <w:autoSpaceDE w:val="0"/>
        <w:autoSpaceDN w:val="0"/>
        <w:adjustRightInd w:val="0"/>
        <w:spacing w:line="360" w:lineRule="auto"/>
        <w:jc w:val="both"/>
        <w:rPr>
          <w:rFonts w:ascii="Palatino Linotype" w:hAnsi="Palatino Linotype"/>
          <w:sz w:val="20"/>
        </w:rPr>
      </w:pPr>
      <w:r w:rsidRPr="00A600F4">
        <w:rPr>
          <w:rFonts w:ascii="Palatino Linotype" w:hAnsi="Palatino Linotype"/>
          <w:bCs/>
          <w:sz w:val="16"/>
          <w:szCs w:val="18"/>
        </w:rPr>
        <w:t>JMV/CCR/ NJMB</w:t>
      </w:r>
      <w:bookmarkStart w:id="0" w:name="_GoBack"/>
      <w:bookmarkEnd w:id="0"/>
    </w:p>
    <w:p w:rsidR="00EB4322" w:rsidRPr="00ED3150" w:rsidRDefault="00EB4322" w:rsidP="00EB4322">
      <w:pPr>
        <w:rPr>
          <w:rFonts w:ascii="Palatino Linotype" w:hAnsi="Palatino Linotype"/>
        </w:rPr>
      </w:pPr>
    </w:p>
    <w:p w:rsidR="00EB4322" w:rsidRPr="00ED3150" w:rsidRDefault="00EB4322" w:rsidP="00EB4322">
      <w:pPr>
        <w:rPr>
          <w:rFonts w:ascii="Palatino Linotype" w:hAnsi="Palatino Linotype"/>
        </w:rPr>
      </w:pPr>
    </w:p>
    <w:p w:rsidR="00EB4322" w:rsidRPr="00ED3150" w:rsidRDefault="00EB4322" w:rsidP="00EB4322">
      <w:pPr>
        <w:rPr>
          <w:rFonts w:ascii="Palatino Linotype" w:hAnsi="Palatino Linotype"/>
        </w:rPr>
      </w:pPr>
    </w:p>
    <w:p w:rsidR="00EB4322" w:rsidRPr="00ED3150" w:rsidRDefault="00EB4322" w:rsidP="00EB4322">
      <w:pPr>
        <w:rPr>
          <w:rFonts w:ascii="Palatino Linotype" w:hAnsi="Palatino Linotype"/>
        </w:rPr>
      </w:pPr>
    </w:p>
    <w:p w:rsidR="00EB4322" w:rsidRPr="00ED3150" w:rsidRDefault="00EB4322" w:rsidP="00EB4322">
      <w:pPr>
        <w:rPr>
          <w:rFonts w:ascii="Palatino Linotype" w:hAnsi="Palatino Linotype"/>
        </w:rPr>
      </w:pPr>
    </w:p>
    <w:p w:rsidR="00EB4322" w:rsidRPr="00ED3150" w:rsidRDefault="00EB4322" w:rsidP="00EB4322">
      <w:pPr>
        <w:rPr>
          <w:rFonts w:ascii="Palatino Linotype" w:hAnsi="Palatino Linotype"/>
        </w:rPr>
      </w:pPr>
    </w:p>
    <w:p w:rsidR="00EB4322" w:rsidRPr="00ED3150" w:rsidRDefault="00EB4322" w:rsidP="00EB4322">
      <w:pPr>
        <w:rPr>
          <w:rFonts w:ascii="Palatino Linotype" w:hAnsi="Palatino Linotype"/>
        </w:rPr>
      </w:pPr>
    </w:p>
    <w:p w:rsidR="00EB4322" w:rsidRPr="00ED3150" w:rsidRDefault="00EB4322" w:rsidP="00EB4322">
      <w:pPr>
        <w:rPr>
          <w:rFonts w:ascii="Palatino Linotype" w:hAnsi="Palatino Linotype"/>
        </w:rPr>
      </w:pPr>
    </w:p>
    <w:p w:rsidR="00EB4322" w:rsidRPr="00ED3150" w:rsidRDefault="00EB4322" w:rsidP="00EB4322">
      <w:pPr>
        <w:rPr>
          <w:rFonts w:ascii="Palatino Linotype" w:hAnsi="Palatino Linotype"/>
        </w:rPr>
      </w:pPr>
    </w:p>
    <w:p w:rsidR="00EB4322" w:rsidRPr="00ED3150" w:rsidRDefault="00EB4322" w:rsidP="00EB4322">
      <w:pPr>
        <w:rPr>
          <w:rFonts w:ascii="Palatino Linotype" w:hAnsi="Palatino Linotype"/>
        </w:rPr>
      </w:pPr>
    </w:p>
    <w:p w:rsidR="00EB4322" w:rsidRPr="00ED3150" w:rsidRDefault="00EB4322" w:rsidP="00EB4322">
      <w:pPr>
        <w:rPr>
          <w:rFonts w:ascii="Palatino Linotype" w:hAnsi="Palatino Linotype"/>
        </w:rPr>
      </w:pPr>
    </w:p>
    <w:p w:rsidR="00EB4322" w:rsidRPr="00ED3150" w:rsidRDefault="00EB4322" w:rsidP="00EB4322">
      <w:pPr>
        <w:rPr>
          <w:rFonts w:ascii="Palatino Linotype" w:hAnsi="Palatino Linotype"/>
        </w:rPr>
      </w:pPr>
    </w:p>
    <w:p w:rsidR="00EB4322" w:rsidRPr="00ED3150" w:rsidRDefault="00EB4322" w:rsidP="00EB4322">
      <w:pPr>
        <w:rPr>
          <w:rFonts w:ascii="Palatino Linotype" w:hAnsi="Palatino Linotype"/>
        </w:rPr>
      </w:pPr>
    </w:p>
    <w:p w:rsidR="00EB4322" w:rsidRPr="00ED3150" w:rsidRDefault="00EB4322" w:rsidP="00EB4322">
      <w:pPr>
        <w:rPr>
          <w:rFonts w:ascii="Palatino Linotype" w:hAnsi="Palatino Linotype"/>
        </w:rPr>
      </w:pPr>
    </w:p>
    <w:p w:rsidR="00EB4322" w:rsidRPr="00ED3150" w:rsidRDefault="00EB4322" w:rsidP="00EB4322">
      <w:pPr>
        <w:rPr>
          <w:rFonts w:ascii="Palatino Linotype" w:hAnsi="Palatino Linotype"/>
        </w:rPr>
      </w:pPr>
    </w:p>
    <w:p w:rsidR="00482F6F" w:rsidRDefault="00482F6F"/>
    <w:sectPr w:rsidR="00482F6F" w:rsidSect="00EB4322">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3F6" w:rsidRDefault="00E203F6" w:rsidP="00EB4322">
      <w:pPr>
        <w:spacing w:after="0" w:line="240" w:lineRule="auto"/>
      </w:pPr>
      <w:r>
        <w:separator/>
      </w:r>
    </w:p>
  </w:endnote>
  <w:endnote w:type="continuationSeparator" w:id="0">
    <w:p w:rsidR="00E203F6" w:rsidRDefault="00E203F6" w:rsidP="00EB4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322" w:rsidRPr="000B69FA" w:rsidRDefault="00EB4322" w:rsidP="00EB432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F7194">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F7194">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322" w:rsidRPr="000B69FA" w:rsidRDefault="00EB4322" w:rsidP="00EB432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F719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F7194">
      <w:rPr>
        <w:rFonts w:ascii="Palatino Linotype" w:hAnsi="Palatino Linotype"/>
        <w:bCs/>
        <w:noProof/>
        <w:sz w:val="20"/>
      </w:rPr>
      <w:t>26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3F6" w:rsidRDefault="00E203F6" w:rsidP="00EB4322">
      <w:pPr>
        <w:spacing w:after="0" w:line="240" w:lineRule="auto"/>
      </w:pPr>
      <w:r>
        <w:separator/>
      </w:r>
    </w:p>
  </w:footnote>
  <w:footnote w:type="continuationSeparator" w:id="0">
    <w:p w:rsidR="00E203F6" w:rsidRDefault="00E203F6" w:rsidP="00EB43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322" w:rsidRDefault="00EB4322">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B5D99C2" wp14:editId="40E072A1">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EB4322" w:rsidTr="00EB4322">
      <w:trPr>
        <w:trHeight w:val="227"/>
      </w:trPr>
      <w:tc>
        <w:tcPr>
          <w:tcW w:w="5529" w:type="dxa"/>
          <w:hideMark/>
        </w:tcPr>
        <w:p w:rsidR="00EB4322" w:rsidRDefault="00EB4322" w:rsidP="00EB432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B4322" w:rsidRPr="00B4142F" w:rsidRDefault="00EB4322" w:rsidP="00EB4322">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09960/INFOEM/IP/RR/2025</w:t>
          </w:r>
        </w:p>
      </w:tc>
    </w:tr>
    <w:tr w:rsidR="00EB4322" w:rsidTr="00EB4322">
      <w:trPr>
        <w:trHeight w:val="242"/>
      </w:trPr>
      <w:tc>
        <w:tcPr>
          <w:tcW w:w="5529" w:type="dxa"/>
          <w:hideMark/>
        </w:tcPr>
        <w:p w:rsidR="00EB4322" w:rsidRDefault="00EB4322" w:rsidP="00EB432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B4322" w:rsidRPr="004076B3" w:rsidRDefault="00EB4322" w:rsidP="00EB4322">
          <w:pPr>
            <w:spacing w:after="120" w:line="256" w:lineRule="auto"/>
            <w:ind w:left="639" w:right="214"/>
            <w:jc w:val="both"/>
            <w:rPr>
              <w:rFonts w:ascii="Palatino Linotype" w:hAnsi="Palatino Linotype" w:cs="Arial"/>
              <w:sz w:val="24"/>
              <w:szCs w:val="24"/>
            </w:rPr>
          </w:pPr>
          <w:r>
            <w:rPr>
              <w:rFonts w:ascii="Palatino Linotype" w:hAnsi="Palatino Linotype"/>
              <w:b/>
              <w:bCs/>
              <w:color w:val="000000"/>
              <w:sz w:val="24"/>
              <w:szCs w:val="24"/>
            </w:rPr>
            <w:t>Ayuntamiento de</w:t>
          </w:r>
          <w:r w:rsidRPr="00EB4322">
            <w:rPr>
              <w:rFonts w:ascii="Palatino Linotype" w:hAnsi="Palatino Linotype"/>
              <w:b/>
              <w:bCs/>
              <w:color w:val="000000"/>
              <w:sz w:val="24"/>
              <w:szCs w:val="24"/>
            </w:rPr>
            <w:t xml:space="preserve"> Mexicaltzingo</w:t>
          </w:r>
        </w:p>
      </w:tc>
    </w:tr>
    <w:tr w:rsidR="00EB4322" w:rsidTr="00EB4322">
      <w:trPr>
        <w:trHeight w:val="342"/>
      </w:trPr>
      <w:tc>
        <w:tcPr>
          <w:tcW w:w="5529" w:type="dxa"/>
          <w:hideMark/>
        </w:tcPr>
        <w:p w:rsidR="00EB4322" w:rsidRDefault="00EB4322" w:rsidP="00EB432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EB4322" w:rsidRDefault="00EB4322" w:rsidP="00EB4322">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rsidR="00EB4322" w:rsidRDefault="00EB432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B4322" w:rsidTr="00EB4322">
      <w:trPr>
        <w:trHeight w:val="227"/>
      </w:trPr>
      <w:tc>
        <w:tcPr>
          <w:tcW w:w="5529" w:type="dxa"/>
          <w:hideMark/>
        </w:tcPr>
        <w:p w:rsidR="00EB4322" w:rsidRDefault="00EB4322" w:rsidP="00EB432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B4322" w:rsidRPr="00B4142F" w:rsidRDefault="00EB4322" w:rsidP="00EB4322">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09960/INFOEM/IP/RR/2025</w:t>
          </w:r>
        </w:p>
      </w:tc>
    </w:tr>
    <w:tr w:rsidR="00EB4322" w:rsidTr="00EB4322">
      <w:trPr>
        <w:trHeight w:val="227"/>
      </w:trPr>
      <w:tc>
        <w:tcPr>
          <w:tcW w:w="5529" w:type="dxa"/>
        </w:tcPr>
        <w:p w:rsidR="00EB4322" w:rsidRDefault="00EB4322" w:rsidP="00EB4322">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tcPr>
        <w:p w:rsidR="00EB4322" w:rsidRDefault="005F7194" w:rsidP="00EB4322">
          <w:pPr>
            <w:spacing w:after="120" w:line="256" w:lineRule="auto"/>
            <w:ind w:left="639" w:right="214"/>
            <w:jc w:val="both"/>
            <w:rPr>
              <w:rFonts w:ascii="Palatino Linotype" w:hAnsi="Palatino Linotype" w:cs="Arial"/>
              <w:bCs/>
              <w:sz w:val="24"/>
              <w:lang w:eastAsia="es-MX"/>
            </w:rPr>
          </w:pPr>
          <w:r>
            <w:rPr>
              <w:rFonts w:ascii="Palatino Linotype" w:hAnsi="Palatino Linotype" w:cs="Arial"/>
              <w:bCs/>
              <w:sz w:val="24"/>
              <w:lang w:eastAsia="es-MX"/>
            </w:rPr>
            <w:t>XXXXXXXXXXXXX</w:t>
          </w:r>
        </w:p>
      </w:tc>
    </w:tr>
    <w:tr w:rsidR="00EB4322" w:rsidTr="00EB4322">
      <w:trPr>
        <w:trHeight w:val="242"/>
      </w:trPr>
      <w:tc>
        <w:tcPr>
          <w:tcW w:w="5529" w:type="dxa"/>
          <w:hideMark/>
        </w:tcPr>
        <w:p w:rsidR="00EB4322" w:rsidRDefault="00EB4322" w:rsidP="00EB432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B4322" w:rsidRPr="00EB4322" w:rsidRDefault="00EB4322" w:rsidP="00EB4322">
          <w:pPr>
            <w:spacing w:after="120" w:line="256" w:lineRule="auto"/>
            <w:ind w:left="639" w:right="214"/>
            <w:jc w:val="both"/>
            <w:rPr>
              <w:rFonts w:ascii="Palatino Linotype" w:hAnsi="Palatino Linotype" w:cs="Arial"/>
              <w:sz w:val="24"/>
              <w:szCs w:val="24"/>
            </w:rPr>
          </w:pPr>
          <w:r w:rsidRPr="00EB4322">
            <w:rPr>
              <w:rFonts w:ascii="Palatino Linotype" w:hAnsi="Palatino Linotype"/>
              <w:b/>
              <w:bCs/>
              <w:color w:val="000000"/>
              <w:sz w:val="24"/>
              <w:szCs w:val="24"/>
            </w:rPr>
            <w:t>Ayuntamiento de Mexicaltzingo</w:t>
          </w:r>
        </w:p>
      </w:tc>
    </w:tr>
    <w:tr w:rsidR="00EB4322" w:rsidTr="00EB4322">
      <w:trPr>
        <w:trHeight w:val="342"/>
      </w:trPr>
      <w:tc>
        <w:tcPr>
          <w:tcW w:w="5529" w:type="dxa"/>
          <w:hideMark/>
        </w:tcPr>
        <w:p w:rsidR="00EB4322" w:rsidRDefault="00EB4322" w:rsidP="00EB432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EB4322" w:rsidRDefault="00EB4322" w:rsidP="00EB4322">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rsidR="00EB4322" w:rsidRDefault="00EB4322">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D9A6B71" wp14:editId="2818CFE7">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8C41FE"/>
    <w:multiLevelType w:val="hybridMultilevel"/>
    <w:tmpl w:val="1C066E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982C3A"/>
    <w:multiLevelType w:val="hybridMultilevel"/>
    <w:tmpl w:val="1E0AA90E"/>
    <w:lvl w:ilvl="0" w:tplc="08D2BE90">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212361A2"/>
    <w:multiLevelType w:val="hybridMultilevel"/>
    <w:tmpl w:val="F0628266"/>
    <w:lvl w:ilvl="0" w:tplc="237A779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005640"/>
    <w:multiLevelType w:val="hybridMultilevel"/>
    <w:tmpl w:val="102499EC"/>
    <w:lvl w:ilvl="0" w:tplc="080A000F">
      <w:start w:val="1"/>
      <w:numFmt w:val="decimal"/>
      <w:lvlText w:val="%1."/>
      <w:lvlJc w:val="left"/>
      <w:pPr>
        <w:ind w:left="644" w:hanging="360"/>
      </w:pPr>
      <w:rPr>
        <w:rFonts w:hint="default"/>
      </w:rPr>
    </w:lvl>
    <w:lvl w:ilvl="1" w:tplc="7A465DD2">
      <w:start w:val="894"/>
      <w:numFmt w:val="bullet"/>
      <w:lvlText w:val=""/>
      <w:lvlJc w:val="left"/>
      <w:pPr>
        <w:ind w:left="1440" w:hanging="360"/>
      </w:pPr>
      <w:rPr>
        <w:rFonts w:ascii="Symbol" w:eastAsiaTheme="minorHAnsi" w:hAnsi="Symbol" w:cs="Arial" w:hint="default"/>
        <w:i w:val="0"/>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1495"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9E61C08"/>
    <w:multiLevelType w:val="hybridMultilevel"/>
    <w:tmpl w:val="2EF6EEA4"/>
    <w:lvl w:ilvl="0" w:tplc="2D8230E6">
      <w:start w:val="1"/>
      <w:numFmt w:val="upperRoman"/>
      <w:lvlText w:val="%1."/>
      <w:lvlJc w:val="left"/>
      <w:pPr>
        <w:ind w:left="2184" w:hanging="720"/>
      </w:pPr>
      <w:rPr>
        <w:rFonts w:hint="default"/>
      </w:rPr>
    </w:lvl>
    <w:lvl w:ilvl="1" w:tplc="080A0019" w:tentative="1">
      <w:start w:val="1"/>
      <w:numFmt w:val="lowerLetter"/>
      <w:lvlText w:val="%2."/>
      <w:lvlJc w:val="left"/>
      <w:pPr>
        <w:ind w:left="2544" w:hanging="360"/>
      </w:pPr>
    </w:lvl>
    <w:lvl w:ilvl="2" w:tplc="080A001B" w:tentative="1">
      <w:start w:val="1"/>
      <w:numFmt w:val="lowerRoman"/>
      <w:lvlText w:val="%3."/>
      <w:lvlJc w:val="right"/>
      <w:pPr>
        <w:ind w:left="3264" w:hanging="180"/>
      </w:pPr>
    </w:lvl>
    <w:lvl w:ilvl="3" w:tplc="080A000F" w:tentative="1">
      <w:start w:val="1"/>
      <w:numFmt w:val="decimal"/>
      <w:lvlText w:val="%4."/>
      <w:lvlJc w:val="left"/>
      <w:pPr>
        <w:ind w:left="3984" w:hanging="360"/>
      </w:pPr>
    </w:lvl>
    <w:lvl w:ilvl="4" w:tplc="080A0019" w:tentative="1">
      <w:start w:val="1"/>
      <w:numFmt w:val="lowerLetter"/>
      <w:lvlText w:val="%5."/>
      <w:lvlJc w:val="left"/>
      <w:pPr>
        <w:ind w:left="4704" w:hanging="360"/>
      </w:pPr>
    </w:lvl>
    <w:lvl w:ilvl="5" w:tplc="080A001B" w:tentative="1">
      <w:start w:val="1"/>
      <w:numFmt w:val="lowerRoman"/>
      <w:lvlText w:val="%6."/>
      <w:lvlJc w:val="right"/>
      <w:pPr>
        <w:ind w:left="5424" w:hanging="180"/>
      </w:pPr>
    </w:lvl>
    <w:lvl w:ilvl="6" w:tplc="080A000F" w:tentative="1">
      <w:start w:val="1"/>
      <w:numFmt w:val="decimal"/>
      <w:lvlText w:val="%7."/>
      <w:lvlJc w:val="left"/>
      <w:pPr>
        <w:ind w:left="6144" w:hanging="360"/>
      </w:pPr>
    </w:lvl>
    <w:lvl w:ilvl="7" w:tplc="080A0019" w:tentative="1">
      <w:start w:val="1"/>
      <w:numFmt w:val="lowerLetter"/>
      <w:lvlText w:val="%8."/>
      <w:lvlJc w:val="left"/>
      <w:pPr>
        <w:ind w:left="6864" w:hanging="360"/>
      </w:pPr>
    </w:lvl>
    <w:lvl w:ilvl="8" w:tplc="080A001B" w:tentative="1">
      <w:start w:val="1"/>
      <w:numFmt w:val="lowerRoman"/>
      <w:lvlText w:val="%9."/>
      <w:lvlJc w:val="right"/>
      <w:pPr>
        <w:ind w:left="7584" w:hanging="180"/>
      </w:pPr>
    </w:lvl>
  </w:abstractNum>
  <w:abstractNum w:abstractNumId="6" w15:restartNumberingAfterBreak="0">
    <w:nsid w:val="3398076E"/>
    <w:multiLevelType w:val="hybridMultilevel"/>
    <w:tmpl w:val="1674A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16C5136"/>
    <w:multiLevelType w:val="hybridMultilevel"/>
    <w:tmpl w:val="24E60A8A"/>
    <w:lvl w:ilvl="0" w:tplc="193A090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7B2E72CB"/>
    <w:multiLevelType w:val="hybridMultilevel"/>
    <w:tmpl w:val="293E7ACC"/>
    <w:lvl w:ilvl="0" w:tplc="4956CFD4">
      <w:start w:val="1"/>
      <w:numFmt w:val="decimal"/>
      <w:lvlText w:val="%1."/>
      <w:lvlJc w:val="left"/>
      <w:pPr>
        <w:ind w:left="720" w:hanging="360"/>
      </w:pPr>
      <w:rPr>
        <w:rFonts w:ascii="Palatino Linotype" w:hAnsi="Palatino Linotype" w:hint="default"/>
        <w:color w:val="000000"/>
        <w:sz w:val="24"/>
        <w:szCs w:val="24"/>
      </w:rPr>
    </w:lvl>
    <w:lvl w:ilvl="1" w:tplc="70780964">
      <w:start w:val="1"/>
      <w:numFmt w:val="upperRoman"/>
      <w:lvlText w:val="%2."/>
      <w:lvlJc w:val="left"/>
      <w:pPr>
        <w:ind w:left="1800" w:hanging="720"/>
      </w:pPr>
      <w:rPr>
        <w:rFonts w:hint="default"/>
      </w:rPr>
    </w:lvl>
    <w:lvl w:ilvl="2" w:tplc="080A001B">
      <w:start w:val="1"/>
      <w:numFmt w:val="lowerRoman"/>
      <w:lvlText w:val="%3."/>
      <w:lvlJc w:val="right"/>
      <w:pPr>
        <w:ind w:left="2160" w:hanging="180"/>
      </w:pPr>
    </w:lvl>
    <w:lvl w:ilvl="3" w:tplc="DF1236DA">
      <w:numFmt w:val="bullet"/>
      <w:lvlText w:val="-"/>
      <w:lvlJc w:val="left"/>
      <w:pPr>
        <w:ind w:left="2880" w:hanging="360"/>
      </w:pPr>
      <w:rPr>
        <w:rFonts w:ascii="Palatino Linotype" w:eastAsiaTheme="majorEastAsia" w:hAnsi="Palatino Linotype" w:cs="Arial" w:hint="default"/>
        <w:b/>
      </w:rPr>
    </w:lvl>
    <w:lvl w:ilvl="4" w:tplc="080A0019">
      <w:start w:val="1"/>
      <w:numFmt w:val="lowerLetter"/>
      <w:lvlText w:val="%5."/>
      <w:lvlJc w:val="left"/>
      <w:pPr>
        <w:ind w:left="3600" w:hanging="360"/>
      </w:pPr>
    </w:lvl>
    <w:lvl w:ilvl="5" w:tplc="7D02342C">
      <w:start w:val="144"/>
      <w:numFmt w:val="bullet"/>
      <w:lvlText w:val=""/>
      <w:lvlJc w:val="left"/>
      <w:pPr>
        <w:ind w:left="4500" w:hanging="360"/>
      </w:pPr>
      <w:rPr>
        <w:rFonts w:ascii="Symbol" w:eastAsiaTheme="minorHAnsi" w:hAnsi="Symbol" w:cstheme="minorBidi" w:hint="default"/>
      </w:r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8"/>
  </w:num>
  <w:num w:numId="3">
    <w:abstractNumId w:val="1"/>
  </w:num>
  <w:num w:numId="4">
    <w:abstractNumId w:val="3"/>
  </w:num>
  <w:num w:numId="5">
    <w:abstractNumId w:val="7"/>
  </w:num>
  <w:num w:numId="6">
    <w:abstractNumId w:val="5"/>
  </w:num>
  <w:num w:numId="7">
    <w:abstractNumId w:val="6"/>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322"/>
    <w:rsid w:val="001F488F"/>
    <w:rsid w:val="00357CF7"/>
    <w:rsid w:val="00375F1A"/>
    <w:rsid w:val="003C4A00"/>
    <w:rsid w:val="003F439F"/>
    <w:rsid w:val="00482F6F"/>
    <w:rsid w:val="005F7194"/>
    <w:rsid w:val="00711A45"/>
    <w:rsid w:val="008119EC"/>
    <w:rsid w:val="008A5004"/>
    <w:rsid w:val="008F787A"/>
    <w:rsid w:val="00926DFC"/>
    <w:rsid w:val="00982BFF"/>
    <w:rsid w:val="009C7097"/>
    <w:rsid w:val="00A600F4"/>
    <w:rsid w:val="00AE3139"/>
    <w:rsid w:val="00C07FEA"/>
    <w:rsid w:val="00C56E2E"/>
    <w:rsid w:val="00C824C4"/>
    <w:rsid w:val="00DA0444"/>
    <w:rsid w:val="00DA4165"/>
    <w:rsid w:val="00E203F6"/>
    <w:rsid w:val="00E32F5A"/>
    <w:rsid w:val="00E83B89"/>
    <w:rsid w:val="00EB4322"/>
    <w:rsid w:val="00ED451E"/>
    <w:rsid w:val="00F87593"/>
    <w:rsid w:val="00FD71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C420A6-E0A3-44C0-891B-EF3BFB791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322"/>
  </w:style>
  <w:style w:type="paragraph" w:styleId="Ttulo2">
    <w:name w:val="heading 2"/>
    <w:aliases w:val="Subtítulos"/>
    <w:basedOn w:val="Normal"/>
    <w:next w:val="Normal"/>
    <w:link w:val="Ttulo2Car"/>
    <w:uiPriority w:val="9"/>
    <w:unhideWhenUsed/>
    <w:qFormat/>
    <w:rsid w:val="00EB432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Subtítulos Car"/>
    <w:basedOn w:val="Fuentedeprrafopredeter"/>
    <w:link w:val="Ttulo2"/>
    <w:uiPriority w:val="9"/>
    <w:rsid w:val="00EB4322"/>
    <w:rPr>
      <w:rFonts w:asciiTheme="majorHAnsi" w:eastAsiaTheme="majorEastAsia" w:hAnsiTheme="majorHAnsi" w:cstheme="majorBidi"/>
      <w:color w:val="2E74B5" w:themeColor="accent1" w:themeShade="BF"/>
      <w:sz w:val="32"/>
      <w:szCs w:val="32"/>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B4322"/>
    <w:pPr>
      <w:ind w:left="720"/>
      <w:contextualSpacing/>
    </w:pPr>
  </w:style>
  <w:style w:type="paragraph" w:styleId="Encabezado">
    <w:name w:val="header"/>
    <w:basedOn w:val="Normal"/>
    <w:link w:val="EncabezadoCar"/>
    <w:uiPriority w:val="99"/>
    <w:unhideWhenUsed/>
    <w:rsid w:val="00EB432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B4322"/>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B432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B4322"/>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B4322"/>
  </w:style>
  <w:style w:type="paragraph" w:customStyle="1" w:styleId="infoemcitas">
    <w:name w:val="infoem citas"/>
    <w:basedOn w:val="Normal"/>
    <w:qFormat/>
    <w:rsid w:val="00EB4322"/>
    <w:pPr>
      <w:spacing w:before="240" w:line="360" w:lineRule="auto"/>
      <w:ind w:left="851" w:right="851"/>
      <w:jc w:val="both"/>
    </w:pPr>
    <w:rPr>
      <w:rFonts w:ascii="Palatino Linotype" w:hAnsi="Palatino Linotype"/>
      <w:i/>
    </w:rPr>
  </w:style>
  <w:style w:type="paragraph" w:customStyle="1" w:styleId="INFOEM">
    <w:name w:val="INFOEM"/>
    <w:basedOn w:val="Normal"/>
    <w:qFormat/>
    <w:rsid w:val="00EB4322"/>
    <w:pPr>
      <w:spacing w:before="240" w:line="360" w:lineRule="auto"/>
      <w:ind w:left="851" w:right="851"/>
      <w:jc w:val="both"/>
    </w:pPr>
    <w:rPr>
      <w:rFonts w:ascii="Palatino Linotype" w:hAnsi="Palatino Linotype"/>
      <w:i/>
      <w:szCs w:val="14"/>
    </w:rPr>
  </w:style>
  <w:style w:type="character" w:styleId="Hipervnculo">
    <w:name w:val="Hyperlink"/>
    <w:basedOn w:val="Fuentedeprrafopredeter"/>
    <w:uiPriority w:val="99"/>
    <w:semiHidden/>
    <w:unhideWhenUsed/>
    <w:rsid w:val="00EB43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26</Pages>
  <Words>5449</Words>
  <Characters>29970</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35349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6</cp:revision>
  <cp:lastPrinted>2025-10-16T19:16:00Z</cp:lastPrinted>
  <dcterms:created xsi:type="dcterms:W3CDTF">2025-10-16T15:47:00Z</dcterms:created>
  <dcterms:modified xsi:type="dcterms:W3CDTF">2025-11-26T17:09:00Z</dcterms:modified>
</cp:coreProperties>
</file>