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40A" w:rsidRPr="00032247" w:rsidRDefault="00510EA9" w:rsidP="00C068AB">
      <w:pPr>
        <w:spacing w:before="240" w:after="240" w:line="360" w:lineRule="auto"/>
        <w:jc w:val="both"/>
        <w:rPr>
          <w:rFonts w:ascii="Palatino Linotype" w:eastAsia="Palatino Linotype" w:hAnsi="Palatino Linotype" w:cs="Palatino Linotype"/>
          <w:color w:val="000000" w:themeColor="text1"/>
        </w:rPr>
      </w:pPr>
      <w:bookmarkStart w:id="0" w:name="_GoBack"/>
      <w:bookmarkEnd w:id="0"/>
      <w:r w:rsidRPr="0003224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32247">
        <w:rPr>
          <w:rFonts w:ascii="Palatino Linotype" w:eastAsia="Palatino Linotype" w:hAnsi="Palatino Linotype" w:cs="Palatino Linotype"/>
          <w:b/>
          <w:color w:val="000000" w:themeColor="text1"/>
        </w:rPr>
        <w:t>de fecha seis</w:t>
      </w:r>
      <w:r w:rsidR="00695E0C">
        <w:rPr>
          <w:rFonts w:ascii="Palatino Linotype" w:eastAsia="Palatino Linotype" w:hAnsi="Palatino Linotype" w:cs="Palatino Linotype"/>
          <w:b/>
          <w:color w:val="000000" w:themeColor="text1"/>
        </w:rPr>
        <w:t xml:space="preserve"> (06)</w:t>
      </w:r>
      <w:r w:rsidRPr="00032247">
        <w:rPr>
          <w:rFonts w:ascii="Palatino Linotype" w:eastAsia="Palatino Linotype" w:hAnsi="Palatino Linotype" w:cs="Palatino Linotype"/>
          <w:b/>
          <w:color w:val="000000" w:themeColor="text1"/>
        </w:rPr>
        <w:t xml:space="preserve"> de agosto de dos mil veinticinco</w:t>
      </w:r>
      <w:r w:rsidRPr="00032247">
        <w:rPr>
          <w:rFonts w:ascii="Palatino Linotype" w:eastAsia="Palatino Linotype" w:hAnsi="Palatino Linotype" w:cs="Palatino Linotype"/>
          <w:color w:val="000000" w:themeColor="text1"/>
        </w:rPr>
        <w:t>.</w:t>
      </w:r>
    </w:p>
    <w:p w:rsidR="0070640A" w:rsidRPr="00032247" w:rsidRDefault="0070640A" w:rsidP="00C068AB">
      <w:pPr>
        <w:spacing w:before="240" w:after="240" w:line="360" w:lineRule="auto"/>
        <w:jc w:val="both"/>
        <w:rPr>
          <w:rFonts w:ascii="Palatino Linotype" w:hAnsi="Palatino Linotype"/>
          <w:color w:val="000000" w:themeColor="text1"/>
        </w:rPr>
      </w:pPr>
    </w:p>
    <w:p w:rsidR="0070640A" w:rsidRPr="00032247" w:rsidRDefault="00510EA9" w:rsidP="00C068AB">
      <w:pPr>
        <w:spacing w:before="240" w:after="360" w:line="360" w:lineRule="auto"/>
        <w:jc w:val="both"/>
        <w:rPr>
          <w:rFonts w:ascii="Palatino Linotype" w:eastAsia="Palatino Linotype" w:hAnsi="Palatino Linotype" w:cs="Palatino Linotype"/>
          <w:b/>
          <w:color w:val="000000" w:themeColor="text1"/>
        </w:rPr>
      </w:pPr>
      <w:r w:rsidRPr="00032247">
        <w:rPr>
          <w:rFonts w:ascii="Palatino Linotype" w:eastAsia="Palatino Linotype" w:hAnsi="Palatino Linotype" w:cs="Palatino Linotype"/>
          <w:b/>
          <w:color w:val="000000" w:themeColor="text1"/>
        </w:rPr>
        <w:t>VISTO</w:t>
      </w:r>
      <w:r w:rsidRPr="00032247">
        <w:rPr>
          <w:rFonts w:ascii="Palatino Linotype" w:eastAsia="Palatino Linotype" w:hAnsi="Palatino Linotype" w:cs="Palatino Linotype"/>
          <w:color w:val="000000" w:themeColor="text1"/>
        </w:rPr>
        <w:t xml:space="preserve"> el expediente electrónico formado con motivo del recurso de revisión </w:t>
      </w:r>
      <w:r w:rsidRPr="00032247">
        <w:rPr>
          <w:rFonts w:ascii="Palatino Linotype" w:eastAsia="Palatino Linotype" w:hAnsi="Palatino Linotype" w:cs="Palatino Linotype"/>
          <w:b/>
          <w:color w:val="000000" w:themeColor="text1"/>
        </w:rPr>
        <w:t xml:space="preserve">06353/INFOEM/IP/RR/2025, </w:t>
      </w:r>
      <w:r w:rsidRPr="00032247">
        <w:rPr>
          <w:rFonts w:ascii="Palatino Linotype" w:eastAsia="Palatino Linotype" w:hAnsi="Palatino Linotype" w:cs="Palatino Linotype"/>
          <w:color w:val="000000" w:themeColor="text1"/>
        </w:rPr>
        <w:t>promovido por</w:t>
      </w:r>
      <w:r w:rsidRPr="00032247">
        <w:rPr>
          <w:rFonts w:ascii="Palatino Linotype" w:eastAsia="Palatino Linotype" w:hAnsi="Palatino Linotype" w:cs="Palatino Linotype"/>
          <w:b/>
          <w:color w:val="000000" w:themeColor="text1"/>
        </w:rPr>
        <w:t xml:space="preserve"> una persona que no proporciono datos</w:t>
      </w:r>
      <w:r w:rsidR="00C068AB" w:rsidRPr="00032247">
        <w:rPr>
          <w:rFonts w:ascii="Palatino Linotype" w:eastAsia="Palatino Linotype" w:hAnsi="Palatino Linotype" w:cs="Palatino Linotype"/>
          <w:b/>
          <w:color w:val="000000" w:themeColor="text1"/>
        </w:rPr>
        <w:t xml:space="preserve"> de identificación</w:t>
      </w:r>
      <w:r w:rsidRPr="00032247">
        <w:rPr>
          <w:rFonts w:ascii="Palatino Linotype" w:eastAsia="Palatino Linotype" w:hAnsi="Palatino Linotype" w:cs="Palatino Linotype"/>
          <w:b/>
          <w:color w:val="000000" w:themeColor="text1"/>
        </w:rPr>
        <w:t xml:space="preserve">, </w:t>
      </w:r>
      <w:r w:rsidR="00C068AB" w:rsidRPr="00032247">
        <w:rPr>
          <w:rFonts w:ascii="Palatino Linotype" w:eastAsia="Palatino Linotype" w:hAnsi="Palatino Linotype" w:cs="Palatino Linotype"/>
          <w:color w:val="000000" w:themeColor="text1"/>
        </w:rPr>
        <w:t xml:space="preserve">a quien en lo sucesivo se le identificará como EL </w:t>
      </w:r>
      <w:r w:rsidRPr="00032247">
        <w:rPr>
          <w:rFonts w:ascii="Palatino Linotype" w:eastAsia="Palatino Linotype" w:hAnsi="Palatino Linotype" w:cs="Palatino Linotype"/>
          <w:b/>
          <w:color w:val="000000" w:themeColor="text1"/>
        </w:rPr>
        <w:t>RECURRENTE</w:t>
      </w:r>
      <w:r w:rsidRPr="00032247">
        <w:rPr>
          <w:rFonts w:ascii="Palatino Linotype" w:eastAsia="Palatino Linotype" w:hAnsi="Palatino Linotype" w:cs="Palatino Linotype"/>
          <w:color w:val="000000" w:themeColor="text1"/>
        </w:rPr>
        <w:t xml:space="preserve">, en contra de la respuesta del </w:t>
      </w:r>
      <w:r w:rsidRPr="00032247">
        <w:rPr>
          <w:rFonts w:ascii="Palatino Linotype" w:eastAsia="Palatino Linotype" w:hAnsi="Palatino Linotype" w:cs="Palatino Linotype"/>
          <w:b/>
          <w:color w:val="000000" w:themeColor="text1"/>
        </w:rPr>
        <w:t xml:space="preserve">Ayuntamiento de Metepec, </w:t>
      </w:r>
      <w:r w:rsidRPr="00032247">
        <w:rPr>
          <w:rFonts w:ascii="Palatino Linotype" w:eastAsia="Palatino Linotype" w:hAnsi="Palatino Linotype" w:cs="Palatino Linotype"/>
          <w:color w:val="000000" w:themeColor="text1"/>
        </w:rPr>
        <w:t>en adelante el</w:t>
      </w:r>
      <w:r w:rsidRPr="00032247">
        <w:rPr>
          <w:rFonts w:ascii="Palatino Linotype" w:eastAsia="Palatino Linotype" w:hAnsi="Palatino Linotype" w:cs="Palatino Linotype"/>
          <w:b/>
          <w:color w:val="000000" w:themeColor="text1"/>
        </w:rPr>
        <w:t xml:space="preserve"> SUJETO OBLIGADO, </w:t>
      </w:r>
      <w:r w:rsidRPr="00032247">
        <w:rPr>
          <w:rFonts w:ascii="Palatino Linotype" w:eastAsia="Palatino Linotype" w:hAnsi="Palatino Linotype" w:cs="Palatino Linotype"/>
          <w:color w:val="000000" w:themeColor="text1"/>
        </w:rPr>
        <w:t>se procede a dictar la presente resolución, con base en los siguientes:</w:t>
      </w:r>
    </w:p>
    <w:p w:rsidR="0070640A" w:rsidRPr="00032247" w:rsidRDefault="00510EA9" w:rsidP="00C068AB">
      <w:pPr>
        <w:keepNext/>
        <w:keepLines/>
        <w:pBdr>
          <w:top w:val="nil"/>
          <w:left w:val="nil"/>
          <w:bottom w:val="nil"/>
          <w:right w:val="nil"/>
          <w:between w:val="nil"/>
        </w:pBdr>
        <w:spacing w:before="240"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032247">
        <w:rPr>
          <w:rFonts w:ascii="Palatino Linotype" w:eastAsia="Palatino Linotype" w:hAnsi="Palatino Linotype" w:cs="Palatino Linotype"/>
          <w:b/>
          <w:color w:val="000000" w:themeColor="text1"/>
        </w:rPr>
        <w:t>A N T E C E D E N T E S</w:t>
      </w:r>
    </w:p>
    <w:p w:rsidR="0070640A" w:rsidRPr="00032247" w:rsidRDefault="0070640A" w:rsidP="00C068AB">
      <w:pPr>
        <w:rPr>
          <w:rFonts w:ascii="Palatino Linotype" w:hAnsi="Palatino Linotype"/>
          <w:color w:val="000000" w:themeColor="text1"/>
        </w:rPr>
      </w:pPr>
    </w:p>
    <w:p w:rsidR="0070640A" w:rsidRPr="00032247" w:rsidRDefault="00510EA9" w:rsidP="00C068AB">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eastAsia="Palatino Linotype" w:hAnsi="Palatino Linotype" w:cs="Palatino Linotype"/>
          <w:color w:val="000000" w:themeColor="text1"/>
        </w:rPr>
      </w:pPr>
      <w:r w:rsidRPr="00032247">
        <w:rPr>
          <w:rFonts w:ascii="Palatino Linotype" w:eastAsia="Palatino Linotype" w:hAnsi="Palatino Linotype" w:cs="Palatino Linotype"/>
          <w:color w:val="000000" w:themeColor="text1"/>
        </w:rPr>
        <w:t xml:space="preserve">El </w:t>
      </w:r>
      <w:r w:rsidRPr="00032247">
        <w:rPr>
          <w:rFonts w:ascii="Palatino Linotype" w:eastAsia="Palatino Linotype" w:hAnsi="Palatino Linotype" w:cs="Palatino Linotype"/>
          <w:b/>
          <w:color w:val="000000" w:themeColor="text1"/>
        </w:rPr>
        <w:t>veintiocho de abril de dos mil veinticinco</w:t>
      </w:r>
      <w:r w:rsidRPr="00032247">
        <w:rPr>
          <w:rFonts w:ascii="Palatino Linotype" w:eastAsia="Palatino Linotype" w:hAnsi="Palatino Linotype" w:cs="Palatino Linotype"/>
          <w:color w:val="000000" w:themeColor="text1"/>
        </w:rPr>
        <w:t>, el particular presentó</w:t>
      </w:r>
      <w:r w:rsidRPr="00032247">
        <w:rPr>
          <w:rFonts w:ascii="Palatino Linotype" w:eastAsia="Palatino Linotype" w:hAnsi="Palatino Linotype" w:cs="Palatino Linotype"/>
          <w:b/>
          <w:color w:val="000000" w:themeColor="text1"/>
        </w:rPr>
        <w:t xml:space="preserve"> </w:t>
      </w:r>
      <w:r w:rsidRPr="00032247">
        <w:rPr>
          <w:rFonts w:ascii="Palatino Linotype" w:eastAsia="Palatino Linotype" w:hAnsi="Palatino Linotype" w:cs="Palatino Linotype"/>
          <w:color w:val="000000" w:themeColor="text1"/>
        </w:rPr>
        <w:t xml:space="preserve">a través del Sistema de Acceso a la Información Mexiquense </w:t>
      </w:r>
      <w:r w:rsidRPr="00032247">
        <w:rPr>
          <w:rFonts w:ascii="Palatino Linotype" w:eastAsia="Palatino Linotype" w:hAnsi="Palatino Linotype" w:cs="Palatino Linotype"/>
          <w:b/>
          <w:color w:val="000000" w:themeColor="text1"/>
        </w:rPr>
        <w:t xml:space="preserve">(SAIMEX), </w:t>
      </w:r>
      <w:r w:rsidRPr="00032247">
        <w:rPr>
          <w:rFonts w:ascii="Palatino Linotype" w:eastAsia="Palatino Linotype" w:hAnsi="Palatino Linotype" w:cs="Palatino Linotype"/>
          <w:color w:val="000000" w:themeColor="text1"/>
        </w:rPr>
        <w:t xml:space="preserve">la solicitud de información pública registrada con el número </w:t>
      </w:r>
      <w:r w:rsidRPr="00032247">
        <w:rPr>
          <w:rFonts w:ascii="Palatino Linotype" w:eastAsia="Palatino Linotype" w:hAnsi="Palatino Linotype" w:cs="Palatino Linotype"/>
          <w:b/>
          <w:color w:val="000000" w:themeColor="text1"/>
        </w:rPr>
        <w:t xml:space="preserve">00163/METEPEC/IP/2025, </w:t>
      </w:r>
      <w:r w:rsidR="00695E0C">
        <w:rPr>
          <w:rFonts w:ascii="Palatino Linotype" w:eastAsia="Palatino Linotype" w:hAnsi="Palatino Linotype" w:cs="Palatino Linotype"/>
          <w:color w:val="000000" w:themeColor="text1"/>
        </w:rPr>
        <w:t>en la que</w:t>
      </w:r>
      <w:r w:rsidRPr="00032247">
        <w:rPr>
          <w:rFonts w:ascii="Palatino Linotype" w:eastAsia="Palatino Linotype" w:hAnsi="Palatino Linotype" w:cs="Palatino Linotype"/>
          <w:color w:val="000000" w:themeColor="text1"/>
        </w:rPr>
        <w:t xml:space="preserve"> requirió:</w:t>
      </w:r>
    </w:p>
    <w:p w:rsidR="0070640A" w:rsidRPr="00032247" w:rsidRDefault="0070640A" w:rsidP="00C068AB">
      <w:pPr>
        <w:spacing w:line="360" w:lineRule="auto"/>
        <w:jc w:val="both"/>
        <w:rPr>
          <w:rFonts w:ascii="Palatino Linotype" w:hAnsi="Palatino Linotype"/>
          <w:color w:val="000000" w:themeColor="text1"/>
        </w:rPr>
      </w:pPr>
    </w:p>
    <w:p w:rsidR="0070640A" w:rsidRPr="00032247" w:rsidRDefault="00510EA9" w:rsidP="00C068AB">
      <w:pPr>
        <w:pBdr>
          <w:top w:val="nil"/>
          <w:left w:val="nil"/>
          <w:bottom w:val="nil"/>
          <w:right w:val="nil"/>
          <w:between w:val="nil"/>
        </w:pBdr>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“solicito el directorio de servidores públicos con sus últimos 2 recibos de nomina y su curriculum de todos los servidores públicos que conforman la tesorería, la dirección de gobierno por resultados y la gerencia de la ciudad”(Sic)</w:t>
      </w:r>
    </w:p>
    <w:p w:rsidR="0070640A" w:rsidRPr="00032247" w:rsidRDefault="0070640A" w:rsidP="00C068A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0640A" w:rsidRPr="00032247" w:rsidRDefault="00510EA9" w:rsidP="00C068AB">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eastAsia="Palatino Linotype" w:hAnsi="Palatino Linotype" w:cs="Palatino Linotype"/>
          <w:color w:val="000000" w:themeColor="text1"/>
        </w:rPr>
      </w:pPr>
      <w:r w:rsidRPr="00032247">
        <w:rPr>
          <w:rFonts w:ascii="Palatino Linotype" w:eastAsia="Palatino Linotype" w:hAnsi="Palatino Linotype" w:cs="Palatino Linotype"/>
          <w:color w:val="000000" w:themeColor="text1"/>
        </w:rPr>
        <w:t>Se hace constar que se señaló como modalidad de entrega de la información</w:t>
      </w:r>
      <w:r w:rsidRPr="00032247">
        <w:rPr>
          <w:rFonts w:ascii="Palatino Linotype" w:eastAsia="Palatino Linotype" w:hAnsi="Palatino Linotype" w:cs="Palatino Linotype"/>
          <w:b/>
          <w:color w:val="000000" w:themeColor="text1"/>
        </w:rPr>
        <w:t>:</w:t>
      </w:r>
      <w:r w:rsidRPr="00032247">
        <w:rPr>
          <w:rFonts w:ascii="Palatino Linotype" w:eastAsia="Palatino Linotype" w:hAnsi="Palatino Linotype" w:cs="Palatino Linotype"/>
          <w:color w:val="000000" w:themeColor="text1"/>
        </w:rPr>
        <w:t xml:space="preserve"> </w:t>
      </w:r>
      <w:r w:rsidRPr="00032247">
        <w:rPr>
          <w:rFonts w:ascii="Palatino Linotype" w:eastAsia="Palatino Linotype" w:hAnsi="Palatino Linotype" w:cs="Palatino Linotype"/>
          <w:b/>
          <w:color w:val="000000" w:themeColor="text1"/>
        </w:rPr>
        <w:t>A través del SAIMEX.</w:t>
      </w:r>
    </w:p>
    <w:p w:rsidR="0070640A" w:rsidRPr="00032247" w:rsidRDefault="0070640A" w:rsidP="00C068AB">
      <w:pPr>
        <w:pBdr>
          <w:top w:val="nil"/>
          <w:left w:val="nil"/>
          <w:bottom w:val="nil"/>
          <w:right w:val="nil"/>
          <w:between w:val="nil"/>
        </w:pBdr>
        <w:tabs>
          <w:tab w:val="left" w:pos="567"/>
        </w:tabs>
        <w:spacing w:before="280" w:line="360" w:lineRule="auto"/>
        <w:jc w:val="both"/>
        <w:rPr>
          <w:rFonts w:ascii="Palatino Linotype" w:eastAsia="Palatino Linotype" w:hAnsi="Palatino Linotype" w:cs="Palatino Linotype"/>
          <w:color w:val="000000" w:themeColor="text1"/>
        </w:rPr>
      </w:pPr>
    </w:p>
    <w:p w:rsidR="0070640A" w:rsidRPr="00032247" w:rsidRDefault="00510EA9" w:rsidP="00C068AB">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color w:val="000000" w:themeColor="text1"/>
        </w:rPr>
        <w:lastRenderedPageBreak/>
        <w:t xml:space="preserve">El </w:t>
      </w:r>
      <w:r w:rsidRPr="00032247">
        <w:rPr>
          <w:rFonts w:ascii="Palatino Linotype" w:eastAsia="Palatino Linotype" w:hAnsi="Palatino Linotype" w:cs="Palatino Linotype"/>
          <w:b/>
          <w:color w:val="000000" w:themeColor="text1"/>
        </w:rPr>
        <w:t>veintinueve de abril de dos mil veinticinco,</w:t>
      </w:r>
      <w:r w:rsidRPr="00032247">
        <w:rPr>
          <w:rFonts w:ascii="Palatino Linotype" w:eastAsia="Palatino Linotype" w:hAnsi="Palatino Linotype" w:cs="Palatino Linotype"/>
          <w:color w:val="000000" w:themeColor="text1"/>
        </w:rPr>
        <w:t xml:space="preserve"> se realizaron los requerimientos de información a los servidores públicos habilitados.</w:t>
      </w:r>
    </w:p>
    <w:p w:rsidR="0070640A" w:rsidRPr="00032247" w:rsidRDefault="0070640A" w:rsidP="00C068AB">
      <w:pPr>
        <w:pBdr>
          <w:top w:val="nil"/>
          <w:left w:val="nil"/>
          <w:bottom w:val="nil"/>
          <w:right w:val="nil"/>
          <w:between w:val="nil"/>
        </w:pBdr>
        <w:rPr>
          <w:rFonts w:ascii="Palatino Linotype" w:eastAsia="Palatino Linotype" w:hAnsi="Palatino Linotype" w:cs="Palatino Linotype"/>
          <w:i/>
          <w:color w:val="000000" w:themeColor="text1"/>
        </w:rPr>
      </w:pPr>
    </w:p>
    <w:p w:rsidR="0070640A" w:rsidRPr="00032247" w:rsidRDefault="00510EA9" w:rsidP="00C068AB">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color w:val="000000" w:themeColor="text1"/>
        </w:rPr>
        <w:t xml:space="preserve">El </w:t>
      </w:r>
      <w:r w:rsidRPr="00032247">
        <w:rPr>
          <w:rFonts w:ascii="Palatino Linotype" w:eastAsia="Palatino Linotype" w:hAnsi="Palatino Linotype" w:cs="Palatino Linotype"/>
          <w:b/>
          <w:color w:val="000000" w:themeColor="text1"/>
        </w:rPr>
        <w:t>veintiuno de mayo de dos mil veinticinco,</w:t>
      </w:r>
      <w:r w:rsidRPr="00032247">
        <w:rPr>
          <w:rFonts w:ascii="Palatino Linotype" w:eastAsia="Palatino Linotype" w:hAnsi="Palatino Linotype" w:cs="Palatino Linotype"/>
          <w:color w:val="000000" w:themeColor="text1"/>
        </w:rPr>
        <w:t xml:space="preserve"> el SUJETO OBLIGADO, notificó la prórroga autorizada por el Comité de Transparencia hasta por siete días, para dar respuesta a la solicitud de información.   </w:t>
      </w:r>
    </w:p>
    <w:p w:rsidR="0070640A" w:rsidRPr="00032247" w:rsidRDefault="0070640A" w:rsidP="00C068AB">
      <w:pPr>
        <w:jc w:val="both"/>
        <w:rPr>
          <w:rFonts w:ascii="Palatino Linotype" w:eastAsia="Palatino Linotype" w:hAnsi="Palatino Linotype" w:cs="Palatino Linotype"/>
          <w:i/>
          <w:color w:val="000000" w:themeColor="text1"/>
        </w:rPr>
      </w:pPr>
    </w:p>
    <w:p w:rsidR="0070640A" w:rsidRPr="00032247" w:rsidRDefault="00510EA9" w:rsidP="00C068A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32247">
        <w:rPr>
          <w:rFonts w:ascii="Palatino Linotype" w:eastAsia="Palatino Linotype" w:hAnsi="Palatino Linotype" w:cs="Palatino Linotype"/>
          <w:color w:val="000000" w:themeColor="text1"/>
        </w:rPr>
        <w:t xml:space="preserve">El </w:t>
      </w:r>
      <w:r w:rsidRPr="00032247">
        <w:rPr>
          <w:rFonts w:ascii="Palatino Linotype" w:eastAsia="Palatino Linotype" w:hAnsi="Palatino Linotype" w:cs="Palatino Linotype"/>
          <w:b/>
          <w:color w:val="000000" w:themeColor="text1"/>
        </w:rPr>
        <w:t>treinta de mayo de dos mil veinticinco el SUJETO OBLIGADO</w:t>
      </w:r>
      <w:r w:rsidRPr="00032247">
        <w:rPr>
          <w:rFonts w:ascii="Palatino Linotype" w:eastAsia="Palatino Linotype" w:hAnsi="Palatino Linotype" w:cs="Palatino Linotype"/>
          <w:color w:val="000000" w:themeColor="text1"/>
        </w:rPr>
        <w:t xml:space="preserve">, brindó respuesta a través del archivo electrónico </w:t>
      </w:r>
      <w:hyperlink r:id="rId8">
        <w:r w:rsidRPr="00032247">
          <w:rPr>
            <w:rFonts w:ascii="Palatino Linotype" w:eastAsia="Palatino Linotype" w:hAnsi="Palatino Linotype" w:cs="Palatino Linotype"/>
            <w:b/>
            <w:color w:val="000000" w:themeColor="text1"/>
          </w:rPr>
          <w:t xml:space="preserve"> </w:t>
        </w:r>
      </w:hyperlink>
      <w:hyperlink r:id="rId9">
        <w:r w:rsidRPr="00032247">
          <w:rPr>
            <w:rFonts w:ascii="Palatino Linotype" w:eastAsia="Palatino Linotype" w:hAnsi="Palatino Linotype" w:cs="Palatino Linotype"/>
            <w:b/>
            <w:i/>
            <w:color w:val="000000" w:themeColor="text1"/>
          </w:rPr>
          <w:t>163º_2025.pdf</w:t>
        </w:r>
      </w:hyperlink>
      <w:r w:rsidRPr="00032247">
        <w:rPr>
          <w:rFonts w:ascii="Palatino Linotype" w:eastAsia="Palatino Linotype" w:hAnsi="Palatino Linotype" w:cs="Palatino Linotype"/>
          <w:color w:val="000000" w:themeColor="text1"/>
        </w:rPr>
        <w:t xml:space="preserve">, mediante el cual, de forma medular, el SUJETO OBLIGADO proporcionó diversos links en formato cerrado, en los que a decir del mismo, se encontraba la información solicitada por el ahora RECURRENTE. </w:t>
      </w:r>
    </w:p>
    <w:p w:rsidR="0070640A" w:rsidRPr="00032247" w:rsidRDefault="00510EA9" w:rsidP="00C068A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32247">
        <w:rPr>
          <w:rFonts w:ascii="Palatino Linotype" w:eastAsia="Palatino Linotype" w:hAnsi="Palatino Linotype" w:cs="Palatino Linotype"/>
          <w:b/>
          <w:color w:val="000000" w:themeColor="text1"/>
        </w:rPr>
        <w:t xml:space="preserve"> </w:t>
      </w:r>
    </w:p>
    <w:p w:rsidR="0070640A" w:rsidRPr="00032247" w:rsidRDefault="00510EA9" w:rsidP="00C068A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32247">
        <w:rPr>
          <w:rFonts w:ascii="Palatino Linotype" w:eastAsia="Palatino Linotype" w:hAnsi="Palatino Linotype" w:cs="Palatino Linotype"/>
          <w:color w:val="000000" w:themeColor="text1"/>
        </w:rPr>
        <w:t xml:space="preserve">El </w:t>
      </w:r>
      <w:r w:rsidRPr="00032247">
        <w:rPr>
          <w:rFonts w:ascii="Palatino Linotype" w:eastAsia="Palatino Linotype" w:hAnsi="Palatino Linotype" w:cs="Palatino Linotype"/>
          <w:b/>
          <w:color w:val="000000" w:themeColor="text1"/>
        </w:rPr>
        <w:t>dos de junio de dos mil  veinticinco</w:t>
      </w:r>
      <w:r w:rsidRPr="00032247">
        <w:rPr>
          <w:rFonts w:ascii="Palatino Linotype" w:eastAsia="Palatino Linotype" w:hAnsi="Palatino Linotype" w:cs="Palatino Linotype"/>
          <w:color w:val="000000" w:themeColor="text1"/>
        </w:rPr>
        <w:t xml:space="preserve">, el particular interpuso  recurso de revisión en contra de la respuesta, manifestando lo siguiente: </w:t>
      </w:r>
    </w:p>
    <w:p w:rsidR="0070640A" w:rsidRPr="00032247" w:rsidRDefault="0070640A" w:rsidP="00C068A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0640A" w:rsidRPr="00695E0C" w:rsidRDefault="00510EA9" w:rsidP="00695E0C">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95E0C">
        <w:rPr>
          <w:rFonts w:ascii="Palatino Linotype" w:eastAsia="Palatino Linotype" w:hAnsi="Palatino Linotype" w:cs="Palatino Linotype"/>
          <w:b/>
          <w:color w:val="000000" w:themeColor="text1"/>
          <w:sz w:val="24"/>
        </w:rPr>
        <w:t>Acto Impugnado</w:t>
      </w:r>
    </w:p>
    <w:p w:rsidR="0070640A" w:rsidRDefault="00510EA9" w:rsidP="00C068AB">
      <w:pPr>
        <w:pBdr>
          <w:top w:val="nil"/>
          <w:left w:val="nil"/>
          <w:bottom w:val="nil"/>
          <w:right w:val="nil"/>
          <w:between w:val="nil"/>
        </w:pBdr>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“niegan la información solicitada información incompleta, faltante solicito se analice todo lo que solicite en contraste con lo que me están entregando” (Sic.)</w:t>
      </w:r>
    </w:p>
    <w:p w:rsidR="00695E0C" w:rsidRPr="00032247" w:rsidRDefault="00695E0C" w:rsidP="00C068AB">
      <w:pPr>
        <w:pBdr>
          <w:top w:val="nil"/>
          <w:left w:val="nil"/>
          <w:bottom w:val="nil"/>
          <w:right w:val="nil"/>
          <w:between w:val="nil"/>
        </w:pBdr>
        <w:jc w:val="both"/>
        <w:rPr>
          <w:rFonts w:ascii="Palatino Linotype" w:eastAsia="Palatino Linotype" w:hAnsi="Palatino Linotype" w:cs="Palatino Linotype"/>
          <w:i/>
          <w:color w:val="000000" w:themeColor="text1"/>
        </w:rPr>
      </w:pPr>
    </w:p>
    <w:p w:rsidR="0070640A" w:rsidRPr="00695E0C" w:rsidRDefault="00510EA9" w:rsidP="00695E0C">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95E0C">
        <w:rPr>
          <w:rFonts w:ascii="Palatino Linotype" w:eastAsia="Palatino Linotype" w:hAnsi="Palatino Linotype" w:cs="Palatino Linotype"/>
          <w:b/>
          <w:color w:val="000000" w:themeColor="text1"/>
          <w:sz w:val="24"/>
        </w:rPr>
        <w:t>Razones o motivos de la inconformidad</w:t>
      </w:r>
    </w:p>
    <w:p w:rsidR="0070640A" w:rsidRPr="00032247" w:rsidRDefault="00510EA9" w:rsidP="00C068AB">
      <w:pPr>
        <w:pBdr>
          <w:top w:val="nil"/>
          <w:left w:val="nil"/>
          <w:bottom w:val="nil"/>
          <w:right w:val="nil"/>
          <w:between w:val="nil"/>
        </w:pBdr>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“niegan la información solicitada información incompleta, faltante solicito se analice todo lo que solicite en contraste con lo que me están entregando” (Sic.)</w:t>
      </w:r>
    </w:p>
    <w:p w:rsidR="0070640A" w:rsidRPr="00032247" w:rsidRDefault="0070640A" w:rsidP="00C068AB">
      <w:pPr>
        <w:spacing w:line="276" w:lineRule="auto"/>
        <w:jc w:val="both"/>
        <w:rPr>
          <w:rFonts w:ascii="Palatino Linotype" w:eastAsia="Palatino Linotype" w:hAnsi="Palatino Linotype" w:cs="Palatino Linotype"/>
          <w:b/>
          <w:i/>
          <w:color w:val="000000" w:themeColor="text1"/>
        </w:rPr>
      </w:pPr>
    </w:p>
    <w:p w:rsidR="0070640A" w:rsidRPr="00032247" w:rsidRDefault="00510EA9" w:rsidP="00C068AB">
      <w:pPr>
        <w:numPr>
          <w:ilvl w:val="0"/>
          <w:numId w:val="1"/>
        </w:numPr>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032247">
        <w:rPr>
          <w:rFonts w:ascii="Palatino Linotype" w:eastAsia="Palatino Linotype" w:hAnsi="Palatino Linotype" w:cs="Palatino Linotype"/>
          <w:b/>
          <w:color w:val="000000" w:themeColor="text1"/>
        </w:rPr>
        <w:t>Ley de Transparencia y Acceso a la Información Pública del Estado de México y Municipios</w:t>
      </w:r>
      <w:r w:rsidRPr="00032247">
        <w:rPr>
          <w:rFonts w:ascii="Palatino Linotype" w:eastAsia="Palatino Linotype" w:hAnsi="Palatino Linotype" w:cs="Palatino Linotype"/>
          <w:color w:val="000000" w:themeColor="text1"/>
        </w:rPr>
        <w:t xml:space="preserve">, se turna a la </w:t>
      </w:r>
      <w:r w:rsidRPr="00032247">
        <w:rPr>
          <w:rFonts w:ascii="Palatino Linotype" w:eastAsia="Palatino Linotype" w:hAnsi="Palatino Linotype" w:cs="Palatino Linotype"/>
          <w:b/>
          <w:color w:val="000000" w:themeColor="text1"/>
        </w:rPr>
        <w:t>Comisionada María del Rosario Mejía Ayala</w:t>
      </w:r>
      <w:r w:rsidRPr="00032247">
        <w:rPr>
          <w:rFonts w:ascii="Palatino Linotype" w:eastAsia="Palatino Linotype" w:hAnsi="Palatino Linotype" w:cs="Palatino Linotype"/>
          <w:color w:val="000000" w:themeColor="text1"/>
        </w:rPr>
        <w:t>, para su análisis.</w:t>
      </w:r>
    </w:p>
    <w:p w:rsidR="0070640A" w:rsidRPr="00032247" w:rsidRDefault="00510EA9" w:rsidP="00C068AB">
      <w:pPr>
        <w:numPr>
          <w:ilvl w:val="0"/>
          <w:numId w:val="1"/>
        </w:numPr>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notificado el </w:t>
      </w:r>
      <w:r w:rsidRPr="00032247">
        <w:rPr>
          <w:rFonts w:ascii="Palatino Linotype" w:eastAsia="Palatino Linotype" w:hAnsi="Palatino Linotype" w:cs="Palatino Linotype"/>
          <w:b/>
          <w:color w:val="000000" w:themeColor="text1"/>
        </w:rPr>
        <w:t>tres de junio de dos mil veinticinco,</w:t>
      </w:r>
      <w:r w:rsidRPr="00032247">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Pr="00032247">
        <w:rPr>
          <w:rFonts w:ascii="Palatino Linotype" w:eastAsia="Palatino Linotype" w:hAnsi="Palatino Linotype" w:cs="Palatino Linotype"/>
          <w:b/>
          <w:color w:val="000000" w:themeColor="text1"/>
        </w:rPr>
        <w:t>SUJETO OBLIGADO</w:t>
      </w:r>
      <w:r w:rsidRPr="00032247">
        <w:rPr>
          <w:rFonts w:ascii="Palatino Linotype" w:eastAsia="Palatino Linotype" w:hAnsi="Palatino Linotype" w:cs="Palatino Linotype"/>
          <w:color w:val="000000" w:themeColor="text1"/>
        </w:rPr>
        <w:t xml:space="preserve"> presentará el Informe Justificado procedente.</w:t>
      </w:r>
    </w:p>
    <w:p w:rsidR="0070640A" w:rsidRPr="00032247" w:rsidRDefault="0070640A" w:rsidP="00C068AB">
      <w:pPr>
        <w:spacing w:line="360" w:lineRule="auto"/>
        <w:jc w:val="both"/>
        <w:rPr>
          <w:rFonts w:ascii="Palatino Linotype" w:eastAsia="Palatino Linotype" w:hAnsi="Palatino Linotype" w:cs="Palatino Linotype"/>
          <w:color w:val="000000" w:themeColor="text1"/>
        </w:rPr>
      </w:pPr>
    </w:p>
    <w:p w:rsidR="0070640A" w:rsidRPr="00695E0C" w:rsidRDefault="00510EA9" w:rsidP="00C068AB">
      <w:pPr>
        <w:numPr>
          <w:ilvl w:val="0"/>
          <w:numId w:val="1"/>
        </w:numPr>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 xml:space="preserve">El </w:t>
      </w:r>
      <w:r w:rsidRPr="00032247">
        <w:rPr>
          <w:rFonts w:ascii="Palatino Linotype" w:eastAsia="Palatino Linotype" w:hAnsi="Palatino Linotype" w:cs="Palatino Linotype"/>
          <w:b/>
          <w:color w:val="000000" w:themeColor="text1"/>
        </w:rPr>
        <w:t>tres de julio de dos mil veinticinco</w:t>
      </w:r>
      <w:r w:rsidRPr="00032247">
        <w:rPr>
          <w:rFonts w:ascii="Palatino Linotype" w:eastAsia="Palatino Linotype" w:hAnsi="Palatino Linotype" w:cs="Palatino Linotype"/>
          <w:color w:val="000000" w:themeColor="text1"/>
        </w:rPr>
        <w:t xml:space="preserve">, el Recurrente desistió del recurso de revisión, tal y como se muestra en la siguiente captura de pantalla. </w:t>
      </w:r>
    </w:p>
    <w:p w:rsidR="00695E0C" w:rsidRDefault="00695E0C" w:rsidP="00695E0C">
      <w:pPr>
        <w:pStyle w:val="Prrafodelista"/>
        <w:rPr>
          <w:rFonts w:ascii="Palatino Linotype" w:hAnsi="Palatino Linotype"/>
          <w:color w:val="000000" w:themeColor="text1"/>
        </w:rPr>
      </w:pPr>
    </w:p>
    <w:p w:rsidR="00695E0C" w:rsidRPr="00032247" w:rsidRDefault="00695E0C" w:rsidP="00695E0C">
      <w:pPr>
        <w:spacing w:line="360" w:lineRule="auto"/>
        <w:jc w:val="both"/>
        <w:rPr>
          <w:rFonts w:ascii="Palatino Linotype" w:hAnsi="Palatino Linotype"/>
          <w:color w:val="000000" w:themeColor="text1"/>
        </w:rPr>
      </w:pPr>
    </w:p>
    <w:p w:rsidR="0070640A" w:rsidRPr="00032247" w:rsidRDefault="00510EA9" w:rsidP="00C068AB">
      <w:pPr>
        <w:spacing w:line="360" w:lineRule="auto"/>
        <w:jc w:val="center"/>
        <w:rPr>
          <w:rFonts w:ascii="Palatino Linotype" w:hAnsi="Palatino Linotype"/>
          <w:color w:val="000000" w:themeColor="text1"/>
        </w:rPr>
      </w:pPr>
      <w:bookmarkStart w:id="2" w:name="_heading=h.30j0zll" w:colFirst="0" w:colLast="0"/>
      <w:bookmarkEnd w:id="2"/>
      <w:r w:rsidRPr="00032247">
        <w:rPr>
          <w:rFonts w:ascii="Palatino Linotype" w:hAnsi="Palatino Linotype"/>
          <w:noProof/>
          <w:color w:val="000000" w:themeColor="text1"/>
        </w:rPr>
        <w:drawing>
          <wp:inline distT="0" distB="0" distL="0" distR="0">
            <wp:extent cx="5263985" cy="2980636"/>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263985" cy="2980636"/>
                    </a:xfrm>
                    <a:prstGeom prst="rect">
                      <a:avLst/>
                    </a:prstGeom>
                    <a:ln/>
                  </pic:spPr>
                </pic:pic>
              </a:graphicData>
            </a:graphic>
          </wp:inline>
        </w:drawing>
      </w:r>
      <w:r w:rsidRPr="00032247">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520700</wp:posOffset>
                </wp:positionH>
                <wp:positionV relativeFrom="paragraph">
                  <wp:posOffset>2451100</wp:posOffset>
                </wp:positionV>
                <wp:extent cx="5119048" cy="321859"/>
                <wp:effectExtent l="0" t="0" r="0" b="0"/>
                <wp:wrapNone/>
                <wp:docPr id="5" name="Rectángulo redondeado 5"/>
                <wp:cNvGraphicFramePr/>
                <a:graphic xmlns:a="http://schemas.openxmlformats.org/drawingml/2006/main">
                  <a:graphicData uri="http://schemas.microsoft.com/office/word/2010/wordprocessingShape">
                    <wps:wsp>
                      <wps:cNvSpPr/>
                      <wps:spPr>
                        <a:xfrm>
                          <a:off x="2824576" y="3657171"/>
                          <a:ext cx="5042848" cy="245659"/>
                        </a:xfrm>
                        <a:prstGeom prst="roundRect">
                          <a:avLst>
                            <a:gd name="adj" fmla="val 16667"/>
                          </a:avLst>
                        </a:prstGeom>
                        <a:noFill/>
                        <a:ln w="76200" cap="flat" cmpd="sng">
                          <a:solidFill>
                            <a:srgbClr val="FF0000"/>
                          </a:solidFill>
                          <a:prstDash val="solid"/>
                          <a:miter lim="800000"/>
                          <a:headEnd type="none" w="sm" len="sm"/>
                          <a:tailEnd type="none" w="sm" len="sm"/>
                        </a:ln>
                      </wps:spPr>
                      <wps:txbx>
                        <w:txbxContent>
                          <w:p w:rsidR="0070640A" w:rsidRDefault="0070640A">
                            <w:pPr>
                              <w:textDirection w:val="btLr"/>
                            </w:pPr>
                          </w:p>
                        </w:txbxContent>
                      </wps:txbx>
                      <wps:bodyPr spcFirstLastPara="1" wrap="square" lIns="91425" tIns="91425" rIns="91425" bIns="91425" anchor="ctr" anchorCtr="0">
                        <a:noAutofit/>
                      </wps:bodyPr>
                    </wps:wsp>
                  </a:graphicData>
                </a:graphic>
              </wp:anchor>
            </w:drawing>
          </mc:Choice>
          <mc:Fallback>
            <w:pict>
              <v:roundrect id="Rectángulo redondeado 5" o:spid="_x0000_s1026" style="position:absolute;left:0;text-align:left;margin-left:41pt;margin-top:193pt;width:403.05pt;height:25.3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" filled="f" strokecolor="red" strokeweight="6pt">
                <v:stroke startarrowwidth="narrow" startarrowlength="short" endarrowwidth="narrow" endarrowlength="short" joinstyle="miter"/>
                <v:textbox inset="2.53958mm,2.53958mm,2.53958mm,2.53958mm">
                  <w:txbxContent>
                    <w:p w:rsidR="0070640A" w:rsidRDefault="0070640A">
                      <w:pPr>
                        <w:textDirection w:val="btLr"/>
                      </w:pPr>
                    </w:p>
                  </w:txbxContent>
                </v:textbox>
              </v:roundrect>
            </w:pict>
          </mc:Fallback>
        </mc:AlternateContent>
      </w:r>
    </w:p>
    <w:p w:rsidR="0070640A" w:rsidRPr="00032247" w:rsidRDefault="0070640A" w:rsidP="00C068AB">
      <w:pPr>
        <w:spacing w:line="360" w:lineRule="auto"/>
        <w:jc w:val="both"/>
        <w:rPr>
          <w:rFonts w:ascii="Palatino Linotype" w:hAnsi="Palatino Linotype"/>
          <w:color w:val="000000" w:themeColor="text1"/>
        </w:rPr>
      </w:pPr>
    </w:p>
    <w:p w:rsidR="00695E0C" w:rsidRDefault="00695E0C" w:rsidP="00C068AB">
      <w:pPr>
        <w:spacing w:line="360" w:lineRule="auto"/>
        <w:jc w:val="both"/>
        <w:rPr>
          <w:rFonts w:ascii="Palatino Linotype" w:hAnsi="Palatino Linotype"/>
          <w:color w:val="000000" w:themeColor="text1"/>
        </w:rPr>
      </w:pPr>
    </w:p>
    <w:p w:rsidR="00695E0C" w:rsidRDefault="00695E0C" w:rsidP="00C068AB">
      <w:pPr>
        <w:spacing w:line="360" w:lineRule="auto"/>
        <w:jc w:val="both"/>
        <w:rPr>
          <w:rFonts w:ascii="Palatino Linotype" w:hAnsi="Palatino Linotype"/>
          <w:color w:val="000000" w:themeColor="text1"/>
        </w:rPr>
      </w:pPr>
    </w:p>
    <w:p w:rsidR="0070640A" w:rsidRPr="00032247" w:rsidRDefault="00510EA9" w:rsidP="00C068AB">
      <w:pPr>
        <w:spacing w:line="360" w:lineRule="auto"/>
        <w:jc w:val="both"/>
        <w:rPr>
          <w:rFonts w:ascii="Palatino Linotype" w:hAnsi="Palatino Linotype"/>
          <w:color w:val="000000" w:themeColor="text1"/>
        </w:rPr>
      </w:pPr>
      <w:r w:rsidRPr="00032247">
        <w:rPr>
          <w:rFonts w:ascii="Palatino Linotype" w:hAnsi="Palatino Linotype"/>
          <w:color w:val="000000" w:themeColor="text1"/>
        </w:rPr>
        <w:lastRenderedPageBreak/>
        <w:t>Del Recurso de Revisión Desistido se desprende lo siguiente:</w:t>
      </w:r>
    </w:p>
    <w:p w:rsidR="0070640A" w:rsidRPr="00032247" w:rsidRDefault="0070640A" w:rsidP="00C068AB">
      <w:pPr>
        <w:spacing w:line="360" w:lineRule="auto"/>
        <w:jc w:val="both"/>
        <w:rPr>
          <w:rFonts w:ascii="Palatino Linotype" w:hAnsi="Palatino Linotype"/>
          <w:color w:val="000000" w:themeColor="text1"/>
        </w:rPr>
      </w:pPr>
    </w:p>
    <w:tbl>
      <w:tblPr>
        <w:tblStyle w:val="af0"/>
        <w:tblW w:w="6521" w:type="dxa"/>
        <w:jc w:val="center"/>
        <w:tblInd w:w="0" w:type="dxa"/>
        <w:tblLayout w:type="fixed"/>
        <w:tblLook w:val="0400" w:firstRow="0" w:lastRow="0" w:firstColumn="0" w:lastColumn="0" w:noHBand="0" w:noVBand="1"/>
      </w:tblPr>
      <w:tblGrid>
        <w:gridCol w:w="6521"/>
      </w:tblGrid>
      <w:tr w:rsidR="00C068AB" w:rsidRPr="00032247">
        <w:trPr>
          <w:trHeight w:val="269"/>
          <w:jc w:val="center"/>
        </w:trPr>
        <w:tc>
          <w:tcPr>
            <w:tcW w:w="6521" w:type="dxa"/>
            <w:vAlign w:val="center"/>
          </w:tcPr>
          <w:p w:rsidR="0070640A" w:rsidRPr="00032247" w:rsidRDefault="00510EA9" w:rsidP="00C068AB">
            <w:pPr>
              <w:jc w:val="right"/>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Metepec, México a 03 de Julio de 2025</w:t>
            </w:r>
          </w:p>
        </w:tc>
      </w:tr>
      <w:tr w:rsidR="00C068AB" w:rsidRPr="00032247">
        <w:trPr>
          <w:trHeight w:val="269"/>
          <w:jc w:val="center"/>
        </w:trPr>
        <w:tc>
          <w:tcPr>
            <w:tcW w:w="6521" w:type="dxa"/>
            <w:vAlign w:val="center"/>
          </w:tcPr>
          <w:p w:rsidR="0070640A" w:rsidRPr="00032247" w:rsidRDefault="00510EA9" w:rsidP="00C068AB">
            <w:pPr>
              <w:jc w:val="right"/>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 xml:space="preserve">Nombre del solicitante: </w:t>
            </w:r>
          </w:p>
        </w:tc>
      </w:tr>
      <w:tr w:rsidR="00C068AB" w:rsidRPr="00032247">
        <w:trPr>
          <w:trHeight w:val="269"/>
          <w:jc w:val="center"/>
        </w:trPr>
        <w:tc>
          <w:tcPr>
            <w:tcW w:w="6521" w:type="dxa"/>
            <w:vAlign w:val="center"/>
          </w:tcPr>
          <w:p w:rsidR="0070640A" w:rsidRPr="00032247" w:rsidRDefault="00510EA9" w:rsidP="00C068AB">
            <w:pPr>
              <w:jc w:val="right"/>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Folio de la solicitud: 00163/METEPEC/IP/2025</w:t>
            </w:r>
          </w:p>
        </w:tc>
      </w:tr>
      <w:tr w:rsidR="00C068AB" w:rsidRPr="00032247">
        <w:trPr>
          <w:trHeight w:val="404"/>
          <w:jc w:val="center"/>
        </w:trPr>
        <w:tc>
          <w:tcPr>
            <w:tcW w:w="6521" w:type="dxa"/>
            <w:vAlign w:val="center"/>
          </w:tcPr>
          <w:p w:rsidR="0070640A" w:rsidRPr="00032247" w:rsidRDefault="0070640A" w:rsidP="00C068AB">
            <w:pPr>
              <w:jc w:val="right"/>
              <w:rPr>
                <w:rFonts w:ascii="Palatino Linotype" w:eastAsia="Palatino Linotype" w:hAnsi="Palatino Linotype" w:cs="Palatino Linotype"/>
                <w:i/>
                <w:color w:val="000000" w:themeColor="text1"/>
              </w:rPr>
            </w:pPr>
          </w:p>
        </w:tc>
      </w:tr>
      <w:tr w:rsidR="00C068AB" w:rsidRPr="00032247">
        <w:trPr>
          <w:trHeight w:val="134"/>
          <w:jc w:val="center"/>
        </w:trPr>
        <w:tc>
          <w:tcPr>
            <w:tcW w:w="6521" w:type="dxa"/>
            <w:vAlign w:val="center"/>
          </w:tcPr>
          <w:p w:rsidR="0070640A" w:rsidRPr="00032247" w:rsidRDefault="0070640A" w:rsidP="00C068AB">
            <w:pPr>
              <w:jc w:val="center"/>
              <w:rPr>
                <w:rFonts w:ascii="Palatino Linotype" w:eastAsia="Palatino Linotype" w:hAnsi="Palatino Linotype" w:cs="Palatino Linotype"/>
                <w:i/>
                <w:color w:val="000000" w:themeColor="text1"/>
              </w:rPr>
            </w:pPr>
          </w:p>
        </w:tc>
      </w:tr>
      <w:tr w:rsidR="00C068AB" w:rsidRPr="00032247">
        <w:trPr>
          <w:trHeight w:val="337"/>
          <w:jc w:val="center"/>
        </w:trPr>
        <w:tc>
          <w:tcPr>
            <w:tcW w:w="6521" w:type="dxa"/>
            <w:vAlign w:val="center"/>
          </w:tcPr>
          <w:p w:rsidR="0070640A" w:rsidRPr="00032247" w:rsidRDefault="0070640A" w:rsidP="00C068AB">
            <w:pPr>
              <w:rPr>
                <w:rFonts w:ascii="Palatino Linotype" w:eastAsia="Palatino Linotype" w:hAnsi="Palatino Linotype" w:cs="Palatino Linotype"/>
                <w:i/>
                <w:color w:val="000000" w:themeColor="text1"/>
              </w:rPr>
            </w:pPr>
          </w:p>
        </w:tc>
      </w:tr>
      <w:tr w:rsidR="00C068AB" w:rsidRPr="00032247">
        <w:trPr>
          <w:trHeight w:val="134"/>
          <w:jc w:val="center"/>
        </w:trPr>
        <w:tc>
          <w:tcPr>
            <w:tcW w:w="6521" w:type="dxa"/>
            <w:vAlign w:val="center"/>
          </w:tcPr>
          <w:p w:rsidR="0070640A" w:rsidRPr="00032247" w:rsidRDefault="00510EA9" w:rsidP="00C068AB">
            <w:pPr>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Son un asco de ayuntamiento que solo busca fundar cambios de modalidad inexistentes y te llaman para que te desistas</w:t>
            </w:r>
          </w:p>
        </w:tc>
      </w:tr>
      <w:tr w:rsidR="00C068AB" w:rsidRPr="00032247">
        <w:trPr>
          <w:trHeight w:val="337"/>
          <w:jc w:val="center"/>
        </w:trPr>
        <w:tc>
          <w:tcPr>
            <w:tcW w:w="6521" w:type="dxa"/>
            <w:vAlign w:val="center"/>
          </w:tcPr>
          <w:p w:rsidR="0070640A" w:rsidRPr="00032247" w:rsidRDefault="0070640A" w:rsidP="00C068AB">
            <w:pPr>
              <w:rPr>
                <w:rFonts w:ascii="Palatino Linotype" w:eastAsia="Palatino Linotype" w:hAnsi="Palatino Linotype" w:cs="Palatino Linotype"/>
                <w:i/>
                <w:color w:val="000000" w:themeColor="text1"/>
              </w:rPr>
            </w:pPr>
          </w:p>
        </w:tc>
      </w:tr>
      <w:tr w:rsidR="00C068AB" w:rsidRPr="00032247">
        <w:trPr>
          <w:trHeight w:val="134"/>
          <w:jc w:val="center"/>
        </w:trPr>
        <w:tc>
          <w:tcPr>
            <w:tcW w:w="6521" w:type="dxa"/>
            <w:vAlign w:val="center"/>
          </w:tcPr>
          <w:p w:rsidR="0070640A" w:rsidRPr="00032247" w:rsidRDefault="0070640A" w:rsidP="00C068AB">
            <w:pPr>
              <w:jc w:val="center"/>
              <w:rPr>
                <w:rFonts w:ascii="Palatino Linotype" w:eastAsia="Palatino Linotype" w:hAnsi="Palatino Linotype" w:cs="Palatino Linotype"/>
                <w:i/>
                <w:color w:val="000000" w:themeColor="text1"/>
              </w:rPr>
            </w:pPr>
          </w:p>
        </w:tc>
      </w:tr>
      <w:tr w:rsidR="00C068AB" w:rsidRPr="00032247">
        <w:trPr>
          <w:trHeight w:val="134"/>
          <w:jc w:val="center"/>
        </w:trPr>
        <w:tc>
          <w:tcPr>
            <w:tcW w:w="6521" w:type="dxa"/>
            <w:vAlign w:val="center"/>
          </w:tcPr>
          <w:p w:rsidR="0070640A" w:rsidRPr="00032247" w:rsidRDefault="0070640A" w:rsidP="00C068AB">
            <w:pPr>
              <w:rPr>
                <w:rFonts w:ascii="Palatino Linotype" w:eastAsia="Palatino Linotype" w:hAnsi="Palatino Linotype" w:cs="Palatino Linotype"/>
                <w:i/>
                <w:color w:val="000000" w:themeColor="text1"/>
              </w:rPr>
            </w:pPr>
          </w:p>
        </w:tc>
      </w:tr>
      <w:tr w:rsidR="00C068AB" w:rsidRPr="00032247">
        <w:trPr>
          <w:trHeight w:val="134"/>
          <w:jc w:val="center"/>
        </w:trPr>
        <w:tc>
          <w:tcPr>
            <w:tcW w:w="6521" w:type="dxa"/>
            <w:vAlign w:val="center"/>
          </w:tcPr>
          <w:p w:rsidR="0070640A" w:rsidRPr="00032247" w:rsidRDefault="00510EA9" w:rsidP="00C068AB">
            <w:pPr>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ATENTAMENTE</w:t>
            </w:r>
          </w:p>
        </w:tc>
      </w:tr>
    </w:tbl>
    <w:p w:rsidR="0070640A" w:rsidRPr="00032247" w:rsidRDefault="0070640A" w:rsidP="00C068AB">
      <w:pPr>
        <w:spacing w:line="360" w:lineRule="auto"/>
        <w:jc w:val="both"/>
        <w:rPr>
          <w:rFonts w:ascii="Palatino Linotype" w:hAnsi="Palatino Linotype"/>
          <w:color w:val="000000" w:themeColor="text1"/>
        </w:rPr>
      </w:pPr>
    </w:p>
    <w:p w:rsidR="0070640A" w:rsidRPr="00032247" w:rsidRDefault="00510EA9" w:rsidP="00C068AB">
      <w:pPr>
        <w:numPr>
          <w:ilvl w:val="0"/>
          <w:numId w:val="1"/>
        </w:numPr>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La Comisionada Ponente, notificó el acuerdo de cierre de instrucción en fecha diecisiete de julio de dos mil veinticinco.</w:t>
      </w:r>
    </w:p>
    <w:p w:rsidR="0070640A" w:rsidRPr="00032247" w:rsidRDefault="00510EA9" w:rsidP="00C068AB">
      <w:pPr>
        <w:spacing w:line="360" w:lineRule="auto"/>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 xml:space="preserve">   </w:t>
      </w:r>
    </w:p>
    <w:p w:rsidR="0070640A" w:rsidRPr="00032247" w:rsidRDefault="00510EA9" w:rsidP="00C068AB">
      <w:pPr>
        <w:keepNext/>
        <w:keepLines/>
        <w:pBdr>
          <w:top w:val="nil"/>
          <w:left w:val="nil"/>
          <w:bottom w:val="nil"/>
          <w:right w:val="nil"/>
          <w:between w:val="nil"/>
        </w:pBdr>
        <w:spacing w:before="40"/>
        <w:jc w:val="center"/>
        <w:rPr>
          <w:rFonts w:ascii="Palatino Linotype" w:eastAsia="Palatino Linotype" w:hAnsi="Palatino Linotype" w:cs="Palatino Linotype"/>
          <w:b/>
          <w:color w:val="000000" w:themeColor="text1"/>
        </w:rPr>
      </w:pPr>
      <w:bookmarkStart w:id="3" w:name="_heading=h.1fob9te" w:colFirst="0" w:colLast="0"/>
      <w:bookmarkEnd w:id="3"/>
      <w:r w:rsidRPr="00032247">
        <w:rPr>
          <w:rFonts w:ascii="Palatino Linotype" w:eastAsia="Palatino Linotype" w:hAnsi="Palatino Linotype" w:cs="Palatino Linotype"/>
          <w:b/>
          <w:color w:val="000000" w:themeColor="text1"/>
        </w:rPr>
        <w:t>C O N S I D E R A N D O</w:t>
      </w:r>
    </w:p>
    <w:p w:rsidR="0070640A" w:rsidRPr="00032247" w:rsidRDefault="0070640A" w:rsidP="00C068AB">
      <w:pPr>
        <w:rPr>
          <w:rFonts w:ascii="Palatino Linotype" w:hAnsi="Palatino Linotype"/>
          <w:color w:val="000000" w:themeColor="text1"/>
        </w:rPr>
      </w:pPr>
    </w:p>
    <w:p w:rsidR="0070640A" w:rsidRPr="00032247" w:rsidRDefault="00510EA9" w:rsidP="00C068AB">
      <w:pPr>
        <w:keepNext/>
        <w:keepLines/>
        <w:pBdr>
          <w:top w:val="nil"/>
          <w:left w:val="nil"/>
          <w:bottom w:val="nil"/>
          <w:right w:val="nil"/>
          <w:between w:val="nil"/>
        </w:pBdr>
        <w:spacing w:before="40" w:line="360" w:lineRule="auto"/>
        <w:rPr>
          <w:rFonts w:ascii="Palatino Linotype" w:eastAsia="Palatino Linotype" w:hAnsi="Palatino Linotype" w:cs="Palatino Linotype"/>
          <w:b/>
          <w:color w:val="000000" w:themeColor="text1"/>
        </w:rPr>
      </w:pPr>
      <w:bookmarkStart w:id="4" w:name="_heading=h.3znysh7" w:colFirst="0" w:colLast="0"/>
      <w:bookmarkEnd w:id="4"/>
      <w:r w:rsidRPr="00032247">
        <w:rPr>
          <w:rFonts w:ascii="Palatino Linotype" w:eastAsia="Palatino Linotype" w:hAnsi="Palatino Linotype" w:cs="Palatino Linotype"/>
          <w:b/>
          <w:color w:val="000000" w:themeColor="text1"/>
        </w:rPr>
        <w:t>PRIMERO. De la competencia</w:t>
      </w:r>
    </w:p>
    <w:p w:rsidR="0070640A" w:rsidRPr="00695E0C" w:rsidRDefault="00510EA9" w:rsidP="00695E0C">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695E0C">
        <w:rPr>
          <w:rFonts w:ascii="Palatino Linotype" w:eastAsia="Palatino Linotype" w:hAnsi="Palatino Linotype" w:cs="Palatino Linotype"/>
          <w:color w:val="000000" w:themeColor="text1"/>
          <w:sz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w:t>
      </w:r>
      <w:r w:rsidRPr="00695E0C">
        <w:rPr>
          <w:rFonts w:ascii="Palatino Linotype" w:eastAsia="Palatino Linotype" w:hAnsi="Palatino Linotype" w:cs="Palatino Linotype"/>
          <w:color w:val="000000" w:themeColor="text1"/>
          <w:sz w:val="24"/>
        </w:rPr>
        <w:lastRenderedPageBreak/>
        <w:t>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0640A" w:rsidRPr="00032247" w:rsidRDefault="0070640A" w:rsidP="00C068AB">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b/>
          <w:color w:val="000000" w:themeColor="text1"/>
        </w:rPr>
      </w:pPr>
    </w:p>
    <w:p w:rsidR="0070640A" w:rsidRPr="00032247" w:rsidRDefault="00510EA9" w:rsidP="00C068AB">
      <w:pPr>
        <w:keepNext/>
        <w:keepLines/>
        <w:pBdr>
          <w:top w:val="nil"/>
          <w:left w:val="nil"/>
          <w:bottom w:val="nil"/>
          <w:right w:val="nil"/>
          <w:between w:val="nil"/>
        </w:pBdr>
        <w:tabs>
          <w:tab w:val="left" w:pos="284"/>
          <w:tab w:val="left" w:pos="426"/>
        </w:tabs>
        <w:spacing w:before="40" w:line="360" w:lineRule="auto"/>
        <w:rPr>
          <w:rFonts w:ascii="Palatino Linotype" w:eastAsia="Palatino Linotype" w:hAnsi="Palatino Linotype" w:cs="Palatino Linotype"/>
          <w:b/>
          <w:color w:val="000000" w:themeColor="text1"/>
        </w:rPr>
      </w:pPr>
      <w:bookmarkStart w:id="5" w:name="_heading=h.2et92p0" w:colFirst="0" w:colLast="0"/>
      <w:bookmarkEnd w:id="5"/>
      <w:r w:rsidRPr="00032247">
        <w:rPr>
          <w:rFonts w:ascii="Palatino Linotype" w:eastAsia="Palatino Linotype" w:hAnsi="Palatino Linotype" w:cs="Palatino Linotype"/>
          <w:b/>
          <w:color w:val="000000" w:themeColor="text1"/>
        </w:rPr>
        <w:t>SEGUNDO. De la oportunidad y procedencia.</w:t>
      </w:r>
    </w:p>
    <w:p w:rsidR="0070640A" w:rsidRPr="00032247" w:rsidRDefault="00510EA9" w:rsidP="00C068AB">
      <w:pPr>
        <w:numPr>
          <w:ilvl w:val="0"/>
          <w:numId w:val="1"/>
        </w:numPr>
        <w:spacing w:line="360" w:lineRule="auto"/>
        <w:ind w:left="0" w:firstLine="0"/>
        <w:jc w:val="both"/>
        <w:rPr>
          <w:rFonts w:ascii="Palatino Linotype" w:hAnsi="Palatino Linotype"/>
          <w:color w:val="000000" w:themeColor="text1"/>
        </w:rPr>
      </w:pPr>
      <w:bookmarkStart w:id="6" w:name="_heading=h.tyjcwt" w:colFirst="0" w:colLast="0"/>
      <w:bookmarkEnd w:id="6"/>
      <w:r w:rsidRPr="00032247">
        <w:rPr>
          <w:rFonts w:ascii="Palatino Linotype" w:eastAsia="Palatino Linotype" w:hAnsi="Palatino Linotype" w:cs="Palatino Linotype"/>
          <w:color w:val="000000" w:themeColor="text1"/>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0640A" w:rsidRPr="00032247" w:rsidRDefault="0070640A" w:rsidP="00C068AB">
      <w:pPr>
        <w:spacing w:line="360" w:lineRule="auto"/>
        <w:jc w:val="both"/>
        <w:rPr>
          <w:rFonts w:ascii="Palatino Linotype" w:eastAsia="Palatino Linotype" w:hAnsi="Palatino Linotype" w:cs="Palatino Linotype"/>
          <w:color w:val="000000" w:themeColor="text1"/>
        </w:rPr>
      </w:pPr>
    </w:p>
    <w:p w:rsidR="0070640A" w:rsidRPr="00032247" w:rsidRDefault="00510EA9" w:rsidP="00C068AB">
      <w:pPr>
        <w:numPr>
          <w:ilvl w:val="0"/>
          <w:numId w:val="1"/>
        </w:numPr>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70640A" w:rsidRPr="00032247" w:rsidRDefault="0070640A" w:rsidP="00C068AB">
      <w:pPr>
        <w:spacing w:line="360" w:lineRule="auto"/>
        <w:jc w:val="both"/>
        <w:rPr>
          <w:rFonts w:ascii="Palatino Linotype" w:eastAsia="Palatino Linotype" w:hAnsi="Palatino Linotype" w:cs="Palatino Linotype"/>
          <w:color w:val="000000" w:themeColor="text1"/>
        </w:rPr>
      </w:pPr>
    </w:p>
    <w:p w:rsidR="0070640A" w:rsidRPr="00032247" w:rsidRDefault="00510EA9" w:rsidP="00C068AB">
      <w:pPr>
        <w:numPr>
          <w:ilvl w:val="0"/>
          <w:numId w:val="1"/>
        </w:numPr>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lastRenderedPageBreak/>
        <w:t>Asimismo, se considera por lo que hace a la fracción III, del artículo 191, de la Ley de la materia, toda vez, que ya ha sido admitido el Recurso de Revisión, se realizará el análisis correspondiente en el Considerando Tercero.</w:t>
      </w:r>
    </w:p>
    <w:p w:rsidR="0070640A" w:rsidRPr="00032247" w:rsidRDefault="00510EA9" w:rsidP="00C068AB">
      <w:pPr>
        <w:keepNext/>
        <w:keepLines/>
        <w:pBdr>
          <w:top w:val="nil"/>
          <w:left w:val="nil"/>
          <w:bottom w:val="nil"/>
          <w:right w:val="nil"/>
          <w:between w:val="nil"/>
        </w:pBdr>
        <w:tabs>
          <w:tab w:val="left" w:pos="284"/>
          <w:tab w:val="left" w:pos="426"/>
        </w:tabs>
        <w:spacing w:before="240" w:line="360" w:lineRule="auto"/>
        <w:rPr>
          <w:rFonts w:ascii="Palatino Linotype" w:eastAsia="Palatino Linotype" w:hAnsi="Palatino Linotype" w:cs="Palatino Linotype"/>
          <w:b/>
          <w:color w:val="000000" w:themeColor="text1"/>
        </w:rPr>
      </w:pPr>
      <w:r w:rsidRPr="00032247">
        <w:rPr>
          <w:rFonts w:ascii="Palatino Linotype" w:eastAsia="Palatino Linotype" w:hAnsi="Palatino Linotype" w:cs="Palatino Linotype"/>
          <w:b/>
          <w:color w:val="000000" w:themeColor="text1"/>
        </w:rPr>
        <w:t>TERCERO. De las causales del sobreseimiento.</w:t>
      </w:r>
    </w:p>
    <w:p w:rsidR="0070640A" w:rsidRPr="00032247" w:rsidRDefault="00510EA9" w:rsidP="00C068AB">
      <w:pPr>
        <w:numPr>
          <w:ilvl w:val="0"/>
          <w:numId w:val="1"/>
        </w:numPr>
        <w:spacing w:line="360" w:lineRule="auto"/>
        <w:ind w:left="0" w:firstLine="0"/>
        <w:jc w:val="both"/>
        <w:rPr>
          <w:rFonts w:ascii="Palatino Linotype" w:hAnsi="Palatino Linotype"/>
          <w:color w:val="000000" w:themeColor="text1"/>
        </w:rPr>
      </w:pPr>
      <w:bookmarkStart w:id="7" w:name="_heading=h.3dy6vkm" w:colFirst="0" w:colLast="0"/>
      <w:bookmarkEnd w:id="7"/>
      <w:r w:rsidRPr="00032247">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032247">
        <w:rPr>
          <w:rFonts w:ascii="Palatino Linotype" w:eastAsia="Palatino Linotype" w:hAnsi="Palatino Linotype" w:cs="Palatino Linotype"/>
          <w:b/>
          <w:color w:val="000000" w:themeColor="text1"/>
          <w:u w:val="single"/>
        </w:rPr>
        <w:t>o sobreseimiento</w:t>
      </w:r>
      <w:r w:rsidRPr="00032247">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032247">
        <w:rPr>
          <w:rFonts w:ascii="Palatino Linotype" w:eastAsia="Palatino Linotype" w:hAnsi="Palatino Linotype" w:cs="Palatino Linotype"/>
          <w:b/>
          <w:color w:val="000000" w:themeColor="text1"/>
        </w:rPr>
        <w:t>SUJETO OBLIGADO.</w:t>
      </w:r>
    </w:p>
    <w:p w:rsidR="0070640A" w:rsidRPr="00032247" w:rsidRDefault="0070640A" w:rsidP="00C068AB">
      <w:pPr>
        <w:spacing w:line="360" w:lineRule="auto"/>
        <w:jc w:val="both"/>
        <w:rPr>
          <w:rFonts w:ascii="Palatino Linotype" w:hAnsi="Palatino Linotype"/>
          <w:color w:val="000000" w:themeColor="text1"/>
        </w:rPr>
      </w:pPr>
    </w:p>
    <w:p w:rsidR="0070640A" w:rsidRPr="00032247" w:rsidRDefault="00510EA9" w:rsidP="00C068AB">
      <w:pPr>
        <w:numPr>
          <w:ilvl w:val="0"/>
          <w:numId w:val="1"/>
        </w:numPr>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 xml:space="preserve">Asimismo, es de señalar que para actualizar el sobreseimiento de un recurso de revisión, el </w:t>
      </w:r>
      <w:r w:rsidRPr="00032247">
        <w:rPr>
          <w:rFonts w:ascii="Palatino Linotype" w:eastAsia="Palatino Linotype" w:hAnsi="Palatino Linotype" w:cs="Palatino Linotype"/>
          <w:b/>
          <w:color w:val="000000" w:themeColor="text1"/>
        </w:rPr>
        <w:t>SUJETO OBLIGADO</w:t>
      </w:r>
      <w:r w:rsidRPr="00032247">
        <w:rPr>
          <w:rFonts w:ascii="Palatino Linotype" w:eastAsia="Palatino Linotype" w:hAnsi="Palatino Linotype" w:cs="Palatino Linotype"/>
          <w:color w:val="000000" w:themeColor="text1"/>
        </w:rPr>
        <w:t xml:space="preserve"> puede entregar o completar la información al momento de rendir su informe justificado o, dentro de los siete días previstos para manifestar lo que a su derecho convenga, ofrecer pruebas y alegatos; como se refiriera en párrafos anteriores.</w:t>
      </w:r>
    </w:p>
    <w:p w:rsidR="0070640A" w:rsidRPr="00032247" w:rsidRDefault="0070640A" w:rsidP="00C068AB">
      <w:pPr>
        <w:pBdr>
          <w:top w:val="nil"/>
          <w:left w:val="nil"/>
          <w:bottom w:val="nil"/>
          <w:right w:val="nil"/>
          <w:between w:val="nil"/>
        </w:pBdr>
        <w:tabs>
          <w:tab w:val="left" w:pos="284"/>
          <w:tab w:val="left" w:pos="426"/>
        </w:tabs>
        <w:rPr>
          <w:rFonts w:ascii="Palatino Linotype" w:eastAsia="Palatino Linotype" w:hAnsi="Palatino Linotype" w:cs="Palatino Linotype"/>
          <w:color w:val="000000" w:themeColor="text1"/>
        </w:rPr>
      </w:pPr>
    </w:p>
    <w:p w:rsidR="0070640A" w:rsidRPr="00032247" w:rsidRDefault="00510EA9" w:rsidP="00C068AB">
      <w:pPr>
        <w:numPr>
          <w:ilvl w:val="0"/>
          <w:numId w:val="1"/>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themeColor="text1"/>
        </w:rPr>
      </w:pPr>
      <w:bookmarkStart w:id="8" w:name="_heading=h.1t3h5sf" w:colFirst="0" w:colLast="0"/>
      <w:bookmarkEnd w:id="8"/>
      <w:r w:rsidRPr="00032247">
        <w:rPr>
          <w:rFonts w:ascii="Palatino Linotype" w:eastAsia="Palatino Linotype" w:hAnsi="Palatino Linotype" w:cs="Palatino Linotype"/>
          <w:color w:val="000000" w:themeColor="text1"/>
        </w:rPr>
        <w:t xml:space="preserve">Cabe destacar que el motivo de inconformidad del </w:t>
      </w:r>
      <w:r w:rsidRPr="00032247">
        <w:rPr>
          <w:rFonts w:ascii="Palatino Linotype" w:eastAsia="Palatino Linotype" w:hAnsi="Palatino Linotype" w:cs="Palatino Linotype"/>
          <w:b/>
          <w:color w:val="000000" w:themeColor="text1"/>
        </w:rPr>
        <w:t xml:space="preserve">RECURRENTE </w:t>
      </w:r>
      <w:r w:rsidRPr="00032247">
        <w:rPr>
          <w:rFonts w:ascii="Palatino Linotype" w:eastAsia="Palatino Linotype" w:hAnsi="Palatino Linotype" w:cs="Palatino Linotype"/>
          <w:color w:val="000000" w:themeColor="text1"/>
        </w:rPr>
        <w:t xml:space="preserve">versa sobre la entrega de información incompleta, en ese sentido, se actualiza la causal de improcedencia contenida en la fracción V, del artículo 179, de la Ley de Transparencia y Acceso a la Información Pública del Estado de México y Municipios, por lo que este Órgano Garante estaría en la posibilidad de analizar  el presente asunto; sin embargo, </w:t>
      </w:r>
      <w:r w:rsidRPr="00032247">
        <w:rPr>
          <w:rFonts w:ascii="Palatino Linotype" w:eastAsia="Palatino Linotype" w:hAnsi="Palatino Linotype" w:cs="Palatino Linotype"/>
          <w:b/>
          <w:color w:val="000000" w:themeColor="text1"/>
        </w:rPr>
        <w:t>EL PARTICULAR</w:t>
      </w:r>
      <w:r w:rsidRPr="00032247">
        <w:rPr>
          <w:rFonts w:ascii="Palatino Linotype" w:eastAsia="Palatino Linotype" w:hAnsi="Palatino Linotype" w:cs="Palatino Linotype"/>
          <w:color w:val="000000" w:themeColor="text1"/>
        </w:rPr>
        <w:t xml:space="preserve">, por propio derecho, </w:t>
      </w:r>
      <w:r w:rsidRPr="00032247">
        <w:rPr>
          <w:rFonts w:ascii="Palatino Linotype" w:eastAsia="Palatino Linotype" w:hAnsi="Palatino Linotype" w:cs="Palatino Linotype"/>
          <w:b/>
          <w:color w:val="000000" w:themeColor="text1"/>
        </w:rPr>
        <w:t>se desistió del recurso de revisión</w:t>
      </w:r>
      <w:r w:rsidRPr="00032247">
        <w:rPr>
          <w:rFonts w:ascii="Palatino Linotype" w:eastAsia="Palatino Linotype" w:hAnsi="Palatino Linotype" w:cs="Palatino Linotype"/>
          <w:color w:val="000000" w:themeColor="text1"/>
        </w:rPr>
        <w:t xml:space="preserve"> que nos ocupa, vía SAIMEX, el seis de junio de dos mil veinticinco, tal y como se advierte en la imagen siguiente, razón por la cual no se entrara al estudio de los argumentos de inconformidad hechos valer por el mismo.</w:t>
      </w:r>
    </w:p>
    <w:p w:rsidR="0070640A" w:rsidRDefault="00510EA9" w:rsidP="00695E0C">
      <w:pPr>
        <w:pBdr>
          <w:top w:val="nil"/>
          <w:left w:val="nil"/>
          <w:bottom w:val="nil"/>
          <w:right w:val="nil"/>
          <w:between w:val="nil"/>
        </w:pBdr>
        <w:tabs>
          <w:tab w:val="left" w:pos="0"/>
          <w:tab w:val="left" w:pos="284"/>
        </w:tabs>
        <w:spacing w:after="240" w:line="360" w:lineRule="auto"/>
        <w:jc w:val="center"/>
        <w:rPr>
          <w:rFonts w:ascii="Palatino Linotype" w:hAnsi="Palatino Linotype"/>
          <w:color w:val="000000" w:themeColor="text1"/>
        </w:rPr>
      </w:pPr>
      <w:r w:rsidRPr="00032247">
        <w:rPr>
          <w:rFonts w:ascii="Palatino Linotype" w:hAnsi="Palatino Linotype"/>
          <w:noProof/>
          <w:color w:val="000000" w:themeColor="text1"/>
        </w:rPr>
        <w:lastRenderedPageBreak/>
        <w:drawing>
          <wp:inline distT="0" distB="0" distL="0" distR="0">
            <wp:extent cx="5742940" cy="26162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42940" cy="261620"/>
                    </a:xfrm>
                    <a:prstGeom prst="rect">
                      <a:avLst/>
                    </a:prstGeom>
                    <a:ln/>
                  </pic:spPr>
                </pic:pic>
              </a:graphicData>
            </a:graphic>
          </wp:inline>
        </w:drawing>
      </w:r>
    </w:p>
    <w:p w:rsidR="00695E0C" w:rsidRPr="00032247" w:rsidRDefault="00695E0C" w:rsidP="00695E0C">
      <w:pPr>
        <w:pBdr>
          <w:top w:val="nil"/>
          <w:left w:val="nil"/>
          <w:bottom w:val="nil"/>
          <w:right w:val="nil"/>
          <w:between w:val="nil"/>
        </w:pBdr>
        <w:tabs>
          <w:tab w:val="left" w:pos="0"/>
          <w:tab w:val="left" w:pos="284"/>
        </w:tabs>
        <w:spacing w:after="240" w:line="360" w:lineRule="auto"/>
        <w:jc w:val="center"/>
        <w:rPr>
          <w:rFonts w:ascii="Palatino Linotype" w:hAnsi="Palatino Linotype"/>
          <w:color w:val="000000" w:themeColor="text1"/>
        </w:rPr>
      </w:pPr>
    </w:p>
    <w:p w:rsidR="0070640A" w:rsidRPr="00032247" w:rsidRDefault="00510EA9" w:rsidP="00C068AB">
      <w:pPr>
        <w:numPr>
          <w:ilvl w:val="0"/>
          <w:numId w:val="1"/>
        </w:numPr>
        <w:pBdr>
          <w:top w:val="nil"/>
          <w:left w:val="nil"/>
          <w:bottom w:val="nil"/>
          <w:right w:val="nil"/>
          <w:between w:val="nil"/>
        </w:pBdr>
        <w:tabs>
          <w:tab w:val="left" w:pos="0"/>
          <w:tab w:val="left" w:pos="284"/>
        </w:tabs>
        <w:spacing w:before="240" w:line="360" w:lineRule="auto"/>
        <w:ind w:left="0" w:firstLine="0"/>
        <w:jc w:val="both"/>
        <w:rPr>
          <w:rFonts w:ascii="Palatino Linotype" w:eastAsia="Palatino Linotype" w:hAnsi="Palatino Linotype" w:cs="Palatino Linotype"/>
          <w:b/>
          <w:color w:val="000000" w:themeColor="text1"/>
        </w:rPr>
      </w:pPr>
      <w:r w:rsidRPr="00032247">
        <w:rPr>
          <w:rFonts w:ascii="Palatino Linotype" w:eastAsia="Palatino Linotype" w:hAnsi="Palatino Linotype" w:cs="Palatino Linotype"/>
          <w:color w:val="000000" w:themeColor="text1"/>
        </w:rPr>
        <w:t xml:space="preserve">De la imagen, se advierte que efectivamente el particular hizo uso de la opción </w:t>
      </w:r>
      <w:r w:rsidRPr="00032247">
        <w:rPr>
          <w:rFonts w:ascii="Palatino Linotype" w:eastAsia="Palatino Linotype" w:hAnsi="Palatino Linotype" w:cs="Palatino Linotype"/>
          <w:b/>
          <w:color w:val="000000" w:themeColor="text1"/>
        </w:rPr>
        <w:t>“Desistir”</w:t>
      </w:r>
      <w:r w:rsidRPr="00032247">
        <w:rPr>
          <w:rFonts w:ascii="Palatino Linotype" w:eastAsia="Palatino Linotype" w:hAnsi="Palatino Linotype" w:cs="Palatino Linotype"/>
          <w:color w:val="000000" w:themeColor="text1"/>
        </w:rPr>
        <w:t xml:space="preserve"> al recurso de revisión en el propio SAIMEX, opción que </w:t>
      </w:r>
      <w:r w:rsidRPr="00032247">
        <w:rPr>
          <w:rFonts w:ascii="Palatino Linotype" w:eastAsia="Palatino Linotype" w:hAnsi="Palatino Linotype" w:cs="Palatino Linotype"/>
          <w:b/>
          <w:i/>
          <w:color w:val="000000" w:themeColor="text1"/>
          <w:u w:val="single"/>
        </w:rPr>
        <w:t>ÚNICAMENTE</w:t>
      </w:r>
      <w:r w:rsidRPr="00032247">
        <w:rPr>
          <w:rFonts w:ascii="Palatino Linotype" w:eastAsia="Palatino Linotype" w:hAnsi="Palatino Linotype" w:cs="Palatino Linotype"/>
          <w:color w:val="000000" w:themeColor="text1"/>
        </w:rPr>
        <w:t xml:space="preserve"> puede 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Pr="00032247">
        <w:rPr>
          <w:rFonts w:ascii="Palatino Linotype" w:eastAsia="Palatino Linotype" w:hAnsi="Palatino Linotype" w:cs="Palatino Linotype"/>
          <w:b/>
          <w:color w:val="000000" w:themeColor="text1"/>
        </w:rPr>
        <w:t>luego entonces no es acertado suponer que fue por error involuntario, lo que se constituye como un desistimiento expreso.</w:t>
      </w:r>
    </w:p>
    <w:p w:rsidR="0070640A" w:rsidRPr="00032247" w:rsidRDefault="0070640A" w:rsidP="00C068A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0640A" w:rsidRPr="00032247" w:rsidRDefault="00510EA9" w:rsidP="00C068AB">
      <w:pPr>
        <w:numPr>
          <w:ilvl w:val="0"/>
          <w:numId w:val="1"/>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En ese orden de ideas el artículo 192 Ley de Transparencia y Acceso a la Información Pública del Estado de México y Municipios, establece lo siguiente:</w:t>
      </w:r>
    </w:p>
    <w:p w:rsidR="0070640A" w:rsidRPr="00032247" w:rsidRDefault="00510EA9" w:rsidP="00C068A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w:t>
      </w:r>
      <w:r w:rsidRPr="00032247">
        <w:rPr>
          <w:rFonts w:ascii="Palatino Linotype" w:eastAsia="Palatino Linotype" w:hAnsi="Palatino Linotype" w:cs="Palatino Linotype"/>
          <w:b/>
          <w:i/>
          <w:color w:val="000000" w:themeColor="text1"/>
        </w:rPr>
        <w:t>Artículo 192.</w:t>
      </w:r>
      <w:r w:rsidRPr="00032247">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70640A" w:rsidRPr="00032247" w:rsidRDefault="00510EA9" w:rsidP="00C068A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b/>
          <w:i/>
          <w:color w:val="000000" w:themeColor="text1"/>
        </w:rPr>
        <w:t>I.</w:t>
      </w:r>
      <w:r w:rsidRPr="00032247">
        <w:rPr>
          <w:rFonts w:ascii="Palatino Linotype" w:eastAsia="Palatino Linotype" w:hAnsi="Palatino Linotype" w:cs="Palatino Linotype"/>
          <w:i/>
          <w:color w:val="000000" w:themeColor="text1"/>
        </w:rPr>
        <w:t xml:space="preserve"> El recurrente se desista expresamente del recurso;</w:t>
      </w:r>
    </w:p>
    <w:p w:rsidR="0070640A" w:rsidRDefault="00510EA9" w:rsidP="00C068A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i/>
          <w:color w:val="000000" w:themeColor="text1"/>
        </w:rPr>
        <w:t>(…)”</w:t>
      </w:r>
    </w:p>
    <w:p w:rsidR="00695E0C" w:rsidRPr="00032247" w:rsidRDefault="00695E0C" w:rsidP="00C068A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0640A" w:rsidRPr="00032247" w:rsidRDefault="00510EA9" w:rsidP="00C068AB">
      <w:pPr>
        <w:numPr>
          <w:ilvl w:val="0"/>
          <w:numId w:val="1"/>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Robustece lo anterior la tesis aislada I.15o.T.2 K (10a.), del Décimo Quinto Tribunal Colegiado en Materia de Trabajo del Primer Circuito, misma que se anexa a continuación:</w:t>
      </w:r>
    </w:p>
    <w:p w:rsidR="0070640A" w:rsidRPr="00032247" w:rsidRDefault="00510EA9" w:rsidP="00C068A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32247">
        <w:rPr>
          <w:rFonts w:ascii="Palatino Linotype" w:eastAsia="Palatino Linotype" w:hAnsi="Palatino Linotype" w:cs="Palatino Linotype"/>
          <w:b/>
          <w:i/>
          <w:color w:val="000000" w:themeColor="text1"/>
        </w:rPr>
        <w:t>DESISTIMIENTO DEL RECURSO DE REVISIÓN EN AMPARO INDIRECTO. ES INNECESARIO QUE SE RATIFIQUE EL ESCRITO CORRESPONDIENTE, CUANDO SU REQUERIMIENTO SE NOTIFICÓ PERSONALMENTE.</w:t>
      </w:r>
      <w:r w:rsidRPr="00032247">
        <w:rPr>
          <w:rFonts w:ascii="Palatino Linotype" w:eastAsia="Palatino Linotype" w:hAnsi="Palatino Linotype" w:cs="Palatino Linotype"/>
          <w:i/>
          <w:color w:val="000000" w:themeColor="text1"/>
        </w:rPr>
        <w:t xml:space="preserve"> “Si el quejoso en un juicio de amparo indirecto interpone recurso de revisión contra la sentencia dictada por el Juez de Distrito y una vez </w:t>
      </w:r>
      <w:r w:rsidRPr="00032247">
        <w:rPr>
          <w:rFonts w:ascii="Palatino Linotype" w:eastAsia="Palatino Linotype" w:hAnsi="Palatino Linotype" w:cs="Palatino Linotype"/>
          <w:i/>
          <w:color w:val="000000" w:themeColor="text1"/>
        </w:rPr>
        <w:lastRenderedPageBreak/>
        <w:t>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70640A" w:rsidRPr="00032247" w:rsidRDefault="0070640A" w:rsidP="00C068A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0640A" w:rsidRPr="00032247" w:rsidRDefault="00510EA9" w:rsidP="00C068AB">
      <w:pPr>
        <w:numPr>
          <w:ilvl w:val="0"/>
          <w:numId w:val="1"/>
        </w:numPr>
        <w:pBdr>
          <w:top w:val="nil"/>
          <w:left w:val="nil"/>
          <w:bottom w:val="nil"/>
          <w:right w:val="nil"/>
          <w:between w:val="nil"/>
        </w:pBdr>
        <w:tabs>
          <w:tab w:val="left" w:pos="0"/>
          <w:tab w:val="left" w:pos="284"/>
        </w:tabs>
        <w:spacing w:before="240"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 xml:space="preserve">Por consiguiente, al existir un </w:t>
      </w:r>
      <w:r w:rsidRPr="00032247">
        <w:rPr>
          <w:rFonts w:ascii="Palatino Linotype" w:eastAsia="Palatino Linotype" w:hAnsi="Palatino Linotype" w:cs="Palatino Linotype"/>
          <w:b/>
          <w:i/>
          <w:color w:val="000000" w:themeColor="text1"/>
          <w:u w:val="single"/>
        </w:rPr>
        <w:t>desistimiento</w:t>
      </w:r>
      <w:r w:rsidRPr="00032247">
        <w:rPr>
          <w:rFonts w:ascii="Palatino Linotype" w:eastAsia="Palatino Linotype" w:hAnsi="Palatino Linotype" w:cs="Palatino Linotype"/>
          <w:color w:val="000000" w:themeColor="text1"/>
        </w:rPr>
        <w:t xml:space="preserve"> expreso por parte del </w:t>
      </w:r>
      <w:r w:rsidRPr="00032247">
        <w:rPr>
          <w:rFonts w:ascii="Palatino Linotype" w:eastAsia="Palatino Linotype" w:hAnsi="Palatino Linotype" w:cs="Palatino Linotype"/>
          <w:b/>
          <w:color w:val="000000" w:themeColor="text1"/>
        </w:rPr>
        <w:t>RECURRENTE</w:t>
      </w:r>
      <w:r w:rsidRPr="00032247">
        <w:rPr>
          <w:rFonts w:ascii="Palatino Linotype" w:eastAsia="Palatino Linotype" w:hAnsi="Palatino Linotype" w:cs="Palatino Linotype"/>
          <w:color w:val="000000" w:themeColor="text1"/>
        </w:rPr>
        <w:t xml:space="preserve">, este Pleno determina el </w:t>
      </w:r>
      <w:r w:rsidRPr="00032247">
        <w:rPr>
          <w:rFonts w:ascii="Palatino Linotype" w:eastAsia="Palatino Linotype" w:hAnsi="Palatino Linotype" w:cs="Palatino Linotype"/>
          <w:b/>
          <w:color w:val="000000" w:themeColor="text1"/>
        </w:rPr>
        <w:t>SOBRESEIMIENTO</w:t>
      </w:r>
      <w:r w:rsidRPr="00032247">
        <w:rPr>
          <w:rFonts w:ascii="Palatino Linotype" w:eastAsia="Palatino Linotype" w:hAnsi="Palatino Linotype" w:cs="Palatino Linotype"/>
          <w:color w:val="000000" w:themeColor="text1"/>
        </w:rPr>
        <w:t xml:space="preserve"> del recurso de revisión.</w:t>
      </w:r>
    </w:p>
    <w:p w:rsidR="0070640A" w:rsidRPr="00032247" w:rsidRDefault="0070640A" w:rsidP="00C068AB">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70640A" w:rsidRPr="00032247" w:rsidRDefault="00510EA9" w:rsidP="00C068AB">
      <w:pPr>
        <w:numPr>
          <w:ilvl w:val="0"/>
          <w:numId w:val="1"/>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themeColor="text1"/>
        </w:rPr>
      </w:pPr>
      <w:r w:rsidRPr="00032247">
        <w:rPr>
          <w:rFonts w:ascii="Palatino Linotype" w:eastAsia="Palatino Linotype" w:hAnsi="Palatino Linotype" w:cs="Palatino Linotype"/>
          <w:color w:val="000000" w:themeColor="text1"/>
        </w:rPr>
        <w:t xml:space="preserve">Bajo ese tenor y, en términos del artículo 186, fracción I, de la Ley de Transparencia y Acceso a la Información Pública del Estado de México y Municipios, este Pleno determina el </w:t>
      </w:r>
      <w:r w:rsidRPr="00032247">
        <w:rPr>
          <w:rFonts w:ascii="Palatino Linotype" w:eastAsia="Palatino Linotype" w:hAnsi="Palatino Linotype" w:cs="Palatino Linotype"/>
          <w:b/>
          <w:color w:val="000000" w:themeColor="text1"/>
        </w:rPr>
        <w:t xml:space="preserve">SOBRESEIMIENTO </w:t>
      </w:r>
      <w:r w:rsidRPr="00032247">
        <w:rPr>
          <w:rFonts w:ascii="Palatino Linotype" w:eastAsia="Palatino Linotype" w:hAnsi="Palatino Linotype" w:cs="Palatino Linotype"/>
          <w:color w:val="000000" w:themeColor="text1"/>
        </w:rPr>
        <w:t>del presente recurso de revisión, por resultar improcedente, en términos de la fracción I, del artículo 192, de la Ley de Transparencia y Acceso a la Información Pública Estatal.</w:t>
      </w:r>
    </w:p>
    <w:p w:rsidR="0070640A" w:rsidRPr="00032247" w:rsidRDefault="0070640A" w:rsidP="00C068A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0640A" w:rsidRDefault="00510EA9" w:rsidP="00C068AB">
      <w:pPr>
        <w:numPr>
          <w:ilvl w:val="0"/>
          <w:numId w:val="1"/>
        </w:numPr>
        <w:pBdr>
          <w:top w:val="nil"/>
          <w:left w:val="nil"/>
          <w:bottom w:val="nil"/>
          <w:right w:val="nil"/>
          <w:between w:val="nil"/>
        </w:pBdr>
        <w:tabs>
          <w:tab w:val="left" w:pos="426"/>
        </w:tabs>
        <w:spacing w:after="240" w:line="360" w:lineRule="auto"/>
        <w:ind w:left="0" w:firstLine="0"/>
        <w:jc w:val="both"/>
        <w:rPr>
          <w:rFonts w:ascii="Palatino Linotype" w:eastAsia="Palatino Linotype" w:hAnsi="Palatino Linotype" w:cs="Palatino Linotype"/>
          <w:color w:val="000000" w:themeColor="text1"/>
        </w:rPr>
      </w:pPr>
      <w:bookmarkStart w:id="9" w:name="_heading=h.1x0fjy20mm2n" w:colFirst="0" w:colLast="0"/>
      <w:bookmarkEnd w:id="9"/>
      <w:r w:rsidRPr="00032247">
        <w:rPr>
          <w:rFonts w:ascii="Palatino Linotype" w:eastAsia="Palatino Linotype" w:hAnsi="Palatino Linotype" w:cs="Palatino Linotype"/>
          <w:color w:val="000000" w:themeColor="text1"/>
        </w:rPr>
        <w:t>Por lo anteriormente expuesto, este Órgano Garante emite los siguientes: -----------</w:t>
      </w:r>
      <w:r w:rsidR="00695E0C">
        <w:rPr>
          <w:rFonts w:ascii="Palatino Linotype" w:eastAsia="Palatino Linotype" w:hAnsi="Palatino Linotype" w:cs="Palatino Linotype"/>
          <w:color w:val="000000" w:themeColor="text1"/>
        </w:rPr>
        <w:t>--------</w:t>
      </w:r>
    </w:p>
    <w:p w:rsidR="00695E0C" w:rsidRDefault="00695E0C" w:rsidP="00695E0C">
      <w:pPr>
        <w:pStyle w:val="Prrafodelista"/>
        <w:rPr>
          <w:rFonts w:ascii="Palatino Linotype" w:eastAsia="Palatino Linotype" w:hAnsi="Palatino Linotype" w:cs="Palatino Linotype"/>
          <w:color w:val="000000" w:themeColor="text1"/>
        </w:rPr>
      </w:pPr>
    </w:p>
    <w:p w:rsidR="00695E0C" w:rsidRDefault="00695E0C" w:rsidP="00695E0C">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695E0C" w:rsidRPr="00032247" w:rsidRDefault="00695E0C" w:rsidP="00695E0C">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70640A" w:rsidRPr="00032247" w:rsidRDefault="00510EA9" w:rsidP="00C068AB">
      <w:pPr>
        <w:pBdr>
          <w:top w:val="nil"/>
          <w:left w:val="nil"/>
          <w:bottom w:val="nil"/>
          <w:right w:val="nil"/>
          <w:between w:val="nil"/>
        </w:pBdr>
        <w:tabs>
          <w:tab w:val="left" w:pos="426"/>
        </w:tabs>
        <w:spacing w:after="240" w:line="360" w:lineRule="auto"/>
        <w:jc w:val="center"/>
        <w:rPr>
          <w:rFonts w:ascii="Palatino Linotype" w:eastAsia="Palatino Linotype" w:hAnsi="Palatino Linotype" w:cs="Palatino Linotype"/>
          <w:b/>
          <w:color w:val="000000" w:themeColor="text1"/>
        </w:rPr>
      </w:pPr>
      <w:r w:rsidRPr="00032247">
        <w:rPr>
          <w:rFonts w:ascii="Palatino Linotype" w:eastAsia="Palatino Linotype" w:hAnsi="Palatino Linotype" w:cs="Palatino Linotype"/>
          <w:b/>
          <w:color w:val="000000" w:themeColor="text1"/>
        </w:rPr>
        <w:lastRenderedPageBreak/>
        <w:t>R E S O L U T I V O S</w:t>
      </w:r>
    </w:p>
    <w:p w:rsidR="0070640A" w:rsidRPr="00032247" w:rsidRDefault="0070640A" w:rsidP="00C068AB">
      <w:pPr>
        <w:rPr>
          <w:rFonts w:ascii="Palatino Linotype" w:hAnsi="Palatino Linotype"/>
          <w:color w:val="000000" w:themeColor="text1"/>
        </w:rPr>
      </w:pPr>
    </w:p>
    <w:p w:rsidR="0070640A" w:rsidRPr="00032247" w:rsidRDefault="00510EA9" w:rsidP="00C068AB">
      <w:pPr>
        <w:spacing w:after="240" w:line="360" w:lineRule="auto"/>
        <w:jc w:val="both"/>
        <w:rPr>
          <w:rFonts w:ascii="Palatino Linotype" w:eastAsia="Palatino Linotype" w:hAnsi="Palatino Linotype" w:cs="Palatino Linotype"/>
          <w:color w:val="000000" w:themeColor="text1"/>
        </w:rPr>
      </w:pPr>
      <w:r w:rsidRPr="00032247">
        <w:rPr>
          <w:rFonts w:ascii="Palatino Linotype" w:eastAsia="Palatino Linotype" w:hAnsi="Palatino Linotype" w:cs="Palatino Linotype"/>
          <w:b/>
          <w:color w:val="000000" w:themeColor="text1"/>
        </w:rPr>
        <w:t>PRIMERO.</w:t>
      </w:r>
      <w:r w:rsidRPr="00032247">
        <w:rPr>
          <w:rFonts w:ascii="Palatino Linotype" w:eastAsia="Palatino Linotype" w:hAnsi="Palatino Linotype" w:cs="Palatino Linotype"/>
          <w:color w:val="000000" w:themeColor="text1"/>
        </w:rPr>
        <w:t xml:space="preserve"> Se </w:t>
      </w:r>
      <w:r w:rsidRPr="00032247">
        <w:rPr>
          <w:rFonts w:ascii="Palatino Linotype" w:eastAsia="Palatino Linotype" w:hAnsi="Palatino Linotype" w:cs="Palatino Linotype"/>
          <w:b/>
          <w:color w:val="000000" w:themeColor="text1"/>
        </w:rPr>
        <w:t>SOBRESEE</w:t>
      </w:r>
      <w:r w:rsidRPr="00032247">
        <w:rPr>
          <w:rFonts w:ascii="Palatino Linotype" w:eastAsia="Palatino Linotype" w:hAnsi="Palatino Linotype" w:cs="Palatino Linotype"/>
          <w:color w:val="000000" w:themeColor="text1"/>
        </w:rPr>
        <w:t xml:space="preserve"> el recurso de revisión número </w:t>
      </w:r>
      <w:r w:rsidRPr="00032247">
        <w:rPr>
          <w:rFonts w:ascii="Palatino Linotype" w:eastAsia="Palatino Linotype" w:hAnsi="Palatino Linotype" w:cs="Palatino Linotype"/>
          <w:b/>
          <w:color w:val="000000" w:themeColor="text1"/>
        </w:rPr>
        <w:t>06353/INFOEM/IP/RR/2025</w:t>
      </w:r>
      <w:r w:rsidRPr="00032247">
        <w:rPr>
          <w:rFonts w:ascii="Palatino Linotype" w:eastAsia="Palatino Linotype" w:hAnsi="Palatino Linotype" w:cs="Palatino Linotype"/>
          <w:color w:val="000000" w:themeColor="text1"/>
        </w:rPr>
        <w:t xml:space="preserve">, de conformidad con lo dispuesto en el artículo 192 fracción I, de la Ley de Transparencia y Acceso a la Información Pública del Estado de México y Municipios, en términos del considerando </w:t>
      </w:r>
      <w:r w:rsidRPr="00032247">
        <w:rPr>
          <w:rFonts w:ascii="Palatino Linotype" w:eastAsia="Palatino Linotype" w:hAnsi="Palatino Linotype" w:cs="Palatino Linotype"/>
          <w:b/>
          <w:color w:val="000000" w:themeColor="text1"/>
        </w:rPr>
        <w:t xml:space="preserve">TERCERO </w:t>
      </w:r>
      <w:r w:rsidRPr="00032247">
        <w:rPr>
          <w:rFonts w:ascii="Palatino Linotype" w:eastAsia="Palatino Linotype" w:hAnsi="Palatino Linotype" w:cs="Palatino Linotype"/>
          <w:color w:val="000000" w:themeColor="text1"/>
        </w:rPr>
        <w:t>de la presente Resolución.</w:t>
      </w:r>
    </w:p>
    <w:p w:rsidR="0070640A" w:rsidRPr="00032247" w:rsidRDefault="00510EA9" w:rsidP="00C068AB">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032247">
        <w:rPr>
          <w:rFonts w:ascii="Palatino Linotype" w:eastAsia="Palatino Linotype" w:hAnsi="Palatino Linotype" w:cs="Palatino Linotype"/>
          <w:b/>
          <w:color w:val="000000" w:themeColor="text1"/>
        </w:rPr>
        <w:t xml:space="preserve">SEGUNDO. </w:t>
      </w:r>
      <w:r w:rsidRPr="00032247">
        <w:rPr>
          <w:rFonts w:ascii="Palatino Linotype" w:eastAsia="Palatino Linotype" w:hAnsi="Palatino Linotype" w:cs="Palatino Linotype"/>
          <w:color w:val="000000" w:themeColor="text1"/>
        </w:rPr>
        <w:t xml:space="preserve">Notifíquese al Titular de la Unidad de Transparencia del </w:t>
      </w:r>
      <w:r w:rsidRPr="00032247">
        <w:rPr>
          <w:rFonts w:ascii="Palatino Linotype" w:eastAsia="Palatino Linotype" w:hAnsi="Palatino Linotype" w:cs="Palatino Linotype"/>
          <w:b/>
          <w:color w:val="000000" w:themeColor="text1"/>
        </w:rPr>
        <w:t>SUJETO OBLIGADO,</w:t>
      </w:r>
      <w:r w:rsidRPr="00032247">
        <w:rPr>
          <w:rFonts w:ascii="Palatino Linotype" w:eastAsia="Palatino Linotype" w:hAnsi="Palatino Linotype" w:cs="Palatino Linotype"/>
          <w:color w:val="000000" w:themeColor="text1"/>
        </w:rPr>
        <w:t xml:space="preserve"> vía </w:t>
      </w:r>
      <w:r w:rsidRPr="00032247">
        <w:rPr>
          <w:rFonts w:ascii="Palatino Linotype" w:eastAsia="Palatino Linotype" w:hAnsi="Palatino Linotype" w:cs="Palatino Linotype"/>
          <w:b/>
          <w:color w:val="000000" w:themeColor="text1"/>
        </w:rPr>
        <w:t>SAIMEX</w:t>
      </w:r>
      <w:r w:rsidRPr="00032247">
        <w:rPr>
          <w:rFonts w:ascii="Palatino Linotype" w:eastAsia="Palatino Linotype" w:hAnsi="Palatino Linotype" w:cs="Palatino Linotype"/>
          <w:color w:val="000000" w:themeColor="text1"/>
        </w:rPr>
        <w:t xml:space="preserve">, la presente resolución. </w:t>
      </w:r>
    </w:p>
    <w:p w:rsidR="0070640A" w:rsidRPr="00032247" w:rsidRDefault="00510EA9" w:rsidP="00C068AB">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032247">
        <w:rPr>
          <w:rFonts w:ascii="Palatino Linotype" w:eastAsia="Palatino Linotype" w:hAnsi="Palatino Linotype" w:cs="Palatino Linotype"/>
          <w:b/>
          <w:color w:val="000000" w:themeColor="text1"/>
        </w:rPr>
        <w:t xml:space="preserve">TERCERO. </w:t>
      </w:r>
      <w:r w:rsidRPr="00032247">
        <w:rPr>
          <w:rFonts w:ascii="Palatino Linotype" w:eastAsia="Palatino Linotype" w:hAnsi="Palatino Linotype" w:cs="Palatino Linotype"/>
          <w:color w:val="000000" w:themeColor="text1"/>
        </w:rPr>
        <w:t xml:space="preserve">Notifíquese al </w:t>
      </w:r>
      <w:r w:rsidRPr="00032247">
        <w:rPr>
          <w:rFonts w:ascii="Palatino Linotype" w:eastAsia="Palatino Linotype" w:hAnsi="Palatino Linotype" w:cs="Palatino Linotype"/>
          <w:b/>
          <w:color w:val="000000" w:themeColor="text1"/>
        </w:rPr>
        <w:t>RECURRENTE</w:t>
      </w:r>
      <w:r w:rsidRPr="00032247">
        <w:rPr>
          <w:rFonts w:ascii="Palatino Linotype" w:eastAsia="Palatino Linotype" w:hAnsi="Palatino Linotype" w:cs="Palatino Linotype"/>
          <w:color w:val="000000" w:themeColor="text1"/>
        </w:rPr>
        <w:t xml:space="preserve"> la presente resolución, vía </w:t>
      </w:r>
      <w:r w:rsidRPr="00032247">
        <w:rPr>
          <w:rFonts w:ascii="Palatino Linotype" w:eastAsia="Palatino Linotype" w:hAnsi="Palatino Linotype" w:cs="Palatino Linotype"/>
          <w:b/>
          <w:color w:val="000000" w:themeColor="text1"/>
        </w:rPr>
        <w:t xml:space="preserve">SAIMEX. </w:t>
      </w:r>
    </w:p>
    <w:p w:rsidR="0070640A" w:rsidRPr="00032247" w:rsidRDefault="00510EA9" w:rsidP="00C068AB">
      <w:pPr>
        <w:shd w:val="clear" w:color="auto" w:fill="FFFFFF"/>
        <w:spacing w:line="360" w:lineRule="auto"/>
        <w:jc w:val="both"/>
        <w:rPr>
          <w:rFonts w:ascii="Palatino Linotype" w:eastAsia="Palatino Linotype" w:hAnsi="Palatino Linotype" w:cs="Palatino Linotype"/>
          <w:color w:val="000000" w:themeColor="text1"/>
        </w:rPr>
      </w:pPr>
      <w:r w:rsidRPr="00032247">
        <w:rPr>
          <w:rFonts w:ascii="Palatino Linotype" w:eastAsia="Palatino Linotype" w:hAnsi="Palatino Linotype" w:cs="Palatino Linotype"/>
          <w:b/>
          <w:color w:val="000000" w:themeColor="text1"/>
        </w:rPr>
        <w:t>CUARTO.</w:t>
      </w:r>
      <w:r w:rsidRPr="00032247">
        <w:rPr>
          <w:rFonts w:ascii="Palatino Linotype" w:eastAsia="Palatino Linotype" w:hAnsi="Palatino Linotype" w:cs="Palatino Linotype"/>
          <w:color w:val="000000" w:themeColor="text1"/>
        </w:rPr>
        <w:t xml:space="preserve"> Se hace del conocimiento del </w:t>
      </w:r>
      <w:r w:rsidRPr="00032247">
        <w:rPr>
          <w:rFonts w:ascii="Palatino Linotype" w:eastAsia="Palatino Linotype" w:hAnsi="Palatino Linotype" w:cs="Palatino Linotype"/>
          <w:b/>
          <w:color w:val="000000" w:themeColor="text1"/>
        </w:rPr>
        <w:t xml:space="preserve">RECURRENTE </w:t>
      </w:r>
      <w:r w:rsidRPr="00032247">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0640A" w:rsidRPr="00032247" w:rsidRDefault="0070640A" w:rsidP="00C068A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068AB" w:rsidRPr="009B0452" w:rsidRDefault="00032247" w:rsidP="00C068AB">
      <w:pPr>
        <w:spacing w:line="360" w:lineRule="auto"/>
        <w:ind w:right="49"/>
        <w:jc w:val="both"/>
        <w:rPr>
          <w:rFonts w:ascii="Palatino Linotype" w:eastAsia="Palatino Linotype" w:hAnsi="Palatino Linotype" w:cs="Palatino Linotype"/>
        </w:rPr>
      </w:pPr>
      <w:bookmarkStart w:id="10" w:name="_heading=h.fxk4xlz5s28q" w:colFirst="0" w:colLast="0"/>
      <w:bookmarkEnd w:id="10"/>
      <w:r w:rsidRPr="000322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C068AB" w:rsidRPr="00032247">
        <w:rPr>
          <w:rFonts w:ascii="Palatino Linotype" w:eastAsia="Palatino Linotype" w:hAnsi="Palatino Linotype" w:cs="Palatino Linotype"/>
        </w:rPr>
        <w:t>.</w:t>
      </w:r>
    </w:p>
    <w:p w:rsidR="0070640A" w:rsidRPr="00C068AB" w:rsidRDefault="0070640A" w:rsidP="00C068AB">
      <w:pPr>
        <w:spacing w:before="240" w:after="240" w:line="360" w:lineRule="auto"/>
        <w:ind w:firstLine="1"/>
        <w:jc w:val="both"/>
        <w:rPr>
          <w:rFonts w:ascii="Palatino Linotype" w:eastAsia="Palatino Linotype" w:hAnsi="Palatino Linotype" w:cs="Palatino Linotype"/>
          <w:color w:val="000000" w:themeColor="text1"/>
        </w:rPr>
      </w:pPr>
    </w:p>
    <w:p w:rsidR="0070640A" w:rsidRPr="00C068AB" w:rsidRDefault="0070640A" w:rsidP="00C068AB">
      <w:pPr>
        <w:spacing w:before="240" w:after="240" w:line="360" w:lineRule="auto"/>
        <w:jc w:val="both"/>
        <w:rPr>
          <w:rFonts w:ascii="Palatino Linotype" w:eastAsia="Palatino Linotype" w:hAnsi="Palatino Linotype" w:cs="Palatino Linotype"/>
          <w:color w:val="000000" w:themeColor="text1"/>
        </w:rPr>
      </w:pPr>
    </w:p>
    <w:p w:rsidR="0070640A" w:rsidRPr="00C068AB" w:rsidRDefault="0070640A" w:rsidP="00C068AB">
      <w:pPr>
        <w:spacing w:before="240" w:after="240" w:line="360" w:lineRule="auto"/>
        <w:jc w:val="both"/>
        <w:rPr>
          <w:rFonts w:ascii="Palatino Linotype" w:eastAsia="Palatino Linotype" w:hAnsi="Palatino Linotype" w:cs="Palatino Linotype"/>
          <w:color w:val="000000" w:themeColor="text1"/>
        </w:rPr>
      </w:pPr>
    </w:p>
    <w:p w:rsidR="0070640A" w:rsidRPr="00C068AB" w:rsidRDefault="0070640A" w:rsidP="00C068AB">
      <w:pPr>
        <w:rPr>
          <w:rFonts w:ascii="Palatino Linotype" w:hAnsi="Palatino Linotype"/>
          <w:color w:val="000000" w:themeColor="text1"/>
        </w:rPr>
      </w:pPr>
    </w:p>
    <w:p w:rsidR="0070640A" w:rsidRPr="00C068AB" w:rsidRDefault="0070640A" w:rsidP="00C068AB">
      <w:pPr>
        <w:rPr>
          <w:rFonts w:ascii="Palatino Linotype" w:hAnsi="Palatino Linotype"/>
          <w:color w:val="000000" w:themeColor="text1"/>
        </w:rPr>
      </w:pPr>
    </w:p>
    <w:p w:rsidR="0070640A" w:rsidRPr="00C068AB" w:rsidRDefault="0070640A" w:rsidP="00C068AB">
      <w:pPr>
        <w:rPr>
          <w:rFonts w:ascii="Palatino Linotype" w:hAnsi="Palatino Linotype"/>
          <w:color w:val="000000" w:themeColor="text1"/>
        </w:rPr>
      </w:pPr>
    </w:p>
    <w:p w:rsidR="0070640A" w:rsidRPr="00C068AB" w:rsidRDefault="0070640A" w:rsidP="00C068AB">
      <w:pPr>
        <w:rPr>
          <w:rFonts w:ascii="Palatino Linotype" w:hAnsi="Palatino Linotype"/>
          <w:color w:val="000000" w:themeColor="text1"/>
        </w:rPr>
      </w:pPr>
      <w:bookmarkStart w:id="11" w:name="_heading=h.17dp8vu" w:colFirst="0" w:colLast="0"/>
      <w:bookmarkEnd w:id="11"/>
    </w:p>
    <w:sectPr w:rsidR="0070640A" w:rsidRPr="00C068AB" w:rsidSect="00695E0C">
      <w:headerReference w:type="even" r:id="rId12"/>
      <w:headerReference w:type="default" r:id="rId13"/>
      <w:footerReference w:type="default" r:id="rId14"/>
      <w:headerReference w:type="first" r:id="rId15"/>
      <w:footerReference w:type="first" r:id="rId16"/>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5BB" w:rsidRDefault="000A65BB">
      <w:r>
        <w:separator/>
      </w:r>
    </w:p>
  </w:endnote>
  <w:endnote w:type="continuationSeparator" w:id="0">
    <w:p w:rsidR="000A65BB" w:rsidRDefault="000A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40A" w:rsidRDefault="00510EA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95E0C">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95E0C">
      <w:rPr>
        <w:b/>
        <w:noProof/>
        <w:color w:val="000000"/>
      </w:rPr>
      <w:t>10</w:t>
    </w:r>
    <w:r>
      <w:rPr>
        <w:b/>
        <w:color w:val="000000"/>
      </w:rPr>
      <w:fldChar w:fldCharType="end"/>
    </w:r>
  </w:p>
  <w:p w:rsidR="0070640A" w:rsidRDefault="0070640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40A" w:rsidRDefault="00510EA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95E0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95E0C">
      <w:rPr>
        <w:b/>
        <w:noProof/>
        <w:color w:val="000000"/>
      </w:rPr>
      <w:t>10</w:t>
    </w:r>
    <w:r>
      <w:rPr>
        <w:b/>
        <w:color w:val="000000"/>
      </w:rPr>
      <w:fldChar w:fldCharType="end"/>
    </w:r>
  </w:p>
  <w:p w:rsidR="0070640A" w:rsidRDefault="0070640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5BB" w:rsidRDefault="000A65BB">
      <w:r>
        <w:separator/>
      </w:r>
    </w:p>
  </w:footnote>
  <w:footnote w:type="continuationSeparator" w:id="0">
    <w:p w:rsidR="000A65BB" w:rsidRDefault="000A6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40A" w:rsidRDefault="000A65B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9896" w:type="dxa"/>
      <w:tblInd w:w="-115" w:type="dxa"/>
      <w:tblLayout w:type="fixed"/>
      <w:tblLook w:val="0400" w:firstRow="0" w:lastRow="0" w:firstColumn="0" w:lastColumn="0" w:noHBand="0" w:noVBand="1"/>
    </w:tblPr>
    <w:tblGrid>
      <w:gridCol w:w="2268"/>
      <w:gridCol w:w="7628"/>
    </w:tblGrid>
    <w:tr w:rsidR="0070640A" w:rsidTr="00C068AB">
      <w:trPr>
        <w:trHeight w:val="1435"/>
      </w:trPr>
      <w:tc>
        <w:tcPr>
          <w:tcW w:w="2268" w:type="dxa"/>
          <w:shd w:val="clear" w:color="auto" w:fill="auto"/>
        </w:tcPr>
        <w:p w:rsidR="0070640A" w:rsidRDefault="0070640A">
          <w:pPr>
            <w:tabs>
              <w:tab w:val="right" w:pos="4273"/>
            </w:tabs>
            <w:rPr>
              <w:rFonts w:ascii="Garamond" w:eastAsia="Garamond" w:hAnsi="Garamond" w:cs="Garamond"/>
              <w:sz w:val="16"/>
              <w:szCs w:val="16"/>
            </w:rPr>
          </w:pPr>
        </w:p>
      </w:tc>
      <w:tc>
        <w:tcPr>
          <w:tcW w:w="7628" w:type="dxa"/>
          <w:shd w:val="clear" w:color="auto" w:fill="auto"/>
        </w:tcPr>
        <w:tbl>
          <w:tblPr>
            <w:tblStyle w:val="af2"/>
            <w:tblW w:w="7330" w:type="dxa"/>
            <w:tblInd w:w="1418" w:type="dxa"/>
            <w:tblLayout w:type="fixed"/>
            <w:tblLook w:val="0400" w:firstRow="0" w:lastRow="0" w:firstColumn="0" w:lastColumn="0" w:noHBand="0" w:noVBand="1"/>
          </w:tblPr>
          <w:tblGrid>
            <w:gridCol w:w="2672"/>
            <w:gridCol w:w="4658"/>
          </w:tblGrid>
          <w:tr w:rsidR="0070640A" w:rsidRPr="00C068AB" w:rsidTr="00695E0C">
            <w:trPr>
              <w:trHeight w:val="150"/>
            </w:trPr>
            <w:tc>
              <w:tcPr>
                <w:tcW w:w="2672" w:type="dxa"/>
                <w:shd w:val="clear" w:color="auto" w:fill="auto"/>
              </w:tcPr>
              <w:p w:rsidR="0070640A" w:rsidRPr="00C068AB" w:rsidRDefault="00510EA9" w:rsidP="00C068AB">
                <w:pPr>
                  <w:tabs>
                    <w:tab w:val="right" w:pos="8838"/>
                  </w:tabs>
                  <w:ind w:right="-105"/>
                  <w:rPr>
                    <w:rFonts w:ascii="Palatino Linotype" w:eastAsia="Palatino Linotype" w:hAnsi="Palatino Linotype" w:cs="Palatino Linotype"/>
                    <w:b/>
                  </w:rPr>
                </w:pPr>
                <w:r w:rsidRPr="00C068AB">
                  <w:rPr>
                    <w:rFonts w:ascii="Palatino Linotype" w:eastAsia="Palatino Linotype" w:hAnsi="Palatino Linotype" w:cs="Palatino Linotype"/>
                    <w:b/>
                  </w:rPr>
                  <w:t>Recurso de Revisión:</w:t>
                </w:r>
              </w:p>
            </w:tc>
            <w:tc>
              <w:tcPr>
                <w:tcW w:w="4658" w:type="dxa"/>
                <w:shd w:val="clear" w:color="auto" w:fill="auto"/>
              </w:tcPr>
              <w:p w:rsidR="0070640A" w:rsidRPr="00C068AB" w:rsidRDefault="00510EA9" w:rsidP="00C068AB">
                <w:pPr>
                  <w:tabs>
                    <w:tab w:val="right" w:pos="8838"/>
                  </w:tabs>
                  <w:ind w:right="-102"/>
                  <w:jc w:val="both"/>
                  <w:rPr>
                    <w:rFonts w:ascii="Palatino Linotype" w:eastAsia="Palatino Linotype" w:hAnsi="Palatino Linotype" w:cs="Palatino Linotype"/>
                  </w:rPr>
                </w:pPr>
                <w:r w:rsidRPr="00C068AB">
                  <w:rPr>
                    <w:rFonts w:ascii="Palatino Linotype" w:eastAsia="Palatino Linotype" w:hAnsi="Palatino Linotype" w:cs="Palatino Linotype"/>
                  </w:rPr>
                  <w:t>06353/INFOEM/IP /RR/2025</w:t>
                </w:r>
              </w:p>
            </w:tc>
          </w:tr>
          <w:tr w:rsidR="0070640A" w:rsidRPr="00C068AB" w:rsidTr="00695E0C">
            <w:trPr>
              <w:trHeight w:val="295"/>
            </w:trPr>
            <w:tc>
              <w:tcPr>
                <w:tcW w:w="2672" w:type="dxa"/>
                <w:shd w:val="clear" w:color="auto" w:fill="auto"/>
              </w:tcPr>
              <w:p w:rsidR="0070640A" w:rsidRPr="00C068AB" w:rsidRDefault="00510EA9" w:rsidP="00C068AB">
                <w:pPr>
                  <w:tabs>
                    <w:tab w:val="right" w:pos="8838"/>
                  </w:tabs>
                  <w:ind w:right="-105"/>
                  <w:rPr>
                    <w:rFonts w:ascii="Palatino Linotype" w:eastAsia="Palatino Linotype" w:hAnsi="Palatino Linotype" w:cs="Palatino Linotype"/>
                    <w:b/>
                  </w:rPr>
                </w:pPr>
                <w:r w:rsidRPr="00C068AB">
                  <w:rPr>
                    <w:rFonts w:ascii="Palatino Linotype" w:eastAsia="Palatino Linotype" w:hAnsi="Palatino Linotype" w:cs="Palatino Linotype"/>
                    <w:b/>
                  </w:rPr>
                  <w:t>Sujeto Obligado:</w:t>
                </w:r>
              </w:p>
            </w:tc>
            <w:tc>
              <w:tcPr>
                <w:tcW w:w="4658" w:type="dxa"/>
                <w:shd w:val="clear" w:color="auto" w:fill="auto"/>
              </w:tcPr>
              <w:p w:rsidR="0070640A" w:rsidRPr="00C068AB" w:rsidRDefault="00510EA9" w:rsidP="00C068AB">
                <w:pPr>
                  <w:tabs>
                    <w:tab w:val="left" w:pos="2834"/>
                    <w:tab w:val="right" w:pos="8838"/>
                  </w:tabs>
                  <w:ind w:right="-102"/>
                  <w:jc w:val="both"/>
                  <w:rPr>
                    <w:rFonts w:ascii="Palatino Linotype" w:eastAsia="Palatino Linotype" w:hAnsi="Palatino Linotype" w:cs="Palatino Linotype"/>
                    <w:b/>
                  </w:rPr>
                </w:pPr>
                <w:r w:rsidRPr="00C068AB">
                  <w:rPr>
                    <w:rFonts w:ascii="Palatino Linotype" w:eastAsia="Palatino Linotype" w:hAnsi="Palatino Linotype" w:cs="Palatino Linotype"/>
                  </w:rPr>
                  <w:t>Ayuntamiento de Metepec</w:t>
                </w:r>
              </w:p>
            </w:tc>
          </w:tr>
          <w:tr w:rsidR="0070640A" w:rsidRPr="00C068AB" w:rsidTr="00695E0C">
            <w:trPr>
              <w:trHeight w:val="295"/>
            </w:trPr>
            <w:tc>
              <w:tcPr>
                <w:tcW w:w="2672" w:type="dxa"/>
                <w:shd w:val="clear" w:color="auto" w:fill="auto"/>
              </w:tcPr>
              <w:p w:rsidR="0070640A" w:rsidRPr="00C068AB" w:rsidRDefault="00510EA9" w:rsidP="00C068AB">
                <w:pPr>
                  <w:tabs>
                    <w:tab w:val="right" w:pos="8838"/>
                  </w:tabs>
                  <w:ind w:right="-105"/>
                  <w:rPr>
                    <w:rFonts w:ascii="Palatino Linotype" w:eastAsia="Palatino Linotype" w:hAnsi="Palatino Linotype" w:cs="Palatino Linotype"/>
                    <w:b/>
                  </w:rPr>
                </w:pPr>
                <w:r w:rsidRPr="00C068AB">
                  <w:rPr>
                    <w:rFonts w:ascii="Palatino Linotype" w:eastAsia="Palatino Linotype" w:hAnsi="Palatino Linotype" w:cs="Palatino Linotype"/>
                    <w:b/>
                  </w:rPr>
                  <w:t>Comisionado ponente:</w:t>
                </w:r>
              </w:p>
            </w:tc>
            <w:tc>
              <w:tcPr>
                <w:tcW w:w="4658" w:type="dxa"/>
                <w:shd w:val="clear" w:color="auto" w:fill="auto"/>
              </w:tcPr>
              <w:p w:rsidR="0070640A" w:rsidRPr="00C068AB" w:rsidRDefault="00510EA9" w:rsidP="00C068AB">
                <w:pPr>
                  <w:tabs>
                    <w:tab w:val="right" w:pos="8838"/>
                  </w:tabs>
                  <w:ind w:right="171"/>
                  <w:jc w:val="both"/>
                  <w:rPr>
                    <w:rFonts w:ascii="Palatino Linotype" w:eastAsia="Palatino Linotype" w:hAnsi="Palatino Linotype" w:cs="Palatino Linotype"/>
                  </w:rPr>
                </w:pPr>
                <w:r w:rsidRPr="00C068AB">
                  <w:rPr>
                    <w:rFonts w:ascii="Palatino Linotype" w:eastAsia="Palatino Linotype" w:hAnsi="Palatino Linotype" w:cs="Palatino Linotype"/>
                  </w:rPr>
                  <w:t>María del Rosario Mejía Ayala</w:t>
                </w:r>
              </w:p>
              <w:p w:rsidR="0070640A" w:rsidRPr="00C068AB" w:rsidRDefault="0070640A" w:rsidP="00C068AB">
                <w:pPr>
                  <w:tabs>
                    <w:tab w:val="right" w:pos="8838"/>
                  </w:tabs>
                  <w:ind w:right="171"/>
                  <w:jc w:val="both"/>
                  <w:rPr>
                    <w:rFonts w:ascii="Palatino Linotype" w:eastAsia="Palatino Linotype" w:hAnsi="Palatino Linotype" w:cs="Palatino Linotype"/>
                    <w:b/>
                  </w:rPr>
                </w:pPr>
              </w:p>
            </w:tc>
          </w:tr>
        </w:tbl>
        <w:p w:rsidR="0070640A" w:rsidRDefault="0070640A">
          <w:pPr>
            <w:tabs>
              <w:tab w:val="right" w:pos="8838"/>
            </w:tabs>
            <w:ind w:left="-28"/>
            <w:jc w:val="both"/>
            <w:rPr>
              <w:rFonts w:ascii="Arial" w:eastAsia="Arial" w:hAnsi="Arial" w:cs="Arial"/>
              <w:b/>
              <w:sz w:val="22"/>
              <w:szCs w:val="22"/>
            </w:rPr>
          </w:pPr>
        </w:p>
      </w:tc>
    </w:tr>
  </w:tbl>
  <w:p w:rsidR="0070640A" w:rsidRDefault="000A65B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038" w:type="dxa"/>
      <w:tblInd w:w="-115" w:type="dxa"/>
      <w:tblLayout w:type="fixed"/>
      <w:tblLook w:val="0400" w:firstRow="0" w:lastRow="0" w:firstColumn="0" w:lastColumn="0" w:noHBand="0" w:noVBand="1"/>
    </w:tblPr>
    <w:tblGrid>
      <w:gridCol w:w="2265"/>
      <w:gridCol w:w="7773"/>
    </w:tblGrid>
    <w:tr w:rsidR="0070640A" w:rsidTr="00C068AB">
      <w:trPr>
        <w:trHeight w:val="1435"/>
      </w:trPr>
      <w:tc>
        <w:tcPr>
          <w:tcW w:w="2265" w:type="dxa"/>
          <w:shd w:val="clear" w:color="auto" w:fill="auto"/>
        </w:tcPr>
        <w:p w:rsidR="0070640A" w:rsidRDefault="0070640A">
          <w:pPr>
            <w:tabs>
              <w:tab w:val="right" w:pos="4273"/>
            </w:tabs>
            <w:rPr>
              <w:rFonts w:ascii="Garamond" w:eastAsia="Garamond" w:hAnsi="Garamond" w:cs="Garamond"/>
              <w:sz w:val="22"/>
              <w:szCs w:val="22"/>
            </w:rPr>
          </w:pPr>
        </w:p>
      </w:tc>
      <w:tc>
        <w:tcPr>
          <w:tcW w:w="7773" w:type="dxa"/>
          <w:shd w:val="clear" w:color="auto" w:fill="auto"/>
        </w:tcPr>
        <w:tbl>
          <w:tblPr>
            <w:tblStyle w:val="af4"/>
            <w:tblW w:w="6875" w:type="dxa"/>
            <w:tblInd w:w="1421" w:type="dxa"/>
            <w:tblLayout w:type="fixed"/>
            <w:tblLook w:val="0400" w:firstRow="0" w:lastRow="0" w:firstColumn="0" w:lastColumn="0" w:noHBand="0" w:noVBand="1"/>
          </w:tblPr>
          <w:tblGrid>
            <w:gridCol w:w="2657"/>
            <w:gridCol w:w="4218"/>
          </w:tblGrid>
          <w:tr w:rsidR="0070640A" w:rsidRPr="00C068AB" w:rsidTr="00695E0C">
            <w:trPr>
              <w:trHeight w:val="144"/>
            </w:trPr>
            <w:tc>
              <w:tcPr>
                <w:tcW w:w="2657" w:type="dxa"/>
                <w:shd w:val="clear" w:color="auto" w:fill="auto"/>
              </w:tcPr>
              <w:p w:rsidR="0070640A" w:rsidRPr="00C068AB" w:rsidRDefault="00510EA9">
                <w:pPr>
                  <w:tabs>
                    <w:tab w:val="right" w:pos="8838"/>
                  </w:tabs>
                  <w:ind w:left="-264" w:right="-105" w:firstLine="195"/>
                  <w:rPr>
                    <w:rFonts w:ascii="Palatino Linotype" w:eastAsia="Palatino Linotype" w:hAnsi="Palatino Linotype" w:cs="Palatino Linotype"/>
                    <w:b/>
                  </w:rPr>
                </w:pPr>
                <w:r w:rsidRPr="00C068AB">
                  <w:rPr>
                    <w:rFonts w:ascii="Palatino Linotype" w:eastAsia="Palatino Linotype" w:hAnsi="Palatino Linotype" w:cs="Palatino Linotype"/>
                    <w:b/>
                  </w:rPr>
                  <w:t>Recurso de Revisión:</w:t>
                </w:r>
              </w:p>
            </w:tc>
            <w:tc>
              <w:tcPr>
                <w:tcW w:w="4218" w:type="dxa"/>
                <w:shd w:val="clear" w:color="auto" w:fill="auto"/>
              </w:tcPr>
              <w:p w:rsidR="0070640A" w:rsidRPr="00C068AB" w:rsidRDefault="00510EA9">
                <w:pPr>
                  <w:tabs>
                    <w:tab w:val="right" w:pos="8838"/>
                  </w:tabs>
                  <w:ind w:left="-74" w:right="-560"/>
                  <w:rPr>
                    <w:rFonts w:ascii="Palatino Linotype" w:eastAsia="Palatino Linotype" w:hAnsi="Palatino Linotype" w:cs="Palatino Linotype"/>
                  </w:rPr>
                </w:pPr>
                <w:r w:rsidRPr="00C068AB">
                  <w:rPr>
                    <w:rFonts w:ascii="Palatino Linotype" w:eastAsia="Palatino Linotype" w:hAnsi="Palatino Linotype" w:cs="Palatino Linotype"/>
                  </w:rPr>
                  <w:t>06353/INFOEM/IP /RR/2025</w:t>
                </w:r>
              </w:p>
            </w:tc>
          </w:tr>
          <w:tr w:rsidR="0070640A" w:rsidRPr="00C068AB" w:rsidTr="00695E0C">
            <w:trPr>
              <w:trHeight w:val="144"/>
            </w:trPr>
            <w:tc>
              <w:tcPr>
                <w:tcW w:w="2657" w:type="dxa"/>
                <w:shd w:val="clear" w:color="auto" w:fill="auto"/>
              </w:tcPr>
              <w:p w:rsidR="0070640A" w:rsidRPr="00C068AB" w:rsidRDefault="00510EA9">
                <w:pPr>
                  <w:tabs>
                    <w:tab w:val="right" w:pos="8838"/>
                  </w:tabs>
                  <w:ind w:left="-74" w:right="-105"/>
                  <w:rPr>
                    <w:rFonts w:ascii="Palatino Linotype" w:eastAsia="Palatino Linotype" w:hAnsi="Palatino Linotype" w:cs="Palatino Linotype"/>
                    <w:b/>
                  </w:rPr>
                </w:pPr>
                <w:r w:rsidRPr="00C068AB">
                  <w:rPr>
                    <w:rFonts w:ascii="Palatino Linotype" w:eastAsia="Palatino Linotype" w:hAnsi="Palatino Linotype" w:cs="Palatino Linotype"/>
                    <w:b/>
                  </w:rPr>
                  <w:t>Recurrente:</w:t>
                </w:r>
              </w:p>
            </w:tc>
            <w:tc>
              <w:tcPr>
                <w:tcW w:w="4218" w:type="dxa"/>
                <w:shd w:val="clear" w:color="auto" w:fill="auto"/>
              </w:tcPr>
              <w:p w:rsidR="0070640A" w:rsidRPr="00C068AB" w:rsidRDefault="00510EA9">
                <w:pPr>
                  <w:tabs>
                    <w:tab w:val="left" w:pos="3122"/>
                    <w:tab w:val="right" w:pos="8838"/>
                  </w:tabs>
                  <w:ind w:left="-74" w:right="-135"/>
                  <w:rPr>
                    <w:rFonts w:ascii="Palatino Linotype" w:eastAsia="Palatino Linotype" w:hAnsi="Palatino Linotype" w:cs="Palatino Linotype"/>
                  </w:rPr>
                </w:pPr>
                <w:r w:rsidRPr="00C068AB">
                  <w:rPr>
                    <w:rFonts w:ascii="Palatino Linotype" w:eastAsia="Palatino Linotype" w:hAnsi="Palatino Linotype" w:cs="Palatino Linotype"/>
                  </w:rPr>
                  <w:t xml:space="preserve"> </w:t>
                </w:r>
              </w:p>
            </w:tc>
          </w:tr>
          <w:tr w:rsidR="0070640A" w:rsidRPr="00C068AB" w:rsidTr="00695E0C">
            <w:trPr>
              <w:trHeight w:val="283"/>
            </w:trPr>
            <w:tc>
              <w:tcPr>
                <w:tcW w:w="2657" w:type="dxa"/>
                <w:shd w:val="clear" w:color="auto" w:fill="auto"/>
              </w:tcPr>
              <w:p w:rsidR="0070640A" w:rsidRPr="00C068AB" w:rsidRDefault="00510EA9">
                <w:pPr>
                  <w:tabs>
                    <w:tab w:val="right" w:pos="8838"/>
                  </w:tabs>
                  <w:ind w:left="-74" w:right="-105"/>
                  <w:rPr>
                    <w:rFonts w:ascii="Palatino Linotype" w:eastAsia="Palatino Linotype" w:hAnsi="Palatino Linotype" w:cs="Palatino Linotype"/>
                    <w:b/>
                  </w:rPr>
                </w:pPr>
                <w:r w:rsidRPr="00C068AB">
                  <w:rPr>
                    <w:rFonts w:ascii="Palatino Linotype" w:eastAsia="Palatino Linotype" w:hAnsi="Palatino Linotype" w:cs="Palatino Linotype"/>
                    <w:b/>
                  </w:rPr>
                  <w:t>Sujeto Obligado:</w:t>
                </w:r>
              </w:p>
            </w:tc>
            <w:tc>
              <w:tcPr>
                <w:tcW w:w="4218" w:type="dxa"/>
                <w:shd w:val="clear" w:color="auto" w:fill="auto"/>
              </w:tcPr>
              <w:p w:rsidR="0070640A" w:rsidRPr="00C068AB" w:rsidRDefault="00510EA9">
                <w:pPr>
                  <w:tabs>
                    <w:tab w:val="left" w:pos="2834"/>
                    <w:tab w:val="right" w:pos="8838"/>
                  </w:tabs>
                  <w:ind w:left="-74" w:right="-560"/>
                  <w:rPr>
                    <w:rFonts w:ascii="Palatino Linotype" w:eastAsia="Palatino Linotype" w:hAnsi="Palatino Linotype" w:cs="Palatino Linotype"/>
                  </w:rPr>
                </w:pPr>
                <w:r w:rsidRPr="00C068AB">
                  <w:rPr>
                    <w:rFonts w:ascii="Palatino Linotype" w:eastAsia="Palatino Linotype" w:hAnsi="Palatino Linotype" w:cs="Palatino Linotype"/>
                  </w:rPr>
                  <w:t>Ayuntamiento de Metepec</w:t>
                </w:r>
              </w:p>
            </w:tc>
          </w:tr>
          <w:tr w:rsidR="0070640A" w:rsidRPr="00C068AB" w:rsidTr="00695E0C">
            <w:trPr>
              <w:trHeight w:val="283"/>
            </w:trPr>
            <w:tc>
              <w:tcPr>
                <w:tcW w:w="2657" w:type="dxa"/>
                <w:shd w:val="clear" w:color="auto" w:fill="auto"/>
              </w:tcPr>
              <w:p w:rsidR="0070640A" w:rsidRPr="00C068AB" w:rsidRDefault="00510EA9">
                <w:pPr>
                  <w:tabs>
                    <w:tab w:val="right" w:pos="8838"/>
                  </w:tabs>
                  <w:ind w:left="-74" w:right="-105"/>
                  <w:rPr>
                    <w:rFonts w:ascii="Palatino Linotype" w:eastAsia="Palatino Linotype" w:hAnsi="Palatino Linotype" w:cs="Palatino Linotype"/>
                    <w:b/>
                  </w:rPr>
                </w:pPr>
                <w:r w:rsidRPr="00C068AB">
                  <w:rPr>
                    <w:rFonts w:ascii="Palatino Linotype" w:eastAsia="Palatino Linotype" w:hAnsi="Palatino Linotype" w:cs="Palatino Linotype"/>
                    <w:b/>
                  </w:rPr>
                  <w:t>Comisionado ponente:</w:t>
                </w:r>
              </w:p>
            </w:tc>
            <w:tc>
              <w:tcPr>
                <w:tcW w:w="4218" w:type="dxa"/>
                <w:shd w:val="clear" w:color="auto" w:fill="auto"/>
              </w:tcPr>
              <w:p w:rsidR="0070640A" w:rsidRPr="00C068AB" w:rsidRDefault="00510EA9">
                <w:pPr>
                  <w:tabs>
                    <w:tab w:val="right" w:pos="8838"/>
                  </w:tabs>
                  <w:ind w:left="-74" w:right="-560"/>
                  <w:rPr>
                    <w:rFonts w:ascii="Palatino Linotype" w:eastAsia="Palatino Linotype" w:hAnsi="Palatino Linotype" w:cs="Palatino Linotype"/>
                  </w:rPr>
                </w:pPr>
                <w:r w:rsidRPr="00C068AB">
                  <w:rPr>
                    <w:rFonts w:ascii="Palatino Linotype" w:eastAsia="Palatino Linotype" w:hAnsi="Palatino Linotype" w:cs="Palatino Linotype"/>
                  </w:rPr>
                  <w:t>María del Rosario Mejía Ayala</w:t>
                </w:r>
              </w:p>
              <w:p w:rsidR="0070640A" w:rsidRPr="00C068AB" w:rsidRDefault="0070640A">
                <w:pPr>
                  <w:tabs>
                    <w:tab w:val="right" w:pos="8838"/>
                  </w:tabs>
                  <w:ind w:left="-74" w:right="-560"/>
                  <w:rPr>
                    <w:rFonts w:ascii="Palatino Linotype" w:eastAsia="Palatino Linotype" w:hAnsi="Palatino Linotype" w:cs="Palatino Linotype"/>
                    <w:b/>
                  </w:rPr>
                </w:pPr>
              </w:p>
            </w:tc>
          </w:tr>
        </w:tbl>
        <w:p w:rsidR="0070640A" w:rsidRDefault="0070640A">
          <w:pPr>
            <w:tabs>
              <w:tab w:val="right" w:pos="8838"/>
            </w:tabs>
            <w:ind w:left="-28"/>
            <w:jc w:val="both"/>
            <w:rPr>
              <w:rFonts w:ascii="Arial" w:eastAsia="Arial" w:hAnsi="Arial" w:cs="Arial"/>
              <w:b/>
              <w:sz w:val="22"/>
              <w:szCs w:val="22"/>
            </w:rPr>
          </w:pPr>
        </w:p>
      </w:tc>
    </w:tr>
  </w:tbl>
  <w:p w:rsidR="0070640A" w:rsidRDefault="000A65B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96266"/>
    <w:multiLevelType w:val="multilevel"/>
    <w:tmpl w:val="7B7E294C"/>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172927"/>
    <w:multiLevelType w:val="multilevel"/>
    <w:tmpl w:val="02E8F02A"/>
    <w:lvl w:ilvl="0">
      <w:start w:val="1"/>
      <w:numFmt w:val="decimal"/>
      <w:lvlText w:val="%1."/>
      <w:lvlJc w:val="left"/>
      <w:pPr>
        <w:ind w:left="644" w:hanging="357"/>
      </w:pPr>
      <w:rPr>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952359"/>
    <w:multiLevelType w:val="hybridMultilevel"/>
    <w:tmpl w:val="C750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0A"/>
    <w:rsid w:val="00032247"/>
    <w:rsid w:val="000A65BB"/>
    <w:rsid w:val="00510EA9"/>
    <w:rsid w:val="00695E0C"/>
    <w:rsid w:val="0070640A"/>
    <w:rsid w:val="00C068AB"/>
    <w:rsid w:val="00DA6A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C14E2FD-D95E-446E-97D5-D44F30B2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paragraph" w:customStyle="1" w:styleId="Default">
    <w:name w:val="Default"/>
    <w:rsid w:val="00E848B4"/>
    <w:pPr>
      <w:autoSpaceDE w:val="0"/>
      <w:autoSpaceDN w:val="0"/>
      <w:adjustRightInd w:val="0"/>
    </w:pPr>
    <w:rPr>
      <w:rFonts w:ascii="Century Gothic" w:hAnsi="Century Gothic" w:cs="Century Gothic"/>
      <w:color w:val="000000"/>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208895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rcoem.org.mx/sarcoem/solicitud/downloadAttach/208895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xBN1F2AMVrgD8BBc+7F9uJ6CA==">CgMxLjAyCGguZ2pkZ3hzMgloLjMwajB6bGwyCWguMWZvYjl0ZTIJaC4zem55c2g3MgloLjJldDkycDAyCGgudHlqY3d0MgloLjNkeTZ2a20yCWguMXQzaDVzZjIOaC4xeDBmankyMG1tMm4yDmguZnhrNHhsejVzMjhxMgloLjE3ZHA4dnU4AHIhMWRIVWxnMGp3V0dLRU5pTXpfdkNKUE1hSG5yMU10V2JO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1976</Words>
  <Characters>10872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cp:revision>
  <cp:lastPrinted>2025-08-08T17:03:00Z</cp:lastPrinted>
  <dcterms:created xsi:type="dcterms:W3CDTF">2025-06-11T19:12:00Z</dcterms:created>
  <dcterms:modified xsi:type="dcterms:W3CDTF">2025-08-12T17:28:00Z</dcterms:modified>
</cp:coreProperties>
</file>