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w:t>
      </w:r>
      <w:r w:rsidDel="00000000" w:rsidR="00000000" w:rsidRPr="00000000">
        <w:rPr>
          <w:rFonts w:ascii="Palatino Linotype" w:cs="Palatino Linotype" w:eastAsia="Palatino Linotype" w:hAnsi="Palatino Linotype"/>
          <w:b w:val="1"/>
          <w:rtl w:val="0"/>
        </w:rPr>
        <w:t xml:space="preserve">veintitrés de abril de dos ml veinticinco. </w:t>
      </w:r>
      <w:r w:rsidDel="00000000" w:rsidR="00000000" w:rsidRPr="00000000">
        <w:rPr>
          <w:rtl w:val="0"/>
        </w:rPr>
      </w:r>
    </w:p>
    <w:p w:rsidR="00000000" w:rsidDel="00000000" w:rsidP="00000000" w:rsidRDefault="00000000" w:rsidRPr="00000000" w14:paraId="00000002">
      <w:pPr>
        <w:spacing w:after="0" w:line="360" w:lineRule="auto"/>
        <w:ind w:right="-112"/>
        <w:jc w:val="both"/>
        <w:rPr>
          <w:rFonts w:ascii="Palatino Linotype" w:cs="Palatino Linotype" w:eastAsia="Palatino Linotype" w:hAnsi="Palatino Linotype"/>
        </w:rPr>
      </w:pPr>
      <w:bookmarkStart w:colFirst="0" w:colLast="0" w:name="_heading=h.30j0zll" w:id="0"/>
      <w:bookmarkEnd w:id="0"/>
      <w:r w:rsidDel="00000000" w:rsidR="00000000" w:rsidRPr="00000000">
        <w:rPr>
          <w:rtl w:val="0"/>
        </w:rPr>
      </w:r>
    </w:p>
    <w:p w:rsidR="00000000" w:rsidDel="00000000" w:rsidP="00000000" w:rsidRDefault="00000000" w:rsidRPr="00000000" w14:paraId="00000003">
      <w:pPr>
        <w:spacing w:after="0" w:line="360" w:lineRule="auto"/>
        <w:ind w:right="-112"/>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VISTOS </w:t>
      </w:r>
      <w:r w:rsidDel="00000000" w:rsidR="00000000" w:rsidRPr="00000000">
        <w:rPr>
          <w:rFonts w:ascii="Palatino Linotype" w:cs="Palatino Linotype" w:eastAsia="Palatino Linotype" w:hAnsi="Palatino Linotype"/>
          <w:rtl w:val="0"/>
        </w:rPr>
        <w:t xml:space="preserve">los expedientes relativos a los recursos de revisión </w:t>
      </w:r>
      <w:r w:rsidDel="00000000" w:rsidR="00000000" w:rsidRPr="00000000">
        <w:rPr>
          <w:rFonts w:ascii="Palatino Linotype" w:cs="Palatino Linotype" w:eastAsia="Palatino Linotype" w:hAnsi="Palatino Linotype"/>
          <w:b w:val="1"/>
          <w:rtl w:val="0"/>
        </w:rPr>
        <w:t xml:space="preserve">01839/INFOEM/IP/RR/2025 y  01840/INFOEM/IP/RR/2025 acumulados,</w:t>
      </w:r>
      <w:r w:rsidDel="00000000" w:rsidR="00000000" w:rsidRPr="00000000">
        <w:rPr>
          <w:rFonts w:ascii="Palatino Linotype" w:cs="Palatino Linotype" w:eastAsia="Palatino Linotype" w:hAnsi="Palatino Linotype"/>
          <w:rtl w:val="0"/>
        </w:rPr>
        <w:t xml:space="preserve"> interpuestos por</w:t>
      </w:r>
      <w:r w:rsidDel="00000000" w:rsidR="00000000" w:rsidRPr="00000000">
        <w:rPr>
          <w:rFonts w:ascii="Palatino Linotype" w:cs="Palatino Linotype" w:eastAsia="Palatino Linotype" w:hAnsi="Palatino Linotype"/>
          <w:b w:val="1"/>
          <w:rtl w:val="0"/>
        </w:rPr>
        <w:t xml:space="preserve"> un particular que no proporcionó nombre o seudónimo, </w:t>
      </w:r>
      <w:r w:rsidDel="00000000" w:rsidR="00000000" w:rsidRPr="00000000">
        <w:rPr>
          <w:rFonts w:ascii="Palatino Linotype" w:cs="Palatino Linotype" w:eastAsia="Palatino Linotype" w:hAnsi="Palatino Linotype"/>
          <w:rtl w:val="0"/>
        </w:rPr>
        <w:t xml:space="preserve">en lo sucesivo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las respuesta a sus solicitudes de información con números de folio</w:t>
      </w:r>
      <w:r w:rsidDel="00000000" w:rsidR="00000000" w:rsidRPr="00000000">
        <w:rPr>
          <w:rFonts w:ascii="Palatino Linotype" w:cs="Palatino Linotype" w:eastAsia="Palatino Linotype" w:hAnsi="Palatino Linotype"/>
          <w:b w:val="1"/>
          <w:rtl w:val="0"/>
        </w:rPr>
        <w:t xml:space="preserve">  00484/TOLUCA/IP/2025 y 00485/TOLUCA/IP/2025, </w:t>
      </w:r>
      <w:r w:rsidDel="00000000" w:rsidR="00000000" w:rsidRPr="00000000">
        <w:rPr>
          <w:rFonts w:ascii="Palatino Linotype" w:cs="Palatino Linotype" w:eastAsia="Palatino Linotype" w:hAnsi="Palatino Linotype"/>
          <w:rtl w:val="0"/>
        </w:rPr>
        <w:t xml:space="preserve">respectivamente, por parte del </w:t>
      </w:r>
      <w:r w:rsidDel="00000000" w:rsidR="00000000" w:rsidRPr="00000000">
        <w:rPr>
          <w:rFonts w:ascii="Palatino Linotype" w:cs="Palatino Linotype" w:eastAsia="Palatino Linotype" w:hAnsi="Palatino Linotype"/>
          <w:b w:val="1"/>
          <w:rtl w:val="0"/>
        </w:rPr>
        <w:t xml:space="preserve">Ayuntamiento de Toluca,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 siguiente. </w:t>
      </w:r>
      <w:r w:rsidDel="00000000" w:rsidR="00000000" w:rsidRPr="00000000">
        <w:rPr>
          <w:rtl w:val="0"/>
        </w:rPr>
      </w:r>
    </w:p>
    <w:p w:rsidR="00000000" w:rsidDel="00000000" w:rsidP="00000000" w:rsidRDefault="00000000" w:rsidRPr="00000000" w14:paraId="00000004">
      <w:pPr>
        <w:spacing w:after="0" w:line="360" w:lineRule="auto"/>
        <w:ind w:right="-11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spacing w:after="0" w:line="360" w:lineRule="auto"/>
        <w:ind w:right="-11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360" w:lineRule="auto"/>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8">
      <w:pPr>
        <w:numPr>
          <w:ilvl w:val="0"/>
          <w:numId w:val="5"/>
        </w:numPr>
        <w:pBdr>
          <w:top w:space="0" w:sz="0" w:val="nil"/>
          <w:left w:space="0" w:sz="0" w:val="nil"/>
          <w:bottom w:space="0" w:sz="0" w:val="nil"/>
          <w:right w:space="0" w:sz="0" w:val="nil"/>
          <w:between w:space="0" w:sz="0" w:val="nil"/>
        </w:pBdr>
        <w:tabs>
          <w:tab w:val="left" w:leader="none" w:pos="567"/>
        </w:tabs>
        <w:spacing w:after="0" w:line="360" w:lineRule="auto"/>
        <w:ind w:left="0" w:firstLine="0"/>
        <w:jc w:val="both"/>
        <w:rPr>
          <w:rFonts w:ascii="Palatino Linotype" w:cs="Palatino Linotype" w:eastAsia="Palatino Linotype" w:hAnsi="Palatino Linotype"/>
          <w:color w:val="000000"/>
        </w:rPr>
      </w:pPr>
      <w:bookmarkStart w:colFirst="0" w:colLast="0" w:name="_heading=h.2et92p0" w:id="1"/>
      <w:bookmarkEnd w:id="1"/>
      <w:r w:rsidDel="00000000" w:rsidR="00000000" w:rsidRPr="00000000">
        <w:rPr>
          <w:rFonts w:ascii="Palatino Linotype" w:cs="Palatino Linotype" w:eastAsia="Palatino Linotype" w:hAnsi="Palatino Linotype"/>
          <w:b w:val="1"/>
          <w:color w:val="000000"/>
          <w:rtl w:val="0"/>
        </w:rPr>
        <w:t xml:space="preserve">Solicitudes de acceso a la información.</w:t>
      </w:r>
      <w:r w:rsidDel="00000000" w:rsidR="00000000" w:rsidRPr="00000000">
        <w:rPr>
          <w:rFonts w:ascii="Palatino Linotype" w:cs="Palatino Linotype" w:eastAsia="Palatino Linotype" w:hAnsi="Palatino Linotype"/>
          <w:color w:val="000000"/>
          <w:rtl w:val="0"/>
        </w:rPr>
        <w:t xml:space="preserve"> Con fechas </w:t>
      </w:r>
      <w:r w:rsidDel="00000000" w:rsidR="00000000" w:rsidRPr="00000000">
        <w:rPr>
          <w:rFonts w:ascii="Palatino Linotype" w:cs="Palatino Linotype" w:eastAsia="Palatino Linotype" w:hAnsi="Palatino Linotype"/>
          <w:b w:val="1"/>
          <w:color w:val="000000"/>
          <w:rtl w:val="0"/>
        </w:rPr>
        <w:t xml:space="preserve">veinticuatro de enero de dos mil veinticinco, </w:t>
      </w:r>
      <w:r w:rsidDel="00000000" w:rsidR="00000000" w:rsidRPr="00000000">
        <w:rPr>
          <w:rFonts w:ascii="Palatino Linotype" w:cs="Palatino Linotype" w:eastAsia="Palatino Linotype" w:hAnsi="Palatino Linotype"/>
          <w:color w:val="000000"/>
          <w:rtl w:val="0"/>
        </w:rPr>
        <w:t xml:space="preserve">la persona solicitante</w:t>
      </w: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presentó, a través del Sistema de Acceso a la Información Mexiquense, en lo subsecuente </w:t>
      </w:r>
      <w:r w:rsidDel="00000000" w:rsidR="00000000" w:rsidRPr="00000000">
        <w:rPr>
          <w:rFonts w:ascii="Palatino Linotype" w:cs="Palatino Linotype" w:eastAsia="Palatino Linotype" w:hAnsi="Palatino Linotype"/>
          <w:b w:val="1"/>
          <w:color w:val="000000"/>
          <w:rtl w:val="0"/>
        </w:rPr>
        <w:t xml:space="preserve">SAIMEX, </w:t>
      </w:r>
      <w:r w:rsidDel="00000000" w:rsidR="00000000" w:rsidRPr="00000000">
        <w:rPr>
          <w:rFonts w:ascii="Palatino Linotype" w:cs="Palatino Linotype" w:eastAsia="Palatino Linotype" w:hAnsi="Palatino Linotype"/>
          <w:color w:val="000000"/>
          <w:rtl w:val="0"/>
        </w:rPr>
        <w:t xml:space="preserve">ante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las solicitudes de acceso a la información pública, mediante las cuales requirió la información siguiente:</w:t>
      </w:r>
    </w:p>
    <w:p w:rsidR="00000000" w:rsidDel="00000000" w:rsidP="00000000" w:rsidRDefault="00000000" w:rsidRPr="00000000" w14:paraId="00000009">
      <w:pPr>
        <w:pBdr>
          <w:top w:space="0" w:sz="0" w:val="nil"/>
          <w:left w:space="0" w:sz="0" w:val="nil"/>
          <w:bottom w:space="0" w:sz="0" w:val="nil"/>
          <w:right w:space="0" w:sz="0" w:val="nil"/>
          <w:between w:space="0" w:sz="0" w:val="nil"/>
        </w:pBdr>
        <w:tabs>
          <w:tab w:val="left" w:leader="none" w:pos="567"/>
        </w:tabs>
        <w:spacing w:after="0" w:line="360" w:lineRule="auto"/>
        <w:jc w:val="center"/>
        <w:rPr>
          <w:rFonts w:ascii="Palatino Linotype" w:cs="Palatino Linotype" w:eastAsia="Palatino Linotype" w:hAnsi="Palatino Linotype"/>
          <w:color w:val="000000"/>
        </w:rPr>
      </w:pPr>
      <w:r w:rsidDel="00000000" w:rsidR="00000000" w:rsidRPr="00000000">
        <w:rPr>
          <w:rtl w:val="0"/>
        </w:rPr>
      </w:r>
    </w:p>
    <w:tbl>
      <w:tblPr>
        <w:tblStyle w:val="Table1"/>
        <w:tblW w:w="90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4"/>
        <w:gridCol w:w="5941"/>
        <w:tblGridChange w:id="0">
          <w:tblGrid>
            <w:gridCol w:w="3114"/>
            <w:gridCol w:w="5941"/>
          </w:tblGrid>
        </w:tblGridChange>
      </w:tblGrid>
      <w:tr>
        <w:trPr>
          <w:cantSplit w:val="0"/>
          <w:tblHeader w:val="0"/>
        </w:trPr>
        <w:tc>
          <w:tcPr>
            <w:shd w:fill="d0cece" w:val="clear"/>
          </w:tcPr>
          <w:p w:rsidR="00000000" w:rsidDel="00000000" w:rsidP="00000000" w:rsidRDefault="00000000" w:rsidRPr="00000000" w14:paraId="0000000A">
            <w:pPr>
              <w:tabs>
                <w:tab w:val="right" w:leader="none" w:pos="2898"/>
              </w:tabs>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Recurso de Revisión</w:t>
            </w:r>
          </w:p>
        </w:tc>
        <w:tc>
          <w:tcPr>
            <w:shd w:fill="d0cece" w:val="clear"/>
          </w:tcPr>
          <w:p w:rsidR="00000000" w:rsidDel="00000000" w:rsidP="00000000" w:rsidRDefault="00000000" w:rsidRPr="00000000" w14:paraId="0000000B">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 de información</w:t>
            </w:r>
          </w:p>
        </w:tc>
      </w:tr>
      <w:tr>
        <w:trPr>
          <w:cantSplit w:val="0"/>
          <w:tblHeader w:val="0"/>
        </w:trPr>
        <w:tc>
          <w:tcPr/>
          <w:p w:rsidR="00000000" w:rsidDel="00000000" w:rsidP="00000000" w:rsidRDefault="00000000" w:rsidRPr="00000000" w14:paraId="0000000C">
            <w:pPr>
              <w:tabs>
                <w:tab w:val="right" w:leader="none" w:pos="2898"/>
              </w:tabs>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01839/INFOEM/IP/RR/2025</w:t>
              <w:tab/>
            </w:r>
          </w:p>
        </w:tc>
        <w:tc>
          <w:tcPr/>
          <w:p w:rsidR="00000000" w:rsidDel="00000000" w:rsidP="00000000" w:rsidRDefault="00000000" w:rsidRPr="00000000" w14:paraId="0000000D">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Listas de beneficiarios de las pláticas en la dirección de juventud sobre sexualidad, autoestima, genero, bullying, redes sociales y adicciones que se han realizado en escuelas en el 2024 y fotografía de cada evento</w:t>
            </w:r>
          </w:p>
        </w:tc>
      </w:tr>
      <w:tr>
        <w:trPr>
          <w:cantSplit w:val="0"/>
          <w:tblHeader w:val="0"/>
        </w:trPr>
        <w:tc>
          <w:tcPr/>
          <w:p w:rsidR="00000000" w:rsidDel="00000000" w:rsidP="00000000" w:rsidRDefault="00000000" w:rsidRPr="00000000" w14:paraId="0000000E">
            <w:pPr>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01840/INFOEM/IP/RR/2025</w:t>
            </w:r>
          </w:p>
        </w:tc>
        <w:tc>
          <w:tcPr/>
          <w:p w:rsidR="00000000" w:rsidDel="00000000" w:rsidP="00000000" w:rsidRDefault="00000000" w:rsidRPr="00000000" w14:paraId="0000000F">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Listas de beneficiarios de las pláticas en la dirección de juventud sobre sexualidad, autoestima, genero, bullying, redes sociales y adicciones que se han realizado en escuelas en el 2023 y fotografía de cada evento.</w:t>
            </w:r>
          </w:p>
        </w:tc>
      </w:tr>
    </w:tbl>
    <w:p w:rsidR="00000000" w:rsidDel="00000000" w:rsidP="00000000" w:rsidRDefault="00000000" w:rsidRPr="00000000" w14:paraId="0000001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1">
      <w:pPr>
        <w:spacing w:after="0" w:line="240" w:lineRule="auto"/>
        <w:ind w:right="5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 </w:t>
      </w:r>
      <w:r w:rsidDel="00000000" w:rsidR="00000000" w:rsidRPr="00000000">
        <w:rPr>
          <w:rFonts w:ascii="Palatino Linotype" w:cs="Palatino Linotype" w:eastAsia="Palatino Linotype" w:hAnsi="Palatino Linotype"/>
          <w:rtl w:val="0"/>
        </w:rPr>
        <w:t xml:space="preserve">a través del SAIMEX.</w:t>
      </w:r>
    </w:p>
    <w:p w:rsidR="00000000" w:rsidDel="00000000" w:rsidP="00000000" w:rsidRDefault="00000000" w:rsidRPr="00000000" w14:paraId="00000012">
      <w:pPr>
        <w:spacing w:after="0" w:line="360" w:lineRule="auto"/>
        <w:jc w:val="both"/>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13">
      <w:pPr>
        <w:numPr>
          <w:ilvl w:val="0"/>
          <w:numId w:val="5"/>
        </w:numPr>
        <w:pBdr>
          <w:top w:space="0" w:sz="0" w:val="nil"/>
          <w:left w:space="0" w:sz="0" w:val="nil"/>
          <w:bottom w:space="0" w:sz="0" w:val="nil"/>
          <w:right w:space="0" w:sz="0" w:val="nil"/>
          <w:between w:space="0" w:sz="0" w:val="nil"/>
        </w:pBdr>
        <w:tabs>
          <w:tab w:val="left" w:leader="none" w:pos="284"/>
        </w:tabs>
        <w:spacing w:after="0" w:line="360" w:lineRule="auto"/>
        <w:ind w:left="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Respuestas. </w:t>
      </w:r>
      <w:r w:rsidDel="00000000" w:rsidR="00000000" w:rsidRPr="00000000">
        <w:rPr>
          <w:rFonts w:ascii="Palatino Linotype" w:cs="Palatino Linotype" w:eastAsia="Palatino Linotype" w:hAnsi="Palatino Linotype"/>
          <w:color w:val="000000"/>
          <w:rtl w:val="0"/>
        </w:rPr>
        <w:t xml:space="preserve">Con fecha </w:t>
      </w:r>
      <w:r w:rsidDel="00000000" w:rsidR="00000000" w:rsidRPr="00000000">
        <w:rPr>
          <w:rFonts w:ascii="Palatino Linotype" w:cs="Palatino Linotype" w:eastAsia="Palatino Linotype" w:hAnsi="Palatino Linotype"/>
          <w:b w:val="1"/>
          <w:color w:val="000000"/>
          <w:rtl w:val="0"/>
        </w:rPr>
        <w:t xml:space="preserve">diecisiete de febrero de dos mil veinticinco</w:t>
      </w:r>
      <w:r w:rsidDel="00000000" w:rsidR="00000000" w:rsidRPr="00000000">
        <w:rPr>
          <w:rFonts w:ascii="Palatino Linotype" w:cs="Palatino Linotype" w:eastAsia="Palatino Linotype" w:hAnsi="Palatino Linotype"/>
          <w:color w:val="000000"/>
          <w:rtl w:val="0"/>
        </w:rPr>
        <w:t xml:space="preserve">, el </w:t>
      </w:r>
      <w:r w:rsidDel="00000000" w:rsidR="00000000" w:rsidRPr="00000000">
        <w:rPr>
          <w:rFonts w:ascii="Palatino Linotype" w:cs="Palatino Linotype" w:eastAsia="Palatino Linotype" w:hAnsi="Palatino Linotype"/>
          <w:b w:val="1"/>
          <w:color w:val="000000"/>
          <w:rtl w:val="0"/>
        </w:rPr>
        <w:t xml:space="preserve">Sujeto Obligado </w:t>
      </w:r>
      <w:r w:rsidDel="00000000" w:rsidR="00000000" w:rsidRPr="00000000">
        <w:rPr>
          <w:rFonts w:ascii="Palatino Linotype" w:cs="Palatino Linotype" w:eastAsia="Palatino Linotype" w:hAnsi="Palatino Linotype"/>
          <w:color w:val="000000"/>
          <w:rtl w:val="0"/>
        </w:rPr>
        <w:t xml:space="preserve">envió sus respuestas a las solicitudes de acceso a la información a través de SAIMEX, sustancialmente en los términos siguientes:</w:t>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leader="none" w:pos="284"/>
        </w:tabs>
        <w:spacing w:after="0" w:line="240" w:lineRule="auto"/>
        <w:ind w:left="567" w:right="560"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leader="none" w:pos="284"/>
        </w:tabs>
        <w:spacing w:after="0" w:line="240" w:lineRule="auto"/>
        <w:ind w:left="567" w:right="560"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En atención a la solicitud con folio 0485/TOLUCA/IP/2025, me permito adjuntar al presente la respuesta correspondiente. Sin más por el momento, reciba un saludo:</w:t>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color w:val="000000"/>
        </w:rPr>
      </w:pPr>
      <w:r w:rsidDel="00000000" w:rsidR="00000000" w:rsidRPr="00000000">
        <w:rPr>
          <w:rtl w:val="0"/>
        </w:rPr>
      </w:r>
    </w:p>
    <w:tbl>
      <w:tblPr>
        <w:tblStyle w:val="Table2"/>
        <w:tblW w:w="90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4"/>
        <w:gridCol w:w="5941"/>
        <w:tblGridChange w:id="0">
          <w:tblGrid>
            <w:gridCol w:w="3114"/>
            <w:gridCol w:w="5941"/>
          </w:tblGrid>
        </w:tblGridChange>
      </w:tblGrid>
      <w:tr>
        <w:trPr>
          <w:cantSplit w:val="0"/>
          <w:tblHeader w:val="0"/>
        </w:trPr>
        <w:tc>
          <w:tcPr>
            <w:shd w:fill="d0cece" w:val="clear"/>
          </w:tcPr>
          <w:p w:rsidR="00000000" w:rsidDel="00000000" w:rsidP="00000000" w:rsidRDefault="00000000" w:rsidRPr="00000000" w14:paraId="00000018">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Recurso</w:t>
            </w:r>
          </w:p>
        </w:tc>
        <w:tc>
          <w:tcPr>
            <w:shd w:fill="d0cece" w:val="clear"/>
          </w:tcPr>
          <w:p w:rsidR="00000000" w:rsidDel="00000000" w:rsidP="00000000" w:rsidRDefault="00000000" w:rsidRPr="00000000" w14:paraId="00000019">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Respuesta</w:t>
            </w:r>
          </w:p>
        </w:tc>
      </w:tr>
      <w:tr>
        <w:trPr>
          <w:cantSplit w:val="0"/>
          <w:tblHeader w:val="0"/>
        </w:trPr>
        <w:tc>
          <w:tcPr/>
          <w:p w:rsidR="00000000" w:rsidDel="00000000" w:rsidP="00000000" w:rsidRDefault="00000000" w:rsidRPr="00000000" w14:paraId="0000001A">
            <w:pPr>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01839/INFOEM/IP/RR/2025</w:t>
            </w:r>
          </w:p>
        </w:tc>
        <w:tc>
          <w:tcPr/>
          <w:p w:rsidR="00000000" w:rsidDel="00000000" w:rsidP="00000000" w:rsidRDefault="00000000" w:rsidRPr="00000000" w14:paraId="0000001B">
            <w:pPr>
              <w:numPr>
                <w:ilvl w:val="0"/>
                <w:numId w:val="6"/>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Fotografías de las pláticas 2024</w:t>
            </w:r>
          </w:p>
          <w:p w:rsidR="00000000" w:rsidDel="00000000" w:rsidP="00000000" w:rsidRDefault="00000000" w:rsidRPr="00000000" w14:paraId="0000001C">
            <w:pPr>
              <w:numPr>
                <w:ilvl w:val="0"/>
                <w:numId w:val="6"/>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Oficio de fecha diecisiete de febrero de dos mil veinticinco, signado por la Titular de la Unidad de Transparencia, mediante el cual informa que, la Dirección General de Bienestar proporcionó la información solicitada.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59" w:lineRule="auto"/>
              <w:ind w:left="720" w:firstLine="0"/>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Por su parte, el Instituto Municipal de la Mujer de Toluca, informó que no cuentan con la información ya que no es de su competencia. </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59" w:lineRule="auto"/>
              <w:ind w:left="720" w:firstLine="0"/>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La Coordinación General de Comunicación Social informó que no se encontró información de lo mencionado en la solicitud. </w:t>
            </w:r>
          </w:p>
          <w:p w:rsidR="00000000" w:rsidDel="00000000" w:rsidP="00000000" w:rsidRDefault="00000000" w:rsidRPr="00000000" w14:paraId="0000001F">
            <w:pPr>
              <w:numPr>
                <w:ilvl w:val="0"/>
                <w:numId w:val="6"/>
              </w:numPr>
              <w:pBdr>
                <w:top w:space="0" w:sz="0" w:val="nil"/>
                <w:left w:space="0" w:sz="0" w:val="nil"/>
                <w:bottom w:space="0" w:sz="0" w:val="nil"/>
                <w:right w:space="0" w:sz="0" w:val="nil"/>
                <w:between w:space="0" w:sz="0" w:val="nil"/>
              </w:pBdr>
              <w:spacing w:after="160" w:line="259" w:lineRule="auto"/>
              <w:ind w:left="720" w:hanging="360"/>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Diversos registros de beneficiarios en versión pública.  </w:t>
            </w:r>
          </w:p>
        </w:tc>
      </w:tr>
      <w:tr>
        <w:trPr>
          <w:cantSplit w:val="0"/>
          <w:tblHeader w:val="0"/>
        </w:trPr>
        <w:tc>
          <w:tcPr/>
          <w:p w:rsidR="00000000" w:rsidDel="00000000" w:rsidP="00000000" w:rsidRDefault="00000000" w:rsidRPr="00000000" w14:paraId="00000020">
            <w:pPr>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01840/INFOEM/IP/RR/2025</w:t>
            </w:r>
          </w:p>
        </w:tc>
        <w:tc>
          <w:tcPr/>
          <w:p w:rsidR="00000000" w:rsidDel="00000000" w:rsidP="00000000" w:rsidRDefault="00000000" w:rsidRPr="00000000" w14:paraId="00000021">
            <w:pPr>
              <w:numPr>
                <w:ilvl w:val="0"/>
                <w:numId w:val="6"/>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Fotografías de las pláticas 2023. </w:t>
            </w:r>
          </w:p>
          <w:p w:rsidR="00000000" w:rsidDel="00000000" w:rsidP="00000000" w:rsidRDefault="00000000" w:rsidRPr="00000000" w14:paraId="00000022">
            <w:pPr>
              <w:numPr>
                <w:ilvl w:val="0"/>
                <w:numId w:val="6"/>
              </w:numPr>
              <w:pBdr>
                <w:top w:space="0" w:sz="0" w:val="nil"/>
                <w:left w:space="0" w:sz="0" w:val="nil"/>
                <w:bottom w:space="0" w:sz="0" w:val="nil"/>
                <w:right w:space="0" w:sz="0" w:val="nil"/>
                <w:between w:space="0" w:sz="0" w:val="nil"/>
              </w:pBdr>
              <w:spacing w:line="259" w:lineRule="auto"/>
              <w:ind w:left="720" w:hanging="360"/>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Oficio de fecha diecisiete de febrero de dos mil veinticinco, signado por el Titular de la Unidad de Transparencia, mediante el cual informa que, la Dirección General de Bienestar Social informó que después de haber realizado una búsqueda de la información, proporciona información.</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59" w:lineRule="auto"/>
              <w:ind w:left="720" w:firstLine="0"/>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Por su parte, el Instituto Municipal de la Mujer de Toluca, informó que no cuentan con la información ya que no es de su competencia. </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160" w:line="259" w:lineRule="auto"/>
              <w:ind w:left="720" w:firstLine="0"/>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La Coordinación General de Comunicación Social informó que no se encontró información de lo mencionado en la solicitud. </w:t>
            </w:r>
          </w:p>
        </w:tc>
      </w:tr>
    </w:tbl>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26">
      <w:pPr>
        <w:numPr>
          <w:ilvl w:val="0"/>
          <w:numId w:val="5"/>
        </w:numPr>
        <w:pBdr>
          <w:top w:space="0" w:sz="0" w:val="nil"/>
          <w:left w:space="0" w:sz="0" w:val="nil"/>
          <w:bottom w:space="0" w:sz="0" w:val="nil"/>
          <w:right w:space="0" w:sz="0" w:val="nil"/>
          <w:between w:space="0" w:sz="0" w:val="nil"/>
        </w:pBdr>
        <w:tabs>
          <w:tab w:val="left" w:leader="none" w:pos="284"/>
        </w:tabs>
        <w:spacing w:after="0" w:line="360" w:lineRule="auto"/>
        <w:ind w:left="0" w:firstLine="0"/>
        <w:jc w:val="both"/>
        <w:rPr>
          <w:rFonts w:ascii="Palatino Linotype" w:cs="Palatino Linotype" w:eastAsia="Palatino Linotype" w:hAnsi="Palatino Linotype"/>
          <w:color w:val="000000"/>
        </w:rPr>
      </w:pPr>
      <w:bookmarkStart w:colFirst="0" w:colLast="0" w:name="_heading=h.gjdgxs" w:id="2"/>
      <w:bookmarkEnd w:id="2"/>
      <w:r w:rsidDel="00000000" w:rsidR="00000000" w:rsidRPr="00000000">
        <w:rPr>
          <w:rFonts w:ascii="Palatino Linotype" w:cs="Palatino Linotype" w:eastAsia="Palatino Linotype" w:hAnsi="Palatino Linotype"/>
          <w:b w:val="1"/>
          <w:color w:val="000000"/>
          <w:rtl w:val="0"/>
        </w:rPr>
        <w:t xml:space="preserve">Interposición de los recursos de revisión. </w:t>
      </w:r>
      <w:r w:rsidDel="00000000" w:rsidR="00000000" w:rsidRPr="00000000">
        <w:rPr>
          <w:rFonts w:ascii="Palatino Linotype" w:cs="Palatino Linotype" w:eastAsia="Palatino Linotype" w:hAnsi="Palatino Linotype"/>
          <w:color w:val="000000"/>
          <w:rtl w:val="0"/>
        </w:rPr>
        <w:t xml:space="preserve">Inconforme la persona solicitante con las respuestas emitidas por el </w:t>
      </w:r>
      <w:r w:rsidDel="00000000" w:rsidR="00000000" w:rsidRPr="00000000">
        <w:rPr>
          <w:rFonts w:ascii="Palatino Linotype" w:cs="Palatino Linotype" w:eastAsia="Palatino Linotype" w:hAnsi="Palatino Linotype"/>
          <w:b w:val="1"/>
          <w:color w:val="000000"/>
          <w:rtl w:val="0"/>
        </w:rPr>
        <w:t xml:space="preserve">Sujeto Obligado </w:t>
      </w:r>
      <w:r w:rsidDel="00000000" w:rsidR="00000000" w:rsidRPr="00000000">
        <w:rPr>
          <w:rFonts w:ascii="Palatino Linotype" w:cs="Palatino Linotype" w:eastAsia="Palatino Linotype" w:hAnsi="Palatino Linotype"/>
          <w:color w:val="000000"/>
          <w:rtl w:val="0"/>
        </w:rPr>
        <w:t xml:space="preserve">a sus solicitudes, en fecha </w:t>
      </w:r>
      <w:r w:rsidDel="00000000" w:rsidR="00000000" w:rsidRPr="00000000">
        <w:rPr>
          <w:rFonts w:ascii="Palatino Linotype" w:cs="Palatino Linotype" w:eastAsia="Palatino Linotype" w:hAnsi="Palatino Linotype"/>
          <w:b w:val="1"/>
          <w:color w:val="000000"/>
          <w:rtl w:val="0"/>
        </w:rPr>
        <w:t xml:space="preserve">veintiuno de febrero de dos mil veinticinco</w:t>
      </w:r>
      <w:r w:rsidDel="00000000" w:rsidR="00000000" w:rsidRPr="00000000">
        <w:rPr>
          <w:rFonts w:ascii="Palatino Linotype" w:cs="Palatino Linotype" w:eastAsia="Palatino Linotype" w:hAnsi="Palatino Linotype"/>
          <w:color w:val="000000"/>
          <w:rtl w:val="0"/>
        </w:rPr>
        <w:t xml:space="preserve">, interpuso los recursos de revisión a través del SAIMEX, expresando lo siguiente:</w:t>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284"/>
        </w:tabs>
        <w:spacing w:after="0" w:line="360" w:lineRule="auto"/>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284"/>
        </w:tabs>
        <w:spacing w:after="0" w:line="360" w:lineRule="auto"/>
        <w:ind w:left="567"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01839/INFOEM/IP/RR/2025</w:t>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284"/>
        </w:tabs>
        <w:spacing w:after="0" w:line="360" w:lineRule="auto"/>
        <w:ind w:left="567"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284"/>
        </w:tabs>
        <w:spacing w:after="0" w:line="360" w:lineRule="auto"/>
        <w:ind w:left="567"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Acto impugnado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Los anexos no abren</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284"/>
        </w:tabs>
        <w:spacing w:after="0" w:line="360" w:lineRule="auto"/>
        <w:ind w:left="567"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Motivos de inconformidad</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No abren los anexos</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284"/>
        </w:tabs>
        <w:spacing w:after="0" w:line="360" w:lineRule="auto"/>
        <w:ind w:left="567"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284"/>
        </w:tabs>
        <w:spacing w:after="0" w:line="360" w:lineRule="auto"/>
        <w:ind w:left="567" w:firstLine="0"/>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rtl w:val="0"/>
        </w:rPr>
        <w:t xml:space="preserve">01840/INFOEM/IP/RR/2025</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284"/>
        </w:tabs>
        <w:spacing w:after="0" w:line="360" w:lineRule="auto"/>
        <w:ind w:left="567" w:firstLine="0"/>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284"/>
        </w:tabs>
        <w:spacing w:after="0" w:line="360" w:lineRule="auto"/>
        <w:ind w:left="567"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Acto impugnado.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La respuestas incompleta</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284"/>
        </w:tabs>
        <w:spacing w:after="0" w:line="360" w:lineRule="auto"/>
        <w:ind w:left="567" w:firstLine="0"/>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rtl w:val="0"/>
        </w:rPr>
        <w:t xml:space="preserve">Motivos de inconformidad.</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No entrega lista de bendeciados</w:t>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leader="none" w:pos="284"/>
        </w:tabs>
        <w:spacing w:after="0" w:line="360" w:lineRule="auto"/>
        <w:jc w:val="center"/>
        <w:rPr>
          <w:rFonts w:ascii="Palatino Linotype" w:cs="Palatino Linotype" w:eastAsia="Palatino Linotype" w:hAnsi="Palatino Linotype"/>
          <w:i w:val="1"/>
          <w:color w:val="000000"/>
        </w:rPr>
      </w:pPr>
      <w:r w:rsidDel="00000000" w:rsidR="00000000" w:rsidRPr="00000000">
        <w:rPr>
          <w:rtl w:val="0"/>
        </w:rPr>
      </w:r>
    </w:p>
    <w:p w:rsidR="00000000" w:rsidDel="00000000" w:rsidP="00000000" w:rsidRDefault="00000000" w:rsidRPr="00000000" w14:paraId="00000032">
      <w:pPr>
        <w:numPr>
          <w:ilvl w:val="0"/>
          <w:numId w:val="5"/>
        </w:numPr>
        <w:pBdr>
          <w:top w:space="0" w:sz="0" w:val="nil"/>
          <w:left w:space="0" w:sz="0" w:val="nil"/>
          <w:bottom w:space="0" w:sz="0" w:val="nil"/>
          <w:right w:space="0" w:sz="0" w:val="nil"/>
          <w:between w:space="0" w:sz="0" w:val="nil"/>
        </w:pBdr>
        <w:tabs>
          <w:tab w:val="left" w:leader="none" w:pos="284"/>
        </w:tabs>
        <w:spacing w:after="0" w:line="360" w:lineRule="auto"/>
        <w:ind w:left="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Turno.</w:t>
      </w:r>
      <w:r w:rsidDel="00000000" w:rsidR="00000000" w:rsidRPr="00000000">
        <w:rPr>
          <w:rFonts w:ascii="Palatino Linotype" w:cs="Palatino Linotype" w:eastAsia="Palatino Linotype" w:hAnsi="Palatino Linotype"/>
          <w:color w:val="000000"/>
          <w:rtl w:val="0"/>
        </w:rPr>
        <w:t xml:space="preserve"> De conformidad con el artículo 185 fracción I de la Ley Transparencia y Acceso a la Información Pública, el Recurso de Revisión </w:t>
      </w:r>
      <w:r w:rsidDel="00000000" w:rsidR="00000000" w:rsidRPr="00000000">
        <w:rPr>
          <w:rFonts w:ascii="Palatino Linotype" w:cs="Palatino Linotype" w:eastAsia="Palatino Linotype" w:hAnsi="Palatino Linotype"/>
          <w:b w:val="1"/>
          <w:color w:val="000000"/>
          <w:rtl w:val="0"/>
        </w:rPr>
        <w:t xml:space="preserve">01839/INFOEM/IP/RR/2025 </w:t>
      </w:r>
      <w:r w:rsidDel="00000000" w:rsidR="00000000" w:rsidRPr="00000000">
        <w:rPr>
          <w:rFonts w:ascii="Palatino Linotype" w:cs="Palatino Linotype" w:eastAsia="Palatino Linotype" w:hAnsi="Palatino Linotype"/>
          <w:color w:val="000000"/>
          <w:rtl w:val="0"/>
        </w:rPr>
        <w:t xml:space="preserve">fue turnado a la Comisionada Guadalupe Ramírez Peña, el Recurso de Revisión </w:t>
      </w:r>
      <w:r w:rsidDel="00000000" w:rsidR="00000000" w:rsidRPr="00000000">
        <w:rPr>
          <w:rFonts w:ascii="Palatino Linotype" w:cs="Palatino Linotype" w:eastAsia="Palatino Linotype" w:hAnsi="Palatino Linotype"/>
          <w:b w:val="1"/>
          <w:color w:val="000000"/>
          <w:rtl w:val="0"/>
        </w:rPr>
        <w:t xml:space="preserve">01840/INFOEM/IP/RR/2025, </w:t>
      </w:r>
      <w:r w:rsidDel="00000000" w:rsidR="00000000" w:rsidRPr="00000000">
        <w:rPr>
          <w:rFonts w:ascii="Palatino Linotype" w:cs="Palatino Linotype" w:eastAsia="Palatino Linotype" w:hAnsi="Palatino Linotype"/>
          <w:color w:val="000000"/>
          <w:rtl w:val="0"/>
        </w:rPr>
        <w:t xml:space="preserve">al Comisionado Presidente José Martínez Vilchis.</w:t>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34">
      <w:pPr>
        <w:numPr>
          <w:ilvl w:val="0"/>
          <w:numId w:val="5"/>
        </w:numPr>
        <w:pBdr>
          <w:top w:space="0" w:sz="0" w:val="nil"/>
          <w:left w:space="0" w:sz="0" w:val="nil"/>
          <w:bottom w:space="0" w:sz="0" w:val="nil"/>
          <w:right w:space="0" w:sz="0" w:val="nil"/>
          <w:between w:space="0" w:sz="0" w:val="nil"/>
        </w:pBdr>
        <w:tabs>
          <w:tab w:val="left" w:leader="none" w:pos="284"/>
        </w:tabs>
        <w:spacing w:after="0" w:line="360" w:lineRule="auto"/>
        <w:ind w:left="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 Admisión de los Recursos de Revisión. </w:t>
      </w:r>
      <w:r w:rsidDel="00000000" w:rsidR="00000000" w:rsidRPr="00000000">
        <w:rPr>
          <w:rFonts w:ascii="Palatino Linotype" w:cs="Palatino Linotype" w:eastAsia="Palatino Linotype" w:hAnsi="Palatino Linotype"/>
          <w:color w:val="000000"/>
          <w:rtl w:val="0"/>
        </w:rPr>
        <w:t xml:space="preserve">En fecha </w:t>
      </w:r>
      <w:r w:rsidDel="00000000" w:rsidR="00000000" w:rsidRPr="00000000">
        <w:rPr>
          <w:rFonts w:ascii="Palatino Linotype" w:cs="Palatino Linotype" w:eastAsia="Palatino Linotype" w:hAnsi="Palatino Linotype"/>
          <w:b w:val="1"/>
          <w:color w:val="000000"/>
          <w:rtl w:val="0"/>
        </w:rPr>
        <w:t xml:space="preserve">veinticinco y veintiséis de febrero de dos mil veinticinco</w:t>
      </w:r>
      <w:r w:rsidDel="00000000" w:rsidR="00000000" w:rsidRPr="00000000">
        <w:rPr>
          <w:rFonts w:ascii="Palatino Linotype" w:cs="Palatino Linotype" w:eastAsia="Palatino Linotype" w:hAnsi="Palatino Linotype"/>
          <w:color w:val="000000"/>
          <w:rtl w:val="0"/>
        </w:rPr>
        <w:t xml:space="preserve"> en términos de lo dispuesto en el artículo 185 fracciones I, II y IV de la Ley de Transparencia y Acceso a la Información Pública del Estado de México y Municipios, se admitieron a trámite los recursos de revisión </w:t>
      </w:r>
      <w:r w:rsidDel="00000000" w:rsidR="00000000" w:rsidRPr="00000000">
        <w:rPr>
          <w:rFonts w:ascii="Palatino Linotype" w:cs="Palatino Linotype" w:eastAsia="Palatino Linotype" w:hAnsi="Palatino Linotype"/>
          <w:b w:val="1"/>
          <w:color w:val="000000"/>
          <w:rtl w:val="0"/>
        </w:rPr>
        <w:t xml:space="preserve">01839/INFOEM/IP/RR/2025 y 01840/INFOEM/IP/RR/2025 acumulados.</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36">
      <w:pPr>
        <w:numPr>
          <w:ilvl w:val="0"/>
          <w:numId w:val="5"/>
        </w:numPr>
        <w:pBdr>
          <w:top w:space="0" w:sz="0" w:val="nil"/>
          <w:left w:space="0" w:sz="0" w:val="nil"/>
          <w:bottom w:space="0" w:sz="0" w:val="nil"/>
          <w:right w:space="0" w:sz="0" w:val="nil"/>
          <w:between w:space="0" w:sz="0" w:val="nil"/>
        </w:pBdr>
        <w:tabs>
          <w:tab w:val="left" w:leader="none" w:pos="284"/>
        </w:tabs>
        <w:spacing w:after="0" w:line="360" w:lineRule="auto"/>
        <w:ind w:left="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 Manifestaciones. </w:t>
      </w:r>
      <w:r w:rsidDel="00000000" w:rsidR="00000000" w:rsidRPr="00000000">
        <w:rPr>
          <w:rFonts w:ascii="Palatino Linotype" w:cs="Palatino Linotype" w:eastAsia="Palatino Linotype" w:hAnsi="Palatino Linotype"/>
          <w:color w:val="000000"/>
          <w:rtl w:val="0"/>
        </w:rPr>
        <w:t xml:space="preserve">En fecha </w:t>
      </w:r>
      <w:r w:rsidDel="00000000" w:rsidR="00000000" w:rsidRPr="00000000">
        <w:rPr>
          <w:rFonts w:ascii="Palatino Linotype" w:cs="Palatino Linotype" w:eastAsia="Palatino Linotype" w:hAnsi="Palatino Linotype"/>
          <w:b w:val="1"/>
          <w:color w:val="000000"/>
          <w:rtl w:val="0"/>
        </w:rPr>
        <w:t xml:space="preserve">diez de marzo de dos mil veinticinco</w:t>
      </w:r>
      <w:r w:rsidDel="00000000" w:rsidR="00000000" w:rsidRPr="00000000">
        <w:rPr>
          <w:rFonts w:ascii="Palatino Linotype" w:cs="Palatino Linotype" w:eastAsia="Palatino Linotype" w:hAnsi="Palatino Linotype"/>
          <w:color w:val="000000"/>
          <w:rtl w:val="0"/>
        </w:rPr>
        <w:t xml:space="preserve">, el </w:t>
      </w:r>
      <w:r w:rsidDel="00000000" w:rsidR="00000000" w:rsidRPr="00000000">
        <w:rPr>
          <w:rFonts w:ascii="Palatino Linotype" w:cs="Palatino Linotype" w:eastAsia="Palatino Linotype" w:hAnsi="Palatino Linotype"/>
          <w:b w:val="1"/>
          <w:color w:val="000000"/>
          <w:rtl w:val="0"/>
        </w:rPr>
        <w:t xml:space="preserve">SUJETO OBLIGADO </w:t>
      </w:r>
      <w:r w:rsidDel="00000000" w:rsidR="00000000" w:rsidRPr="00000000">
        <w:rPr>
          <w:rFonts w:ascii="Palatino Linotype" w:cs="Palatino Linotype" w:eastAsia="Palatino Linotype" w:hAnsi="Palatino Linotype"/>
          <w:color w:val="000000"/>
          <w:rtl w:val="0"/>
        </w:rPr>
        <w:t xml:space="preserve">hizo entrega de su informe justificado al tenor de lo siguiente: </w:t>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01839/INFOEM/IP/RR/2025.</w:t>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3A">
      <w:pPr>
        <w:numPr>
          <w:ilvl w:val="0"/>
          <w:numId w:val="3"/>
        </w:numPr>
        <w:pBdr>
          <w:top w:space="0" w:sz="0" w:val="nil"/>
          <w:left w:space="0" w:sz="0" w:val="nil"/>
          <w:bottom w:space="0" w:sz="0" w:val="nil"/>
          <w:right w:space="0" w:sz="0" w:val="nil"/>
          <w:between w:space="0" w:sz="0" w:val="nil"/>
        </w:pBdr>
        <w:tabs>
          <w:tab w:val="left" w:leader="none" w:pos="284"/>
        </w:tabs>
        <w:spacing w:after="0"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Oficio de fecha diez de marzo de dos mil veinticinco, signado por el Titular de la Unidad de Transparencia, mediante el cual ratificó su respuesta inicial </w:t>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01840/INFOEM/IP/RR/2025. </w:t>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3E">
      <w:pPr>
        <w:numPr>
          <w:ilvl w:val="0"/>
          <w:numId w:val="3"/>
        </w:numPr>
        <w:pBdr>
          <w:top w:space="0" w:sz="0" w:val="nil"/>
          <w:left w:space="0" w:sz="0" w:val="nil"/>
          <w:bottom w:space="0" w:sz="0" w:val="nil"/>
          <w:right w:space="0" w:sz="0" w:val="nil"/>
          <w:between w:space="0" w:sz="0" w:val="nil"/>
        </w:pBdr>
        <w:tabs>
          <w:tab w:val="left" w:leader="none" w:pos="284"/>
        </w:tabs>
        <w:spacing w:after="0"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Oficio de fecha siete de marzo de dos mil veinticinco de dos mil veinticinco, signado por el Titular de la Unidad de Transparencia, mediante el cual ratificó su respuesta inicial. </w:t>
      </w:r>
    </w:p>
    <w:p w:rsidR="00000000" w:rsidDel="00000000" w:rsidP="00000000" w:rsidRDefault="00000000" w:rsidRPr="00000000" w14:paraId="0000003F">
      <w:pPr>
        <w:numPr>
          <w:ilvl w:val="0"/>
          <w:numId w:val="3"/>
        </w:numPr>
        <w:pBdr>
          <w:top w:space="0" w:sz="0" w:val="nil"/>
          <w:left w:space="0" w:sz="0" w:val="nil"/>
          <w:bottom w:space="0" w:sz="0" w:val="nil"/>
          <w:right w:space="0" w:sz="0" w:val="nil"/>
          <w:between w:space="0" w:sz="0" w:val="nil"/>
        </w:pBdr>
        <w:tabs>
          <w:tab w:val="left" w:leader="none" w:pos="284"/>
        </w:tabs>
        <w:spacing w:after="0"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Lista de beneficiarios en versión pública. </w:t>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color w:val="000000"/>
          <w:rtl w:val="0"/>
        </w:rPr>
        <w:t xml:space="preserve">Los documentos identificados con los incisos a) y b) se hicieron del conocimiento de la parte Recurrente en fecha </w:t>
      </w:r>
      <w:r w:rsidDel="00000000" w:rsidR="00000000" w:rsidRPr="00000000">
        <w:rPr>
          <w:rFonts w:ascii="Palatino Linotype" w:cs="Palatino Linotype" w:eastAsia="Palatino Linotype" w:hAnsi="Palatino Linotype"/>
          <w:b w:val="1"/>
          <w:color w:val="000000"/>
          <w:rtl w:val="0"/>
        </w:rPr>
        <w:t xml:space="preserve">nueve de abril de dos mil veinticinco. </w:t>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leader="none" w:pos="284"/>
        </w:tabs>
        <w:spacing w:after="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El documento identificado con el inciso c), no se hizo del conocimiento de la parte Recurrente debido a que se advirtieron datos personales que pueden ser vulnerados, como firmas de particulares. </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Recurrente no realizó manifestaciones. </w:t>
      </w:r>
    </w:p>
    <w:p w:rsidR="00000000" w:rsidDel="00000000" w:rsidP="00000000" w:rsidRDefault="00000000" w:rsidRPr="00000000" w14:paraId="00000046">
      <w:pPr>
        <w:numPr>
          <w:ilvl w:val="0"/>
          <w:numId w:val="5"/>
        </w:numPr>
        <w:pBdr>
          <w:top w:space="0" w:sz="0" w:val="nil"/>
          <w:left w:space="0" w:sz="0" w:val="nil"/>
          <w:bottom w:space="0" w:sz="0" w:val="nil"/>
          <w:right w:space="0" w:sz="0" w:val="nil"/>
          <w:between w:space="0" w:sz="0" w:val="nil"/>
        </w:pBdr>
        <w:tabs>
          <w:tab w:val="left" w:leader="none" w:pos="426"/>
        </w:tabs>
        <w:spacing w:after="0" w:line="360" w:lineRule="auto"/>
        <w:ind w:left="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Acumulación de los recursos de revisión. </w:t>
      </w:r>
      <w:r w:rsidDel="00000000" w:rsidR="00000000" w:rsidRPr="00000000">
        <w:rPr>
          <w:rFonts w:ascii="Palatino Linotype" w:cs="Palatino Linotype" w:eastAsia="Palatino Linotype" w:hAnsi="Palatino Linotype"/>
          <w:color w:val="000000"/>
          <w:rtl w:val="0"/>
        </w:rPr>
        <w:t xml:space="preserve">Al respecto cabe señalar, que el Pleno de este Instituto, en la </w:t>
      </w:r>
      <w:r w:rsidDel="00000000" w:rsidR="00000000" w:rsidRPr="00000000">
        <w:rPr>
          <w:rFonts w:ascii="Palatino Linotype" w:cs="Palatino Linotype" w:eastAsia="Palatino Linotype" w:hAnsi="Palatino Linotype"/>
          <w:b w:val="1"/>
          <w:color w:val="000000"/>
          <w:rtl w:val="0"/>
        </w:rPr>
        <w:t xml:space="preserve">Octava Sesión</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Ordinaria</w:t>
      </w:r>
      <w:r w:rsidDel="00000000" w:rsidR="00000000" w:rsidRPr="00000000">
        <w:rPr>
          <w:rFonts w:ascii="Palatino Linotype" w:cs="Palatino Linotype" w:eastAsia="Palatino Linotype" w:hAnsi="Palatino Linotype"/>
          <w:color w:val="000000"/>
          <w:rtl w:val="0"/>
        </w:rPr>
        <w:t xml:space="preserve"> de fecha </w:t>
      </w:r>
      <w:r w:rsidDel="00000000" w:rsidR="00000000" w:rsidRPr="00000000">
        <w:rPr>
          <w:rFonts w:ascii="Palatino Linotype" w:cs="Palatino Linotype" w:eastAsia="Palatino Linotype" w:hAnsi="Palatino Linotype"/>
          <w:b w:val="1"/>
          <w:color w:val="000000"/>
          <w:rtl w:val="0"/>
        </w:rPr>
        <w:t xml:space="preserve">seis de marzo de dos mil veinticinco,</w:t>
      </w:r>
      <w:r w:rsidDel="00000000" w:rsidR="00000000" w:rsidRPr="00000000">
        <w:rPr>
          <w:rFonts w:ascii="Palatino Linotype" w:cs="Palatino Linotype" w:eastAsia="Palatino Linotype" w:hAnsi="Palatino Linotype"/>
          <w:color w:val="000000"/>
          <w:rtl w:val="0"/>
        </w:rPr>
        <w:t xml:space="preserve"> ordenó la acumulación de los expedientes citados, a efecto de que la </w:t>
      </w:r>
      <w:r w:rsidDel="00000000" w:rsidR="00000000" w:rsidRPr="00000000">
        <w:rPr>
          <w:rFonts w:ascii="Palatino Linotype" w:cs="Palatino Linotype" w:eastAsia="Palatino Linotype" w:hAnsi="Palatino Linotype"/>
          <w:b w:val="1"/>
          <w:color w:val="000000"/>
          <w:rtl w:val="0"/>
        </w:rPr>
        <w:t xml:space="preserve">Comisionada Guadalupe Ramírez Peña </w:t>
      </w:r>
      <w:r w:rsidDel="00000000" w:rsidR="00000000" w:rsidRPr="00000000">
        <w:rPr>
          <w:rFonts w:ascii="Palatino Linotype" w:cs="Palatino Linotype" w:eastAsia="Palatino Linotype" w:hAnsi="Palatino Linotype"/>
          <w:color w:val="000000"/>
          <w:rtl w:val="0"/>
        </w:rPr>
        <w:t xml:space="preserve">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rsidR="00000000" w:rsidDel="00000000" w:rsidP="00000000" w:rsidRDefault="00000000" w:rsidRPr="00000000" w14:paraId="0000004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276"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Código de Procedimientos Administrativos del Estado de México</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276"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“Artículo 18.-</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autoridad administrativa o el Tribunal acordarán la acumulación de los expedientes del procedimiento y proceso administrativo que ante ellos se sigan, de oficio</w:t>
      </w:r>
      <w:r w:rsidDel="00000000" w:rsidR="00000000" w:rsidRPr="00000000">
        <w:rPr>
          <w:rFonts w:ascii="Palatino Linotype" w:cs="Palatino Linotype" w:eastAsia="Palatino Linotype" w:hAnsi="Palatino Linotype"/>
          <w:i w:val="1"/>
          <w:rtl w:val="0"/>
        </w:rPr>
        <w:t xml:space="preserve"> o a petición de parte, </w:t>
      </w:r>
      <w:r w:rsidDel="00000000" w:rsidR="00000000" w:rsidRPr="00000000">
        <w:rPr>
          <w:rFonts w:ascii="Palatino Linotype" w:cs="Palatino Linotype" w:eastAsia="Palatino Linotype" w:hAnsi="Palatino Linotype"/>
          <w:b w:val="1"/>
          <w:i w:val="1"/>
          <w:rtl w:val="0"/>
        </w:rPr>
        <w:t xml:space="preserve">cuando las partes</w:t>
      </w:r>
      <w:r w:rsidDel="00000000" w:rsidR="00000000" w:rsidRPr="00000000">
        <w:rPr>
          <w:rFonts w:ascii="Palatino Linotype" w:cs="Palatino Linotype" w:eastAsia="Palatino Linotype" w:hAnsi="Palatino Linotype"/>
          <w:i w:val="1"/>
          <w:rtl w:val="0"/>
        </w:rPr>
        <w:t xml:space="preserve"> o los actos administrativos sean iguales, se trate de actos conexos o </w:t>
      </w:r>
      <w:r w:rsidDel="00000000" w:rsidR="00000000" w:rsidRPr="00000000">
        <w:rPr>
          <w:rFonts w:ascii="Palatino Linotype" w:cs="Palatino Linotype" w:eastAsia="Palatino Linotype" w:hAnsi="Palatino Linotype"/>
          <w:b w:val="1"/>
          <w:i w:val="1"/>
          <w:rtl w:val="0"/>
        </w:rPr>
        <w:t xml:space="preserve">resulte conveniente el trámite unificado de los asuntos, para evitar la emisión de resoluciones contradictorias</w:t>
      </w:r>
      <w:r w:rsidDel="00000000" w:rsidR="00000000" w:rsidRPr="00000000">
        <w:rPr>
          <w:rFonts w:ascii="Palatino Linotype" w:cs="Palatino Linotype" w:eastAsia="Palatino Linotype" w:hAnsi="Palatino Linotype"/>
          <w:i w:val="1"/>
          <w:rtl w:val="0"/>
        </w:rPr>
        <w:t xml:space="preserve">. La misma regla se aplicará, en lo conducente, para la separación de los expedientes.”</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276"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276"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“Artículo 195.-</w:t>
      </w:r>
      <w:r w:rsidDel="00000000" w:rsidR="00000000" w:rsidRPr="00000000">
        <w:rPr>
          <w:rFonts w:ascii="Palatino Linotype" w:cs="Palatino Linotype" w:eastAsia="Palatino Linotype" w:hAnsi="Palatino Linotype"/>
          <w:i w:val="1"/>
          <w:rtl w:val="0"/>
        </w:rPr>
        <w:t xml:space="preserve"> En la tramitación del recurso de revisión se aplicará supletoriamente las disposiciones contenidas en el Código de Procedimientos Administrativos del Estado de México.”</w:t>
      </w:r>
      <w:r w:rsidDel="00000000" w:rsidR="00000000" w:rsidRPr="00000000">
        <w:rPr>
          <w:rtl w:val="0"/>
        </w:rPr>
      </w:r>
    </w:p>
    <w:p w:rsidR="00000000" w:rsidDel="00000000" w:rsidP="00000000" w:rsidRDefault="00000000" w:rsidRPr="00000000" w14:paraId="0000004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Durante la sustanciación de los medios de impugnación citados se advirtió que los mismos fueron interpuestos por la misma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ante el mismo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razón por la cual, la Comisionada Ponente consideró que resultaba conveniente su acumulación a efecto de que formulara y presentara el proyecto de resolución correspondiente.</w:t>
      </w:r>
    </w:p>
    <w:p w:rsidR="00000000" w:rsidDel="00000000" w:rsidP="00000000" w:rsidRDefault="00000000" w:rsidRPr="00000000" w14:paraId="0000004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Ampliación del término para resolver. El nueve de abril de dos mil veinticinco </w:t>
      </w:r>
      <w:r w:rsidDel="00000000" w:rsidR="00000000" w:rsidRPr="00000000">
        <w:rPr>
          <w:rFonts w:ascii="Palatino Linotype" w:cs="Palatino Linotype" w:eastAsia="Palatino Linotype" w:hAnsi="Palatino Linotype"/>
          <w:rtl w:val="0"/>
        </w:rPr>
        <w:t xml:space="preserve">se notificó a las partes, el acuerdo que amplía el término para resolver el recurso de revisión en términos del artículo 181 párrafo tercero de la Ley de Transparencia y Acceso a la Información Pública del Estado de México y Municipios. </w:t>
      </w:r>
    </w:p>
    <w:p w:rsidR="00000000" w:rsidDel="00000000" w:rsidP="00000000" w:rsidRDefault="00000000" w:rsidRPr="00000000" w14:paraId="0000005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1">
      <w:pPr>
        <w:numPr>
          <w:ilvl w:val="0"/>
          <w:numId w:val="5"/>
        </w:numPr>
        <w:pBdr>
          <w:top w:space="0" w:sz="0" w:val="nil"/>
          <w:left w:space="0" w:sz="0" w:val="nil"/>
          <w:bottom w:space="0" w:sz="0" w:val="nil"/>
          <w:right w:space="0" w:sz="0" w:val="nil"/>
          <w:between w:space="0" w:sz="0" w:val="nil"/>
        </w:pBdr>
        <w:tabs>
          <w:tab w:val="left" w:leader="none" w:pos="284"/>
        </w:tabs>
        <w:spacing w:after="0" w:line="360" w:lineRule="auto"/>
        <w:ind w:left="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Cierre de instrucción</w:t>
      </w:r>
      <w:r w:rsidDel="00000000" w:rsidR="00000000" w:rsidRPr="00000000">
        <w:rPr>
          <w:rFonts w:ascii="Palatino Linotype" w:cs="Palatino Linotype" w:eastAsia="Palatino Linotype" w:hAnsi="Palatino Linotype"/>
          <w:color w:val="000000"/>
          <w:rtl w:val="0"/>
        </w:rPr>
        <w:t xml:space="preserve">. En fecha </w:t>
      </w:r>
      <w:r w:rsidDel="00000000" w:rsidR="00000000" w:rsidRPr="00000000">
        <w:rPr>
          <w:rFonts w:ascii="Palatino Linotype" w:cs="Palatino Linotype" w:eastAsia="Palatino Linotype" w:hAnsi="Palatino Linotype"/>
          <w:b w:val="1"/>
          <w:color w:val="000000"/>
          <w:rtl w:val="0"/>
        </w:rPr>
        <w:t xml:space="preserve">veintidós de abril de dos mil veinticinco</w:t>
      </w:r>
      <w:r w:rsidDel="00000000" w:rsidR="00000000" w:rsidRPr="00000000">
        <w:rPr>
          <w:rFonts w:ascii="Palatino Linotype" w:cs="Palatino Linotype" w:eastAsia="Palatino Linotype" w:hAnsi="Palatino Linotype"/>
          <w:color w:val="000000"/>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Debido a que fueron debidamente sustanciados los expedientes electrónicos y no existe diligencia pendiente de desahogo, se emite la Resolución que conforme a Derecho proceda, de acuerdo con los siguientes: </w:t>
      </w:r>
    </w:p>
    <w:p w:rsidR="00000000" w:rsidDel="00000000" w:rsidP="00000000" w:rsidRDefault="00000000" w:rsidRPr="00000000" w14:paraId="0000005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5">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w:t>
        <w:tab/>
        <w:t xml:space="preserve">C O N S I D E R A N D O:</w:t>
      </w:r>
    </w:p>
    <w:p w:rsidR="00000000" w:rsidDel="00000000" w:rsidP="00000000" w:rsidRDefault="00000000" w:rsidRPr="00000000" w14:paraId="0000005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5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rsidR="00000000" w:rsidDel="00000000" w:rsidP="00000000" w:rsidRDefault="00000000" w:rsidRPr="00000000" w14:paraId="0000005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recursos de revisión fueron interpuestos dentro del plazo de quince días hábiles previstos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las respuestas a las solicitudes de información y los recursos de revisión fueron interpuestos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en los siguientes días:</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C">
      <w:pPr>
        <w:numPr>
          <w:ilvl w:val="0"/>
          <w:numId w:val="1"/>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El Sujeto Obligado emitió respuestas el </w:t>
      </w:r>
      <w:r w:rsidDel="00000000" w:rsidR="00000000" w:rsidRPr="00000000">
        <w:rPr>
          <w:rFonts w:ascii="Palatino Linotype" w:cs="Palatino Linotype" w:eastAsia="Palatino Linotype" w:hAnsi="Palatino Linotype"/>
          <w:b w:val="1"/>
          <w:color w:val="000000"/>
          <w:rtl w:val="0"/>
        </w:rPr>
        <w:t xml:space="preserve">diecisiete de febrero de dos mil veinticinco </w:t>
      </w:r>
      <w:r w:rsidDel="00000000" w:rsidR="00000000" w:rsidRPr="00000000">
        <w:rPr>
          <w:rFonts w:ascii="Palatino Linotype" w:cs="Palatino Linotype" w:eastAsia="Palatino Linotype" w:hAnsi="Palatino Linotype"/>
          <w:color w:val="000000"/>
          <w:rtl w:val="0"/>
        </w:rPr>
        <w:t xml:space="preserve">y la parte Recurrente interpuso su recurso de revisión el </w:t>
      </w:r>
      <w:r w:rsidDel="00000000" w:rsidR="00000000" w:rsidRPr="00000000">
        <w:rPr>
          <w:rFonts w:ascii="Palatino Linotype" w:cs="Palatino Linotype" w:eastAsia="Palatino Linotype" w:hAnsi="Palatino Linotype"/>
          <w:b w:val="1"/>
          <w:color w:val="000000"/>
          <w:rtl w:val="0"/>
        </w:rPr>
        <w:t xml:space="preserve">veintiuno de febrero de dos mil veinte cinco</w:t>
      </w:r>
      <w:r w:rsidDel="00000000" w:rsidR="00000000" w:rsidRPr="00000000">
        <w:rPr>
          <w:rFonts w:ascii="Palatino Linotype" w:cs="Palatino Linotype" w:eastAsia="Palatino Linotype" w:hAnsi="Palatino Linotype"/>
          <w:color w:val="000000"/>
          <w:rtl w:val="0"/>
        </w:rPr>
        <w:t xml:space="preserve"> esto es al cuarto día hábil  siguiente en que tuvo conocimiento de la respuesta. </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5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resulta procedente la interposición de los recursos de revisión al rubro anotado, toda vez que se actualiza la hipótesis de procedencia prevista en el artículo 179, fracción V y IX de la Ley de la materia, que a la letra dice:</w:t>
      </w:r>
    </w:p>
    <w:p w:rsidR="00000000" w:rsidDel="00000000" w:rsidP="00000000" w:rsidRDefault="00000000" w:rsidRPr="00000000" w14:paraId="0000006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2">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63">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4">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entrega de información incompleta;</w:t>
      </w:r>
    </w:p>
    <w:p w:rsidR="00000000" w:rsidDel="00000000" w:rsidP="00000000" w:rsidRDefault="00000000" w:rsidRPr="00000000" w14:paraId="00000065">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6">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IX. La entrega o puesta a disposición de información en un formato incomprensible y/o no accesible para el solicitante;</w:t>
      </w:r>
    </w:p>
    <w:p w:rsidR="00000000" w:rsidDel="00000000" w:rsidP="00000000" w:rsidRDefault="00000000" w:rsidRPr="00000000" w14:paraId="00000067">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8">
      <w:pP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6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w:t>
      </w:r>
      <w:r w:rsidDel="00000000" w:rsidR="00000000" w:rsidRPr="00000000">
        <w:rPr>
          <w:rFonts w:ascii="Palatino Linotype" w:cs="Palatino Linotype" w:eastAsia="Palatino Linotype" w:hAnsi="Palatino Linotype"/>
          <w:rtl w:val="0"/>
        </w:rPr>
        <w:t xml:space="preserve">. De la revisión a las constancias y documentos que obran en los expedientes electrónicos se advierte, que el tema sobre el que este Organismo Garante de Transparencia y Acceso a la Información se pronunciará será  determinar, si se actualiza la hipótesis prevista en la fracción V y IX del artículo 179 de la Ley en la materia. </w:t>
      </w:r>
    </w:p>
    <w:p w:rsidR="00000000" w:rsidDel="00000000" w:rsidP="00000000" w:rsidRDefault="00000000" w:rsidRPr="00000000" w14:paraId="0000006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Estudio de fondo del asunto.</w:t>
      </w:r>
      <w:r w:rsidDel="00000000" w:rsidR="00000000" w:rsidRPr="00000000">
        <w:rPr>
          <w:rFonts w:ascii="Palatino Linotype" w:cs="Palatino Linotype" w:eastAsia="Palatino Linotype" w:hAnsi="Palatino Linotype"/>
          <w:rtl w:val="0"/>
        </w:rPr>
        <w:t xml:space="preserve">  Antes de entrar al análisis de los pronunciamientos del Sujeto Obligado en las respuestas proporcionadas y lo enviado mediante informe justificado,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w:t>
      </w:r>
    </w:p>
    <w:p w:rsidR="00000000" w:rsidDel="00000000" w:rsidP="00000000" w:rsidRDefault="00000000" w:rsidRPr="00000000" w14:paraId="0000006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6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F">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70">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71">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deben poner en práctica, políticas y programas de acceso a la información que se apeguen a criterios de publicidad, veracidad, oportunidad, precisión y suficiencia en beneficio de los solicitantes.”</w:t>
      </w:r>
    </w:p>
    <w:p w:rsidR="00000000" w:rsidDel="00000000" w:rsidP="00000000" w:rsidRDefault="00000000" w:rsidRPr="00000000" w14:paraId="00000072">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07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5">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76">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7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entonces Instituto Nacional de Transparencia, Acceso a la Información Pública y Protección de Datos Personales, el cual señala lo siguiente:</w:t>
      </w:r>
    </w:p>
    <w:p w:rsidR="00000000" w:rsidDel="00000000" w:rsidP="00000000" w:rsidRDefault="00000000" w:rsidRPr="00000000" w14:paraId="0000007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A">
      <w:pPr>
        <w:spacing w:after="0"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Criterio 03/17</w:t>
      </w:r>
    </w:p>
    <w:p w:rsidR="00000000" w:rsidDel="00000000" w:rsidP="00000000" w:rsidRDefault="00000000" w:rsidRPr="00000000" w14:paraId="0000007B">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“NO EXISTE OBLIGACIÓN DE ELABORAR DOCUMENTOS AD HOC PARA ATENDER LAS SOLICITUDES DE ACCESO A LA INFORMACIÓN. </w:t>
      </w:r>
      <w:r w:rsidDel="00000000" w:rsidR="00000000" w:rsidRPr="00000000">
        <w:rPr>
          <w:rFonts w:ascii="Palatino Linotype" w:cs="Palatino Linotype" w:eastAsia="Palatino Linotype" w:hAnsi="Palatino Linotype"/>
          <w:i w:val="1"/>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7C">
      <w:pPr>
        <w:spacing w:after="0" w:line="360" w:lineRule="auto"/>
        <w:ind w:left="567" w:right="560"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7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7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7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8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2">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083">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84">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8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8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8">
      <w:pPr>
        <w:spacing w:after="0"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CRITERIO 0002-11</w:t>
      </w:r>
    </w:p>
    <w:p w:rsidR="00000000" w:rsidDel="00000000" w:rsidP="00000000" w:rsidRDefault="00000000" w:rsidRPr="00000000" w14:paraId="00000089">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8A">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8B">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w:t>
        <w:tab/>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8C">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w:t>
        <w:tab/>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8D">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8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000000" w:rsidDel="00000000" w:rsidP="00000000" w:rsidRDefault="00000000" w:rsidRPr="00000000" w14:paraId="0000009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left" w:leader="none" w:pos="567"/>
        </w:tabs>
        <w:spacing w:after="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Ahora bien, es de recordar que la parte Recurrente solicitó la siguiente información:</w:t>
      </w:r>
    </w:p>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left" w:leader="none" w:pos="567"/>
        </w:tabs>
        <w:spacing w:after="0" w:line="276"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 </w:t>
      </w:r>
    </w:p>
    <w:p w:rsidR="00000000" w:rsidDel="00000000" w:rsidP="00000000" w:rsidRDefault="00000000" w:rsidRPr="00000000" w14:paraId="00000093">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Listas de beneficiarios de las pláticas en la Dirección de Juventud sobre sexualidad, autoestima, género, bullying, redes sociales y adicciones que se han realizado en escuelas en el 2023 y 2024, así como, las fotografías de cada evento.</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360" w:lineRule="auto"/>
        <w:ind w:left="72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respuesta, el Sujeto Obligado, a través de la Dirección General de Bienestar proporcionó respuesta a las solicitudes de información, al tenor de lo siguiente:</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97">
      <w:pPr>
        <w:numPr>
          <w:ilvl w:val="0"/>
          <w:numId w:val="1"/>
        </w:numPr>
        <w:pBdr>
          <w:top w:space="0" w:sz="0" w:val="nil"/>
          <w:left w:space="0" w:sz="0" w:val="nil"/>
          <w:bottom w:space="0" w:sz="0" w:val="nil"/>
          <w:right w:space="0" w:sz="0" w:val="nil"/>
          <w:between w:space="0" w:sz="0" w:val="nil"/>
        </w:pBdr>
        <w:spacing w:after="0" w:line="360" w:lineRule="auto"/>
        <w:ind w:left="72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01839/INFOEM/IP/RR/2025.</w:t>
      </w:r>
      <w:r w:rsidDel="00000000" w:rsidR="00000000" w:rsidRPr="00000000">
        <w:rPr>
          <w:rFonts w:ascii="Palatino Linotype" w:cs="Palatino Linotype" w:eastAsia="Palatino Linotype" w:hAnsi="Palatino Linotype"/>
          <w:color w:val="000000"/>
          <w:rtl w:val="0"/>
        </w:rPr>
        <w:t xml:space="preserve"> Fotografías de las pláticas del año dos mil veinticuatro y el listado de los beneficiarios en versión pública. </w:t>
      </w:r>
    </w:p>
    <w:p w:rsidR="00000000" w:rsidDel="00000000" w:rsidP="00000000" w:rsidRDefault="00000000" w:rsidRPr="00000000" w14:paraId="00000098">
      <w:pPr>
        <w:numPr>
          <w:ilvl w:val="0"/>
          <w:numId w:val="1"/>
        </w:numPr>
        <w:pBdr>
          <w:top w:space="0" w:sz="0" w:val="nil"/>
          <w:left w:space="0" w:sz="0" w:val="nil"/>
          <w:bottom w:space="0" w:sz="0" w:val="nil"/>
          <w:right w:space="0" w:sz="0" w:val="nil"/>
          <w:between w:space="0" w:sz="0" w:val="nil"/>
        </w:pBdr>
        <w:spacing w:after="0" w:line="360" w:lineRule="auto"/>
        <w:ind w:left="72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01840/INFOEM/IP/RR/2025</w:t>
      </w:r>
      <w:r w:rsidDel="00000000" w:rsidR="00000000" w:rsidRPr="00000000">
        <w:rPr>
          <w:rFonts w:ascii="Palatino Linotype" w:cs="Palatino Linotype" w:eastAsia="Palatino Linotype" w:hAnsi="Palatino Linotype"/>
          <w:color w:val="000000"/>
          <w:rtl w:val="0"/>
        </w:rPr>
        <w:t xml:space="preserve">. Fotografías de las pláticas del año dos mil veintitrés. </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360" w:lineRule="auto"/>
        <w:ind w:left="720" w:hanging="360"/>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La parte Recurrente se inconformó arguyendo lo siguiente:</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i w:val="1"/>
          <w:color w:val="000000"/>
        </w:rPr>
      </w:pPr>
      <w:r w:rsidDel="00000000" w:rsidR="00000000" w:rsidRPr="00000000">
        <w:rPr>
          <w:rFonts w:ascii="Palatino Linotype" w:cs="Palatino Linotype" w:eastAsia="Palatino Linotype" w:hAnsi="Palatino Linotype"/>
          <w:b w:val="1"/>
          <w:i w:val="1"/>
          <w:color w:val="000000"/>
          <w:rtl w:val="0"/>
        </w:rPr>
        <w:t xml:space="preserve"> </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line="360" w:lineRule="auto"/>
        <w:ind w:left="567"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i w:val="1"/>
          <w:color w:val="000000"/>
          <w:rtl w:val="0"/>
        </w:rPr>
        <w:t xml:space="preserve">01839/INFOEM/IP/RR/2025.</w:t>
      </w:r>
      <w:r w:rsidDel="00000000" w:rsidR="00000000" w:rsidRPr="00000000">
        <w:rPr>
          <w:rFonts w:ascii="Palatino Linotype" w:cs="Palatino Linotype" w:eastAsia="Palatino Linotype" w:hAnsi="Palatino Linotype"/>
          <w:color w:val="000000"/>
          <w:rtl w:val="0"/>
        </w:rPr>
        <w:t xml:space="preserve"> Los anexos no abren</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line="360" w:lineRule="auto"/>
        <w:ind w:left="567"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line="360" w:lineRule="auto"/>
        <w:ind w:left="567"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i w:val="1"/>
          <w:color w:val="000000"/>
          <w:rtl w:val="0"/>
        </w:rPr>
        <w:t xml:space="preserve">01840/INFOEM/IP/RR/2025.</w:t>
      </w:r>
      <w:r w:rsidDel="00000000" w:rsidR="00000000" w:rsidRPr="00000000">
        <w:rPr>
          <w:rFonts w:ascii="Palatino Linotype" w:cs="Palatino Linotype" w:eastAsia="Palatino Linotype" w:hAnsi="Palatino Linotype"/>
          <w:color w:val="000000"/>
          <w:rtl w:val="0"/>
        </w:rPr>
        <w:t xml:space="preserve"> No entregan la lista de beneficiarios. </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atención a ello, mediante informe justificado, el Sujeto Obligado en el Recurso de Revisión </w:t>
      </w:r>
      <w:r w:rsidDel="00000000" w:rsidR="00000000" w:rsidRPr="00000000">
        <w:rPr>
          <w:rFonts w:ascii="Palatino Linotype" w:cs="Palatino Linotype" w:eastAsia="Palatino Linotype" w:hAnsi="Palatino Linotype"/>
          <w:b w:val="1"/>
          <w:color w:val="000000"/>
          <w:rtl w:val="0"/>
        </w:rPr>
        <w:t xml:space="preserve">01839/INFOEM/IP/RR/2025</w:t>
      </w:r>
      <w:r w:rsidDel="00000000" w:rsidR="00000000" w:rsidRPr="00000000">
        <w:rPr>
          <w:rFonts w:ascii="Palatino Linotype" w:cs="Palatino Linotype" w:eastAsia="Palatino Linotype" w:hAnsi="Palatino Linotype"/>
          <w:color w:val="000000"/>
          <w:rtl w:val="0"/>
        </w:rPr>
        <w:t xml:space="preserve"> ratificó su respuesta inicial y en el Recurso de Revisión </w:t>
      </w:r>
      <w:r w:rsidDel="00000000" w:rsidR="00000000" w:rsidRPr="00000000">
        <w:rPr>
          <w:rFonts w:ascii="Palatino Linotype" w:cs="Palatino Linotype" w:eastAsia="Palatino Linotype" w:hAnsi="Palatino Linotype"/>
          <w:b w:val="1"/>
          <w:color w:val="000000"/>
          <w:rtl w:val="0"/>
        </w:rPr>
        <w:t xml:space="preserve">01840/INFOEM/IP/RR/2025</w:t>
      </w:r>
      <w:r w:rsidDel="00000000" w:rsidR="00000000" w:rsidRPr="00000000">
        <w:rPr>
          <w:rFonts w:ascii="Palatino Linotype" w:cs="Palatino Linotype" w:eastAsia="Palatino Linotype" w:hAnsi="Palatino Linotype"/>
          <w:color w:val="000000"/>
          <w:rtl w:val="0"/>
        </w:rPr>
        <w:t xml:space="preserve"> remitió la lista de beneficiarios en versión pública. </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La parte Recurrente fue omisa en rendir manifestaciones en ambos Recursos de Revisión. </w:t>
      </w:r>
    </w:p>
    <w:p w:rsidR="00000000" w:rsidDel="00000000" w:rsidP="00000000" w:rsidRDefault="00000000" w:rsidRPr="00000000" w14:paraId="000000A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se proceder a contextualizar la información solicitada, por ello, es necesario traer a colación que el Bando Municipal en su artículo 3, establece que, todas las personas son iguales en derechos, oportunidad y obligaciones, por lo que, el Ayuntamiento fomentará un enfoque progresista de justicia social mediante la implementación de políticas y programas inclusivos. </w:t>
      </w:r>
    </w:p>
    <w:p w:rsidR="00000000" w:rsidDel="00000000" w:rsidP="00000000" w:rsidRDefault="00000000" w:rsidRPr="00000000" w14:paraId="000000A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la Dirección General de Desarrollo Social, ahora Dirección General de Bienestar, tiene dentro de sus atribuciones, las siguientes: </w:t>
      </w:r>
    </w:p>
    <w:p w:rsidR="00000000" w:rsidDel="00000000" w:rsidP="00000000" w:rsidRDefault="00000000" w:rsidRPr="00000000" w14:paraId="000000A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8">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3.59.</w:t>
      </w:r>
      <w:r w:rsidDel="00000000" w:rsidR="00000000" w:rsidRPr="00000000">
        <w:rPr>
          <w:rFonts w:ascii="Palatino Linotype" w:cs="Palatino Linotype" w:eastAsia="Palatino Linotype" w:hAnsi="Palatino Linotype"/>
          <w:i w:val="1"/>
          <w:rtl w:val="0"/>
        </w:rPr>
        <w:t xml:space="preserve"> La o el titular de la Dirección General de Desarrollo Social, tendrá las siguientes atribuciones: </w:t>
      </w:r>
    </w:p>
    <w:p w:rsidR="00000000" w:rsidDel="00000000" w:rsidP="00000000" w:rsidRDefault="00000000" w:rsidRPr="00000000" w14:paraId="000000A9">
      <w:pPr>
        <w:spacing w:after="0" w:line="276"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 Planear, impulsar y operar programas, proyectos y acciones para garantizar el pleno ejercicio de los derechos sociales consagrados en la Constitución Política de los Estados Unidos Mexicanos y la Constitución del Estado Libre y Soberano de México, asegurando el acceso de toda la población al desarrollo social; </w:t>
      </w:r>
    </w:p>
    <w:p w:rsidR="00000000" w:rsidDel="00000000" w:rsidP="00000000" w:rsidRDefault="00000000" w:rsidRPr="00000000" w14:paraId="000000AA">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Participar, en el ámbito de sus atribuciones en el Sistema Nacional de Desarrollo Social; III. Impulsar, supervisar, controlar y evaluar los programas en materia de asistencia social dirigidos a la población en situación de vulnerabilidad del municipio; </w:t>
      </w:r>
    </w:p>
    <w:p w:rsidR="00000000" w:rsidDel="00000000" w:rsidP="00000000" w:rsidRDefault="00000000" w:rsidRPr="00000000" w14:paraId="000000AB">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Promover, respetar y difundir las costumbres y tradiciones de los pueblos indígenas, preservando sus lenguas y escritura, llevando a cabo acciones concretas; </w:t>
      </w:r>
    </w:p>
    <w:p w:rsidR="00000000" w:rsidDel="00000000" w:rsidP="00000000" w:rsidRDefault="00000000" w:rsidRPr="00000000" w14:paraId="000000AC">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Promover la inclusión de los pueblos indígenas, para que accedan a los beneficios que otorgan los programas federales y estatales en la materia; </w:t>
      </w:r>
    </w:p>
    <w:p w:rsidR="00000000" w:rsidDel="00000000" w:rsidP="00000000" w:rsidRDefault="00000000" w:rsidRPr="00000000" w14:paraId="000000AD">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Promover servicios educativos de cualquier tipo o modalidad, de acuerdo a los programas establecidos, por el gobierno federal y estatal; </w:t>
      </w:r>
    </w:p>
    <w:p w:rsidR="00000000" w:rsidDel="00000000" w:rsidP="00000000" w:rsidRDefault="00000000" w:rsidRPr="00000000" w14:paraId="000000AE">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Promover y ejecutar cursos y talleres dirigidos a la ciudadanía toluqueña para el desarrollo de habilidades que generen autoempleo; </w:t>
      </w:r>
    </w:p>
    <w:p w:rsidR="00000000" w:rsidDel="00000000" w:rsidP="00000000" w:rsidRDefault="00000000" w:rsidRPr="00000000" w14:paraId="000000AF">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Coordinar con las instancias responsables del gobierno municipal, la ejecución de programas integrales de desarrollo social, cultural y económico, incluidos los de salud, educación, vivienda, empleo, deporte y desarrollo urbano, con miras a disminuir los factores que pueden generar actitudes violentas o delictivas en la sociedad;</w:t>
      </w:r>
    </w:p>
    <w:p w:rsidR="00000000" w:rsidDel="00000000" w:rsidP="00000000" w:rsidRDefault="00000000" w:rsidRPr="00000000" w14:paraId="000000B0">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IX. Coordinar las acciones que deriven de los convenios suscritos con el gobierno Federal y con el gobierno del Estado de México, cuyo objeto detente el desarrollo social; </w:t>
      </w:r>
    </w:p>
    <w:p w:rsidR="00000000" w:rsidDel="00000000" w:rsidP="00000000" w:rsidRDefault="00000000" w:rsidRPr="00000000" w14:paraId="000000B1">
      <w:pPr>
        <w:spacing w:after="0" w:line="276"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X. Promover la participación de los sectores social y privado para la atención de las necesidades básicas de la población del municipio; </w:t>
      </w:r>
    </w:p>
    <w:p w:rsidR="00000000" w:rsidDel="00000000" w:rsidP="00000000" w:rsidRDefault="00000000" w:rsidRPr="00000000" w14:paraId="000000B2">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 Generar y promover, en coordinación con dependencias federales, estatales y con organismos no gubernamentales, la ejecución de programas, proyectos y acciones para mejorar las condiciones de vida de las comunidades indígenas reconocidas en el municipio de Toluca; y </w:t>
      </w:r>
    </w:p>
    <w:p w:rsidR="00000000" w:rsidDel="00000000" w:rsidP="00000000" w:rsidRDefault="00000000" w:rsidRPr="00000000" w14:paraId="000000B3">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XII. Las demás que le confieran otros ordenamientos jurídicos, el H. Ayuntamiento y el presidente municipal.</w:t>
      </w:r>
    </w:p>
    <w:p w:rsidR="00000000" w:rsidDel="00000000" w:rsidP="00000000" w:rsidRDefault="00000000" w:rsidRPr="00000000" w14:paraId="000000B4">
      <w:pPr>
        <w:spacing w:after="0" w:line="276" w:lineRule="auto"/>
        <w:ind w:right="56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colige que, el Ayuntamiento de Toluca, contará con una unidad administrativa competente, a saber la Dirección General de Bienestar, la cual tiene dentro de sus atribuciones el planear, impulsar y operar programas, proyectos y acciones para garantizar el pleno ejercicio de los derechos sociales, por lo que se determina que esta unidad administrativa es la competente para dar atención a la solicitud de información de conformidad con sus facultades, atribuciones y competencia. </w:t>
      </w:r>
    </w:p>
    <w:p w:rsidR="00000000" w:rsidDel="00000000" w:rsidP="00000000" w:rsidRDefault="00000000" w:rsidRPr="00000000" w14:paraId="000000B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7">
      <w:pPr>
        <w:spacing w:after="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En ese sentido, es dable recordar que, </w:t>
      </w:r>
      <w:r w:rsidDel="00000000" w:rsidR="00000000" w:rsidRPr="00000000">
        <w:rPr>
          <w:rFonts w:ascii="Palatino Linotype" w:cs="Palatino Linotype" w:eastAsia="Palatino Linotype" w:hAnsi="Palatino Linotype"/>
          <w:color w:val="000000"/>
          <w:rtl w:val="0"/>
        </w:rPr>
        <w:t xml:space="preserve">de las constancias que obran en el expediente se logra vislumbrar que el Sujeto Obligado, turnó la solicitud de información a la unidad administrativa competente, a saber la ahora Dirección General de Bienestar,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rsidR="00000000" w:rsidDel="00000000" w:rsidP="00000000" w:rsidRDefault="00000000" w:rsidRPr="00000000" w14:paraId="000000B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9">
      <w:pPr>
        <w:numPr>
          <w:ilvl w:val="3"/>
          <w:numId w:val="7"/>
        </w:numPr>
        <w:pBdr>
          <w:top w:space="0" w:sz="0" w:val="nil"/>
          <w:left w:space="0" w:sz="0" w:val="nil"/>
          <w:bottom w:space="0" w:sz="0" w:val="nil"/>
          <w:right w:space="0" w:sz="0" w:val="nil"/>
          <w:between w:space="0" w:sz="0" w:val="nil"/>
        </w:pBdr>
        <w:spacing w:after="0" w:line="360" w:lineRule="auto"/>
        <w:ind w:left="567" w:right="5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000000" w:rsidDel="00000000" w:rsidP="00000000" w:rsidRDefault="00000000" w:rsidRPr="00000000" w14:paraId="000000BA">
      <w:pPr>
        <w:spacing w:after="0" w:line="360" w:lineRule="auto"/>
        <w:ind w:left="567" w:right="56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BB">
      <w:pPr>
        <w:numPr>
          <w:ilvl w:val="3"/>
          <w:numId w:val="7"/>
        </w:numPr>
        <w:pBdr>
          <w:top w:space="0" w:sz="0" w:val="nil"/>
          <w:left w:space="0" w:sz="0" w:val="nil"/>
          <w:bottom w:space="0" w:sz="0" w:val="nil"/>
          <w:right w:space="0" w:sz="0" w:val="nil"/>
          <w:between w:space="0" w:sz="0" w:val="nil"/>
        </w:pBdr>
        <w:spacing w:after="0" w:line="360" w:lineRule="auto"/>
        <w:ind w:left="567" w:right="5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Los sujetos obligados otorgaran acceso a los documentos que se encuentren en sus archivos o que estén obligados a documentar de acuerdo con sus facultades, competencias o funciones, en el formato en que la solicitante manifieste, de entre aquellos formatos existentes.</w:t>
      </w:r>
    </w:p>
    <w:p w:rsidR="00000000" w:rsidDel="00000000" w:rsidP="00000000" w:rsidRDefault="00000000" w:rsidRPr="00000000" w14:paraId="000000BC">
      <w:pP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BD">
      <w:pPr>
        <w:spacing w:after="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Así y conforme a lo establecido en párrafos anteriores, el Sujeto Obligado cumplió con el procedimiento de búsqueda establecido en el artículo 162 de la Ley de Transparencia y Acceso a la Información Pública del Estado de México y Municipios, al gestionar el requerimiento de información al área competente para conocer de lo peticionado. </w:t>
      </w:r>
    </w:p>
    <w:p w:rsidR="00000000" w:rsidDel="00000000" w:rsidP="00000000" w:rsidRDefault="00000000" w:rsidRPr="00000000" w14:paraId="000000BE">
      <w:pP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BF">
      <w:pPr>
        <w:spacing w:after="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Dicho lo anterior, se procede al análisis de los agravios de la parte Recurrente en cada uno de los Recursos de Revisión, al tenor de lo siguiente: </w:t>
      </w:r>
    </w:p>
    <w:p w:rsidR="00000000" w:rsidDel="00000000" w:rsidP="00000000" w:rsidRDefault="00000000" w:rsidRPr="00000000" w14:paraId="000000C0">
      <w:pP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C1">
      <w:pPr>
        <w:numPr>
          <w:ilvl w:val="0"/>
          <w:numId w:val="1"/>
        </w:numPr>
        <w:pBdr>
          <w:top w:space="0" w:sz="0" w:val="nil"/>
          <w:left w:space="0" w:sz="0" w:val="nil"/>
          <w:bottom w:space="0" w:sz="0" w:val="nil"/>
          <w:right w:space="0" w:sz="0" w:val="nil"/>
          <w:between w:space="0" w:sz="0" w:val="nil"/>
        </w:pBdr>
        <w:spacing w:after="0" w:line="360" w:lineRule="auto"/>
        <w:ind w:left="720" w:hanging="360"/>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 01839/INFOEM/IP/RR/2025. </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360" w:lineRule="auto"/>
        <w:ind w:left="720" w:hanging="360"/>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lo que respecta a este Recurso de Revisión, la parte Recurrente solicitó las listas de beneficiarios de las pláticas en la Dirección de Juventud sobre sexualidad, autoestima, genero, bullying, redes sociales y adicciones que se han realizado en escuelas en el 2024 y fotografía de cada evento. </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respuesta, la Dirección General de Bienestar proporcionó las fotografías de las pláticas y el registro de beneficiarios en versión pública. </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La parte Recurrente se inconformó arguyendo que los anexos no abren. </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atención a ello, mediante informe justificado, el Sujeto Obligado ratificó su respuesta inicial. </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Dicho esto, en cuanto hace a los agravios hechos valer por la parte Recurrente, se procedió a acceder a los documentos que obran en el expediente electrónico, con la finalidad de verificar si era posible acceder a los archivos adjuntos y se obtuvo lo siguiente: </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CC">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Se advierte que se adjuntaron tres documentos en el apartado de respuesta:</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0" w:line="240" w:lineRule="auto"/>
        <w:ind w:left="720" w:hanging="360"/>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240" w:lineRule="auto"/>
        <w:ind w:left="720" w:hanging="360"/>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Pr>
        <w:drawing>
          <wp:inline distB="0" distT="0" distL="0" distR="0">
            <wp:extent cx="2870998" cy="1618184"/>
            <wp:effectExtent b="0" l="0" r="0" t="0"/>
            <wp:docPr id="2143108188"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870998" cy="1618184"/>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numPr>
          <w:ilvl w:val="0"/>
          <w:numId w:val="1"/>
        </w:numPr>
        <w:pBdr>
          <w:top w:space="0" w:sz="0" w:val="nil"/>
          <w:left w:space="0" w:sz="0" w:val="nil"/>
          <w:bottom w:space="0" w:sz="0" w:val="nil"/>
          <w:right w:space="0" w:sz="0" w:val="nil"/>
          <w:between w:space="0" w:sz="0" w:val="nil"/>
        </w:pBdr>
        <w:spacing w:after="0" w:line="360" w:lineRule="auto"/>
        <w:ind w:left="72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 posible acceder al anexo denominado “Platicas-evidencia fotográfica 2024.pdf” el cual contiene las fotografías de las pláticas. </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360" w:lineRule="auto"/>
        <w:ind w:left="720" w:hanging="360"/>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0" w:line="240" w:lineRule="auto"/>
        <w:ind w:left="72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Pr>
        <w:drawing>
          <wp:inline distB="0" distT="0" distL="0" distR="0">
            <wp:extent cx="5756275" cy="2518410"/>
            <wp:effectExtent b="0" l="0" r="0" t="0"/>
            <wp:docPr id="2143108190"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756275" cy="251841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D3">
      <w:pPr>
        <w:numPr>
          <w:ilvl w:val="0"/>
          <w:numId w:val="1"/>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color w:val="000000"/>
          <w:sz w:val="24"/>
          <w:szCs w:val="24"/>
        </w:rPr>
      </w:pPr>
      <w:r w:rsidDel="00000000" w:rsidR="00000000" w:rsidRPr="00000000">
        <w:rPr>
          <w:rFonts w:ascii="Palatino Linotype" w:cs="Palatino Linotype" w:eastAsia="Palatino Linotype" w:hAnsi="Palatino Linotype"/>
          <w:color w:val="000000"/>
          <w:rtl w:val="0"/>
        </w:rPr>
        <w:t xml:space="preserve">Es posible acceder al anexo denominado “LISTADOS 2024_reacted Juventud.pdf” el cual contiene 372 página relativas a los listados de beneficiarios de las pláticas:</w:t>
      </w: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0" w:line="360" w:lineRule="auto"/>
        <w:ind w:left="720" w:hanging="36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4469423" cy="1759665"/>
            <wp:effectExtent b="0" l="0" r="0" t="0"/>
            <wp:docPr id="2143108189"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469423" cy="1759665"/>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360" w:lineRule="auto"/>
        <w:ind w:left="720" w:hanging="360"/>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6">
      <w:pPr>
        <w:numPr>
          <w:ilvl w:val="0"/>
          <w:numId w:val="1"/>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color w:val="000000"/>
          <w:sz w:val="24"/>
          <w:szCs w:val="24"/>
        </w:rPr>
      </w:pPr>
      <w:r w:rsidDel="00000000" w:rsidR="00000000" w:rsidRPr="00000000">
        <w:rPr>
          <w:rFonts w:ascii="Palatino Linotype" w:cs="Palatino Linotype" w:eastAsia="Palatino Linotype" w:hAnsi="Palatino Linotype"/>
          <w:color w:val="000000"/>
          <w:rtl w:val="0"/>
        </w:rPr>
        <w:t xml:space="preserve">Es posible acceder al anexo denominado RESPUESTA 485.2025.pdf que contiene la respuesta otorgada por los servidores públicos. </w:t>
      </w: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5756275" cy="1963420"/>
            <wp:effectExtent b="0" l="0" r="0" t="0"/>
            <wp:docPr id="214310819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56275" cy="196342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240" w:lineRule="auto"/>
        <w:ind w:left="720" w:hanging="360"/>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0" w:line="240" w:lineRule="auto"/>
        <w:ind w:left="720" w:hanging="360"/>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 lo anterior, se advierte que es posible acceder a los archivos que el Sujeto Obligado anexó a su respuesta, no obstante, debido a que, la parte Recurrente no logró acceder a los documentos, se procede al análisis de los mismos.</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 tal forma que, en lo que corresponde a la </w:t>
      </w:r>
      <w:r w:rsidDel="00000000" w:rsidR="00000000" w:rsidRPr="00000000">
        <w:rPr>
          <w:rFonts w:ascii="Palatino Linotype" w:cs="Palatino Linotype" w:eastAsia="Palatino Linotype" w:hAnsi="Palatino Linotype"/>
          <w:b w:val="1"/>
          <w:color w:val="000000"/>
          <w:rtl w:val="0"/>
        </w:rPr>
        <w:t xml:space="preserve">lista de beneficiarios de las pláticas</w:t>
      </w:r>
      <w:r w:rsidDel="00000000" w:rsidR="00000000" w:rsidRPr="00000000">
        <w:rPr>
          <w:rFonts w:ascii="Palatino Linotype" w:cs="Palatino Linotype" w:eastAsia="Palatino Linotype" w:hAnsi="Palatino Linotype"/>
          <w:color w:val="000000"/>
          <w:rtl w:val="0"/>
        </w:rPr>
        <w:t xml:space="preserve">, se advierte que el Sujeto Obligado adjuntó diversas listas en versión pública, dentro de las que se advierte que testó información relativa a nombres de particulares, edad, sexo/género, número estadístico, correo particular, firma de servidores públicos, por lo que, se procede al estudio de dichos datos: </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DF">
      <w:pPr>
        <w:numPr>
          <w:ilvl w:val="0"/>
          <w:numId w:val="2"/>
        </w:numPr>
        <w:pBdr>
          <w:top w:space="0" w:sz="0" w:val="nil"/>
          <w:left w:space="0" w:sz="0" w:val="nil"/>
          <w:bottom w:space="0" w:sz="0" w:val="nil"/>
          <w:right w:space="0" w:sz="0" w:val="nil"/>
          <w:between w:space="0" w:sz="0" w:val="nil"/>
        </w:pBdr>
        <w:tabs>
          <w:tab w:val="left" w:leader="none" w:pos="567"/>
        </w:tabs>
        <w:spacing w:after="0" w:line="360" w:lineRule="auto"/>
        <w:ind w:left="567"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Correo electrónico particular. </w:t>
      </w:r>
      <w:r w:rsidDel="00000000" w:rsidR="00000000" w:rsidRPr="00000000">
        <w:rPr>
          <w:rFonts w:ascii="Palatino Linotype" w:cs="Palatino Linotype" w:eastAsia="Palatino Linotype" w:hAnsi="Palatino Linotype"/>
          <w:color w:val="000000"/>
          <w:rtl w:val="0"/>
        </w:rPr>
        <w:t xml:space="preserve">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left" w:leader="none" w:pos="567"/>
        </w:tabs>
        <w:spacing w:after="0" w:line="360" w:lineRule="auto"/>
        <w:ind w:left="567"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0" w:line="360" w:lineRule="auto"/>
        <w:ind w:left="567"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ese sentido,  cabe señalar que el correo electrónico en estudio fue proporcionado por una servidora pública en su carácter de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rsidR="00000000" w:rsidDel="00000000" w:rsidP="00000000" w:rsidRDefault="00000000" w:rsidRPr="00000000" w14:paraId="000000E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3">
      <w:pPr>
        <w:numPr>
          <w:ilvl w:val="0"/>
          <w:numId w:val="2"/>
        </w:numPr>
        <w:pBdr>
          <w:top w:space="0" w:sz="0" w:val="nil"/>
          <w:left w:space="0" w:sz="0" w:val="nil"/>
          <w:bottom w:space="0" w:sz="0" w:val="nil"/>
          <w:right w:space="0" w:sz="0" w:val="nil"/>
          <w:between w:space="0" w:sz="0" w:val="nil"/>
        </w:pBdr>
        <w:spacing w:after="0" w:line="360" w:lineRule="auto"/>
        <w:ind w:left="567"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Género o sexo. </w:t>
      </w:r>
      <w:r w:rsidDel="00000000" w:rsidR="00000000" w:rsidRPr="00000000">
        <w:rPr>
          <w:rFonts w:ascii="Palatino Linotype" w:cs="Palatino Linotype" w:eastAsia="Palatino Linotype" w:hAnsi="Palatino Linotype"/>
          <w:color w:val="000000"/>
          <w:rtl w:val="0"/>
        </w:rPr>
        <w:t xml:space="preserve">El género o sexo de los individuos, constituye un dato personal sensible al relacionarse con información genética y por tal motivo, debe ser considerado como confidencial, en términos del el artículo 143, fracción I de la Ley de Transparencia y Acceso a la Información Pública del Estado de México y Municipios.</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0" w:line="360" w:lineRule="auto"/>
        <w:ind w:left="426"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E5">
      <w:pPr>
        <w:numPr>
          <w:ilvl w:val="0"/>
          <w:numId w:val="2"/>
        </w:numPr>
        <w:pBdr>
          <w:top w:space="0" w:sz="0" w:val="nil"/>
          <w:left w:space="0" w:sz="0" w:val="nil"/>
          <w:bottom w:space="0" w:sz="0" w:val="nil"/>
          <w:right w:space="0" w:sz="0" w:val="nil"/>
          <w:between w:space="0" w:sz="0" w:val="nil"/>
        </w:pBdr>
        <w:spacing w:after="0" w:line="360" w:lineRule="auto"/>
        <w:ind w:left="567"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Edad y/o fecha de nacimiento. </w:t>
      </w:r>
      <w:r w:rsidDel="00000000" w:rsidR="00000000" w:rsidRPr="00000000">
        <w:rPr>
          <w:rFonts w:ascii="Palatino Linotype" w:cs="Palatino Linotype" w:eastAsia="Palatino Linotype" w:hAnsi="Palatino Linotype"/>
          <w:color w:val="000000"/>
          <w:rtl w:val="0"/>
        </w:rPr>
        <w:t xml:space="preserve">La fecha de nacimiento y/o edad son datos personales confidenciales en términos del artículo 143, fracción I de la Ley de Transparencia y Acceso a la Información Pública del Estado de México y Municipios, no obstante,  los mismos son susceptibles de transparentarse cuando ésta última constituya un requisito para ocupar un cargo público, debido a que su difusión contribuye a dar cuenta que la persona cubre dicho requerimiento.</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0" w:lineRule="auto"/>
        <w:ind w:left="720" w:firstLine="0"/>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E7">
      <w:pPr>
        <w:numPr>
          <w:ilvl w:val="0"/>
          <w:numId w:val="2"/>
        </w:numPr>
        <w:pBdr>
          <w:top w:space="0" w:sz="0" w:val="nil"/>
          <w:left w:space="0" w:sz="0" w:val="nil"/>
          <w:bottom w:space="0" w:sz="0" w:val="nil"/>
          <w:right w:space="0" w:sz="0" w:val="nil"/>
          <w:between w:space="0" w:sz="0" w:val="nil"/>
        </w:pBdr>
        <w:spacing w:after="0" w:line="360" w:lineRule="auto"/>
        <w:ind w:left="567" w:hanging="36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Información estadística. </w:t>
      </w:r>
      <w:r w:rsidDel="00000000" w:rsidR="00000000" w:rsidRPr="00000000">
        <w:rPr>
          <w:rFonts w:ascii="Palatino Linotype" w:cs="Palatino Linotype" w:eastAsia="Palatino Linotype" w:hAnsi="Palatino Linotype"/>
          <w:color w:val="000000"/>
          <w:rtl w:val="0"/>
        </w:rPr>
        <w:t xml:space="preserve">La información estadística es de naturaleza pública, al ser el producto de un conjunto de resultados cuantitativos obtenidos de un proceso sistemático de captación de datos primarios obtenidos sobre hechos que constan en la documentación que los sujetos obligados poseen, por lo que, dichos datos no se encuentran individualizados o personalizados y, por ende, </w:t>
      </w:r>
      <w:r w:rsidDel="00000000" w:rsidR="00000000" w:rsidRPr="00000000">
        <w:rPr>
          <w:rFonts w:ascii="Palatino Linotype" w:cs="Palatino Linotype" w:eastAsia="Palatino Linotype" w:hAnsi="Palatino Linotype"/>
          <w:b w:val="1"/>
          <w:color w:val="000000"/>
          <w:rtl w:val="0"/>
        </w:rPr>
        <w:t xml:space="preserve">no actualizan el artículo 143, fracción I de la Ley de Transparencia y Acceso a la Información Pública del Estado de México y Municipios.</w:t>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0" w:line="360" w:lineRule="auto"/>
        <w:ind w:left="426"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E9">
      <w:pPr>
        <w:numPr>
          <w:ilvl w:val="0"/>
          <w:numId w:val="2"/>
        </w:numPr>
        <w:pBdr>
          <w:top w:space="0" w:sz="0" w:val="nil"/>
          <w:left w:space="0" w:sz="0" w:val="nil"/>
          <w:bottom w:space="0" w:sz="0" w:val="nil"/>
          <w:right w:space="0" w:sz="0" w:val="nil"/>
          <w:between w:space="0" w:sz="0" w:val="nil"/>
        </w:pBdr>
        <w:spacing w:after="0" w:line="360" w:lineRule="auto"/>
        <w:ind w:left="567"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Nombres de personas que no son servidores públicos. </w:t>
      </w:r>
      <w:r w:rsidDel="00000000" w:rsidR="00000000" w:rsidRPr="00000000">
        <w:rPr>
          <w:rFonts w:ascii="Palatino Linotype" w:cs="Palatino Linotype" w:eastAsia="Palatino Linotype" w:hAnsi="Palatino Linotype"/>
          <w:color w:val="000000"/>
          <w:rtl w:val="0"/>
        </w:rPr>
        <w:t xml:space="preserve">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Del="00000000" w:rsidR="00000000" w:rsidRPr="00000000">
        <w:rPr>
          <w:rFonts w:ascii="Palatino Linotype" w:cs="Palatino Linotype" w:eastAsia="Palatino Linotype" w:hAnsi="Palatino Linotype"/>
          <w:i w:val="1"/>
          <w:color w:val="000000"/>
          <w:rtl w:val="0"/>
        </w:rPr>
        <w:t xml:space="preserve">per se</w:t>
      </w:r>
      <w:r w:rsidDel="00000000" w:rsidR="00000000" w:rsidRPr="00000000">
        <w:rPr>
          <w:rFonts w:ascii="Palatino Linotype" w:cs="Palatino Linotype" w:eastAsia="Palatino Linotype" w:hAnsi="Palatino Linotype"/>
          <w:color w:val="000000"/>
          <w:rtl w:val="0"/>
        </w:rPr>
        <w:t xml:space="preserve"> es un elemento que hace a una persona física identificada o identificable, por lo que, </w:t>
      </w:r>
      <w:r w:rsidDel="00000000" w:rsidR="00000000" w:rsidRPr="00000000">
        <w:rPr>
          <w:rFonts w:ascii="Palatino Linotype" w:cs="Palatino Linotype" w:eastAsia="Palatino Linotype" w:hAnsi="Palatino Linotype"/>
          <w:b w:val="1"/>
          <w:color w:val="000000"/>
          <w:rtl w:val="0"/>
        </w:rPr>
        <w:t xml:space="preserve">se considera un dato personal.</w:t>
      </w: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0" w:lineRule="auto"/>
        <w:ind w:left="720" w:firstLine="0"/>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0" w:line="360" w:lineRule="auto"/>
        <w:ind w:left="567"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Sobre el tema, se tiene presente que este Instituto emitió el Criterio Relevante 01/18, de la Segunda Época de este Instituto, que establece que el nombre del titular de una licencia, es información confidencial, cuando no involucra aprovechamiento de recursos públicos.</w:t>
      </w:r>
    </w:p>
    <w:p w:rsidR="00000000" w:rsidDel="00000000" w:rsidP="00000000" w:rsidRDefault="00000000" w:rsidRPr="00000000" w14:paraId="000000E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D">
      <w:pPr>
        <w:spacing w:after="0" w:line="276" w:lineRule="auto"/>
        <w:ind w:left="567" w:right="53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Nombre del titular de una licencia que no involucre el aprovechamiento de bienes, servicios y/o recursos públicos, constituye un dato personal susceptible de clasificar como confidencial.</w:t>
      </w:r>
      <w:r w:rsidDel="00000000" w:rsidR="00000000" w:rsidRPr="00000000">
        <w:rPr>
          <w:rFonts w:ascii="Palatino Linotype" w:cs="Palatino Linotype" w:eastAsia="Palatino Linotype" w:hAnsi="Palatino Linotype"/>
          <w:i w:val="1"/>
          <w:rtl w:val="0"/>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rsidR="00000000" w:rsidDel="00000000" w:rsidP="00000000" w:rsidRDefault="00000000" w:rsidRPr="00000000" w14:paraId="000000E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F">
      <w:pPr>
        <w:spacing w:after="0" w:line="360" w:lineRule="auto"/>
        <w:ind w:right="5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anterior, procede su eliminación de las versiones públicas, pues se considera un dato personal en términos del artículo 143, fracción I de la Ley de Transparencia y Acceso a la Información Pública del Estado de México y Municipios.</w:t>
      </w:r>
    </w:p>
    <w:p w:rsidR="00000000" w:rsidDel="00000000" w:rsidP="00000000" w:rsidRDefault="00000000" w:rsidRPr="00000000" w14:paraId="000000F0">
      <w:pPr>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1">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Referido lo anterior, se tiene que, si bien, el Sujeto Obligado clasificó información de naturaleza confidencial, también lo es que clasificó información de naturaleza pública, como, información estadística, por lo que, resulta dable ordenar nuevamente la entrega de las listas de los beneficiarios de las pláticas enviadas en respuesta, </w:t>
      </w:r>
      <w:r w:rsidDel="00000000" w:rsidR="00000000" w:rsidRPr="00000000">
        <w:rPr>
          <w:rFonts w:ascii="Palatino Linotype" w:cs="Palatino Linotype" w:eastAsia="Palatino Linotype" w:hAnsi="Palatino Linotype"/>
          <w:b w:val="1"/>
          <w:rtl w:val="0"/>
        </w:rPr>
        <w:t xml:space="preserve">en donde se haya clasificado información de naturaleza pública. </w:t>
      </w:r>
    </w:p>
    <w:p w:rsidR="00000000" w:rsidDel="00000000" w:rsidP="00000000" w:rsidRDefault="00000000" w:rsidRPr="00000000" w14:paraId="000000F2">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F3">
      <w:pPr>
        <w:spacing w:after="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Por otro lado, se advierte que el Sujeto Obligado no proporcionó el Acuerdo de Clasificación emitido por su Comité de Transparencia, situación por la que</w:t>
      </w:r>
      <w:r w:rsidDel="00000000" w:rsidR="00000000" w:rsidRPr="00000000">
        <w:rPr>
          <w:rFonts w:ascii="Palatino Linotype" w:cs="Palatino Linotype" w:eastAsia="Palatino Linotype" w:hAnsi="Palatino Linotype"/>
          <w:color w:val="000000"/>
          <w:rtl w:val="0"/>
        </w:rPr>
        <w:t xml:space="preserve">, debe decirse que la entrega de documentos en su versión pública debe acompañarse necesariamente del Acuerdo del Comité de Transparencia que la sustente, el cual debe estar debidamente fundado y motivado, </w:t>
      </w:r>
      <w:r w:rsidDel="00000000" w:rsidR="00000000" w:rsidRPr="00000000">
        <w:rPr>
          <w:rFonts w:ascii="Palatino Linotype" w:cs="Palatino Linotype" w:eastAsia="Palatino Linotype" w:hAnsi="Palatino Linotype"/>
          <w:rtl w:val="0"/>
        </w:rPr>
        <w:t xml:space="preserve">esto es, debe exponer </w:t>
      </w:r>
      <w:r w:rsidDel="00000000" w:rsidR="00000000" w:rsidRPr="00000000">
        <w:rPr>
          <w:rFonts w:ascii="Palatino Linotype" w:cs="Palatino Linotype" w:eastAsia="Palatino Linotype" w:hAnsi="Palatino Linotype"/>
          <w:color w:val="000000"/>
          <w:rtl w:val="0"/>
        </w:rPr>
        <w:t xml:space="preserve">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w:t>
      </w:r>
      <w:r w:rsidDel="00000000" w:rsidR="00000000" w:rsidRPr="00000000">
        <w:rPr>
          <w:rFonts w:ascii="Palatino Linotype" w:cs="Palatino Linotype" w:eastAsia="Palatino Linotype" w:hAnsi="Palatino Linotype"/>
          <w:rtl w:val="0"/>
        </w:rPr>
        <w:t xml:space="preserve">tal como lo hace valer el particular</w:t>
      </w:r>
      <w:r w:rsidDel="00000000" w:rsidR="00000000" w:rsidRPr="00000000">
        <w:rPr>
          <w:rFonts w:ascii="Palatino Linotype" w:cs="Palatino Linotype" w:eastAsia="Palatino Linotype" w:hAnsi="Palatino Linotype"/>
          <w:color w:val="000000"/>
          <w:rtl w:val="0"/>
        </w:rPr>
        <w:t xml:space="preserve">; pues, el no justificar las causas o motivos por las que no se aprecian determinados datos -ya sea porque se testan o suprimen- deja al solicitante en estado de incertidumbre, al no conocer o comprender porque no aparecen en la documentación respectiva, como ocurrió en el caso concreto.</w:t>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color w:val="000000"/>
          <w:rtl w:val="0"/>
        </w:rPr>
        <w:t xml:space="preserve">Por lo que, el Sujeto Obligado deberá hacer entrega del Acuerdo de Clasificación emitido por su Comité de Transparencia mediante el cual se apruebe la clasificación de los datos en los documentos remitidos en respuesta, en </w:t>
      </w:r>
      <w:r w:rsidDel="00000000" w:rsidR="00000000" w:rsidRPr="00000000">
        <w:rPr>
          <w:rFonts w:ascii="Palatino Linotype" w:cs="Palatino Linotype" w:eastAsia="Palatino Linotype" w:hAnsi="Palatino Linotype"/>
          <w:b w:val="1"/>
          <w:color w:val="000000"/>
          <w:rtl w:val="0"/>
        </w:rPr>
        <w:t xml:space="preserve">los que no se haya clasificado información de naturaleza pública. </w: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Ahora bien, en lo que respecta a las </w:t>
      </w:r>
      <w:r w:rsidDel="00000000" w:rsidR="00000000" w:rsidRPr="00000000">
        <w:rPr>
          <w:rFonts w:ascii="Palatino Linotype" w:cs="Palatino Linotype" w:eastAsia="Palatino Linotype" w:hAnsi="Palatino Linotype"/>
          <w:b w:val="1"/>
          <w:color w:val="000000"/>
          <w:rtl w:val="0"/>
        </w:rPr>
        <w:t xml:space="preserve">fotografías de las pláticas</w:t>
      </w:r>
      <w:r w:rsidDel="00000000" w:rsidR="00000000" w:rsidRPr="00000000">
        <w:rPr>
          <w:rFonts w:ascii="Palatino Linotype" w:cs="Palatino Linotype" w:eastAsia="Palatino Linotype" w:hAnsi="Palatino Linotype"/>
          <w:color w:val="000000"/>
          <w:rtl w:val="0"/>
        </w:rPr>
        <w:t xml:space="preserve">, el Sujeto Obligado remitió un documento donde se advierten las fotografías, situación por la que esta pretensión resulta </w:t>
      </w:r>
      <w:r w:rsidDel="00000000" w:rsidR="00000000" w:rsidRPr="00000000">
        <w:rPr>
          <w:rFonts w:ascii="Palatino Linotype" w:cs="Palatino Linotype" w:eastAsia="Palatino Linotype" w:hAnsi="Palatino Linotype"/>
          <w:b w:val="1"/>
          <w:color w:val="000000"/>
          <w:rtl w:val="0"/>
        </w:rPr>
        <w:t xml:space="preserve">atendida y colmada </w:t>
      </w:r>
      <w:r w:rsidDel="00000000" w:rsidR="00000000" w:rsidRPr="00000000">
        <w:rPr>
          <w:rFonts w:ascii="Palatino Linotype" w:cs="Palatino Linotype" w:eastAsia="Palatino Linotype" w:hAnsi="Palatino Linotype"/>
          <w:color w:val="000000"/>
          <w:rtl w:val="0"/>
        </w:rPr>
        <w:t xml:space="preserve">por parte del Ayuntamiento de Toluca. </w:t>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FA">
      <w:pPr>
        <w:numPr>
          <w:ilvl w:val="0"/>
          <w:numId w:val="1"/>
        </w:numPr>
        <w:pBdr>
          <w:top w:space="0" w:sz="0" w:val="nil"/>
          <w:left w:space="0" w:sz="0" w:val="nil"/>
          <w:bottom w:space="0" w:sz="0" w:val="nil"/>
          <w:right w:space="0" w:sz="0" w:val="nil"/>
          <w:between w:space="0" w:sz="0" w:val="nil"/>
        </w:pBdr>
        <w:spacing w:after="0" w:line="360" w:lineRule="auto"/>
        <w:ind w:left="720" w:hanging="360"/>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 01840/INFOEM/IP/RR/2025. </w:t>
      </w:r>
    </w:p>
    <w:p w:rsidR="00000000" w:rsidDel="00000000" w:rsidP="00000000" w:rsidRDefault="00000000" w:rsidRPr="00000000" w14:paraId="000000FB">
      <w:pPr>
        <w:spacing w:after="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FC">
      <w:pPr>
        <w:spacing w:after="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lo que respecta a este Recurso de Revisión, la parte Recurrente </w:t>
      </w:r>
      <w:r w:rsidDel="00000000" w:rsidR="00000000" w:rsidRPr="00000000">
        <w:rPr>
          <w:rFonts w:ascii="Palatino Linotype" w:cs="Palatino Linotype" w:eastAsia="Palatino Linotype" w:hAnsi="Palatino Linotype"/>
          <w:rtl w:val="0"/>
        </w:rPr>
        <w:t xml:space="preserve">solicitó las listas de beneficiarios de las pláticas en la Dirección de Juventud sobre sexualidad, autoestima, genero, bullying, redes sociales y adicciones que se han realizado en escuelas en el 2023 y fotografía de cada evento. </w:t>
      </w: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respuesta, la Dirección General de Bienestar refirió que remitía las fotografías de las pláticas y el registro de beneficiarios en versión pública, no obstante, se advierte que únicamente remitió las fotografías de las pláticas. </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La parte Recurrente se inconformó arguyendo que no se habían entregado la lista de los beneficiarios. </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atención a ello, mediante informe justificado, el Sujeto Obligado remitió la lista de los beneficiarios en su versión pública. </w:t>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La parte Recurrente fue omisa en rendir manifestaciones. </w:t>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0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no pasa inadvertido para este Organismo Garante que, toda vez que los motivos de inconformidad aducidos en el recurso de revisión, no versan sobre la totalidad de la información proporcionada por el Sujeto Obligado, pues la parte Recurrente se inconformó de manera expresa </w:t>
      </w:r>
      <w:r w:rsidDel="00000000" w:rsidR="00000000" w:rsidRPr="00000000">
        <w:rPr>
          <w:rFonts w:ascii="Palatino Linotype" w:cs="Palatino Linotype" w:eastAsia="Palatino Linotype" w:hAnsi="Palatino Linotype"/>
          <w:b w:val="1"/>
          <w:rtl w:val="0"/>
        </w:rPr>
        <w:t xml:space="preserve">porque no se le proporcionó la lista de beneficiarios de las pláticas</w:t>
      </w:r>
      <w:r w:rsidDel="00000000" w:rsidR="00000000" w:rsidRPr="00000000">
        <w:rPr>
          <w:rFonts w:ascii="Palatino Linotype" w:cs="Palatino Linotype" w:eastAsia="Palatino Linotype" w:hAnsi="Palatino Linotype"/>
          <w:rtl w:val="0"/>
        </w:rPr>
        <w:t xml:space="preserve">, se colige que,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Sujeto Obligado, satisface la solicitud presentada.</w:t>
      </w:r>
    </w:p>
    <w:p w:rsidR="00000000" w:rsidDel="00000000" w:rsidP="00000000" w:rsidRDefault="00000000" w:rsidRPr="00000000" w14:paraId="0000010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Señalado lo anterior, en lo que respecta al agravio hecho valer por la parte Recurrente, relativa a la lista de beneficiarios, como se mencionó, mediante informe justificado, el Sujeto Obligado remitió la lista de beneficiarios respectiva, como se advierte a continuación, a modo de ejemplo: </w:t>
      </w:r>
    </w:p>
    <w:p w:rsidR="00000000" w:rsidDel="00000000" w:rsidP="00000000" w:rsidRDefault="00000000" w:rsidRPr="00000000" w14:paraId="0000010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A">
      <w:pPr>
        <w:spacing w:after="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085437" cy="1056598"/>
            <wp:effectExtent b="0" l="0" r="0" t="0"/>
            <wp:docPr id="214310819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085437" cy="1056598"/>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spacing w:after="0" w:line="360" w:lineRule="auto"/>
        <w:ind w:right="49"/>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C">
      <w:pP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No obstante, no se hizo del conocimiento de la parte Recurrente ya que se observa que se dejaron visibles </w:t>
      </w:r>
      <w:r w:rsidDel="00000000" w:rsidR="00000000" w:rsidRPr="00000000">
        <w:rPr>
          <w:rFonts w:ascii="Palatino Linotype" w:cs="Palatino Linotype" w:eastAsia="Palatino Linotype" w:hAnsi="Palatino Linotype"/>
          <w:b w:val="1"/>
          <w:rtl w:val="0"/>
        </w:rPr>
        <w:t xml:space="preserve">firmas </w:t>
      </w:r>
      <w:r w:rsidDel="00000000" w:rsidR="00000000" w:rsidRPr="00000000">
        <w:rPr>
          <w:rFonts w:ascii="Palatino Linotype" w:cs="Palatino Linotype" w:eastAsia="Palatino Linotype" w:hAnsi="Palatino Linotype"/>
          <w:rtl w:val="0"/>
        </w:rPr>
        <w:t xml:space="preserve">de quienes no se tiene certeza que sean servidores públicos, o bien, correspondan a particulares, aunado a que, el Sujeto Obligado </w:t>
      </w:r>
      <w:r w:rsidDel="00000000" w:rsidR="00000000" w:rsidRPr="00000000">
        <w:rPr>
          <w:rFonts w:ascii="Palatino Linotype" w:cs="Palatino Linotype" w:eastAsia="Palatino Linotype" w:hAnsi="Palatino Linotype"/>
          <w:b w:val="1"/>
          <w:rtl w:val="0"/>
        </w:rPr>
        <w:t xml:space="preserve">no proporcionó el Acuerdo de Clasificación emitido por el Comité de Transparencia respectivo. </w:t>
      </w:r>
    </w:p>
    <w:p w:rsidR="00000000" w:rsidDel="00000000" w:rsidP="00000000" w:rsidRDefault="00000000" w:rsidRPr="00000000" w14:paraId="0000010D">
      <w:pP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0E">
      <w:pP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Además de ello, también se observó que se clasificaron datos de naturaleza pública, como </w:t>
      </w:r>
      <w:r w:rsidDel="00000000" w:rsidR="00000000" w:rsidRPr="00000000">
        <w:rPr>
          <w:rFonts w:ascii="Palatino Linotype" w:cs="Palatino Linotype" w:eastAsia="Palatino Linotype" w:hAnsi="Palatino Linotype"/>
          <w:b w:val="1"/>
          <w:rtl w:val="0"/>
        </w:rPr>
        <w:t xml:space="preserve">datos estadísticos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rtl w:val="0"/>
        </w:rPr>
        <w:t xml:space="preserve">números consecutivos. </w:t>
      </w:r>
    </w:p>
    <w:p w:rsidR="00000000" w:rsidDel="00000000" w:rsidP="00000000" w:rsidRDefault="00000000" w:rsidRPr="00000000" w14:paraId="0000010F">
      <w:pP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1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tal circunstancia, resulta dable ordenar la entrega de las listas de beneficiarios de las pláticas en la Dirección de Juventud sobre sexualidad, autoestima, genero, bullying, redes sociales y adicciones que se realizaron en el año dos mil veintitrés, remitidas en informe justificado, en versión pública correcta, acompañado de su Acuerdo de Clasificación correspondiente. </w:t>
      </w:r>
    </w:p>
    <w:p w:rsidR="00000000" w:rsidDel="00000000" w:rsidP="00000000" w:rsidRDefault="00000000" w:rsidRPr="00000000" w14:paraId="00000111">
      <w:pP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consecuencia, se determina que los agravios hechos valer por el Solicitante en los Recursos de Revisión  </w:t>
      </w:r>
      <w:r w:rsidDel="00000000" w:rsidR="00000000" w:rsidRPr="00000000">
        <w:rPr>
          <w:rFonts w:ascii="Palatino Linotype" w:cs="Palatino Linotype" w:eastAsia="Palatino Linotype" w:hAnsi="Palatino Linotype"/>
          <w:b w:val="1"/>
          <w:rtl w:val="0"/>
        </w:rPr>
        <w:t xml:space="preserve">01839/INFOEM/IP/RR/2025 </w:t>
      </w:r>
      <w:r w:rsidDel="00000000" w:rsidR="00000000" w:rsidRPr="00000000">
        <w:rPr>
          <w:rFonts w:ascii="Palatino Linotype" w:cs="Palatino Linotype" w:eastAsia="Palatino Linotype" w:hAnsi="Palatino Linotype"/>
          <w:rtl w:val="0"/>
        </w:rPr>
        <w:t xml:space="preserve">y</w:t>
      </w:r>
      <w:r w:rsidDel="00000000" w:rsidR="00000000" w:rsidRPr="00000000">
        <w:rPr>
          <w:rFonts w:ascii="Palatino Linotype" w:cs="Palatino Linotype" w:eastAsia="Palatino Linotype" w:hAnsi="Palatino Linotype"/>
          <w:b w:val="1"/>
          <w:rtl w:val="0"/>
        </w:rPr>
        <w:t xml:space="preserve"> 01840/INFOEM/IP/RR/2025 </w:t>
      </w:r>
      <w:r w:rsidDel="00000000" w:rsidR="00000000" w:rsidRPr="00000000">
        <w:rPr>
          <w:rFonts w:ascii="Palatino Linotype" w:cs="Palatino Linotype" w:eastAsia="Palatino Linotype" w:hAnsi="Palatino Linotype"/>
          <w:rtl w:val="0"/>
        </w:rPr>
        <w:t xml:space="preserve">devienen </w:t>
      </w:r>
      <w:r w:rsidDel="00000000" w:rsidR="00000000" w:rsidRPr="00000000">
        <w:rPr>
          <w:rFonts w:ascii="Palatino Linotype" w:cs="Palatino Linotype" w:eastAsia="Palatino Linotype" w:hAnsi="Palatino Linotype"/>
          <w:b w:val="1"/>
          <w:rtl w:val="0"/>
        </w:rPr>
        <w:t xml:space="preserve">FUNDADOS</w:t>
      </w:r>
      <w:r w:rsidDel="00000000" w:rsidR="00000000" w:rsidRPr="00000000">
        <w:rPr>
          <w:rFonts w:ascii="Palatino Linotype" w:cs="Palatino Linotype" w:eastAsia="Palatino Linotype" w:hAnsi="Palatino Linotype"/>
          <w:rtl w:val="0"/>
        </w:rPr>
        <w:t xml:space="preserve">, en consecuencia, se </w:t>
      </w:r>
      <w:r w:rsidDel="00000000" w:rsidR="00000000" w:rsidRPr="00000000">
        <w:rPr>
          <w:rFonts w:ascii="Palatino Linotype" w:cs="Palatino Linotype" w:eastAsia="Palatino Linotype" w:hAnsi="Palatino Linotype"/>
          <w:b w:val="1"/>
          <w:rtl w:val="0"/>
        </w:rPr>
        <w:t xml:space="preserve">MODIFICAN </w:t>
      </w:r>
      <w:r w:rsidDel="00000000" w:rsidR="00000000" w:rsidRPr="00000000">
        <w:rPr>
          <w:rFonts w:ascii="Palatino Linotype" w:cs="Palatino Linotype" w:eastAsia="Palatino Linotype" w:hAnsi="Palatino Linotype"/>
          <w:rtl w:val="0"/>
        </w:rPr>
        <w:t xml:space="preserve">las respuestas otorgadas y se </w:t>
      </w:r>
      <w:r w:rsidDel="00000000" w:rsidR="00000000" w:rsidRPr="00000000">
        <w:rPr>
          <w:rFonts w:ascii="Palatino Linotype" w:cs="Palatino Linotype" w:eastAsia="Palatino Linotype" w:hAnsi="Palatino Linotype"/>
          <w:b w:val="1"/>
          <w:rtl w:val="0"/>
        </w:rPr>
        <w:t xml:space="preserve">ORDENA </w:t>
      </w:r>
      <w:r w:rsidDel="00000000" w:rsidR="00000000" w:rsidRPr="00000000">
        <w:rPr>
          <w:rFonts w:ascii="Palatino Linotype" w:cs="Palatino Linotype" w:eastAsia="Palatino Linotype" w:hAnsi="Palatino Linotype"/>
          <w:rtl w:val="0"/>
        </w:rPr>
        <w:t xml:space="preserve">haga entrega, vía Sistema de Acceso a la Información Mexiquense, en versión pública correcta de la siguiente información:</w:t>
      </w: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0" w:line="360" w:lineRule="auto"/>
        <w:ind w:left="567" w:right="56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 Listas de beneficiarios de las pláticas en la Dirección de Juventud sobre sexualidad, autoestima, genero, bullying, redes sociales y adicciones que se realizaron en el año 2023 y 2024, remitidas en respuesta como en informe justificado. </w:t>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0" w:line="360" w:lineRule="auto"/>
        <w:ind w:left="567" w:right="56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15">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así como respecto de los documentos entregados en respuesta y se pongan a disposición de la parte Recurrente, mismo que igualmente hará de su conocimiento. </w:t>
      </w:r>
    </w:p>
    <w:p w:rsidR="00000000" w:rsidDel="00000000" w:rsidP="00000000" w:rsidRDefault="00000000" w:rsidRPr="00000000" w14:paraId="00000116">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17">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18">
      <w:pPr>
        <w:numPr>
          <w:ilvl w:val="0"/>
          <w:numId w:val="4"/>
        </w:numPr>
        <w:pBdr>
          <w:top w:space="0" w:sz="0" w:val="nil"/>
          <w:left w:space="0" w:sz="0" w:val="nil"/>
          <w:bottom w:space="0" w:sz="0" w:val="nil"/>
          <w:right w:space="0" w:sz="0" w:val="nil"/>
          <w:between w:space="0" w:sz="0" w:val="nil"/>
        </w:pBdr>
        <w:spacing w:after="0" w:line="360" w:lineRule="auto"/>
        <w:ind w:left="426" w:hanging="36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De la  vista a la Dirección General de Protección de Datos Personales. </w:t>
      </w:r>
    </w:p>
    <w:p w:rsidR="00000000" w:rsidDel="00000000" w:rsidP="00000000" w:rsidRDefault="00000000" w:rsidRPr="00000000" w14:paraId="00000119">
      <w:pPr>
        <w:spacing w:after="0" w:line="360" w:lineRule="auto"/>
        <w:ind w:firstLine="72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1A">
      <w:pPr>
        <w:spacing w:after="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Ahora bien, de la información proporcionada en respuesta e informe justificado, se logra advertir que el Sujeto Obligado dejó visibles rostros de menores, circunstancia que vulnera lo previsto en el artículo 143, fracción I, de la Ley de Transparencia y Acceso a la Información Pública del Estado de México y Municipios, por los argumentos expuestos anteriormente.  </w:t>
      </w:r>
    </w:p>
    <w:p w:rsidR="00000000" w:rsidDel="00000000" w:rsidP="00000000" w:rsidRDefault="00000000" w:rsidRPr="00000000" w14:paraId="0000011B">
      <w:pPr>
        <w:spacing w:after="0" w:line="360" w:lineRule="auto"/>
        <w:jc w:val="both"/>
        <w:rPr>
          <w:rFonts w:ascii="Palatino Linotype" w:cs="Palatino Linotype" w:eastAsia="Palatino Linotype" w:hAnsi="Palatino Linotype"/>
          <w:strike w:val="1"/>
          <w:color w:val="ff0000"/>
        </w:rPr>
      </w:pPr>
      <w:r w:rsidDel="00000000" w:rsidR="00000000" w:rsidRPr="00000000">
        <w:rPr>
          <w:rtl w:val="0"/>
        </w:rPr>
      </w:r>
    </w:p>
    <w:p w:rsidR="00000000" w:rsidDel="00000000" w:rsidP="00000000" w:rsidRDefault="00000000" w:rsidRPr="00000000" w14:paraId="0000011C">
      <w:pPr>
        <w:spacing w:after="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lo que,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que determine lo correspondiente.</w:t>
      </w:r>
    </w:p>
    <w:p w:rsidR="00000000" w:rsidDel="00000000" w:rsidP="00000000" w:rsidRDefault="00000000" w:rsidRPr="00000000" w14:paraId="0000011D">
      <w:pPr>
        <w:spacing w:after="0" w:line="360" w:lineRule="auto"/>
        <w:jc w:val="both"/>
        <w:rPr>
          <w:rFonts w:ascii="Palatino Linotype" w:cs="Palatino Linotype" w:eastAsia="Palatino Linotype" w:hAnsi="Palatino Linotype"/>
          <w:color w:val="000000"/>
        </w:rPr>
      </w:pPr>
      <w:bookmarkStart w:colFirst="0" w:colLast="0" w:name="_heading=h.58ujdkkdkp5y" w:id="3"/>
      <w:bookmarkEnd w:id="3"/>
      <w:r w:rsidDel="00000000" w:rsidR="00000000" w:rsidRPr="00000000">
        <w:rPr>
          <w:rtl w:val="0"/>
        </w:rPr>
      </w:r>
    </w:p>
    <w:p w:rsidR="00000000" w:rsidDel="00000000" w:rsidP="00000000" w:rsidRDefault="00000000" w:rsidRPr="00000000" w14:paraId="0000011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rsidR="00000000" w:rsidDel="00000000" w:rsidP="00000000" w:rsidRDefault="00000000" w:rsidRPr="00000000" w14:paraId="0000011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0">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rsidR="00000000" w:rsidDel="00000000" w:rsidP="00000000" w:rsidRDefault="00000000" w:rsidRPr="00000000" w14:paraId="0000012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debido a la naturaleza de la información que se determina ordenar, es de señalar que existen ciertos datos que deben ser protegidos, tales como: </w:t>
      </w:r>
    </w:p>
    <w:p w:rsidR="00000000" w:rsidDel="00000000" w:rsidP="00000000" w:rsidRDefault="00000000" w:rsidRPr="00000000" w14:paraId="0000012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4">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tab/>
      </w:r>
      <w:r w:rsidDel="00000000" w:rsidR="00000000" w:rsidRPr="00000000">
        <w:rPr>
          <w:rFonts w:ascii="Palatino Linotype" w:cs="Palatino Linotype" w:eastAsia="Palatino Linotype" w:hAnsi="Palatino Linotype"/>
          <w:b w:val="1"/>
          <w:i w:val="1"/>
          <w:rtl w:val="0"/>
        </w:rPr>
        <w:t xml:space="preserve">Del nombre de menores de edad.</w:t>
      </w:r>
      <w:r w:rsidDel="00000000" w:rsidR="00000000" w:rsidRPr="00000000">
        <w:rPr>
          <w:rFonts w:ascii="Palatino Linotype" w:cs="Palatino Linotype" w:eastAsia="Palatino Linotype" w:hAnsi="Palatino Linotype"/>
          <w:i w:val="1"/>
          <w:rtl w:val="0"/>
        </w:rPr>
        <w:t xml:space="preserve">  De conformidad con el artículo 1 de la Ley General de Protección de Datos Personales en Posesión de Sujetos Obligados, se establece que las disposiciones de la Ley General, son de aplicación y observancia directa para los sujetos obligados pertenecientes al orden federal, y que tiene por objeto establecer las bases, principios y procedimientos para garantizar el derecho que tiene toda persona a la protección de sus datos personales, en posesión de sujetos obligados, de lo anterior resulta claro que todas las autoridades están obligadas a respetar los principios que rigen todo tratamiento de datos personales con estricto apego a lo que establezca la ley y que únicamente en las situaciones excepcionales que la misma fije podrán actuar en sentido diverso pero, en ambos casos, respetándola de manera irrestricta, motivo por el cual es importante incluir una referencia al principio del interés superior de la niñez, constituido como el eje rector que orienta las determinaciones de los sujetos obligados para cualquier tratamiento de datos que tenga que ver con menores de edad.</w:t>
      </w:r>
    </w:p>
    <w:p w:rsidR="00000000" w:rsidDel="00000000" w:rsidP="00000000" w:rsidRDefault="00000000" w:rsidRPr="00000000" w14:paraId="00000125">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26">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normativa internacional y nacional reconoce que los menores, por su falta de madurez física y mental, necesitan de protección y cuidados especiales, motivo por el cual en el tratamiento de datos personales de menores, el principio jurídico fundamental es el interés superior del niño, sobre el tema el Poder Judicial de la Federación se ha referido en diversas tesis al principio del “interés superior de la niñez”, el cual consiste en el conjunto de valores, interpretaciones y proceso destinados a garantizar el pleno desarrollo humano integral, así como el máximo bienestar personal, familiar y social de los niños, niñas y adolescentes. </w:t>
      </w:r>
    </w:p>
    <w:p w:rsidR="00000000" w:rsidDel="00000000" w:rsidP="00000000" w:rsidRDefault="00000000" w:rsidRPr="00000000" w14:paraId="00000127">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28">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mejor referencia se cita el artículo 3 de la Convención sobre los Derechos del Niño:</w:t>
      </w:r>
    </w:p>
    <w:p w:rsidR="00000000" w:rsidDel="00000000" w:rsidP="00000000" w:rsidRDefault="00000000" w:rsidRPr="00000000" w14:paraId="00000129">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2A">
      <w:pPr>
        <w:spacing w:after="0" w:line="276" w:lineRule="auto"/>
        <w:ind w:left="851"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3 </w:t>
      </w:r>
    </w:p>
    <w:p w:rsidR="00000000" w:rsidDel="00000000" w:rsidP="00000000" w:rsidRDefault="00000000" w:rsidRPr="00000000" w14:paraId="0000012B">
      <w:pPr>
        <w:spacing w:after="0" w:line="276" w:lineRule="auto"/>
        <w:ind w:left="851"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 En todas las medidas concernientes a los niños que tomen las instituciones públicas o privadas de bienestar social, los tribunales, las autoridades administrativas o los órganos legislativos, una consideración primordial a que se atenderá será el interés superior del niño. </w:t>
      </w:r>
    </w:p>
    <w:p w:rsidR="00000000" w:rsidDel="00000000" w:rsidP="00000000" w:rsidRDefault="00000000" w:rsidRPr="00000000" w14:paraId="0000012C">
      <w:pPr>
        <w:spacing w:after="0" w:line="276" w:lineRule="auto"/>
        <w:ind w:left="851"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w:t>
      </w:r>
    </w:p>
    <w:p w:rsidR="00000000" w:rsidDel="00000000" w:rsidP="00000000" w:rsidRDefault="00000000" w:rsidRPr="00000000" w14:paraId="0000012D">
      <w:pPr>
        <w:spacing w:after="0" w:line="276" w:lineRule="auto"/>
        <w:ind w:left="851"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2E">
      <w:pPr>
        <w:spacing w:after="0" w:line="276" w:lineRule="auto"/>
        <w:ind w:left="851"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Así las cosas, el “principio de interés superior de la niñez” constituye el eje cuya protección deben promover y garantizar los Estados en el ejercicio de sus funciones, por tratarse de un asunto de orden público e interés social.</w:t>
      </w:r>
    </w:p>
    <w:p w:rsidR="00000000" w:rsidDel="00000000" w:rsidP="00000000" w:rsidRDefault="00000000" w:rsidRPr="00000000" w14:paraId="0000012F">
      <w:pPr>
        <w:spacing w:after="0" w:line="276" w:lineRule="auto"/>
        <w:ind w:left="851"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30">
      <w:pPr>
        <w:spacing w:after="0" w:line="276" w:lineRule="auto"/>
        <w:ind w:left="851"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el ámbito nacional, la Ley General de los Derechos de Niñas, Niños y Adolescentes, que tiene su fundamento en el artículo 4º, párrafo sexto de la Constitución Política de los Estados Unidos Mexicanos, establece en relación con el interés superior de la niñez:</w:t>
      </w:r>
    </w:p>
    <w:p w:rsidR="00000000" w:rsidDel="00000000" w:rsidP="00000000" w:rsidRDefault="00000000" w:rsidRPr="00000000" w14:paraId="00000131">
      <w:pPr>
        <w:spacing w:after="0" w:line="276" w:lineRule="auto"/>
        <w:ind w:left="851"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32">
      <w:pPr>
        <w:spacing w:after="0" w:line="276" w:lineRule="auto"/>
        <w:ind w:left="851"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2</w:t>
      </w:r>
      <w:r w:rsidDel="00000000" w:rsidR="00000000" w:rsidRPr="00000000">
        <w:rPr>
          <w:rFonts w:ascii="Palatino Linotype" w:cs="Palatino Linotype" w:eastAsia="Palatino Linotype" w:hAnsi="Palatino Linotype"/>
          <w:i w:val="1"/>
          <w:rtl w:val="0"/>
        </w:rPr>
        <w:t xml:space="preserve">. Para garantizar la protección de los derechos de niñas, niños y adolescentes, las autoridades realizarán las acciones y tomarán medidas, de conformidad con los principios establecidos en la presente Ley…</w:t>
      </w:r>
    </w:p>
    <w:p w:rsidR="00000000" w:rsidDel="00000000" w:rsidP="00000000" w:rsidRDefault="00000000" w:rsidRPr="00000000" w14:paraId="00000133">
      <w:pPr>
        <w:spacing w:after="0" w:line="276" w:lineRule="auto"/>
        <w:ind w:left="851"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34">
      <w:pPr>
        <w:spacing w:after="0" w:line="276" w:lineRule="auto"/>
        <w:ind w:left="851"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35">
      <w:pPr>
        <w:spacing w:after="0" w:line="276" w:lineRule="auto"/>
        <w:ind w:left="851"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El interés superior de la niñez deberá ser considerado de manera primordial en la toma de decisiones sobre una cuestión debatida que involucre niñas, niños y adolescentes. Cuando se presenten diferentes interpretaciones, se atenderá a lo establecido en la Constitución y en los tratados internacionales de que México forma parte. (…)”</w:t>
      </w:r>
    </w:p>
    <w:p w:rsidR="00000000" w:rsidDel="00000000" w:rsidP="00000000" w:rsidRDefault="00000000" w:rsidRPr="00000000" w14:paraId="00000136">
      <w:pPr>
        <w:spacing w:after="0" w:line="276" w:lineRule="auto"/>
        <w:ind w:left="851"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37">
      <w:pPr>
        <w:spacing w:after="0" w:line="276" w:lineRule="auto"/>
        <w:ind w:left="851"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5.</w:t>
      </w:r>
      <w:r w:rsidDel="00000000" w:rsidR="00000000" w:rsidRPr="00000000">
        <w:rPr>
          <w:rFonts w:ascii="Palatino Linotype" w:cs="Palatino Linotype" w:eastAsia="Palatino Linotype" w:hAnsi="Palatino Linotype"/>
          <w:i w:val="1"/>
          <w:rtl w:val="0"/>
        </w:rPr>
        <w:t xml:space="preserve"> Son niñas y niños los menores de doce años, y adolescentes las personas de entre doce años cumplidos y menos de dieciocho años de edad. Para efectos de los tratados internacionales y la mayoría de edad, son niños los menores de dieciocho años de edad.</w:t>
      </w:r>
    </w:p>
    <w:p w:rsidR="00000000" w:rsidDel="00000000" w:rsidP="00000000" w:rsidRDefault="00000000" w:rsidRPr="00000000" w14:paraId="00000138">
      <w:pPr>
        <w:spacing w:after="0" w:line="276" w:lineRule="auto"/>
        <w:ind w:left="851"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39">
      <w:pPr>
        <w:spacing w:after="0" w:line="276" w:lineRule="auto"/>
        <w:ind w:left="851"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3A">
      <w:pPr>
        <w:spacing w:after="0" w:line="276" w:lineRule="auto"/>
        <w:ind w:left="851"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6.</w:t>
      </w:r>
      <w:r w:rsidDel="00000000" w:rsidR="00000000" w:rsidRPr="00000000">
        <w:rPr>
          <w:rFonts w:ascii="Palatino Linotype" w:cs="Palatino Linotype" w:eastAsia="Palatino Linotype" w:hAnsi="Palatino Linotype"/>
          <w:i w:val="1"/>
          <w:rtl w:val="0"/>
        </w:rPr>
        <w:t xml:space="preserve"> Para efectos del artículo 2 de esta Ley, son principios rectores, los siguientes: </w:t>
      </w:r>
    </w:p>
    <w:p w:rsidR="00000000" w:rsidDel="00000000" w:rsidP="00000000" w:rsidRDefault="00000000" w:rsidRPr="00000000" w14:paraId="0000013B">
      <w:pPr>
        <w:spacing w:after="0" w:line="276" w:lineRule="auto"/>
        <w:ind w:left="851"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El interés superior de la niñez;</w:t>
      </w:r>
    </w:p>
    <w:p w:rsidR="00000000" w:rsidDel="00000000" w:rsidP="00000000" w:rsidRDefault="00000000" w:rsidRPr="00000000" w14:paraId="0000013C">
      <w:pPr>
        <w:spacing w:after="0" w:line="276" w:lineRule="auto"/>
        <w:ind w:left="851"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3D">
      <w:pPr>
        <w:spacing w:after="0" w:line="276" w:lineRule="auto"/>
        <w:ind w:left="851"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3E">
      <w:pPr>
        <w:spacing w:after="0" w:line="276" w:lineRule="auto"/>
        <w:ind w:left="851"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Tratándose de menores de edad, el Estado debe ser particularmente sensible ante la injerencia en la vida privada de los menores, a fin de que éstos se desarrollen de forma plena, ya que, por tratarse de personas que todavía no han alcanzado la suficiente madurez física y psicológica, se encuentran en una situación de vulnerabilidad especial, motivo por el cual el principio del “interés superior de la niñez” debe constituir un eje rector en el diseño y aplicación de políticas públicas.</w:t>
      </w:r>
    </w:p>
    <w:p w:rsidR="00000000" w:rsidDel="00000000" w:rsidP="00000000" w:rsidRDefault="00000000" w:rsidRPr="00000000" w14:paraId="0000013F">
      <w:pPr>
        <w:spacing w:after="0" w:line="276" w:lineRule="auto"/>
        <w:ind w:left="851"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40">
      <w:pPr>
        <w:spacing w:after="0" w:line="276" w:lineRule="auto"/>
        <w:ind w:left="851"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ese sentido, el Sujeto Obligado deberá clasificar los nombres de los menores de edad en términos de la fracción I del artículo 143 de la Ley de Transparencia y Acceso a la Información Pública del Estado de México y Municipios y del artículo 4, fracción XII de la Ley de Protección de Datos Local.</w:t>
      </w:r>
    </w:p>
    <w:p w:rsidR="00000000" w:rsidDel="00000000" w:rsidP="00000000" w:rsidRDefault="00000000" w:rsidRPr="00000000" w14:paraId="00000141">
      <w:pPr>
        <w:spacing w:after="0" w:line="360" w:lineRule="auto"/>
        <w:ind w:left="851"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2">
      <w:pPr>
        <w:spacing w:after="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con lo que señalan los artículos 3 fracciones IX, XX, XXI y XLV, 91, 132 fracciones II y III, y 143 de la Ley de Transparencia y Acceso a la Información Pública del Estado de México y Municipios que establecen:</w:t>
      </w:r>
    </w:p>
    <w:p w:rsidR="00000000" w:rsidDel="00000000" w:rsidP="00000000" w:rsidRDefault="00000000" w:rsidRPr="00000000" w14:paraId="00000143">
      <w:pPr>
        <w:spacing w:after="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4">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145">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46">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147">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 Información clasificada: Aquella considerada por la presente Ley como reservada o confidencial;</w:t>
      </w:r>
    </w:p>
    <w:p w:rsidR="00000000" w:rsidDel="00000000" w:rsidP="00000000" w:rsidRDefault="00000000" w:rsidRPr="00000000" w14:paraId="00000148">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49">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14A">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4B">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91.</w:t>
      </w:r>
      <w:r w:rsidDel="00000000" w:rsidR="00000000" w:rsidRPr="00000000">
        <w:rPr>
          <w:rFonts w:ascii="Palatino Linotype" w:cs="Palatino Linotype" w:eastAsia="Palatino Linotype" w:hAnsi="Palatino Linotype"/>
          <w:i w:val="1"/>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4C">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132.</w:t>
      </w:r>
      <w:r w:rsidDel="00000000" w:rsidR="00000000" w:rsidRPr="00000000">
        <w:rPr>
          <w:rFonts w:ascii="Palatino Linotype" w:cs="Palatino Linotype" w:eastAsia="Palatino Linotype" w:hAnsi="Palatino Linotype"/>
          <w:i w:val="1"/>
          <w:rtl w:val="0"/>
        </w:rPr>
        <w:t xml:space="preserve"> La clasificación de la información se llevará a cabo en el momento en que:</w:t>
      </w:r>
    </w:p>
    <w:p w:rsidR="00000000" w:rsidDel="00000000" w:rsidP="00000000" w:rsidRDefault="00000000" w:rsidRPr="00000000" w14:paraId="0000014D">
      <w:pPr>
        <w:tabs>
          <w:tab w:val="left" w:leader="none" w:pos="1134"/>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reciba una solicitud de acceso a la información;</w:t>
      </w:r>
    </w:p>
    <w:p w:rsidR="00000000" w:rsidDel="00000000" w:rsidP="00000000" w:rsidRDefault="00000000" w:rsidRPr="00000000" w14:paraId="0000014E">
      <w:pPr>
        <w:tabs>
          <w:tab w:val="left" w:leader="none" w:pos="1134"/>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 determine mediante resolución de autoridad competente; o</w:t>
      </w:r>
    </w:p>
    <w:p w:rsidR="00000000" w:rsidDel="00000000" w:rsidP="00000000" w:rsidRDefault="00000000" w:rsidRPr="00000000" w14:paraId="0000014F">
      <w:pPr>
        <w:tabs>
          <w:tab w:val="left" w:leader="none" w:pos="1134"/>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 generen versiones públicas para dar cumplimiento a las obligaciones de transparencia previstas en esta Ley.</w:t>
      </w:r>
    </w:p>
    <w:p w:rsidR="00000000" w:rsidDel="00000000" w:rsidP="00000000" w:rsidRDefault="00000000" w:rsidRPr="00000000" w14:paraId="00000150">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51">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143</w:t>
      </w:r>
      <w:r w:rsidDel="00000000" w:rsidR="00000000" w:rsidRPr="00000000">
        <w:rPr>
          <w:rFonts w:ascii="Palatino Linotype" w:cs="Palatino Linotype" w:eastAsia="Palatino Linotype" w:hAnsi="Palatino Linotype"/>
          <w:i w:val="1"/>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52">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153">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54">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155">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56">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57">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5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5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vigentes a la solicitud de información señalan las formalidades que deberá llevar el acuerdo de clasificación que deberá emitir el Sujeto Obligado, siendo estas las siguientes:</w:t>
      </w:r>
    </w:p>
    <w:p w:rsidR="00000000" w:rsidDel="00000000" w:rsidP="00000000" w:rsidRDefault="00000000" w:rsidRPr="00000000" w14:paraId="0000015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C">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Quincuagésimo</w:t>
      </w:r>
      <w:r w:rsidDel="00000000" w:rsidR="00000000" w:rsidRPr="00000000">
        <w:rPr>
          <w:rFonts w:ascii="Palatino Linotype" w:cs="Palatino Linotype" w:eastAsia="Palatino Linotype" w:hAnsi="Palatino Linotype"/>
          <w:i w:val="1"/>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primero.</w:t>
      </w:r>
      <w:r w:rsidDel="00000000" w:rsidR="00000000" w:rsidRPr="00000000">
        <w:rPr>
          <w:rFonts w:ascii="Palatino Linotype" w:cs="Palatino Linotype" w:eastAsia="Palatino Linotype" w:hAnsi="Palatino Linotype"/>
          <w:i w:val="1"/>
          <w:rtl w:val="0"/>
        </w:rPr>
        <w:t xml:space="preserve"> Toda acta del Comité de Transparencia deberá contener: </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El número de sesión y fecha; </w:t>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del área que solicitó la clasificación de información; </w:t>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fundamentación legal y motivación correspondiente; </w:t>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La resolución o resoluciones aprobadas; y </w:t>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rúbrica o firma digital de cada integrante del Comité de Transparencia. </w:t>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Los motivos y razonamientos que sustenten la confirmación o modificación de la prueba de daño;</w:t>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Descripción de las partes o secciones reservadas, en caso de clasificación parcial; </w:t>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El periodo por el que mantendrá su clasificación y fecha de expiración; y </w:t>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El nombre del titular y área encargada de realizar la versión pública del documento, en su caso. </w:t>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6A">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segundo.</w:t>
      </w:r>
      <w:r w:rsidDel="00000000" w:rsidR="00000000" w:rsidRPr="00000000">
        <w:rPr>
          <w:rFonts w:ascii="Palatino Linotype" w:cs="Palatino Linotype" w:eastAsia="Palatino Linotype" w:hAnsi="Palatino Linotype"/>
          <w:i w:val="1"/>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6B">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16C">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6D">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6E">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Señalar las personas o instancias autorizadas a acceder a la información clasificada.</w:t>
      </w:r>
    </w:p>
    <w:p w:rsidR="00000000" w:rsidDel="00000000" w:rsidP="00000000" w:rsidRDefault="00000000" w:rsidRPr="00000000" w14:paraId="0000016F">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7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deberá observar los Lineamientos Quincuagésimo cuarto, Quincuagésimo quinto, Quincuagésimo séptimo y Quincuagésimo octavo, vigentes a la solicitud de información establecen lo siguiente:</w:t>
      </w:r>
    </w:p>
    <w:p w:rsidR="00000000" w:rsidDel="00000000" w:rsidP="00000000" w:rsidRDefault="00000000" w:rsidRPr="00000000" w14:paraId="0000017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Quincuagésimo cuarto.</w:t>
      </w:r>
      <w:r w:rsidDel="00000000" w:rsidR="00000000" w:rsidRPr="00000000">
        <w:rPr>
          <w:rFonts w:ascii="Palatino Linotype" w:cs="Palatino Linotype" w:eastAsia="Palatino Linotype" w:hAnsi="Palatino Linotype"/>
          <w:i w:val="1"/>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174">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quinto.</w:t>
      </w:r>
      <w:r w:rsidDel="00000000" w:rsidR="00000000" w:rsidRPr="00000000">
        <w:rPr>
          <w:rFonts w:ascii="Palatino Linotype" w:cs="Palatino Linotype" w:eastAsia="Palatino Linotype" w:hAnsi="Palatino Linotype"/>
          <w:i w:val="1"/>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75">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76">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séptimo.</w:t>
      </w:r>
      <w:r w:rsidDel="00000000" w:rsidR="00000000" w:rsidRPr="00000000">
        <w:rPr>
          <w:rFonts w:ascii="Palatino Linotype" w:cs="Palatino Linotype" w:eastAsia="Palatino Linotype" w:hAnsi="Palatino Linotype"/>
          <w:i w:val="1"/>
          <w:rtl w:val="0"/>
        </w:rPr>
        <w:t xml:space="preserve"> Se considera, en principio, como información pública y no podrá omitirse de las versiones públicas la siguiente: </w:t>
      </w:r>
    </w:p>
    <w:p w:rsidR="00000000" w:rsidDel="00000000" w:rsidP="00000000" w:rsidRDefault="00000000" w:rsidRPr="00000000" w14:paraId="00000177">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178">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79">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7A">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7B">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7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00000" w:rsidDel="00000000" w:rsidP="00000000" w:rsidRDefault="00000000" w:rsidRPr="00000000" w14:paraId="0000017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F">
      <w:pP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Es así como, en mérito de lo expuesto en líneas anteriores, resultan fundadas las razones o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dentro de los recursos de revisión </w:t>
      </w:r>
      <w:r w:rsidDel="00000000" w:rsidR="00000000" w:rsidRPr="00000000">
        <w:rPr>
          <w:rFonts w:ascii="Palatino Linotype" w:cs="Palatino Linotype" w:eastAsia="Palatino Linotype" w:hAnsi="Palatino Linotype"/>
          <w:b w:val="1"/>
          <w:rtl w:val="0"/>
        </w:rPr>
        <w:t xml:space="preserve">01839/INFOEM/IP/RR/2025 </w:t>
      </w:r>
      <w:r w:rsidDel="00000000" w:rsidR="00000000" w:rsidRPr="00000000">
        <w:rPr>
          <w:rFonts w:ascii="Palatino Linotype" w:cs="Palatino Linotype" w:eastAsia="Palatino Linotype" w:hAnsi="Palatino Linotype"/>
          <w:rtl w:val="0"/>
        </w:rPr>
        <w:t xml:space="preserve">y</w:t>
      </w:r>
      <w:r w:rsidDel="00000000" w:rsidR="00000000" w:rsidRPr="00000000">
        <w:rPr>
          <w:rFonts w:ascii="Palatino Linotype" w:cs="Palatino Linotype" w:eastAsia="Palatino Linotype" w:hAnsi="Palatino Linotype"/>
          <w:b w:val="1"/>
          <w:rtl w:val="0"/>
        </w:rPr>
        <w:t xml:space="preserve"> 01840/INFOEM/IP/RR/2025</w:t>
      </w:r>
      <w:r w:rsidDel="00000000" w:rsidR="00000000" w:rsidRPr="00000000">
        <w:rPr>
          <w:rFonts w:ascii="Palatino Linotype" w:cs="Palatino Linotype" w:eastAsia="Palatino Linotype" w:hAnsi="Palatino Linotype"/>
          <w:rtl w:val="0"/>
        </w:rPr>
        <w:t xml:space="preserve">; por ello, y con fundamento en la fracción IV del numeral 186 de la Ley de Transparencia y Acceso a la Información Pública del Estado de México y Municipios, se </w:t>
      </w:r>
      <w:r w:rsidDel="00000000" w:rsidR="00000000" w:rsidRPr="00000000">
        <w:rPr>
          <w:rFonts w:ascii="Palatino Linotype" w:cs="Palatino Linotype" w:eastAsia="Palatino Linotype" w:hAnsi="Palatino Linotype"/>
          <w:b w:val="1"/>
          <w:rtl w:val="0"/>
        </w:rPr>
        <w:t xml:space="preserve">MODIFICAN </w:t>
      </w:r>
      <w:r w:rsidDel="00000000" w:rsidR="00000000" w:rsidRPr="00000000">
        <w:rPr>
          <w:rFonts w:ascii="Palatino Linotype" w:cs="Palatino Linotype" w:eastAsia="Palatino Linotype" w:hAnsi="Palatino Linotype"/>
          <w:rtl w:val="0"/>
        </w:rPr>
        <w:t xml:space="preserve">las respuestas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las solicitudes de información </w:t>
      </w:r>
      <w:r w:rsidDel="00000000" w:rsidR="00000000" w:rsidRPr="00000000">
        <w:rPr>
          <w:rFonts w:ascii="Palatino Linotype" w:cs="Palatino Linotype" w:eastAsia="Palatino Linotype" w:hAnsi="Palatino Linotype"/>
          <w:b w:val="1"/>
          <w:rtl w:val="0"/>
        </w:rPr>
        <w:t xml:space="preserve">00484/TOLUCA/IP/2025 y 00485/TOLUCA/IP/2025. </w:t>
      </w:r>
    </w:p>
    <w:p w:rsidR="00000000" w:rsidDel="00000000" w:rsidP="00000000" w:rsidRDefault="00000000" w:rsidRPr="00000000" w14:paraId="00000180">
      <w:pP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8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séptimo, trigésimo octavo y trigésimo noveno,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82">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w:t>
        <w:tab/>
        <w:t xml:space="preserve">R E S U E L V E:</w:t>
      </w:r>
    </w:p>
    <w:p w:rsidR="00000000" w:rsidDel="00000000" w:rsidP="00000000" w:rsidRDefault="00000000" w:rsidRPr="00000000" w14:paraId="0000018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4">
      <w:pP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Primero.</w:t>
      </w:r>
      <w:r w:rsidDel="00000000" w:rsidR="00000000" w:rsidRPr="00000000">
        <w:rPr>
          <w:rFonts w:ascii="Palatino Linotype" w:cs="Palatino Linotype" w:eastAsia="Palatino Linotype" w:hAnsi="Palatino Linotype"/>
          <w:rtl w:val="0"/>
        </w:rPr>
        <w:t xml:space="preserve"> Resultan</w:t>
      </w:r>
      <w:r w:rsidDel="00000000" w:rsidR="00000000" w:rsidRPr="00000000">
        <w:rPr>
          <w:rFonts w:ascii="Palatino Linotype" w:cs="Palatino Linotype" w:eastAsia="Palatino Linotype" w:hAnsi="Palatino Linotype"/>
          <w:b w:val="1"/>
          <w:rtl w:val="0"/>
        </w:rPr>
        <w:t xml:space="preserve"> FUNDADOS</w:t>
      </w:r>
      <w:r w:rsidDel="00000000" w:rsidR="00000000" w:rsidRPr="00000000">
        <w:rPr>
          <w:rFonts w:ascii="Palatino Linotype" w:cs="Palatino Linotype" w:eastAsia="Palatino Linotype" w:hAnsi="Palatino Linotype"/>
          <w:rtl w:val="0"/>
        </w:rPr>
        <w:t xml:space="preserve"> los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los Recursos de Revisión </w:t>
      </w:r>
      <w:r w:rsidDel="00000000" w:rsidR="00000000" w:rsidRPr="00000000">
        <w:rPr>
          <w:rFonts w:ascii="Palatino Linotype" w:cs="Palatino Linotype" w:eastAsia="Palatino Linotype" w:hAnsi="Palatino Linotype"/>
          <w:b w:val="1"/>
          <w:rtl w:val="0"/>
        </w:rPr>
        <w:t xml:space="preserve">01839/INFOEM/IP/RR/2025 </w:t>
      </w:r>
      <w:r w:rsidDel="00000000" w:rsidR="00000000" w:rsidRPr="00000000">
        <w:rPr>
          <w:rFonts w:ascii="Palatino Linotype" w:cs="Palatino Linotype" w:eastAsia="Palatino Linotype" w:hAnsi="Palatino Linotype"/>
          <w:rtl w:val="0"/>
        </w:rPr>
        <w:t xml:space="preserve">y</w:t>
      </w:r>
      <w:r w:rsidDel="00000000" w:rsidR="00000000" w:rsidRPr="00000000">
        <w:rPr>
          <w:rFonts w:ascii="Palatino Linotype" w:cs="Palatino Linotype" w:eastAsia="Palatino Linotype" w:hAnsi="Palatino Linotype"/>
          <w:b w:val="1"/>
          <w:rtl w:val="0"/>
        </w:rPr>
        <w:t xml:space="preserve"> 01840/INFOEM/IP/RR/2025</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por lo que, en términos del </w:t>
      </w:r>
      <w:r w:rsidDel="00000000" w:rsidR="00000000" w:rsidRPr="00000000">
        <w:rPr>
          <w:rFonts w:ascii="Palatino Linotype" w:cs="Palatino Linotype" w:eastAsia="Palatino Linotype" w:hAnsi="Palatino Linotype"/>
          <w:b w:val="1"/>
          <w:rtl w:val="0"/>
        </w:rPr>
        <w:t xml:space="preserve">Considerando Cuarto</w:t>
      </w:r>
      <w:r w:rsidDel="00000000" w:rsidR="00000000" w:rsidRPr="00000000">
        <w:rPr>
          <w:rFonts w:ascii="Palatino Linotype" w:cs="Palatino Linotype" w:eastAsia="Palatino Linotype" w:hAnsi="Palatino Linotype"/>
          <w:rtl w:val="0"/>
        </w:rPr>
        <w:t xml:space="preserve"> de esta resolución, se </w:t>
      </w:r>
      <w:r w:rsidDel="00000000" w:rsidR="00000000" w:rsidRPr="00000000">
        <w:rPr>
          <w:rFonts w:ascii="Palatino Linotype" w:cs="Palatino Linotype" w:eastAsia="Palatino Linotype" w:hAnsi="Palatino Linotype"/>
          <w:b w:val="1"/>
          <w:rtl w:val="0"/>
        </w:rPr>
        <w:t xml:space="preserve">MODIFICAN </w:t>
      </w:r>
      <w:r w:rsidDel="00000000" w:rsidR="00000000" w:rsidRPr="00000000">
        <w:rPr>
          <w:rFonts w:ascii="Palatino Linotype" w:cs="Palatino Linotype" w:eastAsia="Palatino Linotype" w:hAnsi="Palatino Linotype"/>
          <w:rtl w:val="0"/>
        </w:rPr>
        <w:t xml:space="preserve">las respuestas emitidas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r w:rsidDel="00000000" w:rsidR="00000000" w:rsidRPr="00000000">
        <w:rPr>
          <w:rtl w:val="0"/>
        </w:rPr>
      </w:r>
    </w:p>
    <w:p w:rsidR="00000000" w:rsidDel="00000000" w:rsidP="00000000" w:rsidRDefault="00000000" w:rsidRPr="00000000" w14:paraId="0000018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6">
      <w:pPr>
        <w:spacing w:after="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 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que, en términos del Considerando Cuarto y Quinto, haga entrega, vía Sistema de Acceso a la Información Mexiquense, en versión pública correcta, </w:t>
      </w:r>
      <w:r w:rsidDel="00000000" w:rsidR="00000000" w:rsidRPr="00000000">
        <w:rPr>
          <w:rFonts w:ascii="Palatino Linotype" w:cs="Palatino Linotype" w:eastAsia="Palatino Linotype" w:hAnsi="Palatino Linotype"/>
          <w:color w:val="000000"/>
          <w:rtl w:val="0"/>
        </w:rPr>
        <w:t xml:space="preserve">de lo siguiente: </w:t>
      </w:r>
    </w:p>
    <w:p w:rsidR="00000000" w:rsidDel="00000000" w:rsidP="00000000" w:rsidRDefault="00000000" w:rsidRPr="00000000" w14:paraId="0000018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after="0" w:line="360" w:lineRule="auto"/>
        <w:ind w:left="567" w:right="56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 Listas de beneficiarios de las pláticas en la Dirección de Juventud sobre sexualidad, autoestima, </w:t>
      </w:r>
      <w:r w:rsidDel="00000000" w:rsidR="00000000" w:rsidRPr="00000000">
        <w:rPr>
          <w:rFonts w:ascii="Palatino Linotype" w:cs="Palatino Linotype" w:eastAsia="Palatino Linotype" w:hAnsi="Palatino Linotype"/>
          <w:rtl w:val="0"/>
        </w:rPr>
        <w:t xml:space="preserve">género</w:t>
      </w:r>
      <w:r w:rsidDel="00000000" w:rsidR="00000000" w:rsidRPr="00000000">
        <w:rPr>
          <w:rFonts w:ascii="Palatino Linotype" w:cs="Palatino Linotype" w:eastAsia="Palatino Linotype" w:hAnsi="Palatino Linotype"/>
          <w:color w:val="000000"/>
          <w:rtl w:val="0"/>
        </w:rPr>
        <w:t xml:space="preserve">, bullying, redes sociales y adicciones que se realizaron en el año 2023 y 2024, remitidas en respuesta como en informe justificado. </w:t>
      </w:r>
    </w:p>
    <w:p w:rsidR="00000000" w:rsidDel="00000000" w:rsidP="00000000" w:rsidRDefault="00000000" w:rsidRPr="00000000" w14:paraId="00000189">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8A">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así como respecto de los documentos entregados en respuesta y se pongan a disposición de la parte Recurrente, mismo que igualmente hará de su conocimiento. </w:t>
      </w:r>
    </w:p>
    <w:p w:rsidR="00000000" w:rsidDel="00000000" w:rsidP="00000000" w:rsidRDefault="00000000" w:rsidRPr="00000000" w14:paraId="0000018B">
      <w:pPr>
        <w:pBdr>
          <w:top w:space="0" w:sz="0" w:val="nil"/>
          <w:left w:space="0" w:sz="0" w:val="nil"/>
          <w:bottom w:space="0" w:sz="0" w:val="nil"/>
          <w:right w:space="0" w:sz="0" w:val="nil"/>
          <w:between w:space="0" w:sz="0" w:val="nil"/>
        </w:pBdr>
        <w:tabs>
          <w:tab w:val="left" w:leader="none" w:pos="993"/>
        </w:tabs>
        <w:spacing w:after="0" w:line="360" w:lineRule="auto"/>
        <w:ind w:right="616"/>
        <w:jc w:val="both"/>
        <w:rPr>
          <w:rFonts w:ascii="Palatino Linotype" w:cs="Palatino Linotype" w:eastAsia="Palatino Linotype" w:hAnsi="Palatino Linotype"/>
          <w:i w:val="1"/>
          <w:color w:val="ff0000"/>
        </w:rPr>
      </w:pPr>
      <w:r w:rsidDel="00000000" w:rsidR="00000000" w:rsidRPr="00000000">
        <w:rPr>
          <w:rtl w:val="0"/>
        </w:rPr>
      </w:r>
    </w:p>
    <w:p w:rsidR="00000000" w:rsidDel="00000000" w:rsidP="00000000" w:rsidRDefault="00000000" w:rsidRPr="00000000" w14:paraId="0000018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vía SAIMEX </w:t>
      </w:r>
      <w:r w:rsidDel="00000000" w:rsidR="00000000" w:rsidRPr="00000000">
        <w:rPr>
          <w:rFonts w:ascii="Palatino Linotype" w:cs="Palatino Linotype" w:eastAsia="Palatino Linotype" w:hAnsi="Palatino Linotype"/>
          <w:rtl w:val="0"/>
        </w:rPr>
        <w:t xml:space="preserve">la presente resolución al T</w:t>
      </w:r>
      <w:r w:rsidDel="00000000" w:rsidR="00000000" w:rsidRPr="00000000">
        <w:rPr>
          <w:rFonts w:ascii="Palatino Linotype" w:cs="Palatino Linotype" w:eastAsia="Palatino Linotype" w:hAnsi="Palatino Linotype"/>
          <w:b w:val="1"/>
          <w:rtl w:val="0"/>
        </w:rPr>
        <w:t xml:space="preserve">itular de la Unidad de Transparencia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8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Notifíquese vía SAIMEX </w:t>
      </w:r>
      <w:r w:rsidDel="00000000" w:rsidR="00000000" w:rsidRPr="00000000">
        <w:rPr>
          <w:rFonts w:ascii="Palatino Linotype" w:cs="Palatino Linotype" w:eastAsia="Palatino Linotype" w:hAnsi="Palatino Linotype"/>
          <w:rtl w:val="0"/>
        </w:rPr>
        <w:t xml:space="preserve">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8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vía SAIMEX </w:t>
      </w:r>
      <w:r w:rsidDel="00000000" w:rsidR="00000000" w:rsidRPr="00000000">
        <w:rPr>
          <w:rFonts w:ascii="Palatino Linotype" w:cs="Palatino Linotype" w:eastAsia="Palatino Linotype" w:hAnsi="Palatino Linotype"/>
          <w:rtl w:val="0"/>
        </w:rPr>
        <w:t xml:space="preserve">la presente resolución al T</w:t>
      </w:r>
      <w:r w:rsidDel="00000000" w:rsidR="00000000" w:rsidRPr="00000000">
        <w:rPr>
          <w:rFonts w:ascii="Palatino Linotype" w:cs="Palatino Linotype" w:eastAsia="Palatino Linotype" w:hAnsi="Palatino Linotype"/>
          <w:b w:val="1"/>
          <w:rtl w:val="0"/>
        </w:rPr>
        <w:t xml:space="preserve">itular de la Unidad de Transparencia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que de conformidad con el artículo 198 de la Ley de Transparencia y Acceso a la Información Pública del Estado de México y Municipios, de considerarlo procedente, de manera fundada y motivada, solicite una ampliación de plazo para el cumplimiento de la presente resolución.</w:t>
      </w:r>
    </w:p>
    <w:p w:rsidR="00000000" w:rsidDel="00000000" w:rsidP="00000000" w:rsidRDefault="00000000" w:rsidRPr="00000000" w14:paraId="0000019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2">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Sexto.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GÍRESE </w:t>
      </w:r>
      <w:r w:rsidDel="00000000" w:rsidR="00000000" w:rsidRPr="00000000">
        <w:rPr>
          <w:rFonts w:ascii="Palatino Linotype" w:cs="Palatino Linotype" w:eastAsia="Palatino Linotype" w:hAnsi="Palatino Linotype"/>
          <w:rtl w:val="0"/>
        </w:rPr>
        <w:t xml:space="preserve">oficio a la Dirección de Protección de Datos Personales de este Instituto para hacer de su conocimiento la presente resolución, a fin de que en ejercicio de sus atribuciones y de conformidad con el artículo 82 de la Ley de Protección de Datos Personales en Posesión de Sujetos Obligados del Estado de México y Municipios, determine lo conducente, en términos de lo señalado en el Considerando Cuarto de la presente resolución.</w:t>
      </w:r>
    </w:p>
    <w:p w:rsidR="00000000" w:rsidDel="00000000" w:rsidP="00000000" w:rsidRDefault="00000000" w:rsidRPr="00000000" w14:paraId="00000193">
      <w:pPr>
        <w:spacing w:after="0" w:line="360" w:lineRule="auto"/>
        <w:ind w:right="49"/>
        <w:jc w:val="both"/>
        <w:rPr>
          <w:rFonts w:ascii="Palatino Linotype" w:cs="Palatino Linotype" w:eastAsia="Palatino Linotype" w:hAnsi="Palatino Linotype"/>
        </w:rPr>
      </w:pPr>
      <w:bookmarkStart w:colFirst="0" w:colLast="0" w:name="_heading=h.kfadj32g3ock" w:id="4"/>
      <w:bookmarkEnd w:id="4"/>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CUARTA SESIÓN ORDINARIA CELEBRADA EL VEINTITRÉS DE ABRIL DE DOS MIL VEINTICINCO, ANTE EL SECRETARIO TÉCNICO DEL PLENO ALEXIS TAPIA RAMÍREZ. </w:t>
      </w:r>
    </w:p>
    <w:p w:rsidR="00000000" w:rsidDel="00000000" w:rsidP="00000000" w:rsidRDefault="00000000" w:rsidRPr="00000000" w14:paraId="0000019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9">
      <w:pPr>
        <w:spacing w:after="0" w:line="360" w:lineRule="auto"/>
        <w:ind w:right="49"/>
        <w:jc w:val="both"/>
        <w:rPr>
          <w:rFonts w:ascii="Palatino Linotype" w:cs="Palatino Linotype" w:eastAsia="Palatino Linotype" w:hAnsi="Palatino Linotype"/>
        </w:rPr>
      </w:pP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A">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-746117</wp:posOffset>
          </wp:positionH>
          <wp:positionV relativeFrom="paragraph">
            <wp:posOffset>-448302</wp:posOffset>
          </wp:positionV>
          <wp:extent cx="7809876" cy="10165823"/>
          <wp:effectExtent b="0" l="0" r="0" t="0"/>
          <wp:wrapNone/>
          <wp:docPr id="214310818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3"/>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9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p w:rsidR="00000000" w:rsidDel="00000000" w:rsidP="00000000" w:rsidRDefault="00000000" w:rsidRPr="00000000" w14:paraId="0000019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19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01839/INFOEM/IP/RR/2025y acumulado</w:t>
          </w:r>
        </w:p>
      </w:tc>
    </w:tr>
    <w:tr>
      <w:trPr>
        <w:cantSplit w:val="0"/>
        <w:trHeight w:val="228" w:hRule="atLeast"/>
        <w:tblHeader w:val="0"/>
      </w:trPr>
      <w:tc>
        <w:tcPr>
          <w:vAlign w:val="center"/>
        </w:tcPr>
        <w:p w:rsidR="00000000" w:rsidDel="00000000" w:rsidP="00000000" w:rsidRDefault="00000000" w:rsidRPr="00000000" w14:paraId="0000019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tc>
      <w:tc>
        <w:tcPr>
          <w:vAlign w:val="center"/>
        </w:tcPr>
        <w:p w:rsidR="00000000" w:rsidDel="00000000" w:rsidP="00000000" w:rsidRDefault="00000000" w:rsidRPr="00000000" w14:paraId="0000019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316"/>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Toluca</w:t>
          </w:r>
        </w:p>
      </w:tc>
    </w:tr>
    <w:tr>
      <w:trPr>
        <w:cantSplit w:val="0"/>
        <w:tblHeader w:val="0"/>
      </w:trPr>
      <w:tc>
        <w:tcPr>
          <w:vAlign w:val="center"/>
        </w:tcPr>
        <w:p w:rsidR="00000000" w:rsidDel="00000000" w:rsidP="00000000" w:rsidRDefault="00000000" w:rsidRPr="00000000" w14:paraId="000001A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A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A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3">
    <w:pPr>
      <w:widowControl w:val="0"/>
      <w:pBdr>
        <w:top w:space="0" w:sz="0" w:val="nil"/>
        <w:left w:space="0" w:sz="0" w:val="nil"/>
        <w:bottom w:space="0" w:sz="0" w:val="nil"/>
        <w:right w:space="0" w:sz="0" w:val="nil"/>
        <w:between w:space="0" w:sz="0" w:val="nil"/>
      </w:pBdr>
      <w:spacing w:after="0" w:line="276"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-683890</wp:posOffset>
          </wp:positionH>
          <wp:positionV relativeFrom="paragraph">
            <wp:posOffset>-249549</wp:posOffset>
          </wp:positionV>
          <wp:extent cx="7809876" cy="10165823"/>
          <wp:effectExtent b="0" l="0" r="0" t="0"/>
          <wp:wrapNone/>
          <wp:docPr id="214310818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4"/>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A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p w:rsidR="00000000" w:rsidDel="00000000" w:rsidP="00000000" w:rsidRDefault="00000000" w:rsidRPr="00000000" w14:paraId="000001A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1A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01839/INFOEM/IP/RR/2025 y acumulado</w:t>
          </w:r>
        </w:p>
      </w:tc>
    </w:tr>
    <w:tr>
      <w:trPr>
        <w:cantSplit w:val="0"/>
        <w:tblHeader w:val="0"/>
      </w:trPr>
      <w:tc>
        <w:tcPr>
          <w:vAlign w:val="center"/>
        </w:tcPr>
        <w:p w:rsidR="00000000" w:rsidDel="00000000" w:rsidP="00000000" w:rsidRDefault="00000000" w:rsidRPr="00000000" w14:paraId="000001A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Recurrente:</w:t>
          </w:r>
        </w:p>
      </w:tc>
      <w:tc>
        <w:tcPr>
          <w:vAlign w:val="center"/>
        </w:tcPr>
        <w:p w:rsidR="00000000" w:rsidDel="00000000" w:rsidP="00000000" w:rsidRDefault="00000000" w:rsidRPr="00000000" w14:paraId="000001A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both"/>
            <w:rPr>
              <w:rFonts w:ascii="Palatino Linotype" w:cs="Palatino Linotype" w:eastAsia="Palatino Linotype" w:hAnsi="Palatino Linotype"/>
              <w:b w:val="1"/>
              <w:color w:val="000000"/>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A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tc>
      <w:tc>
        <w:tcPr>
          <w:vAlign w:val="center"/>
        </w:tcPr>
        <w:p w:rsidR="00000000" w:rsidDel="00000000" w:rsidP="00000000" w:rsidRDefault="00000000" w:rsidRPr="00000000" w14:paraId="000001A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316"/>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Toluca</w:t>
          </w:r>
        </w:p>
      </w:tc>
    </w:tr>
    <w:tr>
      <w:trPr>
        <w:cantSplit w:val="0"/>
        <w:tblHeader w:val="0"/>
      </w:trPr>
      <w:tc>
        <w:tcPr>
          <w:vAlign w:val="center"/>
        </w:tcPr>
        <w:p w:rsidR="00000000" w:rsidDel="00000000" w:rsidP="00000000" w:rsidRDefault="00000000" w:rsidRPr="00000000" w14:paraId="000001A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A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AD">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0"/>
      <w:numFmt w:val="bullet"/>
      <w:lvlText w:val="•"/>
      <w:lvlJc w:val="left"/>
      <w:pPr>
        <w:ind w:left="1080" w:hanging="72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F3660"/>
  </w:style>
  <w:style w:type="paragraph" w:styleId="Ttulo1">
    <w:name w:val="heading 1"/>
    <w:basedOn w:val="Normal"/>
    <w:next w:val="Normal"/>
    <w:link w:val="Ttulo1Car"/>
    <w:pPr>
      <w:keepNext w:val="1"/>
      <w:keepLines w:val="1"/>
      <w:spacing w:after="120" w:before="480"/>
      <w:outlineLvl w:val="0"/>
    </w:pPr>
    <w:rPr>
      <w:b w:val="1"/>
      <w:sz w:val="48"/>
      <w:szCs w:val="48"/>
    </w:rPr>
  </w:style>
  <w:style w:type="paragraph" w:styleId="Ttulo2">
    <w:name w:val="heading 2"/>
    <w:basedOn w:val="Normal"/>
    <w:next w:val="Normal"/>
    <w:link w:val="Ttulo2Car"/>
    <w:pPr>
      <w:keepNext w:val="1"/>
      <w:keepLines w:val="1"/>
      <w:spacing w:after="80" w:before="360"/>
      <w:outlineLvl w:val="1"/>
    </w:pPr>
    <w:rPr>
      <w:b w:val="1"/>
      <w:sz w:val="36"/>
      <w:szCs w:val="36"/>
    </w:rPr>
  </w:style>
  <w:style w:type="paragraph" w:styleId="Ttulo3">
    <w:name w:val="heading 3"/>
    <w:basedOn w:val="Normal"/>
    <w:next w:val="Normal"/>
    <w:link w:val="Ttulo3Car"/>
    <w:pPr>
      <w:keepNext w:val="1"/>
      <w:keepLines w:val="1"/>
      <w:spacing w:after="80" w:before="280"/>
      <w:outlineLvl w:val="2"/>
    </w:pPr>
    <w:rPr>
      <w:b w:val="1"/>
      <w:sz w:val="28"/>
      <w:szCs w:val="28"/>
    </w:rPr>
  </w:style>
  <w:style w:type="paragraph" w:styleId="Ttulo4">
    <w:name w:val="heading 4"/>
    <w:basedOn w:val="Normal"/>
    <w:next w:val="Normal"/>
    <w:link w:val="Ttulo4Car"/>
    <w:pPr>
      <w:keepNext w:val="1"/>
      <w:keepLines w:val="1"/>
      <w:spacing w:after="40" w:before="240"/>
      <w:outlineLvl w:val="3"/>
    </w:pPr>
    <w:rPr>
      <w:b w:val="1"/>
      <w:sz w:val="24"/>
      <w:szCs w:val="24"/>
    </w:rPr>
  </w:style>
  <w:style w:type="paragraph" w:styleId="Ttulo5">
    <w:name w:val="heading 5"/>
    <w:basedOn w:val="Normal"/>
    <w:next w:val="Normal"/>
    <w:link w:val="Ttulo5Car"/>
    <w:pPr>
      <w:keepNext w:val="1"/>
      <w:keepLines w:val="1"/>
      <w:spacing w:after="40" w:before="220"/>
      <w:outlineLvl w:val="4"/>
    </w:pPr>
    <w:rPr>
      <w:b w:val="1"/>
    </w:rPr>
  </w:style>
  <w:style w:type="paragraph" w:styleId="Ttulo6">
    <w:name w:val="heading 6"/>
    <w:basedOn w:val="Normal"/>
    <w:next w:val="Normal"/>
    <w:link w:val="Ttulo6Car"/>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ar"/>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character" w:styleId="Ttulo1Car" w:customStyle="1">
    <w:name w:val="Título 1 Car"/>
    <w:basedOn w:val="Fuentedeprrafopredeter"/>
    <w:link w:val="Ttulo1"/>
    <w:rsid w:val="00FD48C3"/>
    <w:rPr>
      <w:b w:val="1"/>
      <w:sz w:val="48"/>
      <w:szCs w:val="48"/>
    </w:rPr>
  </w:style>
  <w:style w:type="character" w:styleId="Ttulo2Car" w:customStyle="1">
    <w:name w:val="Título 2 Car"/>
    <w:basedOn w:val="Fuentedeprrafopredeter"/>
    <w:link w:val="Ttulo2"/>
    <w:rsid w:val="00FD48C3"/>
    <w:rPr>
      <w:b w:val="1"/>
      <w:sz w:val="36"/>
      <w:szCs w:val="36"/>
    </w:rPr>
  </w:style>
  <w:style w:type="character" w:styleId="Ttulo3Car" w:customStyle="1">
    <w:name w:val="Título 3 Car"/>
    <w:basedOn w:val="Fuentedeprrafopredeter"/>
    <w:link w:val="Ttulo3"/>
    <w:rsid w:val="00FD48C3"/>
    <w:rPr>
      <w:b w:val="1"/>
      <w:sz w:val="28"/>
      <w:szCs w:val="28"/>
    </w:rPr>
  </w:style>
  <w:style w:type="character" w:styleId="Ttulo4Car" w:customStyle="1">
    <w:name w:val="Título 4 Car"/>
    <w:basedOn w:val="Fuentedeprrafopredeter"/>
    <w:link w:val="Ttulo4"/>
    <w:rsid w:val="00FD48C3"/>
    <w:rPr>
      <w:b w:val="1"/>
      <w:sz w:val="24"/>
      <w:szCs w:val="24"/>
    </w:rPr>
  </w:style>
  <w:style w:type="character" w:styleId="Ttulo5Car" w:customStyle="1">
    <w:name w:val="Título 5 Car"/>
    <w:basedOn w:val="Fuentedeprrafopredeter"/>
    <w:link w:val="Ttulo5"/>
    <w:rsid w:val="00FD48C3"/>
    <w:rPr>
      <w:b w:val="1"/>
    </w:rPr>
  </w:style>
  <w:style w:type="character" w:styleId="Ttulo6Car" w:customStyle="1">
    <w:name w:val="Título 6 Car"/>
    <w:basedOn w:val="Fuentedeprrafopredeter"/>
    <w:link w:val="Ttulo6"/>
    <w:rsid w:val="00FD48C3"/>
    <w:rPr>
      <w:b w:val="1"/>
      <w:sz w:val="20"/>
      <w:szCs w:val="20"/>
    </w:rPr>
  </w:style>
  <w:style w:type="table" w:styleId="TableNormal2" w:customStyle="1">
    <w:name w:val="Table Normal"/>
    <w:tblPr>
      <w:tblCellMar>
        <w:top w:w="0.0" w:type="dxa"/>
        <w:left w:w="0.0" w:type="dxa"/>
        <w:bottom w:w="0.0" w:type="dxa"/>
        <w:right w:w="0.0" w:type="dxa"/>
      </w:tblCellMar>
    </w:tblPr>
  </w:style>
  <w:style w:type="character" w:styleId="TtuloCar" w:customStyle="1">
    <w:name w:val="Título Car"/>
    <w:basedOn w:val="Fuentedeprrafopredeter"/>
    <w:link w:val="Ttulo"/>
    <w:rsid w:val="00FD48C3"/>
    <w:rPr>
      <w:b w:val="1"/>
      <w:sz w:val="72"/>
      <w:szCs w:val="72"/>
    </w:r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D74A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D74AE"/>
  </w:style>
  <w:style w:type="paragraph" w:styleId="Piedepgina">
    <w:name w:val="footer"/>
    <w:basedOn w:val="Normal"/>
    <w:link w:val="PiedepginaCar"/>
    <w:uiPriority w:val="99"/>
    <w:unhideWhenUsed w:val="1"/>
    <w:rsid w:val="00CD74A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D74AE"/>
    <w:pPr>
      <w:ind w:left="720"/>
      <w:contextualSpacing w:val="1"/>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F3FE6"/>
  </w:style>
  <w:style w:type="character" w:styleId="Hipervnculo">
    <w:name w:val="Hyperlink"/>
    <w:aliases w:val="Hipervínculo1,Hipervínculo11,Hipervínculo12,Hipervínculo13,Hipervínculo14,Hipervínculo15"/>
    <w:basedOn w:val="Fuentedeprrafopredeter"/>
    <w:uiPriority w:val="99"/>
    <w:unhideWhenUsed w:val="1"/>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D2AA5"/>
    <w:pPr>
      <w:spacing w:after="100" w:afterAutospacing="1" w:before="100" w:beforeAutospacing="1" w:line="240" w:lineRule="auto"/>
    </w:pPr>
    <w:rPr>
      <w:rFonts w:ascii="Times New Roman" w:cs="Times New Roman" w:eastAsia="Times New Roman" w:hAnsi="Times New Roman"/>
      <w:sz w:val="24"/>
      <w:szCs w:val="24"/>
    </w:rPr>
  </w:style>
  <w:style w:type="paragraph" w:styleId="Subttulo">
    <w:name w:val="Subtitle"/>
    <w:basedOn w:val="Normal"/>
    <w:next w:val="Normal"/>
    <w:link w:val="SubttuloCar"/>
    <w:pPr>
      <w:keepNext w:val="1"/>
      <w:keepLines w:val="1"/>
      <w:spacing w:after="80" w:before="360"/>
    </w:pPr>
    <w:rPr>
      <w:rFonts w:ascii="Georgia" w:cs="Georgia" w:eastAsia="Georgia" w:hAnsi="Georgia"/>
      <w:i w:val="1"/>
      <w:color w:val="666666"/>
      <w:sz w:val="48"/>
      <w:szCs w:val="48"/>
    </w:rPr>
  </w:style>
  <w:style w:type="character" w:styleId="SubttuloCar" w:customStyle="1">
    <w:name w:val="Subtítulo Car"/>
    <w:basedOn w:val="Fuentedeprrafopredeter"/>
    <w:link w:val="Subttulo"/>
    <w:rsid w:val="00FD48C3"/>
    <w:rPr>
      <w:rFonts w:ascii="Georgia" w:cs="Georgia" w:eastAsia="Georgia" w:hAnsi="Georgia"/>
      <w:i w:val="1"/>
      <w:color w:val="666666"/>
      <w:sz w:val="48"/>
      <w:szCs w:val="48"/>
    </w:rPr>
  </w:style>
  <w:style w:type="table" w:styleId="a" w:customStyle="1">
    <w:basedOn w:val="TableNormal5"/>
    <w:tblPr>
      <w:tblStyleRowBandSize w:val="1"/>
      <w:tblStyleColBandSize w:val="1"/>
      <w:tblCellMar>
        <w:top w:w="15.0" w:type="dxa"/>
        <w:left w:w="15.0" w:type="dxa"/>
        <w:bottom w:w="15.0" w:type="dxa"/>
        <w:right w:w="15.0" w:type="dxa"/>
      </w:tblCellMar>
    </w:tblPr>
  </w:style>
  <w:style w:type="table" w:styleId="a0" w:customStyle="1">
    <w:basedOn w:val="TableNormal5"/>
    <w:tblPr>
      <w:tblStyleRowBandSize w:val="1"/>
      <w:tblStyleColBandSize w:val="1"/>
      <w:tblCellMar>
        <w:left w:w="115.0" w:type="dxa"/>
        <w:right w:w="115.0" w:type="dxa"/>
      </w:tblCellMar>
    </w:tblPr>
  </w:style>
  <w:style w:type="table" w:styleId="a1" w:customStyle="1">
    <w:basedOn w:val="TableNormal5"/>
    <w:tblPr>
      <w:tblStyleRowBandSize w:val="1"/>
      <w:tblStyleColBandSize w:val="1"/>
      <w:tblCellMar>
        <w:left w:w="115.0" w:type="dxa"/>
        <w:right w:w="115.0" w:type="dxa"/>
      </w:tblCellMar>
    </w:tblPr>
  </w:style>
  <w:style w:type="table" w:styleId="a2" w:customStyle="1">
    <w:basedOn w:val="TableNormal5"/>
    <w:tblPr>
      <w:tblStyleRowBandSize w:val="1"/>
      <w:tblStyleColBandSize w:val="1"/>
      <w:tblCellMar>
        <w:top w:w="15.0" w:type="dxa"/>
        <w:left w:w="115.0" w:type="dxa"/>
        <w:bottom w:w="15.0" w:type="dxa"/>
        <w:right w:w="115.0" w:type="dxa"/>
      </w:tblCellMar>
    </w:tblPr>
  </w:style>
  <w:style w:type="table" w:styleId="a3" w:customStyle="1">
    <w:basedOn w:val="TableNormal5"/>
    <w:tblPr>
      <w:tblStyleRowBandSize w:val="1"/>
      <w:tblStyleColBandSize w:val="1"/>
      <w:tblCellMar>
        <w:top w:w="15.0" w:type="dxa"/>
        <w:left w:w="115.0" w:type="dxa"/>
        <w:bottom w:w="15.0" w:type="dxa"/>
        <w:right w:w="115.0" w:type="dxa"/>
      </w:tblCellMar>
    </w:tblPr>
  </w:style>
  <w:style w:type="table" w:styleId="a4" w:customStyle="1">
    <w:basedOn w:val="TableNormal4"/>
    <w:tblPr>
      <w:tblStyleRowBandSize w:val="1"/>
      <w:tblStyleColBandSize w:val="1"/>
      <w:tblCellMar>
        <w:top w:w="15.0" w:type="dxa"/>
        <w:left w:w="115.0" w:type="dxa"/>
        <w:bottom w:w="15.0" w:type="dxa"/>
        <w:right w:w="115.0" w:type="dxa"/>
      </w:tblCellMar>
    </w:tblPr>
  </w:style>
  <w:style w:type="table" w:styleId="a5" w:customStyle="1">
    <w:basedOn w:val="TableNormal4"/>
    <w:tblPr>
      <w:tblStyleRowBandSize w:val="1"/>
      <w:tblStyleColBandSize w:val="1"/>
      <w:tblCellMar>
        <w:top w:w="15.0" w:type="dxa"/>
        <w:left w:w="115.0" w:type="dxa"/>
        <w:bottom w:w="15.0" w:type="dxa"/>
        <w:right w:w="115.0"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BD6BFB"/>
    <w:pPr>
      <w:spacing w:after="0" w:line="240" w:lineRule="auto"/>
    </w:pPr>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cstheme="minorBidi" w:eastAsiaTheme="minorHAnsi" w:hAnsiTheme="minorHAns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val="1"/>
    <w:qFormat w:val="1"/>
    <w:rsid w:val="00BD6BFB"/>
    <w:rPr>
      <w:vertAlign w:val="superscript"/>
    </w:rPr>
  </w:style>
  <w:style w:type="character" w:styleId="Mencinsinresolver1" w:customStyle="1">
    <w:name w:val="Mención sin resolver1"/>
    <w:basedOn w:val="Fuentedeprrafopredeter"/>
    <w:uiPriority w:val="99"/>
    <w:semiHidden w:val="1"/>
    <w:unhideWhenUsed w:val="1"/>
    <w:rsid w:val="00E64CB4"/>
    <w:rPr>
      <w:color w:val="605e5c"/>
      <w:shd w:color="auto" w:fill="e1dfdd" w:val="clear"/>
    </w:rPr>
  </w:style>
  <w:style w:type="paragraph" w:styleId="Cita">
    <w:name w:val="Quote"/>
    <w:basedOn w:val="Normal"/>
    <w:next w:val="Normal"/>
    <w:link w:val="CitaCar"/>
    <w:uiPriority w:val="29"/>
    <w:qFormat w:val="1"/>
    <w:rsid w:val="0084488A"/>
    <w:pPr>
      <w:spacing w:before="200" w:line="240" w:lineRule="auto"/>
      <w:ind w:left="864" w:right="864"/>
      <w:jc w:val="center"/>
    </w:pPr>
    <w:rPr>
      <w:rFonts w:ascii="Times New Roman" w:cs="Times New Roman" w:eastAsia="Times New Roman" w:hAnsi="Times New Roman"/>
      <w:i w:val="1"/>
      <w:iCs w:val="1"/>
      <w:color w:val="404040" w:themeColor="text1" w:themeTint="0000BF"/>
      <w:sz w:val="24"/>
      <w:szCs w:val="24"/>
    </w:rPr>
  </w:style>
  <w:style w:type="character" w:styleId="CitaCar" w:customStyle="1">
    <w:name w:val="Cita Car"/>
    <w:basedOn w:val="Fuentedeprrafopredeter"/>
    <w:link w:val="Cita"/>
    <w:uiPriority w:val="29"/>
    <w:rsid w:val="0084488A"/>
    <w:rPr>
      <w:rFonts w:ascii="Times New Roman" w:cs="Times New Roman" w:eastAsia="Times New Roman" w:hAnsi="Times New Roman"/>
      <w:i w:val="1"/>
      <w:iCs w:val="1"/>
      <w:color w:val="404040" w:themeColor="text1" w:themeTint="0000BF"/>
      <w:sz w:val="24"/>
      <w:szCs w:val="24"/>
    </w:rPr>
  </w:style>
  <w:style w:type="paragraph" w:styleId="j" w:customStyle="1">
    <w:name w:val="j"/>
    <w:basedOn w:val="Normal"/>
    <w:rsid w:val="0058558E"/>
    <w:pPr>
      <w:spacing w:after="100" w:afterAutospacing="1" w:before="100" w:beforeAutospacing="1" w:line="240" w:lineRule="auto"/>
    </w:pPr>
    <w:rPr>
      <w:rFonts w:ascii="Times New Roman" w:cs="Times New Roman" w:eastAsia="Times New Roman" w:hAnsi="Times New Roman"/>
      <w:sz w:val="24"/>
      <w:szCs w:val="24"/>
    </w:rPr>
  </w:style>
  <w:style w:type="character" w:styleId="nacep" w:customStyle="1">
    <w:name w:val="n_acep"/>
    <w:basedOn w:val="Fuentedeprrafopredeter"/>
    <w:rsid w:val="0058558E"/>
  </w:style>
  <w:style w:type="character" w:styleId="Mencinsinresolver2" w:customStyle="1">
    <w:name w:val="Mención sin resolver2"/>
    <w:basedOn w:val="Fuentedeprrafopredeter"/>
    <w:uiPriority w:val="99"/>
    <w:semiHidden w:val="1"/>
    <w:unhideWhenUsed w:val="1"/>
    <w:rsid w:val="00AD7527"/>
    <w:rPr>
      <w:color w:val="605e5c"/>
      <w:shd w:color="auto" w:fill="e1dfdd" w:val="clear"/>
    </w:rPr>
  </w:style>
  <w:style w:type="character" w:styleId="Hipervnculovisitado">
    <w:name w:val="FollowedHyperlink"/>
    <w:basedOn w:val="Fuentedeprrafopredeter"/>
    <w:uiPriority w:val="99"/>
    <w:semiHidden w:val="1"/>
    <w:unhideWhenUsed w:val="1"/>
    <w:rsid w:val="003F413F"/>
    <w:rPr>
      <w:color w:val="954f72" w:themeColor="followedHyperlink"/>
      <w:u w:val="single"/>
    </w:rPr>
  </w:style>
  <w:style w:type="table" w:styleId="a6" w:customStyle="1">
    <w:basedOn w:val="TableNormal3"/>
    <w:pPr>
      <w:spacing w:after="0" w:line="240" w:lineRule="auto"/>
    </w:pPr>
    <w:tblPr>
      <w:tblStyleRowBandSize w:val="1"/>
      <w:tblStyleColBandSize w:val="1"/>
      <w:tblCellMar>
        <w:left w:w="108.0" w:type="dxa"/>
        <w:right w:w="108.0" w:type="dxa"/>
      </w:tblCellMar>
    </w:tblPr>
  </w:style>
  <w:style w:type="table" w:styleId="a7" w:customStyle="1">
    <w:basedOn w:val="TableNormal3"/>
    <w:tblPr>
      <w:tblStyleRowBandSize w:val="1"/>
      <w:tblStyleColBandSize w:val="1"/>
      <w:tblCellMar>
        <w:top w:w="15.0" w:type="dxa"/>
        <w:left w:w="115.0" w:type="dxa"/>
        <w:bottom w:w="15.0" w:type="dxa"/>
        <w:right w:w="115.0" w:type="dxa"/>
      </w:tblCellMar>
    </w:tblPr>
  </w:style>
  <w:style w:type="table" w:styleId="a8" w:customStyle="1">
    <w:basedOn w:val="TableNormal3"/>
    <w:tblPr>
      <w:tblStyleRowBandSize w:val="1"/>
      <w:tblStyleColBandSize w:val="1"/>
      <w:tblCellMar>
        <w:top w:w="15.0" w:type="dxa"/>
        <w:left w:w="115.0" w:type="dxa"/>
        <w:bottom w:w="15.0" w:type="dxa"/>
        <w:right w:w="115.0" w:type="dxa"/>
      </w:tblCellMar>
    </w:tblPr>
  </w:style>
  <w:style w:type="character" w:styleId="Mencinsinresolver3" w:customStyle="1">
    <w:name w:val="Mención sin resolver3"/>
    <w:basedOn w:val="Fuentedeprrafopredeter"/>
    <w:uiPriority w:val="99"/>
    <w:semiHidden w:val="1"/>
    <w:unhideWhenUsed w:val="1"/>
    <w:rsid w:val="00B852ED"/>
    <w:rPr>
      <w:color w:val="605e5c"/>
      <w:shd w:color="auto" w:fill="e1dfdd" w:val="clear"/>
    </w:rPr>
  </w:style>
  <w:style w:type="table" w:styleId="Tablaconcuadrcula1" w:customStyle="1">
    <w:name w:val="Tabla con cuadrícula1"/>
    <w:basedOn w:val="Tablanormal"/>
    <w:next w:val="Tablaconcuadrcula"/>
    <w:uiPriority w:val="39"/>
    <w:rsid w:val="00080C70"/>
    <w:pPr>
      <w:spacing w:after="0" w:line="240" w:lineRule="auto"/>
    </w:pPr>
    <w:rPr>
      <w:rFonts w:ascii="Times New Roman" w:cs="Times New Roman" w:eastAsia="Times New Roman" w:hAnsi="Times New Roman"/>
      <w:sz w:val="24"/>
      <w:szCs w:val="24"/>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Normal9" w:customStyle="1">
    <w:name w:val="Table Normal9"/>
    <w:rsid w:val="00FD48C3"/>
    <w:pPr>
      <w:spacing w:after="0" w:line="240" w:lineRule="auto"/>
    </w:pPr>
    <w:rPr>
      <w:rFonts w:ascii="Times New Roman" w:cs="Times New Roman" w:eastAsia="Times New Roman" w:hAnsi="Times New Roman"/>
      <w:sz w:val="24"/>
      <w:szCs w:val="24"/>
    </w:rPr>
    <w:tblPr>
      <w:tblCellMar>
        <w:top w:w="0.0" w:type="dxa"/>
        <w:left w:w="0.0" w:type="dxa"/>
        <w:bottom w:w="0.0" w:type="dxa"/>
        <w:right w:w="0.0" w:type="dxa"/>
      </w:tblCellMar>
    </w:tblPr>
  </w:style>
  <w:style w:type="character" w:styleId="normaltextrun" w:customStyle="1">
    <w:name w:val="normaltextrun"/>
    <w:basedOn w:val="Fuentedeprrafopredeter"/>
    <w:rsid w:val="00FD48C3"/>
  </w:style>
  <w:style w:type="character" w:styleId="apple-converted-space" w:customStyle="1">
    <w:name w:val="apple-converted-space"/>
    <w:basedOn w:val="Fuentedeprrafopredeter"/>
    <w:rsid w:val="00FD48C3"/>
  </w:style>
  <w:style w:type="character" w:styleId="TextocomentarioCar" w:customStyle="1">
    <w:name w:val="Texto comentario Car"/>
    <w:basedOn w:val="Fuentedeprrafopredeter"/>
    <w:link w:val="Textocomentario"/>
    <w:uiPriority w:val="99"/>
    <w:semiHidden w:val="1"/>
    <w:rsid w:val="00FD48C3"/>
    <w:rPr>
      <w:rFonts w:ascii="Times New Roman" w:cs="Times New Roman" w:eastAsia="Times New Roman" w:hAnsi="Times New Roman"/>
      <w:sz w:val="20"/>
      <w:szCs w:val="20"/>
      <w:lang w:eastAsia="es-ES"/>
    </w:rPr>
  </w:style>
  <w:style w:type="paragraph" w:styleId="Textocomentario">
    <w:name w:val="annotation text"/>
    <w:basedOn w:val="Normal"/>
    <w:link w:val="TextocomentarioCar"/>
    <w:uiPriority w:val="99"/>
    <w:semiHidden w:val="1"/>
    <w:unhideWhenUsed w:val="1"/>
    <w:rsid w:val="00FD48C3"/>
    <w:pPr>
      <w:spacing w:after="0" w:line="240" w:lineRule="auto"/>
    </w:pPr>
    <w:rPr>
      <w:rFonts w:ascii="Times New Roman" w:cs="Times New Roman" w:eastAsia="Times New Roman" w:hAnsi="Times New Roman"/>
      <w:sz w:val="20"/>
      <w:szCs w:val="20"/>
      <w:lang w:eastAsia="es-ES"/>
    </w:rPr>
  </w:style>
  <w:style w:type="character" w:styleId="AsuntodelcomentarioCar" w:customStyle="1">
    <w:name w:val="Asunto del comentario Car"/>
    <w:basedOn w:val="TextocomentarioCar"/>
    <w:link w:val="Asuntodelcomentario"/>
    <w:uiPriority w:val="99"/>
    <w:semiHidden w:val="1"/>
    <w:rsid w:val="00FD48C3"/>
    <w:rPr>
      <w:rFonts w:ascii="Times New Roman" w:cs="Times New Roman" w:eastAsia="Times New Roman" w:hAnsi="Times New Roman"/>
      <w:b w:val="1"/>
      <w:bCs w:val="1"/>
      <w:sz w:val="20"/>
      <w:szCs w:val="20"/>
      <w:lang w:eastAsia="es-ES"/>
    </w:rPr>
  </w:style>
  <w:style w:type="paragraph" w:styleId="Asuntodelcomentario">
    <w:name w:val="annotation subject"/>
    <w:basedOn w:val="Textocomentario"/>
    <w:next w:val="Textocomentario"/>
    <w:link w:val="AsuntodelcomentarioCar"/>
    <w:uiPriority w:val="99"/>
    <w:semiHidden w:val="1"/>
    <w:unhideWhenUsed w:val="1"/>
    <w:rsid w:val="00FD48C3"/>
    <w:rPr>
      <w:b w:val="1"/>
      <w:bCs w:val="1"/>
    </w:rPr>
  </w:style>
  <w:style w:type="character" w:styleId="TextodegloboCar" w:customStyle="1">
    <w:name w:val="Texto de globo Car"/>
    <w:basedOn w:val="Fuentedeprrafopredeter"/>
    <w:link w:val="Textodeglobo"/>
    <w:uiPriority w:val="99"/>
    <w:semiHidden w:val="1"/>
    <w:rsid w:val="00FD48C3"/>
    <w:rPr>
      <w:rFonts w:ascii="Segoe UI" w:cs="Segoe UI" w:eastAsia="Times New Roman" w:hAnsi="Segoe UI"/>
      <w:sz w:val="18"/>
      <w:szCs w:val="18"/>
      <w:lang w:eastAsia="es-ES"/>
    </w:rPr>
  </w:style>
  <w:style w:type="paragraph" w:styleId="Textodeglobo">
    <w:name w:val="Balloon Text"/>
    <w:basedOn w:val="Normal"/>
    <w:link w:val="TextodegloboCar"/>
    <w:uiPriority w:val="99"/>
    <w:semiHidden w:val="1"/>
    <w:unhideWhenUsed w:val="1"/>
    <w:rsid w:val="00FD48C3"/>
    <w:pPr>
      <w:spacing w:after="0" w:line="240" w:lineRule="auto"/>
    </w:pPr>
    <w:rPr>
      <w:rFonts w:ascii="Segoe UI" w:cs="Segoe UI" w:eastAsia="Times New Roman" w:hAnsi="Segoe UI"/>
      <w:sz w:val="18"/>
      <w:szCs w:val="18"/>
      <w:lang w:eastAsia="es-ES"/>
    </w:rPr>
  </w:style>
  <w:style w:type="paragraph" w:styleId="paragraph" w:customStyle="1">
    <w:name w:val="paragraph"/>
    <w:basedOn w:val="Normal"/>
    <w:rsid w:val="00FD48C3"/>
    <w:pPr>
      <w:spacing w:after="100" w:afterAutospacing="1" w:before="100" w:beforeAutospacing="1" w:line="240" w:lineRule="auto"/>
    </w:pPr>
    <w:rPr>
      <w:rFonts w:ascii="Times New Roman" w:cs="Times New Roman" w:eastAsia="Times New Roman" w:hAnsi="Times New Roman"/>
      <w:sz w:val="24"/>
      <w:szCs w:val="24"/>
    </w:rPr>
  </w:style>
  <w:style w:type="paragraph" w:styleId="Sinespaciado">
    <w:name w:val="No Spacing"/>
    <w:aliases w:val="Francesa,INAI"/>
    <w:link w:val="SinespaciadoCar"/>
    <w:uiPriority w:val="1"/>
    <w:qFormat w:val="1"/>
    <w:rsid w:val="00FD48C3"/>
    <w:pPr>
      <w:spacing w:after="0" w:line="240" w:lineRule="auto"/>
    </w:pPr>
    <w:rPr>
      <w:rFonts w:ascii="Times New Roman" w:cs="Times New Roman" w:eastAsia="Times New Roman" w:hAnsi="Times New Roman"/>
      <w:sz w:val="24"/>
      <w:szCs w:val="24"/>
      <w:lang w:eastAsia="es-ES"/>
    </w:rPr>
  </w:style>
  <w:style w:type="character" w:styleId="SinespaciadoCar" w:customStyle="1">
    <w:name w:val="Sin espaciado Car"/>
    <w:aliases w:val="Francesa Car,INAI Car"/>
    <w:link w:val="Sinespaciado"/>
    <w:uiPriority w:val="1"/>
    <w:locked w:val="1"/>
    <w:rsid w:val="00FD48C3"/>
    <w:rPr>
      <w:rFonts w:ascii="Times New Roman" w:cs="Times New Roman" w:eastAsia="Times New Roman" w:hAnsi="Times New Roman"/>
      <w:sz w:val="24"/>
      <w:szCs w:val="24"/>
      <w:lang w:eastAsia="es-ES"/>
    </w:rPr>
  </w:style>
  <w:style w:type="paragraph" w:styleId="Lista">
    <w:name w:val="List"/>
    <w:basedOn w:val="Normal"/>
    <w:uiPriority w:val="99"/>
    <w:unhideWhenUsed w:val="1"/>
    <w:rsid w:val="00FD48C3"/>
    <w:pPr>
      <w:spacing w:after="0" w:line="240" w:lineRule="auto"/>
      <w:ind w:left="283" w:hanging="283"/>
      <w:contextualSpacing w:val="1"/>
    </w:pPr>
    <w:rPr>
      <w:rFonts w:ascii="Times New Roman" w:cs="Times New Roman" w:eastAsia="Times New Roman" w:hAnsi="Times New Roman"/>
      <w:sz w:val="24"/>
      <w:szCs w:val="24"/>
      <w:lang w:eastAsia="es-ES"/>
    </w:rPr>
  </w:style>
  <w:style w:type="paragraph" w:styleId="Lista2">
    <w:name w:val="List 2"/>
    <w:basedOn w:val="Normal"/>
    <w:uiPriority w:val="99"/>
    <w:unhideWhenUsed w:val="1"/>
    <w:rsid w:val="00FD48C3"/>
    <w:pPr>
      <w:spacing w:after="0" w:line="240" w:lineRule="auto"/>
      <w:ind w:left="566" w:hanging="283"/>
      <w:contextualSpacing w:val="1"/>
    </w:pPr>
    <w:rPr>
      <w:rFonts w:ascii="Times New Roman" w:cs="Times New Roman" w:eastAsia="Times New Roman" w:hAnsi="Times New Roman"/>
      <w:sz w:val="24"/>
      <w:szCs w:val="24"/>
      <w:lang w:eastAsia="es-ES"/>
    </w:rPr>
  </w:style>
  <w:style w:type="paragraph" w:styleId="Listaconvietas">
    <w:name w:val="List Bullet"/>
    <w:basedOn w:val="Normal"/>
    <w:uiPriority w:val="99"/>
    <w:unhideWhenUsed w:val="1"/>
    <w:rsid w:val="00FD48C3"/>
    <w:pPr>
      <w:numPr>
        <w:numId w:val="1"/>
      </w:numPr>
      <w:spacing w:after="0" w:line="240" w:lineRule="auto"/>
      <w:contextualSpacing w:val="1"/>
    </w:pPr>
    <w:rPr>
      <w:rFonts w:ascii="Times New Roman" w:cs="Times New Roman" w:eastAsia="Times New Roman" w:hAnsi="Times New Roman"/>
      <w:sz w:val="24"/>
      <w:szCs w:val="24"/>
      <w:lang w:eastAsia="es-ES"/>
    </w:rPr>
  </w:style>
  <w:style w:type="paragraph" w:styleId="Continuarlista">
    <w:name w:val="List Continue"/>
    <w:basedOn w:val="Normal"/>
    <w:uiPriority w:val="99"/>
    <w:unhideWhenUsed w:val="1"/>
    <w:rsid w:val="00FD48C3"/>
    <w:pPr>
      <w:spacing w:after="120" w:line="240" w:lineRule="auto"/>
      <w:ind w:left="283"/>
      <w:contextualSpacing w:val="1"/>
    </w:pPr>
    <w:rPr>
      <w:rFonts w:ascii="Times New Roman" w:cs="Times New Roman" w:eastAsia="Times New Roman" w:hAnsi="Times New Roman"/>
      <w:sz w:val="24"/>
      <w:szCs w:val="24"/>
      <w:lang w:eastAsia="es-ES"/>
    </w:rPr>
  </w:style>
  <w:style w:type="paragraph" w:styleId="Textoindependiente">
    <w:name w:val="Body Text"/>
    <w:basedOn w:val="Normal"/>
    <w:link w:val="TextoindependienteCar"/>
    <w:uiPriority w:val="99"/>
    <w:unhideWhenUsed w:val="1"/>
    <w:rsid w:val="00FD48C3"/>
    <w:pPr>
      <w:spacing w:after="120" w:line="240" w:lineRule="auto"/>
    </w:pPr>
    <w:rPr>
      <w:rFonts w:ascii="Times New Roman" w:cs="Times New Roman" w:eastAsia="Times New Roman" w:hAnsi="Times New Roman"/>
      <w:sz w:val="24"/>
      <w:szCs w:val="24"/>
      <w:lang w:eastAsia="es-ES"/>
    </w:rPr>
  </w:style>
  <w:style w:type="character" w:styleId="TextoindependienteCar" w:customStyle="1">
    <w:name w:val="Texto independiente Car"/>
    <w:basedOn w:val="Fuentedeprrafopredeter"/>
    <w:link w:val="Textoindependiente"/>
    <w:uiPriority w:val="99"/>
    <w:rsid w:val="00FD48C3"/>
    <w:rPr>
      <w:rFonts w:ascii="Times New Roman" w:cs="Times New Roman" w:eastAsia="Times New Roman" w:hAnsi="Times New Roman"/>
      <w:sz w:val="24"/>
      <w:szCs w:val="24"/>
      <w:lang w:eastAsia="es-ES"/>
    </w:rPr>
  </w:style>
  <w:style w:type="paragraph" w:styleId="Sangradetextonormal">
    <w:name w:val="Body Text Indent"/>
    <w:basedOn w:val="Normal"/>
    <w:link w:val="SangradetextonormalCar"/>
    <w:uiPriority w:val="99"/>
    <w:unhideWhenUsed w:val="1"/>
    <w:rsid w:val="00FD48C3"/>
    <w:pPr>
      <w:spacing w:after="120" w:line="240" w:lineRule="auto"/>
      <w:ind w:left="283"/>
    </w:pPr>
    <w:rPr>
      <w:rFonts w:ascii="Times New Roman" w:cs="Times New Roman" w:eastAsia="Times New Roman" w:hAnsi="Times New Roman"/>
      <w:sz w:val="24"/>
      <w:szCs w:val="24"/>
      <w:lang w:eastAsia="es-ES"/>
    </w:rPr>
  </w:style>
  <w:style w:type="character" w:styleId="SangradetextonormalCar" w:customStyle="1">
    <w:name w:val="Sangría de texto normal Car"/>
    <w:basedOn w:val="Fuentedeprrafopredeter"/>
    <w:link w:val="Sangradetextonormal"/>
    <w:uiPriority w:val="99"/>
    <w:rsid w:val="00FD48C3"/>
    <w:rPr>
      <w:rFonts w:ascii="Times New Roman" w:cs="Times New Roman" w:eastAsia="Times New Roman" w:hAnsi="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val="1"/>
    <w:rsid w:val="00FD48C3"/>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FD48C3"/>
    <w:rPr>
      <w:rFonts w:ascii="Times New Roman" w:cs="Times New Roman" w:eastAsia="Times New Roman" w:hAnsi="Times New Roman"/>
      <w:sz w:val="24"/>
      <w:szCs w:val="24"/>
      <w:lang w:eastAsia="es-ES"/>
    </w:rPr>
  </w:style>
  <w:style w:type="paragraph" w:styleId="Default" w:customStyle="1">
    <w:name w:val="Default"/>
    <w:rsid w:val="00FD48C3"/>
    <w:pPr>
      <w:autoSpaceDE w:val="0"/>
      <w:autoSpaceDN w:val="0"/>
      <w:adjustRightInd w:val="0"/>
      <w:spacing w:after="0" w:line="240" w:lineRule="auto"/>
    </w:pPr>
    <w:rPr>
      <w:rFonts w:ascii="Times New Roman" w:cs="Times New Roman" w:eastAsia="Times New Roman" w:hAnsi="Times New Roman"/>
      <w:color w:val="000000"/>
      <w:sz w:val="24"/>
      <w:szCs w:val="24"/>
    </w:rPr>
  </w:style>
  <w:style w:type="paragraph" w:styleId="Listaconvietas3">
    <w:name w:val="List Bullet 3"/>
    <w:basedOn w:val="Normal"/>
    <w:uiPriority w:val="99"/>
    <w:unhideWhenUsed w:val="1"/>
    <w:rsid w:val="00FD48C3"/>
    <w:pPr>
      <w:numPr>
        <w:numId w:val="2"/>
      </w:numPr>
      <w:spacing w:after="0" w:line="240" w:lineRule="auto"/>
      <w:contextualSpacing w:val="1"/>
    </w:pPr>
    <w:rPr>
      <w:rFonts w:ascii="Times New Roman" w:cs="Times New Roman" w:eastAsia="Times New Roman" w:hAnsi="Times New Roman"/>
      <w:sz w:val="24"/>
      <w:szCs w:val="24"/>
      <w:lang w:val="es-ES"/>
    </w:rPr>
  </w:style>
  <w:style w:type="table" w:styleId="4" w:customStyle="1">
    <w:name w:val="4"/>
    <w:basedOn w:val="TableNormal9"/>
    <w:rsid w:val="00FD48C3"/>
    <w:rPr>
      <w:rFonts w:ascii="Calibri" w:cs="Calibri" w:eastAsia="Calibri" w:hAnsi="Calibri"/>
    </w:rPr>
    <w:tblPr>
      <w:tblStyleRowBandSize w:val="1"/>
      <w:tblStyleColBandSize w:val="1"/>
      <w:tblCellMar>
        <w:left w:w="115.0" w:type="dxa"/>
        <w:right w:w="115.0" w:type="dxa"/>
      </w:tblCellMar>
    </w:tblPr>
  </w:style>
  <w:style w:type="table" w:styleId="3" w:customStyle="1">
    <w:name w:val="3"/>
    <w:basedOn w:val="TableNormal9"/>
    <w:rsid w:val="00FD48C3"/>
    <w:rPr>
      <w:rFonts w:ascii="Calibri" w:cs="Calibri" w:eastAsia="Calibri" w:hAnsi="Calibri"/>
    </w:rPr>
    <w:tblPr>
      <w:tblStyleRowBandSize w:val="1"/>
      <w:tblStyleColBandSize w:val="1"/>
      <w:tblCellMar>
        <w:left w:w="115.0" w:type="dxa"/>
        <w:right w:w="115.0" w:type="dxa"/>
      </w:tblCellMar>
    </w:tblPr>
  </w:style>
  <w:style w:type="table" w:styleId="a9" w:customStyle="1">
    <w:basedOn w:val="TableNormal2"/>
    <w:tblPr>
      <w:tblStyleRowBandSize w:val="1"/>
      <w:tblStyleColBandSize w:val="1"/>
      <w:tblCellMar>
        <w:left w:w="115.0" w:type="dxa"/>
        <w:right w:w="115.0" w:type="dxa"/>
      </w:tblCellMar>
    </w:tblPr>
  </w:style>
  <w:style w:type="table" w:styleId="aa" w:customStyle="1">
    <w:basedOn w:val="TableNormal2"/>
    <w:tblPr>
      <w:tblStyleRowBandSize w:val="1"/>
      <w:tblStyleColBandSize w:val="1"/>
      <w:tblCellMar>
        <w:left w:w="115.0" w:type="dxa"/>
        <w:right w:w="115.0" w:type="dxa"/>
      </w:tblCellMar>
    </w:tblPr>
  </w:style>
  <w:style w:type="table" w:styleId="ab" w:customStyle="1">
    <w:basedOn w:val="TableNormal2"/>
    <w:tblPr>
      <w:tblStyleRowBandSize w:val="1"/>
      <w:tblStyleColBandSize w:val="1"/>
      <w:tblCellMar>
        <w:left w:w="115.0" w:type="dxa"/>
        <w:right w:w="115.0" w:type="dxa"/>
      </w:tblCellMar>
    </w:tblPr>
  </w:style>
  <w:style w:type="table" w:styleId="ac" w:customStyle="1">
    <w:basedOn w:val="TableNormal2"/>
    <w:tblPr>
      <w:tblStyleRowBandSize w:val="1"/>
      <w:tblStyleColBandSize w:val="1"/>
      <w:tblCellMar>
        <w:left w:w="115.0" w:type="dxa"/>
        <w:right w:w="115.0" w:type="dxa"/>
      </w:tblCellMar>
    </w:tblPr>
  </w:style>
  <w:style w:type="table" w:styleId="ad" w:customStyle="1">
    <w:basedOn w:val="TableNormal2"/>
    <w:tblPr>
      <w:tblStyleRowBandSize w:val="1"/>
      <w:tblStyleColBandSize w:val="1"/>
      <w:tblCellMar>
        <w:left w:w="115.0" w:type="dxa"/>
        <w:right w:w="115.0" w:type="dxa"/>
      </w:tblCellMar>
    </w:tblPr>
  </w:style>
  <w:style w:type="table" w:styleId="ae" w:customStyle="1">
    <w:basedOn w:val="TableNormal2"/>
    <w:tblPr>
      <w:tblStyleRowBandSize w:val="1"/>
      <w:tblStyleColBandSize w:val="1"/>
      <w:tblCellMar>
        <w:left w:w="115.0" w:type="dxa"/>
        <w:right w:w="115.0" w:type="dxa"/>
      </w:tblCellMar>
    </w:tblPr>
  </w:style>
  <w:style w:type="table" w:styleId="af" w:customStyle="1">
    <w:basedOn w:val="TableNormal2"/>
    <w:tblPr>
      <w:tblStyleRowBandSize w:val="1"/>
      <w:tblStyleColBandSize w:val="1"/>
      <w:tblCellMar>
        <w:left w:w="115.0" w:type="dxa"/>
        <w:right w:w="115.0" w:type="dxa"/>
      </w:tblCellMar>
    </w:tblPr>
  </w:style>
  <w:style w:type="paragraph" w:styleId="INFOEM" w:customStyle="1">
    <w:name w:val="INFOEM"/>
    <w:basedOn w:val="Normal"/>
    <w:qFormat w:val="1"/>
    <w:rsid w:val="00616865"/>
    <w:pPr>
      <w:spacing w:before="240" w:line="360" w:lineRule="auto"/>
      <w:ind w:left="851" w:right="851"/>
      <w:jc w:val="both"/>
    </w:pPr>
    <w:rPr>
      <w:rFonts w:ascii="Palatino Linotype" w:hAnsi="Palatino Linotype" w:cstheme="minorBidi" w:eastAsiaTheme="minorHAnsi"/>
      <w:i w:val="1"/>
      <w:szCs w:val="14"/>
      <w:lang w:eastAsia="en-US"/>
    </w:rPr>
  </w:style>
  <w:style w:type="paragraph" w:styleId="Citas" w:customStyle="1">
    <w:name w:val="Citas"/>
    <w:basedOn w:val="Normal"/>
    <w:qFormat w:val="1"/>
    <w:rsid w:val="00616865"/>
    <w:pPr>
      <w:spacing w:before="240" w:line="360" w:lineRule="auto"/>
      <w:ind w:left="851" w:right="851"/>
      <w:jc w:val="both"/>
    </w:pPr>
    <w:rPr>
      <w:rFonts w:ascii="Palatino Linotype" w:cs="Arial" w:hAnsi="Palatino Linotype" w:eastAsiaTheme="minorHAnsi"/>
      <w:i w:val="1"/>
      <w:lang w:eastAsia="en-US"/>
    </w:rPr>
  </w:style>
  <w:style w:type="table" w:styleId="af0" w:customStyle="1">
    <w:basedOn w:val="TableNormal1"/>
    <w:pPr>
      <w:spacing w:after="0" w:line="240" w:lineRule="auto"/>
    </w:pPr>
    <w:tblPr>
      <w:tblStyleRowBandSize w:val="1"/>
      <w:tblStyleColBandSize w:val="1"/>
      <w:tblCellMar>
        <w:left w:w="108.0" w:type="dxa"/>
        <w:right w:w="108.0" w:type="dxa"/>
      </w:tblCellMar>
    </w:tblPr>
  </w:style>
  <w:style w:type="table" w:styleId="af1" w:customStyle="1">
    <w:basedOn w:val="TableNormal1"/>
    <w:pPr>
      <w:spacing w:after="0" w:line="240" w:lineRule="auto"/>
    </w:pPr>
    <w:tblPr>
      <w:tblStyleRowBandSize w:val="1"/>
      <w:tblStyleColBandSize w:val="1"/>
      <w:tblCellMar>
        <w:left w:w="108.0" w:type="dxa"/>
        <w:right w:w="108.0" w:type="dxa"/>
      </w:tblCellMar>
    </w:tblPr>
  </w:style>
  <w:style w:type="table" w:styleId="af2" w:customStyle="1">
    <w:basedOn w:val="TableNormal1"/>
    <w:pPr>
      <w:spacing w:after="0" w:line="240" w:lineRule="auto"/>
    </w:pPr>
    <w:tblPr>
      <w:tblStyleRowBandSize w:val="1"/>
      <w:tblStyleColBandSize w:val="1"/>
      <w:tblCellMar>
        <w:left w:w="108.0" w:type="dxa"/>
        <w:right w:w="108.0" w:type="dxa"/>
      </w:tblCellMar>
    </w:tblPr>
  </w:style>
  <w:style w:type="table" w:styleId="af3" w:customStyle="1">
    <w:basedOn w:val="TableNormal1"/>
    <w:tblPr>
      <w:tblStyleRowBandSize w:val="1"/>
      <w:tblStyleColBandSize w:val="1"/>
      <w:tblCellMar>
        <w:left w:w="115.0" w:type="dxa"/>
        <w:right w:w="115.0" w:type="dxa"/>
      </w:tblCellMar>
    </w:tblPr>
  </w:style>
  <w:style w:type="table" w:styleId="af4" w:customStyle="1">
    <w:basedOn w:val="TableNormal1"/>
    <w:tblPr>
      <w:tblStyleRowBandSize w:val="1"/>
      <w:tblStyleColBandSize w:val="1"/>
      <w:tblCellMar>
        <w:left w:w="115.0" w:type="dxa"/>
        <w:right w:w="115.0" w:type="dxa"/>
      </w:tblCellMar>
    </w:tblPr>
  </w:style>
  <w:style w:type="table" w:styleId="af5" w:customStyle="1">
    <w:basedOn w:val="TableNormal0"/>
    <w:pPr>
      <w:spacing w:after="0" w:line="240" w:lineRule="auto"/>
    </w:pPr>
    <w:tblPr>
      <w:tblStyleRowBandSize w:val="1"/>
      <w:tblStyleColBandSize w:val="1"/>
      <w:tblCellMar>
        <w:left w:w="108.0" w:type="dxa"/>
        <w:right w:w="108.0" w:type="dxa"/>
      </w:tblCellMar>
    </w:tblPr>
  </w:style>
  <w:style w:type="table" w:styleId="af6" w:customStyle="1">
    <w:basedOn w:val="TableNormal0"/>
    <w:pPr>
      <w:spacing w:after="0" w:line="240" w:lineRule="auto"/>
    </w:pPr>
    <w:tblPr>
      <w:tblStyleRowBandSize w:val="1"/>
      <w:tblStyleColBandSize w:val="1"/>
      <w:tblCellMar>
        <w:left w:w="108.0" w:type="dxa"/>
        <w:right w:w="108.0" w:type="dxa"/>
      </w:tblCellMar>
    </w:tblPr>
  </w:style>
  <w:style w:type="table" w:styleId="af7" w:customStyle="1">
    <w:basedOn w:val="TableNormal0"/>
    <w:tblPr>
      <w:tblStyleRowBandSize w:val="1"/>
      <w:tblStyleColBandSize w:val="1"/>
      <w:tblCellMar>
        <w:left w:w="115.0" w:type="dxa"/>
        <w:right w:w="115.0" w:type="dxa"/>
      </w:tblCellMar>
    </w:tblPr>
  </w:style>
  <w:style w:type="table" w:styleId="af8"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XqfQjAd2GkV7A7LCCVCbVDCfew==">CgMxLjAyCWguMzBqMHpsbDIJaC4yZXQ5MnAwMghoLmdqZGd4czIOaC41OHVqZGtrZGtwNXkyDmgua2ZhZGozMmczb2NrOAByITF1QWZtY3BGV1lBem9mYmtJa1I0azV3QXVrdUtTNkg5Vg==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2025-05-07T22:45:00Z</dcterms:created>
  <dc:creator>Cuenta Microsoft</dc:creator>
</cp:coreProperties>
</file>