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A3B59"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febrero de dos mil veinticinco. </w:t>
      </w:r>
    </w:p>
    <w:p w14:paraId="23D3CA7B"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0F0BA1FC" w14:textId="0A53A311"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Visto</w:t>
      </w:r>
      <w:r w:rsidRPr="001F232D">
        <w:rPr>
          <w:rFonts w:ascii="Palatino Linotype" w:eastAsia="Palatino Linotype" w:hAnsi="Palatino Linotype" w:cs="Palatino Linotype"/>
          <w:sz w:val="22"/>
          <w:szCs w:val="22"/>
        </w:rPr>
        <w:t xml:space="preserve"> el expediente relativo al recurso de revisión </w:t>
      </w:r>
      <w:r w:rsidRPr="001F232D">
        <w:rPr>
          <w:rFonts w:ascii="Palatino Linotype" w:eastAsia="Palatino Linotype" w:hAnsi="Palatino Linotype" w:cs="Palatino Linotype"/>
          <w:b/>
          <w:sz w:val="22"/>
          <w:szCs w:val="22"/>
        </w:rPr>
        <w:t>00169/INFOEM/IP/RR/2025</w:t>
      </w:r>
      <w:r w:rsidRPr="001F232D">
        <w:rPr>
          <w:rFonts w:ascii="Palatino Linotype" w:eastAsia="Palatino Linotype" w:hAnsi="Palatino Linotype" w:cs="Palatino Linotype"/>
          <w:sz w:val="22"/>
          <w:szCs w:val="22"/>
        </w:rPr>
        <w:t xml:space="preserve">, interpuesto por </w:t>
      </w:r>
      <w:r w:rsidR="00846120" w:rsidRPr="00846120">
        <w:rPr>
          <w:rFonts w:ascii="Palatino Linotype" w:eastAsia="Palatino Linotype" w:hAnsi="Palatino Linotype" w:cs="Palatino Linotype"/>
          <w:b/>
          <w:sz w:val="22"/>
          <w:szCs w:val="22"/>
        </w:rPr>
        <w:t>XXXXX XXXXXXXX XXXXXX</w:t>
      </w:r>
      <w:r w:rsidRPr="001F232D">
        <w:rPr>
          <w:rFonts w:ascii="Palatino Linotype" w:eastAsia="Palatino Linotype" w:hAnsi="Palatino Linotype" w:cs="Palatino Linotype"/>
          <w:sz w:val="22"/>
          <w:szCs w:val="22"/>
        </w:rPr>
        <w:t xml:space="preserve">, en lo sucesivo se le denominará la persona </w:t>
      </w:r>
      <w:r w:rsidRPr="001F232D">
        <w:rPr>
          <w:rFonts w:ascii="Palatino Linotype" w:eastAsia="Palatino Linotype" w:hAnsi="Palatino Linotype" w:cs="Palatino Linotype"/>
          <w:b/>
          <w:sz w:val="22"/>
          <w:szCs w:val="22"/>
        </w:rPr>
        <w:t>RECURRENTE</w:t>
      </w:r>
      <w:r w:rsidRPr="001F232D">
        <w:rPr>
          <w:rFonts w:ascii="Palatino Linotype" w:eastAsia="Palatino Linotype" w:hAnsi="Palatino Linotype" w:cs="Palatino Linotype"/>
          <w:sz w:val="22"/>
          <w:szCs w:val="22"/>
        </w:rPr>
        <w:t>, en contra de la respuesta a su solicitud de información con número de folio</w:t>
      </w:r>
      <w:r w:rsidRPr="001F232D">
        <w:rPr>
          <w:rFonts w:ascii="Palatino Linotype" w:eastAsia="Palatino Linotype" w:hAnsi="Palatino Linotype" w:cs="Palatino Linotype"/>
          <w:b/>
          <w:sz w:val="22"/>
          <w:szCs w:val="22"/>
        </w:rPr>
        <w:t xml:space="preserve"> 00110/VIALLEN/IP/2024</w:t>
      </w:r>
      <w:r w:rsidRPr="001F232D">
        <w:rPr>
          <w:rFonts w:ascii="Palatino Linotype" w:eastAsia="Palatino Linotype" w:hAnsi="Palatino Linotype" w:cs="Palatino Linotype"/>
          <w:sz w:val="22"/>
          <w:szCs w:val="22"/>
        </w:rPr>
        <w:t xml:space="preserve">, por parte del </w:t>
      </w:r>
      <w:r w:rsidRPr="001F232D">
        <w:rPr>
          <w:rFonts w:ascii="Palatino Linotype" w:eastAsia="Palatino Linotype" w:hAnsi="Palatino Linotype" w:cs="Palatino Linotype"/>
          <w:b/>
          <w:sz w:val="22"/>
          <w:szCs w:val="22"/>
        </w:rPr>
        <w:t>Ayuntamiento de Villa de Allende</w:t>
      </w:r>
      <w:r w:rsidRPr="001F232D">
        <w:rPr>
          <w:rFonts w:ascii="Palatino Linotype" w:eastAsia="Palatino Linotype" w:hAnsi="Palatino Linotype" w:cs="Palatino Linotype"/>
          <w:sz w:val="22"/>
          <w:szCs w:val="22"/>
        </w:rPr>
        <w:t xml:space="preserve"> en lo sucesivo el </w:t>
      </w:r>
      <w:r w:rsidRPr="001F232D">
        <w:rPr>
          <w:rFonts w:ascii="Palatino Linotype" w:eastAsia="Palatino Linotype" w:hAnsi="Palatino Linotype" w:cs="Palatino Linotype"/>
          <w:b/>
          <w:sz w:val="22"/>
          <w:szCs w:val="22"/>
        </w:rPr>
        <w:t>SUJETO OBLIGADO</w:t>
      </w:r>
      <w:r w:rsidRPr="001F232D">
        <w:rPr>
          <w:rFonts w:ascii="Palatino Linotype" w:eastAsia="Palatino Linotype" w:hAnsi="Palatino Linotype" w:cs="Palatino Linotype"/>
          <w:sz w:val="22"/>
          <w:szCs w:val="22"/>
        </w:rPr>
        <w:t>;</w:t>
      </w:r>
      <w:r w:rsidRPr="001F232D">
        <w:rPr>
          <w:rFonts w:ascii="Palatino Linotype" w:eastAsia="Palatino Linotype" w:hAnsi="Palatino Linotype" w:cs="Palatino Linotype"/>
          <w:b/>
          <w:sz w:val="22"/>
          <w:szCs w:val="22"/>
        </w:rPr>
        <w:t xml:space="preserve"> </w:t>
      </w:r>
      <w:r w:rsidRPr="001F232D">
        <w:rPr>
          <w:rFonts w:ascii="Palatino Linotype" w:eastAsia="Palatino Linotype" w:hAnsi="Palatino Linotype" w:cs="Palatino Linotype"/>
          <w:sz w:val="22"/>
          <w:szCs w:val="22"/>
        </w:rPr>
        <w:t>se procede a dictar la presente resolución, con base en los siguientes:</w:t>
      </w:r>
    </w:p>
    <w:p w14:paraId="4C51F718"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7F81368C" w14:textId="77777777" w:rsidR="004072BD" w:rsidRPr="001F232D" w:rsidRDefault="0060766A">
      <w:pPr>
        <w:spacing w:line="360" w:lineRule="auto"/>
        <w:jc w:val="center"/>
        <w:rPr>
          <w:rFonts w:ascii="Palatino Linotype" w:eastAsia="Palatino Linotype" w:hAnsi="Palatino Linotype" w:cs="Palatino Linotype"/>
          <w:b/>
          <w:sz w:val="22"/>
          <w:szCs w:val="22"/>
        </w:rPr>
      </w:pPr>
      <w:r w:rsidRPr="001F232D">
        <w:rPr>
          <w:rFonts w:ascii="Palatino Linotype" w:eastAsia="Palatino Linotype" w:hAnsi="Palatino Linotype" w:cs="Palatino Linotype"/>
          <w:b/>
          <w:sz w:val="22"/>
          <w:szCs w:val="22"/>
        </w:rPr>
        <w:t>A N T E C E D E N T E S:</w:t>
      </w:r>
    </w:p>
    <w:p w14:paraId="1B16891B" w14:textId="77777777" w:rsidR="004072BD" w:rsidRPr="001F232D" w:rsidRDefault="004072BD">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4A96882E" w14:textId="77777777" w:rsidR="004072BD" w:rsidRPr="001F232D" w:rsidRDefault="0060766A">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1F232D">
        <w:rPr>
          <w:rFonts w:ascii="Palatino Linotype" w:eastAsia="Palatino Linotype" w:hAnsi="Palatino Linotype" w:cs="Palatino Linotype"/>
          <w:b/>
          <w:sz w:val="22"/>
          <w:szCs w:val="22"/>
        </w:rPr>
        <w:t xml:space="preserve">Solicitud de acceso a la información. </w:t>
      </w:r>
      <w:r w:rsidRPr="001F232D">
        <w:rPr>
          <w:rFonts w:ascii="Palatino Linotype" w:eastAsia="Palatino Linotype" w:hAnsi="Palatino Linotype" w:cs="Palatino Linotype"/>
          <w:sz w:val="22"/>
          <w:szCs w:val="22"/>
        </w:rPr>
        <w:t xml:space="preserve">Con fecha </w:t>
      </w:r>
      <w:r w:rsidRPr="001F232D">
        <w:rPr>
          <w:rFonts w:ascii="Palatino Linotype" w:eastAsia="Palatino Linotype" w:hAnsi="Palatino Linotype" w:cs="Palatino Linotype"/>
          <w:b/>
          <w:sz w:val="22"/>
          <w:szCs w:val="22"/>
        </w:rPr>
        <w:t>diecinueve de diciembre de dos mil veinticuatro</w:t>
      </w:r>
      <w:r w:rsidRPr="001F232D">
        <w:rPr>
          <w:rFonts w:ascii="Palatino Linotype" w:eastAsia="Palatino Linotype" w:hAnsi="Palatino Linotype" w:cs="Palatino Linotype"/>
          <w:sz w:val="22"/>
          <w:szCs w:val="22"/>
        </w:rPr>
        <w:t xml:space="preserve">, la parte </w:t>
      </w:r>
      <w:r w:rsidRPr="001F232D">
        <w:rPr>
          <w:rFonts w:ascii="Palatino Linotype" w:eastAsia="Palatino Linotype" w:hAnsi="Palatino Linotype" w:cs="Palatino Linotype"/>
          <w:b/>
          <w:sz w:val="22"/>
          <w:szCs w:val="22"/>
        </w:rPr>
        <w:t>RECURRENTE</w:t>
      </w:r>
      <w:r w:rsidRPr="001F232D">
        <w:rPr>
          <w:rFonts w:ascii="Palatino Linotype" w:eastAsia="Palatino Linotype" w:hAnsi="Palatino Linotype" w:cs="Palatino Linotype"/>
          <w:sz w:val="22"/>
          <w:szCs w:val="22"/>
        </w:rPr>
        <w:t xml:space="preserve"> formuló solicitud de acceso a información pública al </w:t>
      </w:r>
      <w:r w:rsidRPr="001F232D">
        <w:rPr>
          <w:rFonts w:ascii="Palatino Linotype" w:eastAsia="Palatino Linotype" w:hAnsi="Palatino Linotype" w:cs="Palatino Linotype"/>
          <w:b/>
          <w:sz w:val="22"/>
          <w:szCs w:val="22"/>
        </w:rPr>
        <w:t>SUJETO OBLIGADO</w:t>
      </w:r>
      <w:r w:rsidRPr="001F232D">
        <w:rPr>
          <w:rFonts w:ascii="Palatino Linotype" w:eastAsia="Palatino Linotype" w:hAnsi="Palatino Linotype" w:cs="Palatino Linotype"/>
          <w:sz w:val="22"/>
          <w:szCs w:val="22"/>
        </w:rPr>
        <w:t xml:space="preserve"> a través del Sistema de Acceso a la Información Mexiquense, en adelante </w:t>
      </w:r>
      <w:r w:rsidRPr="001F232D">
        <w:rPr>
          <w:rFonts w:ascii="Palatino Linotype" w:eastAsia="Palatino Linotype" w:hAnsi="Palatino Linotype" w:cs="Palatino Linotype"/>
          <w:b/>
          <w:sz w:val="22"/>
          <w:szCs w:val="22"/>
        </w:rPr>
        <w:t>SAIMEX</w:t>
      </w:r>
      <w:r w:rsidRPr="001F232D">
        <w:rPr>
          <w:rFonts w:ascii="Palatino Linotype" w:eastAsia="Palatino Linotype" w:hAnsi="Palatino Linotype" w:cs="Palatino Linotype"/>
          <w:sz w:val="22"/>
          <w:szCs w:val="22"/>
        </w:rPr>
        <w:t>, requiriéndole lo siguiente:</w:t>
      </w:r>
    </w:p>
    <w:p w14:paraId="0BF32F78" w14:textId="77777777" w:rsidR="004072BD" w:rsidRPr="001F232D" w:rsidRDefault="004072BD">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B70D182" w14:textId="77777777" w:rsidR="004072BD" w:rsidRPr="001F232D" w:rsidRDefault="0060766A">
      <w:pPr>
        <w:spacing w:line="276" w:lineRule="auto"/>
        <w:ind w:left="567" w:right="900"/>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“recorridos que realizan los carros de </w:t>
      </w:r>
      <w:proofErr w:type="spellStart"/>
      <w:r w:rsidRPr="001F232D">
        <w:rPr>
          <w:rFonts w:ascii="Palatino Linotype" w:eastAsia="Palatino Linotype" w:hAnsi="Palatino Linotype" w:cs="Palatino Linotype"/>
          <w:i/>
          <w:sz w:val="22"/>
          <w:szCs w:val="22"/>
        </w:rPr>
        <w:t>recoleccion</w:t>
      </w:r>
      <w:proofErr w:type="spellEnd"/>
      <w:r w:rsidRPr="001F232D">
        <w:rPr>
          <w:rFonts w:ascii="Palatino Linotype" w:eastAsia="Palatino Linotype" w:hAnsi="Palatino Linotype" w:cs="Palatino Linotype"/>
          <w:i/>
          <w:sz w:val="22"/>
          <w:szCs w:val="22"/>
        </w:rPr>
        <w:t xml:space="preserve"> de basura, cuanta gasolina tienen asignada. 2.- cuantos casos ha resuelto el juzgado de villa de allende. 3.- cuantos casos de violencia domestica han resuelto </w:t>
      </w:r>
      <w:proofErr w:type="spellStart"/>
      <w:r w:rsidRPr="001F232D">
        <w:rPr>
          <w:rFonts w:ascii="Palatino Linotype" w:eastAsia="Palatino Linotype" w:hAnsi="Palatino Linotype" w:cs="Palatino Linotype"/>
          <w:i/>
          <w:sz w:val="22"/>
          <w:szCs w:val="22"/>
        </w:rPr>
        <w:t>asi</w:t>
      </w:r>
      <w:proofErr w:type="spellEnd"/>
      <w:r w:rsidRPr="001F232D">
        <w:rPr>
          <w:rFonts w:ascii="Palatino Linotype" w:eastAsia="Palatino Linotype" w:hAnsi="Palatino Linotype" w:cs="Palatino Linotype"/>
          <w:i/>
          <w:sz w:val="22"/>
          <w:szCs w:val="22"/>
        </w:rPr>
        <w:t xml:space="preserve"> como las canalizaciones 4.- del </w:t>
      </w:r>
      <w:proofErr w:type="spellStart"/>
      <w:r w:rsidRPr="001F232D">
        <w:rPr>
          <w:rFonts w:ascii="Palatino Linotype" w:eastAsia="Palatino Linotype" w:hAnsi="Palatino Linotype" w:cs="Palatino Linotype"/>
          <w:i/>
          <w:sz w:val="22"/>
          <w:szCs w:val="22"/>
        </w:rPr>
        <w:t>intituto</w:t>
      </w:r>
      <w:proofErr w:type="spellEnd"/>
      <w:r w:rsidRPr="001F232D">
        <w:rPr>
          <w:rFonts w:ascii="Palatino Linotype" w:eastAsia="Palatino Linotype" w:hAnsi="Palatino Linotype" w:cs="Palatino Linotype"/>
          <w:i/>
          <w:sz w:val="22"/>
          <w:szCs w:val="22"/>
        </w:rPr>
        <w:t xml:space="preserve"> de la juventud metas alcanzadas e informe de actividades desde 2022-2024. 5.- de mejora regulatoria informes del </w:t>
      </w:r>
      <w:proofErr w:type="spellStart"/>
      <w:r w:rsidRPr="001F232D">
        <w:rPr>
          <w:rFonts w:ascii="Palatino Linotype" w:eastAsia="Palatino Linotype" w:hAnsi="Palatino Linotype" w:cs="Palatino Linotype"/>
          <w:i/>
          <w:sz w:val="22"/>
          <w:szCs w:val="22"/>
        </w:rPr>
        <w:t>catalogo</w:t>
      </w:r>
      <w:proofErr w:type="spellEnd"/>
      <w:r w:rsidRPr="001F232D">
        <w:rPr>
          <w:rFonts w:ascii="Palatino Linotype" w:eastAsia="Palatino Linotype" w:hAnsi="Palatino Linotype" w:cs="Palatino Linotype"/>
          <w:i/>
          <w:sz w:val="22"/>
          <w:szCs w:val="22"/>
        </w:rPr>
        <w:t xml:space="preserve"> de </w:t>
      </w:r>
      <w:proofErr w:type="spellStart"/>
      <w:r w:rsidRPr="001F232D">
        <w:rPr>
          <w:rFonts w:ascii="Palatino Linotype" w:eastAsia="Palatino Linotype" w:hAnsi="Palatino Linotype" w:cs="Palatino Linotype"/>
          <w:i/>
          <w:sz w:val="22"/>
          <w:szCs w:val="22"/>
        </w:rPr>
        <w:t>tramites</w:t>
      </w:r>
      <w:proofErr w:type="spellEnd"/>
      <w:r w:rsidRPr="001F232D">
        <w:rPr>
          <w:rFonts w:ascii="Palatino Linotype" w:eastAsia="Palatino Linotype" w:hAnsi="Palatino Linotype" w:cs="Palatino Linotype"/>
          <w:i/>
          <w:sz w:val="22"/>
          <w:szCs w:val="22"/>
        </w:rPr>
        <w:t xml:space="preserve"> y servicios que avances lograron desde 2022-2024. 6.- programas sociales que tiene a su cargo el ayuntamiento de villa de allende y metas alcanzadas desde 2022-2024. 7.- avances en materia de transparencia y acceso a la </w:t>
      </w:r>
      <w:proofErr w:type="spellStart"/>
      <w:r w:rsidRPr="001F232D">
        <w:rPr>
          <w:rFonts w:ascii="Palatino Linotype" w:eastAsia="Palatino Linotype" w:hAnsi="Palatino Linotype" w:cs="Palatino Linotype"/>
          <w:i/>
          <w:sz w:val="22"/>
          <w:szCs w:val="22"/>
        </w:rPr>
        <w:t>informacion</w:t>
      </w:r>
      <w:proofErr w:type="spellEnd"/>
      <w:r w:rsidRPr="001F232D">
        <w:rPr>
          <w:rFonts w:ascii="Palatino Linotype" w:eastAsia="Palatino Linotype" w:hAnsi="Palatino Linotype" w:cs="Palatino Linotype"/>
          <w:i/>
          <w:sz w:val="22"/>
          <w:szCs w:val="22"/>
        </w:rPr>
        <w:t xml:space="preserve"> y cuantas sesiones de </w:t>
      </w:r>
      <w:proofErr w:type="spellStart"/>
      <w:r w:rsidRPr="001F232D">
        <w:rPr>
          <w:rFonts w:ascii="Palatino Linotype" w:eastAsia="Palatino Linotype" w:hAnsi="Palatino Linotype" w:cs="Palatino Linotype"/>
          <w:i/>
          <w:sz w:val="22"/>
          <w:szCs w:val="22"/>
        </w:rPr>
        <w:t>comite</w:t>
      </w:r>
      <w:proofErr w:type="spellEnd"/>
      <w:r w:rsidRPr="001F232D">
        <w:rPr>
          <w:rFonts w:ascii="Palatino Linotype" w:eastAsia="Palatino Linotype" w:hAnsi="Palatino Linotype" w:cs="Palatino Linotype"/>
          <w:i/>
          <w:sz w:val="22"/>
          <w:szCs w:val="22"/>
        </w:rPr>
        <w:t xml:space="preserve"> realizo durante 2022-2024.”. </w:t>
      </w:r>
    </w:p>
    <w:p w14:paraId="02222393"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lastRenderedPageBreak/>
        <w:t xml:space="preserve">Modalidad elegida para la entrega de la información: </w:t>
      </w:r>
      <w:r w:rsidRPr="001F232D">
        <w:rPr>
          <w:rFonts w:ascii="Palatino Linotype" w:eastAsia="Palatino Linotype" w:hAnsi="Palatino Linotype" w:cs="Palatino Linotype"/>
          <w:sz w:val="22"/>
          <w:szCs w:val="22"/>
        </w:rPr>
        <w:t xml:space="preserve">a través del Sistema de Acceso a la Información Mexiquense.  </w:t>
      </w:r>
    </w:p>
    <w:p w14:paraId="72BB6C7B"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1B3D9FBA" w14:textId="77777777" w:rsidR="004072BD" w:rsidRPr="001F232D" w:rsidRDefault="0060766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bookmarkStart w:id="0" w:name="_heading=h.3znysh7" w:colFirst="0" w:colLast="0"/>
      <w:bookmarkEnd w:id="0"/>
      <w:r w:rsidRPr="001F232D">
        <w:rPr>
          <w:rFonts w:ascii="Palatino Linotype" w:eastAsia="Palatino Linotype" w:hAnsi="Palatino Linotype" w:cs="Palatino Linotype"/>
          <w:b/>
          <w:sz w:val="22"/>
          <w:szCs w:val="22"/>
        </w:rPr>
        <w:t xml:space="preserve">Respuesta. </w:t>
      </w:r>
      <w:r w:rsidRPr="001F232D">
        <w:rPr>
          <w:rFonts w:ascii="Palatino Linotype" w:eastAsia="Palatino Linotype" w:hAnsi="Palatino Linotype" w:cs="Palatino Linotype"/>
          <w:sz w:val="22"/>
          <w:szCs w:val="22"/>
        </w:rPr>
        <w:t xml:space="preserve">Con fecha </w:t>
      </w:r>
      <w:r w:rsidRPr="001F232D">
        <w:rPr>
          <w:rFonts w:ascii="Palatino Linotype" w:eastAsia="Palatino Linotype" w:hAnsi="Palatino Linotype" w:cs="Palatino Linotype"/>
          <w:b/>
          <w:sz w:val="22"/>
          <w:szCs w:val="22"/>
        </w:rPr>
        <w:t>veintiséis de diciembre de dos mil veinticuatro</w:t>
      </w:r>
      <w:r w:rsidRPr="001F232D">
        <w:rPr>
          <w:rFonts w:ascii="Palatino Linotype" w:eastAsia="Palatino Linotype" w:hAnsi="Palatino Linotype" w:cs="Palatino Linotype"/>
          <w:sz w:val="22"/>
          <w:szCs w:val="22"/>
        </w:rPr>
        <w:t xml:space="preserve">, el </w:t>
      </w:r>
      <w:r w:rsidRPr="001F232D">
        <w:rPr>
          <w:rFonts w:ascii="Palatino Linotype" w:eastAsia="Palatino Linotype" w:hAnsi="Palatino Linotype" w:cs="Palatino Linotype"/>
          <w:b/>
          <w:sz w:val="22"/>
          <w:szCs w:val="22"/>
        </w:rPr>
        <w:t>SUJETO OBLIGADO</w:t>
      </w:r>
      <w:r w:rsidRPr="001F232D">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2625627C" w14:textId="77777777" w:rsidR="004072BD" w:rsidRPr="001F232D" w:rsidRDefault="004072BD">
      <w:pPr>
        <w:tabs>
          <w:tab w:val="left" w:pos="7371"/>
        </w:tabs>
        <w:spacing w:line="360" w:lineRule="auto"/>
        <w:ind w:right="616"/>
        <w:jc w:val="both"/>
        <w:rPr>
          <w:rFonts w:ascii="Palatino Linotype" w:eastAsia="Palatino Linotype" w:hAnsi="Palatino Linotype" w:cs="Palatino Linotype"/>
          <w:i/>
          <w:sz w:val="22"/>
          <w:szCs w:val="22"/>
        </w:rPr>
      </w:pPr>
    </w:p>
    <w:p w14:paraId="03400691" w14:textId="77777777" w:rsidR="004072BD" w:rsidRPr="001F232D" w:rsidRDefault="0060766A">
      <w:pPr>
        <w:tabs>
          <w:tab w:val="left" w:pos="7371"/>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“SE ANEXA RESPUESTA</w:t>
      </w:r>
    </w:p>
    <w:p w14:paraId="4A48A225" w14:textId="77777777" w:rsidR="004072BD" w:rsidRPr="001F232D" w:rsidRDefault="0060766A">
      <w:pPr>
        <w:tabs>
          <w:tab w:val="left" w:pos="7371"/>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ATENTAMENTE”</w:t>
      </w:r>
    </w:p>
    <w:p w14:paraId="5F814B7F" w14:textId="77777777" w:rsidR="004072BD" w:rsidRPr="001F232D" w:rsidRDefault="004072BD">
      <w:pPr>
        <w:tabs>
          <w:tab w:val="left" w:pos="7371"/>
        </w:tabs>
        <w:spacing w:line="360" w:lineRule="auto"/>
        <w:ind w:right="616"/>
        <w:jc w:val="both"/>
        <w:rPr>
          <w:rFonts w:ascii="Palatino Linotype" w:eastAsia="Palatino Linotype" w:hAnsi="Palatino Linotype" w:cs="Palatino Linotype"/>
          <w:i/>
          <w:sz w:val="22"/>
          <w:szCs w:val="22"/>
        </w:rPr>
      </w:pPr>
    </w:p>
    <w:p w14:paraId="7E3A20BF"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Del mismo modo, el Sujeto Obligado adjuntó a su respuesta lo siguiente: </w:t>
      </w:r>
    </w:p>
    <w:p w14:paraId="170748E2"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0D83C592" w14:textId="77777777" w:rsidR="004072BD" w:rsidRPr="001F232D" w:rsidRDefault="0060766A">
      <w:pPr>
        <w:numPr>
          <w:ilvl w:val="0"/>
          <w:numId w:val="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Oficio de fecha veinticuatro de diciembre de dos mil veinticuatro, signado por la Jueza Cívica, mediante el cual informa que, a partir de su creación de fecha 23 de febrero de 2024 a la fecha de la solicitud, se han atendido y resuelto un total de 122 casos por la comisión de diferentes faltas administrativas estipuladas en el reglamento de Justicia Cívica de Villa de Allende, asimismo, refiere que, de acuerdo con lo que establece el artículo 121 de la Ley de Justicia Cívica del Estado de México y Municipios, el Juzgado Cívico no conoce ni resuelve casos que impliquen violencia de género contra mujeres, niñas y adolescentes, siendo una conducta tipificada en el artículo 218 del Código Penal del Estado de México, por lo que los mismos son atendidos como primer contacto por la Dirección del Instituto de la Mujer o en su caso de la Coordinación de Policía de Género de Villa de Allende.</w:t>
      </w:r>
    </w:p>
    <w:p w14:paraId="133F1FC0" w14:textId="77777777" w:rsidR="004072BD" w:rsidRPr="001F232D" w:rsidRDefault="0060766A">
      <w:pPr>
        <w:numPr>
          <w:ilvl w:val="0"/>
          <w:numId w:val="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Oficio de fecha veintiséis de diciembre de dos mil veinticuatro, signado por el Titular de la Unidad de Transparencia, mediante el cual informa que, en relación con el punto avances en materia de transparencia y acceso a la información, se </w:t>
      </w:r>
      <w:r w:rsidRPr="001F232D">
        <w:rPr>
          <w:rFonts w:ascii="Palatino Linotype" w:eastAsia="Palatino Linotype" w:hAnsi="Palatino Linotype" w:cs="Palatino Linotype"/>
          <w:sz w:val="22"/>
          <w:szCs w:val="22"/>
        </w:rPr>
        <w:lastRenderedPageBreak/>
        <w:t>realizó la atención y seguimiento a las diversas solicitudes de información pendientes tras la entrega-recepción de la anterior titular, se actualizaron las obligaciones comunes y especificas en materia de transparencia que enmarca la normatividad aplicable, atendieron los requerimientos de INFOEM, se actualizaron los documentos de seguridad y avisos de privacidad de las áreas existentes.</w:t>
      </w:r>
    </w:p>
    <w:p w14:paraId="77B1B494" w14:textId="77777777" w:rsidR="004072BD" w:rsidRPr="001F232D" w:rsidRDefault="004072BD">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p>
    <w:p w14:paraId="77699BEE" w14:textId="77777777" w:rsidR="004072BD" w:rsidRPr="001F232D" w:rsidRDefault="0060766A">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En relación con el número de sesiones que el comité realizó durante 2022-2024, se precisó que, el comité realizó las siguientes:</w:t>
      </w:r>
    </w:p>
    <w:p w14:paraId="298FF791" w14:textId="77777777" w:rsidR="004072BD" w:rsidRPr="001F232D" w:rsidRDefault="004072BD">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p>
    <w:p w14:paraId="13194421" w14:textId="77777777" w:rsidR="004072BD" w:rsidRPr="001F232D" w:rsidRDefault="0060766A">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2022: 5 sesiones ordinarias de comité.</w:t>
      </w:r>
    </w:p>
    <w:p w14:paraId="4B576048" w14:textId="77777777" w:rsidR="004072BD" w:rsidRPr="001F232D" w:rsidRDefault="0060766A">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2023: 5 sesiones ordinarias de comité y 9 extraordinarias.</w:t>
      </w:r>
    </w:p>
    <w:p w14:paraId="72159022" w14:textId="77777777" w:rsidR="004072BD" w:rsidRPr="001F232D" w:rsidRDefault="0060766A">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2024: 6 sesiones </w:t>
      </w:r>
      <w:proofErr w:type="gramStart"/>
      <w:r w:rsidRPr="001F232D">
        <w:rPr>
          <w:rFonts w:ascii="Palatino Linotype" w:eastAsia="Palatino Linotype" w:hAnsi="Palatino Linotype" w:cs="Palatino Linotype"/>
          <w:sz w:val="22"/>
          <w:szCs w:val="22"/>
        </w:rPr>
        <w:t>Ordinarias  y</w:t>
      </w:r>
      <w:proofErr w:type="gramEnd"/>
      <w:r w:rsidRPr="001F232D">
        <w:rPr>
          <w:rFonts w:ascii="Palatino Linotype" w:eastAsia="Palatino Linotype" w:hAnsi="Palatino Linotype" w:cs="Palatino Linotype"/>
          <w:sz w:val="22"/>
          <w:szCs w:val="22"/>
        </w:rPr>
        <w:t xml:space="preserve"> 30 sesiones Extraordinarias.</w:t>
      </w:r>
    </w:p>
    <w:p w14:paraId="40474A5C" w14:textId="77777777" w:rsidR="004072BD" w:rsidRPr="001F232D" w:rsidRDefault="004072BD">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09FC7561" w14:textId="77777777" w:rsidR="004072BD" w:rsidRPr="001F232D" w:rsidRDefault="0060766A">
      <w:pPr>
        <w:numPr>
          <w:ilvl w:val="0"/>
          <w:numId w:val="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Oficio de fecha treinta de diciembre de dos mil veinticuatro, signado por la </w:t>
      </w:r>
      <w:proofErr w:type="gramStart"/>
      <w:r w:rsidRPr="001F232D">
        <w:rPr>
          <w:rFonts w:ascii="Palatino Linotype" w:eastAsia="Palatino Linotype" w:hAnsi="Palatino Linotype" w:cs="Palatino Linotype"/>
          <w:sz w:val="22"/>
          <w:szCs w:val="22"/>
        </w:rPr>
        <w:t>Directora</w:t>
      </w:r>
      <w:proofErr w:type="gramEnd"/>
      <w:r w:rsidRPr="001F232D">
        <w:rPr>
          <w:rFonts w:ascii="Palatino Linotype" w:eastAsia="Palatino Linotype" w:hAnsi="Palatino Linotype" w:cs="Palatino Linotype"/>
          <w:sz w:val="22"/>
          <w:szCs w:val="22"/>
        </w:rPr>
        <w:t xml:space="preserve"> de Desarrollo Social, mediante el cual informó que los programas sociales que tiene a su cargo el ayuntamiento son los siguientes:</w:t>
      </w:r>
    </w:p>
    <w:p w14:paraId="352FC86E" w14:textId="77777777" w:rsidR="004072BD" w:rsidRPr="001F232D" w:rsidRDefault="0060766A">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Construcción de cuartos dormitorios.</w:t>
      </w:r>
    </w:p>
    <w:p w14:paraId="0528F4AA" w14:textId="77777777" w:rsidR="004072BD" w:rsidRPr="001F232D" w:rsidRDefault="0060766A">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Construcción de techos firmes.</w:t>
      </w:r>
    </w:p>
    <w:p w14:paraId="0F3EC2ED" w14:textId="77777777" w:rsidR="004072BD" w:rsidRPr="001F232D" w:rsidRDefault="004072BD">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p>
    <w:p w14:paraId="75C8B52B" w14:textId="77777777" w:rsidR="004072BD" w:rsidRPr="001F232D" w:rsidRDefault="0060766A">
      <w:pPr>
        <w:pBdr>
          <w:top w:val="nil"/>
          <w:left w:val="nil"/>
          <w:bottom w:val="nil"/>
          <w:right w:val="nil"/>
          <w:between w:val="nil"/>
        </w:pBdr>
        <w:tabs>
          <w:tab w:val="left" w:pos="426"/>
        </w:tabs>
        <w:spacing w:line="360" w:lineRule="auto"/>
        <w:ind w:left="720"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Asimismo, anexó las metas de los años 2022, 2023 y 2024.</w:t>
      </w:r>
    </w:p>
    <w:p w14:paraId="2FDB1FDE" w14:textId="77777777" w:rsidR="004072BD" w:rsidRPr="001F232D" w:rsidRDefault="004072BD">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04625B33" w14:textId="77777777" w:rsidR="004072BD" w:rsidRPr="001F232D" w:rsidRDefault="0060766A">
      <w:pPr>
        <w:numPr>
          <w:ilvl w:val="0"/>
          <w:numId w:val="2"/>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 xml:space="preserve">Interposición del recurso de revisión. </w:t>
      </w:r>
      <w:r w:rsidRPr="001F232D">
        <w:rPr>
          <w:rFonts w:ascii="Palatino Linotype" w:eastAsia="Palatino Linotype" w:hAnsi="Palatino Linotype" w:cs="Palatino Linotype"/>
          <w:sz w:val="22"/>
          <w:szCs w:val="22"/>
        </w:rPr>
        <w:t xml:space="preserve">Inconforme con la respuesta del </w:t>
      </w:r>
      <w:r w:rsidRPr="001F232D">
        <w:rPr>
          <w:rFonts w:ascii="Palatino Linotype" w:eastAsia="Palatino Linotype" w:hAnsi="Palatino Linotype" w:cs="Palatino Linotype"/>
          <w:b/>
          <w:sz w:val="22"/>
          <w:szCs w:val="22"/>
        </w:rPr>
        <w:t>SUJETO OBLIGADO el ahora RECURRENTE</w:t>
      </w:r>
      <w:r w:rsidRPr="001F232D">
        <w:rPr>
          <w:rFonts w:ascii="Palatino Linotype" w:eastAsia="Palatino Linotype" w:hAnsi="Palatino Linotype" w:cs="Palatino Linotype"/>
          <w:sz w:val="22"/>
          <w:szCs w:val="22"/>
        </w:rPr>
        <w:t xml:space="preserve"> interpuso recurso de revisión a través del SAIMEX en fecha </w:t>
      </w:r>
      <w:r w:rsidRPr="001F232D">
        <w:rPr>
          <w:rFonts w:ascii="Palatino Linotype" w:eastAsia="Palatino Linotype" w:hAnsi="Palatino Linotype" w:cs="Palatino Linotype"/>
          <w:b/>
          <w:sz w:val="22"/>
          <w:szCs w:val="22"/>
        </w:rPr>
        <w:t>veintidós de enero de dos mil veinticinco</w:t>
      </w:r>
      <w:r w:rsidRPr="001F232D">
        <w:rPr>
          <w:rFonts w:ascii="Palatino Linotype" w:eastAsia="Palatino Linotype" w:hAnsi="Palatino Linotype" w:cs="Palatino Linotype"/>
          <w:sz w:val="22"/>
          <w:szCs w:val="22"/>
        </w:rPr>
        <w:t>, a través del cual expresó lo siguiente:</w:t>
      </w:r>
    </w:p>
    <w:p w14:paraId="4C5154F2" w14:textId="77777777" w:rsidR="004072BD" w:rsidRPr="001F232D" w:rsidRDefault="004072BD">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6734A233" w14:textId="77777777" w:rsidR="004072BD" w:rsidRPr="001F232D" w:rsidRDefault="004072BD">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693F7A02" w14:textId="77777777" w:rsidR="004072BD" w:rsidRPr="001F232D" w:rsidRDefault="0060766A">
      <w:pPr>
        <w:spacing w:line="276" w:lineRule="auto"/>
        <w:ind w:left="567"/>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sz w:val="22"/>
          <w:szCs w:val="22"/>
        </w:rPr>
        <w:lastRenderedPageBreak/>
        <w:t xml:space="preserve">Acto impugnado. </w:t>
      </w:r>
      <w:r w:rsidRPr="001F232D">
        <w:rPr>
          <w:rFonts w:ascii="Palatino Linotype" w:eastAsia="Palatino Linotype" w:hAnsi="Palatino Linotype" w:cs="Palatino Linotype"/>
          <w:i/>
          <w:sz w:val="22"/>
          <w:szCs w:val="22"/>
        </w:rPr>
        <w:t xml:space="preserve">“No entregaron lo solicitado” </w:t>
      </w:r>
    </w:p>
    <w:p w14:paraId="433885C1" w14:textId="77777777" w:rsidR="004072BD" w:rsidRPr="001F232D" w:rsidRDefault="004072BD">
      <w:pPr>
        <w:spacing w:line="360" w:lineRule="auto"/>
        <w:ind w:left="567"/>
        <w:rPr>
          <w:sz w:val="22"/>
          <w:szCs w:val="22"/>
        </w:rPr>
      </w:pPr>
    </w:p>
    <w:p w14:paraId="6A700D96" w14:textId="77777777" w:rsidR="004072BD" w:rsidRPr="001F232D" w:rsidRDefault="0060766A">
      <w:pPr>
        <w:spacing w:line="360" w:lineRule="auto"/>
        <w:ind w:left="567" w:right="49"/>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 xml:space="preserve">Motivos de inconformidad. </w:t>
      </w:r>
      <w:r w:rsidRPr="001F232D">
        <w:rPr>
          <w:rFonts w:ascii="Palatino Linotype" w:eastAsia="Palatino Linotype" w:hAnsi="Palatino Linotype" w:cs="Palatino Linotype"/>
          <w:i/>
          <w:sz w:val="22"/>
          <w:szCs w:val="22"/>
        </w:rPr>
        <w:t xml:space="preserve">“No entregaron lo solicitado”. </w:t>
      </w:r>
    </w:p>
    <w:p w14:paraId="67C6107A" w14:textId="77777777" w:rsidR="004072BD" w:rsidRPr="001F232D" w:rsidRDefault="004072BD">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3473021F" w14:textId="77777777" w:rsidR="004072BD" w:rsidRPr="001F232D" w:rsidRDefault="0060766A">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 xml:space="preserve">Turno. </w:t>
      </w:r>
      <w:r w:rsidRPr="001F232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1F232D">
        <w:rPr>
          <w:rFonts w:ascii="Palatino Linotype" w:eastAsia="Palatino Linotype" w:hAnsi="Palatino Linotype" w:cs="Palatino Linotype"/>
          <w:b/>
          <w:sz w:val="22"/>
          <w:szCs w:val="22"/>
        </w:rPr>
        <w:t>00169/INFOEM/IP/RR/2025</w:t>
      </w:r>
      <w:r w:rsidRPr="001F232D">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w:t>
      </w:r>
      <w:r w:rsidRPr="001F232D">
        <w:rPr>
          <w:rFonts w:ascii="Palatino Linotype" w:eastAsia="Palatino Linotype" w:hAnsi="Palatino Linotype" w:cs="Palatino Linotype"/>
          <w:b/>
          <w:sz w:val="22"/>
          <w:szCs w:val="22"/>
        </w:rPr>
        <w:t>Comisionada</w:t>
      </w:r>
      <w:r w:rsidRPr="001F232D">
        <w:rPr>
          <w:rFonts w:ascii="Palatino Linotype" w:eastAsia="Palatino Linotype" w:hAnsi="Palatino Linotype" w:cs="Palatino Linotype"/>
          <w:sz w:val="22"/>
          <w:szCs w:val="22"/>
        </w:rPr>
        <w:t xml:space="preserve"> </w:t>
      </w:r>
      <w:r w:rsidRPr="001F232D">
        <w:rPr>
          <w:rFonts w:ascii="Palatino Linotype" w:eastAsia="Palatino Linotype" w:hAnsi="Palatino Linotype" w:cs="Palatino Linotype"/>
          <w:b/>
          <w:sz w:val="22"/>
          <w:szCs w:val="22"/>
        </w:rPr>
        <w:t>Guadalupe Ramírez Peña</w:t>
      </w:r>
      <w:r w:rsidRPr="001F232D">
        <w:rPr>
          <w:rFonts w:ascii="Palatino Linotype" w:eastAsia="Palatino Linotype" w:hAnsi="Palatino Linotype" w:cs="Palatino Linotype"/>
          <w:sz w:val="22"/>
          <w:szCs w:val="22"/>
        </w:rPr>
        <w:t>, para su análisis, estudio, elaboración del proyecto y presentación ante el Pleno de este Instituto.</w:t>
      </w:r>
    </w:p>
    <w:p w14:paraId="3B252505" w14:textId="77777777" w:rsidR="004072BD" w:rsidRPr="001F232D" w:rsidRDefault="004072B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B0A0EC7" w14:textId="77777777" w:rsidR="004072BD" w:rsidRPr="001F232D" w:rsidRDefault="0060766A">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1F232D">
        <w:rPr>
          <w:rFonts w:ascii="Palatino Linotype" w:eastAsia="Palatino Linotype" w:hAnsi="Palatino Linotype" w:cs="Palatino Linotype"/>
          <w:b/>
          <w:sz w:val="22"/>
          <w:szCs w:val="22"/>
        </w:rPr>
        <w:t xml:space="preserve">Admisión del recurso de revisión: </w:t>
      </w:r>
      <w:r w:rsidRPr="001F232D">
        <w:rPr>
          <w:rFonts w:ascii="Palatino Linotype" w:eastAsia="Palatino Linotype" w:hAnsi="Palatino Linotype" w:cs="Palatino Linotype"/>
          <w:sz w:val="22"/>
          <w:szCs w:val="22"/>
        </w:rPr>
        <w:t xml:space="preserve">En fecha </w:t>
      </w:r>
      <w:r w:rsidRPr="001F232D">
        <w:rPr>
          <w:rFonts w:ascii="Palatino Linotype" w:eastAsia="Palatino Linotype" w:hAnsi="Palatino Linotype" w:cs="Palatino Linotype"/>
          <w:b/>
          <w:sz w:val="22"/>
          <w:szCs w:val="22"/>
        </w:rPr>
        <w:t>veintisiete de enero de dos mil veinticinco</w:t>
      </w:r>
      <w:r w:rsidRPr="001F232D">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1F232D">
        <w:rPr>
          <w:rFonts w:ascii="Palatino Linotype" w:eastAsia="Palatino Linotype" w:hAnsi="Palatino Linotype" w:cs="Palatino Linotype"/>
          <w:b/>
          <w:sz w:val="22"/>
          <w:szCs w:val="22"/>
        </w:rPr>
        <w:t>SUJETO OBLIGADO</w:t>
      </w:r>
      <w:r w:rsidRPr="001F232D">
        <w:rPr>
          <w:rFonts w:ascii="Palatino Linotype" w:eastAsia="Palatino Linotype" w:hAnsi="Palatino Linotype" w:cs="Palatino Linotype"/>
          <w:sz w:val="22"/>
          <w:szCs w:val="22"/>
        </w:rPr>
        <w:t xml:space="preserve"> presentara su informe justificado.</w:t>
      </w:r>
    </w:p>
    <w:p w14:paraId="6BE5B996" w14:textId="77777777" w:rsidR="004072BD" w:rsidRPr="001F232D" w:rsidRDefault="004072B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70DB2C4" w14:textId="77777777" w:rsidR="004072BD" w:rsidRPr="001F232D" w:rsidRDefault="0060766A">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Manifestaciones.</w:t>
      </w:r>
      <w:r w:rsidRPr="001F232D">
        <w:rPr>
          <w:rFonts w:ascii="Palatino Linotype" w:eastAsia="Palatino Linotype" w:hAnsi="Palatino Linotype" w:cs="Palatino Linotype"/>
          <w:sz w:val="22"/>
          <w:szCs w:val="22"/>
        </w:rPr>
        <w:t xml:space="preserve"> Las partes fueron omisas en rendir manifestaciones. </w:t>
      </w:r>
    </w:p>
    <w:p w14:paraId="138FEC09" w14:textId="77777777" w:rsidR="004072BD" w:rsidRPr="001F232D" w:rsidRDefault="004072B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35EDF27" w14:textId="77777777" w:rsidR="004072BD" w:rsidRPr="001F232D" w:rsidRDefault="0060766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7. </w:t>
      </w:r>
      <w:r w:rsidRPr="001F232D">
        <w:rPr>
          <w:rFonts w:ascii="Palatino Linotype" w:eastAsia="Palatino Linotype" w:hAnsi="Palatino Linotype" w:cs="Palatino Linotype"/>
          <w:b/>
          <w:sz w:val="22"/>
          <w:szCs w:val="22"/>
        </w:rPr>
        <w:t xml:space="preserve">Cierre de instrucción. </w:t>
      </w:r>
      <w:r w:rsidRPr="001F232D">
        <w:rPr>
          <w:rFonts w:ascii="Palatino Linotype" w:eastAsia="Palatino Linotype" w:hAnsi="Palatino Linotype" w:cs="Palatino Linotype"/>
          <w:sz w:val="22"/>
          <w:szCs w:val="22"/>
        </w:rPr>
        <w:t xml:space="preserve">El </w:t>
      </w:r>
      <w:r w:rsidRPr="001F232D">
        <w:rPr>
          <w:rFonts w:ascii="Palatino Linotype" w:eastAsia="Palatino Linotype" w:hAnsi="Palatino Linotype" w:cs="Palatino Linotype"/>
          <w:b/>
          <w:sz w:val="22"/>
          <w:szCs w:val="22"/>
        </w:rPr>
        <w:t>doce de febrero de dos mil veinticinco</w:t>
      </w:r>
      <w:r w:rsidRPr="001F232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9A39264" w14:textId="77777777" w:rsidR="004072BD" w:rsidRPr="001F232D" w:rsidRDefault="004072B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5333DB25" w14:textId="77777777" w:rsidR="004072BD" w:rsidRPr="001F232D" w:rsidRDefault="0060766A">
      <w:pPr>
        <w:spacing w:line="360" w:lineRule="auto"/>
        <w:jc w:val="both"/>
        <w:rPr>
          <w:rFonts w:ascii="Palatino Linotype" w:eastAsia="Palatino Linotype" w:hAnsi="Palatino Linotype" w:cs="Palatino Linotype"/>
          <w:sz w:val="22"/>
          <w:szCs w:val="22"/>
        </w:rPr>
      </w:pPr>
      <w:bookmarkStart w:id="2" w:name="_heading=h.30j0zll" w:colFirst="0" w:colLast="0"/>
      <w:bookmarkEnd w:id="2"/>
      <w:r w:rsidRPr="001F232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76B0BF6" w14:textId="77777777" w:rsidR="004072BD" w:rsidRPr="001F232D" w:rsidRDefault="0060766A">
      <w:pPr>
        <w:numPr>
          <w:ilvl w:val="0"/>
          <w:numId w:val="9"/>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1F232D">
        <w:rPr>
          <w:rFonts w:ascii="Palatino Linotype" w:eastAsia="Palatino Linotype" w:hAnsi="Palatino Linotype" w:cs="Palatino Linotype"/>
          <w:b/>
          <w:sz w:val="22"/>
          <w:szCs w:val="22"/>
        </w:rPr>
        <w:lastRenderedPageBreak/>
        <w:t>C O N S I D E R A N D O:</w:t>
      </w:r>
    </w:p>
    <w:p w14:paraId="30B696F6" w14:textId="77777777" w:rsidR="004072BD" w:rsidRPr="001F232D" w:rsidRDefault="004072BD">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67CA36DA"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 xml:space="preserve">Primero. Competencia. </w:t>
      </w:r>
      <w:r w:rsidRPr="001F232D">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3A74114"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52788E15"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Segundo. Oportunidad y Procedibilidad del Recurso de Revisión</w:t>
      </w:r>
      <w:r w:rsidRPr="001F232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5EF9218"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02C49417"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1F232D">
        <w:rPr>
          <w:rFonts w:ascii="Palatino Linotype" w:eastAsia="Palatino Linotype" w:hAnsi="Palatino Linotype" w:cs="Palatino Linotype"/>
          <w:b/>
          <w:sz w:val="22"/>
          <w:szCs w:val="22"/>
        </w:rPr>
        <w:t>SUJETO OBLIGADO</w:t>
      </w:r>
      <w:r w:rsidRPr="001F232D">
        <w:rPr>
          <w:rFonts w:ascii="Palatino Linotype" w:eastAsia="Palatino Linotype" w:hAnsi="Palatino Linotype" w:cs="Palatino Linotype"/>
          <w:sz w:val="22"/>
          <w:szCs w:val="22"/>
        </w:rPr>
        <w:t xml:space="preserve"> proporcionó su respuesta a la solicitud de información el </w:t>
      </w:r>
      <w:r w:rsidRPr="001F232D">
        <w:rPr>
          <w:rFonts w:ascii="Palatino Linotype" w:eastAsia="Palatino Linotype" w:hAnsi="Palatino Linotype" w:cs="Palatino Linotype"/>
          <w:b/>
          <w:sz w:val="22"/>
          <w:szCs w:val="22"/>
        </w:rPr>
        <w:t>veintiséis de diciembre de dos mil veinticuatro</w:t>
      </w:r>
      <w:r w:rsidRPr="001F232D">
        <w:rPr>
          <w:rFonts w:ascii="Palatino Linotype" w:eastAsia="Palatino Linotype" w:hAnsi="Palatino Linotype" w:cs="Palatino Linotype"/>
          <w:sz w:val="22"/>
          <w:szCs w:val="22"/>
        </w:rPr>
        <w:t xml:space="preserve">, y la persona </w:t>
      </w:r>
      <w:r w:rsidRPr="001F232D">
        <w:rPr>
          <w:rFonts w:ascii="Palatino Linotype" w:eastAsia="Palatino Linotype" w:hAnsi="Palatino Linotype" w:cs="Palatino Linotype"/>
          <w:b/>
          <w:sz w:val="22"/>
          <w:szCs w:val="22"/>
        </w:rPr>
        <w:t>RECURRENTE</w:t>
      </w:r>
      <w:r w:rsidRPr="001F232D">
        <w:rPr>
          <w:rFonts w:ascii="Palatino Linotype" w:eastAsia="Palatino Linotype" w:hAnsi="Palatino Linotype" w:cs="Palatino Linotype"/>
          <w:sz w:val="22"/>
          <w:szCs w:val="22"/>
        </w:rPr>
        <w:t xml:space="preserve"> presentó su recurso de revisión el </w:t>
      </w:r>
      <w:r w:rsidRPr="001F232D">
        <w:rPr>
          <w:rFonts w:ascii="Palatino Linotype" w:eastAsia="Palatino Linotype" w:hAnsi="Palatino Linotype" w:cs="Palatino Linotype"/>
          <w:b/>
          <w:sz w:val="22"/>
          <w:szCs w:val="22"/>
        </w:rPr>
        <w:t>veintidós de enero de dos mil veinticinco</w:t>
      </w:r>
      <w:r w:rsidRPr="001F232D">
        <w:rPr>
          <w:rFonts w:ascii="Palatino Linotype" w:eastAsia="Palatino Linotype" w:hAnsi="Palatino Linotype" w:cs="Palatino Linotype"/>
          <w:sz w:val="22"/>
          <w:szCs w:val="22"/>
        </w:rPr>
        <w:t xml:space="preserve">, esto es al cuarto día en que se tuvo conocimiento de la respuesta.  </w:t>
      </w:r>
    </w:p>
    <w:p w14:paraId="4A71E316"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0E21ADB2"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D1142F5"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5A427ACF"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436E2DD1"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74E083DD"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r w:rsidRPr="001F232D">
        <w:rPr>
          <w:rFonts w:ascii="Palatino Linotype" w:eastAsia="Palatino Linotype" w:hAnsi="Palatino Linotype" w:cs="Palatino Linotype"/>
          <w:b/>
          <w:i/>
          <w:sz w:val="22"/>
          <w:szCs w:val="22"/>
        </w:rPr>
        <w:t xml:space="preserve">Artículo 179. </w:t>
      </w:r>
      <w:r w:rsidRPr="001F232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42FA66D"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1310883B" w14:textId="77777777" w:rsidR="004072BD" w:rsidRPr="001F232D" w:rsidRDefault="0060766A">
      <w:pPr>
        <w:spacing w:line="360"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 La negativa de entrega de la información;</w:t>
      </w:r>
    </w:p>
    <w:p w14:paraId="7C46F0BC" w14:textId="77777777" w:rsidR="004072BD" w:rsidRPr="001F232D" w:rsidRDefault="0060766A">
      <w:pPr>
        <w:spacing w:line="360"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488E4A11" w14:textId="77777777" w:rsidR="004072BD" w:rsidRPr="001F232D" w:rsidRDefault="004072BD">
      <w:pPr>
        <w:spacing w:line="360" w:lineRule="auto"/>
        <w:jc w:val="both"/>
        <w:rPr>
          <w:rFonts w:ascii="Palatino Linotype" w:eastAsia="Palatino Linotype" w:hAnsi="Palatino Linotype" w:cs="Palatino Linotype"/>
          <w:b/>
          <w:sz w:val="22"/>
          <w:szCs w:val="22"/>
        </w:rPr>
      </w:pPr>
    </w:p>
    <w:p w14:paraId="15BC4C10"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 xml:space="preserve">Tercero. Materia de la revisión. </w:t>
      </w:r>
      <w:r w:rsidRPr="001F232D">
        <w:rPr>
          <w:rFonts w:ascii="Palatino Linotype" w:eastAsia="Palatino Linotype" w:hAnsi="Palatino Linotype" w:cs="Palatino Linotype"/>
          <w:sz w:val="22"/>
          <w:szCs w:val="22"/>
        </w:rPr>
        <w:t>Este Organismo Garante procede del análisis de los agravios hechos valer por la persona Recurrente, a fin de determinar si se violenta en perjuicio de este, el derecho de acceso a la información previsto en la Constitución Política de los Estados Unidos Mexicanos y en la Constitución Política del Estado Libre y Soberano de México.</w:t>
      </w:r>
    </w:p>
    <w:p w14:paraId="73BECC23" w14:textId="77777777" w:rsidR="004072BD" w:rsidRPr="001F232D" w:rsidRDefault="004072BD">
      <w:pPr>
        <w:spacing w:line="360" w:lineRule="auto"/>
        <w:jc w:val="both"/>
        <w:rPr>
          <w:rFonts w:ascii="Palatino Linotype" w:eastAsia="Palatino Linotype" w:hAnsi="Palatino Linotype" w:cs="Palatino Linotype"/>
          <w:b/>
          <w:sz w:val="22"/>
          <w:szCs w:val="22"/>
        </w:rPr>
      </w:pPr>
    </w:p>
    <w:p w14:paraId="79AA621B"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 xml:space="preserve">Cuarto. Estudio del asunto. </w:t>
      </w:r>
      <w:r w:rsidRPr="001F232D">
        <w:rPr>
          <w:rFonts w:ascii="Palatino Linotype" w:eastAsia="Palatino Linotype" w:hAnsi="Palatino Linotype" w:cs="Palatino Linotype"/>
          <w:sz w:val="22"/>
          <w:szCs w:val="22"/>
        </w:rPr>
        <w:t xml:space="preserve">En principio, es conveniente analizar si la respuesta del </w:t>
      </w:r>
      <w:r w:rsidRPr="001F232D">
        <w:rPr>
          <w:rFonts w:ascii="Palatino Linotype" w:eastAsia="Palatino Linotype" w:hAnsi="Palatino Linotype" w:cs="Palatino Linotype"/>
          <w:b/>
          <w:sz w:val="22"/>
          <w:szCs w:val="22"/>
        </w:rPr>
        <w:t>SUJETO OBLIGADO</w:t>
      </w:r>
      <w:r w:rsidRPr="001F232D">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w:t>
      </w:r>
      <w:r w:rsidRPr="001F232D">
        <w:rPr>
          <w:rFonts w:ascii="Palatino Linotype" w:eastAsia="Palatino Linotype" w:hAnsi="Palatino Linotype" w:cs="Palatino Linotype"/>
          <w:sz w:val="22"/>
          <w:szCs w:val="22"/>
        </w:rPr>
        <w:lastRenderedPageBreak/>
        <w:t>los sujetos obligados es pública y accesible de manera permanente a cualquier persona, privilegiando el principio de máxima publicidad, como así lo establece dicha determinación, que a continuación se trascribe para un mejor entendimiento:</w:t>
      </w:r>
    </w:p>
    <w:p w14:paraId="1882AEB5"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687503D5"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r w:rsidRPr="001F232D">
        <w:rPr>
          <w:rFonts w:ascii="Palatino Linotype" w:eastAsia="Palatino Linotype" w:hAnsi="Palatino Linotype" w:cs="Palatino Linotype"/>
          <w:b/>
          <w:i/>
          <w:sz w:val="22"/>
          <w:szCs w:val="22"/>
        </w:rPr>
        <w:t>Artículo 4</w:t>
      </w:r>
      <w:r w:rsidRPr="001F232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C20F76A"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F232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7C09312"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F232D">
        <w:rPr>
          <w:rFonts w:ascii="Palatino Linotype" w:eastAsia="Palatino Linotype" w:hAnsi="Palatino Linotype" w:cs="Palatino Linotype"/>
          <w:i/>
          <w:sz w:val="22"/>
          <w:szCs w:val="22"/>
        </w:rPr>
        <w:t>.”</w:t>
      </w:r>
    </w:p>
    <w:p w14:paraId="41D6F33A" w14:textId="77777777" w:rsidR="004072BD" w:rsidRPr="001F232D" w:rsidRDefault="004072BD">
      <w:pPr>
        <w:spacing w:line="360" w:lineRule="auto"/>
        <w:ind w:left="567" w:right="616"/>
        <w:jc w:val="both"/>
        <w:rPr>
          <w:rFonts w:ascii="Palatino Linotype" w:eastAsia="Palatino Linotype" w:hAnsi="Palatino Linotype" w:cs="Palatino Linotype"/>
          <w:i/>
          <w:sz w:val="22"/>
          <w:szCs w:val="22"/>
        </w:rPr>
      </w:pPr>
    </w:p>
    <w:p w14:paraId="6E3DE22B"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71A6D40"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2BDE242A"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lastRenderedPageBreak/>
        <w:t>“Artículo 12.-</w:t>
      </w:r>
      <w:r w:rsidRPr="001F232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41E3907" w14:textId="77777777" w:rsidR="004072BD" w:rsidRPr="001F232D" w:rsidRDefault="004072BD">
      <w:pPr>
        <w:ind w:left="567" w:right="616"/>
        <w:jc w:val="both"/>
        <w:rPr>
          <w:rFonts w:ascii="Palatino Linotype" w:eastAsia="Palatino Linotype" w:hAnsi="Palatino Linotype" w:cs="Palatino Linotype"/>
          <w:i/>
          <w:sz w:val="22"/>
          <w:szCs w:val="22"/>
        </w:rPr>
      </w:pPr>
    </w:p>
    <w:p w14:paraId="167E65E3"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F232D">
        <w:rPr>
          <w:rFonts w:ascii="Palatino Linotype" w:eastAsia="Palatino Linotype" w:hAnsi="Palatino Linotype" w:cs="Palatino Linotype"/>
          <w:i/>
          <w:sz w:val="22"/>
          <w:szCs w:val="22"/>
        </w:rPr>
        <w:t xml:space="preserve">. </w:t>
      </w:r>
      <w:r w:rsidRPr="001F232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A176C9E"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3FAE90E3"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26F923BE"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3EDCEA3E" w14:textId="77777777" w:rsidR="004072BD" w:rsidRPr="001F232D" w:rsidRDefault="0060766A">
      <w:pPr>
        <w:spacing w:line="360" w:lineRule="auto"/>
        <w:jc w:val="both"/>
        <w:rPr>
          <w:rFonts w:ascii="Palatino Linotype" w:eastAsia="Palatino Linotype" w:hAnsi="Palatino Linotype" w:cs="Palatino Linotype"/>
          <w:b/>
          <w:sz w:val="22"/>
          <w:szCs w:val="22"/>
        </w:rPr>
      </w:pPr>
      <w:r w:rsidRPr="001F232D">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1F232D">
        <w:rPr>
          <w:rFonts w:ascii="Palatino Linotype" w:eastAsia="Palatino Linotype" w:hAnsi="Palatino Linotype" w:cs="Palatino Linotype"/>
          <w:b/>
          <w:sz w:val="22"/>
          <w:szCs w:val="22"/>
        </w:rPr>
        <w:t xml:space="preserve"> </w:t>
      </w:r>
    </w:p>
    <w:p w14:paraId="3C132B88" w14:textId="77777777" w:rsidR="004072BD" w:rsidRPr="001F232D" w:rsidRDefault="004072BD">
      <w:pPr>
        <w:spacing w:line="360" w:lineRule="auto"/>
        <w:jc w:val="both"/>
        <w:rPr>
          <w:rFonts w:ascii="Palatino Linotype" w:eastAsia="Palatino Linotype" w:hAnsi="Palatino Linotype" w:cs="Palatino Linotype"/>
          <w:b/>
          <w:sz w:val="22"/>
          <w:szCs w:val="22"/>
        </w:rPr>
      </w:pPr>
    </w:p>
    <w:p w14:paraId="4679E689"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r w:rsidRPr="001F232D">
        <w:rPr>
          <w:rFonts w:ascii="Palatino Linotype" w:eastAsia="Palatino Linotype" w:hAnsi="Palatino Linotype" w:cs="Palatino Linotype"/>
          <w:b/>
          <w:i/>
          <w:sz w:val="22"/>
          <w:szCs w:val="22"/>
        </w:rPr>
        <w:t>No existe obligación de elaborar documentos ad hoc para atender las solicitudes de acceso a la información.</w:t>
      </w:r>
      <w:r w:rsidRPr="001F232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D8DDF59"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6BE4168"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5BE01815"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F08CDA6"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4FC621FC"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F12A1BA" w14:textId="77777777" w:rsidR="004072BD" w:rsidRPr="001F232D" w:rsidRDefault="004072BD">
      <w:pPr>
        <w:spacing w:line="360" w:lineRule="auto"/>
        <w:ind w:left="851" w:right="899"/>
        <w:jc w:val="both"/>
        <w:rPr>
          <w:rFonts w:ascii="Palatino Linotype" w:eastAsia="Palatino Linotype" w:hAnsi="Palatino Linotype" w:cs="Palatino Linotype"/>
          <w:i/>
          <w:sz w:val="22"/>
          <w:szCs w:val="22"/>
        </w:rPr>
      </w:pPr>
    </w:p>
    <w:p w14:paraId="08D34CF7"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r w:rsidRPr="001F232D">
        <w:rPr>
          <w:rFonts w:ascii="Palatino Linotype" w:eastAsia="Palatino Linotype" w:hAnsi="Palatino Linotype" w:cs="Palatino Linotype"/>
          <w:b/>
          <w:i/>
          <w:sz w:val="22"/>
          <w:szCs w:val="22"/>
        </w:rPr>
        <w:t xml:space="preserve">Artículo 3. </w:t>
      </w:r>
      <w:r w:rsidRPr="001F232D">
        <w:rPr>
          <w:rFonts w:ascii="Palatino Linotype" w:eastAsia="Palatino Linotype" w:hAnsi="Palatino Linotype" w:cs="Palatino Linotype"/>
          <w:i/>
          <w:sz w:val="22"/>
          <w:szCs w:val="22"/>
        </w:rPr>
        <w:t>Para los efectos de la presente Ley se entenderá por:</w:t>
      </w:r>
    </w:p>
    <w:p w14:paraId="2D3C64E4"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00F74B69"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XI. Documento:</w:t>
      </w:r>
      <w:r w:rsidRPr="001F232D">
        <w:rPr>
          <w:rFonts w:ascii="Palatino Linotype" w:eastAsia="Palatino Linotype" w:hAnsi="Palatino Linotype" w:cs="Palatino Linotype"/>
          <w:i/>
          <w:sz w:val="22"/>
          <w:szCs w:val="22"/>
        </w:rPr>
        <w:t xml:space="preserve"> Los expedientes, reportes, estudios, actas</w:t>
      </w:r>
      <w:r w:rsidRPr="001F232D">
        <w:rPr>
          <w:rFonts w:ascii="Palatino Linotype" w:eastAsia="Palatino Linotype" w:hAnsi="Palatino Linotype" w:cs="Palatino Linotype"/>
          <w:b/>
          <w:i/>
          <w:sz w:val="22"/>
          <w:szCs w:val="22"/>
        </w:rPr>
        <w:t>,</w:t>
      </w:r>
      <w:r w:rsidRPr="001F232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w:t>
      </w:r>
      <w:r w:rsidRPr="001F232D">
        <w:rPr>
          <w:rFonts w:ascii="Palatino Linotype" w:eastAsia="Palatino Linotype" w:hAnsi="Palatino Linotype" w:cs="Palatino Linotype"/>
          <w:i/>
          <w:sz w:val="22"/>
          <w:szCs w:val="22"/>
        </w:rPr>
        <w:lastRenderedPageBreak/>
        <w:t xml:space="preserve">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A14A0AF" w14:textId="77777777" w:rsidR="004072BD" w:rsidRPr="001F232D" w:rsidRDefault="004072BD">
      <w:pPr>
        <w:spacing w:line="360" w:lineRule="auto"/>
        <w:ind w:left="851" w:right="899"/>
        <w:jc w:val="both"/>
        <w:rPr>
          <w:rFonts w:ascii="Palatino Linotype" w:eastAsia="Palatino Linotype" w:hAnsi="Palatino Linotype" w:cs="Palatino Linotype"/>
          <w:sz w:val="22"/>
          <w:szCs w:val="22"/>
        </w:rPr>
      </w:pPr>
    </w:p>
    <w:p w14:paraId="7465337D"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975268D" w14:textId="77777777" w:rsidR="004072BD" w:rsidRPr="001F232D" w:rsidRDefault="004072BD">
      <w:pPr>
        <w:spacing w:line="276" w:lineRule="auto"/>
        <w:jc w:val="both"/>
        <w:rPr>
          <w:rFonts w:ascii="Palatino Linotype" w:eastAsia="Palatino Linotype" w:hAnsi="Palatino Linotype" w:cs="Palatino Linotype"/>
          <w:sz w:val="22"/>
          <w:szCs w:val="22"/>
        </w:rPr>
      </w:pPr>
    </w:p>
    <w:p w14:paraId="4E54D340" w14:textId="77777777" w:rsidR="004072BD" w:rsidRPr="001F232D" w:rsidRDefault="0060766A">
      <w:pPr>
        <w:spacing w:line="276" w:lineRule="auto"/>
        <w:ind w:left="567" w:right="616"/>
        <w:jc w:val="both"/>
        <w:rPr>
          <w:rFonts w:ascii="Palatino Linotype" w:eastAsia="Palatino Linotype" w:hAnsi="Palatino Linotype" w:cs="Palatino Linotype"/>
          <w:b/>
          <w:i/>
          <w:sz w:val="22"/>
          <w:szCs w:val="22"/>
        </w:rPr>
      </w:pPr>
      <w:r w:rsidRPr="001F232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1F232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392AE6"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En </w:t>
      </w:r>
      <w:proofErr w:type="gramStart"/>
      <w:r w:rsidRPr="001F232D">
        <w:rPr>
          <w:rFonts w:ascii="Palatino Linotype" w:eastAsia="Palatino Linotype" w:hAnsi="Palatino Linotype" w:cs="Palatino Linotype"/>
          <w:i/>
          <w:sz w:val="22"/>
          <w:szCs w:val="22"/>
        </w:rPr>
        <w:t>consecuencia</w:t>
      </w:r>
      <w:proofErr w:type="gramEnd"/>
      <w:r w:rsidRPr="001F232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72F7B91"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1F232D">
        <w:rPr>
          <w:rFonts w:ascii="Palatino Linotype" w:eastAsia="Palatino Linotype" w:hAnsi="Palatino Linotype" w:cs="Palatino Linotype"/>
          <w:i/>
          <w:sz w:val="22"/>
          <w:szCs w:val="22"/>
        </w:rPr>
        <w:t>que</w:t>
      </w:r>
      <w:proofErr w:type="gramEnd"/>
      <w:r w:rsidRPr="001F232D">
        <w:rPr>
          <w:rFonts w:ascii="Palatino Linotype" w:eastAsia="Palatino Linotype" w:hAnsi="Palatino Linotype" w:cs="Palatino Linotype"/>
          <w:i/>
          <w:sz w:val="22"/>
          <w:szCs w:val="22"/>
        </w:rPr>
        <w:t xml:space="preserve"> en ejercicio de las atribuciones conferidas, sea generada por los Sujetos Obligados;</w:t>
      </w:r>
    </w:p>
    <w:p w14:paraId="53A4447D" w14:textId="77777777" w:rsidR="004072BD" w:rsidRPr="001F232D" w:rsidRDefault="0060766A">
      <w:pPr>
        <w:spacing w:line="276" w:lineRule="auto"/>
        <w:ind w:left="567" w:right="616"/>
        <w:jc w:val="both"/>
        <w:rPr>
          <w:rFonts w:ascii="Palatino Linotype" w:eastAsia="Palatino Linotype" w:hAnsi="Palatino Linotype" w:cs="Palatino Linotype"/>
          <w:b/>
          <w:i/>
          <w:sz w:val="22"/>
          <w:szCs w:val="22"/>
        </w:rPr>
      </w:pPr>
      <w:r w:rsidRPr="001F232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1F232D">
        <w:rPr>
          <w:rFonts w:ascii="Palatino Linotype" w:eastAsia="Palatino Linotype" w:hAnsi="Palatino Linotype" w:cs="Palatino Linotype"/>
          <w:b/>
          <w:i/>
          <w:sz w:val="22"/>
          <w:szCs w:val="22"/>
        </w:rPr>
        <w:t>que</w:t>
      </w:r>
      <w:proofErr w:type="gramEnd"/>
      <w:r w:rsidRPr="001F232D">
        <w:rPr>
          <w:rFonts w:ascii="Palatino Linotype" w:eastAsia="Palatino Linotype" w:hAnsi="Palatino Linotype" w:cs="Palatino Linotype"/>
          <w:b/>
          <w:i/>
          <w:sz w:val="22"/>
          <w:szCs w:val="22"/>
        </w:rPr>
        <w:t xml:space="preserve"> en ejercicio de las atribuciones conferidas, sea administrada por los Sujetos Obligados, y</w:t>
      </w:r>
    </w:p>
    <w:p w14:paraId="5FE44EF1" w14:textId="77777777" w:rsidR="004072BD" w:rsidRPr="001F232D" w:rsidRDefault="0060766A">
      <w:pPr>
        <w:spacing w:line="276" w:lineRule="auto"/>
        <w:ind w:left="567" w:right="616"/>
        <w:jc w:val="both"/>
        <w:rPr>
          <w:rFonts w:ascii="Palatino Linotype" w:eastAsia="Palatino Linotype" w:hAnsi="Palatino Linotype" w:cs="Palatino Linotype"/>
          <w:b/>
          <w:i/>
          <w:sz w:val="22"/>
          <w:szCs w:val="22"/>
        </w:rPr>
      </w:pPr>
      <w:r w:rsidRPr="001F232D">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1F232D">
        <w:rPr>
          <w:rFonts w:ascii="Palatino Linotype" w:eastAsia="Palatino Linotype" w:hAnsi="Palatino Linotype" w:cs="Palatino Linotype"/>
          <w:b/>
          <w:i/>
          <w:sz w:val="22"/>
          <w:szCs w:val="22"/>
        </w:rPr>
        <w:t>que</w:t>
      </w:r>
      <w:proofErr w:type="gramEnd"/>
      <w:r w:rsidRPr="001F232D">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54B56418"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4DCDBFD0" w14:textId="77777777" w:rsidR="004072BD" w:rsidRPr="001F232D" w:rsidRDefault="0060766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lastRenderedPageBreak/>
        <w:t xml:space="preserve">Dicho lo anterior, se procede al análisis de los agravios hechos valer por la parte Recurrente que actualizan la causal de procedencia prevista en la fracción I del artículo 179 de la Ley de Transparencia y Acceso a la Información del Estado de México y Municipios, relativo a la negativa de entrega de la información. </w:t>
      </w:r>
    </w:p>
    <w:p w14:paraId="69447942" w14:textId="77777777" w:rsidR="004072BD" w:rsidRPr="001F232D" w:rsidRDefault="004072B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2ECCBFF" w14:textId="77777777" w:rsidR="004072BD" w:rsidRPr="001F232D" w:rsidRDefault="0060766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En ese sentido, resulta procedente recordar los requerimientos de la parte Recurrente y la información proporcionada por el Sujeto Obligado, la cual, es la siguiente:</w:t>
      </w:r>
    </w:p>
    <w:p w14:paraId="515AA225" w14:textId="77777777" w:rsidR="004072BD" w:rsidRPr="001F232D" w:rsidRDefault="004072B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tbl>
      <w:tblPr>
        <w:tblStyle w:val="a"/>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551"/>
        <w:gridCol w:w="3649"/>
        <w:gridCol w:w="2207"/>
      </w:tblGrid>
      <w:tr w:rsidR="00B90B1A" w:rsidRPr="001F232D" w14:paraId="388FB0CE" w14:textId="77777777">
        <w:tc>
          <w:tcPr>
            <w:tcW w:w="421" w:type="dxa"/>
            <w:tcBorders>
              <w:top w:val="nil"/>
              <w:left w:val="nil"/>
            </w:tcBorders>
          </w:tcPr>
          <w:p w14:paraId="1D0B3B3D" w14:textId="77777777" w:rsidR="004072BD" w:rsidRPr="001F232D" w:rsidRDefault="004072BD">
            <w:pPr>
              <w:jc w:val="both"/>
              <w:rPr>
                <w:rFonts w:ascii="Palatino Linotype" w:eastAsia="Palatino Linotype" w:hAnsi="Palatino Linotype" w:cs="Palatino Linotype"/>
                <w:sz w:val="20"/>
                <w:szCs w:val="20"/>
              </w:rPr>
            </w:pPr>
          </w:p>
        </w:tc>
        <w:tc>
          <w:tcPr>
            <w:tcW w:w="2551" w:type="dxa"/>
            <w:shd w:val="clear" w:color="auto" w:fill="E7E6E6"/>
          </w:tcPr>
          <w:p w14:paraId="52EC5CD0" w14:textId="77777777" w:rsidR="004072BD" w:rsidRPr="001F232D" w:rsidRDefault="0060766A">
            <w:pPr>
              <w:jc w:val="center"/>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 xml:space="preserve">Requerimiento </w:t>
            </w:r>
          </w:p>
        </w:tc>
        <w:tc>
          <w:tcPr>
            <w:tcW w:w="3649" w:type="dxa"/>
            <w:shd w:val="clear" w:color="auto" w:fill="E7E6E6"/>
          </w:tcPr>
          <w:p w14:paraId="50B1869B" w14:textId="77777777" w:rsidR="004072BD" w:rsidRPr="001F232D" w:rsidRDefault="0060766A">
            <w:pPr>
              <w:jc w:val="center"/>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Respuesta</w:t>
            </w:r>
          </w:p>
        </w:tc>
        <w:tc>
          <w:tcPr>
            <w:tcW w:w="2207" w:type="dxa"/>
            <w:shd w:val="clear" w:color="auto" w:fill="E7E6E6"/>
          </w:tcPr>
          <w:p w14:paraId="4585C97E" w14:textId="77777777" w:rsidR="004072BD" w:rsidRPr="001F232D" w:rsidRDefault="0060766A">
            <w:pPr>
              <w:jc w:val="center"/>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Observaciones</w:t>
            </w:r>
          </w:p>
        </w:tc>
      </w:tr>
      <w:tr w:rsidR="00B90B1A" w:rsidRPr="001F232D" w14:paraId="43DE40E0" w14:textId="77777777">
        <w:tc>
          <w:tcPr>
            <w:tcW w:w="421" w:type="dxa"/>
            <w:shd w:val="clear" w:color="auto" w:fill="E7E6E6"/>
          </w:tcPr>
          <w:p w14:paraId="7B7E93FE" w14:textId="77777777" w:rsidR="004072BD" w:rsidRPr="001F232D" w:rsidRDefault="0060766A">
            <w:pPr>
              <w:jc w:val="both"/>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1</w:t>
            </w:r>
          </w:p>
        </w:tc>
        <w:tc>
          <w:tcPr>
            <w:tcW w:w="2551" w:type="dxa"/>
          </w:tcPr>
          <w:p w14:paraId="42006A37"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Recorridos que realizan los carros de recolección de basura.</w:t>
            </w:r>
          </w:p>
        </w:tc>
        <w:tc>
          <w:tcPr>
            <w:tcW w:w="3649" w:type="dxa"/>
          </w:tcPr>
          <w:p w14:paraId="24F78C09"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No se pronunció</w:t>
            </w:r>
          </w:p>
        </w:tc>
        <w:tc>
          <w:tcPr>
            <w:tcW w:w="2207" w:type="dxa"/>
          </w:tcPr>
          <w:p w14:paraId="47C3F6C2"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No colmó</w:t>
            </w:r>
          </w:p>
        </w:tc>
      </w:tr>
      <w:tr w:rsidR="00B90B1A" w:rsidRPr="001F232D" w14:paraId="59555A79" w14:textId="77777777">
        <w:tc>
          <w:tcPr>
            <w:tcW w:w="421" w:type="dxa"/>
            <w:shd w:val="clear" w:color="auto" w:fill="E7E6E6"/>
          </w:tcPr>
          <w:p w14:paraId="406BA765" w14:textId="77777777" w:rsidR="004072BD" w:rsidRPr="001F232D" w:rsidRDefault="0060766A">
            <w:pPr>
              <w:jc w:val="both"/>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2</w:t>
            </w:r>
          </w:p>
        </w:tc>
        <w:tc>
          <w:tcPr>
            <w:tcW w:w="2551" w:type="dxa"/>
          </w:tcPr>
          <w:p w14:paraId="7D01953F"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 xml:space="preserve">Cuánta gasolina tienen asignada los carros de recolección de basura. </w:t>
            </w:r>
          </w:p>
        </w:tc>
        <w:tc>
          <w:tcPr>
            <w:tcW w:w="3649" w:type="dxa"/>
          </w:tcPr>
          <w:p w14:paraId="40C77DA2"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No se pronunció</w:t>
            </w:r>
          </w:p>
          <w:p w14:paraId="402B917C" w14:textId="77777777" w:rsidR="004072BD" w:rsidRPr="001F232D" w:rsidRDefault="004072BD">
            <w:pPr>
              <w:jc w:val="center"/>
              <w:rPr>
                <w:rFonts w:ascii="Palatino Linotype" w:eastAsia="Palatino Linotype" w:hAnsi="Palatino Linotype" w:cs="Palatino Linotype"/>
                <w:sz w:val="20"/>
                <w:szCs w:val="20"/>
              </w:rPr>
            </w:pPr>
          </w:p>
        </w:tc>
        <w:tc>
          <w:tcPr>
            <w:tcW w:w="2207" w:type="dxa"/>
          </w:tcPr>
          <w:p w14:paraId="62790F85"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No colmó</w:t>
            </w:r>
          </w:p>
        </w:tc>
      </w:tr>
      <w:tr w:rsidR="00B90B1A" w:rsidRPr="001F232D" w14:paraId="3CDE57EE" w14:textId="77777777">
        <w:tc>
          <w:tcPr>
            <w:tcW w:w="421" w:type="dxa"/>
            <w:shd w:val="clear" w:color="auto" w:fill="E7E6E6"/>
          </w:tcPr>
          <w:p w14:paraId="3A7CC925" w14:textId="77777777" w:rsidR="004072BD" w:rsidRPr="001F232D" w:rsidRDefault="0060766A">
            <w:pPr>
              <w:jc w:val="both"/>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3</w:t>
            </w:r>
          </w:p>
        </w:tc>
        <w:tc>
          <w:tcPr>
            <w:tcW w:w="2551" w:type="dxa"/>
          </w:tcPr>
          <w:p w14:paraId="603D6D93"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Cuántos casos ha resuelto el juzgado de villa de allende.</w:t>
            </w:r>
          </w:p>
        </w:tc>
        <w:tc>
          <w:tcPr>
            <w:tcW w:w="3649" w:type="dxa"/>
          </w:tcPr>
          <w:p w14:paraId="2FA19824"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Jueza Cívica. Refiere que, a partir de su creación de fecha 23 de febrero de 2024 a la fecha de la solicitud, se han atendido y resuelto un total de 122 casos por la comisión de diferentes faltas administrativas estipuladas en el reglamento de Justicia Cívica de Villa de Allende.</w:t>
            </w:r>
          </w:p>
        </w:tc>
        <w:tc>
          <w:tcPr>
            <w:tcW w:w="2207" w:type="dxa"/>
          </w:tcPr>
          <w:p w14:paraId="65565A98"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Colmó</w:t>
            </w:r>
          </w:p>
        </w:tc>
      </w:tr>
      <w:tr w:rsidR="00B90B1A" w:rsidRPr="001F232D" w14:paraId="1C151EC1" w14:textId="77777777">
        <w:tc>
          <w:tcPr>
            <w:tcW w:w="421" w:type="dxa"/>
            <w:shd w:val="clear" w:color="auto" w:fill="E7E6E6"/>
          </w:tcPr>
          <w:p w14:paraId="38E00FB7" w14:textId="77777777" w:rsidR="004072BD" w:rsidRPr="001F232D" w:rsidRDefault="0060766A">
            <w:pPr>
              <w:jc w:val="both"/>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4</w:t>
            </w:r>
          </w:p>
        </w:tc>
        <w:tc>
          <w:tcPr>
            <w:tcW w:w="2551" w:type="dxa"/>
          </w:tcPr>
          <w:p w14:paraId="06C7B98C"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 xml:space="preserve">Cuántos casos de </w:t>
            </w:r>
            <w:r w:rsidRPr="001F232D">
              <w:rPr>
                <w:rFonts w:ascii="Palatino Linotype" w:eastAsia="Palatino Linotype" w:hAnsi="Palatino Linotype" w:cs="Palatino Linotype"/>
                <w:b/>
                <w:sz w:val="20"/>
                <w:szCs w:val="20"/>
                <w:u w:val="single"/>
              </w:rPr>
              <w:t xml:space="preserve">violencia doméstica </w:t>
            </w:r>
            <w:r w:rsidRPr="001F232D">
              <w:rPr>
                <w:rFonts w:ascii="Palatino Linotype" w:eastAsia="Palatino Linotype" w:hAnsi="Palatino Linotype" w:cs="Palatino Linotype"/>
                <w:sz w:val="20"/>
                <w:szCs w:val="20"/>
              </w:rPr>
              <w:t xml:space="preserve">han </w:t>
            </w:r>
            <w:proofErr w:type="gramStart"/>
            <w:r w:rsidRPr="001F232D">
              <w:rPr>
                <w:rFonts w:ascii="Palatino Linotype" w:eastAsia="Palatino Linotype" w:hAnsi="Palatino Linotype" w:cs="Palatino Linotype"/>
                <w:sz w:val="20"/>
                <w:szCs w:val="20"/>
              </w:rPr>
              <w:t>resuelto</w:t>
            </w:r>
            <w:proofErr w:type="gramEnd"/>
            <w:r w:rsidRPr="001F232D">
              <w:rPr>
                <w:rFonts w:ascii="Palatino Linotype" w:eastAsia="Palatino Linotype" w:hAnsi="Palatino Linotype" w:cs="Palatino Linotype"/>
                <w:sz w:val="20"/>
                <w:szCs w:val="20"/>
              </w:rPr>
              <w:t xml:space="preserve"> así como las canalizaciones.</w:t>
            </w:r>
          </w:p>
        </w:tc>
        <w:tc>
          <w:tcPr>
            <w:tcW w:w="3649" w:type="dxa"/>
          </w:tcPr>
          <w:p w14:paraId="3725F013"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 xml:space="preserve">Jueza Cívica. Refiere que, de acuerdo con lo que establece el artículo 121 de la Ley de Justicia Cívica del Estado de México y Municipios, el Juzgado Cívico no conoce ni resuelve casos que impliquen </w:t>
            </w:r>
            <w:r w:rsidRPr="001F232D">
              <w:rPr>
                <w:rFonts w:ascii="Palatino Linotype" w:eastAsia="Palatino Linotype" w:hAnsi="Palatino Linotype" w:cs="Palatino Linotype"/>
                <w:b/>
                <w:sz w:val="20"/>
                <w:szCs w:val="20"/>
                <w:u w:val="single"/>
              </w:rPr>
              <w:t>violencia de género</w:t>
            </w:r>
            <w:r w:rsidRPr="001F232D">
              <w:rPr>
                <w:rFonts w:ascii="Palatino Linotype" w:eastAsia="Palatino Linotype" w:hAnsi="Palatino Linotype" w:cs="Palatino Linotype"/>
                <w:sz w:val="20"/>
                <w:szCs w:val="20"/>
              </w:rPr>
              <w:t xml:space="preserve"> contra mujeres, niñas y adolescentes, siendo una conducta tipificada en el artículo 218 del Código Penal del Estado de México, por lo que los mismos son atendidos como primer contacto por la Dirección del Instituto de la Mujer o en su caso de la Coordinación de Policía de Género de Villa de Allende</w:t>
            </w:r>
          </w:p>
          <w:p w14:paraId="4577D5EE"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lastRenderedPageBreak/>
              <w:t>.</w:t>
            </w:r>
          </w:p>
        </w:tc>
        <w:tc>
          <w:tcPr>
            <w:tcW w:w="2207" w:type="dxa"/>
          </w:tcPr>
          <w:p w14:paraId="2156DAD0"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lastRenderedPageBreak/>
              <w:t>No colmó</w:t>
            </w:r>
          </w:p>
        </w:tc>
      </w:tr>
      <w:tr w:rsidR="00B90B1A" w:rsidRPr="001F232D" w14:paraId="3545E724" w14:textId="77777777">
        <w:tc>
          <w:tcPr>
            <w:tcW w:w="421" w:type="dxa"/>
            <w:shd w:val="clear" w:color="auto" w:fill="E7E6E6"/>
          </w:tcPr>
          <w:p w14:paraId="714986A3" w14:textId="77777777" w:rsidR="004072BD" w:rsidRPr="001F232D" w:rsidRDefault="0060766A">
            <w:pPr>
              <w:jc w:val="both"/>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5</w:t>
            </w:r>
          </w:p>
        </w:tc>
        <w:tc>
          <w:tcPr>
            <w:tcW w:w="2551" w:type="dxa"/>
          </w:tcPr>
          <w:p w14:paraId="2CBF01B8"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Del instituto de la juventud metas alcanzadas e informe de actividades desde 2022-2024.</w:t>
            </w:r>
          </w:p>
        </w:tc>
        <w:tc>
          <w:tcPr>
            <w:tcW w:w="3649" w:type="dxa"/>
          </w:tcPr>
          <w:p w14:paraId="36B1B5E7"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No se pronunció</w:t>
            </w:r>
          </w:p>
        </w:tc>
        <w:tc>
          <w:tcPr>
            <w:tcW w:w="2207" w:type="dxa"/>
          </w:tcPr>
          <w:p w14:paraId="5A9C3263"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No colmó</w:t>
            </w:r>
          </w:p>
        </w:tc>
      </w:tr>
      <w:tr w:rsidR="00B90B1A" w:rsidRPr="001F232D" w14:paraId="619D1CA3" w14:textId="77777777">
        <w:tc>
          <w:tcPr>
            <w:tcW w:w="421" w:type="dxa"/>
            <w:shd w:val="clear" w:color="auto" w:fill="E7E6E6"/>
          </w:tcPr>
          <w:p w14:paraId="55C12E7D" w14:textId="77777777" w:rsidR="004072BD" w:rsidRPr="001F232D" w:rsidRDefault="0060766A">
            <w:pPr>
              <w:jc w:val="both"/>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6</w:t>
            </w:r>
          </w:p>
        </w:tc>
        <w:tc>
          <w:tcPr>
            <w:tcW w:w="2551" w:type="dxa"/>
          </w:tcPr>
          <w:p w14:paraId="6F214627"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De mejora regulatoria informes del catálogo de trámites y servicios y qué avances lograron desde 2022-2024</w:t>
            </w:r>
          </w:p>
        </w:tc>
        <w:tc>
          <w:tcPr>
            <w:tcW w:w="3649" w:type="dxa"/>
          </w:tcPr>
          <w:p w14:paraId="6A8D30B7"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No se pronunció</w:t>
            </w:r>
          </w:p>
          <w:p w14:paraId="4592C1B5" w14:textId="77777777" w:rsidR="004072BD" w:rsidRPr="001F232D" w:rsidRDefault="004072BD">
            <w:pPr>
              <w:rPr>
                <w:rFonts w:ascii="Palatino Linotype" w:eastAsia="Palatino Linotype" w:hAnsi="Palatino Linotype" w:cs="Palatino Linotype"/>
                <w:sz w:val="20"/>
                <w:szCs w:val="20"/>
              </w:rPr>
            </w:pPr>
          </w:p>
        </w:tc>
        <w:tc>
          <w:tcPr>
            <w:tcW w:w="2207" w:type="dxa"/>
          </w:tcPr>
          <w:p w14:paraId="2A1E25CE"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No colmó</w:t>
            </w:r>
          </w:p>
        </w:tc>
      </w:tr>
      <w:tr w:rsidR="00B90B1A" w:rsidRPr="001F232D" w14:paraId="5A646B6D" w14:textId="77777777">
        <w:tc>
          <w:tcPr>
            <w:tcW w:w="421" w:type="dxa"/>
            <w:shd w:val="clear" w:color="auto" w:fill="E7E6E6"/>
          </w:tcPr>
          <w:p w14:paraId="63607A05" w14:textId="77777777" w:rsidR="004072BD" w:rsidRPr="001F232D" w:rsidRDefault="0060766A">
            <w:pPr>
              <w:jc w:val="both"/>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7</w:t>
            </w:r>
          </w:p>
        </w:tc>
        <w:tc>
          <w:tcPr>
            <w:tcW w:w="2551" w:type="dxa"/>
          </w:tcPr>
          <w:p w14:paraId="073605BC"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Programas sociales que tiene a su cargo el ayuntamiento de villa de allende y metas alcanzadas desde 2022-2024.</w:t>
            </w:r>
          </w:p>
        </w:tc>
        <w:tc>
          <w:tcPr>
            <w:tcW w:w="3649" w:type="dxa"/>
          </w:tcPr>
          <w:p w14:paraId="3E86B0B3"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Directora de Desarrollo Social. Informó que los programas sociales que tiene a su cargo el ayuntamiento son los siguientes:</w:t>
            </w:r>
          </w:p>
          <w:p w14:paraId="50358DBB" w14:textId="77777777" w:rsidR="004072BD" w:rsidRPr="001F232D" w:rsidRDefault="004072BD">
            <w:pPr>
              <w:jc w:val="both"/>
              <w:rPr>
                <w:rFonts w:ascii="Palatino Linotype" w:eastAsia="Palatino Linotype" w:hAnsi="Palatino Linotype" w:cs="Palatino Linotype"/>
                <w:sz w:val="20"/>
                <w:szCs w:val="20"/>
              </w:rPr>
            </w:pPr>
          </w:p>
          <w:p w14:paraId="318B1C72" w14:textId="77777777" w:rsidR="004072BD" w:rsidRPr="001F232D" w:rsidRDefault="0060766A">
            <w:pPr>
              <w:numPr>
                <w:ilvl w:val="0"/>
                <w:numId w:val="6"/>
              </w:numPr>
              <w:pBdr>
                <w:top w:val="nil"/>
                <w:left w:val="nil"/>
                <w:bottom w:val="nil"/>
                <w:right w:val="nil"/>
                <w:between w:val="nil"/>
              </w:pBd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Construcción de cuartos dormitorios.</w:t>
            </w:r>
          </w:p>
          <w:p w14:paraId="40CF0F44" w14:textId="77777777" w:rsidR="004072BD" w:rsidRPr="001F232D" w:rsidRDefault="0060766A">
            <w:pPr>
              <w:numPr>
                <w:ilvl w:val="0"/>
                <w:numId w:val="6"/>
              </w:numPr>
              <w:pBdr>
                <w:top w:val="nil"/>
                <w:left w:val="nil"/>
                <w:bottom w:val="nil"/>
                <w:right w:val="nil"/>
                <w:between w:val="nil"/>
              </w:pBd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Construcción de techos firmes.</w:t>
            </w:r>
          </w:p>
          <w:p w14:paraId="628972FA" w14:textId="77777777" w:rsidR="004072BD" w:rsidRPr="001F232D" w:rsidRDefault="0060766A">
            <w:pPr>
              <w:numPr>
                <w:ilvl w:val="0"/>
                <w:numId w:val="6"/>
              </w:numPr>
              <w:pBdr>
                <w:top w:val="nil"/>
                <w:left w:val="nil"/>
                <w:bottom w:val="nil"/>
                <w:right w:val="nil"/>
                <w:between w:val="nil"/>
              </w:pBd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Asimismo, anexó las metas de los años 2022, 2023 y 2024.</w:t>
            </w:r>
          </w:p>
        </w:tc>
        <w:tc>
          <w:tcPr>
            <w:tcW w:w="2207" w:type="dxa"/>
          </w:tcPr>
          <w:p w14:paraId="4E0CC167"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 xml:space="preserve">Parcialmente </w:t>
            </w:r>
          </w:p>
        </w:tc>
      </w:tr>
      <w:tr w:rsidR="00B90B1A" w:rsidRPr="001F232D" w14:paraId="6F7B6995" w14:textId="77777777">
        <w:tc>
          <w:tcPr>
            <w:tcW w:w="421" w:type="dxa"/>
            <w:shd w:val="clear" w:color="auto" w:fill="E7E6E6"/>
          </w:tcPr>
          <w:p w14:paraId="597A1AB9" w14:textId="77777777" w:rsidR="004072BD" w:rsidRPr="001F232D" w:rsidRDefault="0060766A">
            <w:pPr>
              <w:jc w:val="both"/>
              <w:rPr>
                <w:rFonts w:ascii="Palatino Linotype" w:eastAsia="Palatino Linotype" w:hAnsi="Palatino Linotype" w:cs="Palatino Linotype"/>
                <w:b/>
                <w:sz w:val="20"/>
                <w:szCs w:val="20"/>
              </w:rPr>
            </w:pPr>
            <w:r w:rsidRPr="001F232D">
              <w:rPr>
                <w:rFonts w:ascii="Palatino Linotype" w:eastAsia="Palatino Linotype" w:hAnsi="Palatino Linotype" w:cs="Palatino Linotype"/>
                <w:b/>
                <w:sz w:val="20"/>
                <w:szCs w:val="20"/>
              </w:rPr>
              <w:t>8</w:t>
            </w:r>
          </w:p>
        </w:tc>
        <w:tc>
          <w:tcPr>
            <w:tcW w:w="2551" w:type="dxa"/>
          </w:tcPr>
          <w:p w14:paraId="3C601B27"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Avances en materia de transparencia y acceso a la información y cuantas sesiones de comité realizó durante 2022-2024.</w:t>
            </w:r>
          </w:p>
        </w:tc>
        <w:tc>
          <w:tcPr>
            <w:tcW w:w="3649" w:type="dxa"/>
          </w:tcPr>
          <w:p w14:paraId="4DFE68E1"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Titular de la Unidad de Transparencia. Me permito informarte en relación con el punto relativo a avances en materia de transparencia y acceso a la información se informa que, actualmente desde la toma del cargo dentro de la Unidad De Transparencia, se realizó la atención y seguimiento a las diversas solicitudes de información pendientes tras la entrega-recepción de la anterior titular, se actualizaron las obligaciones comunes y específicas en materia de transparencia que enmarca la normatividad aplicable, atendieron los requerimientos de INFOEM, se actualizaron los documentos de seguridad y avisos de privacidad de las áreas existentes.</w:t>
            </w:r>
          </w:p>
          <w:p w14:paraId="340A650B" w14:textId="77777777" w:rsidR="004072BD" w:rsidRPr="001F232D" w:rsidRDefault="004072BD">
            <w:pPr>
              <w:jc w:val="both"/>
              <w:rPr>
                <w:rFonts w:ascii="Palatino Linotype" w:eastAsia="Palatino Linotype" w:hAnsi="Palatino Linotype" w:cs="Palatino Linotype"/>
                <w:sz w:val="20"/>
                <w:szCs w:val="20"/>
              </w:rPr>
            </w:pPr>
          </w:p>
          <w:p w14:paraId="0DD320A7"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t>En relación con el número de sesiones que el comité realizó durante 2022-</w:t>
            </w:r>
            <w:r w:rsidRPr="001F232D">
              <w:rPr>
                <w:rFonts w:ascii="Palatino Linotype" w:eastAsia="Palatino Linotype" w:hAnsi="Palatino Linotype" w:cs="Palatino Linotype"/>
                <w:sz w:val="20"/>
                <w:szCs w:val="20"/>
              </w:rPr>
              <w:lastRenderedPageBreak/>
              <w:t>2024, se precisó que, el comité realizó las siguientes:</w:t>
            </w:r>
          </w:p>
          <w:p w14:paraId="77986F58" w14:textId="77777777" w:rsidR="004072BD" w:rsidRPr="001F232D" w:rsidRDefault="004072BD">
            <w:pPr>
              <w:jc w:val="both"/>
              <w:rPr>
                <w:rFonts w:ascii="Palatino Linotype" w:eastAsia="Palatino Linotype" w:hAnsi="Palatino Linotype" w:cs="Palatino Linotype"/>
                <w:sz w:val="20"/>
                <w:szCs w:val="20"/>
              </w:rPr>
            </w:pPr>
          </w:p>
          <w:p w14:paraId="2DF48A84"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b/>
                <w:sz w:val="20"/>
                <w:szCs w:val="20"/>
              </w:rPr>
              <w:t>2022:</w:t>
            </w:r>
            <w:r w:rsidRPr="001F232D">
              <w:rPr>
                <w:rFonts w:ascii="Palatino Linotype" w:eastAsia="Palatino Linotype" w:hAnsi="Palatino Linotype" w:cs="Palatino Linotype"/>
                <w:sz w:val="20"/>
                <w:szCs w:val="20"/>
              </w:rPr>
              <w:t xml:space="preserve"> 5 sesiones ordinarias de comité.</w:t>
            </w:r>
          </w:p>
          <w:p w14:paraId="1972B40F" w14:textId="77777777" w:rsidR="004072BD" w:rsidRPr="001F232D" w:rsidRDefault="004072BD">
            <w:pPr>
              <w:jc w:val="both"/>
              <w:rPr>
                <w:rFonts w:ascii="Palatino Linotype" w:eastAsia="Palatino Linotype" w:hAnsi="Palatino Linotype" w:cs="Palatino Linotype"/>
                <w:sz w:val="20"/>
                <w:szCs w:val="20"/>
              </w:rPr>
            </w:pPr>
          </w:p>
          <w:p w14:paraId="60726F93"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b/>
                <w:sz w:val="20"/>
                <w:szCs w:val="20"/>
              </w:rPr>
              <w:t>2023:</w:t>
            </w:r>
            <w:r w:rsidRPr="001F232D">
              <w:rPr>
                <w:rFonts w:ascii="Palatino Linotype" w:eastAsia="Palatino Linotype" w:hAnsi="Palatino Linotype" w:cs="Palatino Linotype"/>
                <w:sz w:val="20"/>
                <w:szCs w:val="20"/>
              </w:rPr>
              <w:t xml:space="preserve"> 5 sesiones ordinarias de comité y 9 extraordinarias.</w:t>
            </w:r>
          </w:p>
          <w:p w14:paraId="212F4939" w14:textId="77777777" w:rsidR="004072BD" w:rsidRPr="001F232D" w:rsidRDefault="004072BD">
            <w:pPr>
              <w:jc w:val="both"/>
              <w:rPr>
                <w:rFonts w:ascii="Palatino Linotype" w:eastAsia="Palatino Linotype" w:hAnsi="Palatino Linotype" w:cs="Palatino Linotype"/>
                <w:sz w:val="20"/>
                <w:szCs w:val="20"/>
              </w:rPr>
            </w:pPr>
          </w:p>
          <w:p w14:paraId="2E18DBFC" w14:textId="77777777" w:rsidR="004072BD" w:rsidRPr="001F232D" w:rsidRDefault="0060766A">
            <w:pPr>
              <w:jc w:val="both"/>
              <w:rPr>
                <w:rFonts w:ascii="Palatino Linotype" w:eastAsia="Palatino Linotype" w:hAnsi="Palatino Linotype" w:cs="Palatino Linotype"/>
                <w:sz w:val="20"/>
                <w:szCs w:val="20"/>
              </w:rPr>
            </w:pPr>
            <w:r w:rsidRPr="001F232D">
              <w:rPr>
                <w:rFonts w:ascii="Palatino Linotype" w:eastAsia="Palatino Linotype" w:hAnsi="Palatino Linotype" w:cs="Palatino Linotype"/>
                <w:b/>
                <w:sz w:val="20"/>
                <w:szCs w:val="20"/>
              </w:rPr>
              <w:t>2024:</w:t>
            </w:r>
            <w:r w:rsidRPr="001F232D">
              <w:rPr>
                <w:rFonts w:ascii="Palatino Linotype" w:eastAsia="Palatino Linotype" w:hAnsi="Palatino Linotype" w:cs="Palatino Linotype"/>
                <w:sz w:val="20"/>
                <w:szCs w:val="20"/>
              </w:rPr>
              <w:t xml:space="preserve"> 6 sesiones Ordinarias y 30 sesiones Extraordinarias.</w:t>
            </w:r>
          </w:p>
        </w:tc>
        <w:tc>
          <w:tcPr>
            <w:tcW w:w="2207" w:type="dxa"/>
          </w:tcPr>
          <w:p w14:paraId="0ABC28F1" w14:textId="77777777" w:rsidR="004072BD" w:rsidRPr="001F232D" w:rsidRDefault="0060766A">
            <w:pPr>
              <w:jc w:val="center"/>
              <w:rPr>
                <w:rFonts w:ascii="Palatino Linotype" w:eastAsia="Palatino Linotype" w:hAnsi="Palatino Linotype" w:cs="Palatino Linotype"/>
                <w:sz w:val="20"/>
                <w:szCs w:val="20"/>
              </w:rPr>
            </w:pPr>
            <w:r w:rsidRPr="001F232D">
              <w:rPr>
                <w:rFonts w:ascii="Palatino Linotype" w:eastAsia="Palatino Linotype" w:hAnsi="Palatino Linotype" w:cs="Palatino Linotype"/>
                <w:sz w:val="20"/>
                <w:szCs w:val="20"/>
              </w:rPr>
              <w:lastRenderedPageBreak/>
              <w:t>Si colmó</w:t>
            </w:r>
          </w:p>
        </w:tc>
      </w:tr>
    </w:tbl>
    <w:p w14:paraId="6C8E76A2" w14:textId="77777777" w:rsidR="004072BD" w:rsidRPr="001F232D" w:rsidRDefault="004072B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06A0848"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Señalado lo anterior, se procede al estudio de cada uno de los requerimientos de la parte Solicitante, al tenor de lo siguiente: </w:t>
      </w:r>
    </w:p>
    <w:p w14:paraId="6ECC8D7E"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385D04B9"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En cuanto hace a </w:t>
      </w:r>
      <w:r w:rsidRPr="001F232D">
        <w:rPr>
          <w:rFonts w:ascii="Palatino Linotype" w:eastAsia="Palatino Linotype" w:hAnsi="Palatino Linotype" w:cs="Palatino Linotype"/>
          <w:b/>
          <w:sz w:val="22"/>
          <w:szCs w:val="22"/>
        </w:rPr>
        <w:t xml:space="preserve">los recorridos que realizan los carros de recolección de basura </w:t>
      </w:r>
      <w:r w:rsidRPr="001F232D">
        <w:rPr>
          <w:rFonts w:ascii="Palatino Linotype" w:eastAsia="Palatino Linotype" w:hAnsi="Palatino Linotype" w:cs="Palatino Linotype"/>
          <w:sz w:val="22"/>
          <w:szCs w:val="22"/>
        </w:rPr>
        <w:t xml:space="preserve">es menester mencionar que, la Ley Orgánica Municipal del Estado de México, establece en su artículo 125 que, los municipios tendrán a su cargo la prestación, explotación, administración y conservación de los servicios públicos municipales, entre los cuales se encuentran, los siguientes: </w:t>
      </w:r>
    </w:p>
    <w:p w14:paraId="638B010D"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66B43360" w14:textId="77777777" w:rsidR="004072BD" w:rsidRPr="001F232D" w:rsidRDefault="0060766A">
      <w:pPr>
        <w:spacing w:line="276" w:lineRule="auto"/>
        <w:ind w:left="567" w:right="-93"/>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125.-</w:t>
      </w:r>
      <w:r w:rsidRPr="001F232D">
        <w:rPr>
          <w:rFonts w:ascii="Palatino Linotype" w:eastAsia="Palatino Linotype" w:hAnsi="Palatino Linotype" w:cs="Palatino Linotype"/>
          <w:i/>
          <w:sz w:val="22"/>
          <w:szCs w:val="22"/>
        </w:rPr>
        <w:t xml:space="preserve"> Los municipios tendrán a su cargo la prestación, explotación, administración y conservación de los servicios públicos municipales, considerándose enunciativa y no limitativamente, los siguientes: </w:t>
      </w:r>
    </w:p>
    <w:p w14:paraId="2A23DA0B" w14:textId="77777777" w:rsidR="004072BD" w:rsidRPr="001F232D" w:rsidRDefault="0060766A">
      <w:pPr>
        <w:spacing w:line="276" w:lineRule="auto"/>
        <w:ind w:left="567" w:right="-93"/>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 Agua potable, alcantarillado, saneamiento y aguas residuales; </w:t>
      </w:r>
    </w:p>
    <w:p w14:paraId="3C70AE9D" w14:textId="77777777" w:rsidR="004072BD" w:rsidRPr="001F232D" w:rsidRDefault="0060766A">
      <w:pPr>
        <w:spacing w:line="276" w:lineRule="auto"/>
        <w:ind w:left="567" w:right="-93"/>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II. Alumbrado público; </w:t>
      </w:r>
    </w:p>
    <w:p w14:paraId="49E795FA" w14:textId="77777777" w:rsidR="004072BD" w:rsidRPr="001F232D" w:rsidRDefault="0060766A">
      <w:pPr>
        <w:spacing w:line="276" w:lineRule="auto"/>
        <w:ind w:left="567" w:right="-93"/>
        <w:jc w:val="both"/>
        <w:rPr>
          <w:rFonts w:ascii="Palatino Linotype" w:eastAsia="Palatino Linotype" w:hAnsi="Palatino Linotype" w:cs="Palatino Linotype"/>
          <w:b/>
          <w:i/>
          <w:sz w:val="22"/>
          <w:szCs w:val="22"/>
          <w:u w:val="single"/>
        </w:rPr>
      </w:pPr>
      <w:r w:rsidRPr="001F232D">
        <w:rPr>
          <w:rFonts w:ascii="Palatino Linotype" w:eastAsia="Palatino Linotype" w:hAnsi="Palatino Linotype" w:cs="Palatino Linotype"/>
          <w:b/>
          <w:i/>
          <w:sz w:val="22"/>
          <w:szCs w:val="22"/>
          <w:u w:val="single"/>
        </w:rPr>
        <w:t xml:space="preserve">III. Limpia, recolección, segregada, traslado, tratamiento y disposición final de los residuos sólidos urbanos; debiendo emprender acciones para la identificación y prevención de la creación de nuevos tiraderos a cielo abierto o sitios de disposición clandestina de residuos de cualquier índole. </w:t>
      </w:r>
    </w:p>
    <w:p w14:paraId="54716299" w14:textId="77777777" w:rsidR="004072BD" w:rsidRPr="001F232D" w:rsidRDefault="0060766A">
      <w:pPr>
        <w:spacing w:line="276" w:lineRule="auto"/>
        <w:ind w:left="567" w:right="-93"/>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En la recolección segregada, con la finalidad de fomentar la economía circular y promover la valorización de los residuos sólidos urbanos, se observará la siguiente clasificación: </w:t>
      </w:r>
    </w:p>
    <w:p w14:paraId="1CE06C10" w14:textId="77777777" w:rsidR="004072BD" w:rsidRPr="001F232D" w:rsidRDefault="0060766A">
      <w:pPr>
        <w:spacing w:line="276" w:lineRule="auto"/>
        <w:ind w:left="567" w:right="-93"/>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a) Orgánicos </w:t>
      </w:r>
    </w:p>
    <w:p w14:paraId="689E6B8A" w14:textId="77777777" w:rsidR="004072BD" w:rsidRPr="001F232D" w:rsidRDefault="0060766A">
      <w:pPr>
        <w:spacing w:line="276" w:lineRule="auto"/>
        <w:ind w:left="567" w:right="-93"/>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b) Inorgánicos...</w:t>
      </w:r>
    </w:p>
    <w:p w14:paraId="20908326"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lastRenderedPageBreak/>
        <w:t xml:space="preserve">Asimismo, la Ley Orgánica en mención establece que la prestación de los servicios públicos deberá realizarse por los ayuntamientos, sus unidades administrativas y organismos auxiliares, sin embargo, podrá concesionarse a terceros este tipo de servicios con excepción a los de seguridad pública, situación que estará supervisada por los regidores o por los órganos municipales respectivo, tal como se aprecia a continuación: </w:t>
      </w:r>
    </w:p>
    <w:p w14:paraId="6303FF80" w14:textId="77777777" w:rsidR="004072BD" w:rsidRPr="001F232D" w:rsidRDefault="004072BD">
      <w:pPr>
        <w:spacing w:line="276" w:lineRule="auto"/>
        <w:ind w:right="-93"/>
        <w:jc w:val="both"/>
        <w:rPr>
          <w:rFonts w:ascii="Palatino Linotype" w:eastAsia="Palatino Linotype" w:hAnsi="Palatino Linotype" w:cs="Palatino Linotype"/>
          <w:sz w:val="22"/>
          <w:szCs w:val="22"/>
        </w:rPr>
      </w:pPr>
    </w:p>
    <w:p w14:paraId="2B6DC245"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126.-</w:t>
      </w:r>
      <w:r w:rsidRPr="001F232D">
        <w:rPr>
          <w:rFonts w:ascii="Palatino Linotype" w:eastAsia="Palatino Linotype" w:hAnsi="Palatino Linotype" w:cs="Palatino Linotype"/>
          <w:i/>
          <w:sz w:val="22"/>
          <w:szCs w:val="22"/>
        </w:rPr>
        <w:t xml:space="preserve"> La prestación de los servicios públicos deberá realizarse por los ayuntamientos, sus unidades administrativas y organismos auxiliares,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 </w:t>
      </w:r>
    </w:p>
    <w:p w14:paraId="2CC292B5"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3F82E1BA"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127.-</w:t>
      </w:r>
      <w:r w:rsidRPr="001F232D">
        <w:rPr>
          <w:rFonts w:ascii="Palatino Linotype" w:eastAsia="Palatino Linotype" w:hAnsi="Palatino Linotype" w:cs="Palatino Linotype"/>
          <w:i/>
          <w:sz w:val="22"/>
          <w:szCs w:val="22"/>
        </w:rPr>
        <w:t xml:space="preserve"> Cuando los servicios públicos sean prestados directamente por el ayuntamiento, serán supervisados por los regidores o por los órganos municipales respectivos, en la forma que determine esta Ley y los reglamentos aplicables. Los particulares podrán participar en la prestación de servicios públicos, conforme a las bases de organización y bajo la dirección que acuerden los ayuntamientos. </w:t>
      </w:r>
    </w:p>
    <w:p w14:paraId="1B1A6A59"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5F6EA0A3"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128.-</w:t>
      </w:r>
      <w:r w:rsidRPr="001F232D">
        <w:rPr>
          <w:rFonts w:ascii="Palatino Linotype" w:eastAsia="Palatino Linotype" w:hAnsi="Palatino Linotype" w:cs="Palatino Linotype"/>
          <w:i/>
          <w:sz w:val="22"/>
          <w:szCs w:val="22"/>
        </w:rPr>
        <w:t xml:space="preserve"> Cuando los servicios públicos municipales sean concesionados a terceros, se sujetarán a lo establecido por esta Ley, las cláusulas de la concesión y demás disposiciones aplicables. </w:t>
      </w:r>
    </w:p>
    <w:p w14:paraId="321571EB"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7BC02301"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Por su parte, la Norma Técnica Estatal Ambiental NTEA-023-SeMAGEM-RS-2021 que establece que las especificaciones para la prestación del servicio de recolección y traslado de residuos sólidos y de manejo especial para el Estado de México define como </w:t>
      </w:r>
      <w:r w:rsidRPr="001F232D">
        <w:rPr>
          <w:rFonts w:ascii="Palatino Linotype" w:eastAsia="Palatino Linotype" w:hAnsi="Palatino Linotype" w:cs="Palatino Linotype"/>
          <w:b/>
          <w:sz w:val="22"/>
          <w:szCs w:val="22"/>
        </w:rPr>
        <w:t xml:space="preserve">recolección </w:t>
      </w:r>
      <w:r w:rsidRPr="001F232D">
        <w:rPr>
          <w:rFonts w:ascii="Palatino Linotype" w:eastAsia="Palatino Linotype" w:hAnsi="Palatino Linotype" w:cs="Palatino Linotype"/>
          <w:sz w:val="22"/>
          <w:szCs w:val="22"/>
        </w:rPr>
        <w:t xml:space="preserve">a la acción de recoger y transportar mediante diferentes métodos, los residuos sólidos desde las fuentes generadoras hasta las estaciones de transferencia, centro de acopio, plantas de aprovechamiento, de tratamiento, de separación, valorización, Centro Integral de Residuos o sitios de disposición final. </w:t>
      </w:r>
    </w:p>
    <w:p w14:paraId="150BC704"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lastRenderedPageBreak/>
        <w:t xml:space="preserve">Del mismo modo, la norma refiere que, las especificaciones que deben cumplir los servicios públicos de recolección y traslado de residuos sólidos urbanos y de manejo especial son las siguientes: </w:t>
      </w:r>
    </w:p>
    <w:p w14:paraId="7FDE9C6C"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1A23CF60" w14:textId="77777777" w:rsidR="004072BD" w:rsidRPr="001F232D" w:rsidRDefault="0060766A">
      <w:pPr>
        <w:spacing w:line="360" w:lineRule="auto"/>
        <w:ind w:right="-93"/>
        <w:jc w:val="center"/>
        <w:rPr>
          <w:rFonts w:ascii="Palatino Linotype" w:eastAsia="Palatino Linotype" w:hAnsi="Palatino Linotype" w:cs="Palatino Linotype"/>
          <w:sz w:val="22"/>
          <w:szCs w:val="22"/>
        </w:rPr>
      </w:pPr>
      <w:r w:rsidRPr="001F232D">
        <w:rPr>
          <w:rFonts w:ascii="Palatino Linotype" w:eastAsia="Palatino Linotype" w:hAnsi="Palatino Linotype" w:cs="Palatino Linotype"/>
          <w:noProof/>
          <w:sz w:val="22"/>
          <w:szCs w:val="22"/>
          <w:lang w:val="es-MX" w:eastAsia="es-MX"/>
        </w:rPr>
        <w:drawing>
          <wp:inline distT="0" distB="0" distL="0" distR="0" wp14:anchorId="11EB2143" wp14:editId="0467CE73">
            <wp:extent cx="5079705" cy="3142198"/>
            <wp:effectExtent l="0" t="0" r="0" b="0"/>
            <wp:docPr id="7702015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079705" cy="3142198"/>
                    </a:xfrm>
                    <a:prstGeom prst="rect">
                      <a:avLst/>
                    </a:prstGeom>
                    <a:ln/>
                  </pic:spPr>
                </pic:pic>
              </a:graphicData>
            </a:graphic>
          </wp:inline>
        </w:drawing>
      </w:r>
      <w:r w:rsidRPr="001F232D">
        <w:rPr>
          <w:noProof/>
          <w:lang w:val="es-MX" w:eastAsia="es-MX"/>
        </w:rPr>
        <mc:AlternateContent>
          <mc:Choice Requires="wps">
            <w:drawing>
              <wp:anchor distT="0" distB="0" distL="114300" distR="114300" simplePos="0" relativeHeight="251658240" behindDoc="0" locked="0" layoutInCell="1" hidden="0" allowOverlap="1" wp14:anchorId="1D67D3B7" wp14:editId="3331E754">
                <wp:simplePos x="0" y="0"/>
                <wp:positionH relativeFrom="column">
                  <wp:posOffset>304800</wp:posOffset>
                </wp:positionH>
                <wp:positionV relativeFrom="paragraph">
                  <wp:posOffset>165100</wp:posOffset>
                </wp:positionV>
                <wp:extent cx="5105400" cy="209550"/>
                <wp:effectExtent l="0" t="0" r="0" b="0"/>
                <wp:wrapNone/>
                <wp:docPr id="770201566" name="Rectángulo 770201566"/>
                <wp:cNvGraphicFramePr/>
                <a:graphic xmlns:a="http://schemas.openxmlformats.org/drawingml/2006/main">
                  <a:graphicData uri="http://schemas.microsoft.com/office/word/2010/wordprocessingShape">
                    <wps:wsp>
                      <wps:cNvSpPr/>
                      <wps:spPr>
                        <a:xfrm>
                          <a:off x="2812350" y="3694275"/>
                          <a:ext cx="5067300" cy="171450"/>
                        </a:xfrm>
                        <a:prstGeom prst="rect">
                          <a:avLst/>
                        </a:prstGeom>
                        <a:noFill/>
                        <a:ln w="38100" cap="flat" cmpd="sng">
                          <a:solidFill>
                            <a:srgbClr val="FF0000"/>
                          </a:solidFill>
                          <a:prstDash val="solid"/>
                          <a:miter lim="800000"/>
                          <a:headEnd type="none" w="sm" len="sm"/>
                          <a:tailEnd type="none" w="sm" len="sm"/>
                        </a:ln>
                      </wps:spPr>
                      <wps:txbx>
                        <w:txbxContent>
                          <w:p w14:paraId="5BDEABF3" w14:textId="77777777" w:rsidR="0060766A" w:rsidRDefault="0060766A">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id="_x0000_s1026" style="position:absolute;left:0;text-align:left;margin-left:24pt;margin-top:13pt;width:402pt;height:1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tFKwIAAEgEAAAOAAAAZHJzL2Uyb0RvYy54bWysVNuO0zAQfUfiHyy/01x63ajpCm0pQlpB&#10;pYUPmDpOY8k3bLdN/56xE7YFHpAQeXA88fGZM7esH3slyZk7L4yuaTHJKeGamUboY02/fd29W1Hi&#10;A+gGpNG8plfu6ePm7Zv1xVa8NJ2RDXcESbSvLramXQi2yjLPOq7AT4zlGg9b4xQENN0xaxxckF3J&#10;rMzzRXYxrrHOMO49ft0Oh3ST+NuWs/ClbT0PRNYUtYW0urQe4ppt1lAdHdhOsFEG/IMKBUKj01eq&#10;LQQgJyf+oFKCOeNNGybMqMy0rWA8xYDRFPlv0bx0YHmKBZPj7Wua/P+jZZ/Pe0dEU9PlMkcJ88WC&#10;Eg0KSxVzc7G+QsiL3bvR8riNgfatU/GNIZC+puWqKKdzzPC1ptPFw6xczofc8j4QhoB5vlhOcwQw&#10;RBTLYoZgpMxuTNb58JEbReKmpg5rl1IK52cfBuhPSHSszU5Iid+hkppc0O2qSPyAbdRKCOhKWQzM&#10;62Pi8UaKJt6JV7w7Hp6kI2fAxtjtcnxGOb/AosMt+G7ApaMhLCUC9q0UqqareHnspI5D80E3JFwt&#10;ZlBjy9MozStKJMcBwU1SHEDIv+MwOVJjjmIVhrzHXegPPZLE7cE0Vyyft2wnUOkz+LAHhw1coFts&#10;anT4/QQORchPGrvmoZiVc5yCe8PdG4d7AzTrDM4KC46SwXgKaXaG/L8/BdOKVJqbmFEutmsq7jha&#10;cR7u7YS6/QA2PwAAAP//AwBQSwMEFAAGAAgAAAAhAOA4I57hAAAACAEAAA8AAABkcnMvZG93bnJl&#10;di54bWxMj8FOwzAQRO9I/IO1SNyo3UCjNMSpoBIqB6SqDao4urFJIuJ1sJ028PUsJzjtrmY0+6ZY&#10;TbZnJ+ND51DCfCaAGayd7rCR8Fo93WTAQlSoVe/QSPgyAVbl5UWhcu3OuDOnfWwYhWDIlYQ2xiHn&#10;PNStsSrM3GCQtHfnrYp0+oZrr84UbnueCJFyqzqkD60azLo19cd+tBI+D+Ptdvfi02+x3qSP1bx6&#10;2zxXUl5fTQ/3wKKZ4p8ZfvEJHUpiOroRdWC9hLuMqkQJSUqT9GyR0HKUsFgK4GXB/xcofwAAAP//&#10;AwBQSwECLQAUAAYACAAAACEAtoM4kv4AAADhAQAAEwAAAAAAAAAAAAAAAAAAAAAAW0NvbnRlbnRf&#10;VHlwZXNdLnhtbFBLAQItABQABgAIAAAAIQA4/SH/1gAAAJQBAAALAAAAAAAAAAAAAAAAAC8BAABf&#10;cmVscy8ucmVsc1BLAQItABQABgAIAAAAIQATFitFKwIAAEgEAAAOAAAAAAAAAAAAAAAAAC4CAABk&#10;cnMvZTJvRG9jLnhtbFBLAQItABQABgAIAAAAIQDgOCOe4QAAAAgBAAAPAAAAAAAAAAAAAAAAAIUE&#10;AABkcnMvZG93bnJldi54bWxQSwUGAAAAAAQABADzAAAAkwUAAAAA&#10;" filled="f" strokecolor="red" strokeweight="3pt">
                <v:stroke startarrowwidth="narrow" startarrowlength="short" endarrowwidth="narrow" endarrowlength="short"/>
                <v:textbox inset="2.53958mm,2.53958mm,2.53958mm,2.53958mm">
                  <w:txbxContent>
                    <w:p w:rsidR="0060766A" w:rsidRDefault="0060766A">
                      <w:pPr>
                        <w:textDirection w:val="btLr"/>
                      </w:pPr>
                    </w:p>
                  </w:txbxContent>
                </v:textbox>
              </v:rect>
            </w:pict>
          </mc:Fallback>
        </mc:AlternateContent>
      </w:r>
    </w:p>
    <w:p w14:paraId="6AD75E54"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634AAF27" w14:textId="77777777" w:rsidR="004072BD" w:rsidRPr="001F232D" w:rsidRDefault="0060766A">
      <w:pPr>
        <w:spacing w:line="360" w:lineRule="auto"/>
        <w:ind w:right="-93"/>
        <w:jc w:val="both"/>
        <w:rPr>
          <w:rFonts w:ascii="Palatino Linotype" w:eastAsia="Palatino Linotype" w:hAnsi="Palatino Linotype" w:cs="Palatino Linotype"/>
          <w:b/>
          <w:sz w:val="22"/>
          <w:szCs w:val="22"/>
        </w:rPr>
      </w:pPr>
      <w:r w:rsidRPr="001F232D">
        <w:rPr>
          <w:rFonts w:ascii="Palatino Linotype" w:eastAsia="Palatino Linotype" w:hAnsi="Palatino Linotype" w:cs="Palatino Linotype"/>
          <w:sz w:val="22"/>
          <w:szCs w:val="22"/>
        </w:rPr>
        <w:t xml:space="preserve">De lo anterior, se colige que, para la recolección de residuos sólidos en el Estado de México, se requiere en principio </w:t>
      </w:r>
      <w:r w:rsidRPr="001F232D">
        <w:rPr>
          <w:rFonts w:ascii="Palatino Linotype" w:eastAsia="Palatino Linotype" w:hAnsi="Palatino Linotype" w:cs="Palatino Linotype"/>
          <w:b/>
          <w:sz w:val="22"/>
          <w:szCs w:val="22"/>
        </w:rPr>
        <w:t xml:space="preserve">contar con un diseño de rutas de recolección. </w:t>
      </w:r>
    </w:p>
    <w:p w14:paraId="432E6813" w14:textId="77777777" w:rsidR="004072BD" w:rsidRPr="001F232D" w:rsidRDefault="004072BD">
      <w:pPr>
        <w:spacing w:line="360" w:lineRule="auto"/>
        <w:ind w:right="-93"/>
        <w:jc w:val="both"/>
        <w:rPr>
          <w:rFonts w:ascii="Palatino Linotype" w:eastAsia="Palatino Linotype" w:hAnsi="Palatino Linotype" w:cs="Palatino Linotype"/>
          <w:b/>
          <w:sz w:val="22"/>
          <w:szCs w:val="22"/>
        </w:rPr>
      </w:pPr>
    </w:p>
    <w:p w14:paraId="665B72DF"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Por lo que hace al Sujeto Obligado, el Bando Municipal del Sujeto Obligado establece en sus artículos 86 y 87 lo siguiente: </w:t>
      </w:r>
    </w:p>
    <w:p w14:paraId="5D52CA46"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4C26C389"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86.</w:t>
      </w:r>
      <w:r w:rsidRPr="001F232D">
        <w:rPr>
          <w:rFonts w:ascii="Palatino Linotype" w:eastAsia="Palatino Linotype" w:hAnsi="Palatino Linotype" w:cs="Palatino Linotype"/>
          <w:i/>
          <w:sz w:val="22"/>
          <w:szCs w:val="22"/>
        </w:rPr>
        <w:t xml:space="preserve"> Las funciones y los servicios públicos municipales se prestarán con la mayor cobertura y calidad posibles, considerando las condiciones territoriales y socio-económicas del Municipio, así como la capacidad administrativa y financiera del Ayuntamiento. Las funciones y servicios públicos municipales que presta el Ayuntamiento serán proporcionados a través de las Dependencias y Entidades de la </w:t>
      </w:r>
      <w:r w:rsidRPr="001F232D">
        <w:rPr>
          <w:rFonts w:ascii="Palatino Linotype" w:eastAsia="Palatino Linotype" w:hAnsi="Palatino Linotype" w:cs="Palatino Linotype"/>
          <w:i/>
          <w:sz w:val="22"/>
          <w:szCs w:val="22"/>
        </w:rPr>
        <w:lastRenderedPageBreak/>
        <w:t xml:space="preserve">Administración Pública Municipal correspondientes, en forma continua, regular y uniforme, en los términos de la Legislación aplicable, este Bando, demás reglamentos y acuerdos que expida el Ayuntamiento, salvo que se apruebe o acuerde la concesión de aquellos que la legislación permita y con apego al procedimiento legal conducente. </w:t>
      </w:r>
    </w:p>
    <w:p w14:paraId="06282C06"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4E2DA012"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87.</w:t>
      </w:r>
      <w:r w:rsidRPr="001F232D">
        <w:rPr>
          <w:rFonts w:ascii="Palatino Linotype" w:eastAsia="Palatino Linotype" w:hAnsi="Palatino Linotype" w:cs="Palatino Linotype"/>
          <w:i/>
          <w:sz w:val="22"/>
          <w:szCs w:val="22"/>
        </w:rPr>
        <w:t xml:space="preserve"> Las funciones y servicios públicos municipales también podrán prestarse por el Ayuntamiento en combinación con el Estado o la Federación, atendiendo a lo que dispongan los ordenamientos legales aplicables.</w:t>
      </w:r>
    </w:p>
    <w:p w14:paraId="4762ADBA"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2FAF9495"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De igual forma, el artículo 88 del Bando Municipal del Sujeto Obligado refiere que: </w:t>
      </w:r>
    </w:p>
    <w:p w14:paraId="7DE3F410" w14:textId="77777777" w:rsidR="004072BD" w:rsidRPr="001F232D" w:rsidRDefault="004072BD">
      <w:pPr>
        <w:spacing w:line="276" w:lineRule="auto"/>
        <w:ind w:left="567" w:right="616"/>
        <w:jc w:val="both"/>
        <w:rPr>
          <w:rFonts w:ascii="Palatino Linotype" w:eastAsia="Palatino Linotype" w:hAnsi="Palatino Linotype" w:cs="Palatino Linotype"/>
          <w:sz w:val="22"/>
          <w:szCs w:val="22"/>
        </w:rPr>
      </w:pPr>
    </w:p>
    <w:p w14:paraId="2D170525" w14:textId="77777777" w:rsidR="004072BD" w:rsidRPr="001F232D" w:rsidRDefault="0060766A">
      <w:pPr>
        <w:spacing w:line="276" w:lineRule="auto"/>
        <w:ind w:left="567" w:right="616"/>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i/>
          <w:sz w:val="22"/>
          <w:szCs w:val="22"/>
        </w:rPr>
        <w:t>Artículo 88.</w:t>
      </w:r>
      <w:r w:rsidRPr="001F232D">
        <w:rPr>
          <w:rFonts w:ascii="Palatino Linotype" w:eastAsia="Palatino Linotype" w:hAnsi="Palatino Linotype" w:cs="Palatino Linotype"/>
          <w:i/>
          <w:sz w:val="22"/>
          <w:szCs w:val="22"/>
        </w:rPr>
        <w:t xml:space="preserve"> El Municipio tiene a su cargo la prestación, explotación, administración y conservación de los servicios públicos municipales, considerándose enunciativa y no limitativamente, los siguientes:</w:t>
      </w:r>
    </w:p>
    <w:p w14:paraId="672D35AE"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4C713ADD"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III. Limpia.</w:t>
      </w:r>
    </w:p>
    <w:p w14:paraId="2EEC0448"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2F6D0963"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050DDC88"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De esto, se colige que, el Sujeto Obligado cuenta con facultades, atribuciones y competencia para generar, administrar y poseer la información solicitada por la parte Recurrente. </w:t>
      </w:r>
    </w:p>
    <w:p w14:paraId="7FD1FE68"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3619D40B" w14:textId="77777777" w:rsidR="004072BD" w:rsidRPr="001F232D" w:rsidRDefault="0060766A">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Ahora bien, en atención a los agravios manifestados por la parte Recurrente, se destaca que, el Sujeto Obligado fue omiso en dar atención a este requerimiento, situación por la que, resulta dable traer a colación lo que establece el Criterio 02/17 emitido por el Instituto Nacional de Transparencia, Acceso a la Información y Protección de Datos Personales el cual establece lo siguiente:</w:t>
      </w:r>
    </w:p>
    <w:p w14:paraId="17E87201" w14:textId="77777777" w:rsidR="004072BD" w:rsidRPr="001F232D" w:rsidRDefault="004072BD">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4B6A5931" w14:textId="77777777" w:rsidR="004072BD" w:rsidRPr="001F232D" w:rsidRDefault="0060766A">
      <w:pPr>
        <w:pBdr>
          <w:top w:val="nil"/>
          <w:left w:val="nil"/>
          <w:bottom w:val="nil"/>
          <w:right w:val="nil"/>
          <w:between w:val="nil"/>
        </w:pBdr>
        <w:ind w:left="567" w:right="701"/>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Congruencia y exhaustividad. Sus alcances para garantizar el derecho de acceso a la información.</w:t>
      </w:r>
      <w:r w:rsidRPr="001F232D">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w:t>
      </w:r>
      <w:r w:rsidRPr="001F232D">
        <w:rPr>
          <w:rFonts w:ascii="Palatino Linotype" w:eastAsia="Palatino Linotype" w:hAnsi="Palatino Linotype" w:cs="Palatino Linotype"/>
          <w:i/>
          <w:sz w:val="22"/>
          <w:szCs w:val="22"/>
        </w:rPr>
        <w:lastRenderedPageBreak/>
        <w:t>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9EC9BEB" w14:textId="77777777" w:rsidR="004072BD" w:rsidRPr="001F232D" w:rsidRDefault="004072B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15266E86"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la exhaustividad establece que el sujeto obligado </w:t>
      </w:r>
      <w:r w:rsidRPr="001F232D">
        <w:rPr>
          <w:rFonts w:ascii="Palatino Linotype" w:eastAsia="Palatino Linotype" w:hAnsi="Palatino Linotype" w:cs="Palatino Linotype"/>
          <w:b/>
          <w:sz w:val="22"/>
          <w:szCs w:val="22"/>
        </w:rPr>
        <w:t>deberá atender de manera expresa cada uno de los puntos solicitados</w:t>
      </w:r>
      <w:r w:rsidRPr="001F232D">
        <w:rPr>
          <w:rFonts w:ascii="Palatino Linotype" w:eastAsia="Palatino Linotype" w:hAnsi="Palatino Linotype" w:cs="Palatino Linotype"/>
          <w:sz w:val="22"/>
          <w:szCs w:val="22"/>
        </w:rPr>
        <w:t xml:space="preserve">, situación que en el presente caso </w:t>
      </w:r>
      <w:r w:rsidRPr="001F232D">
        <w:rPr>
          <w:rFonts w:ascii="Palatino Linotype" w:eastAsia="Palatino Linotype" w:hAnsi="Palatino Linotype" w:cs="Palatino Linotype"/>
          <w:b/>
          <w:sz w:val="22"/>
          <w:szCs w:val="22"/>
          <w:u w:val="single"/>
        </w:rPr>
        <w:t>no aconteció</w:t>
      </w:r>
      <w:r w:rsidRPr="001F232D">
        <w:rPr>
          <w:rFonts w:ascii="Palatino Linotype" w:eastAsia="Palatino Linotype" w:hAnsi="Palatino Linotype" w:cs="Palatino Linotype"/>
          <w:sz w:val="22"/>
          <w:szCs w:val="22"/>
        </w:rPr>
        <w:t xml:space="preserve">, pues el Sujeto Obligado omitió dar atención al requerimiento de la parte Recurrente. </w:t>
      </w:r>
    </w:p>
    <w:p w14:paraId="7E6AD096"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62D0F663"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Situación por la que no puede tenerse por colmado este punto y procede ordenar el documento donde consten las rutas que realizan los camiones de recolección de residuos sólidos al diecinueve de diciembre de dos mil veinticuatro. </w:t>
      </w:r>
    </w:p>
    <w:p w14:paraId="05892363"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791F4442" w14:textId="77777777" w:rsidR="004072BD" w:rsidRPr="001F232D" w:rsidRDefault="0060766A">
      <w:pPr>
        <w:spacing w:line="360" w:lineRule="auto"/>
        <w:ind w:right="-93"/>
        <w:jc w:val="both"/>
        <w:rPr>
          <w:rFonts w:ascii="Palatino Linotype" w:eastAsia="Palatino Linotype" w:hAnsi="Palatino Linotype" w:cs="Palatino Linotype"/>
          <w:b/>
          <w:sz w:val="22"/>
          <w:szCs w:val="22"/>
        </w:rPr>
      </w:pPr>
      <w:r w:rsidRPr="001F232D">
        <w:rPr>
          <w:rFonts w:ascii="Palatino Linotype" w:eastAsia="Palatino Linotype" w:hAnsi="Palatino Linotype" w:cs="Palatino Linotype"/>
          <w:sz w:val="22"/>
          <w:szCs w:val="22"/>
        </w:rPr>
        <w:t xml:space="preserve">En lo que respecta a </w:t>
      </w:r>
      <w:r w:rsidRPr="001F232D">
        <w:rPr>
          <w:rFonts w:ascii="Palatino Linotype" w:eastAsia="Palatino Linotype" w:hAnsi="Palatino Linotype" w:cs="Palatino Linotype"/>
          <w:b/>
          <w:sz w:val="22"/>
          <w:szCs w:val="22"/>
        </w:rPr>
        <w:t>la gasolina que tienen asignada los carros de recolección de basura</w:t>
      </w:r>
      <w:r w:rsidRPr="001F232D">
        <w:rPr>
          <w:rFonts w:ascii="Palatino Linotype" w:eastAsia="Palatino Linotype" w:hAnsi="Palatino Linotype" w:cs="Palatino Linotype"/>
          <w:sz w:val="22"/>
          <w:szCs w:val="22"/>
        </w:rPr>
        <w:t xml:space="preserve">, es menester traer a colación lo que establece los Lineamientos de Control Financiero para las Entidades Fiscalizables Municipales del Estado de México, el cual señala lo siguiente: </w:t>
      </w:r>
    </w:p>
    <w:p w14:paraId="3F8A9A21"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4347AB18"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“LINEAMIENTOS DE CONTROL FINANCIERO Y ADMINISTRATIVO PARA LAS ENTIDADES FISCALIZABLES MUNICIPALES DEL ESTADO DE MÉXICO</w:t>
      </w:r>
      <w:r w:rsidRPr="001F232D">
        <w:rPr>
          <w:rFonts w:ascii="Palatino Linotype" w:eastAsia="Palatino Linotype" w:hAnsi="Palatino Linotype" w:cs="Palatino Linotype"/>
          <w:i/>
          <w:sz w:val="22"/>
          <w:szCs w:val="22"/>
        </w:rPr>
        <w:t xml:space="preserve">. </w:t>
      </w:r>
    </w:p>
    <w:p w14:paraId="2F7BA005"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34B6B3AA"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lastRenderedPageBreak/>
        <w:t>VIGÉSIMO OCTAVO:</w:t>
      </w:r>
      <w:r w:rsidRPr="001F232D">
        <w:rPr>
          <w:rFonts w:ascii="Palatino Linotype" w:eastAsia="Palatino Linotype" w:hAnsi="Palatino Linotype" w:cs="Palatino Linotype"/>
          <w:i/>
          <w:sz w:val="22"/>
          <w:szCs w:val="22"/>
        </w:rPr>
        <w:t xml:space="preserve">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de acuerdo al anexo 3. </w:t>
      </w:r>
    </w:p>
    <w:p w14:paraId="60173E0C" w14:textId="77777777" w:rsidR="004072BD" w:rsidRPr="001F232D" w:rsidRDefault="004072BD">
      <w:pPr>
        <w:spacing w:line="276" w:lineRule="auto"/>
        <w:ind w:right="899"/>
        <w:jc w:val="both"/>
        <w:rPr>
          <w:rFonts w:ascii="Palatino Linotype" w:eastAsia="Palatino Linotype" w:hAnsi="Palatino Linotype" w:cs="Palatino Linotype"/>
          <w:i/>
          <w:sz w:val="22"/>
          <w:szCs w:val="22"/>
        </w:rPr>
      </w:pPr>
    </w:p>
    <w:p w14:paraId="76B44286" w14:textId="77777777" w:rsidR="004072BD" w:rsidRPr="001F232D" w:rsidRDefault="0060766A">
      <w:pPr>
        <w:spacing w:line="276" w:lineRule="auto"/>
        <w:ind w:left="567" w:right="899"/>
        <w:jc w:val="center"/>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noProof/>
          <w:sz w:val="22"/>
          <w:szCs w:val="22"/>
          <w:lang w:val="es-MX" w:eastAsia="es-MX"/>
        </w:rPr>
        <w:drawing>
          <wp:inline distT="0" distB="0" distL="0" distR="0" wp14:anchorId="1C843ECF" wp14:editId="186A5502">
            <wp:extent cx="4897755" cy="2324100"/>
            <wp:effectExtent l="0" t="0" r="0" b="0"/>
            <wp:docPr id="77020157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897755" cy="2324100"/>
                    </a:xfrm>
                    <a:prstGeom prst="rect">
                      <a:avLst/>
                    </a:prstGeom>
                    <a:ln/>
                  </pic:spPr>
                </pic:pic>
              </a:graphicData>
            </a:graphic>
          </wp:inline>
        </w:drawing>
      </w:r>
      <w:r w:rsidRPr="001F232D">
        <w:rPr>
          <w:noProof/>
          <w:lang w:val="es-MX" w:eastAsia="es-MX"/>
        </w:rPr>
        <mc:AlternateContent>
          <mc:Choice Requires="wps">
            <w:drawing>
              <wp:anchor distT="0" distB="0" distL="114300" distR="114300" simplePos="0" relativeHeight="251659264" behindDoc="0" locked="0" layoutInCell="1" hidden="0" allowOverlap="1" wp14:anchorId="424BDDFB" wp14:editId="738FBF1F">
                <wp:simplePos x="0" y="0"/>
                <wp:positionH relativeFrom="column">
                  <wp:posOffset>2298700</wp:posOffset>
                </wp:positionH>
                <wp:positionV relativeFrom="paragraph">
                  <wp:posOffset>1117600</wp:posOffset>
                </wp:positionV>
                <wp:extent cx="476250" cy="990600"/>
                <wp:effectExtent l="0" t="0" r="0" b="0"/>
                <wp:wrapNone/>
                <wp:docPr id="770201567" name="Diagrama de flujo: proceso 770201567"/>
                <wp:cNvGraphicFramePr/>
                <a:graphic xmlns:a="http://schemas.openxmlformats.org/drawingml/2006/main">
                  <a:graphicData uri="http://schemas.microsoft.com/office/word/2010/wordprocessingShape">
                    <wps:wsp>
                      <wps:cNvSpPr/>
                      <wps:spPr>
                        <a:xfrm>
                          <a:off x="5126925" y="3303750"/>
                          <a:ext cx="438150" cy="952500"/>
                        </a:xfrm>
                        <a:prstGeom prst="flowChartProcess">
                          <a:avLst/>
                        </a:prstGeom>
                        <a:noFill/>
                        <a:ln w="38100" cap="flat" cmpd="sng">
                          <a:solidFill>
                            <a:srgbClr val="FF0000"/>
                          </a:solidFill>
                          <a:prstDash val="solid"/>
                          <a:miter lim="800000"/>
                          <a:headEnd type="none" w="sm" len="sm"/>
                          <a:tailEnd type="none" w="sm" len="sm"/>
                        </a:ln>
                      </wps:spPr>
                      <wps:txbx>
                        <w:txbxContent>
                          <w:p w14:paraId="678F82A7" w14:textId="77777777" w:rsidR="0060766A" w:rsidRDefault="0060766A">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shapetype id="_x0000_t109" coordsize="21600,21600" o:spt="109" path="m,l,21600r21600,l21600,xe">
                <v:stroke joinstyle="miter"/>
                <v:path gradientshapeok="t" o:connecttype="rect"/>
              </v:shapetype>
              <v:shape id="_x0000_s1027" type="#_x0000_t109" style="position:absolute;left:0;text-align:left;margin-left:181pt;margin-top:88pt;width:37.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pzNgIAAFoEAAAOAAAAZHJzL2Uyb0RvYy54bWysVNuO0zAQfUfiHyy/0yTtZntR0xVqKUJa&#10;QaWFD5g6TmPJN2y3Sf+esRO2BR6QEH1wPfb4zJk5M1k/9UqSC3deGF3RYpJTwjUztdCnin77un+3&#10;oMQH0DVIo3lFr9zTp83bN+vOrvjUtEbW3BEE0X7V2Yq2IdhVlnnWcgV+YizXeNkYpyCg6U5Z7aBD&#10;dCWzaZ4/Zp1xtXWGce/xdDdc0k3CbxrOwpem8TwQWVHkFtLq0nqMa7ZZw+rkwLaCjTTgH1goEBqD&#10;vkLtIAA5O/EHlBLMGW+aMGFGZaZpBOMpB8ymyH/L5qUFy1MuWBxvX8vk/x8s+3w5OCLqis7nOVIo&#10;H+eUaFAoVaxNZ/0KXV7swY2Wx21MtG+civ+YAukrWhbTx+W0pORa0dksn83Lsba8D4Shw8NsUeAZ&#10;YeiwLKdlnu6zG5B1PnzkRpG4qWgjTbdtwYXDIG6qLlyefUAi+Oyne+SgzV5ImaSUmnTIYFEgPmGA&#10;HdVICLhVFnP0+pRwvJGijm/ia+9Ox6105ALYI/t9jr+YOsb4xS0G3IFvB790NXSPEgFbWApV0UV8&#10;PCbecqg/6JqEq8Viaux+Gql5RYnkOCu4SYwDCPl3P2QjNZKKggwSxF3oj30Sr4hY8eRo6isK6i3b&#10;CyT8DD4cwGFLFxgd2xzjfj+DQy7yk8Y+WhYPUbVwb7h743hvgGatwelhwVEyGNuQpmmQ4f05mEYk&#10;hW5kRtbYwKmo47DFCbm3k9ftk7D5AQAA//8DAFBLAwQUAAYACAAAACEA1G/UR98AAAALAQAADwAA&#10;AGRycy9kb3ducmV2LnhtbEyPQUvDQBCF74L/YRnBm92YhLTEbIoUBKEqtCnocZLdJtHsbMhu2/jv&#10;HU96e8P3ePNesZ7tIM5m8r0jBfeLCIShxumeWgWH6uluBcIHJI2DI6Pg23hYl9dXBebaXWhnzvvQ&#10;Cg4hn6OCLoQxl9I3nbHoF240xOzoJouBz6mVesILh9tBxlGUSYs98YcOR7PpTPO1P1kFn1X7ftwM&#10;u5eqesP04zmut6/pVqnbm/nxAUQwc/gzw299rg4ld6rdibQXg4Iki3lLYLDMWLAjTZYsakYJI1kW&#10;8v+G8gcAAP//AwBQSwECLQAUAAYACAAAACEAtoM4kv4AAADhAQAAEwAAAAAAAAAAAAAAAAAAAAAA&#10;W0NvbnRlbnRfVHlwZXNdLnhtbFBLAQItABQABgAIAAAAIQA4/SH/1gAAAJQBAAALAAAAAAAAAAAA&#10;AAAAAC8BAABfcmVscy8ucmVsc1BLAQItABQABgAIAAAAIQAsbnpzNgIAAFoEAAAOAAAAAAAAAAAA&#10;AAAAAC4CAABkcnMvZTJvRG9jLnhtbFBLAQItABQABgAIAAAAIQDUb9RH3wAAAAsBAAAPAAAAAAAA&#10;AAAAAAAAAJAEAABkcnMvZG93bnJldi54bWxQSwUGAAAAAAQABADzAAAAnAUAAAAA&#10;" filled="f" strokecolor="red" strokeweight="3pt">
                <v:stroke startarrowwidth="narrow" startarrowlength="short" endarrowwidth="narrow" endarrowlength="short"/>
                <v:textbox inset="2.53958mm,2.53958mm,2.53958mm,2.53958mm">
                  <w:txbxContent>
                    <w:p w:rsidR="0060766A" w:rsidRDefault="0060766A">
                      <w:pPr>
                        <w:textDirection w:val="btLr"/>
                      </w:pPr>
                    </w:p>
                  </w:txbxContent>
                </v:textbox>
              </v:shape>
            </w:pict>
          </mc:Fallback>
        </mc:AlternateContent>
      </w:r>
    </w:p>
    <w:p w14:paraId="7C690BA8" w14:textId="77777777" w:rsidR="004072BD" w:rsidRPr="001F232D" w:rsidRDefault="004072BD">
      <w:pPr>
        <w:spacing w:line="276" w:lineRule="auto"/>
        <w:ind w:right="899"/>
        <w:jc w:val="both"/>
        <w:rPr>
          <w:rFonts w:ascii="Palatino Linotype" w:eastAsia="Palatino Linotype" w:hAnsi="Palatino Linotype" w:cs="Palatino Linotype"/>
          <w:i/>
          <w:sz w:val="22"/>
          <w:szCs w:val="22"/>
        </w:rPr>
      </w:pPr>
    </w:p>
    <w:p w14:paraId="64F12B55"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En ese sentido, la Dirección de Administración del Sujeto Obligado deberá planear, organizar y supervisar la administración de los recursos materiales de la Administración Pública Municipal, asimismo, deberá garantizar el suministro de los bienes y servicios adquiridos y prestarlos en las mejores condiciones posibles, así como, asegurar el mantenimiento de los bienes muebles e inmuebles. </w:t>
      </w:r>
    </w:p>
    <w:p w14:paraId="13184D19"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26527D2B" w14:textId="77777777" w:rsidR="004072BD" w:rsidRPr="001F232D" w:rsidRDefault="0060766A">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Ahora bien, en atención a los agravios manifestados por la parte Recurrente, el Sujeto Obligado también fue omiso en dar atención a este punto de la solicitud, por lo que, de conformidad con el Criterio 02/17 emitido por el Instituto Nacional de Transparencia, Acceso a la Información y Protección de Datos Personales, se colige que el Sujeto Obligado, no fue exhaustivo en dar atención a los requerimientos planteados por la parte Recurrente. </w:t>
      </w:r>
    </w:p>
    <w:p w14:paraId="4598A03B"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lastRenderedPageBreak/>
        <w:t xml:space="preserve">Situación por la que no se tiene por colmado y procede ordenar el documento donde consten los litros de gasolina asignados a los camiones de recolección de residuos sólidos al diecinueve de diciembre de dos mil veinticuatro. </w:t>
      </w:r>
    </w:p>
    <w:p w14:paraId="0B47C776" w14:textId="77777777" w:rsidR="004072BD" w:rsidRPr="001F232D" w:rsidRDefault="004072B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5BBBAD0B" w14:textId="77777777" w:rsidR="004072BD" w:rsidRPr="001F232D" w:rsidRDefault="0060766A">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En lo que respecta al </w:t>
      </w:r>
      <w:r w:rsidRPr="001F232D">
        <w:rPr>
          <w:rFonts w:ascii="Palatino Linotype" w:eastAsia="Palatino Linotype" w:hAnsi="Palatino Linotype" w:cs="Palatino Linotype"/>
          <w:b/>
          <w:sz w:val="22"/>
          <w:szCs w:val="22"/>
        </w:rPr>
        <w:t>número de casos que ha resuelto el Juzgado de Villa de Allende</w:t>
      </w:r>
      <w:r w:rsidRPr="001F232D">
        <w:rPr>
          <w:rFonts w:ascii="Palatino Linotype" w:eastAsia="Palatino Linotype" w:hAnsi="Palatino Linotype" w:cs="Palatino Linotype"/>
          <w:sz w:val="22"/>
          <w:szCs w:val="22"/>
        </w:rPr>
        <w:t>, es de destacar que, de las constancias que obran en el expediente se advierte que quien dio atención a la solicitud fue la Jueza Cívica del Municipio,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49EA5B28" w14:textId="77777777" w:rsidR="004072BD" w:rsidRPr="001F232D" w:rsidRDefault="004072BD">
      <w:pPr>
        <w:spacing w:line="360" w:lineRule="auto"/>
        <w:ind w:right="560"/>
        <w:jc w:val="both"/>
        <w:rPr>
          <w:rFonts w:ascii="Palatino Linotype" w:eastAsia="Palatino Linotype" w:hAnsi="Palatino Linotype" w:cs="Palatino Linotype"/>
          <w:sz w:val="22"/>
          <w:szCs w:val="22"/>
        </w:rPr>
      </w:pPr>
    </w:p>
    <w:p w14:paraId="3EB7F768" w14:textId="77777777" w:rsidR="004072BD" w:rsidRPr="001F232D" w:rsidRDefault="0060766A">
      <w:pPr>
        <w:numPr>
          <w:ilvl w:val="3"/>
          <w:numId w:val="5"/>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29B1D82" w14:textId="77777777" w:rsidR="004072BD" w:rsidRPr="001F232D" w:rsidRDefault="004072BD">
      <w:pPr>
        <w:spacing w:line="360" w:lineRule="auto"/>
        <w:ind w:left="567" w:right="560"/>
        <w:jc w:val="both"/>
        <w:rPr>
          <w:rFonts w:ascii="Palatino Linotype" w:eastAsia="Palatino Linotype" w:hAnsi="Palatino Linotype" w:cs="Palatino Linotype"/>
          <w:sz w:val="22"/>
          <w:szCs w:val="22"/>
        </w:rPr>
      </w:pPr>
    </w:p>
    <w:p w14:paraId="03C7DE12" w14:textId="77777777" w:rsidR="004072BD" w:rsidRPr="001F232D" w:rsidRDefault="0060766A">
      <w:pPr>
        <w:numPr>
          <w:ilvl w:val="3"/>
          <w:numId w:val="5"/>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259F03D9" w14:textId="77777777" w:rsidR="004072BD" w:rsidRPr="001F232D" w:rsidRDefault="004072BD">
      <w:pPr>
        <w:spacing w:line="360" w:lineRule="auto"/>
        <w:ind w:right="560"/>
        <w:jc w:val="both"/>
        <w:rPr>
          <w:rFonts w:ascii="Palatino Linotype" w:eastAsia="Palatino Linotype" w:hAnsi="Palatino Linotype" w:cs="Palatino Linotype"/>
          <w:sz w:val="22"/>
          <w:szCs w:val="22"/>
        </w:rPr>
      </w:pPr>
    </w:p>
    <w:p w14:paraId="60637538"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w:t>
      </w:r>
      <w:r w:rsidRPr="001F232D">
        <w:rPr>
          <w:rFonts w:ascii="Palatino Linotype" w:eastAsia="Palatino Linotype" w:hAnsi="Palatino Linotype" w:cs="Palatino Linotype"/>
          <w:sz w:val="22"/>
          <w:szCs w:val="22"/>
        </w:rPr>
        <w:lastRenderedPageBreak/>
        <w:t xml:space="preserve">requerimiento de información al área competente para conocer de lo peticionado, en atención a las atribuciones que le confiere el artículo 123 del Bando Municipal del Sujeto Obligado, las cuales son las siguientes: </w:t>
      </w:r>
    </w:p>
    <w:p w14:paraId="6294D9EE"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03797195"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123.</w:t>
      </w:r>
      <w:r w:rsidRPr="001F232D">
        <w:rPr>
          <w:rFonts w:ascii="Palatino Linotype" w:eastAsia="Palatino Linotype" w:hAnsi="Palatino Linotype" w:cs="Palatino Linotype"/>
          <w:i/>
          <w:sz w:val="22"/>
          <w:szCs w:val="22"/>
        </w:rPr>
        <w:t xml:space="preserve"> Son facultades de la o el Juez Cívico: </w:t>
      </w:r>
    </w:p>
    <w:p w14:paraId="650706BE"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 Conocer, calificar y sancionar las infracciones establecidas en el presente Reglamento, el Bando Municipal de Villa de Allende vigente, la Ley de Justicia Cívica del Estado de México y Municipios y demás disposiciones jurídicas aplicables; </w:t>
      </w:r>
    </w:p>
    <w:p w14:paraId="599A87E8"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II. Llevar a cabo audiencias públicas para resolver sobre la responsabilidad de las personas probables infractoras; </w:t>
      </w:r>
    </w:p>
    <w:p w14:paraId="185CA3CE"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III. Fomentar y proponer la solución pacífica de conflictos entre particulares, a través de mecanismos alternativos de solución de controversias como la mediación, la conciliación o la justicia restaurativa; </w:t>
      </w:r>
    </w:p>
    <w:p w14:paraId="3504C51E"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IV. Reportar inmediatamente al servicio público gratuito de localización de personas extraviadas del Estado de México, la información sobre las personas presentadas, sancionadas, así como las que se encuentren en tiempo de recuperación; </w:t>
      </w:r>
    </w:p>
    <w:p w14:paraId="130ADAFB"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V. Concluido el procedimiento que corresponda, autorizar la devolución de los objetos y valores que portaban las personas al momento de ingresar a las instalaciones del Juzgado Cívico. No se podrán devolver los objetos que por su naturaleza sean peligrosos o que pongan en riesgo la salud o integridad de las personas, tales como, estupefacientes, psicotrópicos, enervantes o sustancias tóxicas; </w:t>
      </w:r>
    </w:p>
    <w:p w14:paraId="227F82D0"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VI. Ordenar que se realice el dictamen psicosocial a las personas infractoras para poder aplicar Medidas para Mejorar Convivencia Cotidiana; </w:t>
      </w:r>
    </w:p>
    <w:p w14:paraId="10CA1ED0"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VII. Expedir recibo oficial a la persona infractora para que esta realice el pago de la multa impuesta ante la tesorería municipal; </w:t>
      </w:r>
    </w:p>
    <w:p w14:paraId="350CBC59"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proofErr w:type="spellStart"/>
      <w:r w:rsidRPr="001F232D">
        <w:rPr>
          <w:rFonts w:ascii="Palatino Linotype" w:eastAsia="Palatino Linotype" w:hAnsi="Palatino Linotype" w:cs="Palatino Linotype"/>
          <w:i/>
          <w:sz w:val="22"/>
          <w:szCs w:val="22"/>
        </w:rPr>
        <w:t>VIII.Garantizar</w:t>
      </w:r>
      <w:proofErr w:type="spellEnd"/>
      <w:r w:rsidRPr="001F232D">
        <w:rPr>
          <w:rFonts w:ascii="Palatino Linotype" w:eastAsia="Palatino Linotype" w:hAnsi="Palatino Linotype" w:cs="Palatino Linotype"/>
          <w:i/>
          <w:sz w:val="22"/>
          <w:szCs w:val="22"/>
        </w:rPr>
        <w:t xml:space="preserve"> la seguridad jurídica, el debido proceso y los derechos humanos de las personas probables infractoras; </w:t>
      </w:r>
    </w:p>
    <w:p w14:paraId="44A2714E"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IX. Coadyuvar, en el ámbito de su competencia, con el Ministerio Público y las autoridades judiciales correspondientes; </w:t>
      </w:r>
    </w:p>
    <w:p w14:paraId="26E1A869"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 Solicitar, de ser necesario, el auxilio de la fuerza pública, para el adecuado funcionamiento del Juzgado Cívico; </w:t>
      </w:r>
    </w:p>
    <w:p w14:paraId="3A068D46"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XI. Remitir al Ministerio Público a las personas que sean presentadas como probables infractores, cuando los hechos constituyan un probable delito; </w:t>
      </w:r>
    </w:p>
    <w:p w14:paraId="28669B0F"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lastRenderedPageBreak/>
        <w:t xml:space="preserve">XII. Dar vista a las autoridades competentes cuando derivado de la detención, traslado o custodia, las personas probables infractoras presenten indicios de maltrato, abuso físico o verbal o exacción; </w:t>
      </w:r>
    </w:p>
    <w:p w14:paraId="0357661F"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proofErr w:type="spellStart"/>
      <w:r w:rsidRPr="001F232D">
        <w:rPr>
          <w:rFonts w:ascii="Palatino Linotype" w:eastAsia="Palatino Linotype" w:hAnsi="Palatino Linotype" w:cs="Palatino Linotype"/>
          <w:i/>
          <w:sz w:val="22"/>
          <w:szCs w:val="22"/>
        </w:rPr>
        <w:t>XIII.Solicitar</w:t>
      </w:r>
      <w:proofErr w:type="spellEnd"/>
      <w:r w:rsidRPr="001F232D">
        <w:rPr>
          <w:rFonts w:ascii="Palatino Linotype" w:eastAsia="Palatino Linotype" w:hAnsi="Palatino Linotype" w:cs="Palatino Linotype"/>
          <w:i/>
          <w:sz w:val="22"/>
          <w:szCs w:val="22"/>
        </w:rPr>
        <w:t xml:space="preserve"> por escrito a las autoridades competentes, apoyo para retirar objetos que estorben la vía pública, la limpieza de lugares que deterioren el ambiente, o bien, que atenten contra la seguridad y dañen la salud pública; </w:t>
      </w:r>
    </w:p>
    <w:p w14:paraId="4AF5544E"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proofErr w:type="spellStart"/>
      <w:r w:rsidRPr="001F232D">
        <w:rPr>
          <w:rFonts w:ascii="Palatino Linotype" w:eastAsia="Palatino Linotype" w:hAnsi="Palatino Linotype" w:cs="Palatino Linotype"/>
          <w:i/>
          <w:sz w:val="22"/>
          <w:szCs w:val="22"/>
        </w:rPr>
        <w:t>XIV.Comisionar</w:t>
      </w:r>
      <w:proofErr w:type="spellEnd"/>
      <w:r w:rsidRPr="001F232D">
        <w:rPr>
          <w:rFonts w:ascii="Palatino Linotype" w:eastAsia="Palatino Linotype" w:hAnsi="Palatino Linotype" w:cs="Palatino Linotype"/>
          <w:i/>
          <w:sz w:val="22"/>
          <w:szCs w:val="22"/>
        </w:rPr>
        <w:t xml:space="preserve"> al personal adscrito al Juzgado Cívico para realizar notificaciones y diligencias; </w:t>
      </w:r>
    </w:p>
    <w:p w14:paraId="40B01225"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XV. Rendir un informe anual ante el Cabildo; </w:t>
      </w:r>
    </w:p>
    <w:p w14:paraId="3DB4FF2A"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XVI. Habilitar al personal para suplir las ausencias temporales de la o el </w:t>
      </w:r>
      <w:proofErr w:type="gramStart"/>
      <w:r w:rsidRPr="001F232D">
        <w:rPr>
          <w:rFonts w:ascii="Palatino Linotype" w:eastAsia="Palatino Linotype" w:hAnsi="Palatino Linotype" w:cs="Palatino Linotype"/>
          <w:i/>
          <w:sz w:val="22"/>
          <w:szCs w:val="22"/>
        </w:rPr>
        <w:t>Secretario</w:t>
      </w:r>
      <w:proofErr w:type="gramEnd"/>
      <w:r w:rsidRPr="001F232D">
        <w:rPr>
          <w:rFonts w:ascii="Palatino Linotype" w:eastAsia="Palatino Linotype" w:hAnsi="Palatino Linotype" w:cs="Palatino Linotype"/>
          <w:i/>
          <w:sz w:val="22"/>
          <w:szCs w:val="22"/>
        </w:rPr>
        <w:t xml:space="preserve"> Cívico; </w:t>
      </w:r>
    </w:p>
    <w:p w14:paraId="63ADD369"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XVII. Garantizar el conocimiento y respeto de los derechos que asisten a las personas detenidas; </w:t>
      </w:r>
    </w:p>
    <w:p w14:paraId="1E94453A"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XVIII. Autorizar con su firma la expedición de copias certificadas a quien tenga interés jurídico y legítimo de documentos que obren en el archivo del Juzgado Cívico; </w:t>
      </w:r>
    </w:p>
    <w:p w14:paraId="393092FE"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XIX. Conocer, calificar e imponer las sanciones que procedan por las infracciones que deriven con motivo de la aplicación del Libro Octavo del Código Administrativo del Estado de México en el ámbito de competencia municipal correspondiente, excepto las de carácter fiscal y se apegará a los procedimientos establecidos en el mismo; </w:t>
      </w:r>
    </w:p>
    <w:p w14:paraId="1783FAB5"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XX. Expedir citatorios para audiencias de resolución de faltas administrativas a las y los particulares, cuando se radique una queja ciudadana en el Juzgado Cívico; </w:t>
      </w:r>
    </w:p>
    <w:p w14:paraId="3D35C2D4"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XXI. Expedir órdenes de presentación a aquellas personas que hayan hecho caso omiso de los citatorios previamente emitidos por una o un Juez Cívico; </w:t>
      </w:r>
    </w:p>
    <w:p w14:paraId="52800705"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XXII. Las demás atribuciones que le confieran otras disposiciones aplicables.</w:t>
      </w:r>
    </w:p>
    <w:p w14:paraId="149A3A03"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7BB04DD8"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Por lo que, al haber señalado la unidad administrativa competente, a saber, el Juzgado Cívico que desde su creación al veinticuatro de diciembre de dos mil veinticuatro se han atendido y resuelto un total de 122 casos por la comisión de diferentes faltas administrativas estipuladas en el Reglamento de Justicia Cívica de Villa de Allende, se tiene por </w:t>
      </w:r>
      <w:r w:rsidRPr="001F232D">
        <w:rPr>
          <w:rFonts w:ascii="Palatino Linotype" w:eastAsia="Palatino Linotype" w:hAnsi="Palatino Linotype" w:cs="Palatino Linotype"/>
          <w:b/>
          <w:sz w:val="22"/>
          <w:szCs w:val="22"/>
        </w:rPr>
        <w:t xml:space="preserve">colmado </w:t>
      </w:r>
      <w:r w:rsidRPr="001F232D">
        <w:rPr>
          <w:rFonts w:ascii="Palatino Linotype" w:eastAsia="Palatino Linotype" w:hAnsi="Palatino Linotype" w:cs="Palatino Linotype"/>
          <w:sz w:val="22"/>
          <w:szCs w:val="22"/>
        </w:rPr>
        <w:t xml:space="preserve">este punto de la solicitud. </w:t>
      </w:r>
    </w:p>
    <w:p w14:paraId="35A73F9F"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6C407CD1"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lastRenderedPageBreak/>
        <w:t xml:space="preserve">En lo que se refiere al </w:t>
      </w:r>
      <w:r w:rsidRPr="001F232D">
        <w:rPr>
          <w:rFonts w:ascii="Palatino Linotype" w:eastAsia="Palatino Linotype" w:hAnsi="Palatino Linotype" w:cs="Palatino Linotype"/>
          <w:b/>
          <w:sz w:val="22"/>
          <w:szCs w:val="22"/>
        </w:rPr>
        <w:t>número de casos de violencia doméstica que se han resuelto, así como las canalizaciones</w:t>
      </w:r>
      <w:r w:rsidRPr="001F232D">
        <w:rPr>
          <w:rFonts w:ascii="Palatino Linotype" w:eastAsia="Palatino Linotype" w:hAnsi="Palatino Linotype" w:cs="Palatino Linotype"/>
          <w:sz w:val="22"/>
          <w:szCs w:val="22"/>
        </w:rPr>
        <w:t xml:space="preserve">, es de recordar que en respuesta, la Jueza Cívica refirió que, de acuerdo con lo que establece el artículo 121 de la Ley de Justicia Cívica del Estado de México y Municipios, el Juzgado Cívico no conoce ni resuelve casos que impliquen violencia de género contra mujeres, niñas y adolescentes, siendo una conducta tipificada en el artículo 218 del Código Penal del Estado de México, por lo que los mismos son atendidos como primer contacto por la Dirección del Instituto de la Mujer o en su caso de la Coordinación de Policía de Género de Villa de Allende. </w:t>
      </w:r>
    </w:p>
    <w:p w14:paraId="010157C3"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2B9094CE"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Para el análisis de este requerimiento, en principio es menester definir qué se entiende por violencia doméstica o, en términos jurídicos, por </w:t>
      </w:r>
      <w:r w:rsidRPr="001F232D">
        <w:rPr>
          <w:rFonts w:ascii="Palatino Linotype" w:eastAsia="Palatino Linotype" w:hAnsi="Palatino Linotype" w:cs="Palatino Linotype"/>
          <w:b/>
          <w:sz w:val="22"/>
          <w:szCs w:val="22"/>
        </w:rPr>
        <w:t>violencia familiar</w:t>
      </w:r>
      <w:r w:rsidRPr="001F232D">
        <w:rPr>
          <w:rFonts w:ascii="Palatino Linotype" w:eastAsia="Palatino Linotype" w:hAnsi="Palatino Linotype" w:cs="Palatino Linotype"/>
          <w:sz w:val="22"/>
          <w:szCs w:val="22"/>
        </w:rPr>
        <w:t xml:space="preserve">, para ello, es menester traer a colación lo que establece el Código Penal del Estado de México, el cual precisa lo siguiente: </w:t>
      </w:r>
    </w:p>
    <w:p w14:paraId="64A968D1"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5227184B"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218.-</w:t>
      </w:r>
      <w:r w:rsidRPr="001F232D">
        <w:rPr>
          <w:rFonts w:ascii="Palatino Linotype" w:eastAsia="Palatino Linotype" w:hAnsi="Palatino Linotype" w:cs="Palatino Linotype"/>
          <w:i/>
          <w:sz w:val="22"/>
          <w:szCs w:val="22"/>
        </w:rPr>
        <w:t xml:space="preserve"> Al </w:t>
      </w:r>
      <w:r w:rsidRPr="001F232D">
        <w:rPr>
          <w:rFonts w:ascii="Palatino Linotype" w:eastAsia="Palatino Linotype" w:hAnsi="Palatino Linotype" w:cs="Palatino Linotype"/>
          <w:b/>
          <w:i/>
          <w:sz w:val="22"/>
          <w:szCs w:val="22"/>
        </w:rPr>
        <w:t>integrante de un núcleo familiar que haga uso de la violencia física o moral en contra de otro integrante de ese núcleo que afecte o ponga en peligro su integridad física, psíquica o ambas, o cause menoscabo en sus derechos, bienes o valores de algún integrante del núcleo familiar</w:t>
      </w:r>
      <w:r w:rsidRPr="001F232D">
        <w:rPr>
          <w:rFonts w:ascii="Palatino Linotype" w:eastAsia="Palatino Linotype" w:hAnsi="Palatino Linotype" w:cs="Palatino Linotype"/>
          <w:i/>
          <w:sz w:val="22"/>
          <w:szCs w:val="22"/>
        </w:rPr>
        <w:t xml:space="preserve">, se le impondrán de tres a siete años de prisión y de doscientos a seiscientos días multa y tratamiento psicoterapéutico, psicológico, psiquiátrico o reeducativo, sin perjuicio de las penas que correspondan por otros delitos que se consumen. </w:t>
      </w:r>
    </w:p>
    <w:p w14:paraId="40DBC8DE"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4AB5BB66"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En caso de que existan datos que establezcan que se han cometido amenazas o advertencias de causar algún daño, en contra de la víctima, denunciante o terceros, derivado de la noticia criminal que se haya hecho del conocimiento de la autoridad, la pena se incrementará hasta en una mitad. </w:t>
      </w:r>
    </w:p>
    <w:p w14:paraId="38E30E39"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79A57632"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Por núcleo familiar debe entenderse el lugar en donde habitan o concurran familiares o personas con relaciones de familiaridad en intimidad, o el vínculo de mutua </w:t>
      </w:r>
      <w:r w:rsidRPr="001F232D">
        <w:rPr>
          <w:rFonts w:ascii="Palatino Linotype" w:eastAsia="Palatino Linotype" w:hAnsi="Palatino Linotype" w:cs="Palatino Linotype"/>
          <w:i/>
          <w:sz w:val="22"/>
          <w:szCs w:val="22"/>
        </w:rPr>
        <w:lastRenderedPageBreak/>
        <w:t xml:space="preserve">consideración y apoyo que existe entre las personas con base en la filiación o convivencia fraterna. </w:t>
      </w:r>
    </w:p>
    <w:p w14:paraId="5BB46608"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32BB2323"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Este delito se perseguirá por querella, salvo cuando los ofendidos sean menores de edad, incapaces, mujeres o adultos mayores; en cuyo caso, se perseguirá de oficio</w:t>
      </w:r>
      <w:r w:rsidRPr="001F232D">
        <w:rPr>
          <w:rFonts w:ascii="Palatino Linotype" w:eastAsia="Palatino Linotype" w:hAnsi="Palatino Linotype" w:cs="Palatino Linotype"/>
          <w:i/>
          <w:sz w:val="22"/>
          <w:szCs w:val="22"/>
        </w:rPr>
        <w:t>. El inculpado de este delito, durante la investigación del mismo y al rendir su declaración, será apercibido por el Ministerio Público para que se abstenga de realizar cualquier conducta que pudiere causar daño a los pasivos. Si el inculpado de este delito lo cometiese de manera reiterada, o en contra de una persona mayor de sesenta años, se le impondrá la perdida de los derechos hereditarios, los inherentes a la patria potestad, tutela o guarda y cuidado del menor o incapaz agraviado, a quien tenga el ejercicio de ésta, por resolución judicial. Las penas previstas en el presente artículo se elevarán hasta en un tercio, si se comete en agravio de una persona mayor de sesenta años.</w:t>
      </w:r>
    </w:p>
    <w:p w14:paraId="503FD493"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3BCAE398"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A quien condicione a un adulto mayor el acceso y permanencia a su propio domicilio, o cualquiera de sus bienes inmuebles, le restrinja o condicione el uso de sus bienes muebles; presione por medio de la violencia física o moral para que teste o cambie su testamento a favor de un tercero, disponga sin la autorización correspondiente de los recursos económicos del pasivo; o sustraiga, despoje, retenga o condicione la entrega de los documentos de identidad o de acceso a los servicios de salud y de asistencia social, en perjuicio de una persona adulta mayor, la pena aumentará hasta en una mitad.</w:t>
      </w:r>
    </w:p>
    <w:p w14:paraId="718A100A"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589636F5"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De ello, se concluye que, la violencia familiar se trata de un delito que se persigue por denuncia y es definido cuando un integrante de la familia hace uso de violencia física o moral contra otro integrante de ese núcleo familiar y causa algún menoscabo en sus derechos, bienes o valores o bien, pone en riesgo su integridad física, psíquica o ambas. </w:t>
      </w:r>
    </w:p>
    <w:p w14:paraId="15C7416E"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1825C612"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Dicho esto, es menester traer a colación que de conformidad con lo señalado por el Secretariado Ejecutivo del Sistema Estatal de Seguridad Pública del Estado de México, el Juzgado Cívico es una unidad administrativa en la que se imparte y administra la justicia cívica con total respecto a los derechos humanos y que tiene entre sus funciones: brindar </w:t>
      </w:r>
      <w:r w:rsidRPr="001F232D">
        <w:rPr>
          <w:rFonts w:ascii="Palatino Linotype" w:eastAsia="Palatino Linotype" w:hAnsi="Palatino Linotype" w:cs="Palatino Linotype"/>
          <w:sz w:val="22"/>
          <w:szCs w:val="22"/>
        </w:rPr>
        <w:lastRenderedPageBreak/>
        <w:t xml:space="preserve">atención en los hechos que representen una infracción administrativa, intervenir para la solución de conflictos vecinales o familiares e imponer sanciones establecidas en la normatividad a personas infractoras. </w:t>
      </w:r>
    </w:p>
    <w:p w14:paraId="7C2C6159"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4D9F981B"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Del mismo modo, el Secretariado Ejecutivo establece que las </w:t>
      </w:r>
      <w:r w:rsidRPr="001F232D">
        <w:rPr>
          <w:rFonts w:ascii="Palatino Linotype" w:eastAsia="Palatino Linotype" w:hAnsi="Palatino Linotype" w:cs="Palatino Linotype"/>
          <w:b/>
          <w:sz w:val="22"/>
          <w:szCs w:val="22"/>
        </w:rPr>
        <w:t xml:space="preserve">infracciones </w:t>
      </w:r>
      <w:r w:rsidRPr="001F232D">
        <w:rPr>
          <w:rFonts w:ascii="Palatino Linotype" w:eastAsia="Palatino Linotype" w:hAnsi="Palatino Linotype" w:cs="Palatino Linotype"/>
          <w:sz w:val="22"/>
          <w:szCs w:val="22"/>
        </w:rPr>
        <w:t xml:space="preserve">se dividen en diferentes categorías: contra el bienestar colectivo, contra la seguridad de la comunidad, </w:t>
      </w:r>
      <w:proofErr w:type="gramStart"/>
      <w:r w:rsidRPr="001F232D">
        <w:rPr>
          <w:rFonts w:ascii="Palatino Linotype" w:eastAsia="Palatino Linotype" w:hAnsi="Palatino Linotype" w:cs="Palatino Linotype"/>
          <w:sz w:val="22"/>
          <w:szCs w:val="22"/>
        </w:rPr>
        <w:t>contra  la</w:t>
      </w:r>
      <w:proofErr w:type="gramEnd"/>
      <w:r w:rsidRPr="001F232D">
        <w:rPr>
          <w:rFonts w:ascii="Palatino Linotype" w:eastAsia="Palatino Linotype" w:hAnsi="Palatino Linotype" w:cs="Palatino Linotype"/>
          <w:sz w:val="22"/>
          <w:szCs w:val="22"/>
        </w:rPr>
        <w:t xml:space="preserve"> integridad o dignidad, contra la propiedad y el medio ambiente, contra la salud pública y contra la tranquilidad de las personas. </w:t>
      </w:r>
    </w:p>
    <w:p w14:paraId="7E9B188D"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1F09C3C6"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Por su parte, los </w:t>
      </w:r>
      <w:r w:rsidRPr="001F232D">
        <w:rPr>
          <w:rFonts w:ascii="Palatino Linotype" w:eastAsia="Palatino Linotype" w:hAnsi="Palatino Linotype" w:cs="Palatino Linotype"/>
          <w:b/>
          <w:sz w:val="22"/>
          <w:szCs w:val="22"/>
        </w:rPr>
        <w:t>conflictos comunitarios</w:t>
      </w:r>
      <w:r w:rsidRPr="001F232D">
        <w:rPr>
          <w:rFonts w:ascii="Palatino Linotype" w:eastAsia="Palatino Linotype" w:hAnsi="Palatino Linotype" w:cs="Palatino Linotype"/>
          <w:sz w:val="22"/>
          <w:szCs w:val="22"/>
        </w:rPr>
        <w:t xml:space="preserve"> son aquellos que surgen por una diferencia de opiniones o desacuerdos producida entre diferentes vecinos de una misma comunidad: olores, ruidos, mascotas, morosidades en pago e incidencias en espacios comunes. </w:t>
      </w:r>
    </w:p>
    <w:p w14:paraId="54A841CB"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55F0F1CB"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Ahora bien, en lo que respecta a la Ley de Justicia Cívica del Estado de México y Municipios, se establecen como atribuciones de la Juez o el Juez Cívico, las siguientes: </w:t>
      </w:r>
    </w:p>
    <w:p w14:paraId="1778EBEA"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14FF2A74"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17.-</w:t>
      </w:r>
      <w:r w:rsidRPr="001F232D">
        <w:rPr>
          <w:rFonts w:ascii="Palatino Linotype" w:eastAsia="Palatino Linotype" w:hAnsi="Palatino Linotype" w:cs="Palatino Linotype"/>
          <w:i/>
          <w:sz w:val="22"/>
          <w:szCs w:val="22"/>
        </w:rPr>
        <w:t xml:space="preserve"> Son atribuciones de la o el Juez Cívico: </w:t>
      </w:r>
    </w:p>
    <w:p w14:paraId="1C0C71B2" w14:textId="77777777" w:rsidR="004072BD" w:rsidRPr="001F232D" w:rsidRDefault="004072BD">
      <w:pPr>
        <w:spacing w:line="276" w:lineRule="auto"/>
        <w:ind w:left="567" w:right="616"/>
        <w:jc w:val="both"/>
        <w:rPr>
          <w:rFonts w:ascii="Palatino Linotype" w:eastAsia="Palatino Linotype" w:hAnsi="Palatino Linotype" w:cs="Palatino Linotype"/>
          <w:i/>
          <w:sz w:val="22"/>
          <w:szCs w:val="22"/>
        </w:rPr>
      </w:pPr>
    </w:p>
    <w:p w14:paraId="24726D11"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 Conocer, calificar y sancionar las infracciones establecidas en la presente Ley; en los reglamentos municipales de Justicia Cívica y demás disposiciones jurídicas aplicables; </w:t>
      </w:r>
    </w:p>
    <w:p w14:paraId="54CEEFE1"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II. Llevar a cabo audiencias públicas para resolver sobre la responsabilidad de las personas probables infractoras; </w:t>
      </w:r>
    </w:p>
    <w:p w14:paraId="21D56840"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III. Fomentar y proponer la solución pacífica de conflictos entre particulares, a través de mecanismos alternativos de solución de controversias como la mediación, la conciliación o la justicia restaurativa; </w:t>
      </w:r>
    </w:p>
    <w:p w14:paraId="130D2D1B"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IV. Reportar inmediatamente al servicio público gratuito de localización de personas extraviadas del Estado de México, la información sobre las personas presentadas, sancionadas, así como las que se encuentren en tiempo de recuperación;</w:t>
      </w:r>
    </w:p>
    <w:p w14:paraId="7B880DB7"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lastRenderedPageBreak/>
        <w:t xml:space="preserve">V. Concluido el procedimiento que corresponda, autorizar la devolución de los objetos y valores que portaban las personas al momento de ingresar a las instalaciones del Juzgado Cívico. No se podrán devolver los objetos que por su naturaleza sean peligrosos o que pongan en riesgo la salud o integridad de las personas, tales como, estupefacientes, psicotrópicos, enervantes o sustancias tóxicas; </w:t>
      </w:r>
    </w:p>
    <w:p w14:paraId="2D832C6E"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VI. Ordenar que se realice el dictamen psicosocial a las personas infractoras para poder aplicar Medidas para Mejorar Convivencia Cotidiana; </w:t>
      </w:r>
    </w:p>
    <w:p w14:paraId="1C4C30AF"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VII. Expedir recibo oficial a la persona infractora para que esta realice el pago de la multa impuesta ante la tesorería municipal;</w:t>
      </w:r>
    </w:p>
    <w:p w14:paraId="31F4704F"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 VIII. Garantizar la seguridad jurídica, el debido proceso y los derechos humanos de las personas probables infractoras; </w:t>
      </w:r>
    </w:p>
    <w:p w14:paraId="09854C29"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b/>
          <w:i/>
          <w:sz w:val="22"/>
          <w:szCs w:val="22"/>
          <w:u w:val="single"/>
        </w:rPr>
      </w:pPr>
      <w:r w:rsidRPr="001F232D">
        <w:rPr>
          <w:rFonts w:ascii="Palatino Linotype" w:eastAsia="Palatino Linotype" w:hAnsi="Palatino Linotype" w:cs="Palatino Linotype"/>
          <w:b/>
          <w:i/>
          <w:sz w:val="22"/>
          <w:szCs w:val="22"/>
          <w:u w:val="single"/>
        </w:rPr>
        <w:t xml:space="preserve">IX. Coadyuvar, en el ámbito de su competencia, con el Ministerio Público y las autoridades judiciales correspondientes; </w:t>
      </w:r>
    </w:p>
    <w:p w14:paraId="59C782FB"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 Solicitar, de ser necesario, el auxilio de la fuerza pública, para el adecuado funcionamiento del Juzgado Cívico; </w:t>
      </w:r>
    </w:p>
    <w:p w14:paraId="55F8B8F7"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b/>
          <w:i/>
          <w:sz w:val="22"/>
          <w:szCs w:val="22"/>
          <w:u w:val="single"/>
        </w:rPr>
      </w:pPr>
      <w:r w:rsidRPr="001F232D">
        <w:rPr>
          <w:rFonts w:ascii="Palatino Linotype" w:eastAsia="Palatino Linotype" w:hAnsi="Palatino Linotype" w:cs="Palatino Linotype"/>
          <w:b/>
          <w:i/>
          <w:sz w:val="22"/>
          <w:szCs w:val="22"/>
          <w:u w:val="single"/>
        </w:rPr>
        <w:t xml:space="preserve">XI. Remitir al Ministerio Público a las personas que sean presentadas como probables infractores, cuando los hechos constituyan un probable delito; </w:t>
      </w:r>
    </w:p>
    <w:p w14:paraId="41DCB725"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b/>
          <w:i/>
          <w:sz w:val="22"/>
          <w:szCs w:val="22"/>
          <w:u w:val="single"/>
        </w:rPr>
      </w:pPr>
      <w:r w:rsidRPr="001F232D">
        <w:rPr>
          <w:rFonts w:ascii="Palatino Linotype" w:eastAsia="Palatino Linotype" w:hAnsi="Palatino Linotype" w:cs="Palatino Linotype"/>
          <w:b/>
          <w:i/>
          <w:sz w:val="22"/>
          <w:szCs w:val="22"/>
          <w:u w:val="single"/>
        </w:rPr>
        <w:t xml:space="preserve">XII. Dar vista a las autoridades competentes cuando derivado de la detención, traslado o custodia, las personas probables infractoras presenten indicios de maltrato, abuso físico o verbal o exacción; </w:t>
      </w:r>
    </w:p>
    <w:p w14:paraId="4B6AD0FF"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XIII. Solicitar por escrito a las autoridades competentes, apoyo para retirar objetos que estorben la vía pública, la limpieza de lugares que deterioren el ambiente, o bien, que atenten contra la seguridad y dañen la salud pública; </w:t>
      </w:r>
    </w:p>
    <w:p w14:paraId="5BE09636"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XIV. Comisionar al personal adscrito al Juzgado Cívico para realizar notificaciones y diligencias; </w:t>
      </w:r>
    </w:p>
    <w:p w14:paraId="51EF6BB6"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XV. Rendir un informe anual ante el Cabildo; </w:t>
      </w:r>
    </w:p>
    <w:p w14:paraId="6903F3A4"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XVI. Habilitar al personal para suplir las ausencias temporales de la o el </w:t>
      </w:r>
      <w:proofErr w:type="gramStart"/>
      <w:r w:rsidRPr="001F232D">
        <w:rPr>
          <w:rFonts w:ascii="Palatino Linotype" w:eastAsia="Palatino Linotype" w:hAnsi="Palatino Linotype" w:cs="Palatino Linotype"/>
          <w:i/>
          <w:sz w:val="22"/>
          <w:szCs w:val="22"/>
        </w:rPr>
        <w:t>Secretario</w:t>
      </w:r>
      <w:proofErr w:type="gramEnd"/>
      <w:r w:rsidRPr="001F232D">
        <w:rPr>
          <w:rFonts w:ascii="Palatino Linotype" w:eastAsia="Palatino Linotype" w:hAnsi="Palatino Linotype" w:cs="Palatino Linotype"/>
          <w:i/>
          <w:sz w:val="22"/>
          <w:szCs w:val="22"/>
        </w:rPr>
        <w:t xml:space="preserve"> Cívico;</w:t>
      </w:r>
    </w:p>
    <w:p w14:paraId="57A6C234"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 XVII. Garantizar el conocimiento y respeto de los derechos que asisten a las personas detenidas; </w:t>
      </w:r>
    </w:p>
    <w:p w14:paraId="337526C0"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XVIII. Autorizar con su firma la expedición de copias certificadas a quien tenga interés jurídico y legítimo de documentos que obren en el archivo del Juzgado Cívico;</w:t>
      </w:r>
    </w:p>
    <w:p w14:paraId="305C4FC5"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 XIX. Conocer, calificar e imponer las sanciones que procedan por las infracciones que deriven con motivo de la aplicación del Libro Octavo del Código Administrativo del </w:t>
      </w:r>
      <w:r w:rsidRPr="001F232D">
        <w:rPr>
          <w:rFonts w:ascii="Palatino Linotype" w:eastAsia="Palatino Linotype" w:hAnsi="Palatino Linotype" w:cs="Palatino Linotype"/>
          <w:i/>
          <w:sz w:val="22"/>
          <w:szCs w:val="22"/>
        </w:rPr>
        <w:lastRenderedPageBreak/>
        <w:t>Estado de México en el ámbito de competencia municipal correspondiente, excepto las de carácter fiscal y se apegará a los procedimientos establecidos en el mismo; y</w:t>
      </w:r>
    </w:p>
    <w:p w14:paraId="606CFEFF" w14:textId="77777777" w:rsidR="004072BD" w:rsidRPr="001F232D" w:rsidRDefault="0060766A">
      <w:pPr>
        <w:tabs>
          <w:tab w:val="left" w:pos="4962"/>
        </w:tabs>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 XX. Las demás que le confiere la presente Ley, el Reglamento respectivo y otras disposiciones jurídicas aplicables.</w:t>
      </w:r>
    </w:p>
    <w:p w14:paraId="507F72F3"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4469A6D9" w14:textId="77777777" w:rsidR="004072BD" w:rsidRPr="001F232D" w:rsidRDefault="0060766A">
      <w:pPr>
        <w:spacing w:line="360" w:lineRule="auto"/>
        <w:jc w:val="both"/>
        <w:rPr>
          <w:rFonts w:ascii="Palatino Linotype" w:eastAsia="Palatino Linotype" w:hAnsi="Palatino Linotype" w:cs="Palatino Linotype"/>
          <w:b/>
          <w:sz w:val="22"/>
          <w:szCs w:val="22"/>
        </w:rPr>
      </w:pPr>
      <w:r w:rsidRPr="001F232D">
        <w:rPr>
          <w:rFonts w:ascii="Palatino Linotype" w:eastAsia="Palatino Linotype" w:hAnsi="Palatino Linotype" w:cs="Palatino Linotype"/>
          <w:sz w:val="22"/>
          <w:szCs w:val="22"/>
        </w:rPr>
        <w:t xml:space="preserve">Por lo anterior, se colige que, si bien, la violencia familiar se trata de un delito tipificado en el Código Penal de la Entidad, el cual lo resuelve el Ministerio Público y la autoridad jurisdiccional, también lo es que, el Juzgado Cívico si tiene competencia para conocer de este delito, debido a que, dentro de sus atribuciones se encuentra la de </w:t>
      </w:r>
      <w:r w:rsidRPr="001F232D">
        <w:rPr>
          <w:rFonts w:ascii="Palatino Linotype" w:eastAsia="Palatino Linotype" w:hAnsi="Palatino Linotype" w:cs="Palatino Linotype"/>
          <w:b/>
          <w:sz w:val="22"/>
          <w:szCs w:val="22"/>
        </w:rPr>
        <w:t xml:space="preserve">remitir al Ministerio Público a las personas que sean presentadas como probables infractores cuando los hechos constituyan un probable delito o incluso, cuando derivado de una detención el probable infractor presente indicios de maltrato, abuso físico o verbal o exacción. </w:t>
      </w:r>
    </w:p>
    <w:p w14:paraId="2432B31E"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480E4909"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Por otro lado, es de mencionar que, la Jueza Cívica refirió que, no conocía ni resolvía casos que implicaban violencia de género contra mujeres, niñas y adolescentes, no obstante, en este punto de la solicitud, no se requirió información específicamente relacionada con violencia de género, sino con violencia familiar, por lo cual, es de destacar que la diferencia entre ambas figuras radica en que, en la violencia familiar el agresor y víctima pueden ser cualquiera dentro de un núcleo familiar o de convivencia de ambos y, por su parte, la violencia de género el agresor siempre es hombre y la víctima mujer, estén o no ligados por una relación de pareja o de convivencia. </w:t>
      </w:r>
    </w:p>
    <w:p w14:paraId="6714AE84"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1F77EC66"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En ese sentido, se concluye que, la respuesta de la unidad administrativa competente fue limitada ya que si cuenta con atribuciones para </w:t>
      </w:r>
      <w:r w:rsidRPr="001F232D">
        <w:rPr>
          <w:rFonts w:ascii="Palatino Linotype" w:eastAsia="Palatino Linotype" w:hAnsi="Palatino Linotype" w:cs="Palatino Linotype"/>
          <w:b/>
          <w:sz w:val="22"/>
          <w:szCs w:val="22"/>
        </w:rPr>
        <w:t xml:space="preserve">conocer </w:t>
      </w:r>
      <w:r w:rsidRPr="001F232D">
        <w:rPr>
          <w:rFonts w:ascii="Palatino Linotype" w:eastAsia="Palatino Linotype" w:hAnsi="Palatino Linotype" w:cs="Palatino Linotype"/>
          <w:sz w:val="22"/>
          <w:szCs w:val="22"/>
        </w:rPr>
        <w:t xml:space="preserve">de este delito y de </w:t>
      </w:r>
      <w:r w:rsidRPr="001F232D">
        <w:rPr>
          <w:rFonts w:ascii="Palatino Linotype" w:eastAsia="Palatino Linotype" w:hAnsi="Palatino Linotype" w:cs="Palatino Linotype"/>
          <w:b/>
          <w:sz w:val="22"/>
          <w:szCs w:val="22"/>
        </w:rPr>
        <w:t xml:space="preserve">canalizar </w:t>
      </w:r>
      <w:r w:rsidRPr="001F232D">
        <w:rPr>
          <w:rFonts w:ascii="Palatino Linotype" w:eastAsia="Palatino Linotype" w:hAnsi="Palatino Linotype" w:cs="Palatino Linotype"/>
          <w:sz w:val="22"/>
          <w:szCs w:val="22"/>
        </w:rPr>
        <w:t xml:space="preserve">a las autoridades competentes a los posibles infractores, sin embargo, debido a que la parte Recurrente solicitó los casos que ha resuelto el Juzgado Civil, se tiene que esto es inatendible, </w:t>
      </w:r>
      <w:r w:rsidRPr="001F232D">
        <w:rPr>
          <w:rFonts w:ascii="Palatino Linotype" w:eastAsia="Palatino Linotype" w:hAnsi="Palatino Linotype" w:cs="Palatino Linotype"/>
          <w:sz w:val="22"/>
          <w:szCs w:val="22"/>
        </w:rPr>
        <w:lastRenderedPageBreak/>
        <w:t xml:space="preserve">ya que como se mencionó, el Juzgado Civil no resuelve hechos tipificados como delitos, sino que, conoce y da vista a las autoridades competentes sobre estos. </w:t>
      </w:r>
    </w:p>
    <w:p w14:paraId="56B4D4DA"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72569A31" w14:textId="77777777" w:rsidR="0060766A"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Asimismo, de la respuesta del Juzgado Civil, se advirtió que existen otras unidades administrativas competentes para conocer, generar y administrar la información solicitada, como lo puede ser la Dirección del Instituto de la Mujer y la Coordinación de Policía de Género de Villa de Allende. </w:t>
      </w:r>
    </w:p>
    <w:p w14:paraId="7F663252" w14:textId="77777777" w:rsidR="0060766A" w:rsidRPr="001F232D" w:rsidRDefault="0060766A">
      <w:pPr>
        <w:spacing w:line="360" w:lineRule="auto"/>
        <w:jc w:val="both"/>
        <w:rPr>
          <w:rFonts w:ascii="Palatino Linotype" w:eastAsia="Palatino Linotype" w:hAnsi="Palatino Linotype" w:cs="Palatino Linotype"/>
          <w:sz w:val="22"/>
          <w:szCs w:val="22"/>
        </w:rPr>
      </w:pPr>
    </w:p>
    <w:p w14:paraId="0EA582FB" w14:textId="77777777" w:rsidR="0060766A" w:rsidRPr="001F232D" w:rsidRDefault="0060766A" w:rsidP="0060766A">
      <w:pPr>
        <w:spacing w:line="360" w:lineRule="auto"/>
        <w:ind w:right="49"/>
        <w:jc w:val="both"/>
        <w:rPr>
          <w:rFonts w:ascii="Palatino Linotype" w:eastAsia="Palatino Linotype" w:hAnsi="Palatino Linotype" w:cs="Palatino Linotype"/>
          <w:sz w:val="22"/>
        </w:rPr>
      </w:pPr>
      <w:r w:rsidRPr="001F232D">
        <w:rPr>
          <w:rFonts w:ascii="Palatino Linotype" w:eastAsia="Palatino Linotype" w:hAnsi="Palatino Linotype" w:cs="Palatino Linotype"/>
          <w:sz w:val="22"/>
          <w:szCs w:val="22"/>
        </w:rPr>
        <w:t>En ese sentido, es de señalar que no se advierte que se haya turnado el requerimiento de información a dichas áreas, por lo que, es conveniente</w:t>
      </w:r>
      <w:r w:rsidRPr="001F232D">
        <w:rPr>
          <w:rFonts w:ascii="Palatino Linotype" w:eastAsia="Palatino Linotype" w:hAnsi="Palatino Linotype" w:cs="Palatino Linotype"/>
          <w:sz w:val="20"/>
          <w:szCs w:val="22"/>
        </w:rPr>
        <w:t xml:space="preserve"> </w:t>
      </w:r>
      <w:r w:rsidRPr="001F232D">
        <w:rPr>
          <w:rFonts w:ascii="Palatino Linotype" w:hAnsi="Palatino Linotype"/>
          <w:sz w:val="22"/>
        </w:rPr>
        <w:t xml:space="preserve">referir que, </w:t>
      </w:r>
      <w:r w:rsidRPr="001F232D">
        <w:rPr>
          <w:rFonts w:ascii="Palatino Linotype" w:eastAsia="Palatino Linotype" w:hAnsi="Palatino Linotype" w:cs="Palatino Linotype"/>
          <w:sz w:val="22"/>
        </w:rPr>
        <w:t xml:space="preserve">para la atención de las solicitudes de acceso a la información, debe privilegiarse el </w:t>
      </w:r>
      <w:r w:rsidRPr="001F232D">
        <w:rPr>
          <w:rFonts w:ascii="Palatino Linotype" w:eastAsia="Palatino Linotype" w:hAnsi="Palatino Linotype" w:cs="Palatino Linotype"/>
          <w:b/>
          <w:sz w:val="22"/>
        </w:rPr>
        <w:t>principio de máxima publicidad</w:t>
      </w:r>
      <w:r w:rsidRPr="001F232D">
        <w:rPr>
          <w:rFonts w:ascii="Palatino Linotype" w:eastAsia="Palatino Linotype" w:hAnsi="Palatino Linotype" w:cs="Palatino Linotype"/>
          <w:sz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E9E8F27" w14:textId="77777777" w:rsidR="0060766A" w:rsidRPr="001F232D" w:rsidRDefault="0060766A" w:rsidP="0060766A">
      <w:pPr>
        <w:spacing w:line="360" w:lineRule="auto"/>
        <w:jc w:val="both"/>
        <w:rPr>
          <w:rFonts w:ascii="Palatino Linotype" w:hAnsi="Palatino Linotype"/>
          <w:sz w:val="22"/>
        </w:rPr>
      </w:pPr>
    </w:p>
    <w:p w14:paraId="23E6BF4F" w14:textId="77777777" w:rsidR="0060766A" w:rsidRPr="001F232D" w:rsidRDefault="0060766A" w:rsidP="0060766A">
      <w:pPr>
        <w:spacing w:line="360" w:lineRule="auto"/>
        <w:jc w:val="both"/>
        <w:rPr>
          <w:rFonts w:ascii="Palatino Linotype" w:eastAsia="Palatino Linotype" w:hAnsi="Palatino Linotype" w:cs="Palatino Linotype"/>
          <w:sz w:val="22"/>
        </w:rPr>
      </w:pPr>
      <w:r w:rsidRPr="001F232D">
        <w:rPr>
          <w:rFonts w:ascii="Palatino Linotype" w:eastAsia="Palatino Linotype" w:hAnsi="Palatino Linotype" w:cs="Palatino Linotype"/>
          <w:sz w:val="22"/>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66460227" w14:textId="77777777" w:rsidR="0060766A" w:rsidRPr="001F232D" w:rsidRDefault="0060766A" w:rsidP="0060766A">
      <w:pPr>
        <w:spacing w:line="360" w:lineRule="auto"/>
        <w:jc w:val="both"/>
        <w:rPr>
          <w:rFonts w:ascii="Palatino Linotype" w:eastAsia="Palatino Linotype" w:hAnsi="Palatino Linotype" w:cs="Palatino Linotype"/>
          <w:sz w:val="22"/>
        </w:rPr>
      </w:pPr>
    </w:p>
    <w:p w14:paraId="26CD84CF" w14:textId="77777777" w:rsidR="0060766A" w:rsidRPr="001F232D" w:rsidRDefault="0060766A" w:rsidP="0060766A">
      <w:pPr>
        <w:numPr>
          <w:ilvl w:val="0"/>
          <w:numId w:val="10"/>
        </w:numPr>
        <w:spacing w:line="360" w:lineRule="auto"/>
        <w:jc w:val="both"/>
        <w:rPr>
          <w:rFonts w:ascii="Palatino Linotype" w:eastAsia="Palatino Linotype" w:hAnsi="Palatino Linotype" w:cs="Palatino Linotype"/>
          <w:sz w:val="22"/>
        </w:rPr>
      </w:pPr>
      <w:r w:rsidRPr="001F232D">
        <w:rPr>
          <w:rFonts w:ascii="Palatino Linotype" w:eastAsia="Palatino Linotype" w:hAnsi="Palatino Linotype" w:cs="Palatino Linotype"/>
          <w:sz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56CCF98" w14:textId="77777777" w:rsidR="0060766A" w:rsidRPr="001F232D" w:rsidRDefault="0060766A" w:rsidP="0060766A">
      <w:pPr>
        <w:numPr>
          <w:ilvl w:val="0"/>
          <w:numId w:val="10"/>
        </w:numPr>
        <w:spacing w:line="360" w:lineRule="auto"/>
        <w:jc w:val="both"/>
        <w:rPr>
          <w:rFonts w:ascii="Palatino Linotype" w:eastAsia="Palatino Linotype" w:hAnsi="Palatino Linotype" w:cs="Palatino Linotype"/>
          <w:sz w:val="22"/>
        </w:rPr>
      </w:pPr>
      <w:r w:rsidRPr="001F232D">
        <w:rPr>
          <w:rFonts w:ascii="Palatino Linotype" w:eastAsia="Palatino Linotype" w:hAnsi="Palatino Linotype" w:cs="Palatino Linotype"/>
          <w:sz w:val="22"/>
        </w:rPr>
        <w:lastRenderedPageBreak/>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A64BE41" w14:textId="77777777" w:rsidR="0060766A" w:rsidRPr="001F232D" w:rsidRDefault="0060766A" w:rsidP="0060766A">
      <w:pPr>
        <w:numPr>
          <w:ilvl w:val="0"/>
          <w:numId w:val="10"/>
        </w:numPr>
        <w:spacing w:line="360" w:lineRule="auto"/>
        <w:jc w:val="both"/>
        <w:rPr>
          <w:rFonts w:ascii="Palatino Linotype" w:eastAsia="Palatino Linotype" w:hAnsi="Palatino Linotype" w:cs="Palatino Linotype"/>
          <w:sz w:val="22"/>
        </w:rPr>
      </w:pPr>
      <w:r w:rsidRPr="001F232D">
        <w:rPr>
          <w:rFonts w:ascii="Palatino Linotype" w:eastAsia="Palatino Linotype" w:hAnsi="Palatino Linotype" w:cs="Palatino Linotype"/>
          <w:sz w:val="22"/>
        </w:rPr>
        <w:t xml:space="preserve">Las respuestas a los requerimientos informativos deberán notificarse al interesado en el menor tiempo posible, que no podrá exceder </w:t>
      </w:r>
      <w:r w:rsidRPr="001F232D">
        <w:rPr>
          <w:rFonts w:ascii="Palatino Linotype" w:eastAsia="Palatino Linotype" w:hAnsi="Palatino Linotype" w:cs="Palatino Linotype"/>
          <w:b/>
          <w:sz w:val="22"/>
        </w:rPr>
        <w:t>quince días, contados a partir del día siguiente a la presentación de ésta.</w:t>
      </w:r>
      <w:r w:rsidRPr="001F232D">
        <w:rPr>
          <w:rFonts w:ascii="Palatino Linotype" w:eastAsia="Palatino Linotype" w:hAnsi="Palatino Linotype" w:cs="Palatino Linotype"/>
          <w:sz w:val="22"/>
        </w:rPr>
        <w:t xml:space="preserve"> Excepcionalmente, el plazo referido podrá ampliarse por siete días hábiles más, cuando existan razones fundadas y motivadas, a través del Comité de Transparencia;</w:t>
      </w:r>
    </w:p>
    <w:p w14:paraId="75E39AC0" w14:textId="77777777" w:rsidR="0060766A" w:rsidRPr="001F232D" w:rsidRDefault="0060766A" w:rsidP="0060766A">
      <w:pPr>
        <w:numPr>
          <w:ilvl w:val="0"/>
          <w:numId w:val="10"/>
        </w:numPr>
        <w:spacing w:line="360" w:lineRule="auto"/>
        <w:jc w:val="both"/>
        <w:rPr>
          <w:rFonts w:ascii="Palatino Linotype" w:eastAsia="Palatino Linotype" w:hAnsi="Palatino Linotype" w:cs="Palatino Linotype"/>
          <w:b/>
          <w:sz w:val="22"/>
          <w:u w:val="single"/>
        </w:rPr>
      </w:pPr>
      <w:r w:rsidRPr="001F232D">
        <w:rPr>
          <w:rFonts w:ascii="Palatino Linotype" w:eastAsia="Palatino Linotype" w:hAnsi="Palatino Linotype" w:cs="Palatino Linotype"/>
          <w:b/>
          <w:sz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7B4C178" w14:textId="77777777" w:rsidR="0060766A" w:rsidRPr="001F232D" w:rsidRDefault="0060766A" w:rsidP="0060766A">
      <w:pPr>
        <w:numPr>
          <w:ilvl w:val="0"/>
          <w:numId w:val="10"/>
        </w:numPr>
        <w:spacing w:line="360" w:lineRule="auto"/>
        <w:jc w:val="both"/>
        <w:rPr>
          <w:rFonts w:ascii="Palatino Linotype" w:eastAsia="Palatino Linotype" w:hAnsi="Palatino Linotype" w:cs="Palatino Linotype"/>
          <w:b/>
          <w:sz w:val="22"/>
        </w:rPr>
      </w:pPr>
      <w:r w:rsidRPr="001F232D">
        <w:rPr>
          <w:rFonts w:ascii="Palatino Linotype" w:eastAsia="Palatino Linotype" w:hAnsi="Palatino Linotype" w:cs="Palatino Linotype"/>
          <w:sz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C6EED0A" w14:textId="77777777" w:rsidR="0060766A" w:rsidRPr="001F232D" w:rsidRDefault="0060766A" w:rsidP="0060766A">
      <w:pPr>
        <w:numPr>
          <w:ilvl w:val="0"/>
          <w:numId w:val="10"/>
        </w:numPr>
        <w:spacing w:line="360" w:lineRule="auto"/>
        <w:jc w:val="both"/>
        <w:rPr>
          <w:rFonts w:ascii="Palatino Linotype" w:eastAsia="Palatino Linotype" w:hAnsi="Palatino Linotype" w:cs="Palatino Linotype"/>
          <w:b/>
          <w:sz w:val="22"/>
        </w:rPr>
      </w:pPr>
      <w:r w:rsidRPr="001F232D">
        <w:rPr>
          <w:rFonts w:ascii="Palatino Linotype" w:eastAsia="Palatino Linotype" w:hAnsi="Palatino Linotype" w:cs="Palatino Linotype"/>
          <w:sz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688674F" w14:textId="77777777" w:rsidR="0060766A" w:rsidRPr="001F232D" w:rsidRDefault="0060766A" w:rsidP="0060766A">
      <w:pPr>
        <w:spacing w:line="360" w:lineRule="auto"/>
        <w:ind w:left="720"/>
        <w:jc w:val="both"/>
        <w:rPr>
          <w:rFonts w:ascii="Palatino Linotype" w:eastAsia="Palatino Linotype" w:hAnsi="Palatino Linotype" w:cs="Palatino Linotype"/>
          <w:b/>
          <w:sz w:val="22"/>
        </w:rPr>
      </w:pPr>
    </w:p>
    <w:p w14:paraId="29F010E6" w14:textId="77777777" w:rsidR="0060766A" w:rsidRPr="001F232D" w:rsidRDefault="0060766A" w:rsidP="0060766A">
      <w:pPr>
        <w:spacing w:line="360" w:lineRule="auto"/>
        <w:jc w:val="both"/>
        <w:rPr>
          <w:rFonts w:ascii="Palatino Linotype" w:eastAsia="Palatino Linotype" w:hAnsi="Palatino Linotype" w:cs="Palatino Linotype"/>
          <w:sz w:val="22"/>
        </w:rPr>
      </w:pPr>
      <w:r w:rsidRPr="001F232D">
        <w:rPr>
          <w:rFonts w:ascii="Palatino Linotype" w:eastAsia="Palatino Linotype" w:hAnsi="Palatino Linotype" w:cs="Palatino Linotype"/>
          <w:sz w:val="22"/>
        </w:rPr>
        <w:t xml:space="preserve">Por ello, se colige que la Unidad de Transparencia, debió seguir un procedimiento de búsqueda exhaustiva y razonable en las unidades administrativas, que de conformidad con sus atribuciones, facultades y competencia contaran con la información solicitada, entre ellas, la </w:t>
      </w:r>
      <w:r w:rsidRPr="001F232D">
        <w:rPr>
          <w:rFonts w:ascii="Palatino Linotype" w:eastAsia="Palatino Linotype" w:hAnsi="Palatino Linotype" w:cs="Palatino Linotype"/>
          <w:sz w:val="22"/>
          <w:szCs w:val="22"/>
        </w:rPr>
        <w:t>Dirección del Instituto de la Mujer y la Coordinación de Policía de Género de Villa de Allende</w:t>
      </w:r>
      <w:r w:rsidRPr="001F232D">
        <w:rPr>
          <w:rFonts w:ascii="Palatino Linotype" w:eastAsia="Palatino Linotype" w:hAnsi="Palatino Linotype" w:cs="Palatino Linotype"/>
          <w:sz w:val="22"/>
        </w:rPr>
        <w:t xml:space="preserve">, las cuales de conformidad con los artículos 101 y 105 del Bando Municipal del Sujeto Obligado, tienen las siguientes atribuciones: </w:t>
      </w:r>
    </w:p>
    <w:p w14:paraId="79C5212A" w14:textId="77777777" w:rsidR="0060766A" w:rsidRPr="001F232D" w:rsidRDefault="0060766A" w:rsidP="0060766A">
      <w:pPr>
        <w:spacing w:line="360" w:lineRule="auto"/>
        <w:jc w:val="both"/>
        <w:rPr>
          <w:rFonts w:ascii="Palatino Linotype" w:eastAsia="Palatino Linotype" w:hAnsi="Palatino Linotype" w:cs="Palatino Linotype"/>
          <w:sz w:val="22"/>
        </w:rPr>
      </w:pPr>
    </w:p>
    <w:p w14:paraId="1A9651C1" w14:textId="77777777" w:rsidR="0060766A" w:rsidRPr="001F232D" w:rsidRDefault="0060766A" w:rsidP="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101.</w:t>
      </w:r>
      <w:r w:rsidRPr="001F232D">
        <w:rPr>
          <w:rFonts w:ascii="Palatino Linotype" w:eastAsia="Palatino Linotype" w:hAnsi="Palatino Linotype" w:cs="Palatino Linotype"/>
          <w:i/>
          <w:sz w:val="22"/>
          <w:szCs w:val="22"/>
        </w:rPr>
        <w:t xml:space="preserve"> Corresponde al Ayuntamiento:</w:t>
      </w:r>
      <w:r w:rsidRPr="001F232D">
        <w:rPr>
          <w:rFonts w:ascii="Palatino Linotype" w:eastAsia="Palatino Linotype" w:hAnsi="Palatino Linotype" w:cs="Palatino Linotype"/>
          <w:i/>
          <w:sz w:val="22"/>
          <w:szCs w:val="22"/>
        </w:rPr>
        <w:cr/>
      </w:r>
    </w:p>
    <w:p w14:paraId="13CB1895" w14:textId="77777777" w:rsidR="0060766A" w:rsidRPr="001F232D" w:rsidRDefault="0060766A" w:rsidP="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 Por conducto de la Dirección de la Mujer </w:t>
      </w:r>
      <w:proofErr w:type="spellStart"/>
      <w:r w:rsidRPr="001F232D">
        <w:rPr>
          <w:rFonts w:ascii="Palatino Linotype" w:eastAsia="Palatino Linotype" w:hAnsi="Palatino Linotype" w:cs="Palatino Linotype"/>
          <w:i/>
          <w:sz w:val="22"/>
          <w:szCs w:val="22"/>
        </w:rPr>
        <w:t>Villallendense</w:t>
      </w:r>
      <w:proofErr w:type="spellEnd"/>
      <w:r w:rsidRPr="001F232D">
        <w:rPr>
          <w:rFonts w:ascii="Palatino Linotype" w:eastAsia="Palatino Linotype" w:hAnsi="Palatino Linotype" w:cs="Palatino Linotype"/>
          <w:i/>
          <w:sz w:val="22"/>
          <w:szCs w:val="22"/>
        </w:rPr>
        <w:t>, fomentar las políticas de desarrollo de las mujeres, aplicando multidisciplinariamente los programas y acciones de dicha coordinación, enfocados al bienestar emocional, familiar, cultural, laboral, social y legal que les permita obtener una mejor calidad de vida y establecer acciones que atiendan, sancionen y erradiquen la violencia contra las mujeres, con base en el respeto, la dignidad, la libertad, la justicia, la solidaridad y la igualdad, contribuyendo a la superación plena de ese sector de la población.</w:t>
      </w:r>
    </w:p>
    <w:p w14:paraId="717AB9D5" w14:textId="77777777" w:rsidR="0060766A" w:rsidRPr="001F232D" w:rsidRDefault="0060766A" w:rsidP="0060766A">
      <w:pPr>
        <w:spacing w:line="276" w:lineRule="auto"/>
        <w:ind w:left="567" w:right="616"/>
        <w:jc w:val="both"/>
        <w:rPr>
          <w:rFonts w:ascii="Palatino Linotype" w:eastAsia="Palatino Linotype" w:hAnsi="Palatino Linotype" w:cs="Palatino Linotype"/>
          <w:i/>
          <w:sz w:val="22"/>
          <w:szCs w:val="22"/>
        </w:rPr>
      </w:pPr>
    </w:p>
    <w:p w14:paraId="0C3818F1" w14:textId="77777777" w:rsidR="0060766A" w:rsidRPr="001F232D" w:rsidRDefault="0060766A" w:rsidP="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105.</w:t>
      </w:r>
      <w:r w:rsidRPr="001F232D">
        <w:rPr>
          <w:rFonts w:ascii="Palatino Linotype" w:eastAsia="Palatino Linotype" w:hAnsi="Palatino Linotype" w:cs="Palatino Linotype"/>
          <w:i/>
          <w:sz w:val="22"/>
          <w:szCs w:val="22"/>
        </w:rPr>
        <w:t xml:space="preserve"> Corresponde a la Dirección de Seguridad Pública Municipal, a través de su personal operativo:</w:t>
      </w:r>
    </w:p>
    <w:p w14:paraId="5F219311" w14:textId="77777777" w:rsidR="0060766A" w:rsidRPr="001F232D" w:rsidRDefault="0060766A" w:rsidP="0060766A">
      <w:pPr>
        <w:spacing w:line="276" w:lineRule="auto"/>
        <w:ind w:left="567" w:right="616"/>
        <w:jc w:val="both"/>
        <w:rPr>
          <w:rFonts w:ascii="Palatino Linotype" w:eastAsia="Palatino Linotype" w:hAnsi="Palatino Linotype" w:cs="Palatino Linotype"/>
          <w:i/>
          <w:sz w:val="22"/>
          <w:szCs w:val="22"/>
        </w:rPr>
      </w:pPr>
    </w:p>
    <w:p w14:paraId="2613D1E3" w14:textId="77777777" w:rsidR="0060766A" w:rsidRPr="001F232D" w:rsidRDefault="0060766A" w:rsidP="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 Prevenir la comisión de infracciones, preservar la seguridad ciudadana, el orden público y la tranquilidad de las personas en el marco de respeto de los Derechos Humanos.</w:t>
      </w:r>
    </w:p>
    <w:p w14:paraId="6167BBB8" w14:textId="77777777" w:rsidR="0060766A" w:rsidRPr="001F232D" w:rsidRDefault="0060766A" w:rsidP="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63995BE8" w14:textId="77777777" w:rsidR="0060766A" w:rsidRPr="001F232D" w:rsidRDefault="0060766A">
      <w:pPr>
        <w:spacing w:line="360" w:lineRule="auto"/>
        <w:jc w:val="both"/>
        <w:rPr>
          <w:rFonts w:ascii="Palatino Linotype" w:eastAsia="Palatino Linotype" w:hAnsi="Palatino Linotype" w:cs="Palatino Linotype"/>
          <w:sz w:val="20"/>
          <w:szCs w:val="22"/>
        </w:rPr>
      </w:pPr>
      <w:r w:rsidRPr="001F232D">
        <w:rPr>
          <w:rFonts w:ascii="Palatino Linotype" w:eastAsia="Palatino Linotype" w:hAnsi="Palatino Linotype" w:cs="Palatino Linotype"/>
          <w:sz w:val="20"/>
          <w:szCs w:val="22"/>
        </w:rPr>
        <w:t xml:space="preserve"> </w:t>
      </w:r>
    </w:p>
    <w:p w14:paraId="0D67B9DD" w14:textId="77777777" w:rsidR="0060766A"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De lo anterior, se determina que el Sujeto Obligado, deberá realizar una nueva búsqueda exhaustiva y razonable con la finalidad de proporcionar, de ser el caso, en versión pública el documento donde conste el número de casos de violencia doméstica que se han resuelto, </w:t>
      </w:r>
      <w:r w:rsidRPr="001F232D">
        <w:rPr>
          <w:rFonts w:ascii="Palatino Linotype" w:eastAsia="Palatino Linotype" w:hAnsi="Palatino Linotype" w:cs="Palatino Linotype"/>
          <w:sz w:val="22"/>
          <w:szCs w:val="22"/>
        </w:rPr>
        <w:lastRenderedPageBreak/>
        <w:t>así como las canalizaciones del diecinueve de diciembre de dos mil veintitrés al diecinueve de diciembre de dos mil veinticuatro.</w:t>
      </w:r>
    </w:p>
    <w:p w14:paraId="5F51F9F2" w14:textId="77777777" w:rsidR="0060766A" w:rsidRPr="001F232D" w:rsidRDefault="0060766A">
      <w:pPr>
        <w:spacing w:line="360" w:lineRule="auto"/>
        <w:jc w:val="both"/>
        <w:rPr>
          <w:rFonts w:ascii="Palatino Linotype" w:eastAsia="Palatino Linotype" w:hAnsi="Palatino Linotype" w:cs="Palatino Linotype"/>
          <w:sz w:val="22"/>
          <w:szCs w:val="22"/>
        </w:rPr>
      </w:pPr>
    </w:p>
    <w:p w14:paraId="66EEAEA0"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Siendo que, para el caso de que la información que se ordena entregar no obre en los archivos del Sujeto Obligado por no haberse generado, este deberá hacerlo del conocimiento del Particular en términos del artículo 19, párrafo segundo, de la Ley de Transparencia y Acceso a la Información Pública del Estado de México y Municipios, para tenerse por colmado dicho requerimiento. </w:t>
      </w:r>
    </w:p>
    <w:p w14:paraId="6DAE17AC"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4ACF22BC"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En lo que respecta a las </w:t>
      </w:r>
      <w:r w:rsidRPr="001F232D">
        <w:rPr>
          <w:rFonts w:ascii="Palatino Linotype" w:eastAsia="Palatino Linotype" w:hAnsi="Palatino Linotype" w:cs="Palatino Linotype"/>
          <w:b/>
          <w:sz w:val="22"/>
          <w:szCs w:val="22"/>
        </w:rPr>
        <w:t>metas alcanzadas del Instituto de la Juventud, de la Dirección de Desarrollo Social y los avances de la Coordinación Municipal de Mejora Regulatoria, todo del 2022-2024</w:t>
      </w:r>
      <w:r w:rsidRPr="001F232D">
        <w:rPr>
          <w:rFonts w:ascii="Palatino Linotype" w:eastAsia="Palatino Linotype" w:hAnsi="Palatino Linotype" w:cs="Palatino Linotype"/>
          <w:sz w:val="22"/>
          <w:szCs w:val="22"/>
        </w:rPr>
        <w:t xml:space="preserve">, es menester traer a colación el Manual para la Planeación, Programación y Presupuesto de Egresos Municipal el cual, es un instrumento fundamental para la planeación, programación, elaboración del presupuesto, seguimiento y evaluación del desempeño. </w:t>
      </w:r>
    </w:p>
    <w:p w14:paraId="07746CE1" w14:textId="77777777" w:rsidR="004072BD" w:rsidRPr="001F232D" w:rsidRDefault="004072B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8819A67" w14:textId="77777777" w:rsidR="004072BD" w:rsidRPr="001F232D" w:rsidRDefault="0060766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En ese sentido, este documento, se apoya en los elementos de la planeación estratégica y constituye un medio para ordenar las acciones y recurso de la gestión gubernamental; ya que se relaciona con las metas con los recursos presupuestados y los resultados que esperan alcanzar las dependencias y organismos municipales, de tal forma que, el Proyecto de Presupuesto deberá contener sus respectivos objetivos, </w:t>
      </w:r>
      <w:r w:rsidRPr="001F232D">
        <w:rPr>
          <w:rFonts w:ascii="Palatino Linotype" w:eastAsia="Palatino Linotype" w:hAnsi="Palatino Linotype" w:cs="Palatino Linotype"/>
          <w:b/>
          <w:sz w:val="22"/>
          <w:szCs w:val="22"/>
        </w:rPr>
        <w:t>metas de actividades</w:t>
      </w:r>
      <w:r w:rsidRPr="001F232D">
        <w:rPr>
          <w:rFonts w:ascii="Palatino Linotype" w:eastAsia="Palatino Linotype" w:hAnsi="Palatino Linotype" w:cs="Palatino Linotype"/>
          <w:sz w:val="22"/>
          <w:szCs w:val="22"/>
        </w:rPr>
        <w:t xml:space="preserve"> e </w:t>
      </w:r>
      <w:r w:rsidRPr="001F232D">
        <w:rPr>
          <w:rFonts w:ascii="Palatino Linotype" w:eastAsia="Palatino Linotype" w:hAnsi="Palatino Linotype" w:cs="Palatino Linotype"/>
          <w:b/>
          <w:sz w:val="22"/>
          <w:szCs w:val="22"/>
        </w:rPr>
        <w:t xml:space="preserve">indicadores </w:t>
      </w:r>
      <w:r w:rsidRPr="001F232D">
        <w:rPr>
          <w:rFonts w:ascii="Palatino Linotype" w:eastAsia="Palatino Linotype" w:hAnsi="Palatino Linotype" w:cs="Palatino Linotype"/>
          <w:sz w:val="22"/>
          <w:szCs w:val="22"/>
        </w:rPr>
        <w:t xml:space="preserve">que deberán vincularse al Plan de Desarrollo Municipal correspondiente. </w:t>
      </w:r>
    </w:p>
    <w:p w14:paraId="3F0D30C4" w14:textId="77777777" w:rsidR="004072BD" w:rsidRPr="001F232D" w:rsidRDefault="004072B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814B6C0" w14:textId="77777777" w:rsidR="004072BD" w:rsidRPr="001F232D" w:rsidRDefault="0060766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Ahora bien, las dependencias generales y auxiliares, en forma coordinada con la Unidad de Información, Planeación y Presupuestación verificarán la elaboración y actualización de las fases de la Metodología del Marco Lógico para las Matrices de Indicadores para Resultados, </w:t>
      </w:r>
      <w:r w:rsidRPr="001F232D">
        <w:rPr>
          <w:rFonts w:ascii="Palatino Linotype" w:eastAsia="Palatino Linotype" w:hAnsi="Palatino Linotype" w:cs="Palatino Linotype"/>
          <w:sz w:val="22"/>
          <w:szCs w:val="22"/>
        </w:rPr>
        <w:lastRenderedPageBreak/>
        <w:t xml:space="preserve">los cuales contienen los indicadores estratégicos y de gestión para el seguimiento y evaluación del desempeño de programas presupuestarios que conformarán el Programa Anual. </w:t>
      </w:r>
    </w:p>
    <w:p w14:paraId="4DB3E500" w14:textId="77777777" w:rsidR="004072BD" w:rsidRPr="001F232D" w:rsidRDefault="004072B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9651795"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En relación con lo anterior, es de precisar que en el Presupuesto basado en Resultados (</w:t>
      </w:r>
      <w:proofErr w:type="spellStart"/>
      <w:r w:rsidRPr="001F232D">
        <w:rPr>
          <w:rFonts w:ascii="Palatino Linotype" w:eastAsia="Palatino Linotype" w:hAnsi="Palatino Linotype" w:cs="Palatino Linotype"/>
          <w:sz w:val="22"/>
          <w:szCs w:val="22"/>
        </w:rPr>
        <w:t>PbR</w:t>
      </w:r>
      <w:proofErr w:type="spellEnd"/>
      <w:r w:rsidRPr="001F232D">
        <w:rPr>
          <w:rFonts w:ascii="Palatino Linotype" w:eastAsia="Palatino Linotype" w:hAnsi="Palatino Linotype" w:cs="Palatino Linotype"/>
          <w:sz w:val="22"/>
          <w:szCs w:val="22"/>
        </w:rPr>
        <w:t xml:space="preserve">), se plasman los objetivos, estrategias, metas de actividad, indicadores y proyectos, que se traducen en resultados concretos a visualizarse en el periodo presupuestal determinado, en ese sentido, se cuentan con diferentes formatos, los cuales son encaminados a identificar determinadas áreas o campos, siendo los siguientes: </w:t>
      </w:r>
    </w:p>
    <w:p w14:paraId="064655CC"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53561C18"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 xml:space="preserve">PbRM-01a “Dimensión Administrativa del Gasto”. </w:t>
      </w:r>
      <w:r w:rsidRPr="001F232D">
        <w:rPr>
          <w:rFonts w:ascii="Palatino Linotype" w:eastAsia="Palatino Linotype" w:hAnsi="Palatino Linotype" w:cs="Palatino Linotype"/>
          <w:sz w:val="22"/>
          <w:szCs w:val="22"/>
        </w:rPr>
        <w:t xml:space="preserve">El cual tiene como propósito identificar a nivel de estructura administrativa los programas y proyectos de los cuales se responsabiliza cada una de las Dependencias y Organismos Municipales. </w:t>
      </w:r>
    </w:p>
    <w:p w14:paraId="2980AC45"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 xml:space="preserve">PbRM-01b “Descripción del Programa presupuestario”. </w:t>
      </w:r>
      <w:r w:rsidRPr="001F232D">
        <w:rPr>
          <w:rFonts w:ascii="Palatino Linotype" w:eastAsia="Palatino Linotype" w:hAnsi="Palatino Linotype" w:cs="Palatino Linotype"/>
          <w:sz w:val="22"/>
          <w:szCs w:val="22"/>
        </w:rPr>
        <w:t>Tiene como propósito, identificar el diagnóstico del entorno de responsabilidad del programa respectivo para sustentar y justificar la asignación del presupuesto, definir los objetivos que se pretenden alcanzar y establecer las estrategias que serán aplicadas para dar viabilidad al logro de dichos objetivos.</w:t>
      </w:r>
    </w:p>
    <w:p w14:paraId="485DADF4"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PbRM-01c “Programa Anual de Metas de actividad por Proyecto”.</w:t>
      </w:r>
      <w:r w:rsidRPr="001F232D">
        <w:rPr>
          <w:rFonts w:ascii="Palatino Linotype" w:eastAsia="Palatino Linotype" w:hAnsi="Palatino Linotype" w:cs="Palatino Linotype"/>
          <w:sz w:val="22"/>
          <w:szCs w:val="22"/>
        </w:rPr>
        <w:t xml:space="preserve"> Tiene como propósito establecer las acciones sustantivas para cada proyecto, mismas que deberán reflejar la diferencia entre el cumplimiento alcanzado durante el ejercicio fiscal anterior y las cifras programadas que se estimen alcanzar en el ejercicio en curso. </w:t>
      </w:r>
    </w:p>
    <w:p w14:paraId="4CE75024"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PbRM-01d “Ficha técnica de diseño de indicadores estratégicos o de gestión 202</w:t>
      </w:r>
      <w:r w:rsidRPr="001F232D">
        <w:rPr>
          <w:rFonts w:ascii="Palatino Linotype" w:eastAsia="Palatino Linotype" w:hAnsi="Palatino Linotype" w:cs="Palatino Linotype"/>
          <w:sz w:val="22"/>
          <w:szCs w:val="22"/>
        </w:rPr>
        <w:t>4</w:t>
      </w:r>
      <w:r w:rsidRPr="001F232D">
        <w:rPr>
          <w:rFonts w:ascii="Palatino Linotype" w:eastAsia="Palatino Linotype" w:hAnsi="Palatino Linotype" w:cs="Palatino Linotype"/>
          <w:b/>
          <w:sz w:val="22"/>
          <w:szCs w:val="22"/>
        </w:rPr>
        <w:t>”</w:t>
      </w:r>
      <w:r w:rsidRPr="001F232D">
        <w:rPr>
          <w:rFonts w:ascii="Palatino Linotype" w:eastAsia="Palatino Linotype" w:hAnsi="Palatino Linotype" w:cs="Palatino Linotype"/>
          <w:sz w:val="22"/>
          <w:szCs w:val="22"/>
        </w:rPr>
        <w:t xml:space="preserve"> Tiene como finalidad el registro de los indicadores de gestión que se manejan en el SEGEMUN, mismos que deberán estar vinculados directamente a las metas programadas en el formato </w:t>
      </w:r>
    </w:p>
    <w:p w14:paraId="60FA617F"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lastRenderedPageBreak/>
        <w:t>PbRM-01e “Matriz de Indicadores para Resultados por Programa presupuestario y Dependencia General”.</w:t>
      </w:r>
      <w:r w:rsidRPr="001F232D">
        <w:rPr>
          <w:rFonts w:ascii="Palatino Linotype" w:eastAsia="Palatino Linotype" w:hAnsi="Palatino Linotype" w:cs="Palatino Linotype"/>
          <w:sz w:val="22"/>
          <w:szCs w:val="22"/>
        </w:rPr>
        <w:t xml:space="preserve"> Estos indicadores están alineados a nivel estratégico o de gestión.</w:t>
      </w:r>
    </w:p>
    <w:p w14:paraId="007B3EF9"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PbRM-02a “Calendarización de metas de actividad”</w:t>
      </w:r>
      <w:r w:rsidRPr="001F232D">
        <w:rPr>
          <w:rFonts w:ascii="Palatino Linotype" w:eastAsia="Palatino Linotype" w:hAnsi="Palatino Linotype" w:cs="Palatino Linotype"/>
          <w:sz w:val="22"/>
          <w:szCs w:val="22"/>
        </w:rPr>
        <w:t>. El cual tiene por objeto identificar trimestralmente la ejecución de la meta anual, la cual proviene del formato PbRM-01c.</w:t>
      </w:r>
    </w:p>
    <w:p w14:paraId="132B9746"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PbRM-03a</w:t>
      </w:r>
      <w:r w:rsidRPr="001F232D">
        <w:rPr>
          <w:rFonts w:ascii="Palatino Linotype" w:eastAsia="Palatino Linotype" w:hAnsi="Palatino Linotype" w:cs="Palatino Linotype"/>
          <w:sz w:val="22"/>
          <w:szCs w:val="22"/>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 </w:t>
      </w:r>
    </w:p>
    <w:p w14:paraId="0A57107B"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PbRM-03b:</w:t>
      </w:r>
      <w:r w:rsidRPr="001F232D">
        <w:rPr>
          <w:rFonts w:ascii="Palatino Linotype" w:eastAsia="Palatino Linotype" w:hAnsi="Palatino Linotype" w:cs="Palatino Linotype"/>
          <w:sz w:val="22"/>
          <w:szCs w:val="22"/>
        </w:rPr>
        <w:t xml:space="preserve"> Registro de importes por tipo de Ingreso.</w:t>
      </w:r>
    </w:p>
    <w:p w14:paraId="491FF891"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PbRM-04a:</w:t>
      </w:r>
      <w:r w:rsidRPr="001F232D">
        <w:rPr>
          <w:rFonts w:ascii="Palatino Linotype" w:eastAsia="Palatino Linotype" w:hAnsi="Palatino Linotype" w:cs="Palatino Linotype"/>
          <w:sz w:val="22"/>
          <w:szCs w:val="22"/>
        </w:rPr>
        <w:t xml:space="preserve"> Este formato deberá registrar los proyectos por partida de gasto, los cuales tendrán que coincidir con los formatos del Programa Anual (PbRM-01a, PbRM-01c) en estructura programática y gasto estimado por proyecto.</w:t>
      </w:r>
    </w:p>
    <w:p w14:paraId="6A8FA582"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PbRM-04b.</w:t>
      </w:r>
      <w:r w:rsidRPr="001F232D">
        <w:rPr>
          <w:rFonts w:ascii="Palatino Linotype" w:eastAsia="Palatino Linotype" w:hAnsi="Palatino Linotype" w:cs="Palatino Linotype"/>
          <w:sz w:val="22"/>
          <w:szCs w:val="22"/>
        </w:rPr>
        <w:t xml:space="preserve"> En este formato se integran los conceptos por partida específica, y concentra la suma de los formatos de Presupuesto de Egresos detallado (PbRM-04a) a nivel de Dependencia General.</w:t>
      </w:r>
    </w:p>
    <w:p w14:paraId="23CD51AE"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PbRM-04b.</w:t>
      </w:r>
      <w:r w:rsidRPr="001F232D">
        <w:rPr>
          <w:rFonts w:ascii="Palatino Linotype" w:eastAsia="Palatino Linotype" w:hAnsi="Palatino Linotype" w:cs="Palatino Linotype"/>
          <w:sz w:val="22"/>
          <w:szCs w:val="22"/>
        </w:rPr>
        <w:t xml:space="preserve"> Este formato deberá ser la suma de los formatos (PbRM-04a) Presupuesto de Egresos Detallado el cual contiene datos a nivel de Partida Específica, Partida Genérica, Concepto y Capítulo del Gasto, de cada proyecto a nivel de Dependencia General.</w:t>
      </w:r>
    </w:p>
    <w:p w14:paraId="16C357CE"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PbRM-04c.</w:t>
      </w:r>
      <w:r w:rsidRPr="001F232D">
        <w:rPr>
          <w:rFonts w:ascii="Palatino Linotype" w:eastAsia="Palatino Linotype" w:hAnsi="Palatino Linotype" w:cs="Palatino Linotype"/>
          <w:sz w:val="22"/>
          <w:szCs w:val="22"/>
        </w:rPr>
        <w:t xml:space="preserve"> Este formato deberá contener la suma de los formatos por Partida Específica, Partida Genérica, Concepto y Capítulo del Gasto (PbRM-04b), de todas las Dependencias Generales.</w:t>
      </w:r>
    </w:p>
    <w:p w14:paraId="5F0C3A46"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PbRM-04d.</w:t>
      </w:r>
      <w:r w:rsidRPr="001F232D">
        <w:rPr>
          <w:rFonts w:ascii="Palatino Linotype" w:eastAsia="Palatino Linotype" w:hAnsi="Palatino Linotype" w:cs="Palatino Linotype"/>
          <w:sz w:val="22"/>
          <w:szCs w:val="22"/>
        </w:rPr>
        <w:t xml:space="preserve"> Este formato deberá registrar los importes del formato por Capítulo de Gasto (PbRM-04c).</w:t>
      </w:r>
    </w:p>
    <w:p w14:paraId="7324715C"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lastRenderedPageBreak/>
        <w:t>PbRM-04c.</w:t>
      </w:r>
      <w:r w:rsidRPr="001F232D">
        <w:rPr>
          <w:rFonts w:ascii="Palatino Linotype" w:eastAsia="Palatino Linotype" w:hAnsi="Palatino Linotype" w:cs="Palatino Linotype"/>
          <w:sz w:val="22"/>
          <w:szCs w:val="22"/>
        </w:rPr>
        <w:t xml:space="preserve"> Este formato deberá ser la suma de los formatos de Presupuesto de Egresos por Objeto del Gasto y Dependencia General PbRM-04b.</w:t>
      </w:r>
    </w:p>
    <w:p w14:paraId="581DBFC5"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PbRM-04d.</w:t>
      </w:r>
      <w:r w:rsidRPr="001F232D">
        <w:rPr>
          <w:rFonts w:ascii="Palatino Linotype" w:eastAsia="Palatino Linotype" w:hAnsi="Palatino Linotype" w:cs="Palatino Linotype"/>
          <w:sz w:val="22"/>
          <w:szCs w:val="22"/>
        </w:rPr>
        <w:t xml:space="preserve"> Este formato deberá registrar los importes del formato PbRM-04c.</w:t>
      </w:r>
    </w:p>
    <w:p w14:paraId="0852D165"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PbRM-05.</w:t>
      </w:r>
      <w:r w:rsidRPr="001F232D">
        <w:rPr>
          <w:rFonts w:ascii="Palatino Linotype" w:eastAsia="Palatino Linotype" w:hAnsi="Palatino Linotype" w:cs="Palatino Linotype"/>
          <w:sz w:val="22"/>
          <w:szCs w:val="22"/>
        </w:rPr>
        <w:t xml:space="preserve"> </w:t>
      </w:r>
      <w:r w:rsidRPr="001F232D">
        <w:rPr>
          <w:rFonts w:ascii="Palatino Linotype" w:eastAsia="Palatino Linotype" w:hAnsi="Palatino Linotype" w:cs="Palatino Linotype"/>
          <w:b/>
          <w:sz w:val="22"/>
          <w:szCs w:val="22"/>
        </w:rPr>
        <w:t>Tabulador de sueldos</w:t>
      </w:r>
    </w:p>
    <w:p w14:paraId="6C37C796"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PbRM-06.</w:t>
      </w:r>
      <w:r w:rsidRPr="001F232D">
        <w:rPr>
          <w:rFonts w:ascii="Palatino Linotype" w:eastAsia="Palatino Linotype" w:hAnsi="Palatino Linotype" w:cs="Palatino Linotype"/>
          <w:sz w:val="22"/>
          <w:szCs w:val="22"/>
        </w:rPr>
        <w:t xml:space="preserve"> </w:t>
      </w:r>
      <w:r w:rsidRPr="001F232D">
        <w:rPr>
          <w:rFonts w:ascii="Palatino Linotype" w:eastAsia="Palatino Linotype" w:hAnsi="Palatino Linotype" w:cs="Palatino Linotype"/>
          <w:b/>
          <w:sz w:val="22"/>
          <w:szCs w:val="22"/>
        </w:rPr>
        <w:t xml:space="preserve">Programa Anual de Adquisiciones. </w:t>
      </w:r>
    </w:p>
    <w:p w14:paraId="32F0B2AA"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 xml:space="preserve">PbRM-07a. Programa Anual de Obra </w:t>
      </w:r>
    </w:p>
    <w:p w14:paraId="5702F042" w14:textId="77777777" w:rsidR="004072BD" w:rsidRPr="001F232D" w:rsidRDefault="0060766A">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PbRM-07b.</w:t>
      </w:r>
      <w:r w:rsidRPr="001F232D">
        <w:rPr>
          <w:rFonts w:ascii="Palatino Linotype" w:eastAsia="Palatino Linotype" w:hAnsi="Palatino Linotype" w:cs="Palatino Linotype"/>
          <w:sz w:val="22"/>
          <w:szCs w:val="22"/>
        </w:rPr>
        <w:t xml:space="preserve"> </w:t>
      </w:r>
      <w:r w:rsidRPr="001F232D">
        <w:rPr>
          <w:rFonts w:ascii="Palatino Linotype" w:eastAsia="Palatino Linotype" w:hAnsi="Palatino Linotype" w:cs="Palatino Linotype"/>
          <w:b/>
          <w:sz w:val="22"/>
          <w:szCs w:val="22"/>
        </w:rPr>
        <w:t xml:space="preserve">Programa Anual de Obras (Reparaciones y Mantenimiento). </w:t>
      </w:r>
    </w:p>
    <w:p w14:paraId="26C7FF47"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6198FE77"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w:t>
      </w:r>
      <w:proofErr w:type="spellStart"/>
      <w:r w:rsidRPr="001F232D">
        <w:rPr>
          <w:rFonts w:ascii="Palatino Linotype" w:eastAsia="Palatino Linotype" w:hAnsi="Palatino Linotype" w:cs="Palatino Linotype"/>
          <w:sz w:val="22"/>
          <w:szCs w:val="22"/>
        </w:rPr>
        <w:t>PbR</w:t>
      </w:r>
      <w:proofErr w:type="spellEnd"/>
      <w:r w:rsidRPr="001F232D">
        <w:rPr>
          <w:rFonts w:ascii="Palatino Linotype" w:eastAsia="Palatino Linotype" w:hAnsi="Palatino Linotype" w:cs="Palatino Linotype"/>
          <w:sz w:val="22"/>
          <w:szCs w:val="22"/>
        </w:rPr>
        <w:t>), el cual define en su Glosario, el Manual para la Planeación, Programación y Presupuesto de Egresos Municipal de la siguiente forma:</w:t>
      </w:r>
    </w:p>
    <w:p w14:paraId="4566F37F"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199827EE" w14:textId="77777777" w:rsidR="004072BD" w:rsidRPr="001F232D" w:rsidRDefault="0060766A">
      <w:pPr>
        <w:ind w:left="567" w:right="822"/>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Presupuesto Basado en Resultados (</w:t>
      </w:r>
      <w:proofErr w:type="spellStart"/>
      <w:r w:rsidRPr="001F232D">
        <w:rPr>
          <w:rFonts w:ascii="Palatino Linotype" w:eastAsia="Palatino Linotype" w:hAnsi="Palatino Linotype" w:cs="Palatino Linotype"/>
          <w:b/>
          <w:i/>
          <w:sz w:val="22"/>
          <w:szCs w:val="22"/>
        </w:rPr>
        <w:t>PbR</w:t>
      </w:r>
      <w:proofErr w:type="spellEnd"/>
      <w:r w:rsidRPr="001F232D">
        <w:rPr>
          <w:rFonts w:ascii="Palatino Linotype" w:eastAsia="Palatino Linotype" w:hAnsi="Palatino Linotype" w:cs="Palatino Linotype"/>
          <w:b/>
          <w:i/>
          <w:sz w:val="22"/>
          <w:szCs w:val="22"/>
        </w:rPr>
        <w:t>):</w:t>
      </w:r>
      <w:r w:rsidRPr="001F232D">
        <w:rPr>
          <w:rFonts w:ascii="Palatino Linotype" w:eastAsia="Palatino Linotype" w:hAnsi="Palatino Linotype" w:cs="Palatino Linotype"/>
          <w:i/>
          <w:sz w:val="22"/>
          <w:szCs w:val="22"/>
        </w:rPr>
        <w:t xml:space="preserve"> Instrumento de la </w:t>
      </w:r>
      <w:proofErr w:type="spellStart"/>
      <w:r w:rsidRPr="001F232D">
        <w:rPr>
          <w:rFonts w:ascii="Palatino Linotype" w:eastAsia="Palatino Linotype" w:hAnsi="Palatino Linotype" w:cs="Palatino Linotype"/>
          <w:i/>
          <w:sz w:val="22"/>
          <w:szCs w:val="22"/>
        </w:rPr>
        <w:t>GpR</w:t>
      </w:r>
      <w:proofErr w:type="spellEnd"/>
      <w:r w:rsidRPr="001F232D">
        <w:rPr>
          <w:rFonts w:ascii="Palatino Linotype" w:eastAsia="Palatino Linotype" w:hAnsi="Palatino Linotype" w:cs="Palatino Linotype"/>
          <w:i/>
          <w:sz w:val="22"/>
          <w:szCs w:val="22"/>
        </w:rPr>
        <w:t>, que consiste en un conjunto de actividades y herramientas orientados a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p>
    <w:p w14:paraId="7D40924D"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313980B2"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Asimismo, se tiene que, de acuerdo con los Lineamientos para la Integración y Entrega de los Informes Trimestrales Municipales, emitidos por el Órgano Superior de Fiscalización del Estado de México, en la entrega del presupuesto de egresos municipal deben estar contenidos los presupuestos basados en resultados. </w:t>
      </w:r>
    </w:p>
    <w:p w14:paraId="060AF5B9"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6D817180"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lastRenderedPageBreak/>
        <w:t xml:space="preserve">Ahora bien, en el presente caso, es de mencionar que, los </w:t>
      </w:r>
      <w:proofErr w:type="spellStart"/>
      <w:r w:rsidRPr="001F232D">
        <w:rPr>
          <w:rFonts w:ascii="Palatino Linotype" w:eastAsia="Palatino Linotype" w:hAnsi="Palatino Linotype" w:cs="Palatino Linotype"/>
          <w:sz w:val="22"/>
          <w:szCs w:val="22"/>
        </w:rPr>
        <w:t>PbRM</w:t>
      </w:r>
      <w:proofErr w:type="spellEnd"/>
      <w:r w:rsidRPr="001F232D">
        <w:rPr>
          <w:rFonts w:ascii="Palatino Linotype" w:eastAsia="Palatino Linotype" w:hAnsi="Palatino Linotype" w:cs="Palatino Linotype"/>
          <w:sz w:val="22"/>
          <w:szCs w:val="22"/>
        </w:rPr>
        <w:t xml:space="preserve"> son cumplimentados en atención al porcentaje de meta que se vaya alcanzando, como lo es el PbRM-08b y el PbRM-08c, como se advierte a continuación: </w:t>
      </w:r>
    </w:p>
    <w:p w14:paraId="19EC3DA7"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1705F6C7"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noProof/>
          <w:sz w:val="22"/>
          <w:szCs w:val="22"/>
          <w:lang w:val="es-MX" w:eastAsia="es-MX"/>
        </w:rPr>
        <w:drawing>
          <wp:inline distT="0" distB="0" distL="0" distR="0" wp14:anchorId="6CA3F967" wp14:editId="69A3C90B">
            <wp:extent cx="5756275" cy="823595"/>
            <wp:effectExtent l="0" t="0" r="0" b="0"/>
            <wp:docPr id="7702015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756275" cy="823595"/>
                    </a:xfrm>
                    <a:prstGeom prst="rect">
                      <a:avLst/>
                    </a:prstGeom>
                    <a:ln/>
                  </pic:spPr>
                </pic:pic>
              </a:graphicData>
            </a:graphic>
          </wp:inline>
        </w:drawing>
      </w:r>
    </w:p>
    <w:p w14:paraId="5AD8F23B"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noProof/>
          <w:sz w:val="22"/>
          <w:szCs w:val="22"/>
          <w:lang w:val="es-MX" w:eastAsia="es-MX"/>
        </w:rPr>
        <w:drawing>
          <wp:inline distT="0" distB="0" distL="0" distR="0" wp14:anchorId="4B64A91A" wp14:editId="6FB818D1">
            <wp:extent cx="5756275" cy="1579880"/>
            <wp:effectExtent l="0" t="0" r="0" b="0"/>
            <wp:docPr id="7702015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56275" cy="1579880"/>
                    </a:xfrm>
                    <a:prstGeom prst="rect">
                      <a:avLst/>
                    </a:prstGeom>
                    <a:ln/>
                  </pic:spPr>
                </pic:pic>
              </a:graphicData>
            </a:graphic>
          </wp:inline>
        </w:drawing>
      </w:r>
    </w:p>
    <w:p w14:paraId="4FD19547"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noProof/>
          <w:sz w:val="22"/>
          <w:szCs w:val="22"/>
          <w:lang w:val="es-MX" w:eastAsia="es-MX"/>
        </w:rPr>
        <w:drawing>
          <wp:inline distT="0" distB="0" distL="0" distR="0" wp14:anchorId="049D09FB" wp14:editId="1794A5FF">
            <wp:extent cx="5756275" cy="624205"/>
            <wp:effectExtent l="0" t="0" r="0" b="0"/>
            <wp:docPr id="7702015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56275" cy="624205"/>
                    </a:xfrm>
                    <a:prstGeom prst="rect">
                      <a:avLst/>
                    </a:prstGeom>
                    <a:ln/>
                  </pic:spPr>
                </pic:pic>
              </a:graphicData>
            </a:graphic>
          </wp:inline>
        </w:drawing>
      </w:r>
    </w:p>
    <w:p w14:paraId="3658A873"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noProof/>
          <w:sz w:val="22"/>
          <w:szCs w:val="22"/>
          <w:lang w:val="es-MX" w:eastAsia="es-MX"/>
        </w:rPr>
        <w:drawing>
          <wp:inline distT="0" distB="0" distL="0" distR="0" wp14:anchorId="3CB0E9E0" wp14:editId="6A08FFBA">
            <wp:extent cx="5718505" cy="2783006"/>
            <wp:effectExtent l="0" t="0" r="0" b="0"/>
            <wp:docPr id="7702015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18505" cy="2783006"/>
                    </a:xfrm>
                    <a:prstGeom prst="rect">
                      <a:avLst/>
                    </a:prstGeom>
                    <a:ln/>
                  </pic:spPr>
                </pic:pic>
              </a:graphicData>
            </a:graphic>
          </wp:inline>
        </w:drawing>
      </w:r>
    </w:p>
    <w:p w14:paraId="02430D96"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noProof/>
          <w:sz w:val="22"/>
          <w:szCs w:val="22"/>
          <w:lang w:val="es-MX" w:eastAsia="es-MX"/>
        </w:rPr>
        <w:lastRenderedPageBreak/>
        <w:drawing>
          <wp:inline distT="0" distB="0" distL="0" distR="0" wp14:anchorId="76477C1A" wp14:editId="2F70E31D">
            <wp:extent cx="5756275" cy="3371850"/>
            <wp:effectExtent l="0" t="0" r="0" b="0"/>
            <wp:docPr id="7702015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56275" cy="3371850"/>
                    </a:xfrm>
                    <a:prstGeom prst="rect">
                      <a:avLst/>
                    </a:prstGeom>
                    <a:ln/>
                  </pic:spPr>
                </pic:pic>
              </a:graphicData>
            </a:graphic>
          </wp:inline>
        </w:drawing>
      </w:r>
    </w:p>
    <w:p w14:paraId="616CE3BF"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2969EF55"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En ese sentido, el porcentaje de alcance de metas, se va obteniendo de conformidad con las actividades que las dependencias hayan ejecutado de acuerdo con sus objetivos establecidos, las cuales deben estar documentadas, en atención a que el artículo 18 de la Ley de Transparencia y Acceso a la Información Pública del Estado de México y Municipios, refieren que los Sujetos Obligados deberán documentar todo acto que se derive del ejercicio de sus facultades, competencias o funciones, considerando desde su origen la eventual publicidad y reutilización de la información que generen, posean o administren.</w:t>
      </w:r>
    </w:p>
    <w:p w14:paraId="600F4B4C"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45C87E06"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w:t>
      </w:r>
      <w:r w:rsidRPr="001F232D">
        <w:rPr>
          <w:rFonts w:ascii="Palatino Linotype" w:eastAsia="Palatino Linotype" w:hAnsi="Palatino Linotype" w:cs="Palatino Linotype"/>
          <w:sz w:val="22"/>
          <w:szCs w:val="22"/>
        </w:rPr>
        <w:lastRenderedPageBreak/>
        <w:t xml:space="preserve">posesión de los Sujetos Obligados será pública, completa, oportuna y accesible, lo que permite que la ciudadanía tenga un amplio acceso sobre lo que es el actuar de las autoridades, por lo que deberá proporcionar los documentos en donde consta lo requerido por la parte Recurrente. </w:t>
      </w:r>
    </w:p>
    <w:p w14:paraId="379776BC"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48B2D9DF"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Ahora bien, en lo que respecta a las </w:t>
      </w:r>
      <w:r w:rsidRPr="001F232D">
        <w:rPr>
          <w:rFonts w:ascii="Palatino Linotype" w:eastAsia="Palatino Linotype" w:hAnsi="Palatino Linotype" w:cs="Palatino Linotype"/>
          <w:b/>
          <w:sz w:val="22"/>
          <w:szCs w:val="22"/>
        </w:rPr>
        <w:t>metas alcanzadas de la Dirección de Desarrollo Social</w:t>
      </w:r>
      <w:r w:rsidRPr="001F232D">
        <w:rPr>
          <w:rFonts w:ascii="Palatino Linotype" w:eastAsia="Palatino Linotype" w:hAnsi="Palatino Linotype" w:cs="Palatino Linotype"/>
          <w:sz w:val="22"/>
          <w:szCs w:val="22"/>
        </w:rPr>
        <w:t xml:space="preserve">, la </w:t>
      </w:r>
      <w:proofErr w:type="gramStart"/>
      <w:r w:rsidRPr="001F232D">
        <w:rPr>
          <w:rFonts w:ascii="Palatino Linotype" w:eastAsia="Palatino Linotype" w:hAnsi="Palatino Linotype" w:cs="Palatino Linotype"/>
          <w:sz w:val="22"/>
          <w:szCs w:val="22"/>
        </w:rPr>
        <w:t>Directora</w:t>
      </w:r>
      <w:proofErr w:type="gramEnd"/>
      <w:r w:rsidRPr="001F232D">
        <w:rPr>
          <w:rFonts w:ascii="Palatino Linotype" w:eastAsia="Palatino Linotype" w:hAnsi="Palatino Linotype" w:cs="Palatino Linotype"/>
          <w:sz w:val="22"/>
          <w:szCs w:val="22"/>
        </w:rPr>
        <w:t xml:space="preserve"> de Desarrollo Social proporcionó el PbRm-08d y el PbRm-08b del trimestre octubre-diciembre de diversas metas, no obstante, hay hojas que no resultan legibles y, por ende, no permiten tener por colmado el ejercicio del derecho de acceso a la información de la parte Recurrente, a continuación se muestran los siguientes ejemplos: </w:t>
      </w:r>
    </w:p>
    <w:p w14:paraId="105D161C" w14:textId="77777777" w:rsidR="004072BD" w:rsidRPr="001F232D" w:rsidRDefault="0060766A">
      <w:pPr>
        <w:spacing w:line="360" w:lineRule="auto"/>
        <w:ind w:right="-93"/>
        <w:jc w:val="center"/>
        <w:rPr>
          <w:rFonts w:ascii="Palatino Linotype" w:eastAsia="Palatino Linotype" w:hAnsi="Palatino Linotype" w:cs="Palatino Linotype"/>
          <w:sz w:val="22"/>
          <w:szCs w:val="22"/>
        </w:rPr>
      </w:pPr>
      <w:r w:rsidRPr="001F232D">
        <w:rPr>
          <w:rFonts w:ascii="Palatino Linotype" w:eastAsia="Palatino Linotype" w:hAnsi="Palatino Linotype" w:cs="Palatino Linotype"/>
          <w:noProof/>
          <w:sz w:val="22"/>
          <w:szCs w:val="22"/>
          <w:lang w:val="es-MX" w:eastAsia="es-MX"/>
        </w:rPr>
        <w:drawing>
          <wp:inline distT="0" distB="0" distL="0" distR="0" wp14:anchorId="18C59825" wp14:editId="6F6A774A">
            <wp:extent cx="4401701" cy="2181925"/>
            <wp:effectExtent l="0" t="0" r="0" b="0"/>
            <wp:docPr id="7702015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401701" cy="2181925"/>
                    </a:xfrm>
                    <a:prstGeom prst="rect">
                      <a:avLst/>
                    </a:prstGeom>
                    <a:ln/>
                  </pic:spPr>
                </pic:pic>
              </a:graphicData>
            </a:graphic>
          </wp:inline>
        </w:drawing>
      </w:r>
    </w:p>
    <w:p w14:paraId="5E25D855" w14:textId="77777777" w:rsidR="004072BD" w:rsidRPr="001F232D" w:rsidRDefault="0060766A">
      <w:pPr>
        <w:spacing w:line="360" w:lineRule="auto"/>
        <w:ind w:right="-93"/>
        <w:jc w:val="center"/>
        <w:rPr>
          <w:rFonts w:ascii="Palatino Linotype" w:eastAsia="Palatino Linotype" w:hAnsi="Palatino Linotype" w:cs="Palatino Linotype"/>
          <w:sz w:val="22"/>
          <w:szCs w:val="22"/>
        </w:rPr>
      </w:pPr>
      <w:r w:rsidRPr="001F232D">
        <w:rPr>
          <w:rFonts w:ascii="Palatino Linotype" w:eastAsia="Palatino Linotype" w:hAnsi="Palatino Linotype" w:cs="Palatino Linotype"/>
          <w:noProof/>
          <w:sz w:val="22"/>
          <w:szCs w:val="22"/>
          <w:lang w:val="es-MX" w:eastAsia="es-MX"/>
        </w:rPr>
        <w:drawing>
          <wp:inline distT="0" distB="0" distL="0" distR="0" wp14:anchorId="626F4665" wp14:editId="61EC7BE9">
            <wp:extent cx="5612130" cy="2080895"/>
            <wp:effectExtent l="0" t="0" r="0" b="0"/>
            <wp:docPr id="7702015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612130" cy="2080895"/>
                    </a:xfrm>
                    <a:prstGeom prst="rect">
                      <a:avLst/>
                    </a:prstGeom>
                    <a:ln/>
                  </pic:spPr>
                </pic:pic>
              </a:graphicData>
            </a:graphic>
          </wp:inline>
        </w:drawing>
      </w:r>
    </w:p>
    <w:p w14:paraId="6CE91C81"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45F762B8"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Por lo anteriormente señalado, se determina ordenar al Sujeto Obligado, la entrega de los documentos donde conste el cumplimiento de las metas del Instituto Municipal de la Juventud, de la Coordinación Municipal de Mejora Regulatoria y de la Dirección de Desarrollo Social del uno de enero de dos mil veintidós al diecinueve de diciembre de dos mil veinticuatro. </w:t>
      </w:r>
    </w:p>
    <w:p w14:paraId="3E930F60"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2AC1AA3F"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No se omite mencionar que también se solicitó el </w:t>
      </w:r>
      <w:r w:rsidRPr="001F232D">
        <w:rPr>
          <w:rFonts w:ascii="Palatino Linotype" w:eastAsia="Palatino Linotype" w:hAnsi="Palatino Linotype" w:cs="Palatino Linotype"/>
          <w:b/>
          <w:sz w:val="22"/>
          <w:szCs w:val="22"/>
        </w:rPr>
        <w:t>informe de avances en los catálogos de trámites y servicios</w:t>
      </w:r>
      <w:r w:rsidRPr="001F232D">
        <w:rPr>
          <w:rFonts w:ascii="Palatino Linotype" w:eastAsia="Palatino Linotype" w:hAnsi="Palatino Linotype" w:cs="Palatino Linotype"/>
          <w:sz w:val="22"/>
          <w:szCs w:val="22"/>
        </w:rPr>
        <w:t xml:space="preserve">, al respecto se estima que dicha información, de haberse generado, se verá reflejada en los documentos que den cuenta de las metas alcanzadas por la Coordinación de Mejora Regulatoria, en virtud de que dicha área es la encargada de generar, administrar y poseer información relacionada con los trámites y servicios que ofrece el Ayuntamiento. </w:t>
      </w:r>
    </w:p>
    <w:p w14:paraId="62ACFA97"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21166C8B"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En lo que respecta a los </w:t>
      </w:r>
      <w:r w:rsidRPr="001F232D">
        <w:rPr>
          <w:rFonts w:ascii="Palatino Linotype" w:eastAsia="Palatino Linotype" w:hAnsi="Palatino Linotype" w:cs="Palatino Linotype"/>
          <w:b/>
          <w:sz w:val="22"/>
          <w:szCs w:val="22"/>
        </w:rPr>
        <w:t xml:space="preserve">Programas sociales que tiene a su cargo el Ayuntamiento de Villa de Allende, </w:t>
      </w:r>
      <w:r w:rsidRPr="001F232D">
        <w:rPr>
          <w:rFonts w:ascii="Palatino Linotype" w:eastAsia="Palatino Linotype" w:hAnsi="Palatino Linotype" w:cs="Palatino Linotype"/>
          <w:sz w:val="22"/>
          <w:szCs w:val="22"/>
        </w:rPr>
        <w:t xml:space="preserve">en respuesta, el Sujeto Obligado, a través de la </w:t>
      </w:r>
      <w:proofErr w:type="gramStart"/>
      <w:r w:rsidRPr="001F232D">
        <w:rPr>
          <w:rFonts w:ascii="Palatino Linotype" w:eastAsia="Palatino Linotype" w:hAnsi="Palatino Linotype" w:cs="Palatino Linotype"/>
          <w:sz w:val="22"/>
          <w:szCs w:val="22"/>
        </w:rPr>
        <w:t>Directora</w:t>
      </w:r>
      <w:proofErr w:type="gramEnd"/>
      <w:r w:rsidRPr="001F232D">
        <w:rPr>
          <w:rFonts w:ascii="Palatino Linotype" w:eastAsia="Palatino Linotype" w:hAnsi="Palatino Linotype" w:cs="Palatino Linotype"/>
          <w:sz w:val="22"/>
          <w:szCs w:val="22"/>
        </w:rPr>
        <w:t xml:space="preserve"> de Desarrollo Social informó que los programas sociales que tiene a su cargo el Ayuntamiento, son los siguientes: </w:t>
      </w:r>
    </w:p>
    <w:p w14:paraId="744EC35F"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0CA9FA2B" w14:textId="77777777" w:rsidR="004072BD" w:rsidRPr="001F232D" w:rsidRDefault="0060766A">
      <w:pPr>
        <w:spacing w:line="360" w:lineRule="auto"/>
        <w:ind w:right="-93"/>
        <w:jc w:val="center"/>
        <w:rPr>
          <w:rFonts w:ascii="Palatino Linotype" w:eastAsia="Palatino Linotype" w:hAnsi="Palatino Linotype" w:cs="Palatino Linotype"/>
          <w:sz w:val="22"/>
          <w:szCs w:val="22"/>
        </w:rPr>
      </w:pPr>
      <w:r w:rsidRPr="001F232D">
        <w:rPr>
          <w:rFonts w:ascii="Palatino Linotype" w:eastAsia="Palatino Linotype" w:hAnsi="Palatino Linotype" w:cs="Palatino Linotype"/>
          <w:noProof/>
          <w:sz w:val="22"/>
          <w:szCs w:val="22"/>
          <w:lang w:val="es-MX" w:eastAsia="es-MX"/>
        </w:rPr>
        <w:drawing>
          <wp:inline distT="0" distB="0" distL="0" distR="0" wp14:anchorId="485A9713" wp14:editId="5662904A">
            <wp:extent cx="4726125" cy="1341986"/>
            <wp:effectExtent l="0" t="0" r="0" b="0"/>
            <wp:docPr id="7702015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726125" cy="1341986"/>
                    </a:xfrm>
                    <a:prstGeom prst="rect">
                      <a:avLst/>
                    </a:prstGeom>
                    <a:ln/>
                  </pic:spPr>
                </pic:pic>
              </a:graphicData>
            </a:graphic>
          </wp:inline>
        </w:drawing>
      </w:r>
    </w:p>
    <w:p w14:paraId="6FEEF166"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3CAFD595"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De ello, es de señalar que, el Sujeto Obligado cumplió con el procedimiento de búsqueda establecido en el artículo 162 de la Ley de Transparencia y Acceso a la Información Pública del Estado de México y Municipios, al gestionar el requerimiento de información al área </w:t>
      </w:r>
      <w:r w:rsidRPr="001F232D">
        <w:rPr>
          <w:rFonts w:ascii="Palatino Linotype" w:eastAsia="Palatino Linotype" w:hAnsi="Palatino Linotype" w:cs="Palatino Linotype"/>
          <w:sz w:val="22"/>
          <w:szCs w:val="22"/>
        </w:rPr>
        <w:lastRenderedPageBreak/>
        <w:t xml:space="preserve">competente para conocer de lo peticionado, en atención a las atribuciones que le confiere el artículo 100, fracción VIII del Bando Municipal del Sujeto Obligado, las cuales son las siguientes: </w:t>
      </w:r>
    </w:p>
    <w:p w14:paraId="40A194F6"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11DC876C" w14:textId="77777777" w:rsidR="004072BD" w:rsidRPr="001F232D" w:rsidRDefault="0060766A">
      <w:pPr>
        <w:spacing w:line="276" w:lineRule="auto"/>
        <w:ind w:left="567" w:right="616"/>
        <w:jc w:val="both"/>
        <w:rPr>
          <w:rFonts w:ascii="Palatino Linotype" w:eastAsia="Palatino Linotype" w:hAnsi="Palatino Linotype" w:cs="Palatino Linotype"/>
          <w:i/>
          <w:sz w:val="20"/>
          <w:szCs w:val="20"/>
        </w:rPr>
      </w:pPr>
      <w:r w:rsidRPr="001F232D">
        <w:rPr>
          <w:rFonts w:ascii="Palatino Linotype" w:eastAsia="Palatino Linotype" w:hAnsi="Palatino Linotype" w:cs="Palatino Linotype"/>
          <w:b/>
          <w:i/>
          <w:sz w:val="22"/>
          <w:szCs w:val="22"/>
        </w:rPr>
        <w:t>Artículo 101</w:t>
      </w:r>
      <w:r w:rsidRPr="001F232D">
        <w:rPr>
          <w:rFonts w:ascii="Palatino Linotype" w:eastAsia="Palatino Linotype" w:hAnsi="Palatino Linotype" w:cs="Palatino Linotype"/>
          <w:i/>
          <w:sz w:val="22"/>
          <w:szCs w:val="22"/>
        </w:rPr>
        <w:t>. Corresponde al Ayuntamiento:</w:t>
      </w:r>
    </w:p>
    <w:p w14:paraId="5443FCD8" w14:textId="77777777" w:rsidR="004072BD" w:rsidRPr="001F232D" w:rsidRDefault="0060766A">
      <w:pPr>
        <w:spacing w:line="276" w:lineRule="auto"/>
        <w:ind w:left="567" w:right="616"/>
        <w:jc w:val="both"/>
        <w:rPr>
          <w:rFonts w:ascii="Palatino Linotype" w:eastAsia="Palatino Linotype" w:hAnsi="Palatino Linotype" w:cs="Palatino Linotype"/>
          <w:i/>
          <w:sz w:val="20"/>
          <w:szCs w:val="20"/>
        </w:rPr>
      </w:pPr>
      <w:r w:rsidRPr="001F232D">
        <w:rPr>
          <w:rFonts w:ascii="Palatino Linotype" w:eastAsia="Palatino Linotype" w:hAnsi="Palatino Linotype" w:cs="Palatino Linotype"/>
          <w:i/>
          <w:sz w:val="20"/>
          <w:szCs w:val="20"/>
        </w:rPr>
        <w:t>…</w:t>
      </w:r>
    </w:p>
    <w:p w14:paraId="4F47D6AA"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VIII. Por conducto de la Dirección de Desarrollo Social promover, planear y ejecutar planes y programas que tiendan al mejoramiento de los niveles de vida y el abatimiento de los índices de marginación social; Así mismo, otorgar el apoyo logístico en los programas del Gobierno Federal.</w:t>
      </w:r>
    </w:p>
    <w:p w14:paraId="12031CB0" w14:textId="77777777" w:rsidR="004072BD" w:rsidRPr="001F232D" w:rsidRDefault="0060766A">
      <w:pPr>
        <w:spacing w:line="276" w:lineRule="auto"/>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1C70591E"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1D178AD3"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Es así que, el Sujeto Obligado al haber señalado a través de su unidad administrativa competente los programas sociales que tiene a su cargo del periodo solicitado, este requerimiento se tiene por </w:t>
      </w:r>
      <w:r w:rsidRPr="001F232D">
        <w:rPr>
          <w:rFonts w:ascii="Palatino Linotype" w:eastAsia="Palatino Linotype" w:hAnsi="Palatino Linotype" w:cs="Palatino Linotype"/>
          <w:b/>
          <w:sz w:val="22"/>
          <w:szCs w:val="22"/>
        </w:rPr>
        <w:t>colmado</w:t>
      </w:r>
      <w:r w:rsidRPr="001F232D">
        <w:rPr>
          <w:rFonts w:ascii="Palatino Linotype" w:eastAsia="Palatino Linotype" w:hAnsi="Palatino Linotype" w:cs="Palatino Linotype"/>
          <w:sz w:val="22"/>
          <w:szCs w:val="22"/>
        </w:rPr>
        <w:t xml:space="preserve">. </w:t>
      </w:r>
    </w:p>
    <w:p w14:paraId="2B357999"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3D86BE38"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Finalmente, en lo que respecta a los </w:t>
      </w:r>
      <w:r w:rsidRPr="001F232D">
        <w:rPr>
          <w:rFonts w:ascii="Palatino Linotype" w:eastAsia="Palatino Linotype" w:hAnsi="Palatino Linotype" w:cs="Palatino Linotype"/>
          <w:b/>
          <w:sz w:val="22"/>
          <w:szCs w:val="22"/>
        </w:rPr>
        <w:t>avances en materia de transparencia y acceso a la información y cuantas sesiones de comité realizó durante 2022-2024</w:t>
      </w:r>
      <w:r w:rsidRPr="001F232D">
        <w:rPr>
          <w:rFonts w:ascii="Palatino Linotype" w:eastAsia="Palatino Linotype" w:hAnsi="Palatino Linotype" w:cs="Palatino Linotype"/>
          <w:sz w:val="22"/>
          <w:szCs w:val="22"/>
        </w:rPr>
        <w:t>, es de destacar que, en respuesta, el Titular de la Unidad de Transparencia precisó que en relación con el punto relativo a los avances en materia de transparencia y acceso a la información se informa que, actualmente desde la toma del cargo dentro de la Unidad De Transparencia, se realizó la atención y seguimiento a las diversas solicitudes de información pendientes tras la entrega-recepción de la anterior titular, se actualizaron las obligaciones comunes y específicas en materia de transparencia que enmarca la normatividad aplicable y se atendieron los requerimientos de INFOEM, así como que, se actualizaron los documentos de seguridad y avisos de privacidad de las áreas existentes.</w:t>
      </w:r>
    </w:p>
    <w:p w14:paraId="753C49CD"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24E8270C" w14:textId="77777777" w:rsidR="004072BD" w:rsidRPr="001F232D" w:rsidRDefault="0060766A">
      <w:pPr>
        <w:spacing w:line="360" w:lineRule="auto"/>
        <w:ind w:right="-93"/>
        <w:jc w:val="both"/>
        <w:rPr>
          <w:rFonts w:ascii="Palatino Linotype" w:eastAsia="Palatino Linotype" w:hAnsi="Palatino Linotype" w:cs="Palatino Linotype"/>
          <w:b/>
          <w:sz w:val="22"/>
          <w:szCs w:val="22"/>
        </w:rPr>
      </w:pPr>
      <w:r w:rsidRPr="001F232D">
        <w:rPr>
          <w:rFonts w:ascii="Palatino Linotype" w:eastAsia="Palatino Linotype" w:hAnsi="Palatino Linotype" w:cs="Palatino Linotype"/>
          <w:sz w:val="22"/>
          <w:szCs w:val="22"/>
        </w:rPr>
        <w:lastRenderedPageBreak/>
        <w:t xml:space="preserve">En ese sentido, debido a que, el Sujeto Obligado se pronunció señalando los avances que ha tenido en la materia de transparencia y acceso a la información, este requerimiento se tiene por </w:t>
      </w:r>
      <w:r w:rsidRPr="001F232D">
        <w:rPr>
          <w:rFonts w:ascii="Palatino Linotype" w:eastAsia="Palatino Linotype" w:hAnsi="Palatino Linotype" w:cs="Palatino Linotype"/>
          <w:b/>
          <w:sz w:val="22"/>
          <w:szCs w:val="22"/>
        </w:rPr>
        <w:t xml:space="preserve">colmado. </w:t>
      </w:r>
    </w:p>
    <w:p w14:paraId="792ECEA6"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13BAA799" w14:textId="77777777" w:rsidR="004072BD" w:rsidRPr="001F232D" w:rsidRDefault="0060766A">
      <w:pP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En relación con el </w:t>
      </w:r>
      <w:r w:rsidRPr="001F232D">
        <w:rPr>
          <w:rFonts w:ascii="Palatino Linotype" w:eastAsia="Palatino Linotype" w:hAnsi="Palatino Linotype" w:cs="Palatino Linotype"/>
          <w:b/>
          <w:sz w:val="22"/>
          <w:szCs w:val="22"/>
        </w:rPr>
        <w:t>número de sesiones que el comité realizó durante 2022-2024</w:t>
      </w:r>
      <w:r w:rsidRPr="001F232D">
        <w:rPr>
          <w:rFonts w:ascii="Palatino Linotype" w:eastAsia="Palatino Linotype" w:hAnsi="Palatino Linotype" w:cs="Palatino Linotype"/>
          <w:sz w:val="22"/>
          <w:szCs w:val="22"/>
        </w:rPr>
        <w:t>, el Titular de la Unidad de Transparencia precisó que, el Comité realizó las siguientes:</w:t>
      </w:r>
    </w:p>
    <w:p w14:paraId="7ABC64A2"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286D82B4" w14:textId="77777777" w:rsidR="004072BD" w:rsidRPr="001F232D" w:rsidRDefault="0060766A">
      <w:pPr>
        <w:numPr>
          <w:ilvl w:val="0"/>
          <w:numId w:val="6"/>
        </w:num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2022: 5 sesiones ordinarias de comité.</w:t>
      </w:r>
    </w:p>
    <w:p w14:paraId="0C3C03F1" w14:textId="77777777" w:rsidR="004072BD" w:rsidRPr="001F232D" w:rsidRDefault="0060766A">
      <w:pPr>
        <w:numPr>
          <w:ilvl w:val="0"/>
          <w:numId w:val="6"/>
        </w:num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2023: 5 sesiones ordinarias de comité y 9 extraordinarias.</w:t>
      </w:r>
    </w:p>
    <w:p w14:paraId="756FF224" w14:textId="77777777" w:rsidR="004072BD" w:rsidRPr="001F232D" w:rsidRDefault="0060766A">
      <w:pPr>
        <w:numPr>
          <w:ilvl w:val="0"/>
          <w:numId w:val="6"/>
        </w:num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2024: 6 sesiones </w:t>
      </w:r>
      <w:proofErr w:type="gramStart"/>
      <w:r w:rsidRPr="001F232D">
        <w:rPr>
          <w:rFonts w:ascii="Palatino Linotype" w:eastAsia="Palatino Linotype" w:hAnsi="Palatino Linotype" w:cs="Palatino Linotype"/>
          <w:sz w:val="22"/>
          <w:szCs w:val="22"/>
        </w:rPr>
        <w:t>Ordinarias  y</w:t>
      </w:r>
      <w:proofErr w:type="gramEnd"/>
      <w:r w:rsidRPr="001F232D">
        <w:rPr>
          <w:rFonts w:ascii="Palatino Linotype" w:eastAsia="Palatino Linotype" w:hAnsi="Palatino Linotype" w:cs="Palatino Linotype"/>
          <w:sz w:val="22"/>
          <w:szCs w:val="22"/>
        </w:rPr>
        <w:t xml:space="preserve"> 30 sesiones Extraordinarias.</w:t>
      </w:r>
    </w:p>
    <w:p w14:paraId="62A934C1" w14:textId="77777777" w:rsidR="004072BD" w:rsidRPr="001F232D" w:rsidRDefault="004072BD">
      <w:pPr>
        <w:spacing w:line="360" w:lineRule="auto"/>
        <w:ind w:right="-93"/>
        <w:jc w:val="both"/>
        <w:rPr>
          <w:rFonts w:ascii="Palatino Linotype" w:eastAsia="Palatino Linotype" w:hAnsi="Palatino Linotype" w:cs="Palatino Linotype"/>
          <w:sz w:val="22"/>
          <w:szCs w:val="22"/>
        </w:rPr>
      </w:pPr>
    </w:p>
    <w:p w14:paraId="1059BCB0" w14:textId="77777777" w:rsidR="004072BD" w:rsidRPr="001F232D" w:rsidRDefault="0060766A">
      <w:pPr>
        <w:spacing w:line="360" w:lineRule="auto"/>
        <w:ind w:right="-93"/>
        <w:jc w:val="both"/>
        <w:rPr>
          <w:rFonts w:ascii="Palatino Linotype" w:eastAsia="Palatino Linotype" w:hAnsi="Palatino Linotype" w:cs="Palatino Linotype"/>
          <w:b/>
          <w:sz w:val="22"/>
          <w:szCs w:val="22"/>
        </w:rPr>
      </w:pPr>
      <w:r w:rsidRPr="001F232D">
        <w:rPr>
          <w:rFonts w:ascii="Palatino Linotype" w:eastAsia="Palatino Linotype" w:hAnsi="Palatino Linotype" w:cs="Palatino Linotype"/>
          <w:sz w:val="22"/>
          <w:szCs w:val="22"/>
        </w:rPr>
        <w:t xml:space="preserve">Por lo que, de igual manera, este requerimiento se tiene por </w:t>
      </w:r>
      <w:r w:rsidRPr="001F232D">
        <w:rPr>
          <w:rFonts w:ascii="Palatino Linotype" w:eastAsia="Palatino Linotype" w:hAnsi="Palatino Linotype" w:cs="Palatino Linotype"/>
          <w:b/>
          <w:sz w:val="22"/>
          <w:szCs w:val="22"/>
        </w:rPr>
        <w:t xml:space="preserve">colmado. </w:t>
      </w:r>
    </w:p>
    <w:p w14:paraId="5DA866FB"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20838A1F"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Derivado de todo lo anterior, se concluye que los agravios hechos valer por el Particular son </w:t>
      </w:r>
      <w:r w:rsidRPr="001F232D">
        <w:rPr>
          <w:rFonts w:ascii="Palatino Linotype" w:eastAsia="Palatino Linotype" w:hAnsi="Palatino Linotype" w:cs="Palatino Linotype"/>
          <w:b/>
          <w:sz w:val="22"/>
          <w:szCs w:val="22"/>
        </w:rPr>
        <w:t xml:space="preserve">PARCIALMENTE FUNDADOS </w:t>
      </w:r>
      <w:r w:rsidRPr="001F232D">
        <w:rPr>
          <w:rFonts w:ascii="Palatino Linotype" w:eastAsia="Palatino Linotype" w:hAnsi="Palatino Linotype" w:cs="Palatino Linotype"/>
          <w:sz w:val="22"/>
          <w:szCs w:val="22"/>
        </w:rPr>
        <w:t xml:space="preserve">y, por ende, este Organismo Garante determina </w:t>
      </w:r>
      <w:r w:rsidRPr="001F232D">
        <w:rPr>
          <w:rFonts w:ascii="Palatino Linotype" w:eastAsia="Palatino Linotype" w:hAnsi="Palatino Linotype" w:cs="Palatino Linotype"/>
          <w:b/>
          <w:sz w:val="22"/>
          <w:szCs w:val="22"/>
        </w:rPr>
        <w:t xml:space="preserve">MODIFICAR </w:t>
      </w:r>
      <w:r w:rsidRPr="001F232D">
        <w:rPr>
          <w:rFonts w:ascii="Palatino Linotype" w:eastAsia="Palatino Linotype" w:hAnsi="Palatino Linotype" w:cs="Palatino Linotype"/>
          <w:sz w:val="22"/>
          <w:szCs w:val="22"/>
        </w:rPr>
        <w:t xml:space="preserve">la respuesta del Sujeto Obligado y; </w:t>
      </w:r>
      <w:r w:rsidRPr="001F232D">
        <w:rPr>
          <w:rFonts w:ascii="Palatino Linotype" w:eastAsia="Palatino Linotype" w:hAnsi="Palatino Linotype" w:cs="Palatino Linotype"/>
          <w:b/>
          <w:sz w:val="22"/>
          <w:szCs w:val="22"/>
        </w:rPr>
        <w:t xml:space="preserve">ORDENAR </w:t>
      </w:r>
      <w:r w:rsidRPr="001F232D">
        <w:rPr>
          <w:rFonts w:ascii="Palatino Linotype" w:eastAsia="Palatino Linotype" w:hAnsi="Palatino Linotype" w:cs="Palatino Linotype"/>
          <w:sz w:val="22"/>
          <w:szCs w:val="22"/>
        </w:rPr>
        <w:t xml:space="preserve">entregar, previa búsqueda exhaustiva y razonable, de ser el caso, en versión pública, la siguiente información:  </w:t>
      </w:r>
    </w:p>
    <w:p w14:paraId="7156800E"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1E7B8D27" w14:textId="77777777" w:rsidR="004072BD" w:rsidRPr="001F232D" w:rsidRDefault="0060766A">
      <w:pPr>
        <w:numPr>
          <w:ilvl w:val="0"/>
          <w:numId w:val="8"/>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Documento donde consten las rutas que realizan los camiones de recolección de residuos sólidos al diecinueve de diciembre de dos mil veinticuatro. </w:t>
      </w:r>
    </w:p>
    <w:p w14:paraId="04E2D296" w14:textId="77777777" w:rsidR="004072BD" w:rsidRPr="001F232D" w:rsidRDefault="0060766A">
      <w:pPr>
        <w:numPr>
          <w:ilvl w:val="0"/>
          <w:numId w:val="8"/>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Documento donde consten los litros de gasolina asignados a los camiones de recolección de residuos sólidos al diecinueve de diciembre de dos mil veinticuatro.</w:t>
      </w:r>
    </w:p>
    <w:p w14:paraId="0CB56790" w14:textId="77777777" w:rsidR="0060766A" w:rsidRPr="001F232D" w:rsidRDefault="0060766A" w:rsidP="0060766A">
      <w:pPr>
        <w:numPr>
          <w:ilvl w:val="0"/>
          <w:numId w:val="8"/>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Documento donde conste el número de casos de violencia doméstica que se han resuelto, así como las canalizaciones del diecinueve de diciembre de dos mil veintitrés al diecinueve de diciembre de dos mil veinticuatro. </w:t>
      </w:r>
    </w:p>
    <w:p w14:paraId="2652B317" w14:textId="77777777" w:rsidR="004072BD" w:rsidRPr="001F232D" w:rsidRDefault="0060766A">
      <w:pPr>
        <w:numPr>
          <w:ilvl w:val="0"/>
          <w:numId w:val="8"/>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lastRenderedPageBreak/>
        <w:t xml:space="preserve">Documentos donde conste el cumplimiento de las metas del Instituto Municipal de la Juventud, de la Coordinación Municipal de Mejora Regulatoria y de la Dirección de Desarrollo Social del uno de enero de dos mil veintidós al diecinueve de diciembre de dos mil veinticuatro. </w:t>
      </w:r>
    </w:p>
    <w:p w14:paraId="4DAD4089" w14:textId="77777777" w:rsidR="004072BD" w:rsidRPr="001F232D" w:rsidRDefault="004072BD">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p>
    <w:p w14:paraId="0A91B70B" w14:textId="77777777" w:rsidR="004072BD" w:rsidRPr="001F232D" w:rsidRDefault="0060766A">
      <w:pPr>
        <w:pBdr>
          <w:top w:val="nil"/>
          <w:left w:val="nil"/>
          <w:bottom w:val="nil"/>
          <w:right w:val="nil"/>
          <w:between w:val="nil"/>
        </w:pBdr>
        <w:tabs>
          <w:tab w:val="left" w:pos="993"/>
        </w:tabs>
        <w:ind w:left="567"/>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1327CA5C" w14:textId="77777777" w:rsidR="004072BD" w:rsidRPr="001F232D" w:rsidRDefault="004072BD">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p>
    <w:p w14:paraId="788AE916" w14:textId="77777777" w:rsidR="004072BD" w:rsidRPr="001F232D" w:rsidRDefault="0060766A">
      <w:pPr>
        <w:pBdr>
          <w:top w:val="nil"/>
          <w:left w:val="nil"/>
          <w:bottom w:val="nil"/>
          <w:right w:val="nil"/>
          <w:between w:val="nil"/>
        </w:pBdr>
        <w:tabs>
          <w:tab w:val="left" w:pos="567"/>
          <w:tab w:val="left" w:pos="993"/>
        </w:tabs>
        <w:ind w:left="567"/>
        <w:jc w:val="both"/>
        <w:rPr>
          <w:rFonts w:ascii="Palatino Linotype" w:eastAsia="Palatino Linotype" w:hAnsi="Palatino Linotype" w:cs="Palatino Linotype"/>
          <w:b/>
          <w:i/>
          <w:sz w:val="22"/>
          <w:szCs w:val="22"/>
        </w:rPr>
      </w:pPr>
      <w:r w:rsidRPr="001F232D">
        <w:rPr>
          <w:rFonts w:ascii="Palatino Linotype" w:eastAsia="Palatino Linotype" w:hAnsi="Palatino Linotype" w:cs="Palatino Linotype"/>
          <w:i/>
          <w:sz w:val="22"/>
          <w:szCs w:val="22"/>
        </w:rPr>
        <w:t xml:space="preserve">Para el caso de que la información que se ordena entregar en el inciso c) no obre en los archivos del Sujeto Obligado, por no haberse generado, este deberá hacerlo del conocimiento del Particular en términos del artículo 19, párrafo segundo, de la Ley de Transparencia y Acceso a la Información Pública del Estado de México y Municipios, para tenerse por colmado dicho requerimiento. </w:t>
      </w:r>
    </w:p>
    <w:p w14:paraId="041CDDA4" w14:textId="77777777" w:rsidR="004072BD" w:rsidRPr="001F232D" w:rsidRDefault="004072BD">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626F9EBD"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 xml:space="preserve">Quinto. Versión Pública. </w:t>
      </w:r>
      <w:r w:rsidRPr="001F232D">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6F29A168"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2B221070"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54DD63B1"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4C465052" w14:textId="77777777" w:rsidR="004072BD" w:rsidRPr="001F232D" w:rsidRDefault="0060766A">
      <w:pPr>
        <w:spacing w:line="360" w:lineRule="auto"/>
        <w:ind w:right="50"/>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lastRenderedPageBreak/>
        <w:t>Lo anterior, de conformidad con lo que señalan los artículos 3 fracciones IX, XX, XXI y XLV, 91, 132 fracciones II y III, y 143 de la Ley de Transparencia y Acceso a la Información Pública del Estado de México y Municipios que establecen:</w:t>
      </w:r>
    </w:p>
    <w:p w14:paraId="40843D85" w14:textId="77777777" w:rsidR="004072BD" w:rsidRPr="001F232D" w:rsidRDefault="004072BD">
      <w:pPr>
        <w:spacing w:line="360" w:lineRule="auto"/>
        <w:ind w:right="50"/>
        <w:jc w:val="both"/>
        <w:rPr>
          <w:rFonts w:ascii="Palatino Linotype" w:eastAsia="Palatino Linotype" w:hAnsi="Palatino Linotype" w:cs="Palatino Linotype"/>
          <w:sz w:val="22"/>
          <w:szCs w:val="22"/>
        </w:rPr>
      </w:pPr>
    </w:p>
    <w:p w14:paraId="2C38E817"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r w:rsidRPr="001F232D">
        <w:rPr>
          <w:rFonts w:ascii="Palatino Linotype" w:eastAsia="Palatino Linotype" w:hAnsi="Palatino Linotype" w:cs="Palatino Linotype"/>
          <w:b/>
          <w:i/>
          <w:sz w:val="22"/>
          <w:szCs w:val="22"/>
        </w:rPr>
        <w:t>Artículo 3.</w:t>
      </w:r>
      <w:r w:rsidRPr="001F232D">
        <w:rPr>
          <w:rFonts w:ascii="Palatino Linotype" w:eastAsia="Palatino Linotype" w:hAnsi="Palatino Linotype" w:cs="Palatino Linotype"/>
          <w:i/>
          <w:sz w:val="22"/>
          <w:szCs w:val="22"/>
        </w:rPr>
        <w:t xml:space="preserve"> Para los efectos de la presente Ley se entenderá por:</w:t>
      </w:r>
    </w:p>
    <w:p w14:paraId="1E2C8CDB"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2E246083"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449748D9"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XX. Información clasificada: Aquella considerada por la presente Ley como reservada o confidencial;</w:t>
      </w:r>
    </w:p>
    <w:p w14:paraId="7AD27CB4"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806F75A"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E4C428A"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0EA171F1"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91.</w:t>
      </w:r>
      <w:r w:rsidRPr="001F232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29CDACE"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132.</w:t>
      </w:r>
      <w:r w:rsidRPr="001F232D">
        <w:rPr>
          <w:rFonts w:ascii="Palatino Linotype" w:eastAsia="Palatino Linotype" w:hAnsi="Palatino Linotype" w:cs="Palatino Linotype"/>
          <w:i/>
          <w:sz w:val="22"/>
          <w:szCs w:val="22"/>
        </w:rPr>
        <w:t xml:space="preserve"> La clasificación de la información se llevará a cabo en el momento en que:</w:t>
      </w:r>
    </w:p>
    <w:p w14:paraId="3682E9C7" w14:textId="77777777" w:rsidR="004072BD" w:rsidRPr="001F232D" w:rsidRDefault="0060766A">
      <w:pPr>
        <w:tabs>
          <w:tab w:val="left" w:pos="1134"/>
        </w:tabs>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 Se reciba una solicitud de acceso a la información;</w:t>
      </w:r>
    </w:p>
    <w:p w14:paraId="574F4212" w14:textId="77777777" w:rsidR="004072BD" w:rsidRPr="001F232D" w:rsidRDefault="0060766A">
      <w:pPr>
        <w:tabs>
          <w:tab w:val="left" w:pos="1134"/>
        </w:tabs>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II. Se determine mediante resolución de autoridad competente; o</w:t>
      </w:r>
    </w:p>
    <w:p w14:paraId="16A69105" w14:textId="77777777" w:rsidR="004072BD" w:rsidRPr="001F232D" w:rsidRDefault="0060766A">
      <w:pPr>
        <w:tabs>
          <w:tab w:val="left" w:pos="1134"/>
        </w:tabs>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F16368D"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62376882"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Artículo 143</w:t>
      </w:r>
      <w:r w:rsidRPr="001F232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2B1204B"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60308149"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FDCB586"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12CA4A8"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78B585BD"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6D89327" w14:textId="77777777" w:rsidR="004072BD" w:rsidRPr="001F232D" w:rsidRDefault="004072BD">
      <w:pPr>
        <w:ind w:left="567" w:right="616"/>
        <w:jc w:val="both"/>
        <w:rPr>
          <w:rFonts w:ascii="Palatino Linotype" w:eastAsia="Palatino Linotype" w:hAnsi="Palatino Linotype" w:cs="Palatino Linotype"/>
          <w:i/>
          <w:sz w:val="22"/>
          <w:szCs w:val="22"/>
        </w:rPr>
      </w:pPr>
    </w:p>
    <w:p w14:paraId="1D9223CD"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A7420C7" w14:textId="77777777" w:rsidR="004072BD" w:rsidRPr="001F232D" w:rsidRDefault="004072BD">
      <w:pPr>
        <w:jc w:val="both"/>
        <w:rPr>
          <w:rFonts w:ascii="Palatino Linotype" w:eastAsia="Palatino Linotype" w:hAnsi="Palatino Linotype" w:cs="Palatino Linotype"/>
          <w:sz w:val="22"/>
          <w:szCs w:val="22"/>
        </w:rPr>
      </w:pPr>
    </w:p>
    <w:p w14:paraId="241A39B4"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1D2465D7"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1863AC78"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 “</w:t>
      </w:r>
      <w:r w:rsidRPr="001F232D">
        <w:rPr>
          <w:rFonts w:ascii="Palatino Linotype" w:eastAsia="Palatino Linotype" w:hAnsi="Palatino Linotype" w:cs="Palatino Linotype"/>
          <w:b/>
          <w:i/>
          <w:sz w:val="22"/>
          <w:szCs w:val="22"/>
        </w:rPr>
        <w:t>Quincuagésimo</w:t>
      </w:r>
      <w:r w:rsidRPr="001F232D">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2DC3662"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Quincuagésimo primero.</w:t>
      </w:r>
      <w:r w:rsidRPr="001F232D">
        <w:rPr>
          <w:rFonts w:ascii="Palatino Linotype" w:eastAsia="Palatino Linotype" w:hAnsi="Palatino Linotype" w:cs="Palatino Linotype"/>
          <w:i/>
          <w:sz w:val="22"/>
          <w:szCs w:val="22"/>
        </w:rPr>
        <w:t xml:space="preserve"> Toda acta del Comité de Transparencia deberá contener: </w:t>
      </w:r>
    </w:p>
    <w:p w14:paraId="151F2FB0"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 El número de sesión y fecha; </w:t>
      </w:r>
    </w:p>
    <w:p w14:paraId="68751D7F"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II. El nombre del área que solicitó la clasificación de información; </w:t>
      </w:r>
    </w:p>
    <w:p w14:paraId="6FF97191"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III. La fundamentación legal y motivación correspondiente; </w:t>
      </w:r>
    </w:p>
    <w:p w14:paraId="4F86BF1C"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IV. La resolución o resoluciones aprobadas; y </w:t>
      </w:r>
    </w:p>
    <w:p w14:paraId="7F5E83B0"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V. La rúbrica o firma digital de cada integrante del Comité de Transparencia. </w:t>
      </w:r>
    </w:p>
    <w:p w14:paraId="67EEF411"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lastRenderedPageBreak/>
        <w:t xml:space="preserve">Las resoluciones del Comité en las que se haya determinado confirmar o modificar la clasificación de información pública como reservada, deberán incluir, cuando menos: </w:t>
      </w:r>
    </w:p>
    <w:p w14:paraId="55161734"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 Los motivos y razonamientos que sustenten la confirmación o modificación de la prueba de daño;</w:t>
      </w:r>
    </w:p>
    <w:p w14:paraId="4B84F65D"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II. Descripción de las partes o secciones reservadas, en caso de clasificación parcial; </w:t>
      </w:r>
    </w:p>
    <w:p w14:paraId="46EC2AC5"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III. El periodo por el que mantendrá su clasificación y fecha de expiración; y </w:t>
      </w:r>
    </w:p>
    <w:p w14:paraId="6D31B15D"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266E28E9"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B242A50"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5783DB0"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Quincuagésimo segundo.</w:t>
      </w:r>
      <w:r w:rsidRPr="001F232D">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0E3883D"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EE7D4D"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F49D774"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EDB46DF"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III. Señalar las personas o instancias autorizadas a acceder a la información clasificada.</w:t>
      </w:r>
    </w:p>
    <w:p w14:paraId="7D3AA8A8"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E653874"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1C33AB0F"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05362E07"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0A907247" w14:textId="77777777" w:rsidR="004072BD" w:rsidRPr="001F232D" w:rsidRDefault="0060766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r w:rsidRPr="001F232D">
        <w:rPr>
          <w:rFonts w:ascii="Palatino Linotype" w:eastAsia="Palatino Linotype" w:hAnsi="Palatino Linotype" w:cs="Palatino Linotype"/>
          <w:b/>
          <w:i/>
          <w:sz w:val="22"/>
          <w:szCs w:val="22"/>
        </w:rPr>
        <w:t>Quincuagésimo cuarto.</w:t>
      </w:r>
      <w:r w:rsidRPr="001F232D">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w:t>
      </w:r>
      <w:r w:rsidRPr="001F232D">
        <w:rPr>
          <w:rFonts w:ascii="Palatino Linotype" w:eastAsia="Palatino Linotype" w:hAnsi="Palatino Linotype" w:cs="Palatino Linotype"/>
          <w:i/>
          <w:sz w:val="22"/>
          <w:szCs w:val="22"/>
        </w:rPr>
        <w:lastRenderedPageBreak/>
        <w:t xml:space="preserve">identificar en la carátula del expediente del cual formen parte, la fecha y sesión del Comité de Transparencia en la que se confirmó dicha clasificación. </w:t>
      </w:r>
    </w:p>
    <w:p w14:paraId="627CB5F4"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Quincuagésimo quinto.</w:t>
      </w:r>
      <w:r w:rsidRPr="001F232D">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1F232D">
        <w:rPr>
          <w:rFonts w:ascii="Palatino Linotype" w:eastAsia="Palatino Linotype" w:hAnsi="Palatino Linotype" w:cs="Palatino Linotype"/>
          <w:i/>
          <w:sz w:val="22"/>
          <w:szCs w:val="22"/>
        </w:rPr>
        <w:t>testado</w:t>
      </w:r>
      <w:proofErr w:type="spellEnd"/>
      <w:r w:rsidRPr="001F232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55D3944"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w:t>
      </w:r>
    </w:p>
    <w:p w14:paraId="446AC78F"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b/>
          <w:i/>
          <w:sz w:val="22"/>
          <w:szCs w:val="22"/>
        </w:rPr>
        <w:t>Quincuagésimo séptimo.</w:t>
      </w:r>
      <w:r w:rsidRPr="001F232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F769B54"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1431D251"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565E1703"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2A5A0A8"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71153AD" w14:textId="77777777" w:rsidR="004072BD" w:rsidRPr="001F232D" w:rsidRDefault="0060766A">
      <w:pPr>
        <w:ind w:left="567" w:right="616"/>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4EC3FD6C"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4FDDEF73"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037F91B"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4E5C2A9E"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Por lo anterior, resultan parcialmente fundadas las razones o motivos de inconformidad hechos valer por la parte </w:t>
      </w:r>
      <w:r w:rsidRPr="001F232D">
        <w:rPr>
          <w:rFonts w:ascii="Palatino Linotype" w:eastAsia="Palatino Linotype" w:hAnsi="Palatino Linotype" w:cs="Palatino Linotype"/>
          <w:b/>
          <w:sz w:val="22"/>
          <w:szCs w:val="22"/>
        </w:rPr>
        <w:t>RECURRENTE</w:t>
      </w:r>
      <w:r w:rsidRPr="001F232D">
        <w:rPr>
          <w:rFonts w:ascii="Palatino Linotype" w:eastAsia="Palatino Linotype" w:hAnsi="Palatino Linotype" w:cs="Palatino Linotype"/>
          <w:sz w:val="22"/>
          <w:szCs w:val="22"/>
        </w:rPr>
        <w:t xml:space="preserve"> dentro del recurso de revisión </w:t>
      </w:r>
      <w:r w:rsidRPr="001F232D">
        <w:rPr>
          <w:rFonts w:ascii="Palatino Linotype" w:eastAsia="Palatino Linotype" w:hAnsi="Palatino Linotype" w:cs="Palatino Linotype"/>
          <w:b/>
          <w:sz w:val="22"/>
          <w:szCs w:val="22"/>
        </w:rPr>
        <w:t>00169/INFOEM/IP/RR/2025</w:t>
      </w:r>
      <w:r w:rsidRPr="001F232D">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Pr="001F232D">
        <w:rPr>
          <w:rFonts w:ascii="Palatino Linotype" w:eastAsia="Palatino Linotype" w:hAnsi="Palatino Linotype" w:cs="Palatino Linotype"/>
          <w:b/>
          <w:sz w:val="22"/>
          <w:szCs w:val="22"/>
        </w:rPr>
        <w:t xml:space="preserve">MODIFICA </w:t>
      </w:r>
      <w:r w:rsidRPr="001F232D">
        <w:rPr>
          <w:rFonts w:ascii="Palatino Linotype" w:eastAsia="Palatino Linotype" w:hAnsi="Palatino Linotype" w:cs="Palatino Linotype"/>
          <w:sz w:val="22"/>
          <w:szCs w:val="22"/>
        </w:rPr>
        <w:t xml:space="preserve">la respuesta del </w:t>
      </w:r>
      <w:r w:rsidRPr="001F232D">
        <w:rPr>
          <w:rFonts w:ascii="Palatino Linotype" w:eastAsia="Palatino Linotype" w:hAnsi="Palatino Linotype" w:cs="Palatino Linotype"/>
          <w:b/>
          <w:sz w:val="22"/>
          <w:szCs w:val="22"/>
        </w:rPr>
        <w:t xml:space="preserve">SUJETO OBLIGADO </w:t>
      </w:r>
      <w:r w:rsidRPr="001F232D">
        <w:rPr>
          <w:rFonts w:ascii="Palatino Linotype" w:eastAsia="Palatino Linotype" w:hAnsi="Palatino Linotype" w:cs="Palatino Linotype"/>
          <w:sz w:val="22"/>
          <w:szCs w:val="22"/>
        </w:rPr>
        <w:t xml:space="preserve">a la solicitud de información </w:t>
      </w:r>
      <w:r w:rsidRPr="001F232D">
        <w:rPr>
          <w:rFonts w:ascii="Palatino Linotype" w:eastAsia="Palatino Linotype" w:hAnsi="Palatino Linotype" w:cs="Palatino Linotype"/>
          <w:b/>
          <w:sz w:val="22"/>
          <w:szCs w:val="22"/>
        </w:rPr>
        <w:t>00110/VIALLEN/IP/2024.</w:t>
      </w:r>
      <w:r w:rsidRPr="001F232D">
        <w:rPr>
          <w:rFonts w:ascii="Palatino Linotype" w:eastAsia="Palatino Linotype" w:hAnsi="Palatino Linotype" w:cs="Palatino Linotype"/>
          <w:sz w:val="22"/>
          <w:szCs w:val="22"/>
        </w:rPr>
        <w:t xml:space="preserve">  </w:t>
      </w:r>
    </w:p>
    <w:p w14:paraId="40DBD6E0"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4CCF234B"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bookmarkStart w:id="3" w:name="_heading=h.1fob9te" w:colFirst="0" w:colLast="0"/>
      <w:bookmarkEnd w:id="3"/>
      <w:r w:rsidRPr="001F232D">
        <w:rPr>
          <w:rFonts w:ascii="Palatino Linotype" w:eastAsia="Palatino Linotype" w:hAnsi="Palatino Linotype" w:cs="Palatino Linotype"/>
          <w:sz w:val="22"/>
          <w:szCs w:val="22"/>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189DEDF" w14:textId="77777777" w:rsidR="0060766A" w:rsidRPr="001F232D" w:rsidRDefault="0060766A">
      <w:pPr>
        <w:spacing w:line="360" w:lineRule="auto"/>
        <w:ind w:right="49"/>
        <w:jc w:val="both"/>
        <w:rPr>
          <w:rFonts w:ascii="Palatino Linotype" w:eastAsia="Palatino Linotype" w:hAnsi="Palatino Linotype" w:cs="Palatino Linotype"/>
          <w:sz w:val="22"/>
          <w:szCs w:val="22"/>
        </w:rPr>
      </w:pPr>
    </w:p>
    <w:p w14:paraId="6137D6B1" w14:textId="77777777" w:rsidR="0060766A" w:rsidRPr="001F232D" w:rsidRDefault="0060766A">
      <w:pPr>
        <w:spacing w:line="360" w:lineRule="auto"/>
        <w:ind w:right="49"/>
        <w:jc w:val="both"/>
        <w:rPr>
          <w:rFonts w:ascii="Palatino Linotype" w:eastAsia="Palatino Linotype" w:hAnsi="Palatino Linotype" w:cs="Palatino Linotype"/>
          <w:sz w:val="22"/>
          <w:szCs w:val="22"/>
        </w:rPr>
      </w:pPr>
    </w:p>
    <w:p w14:paraId="363441A8"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bookmarkStart w:id="4" w:name="_heading=h.vqtxedev6wbu" w:colFirst="0" w:colLast="0"/>
      <w:bookmarkStart w:id="5" w:name="_heading=h.34ntvsam6evx" w:colFirst="0" w:colLast="0"/>
      <w:bookmarkEnd w:id="4"/>
      <w:bookmarkEnd w:id="5"/>
    </w:p>
    <w:p w14:paraId="0DC79F74" w14:textId="77777777" w:rsidR="004072BD" w:rsidRPr="001F232D" w:rsidRDefault="0060766A">
      <w:pPr>
        <w:numPr>
          <w:ilvl w:val="0"/>
          <w:numId w:val="3"/>
        </w:numPr>
        <w:spacing w:line="360" w:lineRule="auto"/>
        <w:ind w:left="567"/>
        <w:jc w:val="center"/>
        <w:rPr>
          <w:rFonts w:ascii="Palatino Linotype" w:eastAsia="Palatino Linotype" w:hAnsi="Palatino Linotype" w:cs="Palatino Linotype"/>
          <w:b/>
          <w:sz w:val="22"/>
          <w:szCs w:val="22"/>
        </w:rPr>
      </w:pPr>
      <w:bookmarkStart w:id="6" w:name="_heading=h.1uc272qankzq" w:colFirst="0" w:colLast="0"/>
      <w:bookmarkEnd w:id="6"/>
      <w:r w:rsidRPr="001F232D">
        <w:rPr>
          <w:rFonts w:ascii="Palatino Linotype" w:eastAsia="Palatino Linotype" w:hAnsi="Palatino Linotype" w:cs="Palatino Linotype"/>
          <w:b/>
          <w:sz w:val="22"/>
          <w:szCs w:val="22"/>
        </w:rPr>
        <w:t>R E S U E L V E</w:t>
      </w:r>
    </w:p>
    <w:p w14:paraId="3E3CDB50" w14:textId="77777777" w:rsidR="004072BD" w:rsidRPr="001F232D" w:rsidRDefault="004072BD">
      <w:pPr>
        <w:spacing w:line="360" w:lineRule="auto"/>
        <w:ind w:left="1080"/>
        <w:rPr>
          <w:rFonts w:ascii="Palatino Linotype" w:eastAsia="Palatino Linotype" w:hAnsi="Palatino Linotype" w:cs="Palatino Linotype"/>
          <w:b/>
          <w:sz w:val="22"/>
          <w:szCs w:val="22"/>
        </w:rPr>
      </w:pPr>
    </w:p>
    <w:p w14:paraId="3FB6726A"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Primero.</w:t>
      </w:r>
      <w:r w:rsidRPr="001F232D">
        <w:rPr>
          <w:rFonts w:ascii="Palatino Linotype" w:eastAsia="Palatino Linotype" w:hAnsi="Palatino Linotype" w:cs="Palatino Linotype"/>
          <w:sz w:val="22"/>
          <w:szCs w:val="22"/>
        </w:rPr>
        <w:t xml:space="preserve"> Resultan</w:t>
      </w:r>
      <w:r w:rsidRPr="001F232D">
        <w:rPr>
          <w:rFonts w:ascii="Palatino Linotype" w:eastAsia="Palatino Linotype" w:hAnsi="Palatino Linotype" w:cs="Palatino Linotype"/>
          <w:b/>
          <w:sz w:val="22"/>
          <w:szCs w:val="22"/>
        </w:rPr>
        <w:t xml:space="preserve"> PARCIALMENTE FUNDADOS</w:t>
      </w:r>
      <w:r w:rsidRPr="001F232D">
        <w:rPr>
          <w:rFonts w:ascii="Palatino Linotype" w:eastAsia="Palatino Linotype" w:hAnsi="Palatino Linotype" w:cs="Palatino Linotype"/>
          <w:sz w:val="22"/>
          <w:szCs w:val="22"/>
        </w:rPr>
        <w:t xml:space="preserve"> los motivos de inconformidad hechos valer por la parte </w:t>
      </w:r>
      <w:r w:rsidRPr="001F232D">
        <w:rPr>
          <w:rFonts w:ascii="Palatino Linotype" w:eastAsia="Palatino Linotype" w:hAnsi="Palatino Linotype" w:cs="Palatino Linotype"/>
          <w:b/>
          <w:sz w:val="22"/>
          <w:szCs w:val="22"/>
        </w:rPr>
        <w:t>RECURRENTE</w:t>
      </w:r>
      <w:r w:rsidRPr="001F232D">
        <w:rPr>
          <w:rFonts w:ascii="Palatino Linotype" w:eastAsia="Palatino Linotype" w:hAnsi="Palatino Linotype" w:cs="Palatino Linotype"/>
          <w:sz w:val="22"/>
          <w:szCs w:val="22"/>
        </w:rPr>
        <w:t xml:space="preserve"> en el Recurso de Revisión </w:t>
      </w:r>
      <w:r w:rsidRPr="001F232D">
        <w:rPr>
          <w:rFonts w:ascii="Palatino Linotype" w:eastAsia="Palatino Linotype" w:hAnsi="Palatino Linotype" w:cs="Palatino Linotype"/>
          <w:b/>
          <w:sz w:val="22"/>
          <w:szCs w:val="22"/>
        </w:rPr>
        <w:t>00169/INFOEM/IP/RR/2025</w:t>
      </w:r>
      <w:r w:rsidRPr="001F232D">
        <w:rPr>
          <w:rFonts w:ascii="Palatino Linotype" w:eastAsia="Palatino Linotype" w:hAnsi="Palatino Linotype" w:cs="Palatino Linotype"/>
          <w:sz w:val="22"/>
          <w:szCs w:val="22"/>
        </w:rPr>
        <w:t xml:space="preserve">, por lo que, en términos del </w:t>
      </w:r>
      <w:r w:rsidRPr="001F232D">
        <w:rPr>
          <w:rFonts w:ascii="Palatino Linotype" w:eastAsia="Palatino Linotype" w:hAnsi="Palatino Linotype" w:cs="Palatino Linotype"/>
          <w:b/>
          <w:sz w:val="22"/>
          <w:szCs w:val="22"/>
        </w:rPr>
        <w:t>Considerando Cuarto</w:t>
      </w:r>
      <w:r w:rsidRPr="001F232D">
        <w:rPr>
          <w:rFonts w:ascii="Palatino Linotype" w:eastAsia="Palatino Linotype" w:hAnsi="Palatino Linotype" w:cs="Palatino Linotype"/>
          <w:sz w:val="22"/>
          <w:szCs w:val="22"/>
        </w:rPr>
        <w:t xml:space="preserve"> de esta resolución, se </w:t>
      </w:r>
      <w:r w:rsidRPr="001F232D">
        <w:rPr>
          <w:rFonts w:ascii="Palatino Linotype" w:eastAsia="Palatino Linotype" w:hAnsi="Palatino Linotype" w:cs="Palatino Linotype"/>
          <w:b/>
          <w:sz w:val="22"/>
          <w:szCs w:val="22"/>
        </w:rPr>
        <w:t xml:space="preserve">MODIFICA </w:t>
      </w:r>
      <w:r w:rsidRPr="001F232D">
        <w:rPr>
          <w:rFonts w:ascii="Palatino Linotype" w:eastAsia="Palatino Linotype" w:hAnsi="Palatino Linotype" w:cs="Palatino Linotype"/>
          <w:sz w:val="22"/>
          <w:szCs w:val="22"/>
        </w:rPr>
        <w:t xml:space="preserve">la respuesta emitida por el </w:t>
      </w:r>
      <w:r w:rsidRPr="001F232D">
        <w:rPr>
          <w:rFonts w:ascii="Palatino Linotype" w:eastAsia="Palatino Linotype" w:hAnsi="Palatino Linotype" w:cs="Palatino Linotype"/>
          <w:b/>
          <w:sz w:val="22"/>
          <w:szCs w:val="22"/>
        </w:rPr>
        <w:t>SUJETO OBLIGADO</w:t>
      </w:r>
      <w:r w:rsidRPr="001F232D">
        <w:rPr>
          <w:rFonts w:ascii="Palatino Linotype" w:eastAsia="Palatino Linotype" w:hAnsi="Palatino Linotype" w:cs="Palatino Linotype"/>
          <w:sz w:val="22"/>
          <w:szCs w:val="22"/>
        </w:rPr>
        <w:t>.</w:t>
      </w:r>
    </w:p>
    <w:p w14:paraId="55502AFE"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7F8E2DFB"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bookmarkStart w:id="7" w:name="_heading=h.tyjcwt" w:colFirst="0" w:colLast="0"/>
      <w:bookmarkEnd w:id="7"/>
      <w:r w:rsidRPr="001F232D">
        <w:rPr>
          <w:rFonts w:ascii="Palatino Linotype" w:eastAsia="Palatino Linotype" w:hAnsi="Palatino Linotype" w:cs="Palatino Linotype"/>
          <w:b/>
          <w:sz w:val="22"/>
          <w:szCs w:val="22"/>
        </w:rPr>
        <w:t>Segundo</w:t>
      </w:r>
      <w:r w:rsidRPr="001F232D">
        <w:rPr>
          <w:rFonts w:ascii="Palatino Linotype" w:eastAsia="Palatino Linotype" w:hAnsi="Palatino Linotype" w:cs="Palatino Linotype"/>
          <w:sz w:val="22"/>
          <w:szCs w:val="22"/>
        </w:rPr>
        <w:t xml:space="preserve">. Se </w:t>
      </w:r>
      <w:r w:rsidRPr="001F232D">
        <w:rPr>
          <w:rFonts w:ascii="Palatino Linotype" w:eastAsia="Palatino Linotype" w:hAnsi="Palatino Linotype" w:cs="Palatino Linotype"/>
          <w:b/>
          <w:sz w:val="22"/>
          <w:szCs w:val="22"/>
        </w:rPr>
        <w:t>ORDENA</w:t>
      </w:r>
      <w:r w:rsidRPr="001F232D">
        <w:rPr>
          <w:rFonts w:ascii="Palatino Linotype" w:eastAsia="Palatino Linotype" w:hAnsi="Palatino Linotype" w:cs="Palatino Linotype"/>
          <w:sz w:val="22"/>
          <w:szCs w:val="22"/>
        </w:rPr>
        <w:t xml:space="preserve"> al </w:t>
      </w:r>
      <w:r w:rsidRPr="001F232D">
        <w:rPr>
          <w:rFonts w:ascii="Palatino Linotype" w:eastAsia="Palatino Linotype" w:hAnsi="Palatino Linotype" w:cs="Palatino Linotype"/>
          <w:b/>
          <w:sz w:val="22"/>
          <w:szCs w:val="22"/>
        </w:rPr>
        <w:t>SUJETO OBLIGADO</w:t>
      </w:r>
      <w:r w:rsidRPr="001F232D">
        <w:rPr>
          <w:rFonts w:ascii="Palatino Linotype" w:eastAsia="Palatino Linotype" w:hAnsi="Palatino Linotype" w:cs="Palatino Linotype"/>
          <w:sz w:val="22"/>
          <w:szCs w:val="22"/>
        </w:rPr>
        <w:t xml:space="preserve"> a que, en términos del Considerando Cuarto y Quinto, haga entrega, previa búsqueda exhaustiva y razonable, de ser el caso, en versión pública, vía Sistema de Acceso a la Información Mexiquense, de lo siguiente: </w:t>
      </w:r>
    </w:p>
    <w:p w14:paraId="0C8702FA"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i/>
          <w:sz w:val="22"/>
          <w:szCs w:val="22"/>
        </w:rPr>
        <w:lastRenderedPageBreak/>
        <w:t xml:space="preserve">  </w:t>
      </w:r>
    </w:p>
    <w:p w14:paraId="3289EFFC" w14:textId="77777777" w:rsidR="004072BD" w:rsidRPr="001F232D" w:rsidRDefault="0060766A">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Documento donde consten las rutas que realizan los camiones de recolección de residuos sólidos al diecinueve de diciembre de dos mil veinticuatro. </w:t>
      </w:r>
    </w:p>
    <w:p w14:paraId="70C8751B" w14:textId="77777777" w:rsidR="004072BD" w:rsidRPr="001F232D" w:rsidRDefault="0060766A">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Documento donde consten los litros de gasolina asignados a los camiones de recolección de residuos sólidos al diecinueve de diciembre de dos mil veinticuatro.</w:t>
      </w:r>
    </w:p>
    <w:p w14:paraId="55416F7D" w14:textId="77777777" w:rsidR="0060766A" w:rsidRPr="001F232D" w:rsidRDefault="0060766A" w:rsidP="0060766A">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Documento donde conste el número de casos de violencia doméstica que se han resuelto, así como las canalizaciones del diecinueve de diciembre de dos mil veintitrés al diecinueve de diciembre de dos mil veinticuatro. </w:t>
      </w:r>
    </w:p>
    <w:p w14:paraId="4A5EF0CA" w14:textId="77777777" w:rsidR="004072BD" w:rsidRPr="001F232D" w:rsidRDefault="0060766A">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sz w:val="22"/>
          <w:szCs w:val="22"/>
        </w:rPr>
        <w:t xml:space="preserve">Documentos donde conste el cumplimiento de las metas del Instituto Municipal de la Juventud, de la Coordinación Municipal de Mejora Regulatoria y de la Dirección de Desarrollo Social del uno de enero de dos mil veintidós al diecinueve de diciembre de dos mil veinticuatro. </w:t>
      </w:r>
    </w:p>
    <w:p w14:paraId="3748622E" w14:textId="77777777" w:rsidR="004072BD" w:rsidRPr="001F232D" w:rsidRDefault="004072BD" w:rsidP="0060766A">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p>
    <w:p w14:paraId="6EEB4EA8" w14:textId="77777777" w:rsidR="004072BD" w:rsidRPr="001F232D" w:rsidRDefault="0060766A" w:rsidP="0060766A">
      <w:pPr>
        <w:pBdr>
          <w:top w:val="nil"/>
          <w:left w:val="nil"/>
          <w:bottom w:val="nil"/>
          <w:right w:val="nil"/>
          <w:between w:val="nil"/>
        </w:pBdr>
        <w:tabs>
          <w:tab w:val="left" w:pos="993"/>
        </w:tabs>
        <w:ind w:left="567"/>
        <w:jc w:val="both"/>
        <w:rPr>
          <w:rFonts w:ascii="Palatino Linotype" w:eastAsia="Palatino Linotype" w:hAnsi="Palatino Linotype" w:cs="Palatino Linotype"/>
          <w:i/>
          <w:sz w:val="22"/>
          <w:szCs w:val="22"/>
        </w:rPr>
      </w:pPr>
      <w:r w:rsidRPr="001F232D">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54357BF7" w14:textId="77777777" w:rsidR="004072BD" w:rsidRPr="001F232D" w:rsidRDefault="004072BD" w:rsidP="0060766A">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p>
    <w:p w14:paraId="22E1932A" w14:textId="77777777" w:rsidR="004072BD" w:rsidRPr="001F232D" w:rsidRDefault="0060766A" w:rsidP="0060766A">
      <w:pPr>
        <w:pBdr>
          <w:top w:val="nil"/>
          <w:left w:val="nil"/>
          <w:bottom w:val="nil"/>
          <w:right w:val="nil"/>
          <w:between w:val="nil"/>
        </w:pBdr>
        <w:tabs>
          <w:tab w:val="left" w:pos="567"/>
          <w:tab w:val="left" w:pos="993"/>
        </w:tabs>
        <w:ind w:left="567"/>
        <w:jc w:val="both"/>
        <w:rPr>
          <w:rFonts w:ascii="Palatino Linotype" w:eastAsia="Palatino Linotype" w:hAnsi="Palatino Linotype" w:cs="Palatino Linotype"/>
          <w:b/>
          <w:i/>
          <w:sz w:val="22"/>
          <w:szCs w:val="22"/>
        </w:rPr>
      </w:pPr>
      <w:r w:rsidRPr="001F232D">
        <w:rPr>
          <w:rFonts w:ascii="Palatino Linotype" w:eastAsia="Palatino Linotype" w:hAnsi="Palatino Linotype" w:cs="Palatino Linotype"/>
          <w:i/>
          <w:sz w:val="22"/>
          <w:szCs w:val="22"/>
        </w:rPr>
        <w:t xml:space="preserve">Para el caso de que la información que se ordena entregar en el inciso c) no obre en los archivos del Sujeto Obligado, por no haberse generado, este deberá hacerlo del conocimiento del Particular en términos del artículo 19, párrafo segundo, de la Ley de Transparencia y Acceso a la Información Pública del Estado de México y Municipios, para tenerse por colmado dicho requerimiento. </w:t>
      </w:r>
    </w:p>
    <w:p w14:paraId="42D78355" w14:textId="77777777" w:rsidR="004072BD" w:rsidRPr="001F232D" w:rsidRDefault="004072BD">
      <w:pPr>
        <w:spacing w:line="360" w:lineRule="auto"/>
        <w:jc w:val="both"/>
        <w:rPr>
          <w:rFonts w:ascii="Palatino Linotype" w:eastAsia="Palatino Linotype" w:hAnsi="Palatino Linotype" w:cs="Palatino Linotype"/>
          <w:b/>
        </w:rPr>
      </w:pPr>
    </w:p>
    <w:p w14:paraId="60D61BE2"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Tercero.</w:t>
      </w:r>
      <w:r w:rsidRPr="001F232D">
        <w:rPr>
          <w:rFonts w:ascii="Palatino Linotype" w:eastAsia="Palatino Linotype" w:hAnsi="Palatino Linotype" w:cs="Palatino Linotype"/>
          <w:sz w:val="22"/>
          <w:szCs w:val="22"/>
        </w:rPr>
        <w:t xml:space="preserve"> </w:t>
      </w:r>
      <w:r w:rsidRPr="001F232D">
        <w:rPr>
          <w:rFonts w:ascii="Palatino Linotype" w:eastAsia="Palatino Linotype" w:hAnsi="Palatino Linotype" w:cs="Palatino Linotype"/>
          <w:b/>
          <w:sz w:val="22"/>
          <w:szCs w:val="22"/>
        </w:rPr>
        <w:t xml:space="preserve">Notifíquese vía SAIMEX </w:t>
      </w:r>
      <w:r w:rsidRPr="001F232D">
        <w:rPr>
          <w:rFonts w:ascii="Palatino Linotype" w:eastAsia="Palatino Linotype" w:hAnsi="Palatino Linotype" w:cs="Palatino Linotype"/>
          <w:sz w:val="22"/>
          <w:szCs w:val="22"/>
        </w:rPr>
        <w:t>la presente resolución al T</w:t>
      </w:r>
      <w:r w:rsidRPr="001F232D">
        <w:rPr>
          <w:rFonts w:ascii="Palatino Linotype" w:eastAsia="Palatino Linotype" w:hAnsi="Palatino Linotype" w:cs="Palatino Linotype"/>
          <w:b/>
          <w:sz w:val="22"/>
          <w:szCs w:val="22"/>
        </w:rPr>
        <w:t xml:space="preserve">itular de la Unidad de Transparencia </w:t>
      </w:r>
      <w:r w:rsidRPr="001F232D">
        <w:rPr>
          <w:rFonts w:ascii="Palatino Linotype" w:eastAsia="Palatino Linotype" w:hAnsi="Palatino Linotype" w:cs="Palatino Linotype"/>
          <w:sz w:val="22"/>
          <w:szCs w:val="22"/>
        </w:rPr>
        <w:t xml:space="preserve">del </w:t>
      </w:r>
      <w:r w:rsidRPr="001F232D">
        <w:rPr>
          <w:rFonts w:ascii="Palatino Linotype" w:eastAsia="Palatino Linotype" w:hAnsi="Palatino Linotype" w:cs="Palatino Linotype"/>
          <w:b/>
          <w:sz w:val="22"/>
          <w:szCs w:val="22"/>
        </w:rPr>
        <w:t>SUJETO OBLIGADO</w:t>
      </w:r>
      <w:r w:rsidRPr="001F232D">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w:t>
      </w:r>
      <w:r w:rsidRPr="001F232D">
        <w:rPr>
          <w:rFonts w:ascii="Palatino Linotype" w:eastAsia="Palatino Linotype" w:hAnsi="Palatino Linotype" w:cs="Palatino Linotype"/>
          <w:sz w:val="22"/>
          <w:szCs w:val="22"/>
        </w:rPr>
        <w:lastRenderedPageBreak/>
        <w:t>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0F89C4C" w14:textId="77777777" w:rsidR="004072BD" w:rsidRPr="001F232D" w:rsidRDefault="004072BD">
      <w:pPr>
        <w:spacing w:line="360" w:lineRule="auto"/>
        <w:ind w:right="49"/>
        <w:jc w:val="both"/>
        <w:rPr>
          <w:rFonts w:ascii="Palatino Linotype" w:eastAsia="Palatino Linotype" w:hAnsi="Palatino Linotype" w:cs="Palatino Linotype"/>
          <w:sz w:val="22"/>
          <w:szCs w:val="22"/>
        </w:rPr>
      </w:pPr>
    </w:p>
    <w:p w14:paraId="2C90D85E" w14:textId="77777777" w:rsidR="004072BD" w:rsidRPr="001F232D" w:rsidRDefault="0060766A">
      <w:pPr>
        <w:spacing w:line="360" w:lineRule="auto"/>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 xml:space="preserve">Cuarto. Notifíquese vía SAIMEX </w:t>
      </w:r>
      <w:r w:rsidRPr="001F232D">
        <w:rPr>
          <w:rFonts w:ascii="Palatino Linotype" w:eastAsia="Palatino Linotype" w:hAnsi="Palatino Linotype" w:cs="Palatino Linotype"/>
          <w:sz w:val="22"/>
          <w:szCs w:val="22"/>
        </w:rPr>
        <w:t xml:space="preserve">a la parte </w:t>
      </w:r>
      <w:r w:rsidRPr="001F232D">
        <w:rPr>
          <w:rFonts w:ascii="Palatino Linotype" w:eastAsia="Palatino Linotype" w:hAnsi="Palatino Linotype" w:cs="Palatino Linotype"/>
          <w:b/>
          <w:sz w:val="22"/>
          <w:szCs w:val="22"/>
        </w:rPr>
        <w:t xml:space="preserve">Recurrente </w:t>
      </w:r>
      <w:r w:rsidRPr="001F232D">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BC94FEF"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050C7019" w14:textId="77777777" w:rsidR="004072BD" w:rsidRPr="001F232D" w:rsidRDefault="0060766A">
      <w:pPr>
        <w:spacing w:line="360" w:lineRule="auto"/>
        <w:ind w:right="49"/>
        <w:jc w:val="both"/>
        <w:rPr>
          <w:rFonts w:ascii="Palatino Linotype" w:eastAsia="Palatino Linotype" w:hAnsi="Palatino Linotype" w:cs="Palatino Linotype"/>
          <w:sz w:val="22"/>
          <w:szCs w:val="22"/>
        </w:rPr>
      </w:pPr>
      <w:r w:rsidRPr="001F232D">
        <w:rPr>
          <w:rFonts w:ascii="Palatino Linotype" w:eastAsia="Palatino Linotype" w:hAnsi="Palatino Linotype" w:cs="Palatino Linotype"/>
          <w:b/>
          <w:sz w:val="22"/>
          <w:szCs w:val="22"/>
        </w:rPr>
        <w:t>Quinto.</w:t>
      </w:r>
      <w:r w:rsidRPr="001F232D">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1F232D">
        <w:rPr>
          <w:rFonts w:ascii="Palatino Linotype" w:eastAsia="Palatino Linotype" w:hAnsi="Palatino Linotype" w:cs="Palatino Linotype"/>
          <w:b/>
          <w:sz w:val="22"/>
          <w:szCs w:val="22"/>
        </w:rPr>
        <w:t>SUJETO OBLIGADO</w:t>
      </w:r>
      <w:r w:rsidRPr="001F232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935349E" w14:textId="77777777" w:rsidR="004072BD" w:rsidRPr="001F232D" w:rsidRDefault="004072BD">
      <w:pPr>
        <w:spacing w:line="360" w:lineRule="auto"/>
        <w:jc w:val="both"/>
        <w:rPr>
          <w:rFonts w:ascii="Palatino Linotype" w:eastAsia="Palatino Linotype" w:hAnsi="Palatino Linotype" w:cs="Palatino Linotype"/>
          <w:sz w:val="22"/>
          <w:szCs w:val="22"/>
        </w:rPr>
      </w:pPr>
    </w:p>
    <w:p w14:paraId="19305A75" w14:textId="77777777" w:rsidR="004072BD" w:rsidRPr="00B90B1A" w:rsidRDefault="0060766A">
      <w:pPr>
        <w:spacing w:line="360" w:lineRule="auto"/>
        <w:jc w:val="both"/>
        <w:rPr>
          <w:rFonts w:ascii="Palatino Linotype" w:eastAsia="Palatino Linotype" w:hAnsi="Palatino Linotype" w:cs="Palatino Linotype"/>
          <w:sz w:val="22"/>
          <w:szCs w:val="22"/>
        </w:rPr>
        <w:sectPr w:rsidR="004072BD" w:rsidRPr="00B90B1A">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r w:rsidRPr="001F232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DIECINUEVE DE FEBRERO DE DOS MIL VEINTICINCO, ANTE EL SECRETARIO TÉCNICO DEL PLENO ALEXIS TAPIA RAMÍREZ.</w:t>
      </w:r>
      <w:r w:rsidRPr="00B90B1A">
        <w:rPr>
          <w:rFonts w:ascii="Palatino Linotype" w:eastAsia="Palatino Linotype" w:hAnsi="Palatino Linotype" w:cs="Palatino Linotype"/>
          <w:sz w:val="22"/>
          <w:szCs w:val="22"/>
        </w:rPr>
        <w:t xml:space="preserve">                              </w:t>
      </w:r>
    </w:p>
    <w:p w14:paraId="6F0AF1CC" w14:textId="77777777" w:rsidR="004072BD" w:rsidRPr="00B90B1A" w:rsidRDefault="004072BD">
      <w:pPr>
        <w:spacing w:line="360" w:lineRule="auto"/>
        <w:jc w:val="both"/>
        <w:rPr>
          <w:rFonts w:ascii="Palatino Linotype" w:eastAsia="Palatino Linotype" w:hAnsi="Palatino Linotype" w:cs="Palatino Linotype"/>
          <w:sz w:val="22"/>
          <w:szCs w:val="22"/>
        </w:rPr>
      </w:pPr>
    </w:p>
    <w:sectPr w:rsidR="004072BD" w:rsidRPr="00B90B1A">
      <w:headerReference w:type="first" r:id="rId2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6E268" w14:textId="77777777" w:rsidR="0065407A" w:rsidRDefault="0065407A">
      <w:r>
        <w:separator/>
      </w:r>
    </w:p>
  </w:endnote>
  <w:endnote w:type="continuationSeparator" w:id="0">
    <w:p w14:paraId="0A5F58BC" w14:textId="77777777" w:rsidR="0065407A" w:rsidRDefault="0065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A119" w14:textId="77777777" w:rsidR="0060766A" w:rsidRDefault="0060766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F232D">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F232D">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406E2296" w14:textId="77777777" w:rsidR="0060766A" w:rsidRDefault="0060766A">
    <w:pPr>
      <w:pBdr>
        <w:top w:val="nil"/>
        <w:left w:val="nil"/>
        <w:bottom w:val="nil"/>
        <w:right w:val="nil"/>
        <w:between w:val="nil"/>
      </w:pBdr>
      <w:tabs>
        <w:tab w:val="center" w:pos="4252"/>
        <w:tab w:val="right" w:pos="8504"/>
      </w:tabs>
      <w:rPr>
        <w:color w:val="000000"/>
      </w:rPr>
    </w:pPr>
  </w:p>
  <w:p w14:paraId="5C319A8C" w14:textId="77777777" w:rsidR="0060766A" w:rsidRDefault="0060766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AD843" w14:textId="77777777" w:rsidR="0060766A" w:rsidRDefault="0060766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F232D">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F232D">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30B75450" w14:textId="77777777" w:rsidR="0060766A" w:rsidRDefault="0060766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07C35" w14:textId="77777777" w:rsidR="0065407A" w:rsidRDefault="0065407A">
      <w:r>
        <w:separator/>
      </w:r>
    </w:p>
  </w:footnote>
  <w:footnote w:type="continuationSeparator" w:id="0">
    <w:p w14:paraId="5066B1EF" w14:textId="77777777" w:rsidR="0065407A" w:rsidRDefault="00654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829D" w14:textId="77777777" w:rsidR="0060766A" w:rsidRDefault="0060766A">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79039884" wp14:editId="19FF0242">
          <wp:simplePos x="0" y="0"/>
          <wp:positionH relativeFrom="column">
            <wp:posOffset>-742949</wp:posOffset>
          </wp:positionH>
          <wp:positionV relativeFrom="paragraph">
            <wp:posOffset>-316864</wp:posOffset>
          </wp:positionV>
          <wp:extent cx="7809876" cy="10165823"/>
          <wp:effectExtent l="0" t="0" r="0" b="0"/>
          <wp:wrapNone/>
          <wp:docPr id="7702015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528" w:type="dxa"/>
      <w:tblInd w:w="3261" w:type="dxa"/>
      <w:tblLayout w:type="fixed"/>
      <w:tblLook w:val="0400" w:firstRow="0" w:lastRow="0" w:firstColumn="0" w:lastColumn="0" w:noHBand="0" w:noVBand="1"/>
    </w:tblPr>
    <w:tblGrid>
      <w:gridCol w:w="2551"/>
      <w:gridCol w:w="2977"/>
    </w:tblGrid>
    <w:tr w:rsidR="0060766A" w14:paraId="04949011" w14:textId="77777777">
      <w:tc>
        <w:tcPr>
          <w:tcW w:w="2551" w:type="dxa"/>
          <w:vAlign w:val="center"/>
        </w:tcPr>
        <w:p w14:paraId="073C99FB" w14:textId="77777777" w:rsidR="0060766A" w:rsidRDefault="006076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AEBD699" w14:textId="77777777" w:rsidR="0060766A" w:rsidRDefault="0060766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00169/INFOEM/IP/RR/2025</w:t>
          </w:r>
        </w:p>
      </w:tc>
    </w:tr>
    <w:tr w:rsidR="0060766A" w14:paraId="4FFB2644" w14:textId="77777777">
      <w:trPr>
        <w:trHeight w:val="228"/>
      </w:trPr>
      <w:tc>
        <w:tcPr>
          <w:tcW w:w="2551" w:type="dxa"/>
          <w:vAlign w:val="center"/>
        </w:tcPr>
        <w:p w14:paraId="52677F8B" w14:textId="77777777" w:rsidR="0060766A" w:rsidRDefault="006076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6794C725" w14:textId="77777777" w:rsidR="0060766A" w:rsidRDefault="0060766A">
          <w:pPr>
            <w:rPr>
              <w:rFonts w:ascii="Palatino Linotype" w:eastAsia="Palatino Linotype" w:hAnsi="Palatino Linotype" w:cs="Palatino Linotype"/>
              <w:b/>
              <w:sz w:val="22"/>
              <w:szCs w:val="22"/>
            </w:rPr>
          </w:pPr>
        </w:p>
      </w:tc>
      <w:tc>
        <w:tcPr>
          <w:tcW w:w="2977" w:type="dxa"/>
          <w:vAlign w:val="center"/>
        </w:tcPr>
        <w:p w14:paraId="51A8B380" w14:textId="77777777" w:rsidR="0060766A" w:rsidRDefault="0060766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de Allende</w:t>
          </w:r>
        </w:p>
      </w:tc>
    </w:tr>
    <w:tr w:rsidR="0060766A" w14:paraId="33FD5E6C" w14:textId="77777777">
      <w:tc>
        <w:tcPr>
          <w:tcW w:w="2551" w:type="dxa"/>
          <w:vAlign w:val="center"/>
        </w:tcPr>
        <w:p w14:paraId="70F7E6B3" w14:textId="77777777" w:rsidR="0060766A" w:rsidRDefault="006076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15A65B9" w14:textId="77777777" w:rsidR="0060766A" w:rsidRDefault="0060766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1C2496" w14:textId="77777777" w:rsidR="0060766A" w:rsidRDefault="0060766A">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FB7A" w14:textId="77777777" w:rsidR="0060766A" w:rsidRDefault="0060766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7064CA8" wp14:editId="77B7A916">
          <wp:simplePos x="0" y="0"/>
          <wp:positionH relativeFrom="column">
            <wp:posOffset>-798193</wp:posOffset>
          </wp:positionH>
          <wp:positionV relativeFrom="paragraph">
            <wp:posOffset>-399413</wp:posOffset>
          </wp:positionV>
          <wp:extent cx="7809876" cy="10165823"/>
          <wp:effectExtent l="0" t="0" r="0" b="0"/>
          <wp:wrapNone/>
          <wp:docPr id="7702015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60766A" w14:paraId="0AF8304A" w14:textId="77777777">
      <w:tc>
        <w:tcPr>
          <w:tcW w:w="2551" w:type="dxa"/>
          <w:vAlign w:val="center"/>
        </w:tcPr>
        <w:p w14:paraId="38B455CE" w14:textId="77777777" w:rsidR="0060766A" w:rsidRDefault="006076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94C9B8C" w14:textId="77777777" w:rsidR="0060766A" w:rsidRDefault="0060766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00169/INFOEM/IP/RR/2025</w:t>
          </w:r>
        </w:p>
      </w:tc>
    </w:tr>
    <w:tr w:rsidR="0060766A" w14:paraId="51CDD233" w14:textId="77777777">
      <w:tc>
        <w:tcPr>
          <w:tcW w:w="2551" w:type="dxa"/>
          <w:vAlign w:val="center"/>
        </w:tcPr>
        <w:p w14:paraId="6E61460B" w14:textId="77777777" w:rsidR="0060766A" w:rsidRDefault="0060766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24C918EC" w14:textId="400EF504" w:rsidR="0060766A" w:rsidRDefault="0084612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 XXXXXX</w:t>
          </w:r>
        </w:p>
      </w:tc>
    </w:tr>
    <w:tr w:rsidR="0060766A" w14:paraId="226F4211" w14:textId="77777777">
      <w:trPr>
        <w:trHeight w:val="228"/>
      </w:trPr>
      <w:tc>
        <w:tcPr>
          <w:tcW w:w="2551" w:type="dxa"/>
          <w:vAlign w:val="center"/>
        </w:tcPr>
        <w:p w14:paraId="6005DEC5" w14:textId="77777777" w:rsidR="0060766A" w:rsidRDefault="006076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5C400927" w14:textId="77777777" w:rsidR="0060766A" w:rsidRDefault="0060766A">
          <w:pPr>
            <w:rPr>
              <w:rFonts w:ascii="Palatino Linotype" w:eastAsia="Palatino Linotype" w:hAnsi="Palatino Linotype" w:cs="Palatino Linotype"/>
              <w:b/>
              <w:sz w:val="22"/>
              <w:szCs w:val="22"/>
            </w:rPr>
          </w:pPr>
        </w:p>
      </w:tc>
      <w:tc>
        <w:tcPr>
          <w:tcW w:w="3119" w:type="dxa"/>
          <w:vAlign w:val="center"/>
        </w:tcPr>
        <w:p w14:paraId="1FABF1FD" w14:textId="77777777" w:rsidR="0060766A" w:rsidRDefault="0060766A">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de Allende</w:t>
          </w:r>
        </w:p>
      </w:tc>
    </w:tr>
    <w:tr w:rsidR="0060766A" w14:paraId="0142679D" w14:textId="77777777">
      <w:tc>
        <w:tcPr>
          <w:tcW w:w="2551" w:type="dxa"/>
          <w:vAlign w:val="center"/>
        </w:tcPr>
        <w:p w14:paraId="214640C6" w14:textId="77777777" w:rsidR="0060766A" w:rsidRDefault="006076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F2FA10E" w14:textId="77777777" w:rsidR="0060766A" w:rsidRDefault="0060766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B8D971F" w14:textId="77777777" w:rsidR="0060766A" w:rsidRDefault="0060766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7478" w14:textId="77777777" w:rsidR="0060766A" w:rsidRDefault="0060766A">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1631335" w14:textId="77777777" w:rsidR="0060766A" w:rsidRDefault="0060766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41087"/>
    <w:multiLevelType w:val="multilevel"/>
    <w:tmpl w:val="9046460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413B491A"/>
    <w:multiLevelType w:val="multilevel"/>
    <w:tmpl w:val="5EF69CA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0337E0"/>
    <w:multiLevelType w:val="multilevel"/>
    <w:tmpl w:val="A45E422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1C2A62"/>
    <w:multiLevelType w:val="multilevel"/>
    <w:tmpl w:val="40C2C68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693F25"/>
    <w:multiLevelType w:val="multilevel"/>
    <w:tmpl w:val="623E8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430736"/>
    <w:multiLevelType w:val="multilevel"/>
    <w:tmpl w:val="CBC84EDA"/>
    <w:lvl w:ilvl="0">
      <w:start w:val="1"/>
      <w:numFmt w:val="bullet"/>
      <w:pStyle w:val="Listaconvietas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66022C00"/>
    <w:multiLevelType w:val="multilevel"/>
    <w:tmpl w:val="8158B2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E852A9"/>
    <w:multiLevelType w:val="multilevel"/>
    <w:tmpl w:val="B824C046"/>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447A5C"/>
    <w:multiLevelType w:val="multilevel"/>
    <w:tmpl w:val="EF60F6C0"/>
    <w:lvl w:ilvl="0">
      <w:start w:val="202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2"/>
  </w:num>
  <w:num w:numId="4">
    <w:abstractNumId w:val="4"/>
  </w:num>
  <w:num w:numId="5">
    <w:abstractNumId w:val="8"/>
  </w:num>
  <w:num w:numId="6">
    <w:abstractNumId w:val="9"/>
  </w:num>
  <w:num w:numId="7">
    <w:abstractNumId w:val="5"/>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2BD"/>
    <w:rsid w:val="001F232D"/>
    <w:rsid w:val="002A1F43"/>
    <w:rsid w:val="004072BD"/>
    <w:rsid w:val="0060766A"/>
    <w:rsid w:val="0065407A"/>
    <w:rsid w:val="0079178B"/>
    <w:rsid w:val="00846120"/>
    <w:rsid w:val="00B90B1A"/>
    <w:rsid w:val="00CC38BA"/>
    <w:rsid w:val="00F44E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EAE3A"/>
  <w15:docId w15:val="{30837BCA-7722-46EB-A49A-07B395E88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A120A6"/>
    <w:rPr>
      <w:color w:val="605E5C"/>
      <w:shd w:val="clear" w:color="auto" w:fill="E1DFDD"/>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qn/U7OfR6etIpMaJ5bhJjOxejQ==">CgMxLjAyCWguM3pueXNoNzIIaC5namRneHMyCWguMzBqMHpsbDIJaC4xZm9iOXRlMg5oLnZxdHhlZGV2NndidTIOaC4zNG50dnNhbTZldngyDmguMXVjMjcycWFua3pxMghoLnR5amN3dDgAciExV3hDZzRHR0czSjNUeHZHbU41ci1XTkcwU0lpUTNaRmg=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12447</Words>
  <Characters>68464</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2025-02-20T23:34:00Z</cp:lastPrinted>
  <dcterms:created xsi:type="dcterms:W3CDTF">2025-02-25T18:36:00Z</dcterms:created>
  <dcterms:modified xsi:type="dcterms:W3CDTF">2025-02-25T18:36:00Z</dcterms:modified>
</cp:coreProperties>
</file>