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86" w:rsidRPr="00AE3F2B" w:rsidRDefault="001E3125">
      <w:pPr>
        <w:spacing w:line="360" w:lineRule="auto"/>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BE4003" w:rsidRPr="00AE3F2B">
        <w:rPr>
          <w:rFonts w:ascii="Palatino Linotype" w:eastAsia="Palatino Linotype" w:hAnsi="Palatino Linotype" w:cs="Palatino Linotype"/>
          <w:sz w:val="22"/>
          <w:szCs w:val="22"/>
        </w:rPr>
        <w:t>doce de marzo</w:t>
      </w:r>
      <w:r w:rsidR="00AE262A" w:rsidRPr="00AE3F2B">
        <w:rPr>
          <w:rFonts w:ascii="Palatino Linotype" w:eastAsia="Palatino Linotype" w:hAnsi="Palatino Linotype" w:cs="Palatino Linotype"/>
          <w:sz w:val="22"/>
          <w:szCs w:val="22"/>
        </w:rPr>
        <w:t xml:space="preserve"> de dos mil veinticinco</w:t>
      </w:r>
      <w:r w:rsidRPr="00AE3F2B">
        <w:rPr>
          <w:rFonts w:ascii="Palatino Linotype" w:eastAsia="Palatino Linotype" w:hAnsi="Palatino Linotype" w:cs="Palatino Linotype"/>
          <w:sz w:val="22"/>
          <w:szCs w:val="22"/>
        </w:rPr>
        <w:t>.</w:t>
      </w:r>
    </w:p>
    <w:p w:rsidR="00E94D86" w:rsidRPr="00AE3F2B" w:rsidRDefault="00E94D86" w:rsidP="00C82ED1">
      <w:pPr>
        <w:jc w:val="both"/>
        <w:rPr>
          <w:rFonts w:ascii="Palatino Linotype" w:eastAsia="Palatino Linotype" w:hAnsi="Palatino Linotype" w:cs="Palatino Linotype"/>
          <w:sz w:val="22"/>
          <w:szCs w:val="22"/>
        </w:rPr>
      </w:pPr>
    </w:p>
    <w:p w:rsidR="00E94D86" w:rsidRPr="00AE3F2B" w:rsidRDefault="001E3125">
      <w:pPr>
        <w:spacing w:line="360" w:lineRule="auto"/>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b/>
          <w:sz w:val="22"/>
          <w:szCs w:val="22"/>
        </w:rPr>
        <w:t>VISTO</w:t>
      </w:r>
      <w:r w:rsidRPr="00AE3F2B">
        <w:rPr>
          <w:rFonts w:ascii="Palatino Linotype" w:eastAsia="Palatino Linotype" w:hAnsi="Palatino Linotype" w:cs="Palatino Linotype"/>
          <w:sz w:val="22"/>
          <w:szCs w:val="22"/>
        </w:rPr>
        <w:t xml:space="preserve"> el expediente electrónico formado con motivo del recurso de revisión </w:t>
      </w:r>
      <w:r w:rsidR="00BE4003" w:rsidRPr="00AE3F2B">
        <w:rPr>
          <w:rFonts w:ascii="Palatino Linotype" w:eastAsia="Palatino Linotype" w:hAnsi="Palatino Linotype" w:cs="Palatino Linotype"/>
          <w:b/>
          <w:sz w:val="22"/>
          <w:szCs w:val="22"/>
        </w:rPr>
        <w:t>05578</w:t>
      </w:r>
      <w:r w:rsidRPr="00AE3F2B">
        <w:rPr>
          <w:rFonts w:ascii="Palatino Linotype" w:eastAsia="Palatino Linotype" w:hAnsi="Palatino Linotype" w:cs="Palatino Linotype"/>
          <w:b/>
          <w:sz w:val="22"/>
          <w:szCs w:val="22"/>
        </w:rPr>
        <w:t xml:space="preserve">/INFOEM/IP/RR/2024, </w:t>
      </w:r>
      <w:r w:rsidRPr="00AE3F2B">
        <w:rPr>
          <w:rFonts w:ascii="Palatino Linotype" w:eastAsia="Palatino Linotype" w:hAnsi="Palatino Linotype" w:cs="Palatino Linotype"/>
          <w:sz w:val="22"/>
          <w:szCs w:val="22"/>
        </w:rPr>
        <w:t>promovido por</w:t>
      </w:r>
      <w:r w:rsidR="004401C8" w:rsidRPr="00AE3F2B">
        <w:rPr>
          <w:rFonts w:ascii="Palatino Linotype" w:eastAsia="Palatino Linotype" w:hAnsi="Palatino Linotype" w:cs="Palatino Linotype"/>
          <w:sz w:val="22"/>
          <w:szCs w:val="22"/>
        </w:rPr>
        <w:t xml:space="preserve"> </w:t>
      </w:r>
      <w:r w:rsidR="001F5AFE">
        <w:rPr>
          <w:rFonts w:ascii="Palatino Linotype" w:eastAsia="Palatino Linotype" w:hAnsi="Palatino Linotype" w:cs="Palatino Linotype"/>
          <w:sz w:val="22"/>
          <w:szCs w:val="22"/>
        </w:rPr>
        <w:t>XXXX</w:t>
      </w:r>
      <w:r w:rsidR="007411F4" w:rsidRPr="00AE3F2B">
        <w:rPr>
          <w:rFonts w:ascii="Palatino Linotype" w:eastAsia="Palatino Linotype" w:hAnsi="Palatino Linotype" w:cs="Palatino Linotype"/>
          <w:sz w:val="22"/>
          <w:szCs w:val="22"/>
        </w:rPr>
        <w:t xml:space="preserve"> , en adelante el</w:t>
      </w:r>
      <w:r w:rsidR="004401C8" w:rsidRPr="00AE3F2B">
        <w:rPr>
          <w:rFonts w:ascii="Palatino Linotype" w:eastAsia="Palatino Linotype" w:hAnsi="Palatino Linotype" w:cs="Palatino Linotype"/>
          <w:b/>
          <w:sz w:val="22"/>
          <w:szCs w:val="22"/>
        </w:rPr>
        <w:t xml:space="preserve"> RECURRENTE</w:t>
      </w:r>
      <w:r w:rsidRPr="00AE3F2B">
        <w:rPr>
          <w:rFonts w:ascii="Palatino Linotype" w:eastAsia="Palatino Linotype" w:hAnsi="Palatino Linotype" w:cs="Palatino Linotype"/>
          <w:b/>
          <w:sz w:val="22"/>
          <w:szCs w:val="22"/>
        </w:rPr>
        <w:t>,</w:t>
      </w:r>
      <w:r w:rsidRPr="00AE3F2B">
        <w:rPr>
          <w:rFonts w:ascii="Palatino Linotype" w:eastAsia="Palatino Linotype" w:hAnsi="Palatino Linotype" w:cs="Palatino Linotype"/>
          <w:sz w:val="22"/>
          <w:szCs w:val="22"/>
        </w:rPr>
        <w:t xml:space="preserve"> en contra de la respuesta de</w:t>
      </w:r>
      <w:r w:rsidR="00BE4003" w:rsidRPr="00AE3F2B">
        <w:rPr>
          <w:rFonts w:ascii="Palatino Linotype" w:eastAsia="Palatino Linotype" w:hAnsi="Palatino Linotype" w:cs="Palatino Linotype"/>
          <w:sz w:val="22"/>
          <w:szCs w:val="22"/>
        </w:rPr>
        <w:t xml:space="preserve">l </w:t>
      </w:r>
      <w:r w:rsidR="00BE4003" w:rsidRPr="00AE3F2B">
        <w:rPr>
          <w:rFonts w:ascii="Palatino Linotype" w:eastAsia="Palatino Linotype" w:hAnsi="Palatino Linotype" w:cs="Palatino Linotype"/>
          <w:b/>
          <w:sz w:val="22"/>
          <w:szCs w:val="22"/>
        </w:rPr>
        <w:t>Ayuntamiento de San Martín de las Pirámides</w:t>
      </w:r>
      <w:r w:rsidRPr="00AE3F2B">
        <w:rPr>
          <w:rFonts w:ascii="Palatino Linotype" w:eastAsia="Palatino Linotype" w:hAnsi="Palatino Linotype" w:cs="Palatino Linotype"/>
          <w:b/>
          <w:sz w:val="22"/>
          <w:szCs w:val="22"/>
        </w:rPr>
        <w:t xml:space="preserve">, </w:t>
      </w:r>
      <w:r w:rsidRPr="00AE3F2B">
        <w:rPr>
          <w:rFonts w:ascii="Palatino Linotype" w:eastAsia="Palatino Linotype" w:hAnsi="Palatino Linotype" w:cs="Palatino Linotype"/>
          <w:sz w:val="22"/>
          <w:szCs w:val="22"/>
        </w:rPr>
        <w:t>en adelante el</w:t>
      </w:r>
      <w:r w:rsidRPr="00AE3F2B">
        <w:rPr>
          <w:rFonts w:ascii="Palatino Linotype" w:eastAsia="Palatino Linotype" w:hAnsi="Palatino Linotype" w:cs="Palatino Linotype"/>
          <w:b/>
          <w:sz w:val="22"/>
          <w:szCs w:val="22"/>
        </w:rPr>
        <w:t xml:space="preserve"> SUJETO OBLIGADO</w:t>
      </w:r>
      <w:r w:rsidRPr="00AE3F2B">
        <w:rPr>
          <w:rFonts w:ascii="Palatino Linotype" w:eastAsia="Palatino Linotype" w:hAnsi="Palatino Linotype" w:cs="Palatino Linotype"/>
          <w:sz w:val="22"/>
          <w:szCs w:val="22"/>
        </w:rPr>
        <w:t>, por lo que se procede a dictar la presente resolución, con base en los siguientes:</w:t>
      </w:r>
    </w:p>
    <w:p w:rsidR="00E94D86" w:rsidRPr="00AE3F2B" w:rsidRDefault="00E94D86" w:rsidP="00C82ED1">
      <w:pPr>
        <w:jc w:val="both"/>
        <w:rPr>
          <w:rFonts w:ascii="Palatino Linotype" w:eastAsia="Palatino Linotype" w:hAnsi="Palatino Linotype" w:cs="Palatino Linotype"/>
          <w:sz w:val="22"/>
          <w:szCs w:val="22"/>
        </w:rPr>
      </w:pPr>
    </w:p>
    <w:p w:rsidR="00E94D86" w:rsidRPr="00AE3F2B" w:rsidRDefault="001E3125">
      <w:pPr>
        <w:keepNext/>
        <w:keepLines/>
        <w:spacing w:line="360" w:lineRule="auto"/>
        <w:jc w:val="center"/>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t>A N T E C E D E N T E S</w:t>
      </w:r>
    </w:p>
    <w:p w:rsidR="00E94D86" w:rsidRPr="00AE3F2B" w:rsidRDefault="00E94D86" w:rsidP="00C82ED1">
      <w:pPr>
        <w:rPr>
          <w:rFonts w:ascii="Palatino Linotype" w:eastAsia="Palatino Linotype" w:hAnsi="Palatino Linotype" w:cs="Palatino Linotype"/>
          <w:sz w:val="22"/>
          <w:szCs w:val="22"/>
        </w:rPr>
      </w:pPr>
    </w:p>
    <w:p w:rsidR="00E94D86" w:rsidRPr="00AE3F2B"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 xml:space="preserve">El </w:t>
      </w:r>
      <w:r w:rsidR="00BE4003" w:rsidRPr="00AE3F2B">
        <w:rPr>
          <w:rFonts w:ascii="Palatino Linotype" w:eastAsia="Palatino Linotype" w:hAnsi="Palatino Linotype" w:cs="Palatino Linotype"/>
          <w:sz w:val="22"/>
          <w:szCs w:val="22"/>
        </w:rPr>
        <w:t>cinco de agosto</w:t>
      </w:r>
      <w:r w:rsidR="006E5F99" w:rsidRPr="00AE3F2B">
        <w:rPr>
          <w:rFonts w:ascii="Palatino Linotype" w:eastAsia="Palatino Linotype" w:hAnsi="Palatino Linotype" w:cs="Palatino Linotype"/>
          <w:sz w:val="22"/>
          <w:szCs w:val="22"/>
        </w:rPr>
        <w:t xml:space="preserve"> </w:t>
      </w:r>
      <w:r w:rsidRPr="00AE3F2B">
        <w:rPr>
          <w:rFonts w:ascii="Palatino Linotype" w:eastAsia="Palatino Linotype" w:hAnsi="Palatino Linotype" w:cs="Palatino Linotype"/>
          <w:sz w:val="22"/>
          <w:szCs w:val="22"/>
        </w:rPr>
        <w:t>de dos mil veinticuatro, la</w:t>
      </w:r>
      <w:r w:rsidRPr="00AE3F2B">
        <w:rPr>
          <w:rFonts w:ascii="Palatino Linotype" w:eastAsia="Palatino Linotype" w:hAnsi="Palatino Linotype" w:cs="Palatino Linotype"/>
          <w:b/>
          <w:sz w:val="22"/>
          <w:szCs w:val="22"/>
        </w:rPr>
        <w:t xml:space="preserve"> RECURRENTE </w:t>
      </w:r>
      <w:r w:rsidRPr="00AE3F2B">
        <w:rPr>
          <w:rFonts w:ascii="Palatino Linotype" w:eastAsia="Palatino Linotype" w:hAnsi="Palatino Linotype" w:cs="Palatino Linotype"/>
          <w:sz w:val="22"/>
          <w:szCs w:val="22"/>
        </w:rPr>
        <w:t xml:space="preserve">presentó ante el </w:t>
      </w:r>
      <w:r w:rsidRPr="00AE3F2B">
        <w:rPr>
          <w:rFonts w:ascii="Palatino Linotype" w:eastAsia="Palatino Linotype" w:hAnsi="Palatino Linotype" w:cs="Palatino Linotype"/>
          <w:b/>
          <w:sz w:val="22"/>
          <w:szCs w:val="22"/>
        </w:rPr>
        <w:t>SUJETO OBLIGADO,</w:t>
      </w:r>
      <w:r w:rsidRPr="00AE3F2B">
        <w:rPr>
          <w:rFonts w:ascii="Palatino Linotype" w:eastAsia="Palatino Linotype" w:hAnsi="Palatino Linotype" w:cs="Palatino Linotype"/>
          <w:sz w:val="22"/>
          <w:szCs w:val="22"/>
        </w:rPr>
        <w:t xml:space="preserve"> a través del el Sistema de Acceso a la Información Mexiquense </w:t>
      </w:r>
      <w:r w:rsidRPr="00AE3F2B">
        <w:rPr>
          <w:rFonts w:ascii="Palatino Linotype" w:eastAsia="Palatino Linotype" w:hAnsi="Palatino Linotype" w:cs="Palatino Linotype"/>
          <w:b/>
          <w:sz w:val="22"/>
          <w:szCs w:val="22"/>
        </w:rPr>
        <w:t>(SAIMEX),</w:t>
      </w:r>
      <w:r w:rsidRPr="00AE3F2B">
        <w:rPr>
          <w:rFonts w:ascii="Palatino Linotype" w:eastAsia="Palatino Linotype" w:hAnsi="Palatino Linotype" w:cs="Palatino Linotype"/>
          <w:sz w:val="22"/>
          <w:szCs w:val="22"/>
        </w:rPr>
        <w:t xml:space="preserve"> la solicitud de información pública </w:t>
      </w:r>
      <w:r w:rsidR="00BE4003" w:rsidRPr="00AE3F2B">
        <w:rPr>
          <w:rFonts w:ascii="Palatino Linotype" w:eastAsia="Palatino Linotype" w:hAnsi="Palatino Linotype" w:cs="Palatino Linotype"/>
          <w:b/>
          <w:sz w:val="22"/>
          <w:szCs w:val="22"/>
        </w:rPr>
        <w:t>00056</w:t>
      </w:r>
      <w:r w:rsidRPr="00AE3F2B">
        <w:rPr>
          <w:rFonts w:ascii="Palatino Linotype" w:eastAsia="Palatino Linotype" w:hAnsi="Palatino Linotype" w:cs="Palatino Linotype"/>
          <w:b/>
          <w:sz w:val="22"/>
          <w:szCs w:val="22"/>
        </w:rPr>
        <w:t>/</w:t>
      </w:r>
      <w:r w:rsidR="00BE4003" w:rsidRPr="00AE3F2B">
        <w:rPr>
          <w:rFonts w:ascii="Palatino Linotype" w:eastAsia="Palatino Linotype" w:hAnsi="Palatino Linotype" w:cs="Palatino Linotype"/>
          <w:b/>
          <w:sz w:val="22"/>
          <w:szCs w:val="22"/>
        </w:rPr>
        <w:t>MARTIPIR</w:t>
      </w:r>
      <w:r w:rsidRPr="00AE3F2B">
        <w:rPr>
          <w:rFonts w:ascii="Palatino Linotype" w:eastAsia="Palatino Linotype" w:hAnsi="Palatino Linotype" w:cs="Palatino Linotype"/>
          <w:b/>
          <w:sz w:val="22"/>
          <w:szCs w:val="22"/>
        </w:rPr>
        <w:t>/IP/2024</w:t>
      </w:r>
      <w:r w:rsidRPr="00AE3F2B">
        <w:rPr>
          <w:rFonts w:ascii="Palatino Linotype" w:eastAsia="Palatino Linotype" w:hAnsi="Palatino Linotype" w:cs="Palatino Linotype"/>
          <w:sz w:val="22"/>
          <w:szCs w:val="22"/>
        </w:rPr>
        <w:t>, en la que solicitó:</w:t>
      </w:r>
    </w:p>
    <w:p w:rsidR="00E94D86" w:rsidRPr="00AE3F2B" w:rsidRDefault="00E94D86" w:rsidP="00C82ED1">
      <w:pPr>
        <w:jc w:val="both"/>
        <w:rPr>
          <w:rFonts w:ascii="Palatino Linotype" w:eastAsia="Palatino Linotype" w:hAnsi="Palatino Linotype" w:cs="Palatino Linotype"/>
          <w:sz w:val="22"/>
          <w:szCs w:val="22"/>
        </w:rPr>
      </w:pPr>
    </w:p>
    <w:p w:rsidR="006E5F99" w:rsidRPr="00AE3F2B" w:rsidRDefault="001E3125" w:rsidP="003A1F84">
      <w:pPr>
        <w:ind w:left="567" w:right="567"/>
        <w:jc w:val="both"/>
        <w:rPr>
          <w:rFonts w:ascii="Palatino Linotype" w:hAnsi="Palatino Linotype"/>
          <w:i/>
          <w:sz w:val="22"/>
          <w:szCs w:val="22"/>
        </w:rPr>
      </w:pPr>
      <w:r w:rsidRPr="00AE3F2B">
        <w:rPr>
          <w:rFonts w:ascii="Palatino Linotype" w:eastAsia="Palatino Linotype" w:hAnsi="Palatino Linotype" w:cs="Palatino Linotype"/>
          <w:i/>
          <w:color w:val="000000"/>
          <w:sz w:val="22"/>
          <w:szCs w:val="22"/>
        </w:rPr>
        <w:t>“</w:t>
      </w:r>
      <w:r w:rsidR="00BE4003" w:rsidRPr="00AE3F2B">
        <w:rPr>
          <w:rFonts w:ascii="Palatino Linotype" w:hAnsi="Palatino Linotype"/>
          <w:i/>
          <w:color w:val="000000"/>
          <w:sz w:val="22"/>
          <w:szCs w:val="22"/>
        </w:rPr>
        <w:t>Solicitó  la nómina de todas y cada una de las áreas administrativas del h. Ayuntamiento que identifique los siguientes rubros nombre completo cargo área de adscripción y sueldo</w:t>
      </w:r>
      <w:r w:rsidRPr="00AE3F2B">
        <w:rPr>
          <w:rFonts w:ascii="Palatino Linotype" w:eastAsia="Palatino Linotype" w:hAnsi="Palatino Linotype" w:cs="Palatino Linotype"/>
          <w:i/>
          <w:color w:val="000000"/>
          <w:sz w:val="22"/>
          <w:szCs w:val="22"/>
        </w:rPr>
        <w:t xml:space="preserve">” (Sic) </w:t>
      </w:r>
    </w:p>
    <w:p w:rsidR="00E94D86" w:rsidRPr="00AE3F2B" w:rsidRDefault="00E94D86" w:rsidP="00C82ED1">
      <w:pPr>
        <w:pBdr>
          <w:top w:val="nil"/>
          <w:left w:val="nil"/>
          <w:bottom w:val="nil"/>
          <w:right w:val="nil"/>
          <w:between w:val="nil"/>
        </w:pBdr>
        <w:jc w:val="both"/>
        <w:rPr>
          <w:rFonts w:ascii="Palatino Linotype" w:eastAsia="Palatino Linotype" w:hAnsi="Palatino Linotype" w:cs="Palatino Linotype"/>
          <w:color w:val="000000"/>
          <w:sz w:val="22"/>
          <w:szCs w:val="22"/>
        </w:rPr>
      </w:pPr>
    </w:p>
    <w:p w:rsidR="00E94D86" w:rsidRPr="00AE3F2B"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 xml:space="preserve">Se hace constar que se señaló como modalidad de entrega de la información a través del </w:t>
      </w:r>
      <w:r w:rsidRPr="00AE3F2B">
        <w:rPr>
          <w:rFonts w:ascii="Palatino Linotype" w:eastAsia="Palatino Linotype" w:hAnsi="Palatino Linotype" w:cs="Palatino Linotype"/>
          <w:b/>
          <w:sz w:val="22"/>
          <w:szCs w:val="22"/>
        </w:rPr>
        <w:t>SAIMEX.</w:t>
      </w:r>
    </w:p>
    <w:p w:rsidR="00E94D86" w:rsidRPr="00AE3F2B" w:rsidRDefault="00E94D86" w:rsidP="00C82ED1">
      <w:pPr>
        <w:jc w:val="both"/>
        <w:rPr>
          <w:rFonts w:ascii="Palatino Linotype" w:eastAsia="Palatino Linotype" w:hAnsi="Palatino Linotype" w:cs="Palatino Linotype"/>
          <w:b/>
          <w:sz w:val="22"/>
          <w:szCs w:val="22"/>
        </w:rPr>
      </w:pPr>
    </w:p>
    <w:p w:rsidR="00E94D86" w:rsidRPr="00AE3F2B" w:rsidRDefault="001E3125">
      <w:pPr>
        <w:numPr>
          <w:ilvl w:val="0"/>
          <w:numId w:val="1"/>
        </w:numPr>
        <w:spacing w:line="360" w:lineRule="auto"/>
        <w:ind w:left="0"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 xml:space="preserve">El </w:t>
      </w:r>
      <w:r w:rsidR="00BE4003" w:rsidRPr="00AE3F2B">
        <w:rPr>
          <w:rFonts w:ascii="Palatino Linotype" w:eastAsia="Palatino Linotype" w:hAnsi="Palatino Linotype" w:cs="Palatino Linotype"/>
          <w:sz w:val="22"/>
          <w:szCs w:val="22"/>
        </w:rPr>
        <w:t>veintitrés de agosto</w:t>
      </w:r>
      <w:r w:rsidRPr="00AE3F2B">
        <w:rPr>
          <w:rFonts w:ascii="Palatino Linotype" w:eastAsia="Palatino Linotype" w:hAnsi="Palatino Linotype" w:cs="Palatino Linotype"/>
          <w:sz w:val="22"/>
          <w:szCs w:val="22"/>
        </w:rPr>
        <w:t xml:space="preserve"> de dos mil veinticuatro, el </w:t>
      </w:r>
      <w:r w:rsidRPr="00AE3F2B">
        <w:rPr>
          <w:rFonts w:ascii="Palatino Linotype" w:eastAsia="Palatino Linotype" w:hAnsi="Palatino Linotype" w:cs="Palatino Linotype"/>
          <w:b/>
          <w:sz w:val="22"/>
          <w:szCs w:val="22"/>
        </w:rPr>
        <w:t>SUJETO OBLIGADO</w:t>
      </w:r>
      <w:r w:rsidRPr="00AE3F2B">
        <w:rPr>
          <w:rFonts w:ascii="Palatino Linotype" w:eastAsia="Palatino Linotype" w:hAnsi="Palatino Linotype" w:cs="Palatino Linotype"/>
          <w:b/>
          <w:i/>
          <w:sz w:val="22"/>
          <w:szCs w:val="22"/>
        </w:rPr>
        <w:t xml:space="preserve"> </w:t>
      </w:r>
      <w:r w:rsidRPr="00AE3F2B">
        <w:rPr>
          <w:rFonts w:ascii="Palatino Linotype" w:eastAsia="Palatino Linotype" w:hAnsi="Palatino Linotype" w:cs="Palatino Linotype"/>
          <w:sz w:val="22"/>
          <w:szCs w:val="22"/>
        </w:rPr>
        <w:t>dio respuesta a la solicitud de información, en los siguientes términos:</w:t>
      </w:r>
    </w:p>
    <w:p w:rsidR="00E94D86" w:rsidRPr="00AE3F2B" w:rsidRDefault="00E94D86" w:rsidP="00C82ED1">
      <w:pPr>
        <w:ind w:right="-592"/>
        <w:jc w:val="both"/>
        <w:rPr>
          <w:rFonts w:ascii="Palatino Linotype" w:eastAsia="Palatino Linotype" w:hAnsi="Palatino Linotype" w:cs="Palatino Linotype"/>
          <w:i/>
          <w:sz w:val="22"/>
          <w:szCs w:val="22"/>
        </w:rPr>
      </w:pPr>
    </w:p>
    <w:p w:rsidR="00E94D86" w:rsidRPr="00AE3F2B" w:rsidRDefault="004401C8" w:rsidP="004F5574">
      <w:pPr>
        <w:ind w:left="567" w:right="567"/>
        <w:jc w:val="both"/>
        <w:rPr>
          <w:rFonts w:ascii="Palatino Linotype" w:eastAsia="Palatino Linotype" w:hAnsi="Palatino Linotype" w:cs="Palatino Linotype"/>
          <w:i/>
          <w:color w:val="000000"/>
          <w:sz w:val="22"/>
          <w:szCs w:val="22"/>
        </w:rPr>
      </w:pPr>
      <w:r w:rsidRPr="00AE3F2B">
        <w:rPr>
          <w:rFonts w:ascii="Palatino Linotype" w:eastAsia="Palatino Linotype" w:hAnsi="Palatino Linotype" w:cs="Palatino Linotype"/>
          <w:i/>
          <w:sz w:val="22"/>
          <w:szCs w:val="22"/>
        </w:rPr>
        <w:t>“…</w:t>
      </w:r>
      <w:r w:rsidR="00BE4003" w:rsidRPr="00AE3F2B">
        <w:rPr>
          <w:rFonts w:ascii="Palatino Linotype" w:hAnsi="Palatino Linotype"/>
          <w:i/>
          <w:color w:val="000000"/>
          <w:sz w:val="22"/>
          <w:szCs w:val="22"/>
        </w:rPr>
        <w:t xml:space="preserve">EN RESPUESTA A LA SOLICITUD DE INFORMACION, ADJUNTO ARCHIVO CON LA INFORMACION SOLICITADA Y EN COMPLEMENTO A LO PUBLICADO EN LA SIGUIENTE LIGA </w:t>
      </w:r>
      <w:hyperlink r:id="rId8" w:history="1">
        <w:r w:rsidR="00BE4003" w:rsidRPr="00AE3F2B">
          <w:rPr>
            <w:rStyle w:val="Hipervnculo"/>
            <w:rFonts w:ascii="Palatino Linotype" w:hAnsi="Palatino Linotype"/>
            <w:i/>
            <w:sz w:val="22"/>
            <w:szCs w:val="22"/>
          </w:rPr>
          <w:t>https://drive.google.com/file/d/1BQpESrPbZXhZkz75PYzZ9xrezHZ4gSPQ/view</w:t>
        </w:r>
      </w:hyperlink>
      <w:r w:rsidR="00BE4003" w:rsidRPr="00AE3F2B">
        <w:rPr>
          <w:rFonts w:ascii="Palatino Linotype" w:hAnsi="Palatino Linotype"/>
          <w:i/>
          <w:color w:val="000000"/>
          <w:sz w:val="22"/>
          <w:szCs w:val="22"/>
        </w:rPr>
        <w:t xml:space="preserve"> </w:t>
      </w:r>
      <w:r w:rsidR="001E3125" w:rsidRPr="00AE3F2B">
        <w:rPr>
          <w:rFonts w:ascii="Palatino Linotype" w:eastAsia="Palatino Linotype" w:hAnsi="Palatino Linotype" w:cs="Palatino Linotype"/>
          <w:i/>
          <w:color w:val="000000"/>
          <w:sz w:val="22"/>
          <w:szCs w:val="22"/>
        </w:rPr>
        <w:t>…” (Sic)</w:t>
      </w:r>
      <w:r w:rsidR="00BE4003" w:rsidRPr="00AE3F2B">
        <w:rPr>
          <w:rFonts w:ascii="Palatino Linotype" w:eastAsia="Palatino Linotype" w:hAnsi="Palatino Linotype" w:cs="Palatino Linotype"/>
          <w:i/>
          <w:color w:val="000000"/>
          <w:sz w:val="22"/>
          <w:szCs w:val="22"/>
        </w:rPr>
        <w:t xml:space="preserve"> </w:t>
      </w:r>
    </w:p>
    <w:p w:rsidR="00FC50EC" w:rsidRPr="00AE3F2B" w:rsidRDefault="00FC50EC" w:rsidP="00C82ED1">
      <w:pPr>
        <w:ind w:left="567" w:right="710"/>
        <w:jc w:val="both"/>
        <w:rPr>
          <w:rFonts w:ascii="Palatino Linotype" w:eastAsia="Palatino Linotype" w:hAnsi="Palatino Linotype" w:cs="Palatino Linotype"/>
          <w:i/>
          <w:color w:val="000000"/>
          <w:sz w:val="22"/>
          <w:szCs w:val="22"/>
        </w:rPr>
      </w:pPr>
    </w:p>
    <w:p w:rsidR="003A1F84" w:rsidRPr="00AE3F2B" w:rsidRDefault="001E3125" w:rsidP="004F5574">
      <w:pPr>
        <w:ind w:right="257"/>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Archivos electrónicos adjuntos:</w:t>
      </w:r>
    </w:p>
    <w:p w:rsidR="00E94D86" w:rsidRPr="00AE3F2B" w:rsidRDefault="00E94D86" w:rsidP="00C82ED1">
      <w:pPr>
        <w:ind w:right="-592"/>
        <w:jc w:val="both"/>
        <w:rPr>
          <w:rFonts w:ascii="Palatino Linotype" w:eastAsia="Palatino Linotype" w:hAnsi="Palatino Linotype" w:cs="Palatino Linotype"/>
          <w:sz w:val="22"/>
          <w:szCs w:val="22"/>
        </w:rPr>
      </w:pPr>
    </w:p>
    <w:p w:rsidR="003A1F84" w:rsidRPr="00AE3F2B" w:rsidRDefault="008C31B8" w:rsidP="003A1F84">
      <w:pPr>
        <w:ind w:left="567" w:right="567"/>
        <w:jc w:val="both"/>
        <w:rPr>
          <w:rFonts w:ascii="Palatino Linotype" w:eastAsia="Palatino Linotype" w:hAnsi="Palatino Linotype" w:cs="Palatino Linotype"/>
          <w:sz w:val="22"/>
          <w:szCs w:val="22"/>
        </w:rPr>
      </w:pPr>
      <w:hyperlink r:id="rId9" w:tgtFrame="_blank" w:history="1">
        <w:r w:rsidR="00BE4003" w:rsidRPr="00AE3F2B">
          <w:rPr>
            <w:rStyle w:val="Hipervnculo"/>
            <w:rFonts w:ascii="Palatino Linotype" w:hAnsi="Palatino Linotype" w:cs="Arial"/>
            <w:b/>
            <w:bCs/>
            <w:color w:val="auto"/>
            <w:sz w:val="22"/>
            <w:szCs w:val="22"/>
            <w:u w:val="none"/>
          </w:rPr>
          <w:t>LISTADO DE NOMINA2024</w:t>
        </w:r>
        <w:r w:rsidR="003A1F84" w:rsidRPr="00AE3F2B">
          <w:rPr>
            <w:rStyle w:val="Hipervnculo"/>
            <w:rFonts w:ascii="Palatino Linotype" w:hAnsi="Palatino Linotype" w:cs="Arial"/>
            <w:b/>
            <w:bCs/>
            <w:color w:val="auto"/>
            <w:sz w:val="22"/>
            <w:szCs w:val="22"/>
            <w:u w:val="none"/>
          </w:rPr>
          <w:t>.pdf</w:t>
        </w:r>
      </w:hyperlink>
      <w:r w:rsidR="003A1F84" w:rsidRPr="00AE3F2B">
        <w:rPr>
          <w:rFonts w:ascii="Palatino Linotype" w:hAnsi="Palatino Linotype"/>
          <w:b/>
          <w:sz w:val="22"/>
          <w:szCs w:val="22"/>
        </w:rPr>
        <w:t xml:space="preserve">: </w:t>
      </w:r>
      <w:r w:rsidR="00BE4003" w:rsidRPr="00AE3F2B">
        <w:rPr>
          <w:rFonts w:ascii="Palatino Linotype" w:hAnsi="Palatino Linotype"/>
          <w:sz w:val="22"/>
          <w:szCs w:val="22"/>
        </w:rPr>
        <w:t>Documento consistente en un listado donde se advierte el nombre, cargo y área a la que se encuentran adscritos los servidores públicos del Ayuntamiento de San Martín de las Pirámides.</w:t>
      </w:r>
    </w:p>
    <w:p w:rsidR="003A1F84" w:rsidRPr="00AE3F2B" w:rsidRDefault="003A1F84" w:rsidP="00C82ED1">
      <w:pPr>
        <w:ind w:right="-592"/>
        <w:jc w:val="both"/>
        <w:rPr>
          <w:rFonts w:ascii="Palatino Linotype" w:eastAsia="Palatino Linotype" w:hAnsi="Palatino Linotype" w:cs="Palatino Linotype"/>
          <w:sz w:val="22"/>
          <w:szCs w:val="22"/>
        </w:rPr>
      </w:pPr>
    </w:p>
    <w:p w:rsidR="00C82ED1" w:rsidRPr="00AE3F2B" w:rsidRDefault="001E3125" w:rsidP="00C82ED1">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 xml:space="preserve">El </w:t>
      </w:r>
      <w:r w:rsidR="00BE4003" w:rsidRPr="00AE3F2B">
        <w:rPr>
          <w:rFonts w:ascii="Palatino Linotype" w:eastAsia="Palatino Linotype" w:hAnsi="Palatino Linotype" w:cs="Palatino Linotype"/>
          <w:sz w:val="22"/>
          <w:szCs w:val="22"/>
        </w:rPr>
        <w:t>diez de septiembre</w:t>
      </w:r>
      <w:r w:rsidRPr="00AE3F2B">
        <w:rPr>
          <w:rFonts w:ascii="Palatino Linotype" w:eastAsia="Palatino Linotype" w:hAnsi="Palatino Linotype" w:cs="Palatino Linotype"/>
          <w:sz w:val="22"/>
          <w:szCs w:val="22"/>
        </w:rPr>
        <w:t xml:space="preserve"> de dos mil veinticuatro,</w:t>
      </w:r>
      <w:r w:rsidRPr="00AE3F2B">
        <w:rPr>
          <w:rFonts w:ascii="Palatino Linotype" w:eastAsia="Palatino Linotype" w:hAnsi="Palatino Linotype" w:cs="Palatino Linotype"/>
          <w:b/>
          <w:sz w:val="22"/>
          <w:szCs w:val="22"/>
        </w:rPr>
        <w:t xml:space="preserve"> </w:t>
      </w:r>
      <w:r w:rsidRPr="00AE3F2B">
        <w:rPr>
          <w:rFonts w:ascii="Palatino Linotype" w:eastAsia="Palatino Linotype" w:hAnsi="Palatino Linotype" w:cs="Palatino Linotype"/>
          <w:sz w:val="22"/>
          <w:szCs w:val="22"/>
        </w:rPr>
        <w:t xml:space="preserve">el </w:t>
      </w:r>
      <w:r w:rsidRPr="00AE3F2B">
        <w:rPr>
          <w:rFonts w:ascii="Palatino Linotype" w:eastAsia="Palatino Linotype" w:hAnsi="Palatino Linotype" w:cs="Palatino Linotype"/>
          <w:b/>
          <w:sz w:val="22"/>
          <w:szCs w:val="22"/>
        </w:rPr>
        <w:t>RECURRENTE</w:t>
      </w:r>
      <w:r w:rsidRPr="00AE3F2B">
        <w:rPr>
          <w:rFonts w:ascii="Palatino Linotype" w:eastAsia="Palatino Linotype" w:hAnsi="Palatino Linotype" w:cs="Palatino Linotype"/>
          <w:sz w:val="22"/>
          <w:szCs w:val="22"/>
        </w:rPr>
        <w:t xml:space="preserve"> interpuso el recurso de revisión en contra de la respuesta, señalando como:</w:t>
      </w:r>
    </w:p>
    <w:p w:rsidR="00C82ED1" w:rsidRPr="00AE3F2B" w:rsidRDefault="00C82ED1" w:rsidP="00C82ED1">
      <w:pPr>
        <w:ind w:right="1"/>
        <w:jc w:val="both"/>
        <w:rPr>
          <w:rFonts w:ascii="Palatino Linotype" w:eastAsia="Palatino Linotype" w:hAnsi="Palatino Linotype" w:cs="Palatino Linotype"/>
          <w:sz w:val="22"/>
          <w:szCs w:val="22"/>
        </w:rPr>
      </w:pPr>
    </w:p>
    <w:p w:rsidR="00E94D86" w:rsidRPr="00AE3F2B" w:rsidRDefault="001E3125" w:rsidP="00BE4003">
      <w:pPr>
        <w:ind w:left="567"/>
        <w:jc w:val="both"/>
        <w:rPr>
          <w:rFonts w:ascii="Palatino Linotype" w:hAnsi="Palatino Linotype"/>
          <w:i/>
          <w:sz w:val="22"/>
          <w:szCs w:val="22"/>
        </w:rPr>
      </w:pPr>
      <w:r w:rsidRPr="00AE3F2B">
        <w:rPr>
          <w:rFonts w:ascii="Palatino Linotype" w:eastAsia="Palatino Linotype" w:hAnsi="Palatino Linotype" w:cs="Palatino Linotype"/>
          <w:b/>
          <w:sz w:val="22"/>
          <w:szCs w:val="22"/>
        </w:rPr>
        <w:t>Acto impugnado</w:t>
      </w:r>
      <w:r w:rsidRPr="00AE3F2B">
        <w:rPr>
          <w:rFonts w:ascii="Palatino Linotype" w:eastAsia="Palatino Linotype" w:hAnsi="Palatino Linotype" w:cs="Palatino Linotype"/>
          <w:b/>
          <w:i/>
          <w:sz w:val="22"/>
          <w:szCs w:val="22"/>
        </w:rPr>
        <w:t>:</w:t>
      </w:r>
      <w:r w:rsidRPr="00AE3F2B">
        <w:rPr>
          <w:rFonts w:ascii="Palatino Linotype" w:eastAsia="Palatino Linotype" w:hAnsi="Palatino Linotype" w:cs="Palatino Linotype"/>
          <w:i/>
          <w:color w:val="000000"/>
          <w:sz w:val="22"/>
          <w:szCs w:val="22"/>
        </w:rPr>
        <w:t xml:space="preserve"> “</w:t>
      </w:r>
      <w:r w:rsidR="00BE4003" w:rsidRPr="00AE3F2B">
        <w:rPr>
          <w:rFonts w:ascii="Palatino Linotype" w:hAnsi="Palatino Linotype"/>
          <w:i/>
          <w:color w:val="000000"/>
          <w:sz w:val="22"/>
          <w:szCs w:val="22"/>
        </w:rPr>
        <w:t xml:space="preserve">La </w:t>
      </w:r>
      <w:r w:rsidR="00BE4003" w:rsidRPr="00AE3F2B">
        <w:rPr>
          <w:rFonts w:ascii="Palatino Linotype" w:hAnsi="Palatino Linotype"/>
          <w:i/>
          <w:sz w:val="22"/>
          <w:szCs w:val="22"/>
        </w:rPr>
        <w:t> información proporcionada no es la solicitada</w:t>
      </w:r>
      <w:r w:rsidRPr="00AE3F2B">
        <w:rPr>
          <w:rFonts w:ascii="Palatino Linotype" w:eastAsia="Palatino Linotype" w:hAnsi="Palatino Linotype" w:cs="Palatino Linotype"/>
          <w:i/>
          <w:color w:val="000000"/>
          <w:sz w:val="22"/>
          <w:szCs w:val="22"/>
        </w:rPr>
        <w:t>” (Sic)</w:t>
      </w:r>
    </w:p>
    <w:p w:rsidR="00E94D86" w:rsidRPr="00AE3F2B" w:rsidRDefault="00E94D86" w:rsidP="00BE4003">
      <w:pPr>
        <w:ind w:left="567" w:right="568"/>
        <w:jc w:val="both"/>
        <w:rPr>
          <w:rFonts w:ascii="Palatino Linotype" w:eastAsia="Palatino Linotype" w:hAnsi="Palatino Linotype" w:cs="Palatino Linotype"/>
          <w:sz w:val="22"/>
          <w:szCs w:val="22"/>
        </w:rPr>
      </w:pPr>
    </w:p>
    <w:p w:rsidR="00E94D86" w:rsidRPr="00AE3F2B" w:rsidRDefault="001E3125" w:rsidP="00BE4003">
      <w:pPr>
        <w:ind w:left="567" w:right="568"/>
        <w:jc w:val="both"/>
        <w:rPr>
          <w:rFonts w:ascii="Palatino Linotype" w:eastAsia="Palatino Linotype" w:hAnsi="Palatino Linotype" w:cs="Palatino Linotype"/>
          <w:i/>
          <w:color w:val="000000"/>
          <w:sz w:val="22"/>
          <w:szCs w:val="22"/>
        </w:rPr>
      </w:pPr>
      <w:r w:rsidRPr="00AE3F2B">
        <w:rPr>
          <w:rFonts w:ascii="Palatino Linotype" w:eastAsia="Palatino Linotype" w:hAnsi="Palatino Linotype" w:cs="Palatino Linotype"/>
          <w:b/>
          <w:sz w:val="22"/>
          <w:szCs w:val="22"/>
        </w:rPr>
        <w:t xml:space="preserve">Razones o Motivos de inconformidad: </w:t>
      </w:r>
      <w:r w:rsidR="006E5F99" w:rsidRPr="00AE3F2B">
        <w:rPr>
          <w:rFonts w:ascii="Palatino Linotype" w:eastAsia="Palatino Linotype" w:hAnsi="Palatino Linotype" w:cs="Palatino Linotype"/>
          <w:i/>
          <w:color w:val="000000"/>
          <w:sz w:val="22"/>
          <w:szCs w:val="22"/>
        </w:rPr>
        <w:t>“</w:t>
      </w:r>
      <w:r w:rsidR="00BE4003" w:rsidRPr="00AE3F2B">
        <w:rPr>
          <w:rFonts w:ascii="Palatino Linotype" w:hAnsi="Palatino Linotype"/>
          <w:i/>
          <w:color w:val="000000"/>
          <w:sz w:val="22"/>
          <w:szCs w:val="22"/>
        </w:rPr>
        <w:t>No entregaron la información completa</w:t>
      </w:r>
      <w:r w:rsidRPr="00AE3F2B">
        <w:rPr>
          <w:rFonts w:ascii="Palatino Linotype" w:eastAsia="Palatino Linotype" w:hAnsi="Palatino Linotype" w:cs="Palatino Linotype"/>
          <w:i/>
          <w:color w:val="000000"/>
          <w:sz w:val="22"/>
          <w:szCs w:val="22"/>
        </w:rPr>
        <w:t>” (Sic)</w:t>
      </w:r>
    </w:p>
    <w:p w:rsidR="00E94D86" w:rsidRPr="00AE3F2B" w:rsidRDefault="00E94D86" w:rsidP="00C82ED1">
      <w:pPr>
        <w:ind w:right="568"/>
        <w:jc w:val="both"/>
        <w:rPr>
          <w:rFonts w:ascii="Palatino Linotype" w:eastAsia="Palatino Linotype" w:hAnsi="Palatino Linotype" w:cs="Palatino Linotype"/>
          <w:b/>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AE3F2B">
        <w:rPr>
          <w:rFonts w:ascii="Palatino Linotype" w:eastAsia="Palatino Linotype" w:hAnsi="Palatino Linotype" w:cs="Palatino Linotype"/>
          <w:b/>
          <w:sz w:val="22"/>
          <w:szCs w:val="22"/>
        </w:rPr>
        <w:t xml:space="preserve">Ley de Transparencia y Acceso a la Información Pública del Estado de México y Municipios </w:t>
      </w:r>
      <w:r w:rsidRPr="00AE3F2B">
        <w:rPr>
          <w:rFonts w:ascii="Palatino Linotype" w:eastAsia="Palatino Linotype" w:hAnsi="Palatino Linotype" w:cs="Palatino Linotype"/>
          <w:sz w:val="22"/>
          <w:szCs w:val="22"/>
        </w:rPr>
        <w:t xml:space="preserve">se turna a la </w:t>
      </w:r>
      <w:r w:rsidRPr="00AE3F2B">
        <w:rPr>
          <w:rFonts w:ascii="Palatino Linotype" w:eastAsia="Palatino Linotype" w:hAnsi="Palatino Linotype" w:cs="Palatino Linotype"/>
          <w:b/>
          <w:sz w:val="22"/>
          <w:szCs w:val="22"/>
        </w:rPr>
        <w:t xml:space="preserve">Comisionada María del Rosario Mejía Ayala, </w:t>
      </w:r>
      <w:r w:rsidRPr="00AE3F2B">
        <w:rPr>
          <w:rFonts w:ascii="Palatino Linotype" w:eastAsia="Palatino Linotype" w:hAnsi="Palatino Linotype" w:cs="Palatino Linotype"/>
          <w:sz w:val="22"/>
          <w:szCs w:val="22"/>
        </w:rPr>
        <w:t xml:space="preserve">para su análisis. </w:t>
      </w:r>
    </w:p>
    <w:p w:rsidR="00E94D86" w:rsidRPr="00AE3F2B" w:rsidRDefault="00E94D86" w:rsidP="00C82ED1">
      <w:pPr>
        <w:ind w:right="-592"/>
        <w:jc w:val="both"/>
        <w:rPr>
          <w:rFonts w:ascii="Palatino Linotype" w:eastAsia="Palatino Linotype" w:hAnsi="Palatino Linotype" w:cs="Palatino Linotype"/>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color w:val="000000"/>
          <w:sz w:val="22"/>
          <w:szCs w:val="22"/>
        </w:rPr>
      </w:pPr>
      <w:r w:rsidRPr="00AE3F2B">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w:t>
      </w:r>
      <w:r w:rsidR="00BE4003" w:rsidRPr="00AE3F2B">
        <w:rPr>
          <w:rFonts w:ascii="Palatino Linotype" w:eastAsia="Palatino Linotype" w:hAnsi="Palatino Linotype" w:cs="Palatino Linotype"/>
          <w:sz w:val="22"/>
          <w:szCs w:val="22"/>
        </w:rPr>
        <w:t>dieciocho de septiembre</w:t>
      </w:r>
      <w:r w:rsidR="004F5574" w:rsidRPr="00AE3F2B">
        <w:rPr>
          <w:rFonts w:ascii="Palatino Linotype" w:eastAsia="Palatino Linotype" w:hAnsi="Palatino Linotype" w:cs="Palatino Linotype"/>
          <w:sz w:val="22"/>
          <w:szCs w:val="22"/>
        </w:rPr>
        <w:t xml:space="preserve"> de</w:t>
      </w:r>
      <w:r w:rsidRPr="00AE3F2B">
        <w:rPr>
          <w:rFonts w:ascii="Palatino Linotype" w:eastAsia="Palatino Linotype" w:hAnsi="Palatino Linotype" w:cs="Palatino Linotype"/>
          <w:sz w:val="22"/>
          <w:szCs w:val="22"/>
        </w:rPr>
        <w:t xml:space="preserve"> dos mil veinticuatro, puso a disposición de las partes el expediente electrónico vía </w:t>
      </w:r>
      <w:r w:rsidRPr="00AE3F2B">
        <w:rPr>
          <w:rFonts w:ascii="Palatino Linotype" w:eastAsia="Palatino Linotype" w:hAnsi="Palatino Linotype" w:cs="Palatino Linotype"/>
          <w:b/>
          <w:sz w:val="22"/>
          <w:szCs w:val="22"/>
        </w:rPr>
        <w:t xml:space="preserve">SAIMEX </w:t>
      </w:r>
      <w:r w:rsidRPr="00AE3F2B">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AE3F2B">
        <w:rPr>
          <w:rFonts w:ascii="Palatino Linotype" w:eastAsia="Palatino Linotype" w:hAnsi="Palatino Linotype" w:cs="Palatino Linotype"/>
          <w:b/>
          <w:sz w:val="22"/>
          <w:szCs w:val="22"/>
        </w:rPr>
        <w:t>SUJETO OBLIGADO</w:t>
      </w:r>
      <w:r w:rsidRPr="00AE3F2B">
        <w:rPr>
          <w:rFonts w:ascii="Palatino Linotype" w:eastAsia="Palatino Linotype" w:hAnsi="Palatino Linotype" w:cs="Palatino Linotype"/>
          <w:sz w:val="22"/>
          <w:szCs w:val="22"/>
        </w:rPr>
        <w:t xml:space="preserve"> presentará el informe justificado procedente. </w:t>
      </w:r>
    </w:p>
    <w:p w:rsidR="00E94D86" w:rsidRPr="00AE3F2B" w:rsidRDefault="00E94D86" w:rsidP="00C82ED1">
      <w:pPr>
        <w:ind w:right="-592"/>
        <w:rPr>
          <w:rFonts w:ascii="Palatino Linotype" w:eastAsia="Palatino Linotype" w:hAnsi="Palatino Linotype" w:cs="Palatino Linotype"/>
          <w:sz w:val="22"/>
          <w:szCs w:val="22"/>
        </w:rPr>
      </w:pPr>
    </w:p>
    <w:p w:rsidR="004F5574" w:rsidRPr="00AE3F2B" w:rsidRDefault="006E5F99" w:rsidP="00AF2A58">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E</w:t>
      </w:r>
      <w:r w:rsidR="001E3125" w:rsidRPr="00AE3F2B">
        <w:rPr>
          <w:rFonts w:ascii="Palatino Linotype" w:eastAsia="Palatino Linotype" w:hAnsi="Palatino Linotype" w:cs="Palatino Linotype"/>
          <w:sz w:val="22"/>
          <w:szCs w:val="22"/>
        </w:rPr>
        <w:t>l</w:t>
      </w:r>
      <w:r w:rsidR="004F5574" w:rsidRPr="00AE3F2B">
        <w:rPr>
          <w:rFonts w:ascii="Palatino Linotype" w:eastAsia="Palatino Linotype" w:hAnsi="Palatino Linotype" w:cs="Palatino Linotype"/>
          <w:sz w:val="22"/>
          <w:szCs w:val="22"/>
        </w:rPr>
        <w:t xml:space="preserve"> </w:t>
      </w:r>
      <w:r w:rsidR="00CB6ECF" w:rsidRPr="00AE3F2B">
        <w:rPr>
          <w:rFonts w:ascii="Palatino Linotype" w:eastAsia="Palatino Linotype" w:hAnsi="Palatino Linotype" w:cs="Palatino Linotype"/>
          <w:sz w:val="22"/>
          <w:szCs w:val="22"/>
        </w:rPr>
        <w:t>veintiséis de septiembre</w:t>
      </w:r>
      <w:r w:rsidR="004F5574" w:rsidRPr="00AE3F2B">
        <w:rPr>
          <w:rFonts w:ascii="Palatino Linotype" w:eastAsia="Palatino Linotype" w:hAnsi="Palatino Linotype" w:cs="Palatino Linotype"/>
          <w:sz w:val="22"/>
          <w:szCs w:val="22"/>
        </w:rPr>
        <w:t xml:space="preserve"> de dos mil veinticuatro, el</w:t>
      </w:r>
      <w:r w:rsidR="001E3125" w:rsidRPr="00AE3F2B">
        <w:rPr>
          <w:rFonts w:ascii="Palatino Linotype" w:eastAsia="Palatino Linotype" w:hAnsi="Palatino Linotype" w:cs="Palatino Linotype"/>
          <w:sz w:val="22"/>
          <w:szCs w:val="22"/>
        </w:rPr>
        <w:t xml:space="preserve"> </w:t>
      </w:r>
      <w:r w:rsidR="001E3125" w:rsidRPr="00AE3F2B">
        <w:rPr>
          <w:rFonts w:ascii="Palatino Linotype" w:eastAsia="Palatino Linotype" w:hAnsi="Palatino Linotype" w:cs="Palatino Linotype"/>
          <w:b/>
          <w:sz w:val="22"/>
          <w:szCs w:val="22"/>
        </w:rPr>
        <w:t>SUJETO OBLIGADO</w:t>
      </w:r>
      <w:r w:rsidR="001E3125" w:rsidRPr="00AE3F2B">
        <w:rPr>
          <w:rFonts w:ascii="Palatino Linotype" w:eastAsia="Palatino Linotype" w:hAnsi="Palatino Linotype" w:cs="Palatino Linotype"/>
          <w:sz w:val="22"/>
          <w:szCs w:val="22"/>
        </w:rPr>
        <w:t xml:space="preserve"> </w:t>
      </w:r>
      <w:r w:rsidR="004F5574" w:rsidRPr="00AE3F2B">
        <w:rPr>
          <w:rFonts w:ascii="Palatino Linotype" w:eastAsia="Palatino Linotype" w:hAnsi="Palatino Linotype" w:cs="Palatino Linotype"/>
          <w:sz w:val="22"/>
          <w:szCs w:val="22"/>
        </w:rPr>
        <w:t>rindió</w:t>
      </w:r>
      <w:r w:rsidRPr="00AE3F2B">
        <w:rPr>
          <w:rFonts w:ascii="Palatino Linotype" w:eastAsia="Palatino Linotype" w:hAnsi="Palatino Linotype" w:cs="Palatino Linotype"/>
          <w:sz w:val="22"/>
          <w:szCs w:val="22"/>
        </w:rPr>
        <w:t xml:space="preserve"> </w:t>
      </w:r>
      <w:r w:rsidR="001E3125" w:rsidRPr="00AE3F2B">
        <w:rPr>
          <w:rFonts w:ascii="Palatino Linotype" w:eastAsia="Palatino Linotype" w:hAnsi="Palatino Linotype" w:cs="Palatino Linotype"/>
          <w:sz w:val="22"/>
          <w:szCs w:val="22"/>
        </w:rPr>
        <w:t>el informe justificado correspondiente</w:t>
      </w:r>
      <w:r w:rsidR="004F5574" w:rsidRPr="00AE3F2B">
        <w:rPr>
          <w:rFonts w:ascii="Palatino Linotype" w:eastAsia="Palatino Linotype" w:hAnsi="Palatino Linotype" w:cs="Palatino Linotype"/>
          <w:sz w:val="22"/>
          <w:szCs w:val="22"/>
        </w:rPr>
        <w:t xml:space="preserve">, </w:t>
      </w:r>
      <w:r w:rsidR="00CB6ECF" w:rsidRPr="00AE3F2B">
        <w:rPr>
          <w:rFonts w:ascii="Palatino Linotype" w:eastAsia="Palatino Linotype" w:hAnsi="Palatino Linotype" w:cs="Palatino Linotype"/>
          <w:sz w:val="22"/>
          <w:szCs w:val="22"/>
        </w:rPr>
        <w:t xml:space="preserve">por medio de los archivos electrónicos denominados </w:t>
      </w:r>
      <w:r w:rsidR="00CB6ECF" w:rsidRPr="00AE3F2B">
        <w:rPr>
          <w:rFonts w:ascii="Palatino Linotype" w:eastAsia="Palatino Linotype" w:hAnsi="Palatino Linotype" w:cs="Palatino Linotype"/>
          <w:b/>
          <w:sz w:val="22"/>
          <w:szCs w:val="22"/>
        </w:rPr>
        <w:t>“LISTADO DE NOMINA2024 (1).pdf”</w:t>
      </w:r>
      <w:r w:rsidR="00CB6ECF" w:rsidRPr="00AE3F2B">
        <w:rPr>
          <w:rFonts w:ascii="Palatino Linotype" w:eastAsia="Palatino Linotype" w:hAnsi="Palatino Linotype" w:cs="Palatino Linotype"/>
          <w:sz w:val="22"/>
          <w:szCs w:val="22"/>
        </w:rPr>
        <w:t xml:space="preserve"> y </w:t>
      </w:r>
      <w:r w:rsidR="00CB6ECF" w:rsidRPr="00AE3F2B">
        <w:rPr>
          <w:rFonts w:ascii="Palatino Linotype" w:eastAsia="Palatino Linotype" w:hAnsi="Palatino Linotype" w:cs="Palatino Linotype"/>
          <w:b/>
          <w:sz w:val="22"/>
          <w:szCs w:val="22"/>
        </w:rPr>
        <w:t>“TABULADOR D SUELDOS.pdf”,</w:t>
      </w:r>
      <w:r w:rsidR="00CB6ECF" w:rsidRPr="00AE3F2B">
        <w:rPr>
          <w:rFonts w:ascii="Palatino Linotype" w:eastAsia="Palatino Linotype" w:hAnsi="Palatino Linotype" w:cs="Palatino Linotype"/>
          <w:sz w:val="22"/>
          <w:szCs w:val="22"/>
        </w:rPr>
        <w:t xml:space="preserve"> a través de los cuales, </w:t>
      </w:r>
      <w:r w:rsidR="00CB6ECF" w:rsidRPr="00AE3F2B">
        <w:rPr>
          <w:rFonts w:ascii="Palatino Linotype" w:eastAsia="Palatino Linotype" w:hAnsi="Palatino Linotype" w:cs="Palatino Linotype"/>
          <w:b/>
          <w:sz w:val="22"/>
          <w:szCs w:val="22"/>
        </w:rPr>
        <w:t>ratificó su respuesta.</w:t>
      </w:r>
    </w:p>
    <w:p w:rsidR="00CB6ECF" w:rsidRPr="00AE3F2B" w:rsidRDefault="00CB6ECF" w:rsidP="00CB6ECF">
      <w:pPr>
        <w:spacing w:line="360" w:lineRule="auto"/>
        <w:ind w:right="1"/>
        <w:jc w:val="both"/>
        <w:rPr>
          <w:rFonts w:ascii="Palatino Linotype" w:eastAsia="Palatino Linotype" w:hAnsi="Palatino Linotype" w:cs="Palatino Linotype"/>
          <w:b/>
          <w:sz w:val="22"/>
          <w:szCs w:val="22"/>
        </w:rPr>
      </w:pPr>
    </w:p>
    <w:tbl>
      <w:tblPr>
        <w:tblStyle w:val="Tablaconcuadrcula"/>
        <w:tblW w:w="0" w:type="auto"/>
        <w:tblLook w:val="04A0" w:firstRow="1" w:lastRow="0" w:firstColumn="1" w:lastColumn="0" w:noHBand="0" w:noVBand="1"/>
      </w:tblPr>
      <w:tblGrid>
        <w:gridCol w:w="4673"/>
        <w:gridCol w:w="4673"/>
      </w:tblGrid>
      <w:tr w:rsidR="00CB6ECF" w:rsidRPr="00AE3F2B" w:rsidTr="00CB6ECF">
        <w:tc>
          <w:tcPr>
            <w:tcW w:w="4673" w:type="dxa"/>
            <w:shd w:val="clear" w:color="auto" w:fill="D9D9D9" w:themeFill="background1" w:themeFillShade="D9"/>
          </w:tcPr>
          <w:p w:rsidR="00CB6ECF" w:rsidRPr="00AE3F2B" w:rsidRDefault="008C31B8" w:rsidP="00CB6ECF">
            <w:pPr>
              <w:ind w:right="34"/>
              <w:jc w:val="both"/>
              <w:rPr>
                <w:rFonts w:ascii="Palatino Linotype" w:eastAsia="Palatino Linotype" w:hAnsi="Palatino Linotype" w:cs="Palatino Linotype"/>
                <w:sz w:val="22"/>
                <w:szCs w:val="22"/>
              </w:rPr>
            </w:pPr>
            <w:hyperlink r:id="rId10" w:tgtFrame="_blank" w:history="1">
              <w:r w:rsidR="00CB6ECF" w:rsidRPr="00AE3F2B">
                <w:rPr>
                  <w:rStyle w:val="Hipervnculo"/>
                  <w:rFonts w:ascii="Palatino Linotype" w:hAnsi="Palatino Linotype" w:cs="Arial"/>
                  <w:b/>
                  <w:bCs/>
                  <w:color w:val="auto"/>
                  <w:sz w:val="22"/>
                  <w:szCs w:val="22"/>
                  <w:u w:val="none"/>
                </w:rPr>
                <w:t>LISTADO DE NOMINA2024.pdf</w:t>
              </w:r>
            </w:hyperlink>
            <w:r w:rsidR="00CB6ECF" w:rsidRPr="00AE3F2B">
              <w:rPr>
                <w:rFonts w:ascii="Palatino Linotype" w:hAnsi="Palatino Linotype"/>
                <w:b/>
                <w:sz w:val="22"/>
                <w:szCs w:val="22"/>
              </w:rPr>
              <w:t xml:space="preserve">: </w:t>
            </w:r>
            <w:r w:rsidR="00CB6ECF" w:rsidRPr="00AE3F2B">
              <w:rPr>
                <w:rFonts w:ascii="Palatino Linotype" w:hAnsi="Palatino Linotype"/>
                <w:sz w:val="22"/>
                <w:szCs w:val="22"/>
              </w:rPr>
              <w:t>Documento consistente en un listado donde se advierte el nombre, cargo y área a la que se encuentran adscritos los servidores públicos del Ayuntamiento de San Martín de las Pirámides.</w:t>
            </w:r>
          </w:p>
        </w:tc>
        <w:tc>
          <w:tcPr>
            <w:tcW w:w="4673" w:type="dxa"/>
          </w:tcPr>
          <w:p w:rsidR="00CB6ECF" w:rsidRPr="00AE3F2B" w:rsidRDefault="00CB6ECF" w:rsidP="00CB6ECF">
            <w:pPr>
              <w:ind w:right="1"/>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t>El documento no se puso a la vista por contener datos susceptibles de ser clasificados como reservados.</w:t>
            </w:r>
          </w:p>
        </w:tc>
      </w:tr>
      <w:tr w:rsidR="00CB6ECF" w:rsidRPr="00AE3F2B" w:rsidTr="00CB6ECF">
        <w:tc>
          <w:tcPr>
            <w:tcW w:w="4673" w:type="dxa"/>
            <w:shd w:val="clear" w:color="auto" w:fill="D9D9D9" w:themeFill="background1" w:themeFillShade="D9"/>
          </w:tcPr>
          <w:p w:rsidR="00CB6ECF" w:rsidRPr="00AE3F2B" w:rsidRDefault="00CB6ECF" w:rsidP="00CB6ECF">
            <w:pPr>
              <w:ind w:right="1"/>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t xml:space="preserve">TABULADOR D SUELDOS.pdf: </w:t>
            </w:r>
            <w:r w:rsidRPr="00AE3F2B">
              <w:rPr>
                <w:rFonts w:ascii="Palatino Linotype" w:eastAsia="Palatino Linotype" w:hAnsi="Palatino Linotype" w:cs="Palatino Linotype"/>
                <w:sz w:val="22"/>
                <w:szCs w:val="22"/>
              </w:rPr>
              <w:t>Documento consistente en el PbRM-05 “Tabulador de Sueldos” del Presupuesto Bas</w:t>
            </w:r>
            <w:r w:rsidR="008A4128" w:rsidRPr="00AE3F2B">
              <w:rPr>
                <w:rFonts w:ascii="Palatino Linotype" w:eastAsia="Palatino Linotype" w:hAnsi="Palatino Linotype" w:cs="Palatino Linotype"/>
                <w:sz w:val="22"/>
                <w:szCs w:val="22"/>
              </w:rPr>
              <w:t xml:space="preserve">ado en Resultados Municipal de </w:t>
            </w:r>
            <w:r w:rsidRPr="00AE3F2B">
              <w:rPr>
                <w:rFonts w:ascii="Palatino Linotype" w:eastAsia="Palatino Linotype" w:hAnsi="Palatino Linotype" w:cs="Palatino Linotype"/>
                <w:sz w:val="22"/>
                <w:szCs w:val="22"/>
              </w:rPr>
              <w:t>2024</w:t>
            </w:r>
          </w:p>
        </w:tc>
        <w:tc>
          <w:tcPr>
            <w:tcW w:w="4673" w:type="dxa"/>
          </w:tcPr>
          <w:p w:rsidR="00CB6ECF" w:rsidRPr="00AE3F2B" w:rsidRDefault="00CB6ECF" w:rsidP="00CB6ECF">
            <w:pPr>
              <w:ind w:right="1"/>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t>El documento se puso a la vista.</w:t>
            </w:r>
          </w:p>
        </w:tc>
      </w:tr>
    </w:tbl>
    <w:p w:rsidR="004F5574" w:rsidRPr="00AE3F2B" w:rsidRDefault="004F5574" w:rsidP="000C0976">
      <w:pPr>
        <w:rPr>
          <w:rFonts w:ascii="Palatino Linotype" w:eastAsia="Palatino Linotype" w:hAnsi="Palatino Linotype" w:cs="Palatino Linotype"/>
          <w:sz w:val="22"/>
          <w:szCs w:val="22"/>
        </w:rPr>
      </w:pPr>
    </w:p>
    <w:p w:rsidR="00AF2A58" w:rsidRPr="00AE3F2B" w:rsidRDefault="004F5574"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P</w:t>
      </w:r>
      <w:r w:rsidR="001E3125" w:rsidRPr="00AE3F2B">
        <w:rPr>
          <w:rFonts w:ascii="Palatino Linotype" w:eastAsia="Palatino Linotype" w:hAnsi="Palatino Linotype" w:cs="Palatino Linotype"/>
          <w:sz w:val="22"/>
          <w:szCs w:val="22"/>
        </w:rPr>
        <w:t xml:space="preserve">or su parte, el </w:t>
      </w:r>
      <w:r w:rsidR="001E3125" w:rsidRPr="00AE3F2B">
        <w:rPr>
          <w:rFonts w:ascii="Palatino Linotype" w:eastAsia="Palatino Linotype" w:hAnsi="Palatino Linotype" w:cs="Palatino Linotype"/>
          <w:b/>
          <w:sz w:val="22"/>
          <w:szCs w:val="22"/>
        </w:rPr>
        <w:t xml:space="preserve">RECURRENTE </w:t>
      </w:r>
      <w:r w:rsidR="001E3125" w:rsidRPr="00AE3F2B">
        <w:rPr>
          <w:rFonts w:ascii="Palatino Linotype" w:eastAsia="Palatino Linotype" w:hAnsi="Palatino Linotype" w:cs="Palatino Linotype"/>
          <w:sz w:val="22"/>
          <w:szCs w:val="22"/>
        </w:rPr>
        <w:t>no realizó manifestaciones, ni ofreció pruebas o alegatos que a su derecho conviniera.</w:t>
      </w:r>
    </w:p>
    <w:p w:rsidR="00AF2A58" w:rsidRPr="00AE3F2B" w:rsidRDefault="00AF2A58" w:rsidP="00C82ED1">
      <w:pPr>
        <w:rPr>
          <w:rFonts w:ascii="Palatino Linotype" w:hAnsi="Palatino Linotype"/>
          <w:sz w:val="22"/>
          <w:szCs w:val="22"/>
        </w:rPr>
      </w:pPr>
    </w:p>
    <w:p w:rsidR="00AF2A58" w:rsidRPr="00AE3F2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hAnsi="Palatino Linotype"/>
          <w:sz w:val="22"/>
          <w:szCs w:val="22"/>
        </w:rPr>
        <w:t xml:space="preserve">El </w:t>
      </w:r>
      <w:r w:rsidR="00CB6ECF" w:rsidRPr="00AE3F2B">
        <w:rPr>
          <w:rFonts w:ascii="Palatino Linotype" w:hAnsi="Palatino Linotype"/>
          <w:sz w:val="22"/>
          <w:szCs w:val="22"/>
        </w:rPr>
        <w:t>seis de marzo de dos mil veinticinco</w:t>
      </w:r>
      <w:r w:rsidRPr="00AE3F2B">
        <w:rPr>
          <w:rFonts w:ascii="Palatino Linotype" w:hAnsi="Palatino Linotype"/>
          <w:sz w:val="22"/>
          <w:szCs w:val="22"/>
        </w:rPr>
        <w:t xml:space="preserve">, </w:t>
      </w:r>
      <w:r w:rsidRPr="00AE3F2B">
        <w:rPr>
          <w:rFonts w:ascii="Palatino Linotype" w:hAnsi="Palatino Linotype" w:cs="Tahoma"/>
          <w:sz w:val="22"/>
          <w:szCs w:val="22"/>
        </w:rPr>
        <w:t>se notificó el acuerdo mediante el cual se amplió el plazo para emitir resolución por un término de 15 días adicionales.</w:t>
      </w:r>
    </w:p>
    <w:p w:rsidR="00AF2A58" w:rsidRPr="00AE3F2B" w:rsidRDefault="00AF2A58" w:rsidP="00C82ED1">
      <w:pPr>
        <w:ind w:right="1"/>
        <w:jc w:val="both"/>
        <w:rPr>
          <w:rFonts w:ascii="Palatino Linotype" w:eastAsia="Palatino Linotype" w:hAnsi="Palatino Linotype" w:cs="Palatino Linotype"/>
          <w:sz w:val="22"/>
          <w:szCs w:val="22"/>
        </w:rPr>
      </w:pPr>
    </w:p>
    <w:p w:rsidR="00AF2A58" w:rsidRPr="00AE3F2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hAnsi="Palatino Linotype"/>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AF2A58" w:rsidRPr="00AE3F2B" w:rsidRDefault="00AF2A58" w:rsidP="00C82ED1">
      <w:pPr>
        <w:rPr>
          <w:rFonts w:ascii="Palatino Linotype" w:hAnsi="Palatino Linotype"/>
          <w:sz w:val="22"/>
          <w:szCs w:val="22"/>
        </w:rPr>
      </w:pPr>
    </w:p>
    <w:p w:rsidR="00AF2A58" w:rsidRPr="00AE3F2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hAnsi="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AF2A58" w:rsidRPr="00AE3F2B" w:rsidRDefault="00AF2A58" w:rsidP="00C82ED1">
      <w:pPr>
        <w:rPr>
          <w:rFonts w:ascii="Palatino Linotype" w:hAnsi="Palatino Linotype"/>
          <w:sz w:val="22"/>
          <w:szCs w:val="22"/>
        </w:rPr>
      </w:pPr>
    </w:p>
    <w:p w:rsidR="00AF2A58" w:rsidRPr="00AE3F2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hAnsi="Palatino Linotype"/>
          <w:sz w:val="22"/>
          <w:szCs w:val="22"/>
        </w:rPr>
        <w:t xml:space="preserve">Así, en términos de lo que establecen los artículos 8.1 y 25 de la Convención Americana sobre Derechos Humanos, los recursos deben ser sencillos y resolverse en el menor tiempo </w:t>
      </w:r>
      <w:r w:rsidRPr="00AE3F2B">
        <w:rPr>
          <w:rFonts w:ascii="Palatino Linotype" w:hAnsi="Palatino Linotype"/>
          <w:sz w:val="22"/>
          <w:szCs w:val="22"/>
        </w:rPr>
        <w:lastRenderedPageBreak/>
        <w:t>posible, tomando en consideración la dilación total del procedimiento; esto es, en un plazo razonable.</w:t>
      </w:r>
    </w:p>
    <w:p w:rsidR="00AF2A58" w:rsidRPr="00AE3F2B" w:rsidRDefault="00AF2A58" w:rsidP="00C82ED1">
      <w:pPr>
        <w:rPr>
          <w:rFonts w:ascii="Palatino Linotype" w:hAnsi="Palatino Linotype"/>
          <w:sz w:val="22"/>
          <w:szCs w:val="22"/>
        </w:rPr>
      </w:pPr>
    </w:p>
    <w:p w:rsidR="00AF2A58" w:rsidRPr="00AE3F2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hAnsi="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AF2A58" w:rsidRPr="00AE3F2B" w:rsidRDefault="00AF2A58" w:rsidP="00AF2A58">
      <w:pPr>
        <w:rPr>
          <w:rFonts w:ascii="Palatino Linotype" w:hAnsi="Palatino Linotype"/>
          <w:sz w:val="22"/>
          <w:szCs w:val="22"/>
        </w:rPr>
      </w:pPr>
    </w:p>
    <w:p w:rsidR="00AF2A58" w:rsidRPr="00AE3F2B" w:rsidRDefault="00AF2A58" w:rsidP="00C82ED1">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hAnsi="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rsidR="00AF2A58" w:rsidRPr="00AE3F2B" w:rsidRDefault="00AF2A58" w:rsidP="00AF2A58">
      <w:pPr>
        <w:pStyle w:val="Prrafodelista"/>
        <w:spacing w:before="240" w:after="240"/>
        <w:ind w:left="567" w:right="565"/>
        <w:jc w:val="both"/>
        <w:rPr>
          <w:rFonts w:ascii="Palatino Linotype" w:hAnsi="Palatino Linotype"/>
          <w:szCs w:val="22"/>
        </w:rPr>
      </w:pPr>
      <w:r w:rsidRPr="00AE3F2B">
        <w:rPr>
          <w:rFonts w:ascii="Palatino Linotype" w:hAnsi="Palatino Linotype"/>
          <w:szCs w:val="22"/>
        </w:rPr>
        <w:t>a) Complejidad del asunto: La complejidad de la prueba, la pluralidad de sujetos procesales, el tiempo transcurrido, las características y contexto del recurso.</w:t>
      </w:r>
    </w:p>
    <w:p w:rsidR="00AF2A58" w:rsidRPr="00AE3F2B" w:rsidRDefault="00AF2A58" w:rsidP="00AF2A58">
      <w:pPr>
        <w:pStyle w:val="Prrafodelista"/>
        <w:spacing w:before="240" w:after="240"/>
        <w:ind w:left="567" w:right="565"/>
        <w:jc w:val="both"/>
        <w:rPr>
          <w:rFonts w:ascii="Palatino Linotype" w:hAnsi="Palatino Linotype"/>
          <w:szCs w:val="22"/>
        </w:rPr>
      </w:pPr>
      <w:r w:rsidRPr="00AE3F2B">
        <w:rPr>
          <w:rFonts w:ascii="Palatino Linotype" w:hAnsi="Palatino Linotype"/>
          <w:szCs w:val="22"/>
        </w:rPr>
        <w:t>b) Actividad Procesal del interesado: Acciones u omisiones del interesado.</w:t>
      </w:r>
    </w:p>
    <w:p w:rsidR="00AF2A58" w:rsidRPr="00AE3F2B" w:rsidRDefault="00AF2A58" w:rsidP="00AF2A58">
      <w:pPr>
        <w:pStyle w:val="Prrafodelista"/>
        <w:spacing w:before="240" w:after="240"/>
        <w:ind w:left="567" w:right="565"/>
        <w:jc w:val="both"/>
        <w:rPr>
          <w:rFonts w:ascii="Palatino Linotype" w:hAnsi="Palatino Linotype"/>
          <w:szCs w:val="22"/>
        </w:rPr>
      </w:pPr>
      <w:r w:rsidRPr="00AE3F2B">
        <w:rPr>
          <w:rFonts w:ascii="Palatino Linotype" w:hAnsi="Palatino Linotype"/>
          <w:szCs w:val="22"/>
        </w:rPr>
        <w:t>c) Conducta de la Autoridad: Las Acciones u omisiones realizadas en el procedimiento. Así como si la autoridad actuó con la debida diligencia.</w:t>
      </w:r>
    </w:p>
    <w:p w:rsidR="00C82ED1" w:rsidRPr="00AE3F2B" w:rsidRDefault="00AF2A58" w:rsidP="00C82ED1">
      <w:pPr>
        <w:pStyle w:val="Prrafodelista"/>
        <w:spacing w:before="240" w:after="240"/>
        <w:ind w:left="567" w:right="565"/>
        <w:jc w:val="both"/>
        <w:rPr>
          <w:rFonts w:ascii="Palatino Linotype" w:hAnsi="Palatino Linotype"/>
          <w:szCs w:val="22"/>
        </w:rPr>
      </w:pPr>
      <w:r w:rsidRPr="00AE3F2B">
        <w:rPr>
          <w:rFonts w:ascii="Palatino Linotype" w:hAnsi="Palatino Linotype"/>
          <w:szCs w:val="22"/>
        </w:rPr>
        <w:t>d) La afectación generada en la situación jurídica de la persona involucrada en el proceso: Vi</w:t>
      </w:r>
      <w:r w:rsidR="00C82ED1" w:rsidRPr="00AE3F2B">
        <w:rPr>
          <w:rFonts w:ascii="Palatino Linotype" w:hAnsi="Palatino Linotype"/>
          <w:szCs w:val="22"/>
        </w:rPr>
        <w:t>olación a sus derechos humanos.</w:t>
      </w:r>
    </w:p>
    <w:p w:rsidR="00C82ED1" w:rsidRPr="00AE3F2B" w:rsidRDefault="00C82ED1" w:rsidP="000C0976">
      <w:pPr>
        <w:pStyle w:val="Prrafodelista"/>
        <w:spacing w:before="240" w:after="240"/>
        <w:ind w:left="567" w:right="565"/>
        <w:jc w:val="both"/>
        <w:rPr>
          <w:rFonts w:ascii="Palatino Linotype" w:hAnsi="Palatino Linotype"/>
          <w:szCs w:val="22"/>
        </w:rPr>
      </w:pPr>
    </w:p>
    <w:p w:rsidR="00AF2A58" w:rsidRPr="00AE3F2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hAnsi="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AF2A58" w:rsidRPr="00AE3F2B" w:rsidRDefault="00AF2A58" w:rsidP="00C82ED1">
      <w:pPr>
        <w:ind w:right="1"/>
        <w:jc w:val="both"/>
        <w:rPr>
          <w:rFonts w:ascii="Palatino Linotype" w:eastAsia="Palatino Linotype" w:hAnsi="Palatino Linotype" w:cs="Palatino Linotype"/>
          <w:sz w:val="22"/>
          <w:szCs w:val="22"/>
        </w:rPr>
      </w:pPr>
    </w:p>
    <w:p w:rsidR="00AF2A58" w:rsidRPr="00AE3F2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hAnsi="Palatino Linotype"/>
          <w:sz w:val="22"/>
          <w:szCs w:val="22"/>
        </w:rPr>
        <w:t>Argumento que encuentra sustento en la jurisprudencia P</w:t>
      </w:r>
      <w:proofErr w:type="gramStart"/>
      <w:r w:rsidRPr="00AE3F2B">
        <w:rPr>
          <w:rFonts w:ascii="Palatino Linotype" w:hAnsi="Palatino Linotype"/>
          <w:sz w:val="22"/>
          <w:szCs w:val="22"/>
        </w:rPr>
        <w:t>./</w:t>
      </w:r>
      <w:proofErr w:type="gramEnd"/>
      <w:r w:rsidRPr="00AE3F2B">
        <w:rPr>
          <w:rFonts w:ascii="Palatino Linotype" w:hAnsi="Palatino Linotype"/>
          <w:sz w:val="22"/>
          <w:szCs w:val="22"/>
        </w:rPr>
        <w:t xml:space="preserve">J. 32/92 emitida por el Pleno de la Suprema Corte de Justicia de la Nación de rubro “TÉRMINOS PROCESALES. PARA DETERMINAR SI UN FUNCIONARIO JUDICIAL ACTUÓ INDEBIDAMENTE POR NO </w:t>
      </w:r>
      <w:r w:rsidRPr="00AE3F2B">
        <w:rPr>
          <w:rFonts w:ascii="Palatino Linotype" w:hAnsi="Palatino Linotype"/>
          <w:sz w:val="22"/>
          <w:szCs w:val="22"/>
        </w:rPr>
        <w:lastRenderedPageBreak/>
        <w:t>RESPETARLOS SE DEBE ATENDER AL PRESUPUESTO QUE CONSIDERÓ EL LEGISLADOR AL FIJARLOS Y LAS CARACTERÍSTICAS DEL CASO.”, visible en la Gaceta del Seminario Judicial de la Federación con el registro digital 205635.</w:t>
      </w:r>
    </w:p>
    <w:p w:rsidR="00AF2A58" w:rsidRPr="00AE3F2B" w:rsidRDefault="00AF2A58" w:rsidP="00C82ED1">
      <w:pPr>
        <w:ind w:right="1"/>
        <w:jc w:val="both"/>
        <w:rPr>
          <w:rFonts w:ascii="Palatino Linotype" w:eastAsia="Palatino Linotype" w:hAnsi="Palatino Linotype" w:cs="Palatino Linotype"/>
          <w:sz w:val="22"/>
          <w:szCs w:val="22"/>
        </w:rPr>
      </w:pPr>
    </w:p>
    <w:p w:rsidR="00AF2A58" w:rsidRPr="00AE3F2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hAnsi="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AF2A58" w:rsidRPr="00AE3F2B" w:rsidRDefault="00AF2A58" w:rsidP="00C82ED1">
      <w:pPr>
        <w:ind w:right="1"/>
        <w:jc w:val="both"/>
        <w:rPr>
          <w:rFonts w:ascii="Palatino Linotype" w:eastAsia="Palatino Linotype" w:hAnsi="Palatino Linotype" w:cs="Palatino Linotype"/>
          <w:sz w:val="22"/>
          <w:szCs w:val="22"/>
        </w:rPr>
      </w:pPr>
    </w:p>
    <w:p w:rsidR="00AF2A58" w:rsidRPr="00AE3F2B" w:rsidRDefault="00AF2A58" w:rsidP="00AF2A58">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hAnsi="Palatino Linotype"/>
          <w:sz w:val="22"/>
          <w:szCs w:val="22"/>
        </w:rPr>
        <w:t>Al respecto, también son de considerar los criterios sostenidos por el Cuarto Tribunal Colegiado en Materia Administrativa del Primer Circuito, cuyos rubros y datos de identificación son los siguientes:</w:t>
      </w:r>
    </w:p>
    <w:p w:rsidR="00AF2A58" w:rsidRPr="00AE3F2B" w:rsidRDefault="00AF2A58" w:rsidP="00AF2A58">
      <w:pPr>
        <w:tabs>
          <w:tab w:val="left" w:pos="8364"/>
        </w:tabs>
        <w:spacing w:before="240" w:after="240"/>
        <w:ind w:left="567" w:right="565"/>
        <w:jc w:val="both"/>
        <w:rPr>
          <w:rFonts w:ascii="Palatino Linotype" w:hAnsi="Palatino Linotype"/>
          <w:sz w:val="22"/>
          <w:szCs w:val="22"/>
        </w:rPr>
      </w:pPr>
      <w:r w:rsidRPr="00AE3F2B">
        <w:rPr>
          <w:rFonts w:ascii="Palatino Linotype" w:hAnsi="Palatino Linotype"/>
          <w:sz w:val="22"/>
          <w:szCs w:val="22"/>
        </w:rPr>
        <w:t>“PLAZO RAZONABLE PARA RESOLVER. DIMENSIÓN Y EFECTOS DE ESTE CONCEPTO CUANDO SE ADUCE EXCESIVA CARGA DE TRABAJO.” consultable en el Seminario Judicial de la Federación y su gaceta, con el registro digital 2002351.</w:t>
      </w:r>
    </w:p>
    <w:p w:rsidR="00AF2A58" w:rsidRPr="00AE3F2B" w:rsidRDefault="00AF2A58" w:rsidP="00AF2A58">
      <w:pPr>
        <w:pStyle w:val="Prrafodelista"/>
        <w:tabs>
          <w:tab w:val="left" w:pos="8364"/>
        </w:tabs>
        <w:spacing w:before="240" w:after="240"/>
        <w:ind w:left="567" w:right="565"/>
        <w:jc w:val="both"/>
        <w:rPr>
          <w:rFonts w:ascii="Palatino Linotype" w:hAnsi="Palatino Linotype"/>
          <w:szCs w:val="22"/>
        </w:rPr>
      </w:pPr>
      <w:r w:rsidRPr="00AE3F2B">
        <w:rPr>
          <w:rFonts w:ascii="Palatino Linotype" w:hAnsi="Palatino Linotype"/>
          <w:szCs w:val="22"/>
        </w:rPr>
        <w:t>“PLAZO RAZONABLE PARA RESOLVER. CONCEPTO Y ELEMENTOS QUE LO INTEGRAN A LA LUZ DEL DERECHO INTERNACIONAL DE LOS DERECHOS HUMANOS.”, visible en el Seminario Judicial de la Federación y su gaceta, con el registro digital 2002350.</w:t>
      </w:r>
    </w:p>
    <w:p w:rsidR="00AF2A58" w:rsidRPr="00AE3F2B" w:rsidRDefault="00AF2A58" w:rsidP="00AF2A58">
      <w:pPr>
        <w:pStyle w:val="Prrafodelista"/>
        <w:tabs>
          <w:tab w:val="left" w:pos="8364"/>
        </w:tabs>
        <w:ind w:left="567" w:right="565"/>
        <w:rPr>
          <w:rFonts w:ascii="Palatino Linotype" w:hAnsi="Palatino Linotype"/>
          <w:szCs w:val="22"/>
        </w:rPr>
      </w:pPr>
      <w:r w:rsidRPr="00AE3F2B">
        <w:rPr>
          <w:rFonts w:ascii="Palatino Linotype" w:hAnsi="Palatino Linotype"/>
          <w:szCs w:val="22"/>
        </w:rPr>
        <w:t>Por ello, este Organismo Garante comprometido con la tutela de los derechos humanos confiados, señala que este exceso del plazo legal para resolver el presente asunto resulta de carácter excepcional.</w:t>
      </w:r>
    </w:p>
    <w:p w:rsidR="00AF2A58" w:rsidRPr="00AE3F2B" w:rsidRDefault="00AF2A58" w:rsidP="00C82ED1">
      <w:pPr>
        <w:ind w:right="1"/>
        <w:jc w:val="both"/>
        <w:rPr>
          <w:rFonts w:ascii="Palatino Linotype" w:eastAsia="Palatino Linotype" w:hAnsi="Palatino Linotype" w:cs="Palatino Linotype"/>
          <w:b/>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 xml:space="preserve">La Comisionada Ponente decretó el cierre de instrucción mediante el acuerdo del </w:t>
      </w:r>
      <w:r w:rsidR="00CB6ECF" w:rsidRPr="00AE3F2B">
        <w:rPr>
          <w:rFonts w:ascii="Palatino Linotype" w:eastAsia="Palatino Linotype" w:hAnsi="Palatino Linotype" w:cs="Palatino Linotype"/>
          <w:sz w:val="22"/>
          <w:szCs w:val="22"/>
        </w:rPr>
        <w:t>seis de marzo</w:t>
      </w:r>
      <w:r w:rsidR="00AF2A58" w:rsidRPr="00AE3F2B">
        <w:rPr>
          <w:rFonts w:ascii="Palatino Linotype" w:eastAsia="Palatino Linotype" w:hAnsi="Palatino Linotype" w:cs="Palatino Linotype"/>
          <w:sz w:val="22"/>
          <w:szCs w:val="22"/>
        </w:rPr>
        <w:t xml:space="preserve"> de dos mil veinticinco</w:t>
      </w:r>
      <w:r w:rsidRPr="00AE3F2B">
        <w:rPr>
          <w:rFonts w:ascii="Palatino Linotype" w:eastAsia="Palatino Linotype" w:hAnsi="Palatino Linotype" w:cs="Palatino Linotype"/>
          <w:sz w:val="22"/>
          <w:szCs w:val="22"/>
        </w:rPr>
        <w:t>.-------------------------------------------------------------</w:t>
      </w:r>
      <w:r w:rsidR="00C82ED1" w:rsidRPr="00AE3F2B">
        <w:rPr>
          <w:rFonts w:ascii="Palatino Linotype" w:eastAsia="Palatino Linotype" w:hAnsi="Palatino Linotype" w:cs="Palatino Linotype"/>
          <w:sz w:val="22"/>
          <w:szCs w:val="22"/>
        </w:rPr>
        <w:t>-------</w:t>
      </w:r>
      <w:r w:rsidR="00302FE8" w:rsidRPr="00AE3F2B">
        <w:rPr>
          <w:rFonts w:ascii="Palatino Linotype" w:eastAsia="Palatino Linotype" w:hAnsi="Palatino Linotype" w:cs="Palatino Linotype"/>
          <w:sz w:val="22"/>
          <w:szCs w:val="22"/>
        </w:rPr>
        <w:t>--</w:t>
      </w:r>
      <w:r w:rsidR="00CB6ECF" w:rsidRPr="00AE3F2B">
        <w:rPr>
          <w:rFonts w:ascii="Palatino Linotype" w:eastAsia="Palatino Linotype" w:hAnsi="Palatino Linotype" w:cs="Palatino Linotype"/>
          <w:sz w:val="22"/>
          <w:szCs w:val="22"/>
        </w:rPr>
        <w:t>------------------</w:t>
      </w:r>
    </w:p>
    <w:p w:rsidR="00E94D86" w:rsidRPr="00AE3F2B" w:rsidRDefault="00E94D86" w:rsidP="00C82ED1">
      <w:pPr>
        <w:rPr>
          <w:rFonts w:ascii="Palatino Linotype" w:eastAsia="Palatino Linotype" w:hAnsi="Palatino Linotype" w:cs="Palatino Linotype"/>
          <w:b/>
          <w:sz w:val="22"/>
          <w:szCs w:val="22"/>
        </w:rPr>
      </w:pPr>
    </w:p>
    <w:p w:rsidR="00E94D86" w:rsidRPr="00AE3F2B" w:rsidRDefault="001E3125">
      <w:pPr>
        <w:keepNext/>
        <w:keepLines/>
        <w:spacing w:line="360" w:lineRule="auto"/>
        <w:ind w:right="-592"/>
        <w:jc w:val="center"/>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t xml:space="preserve">C O N S I D E R A N D O </w:t>
      </w:r>
    </w:p>
    <w:p w:rsidR="00E94D86" w:rsidRPr="00AE3F2B" w:rsidRDefault="00E94D86" w:rsidP="00C82ED1">
      <w:pPr>
        <w:keepNext/>
        <w:keepLines/>
        <w:ind w:right="-592"/>
        <w:rPr>
          <w:rFonts w:ascii="Palatino Linotype" w:eastAsia="Palatino Linotype" w:hAnsi="Palatino Linotype" w:cs="Palatino Linotype"/>
          <w:sz w:val="22"/>
          <w:szCs w:val="22"/>
        </w:rPr>
      </w:pPr>
      <w:bookmarkStart w:id="0" w:name="_GoBack"/>
      <w:bookmarkEnd w:id="0"/>
    </w:p>
    <w:p w:rsidR="00E94D86" w:rsidRPr="00AE3F2B" w:rsidRDefault="001E3125">
      <w:pPr>
        <w:keepNext/>
        <w:keepLines/>
        <w:spacing w:line="360" w:lineRule="auto"/>
        <w:ind w:right="-592"/>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t>PRIMERO. De la competencia.</w:t>
      </w:r>
    </w:p>
    <w:p w:rsidR="00E94D86" w:rsidRPr="00AE3F2B" w:rsidRDefault="00E94D86" w:rsidP="00C82ED1">
      <w:pPr>
        <w:rPr>
          <w:rFonts w:ascii="Palatino Linotype" w:eastAsia="Palatino Linotype" w:hAnsi="Palatino Linotype" w:cs="Palatino Linotype"/>
          <w:b/>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1" w:name="_heading=h.3znysh7" w:colFirst="0" w:colLast="0"/>
      <w:bookmarkEnd w:id="1"/>
      <w:r w:rsidRPr="00AE3F2B">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rsidR="00E94D86" w:rsidRPr="00AE3F2B" w:rsidRDefault="00E94D86" w:rsidP="00C82ED1">
      <w:pPr>
        <w:ind w:right="1"/>
        <w:jc w:val="both"/>
        <w:rPr>
          <w:rFonts w:ascii="Palatino Linotype" w:eastAsia="Palatino Linotype" w:hAnsi="Palatino Linotype" w:cs="Palatino Linotype"/>
          <w:sz w:val="22"/>
          <w:szCs w:val="22"/>
        </w:rPr>
      </w:pPr>
    </w:p>
    <w:p w:rsidR="00E94D86" w:rsidRPr="00AE3F2B" w:rsidRDefault="001E3125">
      <w:pPr>
        <w:keepNext/>
        <w:keepLines/>
        <w:spacing w:line="360" w:lineRule="auto"/>
        <w:ind w:right="1"/>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t>SEGUNDO. De la oportunidad y procedencia.</w:t>
      </w:r>
    </w:p>
    <w:p w:rsidR="00E94D86" w:rsidRPr="00AE3F2B" w:rsidRDefault="00E94D86" w:rsidP="00C82ED1">
      <w:pPr>
        <w:ind w:right="1"/>
        <w:jc w:val="both"/>
        <w:rPr>
          <w:rFonts w:ascii="Palatino Linotype" w:eastAsia="Palatino Linotype" w:hAnsi="Palatino Linotype" w:cs="Palatino Linotype"/>
          <w:b/>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2" w:name="_heading=h.3dy6vkm" w:colFirst="0" w:colLast="0"/>
      <w:bookmarkEnd w:id="2"/>
      <w:r w:rsidRPr="00AE3F2B">
        <w:rPr>
          <w:rFonts w:ascii="Palatino Linotype" w:eastAsia="Palatino Linotype" w:hAnsi="Palatino Linotype" w:cs="Palatino Linotype"/>
          <w:sz w:val="22"/>
          <w:szCs w:val="22"/>
        </w:rPr>
        <w:t xml:space="preserve">El medio de impugnación fue presentado a través del </w:t>
      </w:r>
      <w:r w:rsidRPr="00AE3F2B">
        <w:rPr>
          <w:rFonts w:ascii="Palatino Linotype" w:eastAsia="Palatino Linotype" w:hAnsi="Palatino Linotype" w:cs="Palatino Linotype"/>
          <w:b/>
          <w:sz w:val="22"/>
          <w:szCs w:val="22"/>
        </w:rPr>
        <w:t>SAIMEX,</w:t>
      </w:r>
      <w:r w:rsidRPr="00AE3F2B">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AE3F2B">
        <w:rPr>
          <w:rFonts w:ascii="Palatino Linotype" w:eastAsia="Palatino Linotype" w:hAnsi="Palatino Linotype" w:cs="Palatino Linotype"/>
          <w:b/>
          <w:sz w:val="22"/>
          <w:szCs w:val="22"/>
        </w:rPr>
        <w:t>SUJETO OBLIGADO</w:t>
      </w:r>
      <w:r w:rsidRPr="00AE3F2B">
        <w:rPr>
          <w:rFonts w:ascii="Palatino Linotype" w:eastAsia="Palatino Linotype" w:hAnsi="Palatino Linotype" w:cs="Palatino Linotype"/>
          <w:sz w:val="22"/>
          <w:szCs w:val="22"/>
        </w:rPr>
        <w:t xml:space="preserve"> entregó respuesta el </w:t>
      </w:r>
      <w:r w:rsidR="00246FC0" w:rsidRPr="00AE3F2B">
        <w:rPr>
          <w:rFonts w:ascii="Palatino Linotype" w:eastAsia="Palatino Linotype" w:hAnsi="Palatino Linotype" w:cs="Palatino Linotype"/>
          <w:sz w:val="22"/>
          <w:szCs w:val="22"/>
        </w:rPr>
        <w:t>veintitrés de agosto</w:t>
      </w:r>
      <w:r w:rsidRPr="00AE3F2B">
        <w:rPr>
          <w:rFonts w:ascii="Palatino Linotype" w:eastAsia="Palatino Linotype" w:hAnsi="Palatino Linotype" w:cs="Palatino Linotype"/>
          <w:sz w:val="22"/>
          <w:szCs w:val="22"/>
        </w:rPr>
        <w:t xml:space="preserve"> de dos mil veinticuatro, de tal forma que el plazo para interponer el recurso de revisión transcurrió del </w:t>
      </w:r>
      <w:r w:rsidR="00246FC0" w:rsidRPr="00AE3F2B">
        <w:rPr>
          <w:rFonts w:ascii="Palatino Linotype" w:eastAsia="Palatino Linotype" w:hAnsi="Palatino Linotype" w:cs="Palatino Linotype"/>
          <w:sz w:val="22"/>
          <w:szCs w:val="22"/>
        </w:rPr>
        <w:t>veintiséis de agosto</w:t>
      </w:r>
      <w:r w:rsidR="00AF2A58" w:rsidRPr="00AE3F2B">
        <w:rPr>
          <w:rFonts w:ascii="Palatino Linotype" w:eastAsia="Palatino Linotype" w:hAnsi="Palatino Linotype" w:cs="Palatino Linotype"/>
          <w:sz w:val="22"/>
          <w:szCs w:val="22"/>
        </w:rPr>
        <w:t xml:space="preserve"> </w:t>
      </w:r>
      <w:r w:rsidRPr="00AE3F2B">
        <w:rPr>
          <w:rFonts w:ascii="Palatino Linotype" w:eastAsia="Palatino Linotype" w:hAnsi="Palatino Linotype" w:cs="Palatino Linotype"/>
          <w:sz w:val="22"/>
          <w:szCs w:val="22"/>
        </w:rPr>
        <w:t xml:space="preserve">al </w:t>
      </w:r>
      <w:r w:rsidR="00246FC0" w:rsidRPr="00AE3F2B">
        <w:rPr>
          <w:rFonts w:ascii="Palatino Linotype" w:eastAsia="Palatino Linotype" w:hAnsi="Palatino Linotype" w:cs="Palatino Linotype"/>
          <w:sz w:val="22"/>
          <w:szCs w:val="22"/>
        </w:rPr>
        <w:t>trece de septiembre</w:t>
      </w:r>
      <w:r w:rsidRPr="00AE3F2B">
        <w:rPr>
          <w:rFonts w:ascii="Palatino Linotype" w:eastAsia="Palatino Linotype" w:hAnsi="Palatino Linotype" w:cs="Palatino Linotype"/>
          <w:sz w:val="22"/>
          <w:szCs w:val="22"/>
        </w:rPr>
        <w:t xml:space="preserve"> de dos mil veinticuatro; en consecuencia, presentó su inconformidad el </w:t>
      </w:r>
      <w:r w:rsidR="00246FC0" w:rsidRPr="00AE3F2B">
        <w:rPr>
          <w:rFonts w:ascii="Palatino Linotype" w:eastAsia="Palatino Linotype" w:hAnsi="Palatino Linotype" w:cs="Palatino Linotype"/>
          <w:sz w:val="22"/>
          <w:szCs w:val="22"/>
        </w:rPr>
        <w:t>diez de septiembre</w:t>
      </w:r>
      <w:r w:rsidRPr="00AE3F2B">
        <w:rPr>
          <w:rFonts w:ascii="Palatino Linotype" w:eastAsia="Palatino Linotype" w:hAnsi="Palatino Linotype" w:cs="Palatino Linotype"/>
          <w:sz w:val="22"/>
          <w:szCs w:val="22"/>
        </w:rPr>
        <w:t xml:space="preserve"> de dos mil veinticuatro, por lo que se encuentra dentro de los márgenes temporales previstos en el artículo 178 de la </w:t>
      </w:r>
      <w:r w:rsidRPr="00AE3F2B">
        <w:rPr>
          <w:rFonts w:ascii="Palatino Linotype" w:eastAsia="Palatino Linotype" w:hAnsi="Palatino Linotype" w:cs="Palatino Linotype"/>
          <w:b/>
          <w:sz w:val="22"/>
          <w:szCs w:val="22"/>
        </w:rPr>
        <w:t xml:space="preserve">Ley de Transparencia y Acceso a la Información Pública del Estado de México y Municipios </w:t>
      </w:r>
      <w:r w:rsidRPr="00AE3F2B">
        <w:rPr>
          <w:rFonts w:ascii="Palatino Linotype" w:eastAsia="Palatino Linotype" w:hAnsi="Palatino Linotype" w:cs="Palatino Linotype"/>
          <w:sz w:val="22"/>
          <w:szCs w:val="22"/>
        </w:rPr>
        <w:t>vigente.</w:t>
      </w:r>
    </w:p>
    <w:p w:rsidR="00AF2A58" w:rsidRPr="00AE3F2B" w:rsidRDefault="00AF2A58" w:rsidP="00C82ED1">
      <w:pPr>
        <w:ind w:right="1"/>
        <w:jc w:val="both"/>
        <w:rPr>
          <w:rFonts w:ascii="Palatino Linotype" w:eastAsia="Palatino Linotype" w:hAnsi="Palatino Linotype" w:cs="Palatino Linotype"/>
          <w:b/>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 xml:space="preserve">Por otro lado, el escrito contiene las formalidades previstas por el artículo 180 último párrafo de la Ley de la materia actual, por lo que es procedente que este Instituto de </w:t>
      </w:r>
      <w:r w:rsidRPr="00AE3F2B">
        <w:rPr>
          <w:rFonts w:ascii="Palatino Linotype" w:eastAsia="Palatino Linotype" w:hAnsi="Palatino Linotype" w:cs="Palatino Linotype"/>
          <w:sz w:val="22"/>
          <w:szCs w:val="22"/>
        </w:rPr>
        <w:lastRenderedPageBreak/>
        <w:t>Transparencia, Acceso a la Información Pública y Protección de Datos Personales del Estado de México y Municipios, conozca y resuelva el presente recurso.</w:t>
      </w:r>
    </w:p>
    <w:p w:rsidR="00E94D86" w:rsidRPr="00AE3F2B" w:rsidRDefault="00E94D86" w:rsidP="00C82ED1">
      <w:pPr>
        <w:ind w:right="-592"/>
        <w:jc w:val="both"/>
        <w:rPr>
          <w:rFonts w:ascii="Palatino Linotype" w:eastAsia="Palatino Linotype" w:hAnsi="Palatino Linotype" w:cs="Palatino Linotype"/>
          <w:b/>
          <w:sz w:val="22"/>
          <w:szCs w:val="22"/>
        </w:rPr>
      </w:pPr>
    </w:p>
    <w:p w:rsidR="00E94D86" w:rsidRPr="00AE3F2B" w:rsidRDefault="001E3125">
      <w:pPr>
        <w:spacing w:line="360" w:lineRule="auto"/>
        <w:ind w:right="-592"/>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t>TERCERO. Planteamiento de la Litis.</w:t>
      </w:r>
    </w:p>
    <w:p w:rsidR="00E94D86" w:rsidRPr="00AE3F2B" w:rsidRDefault="00E94D86" w:rsidP="00C82ED1">
      <w:pPr>
        <w:ind w:right="-592"/>
        <w:jc w:val="both"/>
        <w:rPr>
          <w:rFonts w:ascii="Palatino Linotype" w:eastAsia="Palatino Linotype" w:hAnsi="Palatino Linotype" w:cs="Palatino Linotype"/>
          <w:b/>
          <w:sz w:val="22"/>
          <w:szCs w:val="22"/>
        </w:rPr>
      </w:pPr>
    </w:p>
    <w:p w:rsidR="00AA0813" w:rsidRPr="00AE3F2B" w:rsidRDefault="001E3125" w:rsidP="00AA0813">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 xml:space="preserve">El </w:t>
      </w:r>
      <w:r w:rsidRPr="00AE3F2B">
        <w:rPr>
          <w:rFonts w:ascii="Palatino Linotype" w:eastAsia="Palatino Linotype" w:hAnsi="Palatino Linotype" w:cs="Palatino Linotype"/>
          <w:b/>
          <w:sz w:val="22"/>
          <w:szCs w:val="22"/>
        </w:rPr>
        <w:t>RECURRENTE</w:t>
      </w:r>
      <w:r w:rsidR="00A42556" w:rsidRPr="00AE3F2B">
        <w:rPr>
          <w:rFonts w:ascii="Palatino Linotype" w:eastAsia="Palatino Linotype" w:hAnsi="Palatino Linotype" w:cs="Palatino Linotype"/>
          <w:b/>
          <w:sz w:val="22"/>
          <w:szCs w:val="22"/>
        </w:rPr>
        <w:t xml:space="preserve"> </w:t>
      </w:r>
      <w:r w:rsidR="00A42556" w:rsidRPr="00AE3F2B">
        <w:rPr>
          <w:rFonts w:ascii="Palatino Linotype" w:eastAsia="Palatino Linotype" w:hAnsi="Palatino Linotype" w:cs="Palatino Linotype"/>
          <w:sz w:val="22"/>
          <w:szCs w:val="22"/>
        </w:rPr>
        <w:t xml:space="preserve">solicitó </w:t>
      </w:r>
      <w:r w:rsidR="008A4128" w:rsidRPr="00AE3F2B">
        <w:rPr>
          <w:rFonts w:ascii="Palatino Linotype" w:hAnsi="Palatino Linotype"/>
          <w:color w:val="000000"/>
          <w:sz w:val="22"/>
          <w:szCs w:val="22"/>
        </w:rPr>
        <w:t>la nómina de todas las áreas administrativas del Ayuntamiento de San Martín de las Pirámides, en donde se identifique el nombre completo, cargo, área de adscripción y sueldo de los Servidores Públicos.</w:t>
      </w:r>
    </w:p>
    <w:p w:rsidR="00E94D86" w:rsidRPr="00AE3F2B" w:rsidRDefault="00E94D86" w:rsidP="00073512">
      <w:pPr>
        <w:tabs>
          <w:tab w:val="left" w:pos="1740"/>
        </w:tabs>
        <w:spacing w:line="360" w:lineRule="auto"/>
        <w:ind w:right="1"/>
        <w:jc w:val="both"/>
        <w:rPr>
          <w:rFonts w:ascii="Palatino Linotype" w:eastAsia="Palatino Linotype" w:hAnsi="Palatino Linotype" w:cs="Palatino Linotype"/>
          <w:b/>
          <w:sz w:val="22"/>
          <w:szCs w:val="22"/>
        </w:rPr>
      </w:pPr>
    </w:p>
    <w:p w:rsidR="003843C2" w:rsidRPr="00AE3F2B" w:rsidRDefault="001E3125" w:rsidP="003843C2">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 xml:space="preserve">En respuesta, el </w:t>
      </w:r>
      <w:r w:rsidRPr="00AE3F2B">
        <w:rPr>
          <w:rFonts w:ascii="Palatino Linotype" w:eastAsia="Palatino Linotype" w:hAnsi="Palatino Linotype" w:cs="Palatino Linotype"/>
          <w:b/>
          <w:sz w:val="22"/>
          <w:szCs w:val="22"/>
        </w:rPr>
        <w:t>SUJETO OBLIGADO</w:t>
      </w:r>
      <w:r w:rsidRPr="00AE3F2B">
        <w:rPr>
          <w:rFonts w:ascii="Palatino Linotype" w:eastAsia="Palatino Linotype" w:hAnsi="Palatino Linotype" w:cs="Palatino Linotype"/>
          <w:sz w:val="22"/>
          <w:szCs w:val="22"/>
        </w:rPr>
        <w:t xml:space="preserve"> </w:t>
      </w:r>
      <w:r w:rsidR="008A4128" w:rsidRPr="00AE3F2B">
        <w:rPr>
          <w:rFonts w:ascii="Palatino Linotype" w:eastAsia="Palatino Linotype" w:hAnsi="Palatino Linotype" w:cs="Palatino Linotype"/>
          <w:sz w:val="22"/>
          <w:szCs w:val="22"/>
        </w:rPr>
        <w:t xml:space="preserve">remitió el </w:t>
      </w:r>
      <w:r w:rsidR="008A4128" w:rsidRPr="00AE3F2B">
        <w:rPr>
          <w:rFonts w:ascii="Palatino Linotype" w:hAnsi="Palatino Linotype"/>
          <w:sz w:val="22"/>
          <w:szCs w:val="22"/>
        </w:rPr>
        <w:t xml:space="preserve">un listado donde se advierte el nombre, cargo y área de los servidores públicos del Ayuntamiento de San Martín de las Pirámides, asimismo, remitió un enlace electrónico que da acceso directo al </w:t>
      </w:r>
      <w:r w:rsidR="008A4128" w:rsidRPr="00AE3F2B">
        <w:rPr>
          <w:rFonts w:ascii="Palatino Linotype" w:eastAsia="Palatino Linotype" w:hAnsi="Palatino Linotype" w:cs="Palatino Linotype"/>
          <w:sz w:val="22"/>
          <w:szCs w:val="22"/>
        </w:rPr>
        <w:t>PbRM-05 “Tabulador de Sueldos” del Presupuesto Basado en Resultados Municipal de 2024</w:t>
      </w:r>
      <w:r w:rsidR="008A4128" w:rsidRPr="00AE3F2B">
        <w:rPr>
          <w:rFonts w:ascii="Palatino Linotype" w:hAnsi="Palatino Linotype"/>
          <w:sz w:val="22"/>
          <w:szCs w:val="22"/>
        </w:rPr>
        <w:t xml:space="preserve"> </w:t>
      </w:r>
    </w:p>
    <w:p w:rsidR="00E94D86" w:rsidRPr="00AE3F2B" w:rsidRDefault="00E94D86" w:rsidP="00C82ED1">
      <w:pPr>
        <w:ind w:right="1"/>
        <w:rPr>
          <w:rFonts w:ascii="Palatino Linotype" w:eastAsia="Palatino Linotype" w:hAnsi="Palatino Linotype" w:cs="Palatino Linotype"/>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 xml:space="preserve">Posteriormente, el </w:t>
      </w:r>
      <w:r w:rsidRPr="00AE3F2B">
        <w:rPr>
          <w:rFonts w:ascii="Palatino Linotype" w:eastAsia="Palatino Linotype" w:hAnsi="Palatino Linotype" w:cs="Palatino Linotype"/>
          <w:b/>
          <w:sz w:val="22"/>
          <w:szCs w:val="22"/>
        </w:rPr>
        <w:t>RECURRENTE</w:t>
      </w:r>
      <w:r w:rsidRPr="00AE3F2B">
        <w:rPr>
          <w:rFonts w:ascii="Palatino Linotype" w:eastAsia="Palatino Linotype" w:hAnsi="Palatino Linotype" w:cs="Palatino Linotype"/>
          <w:sz w:val="22"/>
          <w:szCs w:val="22"/>
        </w:rPr>
        <w:t xml:space="preserve"> se inconformó por </w:t>
      </w:r>
      <w:r w:rsidR="00F10800" w:rsidRPr="00AE3F2B">
        <w:rPr>
          <w:rFonts w:ascii="Palatino Linotype" w:eastAsia="Palatino Linotype" w:hAnsi="Palatino Linotype" w:cs="Palatino Linotype"/>
          <w:b/>
          <w:sz w:val="22"/>
          <w:szCs w:val="22"/>
        </w:rPr>
        <w:t>la entrega información que no corresponde a la solicitada y la entrega de información incompleta.</w:t>
      </w:r>
    </w:p>
    <w:p w:rsidR="00E94D86" w:rsidRPr="00AE3F2B" w:rsidRDefault="00E94D86" w:rsidP="00C82ED1">
      <w:pPr>
        <w:ind w:right="1"/>
        <w:rPr>
          <w:rFonts w:ascii="Palatino Linotype" w:eastAsia="Palatino Linotype" w:hAnsi="Palatino Linotype" w:cs="Palatino Linotype"/>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3" w:name="_heading=h.gjdgxs" w:colFirst="0" w:colLast="0"/>
      <w:bookmarkEnd w:id="3"/>
      <w:r w:rsidRPr="00AE3F2B">
        <w:rPr>
          <w:rFonts w:ascii="Palatino Linotype" w:eastAsia="Palatino Linotype" w:hAnsi="Palatino Linotype" w:cs="Palatino Linotype"/>
          <w:sz w:val="22"/>
          <w:szCs w:val="22"/>
        </w:rPr>
        <w:t xml:space="preserve">En dichas condiciones, la </w:t>
      </w:r>
      <w:r w:rsidRPr="00AE3F2B">
        <w:rPr>
          <w:rFonts w:ascii="Palatino Linotype" w:eastAsia="Palatino Linotype" w:hAnsi="Palatino Linotype" w:cs="Palatino Linotype"/>
          <w:i/>
          <w:sz w:val="22"/>
          <w:szCs w:val="22"/>
        </w:rPr>
        <w:t>Litis</w:t>
      </w:r>
      <w:r w:rsidRPr="00AE3F2B">
        <w:rPr>
          <w:rFonts w:ascii="Palatino Linotype" w:eastAsia="Palatino Linotype" w:hAnsi="Palatino Linotype" w:cs="Palatino Linotype"/>
          <w:sz w:val="22"/>
          <w:szCs w:val="22"/>
        </w:rPr>
        <w:t xml:space="preserve"> a resolver en el presente recurso de revisión se circunscribe a determinar si se actualizan la causal de procedencia prevista en el artículo 179, fracción</w:t>
      </w:r>
      <w:r w:rsidRPr="00AE3F2B">
        <w:rPr>
          <w:rFonts w:ascii="Palatino Linotype" w:eastAsia="Palatino Linotype" w:hAnsi="Palatino Linotype" w:cs="Palatino Linotype"/>
          <w:b/>
          <w:sz w:val="22"/>
          <w:szCs w:val="22"/>
        </w:rPr>
        <w:t xml:space="preserve"> </w:t>
      </w:r>
      <w:r w:rsidR="00F10800" w:rsidRPr="00AE3F2B">
        <w:rPr>
          <w:rFonts w:ascii="Palatino Linotype" w:eastAsia="Palatino Linotype" w:hAnsi="Palatino Linotype" w:cs="Palatino Linotype"/>
          <w:b/>
          <w:sz w:val="22"/>
          <w:szCs w:val="22"/>
        </w:rPr>
        <w:t>V y V</w:t>
      </w:r>
      <w:r w:rsidR="00AA0813" w:rsidRPr="00AE3F2B">
        <w:rPr>
          <w:rFonts w:ascii="Palatino Linotype" w:eastAsia="Palatino Linotype" w:hAnsi="Palatino Linotype" w:cs="Palatino Linotype"/>
          <w:b/>
          <w:sz w:val="22"/>
          <w:szCs w:val="22"/>
        </w:rPr>
        <w:t>I</w:t>
      </w:r>
      <w:r w:rsidRPr="00AE3F2B">
        <w:rPr>
          <w:rFonts w:ascii="Palatino Linotype" w:eastAsia="Palatino Linotype" w:hAnsi="Palatino Linotype" w:cs="Palatino Linotype"/>
          <w:b/>
          <w:sz w:val="22"/>
          <w:szCs w:val="22"/>
        </w:rPr>
        <w:t xml:space="preserve"> </w:t>
      </w:r>
      <w:r w:rsidRPr="00AE3F2B">
        <w:rPr>
          <w:rFonts w:ascii="Palatino Linotype" w:eastAsia="Palatino Linotype" w:hAnsi="Palatino Linotype" w:cs="Palatino Linotype"/>
          <w:sz w:val="22"/>
          <w:szCs w:val="22"/>
        </w:rPr>
        <w:t xml:space="preserve">de la </w:t>
      </w:r>
      <w:r w:rsidRPr="00AE3F2B">
        <w:rPr>
          <w:rFonts w:ascii="Palatino Linotype" w:eastAsia="Palatino Linotype" w:hAnsi="Palatino Linotype" w:cs="Palatino Linotype"/>
          <w:b/>
          <w:sz w:val="22"/>
          <w:szCs w:val="22"/>
        </w:rPr>
        <w:t>Ley de Transparencia y Acceso a la Información Pública del Estado de México y Municipios</w:t>
      </w:r>
      <w:r w:rsidRPr="00AE3F2B">
        <w:rPr>
          <w:rFonts w:ascii="Palatino Linotype" w:eastAsia="Palatino Linotype" w:hAnsi="Palatino Linotype" w:cs="Palatino Linotype"/>
          <w:sz w:val="22"/>
          <w:szCs w:val="22"/>
        </w:rPr>
        <w:t>.</w:t>
      </w:r>
    </w:p>
    <w:p w:rsidR="00E94D86" w:rsidRPr="00AE3F2B" w:rsidRDefault="00E94D86" w:rsidP="00C82ED1">
      <w:pPr>
        <w:ind w:right="1"/>
        <w:jc w:val="both"/>
        <w:rPr>
          <w:rFonts w:ascii="Palatino Linotype" w:eastAsia="Palatino Linotype" w:hAnsi="Palatino Linotype" w:cs="Palatino Linotype"/>
          <w:b/>
          <w:sz w:val="22"/>
          <w:szCs w:val="22"/>
        </w:rPr>
      </w:pPr>
    </w:p>
    <w:p w:rsidR="00E94D86" w:rsidRPr="00AE3F2B" w:rsidRDefault="001E3125">
      <w:pPr>
        <w:pStyle w:val="Ttulo2"/>
        <w:spacing w:before="0" w:line="360" w:lineRule="auto"/>
        <w:ind w:right="1"/>
        <w:rPr>
          <w:rFonts w:ascii="Palatino Linotype" w:eastAsia="Palatino Linotype" w:hAnsi="Palatino Linotype" w:cs="Palatino Linotype"/>
          <w:b/>
          <w:color w:val="000000"/>
          <w:sz w:val="22"/>
          <w:szCs w:val="22"/>
        </w:rPr>
      </w:pPr>
      <w:r w:rsidRPr="00AE3F2B">
        <w:rPr>
          <w:rFonts w:ascii="Palatino Linotype" w:eastAsia="Palatino Linotype" w:hAnsi="Palatino Linotype" w:cs="Palatino Linotype"/>
          <w:b/>
          <w:color w:val="000000"/>
          <w:sz w:val="22"/>
          <w:szCs w:val="22"/>
        </w:rPr>
        <w:t>CUARTA. Estudio y resolución del asunto.</w:t>
      </w:r>
    </w:p>
    <w:p w:rsidR="00E94D86" w:rsidRPr="00AE3F2B" w:rsidRDefault="00E94D86" w:rsidP="000A31EF">
      <w:pPr>
        <w:ind w:right="1"/>
        <w:jc w:val="both"/>
        <w:rPr>
          <w:rFonts w:ascii="Palatino Linotype" w:eastAsia="Palatino Linotype" w:hAnsi="Palatino Linotype" w:cs="Palatino Linotype"/>
          <w:b/>
          <w:sz w:val="22"/>
          <w:szCs w:val="22"/>
        </w:rPr>
      </w:pPr>
    </w:p>
    <w:p w:rsidR="00E94D86" w:rsidRPr="00AE3F2B" w:rsidRDefault="001E3125" w:rsidP="00831332">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t xml:space="preserve"> </w:t>
      </w:r>
      <w:r w:rsidRPr="00AE3F2B">
        <w:rPr>
          <w:rFonts w:ascii="Palatino Linotype" w:eastAsia="Palatino Linotype" w:hAnsi="Palatino Linotype" w:cs="Palatino Linotype"/>
          <w:sz w:val="22"/>
          <w:szCs w:val="22"/>
        </w:rPr>
        <w:t xml:space="preserve">El </w:t>
      </w:r>
      <w:r w:rsidRPr="00AE3F2B">
        <w:rPr>
          <w:rFonts w:ascii="Palatino Linotype" w:eastAsia="Palatino Linotype" w:hAnsi="Palatino Linotype" w:cs="Palatino Linotype"/>
          <w:color w:val="000000"/>
          <w:sz w:val="22"/>
          <w:szCs w:val="22"/>
        </w:rPr>
        <w:t xml:space="preserve">Derecho de Acceso a la Información Pública, es un derecho humano reconocido en el Pacto de Derechos Civiles y Políticos en su artículo 19.2; en la Convención Americana sobre </w:t>
      </w:r>
      <w:r w:rsidRPr="00AE3F2B">
        <w:rPr>
          <w:rFonts w:ascii="Palatino Linotype" w:eastAsia="Palatino Linotype" w:hAnsi="Palatino Linotype" w:cs="Palatino Linotype"/>
          <w:color w:val="000000"/>
          <w:sz w:val="22"/>
          <w:szCs w:val="22"/>
        </w:rPr>
        <w:lastRenderedPageBreak/>
        <w:t xml:space="preserve">Derechos Humanos en su artículo 13.1; en el artículo sexto de la Constitución Política de los Estados Unidos Mexicanos y en el artículo quinto de la </w:t>
      </w:r>
      <w:r w:rsidRPr="00AE3F2B">
        <w:rPr>
          <w:rFonts w:ascii="Palatino Linotype" w:eastAsia="Palatino Linotype" w:hAnsi="Palatino Linotype" w:cs="Palatino Linotype"/>
          <w:sz w:val="22"/>
          <w:szCs w:val="22"/>
        </w:rPr>
        <w:t>Particular</w:t>
      </w:r>
      <w:r w:rsidRPr="00AE3F2B">
        <w:rPr>
          <w:rFonts w:ascii="Palatino Linotype" w:eastAsia="Palatino Linotype" w:hAnsi="Palatino Linotype" w:cs="Palatino Linotype"/>
          <w:color w:val="000000"/>
          <w:sz w:val="22"/>
          <w:szCs w:val="22"/>
        </w:rPr>
        <w:t xml:space="preserve"> del Estado de México.</w:t>
      </w: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color w:val="000000"/>
          <w:sz w:val="22"/>
          <w:szCs w:val="22"/>
        </w:rPr>
        <w:t xml:space="preserve">Definiendo </w:t>
      </w:r>
      <w:r w:rsidRPr="00AE3F2B">
        <w:rPr>
          <w:rFonts w:ascii="Palatino Linotype" w:eastAsia="Palatino Linotype" w:hAnsi="Palatino Linotype" w:cs="Palatino Linotype"/>
          <w:sz w:val="22"/>
          <w:szCs w:val="22"/>
        </w:rPr>
        <w:t xml:space="preserve">el Derecho de Acceso a la Información Pública como: </w:t>
      </w:r>
      <w:r w:rsidRPr="00AE3F2B">
        <w:rPr>
          <w:rFonts w:ascii="Palatino Linotype" w:eastAsia="Palatino Linotype" w:hAnsi="Palatino Linotype" w:cs="Palatino Linotype"/>
          <w:i/>
          <w:color w:val="000000"/>
          <w:sz w:val="22"/>
          <w:szCs w:val="22"/>
        </w:rPr>
        <w:t xml:space="preserve">La igualdad de </w:t>
      </w:r>
      <w:r w:rsidRPr="00AE3F2B">
        <w:rPr>
          <w:rFonts w:ascii="Palatino Linotype" w:eastAsia="Palatino Linotype" w:hAnsi="Palatino Linotype" w:cs="Palatino Linotype"/>
          <w:sz w:val="22"/>
          <w:szCs w:val="22"/>
        </w:rPr>
        <w:t>oportunidades</w:t>
      </w:r>
      <w:r w:rsidRPr="00AE3F2B">
        <w:rPr>
          <w:rFonts w:ascii="Palatino Linotype" w:eastAsia="Palatino Linotype" w:hAnsi="Palatino Linotype" w:cs="Palatino Linotype"/>
          <w:i/>
          <w:color w:val="000000"/>
          <w:sz w:val="22"/>
          <w:szCs w:val="22"/>
        </w:rPr>
        <w:t xml:space="preserve"> para recibir, buscar e impartir información</w:t>
      </w:r>
      <w:r w:rsidRPr="00AE3F2B">
        <w:rPr>
          <w:rFonts w:ascii="Palatino Linotype" w:eastAsia="Palatino Linotype" w:hAnsi="Palatino Linotype" w:cs="Palatino Linotype"/>
          <w:i/>
          <w:color w:val="000000"/>
          <w:sz w:val="22"/>
          <w:szCs w:val="22"/>
          <w:vertAlign w:val="superscript"/>
        </w:rPr>
        <w:footnoteReference w:id="1"/>
      </w:r>
      <w:r w:rsidRPr="00AE3F2B">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AE3F2B">
        <w:rPr>
          <w:rFonts w:ascii="Palatino Linotype" w:eastAsia="Palatino Linotype" w:hAnsi="Palatino Linotype" w:cs="Palatino Linotype"/>
          <w:i/>
          <w:color w:val="000000"/>
          <w:sz w:val="22"/>
          <w:szCs w:val="22"/>
          <w:vertAlign w:val="superscript"/>
        </w:rPr>
        <w:footnoteReference w:id="2"/>
      </w:r>
      <w:r w:rsidRPr="00AE3F2B">
        <w:rPr>
          <w:rFonts w:ascii="Palatino Linotype" w:eastAsia="Palatino Linotype" w:hAnsi="Palatino Linotype" w:cs="Palatino Linotype"/>
          <w:color w:val="000000"/>
          <w:sz w:val="22"/>
          <w:szCs w:val="22"/>
        </w:rPr>
        <w:t>que se constituye como una herramienta fundamental para ejercer</w:t>
      </w:r>
      <w:r w:rsidRPr="00AE3F2B">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AE3F2B">
        <w:rPr>
          <w:rFonts w:ascii="Palatino Linotype" w:eastAsia="Palatino Linotype" w:hAnsi="Palatino Linotype" w:cs="Palatino Linotype"/>
          <w:i/>
          <w:color w:val="000000"/>
          <w:sz w:val="22"/>
          <w:szCs w:val="22"/>
          <w:vertAlign w:val="superscript"/>
        </w:rPr>
        <w:footnoteReference w:id="3"/>
      </w:r>
      <w:r w:rsidRPr="00AE3F2B">
        <w:rPr>
          <w:rFonts w:ascii="Palatino Linotype" w:eastAsia="Palatino Linotype" w:hAnsi="Palatino Linotype" w:cs="Palatino Linotype"/>
          <w:color w:val="000000"/>
          <w:sz w:val="22"/>
          <w:szCs w:val="22"/>
        </w:rPr>
        <w:t>fomentando</w:t>
      </w:r>
      <w:r w:rsidRPr="00AE3F2B">
        <w:rPr>
          <w:rFonts w:ascii="Palatino Linotype" w:eastAsia="Palatino Linotype" w:hAnsi="Palatino Linotype" w:cs="Palatino Linotype"/>
          <w:i/>
          <w:color w:val="000000"/>
          <w:sz w:val="22"/>
          <w:szCs w:val="22"/>
        </w:rPr>
        <w:t xml:space="preserve"> la transparencia de las actividades estatales y </w:t>
      </w:r>
      <w:r w:rsidRPr="00AE3F2B">
        <w:rPr>
          <w:rFonts w:ascii="Palatino Linotype" w:eastAsia="Palatino Linotype" w:hAnsi="Palatino Linotype" w:cs="Palatino Linotype"/>
          <w:color w:val="000000"/>
          <w:sz w:val="22"/>
          <w:szCs w:val="22"/>
        </w:rPr>
        <w:t>promoviendo</w:t>
      </w:r>
      <w:r w:rsidRPr="00AE3F2B">
        <w:rPr>
          <w:rFonts w:ascii="Palatino Linotype" w:eastAsia="Palatino Linotype" w:hAnsi="Palatino Linotype" w:cs="Palatino Linotype"/>
          <w:i/>
          <w:color w:val="000000"/>
          <w:sz w:val="22"/>
          <w:szCs w:val="22"/>
        </w:rPr>
        <w:t xml:space="preserve"> la responsabilidad de los funcionarios sobre su gestión pública,</w:t>
      </w:r>
      <w:r w:rsidRPr="00AE3F2B">
        <w:rPr>
          <w:rFonts w:ascii="Palatino Linotype" w:eastAsia="Palatino Linotype" w:hAnsi="Palatino Linotype" w:cs="Palatino Linotype"/>
          <w:i/>
          <w:color w:val="000000"/>
          <w:sz w:val="22"/>
          <w:szCs w:val="22"/>
          <w:vertAlign w:val="superscript"/>
        </w:rPr>
        <w:footnoteReference w:id="4"/>
      </w:r>
      <w:r w:rsidRPr="00AE3F2B">
        <w:rPr>
          <w:rFonts w:ascii="Palatino Linotype" w:eastAsia="Palatino Linotype" w:hAnsi="Palatino Linotype" w:cs="Palatino Linotype"/>
          <w:color w:val="000000"/>
          <w:sz w:val="22"/>
          <w:szCs w:val="22"/>
        </w:rPr>
        <w:t>que permite</w:t>
      </w:r>
      <w:r w:rsidRPr="00AE3F2B">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rsidR="00E94D86" w:rsidRPr="00AE3F2B" w:rsidRDefault="00E94D86" w:rsidP="00827BFE">
      <w:pPr>
        <w:ind w:right="1"/>
        <w:rPr>
          <w:rFonts w:ascii="Palatino Linotype" w:eastAsia="Palatino Linotype" w:hAnsi="Palatino Linotype" w:cs="Palatino Linotype"/>
          <w:color w:val="000000"/>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color w:val="000000"/>
          <w:sz w:val="22"/>
          <w:szCs w:val="22"/>
        </w:rPr>
        <w:t xml:space="preserve">En </w:t>
      </w:r>
      <w:r w:rsidRPr="00AE3F2B">
        <w:rPr>
          <w:rFonts w:ascii="Palatino Linotype" w:eastAsia="Palatino Linotype" w:hAnsi="Palatino Linotype" w:cs="Palatino Linotype"/>
          <w:sz w:val="22"/>
          <w:szCs w:val="22"/>
        </w:rPr>
        <w:t>México, además de los derechos, están reconocidas las garantías para su protección, en ese sentido el párrafo tercero de artículo primero de la Constitución Política de los Estados Unidos Mexicanos, dispone lo siguiente:</w:t>
      </w:r>
    </w:p>
    <w:p w:rsidR="00E94D86" w:rsidRPr="00AE3F2B" w:rsidRDefault="00E94D86" w:rsidP="00831332">
      <w:pPr>
        <w:ind w:right="-592"/>
        <w:jc w:val="both"/>
        <w:rPr>
          <w:rFonts w:ascii="Palatino Linotype" w:eastAsia="Palatino Linotype" w:hAnsi="Palatino Linotype" w:cs="Palatino Linotype"/>
          <w:b/>
          <w:sz w:val="22"/>
          <w:szCs w:val="22"/>
        </w:rPr>
      </w:pPr>
    </w:p>
    <w:p w:rsidR="00E94D86" w:rsidRPr="00AE3F2B" w:rsidRDefault="001E3125">
      <w:pPr>
        <w:ind w:left="567" w:right="710"/>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i/>
          <w:sz w:val="22"/>
          <w:szCs w:val="22"/>
        </w:rPr>
        <w:t>“</w:t>
      </w:r>
      <w:r w:rsidRPr="00AE3F2B">
        <w:rPr>
          <w:rFonts w:ascii="Palatino Linotype" w:eastAsia="Palatino Linotype" w:hAnsi="Palatino Linotype" w:cs="Palatino Linotype"/>
          <w:b/>
          <w:i/>
          <w:sz w:val="22"/>
          <w:szCs w:val="22"/>
        </w:rPr>
        <w:t>Artículo 1.-</w:t>
      </w:r>
      <w:r w:rsidRPr="00AE3F2B">
        <w:rPr>
          <w:rFonts w:ascii="Palatino Linotype" w:eastAsia="Palatino Linotype" w:hAnsi="Palatino Linotype" w:cs="Palatino Linotype"/>
          <w:i/>
          <w:sz w:val="22"/>
          <w:szCs w:val="22"/>
        </w:rPr>
        <w:t xml:space="preserve"> </w:t>
      </w:r>
    </w:p>
    <w:p w:rsidR="00E94D86" w:rsidRPr="00AE3F2B" w:rsidRDefault="001E3125">
      <w:pPr>
        <w:ind w:left="567" w:right="710"/>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i/>
          <w:sz w:val="22"/>
          <w:szCs w:val="22"/>
        </w:rPr>
        <w:t>(…)</w:t>
      </w:r>
    </w:p>
    <w:p w:rsidR="00E94D86" w:rsidRPr="00AE3F2B" w:rsidRDefault="001E3125">
      <w:pPr>
        <w:ind w:left="567" w:right="710"/>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i/>
          <w:sz w:val="22"/>
          <w:szCs w:val="22"/>
        </w:rPr>
        <w:t>Todas las</w:t>
      </w:r>
      <w:r w:rsidRPr="00AE3F2B">
        <w:rPr>
          <w:rFonts w:ascii="Palatino Linotype" w:eastAsia="Palatino Linotype" w:hAnsi="Palatino Linotype" w:cs="Palatino Linotype"/>
          <w:sz w:val="22"/>
          <w:szCs w:val="22"/>
        </w:rPr>
        <w:t xml:space="preserve"> </w:t>
      </w:r>
      <w:r w:rsidRPr="00AE3F2B">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E94D86" w:rsidRPr="00AE3F2B" w:rsidRDefault="001E3125">
      <w:pPr>
        <w:ind w:left="567" w:right="71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i/>
          <w:sz w:val="22"/>
          <w:szCs w:val="22"/>
        </w:rPr>
        <w:lastRenderedPageBreak/>
        <w:t>(…)</w:t>
      </w:r>
      <w:r w:rsidRPr="00AE3F2B">
        <w:rPr>
          <w:rFonts w:ascii="Palatino Linotype" w:eastAsia="Palatino Linotype" w:hAnsi="Palatino Linotype" w:cs="Palatino Linotype"/>
          <w:sz w:val="22"/>
          <w:szCs w:val="22"/>
        </w:rPr>
        <w:t>”</w:t>
      </w:r>
    </w:p>
    <w:p w:rsidR="00E94D86" w:rsidRPr="00AE3F2B" w:rsidRDefault="00E94D86" w:rsidP="000A31EF">
      <w:pPr>
        <w:ind w:right="-592"/>
        <w:jc w:val="both"/>
        <w:rPr>
          <w:rFonts w:ascii="Palatino Linotype" w:eastAsia="Palatino Linotype" w:hAnsi="Palatino Linotype" w:cs="Palatino Linotype"/>
          <w:b/>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color w:val="000000"/>
          <w:sz w:val="22"/>
          <w:szCs w:val="22"/>
        </w:rPr>
        <w:t xml:space="preserve">Por </w:t>
      </w:r>
      <w:r w:rsidRPr="00AE3F2B">
        <w:rPr>
          <w:rFonts w:ascii="Palatino Linotype" w:eastAsia="Palatino Linotype" w:hAnsi="Palatino Linotype" w:cs="Palatino Linotype"/>
          <w:sz w:val="22"/>
          <w:szCs w:val="22"/>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E94D86" w:rsidRPr="00AE3F2B" w:rsidRDefault="00E94D86" w:rsidP="000A31EF">
      <w:pPr>
        <w:ind w:right="1"/>
        <w:jc w:val="both"/>
        <w:rPr>
          <w:rFonts w:ascii="Palatino Linotype" w:eastAsia="Palatino Linotype" w:hAnsi="Palatino Linotype" w:cs="Palatino Linotype"/>
          <w:b/>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color w:val="000000"/>
          <w:sz w:val="22"/>
          <w:szCs w:val="22"/>
        </w:rPr>
        <w:t xml:space="preserve">Así </w:t>
      </w:r>
      <w:r w:rsidRPr="00AE3F2B">
        <w:rPr>
          <w:rFonts w:ascii="Palatino Linotype" w:eastAsia="Palatino Linotype" w:hAnsi="Palatino Linotype" w:cs="Palatino Linotype"/>
          <w:sz w:val="22"/>
          <w:szCs w:val="22"/>
        </w:rPr>
        <w:t>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E94D86" w:rsidRPr="00AE3F2B" w:rsidRDefault="00E94D86" w:rsidP="000A31EF">
      <w:pPr>
        <w:rPr>
          <w:rFonts w:ascii="Palatino Linotype" w:eastAsia="Palatino Linotype" w:hAnsi="Palatino Linotype" w:cs="Palatino Linotype"/>
          <w:b/>
          <w:sz w:val="22"/>
          <w:szCs w:val="22"/>
        </w:rPr>
      </w:pPr>
    </w:p>
    <w:p w:rsidR="00E94D86" w:rsidRPr="00AE3F2B" w:rsidRDefault="001E3125">
      <w:pPr>
        <w:ind w:left="567" w:right="710"/>
        <w:jc w:val="both"/>
        <w:rPr>
          <w:rFonts w:ascii="Palatino Linotype" w:eastAsia="Palatino Linotype" w:hAnsi="Palatino Linotype" w:cs="Palatino Linotype"/>
          <w:b/>
          <w:i/>
          <w:sz w:val="22"/>
          <w:szCs w:val="22"/>
        </w:rPr>
      </w:pPr>
      <w:r w:rsidRPr="00AE3F2B">
        <w:rPr>
          <w:rFonts w:ascii="Palatino Linotype" w:eastAsia="Palatino Linotype" w:hAnsi="Palatino Linotype" w:cs="Palatino Linotype"/>
          <w:b/>
          <w:i/>
          <w:sz w:val="22"/>
          <w:szCs w:val="22"/>
        </w:rPr>
        <w:t>Constitución Política de los Estados Unidos Mexicanos</w:t>
      </w:r>
    </w:p>
    <w:p w:rsidR="00E94D86" w:rsidRPr="00AE3F2B" w:rsidRDefault="00E94D86">
      <w:pPr>
        <w:ind w:left="567" w:right="710"/>
        <w:jc w:val="both"/>
        <w:rPr>
          <w:rFonts w:ascii="Palatino Linotype" w:eastAsia="Palatino Linotype" w:hAnsi="Palatino Linotype" w:cs="Palatino Linotype"/>
          <w:b/>
          <w:i/>
          <w:sz w:val="22"/>
          <w:szCs w:val="22"/>
        </w:rPr>
      </w:pPr>
    </w:p>
    <w:p w:rsidR="00E94D86" w:rsidRPr="00AE3F2B" w:rsidRDefault="001E3125">
      <w:pPr>
        <w:ind w:left="567" w:right="710"/>
        <w:jc w:val="both"/>
        <w:rPr>
          <w:rFonts w:ascii="Palatino Linotype" w:eastAsia="Palatino Linotype" w:hAnsi="Palatino Linotype" w:cs="Palatino Linotype"/>
          <w:b/>
          <w:i/>
          <w:sz w:val="22"/>
          <w:szCs w:val="22"/>
        </w:rPr>
      </w:pPr>
      <w:r w:rsidRPr="00AE3F2B">
        <w:rPr>
          <w:rFonts w:ascii="Palatino Linotype" w:eastAsia="Palatino Linotype" w:hAnsi="Palatino Linotype" w:cs="Palatino Linotype"/>
          <w:b/>
          <w:i/>
          <w:sz w:val="22"/>
          <w:szCs w:val="22"/>
        </w:rPr>
        <w:t>“Artículo 6.</w:t>
      </w:r>
      <w:r w:rsidRPr="00AE3F2B">
        <w:rPr>
          <w:rFonts w:ascii="Palatino Linotype" w:eastAsia="Palatino Linotype" w:hAnsi="Palatino Linotype" w:cs="Palatino Linotype"/>
          <w:i/>
          <w:sz w:val="22"/>
          <w:szCs w:val="22"/>
        </w:rPr>
        <w:t xml:space="preserve"> …</w:t>
      </w:r>
    </w:p>
    <w:p w:rsidR="00E94D86" w:rsidRPr="00AE3F2B" w:rsidRDefault="001E3125">
      <w:pPr>
        <w:ind w:left="567" w:right="710"/>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i/>
          <w:sz w:val="22"/>
          <w:szCs w:val="22"/>
        </w:rPr>
        <w:t>…</w:t>
      </w:r>
    </w:p>
    <w:p w:rsidR="00E94D86" w:rsidRPr="00AE3F2B" w:rsidRDefault="001E3125">
      <w:pPr>
        <w:ind w:left="567" w:right="710"/>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i/>
          <w:sz w:val="22"/>
          <w:szCs w:val="22"/>
        </w:rPr>
        <w:t>Para efectos de lo dispuesto en el presente artículo se observará lo siguiente:</w:t>
      </w:r>
    </w:p>
    <w:p w:rsidR="00E94D86" w:rsidRPr="00AE3F2B" w:rsidRDefault="001E3125">
      <w:pPr>
        <w:ind w:left="567" w:right="710"/>
        <w:jc w:val="both"/>
        <w:rPr>
          <w:rFonts w:ascii="Palatino Linotype" w:eastAsia="Palatino Linotype" w:hAnsi="Palatino Linotype" w:cs="Palatino Linotype"/>
          <w:b/>
          <w:i/>
          <w:sz w:val="22"/>
          <w:szCs w:val="22"/>
        </w:rPr>
      </w:pPr>
      <w:r w:rsidRPr="00AE3F2B">
        <w:rPr>
          <w:rFonts w:ascii="Palatino Linotype" w:eastAsia="Palatino Linotype" w:hAnsi="Palatino Linotype" w:cs="Palatino Linotype"/>
          <w:b/>
          <w:i/>
          <w:sz w:val="22"/>
          <w:szCs w:val="22"/>
        </w:rPr>
        <w:t>A</w:t>
      </w:r>
      <w:r w:rsidRPr="00AE3F2B">
        <w:rPr>
          <w:rFonts w:ascii="Palatino Linotype" w:eastAsia="Palatino Linotype" w:hAnsi="Palatino Linotype" w:cs="Palatino Linotype"/>
          <w:i/>
          <w:sz w:val="22"/>
          <w:szCs w:val="22"/>
        </w:rPr>
        <w:t xml:space="preserve">. </w:t>
      </w:r>
      <w:r w:rsidRPr="00AE3F2B">
        <w:rPr>
          <w:rFonts w:ascii="Palatino Linotype" w:eastAsia="Palatino Linotype" w:hAnsi="Palatino Linotype" w:cs="Palatino Linotype"/>
          <w:b/>
          <w:i/>
          <w:sz w:val="22"/>
          <w:szCs w:val="22"/>
        </w:rPr>
        <w:t>Para el ejercicio del derecho de acceso a la información</w:t>
      </w:r>
      <w:r w:rsidRPr="00AE3F2B">
        <w:rPr>
          <w:rFonts w:ascii="Palatino Linotype" w:eastAsia="Palatino Linotype" w:hAnsi="Palatino Linotype" w:cs="Palatino Linotype"/>
          <w:i/>
          <w:sz w:val="22"/>
          <w:szCs w:val="22"/>
        </w:rPr>
        <w:t xml:space="preserve">, la Federación y </w:t>
      </w:r>
      <w:r w:rsidRPr="00AE3F2B">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E94D86" w:rsidRPr="00AE3F2B" w:rsidRDefault="001E3125">
      <w:pPr>
        <w:ind w:left="567" w:right="710"/>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 xml:space="preserve">I. </w:t>
      </w:r>
      <w:r w:rsidRPr="00AE3F2B">
        <w:rPr>
          <w:rFonts w:ascii="Palatino Linotype" w:eastAsia="Palatino Linotype" w:hAnsi="Palatino Linotype" w:cs="Palatino Linotype"/>
          <w:b/>
          <w:i/>
          <w:sz w:val="22"/>
          <w:szCs w:val="22"/>
        </w:rPr>
        <w:tab/>
        <w:t>Toda la información en posesión de cualquier</w:t>
      </w:r>
      <w:r w:rsidRPr="00AE3F2B">
        <w:rPr>
          <w:rFonts w:ascii="Palatino Linotype" w:eastAsia="Palatino Linotype" w:hAnsi="Palatino Linotype" w:cs="Palatino Linotype"/>
          <w:i/>
          <w:sz w:val="22"/>
          <w:szCs w:val="22"/>
        </w:rPr>
        <w:t xml:space="preserve"> </w:t>
      </w:r>
      <w:r w:rsidRPr="00AE3F2B">
        <w:rPr>
          <w:rFonts w:ascii="Palatino Linotype" w:eastAsia="Palatino Linotype" w:hAnsi="Palatino Linotype" w:cs="Palatino Linotype"/>
          <w:b/>
          <w:i/>
          <w:sz w:val="22"/>
          <w:szCs w:val="22"/>
        </w:rPr>
        <w:t>autoridad</w:t>
      </w:r>
      <w:r w:rsidRPr="00AE3F2B">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E3F2B">
        <w:rPr>
          <w:rFonts w:ascii="Palatino Linotype" w:eastAsia="Palatino Linotype" w:hAnsi="Palatino Linotype" w:cs="Palatino Linotype"/>
          <w:b/>
          <w:i/>
          <w:sz w:val="22"/>
          <w:szCs w:val="22"/>
        </w:rPr>
        <w:t>municipal</w:t>
      </w:r>
      <w:r w:rsidRPr="00AE3F2B">
        <w:rPr>
          <w:rFonts w:ascii="Palatino Linotype" w:eastAsia="Palatino Linotype" w:hAnsi="Palatino Linotype" w:cs="Palatino Linotype"/>
          <w:i/>
          <w:sz w:val="22"/>
          <w:szCs w:val="22"/>
        </w:rPr>
        <w:t xml:space="preserve">, </w:t>
      </w:r>
      <w:r w:rsidRPr="00AE3F2B">
        <w:rPr>
          <w:rFonts w:ascii="Palatino Linotype" w:eastAsia="Palatino Linotype" w:hAnsi="Palatino Linotype" w:cs="Palatino Linotype"/>
          <w:b/>
          <w:i/>
          <w:sz w:val="22"/>
          <w:szCs w:val="22"/>
        </w:rPr>
        <w:t>es pública</w:t>
      </w:r>
      <w:r w:rsidRPr="00AE3F2B">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AE3F2B">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AE3F2B">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E94D86" w:rsidRPr="00AE3F2B" w:rsidRDefault="00E94D86" w:rsidP="00831332">
      <w:pPr>
        <w:tabs>
          <w:tab w:val="left" w:pos="426"/>
          <w:tab w:val="left" w:pos="567"/>
        </w:tabs>
        <w:ind w:left="567" w:right="710"/>
        <w:jc w:val="both"/>
        <w:rPr>
          <w:rFonts w:ascii="Palatino Linotype" w:eastAsia="Palatino Linotype" w:hAnsi="Palatino Linotype" w:cs="Palatino Linotype"/>
          <w:color w:val="000000"/>
          <w:sz w:val="22"/>
          <w:szCs w:val="22"/>
        </w:rPr>
      </w:pPr>
    </w:p>
    <w:p w:rsidR="00E94D86" w:rsidRPr="00AE3F2B" w:rsidRDefault="001E3125">
      <w:pPr>
        <w:ind w:left="567" w:right="710"/>
        <w:jc w:val="both"/>
        <w:rPr>
          <w:rFonts w:ascii="Palatino Linotype" w:eastAsia="Palatino Linotype" w:hAnsi="Palatino Linotype" w:cs="Palatino Linotype"/>
          <w:b/>
          <w:i/>
          <w:sz w:val="22"/>
          <w:szCs w:val="22"/>
        </w:rPr>
      </w:pPr>
      <w:r w:rsidRPr="00AE3F2B">
        <w:rPr>
          <w:rFonts w:ascii="Palatino Linotype" w:eastAsia="Palatino Linotype" w:hAnsi="Palatino Linotype" w:cs="Palatino Linotype"/>
          <w:b/>
          <w:i/>
          <w:sz w:val="22"/>
          <w:szCs w:val="22"/>
        </w:rPr>
        <w:t>Constitución Política del Estado Libre y Soberano de México</w:t>
      </w:r>
    </w:p>
    <w:p w:rsidR="00E94D86" w:rsidRPr="00AE3F2B" w:rsidRDefault="001E3125">
      <w:pPr>
        <w:ind w:left="567" w:right="710"/>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“Artículo 5</w:t>
      </w:r>
      <w:r w:rsidRPr="00AE3F2B">
        <w:rPr>
          <w:rFonts w:ascii="Palatino Linotype" w:eastAsia="Palatino Linotype" w:hAnsi="Palatino Linotype" w:cs="Palatino Linotype"/>
          <w:i/>
          <w:sz w:val="22"/>
          <w:szCs w:val="22"/>
        </w:rPr>
        <w:t>.-…</w:t>
      </w:r>
    </w:p>
    <w:p w:rsidR="00E94D86" w:rsidRPr="00AE3F2B" w:rsidRDefault="001E3125">
      <w:pPr>
        <w:ind w:left="567" w:right="710"/>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i/>
          <w:sz w:val="22"/>
          <w:szCs w:val="22"/>
        </w:rPr>
        <w:lastRenderedPageBreak/>
        <w:t>…</w:t>
      </w:r>
    </w:p>
    <w:p w:rsidR="00E94D86" w:rsidRPr="00AE3F2B" w:rsidRDefault="001E3125">
      <w:pPr>
        <w:ind w:left="567" w:right="710"/>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AE3F2B">
        <w:rPr>
          <w:rFonts w:ascii="Palatino Linotype" w:eastAsia="Palatino Linotype" w:hAnsi="Palatino Linotype" w:cs="Palatino Linotype"/>
          <w:i/>
          <w:sz w:val="22"/>
          <w:szCs w:val="22"/>
        </w:rPr>
        <w:t>.</w:t>
      </w:r>
    </w:p>
    <w:p w:rsidR="00E94D86" w:rsidRPr="00AE3F2B" w:rsidRDefault="001E3125">
      <w:pPr>
        <w:ind w:left="567" w:right="710"/>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E94D86" w:rsidRPr="00AE3F2B" w:rsidRDefault="00E94D86">
      <w:pPr>
        <w:ind w:left="567" w:right="710"/>
        <w:jc w:val="both"/>
        <w:rPr>
          <w:rFonts w:ascii="Palatino Linotype" w:eastAsia="Palatino Linotype" w:hAnsi="Palatino Linotype" w:cs="Palatino Linotype"/>
          <w:i/>
          <w:sz w:val="22"/>
          <w:szCs w:val="22"/>
        </w:rPr>
      </w:pPr>
    </w:p>
    <w:p w:rsidR="00E94D86" w:rsidRPr="00AE3F2B" w:rsidRDefault="001E3125">
      <w:pPr>
        <w:ind w:left="567" w:right="710"/>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Este derecho se regirá por los principios y bases siguientes</w:t>
      </w:r>
      <w:r w:rsidRPr="00AE3F2B">
        <w:rPr>
          <w:rFonts w:ascii="Palatino Linotype" w:eastAsia="Palatino Linotype" w:hAnsi="Palatino Linotype" w:cs="Palatino Linotype"/>
          <w:i/>
          <w:sz w:val="22"/>
          <w:szCs w:val="22"/>
        </w:rPr>
        <w:t>:</w:t>
      </w:r>
    </w:p>
    <w:p w:rsidR="00E94D86" w:rsidRPr="00AE3F2B" w:rsidRDefault="001E3125">
      <w:pPr>
        <w:ind w:left="567" w:right="71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i/>
          <w:sz w:val="22"/>
          <w:szCs w:val="22"/>
        </w:rPr>
        <w:t>Toda la información en posesión de cualquier autoridad, entidad, órgano y organismos de los</w:t>
      </w:r>
      <w:r w:rsidRPr="00AE3F2B">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AE3F2B">
        <w:rPr>
          <w:rFonts w:ascii="Palatino Linotype" w:eastAsia="Palatino Linotype" w:hAnsi="Palatino Linotype" w:cs="Palatino Linotype"/>
          <w:b/>
          <w:i/>
          <w:sz w:val="22"/>
          <w:szCs w:val="22"/>
        </w:rPr>
        <w:t>municipales</w:t>
      </w:r>
      <w:r w:rsidRPr="00AE3F2B">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E3F2B">
        <w:rPr>
          <w:rFonts w:ascii="Palatino Linotype" w:eastAsia="Palatino Linotype" w:hAnsi="Palatino Linotype" w:cs="Palatino Linotype"/>
          <w:b/>
          <w:i/>
          <w:sz w:val="22"/>
          <w:szCs w:val="22"/>
        </w:rPr>
        <w:t>es pública</w:t>
      </w:r>
      <w:r w:rsidRPr="00AE3F2B">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AE3F2B">
        <w:rPr>
          <w:rFonts w:ascii="Palatino Linotype" w:eastAsia="Palatino Linotype" w:hAnsi="Palatino Linotype" w:cs="Palatino Linotype"/>
          <w:b/>
          <w:i/>
          <w:sz w:val="22"/>
          <w:szCs w:val="22"/>
        </w:rPr>
        <w:t>En la interpretación de este derecho deberá prevalecer el principio de máxima publicidad</w:t>
      </w:r>
      <w:r w:rsidRPr="00AE3F2B">
        <w:rPr>
          <w:rFonts w:ascii="Palatino Linotype" w:eastAsia="Palatino Linotype" w:hAnsi="Palatino Linotype" w:cs="Palatino Linotype"/>
          <w:i/>
          <w:sz w:val="22"/>
          <w:szCs w:val="22"/>
        </w:rPr>
        <w:t xml:space="preserve">. </w:t>
      </w:r>
      <w:r w:rsidRPr="00AE3F2B">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AE3F2B">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E94D86" w:rsidRPr="00AE3F2B" w:rsidRDefault="00E94D86" w:rsidP="000A31EF">
      <w:pPr>
        <w:rPr>
          <w:rFonts w:ascii="Palatino Linotype" w:eastAsia="Palatino Linotype" w:hAnsi="Palatino Linotype" w:cs="Palatino Linotype"/>
          <w:b/>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color w:val="000000"/>
          <w:sz w:val="22"/>
          <w:szCs w:val="22"/>
        </w:rPr>
        <w:t xml:space="preserve">Según </w:t>
      </w:r>
      <w:r w:rsidRPr="00AE3F2B">
        <w:rPr>
          <w:rFonts w:ascii="Palatino Linotype" w:eastAsia="Palatino Linotype" w:hAnsi="Palatino Linotype" w:cs="Palatino Linotype"/>
          <w:sz w:val="22"/>
          <w:szCs w:val="22"/>
        </w:rPr>
        <w:t xml:space="preserve">el artículo 150 de la Ley de Transparencia del Estado, la solicitud es la garantía primaria del Derecho de Acceso a la Información, además, establece que se regirá </w:t>
      </w:r>
      <w:r w:rsidRPr="00AE3F2B">
        <w:rPr>
          <w:rFonts w:ascii="Palatino Linotype" w:eastAsia="Palatino Linotype" w:hAnsi="Palatino Linotype" w:cs="Palatino Linotype"/>
          <w:i/>
          <w:sz w:val="22"/>
          <w:szCs w:val="22"/>
        </w:rPr>
        <w:t>por los principios de simplicidad, rapidez gratuidad del procedimiento, auxilio y orientación a los particulares</w:t>
      </w:r>
      <w:r w:rsidRPr="00AE3F2B">
        <w:rPr>
          <w:rFonts w:ascii="Palatino Linotype" w:eastAsia="Palatino Linotype" w:hAnsi="Palatino Linotype" w:cs="Palatino Linotype"/>
          <w:sz w:val="22"/>
          <w:szCs w:val="22"/>
        </w:rPr>
        <w:t>, contemplando el derecho de las personas con discapacidad y hablantes de lengua indígena.</w:t>
      </w:r>
    </w:p>
    <w:p w:rsidR="00E94D86" w:rsidRPr="00AE3F2B" w:rsidRDefault="00E94D86" w:rsidP="000A31EF">
      <w:pPr>
        <w:ind w:right="-592"/>
        <w:jc w:val="both"/>
        <w:rPr>
          <w:rFonts w:ascii="Palatino Linotype" w:eastAsia="Palatino Linotype" w:hAnsi="Palatino Linotype" w:cs="Palatino Linotype"/>
          <w:b/>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color w:val="000000"/>
          <w:sz w:val="22"/>
          <w:szCs w:val="22"/>
        </w:rPr>
        <w:t xml:space="preserve">El </w:t>
      </w:r>
      <w:r w:rsidRPr="00AE3F2B">
        <w:rPr>
          <w:rFonts w:ascii="Palatino Linotype" w:eastAsia="Palatino Linotype" w:hAnsi="Palatino Linotype" w:cs="Palatino Linotype"/>
          <w:sz w:val="22"/>
          <w:szCs w:val="22"/>
        </w:rPr>
        <w:t xml:space="preserve">Derecho de Acceso a la Información se garantiza y respeta oportunamente, y según lo que dispone la Ley, las </w:t>
      </w:r>
      <w:r w:rsidRPr="00AE3F2B">
        <w:rPr>
          <w:rFonts w:ascii="Palatino Linotype" w:eastAsia="Palatino Linotype" w:hAnsi="Palatino Linotype" w:cs="Palatino Linotype"/>
          <w:i/>
          <w:sz w:val="22"/>
          <w:szCs w:val="22"/>
        </w:rPr>
        <w:t>solicitudes de acceso a la información</w:t>
      </w:r>
      <w:r w:rsidRPr="00AE3F2B">
        <w:rPr>
          <w:rFonts w:ascii="Palatino Linotype" w:eastAsia="Palatino Linotype" w:hAnsi="Palatino Linotype" w:cs="Palatino Linotype"/>
          <w:sz w:val="22"/>
          <w:szCs w:val="22"/>
        </w:rPr>
        <w:t>.</w:t>
      </w:r>
    </w:p>
    <w:p w:rsidR="0033488B" w:rsidRPr="00AE3F2B" w:rsidRDefault="0033488B" w:rsidP="000A31EF">
      <w:pPr>
        <w:ind w:right="1"/>
        <w:jc w:val="both"/>
        <w:rPr>
          <w:rFonts w:ascii="Palatino Linotype" w:eastAsia="Palatino Linotype" w:hAnsi="Palatino Linotype" w:cs="Palatino Linotype"/>
          <w:b/>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color w:val="000000"/>
          <w:sz w:val="22"/>
          <w:szCs w:val="22"/>
        </w:rPr>
        <w:t xml:space="preserve">Así </w:t>
      </w:r>
      <w:r w:rsidRPr="00AE3F2B">
        <w:rPr>
          <w:rFonts w:ascii="Palatino Linotype" w:eastAsia="Palatino Linotype" w:hAnsi="Palatino Linotype" w:cs="Palatino Linotype"/>
          <w:sz w:val="22"/>
          <w:szCs w:val="22"/>
        </w:rPr>
        <w:t xml:space="preserve">entonces, se procede analizar, en primer lugar, si el </w:t>
      </w:r>
      <w:r w:rsidRPr="00AE3F2B">
        <w:rPr>
          <w:rFonts w:ascii="Palatino Linotype" w:eastAsia="Palatino Linotype" w:hAnsi="Palatino Linotype" w:cs="Palatino Linotype"/>
          <w:b/>
          <w:sz w:val="22"/>
          <w:szCs w:val="22"/>
        </w:rPr>
        <w:t>SUJETO OBLIGADO</w:t>
      </w:r>
      <w:r w:rsidRPr="00AE3F2B">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w:t>
      </w:r>
      <w:r w:rsidRPr="00AE3F2B">
        <w:rPr>
          <w:rFonts w:ascii="Palatino Linotype" w:eastAsia="Palatino Linotype" w:hAnsi="Palatino Linotype" w:cs="Palatino Linotype"/>
          <w:sz w:val="22"/>
          <w:szCs w:val="22"/>
        </w:rPr>
        <w:lastRenderedPageBreak/>
        <w:t>Estado de México y Municipios y en segundo término si cumplió con su deber de respetar y garantizar el derecho, entregando la información solicitada.</w:t>
      </w:r>
    </w:p>
    <w:p w:rsidR="00E94D86" w:rsidRPr="00AE3F2B" w:rsidRDefault="00E94D86" w:rsidP="000A31EF">
      <w:pPr>
        <w:rPr>
          <w:rFonts w:ascii="Palatino Linotype" w:eastAsia="Palatino Linotype" w:hAnsi="Palatino Linotype" w:cs="Palatino Linotype"/>
          <w:b/>
          <w:sz w:val="22"/>
          <w:szCs w:val="22"/>
        </w:rPr>
      </w:pPr>
    </w:p>
    <w:p w:rsidR="00E94D86" w:rsidRPr="00AE3F2B" w:rsidRDefault="001E3125">
      <w:pPr>
        <w:keepNext/>
        <w:keepLines/>
        <w:numPr>
          <w:ilvl w:val="1"/>
          <w:numId w:val="2"/>
        </w:numPr>
        <w:spacing w:line="360" w:lineRule="auto"/>
        <w:ind w:left="567" w:right="-592"/>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t>De la información solicitada y la respuesta del SUJETO OBLIGADO.</w:t>
      </w:r>
    </w:p>
    <w:p w:rsidR="00E94D86" w:rsidRPr="00AE3F2B" w:rsidRDefault="00E94D86" w:rsidP="000A31EF">
      <w:pPr>
        <w:rPr>
          <w:rFonts w:ascii="Palatino Linotype" w:eastAsia="Palatino Linotype" w:hAnsi="Palatino Linotype" w:cs="Palatino Linotype"/>
          <w:b/>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4" w:name="_heading=h.30j0zll" w:colFirst="0" w:colLast="0"/>
      <w:bookmarkEnd w:id="4"/>
      <w:r w:rsidRPr="00AE3F2B">
        <w:rPr>
          <w:rFonts w:ascii="Palatino Linotype" w:eastAsia="Palatino Linotype" w:hAnsi="Palatino Linotype" w:cs="Palatino Linotype"/>
          <w:sz w:val="22"/>
          <w:szCs w:val="22"/>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E94D86" w:rsidRPr="00AE3F2B" w:rsidRDefault="00E94D86" w:rsidP="000A31EF">
      <w:pPr>
        <w:ind w:right="1"/>
        <w:jc w:val="both"/>
        <w:rPr>
          <w:rFonts w:ascii="Palatino Linotype" w:eastAsia="Palatino Linotype" w:hAnsi="Palatino Linotype" w:cs="Palatino Linotype"/>
          <w:b/>
          <w:sz w:val="22"/>
          <w:szCs w:val="22"/>
        </w:rPr>
      </w:pPr>
    </w:p>
    <w:p w:rsidR="00073512" w:rsidRPr="00AE3F2B" w:rsidRDefault="001E3125" w:rsidP="00042FA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 xml:space="preserve">Así, debemos recapitular que, el </w:t>
      </w:r>
      <w:r w:rsidRPr="00AE3F2B">
        <w:rPr>
          <w:rFonts w:ascii="Palatino Linotype" w:eastAsia="Palatino Linotype" w:hAnsi="Palatino Linotype" w:cs="Palatino Linotype"/>
          <w:b/>
          <w:sz w:val="22"/>
          <w:szCs w:val="22"/>
        </w:rPr>
        <w:t>RECURRENTE</w:t>
      </w:r>
      <w:r w:rsidR="00042FAE" w:rsidRPr="00AE3F2B">
        <w:rPr>
          <w:rFonts w:ascii="Palatino Linotype" w:eastAsia="Palatino Linotype" w:hAnsi="Palatino Linotype" w:cs="Palatino Linotype"/>
          <w:sz w:val="22"/>
          <w:szCs w:val="22"/>
        </w:rPr>
        <w:t xml:space="preserve"> </w:t>
      </w:r>
      <w:r w:rsidR="00663C8A" w:rsidRPr="00AE3F2B">
        <w:rPr>
          <w:rFonts w:ascii="Palatino Linotype" w:eastAsia="Palatino Linotype" w:hAnsi="Palatino Linotype" w:cs="Palatino Linotype"/>
          <w:sz w:val="22"/>
          <w:szCs w:val="22"/>
        </w:rPr>
        <w:t>solicitó</w:t>
      </w:r>
      <w:r w:rsidR="00663C8A" w:rsidRPr="00AE3F2B">
        <w:rPr>
          <w:rFonts w:ascii="Palatino Linotype" w:eastAsia="Palatino Linotype" w:hAnsi="Palatino Linotype" w:cs="Palatino Linotype"/>
          <w:b/>
          <w:sz w:val="22"/>
          <w:szCs w:val="22"/>
        </w:rPr>
        <w:t xml:space="preserve"> </w:t>
      </w:r>
      <w:r w:rsidR="00F10800" w:rsidRPr="00AE3F2B">
        <w:rPr>
          <w:rFonts w:ascii="Palatino Linotype" w:hAnsi="Palatino Linotype"/>
          <w:b/>
          <w:color w:val="000000"/>
          <w:sz w:val="22"/>
          <w:szCs w:val="22"/>
        </w:rPr>
        <w:t>la nómina de todas las áreas administrativas del Ayuntamiento de San Martín de las Pirámides, en donde se identifique el nombre completo, cargo, área de adscripción y sueldo de los Servidores Públicos.</w:t>
      </w:r>
    </w:p>
    <w:p w:rsidR="00E94D86" w:rsidRPr="00AE3F2B" w:rsidRDefault="00E94D86" w:rsidP="000A31EF">
      <w:pPr>
        <w:ind w:right="1"/>
        <w:jc w:val="both"/>
        <w:rPr>
          <w:rFonts w:ascii="Palatino Linotype" w:eastAsia="Palatino Linotype" w:hAnsi="Palatino Linotype" w:cs="Palatino Linotype"/>
          <w:b/>
          <w:sz w:val="22"/>
          <w:szCs w:val="22"/>
        </w:rPr>
      </w:pPr>
    </w:p>
    <w:p w:rsidR="00073512" w:rsidRPr="00AE3F2B" w:rsidRDefault="001E3125" w:rsidP="00F10800">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 xml:space="preserve">En respuesta, el </w:t>
      </w:r>
      <w:r w:rsidRPr="00AE3F2B">
        <w:rPr>
          <w:rFonts w:ascii="Palatino Linotype" w:eastAsia="Palatino Linotype" w:hAnsi="Palatino Linotype" w:cs="Palatino Linotype"/>
          <w:b/>
          <w:sz w:val="22"/>
          <w:szCs w:val="22"/>
        </w:rPr>
        <w:t>SUJETO OBLIGADO</w:t>
      </w:r>
      <w:r w:rsidRPr="00AE3F2B">
        <w:rPr>
          <w:rFonts w:ascii="Palatino Linotype" w:eastAsia="Palatino Linotype" w:hAnsi="Palatino Linotype" w:cs="Palatino Linotype"/>
          <w:sz w:val="22"/>
          <w:szCs w:val="22"/>
        </w:rPr>
        <w:t xml:space="preserve"> </w:t>
      </w:r>
      <w:r w:rsidR="00F10800" w:rsidRPr="00AE3F2B">
        <w:rPr>
          <w:rFonts w:ascii="Palatino Linotype" w:eastAsia="Palatino Linotype" w:hAnsi="Palatino Linotype" w:cs="Palatino Linotype"/>
          <w:sz w:val="22"/>
          <w:szCs w:val="22"/>
        </w:rPr>
        <w:t xml:space="preserve">remitió el </w:t>
      </w:r>
      <w:r w:rsidR="00F10800" w:rsidRPr="00AE3F2B">
        <w:rPr>
          <w:rFonts w:ascii="Palatino Linotype" w:hAnsi="Palatino Linotype"/>
          <w:sz w:val="22"/>
          <w:szCs w:val="22"/>
        </w:rPr>
        <w:t xml:space="preserve">un listado donde se advierte el nombre, cargo y área de los servidores públicos del Ayuntamiento de San Martín de las Pirámides, asimismo, remitió un enlace electrónico que da acceso directo al </w:t>
      </w:r>
      <w:r w:rsidR="00F10800" w:rsidRPr="00AE3F2B">
        <w:rPr>
          <w:rFonts w:ascii="Palatino Linotype" w:eastAsia="Palatino Linotype" w:hAnsi="Palatino Linotype" w:cs="Palatino Linotype"/>
          <w:sz w:val="22"/>
          <w:szCs w:val="22"/>
        </w:rPr>
        <w:t>PbRM-05 “Tabulador de Sueldos” del Presupuesto Basado en Resultados Municipal de 2024.</w:t>
      </w:r>
    </w:p>
    <w:p w:rsidR="00F10800" w:rsidRPr="00AE3F2B" w:rsidRDefault="00F10800" w:rsidP="000A31EF">
      <w:pPr>
        <w:ind w:right="1"/>
        <w:jc w:val="both"/>
        <w:rPr>
          <w:rFonts w:ascii="Palatino Linotype" w:eastAsia="Palatino Linotype" w:hAnsi="Palatino Linotype" w:cs="Palatino Linotype"/>
          <w:sz w:val="22"/>
          <w:szCs w:val="22"/>
        </w:rPr>
      </w:pPr>
    </w:p>
    <w:p w:rsidR="00073512" w:rsidRPr="00AE3F2B" w:rsidRDefault="001E3125" w:rsidP="00F10800">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 xml:space="preserve">Posteriormente, el </w:t>
      </w:r>
      <w:r w:rsidRPr="00AE3F2B">
        <w:rPr>
          <w:rFonts w:ascii="Palatino Linotype" w:eastAsia="Palatino Linotype" w:hAnsi="Palatino Linotype" w:cs="Palatino Linotype"/>
          <w:b/>
          <w:sz w:val="22"/>
          <w:szCs w:val="22"/>
        </w:rPr>
        <w:t>RECURRENTE</w:t>
      </w:r>
      <w:r w:rsidRPr="00AE3F2B">
        <w:rPr>
          <w:rFonts w:ascii="Palatino Linotype" w:eastAsia="Palatino Linotype" w:hAnsi="Palatino Linotype" w:cs="Palatino Linotype"/>
          <w:sz w:val="22"/>
          <w:szCs w:val="22"/>
        </w:rPr>
        <w:t xml:space="preserve"> se inconformó por </w:t>
      </w:r>
      <w:r w:rsidR="00F10800" w:rsidRPr="00AE3F2B">
        <w:rPr>
          <w:rFonts w:ascii="Palatino Linotype" w:eastAsia="Palatino Linotype" w:hAnsi="Palatino Linotype" w:cs="Palatino Linotype"/>
          <w:b/>
          <w:sz w:val="22"/>
          <w:szCs w:val="22"/>
        </w:rPr>
        <w:t>la entrega información que no corresponde a la solicitada y la entrega de información incompleta.</w:t>
      </w:r>
    </w:p>
    <w:p w:rsidR="00F10800" w:rsidRPr="00AE3F2B" w:rsidRDefault="00F10800" w:rsidP="000A31EF">
      <w:pPr>
        <w:ind w:right="1"/>
        <w:jc w:val="both"/>
        <w:rPr>
          <w:rFonts w:ascii="Palatino Linotype" w:eastAsia="Palatino Linotype" w:hAnsi="Palatino Linotype" w:cs="Palatino Linotype"/>
          <w:b/>
          <w:sz w:val="22"/>
          <w:szCs w:val="22"/>
        </w:rPr>
      </w:pPr>
    </w:p>
    <w:p w:rsidR="00042FAE" w:rsidRPr="00AE3F2B" w:rsidRDefault="00042FAE" w:rsidP="00042FA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 xml:space="preserve">En razón de lo anterior, el estudio del presente asunto versará en analizar las constancias que obran en el expediente digital formado en el </w:t>
      </w:r>
      <w:r w:rsidRPr="00AE3F2B">
        <w:rPr>
          <w:rFonts w:ascii="Palatino Linotype" w:eastAsia="Palatino Linotype" w:hAnsi="Palatino Linotype" w:cs="Palatino Linotype"/>
          <w:b/>
          <w:sz w:val="22"/>
          <w:szCs w:val="22"/>
        </w:rPr>
        <w:t>SAIMEX</w:t>
      </w:r>
      <w:r w:rsidRPr="00AE3F2B">
        <w:rPr>
          <w:rFonts w:ascii="Palatino Linotype" w:eastAsia="Palatino Linotype" w:hAnsi="Palatino Linotype" w:cs="Palatino Linotype"/>
          <w:sz w:val="22"/>
          <w:szCs w:val="22"/>
        </w:rPr>
        <w:t xml:space="preserve">, así como los agravios expuestos por el </w:t>
      </w:r>
      <w:r w:rsidRPr="00AE3F2B">
        <w:rPr>
          <w:rFonts w:ascii="Palatino Linotype" w:eastAsia="Palatino Linotype" w:hAnsi="Palatino Linotype" w:cs="Palatino Linotype"/>
          <w:b/>
          <w:sz w:val="22"/>
          <w:szCs w:val="22"/>
        </w:rPr>
        <w:t xml:space="preserve">RECURRENTE </w:t>
      </w:r>
      <w:r w:rsidRPr="00AE3F2B">
        <w:rPr>
          <w:rFonts w:ascii="Palatino Linotype" w:eastAsia="Palatino Linotype" w:hAnsi="Palatino Linotype" w:cs="Palatino Linotype"/>
          <w:sz w:val="22"/>
          <w:szCs w:val="22"/>
        </w:rPr>
        <w:t xml:space="preserve">a través del recurso de revisión </w:t>
      </w:r>
      <w:r w:rsidRPr="00AE3F2B">
        <w:rPr>
          <w:rFonts w:ascii="Palatino Linotype" w:eastAsia="Palatino Linotype" w:hAnsi="Palatino Linotype" w:cs="Palatino Linotype"/>
          <w:b/>
          <w:sz w:val="22"/>
          <w:szCs w:val="22"/>
        </w:rPr>
        <w:t>0</w:t>
      </w:r>
      <w:r w:rsidR="00F10800" w:rsidRPr="00AE3F2B">
        <w:rPr>
          <w:rFonts w:ascii="Palatino Linotype" w:eastAsia="Palatino Linotype" w:hAnsi="Palatino Linotype" w:cs="Palatino Linotype"/>
          <w:b/>
          <w:sz w:val="22"/>
          <w:szCs w:val="22"/>
        </w:rPr>
        <w:t>5578</w:t>
      </w:r>
      <w:r w:rsidRPr="00AE3F2B">
        <w:rPr>
          <w:rFonts w:ascii="Palatino Linotype" w:eastAsia="Palatino Linotype" w:hAnsi="Palatino Linotype" w:cs="Palatino Linotype"/>
          <w:b/>
          <w:sz w:val="22"/>
          <w:szCs w:val="22"/>
        </w:rPr>
        <w:t>/INFOEM/IP/RR/2024,</w:t>
      </w:r>
      <w:r w:rsidRPr="00AE3F2B">
        <w:rPr>
          <w:rFonts w:ascii="Palatino Linotype" w:eastAsia="Palatino Linotype" w:hAnsi="Palatino Linotype" w:cs="Palatino Linotype"/>
          <w:sz w:val="22"/>
          <w:szCs w:val="22"/>
        </w:rPr>
        <w:t xml:space="preserve"> con el objeto de </w:t>
      </w:r>
      <w:r w:rsidRPr="00AE3F2B">
        <w:rPr>
          <w:rFonts w:ascii="Palatino Linotype" w:eastAsia="Palatino Linotype" w:hAnsi="Palatino Linotype" w:cs="Palatino Linotype"/>
          <w:sz w:val="22"/>
          <w:szCs w:val="22"/>
        </w:rPr>
        <w:lastRenderedPageBreak/>
        <w:t>determinar si, con su respuesta, el</w:t>
      </w:r>
      <w:r w:rsidRPr="00AE3F2B">
        <w:rPr>
          <w:rFonts w:ascii="Palatino Linotype" w:eastAsia="Palatino Linotype" w:hAnsi="Palatino Linotype" w:cs="Palatino Linotype"/>
          <w:b/>
          <w:sz w:val="22"/>
          <w:szCs w:val="22"/>
        </w:rPr>
        <w:t xml:space="preserve"> SUJETO OBLIGADO </w:t>
      </w:r>
      <w:r w:rsidRPr="00AE3F2B">
        <w:rPr>
          <w:rFonts w:ascii="Palatino Linotype" w:eastAsia="Palatino Linotype" w:hAnsi="Palatino Linotype" w:cs="Palatino Linotype"/>
          <w:sz w:val="22"/>
          <w:szCs w:val="22"/>
        </w:rPr>
        <w:t>colmó el derecho de acceso a la información o, si por el contrario, procede la entrega de información.</w:t>
      </w:r>
    </w:p>
    <w:p w:rsidR="00AF2038" w:rsidRPr="00AE3F2B" w:rsidRDefault="00AF2038" w:rsidP="000A31EF">
      <w:pPr>
        <w:rPr>
          <w:rFonts w:ascii="Palatino Linotype" w:eastAsia="Palatino Linotype" w:hAnsi="Palatino Linotype" w:cs="Palatino Linotype"/>
          <w:b/>
          <w:sz w:val="22"/>
          <w:szCs w:val="22"/>
        </w:rPr>
      </w:pPr>
    </w:p>
    <w:p w:rsidR="00F10800" w:rsidRPr="00AE3F2B" w:rsidRDefault="00F10800" w:rsidP="00F10800">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 xml:space="preserve">Así, es necesario precisar que, si bien el </w:t>
      </w:r>
      <w:r w:rsidRPr="00AE3F2B">
        <w:rPr>
          <w:rFonts w:ascii="Palatino Linotype" w:eastAsia="Palatino Linotype" w:hAnsi="Palatino Linotype" w:cs="Palatino Linotype"/>
          <w:b/>
          <w:sz w:val="22"/>
          <w:szCs w:val="22"/>
        </w:rPr>
        <w:t>SUJETO OBLIGADO</w:t>
      </w:r>
      <w:r w:rsidRPr="00AE3F2B">
        <w:rPr>
          <w:rFonts w:ascii="Palatino Linotype" w:eastAsia="Palatino Linotype" w:hAnsi="Palatino Linotype" w:cs="Palatino Linotype"/>
          <w:sz w:val="22"/>
          <w:szCs w:val="22"/>
        </w:rPr>
        <w:t xml:space="preserve"> informó el nombre, cargo y área de adscripción de los Servidores Públicos, omitió atender lo relativo a la </w:t>
      </w:r>
      <w:r w:rsidR="008B68CE" w:rsidRPr="00AE3F2B">
        <w:rPr>
          <w:rFonts w:ascii="Palatino Linotype" w:eastAsia="Palatino Linotype" w:hAnsi="Palatino Linotype" w:cs="Palatino Linotype"/>
          <w:sz w:val="22"/>
          <w:szCs w:val="22"/>
        </w:rPr>
        <w:t>“</w:t>
      </w:r>
      <w:r w:rsidRPr="00AE3F2B">
        <w:rPr>
          <w:rFonts w:ascii="Palatino Linotype" w:eastAsia="Palatino Linotype" w:hAnsi="Palatino Linotype" w:cs="Palatino Linotype"/>
          <w:sz w:val="22"/>
          <w:szCs w:val="22"/>
        </w:rPr>
        <w:t>nómina</w:t>
      </w:r>
      <w:r w:rsidR="008B68CE" w:rsidRPr="00AE3F2B">
        <w:rPr>
          <w:rFonts w:ascii="Palatino Linotype" w:eastAsia="Palatino Linotype" w:hAnsi="Palatino Linotype" w:cs="Palatino Linotype"/>
          <w:sz w:val="22"/>
          <w:szCs w:val="22"/>
        </w:rPr>
        <w:t>”</w:t>
      </w:r>
      <w:r w:rsidRPr="00AE3F2B">
        <w:rPr>
          <w:rFonts w:ascii="Palatino Linotype" w:eastAsia="Palatino Linotype" w:hAnsi="Palatino Linotype" w:cs="Palatino Linotype"/>
          <w:sz w:val="22"/>
          <w:szCs w:val="22"/>
        </w:rPr>
        <w:t xml:space="preserve"> y las remuneraciones </w:t>
      </w:r>
      <w:r w:rsidR="008B68CE" w:rsidRPr="00AE3F2B">
        <w:rPr>
          <w:rFonts w:ascii="Palatino Linotype" w:eastAsia="Palatino Linotype" w:hAnsi="Palatino Linotype" w:cs="Palatino Linotype"/>
          <w:sz w:val="22"/>
          <w:szCs w:val="22"/>
        </w:rPr>
        <w:t>percibidas</w:t>
      </w:r>
      <w:r w:rsidRPr="00AE3F2B">
        <w:rPr>
          <w:rFonts w:ascii="Palatino Linotype" w:eastAsia="Palatino Linotype" w:hAnsi="Palatino Linotype" w:cs="Palatino Linotype"/>
          <w:sz w:val="22"/>
          <w:szCs w:val="22"/>
        </w:rPr>
        <w:t>, toda vez que</w:t>
      </w:r>
      <w:r w:rsidR="008B68CE" w:rsidRPr="00AE3F2B">
        <w:rPr>
          <w:rFonts w:ascii="Palatino Linotype" w:eastAsia="Palatino Linotype" w:hAnsi="Palatino Linotype" w:cs="Palatino Linotype"/>
          <w:sz w:val="22"/>
          <w:szCs w:val="22"/>
        </w:rPr>
        <w:t>,</w:t>
      </w:r>
      <w:r w:rsidRPr="00AE3F2B">
        <w:rPr>
          <w:rFonts w:ascii="Palatino Linotype" w:eastAsia="Palatino Linotype" w:hAnsi="Palatino Linotype" w:cs="Palatino Linotype"/>
          <w:sz w:val="22"/>
          <w:szCs w:val="22"/>
        </w:rPr>
        <w:t xml:space="preserve"> se limitó a proporcionar el “Tabulador de sueldos”, </w:t>
      </w:r>
      <w:r w:rsidR="008B68CE" w:rsidRPr="00AE3F2B">
        <w:rPr>
          <w:rFonts w:ascii="Palatino Linotype" w:eastAsia="Palatino Linotype" w:hAnsi="Palatino Linotype" w:cs="Palatino Linotype"/>
          <w:sz w:val="22"/>
          <w:szCs w:val="22"/>
        </w:rPr>
        <w:t>documento diverso al solicitado por el Particular, ya que si bien en este consta el sueldo base por puesto funcional, no se advierte el sueldo bruto y neto percibido por cada Servidor Público, así como, las prestaciones y deducciones correspondientes.</w:t>
      </w:r>
    </w:p>
    <w:p w:rsidR="00F10800" w:rsidRPr="00AE3F2B" w:rsidRDefault="00F10800" w:rsidP="000A31EF">
      <w:pPr>
        <w:ind w:right="1"/>
        <w:jc w:val="both"/>
        <w:rPr>
          <w:rFonts w:ascii="Palatino Linotype" w:eastAsia="Palatino Linotype" w:hAnsi="Palatino Linotype" w:cs="Palatino Linotype"/>
          <w:b/>
          <w:i/>
          <w:sz w:val="22"/>
          <w:szCs w:val="22"/>
        </w:rPr>
      </w:pPr>
    </w:p>
    <w:p w:rsidR="00AA23EF" w:rsidRPr="00AE3F2B" w:rsidRDefault="00AA23EF" w:rsidP="00AA23EF">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 xml:space="preserve">Correlativo a lo anterior, de </w:t>
      </w:r>
      <w:r w:rsidRPr="00AE3F2B">
        <w:rPr>
          <w:rFonts w:ascii="Palatino Linotype" w:eastAsia="MS Mincho" w:hAnsi="Palatino Linotype" w:cs="Arial"/>
          <w:sz w:val="22"/>
          <w:szCs w:val="22"/>
        </w:rPr>
        <w:t xml:space="preserve">la solicitud de información se advierte que lo requerido pudiera considerarse ambiguo, pues no se conoce con precisión a que se refiere con </w:t>
      </w:r>
      <w:r w:rsidRPr="00AE3F2B">
        <w:rPr>
          <w:rFonts w:ascii="Palatino Linotype" w:eastAsia="MS Mincho" w:hAnsi="Palatino Linotype" w:cs="Arial"/>
          <w:i/>
          <w:sz w:val="22"/>
          <w:szCs w:val="22"/>
        </w:rPr>
        <w:t>nómina</w:t>
      </w:r>
      <w:r w:rsidRPr="00AE3F2B">
        <w:rPr>
          <w:rFonts w:ascii="Palatino Linotype" w:eastAsia="MS Mincho" w:hAnsi="Palatino Linotype" w:cs="Arial"/>
          <w:sz w:val="22"/>
          <w:szCs w:val="22"/>
        </w:rPr>
        <w:t>, toda vez que se colige pudiera referirse simplemente desde el listado de servidores públicos en nómina; o el documento que muestre de manera detallada la información de los servidores públicos adscritos al Ayuntamiento de San Martin de las Pirámides, así como los conceptos y montos relacionados con sus salarios y prestaciones.</w:t>
      </w:r>
    </w:p>
    <w:p w:rsidR="00AA23EF" w:rsidRPr="00AE3F2B" w:rsidRDefault="00AA23EF" w:rsidP="000A31EF">
      <w:pPr>
        <w:ind w:right="1"/>
        <w:jc w:val="both"/>
        <w:rPr>
          <w:rFonts w:ascii="Palatino Linotype" w:eastAsia="Palatino Linotype" w:hAnsi="Palatino Linotype" w:cs="Palatino Linotype"/>
          <w:sz w:val="22"/>
          <w:szCs w:val="22"/>
        </w:rPr>
      </w:pPr>
    </w:p>
    <w:p w:rsidR="00AA23EF" w:rsidRPr="00AE3F2B" w:rsidRDefault="00AA23EF" w:rsidP="00AA23EF">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MS Mincho" w:hAnsi="Palatino Linotype" w:cs="Arial"/>
          <w:sz w:val="22"/>
          <w:szCs w:val="22"/>
        </w:rPr>
        <w:t xml:space="preserve">En esa tesitura, es que este Organismo Garante estima prudente </w:t>
      </w:r>
      <w:r w:rsidRPr="00AE3F2B">
        <w:rPr>
          <w:rFonts w:ascii="Palatino Linotype" w:eastAsia="Palatino Linotype" w:hAnsi="Palatino Linotype" w:cs="Palatino Linotype"/>
          <w:sz w:val="22"/>
          <w:szCs w:val="22"/>
        </w:rPr>
        <w:t xml:space="preserve">suplir la deficiencia </w:t>
      </w:r>
      <w:r w:rsidRPr="00AE3F2B">
        <w:rPr>
          <w:rFonts w:ascii="Palatino Linotype" w:eastAsia="MS Mincho" w:hAnsi="Palatino Linotype" w:cs="Arial"/>
          <w:sz w:val="22"/>
          <w:szCs w:val="22"/>
        </w:rPr>
        <w:t>de</w:t>
      </w:r>
      <w:r w:rsidRPr="00AE3F2B">
        <w:rPr>
          <w:rFonts w:ascii="Palatino Linotype" w:eastAsia="Palatino Linotype" w:hAnsi="Palatino Linotype" w:cs="Palatino Linotype"/>
          <w:sz w:val="22"/>
          <w:szCs w:val="22"/>
        </w:rPr>
        <w:t xml:space="preserve"> la queja en términos de la Ley de Transparencia y Acceso a la Información Pública del Estado de México y Municipios, concretamente en sus artículos 13 y 181, tercer párrafo, donde se señala el deber de este Instituto de suplir cualquier deficiencia para garantizar el derecho de acceso a la información a favor de los recurrentes sin cambiar los hechos expuestos; tal y como se lee a continuación:</w:t>
      </w:r>
    </w:p>
    <w:p w:rsidR="00AA23EF" w:rsidRPr="00AE3F2B" w:rsidRDefault="00AA23EF" w:rsidP="000A31EF">
      <w:pPr>
        <w:ind w:right="1"/>
        <w:jc w:val="both"/>
        <w:rPr>
          <w:rFonts w:ascii="Palatino Linotype" w:eastAsia="Palatino Linotype" w:hAnsi="Palatino Linotype" w:cs="Palatino Linotype"/>
          <w:sz w:val="22"/>
          <w:szCs w:val="22"/>
        </w:rPr>
      </w:pPr>
    </w:p>
    <w:p w:rsidR="00AA23EF" w:rsidRPr="00AE3F2B" w:rsidRDefault="00AA23EF" w:rsidP="00AA23EF">
      <w:pPr>
        <w:shd w:val="clear" w:color="auto" w:fill="FFFFFF"/>
        <w:spacing w:before="240" w:after="240"/>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“Artículo 13</w:t>
      </w:r>
      <w:r w:rsidRPr="00AE3F2B">
        <w:rPr>
          <w:rFonts w:ascii="Palatino Linotype" w:eastAsia="Palatino Linotype" w:hAnsi="Palatino Linotype" w:cs="Palatino Linotype"/>
          <w:i/>
          <w:sz w:val="22"/>
          <w:szCs w:val="22"/>
        </w:rPr>
        <w:t>. El Instituto, en el ámbito de sus atribuciones, deberá suplir cualquier deficiencia para garantizar el ejercicio del derecho de acceso a la información.”</w:t>
      </w:r>
    </w:p>
    <w:p w:rsidR="00AA23EF" w:rsidRPr="00AE3F2B" w:rsidRDefault="00AA23EF" w:rsidP="00AA23EF">
      <w:pPr>
        <w:shd w:val="clear" w:color="auto" w:fill="FFFFFF"/>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lastRenderedPageBreak/>
        <w:t>Artículo 181.</w:t>
      </w:r>
      <w:r w:rsidRPr="00AE3F2B">
        <w:rPr>
          <w:rFonts w:ascii="Palatino Linotype" w:eastAsia="Palatino Linotype" w:hAnsi="Palatino Linotype" w:cs="Palatino Linotype"/>
          <w:i/>
          <w:sz w:val="22"/>
          <w:szCs w:val="22"/>
        </w:rPr>
        <w:t> </w:t>
      </w:r>
    </w:p>
    <w:p w:rsidR="00AA23EF" w:rsidRPr="00AE3F2B" w:rsidRDefault="00AA23EF" w:rsidP="00AA23EF">
      <w:pPr>
        <w:shd w:val="clear" w:color="auto" w:fill="FFFFFF"/>
        <w:ind w:left="567" w:right="567"/>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i/>
          <w:sz w:val="22"/>
          <w:szCs w:val="22"/>
        </w:rPr>
        <w:t>(…)</w:t>
      </w:r>
    </w:p>
    <w:p w:rsidR="00AA23EF" w:rsidRPr="00AE3F2B" w:rsidRDefault="00AA23EF" w:rsidP="00AA23EF">
      <w:pPr>
        <w:shd w:val="clear" w:color="auto" w:fill="FFFFFF"/>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i/>
          <w:sz w:val="22"/>
          <w:szCs w:val="22"/>
        </w:rPr>
        <w:t>Durante el procedimiento deberá aplicarse la suplencia de la queja a favor del recurrente, sin cambiar los hechos expuestos, asegurándose de que las partes puedan presentar, de manera oral o escrita, los argumentos que funden y motiven sus pretensiones.”</w:t>
      </w:r>
    </w:p>
    <w:p w:rsidR="00AA23EF" w:rsidRPr="00AE3F2B" w:rsidRDefault="00AA23EF" w:rsidP="000A31EF">
      <w:pPr>
        <w:ind w:right="1"/>
        <w:jc w:val="both"/>
        <w:rPr>
          <w:rFonts w:ascii="Palatino Linotype" w:eastAsia="Palatino Linotype" w:hAnsi="Palatino Linotype" w:cs="Palatino Linotype"/>
          <w:sz w:val="22"/>
          <w:szCs w:val="22"/>
        </w:rPr>
      </w:pPr>
    </w:p>
    <w:p w:rsidR="00AA23EF" w:rsidRPr="00AE3F2B" w:rsidRDefault="00AA23EF" w:rsidP="00AA23EF">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Así también en armonía con lo señalado en la jurisprudencia y en la tesis aislada, emitida por la Suprema Corte de Justicia de la Nación, que llevan por rubro respectivamente; “</w:t>
      </w:r>
      <w:r w:rsidRPr="00AE3F2B">
        <w:rPr>
          <w:rFonts w:ascii="Palatino Linotype" w:eastAsia="Palatino Linotype" w:hAnsi="Palatino Linotype" w:cs="Palatino Linotype"/>
          <w:i/>
          <w:sz w:val="22"/>
          <w:szCs w:val="22"/>
        </w:rPr>
        <w:t>SUPLENCIA DE LA QUEJA DEFICIENTE SU PROCEDENCIA EN OTRAS MATERIAS, AUN A FALTA DE CONCEPTO DE VIOLACIÓN O AGRAVIO, CUANDO SE ADVIERTA VIOLACIÓN GRAVE Y MANIFIESTA DE LA LEY”</w:t>
      </w:r>
      <w:r w:rsidRPr="00AE3F2B">
        <w:rPr>
          <w:rFonts w:ascii="Palatino Linotype" w:eastAsia="Palatino Linotype" w:hAnsi="Palatino Linotype" w:cs="Palatino Linotype"/>
          <w:i/>
          <w:sz w:val="22"/>
          <w:szCs w:val="22"/>
          <w:vertAlign w:val="superscript"/>
        </w:rPr>
        <w:footnoteReference w:id="5"/>
      </w:r>
      <w:r w:rsidRPr="00AE3F2B">
        <w:rPr>
          <w:rFonts w:ascii="Palatino Linotype" w:eastAsia="Palatino Linotype" w:hAnsi="Palatino Linotype" w:cs="Palatino Linotype"/>
          <w:sz w:val="22"/>
          <w:szCs w:val="22"/>
        </w:rPr>
        <w:t xml:space="preserve"> y </w:t>
      </w:r>
      <w:r w:rsidRPr="00AE3F2B">
        <w:rPr>
          <w:rFonts w:ascii="Palatino Linotype" w:eastAsia="Palatino Linotype" w:hAnsi="Palatino Linotype" w:cs="Palatino Linotype"/>
          <w:i/>
          <w:sz w:val="22"/>
          <w:szCs w:val="22"/>
        </w:rPr>
        <w:t>“SUPLENCIA DE LA QUEJA DEFICIENTE EN MATERIAS CIVIL Y ADMINISTRATIVA (INTERPRETACIÓN DEL ARTÍCULO 79, FRACCIÓN VI, DE LA LEY DE AMPARO).”</w:t>
      </w:r>
      <w:r w:rsidRPr="00AE3F2B">
        <w:rPr>
          <w:rFonts w:ascii="Palatino Linotype" w:eastAsia="Palatino Linotype" w:hAnsi="Palatino Linotype" w:cs="Palatino Linotype"/>
          <w:i/>
          <w:sz w:val="22"/>
          <w:szCs w:val="22"/>
          <w:vertAlign w:val="superscript"/>
        </w:rPr>
        <w:footnoteReference w:id="6"/>
      </w:r>
      <w:r w:rsidRPr="00AE3F2B">
        <w:rPr>
          <w:rFonts w:ascii="Palatino Linotype" w:eastAsia="Palatino Linotype" w:hAnsi="Palatino Linotype" w:cs="Palatino Linotype"/>
          <w:sz w:val="22"/>
          <w:szCs w:val="22"/>
        </w:rPr>
        <w:t>, que indican esencialmente que es obligación del juzgador suplir la queja deficiente ante una violación evidente de la ley que haya dejado sin defensa al particular, aún ante la ausencia de concepto de violación con el fin de evitar el beneficio de una de las partes a costa de la indefensión de la otra.</w:t>
      </w:r>
    </w:p>
    <w:p w:rsidR="00AA23EF" w:rsidRPr="00AE3F2B" w:rsidRDefault="00AA23EF" w:rsidP="000A31EF">
      <w:pPr>
        <w:ind w:right="1"/>
        <w:jc w:val="both"/>
        <w:rPr>
          <w:rFonts w:ascii="Palatino Linotype" w:eastAsia="Palatino Linotype" w:hAnsi="Palatino Linotype" w:cs="Palatino Linotype"/>
          <w:sz w:val="22"/>
          <w:szCs w:val="22"/>
        </w:rPr>
      </w:pPr>
    </w:p>
    <w:p w:rsidR="00AA23EF" w:rsidRPr="00AE3F2B" w:rsidRDefault="00AA23EF" w:rsidP="00AA23EF">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MS Mincho" w:hAnsi="Palatino Linotype" w:cs="Arial"/>
          <w:sz w:val="22"/>
          <w:szCs w:val="22"/>
        </w:rPr>
        <w:lastRenderedPageBreak/>
        <w:t xml:space="preserve">Acotado lo anterior, se considera dable realizar la suplencia de la queja sin cambiar los </w:t>
      </w:r>
      <w:r w:rsidRPr="00AE3F2B">
        <w:rPr>
          <w:rFonts w:ascii="Palatino Linotype" w:eastAsia="Palatino Linotype" w:hAnsi="Palatino Linotype" w:cs="Palatino Linotype"/>
          <w:sz w:val="22"/>
          <w:szCs w:val="22"/>
        </w:rPr>
        <w:t>hechos</w:t>
      </w:r>
      <w:r w:rsidRPr="00AE3F2B">
        <w:rPr>
          <w:rFonts w:ascii="Palatino Linotype" w:eastAsia="MS Mincho" w:hAnsi="Palatino Linotype" w:cs="Arial"/>
          <w:sz w:val="22"/>
          <w:szCs w:val="22"/>
        </w:rPr>
        <w:t xml:space="preserve"> expuestos, para referir la solicitud de información respecto al documento denominado </w:t>
      </w:r>
      <w:r w:rsidRPr="00AE3F2B">
        <w:rPr>
          <w:rFonts w:ascii="Palatino Linotype" w:eastAsia="MS Mincho" w:hAnsi="Palatino Linotype" w:cs="Arial"/>
          <w:i/>
          <w:sz w:val="22"/>
          <w:szCs w:val="22"/>
        </w:rPr>
        <w:t>Conciliación de Nómina</w:t>
      </w:r>
      <w:r w:rsidRPr="00AE3F2B">
        <w:rPr>
          <w:rFonts w:ascii="Palatino Linotype" w:eastAsia="MS Mincho" w:hAnsi="Palatino Linotype" w:cs="Arial"/>
          <w:sz w:val="22"/>
          <w:szCs w:val="22"/>
        </w:rPr>
        <w:t xml:space="preserve">, lo anterior se sugiere así, en virtud que </w:t>
      </w:r>
      <w:r w:rsidRPr="00AE3F2B">
        <w:rPr>
          <w:rFonts w:ascii="Palatino Linotype" w:eastAsia="Palatino Linotype" w:hAnsi="Palatino Linotype" w:cs="Palatino Linotype"/>
          <w:sz w:val="22"/>
          <w:szCs w:val="22"/>
        </w:rPr>
        <w:t>el artículo 350 del Código Financiero del Estado de México y Municipios, establece que, dentro de los primeros veinte días hábiles, las Tesorerías Municipales, enviarán para su análisis y evaluación al Órgano Superior de Fiscalización del Estado de México, la información Patrimonial, Presupuestal, de la Obra Pública y de Nómina, en los términos siguientes:</w:t>
      </w:r>
    </w:p>
    <w:p w:rsidR="00AA23EF" w:rsidRPr="00AE3F2B" w:rsidRDefault="00AA23EF" w:rsidP="000A31EF">
      <w:pPr>
        <w:ind w:right="1"/>
        <w:jc w:val="both"/>
        <w:rPr>
          <w:rFonts w:ascii="Palatino Linotype" w:eastAsia="Palatino Linotype" w:hAnsi="Palatino Linotype" w:cs="Palatino Linotype"/>
          <w:sz w:val="22"/>
          <w:szCs w:val="22"/>
        </w:rPr>
      </w:pPr>
    </w:p>
    <w:p w:rsidR="00AA23EF" w:rsidRPr="00AE3F2B" w:rsidRDefault="00AA23EF" w:rsidP="00AA23EF">
      <w:pPr>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i/>
          <w:sz w:val="22"/>
          <w:szCs w:val="22"/>
        </w:rPr>
        <w:t>“</w:t>
      </w:r>
      <w:r w:rsidRPr="00AE3F2B">
        <w:rPr>
          <w:rFonts w:ascii="Palatino Linotype" w:eastAsia="Palatino Linotype" w:hAnsi="Palatino Linotype" w:cs="Palatino Linotype"/>
          <w:b/>
          <w:i/>
          <w:sz w:val="22"/>
          <w:szCs w:val="22"/>
        </w:rPr>
        <w:t>Artículo 350.-</w:t>
      </w:r>
      <w:r w:rsidRPr="00AE3F2B">
        <w:rPr>
          <w:rFonts w:ascii="Palatino Linotype" w:eastAsia="Palatino Linotype" w:hAnsi="Palatino Linotype" w:cs="Palatino Linotype"/>
          <w:i/>
          <w:sz w:val="22"/>
          <w:szCs w:val="22"/>
        </w:rPr>
        <w:t xml:space="preserve"> Mensualmente dentro de los primeros veinte días hábiles, la Secretaría y </w:t>
      </w:r>
      <w:r w:rsidRPr="00AE3F2B">
        <w:rPr>
          <w:rFonts w:ascii="Palatino Linotype" w:eastAsia="Palatino Linotype" w:hAnsi="Palatino Linotype" w:cs="Palatino Linotype"/>
          <w:b/>
          <w:i/>
          <w:sz w:val="22"/>
          <w:szCs w:val="22"/>
        </w:rPr>
        <w:t>las Tesorerías, enviarán para su análisis y evaluación</w:t>
      </w:r>
      <w:r w:rsidRPr="00AE3F2B">
        <w:rPr>
          <w:rFonts w:ascii="Palatino Linotype" w:eastAsia="Palatino Linotype" w:hAnsi="Palatino Linotype" w:cs="Palatino Linotype"/>
          <w:i/>
          <w:sz w:val="22"/>
          <w:szCs w:val="22"/>
        </w:rPr>
        <w:t xml:space="preserve"> al Órgano Superior de Fiscalización del Estado de México, la siguiente información:</w:t>
      </w:r>
    </w:p>
    <w:p w:rsidR="00AA23EF" w:rsidRPr="00AE3F2B" w:rsidRDefault="00AA23EF" w:rsidP="00AA23EF">
      <w:pPr>
        <w:ind w:left="567" w:right="567"/>
        <w:jc w:val="both"/>
        <w:rPr>
          <w:rFonts w:ascii="Palatino Linotype" w:eastAsia="Palatino Linotype" w:hAnsi="Palatino Linotype" w:cs="Palatino Linotype"/>
          <w:i/>
          <w:sz w:val="22"/>
          <w:szCs w:val="22"/>
        </w:rPr>
      </w:pPr>
    </w:p>
    <w:p w:rsidR="00AA23EF" w:rsidRPr="00AE3F2B" w:rsidRDefault="00AA23EF" w:rsidP="00AA23EF">
      <w:pPr>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i/>
          <w:sz w:val="22"/>
          <w:szCs w:val="22"/>
        </w:rPr>
        <w:t>I. Información patrimonial.</w:t>
      </w:r>
    </w:p>
    <w:p w:rsidR="00AA23EF" w:rsidRPr="00AE3F2B" w:rsidRDefault="00AA23EF" w:rsidP="00AA23EF">
      <w:pPr>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i/>
          <w:sz w:val="22"/>
          <w:szCs w:val="22"/>
        </w:rPr>
        <w:t>II. Información presupuestal.</w:t>
      </w:r>
    </w:p>
    <w:p w:rsidR="00AA23EF" w:rsidRPr="00AE3F2B" w:rsidRDefault="00AA23EF" w:rsidP="00AA23EF">
      <w:pPr>
        <w:ind w:left="567" w:right="567"/>
        <w:jc w:val="both"/>
        <w:rPr>
          <w:rFonts w:ascii="Palatino Linotype" w:eastAsia="Palatino Linotype" w:hAnsi="Palatino Linotype" w:cs="Palatino Linotype"/>
          <w:b/>
          <w:i/>
          <w:sz w:val="22"/>
          <w:szCs w:val="22"/>
        </w:rPr>
      </w:pPr>
      <w:r w:rsidRPr="00AE3F2B">
        <w:rPr>
          <w:rFonts w:ascii="Palatino Linotype" w:eastAsia="Palatino Linotype" w:hAnsi="Palatino Linotype" w:cs="Palatino Linotype"/>
          <w:i/>
          <w:sz w:val="22"/>
          <w:szCs w:val="22"/>
        </w:rPr>
        <w:t>III. Información de la obra pública.</w:t>
      </w:r>
    </w:p>
    <w:p w:rsidR="00AA23EF" w:rsidRPr="00AE3F2B" w:rsidRDefault="00AA23EF" w:rsidP="00AA23EF">
      <w:pPr>
        <w:ind w:left="567" w:right="567"/>
        <w:jc w:val="both"/>
        <w:rPr>
          <w:rFonts w:ascii="Palatino Linotype" w:eastAsia="Palatino Linotype" w:hAnsi="Palatino Linotype" w:cs="Palatino Linotype"/>
          <w:b/>
          <w:i/>
          <w:sz w:val="22"/>
          <w:szCs w:val="22"/>
        </w:rPr>
      </w:pPr>
      <w:r w:rsidRPr="00AE3F2B">
        <w:rPr>
          <w:rFonts w:ascii="Palatino Linotype" w:eastAsia="Palatino Linotype" w:hAnsi="Palatino Linotype" w:cs="Palatino Linotype"/>
          <w:b/>
          <w:i/>
          <w:sz w:val="22"/>
          <w:szCs w:val="22"/>
        </w:rPr>
        <w:t>IV. Información de nómina.”</w:t>
      </w:r>
    </w:p>
    <w:p w:rsidR="00AA23EF" w:rsidRPr="00AE3F2B" w:rsidRDefault="00AA23EF" w:rsidP="000A31EF">
      <w:pPr>
        <w:ind w:right="1"/>
        <w:jc w:val="both"/>
        <w:rPr>
          <w:rFonts w:ascii="Palatino Linotype" w:eastAsia="Palatino Linotype" w:hAnsi="Palatino Linotype" w:cs="Palatino Linotype"/>
          <w:sz w:val="22"/>
          <w:szCs w:val="22"/>
        </w:rPr>
      </w:pPr>
    </w:p>
    <w:p w:rsidR="00AA23EF" w:rsidRPr="00AE3F2B" w:rsidRDefault="00F46C8E" w:rsidP="00AA23EF">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noProof/>
          <w:sz w:val="22"/>
          <w:szCs w:val="2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1172846</wp:posOffset>
                </wp:positionV>
                <wp:extent cx="5924550" cy="240030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5924550" cy="2400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E0818" id="Conector recto 7"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35pt" to="466.5pt,28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" strokecolor="#5b9bd5 [3204]" strokeweight=".5pt">
                <v:stroke joinstyle="miter"/>
                <w10:wrap anchorx="margin"/>
              </v:line>
            </w:pict>
          </mc:Fallback>
        </mc:AlternateContent>
      </w:r>
      <w:r w:rsidR="00AA23EF" w:rsidRPr="00AE3F2B">
        <w:rPr>
          <w:rFonts w:ascii="Palatino Linotype" w:eastAsia="Palatino Linotype" w:hAnsi="Palatino Linotype" w:cs="Palatino Linotype"/>
          <w:sz w:val="22"/>
          <w:szCs w:val="22"/>
        </w:rPr>
        <w:t xml:space="preserve">En ese orden de ideas, las Políticas para la Integración del Informe Trimestral de los Sujetos de Fiscalización Estatales para el ejercicio fiscal dos mil veinticuatro, entre los formatos que maneja en el Módulo 4, donde se advierte que se encuentra la Conciliación de Nómina, misma que será integrada de manera </w:t>
      </w:r>
      <w:r w:rsidR="00F32383" w:rsidRPr="00AE3F2B">
        <w:rPr>
          <w:rFonts w:ascii="Palatino Linotype" w:eastAsia="Palatino Linotype" w:hAnsi="Palatino Linotype" w:cs="Palatino Linotype"/>
          <w:sz w:val="22"/>
          <w:szCs w:val="22"/>
        </w:rPr>
        <w:t>mensual,</w:t>
      </w:r>
      <w:r w:rsidR="00AA23EF" w:rsidRPr="00AE3F2B">
        <w:rPr>
          <w:rFonts w:ascii="Palatino Linotype" w:eastAsia="Palatino Linotype" w:hAnsi="Palatino Linotype" w:cs="Palatino Linotype"/>
          <w:sz w:val="22"/>
          <w:szCs w:val="22"/>
        </w:rPr>
        <w:t xml:space="preserve"> tal como se muestra a continuación:</w:t>
      </w:r>
    </w:p>
    <w:p w:rsidR="00AA23EF" w:rsidRPr="00AE3F2B" w:rsidRDefault="00F32383" w:rsidP="00F32383">
      <w:pPr>
        <w:spacing w:line="360" w:lineRule="auto"/>
        <w:ind w:right="1"/>
        <w:jc w:val="center"/>
        <w:rPr>
          <w:rFonts w:ascii="Palatino Linotype" w:eastAsia="Palatino Linotype" w:hAnsi="Palatino Linotype" w:cs="Palatino Linotype"/>
          <w:sz w:val="22"/>
          <w:szCs w:val="22"/>
        </w:rPr>
      </w:pPr>
      <w:r w:rsidRPr="00AE3F2B">
        <w:rPr>
          <w:rFonts w:ascii="Palatino Linotype" w:eastAsia="Palatino Linotype" w:hAnsi="Palatino Linotype" w:cs="Palatino Linotype"/>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2630805</wp:posOffset>
                </wp:positionV>
                <wp:extent cx="5915025" cy="228600"/>
                <wp:effectExtent l="19050" t="19050" r="28575" b="19050"/>
                <wp:wrapNone/>
                <wp:docPr id="5" name="Rectángulo 5"/>
                <wp:cNvGraphicFramePr/>
                <a:graphic xmlns:a="http://schemas.openxmlformats.org/drawingml/2006/main">
                  <a:graphicData uri="http://schemas.microsoft.com/office/word/2010/wordprocessingShape">
                    <wps:wsp>
                      <wps:cNvSpPr/>
                      <wps:spPr>
                        <a:xfrm>
                          <a:off x="0" y="0"/>
                          <a:ext cx="5915025" cy="2286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E6AF3" id="Rectángulo 5" o:spid="_x0000_s1026" style="position:absolute;margin-left:0;margin-top:207.15pt;width:465.75pt;height:1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" filled="f" strokecolor="#c00000" strokeweight="2.25pt">
                <w10:wrap anchorx="margin"/>
              </v:rect>
            </w:pict>
          </mc:Fallback>
        </mc:AlternateContent>
      </w:r>
      <w:r w:rsidRPr="00AE3F2B">
        <w:rPr>
          <w:rFonts w:ascii="Palatino Linotype" w:eastAsia="Palatino Linotype" w:hAnsi="Palatino Linotype" w:cs="Palatino Linotype"/>
          <w:noProof/>
          <w:sz w:val="22"/>
          <w:szCs w:val="22"/>
        </w:rPr>
        <w:drawing>
          <wp:inline distT="0" distB="0" distL="0" distR="0" wp14:anchorId="48073C9E" wp14:editId="7B983BBC">
            <wp:extent cx="5769610" cy="3100070"/>
            <wp:effectExtent l="0" t="0" r="254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86"/>
                    <a:stretch/>
                  </pic:blipFill>
                  <pic:spPr bwMode="auto">
                    <a:xfrm>
                      <a:off x="0" y="0"/>
                      <a:ext cx="5769610" cy="3100070"/>
                    </a:xfrm>
                    <a:prstGeom prst="rect">
                      <a:avLst/>
                    </a:prstGeom>
                    <a:ln>
                      <a:noFill/>
                    </a:ln>
                    <a:extLst>
                      <a:ext uri="{53640926-AAD7-44D8-BBD7-CCE9431645EC}">
                        <a14:shadowObscured xmlns:a14="http://schemas.microsoft.com/office/drawing/2010/main"/>
                      </a:ext>
                    </a:extLst>
                  </pic:spPr>
                </pic:pic>
              </a:graphicData>
            </a:graphic>
          </wp:inline>
        </w:drawing>
      </w:r>
    </w:p>
    <w:p w:rsidR="00AA23EF" w:rsidRPr="00AE3F2B" w:rsidRDefault="00AA23EF" w:rsidP="000A31EF">
      <w:pPr>
        <w:ind w:right="1"/>
        <w:jc w:val="both"/>
        <w:rPr>
          <w:rFonts w:ascii="Palatino Linotype" w:eastAsia="Palatino Linotype" w:hAnsi="Palatino Linotype" w:cs="Palatino Linotype"/>
          <w:sz w:val="22"/>
          <w:szCs w:val="22"/>
        </w:rPr>
      </w:pPr>
    </w:p>
    <w:p w:rsidR="00F32383" w:rsidRPr="00AE3F2B" w:rsidRDefault="00F32383" w:rsidP="00F32383">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 xml:space="preserve">Ahora bien, </w:t>
      </w:r>
      <w:r w:rsidRPr="00AE3F2B">
        <w:rPr>
          <w:rFonts w:ascii="Palatino Linotype" w:eastAsia="Palatino Linotype" w:hAnsi="Palatino Linotype" w:cs="Palatino Linotype"/>
          <w:color w:val="000000"/>
          <w:sz w:val="22"/>
          <w:szCs w:val="22"/>
        </w:rPr>
        <w:t xml:space="preserve">los “Lineamientos para la integración y entrega del Informe Trimestral Municipal”, emitidos por el Órgano Superior de Fiscalización del Estado de México, OSFEM, en cada ejercicio fiscal, definen los criterios, formatos, documentación necesaria para presentar los informes mensuales por parte de los Sujetos Obligados; homologar la información y </w:t>
      </w:r>
      <w:proofErr w:type="spellStart"/>
      <w:r w:rsidRPr="00AE3F2B">
        <w:rPr>
          <w:rFonts w:ascii="Palatino Linotype" w:eastAsia="Palatino Linotype" w:hAnsi="Palatino Linotype" w:cs="Palatino Linotype"/>
          <w:color w:val="000000"/>
          <w:sz w:val="22"/>
          <w:szCs w:val="22"/>
        </w:rPr>
        <w:t>eficientar</w:t>
      </w:r>
      <w:proofErr w:type="spellEnd"/>
      <w:r w:rsidRPr="00AE3F2B">
        <w:rPr>
          <w:rFonts w:ascii="Palatino Linotype" w:eastAsia="Palatino Linotype" w:hAnsi="Palatino Linotype" w:cs="Palatino Linotype"/>
          <w:color w:val="000000"/>
          <w:sz w:val="22"/>
          <w:szCs w:val="22"/>
        </w:rPr>
        <w:t xml:space="preserve"> la fiscalización; su contenido se divide en: presentación, objetivo, marco legal de actuación, disposiciones generales, disposiciones específicas, procedimiento para la fiscalización del informe mensual, así como el proceso de integración del informe que se envía al OSFEM.</w:t>
      </w:r>
    </w:p>
    <w:p w:rsidR="00F32383" w:rsidRPr="00AE3F2B" w:rsidRDefault="00F32383" w:rsidP="000A31EF">
      <w:pPr>
        <w:ind w:right="1"/>
        <w:jc w:val="both"/>
        <w:rPr>
          <w:rFonts w:ascii="Palatino Linotype" w:eastAsia="Palatino Linotype" w:hAnsi="Palatino Linotype" w:cs="Palatino Linotype"/>
          <w:sz w:val="22"/>
          <w:szCs w:val="22"/>
        </w:rPr>
      </w:pPr>
    </w:p>
    <w:p w:rsidR="00F32383" w:rsidRPr="00AE3F2B" w:rsidRDefault="00F32383" w:rsidP="00AA23EF">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 xml:space="preserve">De </w:t>
      </w:r>
      <w:r w:rsidRPr="00AE3F2B">
        <w:rPr>
          <w:rFonts w:ascii="Palatino Linotype" w:eastAsia="Palatino Linotype" w:hAnsi="Palatino Linotype" w:cs="Palatino Linotype"/>
          <w:color w:val="000000"/>
          <w:sz w:val="22"/>
          <w:szCs w:val="22"/>
        </w:rPr>
        <w:t>lo anterior, se advierte que los Ayuntamientos tienen la obligación de entregar al Órgano Superior de Fiscalización del Estado de México, los informes mensuales en los que se incluye la información relativa a la conciliación de nómina en cada ejercicio fiscal.</w:t>
      </w:r>
    </w:p>
    <w:p w:rsidR="000A31EF" w:rsidRPr="00AE3F2B" w:rsidRDefault="000A31EF" w:rsidP="000A31EF">
      <w:pPr>
        <w:ind w:right="1"/>
        <w:jc w:val="both"/>
        <w:rPr>
          <w:rFonts w:ascii="Palatino Linotype" w:eastAsia="Palatino Linotype" w:hAnsi="Palatino Linotype" w:cs="Palatino Linotype"/>
          <w:sz w:val="22"/>
          <w:szCs w:val="22"/>
        </w:rPr>
      </w:pPr>
    </w:p>
    <w:p w:rsidR="00F32383" w:rsidRPr="00AE3F2B" w:rsidRDefault="00F32383" w:rsidP="00F32383">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 xml:space="preserve">Es así que, </w:t>
      </w:r>
      <w:r w:rsidRPr="00AE3F2B">
        <w:rPr>
          <w:rFonts w:ascii="Palatino Linotype" w:hAnsi="Palatino Linotype"/>
          <w:sz w:val="22"/>
          <w:szCs w:val="22"/>
          <w:lang w:val="es-ES"/>
        </w:rPr>
        <w:t xml:space="preserve">el Órgano Superior de Fiscalización del Estado de México y Municipios, emite los instructivos para la entrega de los informes trimestrales, los cuales contienen los elementos </w:t>
      </w:r>
      <w:r w:rsidRPr="00AE3F2B">
        <w:rPr>
          <w:rFonts w:ascii="Palatino Linotype" w:hAnsi="Palatino Linotype"/>
          <w:sz w:val="22"/>
          <w:szCs w:val="22"/>
          <w:lang w:val="es-ES"/>
        </w:rPr>
        <w:lastRenderedPageBreak/>
        <w:t>que deben seguir los entes fiscalizables para la entrega de dichos informes, de donde se desprende que consta lo solicitado.</w:t>
      </w:r>
    </w:p>
    <w:p w:rsidR="00F32383" w:rsidRPr="00AE3F2B" w:rsidRDefault="00F32383" w:rsidP="000A31EF">
      <w:pPr>
        <w:ind w:right="1"/>
        <w:jc w:val="both"/>
        <w:rPr>
          <w:rFonts w:ascii="Palatino Linotype" w:eastAsia="Palatino Linotype" w:hAnsi="Palatino Linotype" w:cs="Palatino Linotype"/>
          <w:sz w:val="22"/>
          <w:szCs w:val="22"/>
        </w:rPr>
      </w:pPr>
    </w:p>
    <w:p w:rsidR="00F32383" w:rsidRPr="00AE3F2B" w:rsidRDefault="00F32383" w:rsidP="00F32383">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MS Mincho" w:hAnsi="Palatino Linotype" w:cs="Arial"/>
          <w:color w:val="000000" w:themeColor="text1"/>
          <w:sz w:val="22"/>
          <w:szCs w:val="22"/>
        </w:rPr>
        <w:t xml:space="preserve">En repetidas ocasiones este Órgano Garante ha dejado en claro que </w:t>
      </w:r>
      <w:r w:rsidRPr="00AE3F2B">
        <w:rPr>
          <w:rFonts w:ascii="Palatino Linotype" w:hAnsi="Palatino Linotype" w:cs="Arial"/>
          <w:bCs/>
          <w:iCs/>
          <w:color w:val="000000" w:themeColor="text1"/>
          <w:sz w:val="22"/>
          <w:szCs w:val="22"/>
        </w:rPr>
        <w:t>cuando en una solicitud de información no se identifique un documento en específico, si ésta tiene una expresión documental, el sujeto obligado deberá entregar al particular el documento mediante el cual se pueda colmar aquella, de ahí que se estimara dable un suplencia de la queja en favor del solicitante.</w:t>
      </w:r>
    </w:p>
    <w:p w:rsidR="00F32383" w:rsidRPr="00AE3F2B" w:rsidRDefault="00F32383" w:rsidP="00021087">
      <w:pPr>
        <w:ind w:right="1"/>
        <w:jc w:val="both"/>
        <w:rPr>
          <w:rFonts w:ascii="Palatino Linotype" w:eastAsia="Palatino Linotype" w:hAnsi="Palatino Linotype" w:cs="Palatino Linotype"/>
          <w:sz w:val="22"/>
          <w:szCs w:val="22"/>
        </w:rPr>
      </w:pPr>
    </w:p>
    <w:p w:rsidR="00F32383" w:rsidRPr="00AE3F2B" w:rsidRDefault="00F32383" w:rsidP="00F32383">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MS Mincho" w:hAnsi="Palatino Linotype" w:cs="Arial"/>
          <w:sz w:val="22"/>
          <w:szCs w:val="22"/>
        </w:rPr>
        <w:t xml:space="preserve">En ese sentido el </w:t>
      </w:r>
      <w:r w:rsidRPr="00AE3F2B">
        <w:rPr>
          <w:rFonts w:ascii="Palatino Linotype" w:eastAsia="MS Mincho" w:hAnsi="Palatino Linotype"/>
          <w:sz w:val="22"/>
          <w:szCs w:val="22"/>
        </w:rPr>
        <w:t>Criterio</w:t>
      </w:r>
      <w:r w:rsidRPr="00AE3F2B">
        <w:rPr>
          <w:rFonts w:ascii="Palatino Linotype" w:eastAsia="MS Mincho" w:hAnsi="Palatino Linotype" w:cs="Arial"/>
          <w:sz w:val="22"/>
          <w:szCs w:val="22"/>
        </w:rPr>
        <w:t xml:space="preserve"> </w:t>
      </w:r>
      <w:r w:rsidRPr="00AE3F2B">
        <w:rPr>
          <w:rFonts w:ascii="Palatino Linotype" w:eastAsia="MS Mincho" w:hAnsi="Palatino Linotype"/>
          <w:sz w:val="22"/>
          <w:szCs w:val="22"/>
        </w:rPr>
        <w:t>028</w:t>
      </w:r>
      <w:r w:rsidRPr="00AE3F2B">
        <w:rPr>
          <w:rFonts w:ascii="Palatino Linotype" w:eastAsia="MS Mincho" w:hAnsi="Palatino Linotype" w:cs="Arial"/>
          <w:sz w:val="22"/>
          <w:szCs w:val="22"/>
        </w:rPr>
        <w:t>-</w:t>
      </w:r>
      <w:r w:rsidRPr="00AE3F2B">
        <w:rPr>
          <w:rFonts w:ascii="Palatino Linotype" w:eastAsia="MS Mincho" w:hAnsi="Palatino Linotype"/>
          <w:sz w:val="22"/>
          <w:szCs w:val="22"/>
        </w:rPr>
        <w:t>10</w:t>
      </w:r>
      <w:r w:rsidRPr="00AE3F2B">
        <w:rPr>
          <w:rFonts w:ascii="Palatino Linotype" w:eastAsia="MS Mincho" w:hAnsi="Palatino Linotype" w:cs="Arial"/>
          <w:sz w:val="22"/>
          <w:szCs w:val="22"/>
        </w:rPr>
        <w:t xml:space="preserve">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aunque el particular lleve a cabo una solicitud de información sin identificar de forma precisa la documentación, el Sujeto Obligado deberá entregar del mismo al solicitante mismo que a continuación se cita:</w:t>
      </w:r>
    </w:p>
    <w:p w:rsidR="00F32383" w:rsidRPr="00AE3F2B" w:rsidRDefault="00F32383" w:rsidP="000A31EF">
      <w:pPr>
        <w:ind w:right="1"/>
        <w:jc w:val="both"/>
        <w:rPr>
          <w:rFonts w:ascii="Palatino Linotype" w:eastAsia="MS Mincho" w:hAnsi="Palatino Linotype" w:cs="Arial"/>
          <w:sz w:val="22"/>
          <w:szCs w:val="22"/>
          <w:lang w:val="es-ES"/>
        </w:rPr>
      </w:pPr>
    </w:p>
    <w:p w:rsidR="00F32383" w:rsidRPr="00AE3F2B" w:rsidRDefault="00F32383" w:rsidP="00F32383">
      <w:pPr>
        <w:ind w:left="567" w:right="567"/>
        <w:jc w:val="both"/>
        <w:rPr>
          <w:rFonts w:ascii="Palatino Linotype" w:eastAsia="MS Mincho" w:hAnsi="Palatino Linotype" w:cs="Arial"/>
          <w:sz w:val="22"/>
          <w:szCs w:val="22"/>
          <w:lang w:val="es-ES"/>
        </w:rPr>
      </w:pPr>
      <w:r w:rsidRPr="00AE3F2B">
        <w:rPr>
          <w:rFonts w:ascii="Palatino Linotype" w:hAnsi="Palatino Linotype" w:cs="Arial"/>
          <w:b/>
          <w:bCs/>
          <w:i/>
          <w:iCs/>
          <w:color w:val="222222"/>
          <w:sz w:val="22"/>
          <w:szCs w:val="22"/>
          <w:lang w:val="es-ES_tradnl"/>
        </w:rPr>
        <w:t>“Cuando en una solicitud de información no se identifique un documento en específico, si ésta tiene una expresión documental, el sujeto obligado deberá entregar al particular el documento en específico.</w:t>
      </w:r>
      <w:r w:rsidRPr="00AE3F2B">
        <w:rPr>
          <w:rFonts w:ascii="Palatino Linotype" w:hAnsi="Palatino Linotype" w:cs="Arial"/>
          <w:i/>
          <w:iCs/>
          <w:color w:val="222222"/>
          <w:sz w:val="22"/>
          <w:szCs w:val="22"/>
          <w:lang w:val="es-ES_tradnl"/>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w:t>
      </w:r>
      <w:r w:rsidRPr="00AE3F2B">
        <w:rPr>
          <w:rFonts w:ascii="Palatino Linotype" w:hAnsi="Palatino Linotype" w:cs="Arial"/>
          <w:i/>
          <w:iCs/>
          <w:color w:val="222222"/>
          <w:sz w:val="22"/>
          <w:szCs w:val="22"/>
          <w:lang w:val="es-ES_tradnl"/>
        </w:rPr>
        <w:lastRenderedPageBreak/>
        <w:t>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rsidR="00F32383" w:rsidRPr="00AE3F2B" w:rsidRDefault="00F32383" w:rsidP="000A31EF">
      <w:pPr>
        <w:ind w:right="1"/>
        <w:jc w:val="both"/>
        <w:rPr>
          <w:rFonts w:ascii="Palatino Linotype" w:eastAsia="Palatino Linotype" w:hAnsi="Palatino Linotype" w:cs="Palatino Linotype"/>
          <w:sz w:val="22"/>
          <w:szCs w:val="22"/>
        </w:rPr>
      </w:pPr>
    </w:p>
    <w:p w:rsidR="00F32383" w:rsidRPr="00AE3F2B" w:rsidRDefault="00F32383" w:rsidP="00F32383">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MS Mincho" w:hAnsi="Palatino Linotype" w:cs="Arial"/>
          <w:sz w:val="22"/>
          <w:szCs w:val="22"/>
          <w:lang w:val="es-ES"/>
        </w:rPr>
        <w:t xml:space="preserve">Robustece lo anterior </w:t>
      </w:r>
      <w:r w:rsidRPr="00AE3F2B">
        <w:rPr>
          <w:rFonts w:ascii="Palatino Linotype" w:eastAsia="MS Mincho" w:hAnsi="Palatino Linotype" w:cs="Arial"/>
          <w:sz w:val="22"/>
          <w:szCs w:val="22"/>
        </w:rPr>
        <w:t>el criterio orientador 16/17 emitido de igual forma por el Instituto Nacional de Transparencia, Acceso a la Información y Protección de Datos Personales que a la literalidad prevé:</w:t>
      </w:r>
    </w:p>
    <w:p w:rsidR="00F32383" w:rsidRPr="00AE3F2B" w:rsidRDefault="00F32383" w:rsidP="006977DF">
      <w:pPr>
        <w:ind w:right="1"/>
        <w:jc w:val="both"/>
        <w:rPr>
          <w:rFonts w:ascii="Palatino Linotype" w:eastAsia="Palatino Linotype" w:hAnsi="Palatino Linotype" w:cs="Palatino Linotype"/>
          <w:sz w:val="22"/>
          <w:szCs w:val="22"/>
        </w:rPr>
      </w:pPr>
    </w:p>
    <w:p w:rsidR="00F32383" w:rsidRPr="00AE3F2B" w:rsidRDefault="00F32383" w:rsidP="00F32383">
      <w:pPr>
        <w:spacing w:before="240" w:after="240"/>
        <w:ind w:left="567" w:right="616"/>
        <w:jc w:val="both"/>
        <w:rPr>
          <w:rFonts w:ascii="Palatino Linotype" w:eastAsia="MS Mincho" w:hAnsi="Palatino Linotype" w:cs="Arial"/>
          <w:i/>
          <w:sz w:val="22"/>
          <w:szCs w:val="22"/>
        </w:rPr>
      </w:pPr>
      <w:r w:rsidRPr="00AE3F2B">
        <w:rPr>
          <w:rFonts w:ascii="Palatino Linotype" w:eastAsia="MS Mincho" w:hAnsi="Palatino Linotype" w:cs="Arial"/>
          <w:b/>
          <w:i/>
          <w:sz w:val="22"/>
          <w:szCs w:val="22"/>
        </w:rPr>
        <w:t>“Expresión documental</w:t>
      </w:r>
      <w:r w:rsidRPr="00AE3F2B">
        <w:rPr>
          <w:rFonts w:ascii="Palatino Linotype" w:eastAsia="MS Mincho" w:hAnsi="Palatino Linotype" w:cs="Arial"/>
          <w:i/>
          <w:sz w:val="22"/>
          <w:szCs w:val="22"/>
        </w:rPr>
        <w:t>.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w:t>
      </w:r>
    </w:p>
    <w:p w:rsidR="00F32383" w:rsidRPr="00AE3F2B" w:rsidRDefault="00F32383" w:rsidP="006977DF">
      <w:pPr>
        <w:ind w:right="1"/>
        <w:jc w:val="both"/>
        <w:rPr>
          <w:rFonts w:ascii="Palatino Linotype" w:eastAsia="Palatino Linotype" w:hAnsi="Palatino Linotype" w:cs="Palatino Linotype"/>
          <w:sz w:val="22"/>
          <w:szCs w:val="22"/>
        </w:rPr>
      </w:pPr>
    </w:p>
    <w:p w:rsidR="00021087" w:rsidRPr="00AE3F2B" w:rsidRDefault="00F32383" w:rsidP="00F32383">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hAnsi="Palatino Linotype"/>
          <w:sz w:val="22"/>
          <w:szCs w:val="22"/>
          <w:lang w:val="es-ES"/>
        </w:rPr>
        <w:t xml:space="preserve">Es así que, cuando se aprecien deficiencias en la solicitud, o bien, que los </w:t>
      </w:r>
      <w:r w:rsidRPr="00AE3F2B">
        <w:rPr>
          <w:rFonts w:ascii="Palatino Linotype" w:eastAsia="MS Mincho" w:hAnsi="Palatino Linotype" w:cs="Arial"/>
          <w:sz w:val="22"/>
          <w:szCs w:val="22"/>
          <w:lang w:val="es-ES"/>
        </w:rPr>
        <w:t>particulares</w:t>
      </w:r>
      <w:r w:rsidRPr="00AE3F2B">
        <w:rPr>
          <w:rFonts w:ascii="Palatino Linotype" w:hAnsi="Palatino Linotype"/>
          <w:sz w:val="22"/>
          <w:szCs w:val="22"/>
          <w:lang w:val="es-ES"/>
        </w:rPr>
        <w:t xml:space="preserve"> no especifiquen el documento en donde consta</w:t>
      </w:r>
      <w:r w:rsidR="000A31EF" w:rsidRPr="00AE3F2B">
        <w:rPr>
          <w:rFonts w:ascii="Palatino Linotype" w:hAnsi="Palatino Linotype"/>
          <w:sz w:val="22"/>
          <w:szCs w:val="22"/>
          <w:lang w:val="es-ES"/>
        </w:rPr>
        <w:t xml:space="preserve"> la información requerida, los Sujetos O</w:t>
      </w:r>
      <w:r w:rsidRPr="00AE3F2B">
        <w:rPr>
          <w:rFonts w:ascii="Palatino Linotype" w:hAnsi="Palatino Linotype"/>
          <w:sz w:val="22"/>
          <w:szCs w:val="22"/>
          <w:lang w:val="es-ES"/>
        </w:rPr>
        <w:t>bligados deben realizar acciones tendientes a garantiza</w:t>
      </w:r>
      <w:r w:rsidR="00021087" w:rsidRPr="00AE3F2B">
        <w:rPr>
          <w:rFonts w:ascii="Palatino Linotype" w:hAnsi="Palatino Linotype"/>
          <w:sz w:val="22"/>
          <w:szCs w:val="22"/>
          <w:lang w:val="es-ES"/>
        </w:rPr>
        <w:t>r el derecho de los Recurrentes.</w:t>
      </w:r>
    </w:p>
    <w:p w:rsidR="00021087" w:rsidRPr="00AE3F2B" w:rsidRDefault="00021087" w:rsidP="00021087">
      <w:pPr>
        <w:ind w:right="1"/>
        <w:jc w:val="both"/>
        <w:rPr>
          <w:rFonts w:ascii="Palatino Linotype" w:eastAsia="Palatino Linotype" w:hAnsi="Palatino Linotype" w:cs="Palatino Linotype"/>
          <w:b/>
          <w:sz w:val="22"/>
          <w:szCs w:val="22"/>
        </w:rPr>
      </w:pPr>
    </w:p>
    <w:p w:rsidR="006977DF" w:rsidRPr="00AE3F2B" w:rsidRDefault="00021087" w:rsidP="006977DF">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 xml:space="preserve">Por otro lado, </w:t>
      </w:r>
      <w:r w:rsidR="006977DF" w:rsidRPr="00AE3F2B">
        <w:rPr>
          <w:rFonts w:ascii="Palatino Linotype" w:eastAsia="Palatino Linotype" w:hAnsi="Palatino Linotype" w:cs="Palatino Linotype"/>
          <w:sz w:val="22"/>
          <w:szCs w:val="22"/>
        </w:rPr>
        <w:t xml:space="preserve">se advierte </w:t>
      </w:r>
      <w:r w:rsidRPr="00AE3F2B">
        <w:rPr>
          <w:rFonts w:ascii="Palatino Linotype" w:eastAsia="Palatino Linotype" w:hAnsi="Palatino Linotype" w:cs="Palatino Linotype"/>
          <w:sz w:val="22"/>
          <w:szCs w:val="22"/>
        </w:rPr>
        <w:t xml:space="preserve">que el </w:t>
      </w:r>
      <w:r w:rsidRPr="00AE3F2B">
        <w:rPr>
          <w:rFonts w:ascii="Palatino Linotype" w:eastAsia="Palatino Linotype" w:hAnsi="Palatino Linotype" w:cs="Palatino Linotype"/>
          <w:b/>
          <w:sz w:val="22"/>
          <w:szCs w:val="22"/>
        </w:rPr>
        <w:t xml:space="preserve">RECURRENTE </w:t>
      </w:r>
      <w:r w:rsidRPr="00AE3F2B">
        <w:rPr>
          <w:rFonts w:ascii="Palatino Linotype" w:hAnsi="Palatino Linotype"/>
          <w:sz w:val="22"/>
          <w:szCs w:val="22"/>
        </w:rPr>
        <w:t>omitió señalar el periodo temporal de la información requerida; en consecuencia, este Instituto con fundamento en lo dispuesto por el artículo 13 y 181 párrafo cuarto de la Ley de Transparencia y Acceso a la Información Pública del Estado de México y Municipios, suple la deficiencia presentada respecto a la temporalidad de su solicitud, determinando que la información solicitada corresponderá al corte administrativo que se generó de las dos últimas quincenas inmediatas anteriores a la fecha en que fue present</w:t>
      </w:r>
      <w:r w:rsidR="006977DF" w:rsidRPr="00AE3F2B">
        <w:rPr>
          <w:rFonts w:ascii="Palatino Linotype" w:hAnsi="Palatino Linotype"/>
          <w:sz w:val="22"/>
          <w:szCs w:val="22"/>
        </w:rPr>
        <w:t xml:space="preserve">ada su solicitud; es decir, </w:t>
      </w:r>
      <w:r w:rsidR="006977DF" w:rsidRPr="00AE3F2B">
        <w:rPr>
          <w:rFonts w:ascii="Palatino Linotype" w:hAnsi="Palatino Linotype"/>
          <w:sz w:val="22"/>
          <w:szCs w:val="22"/>
          <w:lang w:val="es-ES"/>
        </w:rPr>
        <w:t>de la</w:t>
      </w:r>
      <w:r w:rsidR="006977DF" w:rsidRPr="00AE3F2B">
        <w:rPr>
          <w:rFonts w:ascii="Palatino Linotype" w:hAnsi="Palatino Linotype"/>
          <w:b/>
          <w:sz w:val="22"/>
          <w:szCs w:val="22"/>
          <w:lang w:val="es-ES"/>
        </w:rPr>
        <w:t xml:space="preserve"> primera y segunda quincena de julio de dos mil veinticuatro.</w:t>
      </w:r>
    </w:p>
    <w:p w:rsidR="00021087" w:rsidRPr="00AE3F2B" w:rsidRDefault="00021087" w:rsidP="006977DF">
      <w:pPr>
        <w:rPr>
          <w:rFonts w:ascii="Palatino Linotype" w:eastAsia="Palatino Linotype" w:hAnsi="Palatino Linotype" w:cs="Palatino Linotype"/>
          <w:sz w:val="22"/>
          <w:szCs w:val="22"/>
        </w:rPr>
      </w:pPr>
    </w:p>
    <w:p w:rsidR="006977DF" w:rsidRPr="00AE3F2B" w:rsidRDefault="00021087" w:rsidP="006977DF">
      <w:pPr>
        <w:numPr>
          <w:ilvl w:val="0"/>
          <w:numId w:val="1"/>
        </w:numPr>
        <w:spacing w:line="360" w:lineRule="auto"/>
        <w:ind w:left="0" w:right="1" w:firstLine="0"/>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lastRenderedPageBreak/>
        <w:t xml:space="preserve">En atención a lo anterior, el Criterio 4 del </w:t>
      </w:r>
      <w:r w:rsidR="006977DF" w:rsidRPr="00AE3F2B">
        <w:rPr>
          <w:rFonts w:ascii="Palatino Linotype" w:eastAsia="Palatino Linotype" w:hAnsi="Palatino Linotype" w:cs="Palatino Linotype"/>
          <w:sz w:val="22"/>
          <w:szCs w:val="22"/>
        </w:rPr>
        <w:t>Instituto</w:t>
      </w:r>
      <w:r w:rsidRPr="00AE3F2B">
        <w:rPr>
          <w:rFonts w:ascii="Palatino Linotype" w:eastAsia="Palatino Linotype" w:hAnsi="Palatino Linotype" w:cs="Palatino Linotype"/>
          <w:sz w:val="22"/>
          <w:szCs w:val="22"/>
        </w:rPr>
        <w:t xml:space="preserve"> de Transparencia, Acceso a la Información Pública y Protección de Datos Personales del Estado de México y Municipios; </w:t>
      </w:r>
      <w:r w:rsidR="006977DF" w:rsidRPr="00AE3F2B">
        <w:rPr>
          <w:rFonts w:ascii="Palatino Linotype" w:eastAsia="Palatino Linotype" w:hAnsi="Palatino Linotype" w:cs="Palatino Linotype"/>
          <w:sz w:val="22"/>
          <w:szCs w:val="22"/>
        </w:rPr>
        <w:t>estable lo siguiente:</w:t>
      </w:r>
    </w:p>
    <w:p w:rsidR="006977DF" w:rsidRPr="00AE3F2B" w:rsidRDefault="006977DF" w:rsidP="006977DF">
      <w:pPr>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i/>
          <w:sz w:val="22"/>
          <w:szCs w:val="22"/>
        </w:rPr>
        <w:t>“</w:t>
      </w:r>
      <w:r w:rsidRPr="00AE3F2B">
        <w:rPr>
          <w:rFonts w:ascii="Palatino Linotype" w:eastAsia="Palatino Linotype" w:hAnsi="Palatino Linotype" w:cs="Palatino Linotype"/>
          <w:b/>
          <w:i/>
          <w:sz w:val="22"/>
          <w:szCs w:val="22"/>
        </w:rPr>
        <w:t>4. NÓMINA DE SERVIDORES PÚBLICOS. PERIODO DE BÚSQUEDA Y ENTREGA DE LA INFORMACIÓN, CUANDO NO SE PRECISA EN LA SOLICITUD DE INFORMACIÓN.</w:t>
      </w:r>
      <w:r w:rsidRPr="00AE3F2B">
        <w:rPr>
          <w:rFonts w:ascii="Palatino Linotype" w:eastAsia="Palatino Linotype" w:hAnsi="Palatino Linotype" w:cs="Palatino Linotype"/>
          <w:i/>
          <w:sz w:val="22"/>
          <w:szCs w:val="22"/>
        </w:rPr>
        <w:t xml:space="preserve"> Cuando el particular no refiriera el periodo respecto del cual requiere la información, o bien, de la solicitud presentada no se adviertan elementos que permitan identificarlo, tratándose exclusivamente de información relativa a la nómina, los Sujetos Obligados deberán entregar lo correspondiente a las últimas dos quincenas pagadas previo a la fecha de presentación de la solicitud. </w:t>
      </w:r>
    </w:p>
    <w:p w:rsidR="006977DF" w:rsidRPr="00AE3F2B" w:rsidRDefault="006977DF" w:rsidP="006977DF">
      <w:pPr>
        <w:ind w:left="567" w:right="567"/>
        <w:jc w:val="both"/>
        <w:rPr>
          <w:rFonts w:ascii="Palatino Linotype" w:eastAsia="Palatino Linotype" w:hAnsi="Palatino Linotype" w:cs="Palatino Linotype"/>
          <w:i/>
          <w:sz w:val="22"/>
          <w:szCs w:val="22"/>
        </w:rPr>
      </w:pPr>
    </w:p>
    <w:p w:rsidR="006977DF" w:rsidRPr="00AE3F2B" w:rsidRDefault="006977DF" w:rsidP="006977DF">
      <w:pPr>
        <w:ind w:left="567" w:right="567"/>
        <w:jc w:val="both"/>
        <w:rPr>
          <w:rFonts w:ascii="Palatino Linotype" w:eastAsia="Palatino Linotype" w:hAnsi="Palatino Linotype" w:cs="Palatino Linotype"/>
          <w:b/>
          <w:i/>
          <w:sz w:val="22"/>
          <w:szCs w:val="22"/>
        </w:rPr>
      </w:pPr>
      <w:r w:rsidRPr="00AE3F2B">
        <w:rPr>
          <w:rFonts w:ascii="Palatino Linotype" w:eastAsia="Palatino Linotype" w:hAnsi="Palatino Linotype" w:cs="Palatino Linotype"/>
          <w:b/>
          <w:i/>
          <w:sz w:val="22"/>
          <w:szCs w:val="22"/>
        </w:rPr>
        <w:t>Precedentes:</w:t>
      </w:r>
    </w:p>
    <w:p w:rsidR="006977DF" w:rsidRPr="00AE3F2B" w:rsidRDefault="006977DF" w:rsidP="006977DF">
      <w:pPr>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i/>
          <w:sz w:val="22"/>
          <w:szCs w:val="22"/>
        </w:rPr>
        <w:t xml:space="preserve">• En materia de acceso a la información pública. 16752/INFOEM/IP/RR/2022 y acumulados. Aprobada por mayoría de votos, emitiendo voto particular los Comisionados Sharon Cristina Morales Martínez, Guadalupe Ramírez Peña y Luis Gustavo Parra Noriega. Ayuntamiento de Toluca. Comisionada Ponente Sharon Cristina Morales Martínez. Sesión 43 – 2023.  </w:t>
      </w:r>
    </w:p>
    <w:p w:rsidR="006977DF" w:rsidRPr="00AE3F2B" w:rsidRDefault="006977DF" w:rsidP="006977DF">
      <w:pPr>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i/>
          <w:sz w:val="22"/>
          <w:szCs w:val="22"/>
        </w:rPr>
        <w:t xml:space="preserve">• En materia de acceso a la información pública. 07558/INFOEM/IP/RR/2023. Aprobada por unanimidad de votos. Ayuntamiento de Ecatepec de Morelos. Comisionada Ponente María del Rosario Mejía Ayala. Sesión 03 – 2024. </w:t>
      </w:r>
    </w:p>
    <w:p w:rsidR="00021087" w:rsidRPr="00AE3F2B" w:rsidRDefault="006977DF" w:rsidP="006977DF">
      <w:pPr>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i/>
          <w:sz w:val="22"/>
          <w:szCs w:val="22"/>
        </w:rPr>
        <w:t>• En materia de acceso a la información pública. 07557/INFOEM/IP/RR/2023. Aprobada por unanimidad de votos, emitiendo voto disidente la Comisionada Guadalupe Ramírez Peña. Secretaría de Educación. Comisionada Ponente Sharon Cristina Morales Martínez. Sesión 05 – 2024. Tercera Época. Criterio Reiterado 04/2024”</w:t>
      </w:r>
    </w:p>
    <w:p w:rsidR="00021087" w:rsidRPr="00AE3F2B" w:rsidRDefault="00021087" w:rsidP="00021087">
      <w:pPr>
        <w:ind w:right="1"/>
        <w:jc w:val="both"/>
        <w:rPr>
          <w:rFonts w:ascii="Palatino Linotype" w:eastAsia="Palatino Linotype" w:hAnsi="Palatino Linotype" w:cs="Palatino Linotype"/>
          <w:b/>
          <w:sz w:val="22"/>
          <w:szCs w:val="22"/>
        </w:rPr>
      </w:pPr>
    </w:p>
    <w:p w:rsidR="00F32383" w:rsidRPr="00AE3F2B" w:rsidRDefault="006977DF" w:rsidP="00F32383">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hAnsi="Palatino Linotype"/>
          <w:sz w:val="22"/>
          <w:szCs w:val="22"/>
          <w:lang w:val="es-ES"/>
        </w:rPr>
        <w:t>P</w:t>
      </w:r>
      <w:r w:rsidR="00F32383" w:rsidRPr="00AE3F2B">
        <w:rPr>
          <w:rFonts w:ascii="Palatino Linotype" w:hAnsi="Palatino Linotype"/>
          <w:sz w:val="22"/>
          <w:szCs w:val="22"/>
          <w:lang w:val="es-ES"/>
        </w:rPr>
        <w:t>or tanto</w:t>
      </w:r>
      <w:r w:rsidRPr="00AE3F2B">
        <w:rPr>
          <w:rFonts w:ascii="Palatino Linotype" w:hAnsi="Palatino Linotype"/>
          <w:sz w:val="22"/>
          <w:szCs w:val="22"/>
          <w:lang w:val="es-ES"/>
        </w:rPr>
        <w:t>,</w:t>
      </w:r>
      <w:r w:rsidR="00F32383" w:rsidRPr="00AE3F2B">
        <w:rPr>
          <w:rFonts w:ascii="Palatino Linotype" w:hAnsi="Palatino Linotype"/>
          <w:sz w:val="22"/>
          <w:szCs w:val="22"/>
          <w:lang w:val="es-ES"/>
        </w:rPr>
        <w:t xml:space="preserve"> es dable que se entregue la </w:t>
      </w:r>
      <w:r w:rsidR="00F46C8E" w:rsidRPr="00AE3F2B">
        <w:rPr>
          <w:rFonts w:ascii="Palatino Linotype" w:hAnsi="Palatino Linotype"/>
          <w:b/>
          <w:sz w:val="22"/>
          <w:szCs w:val="22"/>
          <w:lang w:val="es-ES"/>
        </w:rPr>
        <w:t>“</w:t>
      </w:r>
      <w:r w:rsidR="00F32383" w:rsidRPr="00AE3F2B">
        <w:rPr>
          <w:rFonts w:ascii="Palatino Linotype" w:hAnsi="Palatino Linotype"/>
          <w:b/>
          <w:sz w:val="22"/>
          <w:szCs w:val="22"/>
          <w:lang w:val="es-ES"/>
        </w:rPr>
        <w:t>Conciliación de Nómina</w:t>
      </w:r>
      <w:r w:rsidR="00F46C8E" w:rsidRPr="00AE3F2B">
        <w:rPr>
          <w:rFonts w:ascii="Palatino Linotype" w:hAnsi="Palatino Linotype"/>
          <w:b/>
          <w:sz w:val="22"/>
          <w:szCs w:val="22"/>
          <w:lang w:val="es-ES"/>
        </w:rPr>
        <w:t>”</w:t>
      </w:r>
      <w:r w:rsidR="00F32383" w:rsidRPr="00AE3F2B">
        <w:rPr>
          <w:rFonts w:ascii="Palatino Linotype" w:hAnsi="Palatino Linotype"/>
          <w:b/>
          <w:sz w:val="22"/>
          <w:szCs w:val="22"/>
          <w:lang w:val="es-ES"/>
        </w:rPr>
        <w:t xml:space="preserve">, de la </w:t>
      </w:r>
      <w:r w:rsidR="00FD2459" w:rsidRPr="00AE3F2B">
        <w:rPr>
          <w:rFonts w:ascii="Palatino Linotype" w:hAnsi="Palatino Linotype"/>
          <w:b/>
          <w:sz w:val="22"/>
          <w:szCs w:val="22"/>
          <w:lang w:val="es-ES"/>
        </w:rPr>
        <w:t xml:space="preserve">primera y </w:t>
      </w:r>
      <w:r w:rsidR="00F32383" w:rsidRPr="00AE3F2B">
        <w:rPr>
          <w:rFonts w:ascii="Palatino Linotype" w:hAnsi="Palatino Linotype"/>
          <w:b/>
          <w:sz w:val="22"/>
          <w:szCs w:val="22"/>
          <w:lang w:val="es-ES"/>
        </w:rPr>
        <w:t xml:space="preserve">segunda quincena de </w:t>
      </w:r>
      <w:r w:rsidR="00FD2459" w:rsidRPr="00AE3F2B">
        <w:rPr>
          <w:rFonts w:ascii="Palatino Linotype" w:hAnsi="Palatino Linotype"/>
          <w:b/>
          <w:sz w:val="22"/>
          <w:szCs w:val="22"/>
          <w:lang w:val="es-ES"/>
        </w:rPr>
        <w:t>julio de dos mil veinticuatro</w:t>
      </w:r>
      <w:r w:rsidR="00F32383" w:rsidRPr="00AE3F2B">
        <w:rPr>
          <w:rFonts w:ascii="Palatino Linotype" w:hAnsi="Palatino Linotype"/>
          <w:b/>
          <w:sz w:val="22"/>
          <w:szCs w:val="22"/>
          <w:lang w:val="es-ES"/>
        </w:rPr>
        <w:t>; correspondió al último generado a la fecha de interposición de la solicitud de información (</w:t>
      </w:r>
      <w:r w:rsidR="00FD2459" w:rsidRPr="00AE3F2B">
        <w:rPr>
          <w:rFonts w:ascii="Palatino Linotype" w:hAnsi="Palatino Linotype"/>
          <w:b/>
          <w:sz w:val="22"/>
          <w:szCs w:val="22"/>
          <w:lang w:val="es-ES"/>
        </w:rPr>
        <w:t>05 de agosto de 2024</w:t>
      </w:r>
      <w:r w:rsidR="00F46C8E" w:rsidRPr="00AE3F2B">
        <w:rPr>
          <w:rFonts w:ascii="Palatino Linotype" w:hAnsi="Palatino Linotype"/>
          <w:b/>
          <w:sz w:val="22"/>
          <w:szCs w:val="22"/>
          <w:lang w:val="es-ES"/>
        </w:rPr>
        <w:t>).</w:t>
      </w:r>
    </w:p>
    <w:p w:rsidR="00827BFE" w:rsidRPr="00AE3F2B" w:rsidRDefault="00827BFE" w:rsidP="000A31EF">
      <w:pPr>
        <w:spacing w:line="360" w:lineRule="auto"/>
        <w:ind w:right="1"/>
        <w:jc w:val="both"/>
        <w:rPr>
          <w:rFonts w:ascii="Palatino Linotype" w:eastAsia="Palatino Linotype" w:hAnsi="Palatino Linotype" w:cs="Palatino Linotype"/>
          <w:sz w:val="22"/>
          <w:szCs w:val="22"/>
        </w:rPr>
      </w:pPr>
    </w:p>
    <w:p w:rsidR="00F5723F" w:rsidRPr="00AE3F2B" w:rsidRDefault="001E3125" w:rsidP="00681958">
      <w:pPr>
        <w:spacing w:line="360" w:lineRule="auto"/>
        <w:ind w:right="1"/>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t>QUINTO. VERSIÓN PÚBLICA.</w:t>
      </w:r>
    </w:p>
    <w:p w:rsidR="00E94D86" w:rsidRPr="00AE3F2B" w:rsidRDefault="001E3125">
      <w:pPr>
        <w:keepNext/>
        <w:keepLines/>
        <w:numPr>
          <w:ilvl w:val="0"/>
          <w:numId w:val="3"/>
        </w:numPr>
        <w:spacing w:line="360" w:lineRule="auto"/>
        <w:ind w:left="284" w:firstLine="0"/>
        <w:rPr>
          <w:rFonts w:ascii="Palatino Linotype" w:eastAsia="Palatino Linotype" w:hAnsi="Palatino Linotype" w:cs="Palatino Linotype"/>
          <w:b/>
          <w:color w:val="000000"/>
          <w:sz w:val="22"/>
          <w:szCs w:val="22"/>
        </w:rPr>
      </w:pPr>
      <w:bookmarkStart w:id="5" w:name="_heading=h.1t3h5sf" w:colFirst="0" w:colLast="0"/>
      <w:bookmarkEnd w:id="5"/>
      <w:r w:rsidRPr="00AE3F2B">
        <w:rPr>
          <w:rFonts w:ascii="Palatino Linotype" w:eastAsia="Palatino Linotype" w:hAnsi="Palatino Linotype" w:cs="Palatino Linotype"/>
          <w:b/>
          <w:color w:val="000000"/>
          <w:sz w:val="22"/>
          <w:szCs w:val="22"/>
        </w:rPr>
        <w:t xml:space="preserve">Nociones generales. </w:t>
      </w:r>
    </w:p>
    <w:p w:rsidR="00E94D86" w:rsidRPr="00AE3F2B" w:rsidRDefault="00E94D86" w:rsidP="002C3B1F">
      <w:pPr>
        <w:ind w:right="1"/>
        <w:rPr>
          <w:rFonts w:ascii="Palatino Linotype" w:eastAsia="Palatino Linotype" w:hAnsi="Palatino Linotype" w:cs="Palatino Linotype"/>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 xml:space="preserve">Debe </w:t>
      </w:r>
      <w:r w:rsidRPr="00AE3F2B">
        <w:rPr>
          <w:rFonts w:ascii="Palatino Linotype" w:eastAsia="Palatino Linotype" w:hAnsi="Palatino Linotype" w:cs="Palatino Linotype"/>
          <w:color w:val="000000"/>
          <w:sz w:val="22"/>
          <w:szCs w:val="22"/>
        </w:rPr>
        <w:t>destacarse que, debido a la naturaleza de la información solicitada</w:t>
      </w:r>
      <w:r w:rsidRPr="00AE3F2B">
        <w:rPr>
          <w:rFonts w:ascii="Palatino Linotype" w:eastAsia="Palatino Linotype" w:hAnsi="Palatino Linotype" w:cs="Palatino Linotype"/>
          <w:b/>
          <w:color w:val="000000"/>
          <w:sz w:val="22"/>
          <w:szCs w:val="22"/>
        </w:rPr>
        <w:t xml:space="preserve">, </w:t>
      </w:r>
      <w:r w:rsidRPr="00AE3F2B">
        <w:rPr>
          <w:rFonts w:ascii="Palatino Linotype" w:eastAsia="Palatino Linotype" w:hAnsi="Palatino Linotype" w:cs="Palatino Linotype"/>
          <w:color w:val="000000"/>
          <w:sz w:val="22"/>
          <w:szCs w:val="22"/>
        </w:rPr>
        <w:t xml:space="preserve">eventualmente pudiera obrar datos personales susceptibles de protegerse, el </w:t>
      </w:r>
      <w:r w:rsidRPr="00AE3F2B">
        <w:rPr>
          <w:rFonts w:ascii="Palatino Linotype" w:eastAsia="Palatino Linotype" w:hAnsi="Palatino Linotype" w:cs="Palatino Linotype"/>
          <w:b/>
          <w:color w:val="000000"/>
          <w:sz w:val="22"/>
          <w:szCs w:val="22"/>
        </w:rPr>
        <w:t xml:space="preserve">Sujeto Obligado </w:t>
      </w:r>
      <w:r w:rsidRPr="00AE3F2B">
        <w:rPr>
          <w:rFonts w:ascii="Palatino Linotype" w:eastAsia="Palatino Linotype" w:hAnsi="Palatino Linotype" w:cs="Palatino Linotype"/>
          <w:color w:val="000000"/>
          <w:sz w:val="22"/>
          <w:szCs w:val="22"/>
        </w:rPr>
        <w:t xml:space="preserve">deberá de hacer </w:t>
      </w:r>
      <w:r w:rsidRPr="00AE3F2B">
        <w:rPr>
          <w:rFonts w:ascii="Palatino Linotype" w:eastAsia="Palatino Linotype" w:hAnsi="Palatino Linotype" w:cs="Palatino Linotype"/>
          <w:color w:val="000000"/>
          <w:sz w:val="22"/>
          <w:szCs w:val="22"/>
        </w:rPr>
        <w:lastRenderedPageBreak/>
        <w:t xml:space="preserve">la adecuada versión pública, protegiendo los datos que no son susceptibles de ser proporcionados. </w:t>
      </w:r>
    </w:p>
    <w:p w:rsidR="00E94D86" w:rsidRPr="00AE3F2B" w:rsidRDefault="00E94D86" w:rsidP="00681958">
      <w:pPr>
        <w:ind w:right="1"/>
        <w:rPr>
          <w:rFonts w:ascii="Palatino Linotype" w:eastAsia="Palatino Linotype" w:hAnsi="Palatino Linotype" w:cs="Palatino Linotype"/>
          <w:color w:val="000000"/>
          <w:sz w:val="22"/>
          <w:szCs w:val="22"/>
        </w:rPr>
      </w:pPr>
    </w:p>
    <w:p w:rsidR="00E94D86" w:rsidRPr="00AE3F2B" w:rsidRDefault="001E3125">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color w:val="000000"/>
          <w:sz w:val="22"/>
          <w:szCs w:val="22"/>
        </w:rPr>
        <w:t>No pasa desapercibido para este Órgano Garante que los Sujetos Obligados</w:t>
      </w:r>
      <w:r w:rsidRPr="00AE3F2B">
        <w:rPr>
          <w:rFonts w:ascii="Palatino Linotype" w:eastAsia="Palatino Linotype" w:hAnsi="Palatino Linotype" w:cs="Palatino Linotype"/>
          <w:b/>
          <w:color w:val="000000"/>
          <w:sz w:val="22"/>
          <w:szCs w:val="22"/>
        </w:rPr>
        <w:t xml:space="preserve"> </w:t>
      </w:r>
      <w:r w:rsidRPr="00AE3F2B">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E94D86" w:rsidRPr="00AE3F2B" w:rsidRDefault="00E94D86" w:rsidP="00681958">
      <w:pPr>
        <w:ind w:right="49"/>
        <w:jc w:val="both"/>
        <w:rPr>
          <w:rFonts w:ascii="Palatino Linotype" w:eastAsia="Palatino Linotype" w:hAnsi="Palatino Linotype" w:cs="Palatino Linotype"/>
          <w:color w:val="000000"/>
          <w:sz w:val="22"/>
          <w:szCs w:val="22"/>
        </w:rPr>
      </w:pPr>
    </w:p>
    <w:tbl>
      <w:tblPr>
        <w:tblStyle w:val="a4"/>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38"/>
        <w:gridCol w:w="6990"/>
      </w:tblGrid>
      <w:tr w:rsidR="00E94D86" w:rsidRPr="00AE3F2B" w:rsidTr="00E94D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94D86" w:rsidRPr="00AE3F2B" w:rsidRDefault="001E3125">
            <w:pPr>
              <w:rPr>
                <w:rFonts w:ascii="Palatino Linotype" w:eastAsia="Palatino Linotype" w:hAnsi="Palatino Linotype" w:cs="Palatino Linotype"/>
              </w:rPr>
            </w:pPr>
            <w:r w:rsidRPr="00AE3F2B">
              <w:rPr>
                <w:rFonts w:ascii="Palatino Linotype" w:eastAsia="Palatino Linotype" w:hAnsi="Palatino Linotype" w:cs="Palatino Linotype"/>
              </w:rPr>
              <w:t>a) Requisitos previos.</w:t>
            </w:r>
          </w:p>
        </w:tc>
        <w:tc>
          <w:tcPr>
            <w:tcW w:w="6990" w:type="dxa"/>
          </w:tcPr>
          <w:p w:rsidR="00E94D86" w:rsidRPr="00AE3F2B" w:rsidRDefault="001E312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E3F2B">
              <w:rPr>
                <w:rFonts w:ascii="Palatino Linotype" w:eastAsia="Palatino Linotype" w:hAnsi="Palatino Linotype" w:cs="Palatino Linotype"/>
                <w:b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E94D86" w:rsidRPr="00AE3F2B" w:rsidRDefault="001E312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E3F2B">
              <w:rPr>
                <w:rFonts w:ascii="Palatino Linotype" w:eastAsia="Palatino Linotype" w:hAnsi="Palatino Linotype" w:cs="Palatino Linotype"/>
                <w:b w:val="0"/>
                <w:color w:val="000000"/>
              </w:rPr>
              <w:t>Al hacerlo tienen que precisar de qué información se trata, señalando el supuesto de clasificación (confidencialidad o reserva).</w:t>
            </w:r>
          </w:p>
          <w:p w:rsidR="00E94D86" w:rsidRPr="00AE3F2B" w:rsidRDefault="001E3125">
            <w:pPr>
              <w:ind w:right="49"/>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E3F2B">
              <w:rPr>
                <w:rFonts w:ascii="Palatino Linotype" w:eastAsia="Palatino Linotype" w:hAnsi="Palatino Linotype" w:cs="Palatino Linotype"/>
                <w:b w:val="0"/>
                <w:color w:val="000000"/>
              </w:rPr>
              <w:t>Además, se debe señalar el procedimiento, de los tres que establecen los artículos 132 y 106 de la Ley Estatal y General, respectivamente.</w:t>
            </w:r>
          </w:p>
          <w:p w:rsidR="00E94D86" w:rsidRPr="00AE3F2B" w:rsidRDefault="001E3125">
            <w:pPr>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AE3F2B">
              <w:rPr>
                <w:rFonts w:ascii="Palatino Linotype" w:eastAsia="Palatino Linotype" w:hAnsi="Palatino Linotype" w:cs="Palatino Linotype"/>
                <w:b w:val="0"/>
                <w:color w:val="000000"/>
              </w:rPr>
              <w:t xml:space="preserve">El último de estos requisitos previos consiste en que no se pueden emitir acuerdos de carácter general ni particular, esto es, </w:t>
            </w:r>
            <w:r w:rsidRPr="00AE3F2B">
              <w:rPr>
                <w:rFonts w:ascii="Palatino Linotype" w:eastAsia="Palatino Linotype" w:hAnsi="Palatino Linotype" w:cs="Palatino Linotype"/>
                <w:b w:val="0"/>
                <w:color w:val="000000"/>
                <w:u w:val="single"/>
              </w:rPr>
              <w:t>no se puede hacer un acuerdo para clasificar de manera general todos los documentos de un expediente o área, sin</w:t>
            </w:r>
            <w:r w:rsidRPr="00AE3F2B">
              <w:rPr>
                <w:rFonts w:ascii="Palatino Linotype" w:eastAsia="Palatino Linotype" w:hAnsi="Palatino Linotype" w:cs="Palatino Linotype"/>
                <w:b w:val="0"/>
                <w:color w:val="000000"/>
              </w:rPr>
              <w:t xml:space="preserve"> individualizar su análisis y tampoco se puede hacer un acuerdo por cada dato que se vaya a clasificar dentro de un documento con diez datos, por ejemplo, susceptibles de ser clasificados.</w:t>
            </w:r>
          </w:p>
        </w:tc>
      </w:tr>
      <w:tr w:rsidR="00E94D86" w:rsidRPr="00AE3F2B" w:rsidTr="00E94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94D86" w:rsidRPr="00AE3F2B" w:rsidRDefault="001E3125">
            <w:pPr>
              <w:rPr>
                <w:rFonts w:ascii="Palatino Linotype" w:eastAsia="Palatino Linotype" w:hAnsi="Palatino Linotype" w:cs="Palatino Linotype"/>
              </w:rPr>
            </w:pPr>
            <w:r w:rsidRPr="00AE3F2B">
              <w:rPr>
                <w:rFonts w:ascii="Palatino Linotype" w:eastAsia="Palatino Linotype" w:hAnsi="Palatino Linotype" w:cs="Palatino Linotype"/>
              </w:rPr>
              <w:t>b) Supuestos de clasificación.</w:t>
            </w:r>
          </w:p>
        </w:tc>
        <w:tc>
          <w:tcPr>
            <w:tcW w:w="6990" w:type="dxa"/>
          </w:tcPr>
          <w:p w:rsidR="00E94D86" w:rsidRPr="00AE3F2B"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E3F2B">
              <w:rPr>
                <w:rFonts w:ascii="Palatino Linotype" w:eastAsia="Palatino Linotype" w:hAnsi="Palatino Linotype" w:cs="Palatino Linotype"/>
                <w:color w:val="000000"/>
              </w:rPr>
              <w:t>Las disposiciones constitucionales y legales en la materia establecen los dos supuestos generales para clasificar la información: por reserva y por confidencialidad.</w:t>
            </w:r>
          </w:p>
          <w:p w:rsidR="00E94D86" w:rsidRPr="00AE3F2B"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E3F2B">
              <w:rPr>
                <w:rFonts w:ascii="Palatino Linotype" w:eastAsia="Palatino Linotype" w:hAnsi="Palatino Linotype" w:cs="Palatino Linotype"/>
                <w:color w:val="000000"/>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w:t>
            </w:r>
            <w:r w:rsidRPr="00AE3F2B">
              <w:rPr>
                <w:rFonts w:ascii="Palatino Linotype" w:eastAsia="Palatino Linotype" w:hAnsi="Palatino Linotype" w:cs="Palatino Linotype"/>
                <w:color w:val="000000"/>
              </w:rPr>
              <w:lastRenderedPageBreak/>
              <w:t>cumple con esta condición y no se pueden ampliar las excepciones o supuestos de clasificación aduciendo analogía o mayoría de razón.</w:t>
            </w:r>
          </w:p>
          <w:p w:rsidR="00E94D86" w:rsidRPr="00AE3F2B" w:rsidRDefault="001E3125">
            <w:pPr>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r w:rsidRPr="00AE3F2B">
              <w:rPr>
                <w:rFonts w:ascii="Palatino Linotype" w:eastAsia="Palatino Linotype" w:hAnsi="Palatino Linotype" w:cs="Palatino Linotype"/>
                <w:color w:val="000000"/>
              </w:rPr>
              <w:t xml:space="preserve">El </w:t>
            </w:r>
            <w:r w:rsidRPr="00AE3F2B">
              <w:rPr>
                <w:rFonts w:ascii="Palatino Linotype" w:eastAsia="Palatino Linotype" w:hAnsi="Palatino Linotype" w:cs="Palatino Linotype"/>
                <w:b/>
                <w:color w:val="000000"/>
              </w:rPr>
              <w:t>Sujeto Obligado</w:t>
            </w:r>
            <w:r w:rsidRPr="00AE3F2B">
              <w:rPr>
                <w:rFonts w:ascii="Palatino Linotype" w:eastAsia="Palatino Linotype" w:hAnsi="Palatino Linotype" w:cs="Palatino Linotype"/>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E94D86" w:rsidRPr="00AE3F2B" w:rsidTr="00E94D86">
        <w:tc>
          <w:tcPr>
            <w:cnfStyle w:val="001000000000" w:firstRow="0" w:lastRow="0" w:firstColumn="1" w:lastColumn="0" w:oddVBand="0" w:evenVBand="0" w:oddHBand="0" w:evenHBand="0" w:firstRowFirstColumn="0" w:firstRowLastColumn="0" w:lastRowFirstColumn="0" w:lastRowLastColumn="0"/>
            <w:tcW w:w="1838" w:type="dxa"/>
          </w:tcPr>
          <w:p w:rsidR="00E94D86" w:rsidRPr="00AE3F2B" w:rsidRDefault="001E3125">
            <w:pPr>
              <w:rPr>
                <w:rFonts w:ascii="Palatino Linotype" w:eastAsia="Palatino Linotype" w:hAnsi="Palatino Linotype" w:cs="Palatino Linotype"/>
              </w:rPr>
            </w:pPr>
            <w:r w:rsidRPr="00AE3F2B">
              <w:rPr>
                <w:rFonts w:ascii="Palatino Linotype" w:eastAsia="Palatino Linotype" w:hAnsi="Palatino Linotype" w:cs="Palatino Linotype"/>
              </w:rPr>
              <w:lastRenderedPageBreak/>
              <w:t>c) Formalidades para emitir el acuerdo de clasificación.</w:t>
            </w:r>
          </w:p>
        </w:tc>
        <w:tc>
          <w:tcPr>
            <w:tcW w:w="6990" w:type="dxa"/>
          </w:tcPr>
          <w:p w:rsidR="00E94D86" w:rsidRPr="00AE3F2B"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E3F2B">
              <w:rPr>
                <w:rFonts w:ascii="Palatino Linotype" w:eastAsia="Palatino Linotype" w:hAnsi="Palatino Linotype" w:cs="Palatino Linotype"/>
                <w:color w:val="000000"/>
              </w:rPr>
              <w:t xml:space="preserve">El Comité de Transparencia, según lo dispuesto en los artículos cuenta con las facultades para aprobar, modificar o revocar la clasificación de la información que haya propuesto. </w:t>
            </w:r>
          </w:p>
          <w:p w:rsidR="00E94D86" w:rsidRPr="00AE3F2B"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E3F2B">
              <w:rPr>
                <w:rFonts w:ascii="Palatino Linotype" w:eastAsia="Palatino Linotype" w:hAnsi="Palatino Linotype" w:cs="Palatino Linotype"/>
                <w:color w:val="000000"/>
              </w:rPr>
              <w:t xml:space="preserve">Es necesario que </w:t>
            </w:r>
            <w:r w:rsidRPr="00AE3F2B">
              <w:rPr>
                <w:rFonts w:ascii="Palatino Linotype" w:eastAsia="Palatino Linotype" w:hAnsi="Palatino Linotype" w:cs="Palatino Linotype"/>
                <w:b/>
                <w:color w:val="000000"/>
                <w:u w:val="single"/>
              </w:rPr>
              <w:t>el acto reúna con los requisitos elementales</w:t>
            </w:r>
            <w:r w:rsidRPr="00AE3F2B">
              <w:rPr>
                <w:rFonts w:ascii="Palatino Linotype" w:eastAsia="Palatino Linotype" w:hAnsi="Palatino Linotype" w:cs="Palatino Linotype"/>
                <w:color w:val="000000"/>
              </w:rPr>
              <w:t>, entre ellos, que la autoridad que va a emitir el acto de autoridad sea la legalmente facultada para ello.</w:t>
            </w:r>
          </w:p>
          <w:p w:rsidR="00E94D86" w:rsidRPr="00AE3F2B" w:rsidRDefault="001E3125">
            <w:pPr>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AE3F2B">
              <w:rPr>
                <w:rFonts w:ascii="Palatino Linotype" w:eastAsia="Palatino Linotype" w:hAnsi="Palatino Linotype" w:cs="Palatino Linotype"/>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E94D86" w:rsidRPr="00AE3F2B" w:rsidTr="00E94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00E94D86" w:rsidRPr="00AE3F2B" w:rsidRDefault="00E94D86">
            <w:pPr>
              <w:rPr>
                <w:rFonts w:ascii="Palatino Linotype" w:eastAsia="Palatino Linotype" w:hAnsi="Palatino Linotype" w:cs="Palatino Linotype"/>
              </w:rPr>
            </w:pPr>
          </w:p>
          <w:p w:rsidR="00E94D86" w:rsidRPr="00AE3F2B" w:rsidRDefault="001E3125">
            <w:pPr>
              <w:jc w:val="both"/>
              <w:rPr>
                <w:rFonts w:ascii="Palatino Linotype" w:eastAsia="Palatino Linotype" w:hAnsi="Palatino Linotype" w:cs="Palatino Linotype"/>
              </w:rPr>
            </w:pPr>
            <w:r w:rsidRPr="00AE3F2B">
              <w:rPr>
                <w:rFonts w:ascii="Palatino Linotype" w:eastAsia="Palatino Linotype" w:hAnsi="Palatino Linotype" w:cs="Palatino Linotype"/>
                <w:color w:val="000000"/>
              </w:rPr>
              <w:t xml:space="preserve">d) Requisitos de fondo del acuerdo de clasificación. </w:t>
            </w:r>
          </w:p>
        </w:tc>
        <w:tc>
          <w:tcPr>
            <w:tcW w:w="6990" w:type="dxa"/>
          </w:tcPr>
          <w:p w:rsidR="00E94D86" w:rsidRPr="00AE3F2B"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E3F2B">
              <w:rPr>
                <w:rFonts w:ascii="Palatino Linotype" w:eastAsia="Palatino Linotype" w:hAnsi="Palatino Linotype" w:cs="Palatino Linotype"/>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AE3F2B">
              <w:rPr>
                <w:rFonts w:ascii="Palatino Linotype" w:eastAsia="Palatino Linotype" w:hAnsi="Palatino Linotype" w:cs="Palatino Linotype"/>
                <w:b/>
                <w:color w:val="000000"/>
              </w:rPr>
              <w:t>Sujetos Obligados</w:t>
            </w:r>
            <w:r w:rsidRPr="00AE3F2B">
              <w:rPr>
                <w:rFonts w:ascii="Palatino Linotype" w:eastAsia="Palatino Linotype" w:hAnsi="Palatino Linotype" w:cs="Palatino Linotype"/>
                <w:color w:val="000000"/>
              </w:rPr>
              <w:t xml:space="preserve">, por lo que deberán fundar y motivar debidamente la clasificación. </w:t>
            </w:r>
          </w:p>
          <w:p w:rsidR="00E94D86" w:rsidRPr="00AE3F2B"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E3F2B">
              <w:rPr>
                <w:rFonts w:ascii="Palatino Linotype" w:eastAsia="Palatino Linotype" w:hAnsi="Palatino Linotype" w:cs="Palatino Linotype"/>
                <w:color w:val="000000"/>
              </w:rPr>
              <w:t xml:space="preserve">De lo anterior, se desprende que para una correcta </w:t>
            </w:r>
            <w:r w:rsidRPr="00AE3F2B">
              <w:rPr>
                <w:rFonts w:ascii="Palatino Linotype" w:eastAsia="Palatino Linotype" w:hAnsi="Palatino Linotype" w:cs="Palatino Linotype"/>
                <w:b/>
                <w:color w:val="000000"/>
              </w:rPr>
              <w:t>clasificación total o parcial</w:t>
            </w:r>
            <w:r w:rsidRPr="00AE3F2B">
              <w:rPr>
                <w:rFonts w:ascii="Palatino Linotype" w:eastAsia="Palatino Linotype" w:hAnsi="Palatino Linotype" w:cs="Palatino Linotype"/>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E94D86" w:rsidRPr="00AE3F2B"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E3F2B">
              <w:rPr>
                <w:rFonts w:ascii="Palatino Linotype" w:eastAsia="Palatino Linotype" w:hAnsi="Palatino Linotype" w:cs="Palatino Linotype"/>
                <w:color w:val="000000"/>
              </w:rPr>
              <w:t xml:space="preserve">Así, en un acto de autoridad se cumple con la debida fundamentación cuando se cita el precepto legal aplicable al caso concreto y la debida motivación cuando se expresan las razones, motivos o circunstancias </w:t>
            </w:r>
            <w:r w:rsidRPr="00AE3F2B">
              <w:rPr>
                <w:rFonts w:ascii="Palatino Linotype" w:eastAsia="Palatino Linotype" w:hAnsi="Palatino Linotype" w:cs="Palatino Linotype"/>
                <w:color w:val="000000"/>
              </w:rPr>
              <w:lastRenderedPageBreak/>
              <w:t>que tomó en cuenta la autoridad para adecuar el hecho a los fundamentos de derecho. De este modo, la persona que se sienta afectada pueda impugnar la decisión, permitiéndole una real y auténtica defensa.</w:t>
            </w:r>
          </w:p>
          <w:p w:rsidR="00E94D86" w:rsidRPr="00AE3F2B"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E3F2B">
              <w:rPr>
                <w:rFonts w:ascii="Palatino Linotype" w:eastAsia="Palatino Linotype" w:hAnsi="Palatino Linotype" w:cs="Palatino Linotype"/>
                <w:color w:val="000000"/>
              </w:rPr>
              <w:t>En ese mismo sentido, el numeral trigésimo tercero fracción V de los Lineamientos Generales, precisa que para motivar la clasificación se deben acreditar las circunstancias de tiempo, modo y lugar.</w:t>
            </w:r>
          </w:p>
          <w:p w:rsidR="00E94D86" w:rsidRPr="00AE3F2B" w:rsidRDefault="001E3125">
            <w:pPr>
              <w:ind w:right="49"/>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rPr>
            </w:pPr>
            <w:r w:rsidRPr="00AE3F2B">
              <w:rPr>
                <w:rFonts w:ascii="Palatino Linotype" w:eastAsia="Palatino Linotype" w:hAnsi="Palatino Linotype" w:cs="Palatino Linotype"/>
                <w:color w:val="000000"/>
              </w:rPr>
              <w:t xml:space="preserve">Ahora bien, </w:t>
            </w:r>
            <w:r w:rsidRPr="00AE3F2B">
              <w:rPr>
                <w:rFonts w:ascii="Palatino Linotype" w:eastAsia="Palatino Linotype" w:hAnsi="Palatino Linotype" w:cs="Palatino Linotype"/>
                <w:b/>
                <w:color w:val="000000"/>
                <w:u w:val="single"/>
              </w:rPr>
              <w:t>para cada caso además de fundar y motivar</w:t>
            </w:r>
            <w:r w:rsidRPr="00AE3F2B">
              <w:rPr>
                <w:rFonts w:ascii="Palatino Linotype" w:eastAsia="Palatino Linotype" w:hAnsi="Palatino Linotype" w:cs="Palatino Linotype"/>
                <w:color w:val="00000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E94D86" w:rsidRPr="00AE3F2B" w:rsidTr="00E94D86">
        <w:tc>
          <w:tcPr>
            <w:cnfStyle w:val="001000000000" w:firstRow="0" w:lastRow="0" w:firstColumn="1" w:lastColumn="0" w:oddVBand="0" w:evenVBand="0" w:oddHBand="0" w:evenHBand="0" w:firstRowFirstColumn="0" w:firstRowLastColumn="0" w:lastRowFirstColumn="0" w:lastRowLastColumn="0"/>
            <w:tcW w:w="1838" w:type="dxa"/>
          </w:tcPr>
          <w:p w:rsidR="00E94D86" w:rsidRPr="00AE3F2B" w:rsidRDefault="001E3125">
            <w:pPr>
              <w:ind w:right="49"/>
              <w:jc w:val="both"/>
              <w:rPr>
                <w:rFonts w:ascii="Palatino Linotype" w:eastAsia="Palatino Linotype" w:hAnsi="Palatino Linotype" w:cs="Palatino Linotype"/>
              </w:rPr>
            </w:pPr>
            <w:r w:rsidRPr="00AE3F2B">
              <w:rPr>
                <w:rFonts w:ascii="Palatino Linotype" w:eastAsia="Palatino Linotype" w:hAnsi="Palatino Linotype" w:cs="Palatino Linotype"/>
                <w:b w:val="0"/>
              </w:rPr>
              <w:lastRenderedPageBreak/>
              <w:t>e</w:t>
            </w:r>
            <w:r w:rsidRPr="00AE3F2B">
              <w:rPr>
                <w:rFonts w:ascii="Palatino Linotype" w:eastAsia="Palatino Linotype" w:hAnsi="Palatino Linotype" w:cs="Palatino Linotype"/>
              </w:rPr>
              <w:t xml:space="preserve">) Condiciones especiales de la clasificación de la información como confidencial. </w:t>
            </w:r>
          </w:p>
        </w:tc>
        <w:tc>
          <w:tcPr>
            <w:tcW w:w="6990" w:type="dxa"/>
          </w:tcPr>
          <w:p w:rsidR="00E94D86" w:rsidRPr="00AE3F2B"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E3F2B">
              <w:rPr>
                <w:rFonts w:ascii="Palatino Linotype" w:eastAsia="Palatino Linotype" w:hAnsi="Palatino Linotype" w:cs="Palatino Linotype"/>
                <w:color w:val="000000"/>
              </w:rPr>
              <w:t xml:space="preserve">Los artículos 148 y 120 de la Ley Estatal y de la Ley General, respectivamente, establecen que aun tratándose de datos personales, se podrán proporcionar, incluso sin solicitar el consentimiento de su titular. </w:t>
            </w:r>
          </w:p>
          <w:p w:rsidR="00E94D86" w:rsidRPr="00AE3F2B" w:rsidRDefault="001E3125">
            <w:pPr>
              <w:ind w:right="49"/>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rPr>
            </w:pPr>
            <w:r w:rsidRPr="00AE3F2B">
              <w:rPr>
                <w:rFonts w:ascii="Palatino Linotype" w:eastAsia="Palatino Linotype" w:hAnsi="Palatino Linotype" w:cs="Palatino Linotype"/>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E94D86" w:rsidRPr="00AE3F2B" w:rsidRDefault="001E3125">
            <w:pP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r w:rsidRPr="00AE3F2B">
              <w:rPr>
                <w:rFonts w:ascii="Palatino Linotype" w:eastAsia="Palatino Linotype" w:hAnsi="Palatino Linotype" w:cs="Palatino Linotype"/>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327CB5" w:rsidRPr="00AE3F2B" w:rsidRDefault="00327CB5" w:rsidP="00681958">
      <w:pPr>
        <w:ind w:right="1"/>
        <w:jc w:val="both"/>
        <w:rPr>
          <w:rFonts w:ascii="Palatino Linotype" w:eastAsia="Palatino Linotype" w:hAnsi="Palatino Linotype" w:cs="Palatino Linotype"/>
          <w:b/>
          <w:sz w:val="22"/>
          <w:szCs w:val="22"/>
        </w:rPr>
      </w:pPr>
    </w:p>
    <w:p w:rsidR="002B0131" w:rsidRPr="00AE3F2B" w:rsidRDefault="00327CB5" w:rsidP="00327CB5">
      <w:pPr>
        <w:pStyle w:val="Prrafodelista"/>
        <w:numPr>
          <w:ilvl w:val="0"/>
          <w:numId w:val="7"/>
        </w:numPr>
        <w:tabs>
          <w:tab w:val="left" w:pos="426"/>
        </w:tabs>
        <w:spacing w:line="360" w:lineRule="auto"/>
        <w:ind w:right="51"/>
        <w:jc w:val="both"/>
        <w:rPr>
          <w:rFonts w:ascii="Palatino Linotype" w:eastAsia="Palatino Linotype" w:hAnsi="Palatino Linotype" w:cs="Palatino Linotype"/>
          <w:b/>
          <w:szCs w:val="22"/>
        </w:rPr>
      </w:pPr>
      <w:r w:rsidRPr="00AE3F2B">
        <w:rPr>
          <w:rFonts w:ascii="Palatino Linotype" w:eastAsia="Palatino Linotype" w:hAnsi="Palatino Linotype" w:cs="Palatino Linotype"/>
          <w:b/>
          <w:szCs w:val="22"/>
        </w:rPr>
        <w:t>Del análisis de los datos susceptibles de ser protegidos en la nómina.</w:t>
      </w:r>
    </w:p>
    <w:p w:rsidR="00327CB5" w:rsidRPr="00AE3F2B" w:rsidRDefault="00327CB5" w:rsidP="00681958">
      <w:pPr>
        <w:tabs>
          <w:tab w:val="left" w:pos="426"/>
        </w:tabs>
        <w:ind w:right="51"/>
        <w:jc w:val="both"/>
        <w:rPr>
          <w:rFonts w:ascii="Palatino Linotype" w:eastAsia="Palatino Linotype" w:hAnsi="Palatino Linotype" w:cs="Palatino Linotype"/>
          <w:b/>
          <w:sz w:val="22"/>
          <w:szCs w:val="22"/>
        </w:rPr>
      </w:pPr>
    </w:p>
    <w:p w:rsidR="0051644E" w:rsidRPr="00AE3F2B"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Calibri" w:hAnsi="Palatino Linotype" w:cs="Arial"/>
          <w:color w:val="000000" w:themeColor="text1"/>
          <w:sz w:val="22"/>
          <w:szCs w:val="22"/>
          <w:lang w:val="es-ES"/>
        </w:rPr>
        <w:t xml:space="preserve">Bajo </w:t>
      </w:r>
      <w:r w:rsidRPr="00AE3F2B">
        <w:rPr>
          <w:rFonts w:ascii="Palatino Linotype" w:eastAsia="Palatino Linotype" w:hAnsi="Palatino Linotype" w:cs="Palatino Linotype"/>
          <w:sz w:val="22"/>
          <w:szCs w:val="22"/>
        </w:rPr>
        <w:t xml:space="preserve">lo anterior, es importante analizar los datos personales susceptibles de ser protegidos, que pudieran estar contenidos en los documentos donde obra lo requerido, tales como </w:t>
      </w:r>
      <w:r w:rsidRPr="00AE3F2B">
        <w:rPr>
          <w:rFonts w:ascii="Palatino Linotype" w:eastAsia="Palatino Linotype" w:hAnsi="Palatino Linotype" w:cs="Palatino Linotype"/>
          <w:b/>
          <w:sz w:val="22"/>
          <w:szCs w:val="22"/>
        </w:rPr>
        <w:t xml:space="preserve">Registro Federal de Contribuyentes (RFC), </w:t>
      </w:r>
      <w:r w:rsidRPr="00AE3F2B">
        <w:rPr>
          <w:rFonts w:ascii="Palatino Linotype" w:eastAsia="Palatino Linotype" w:hAnsi="Palatino Linotype" w:cs="Palatino Linotype"/>
          <w:sz w:val="22"/>
          <w:szCs w:val="22"/>
        </w:rPr>
        <w:t xml:space="preserve">la </w:t>
      </w:r>
      <w:r w:rsidRPr="00AE3F2B">
        <w:rPr>
          <w:rFonts w:ascii="Palatino Linotype" w:eastAsia="Palatino Linotype" w:hAnsi="Palatino Linotype" w:cs="Palatino Linotype"/>
          <w:b/>
          <w:sz w:val="22"/>
          <w:szCs w:val="22"/>
        </w:rPr>
        <w:t>Clave Única de Registro de Población (CURP)</w:t>
      </w:r>
      <w:r w:rsidRPr="00AE3F2B">
        <w:rPr>
          <w:rFonts w:ascii="Palatino Linotype" w:eastAsia="Palatino Linotype" w:hAnsi="Palatino Linotype" w:cs="Palatino Linotype"/>
          <w:sz w:val="22"/>
          <w:szCs w:val="22"/>
        </w:rPr>
        <w:t xml:space="preserve">, la </w:t>
      </w:r>
      <w:r w:rsidRPr="00AE3F2B">
        <w:rPr>
          <w:rFonts w:ascii="Palatino Linotype" w:eastAsia="Palatino Linotype" w:hAnsi="Palatino Linotype" w:cs="Palatino Linotype"/>
          <w:b/>
          <w:sz w:val="22"/>
          <w:szCs w:val="22"/>
        </w:rPr>
        <w:t xml:space="preserve">Clave de </w:t>
      </w:r>
      <w:proofErr w:type="spellStart"/>
      <w:r w:rsidRPr="00AE3F2B">
        <w:rPr>
          <w:rFonts w:ascii="Palatino Linotype" w:eastAsia="Palatino Linotype" w:hAnsi="Palatino Linotype" w:cs="Palatino Linotype"/>
          <w:b/>
          <w:sz w:val="22"/>
          <w:szCs w:val="22"/>
        </w:rPr>
        <w:t>ISSEMyM</w:t>
      </w:r>
      <w:proofErr w:type="spellEnd"/>
      <w:r w:rsidRPr="00AE3F2B">
        <w:rPr>
          <w:rFonts w:ascii="Palatino Linotype" w:eastAsia="Palatino Linotype" w:hAnsi="Palatino Linotype" w:cs="Palatino Linotype"/>
          <w:b/>
          <w:sz w:val="22"/>
          <w:szCs w:val="22"/>
        </w:rPr>
        <w:t xml:space="preserve"> </w:t>
      </w:r>
      <w:r w:rsidRPr="00AE3F2B">
        <w:rPr>
          <w:rFonts w:ascii="Palatino Linotype" w:eastAsia="Palatino Linotype" w:hAnsi="Palatino Linotype" w:cs="Palatino Linotype"/>
          <w:sz w:val="22"/>
          <w:szCs w:val="22"/>
        </w:rPr>
        <w:t xml:space="preserve">u análogos, </w:t>
      </w:r>
      <w:r w:rsidRPr="00AE3F2B">
        <w:rPr>
          <w:rFonts w:ascii="Palatino Linotype" w:eastAsia="Palatino Linotype" w:hAnsi="Palatino Linotype" w:cs="Palatino Linotype"/>
          <w:b/>
          <w:sz w:val="22"/>
          <w:szCs w:val="22"/>
        </w:rPr>
        <w:t xml:space="preserve">préstamos o descuentos </w:t>
      </w:r>
      <w:r w:rsidRPr="00AE3F2B">
        <w:rPr>
          <w:rFonts w:ascii="Palatino Linotype" w:eastAsia="Palatino Linotype" w:hAnsi="Palatino Linotype" w:cs="Palatino Linotype"/>
          <w:sz w:val="22"/>
          <w:szCs w:val="22"/>
        </w:rPr>
        <w:t xml:space="preserve">realizados al servidor público y la </w:t>
      </w:r>
      <w:r w:rsidRPr="00AE3F2B">
        <w:rPr>
          <w:rFonts w:ascii="Palatino Linotype" w:eastAsia="Palatino Linotype" w:hAnsi="Palatino Linotype" w:cs="Palatino Linotype"/>
          <w:b/>
          <w:sz w:val="22"/>
          <w:szCs w:val="22"/>
        </w:rPr>
        <w:t>clave interbancaria de depósito.</w:t>
      </w:r>
    </w:p>
    <w:p w:rsidR="0051644E" w:rsidRPr="00AE3F2B" w:rsidRDefault="0051644E" w:rsidP="00681958">
      <w:pPr>
        <w:ind w:right="1"/>
        <w:jc w:val="both"/>
        <w:rPr>
          <w:rFonts w:ascii="Palatino Linotype" w:eastAsia="Palatino Linotype" w:hAnsi="Palatino Linotype" w:cs="Palatino Linotype"/>
          <w:b/>
          <w:sz w:val="22"/>
          <w:szCs w:val="22"/>
        </w:rPr>
      </w:pPr>
    </w:p>
    <w:p w:rsidR="0051644E" w:rsidRPr="00AE3F2B" w:rsidRDefault="0051644E" w:rsidP="0051644E">
      <w:pPr>
        <w:tabs>
          <w:tab w:val="left" w:pos="426"/>
        </w:tabs>
        <w:spacing w:line="360" w:lineRule="auto"/>
        <w:ind w:left="426" w:right="51"/>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t>a) Del Registro Federal de Contribuyentes.</w:t>
      </w:r>
    </w:p>
    <w:p w:rsidR="0051644E" w:rsidRPr="00AE3F2B" w:rsidRDefault="0051644E" w:rsidP="00681958">
      <w:pPr>
        <w:ind w:right="1"/>
        <w:jc w:val="both"/>
        <w:rPr>
          <w:rFonts w:ascii="Palatino Linotype" w:eastAsia="Palatino Linotype" w:hAnsi="Palatino Linotype" w:cs="Palatino Linotype"/>
          <w:b/>
          <w:sz w:val="22"/>
          <w:szCs w:val="22"/>
        </w:rPr>
      </w:pPr>
    </w:p>
    <w:p w:rsidR="0051644E" w:rsidRPr="00AE3F2B"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 xml:space="preserve">El Registro Federal de Contribuyentes (RFC) es una clave alfanumérica que se compone de trece (13) caracteres. De acuerdo con la Comisión Nacional para la Protección y Defensa de los Usuarios de Servicios Financieros (CONDUSEF), los dos primeros caracteres, corresponden al apellido paterno, el tercero a la inicial del apellido materno y el cuarto al primero nombre, seguido del año de nacimiento, mes y día, los tres últimos dígitos son la </w:t>
      </w:r>
      <w:proofErr w:type="spellStart"/>
      <w:r w:rsidRPr="00AE3F2B">
        <w:rPr>
          <w:rFonts w:ascii="Palatino Linotype" w:eastAsia="Palatino Linotype" w:hAnsi="Palatino Linotype" w:cs="Palatino Linotype"/>
          <w:sz w:val="22"/>
          <w:szCs w:val="22"/>
        </w:rPr>
        <w:t>homoclave</w:t>
      </w:r>
      <w:proofErr w:type="spellEnd"/>
      <w:r w:rsidRPr="00AE3F2B">
        <w:rPr>
          <w:rFonts w:ascii="Palatino Linotype" w:eastAsia="Palatino Linotype" w:hAnsi="Palatino Linotype" w:cs="Palatino Linotype"/>
          <w:sz w:val="22"/>
          <w:szCs w:val="22"/>
        </w:rPr>
        <w:t xml:space="preserve"> que es asignada por el Servicio de Administración Tributaria (SAT).</w:t>
      </w:r>
    </w:p>
    <w:p w:rsidR="0051644E" w:rsidRPr="00AE3F2B" w:rsidRDefault="0051644E" w:rsidP="00681958">
      <w:pPr>
        <w:ind w:right="1"/>
        <w:jc w:val="both"/>
        <w:rPr>
          <w:rFonts w:ascii="Palatino Linotype" w:eastAsia="Palatino Linotype" w:hAnsi="Palatino Linotype" w:cs="Palatino Linotype"/>
          <w:b/>
          <w:sz w:val="22"/>
          <w:szCs w:val="22"/>
        </w:rPr>
      </w:pPr>
    </w:p>
    <w:p w:rsidR="0051644E" w:rsidRPr="00AE3F2B"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Las personas físicas obligadas a presentar declaraciones o expedir comprobantes fiscales, deberán solicitar su inscripción en el Registro Federal de Contribuyentes. La clave del RFC es el medio por el cual el Servicio de Administración Tributaria exige y vigila el cumplimiento de las obligaciones fiscales de los contribuyentes, además que identifica como contribuyentes a las personas físicas o morales en nuestro país.</w:t>
      </w:r>
    </w:p>
    <w:p w:rsidR="0051644E" w:rsidRPr="00AE3F2B" w:rsidRDefault="0051644E" w:rsidP="00681958">
      <w:pPr>
        <w:rPr>
          <w:rFonts w:ascii="Palatino Linotype" w:eastAsia="Palatino Linotype" w:hAnsi="Palatino Linotype" w:cs="Palatino Linotype"/>
          <w:sz w:val="22"/>
          <w:szCs w:val="22"/>
        </w:rPr>
      </w:pPr>
    </w:p>
    <w:p w:rsidR="0051644E" w:rsidRPr="00AE3F2B" w:rsidRDefault="00327CB5" w:rsidP="00681958">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Del mismo modo, el Registro Federal de Contribuyentes permite tener acceso a programas sociales o becas, obtención de créditos y apoyos, apertura cuentas bancarias, participar en Afores, e incluso es un requisito indispensable para realizar el trámite de ingreso a un empleo.</w:t>
      </w:r>
    </w:p>
    <w:p w:rsidR="00FD2459" w:rsidRPr="00AE3F2B" w:rsidRDefault="00FD2459" w:rsidP="00FD2459">
      <w:pPr>
        <w:spacing w:line="360" w:lineRule="auto"/>
        <w:ind w:right="1"/>
        <w:jc w:val="both"/>
        <w:rPr>
          <w:rFonts w:ascii="Palatino Linotype" w:eastAsia="Palatino Linotype" w:hAnsi="Palatino Linotype" w:cs="Palatino Linotype"/>
          <w:b/>
          <w:sz w:val="22"/>
          <w:szCs w:val="22"/>
        </w:rPr>
      </w:pPr>
    </w:p>
    <w:p w:rsidR="0051644E" w:rsidRPr="00AE3F2B"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De lo anteriormente expuesto, el Registro Federal de Contribuyentes, es un dato personal concerniente a una persona física identificada o identificable, cuya exposición vulneraría la esfera privada del servidor público, e incluso pudiese dar pauta a la configuración de un delito fiscal.</w:t>
      </w:r>
    </w:p>
    <w:p w:rsidR="0051644E" w:rsidRPr="00AE3F2B" w:rsidRDefault="0051644E" w:rsidP="0051644E">
      <w:pPr>
        <w:rPr>
          <w:rFonts w:ascii="Palatino Linotype" w:eastAsia="Palatino Linotype" w:hAnsi="Palatino Linotype" w:cs="Palatino Linotype"/>
          <w:sz w:val="22"/>
          <w:szCs w:val="22"/>
        </w:rPr>
      </w:pPr>
    </w:p>
    <w:p w:rsidR="0051644E" w:rsidRPr="00AE3F2B"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En el mismo sentido, resulta aplicable el Criterio 19/17 emitido por el Instituto Nacional de Transparencia, Acceso a la Información, y Protección de Datos Personales, en el cual se señala lo siguiente:</w:t>
      </w:r>
    </w:p>
    <w:p w:rsidR="0051644E" w:rsidRPr="00AE3F2B" w:rsidRDefault="0051644E" w:rsidP="00681958">
      <w:pPr>
        <w:ind w:right="1"/>
        <w:jc w:val="both"/>
        <w:rPr>
          <w:rFonts w:ascii="Palatino Linotype" w:eastAsia="Palatino Linotype" w:hAnsi="Palatino Linotype" w:cs="Palatino Linotype"/>
          <w:sz w:val="22"/>
          <w:szCs w:val="22"/>
        </w:rPr>
      </w:pPr>
    </w:p>
    <w:p w:rsidR="0051644E" w:rsidRPr="00AE3F2B" w:rsidRDefault="0051644E" w:rsidP="00F46C8E">
      <w:pPr>
        <w:shd w:val="clear" w:color="auto" w:fill="FFFFFF"/>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REGISTRO FEDERAL DE CONTRIBUYENTES (RFC) DE PERSONAS FÍSICAS.</w:t>
      </w:r>
      <w:r w:rsidRPr="00AE3F2B">
        <w:rPr>
          <w:rFonts w:ascii="Palatino Linotype" w:eastAsia="Palatino Linotype" w:hAnsi="Palatino Linotype" w:cs="Palatino Linotype"/>
          <w:i/>
          <w:sz w:val="22"/>
          <w:szCs w:val="22"/>
        </w:rPr>
        <w:t xml:space="preserve"> “El RFC es una clave de carácter fiscal, única e irrepetible, que permite identificar al titular, su edad y fecha de nacimiento, por lo que es un dato personal de carácter confidencial.”</w:t>
      </w:r>
    </w:p>
    <w:p w:rsidR="0051644E" w:rsidRPr="00AE3F2B" w:rsidRDefault="0051644E" w:rsidP="0051644E">
      <w:pPr>
        <w:tabs>
          <w:tab w:val="left" w:pos="426"/>
        </w:tabs>
        <w:spacing w:line="360" w:lineRule="auto"/>
        <w:ind w:right="51"/>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t>b) De la Clave Única de Registro de Población.</w:t>
      </w:r>
    </w:p>
    <w:p w:rsidR="0051644E" w:rsidRPr="00AE3F2B" w:rsidRDefault="0051644E" w:rsidP="00681958">
      <w:pPr>
        <w:ind w:right="1"/>
        <w:jc w:val="both"/>
        <w:rPr>
          <w:rFonts w:ascii="Palatino Linotype" w:eastAsia="Palatino Linotype" w:hAnsi="Palatino Linotype" w:cs="Palatino Linotype"/>
          <w:b/>
          <w:sz w:val="22"/>
          <w:szCs w:val="22"/>
        </w:rPr>
      </w:pPr>
    </w:p>
    <w:p w:rsidR="0051644E" w:rsidRPr="00AE3F2B"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La Clave Única de Registro de Población (CURP) según lo establecido en el Instructivo Normativo para la Asignación de la Clave Única de Registro de Población, la CURP es un elemento que permite registrar de forma individual a las o los mexicanos, así como a los extranjeros que se encuentren en condiciones de estancia regular en el país o en trámite de ésta, se integra por dieciocho (18) caracteres, los cuales son:</w:t>
      </w:r>
    </w:p>
    <w:p w:rsidR="0051644E" w:rsidRPr="00AE3F2B" w:rsidRDefault="0051644E" w:rsidP="00681958">
      <w:pPr>
        <w:ind w:right="1"/>
        <w:jc w:val="both"/>
        <w:rPr>
          <w:rFonts w:ascii="Palatino Linotype" w:eastAsia="Palatino Linotype" w:hAnsi="Palatino Linotype" w:cs="Palatino Linotype"/>
          <w:b/>
          <w:sz w:val="22"/>
          <w:szCs w:val="22"/>
        </w:rPr>
      </w:pPr>
    </w:p>
    <w:p w:rsidR="0051644E" w:rsidRPr="00AE3F2B" w:rsidRDefault="0051644E" w:rsidP="00827BFE">
      <w:pPr>
        <w:spacing w:line="360" w:lineRule="auto"/>
        <w:ind w:right="1"/>
        <w:jc w:val="center"/>
        <w:rPr>
          <w:rFonts w:ascii="Palatino Linotype" w:eastAsia="Palatino Linotype" w:hAnsi="Palatino Linotype" w:cs="Palatino Linotype"/>
          <w:b/>
          <w:sz w:val="22"/>
          <w:szCs w:val="22"/>
        </w:rPr>
      </w:pPr>
      <w:r w:rsidRPr="00AE3F2B">
        <w:rPr>
          <w:rFonts w:ascii="Palatino Linotype" w:hAnsi="Palatino Linotype"/>
          <w:noProof/>
          <w:sz w:val="22"/>
          <w:szCs w:val="22"/>
        </w:rPr>
        <w:drawing>
          <wp:inline distT="0" distB="0" distL="0" distR="0" wp14:anchorId="085A1AFD" wp14:editId="03CA1A1B">
            <wp:extent cx="2572603" cy="2306471"/>
            <wp:effectExtent l="19050" t="19050" r="18415" b="17780"/>
            <wp:docPr id="17" name="image2.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nterfaz de usuario gráfica, Aplicación&#10;&#10;Descripción generada automáticamente"/>
                    <pic:cNvPicPr preferRelativeResize="0"/>
                  </pic:nvPicPr>
                  <pic:blipFill>
                    <a:blip r:embed="rId12"/>
                    <a:srcRect l="25748" t="8269" r="41254" b="18081"/>
                    <a:stretch>
                      <a:fillRect/>
                    </a:stretch>
                  </pic:blipFill>
                  <pic:spPr>
                    <a:xfrm>
                      <a:off x="0" y="0"/>
                      <a:ext cx="2590089" cy="2322149"/>
                    </a:xfrm>
                    <a:prstGeom prst="rect">
                      <a:avLst/>
                    </a:prstGeom>
                    <a:ln w="12700">
                      <a:solidFill>
                        <a:srgbClr val="000000"/>
                      </a:solidFill>
                      <a:prstDash val="solid"/>
                    </a:ln>
                  </pic:spPr>
                </pic:pic>
              </a:graphicData>
            </a:graphic>
          </wp:inline>
        </w:drawing>
      </w:r>
    </w:p>
    <w:p w:rsidR="00305C25" w:rsidRPr="00AE3F2B" w:rsidRDefault="00305C25" w:rsidP="00305C25">
      <w:pPr>
        <w:ind w:right="1"/>
        <w:jc w:val="both"/>
        <w:rPr>
          <w:rFonts w:ascii="Palatino Linotype" w:eastAsia="Palatino Linotype" w:hAnsi="Palatino Linotype" w:cs="Palatino Linotype"/>
          <w:b/>
          <w:sz w:val="22"/>
          <w:szCs w:val="22"/>
        </w:rPr>
      </w:pPr>
    </w:p>
    <w:p w:rsidR="00827BFE" w:rsidRPr="00AE3F2B" w:rsidRDefault="00327CB5" w:rsidP="00827BF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Es entonces que a partir de los datos básicos de la persona (nombre, apellido, sexo, fecha y lugar de nacimiento) encontrados en los documentos probatorios de identidad es que se genera la CURP, la cual tiene la particularidad de asegurar una correspondencia entre claves y personas.</w:t>
      </w:r>
    </w:p>
    <w:p w:rsidR="0051644E" w:rsidRPr="00AE3F2B"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Entre las características de la CURP, se encuentra:</w:t>
      </w:r>
    </w:p>
    <w:p w:rsidR="0051644E" w:rsidRPr="00AE3F2B" w:rsidRDefault="0051644E" w:rsidP="00681958">
      <w:pPr>
        <w:ind w:right="1"/>
        <w:jc w:val="both"/>
        <w:rPr>
          <w:rFonts w:ascii="Palatino Linotype" w:eastAsia="Palatino Linotype" w:hAnsi="Palatino Linotype" w:cs="Palatino Linotype"/>
          <w:sz w:val="22"/>
          <w:szCs w:val="22"/>
        </w:rPr>
      </w:pPr>
    </w:p>
    <w:p w:rsidR="0051644E" w:rsidRPr="00AE3F2B" w:rsidRDefault="0051644E" w:rsidP="0051644E">
      <w:pPr>
        <w:tabs>
          <w:tab w:val="left" w:pos="426"/>
          <w:tab w:val="left" w:pos="567"/>
        </w:tabs>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 xml:space="preserve">Composición. </w:t>
      </w:r>
      <w:r w:rsidRPr="00AE3F2B">
        <w:rPr>
          <w:rFonts w:ascii="Palatino Linotype" w:eastAsia="Palatino Linotype" w:hAnsi="Palatino Linotype" w:cs="Palatino Linotype"/>
          <w:i/>
          <w:sz w:val="22"/>
          <w:szCs w:val="22"/>
        </w:rPr>
        <w:t>Alfanumérica.</w:t>
      </w:r>
    </w:p>
    <w:p w:rsidR="0051644E" w:rsidRPr="00AE3F2B" w:rsidRDefault="0051644E" w:rsidP="0051644E">
      <w:pPr>
        <w:tabs>
          <w:tab w:val="left" w:pos="426"/>
          <w:tab w:val="left" w:pos="567"/>
        </w:tabs>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 xml:space="preserve">Longitud. </w:t>
      </w:r>
      <w:r w:rsidRPr="00AE3F2B">
        <w:rPr>
          <w:rFonts w:ascii="Palatino Linotype" w:eastAsia="Palatino Linotype" w:hAnsi="Palatino Linotype" w:cs="Palatino Linotype"/>
          <w:i/>
          <w:sz w:val="22"/>
          <w:szCs w:val="22"/>
        </w:rPr>
        <w:t xml:space="preserve"> 18 caracteres.</w:t>
      </w:r>
    </w:p>
    <w:p w:rsidR="0051644E" w:rsidRPr="00AE3F2B" w:rsidRDefault="0051644E" w:rsidP="0051644E">
      <w:pPr>
        <w:tabs>
          <w:tab w:val="left" w:pos="426"/>
          <w:tab w:val="left" w:pos="567"/>
        </w:tabs>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lastRenderedPageBreak/>
        <w:t xml:space="preserve">Naturaleza. </w:t>
      </w:r>
      <w:r w:rsidRPr="00AE3F2B">
        <w:rPr>
          <w:rFonts w:ascii="Palatino Linotype" w:eastAsia="Palatino Linotype" w:hAnsi="Palatino Linotype" w:cs="Palatino Linotype"/>
          <w:i/>
          <w:sz w:val="22"/>
          <w:szCs w:val="22"/>
        </w:rPr>
        <w:t>Biunívoca.</w:t>
      </w:r>
    </w:p>
    <w:p w:rsidR="0051644E" w:rsidRPr="00AE3F2B" w:rsidRDefault="0051644E" w:rsidP="0051644E">
      <w:pPr>
        <w:tabs>
          <w:tab w:val="left" w:pos="426"/>
          <w:tab w:val="left" w:pos="567"/>
        </w:tabs>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 xml:space="preserve">Universalidad. </w:t>
      </w:r>
      <w:r w:rsidRPr="00AE3F2B">
        <w:rPr>
          <w:rFonts w:ascii="Palatino Linotype" w:eastAsia="Palatino Linotype" w:hAnsi="Palatino Linotype" w:cs="Palatino Linotype"/>
          <w:i/>
          <w:sz w:val="22"/>
          <w:szCs w:val="22"/>
        </w:rPr>
        <w:t>Se asigna a todas las personas que conforman la población.</w:t>
      </w:r>
    </w:p>
    <w:p w:rsidR="0051644E" w:rsidRPr="00AE3F2B" w:rsidRDefault="0051644E" w:rsidP="0051644E">
      <w:pPr>
        <w:tabs>
          <w:tab w:val="left" w:pos="142"/>
          <w:tab w:val="left" w:pos="284"/>
          <w:tab w:val="left" w:pos="426"/>
        </w:tabs>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Verificabilidad. En su estructura existen elementos que permiten comprobar si fue conformada correctamente o no, así como fecha de nacimiento, sexo, identificad federativa de nacimiento y las primeras composiciones de la clave, conformadas por la letra inicial y primera vocal interna del primer apellido, la letra inicial del segundo apellido y la primera letra del nombre.</w:t>
      </w:r>
    </w:p>
    <w:p w:rsidR="0051644E" w:rsidRPr="00AE3F2B" w:rsidRDefault="0051644E" w:rsidP="00681958">
      <w:pPr>
        <w:ind w:right="1"/>
        <w:jc w:val="both"/>
        <w:rPr>
          <w:rFonts w:ascii="Palatino Linotype" w:eastAsia="Palatino Linotype" w:hAnsi="Palatino Linotype" w:cs="Palatino Linotype"/>
          <w:b/>
          <w:sz w:val="22"/>
          <w:szCs w:val="22"/>
        </w:rPr>
      </w:pPr>
    </w:p>
    <w:p w:rsidR="0051644E" w:rsidRPr="00AE3F2B"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Del mismo modo, los Lineamientos en comento señalan en su artículo Décimo Tercero, “Manejo de la Información” que la información contenida en la Base de Datos Nacional de la Clave Única de Registro de Población (BNDCURP), tiene carácter de confidencial, por lo que su tratamiento debe ser acorde con la legislación aplicable y vigente en materia de transparencia y acceso a la información pública, y protección de datos personales.</w:t>
      </w:r>
    </w:p>
    <w:p w:rsidR="0051644E" w:rsidRPr="00AE3F2B" w:rsidRDefault="0051644E" w:rsidP="00681958">
      <w:pPr>
        <w:ind w:right="1"/>
        <w:jc w:val="both"/>
        <w:rPr>
          <w:rFonts w:ascii="Palatino Linotype" w:eastAsia="Palatino Linotype" w:hAnsi="Palatino Linotype" w:cs="Palatino Linotype"/>
          <w:b/>
          <w:sz w:val="22"/>
          <w:szCs w:val="22"/>
        </w:rPr>
      </w:pPr>
    </w:p>
    <w:p w:rsidR="0051644E" w:rsidRPr="00AE3F2B"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Es entonces que, de lo anterior, se desprende que la Clave Única de Registro de Población es un dato personal confidencial, ya que por sí releva información personal de su titular, y su exposición únicamente vulneraría la esfera privada del mismo, aunado a que no guarda relación con el desempeño profesional o laboral de un individuo ni con el ejercicio de recursos públicos.</w:t>
      </w:r>
    </w:p>
    <w:p w:rsidR="0051644E" w:rsidRPr="00AE3F2B" w:rsidRDefault="0051644E" w:rsidP="0051644E">
      <w:pPr>
        <w:spacing w:line="360" w:lineRule="auto"/>
        <w:ind w:right="1"/>
        <w:jc w:val="both"/>
        <w:rPr>
          <w:rFonts w:ascii="Palatino Linotype" w:eastAsia="Palatino Linotype" w:hAnsi="Palatino Linotype" w:cs="Palatino Linotype"/>
          <w:b/>
          <w:sz w:val="22"/>
          <w:szCs w:val="22"/>
        </w:rPr>
      </w:pPr>
    </w:p>
    <w:p w:rsidR="0051644E" w:rsidRPr="00AE3F2B"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Ante ello, resulta aplicable el Criterio 18/17 emitido por el Instituto Nacional de Transparencia, Acceso a la Información y Protección de Datos Personales, que a la literalidad señala:</w:t>
      </w:r>
    </w:p>
    <w:p w:rsidR="0051644E" w:rsidRPr="00AE3F2B" w:rsidRDefault="0051644E" w:rsidP="00FD2459">
      <w:pPr>
        <w:ind w:right="1"/>
        <w:jc w:val="both"/>
        <w:rPr>
          <w:rFonts w:ascii="Palatino Linotype" w:eastAsia="Palatino Linotype" w:hAnsi="Palatino Linotype" w:cs="Palatino Linotype"/>
          <w:sz w:val="22"/>
          <w:szCs w:val="22"/>
        </w:rPr>
      </w:pPr>
    </w:p>
    <w:p w:rsidR="0051644E" w:rsidRPr="00AE3F2B" w:rsidRDefault="0051644E" w:rsidP="0051644E">
      <w:pPr>
        <w:shd w:val="clear" w:color="auto" w:fill="FFFFFF"/>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CLAVE ÚNICA DE REGISTRO DE POBLACIÓN (CURP). “</w:t>
      </w:r>
      <w:r w:rsidRPr="00AE3F2B">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rsidR="0051644E" w:rsidRPr="00AE3F2B" w:rsidRDefault="0051644E" w:rsidP="00681958">
      <w:pPr>
        <w:tabs>
          <w:tab w:val="left" w:pos="426"/>
        </w:tabs>
        <w:ind w:right="51"/>
        <w:jc w:val="both"/>
        <w:rPr>
          <w:rFonts w:ascii="Palatino Linotype" w:eastAsia="Palatino Linotype" w:hAnsi="Palatino Linotype" w:cs="Palatino Linotype"/>
          <w:sz w:val="22"/>
          <w:szCs w:val="22"/>
        </w:rPr>
      </w:pPr>
    </w:p>
    <w:p w:rsidR="00F46C8E" w:rsidRPr="00AE3F2B" w:rsidRDefault="0051644E" w:rsidP="00FD2459">
      <w:pPr>
        <w:tabs>
          <w:tab w:val="left" w:pos="426"/>
        </w:tabs>
        <w:spacing w:line="360" w:lineRule="auto"/>
        <w:ind w:right="51"/>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lastRenderedPageBreak/>
        <w:t>c) De la clave de identificación del Instituto de Seguridad Social del Estado de México y Municipios.</w:t>
      </w:r>
    </w:p>
    <w:p w:rsidR="00F46C8E" w:rsidRPr="00AE3F2B" w:rsidRDefault="00F46C8E" w:rsidP="00FD2459">
      <w:pPr>
        <w:tabs>
          <w:tab w:val="left" w:pos="426"/>
        </w:tabs>
        <w:spacing w:line="360" w:lineRule="auto"/>
        <w:ind w:right="51"/>
        <w:jc w:val="both"/>
        <w:rPr>
          <w:rFonts w:ascii="Palatino Linotype" w:eastAsia="Palatino Linotype" w:hAnsi="Palatino Linotype" w:cs="Palatino Linotype"/>
          <w:b/>
          <w:sz w:val="22"/>
          <w:szCs w:val="22"/>
        </w:rPr>
      </w:pPr>
    </w:p>
    <w:p w:rsidR="0051644E" w:rsidRPr="00AE3F2B"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El Instituto de Seguridad Social del Estado de México y Municipios (ISSEMYM), es un organismo público descentralizo, con personalidad jurídica y órganos de gobierno propios, el cual otorgará las prestaciones y servicios que establece la Ley de Seguridad Social para los Servidores Públicos del Estado de México y Municipios.</w:t>
      </w:r>
    </w:p>
    <w:p w:rsidR="0051644E" w:rsidRPr="00AE3F2B" w:rsidRDefault="0051644E" w:rsidP="00681958">
      <w:pPr>
        <w:ind w:right="1"/>
        <w:jc w:val="both"/>
        <w:rPr>
          <w:rFonts w:ascii="Palatino Linotype" w:eastAsia="Palatino Linotype" w:hAnsi="Palatino Linotype" w:cs="Palatino Linotype"/>
          <w:b/>
          <w:sz w:val="22"/>
          <w:szCs w:val="22"/>
        </w:rPr>
      </w:pPr>
    </w:p>
    <w:p w:rsidR="0051644E" w:rsidRPr="00AE3F2B"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El artículo 9 de la Ley citada en el párrafo anterior, señala que el Instituto expedirá a los derechohabientes documento de identificación para facilitarles el acceso a las prestaciones que les corresponden conforme a Ley, dicho medio de identificación se materializa a través de una credencial expedida por el Instituto a sus derechohabientes, la cual será de naturaleza personal e intransferible y la cual deberá ser presentada siempre que se requiera un servicio de salud y demás prestaciones que brinda el organismo.</w:t>
      </w:r>
    </w:p>
    <w:p w:rsidR="0051644E" w:rsidRPr="00AE3F2B" w:rsidRDefault="0051644E" w:rsidP="0051644E">
      <w:pPr>
        <w:spacing w:line="360" w:lineRule="auto"/>
        <w:ind w:right="1"/>
        <w:jc w:val="both"/>
        <w:rPr>
          <w:rFonts w:ascii="Palatino Linotype" w:eastAsia="Palatino Linotype" w:hAnsi="Palatino Linotype" w:cs="Palatino Linotype"/>
          <w:b/>
          <w:sz w:val="22"/>
          <w:szCs w:val="22"/>
        </w:rPr>
      </w:pPr>
    </w:p>
    <w:p w:rsidR="0051644E" w:rsidRPr="00AE3F2B"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 xml:space="preserve">Entre los elementos que integra la credencial expedida se encuentra la Clave </w:t>
      </w:r>
      <w:proofErr w:type="spellStart"/>
      <w:r w:rsidRPr="00AE3F2B">
        <w:rPr>
          <w:rFonts w:ascii="Palatino Linotype" w:eastAsia="Palatino Linotype" w:hAnsi="Palatino Linotype" w:cs="Palatino Linotype"/>
          <w:sz w:val="22"/>
          <w:szCs w:val="22"/>
        </w:rPr>
        <w:t>ISSEMyM</w:t>
      </w:r>
      <w:proofErr w:type="spellEnd"/>
      <w:r w:rsidRPr="00AE3F2B">
        <w:rPr>
          <w:rFonts w:ascii="Palatino Linotype" w:eastAsia="Palatino Linotype" w:hAnsi="Palatino Linotype" w:cs="Palatino Linotype"/>
          <w:sz w:val="22"/>
          <w:szCs w:val="22"/>
        </w:rPr>
        <w:t>, la cual permite identificar al servidor público que actualmente labora o laboró en alguna institución pública y que tenga vigente su derecho a recibir las prestaciones.</w:t>
      </w:r>
    </w:p>
    <w:p w:rsidR="0051644E" w:rsidRPr="00AE3F2B" w:rsidRDefault="0051644E" w:rsidP="00681958">
      <w:pPr>
        <w:ind w:right="1"/>
        <w:jc w:val="both"/>
        <w:rPr>
          <w:rFonts w:ascii="Palatino Linotype" w:eastAsia="Palatino Linotype" w:hAnsi="Palatino Linotype" w:cs="Palatino Linotype"/>
          <w:b/>
          <w:sz w:val="22"/>
          <w:szCs w:val="22"/>
        </w:rPr>
      </w:pPr>
    </w:p>
    <w:p w:rsidR="0051644E" w:rsidRPr="00AE3F2B"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 xml:space="preserve">Como se advierte, este número asignado a los derechohabientes en un dato personal que permite la identificación de la persona que goza de las prestaciones que otorga la Institución y de qué prestaciones ha hecho uso. Es de destacar, que el Derecho de Seguridad Social es un derecho conferido a los trabajadores, cuyo objetivo es garantizar la salud, la asistencia médica, la protección de los medios de subsistencia y los servicios sociales necesarios, áreas que pertenecen a la esfera privada del individuo y que, su exposición no abona a la transparencia ni rendición de </w:t>
      </w:r>
      <w:r w:rsidRPr="00AE3F2B">
        <w:rPr>
          <w:rFonts w:ascii="Palatino Linotype" w:eastAsia="Palatino Linotype" w:hAnsi="Palatino Linotype" w:cs="Palatino Linotype"/>
          <w:sz w:val="22"/>
          <w:szCs w:val="22"/>
        </w:rPr>
        <w:lastRenderedPageBreak/>
        <w:t>cuentas o el correcto ejercicio de las funciones desempeñadas por los servidores públicos, por el contrario su exhibición si provoca una transgresión a la vida pública e intimidad de la persona.</w:t>
      </w:r>
    </w:p>
    <w:p w:rsidR="0051644E" w:rsidRPr="00AE3F2B" w:rsidRDefault="0051644E" w:rsidP="00681958">
      <w:pPr>
        <w:ind w:right="1"/>
        <w:jc w:val="both"/>
        <w:rPr>
          <w:rFonts w:ascii="Palatino Linotype" w:eastAsia="Palatino Linotype" w:hAnsi="Palatino Linotype" w:cs="Palatino Linotype"/>
          <w:sz w:val="22"/>
          <w:szCs w:val="22"/>
        </w:rPr>
      </w:pPr>
    </w:p>
    <w:p w:rsidR="0051644E" w:rsidRPr="00AE3F2B" w:rsidRDefault="0051644E" w:rsidP="0051644E">
      <w:pPr>
        <w:tabs>
          <w:tab w:val="left" w:pos="426"/>
        </w:tabs>
        <w:spacing w:line="360" w:lineRule="auto"/>
        <w:ind w:right="51"/>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t>d) Préstamos o descuentos de carácter personal.</w:t>
      </w:r>
    </w:p>
    <w:p w:rsidR="0051644E" w:rsidRPr="00AE3F2B" w:rsidRDefault="0051644E" w:rsidP="0051644E">
      <w:pPr>
        <w:ind w:right="1"/>
        <w:jc w:val="both"/>
        <w:rPr>
          <w:rFonts w:ascii="Palatino Linotype" w:eastAsia="Palatino Linotype" w:hAnsi="Palatino Linotype" w:cs="Palatino Linotype"/>
          <w:b/>
          <w:sz w:val="22"/>
          <w:szCs w:val="22"/>
        </w:rPr>
      </w:pPr>
    </w:p>
    <w:p w:rsidR="00327CB5" w:rsidRPr="00AE3F2B" w:rsidRDefault="00327CB5"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Para entender los límites y alcances de esta restricción, es oportuno traer a colación lo establecido por el artículo 84 de la Ley del Trabajo de los Servidores Públicos del Estado y Municipios, el cual señala que:</w:t>
      </w:r>
    </w:p>
    <w:p w:rsidR="00327CB5" w:rsidRPr="00AE3F2B" w:rsidRDefault="00327CB5" w:rsidP="00FD2459">
      <w:pPr>
        <w:pBdr>
          <w:top w:val="nil"/>
          <w:left w:val="nil"/>
          <w:bottom w:val="nil"/>
          <w:right w:val="nil"/>
          <w:between w:val="nil"/>
        </w:pBdr>
        <w:ind w:right="1"/>
        <w:jc w:val="both"/>
        <w:rPr>
          <w:rFonts w:ascii="Palatino Linotype" w:eastAsia="Palatino Linotype" w:hAnsi="Palatino Linotype" w:cs="Palatino Linotype"/>
          <w:color w:val="000000"/>
          <w:sz w:val="22"/>
          <w:szCs w:val="22"/>
        </w:rPr>
      </w:pPr>
    </w:p>
    <w:p w:rsidR="00327CB5" w:rsidRPr="00AE3F2B" w:rsidRDefault="00327CB5" w:rsidP="00327CB5">
      <w:pPr>
        <w:tabs>
          <w:tab w:val="left" w:pos="426"/>
        </w:tabs>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“ARTÍCULO 84.</w:t>
      </w:r>
      <w:r w:rsidRPr="00AE3F2B">
        <w:rPr>
          <w:rFonts w:ascii="Palatino Linotype" w:eastAsia="Palatino Linotype" w:hAnsi="Palatino Linotype" w:cs="Palatino Linotype"/>
          <w:i/>
          <w:sz w:val="22"/>
          <w:szCs w:val="22"/>
        </w:rPr>
        <w:t xml:space="preserve"> Sólo podrán hacerse retenciones, descuentos o deducciones al sueldo de los servidores públicos por concepto de: </w:t>
      </w:r>
    </w:p>
    <w:p w:rsidR="00327CB5" w:rsidRPr="00AE3F2B" w:rsidRDefault="00327CB5" w:rsidP="00327CB5">
      <w:pPr>
        <w:tabs>
          <w:tab w:val="left" w:pos="426"/>
        </w:tabs>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I.</w:t>
      </w:r>
      <w:r w:rsidRPr="00AE3F2B">
        <w:rPr>
          <w:rFonts w:ascii="Palatino Linotype" w:eastAsia="Palatino Linotype" w:hAnsi="Palatino Linotype" w:cs="Palatino Linotype"/>
          <w:i/>
          <w:sz w:val="22"/>
          <w:szCs w:val="22"/>
        </w:rPr>
        <w:t xml:space="preserve"> Gravámenes fiscales relacionados con el sueldo; </w:t>
      </w:r>
    </w:p>
    <w:p w:rsidR="00327CB5" w:rsidRPr="00AE3F2B" w:rsidRDefault="00327CB5" w:rsidP="00327CB5">
      <w:pPr>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II.</w:t>
      </w:r>
      <w:r w:rsidRPr="00AE3F2B">
        <w:rPr>
          <w:rFonts w:ascii="Palatino Linotype" w:eastAsia="Palatino Linotype" w:hAnsi="Palatino Linotype" w:cs="Palatino Linotype"/>
          <w:i/>
          <w:sz w:val="22"/>
          <w:szCs w:val="22"/>
        </w:rPr>
        <w:t xml:space="preserve"> Deudas contraídas con las instituciones públicas o dependencias por concepto de anticipos de sueldo, pagos hechos con exceso, errores o pérdidas debidamente comprobados; </w:t>
      </w:r>
    </w:p>
    <w:p w:rsidR="00327CB5" w:rsidRPr="00AE3F2B" w:rsidRDefault="00327CB5" w:rsidP="00327CB5">
      <w:pPr>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III.</w:t>
      </w:r>
      <w:r w:rsidRPr="00AE3F2B">
        <w:rPr>
          <w:rFonts w:ascii="Palatino Linotype" w:eastAsia="Palatino Linotype" w:hAnsi="Palatino Linotype" w:cs="Palatino Linotype"/>
          <w:i/>
          <w:sz w:val="22"/>
          <w:szCs w:val="22"/>
        </w:rPr>
        <w:t xml:space="preserve"> Cuotas sindicales; </w:t>
      </w:r>
    </w:p>
    <w:p w:rsidR="00327CB5" w:rsidRPr="00AE3F2B" w:rsidRDefault="00327CB5" w:rsidP="00327CB5">
      <w:pPr>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IV.</w:t>
      </w:r>
      <w:r w:rsidRPr="00AE3F2B">
        <w:rPr>
          <w:rFonts w:ascii="Palatino Linotype" w:eastAsia="Palatino Linotype" w:hAnsi="Palatino Linotype" w:cs="Palatino Linotype"/>
          <w:i/>
          <w:sz w:val="22"/>
          <w:szCs w:val="22"/>
        </w:rPr>
        <w:t xml:space="preserve"> Cuotas de aportación a fondos para la constitución de cooperativas y de cajas de ahorro, siempre que el servidor público hubiese manifestado previamente, de manera expresa, su conformidad; </w:t>
      </w:r>
    </w:p>
    <w:p w:rsidR="00327CB5" w:rsidRPr="00AE3F2B" w:rsidRDefault="00327CB5" w:rsidP="00327CB5">
      <w:pPr>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V.</w:t>
      </w:r>
      <w:r w:rsidRPr="00AE3F2B">
        <w:rPr>
          <w:rFonts w:ascii="Palatino Linotype" w:eastAsia="Palatino Linotype" w:hAnsi="Palatino Linotype" w:cs="Palatino Linotype"/>
          <w:i/>
          <w:sz w:val="22"/>
          <w:szCs w:val="22"/>
        </w:rPr>
        <w:t xml:space="preserve"> Descuentos ordenados por el Instituto de Seguridad Social del Estado de México y Municipios, con motivo de cuotas y obligaciones contraídas con éste por los servidores públicos; </w:t>
      </w:r>
    </w:p>
    <w:p w:rsidR="00327CB5" w:rsidRPr="00AE3F2B" w:rsidRDefault="00327CB5" w:rsidP="00327CB5">
      <w:pPr>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VI.</w:t>
      </w:r>
      <w:r w:rsidRPr="00AE3F2B">
        <w:rPr>
          <w:rFonts w:ascii="Palatino Linotype" w:eastAsia="Palatino Linotype" w:hAnsi="Palatino Linotype" w:cs="Palatino Linotype"/>
          <w:i/>
          <w:sz w:val="22"/>
          <w:szCs w:val="22"/>
        </w:rPr>
        <w:t xml:space="preserve"> Obligaciones a cargo del servidor público con las que haya consentido, derivadas de la adquisición o del uso de habitaciones consideradas como de interés social; </w:t>
      </w:r>
    </w:p>
    <w:p w:rsidR="00327CB5" w:rsidRPr="00AE3F2B" w:rsidRDefault="00327CB5" w:rsidP="00327CB5">
      <w:pPr>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VII.</w:t>
      </w:r>
      <w:r w:rsidRPr="00AE3F2B">
        <w:rPr>
          <w:rFonts w:ascii="Palatino Linotype" w:eastAsia="Palatino Linotype" w:hAnsi="Palatino Linotype" w:cs="Palatino Linotype"/>
          <w:i/>
          <w:sz w:val="22"/>
          <w:szCs w:val="22"/>
        </w:rPr>
        <w:t xml:space="preserve"> Faltas de puntualidad o de asistencia injustificadas; </w:t>
      </w:r>
    </w:p>
    <w:p w:rsidR="00327CB5" w:rsidRPr="00AE3F2B" w:rsidRDefault="00327CB5" w:rsidP="00327CB5">
      <w:pPr>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VIII.</w:t>
      </w:r>
      <w:r w:rsidRPr="00AE3F2B">
        <w:rPr>
          <w:rFonts w:ascii="Palatino Linotype" w:eastAsia="Palatino Linotype" w:hAnsi="Palatino Linotype" w:cs="Palatino Linotype"/>
          <w:i/>
          <w:sz w:val="22"/>
          <w:szCs w:val="22"/>
        </w:rPr>
        <w:t xml:space="preserve"> Pensiones alimenticias ordenadas por la autoridad judicial; o </w:t>
      </w:r>
    </w:p>
    <w:p w:rsidR="00327CB5" w:rsidRPr="00AE3F2B" w:rsidRDefault="00327CB5" w:rsidP="00327CB5">
      <w:pPr>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b/>
          <w:i/>
          <w:sz w:val="22"/>
          <w:szCs w:val="22"/>
        </w:rPr>
        <w:t>IX.</w:t>
      </w:r>
      <w:r w:rsidRPr="00AE3F2B">
        <w:rPr>
          <w:rFonts w:ascii="Palatino Linotype" w:eastAsia="Palatino Linotype" w:hAnsi="Palatino Linotype" w:cs="Palatino Linotype"/>
          <w:i/>
          <w:sz w:val="22"/>
          <w:szCs w:val="22"/>
        </w:rPr>
        <w:t xml:space="preserve"> Cualquier otro convenido con instituciones de servicios y aceptado por el servidor público. </w:t>
      </w:r>
    </w:p>
    <w:p w:rsidR="00327CB5" w:rsidRPr="00AE3F2B" w:rsidRDefault="00327CB5" w:rsidP="00327CB5">
      <w:pPr>
        <w:ind w:left="567" w:right="567"/>
        <w:jc w:val="both"/>
        <w:rPr>
          <w:rFonts w:ascii="Palatino Linotype" w:eastAsia="Palatino Linotype" w:hAnsi="Palatino Linotype" w:cs="Palatino Linotype"/>
          <w:sz w:val="22"/>
          <w:szCs w:val="22"/>
        </w:rPr>
      </w:pPr>
    </w:p>
    <w:p w:rsidR="00327CB5" w:rsidRPr="00AE3F2B" w:rsidRDefault="00327CB5" w:rsidP="00327CB5">
      <w:pPr>
        <w:ind w:left="567" w:right="567"/>
        <w:jc w:val="both"/>
        <w:rPr>
          <w:rFonts w:ascii="Palatino Linotype" w:eastAsia="Palatino Linotype" w:hAnsi="Palatino Linotype" w:cs="Palatino Linotype"/>
          <w:i/>
          <w:sz w:val="22"/>
          <w:szCs w:val="22"/>
        </w:rPr>
      </w:pPr>
      <w:r w:rsidRPr="00AE3F2B">
        <w:rPr>
          <w:rFonts w:ascii="Palatino Linotype" w:eastAsia="Palatino Linotype" w:hAnsi="Palatino Linotype" w:cs="Palatino Linotype"/>
          <w:i/>
          <w:sz w:val="22"/>
          <w:szCs w:val="22"/>
        </w:rPr>
        <w:t>El monto total de las retenciones, descuentos o deducciones no podrá exceder del 30% de la remuneración total, excepto en los casos a que se refieren las fracciones IV, V y VI de este artículo, en que podrán ser de hasta el 50%, salvo en los casos en que se demuestre que el crédito se concedió con base en los ingresos familiares para hacer posible el derecho constitucional a una vivienda digna, o se refieran a lo establecido en la fracción VIII de este artículo, en que se ajustará a lo determinado por la autoridad judicial.”</w:t>
      </w:r>
    </w:p>
    <w:p w:rsidR="00327CB5" w:rsidRPr="00AE3F2B" w:rsidRDefault="00327CB5" w:rsidP="00681958">
      <w:pPr>
        <w:ind w:right="1"/>
        <w:jc w:val="both"/>
        <w:rPr>
          <w:rFonts w:ascii="Palatino Linotype" w:eastAsia="Palatino Linotype" w:hAnsi="Palatino Linotype" w:cs="Palatino Linotype"/>
          <w:b/>
          <w:sz w:val="22"/>
          <w:szCs w:val="22"/>
        </w:rPr>
      </w:pPr>
    </w:p>
    <w:p w:rsidR="0051644E" w:rsidRPr="00AE3F2B" w:rsidRDefault="0051644E" w:rsidP="0051644E">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lastRenderedPageBreak/>
        <w:t>Como se observa, la Ley en mérito establece claramente cuáles son los descuentos o gravámenes que se relacionan con las obligaciones adquiridas como servidores públicos y aquellos que únicamente inciden en su vida privada. De este modo, los descuentos que no se relacionen con el gasto público o con el ejercicio de sus funciones, es información de carácter confidencial.</w:t>
      </w:r>
    </w:p>
    <w:p w:rsidR="00827BFE" w:rsidRPr="00AE3F2B" w:rsidRDefault="00827BFE" w:rsidP="00827BFE">
      <w:pPr>
        <w:ind w:right="1"/>
        <w:jc w:val="both"/>
        <w:rPr>
          <w:rFonts w:ascii="Palatino Linotype" w:eastAsia="Palatino Linotype" w:hAnsi="Palatino Linotype" w:cs="Palatino Linotype"/>
          <w:b/>
          <w:sz w:val="22"/>
          <w:szCs w:val="22"/>
        </w:rPr>
      </w:pPr>
    </w:p>
    <w:p w:rsidR="00060AE6" w:rsidRPr="00AE3F2B" w:rsidRDefault="00060AE6" w:rsidP="00060AE6">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color w:val="000000"/>
          <w:sz w:val="22"/>
          <w:szCs w:val="22"/>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0A31EF" w:rsidRPr="00AE3F2B" w:rsidRDefault="000A31EF" w:rsidP="000A31EF">
      <w:pPr>
        <w:rPr>
          <w:rFonts w:ascii="Palatino Linotype" w:eastAsia="Palatino Linotype" w:hAnsi="Palatino Linotype" w:cs="Palatino Linotype"/>
          <w:b/>
          <w:sz w:val="22"/>
          <w:szCs w:val="22"/>
        </w:rPr>
      </w:pPr>
    </w:p>
    <w:p w:rsidR="000A31EF" w:rsidRPr="00AE3F2B" w:rsidRDefault="000A31EF" w:rsidP="000A31EF">
      <w:pPr>
        <w:pStyle w:val="Prrafodelista"/>
        <w:numPr>
          <w:ilvl w:val="0"/>
          <w:numId w:val="7"/>
        </w:numPr>
        <w:rPr>
          <w:rFonts w:ascii="Palatino Linotype" w:eastAsia="Palatino Linotype" w:hAnsi="Palatino Linotype" w:cs="Palatino Linotype"/>
          <w:b/>
          <w:szCs w:val="22"/>
        </w:rPr>
      </w:pPr>
      <w:r w:rsidRPr="00AE3F2B">
        <w:rPr>
          <w:rFonts w:ascii="Palatino Linotype" w:eastAsia="MS Gothic" w:hAnsi="Palatino Linotype"/>
          <w:b/>
          <w:color w:val="000000"/>
          <w:szCs w:val="22"/>
        </w:rPr>
        <w:t>Del nombre de policías.</w:t>
      </w:r>
    </w:p>
    <w:p w:rsidR="000A31EF" w:rsidRPr="00AE3F2B" w:rsidRDefault="000A31EF" w:rsidP="000A31EF">
      <w:pPr>
        <w:rPr>
          <w:rFonts w:ascii="Palatino Linotype" w:eastAsia="Palatino Linotype" w:hAnsi="Palatino Linotype" w:cs="Palatino Linotype"/>
          <w:b/>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 xml:space="preserve">En </w:t>
      </w:r>
      <w:r w:rsidRPr="00AE3F2B">
        <w:rPr>
          <w:rFonts w:ascii="Palatino Linotype" w:eastAsia="Calibri" w:hAnsi="Palatino Linotype"/>
          <w:sz w:val="22"/>
          <w:szCs w:val="22"/>
        </w:rPr>
        <w:t xml:space="preserve">atención a que se observa que la información de la que se requiere acceso contiene información de los elementos de seguridad pública, es necesario señalar que las condiciones en las cuales se deberá entregar la información solicitada adquieren una especial naturaleza. </w:t>
      </w:r>
    </w:p>
    <w:p w:rsidR="000A31EF" w:rsidRPr="00AE3F2B" w:rsidRDefault="000A31EF" w:rsidP="000A31EF">
      <w:pPr>
        <w:tabs>
          <w:tab w:val="left" w:pos="6165"/>
        </w:tabs>
        <w:ind w:right="1"/>
        <w:jc w:val="both"/>
        <w:rPr>
          <w:rFonts w:ascii="Palatino Linotype" w:eastAsia="Palatino Linotype" w:hAnsi="Palatino Linotype" w:cs="Palatino Linotype"/>
          <w:b/>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Calibri" w:hAnsi="Palatino Linotype"/>
          <w:sz w:val="22"/>
          <w:szCs w:val="22"/>
        </w:rPr>
        <w:t>En efecto</w:t>
      </w:r>
      <w:r w:rsidRPr="00AE3F2B">
        <w:rPr>
          <w:rFonts w:ascii="Palatino Linotype" w:hAnsi="Palatino Linotype"/>
          <w:sz w:val="22"/>
          <w:szCs w:val="22"/>
        </w:rPr>
        <w:t xml:space="preserve">, este instituto advierte que otorgar acceso al nombre de policías operativos podría comprometer la integridad de los mismos, de conformidad con lo que establece el artículo 140 de la Ley de Transparencia y Acceso a la Información Pública del Estado de México y Municipios: </w:t>
      </w:r>
    </w:p>
    <w:p w:rsidR="000A31EF" w:rsidRPr="00AE3F2B" w:rsidRDefault="000A31EF" w:rsidP="000A31EF">
      <w:pPr>
        <w:ind w:right="1"/>
        <w:jc w:val="both"/>
        <w:rPr>
          <w:rFonts w:ascii="Palatino Linotype" w:hAnsi="Palatino Linotype"/>
          <w:sz w:val="22"/>
          <w:szCs w:val="22"/>
        </w:rPr>
      </w:pPr>
    </w:p>
    <w:p w:rsidR="000A31EF" w:rsidRPr="00AE3F2B" w:rsidRDefault="000A31EF" w:rsidP="000A31EF">
      <w:pPr>
        <w:spacing w:before="240" w:after="240"/>
        <w:ind w:left="567" w:right="616"/>
        <w:contextualSpacing/>
        <w:jc w:val="both"/>
        <w:rPr>
          <w:rFonts w:ascii="Palatino Linotype" w:hAnsi="Palatino Linotype"/>
          <w:i/>
          <w:sz w:val="22"/>
          <w:szCs w:val="22"/>
        </w:rPr>
      </w:pPr>
      <w:r w:rsidRPr="00AE3F2B">
        <w:rPr>
          <w:rFonts w:ascii="Palatino Linotype" w:hAnsi="Palatino Linotype"/>
          <w:b/>
          <w:i/>
          <w:sz w:val="22"/>
          <w:szCs w:val="22"/>
        </w:rPr>
        <w:t>“Artículo 140.</w:t>
      </w:r>
      <w:r w:rsidRPr="00AE3F2B">
        <w:rPr>
          <w:rFonts w:ascii="Palatino Linotype" w:hAnsi="Palatino Linotype"/>
          <w:i/>
          <w:sz w:val="22"/>
          <w:szCs w:val="22"/>
        </w:rPr>
        <w:t xml:space="preserve"> El acceso a la información pública será restringido excepcionalmente, cuando por razones de interés público, ésta sea clasificada como reservada, conforme a los criterios siguientes: </w:t>
      </w:r>
    </w:p>
    <w:p w:rsidR="000A31EF" w:rsidRPr="00AE3F2B" w:rsidRDefault="000A31EF" w:rsidP="000A31EF">
      <w:pPr>
        <w:spacing w:before="240" w:after="240"/>
        <w:ind w:left="567" w:right="616"/>
        <w:contextualSpacing/>
        <w:jc w:val="both"/>
        <w:rPr>
          <w:rFonts w:ascii="Palatino Linotype" w:hAnsi="Palatino Linotype"/>
          <w:i/>
          <w:sz w:val="22"/>
          <w:szCs w:val="22"/>
        </w:rPr>
      </w:pPr>
      <w:r w:rsidRPr="00AE3F2B">
        <w:rPr>
          <w:rFonts w:ascii="Palatino Linotype" w:hAnsi="Palatino Linotype"/>
          <w:i/>
          <w:sz w:val="22"/>
          <w:szCs w:val="22"/>
        </w:rPr>
        <w:t xml:space="preserve">I. Comprometa la seguridad pública y cuente con un propósito genuino y un efecto demostrable; </w:t>
      </w:r>
    </w:p>
    <w:p w:rsidR="000A31EF" w:rsidRPr="00AE3F2B" w:rsidRDefault="000A31EF" w:rsidP="000A31EF">
      <w:pPr>
        <w:spacing w:before="240" w:after="240"/>
        <w:ind w:left="567" w:right="616"/>
        <w:contextualSpacing/>
        <w:jc w:val="both"/>
        <w:rPr>
          <w:rFonts w:ascii="Palatino Linotype" w:hAnsi="Palatino Linotype"/>
          <w:i/>
          <w:sz w:val="22"/>
          <w:szCs w:val="22"/>
        </w:rPr>
      </w:pPr>
      <w:r w:rsidRPr="00AE3F2B">
        <w:rPr>
          <w:rFonts w:ascii="Palatino Linotype" w:hAnsi="Palatino Linotype"/>
          <w:i/>
          <w:sz w:val="22"/>
          <w:szCs w:val="22"/>
        </w:rPr>
        <w:t xml:space="preserve">II. Pueda menoscabar la conducción de las negociaciones y relaciones internacionales; </w:t>
      </w:r>
    </w:p>
    <w:p w:rsidR="000A31EF" w:rsidRPr="00AE3F2B" w:rsidRDefault="000A31EF" w:rsidP="000A31EF">
      <w:pPr>
        <w:spacing w:before="240" w:after="240"/>
        <w:ind w:left="567" w:right="616"/>
        <w:contextualSpacing/>
        <w:jc w:val="both"/>
        <w:rPr>
          <w:rFonts w:ascii="Palatino Linotype" w:hAnsi="Palatino Linotype"/>
          <w:i/>
          <w:sz w:val="22"/>
          <w:szCs w:val="22"/>
        </w:rPr>
      </w:pPr>
      <w:r w:rsidRPr="00AE3F2B">
        <w:rPr>
          <w:rFonts w:ascii="Palatino Linotype" w:hAnsi="Palatino Linotype"/>
          <w:i/>
          <w:sz w:val="22"/>
          <w:szCs w:val="22"/>
        </w:rPr>
        <w:t xml:space="preserve">III.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rsidR="000A31EF" w:rsidRPr="00AE3F2B" w:rsidRDefault="000A31EF" w:rsidP="000A31EF">
      <w:pPr>
        <w:spacing w:before="240" w:after="240"/>
        <w:ind w:left="567" w:right="616"/>
        <w:contextualSpacing/>
        <w:jc w:val="both"/>
        <w:rPr>
          <w:rFonts w:ascii="Palatino Linotype" w:hAnsi="Palatino Linotype"/>
          <w:b/>
          <w:i/>
          <w:sz w:val="22"/>
          <w:szCs w:val="22"/>
        </w:rPr>
      </w:pPr>
      <w:r w:rsidRPr="00AE3F2B">
        <w:rPr>
          <w:rFonts w:ascii="Palatino Linotype" w:hAnsi="Palatino Linotype"/>
          <w:b/>
          <w:i/>
          <w:sz w:val="22"/>
          <w:szCs w:val="22"/>
        </w:rPr>
        <w:lastRenderedPageBreak/>
        <w:t>IV. Ponga en riesgo la vida, la seguridad o la salud de una persona física;</w:t>
      </w:r>
    </w:p>
    <w:p w:rsidR="000A31EF" w:rsidRPr="00AE3F2B" w:rsidRDefault="000A31EF" w:rsidP="000A31EF">
      <w:pPr>
        <w:spacing w:before="240" w:after="240"/>
        <w:ind w:left="567" w:right="616"/>
        <w:contextualSpacing/>
        <w:jc w:val="both"/>
        <w:rPr>
          <w:rFonts w:ascii="Palatino Linotype" w:eastAsia="Calibri" w:hAnsi="Palatino Linotype"/>
          <w:i/>
          <w:sz w:val="22"/>
          <w:szCs w:val="22"/>
        </w:rPr>
      </w:pPr>
      <w:r w:rsidRPr="00AE3F2B">
        <w:rPr>
          <w:rFonts w:ascii="Palatino Linotype" w:hAnsi="Palatino Linotype"/>
          <w:i/>
          <w:sz w:val="22"/>
          <w:szCs w:val="22"/>
        </w:rPr>
        <w:t xml:space="preserve"> (…)”</w:t>
      </w:r>
    </w:p>
    <w:p w:rsidR="000A31EF" w:rsidRPr="00AE3F2B" w:rsidRDefault="000A31EF" w:rsidP="000A31EF">
      <w:pPr>
        <w:ind w:right="1"/>
        <w:jc w:val="both"/>
        <w:rPr>
          <w:rFonts w:ascii="Palatino Linotype" w:eastAsia="Palatino Linotype" w:hAnsi="Palatino Linotype" w:cs="Palatino Linotype"/>
          <w:b/>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hAnsi="Palatino Linotype"/>
          <w:sz w:val="22"/>
          <w:szCs w:val="22"/>
        </w:rPr>
        <w:t>En este contexto, este Pleno considera que dar a conocer los nombres de servidores públicos que realizan funciones en materia de seguridad, tal como es el caso de los policías, los vuelve identificables y posiblemente reconocibles para grupos delictivos</w:t>
      </w:r>
      <w:r w:rsidRPr="00AE3F2B">
        <w:rPr>
          <w:rFonts w:ascii="Palatino Linotype" w:hAnsi="Palatino Linotype" w:cs="Tahoma"/>
          <w:bCs/>
          <w:sz w:val="22"/>
          <w:szCs w:val="22"/>
        </w:rPr>
        <w:t xml:space="preserve">; así, dicha información puede ser utilizada para </w:t>
      </w:r>
      <w:r w:rsidRPr="00AE3F2B">
        <w:rPr>
          <w:rFonts w:ascii="Palatino Linotype" w:hAnsi="Palatino Linotype" w:cs="Tahoma"/>
          <w:b/>
          <w:bCs/>
          <w:sz w:val="22"/>
          <w:szCs w:val="22"/>
        </w:rPr>
        <w:t xml:space="preserve">vulnerar la vida, seguridad o salud de dichos elementos, incluso la de sus familias o entorno social, </w:t>
      </w:r>
      <w:r w:rsidRPr="00AE3F2B">
        <w:rPr>
          <w:rFonts w:ascii="Palatino Linotype" w:hAnsi="Palatino Linotype" w:cs="Tahoma"/>
          <w:bCs/>
          <w:sz w:val="22"/>
          <w:szCs w:val="22"/>
        </w:rPr>
        <w:t>demás, de que aumenta el riesgo de que personas ajenas a los intereses institucionales e intenten realizar actos tendientes a inhibir o entrometerse en las funciones de los policías municipales, lo cual causaría una vulneración a la seguridad municipal.</w:t>
      </w:r>
    </w:p>
    <w:p w:rsidR="000A31EF" w:rsidRPr="00AE3F2B" w:rsidRDefault="000A31EF" w:rsidP="00FD2459">
      <w:pPr>
        <w:spacing w:line="360" w:lineRule="auto"/>
        <w:ind w:right="1"/>
        <w:jc w:val="both"/>
        <w:rPr>
          <w:rFonts w:ascii="Palatino Linotype" w:eastAsia="Palatino Linotype" w:hAnsi="Palatino Linotype" w:cs="Palatino Linotype"/>
          <w:b/>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Calibri" w:hAnsi="Palatino Linotype" w:cs="Tahoma"/>
          <w:bCs/>
          <w:sz w:val="22"/>
          <w:szCs w:val="22"/>
        </w:rPr>
        <w:t xml:space="preserve">En ese sentido, el proporcionar el nombre de los elementos policiales operativos en la nómina general de la Dirección de Seguridad Pública y Vialidad Municipal, pone en riesgo de manera directa la vida y la seguridad de dicho servidor, siendo obligación de la Institución protegerla en todo momento para salvaguarda de sus integrantes. </w:t>
      </w:r>
    </w:p>
    <w:p w:rsidR="000A31EF" w:rsidRPr="00AE3F2B" w:rsidRDefault="000A31EF" w:rsidP="000A31EF">
      <w:pPr>
        <w:ind w:right="1"/>
        <w:jc w:val="both"/>
        <w:rPr>
          <w:rFonts w:ascii="Palatino Linotype" w:eastAsia="Palatino Linotype" w:hAnsi="Palatino Linotype" w:cs="Palatino Linotype"/>
          <w:b/>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Calibri" w:hAnsi="Palatino Linotype" w:cs="Tahoma"/>
          <w:bCs/>
          <w:sz w:val="22"/>
          <w:szCs w:val="22"/>
        </w:rPr>
        <w:t xml:space="preserve">Lo anterior adquiere razón toda vez que la información solicitada hace identificable a los integrantes de seguridad pública, ya que permite que su identidad pueda determinarse de manera directa, pudiéndose ocasionar riesgos por la posible utilización y difusión de la información por grupos delictivos. </w:t>
      </w:r>
    </w:p>
    <w:p w:rsidR="000A31EF" w:rsidRPr="00AE3F2B" w:rsidRDefault="000A31EF" w:rsidP="000A31EF">
      <w:pPr>
        <w:ind w:right="1"/>
        <w:jc w:val="both"/>
        <w:rPr>
          <w:rFonts w:ascii="Palatino Linotype" w:eastAsia="Palatino Linotype" w:hAnsi="Palatino Linotype" w:cs="Palatino Linotype"/>
          <w:b/>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Calibri" w:hAnsi="Palatino Linotype" w:cs="Tahoma"/>
          <w:bCs/>
          <w:sz w:val="22"/>
          <w:szCs w:val="22"/>
        </w:rPr>
        <w:t>Asimismo, existe la posibilidad de que personas ajenas a la Institución la utilicen para sorprender a la ciudadanía y realicen extorsiones telefónicas al amparo de usurpar la identidad de algún servidor público encargado de la seguridad pública; o que integrantes de organizaciones criminales los contacten para presionar en entregar información, como por ejemplo, la relacionada con investigaciones, nombres de integrantes que participan en los operativos e incluso documentación emitida por el</w:t>
      </w:r>
      <w:r w:rsidRPr="00AE3F2B">
        <w:rPr>
          <w:rFonts w:ascii="Palatino Linotype" w:eastAsia="Calibri" w:hAnsi="Palatino Linotype" w:cs="Tahoma"/>
          <w:b/>
          <w:bCs/>
          <w:sz w:val="22"/>
          <w:szCs w:val="22"/>
        </w:rPr>
        <w:t xml:space="preserve"> SUJETO OBLIGADO</w:t>
      </w:r>
      <w:r w:rsidRPr="00AE3F2B">
        <w:rPr>
          <w:rFonts w:ascii="Palatino Linotype" w:eastAsia="Calibri" w:hAnsi="Palatino Linotype" w:cs="Tahoma"/>
          <w:bCs/>
          <w:sz w:val="22"/>
          <w:szCs w:val="22"/>
        </w:rPr>
        <w:t xml:space="preserve">, colocando en inminente riesgo la </w:t>
      </w:r>
      <w:r w:rsidRPr="00AE3F2B">
        <w:rPr>
          <w:rFonts w:ascii="Palatino Linotype" w:eastAsia="Calibri" w:hAnsi="Palatino Linotype" w:cs="Tahoma"/>
          <w:bCs/>
          <w:sz w:val="22"/>
          <w:szCs w:val="22"/>
        </w:rPr>
        <w:lastRenderedPageBreak/>
        <w:t>vida de todos los integrantes, menoscabando así las actividades de prevención del delito y combate a la delincuencia.</w:t>
      </w:r>
    </w:p>
    <w:p w:rsidR="000A31EF" w:rsidRPr="00AE3F2B" w:rsidRDefault="000A31EF" w:rsidP="00FD2459">
      <w:pPr>
        <w:ind w:right="1"/>
        <w:jc w:val="both"/>
        <w:rPr>
          <w:rFonts w:ascii="Palatino Linotype" w:eastAsia="Palatino Linotype" w:hAnsi="Palatino Linotype" w:cs="Palatino Linotype"/>
          <w:b/>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Calibri" w:hAnsi="Palatino Linotype" w:cs="Tahoma"/>
          <w:bCs/>
          <w:sz w:val="22"/>
          <w:szCs w:val="22"/>
        </w:rPr>
        <w:t xml:space="preserve">Así como el artículo 6º Constitucional por un lado garantiza el derecho de acceso a la información, por otro lado, el derecho a la vida y la seguridad de las personas se encuentran protegidos por la Declaración Universal de los Derechos Humanos en su artículo 30. Bajo este contexto es necesario confrontar ambos derechos fundamentales, cuyo ejercicio en este caso particular es por lo que es necesaria la ponderación de ambos para que uno de ellos sea ejercido en la mayor medida posible. </w:t>
      </w:r>
    </w:p>
    <w:p w:rsidR="000A31EF" w:rsidRPr="00AE3F2B" w:rsidRDefault="000A31EF" w:rsidP="00FD2459">
      <w:pPr>
        <w:ind w:right="1"/>
        <w:jc w:val="both"/>
        <w:rPr>
          <w:rFonts w:ascii="Palatino Linotype" w:eastAsia="Palatino Linotype" w:hAnsi="Palatino Linotype" w:cs="Palatino Linotype"/>
          <w:b/>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Calibri" w:hAnsi="Palatino Linotype" w:cs="Tahoma"/>
          <w:bCs/>
          <w:sz w:val="22"/>
          <w:szCs w:val="22"/>
        </w:rPr>
        <w:t>El dar el nombre de los servidores públicos operativos de la Dirección de Seguridad Pública y Vialidad Municipal pone en riesgo sus vidas y seguridad, ya que pueden ser identificarles, provocando que se utilice la información para amenazar, intimidar o extorsionar al integrante.</w:t>
      </w:r>
    </w:p>
    <w:p w:rsidR="000A31EF" w:rsidRPr="00AE3F2B" w:rsidRDefault="000A31EF" w:rsidP="00FD2459">
      <w:pPr>
        <w:rPr>
          <w:rFonts w:ascii="Palatino Linotype" w:eastAsia="Calibri" w:hAnsi="Palatino Linotype" w:cs="Tahoma"/>
          <w:bCs/>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Calibri" w:hAnsi="Palatino Linotype" w:cs="Tahoma"/>
          <w:bCs/>
          <w:sz w:val="22"/>
          <w:szCs w:val="22"/>
        </w:rPr>
        <w:t xml:space="preserve">El riesgo de perder la vida, la seguridad o la integridad se encuentra presente y es de mayor gravedad que la negativa de acceso a la información solicitada, la divulgación de la información, puede generar un daño desproporcionado o innecesario, lo cual debe evitarse en la medida de lo posible, frente a aquella que se solicita. Es de interés público y socialmente relevante la protección a la vida y seguridad de todas y cada una de las personas sobre cualquier otro derecho fundamental, por lo que se debe proteger a quienes trabajan y ayudan al logro de la seguridad pública. </w:t>
      </w:r>
    </w:p>
    <w:p w:rsidR="000A31EF" w:rsidRPr="00AE3F2B" w:rsidRDefault="000A31EF" w:rsidP="00FD2459">
      <w:pPr>
        <w:rPr>
          <w:rFonts w:ascii="Palatino Linotype" w:eastAsia="Calibri" w:hAnsi="Palatino Linotype" w:cs="Tahoma"/>
          <w:bCs/>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Calibri" w:hAnsi="Palatino Linotype" w:cs="Tahoma"/>
          <w:bCs/>
          <w:sz w:val="22"/>
          <w:szCs w:val="22"/>
        </w:rPr>
        <w:t xml:space="preserve">En ese mismo contexto, resulta pertinente establecer que la Constitución Política de los Estados unidos mexicanos y los Tratados Internacionales suscritos por el Estado mexicano en materia de Derechos Humanos, establecen que el derecho a la vida y la seguridad personal son los bienes supremos tutelados por los gobiernos, esto quiere decir, que no existe derecho alguno </w:t>
      </w:r>
      <w:r w:rsidRPr="00AE3F2B">
        <w:rPr>
          <w:rFonts w:ascii="Palatino Linotype" w:eastAsia="Calibri" w:hAnsi="Palatino Linotype" w:cs="Tahoma"/>
          <w:bCs/>
          <w:sz w:val="22"/>
          <w:szCs w:val="22"/>
        </w:rPr>
        <w:lastRenderedPageBreak/>
        <w:t>por encima de la vida y la seguridad personal. El derecho al acceso a la información, tutelado en el artículo sexto de nuestra Carta Magna, no es absoluto per se, toda vez que su objetivo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un ejercicio de fiscalización para supervisar las actividades que realiza eh Estado.</w:t>
      </w:r>
    </w:p>
    <w:p w:rsidR="000A31EF" w:rsidRPr="00AE3F2B" w:rsidRDefault="000A31EF" w:rsidP="000A31EF">
      <w:pPr>
        <w:rPr>
          <w:rFonts w:ascii="Palatino Linotype" w:eastAsia="Calibri" w:hAnsi="Palatino Linotype" w:cs="Tahoma"/>
          <w:bCs/>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Calibri" w:hAnsi="Palatino Linotype" w:cs="Tahoma"/>
          <w:bCs/>
          <w:sz w:val="22"/>
          <w:szCs w:val="22"/>
        </w:rPr>
        <w:t xml:space="preserve">Por lo que, el derecho a la vida y seguridad nacional tiene una-primacía que el derecho al acceso a la información, por lo que el bien jurídico a salvaguardarse primordialmente, es la vida y la seguridad de los servidores públicos encargados de la seguridad pública. </w:t>
      </w:r>
    </w:p>
    <w:p w:rsidR="000A31EF" w:rsidRPr="00AE3F2B" w:rsidRDefault="000A31EF" w:rsidP="00FD2459">
      <w:pPr>
        <w:ind w:right="1"/>
        <w:jc w:val="both"/>
        <w:rPr>
          <w:rFonts w:ascii="Palatino Linotype" w:eastAsia="Palatino Linotype" w:hAnsi="Palatino Linotype" w:cs="Palatino Linotype"/>
          <w:b/>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MS Mincho" w:hAnsi="Palatino Linotype" w:cs="Arial"/>
          <w:sz w:val="22"/>
          <w:szCs w:val="22"/>
          <w:lang w:val="es-ES_tradnl"/>
        </w:rPr>
        <w:t xml:space="preserve">Al respecto, cabe hacer mención que el artículo 81 fracción III de la Ley de Seguridad del Estado de México, establece lo siguiente: </w:t>
      </w:r>
    </w:p>
    <w:p w:rsidR="000A31EF" w:rsidRPr="00AE3F2B" w:rsidRDefault="000A31EF" w:rsidP="00FD2459">
      <w:pPr>
        <w:ind w:right="1"/>
        <w:jc w:val="both"/>
        <w:rPr>
          <w:rFonts w:ascii="Palatino Linotype" w:hAnsi="Palatino Linotype" w:cs="Arial"/>
          <w:sz w:val="22"/>
          <w:szCs w:val="22"/>
        </w:rPr>
      </w:pPr>
    </w:p>
    <w:p w:rsidR="000A31EF" w:rsidRPr="00AE3F2B" w:rsidRDefault="000A31EF" w:rsidP="000A31EF">
      <w:pPr>
        <w:ind w:left="567" w:right="567"/>
        <w:contextualSpacing/>
        <w:jc w:val="both"/>
        <w:rPr>
          <w:rFonts w:ascii="Palatino Linotype" w:eastAsia="MS Mincho" w:hAnsi="Palatino Linotype" w:cs="Arial"/>
          <w:i/>
          <w:sz w:val="22"/>
          <w:szCs w:val="22"/>
          <w:lang w:val="es-ES_tradnl"/>
        </w:rPr>
      </w:pPr>
      <w:r w:rsidRPr="00AE3F2B">
        <w:rPr>
          <w:rFonts w:ascii="Palatino Linotype" w:eastAsia="MS Mincho" w:hAnsi="Palatino Linotype" w:cs="Arial"/>
          <w:i/>
          <w:sz w:val="22"/>
          <w:szCs w:val="22"/>
          <w:lang w:val="es-ES_tradnl"/>
        </w:rPr>
        <w:t>“</w:t>
      </w:r>
      <w:r w:rsidRPr="00AE3F2B">
        <w:rPr>
          <w:rFonts w:ascii="Palatino Linotype" w:eastAsia="MS Mincho" w:hAnsi="Palatino Linotype" w:cs="Arial"/>
          <w:b/>
          <w:i/>
          <w:sz w:val="22"/>
          <w:szCs w:val="22"/>
          <w:lang w:val="es-ES_tradnl"/>
        </w:rPr>
        <w:t>Artículo 81.-</w:t>
      </w:r>
      <w:r w:rsidRPr="00AE3F2B">
        <w:rPr>
          <w:rFonts w:ascii="Palatino Linotype" w:eastAsia="MS Mincho" w:hAnsi="Palatino Linotype" w:cs="Arial"/>
          <w:i/>
          <w:sz w:val="22"/>
          <w:szCs w:val="22"/>
          <w:lang w:val="es-ES_tradnl"/>
        </w:rPr>
        <w:t xml:space="preserve"> </w:t>
      </w:r>
      <w:r w:rsidRPr="00AE3F2B">
        <w:rPr>
          <w:rFonts w:ascii="Palatino Linotype" w:eastAsia="MS Mincho" w:hAnsi="Palatino Linotype" w:cs="Arial"/>
          <w:b/>
          <w:i/>
          <w:sz w:val="22"/>
          <w:szCs w:val="22"/>
          <w:lang w:val="es-ES_tradnl"/>
        </w:rPr>
        <w:t>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w:t>
      </w:r>
      <w:r w:rsidRPr="00AE3F2B">
        <w:rPr>
          <w:rFonts w:ascii="Palatino Linotype" w:eastAsia="MS Mincho" w:hAnsi="Palatino Linotype" w:cs="Arial"/>
          <w:i/>
          <w:sz w:val="22"/>
          <w:szCs w:val="22"/>
          <w:lang w:val="es-ES_tradnl"/>
        </w:rPr>
        <w:t xml:space="preserve"> en los casos siguientes:</w:t>
      </w:r>
    </w:p>
    <w:p w:rsidR="000A31EF" w:rsidRPr="00AE3F2B" w:rsidRDefault="000A31EF" w:rsidP="000A31EF">
      <w:pPr>
        <w:ind w:left="567" w:right="567"/>
        <w:contextualSpacing/>
        <w:jc w:val="both"/>
        <w:rPr>
          <w:rFonts w:ascii="Palatino Linotype" w:eastAsia="MS Mincho" w:hAnsi="Palatino Linotype" w:cs="Arial"/>
          <w:i/>
          <w:sz w:val="22"/>
          <w:szCs w:val="22"/>
          <w:lang w:val="es-ES_tradnl"/>
        </w:rPr>
      </w:pPr>
      <w:r w:rsidRPr="00AE3F2B">
        <w:rPr>
          <w:rFonts w:ascii="Palatino Linotype" w:eastAsia="MS Mincho" w:hAnsi="Palatino Linotype" w:cs="Arial"/>
          <w:i/>
          <w:sz w:val="22"/>
          <w:szCs w:val="22"/>
          <w:lang w:val="es-ES_tradnl"/>
        </w:rPr>
        <w:t>…</w:t>
      </w:r>
    </w:p>
    <w:p w:rsidR="000A31EF" w:rsidRPr="00AE3F2B" w:rsidRDefault="000A31EF" w:rsidP="000A31EF">
      <w:pPr>
        <w:ind w:left="567" w:right="567"/>
        <w:contextualSpacing/>
        <w:jc w:val="both"/>
        <w:rPr>
          <w:rFonts w:ascii="Palatino Linotype" w:eastAsia="MS Mincho" w:hAnsi="Palatino Linotype" w:cs="Arial"/>
          <w:i/>
          <w:sz w:val="22"/>
          <w:szCs w:val="22"/>
          <w:lang w:val="es-ES_tradnl"/>
        </w:rPr>
      </w:pPr>
      <w:r w:rsidRPr="00AE3F2B">
        <w:rPr>
          <w:rFonts w:ascii="Palatino Linotype" w:eastAsia="MS Mincho" w:hAnsi="Palatino Linotype" w:cs="Arial"/>
          <w:b/>
          <w:i/>
          <w:sz w:val="22"/>
          <w:szCs w:val="22"/>
          <w:lang w:val="es-ES_tradnl"/>
        </w:rPr>
        <w:t>III.</w:t>
      </w:r>
      <w:r w:rsidRPr="00AE3F2B">
        <w:rPr>
          <w:rFonts w:ascii="Palatino Linotype" w:eastAsia="MS Mincho" w:hAnsi="Palatino Linotype" w:cs="Arial"/>
          <w:i/>
          <w:sz w:val="22"/>
          <w:szCs w:val="22"/>
          <w:lang w:val="es-ES_tradnl"/>
        </w:rPr>
        <w:t xml:space="preserve"> </w:t>
      </w:r>
      <w:r w:rsidRPr="00AE3F2B">
        <w:rPr>
          <w:rFonts w:ascii="Palatino Linotype" w:eastAsia="MS Mincho" w:hAnsi="Palatino Linotype" w:cs="Arial"/>
          <w:b/>
          <w:i/>
          <w:sz w:val="22"/>
          <w:szCs w:val="22"/>
          <w:lang w:val="es-ES_tradnl"/>
        </w:rPr>
        <w:t>La relativa a servidores públicos miembros de las instituciones de seguridad pública, cuya revelación pueda poner en riesgo su vida e integridad física con motivo de sus funciones;</w:t>
      </w:r>
      <w:r w:rsidRPr="00AE3F2B">
        <w:rPr>
          <w:rFonts w:ascii="Palatino Linotype" w:eastAsia="MS Mincho" w:hAnsi="Palatino Linotype" w:cs="Arial"/>
          <w:i/>
          <w:sz w:val="22"/>
          <w:szCs w:val="22"/>
          <w:lang w:val="es-ES_tradnl"/>
        </w:rPr>
        <w:t>”</w:t>
      </w:r>
    </w:p>
    <w:p w:rsidR="000A31EF" w:rsidRPr="00AE3F2B" w:rsidRDefault="000A31EF" w:rsidP="000A31EF">
      <w:pPr>
        <w:ind w:right="1"/>
        <w:jc w:val="both"/>
        <w:rPr>
          <w:rFonts w:ascii="Palatino Linotype" w:eastAsia="Palatino Linotype" w:hAnsi="Palatino Linotype" w:cs="Palatino Linotype"/>
          <w:b/>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hAnsi="Palatino Linotype" w:cs="Arial"/>
          <w:sz w:val="22"/>
          <w:szCs w:val="22"/>
        </w:rPr>
        <w:t>Argumento que se fortalece con lo estipulado en el criterio número 6-09, del Instituto Nacional de Transparencia, Acceso a la Información y Protección de Datos Personales, antes (INAI)</w:t>
      </w:r>
      <w:r w:rsidRPr="00AE3F2B">
        <w:rPr>
          <w:rFonts w:ascii="Palatino Linotype" w:hAnsi="Palatino Linotype" w:cs="Arial"/>
          <w:b/>
          <w:bCs/>
          <w:sz w:val="22"/>
          <w:szCs w:val="22"/>
        </w:rPr>
        <w:t xml:space="preserve">, </w:t>
      </w:r>
      <w:r w:rsidRPr="00AE3F2B">
        <w:rPr>
          <w:rFonts w:ascii="Palatino Linotype" w:hAnsi="Palatino Linotype" w:cs="Arial"/>
          <w:sz w:val="22"/>
          <w:szCs w:val="22"/>
        </w:rPr>
        <w:t xml:space="preserve">el cual refiere: </w:t>
      </w:r>
    </w:p>
    <w:p w:rsidR="000A31EF" w:rsidRPr="00AE3F2B" w:rsidRDefault="000A31EF" w:rsidP="00FD2459">
      <w:pPr>
        <w:ind w:left="567" w:right="567"/>
        <w:jc w:val="both"/>
        <w:rPr>
          <w:rFonts w:ascii="Palatino Linotype" w:eastAsia="Palatino Linotype" w:hAnsi="Palatino Linotype" w:cs="Palatino Linotype"/>
          <w:b/>
          <w:sz w:val="22"/>
          <w:szCs w:val="22"/>
        </w:rPr>
      </w:pPr>
    </w:p>
    <w:p w:rsidR="000A31EF" w:rsidRPr="00AE3F2B" w:rsidRDefault="000A31EF" w:rsidP="000A31EF">
      <w:pPr>
        <w:autoSpaceDE w:val="0"/>
        <w:autoSpaceDN w:val="0"/>
        <w:adjustRightInd w:val="0"/>
        <w:ind w:left="567" w:right="567"/>
        <w:contextualSpacing/>
        <w:jc w:val="center"/>
        <w:rPr>
          <w:rFonts w:ascii="Palatino Linotype" w:hAnsi="Palatino Linotype" w:cs="Arial"/>
          <w:i/>
          <w:sz w:val="22"/>
          <w:szCs w:val="22"/>
        </w:rPr>
      </w:pPr>
      <w:r w:rsidRPr="00AE3F2B">
        <w:rPr>
          <w:rFonts w:ascii="Palatino Linotype" w:hAnsi="Palatino Linotype" w:cs="Arial"/>
          <w:b/>
          <w:bCs/>
          <w:i/>
          <w:sz w:val="22"/>
          <w:szCs w:val="22"/>
        </w:rPr>
        <w:t>“Criterio 6-09</w:t>
      </w:r>
    </w:p>
    <w:p w:rsidR="000A31EF" w:rsidRPr="00AE3F2B" w:rsidRDefault="000A31EF" w:rsidP="000A31EF">
      <w:pPr>
        <w:autoSpaceDE w:val="0"/>
        <w:autoSpaceDN w:val="0"/>
        <w:adjustRightInd w:val="0"/>
        <w:ind w:left="567" w:right="567"/>
        <w:contextualSpacing/>
        <w:jc w:val="both"/>
        <w:rPr>
          <w:rFonts w:ascii="Palatino Linotype" w:hAnsi="Palatino Linotype" w:cs="Arial"/>
          <w:i/>
          <w:sz w:val="22"/>
          <w:szCs w:val="22"/>
        </w:rPr>
      </w:pPr>
      <w:r w:rsidRPr="00AE3F2B">
        <w:rPr>
          <w:rFonts w:ascii="Palatino Linotype" w:hAnsi="Palatino Linotype" w:cs="Arial"/>
          <w:b/>
          <w:bCs/>
          <w:i/>
          <w:sz w:val="22"/>
          <w:szCs w:val="22"/>
        </w:rPr>
        <w:t xml:space="preserve">Nombres de servidores públicos dedicados a actividades en materia de seguridad, por excepción pueden considerarse información reservada. </w:t>
      </w:r>
      <w:r w:rsidRPr="00AE3F2B">
        <w:rPr>
          <w:rFonts w:ascii="Palatino Linotype" w:hAnsi="Palatino Linotype" w:cs="Arial"/>
          <w:bCs/>
          <w:i/>
          <w:sz w:val="22"/>
          <w:szCs w:val="22"/>
        </w:rPr>
        <w:t xml:space="preserve">De conformidad con el artículo 7, </w:t>
      </w:r>
      <w:r w:rsidRPr="00AE3F2B">
        <w:rPr>
          <w:rFonts w:ascii="Palatino Linotype" w:hAnsi="Palatino Linotype" w:cs="Arial"/>
          <w:bCs/>
          <w:i/>
          <w:sz w:val="22"/>
          <w:szCs w:val="22"/>
        </w:rPr>
        <w:lastRenderedPageBreak/>
        <w:t xml:space="preserve">fracciones I y III de la Ley Federal de Transparencia y Acceso a la Información Pública Gubernamental </w:t>
      </w:r>
      <w:r w:rsidRPr="00AE3F2B">
        <w:rPr>
          <w:rFonts w:ascii="Palatino Linotype" w:hAnsi="Palatino Linotype" w:cs="Arial"/>
          <w:b/>
          <w:bCs/>
          <w:i/>
          <w:sz w:val="22"/>
          <w:szCs w:val="22"/>
        </w:rPr>
        <w:t>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w:t>
      </w:r>
      <w:r w:rsidRPr="00AE3F2B">
        <w:rPr>
          <w:rFonts w:ascii="Palatino Linotype" w:hAnsi="Palatino Linotype" w:cs="Arial"/>
          <w:bCs/>
          <w:i/>
          <w:sz w:val="22"/>
          <w:szCs w:val="22"/>
        </w:rPr>
        <w:t xml:space="preserve">.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w:t>
      </w:r>
      <w:r w:rsidRPr="00AE3F2B">
        <w:rPr>
          <w:rFonts w:ascii="Palatino Linotype" w:hAnsi="Palatino Linotype" w:cs="Arial"/>
          <w:b/>
          <w:bCs/>
          <w:i/>
          <w:sz w:val="22"/>
          <w:szCs w:val="22"/>
        </w:rPr>
        <w:t>el artículo 13, fracción I de la ley de referencia se establece que podrá clasificarse aquella información cuya difusión pueda comprometer la seguridad nacional y pública</w:t>
      </w:r>
      <w:r w:rsidRPr="00AE3F2B">
        <w:rPr>
          <w:rFonts w:ascii="Palatino Linotype" w:hAnsi="Palatino Linotype" w:cs="Arial"/>
          <w:bCs/>
          <w:i/>
          <w:sz w:val="22"/>
          <w:szCs w:val="22"/>
        </w:rPr>
        <w:t xml:space="preserve">.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w:t>
      </w:r>
      <w:r w:rsidRPr="00AE3F2B">
        <w:rPr>
          <w:rFonts w:ascii="Palatino Linotype" w:hAnsi="Palatino Linotype" w:cs="Arial"/>
          <w:b/>
          <w:bCs/>
          <w:i/>
          <w:sz w:val="22"/>
          <w:szCs w:val="22"/>
        </w:rPr>
        <w:t>por lo que la reserva de la relación de los nombres y las funciones que desempeñan los servidores públicos que prestan sus servicios en áreas de seguridad nacional o pública</w:t>
      </w:r>
      <w:r w:rsidRPr="00AE3F2B">
        <w:rPr>
          <w:rFonts w:ascii="Palatino Linotype" w:hAnsi="Palatino Linotype" w:cs="Arial"/>
          <w:bCs/>
          <w:i/>
          <w:sz w:val="22"/>
          <w:szCs w:val="22"/>
        </w:rPr>
        <w:t>, puede llegar a constituirse en un componente fundamental en el esfuerzo que realiza el Estado Mexicano para garantizar la seguridad del país en sus diferentes vertientes</w:t>
      </w:r>
      <w:r w:rsidRPr="00AE3F2B">
        <w:rPr>
          <w:rFonts w:ascii="Palatino Linotype" w:hAnsi="Palatino Linotype" w:cs="Arial"/>
          <w:i/>
          <w:sz w:val="22"/>
          <w:szCs w:val="22"/>
        </w:rPr>
        <w:t xml:space="preserve">” </w:t>
      </w:r>
    </w:p>
    <w:p w:rsidR="000A31EF" w:rsidRPr="00AE3F2B" w:rsidRDefault="000A31EF" w:rsidP="00FD2459">
      <w:pPr>
        <w:ind w:right="1"/>
        <w:jc w:val="both"/>
        <w:rPr>
          <w:rFonts w:ascii="Palatino Linotype" w:eastAsia="Palatino Linotype" w:hAnsi="Palatino Linotype" w:cs="Palatino Linotype"/>
          <w:b/>
          <w:sz w:val="22"/>
          <w:szCs w:val="22"/>
        </w:rPr>
      </w:pPr>
    </w:p>
    <w:p w:rsidR="00FD2459"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hAnsi="Palatino Linotype"/>
          <w:sz w:val="22"/>
          <w:szCs w:val="22"/>
        </w:rPr>
        <w:t xml:space="preserve">Precisado lo anterior, se advierte que pretendió clasificar información solicitada, no obstante, la Ley de Transparencia y Acceso a la Información Pública del Estado de México y Municipios señala que para la clasificación formal de la información solicitada, el </w:t>
      </w:r>
      <w:r w:rsidRPr="00AE3F2B">
        <w:rPr>
          <w:rFonts w:ascii="Palatino Linotype" w:hAnsi="Palatino Linotype"/>
          <w:b/>
          <w:sz w:val="22"/>
          <w:szCs w:val="22"/>
        </w:rPr>
        <w:t>SUJETO OBLIGADO</w:t>
      </w:r>
      <w:r w:rsidRPr="00AE3F2B">
        <w:rPr>
          <w:rFonts w:ascii="Palatino Linotype" w:hAnsi="Palatino Linotype"/>
          <w:sz w:val="22"/>
          <w:szCs w:val="22"/>
        </w:rPr>
        <w:t xml:space="preserve"> deberá remitir el debido Acuerdo de clasificación fundado y motivado donde determine la clasificación de la información como reservada, de conformidad con lo dispuesto en los numerales 49, fracción VIII y 132 fracciones I, II y III de la Ley de Transparencia y Acceso a la Información Pública del Estado de México y Municipios, así como los numerales del Cuarto al Décimo Primero de los Lineamientos Generales en materia de Clasificación y Desclasificación de la Información, así como para la elaboración de Versiones Públicas, que literalmente expresan:</w:t>
      </w:r>
    </w:p>
    <w:p w:rsidR="00FD2459" w:rsidRPr="00AE3F2B" w:rsidRDefault="00FD2459" w:rsidP="00FD2459">
      <w:pPr>
        <w:ind w:right="1"/>
        <w:jc w:val="both"/>
        <w:rPr>
          <w:rFonts w:ascii="Palatino Linotype" w:eastAsia="Palatino Linotype" w:hAnsi="Palatino Linotype" w:cs="Palatino Linotype"/>
          <w:b/>
          <w:sz w:val="22"/>
          <w:szCs w:val="22"/>
        </w:rPr>
      </w:pP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b/>
          <w:i/>
          <w:sz w:val="22"/>
          <w:szCs w:val="22"/>
        </w:rPr>
        <w:t>“Artículo 49</w:t>
      </w:r>
      <w:r w:rsidRPr="00AE3F2B">
        <w:rPr>
          <w:rFonts w:ascii="Palatino Linotype" w:hAnsi="Palatino Linotype"/>
          <w:i/>
          <w:sz w:val="22"/>
          <w:szCs w:val="22"/>
        </w:rPr>
        <w:t xml:space="preserve">. Los Comités de Transparencia tendrán las siguientes atribuciones: </w:t>
      </w: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i/>
          <w:sz w:val="22"/>
          <w:szCs w:val="22"/>
        </w:rPr>
        <w:t xml:space="preserve">VIII. Aprobar, modificar o revocar la clasificación de la información; </w:t>
      </w:r>
    </w:p>
    <w:p w:rsidR="00FD2459" w:rsidRPr="00AE3F2B" w:rsidRDefault="00FD2459" w:rsidP="00FD2459">
      <w:pPr>
        <w:ind w:left="567" w:right="567"/>
        <w:contextualSpacing/>
        <w:jc w:val="both"/>
        <w:rPr>
          <w:rFonts w:ascii="Palatino Linotype" w:hAnsi="Palatino Linotype"/>
          <w:i/>
          <w:sz w:val="22"/>
          <w:szCs w:val="22"/>
        </w:rPr>
      </w:pP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b/>
          <w:i/>
          <w:sz w:val="22"/>
          <w:szCs w:val="22"/>
        </w:rPr>
        <w:t>Artículo 132</w:t>
      </w:r>
      <w:r w:rsidRPr="00AE3F2B">
        <w:rPr>
          <w:rFonts w:ascii="Palatino Linotype" w:hAnsi="Palatino Linotype"/>
          <w:i/>
          <w:sz w:val="22"/>
          <w:szCs w:val="22"/>
        </w:rPr>
        <w:t xml:space="preserve">. La clasificación de la información se llevará a cabo en el momento en que: </w:t>
      </w: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i/>
          <w:sz w:val="22"/>
          <w:szCs w:val="22"/>
        </w:rPr>
        <w:lastRenderedPageBreak/>
        <w:t xml:space="preserve">I. Se reciba una solicitud de acceso a la información; </w:t>
      </w: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i/>
          <w:sz w:val="22"/>
          <w:szCs w:val="22"/>
        </w:rPr>
        <w:t xml:space="preserve">II. Se determine mediante resolución de autoridad competente; o </w:t>
      </w: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i/>
          <w:sz w:val="22"/>
          <w:szCs w:val="22"/>
        </w:rPr>
        <w:t xml:space="preserve">III. Se generen versiones públicas para dar cumplimiento a las obligaciones de transparencia previstas en esta Ley.” </w:t>
      </w:r>
    </w:p>
    <w:p w:rsidR="00FD2459" w:rsidRPr="00AE3F2B" w:rsidRDefault="00FD2459" w:rsidP="00FD2459">
      <w:pPr>
        <w:ind w:left="567" w:right="567"/>
        <w:contextualSpacing/>
        <w:jc w:val="both"/>
        <w:rPr>
          <w:rFonts w:ascii="Palatino Linotype" w:hAnsi="Palatino Linotype"/>
          <w:i/>
          <w:sz w:val="22"/>
          <w:szCs w:val="22"/>
        </w:rPr>
      </w:pPr>
    </w:p>
    <w:p w:rsidR="00FD2459" w:rsidRPr="00AE3F2B" w:rsidRDefault="00FD2459" w:rsidP="00AA6962">
      <w:pPr>
        <w:ind w:left="567" w:right="567"/>
        <w:contextualSpacing/>
        <w:jc w:val="both"/>
        <w:rPr>
          <w:rFonts w:ascii="Palatino Linotype" w:hAnsi="Palatino Linotype"/>
          <w:i/>
          <w:sz w:val="22"/>
          <w:szCs w:val="22"/>
        </w:rPr>
      </w:pPr>
      <w:r w:rsidRPr="00AE3F2B">
        <w:rPr>
          <w:rFonts w:ascii="Palatino Linotype" w:hAnsi="Palatino Linotype"/>
          <w:b/>
          <w:i/>
          <w:sz w:val="22"/>
          <w:szCs w:val="22"/>
        </w:rPr>
        <w:t>Cuarto.</w:t>
      </w:r>
      <w:r w:rsidRPr="00AE3F2B">
        <w:rPr>
          <w:rFonts w:ascii="Palatino Linotype" w:hAnsi="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 Los Sujetos Obligados deberán aplicar, de manera estricta, las excepciones al derecho de acceso a la información y sólo podrán invocarlas cuando acrediten su procedencia. </w:t>
      </w: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b/>
          <w:i/>
          <w:sz w:val="22"/>
          <w:szCs w:val="22"/>
        </w:rPr>
        <w:t>Quinto.</w:t>
      </w:r>
      <w:r w:rsidRPr="00AE3F2B">
        <w:rPr>
          <w:rFonts w:ascii="Palatino Linotype" w:hAnsi="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rsidR="00FD2459" w:rsidRPr="00AE3F2B" w:rsidRDefault="00FD2459" w:rsidP="00FD2459">
      <w:pPr>
        <w:ind w:left="567" w:right="567"/>
        <w:contextualSpacing/>
        <w:jc w:val="both"/>
        <w:rPr>
          <w:rFonts w:ascii="Palatino Linotype" w:hAnsi="Palatino Linotype"/>
          <w:i/>
          <w:sz w:val="22"/>
          <w:szCs w:val="22"/>
        </w:rPr>
      </w:pP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b/>
          <w:i/>
          <w:sz w:val="22"/>
          <w:szCs w:val="22"/>
        </w:rPr>
        <w:t>Sexto.</w:t>
      </w:r>
      <w:r w:rsidRPr="00AE3F2B">
        <w:rPr>
          <w:rFonts w:ascii="Palatino Linotype" w:hAnsi="Palatino Linotype"/>
          <w:i/>
          <w:sz w:val="22"/>
          <w:szCs w:val="22"/>
        </w:rPr>
        <w:t xml:space="preserve"> Los Sujetos Obligados no podrán emitir acuerdos de carácter general ni particular que clasifiquen documentos o expedientes como reservados, ni clasificar documentos antes de que se genere la información o cuando éstos no obren en sus archivos. </w:t>
      </w:r>
    </w:p>
    <w:p w:rsidR="00FD2459" w:rsidRPr="00AE3F2B" w:rsidRDefault="00FD2459" w:rsidP="00FD2459">
      <w:pPr>
        <w:ind w:left="567" w:right="567"/>
        <w:contextualSpacing/>
        <w:jc w:val="both"/>
        <w:rPr>
          <w:rFonts w:ascii="Palatino Linotype" w:hAnsi="Palatino Linotype"/>
          <w:i/>
          <w:sz w:val="22"/>
          <w:szCs w:val="22"/>
        </w:rPr>
      </w:pP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i/>
          <w:sz w:val="22"/>
          <w:szCs w:val="22"/>
        </w:rPr>
        <w:t xml:space="preserve">La clasificación de información se realizará conforme a un análisis caso por caso, mediante la aplicación de la prueba de daño y de interés público. </w:t>
      </w:r>
    </w:p>
    <w:p w:rsidR="00FD2459" w:rsidRPr="00AE3F2B" w:rsidRDefault="00FD2459" w:rsidP="00FD2459">
      <w:pPr>
        <w:ind w:left="567" w:right="567"/>
        <w:contextualSpacing/>
        <w:jc w:val="both"/>
        <w:rPr>
          <w:rFonts w:ascii="Palatino Linotype" w:hAnsi="Palatino Linotype"/>
          <w:i/>
          <w:sz w:val="22"/>
          <w:szCs w:val="22"/>
        </w:rPr>
      </w:pP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b/>
          <w:i/>
          <w:sz w:val="22"/>
          <w:szCs w:val="22"/>
        </w:rPr>
        <w:t>Séptimo.</w:t>
      </w:r>
      <w:r w:rsidRPr="00AE3F2B">
        <w:rPr>
          <w:rFonts w:ascii="Palatino Linotype" w:hAnsi="Palatino Linotype"/>
          <w:i/>
          <w:sz w:val="22"/>
          <w:szCs w:val="22"/>
        </w:rPr>
        <w:t xml:space="preserve"> La clasificación de la información se llevará a cabo en el momento en que: I. Se reciba una solicitud de acceso a la información; </w:t>
      </w:r>
    </w:p>
    <w:p w:rsidR="00FD2459" w:rsidRPr="00AE3F2B" w:rsidRDefault="00FD2459" w:rsidP="00FD2459">
      <w:pPr>
        <w:ind w:left="567" w:right="567"/>
        <w:contextualSpacing/>
        <w:jc w:val="both"/>
        <w:rPr>
          <w:rFonts w:ascii="Palatino Linotype" w:hAnsi="Palatino Linotype"/>
          <w:i/>
          <w:sz w:val="22"/>
          <w:szCs w:val="22"/>
        </w:rPr>
      </w:pP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i/>
          <w:sz w:val="22"/>
          <w:szCs w:val="22"/>
        </w:rPr>
        <w:t xml:space="preserve">II. Se determine mediante resolución de autoridad competente, o </w:t>
      </w: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i/>
          <w:sz w:val="22"/>
          <w:szCs w:val="22"/>
        </w:rPr>
        <w:t xml:space="preserve">III. Se generen versiones públicas para dar cumplimiento a las obligaciones de transparencia previstas en la Ley General, la Ley Federal y las correspondientes de las entidades federativas. </w:t>
      </w:r>
    </w:p>
    <w:p w:rsidR="00FD2459" w:rsidRPr="00AE3F2B" w:rsidRDefault="00FD2459" w:rsidP="00FD2459">
      <w:pPr>
        <w:ind w:left="567" w:right="567"/>
        <w:contextualSpacing/>
        <w:jc w:val="both"/>
        <w:rPr>
          <w:rFonts w:ascii="Palatino Linotype" w:hAnsi="Palatino Linotype"/>
          <w:i/>
          <w:sz w:val="22"/>
          <w:szCs w:val="22"/>
        </w:rPr>
      </w:pP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i/>
          <w:sz w:val="22"/>
          <w:szCs w:val="22"/>
        </w:rPr>
        <w:t xml:space="preserve">Los titulares de las áreas deberán revisar la clasificación al momento de la recepción de una solicitud de acceso a la información, para verificar si encuadra en una causal de reserva o de confidencialidad. </w:t>
      </w:r>
    </w:p>
    <w:p w:rsidR="00FD2459" w:rsidRPr="00AE3F2B" w:rsidRDefault="00FD2459" w:rsidP="00FD2459">
      <w:pPr>
        <w:ind w:left="567" w:right="567"/>
        <w:contextualSpacing/>
        <w:jc w:val="both"/>
        <w:rPr>
          <w:rFonts w:ascii="Palatino Linotype" w:hAnsi="Palatino Linotype"/>
          <w:i/>
          <w:sz w:val="22"/>
          <w:szCs w:val="22"/>
        </w:rPr>
      </w:pP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b/>
          <w:i/>
          <w:sz w:val="22"/>
          <w:szCs w:val="22"/>
        </w:rPr>
        <w:lastRenderedPageBreak/>
        <w:t>Octavo.</w:t>
      </w:r>
      <w:r w:rsidRPr="00AE3F2B">
        <w:rPr>
          <w:rFonts w:ascii="Palatino Linotype" w:hAnsi="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 </w:t>
      </w: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i/>
          <w:sz w:val="22"/>
          <w:szCs w:val="22"/>
        </w:rPr>
        <w:t xml:space="preserve">Para motivar la clasificación se deberán señalar las razones o circunstancias especiales que lo llevaron a concluir que el caso particular se ajusta al supuesto previsto por la norma legal invocada como fundamento. </w:t>
      </w:r>
    </w:p>
    <w:p w:rsidR="00FD2459" w:rsidRPr="00AE3F2B" w:rsidRDefault="00FD2459" w:rsidP="00FD2459">
      <w:pPr>
        <w:ind w:left="567" w:right="567"/>
        <w:contextualSpacing/>
        <w:jc w:val="both"/>
        <w:rPr>
          <w:rFonts w:ascii="Palatino Linotype" w:hAnsi="Palatino Linotype"/>
          <w:i/>
          <w:sz w:val="22"/>
          <w:szCs w:val="22"/>
        </w:rPr>
      </w:pP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i/>
          <w:sz w:val="22"/>
          <w:szCs w:val="22"/>
        </w:rPr>
        <w:t xml:space="preserve">En caso de referirse a información reservada, la motivación de la clasificación también deberá comprender las circunstancias que justifican el establecimiento de determinado plazo de reserva. </w:t>
      </w:r>
    </w:p>
    <w:p w:rsidR="00FD2459" w:rsidRPr="00AE3F2B" w:rsidRDefault="00FD2459" w:rsidP="00FD2459">
      <w:pPr>
        <w:ind w:left="567" w:right="567"/>
        <w:contextualSpacing/>
        <w:jc w:val="both"/>
        <w:rPr>
          <w:rFonts w:ascii="Palatino Linotype" w:hAnsi="Palatino Linotype"/>
          <w:i/>
          <w:sz w:val="22"/>
          <w:szCs w:val="22"/>
        </w:rPr>
      </w:pP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rsidR="00FD2459" w:rsidRPr="00AE3F2B" w:rsidRDefault="00FD2459" w:rsidP="00FD2459">
      <w:pPr>
        <w:ind w:left="567" w:right="567"/>
        <w:contextualSpacing/>
        <w:jc w:val="both"/>
        <w:rPr>
          <w:rFonts w:ascii="Palatino Linotype" w:hAnsi="Palatino Linotype"/>
          <w:i/>
          <w:sz w:val="22"/>
          <w:szCs w:val="22"/>
        </w:rPr>
      </w:pP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i/>
          <w:sz w:val="22"/>
          <w:szCs w:val="22"/>
        </w:rPr>
        <w:t xml:space="preserve">Los documentos contenidos en los archivos históricos y los identificados como históricos confidenciales no serán susceptibles de clasificación como reservados. 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 </w:t>
      </w:r>
    </w:p>
    <w:p w:rsidR="00FD2459" w:rsidRPr="00AE3F2B" w:rsidRDefault="00FD2459" w:rsidP="00FD2459">
      <w:pPr>
        <w:ind w:left="567" w:right="567"/>
        <w:contextualSpacing/>
        <w:jc w:val="both"/>
        <w:rPr>
          <w:rFonts w:ascii="Palatino Linotype" w:hAnsi="Palatino Linotype"/>
          <w:i/>
          <w:sz w:val="22"/>
          <w:szCs w:val="22"/>
        </w:rPr>
      </w:pP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b/>
          <w:i/>
          <w:sz w:val="22"/>
          <w:szCs w:val="22"/>
        </w:rPr>
        <w:t>Décimo</w:t>
      </w:r>
      <w:r w:rsidRPr="00AE3F2B">
        <w:rPr>
          <w:rFonts w:ascii="Palatino Linotype" w:hAnsi="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 </w:t>
      </w:r>
    </w:p>
    <w:p w:rsidR="00FD2459" w:rsidRPr="00AE3F2B" w:rsidRDefault="00FD2459" w:rsidP="00FD2459">
      <w:pPr>
        <w:ind w:left="567" w:right="567"/>
        <w:contextualSpacing/>
        <w:jc w:val="both"/>
        <w:rPr>
          <w:rFonts w:ascii="Palatino Linotype" w:hAnsi="Palatino Linotype"/>
          <w:i/>
          <w:sz w:val="22"/>
          <w:szCs w:val="22"/>
        </w:rPr>
      </w:pP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i/>
          <w:sz w:val="22"/>
          <w:szCs w:val="22"/>
        </w:rPr>
        <w:t xml:space="preserve">En ausencia de los titulares de las áreas, la información será clasificada o desclasificada por la persona que lo supla, en términos de la normativa que rija la actuación del sujeto obligado. </w:t>
      </w:r>
    </w:p>
    <w:p w:rsidR="00FD2459" w:rsidRPr="00AE3F2B" w:rsidRDefault="00FD2459" w:rsidP="00FD2459">
      <w:pPr>
        <w:ind w:left="567" w:right="567"/>
        <w:contextualSpacing/>
        <w:jc w:val="both"/>
        <w:rPr>
          <w:rFonts w:ascii="Palatino Linotype" w:hAnsi="Palatino Linotype"/>
          <w:i/>
          <w:sz w:val="22"/>
          <w:szCs w:val="22"/>
        </w:rPr>
      </w:pPr>
    </w:p>
    <w:p w:rsidR="00FD2459" w:rsidRPr="00AE3F2B" w:rsidRDefault="00FD2459" w:rsidP="00FD2459">
      <w:pPr>
        <w:ind w:left="567" w:right="567"/>
        <w:contextualSpacing/>
        <w:jc w:val="both"/>
        <w:rPr>
          <w:rFonts w:ascii="Palatino Linotype" w:hAnsi="Palatino Linotype"/>
          <w:i/>
          <w:sz w:val="22"/>
          <w:szCs w:val="22"/>
        </w:rPr>
      </w:pPr>
      <w:r w:rsidRPr="00AE3F2B">
        <w:rPr>
          <w:rFonts w:ascii="Palatino Linotype" w:hAnsi="Palatino Linotype"/>
          <w:b/>
          <w:i/>
          <w:sz w:val="22"/>
          <w:szCs w:val="22"/>
        </w:rPr>
        <w:t>Décimo primero</w:t>
      </w:r>
      <w:r w:rsidRPr="00AE3F2B">
        <w:rPr>
          <w:rFonts w:ascii="Palatino Linotype" w:hAnsi="Palatino Linotype"/>
          <w:i/>
          <w:sz w:val="22"/>
          <w:szCs w:val="22"/>
        </w:rPr>
        <w:t>.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rsidR="00FD2459" w:rsidRPr="00AE3F2B" w:rsidRDefault="00FD2459" w:rsidP="00FD2459">
      <w:pPr>
        <w:spacing w:line="360" w:lineRule="auto"/>
        <w:ind w:right="1"/>
        <w:jc w:val="both"/>
        <w:rPr>
          <w:rFonts w:ascii="Palatino Linotype" w:eastAsia="Palatino Linotype" w:hAnsi="Palatino Linotype" w:cs="Palatino Linotype"/>
          <w:b/>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hAnsi="Palatino Linotype"/>
          <w:sz w:val="22"/>
          <w:szCs w:val="22"/>
        </w:rPr>
        <w:lastRenderedPageBreak/>
        <w:t>En tal contexto se deberá proceder a la clasificación de los nombres de los elementos de policía que realicen actividades operativas en campo.</w:t>
      </w:r>
    </w:p>
    <w:p w:rsidR="000A31EF" w:rsidRPr="00AE3F2B" w:rsidRDefault="000A31EF" w:rsidP="006977DF">
      <w:pPr>
        <w:ind w:right="1"/>
        <w:jc w:val="both"/>
        <w:rPr>
          <w:rFonts w:ascii="Palatino Linotype" w:eastAsia="Palatino Linotype" w:hAnsi="Palatino Linotype" w:cs="Palatino Linotype"/>
          <w:b/>
          <w:sz w:val="22"/>
          <w:szCs w:val="22"/>
        </w:rPr>
      </w:pPr>
    </w:p>
    <w:p w:rsidR="000A31EF" w:rsidRPr="00AE3F2B" w:rsidRDefault="000A31EF" w:rsidP="000A31EF">
      <w:pPr>
        <w:keepNext/>
        <w:keepLines/>
        <w:spacing w:before="240" w:line="360" w:lineRule="auto"/>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t xml:space="preserve">SEXTO. </w:t>
      </w:r>
      <w:r w:rsidRPr="00AE3F2B">
        <w:rPr>
          <w:rFonts w:ascii="Palatino Linotype" w:hAnsi="Palatino Linotype"/>
          <w:b/>
          <w:sz w:val="22"/>
          <w:szCs w:val="22"/>
        </w:rPr>
        <w:t>Vista a la Secretaría Técnica del Pleno.</w:t>
      </w:r>
    </w:p>
    <w:p w:rsidR="00060AE6" w:rsidRPr="00AE3F2B" w:rsidRDefault="00060AE6" w:rsidP="00681958">
      <w:pPr>
        <w:ind w:right="1"/>
        <w:jc w:val="both"/>
        <w:rPr>
          <w:rFonts w:ascii="Palatino Linotype" w:eastAsia="Palatino Linotype" w:hAnsi="Palatino Linotype" w:cs="Palatino Linotype"/>
          <w:b/>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sz w:val="22"/>
          <w:szCs w:val="22"/>
        </w:rPr>
        <w:t xml:space="preserve">Este </w:t>
      </w:r>
      <w:r w:rsidRPr="00AE3F2B">
        <w:rPr>
          <w:rFonts w:ascii="Palatino Linotype" w:eastAsia="MS Mincho" w:hAnsi="Palatino Linotype" w:cs="Bookman Old Style"/>
          <w:sz w:val="22"/>
          <w:szCs w:val="22"/>
        </w:rPr>
        <w:t xml:space="preserve">Órgano Garante, advierte que se dejó a la vista información susceptible de ser clasificada como reservada (nombre de elementos de seguridad operativos); </w:t>
      </w:r>
      <w:r w:rsidRPr="00AE3F2B">
        <w:rPr>
          <w:rFonts w:ascii="Palatino Linotype" w:hAnsi="Palatino Linotype"/>
          <w:sz w:val="22"/>
          <w:szCs w:val="22"/>
        </w:rPr>
        <w:t>este instituto advierte que otorgar acceso al nombre de policías operativos podría comprometer la integridad de los mismos, de conformidad con lo que establece el artículo 140 de la Ley de Transparencia y Acceso a la Información Pública del Estado de México y Municipios.</w:t>
      </w:r>
    </w:p>
    <w:p w:rsidR="000A31EF" w:rsidRPr="00AE3F2B" w:rsidRDefault="000A31EF" w:rsidP="000A31EF">
      <w:pPr>
        <w:ind w:right="1"/>
        <w:jc w:val="both"/>
        <w:rPr>
          <w:rFonts w:ascii="Palatino Linotype" w:eastAsia="Palatino Linotype" w:hAnsi="Palatino Linotype" w:cs="Palatino Linotype"/>
          <w:b/>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hAnsi="Palatino Linotype"/>
          <w:sz w:val="22"/>
          <w:szCs w:val="22"/>
        </w:rPr>
        <w:t xml:space="preserve">Precisado lo anterior, resulta conducente dar vista a la Secretaría Técnica del Pleno, para que en el ejercicio de las competencias reservadas integre y remita al Órgano Interno de Control un expediente formado con motivo de las presuntas infracciones de carácter omisivo cometidas en detrimento al derecho de acceso a la información. </w:t>
      </w:r>
    </w:p>
    <w:p w:rsidR="000A31EF" w:rsidRPr="00AE3F2B" w:rsidRDefault="000A31EF" w:rsidP="000A31EF">
      <w:pPr>
        <w:ind w:right="1"/>
        <w:jc w:val="both"/>
        <w:rPr>
          <w:rFonts w:ascii="Palatino Linotype" w:eastAsia="Palatino Linotype" w:hAnsi="Palatino Linotype" w:cs="Palatino Linotype"/>
          <w:b/>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hAnsi="Palatino Linotype"/>
          <w:sz w:val="22"/>
          <w:szCs w:val="22"/>
        </w:rPr>
        <w:t>En efecto, la Secretaría técnica del Pleno hará del conocimiento del órgano de control de este Instituto de las infracciones en que el Sujeto Obligado incurrió, toda vez que la naturaleza de investigar y sancionar corresponde a un ente distinto a éste a través de un procedimiento diferente al recurso de revisión, lo cual se encuentra previsto en la Ley de Transparencia Acceso a la Información Pública del Estado de México y Municipios específicamente en sus artículos 190 y 222, que señalan lo siguiente:</w:t>
      </w:r>
    </w:p>
    <w:p w:rsidR="000A31EF" w:rsidRPr="00AE3F2B" w:rsidRDefault="000A31EF" w:rsidP="00FD2459">
      <w:pPr>
        <w:ind w:right="1"/>
        <w:jc w:val="both"/>
        <w:rPr>
          <w:rFonts w:ascii="Palatino Linotype" w:hAnsi="Palatino Linotype"/>
          <w:sz w:val="22"/>
          <w:szCs w:val="22"/>
        </w:rPr>
      </w:pPr>
    </w:p>
    <w:p w:rsidR="000A31EF" w:rsidRPr="00AE3F2B" w:rsidRDefault="000A31EF" w:rsidP="000A31EF">
      <w:pPr>
        <w:pStyle w:val="Prrafodelista"/>
        <w:spacing w:line="276" w:lineRule="auto"/>
        <w:ind w:left="567" w:right="567"/>
        <w:jc w:val="both"/>
        <w:rPr>
          <w:rFonts w:ascii="Palatino Linotype" w:hAnsi="Palatino Linotype"/>
          <w:i/>
          <w:szCs w:val="22"/>
        </w:rPr>
      </w:pPr>
      <w:r w:rsidRPr="00AE3F2B">
        <w:rPr>
          <w:rFonts w:ascii="Palatino Linotype" w:hAnsi="Palatino Linotype"/>
          <w:i/>
          <w:szCs w:val="22"/>
        </w:rPr>
        <w:t>“</w:t>
      </w:r>
      <w:r w:rsidRPr="00AE3F2B">
        <w:rPr>
          <w:rFonts w:ascii="Palatino Linotype" w:hAnsi="Palatino Linotype"/>
          <w:b/>
          <w:i/>
          <w:szCs w:val="22"/>
        </w:rPr>
        <w:t>Artículo 190.</w:t>
      </w:r>
      <w:r w:rsidRPr="00AE3F2B">
        <w:rPr>
          <w:rFonts w:ascii="Palatino Linotype" w:hAnsi="Palatino Linotype"/>
          <w:i/>
          <w:szCs w:val="22"/>
        </w:rPr>
        <w:t xml:space="preserve"> Cuando el Instituto determine durante la sustanciación del 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w:t>
      </w:r>
      <w:r w:rsidRPr="00AE3F2B">
        <w:rPr>
          <w:rFonts w:ascii="Palatino Linotype" w:hAnsi="Palatino Linotype"/>
          <w:i/>
          <w:szCs w:val="22"/>
        </w:rPr>
        <w:lastRenderedPageBreak/>
        <w:t>que éste inicie, en su caso, el procedimiento de responsabilidad respectivo, cuyo resultado deberá de ser informado al Instituto</w:t>
      </w:r>
    </w:p>
    <w:p w:rsidR="000A31EF" w:rsidRPr="00AE3F2B" w:rsidRDefault="000A31EF" w:rsidP="000A31EF">
      <w:pPr>
        <w:pStyle w:val="Prrafodelista"/>
        <w:spacing w:line="276" w:lineRule="auto"/>
        <w:ind w:left="567" w:right="567"/>
        <w:jc w:val="both"/>
        <w:rPr>
          <w:rFonts w:ascii="Palatino Linotype" w:hAnsi="Palatino Linotype"/>
          <w:i/>
          <w:szCs w:val="22"/>
        </w:rPr>
      </w:pPr>
    </w:p>
    <w:p w:rsidR="000A31EF" w:rsidRPr="00AE3F2B" w:rsidRDefault="000A31EF" w:rsidP="000A31EF">
      <w:pPr>
        <w:pStyle w:val="Prrafodelista"/>
        <w:spacing w:line="276" w:lineRule="auto"/>
        <w:ind w:left="567" w:right="567"/>
        <w:jc w:val="both"/>
        <w:rPr>
          <w:rFonts w:ascii="Palatino Linotype" w:hAnsi="Palatino Linotype"/>
          <w:i/>
          <w:szCs w:val="22"/>
        </w:rPr>
      </w:pPr>
      <w:r w:rsidRPr="00AE3F2B">
        <w:rPr>
          <w:rFonts w:ascii="Palatino Linotype" w:hAnsi="Palatino Linotype"/>
          <w:b/>
          <w:i/>
          <w:szCs w:val="22"/>
        </w:rPr>
        <w:t>Artículo 222.</w:t>
      </w:r>
      <w:r w:rsidRPr="00AE3F2B">
        <w:rPr>
          <w:rFonts w:ascii="Palatino Linotype" w:hAnsi="Palatino Linotype"/>
          <w:i/>
          <w:szCs w:val="22"/>
        </w:rPr>
        <w:t xml:space="preserve"> Son causas de responsabilidad administrativa de los servidores públicos de los sujetos obligados, por incumplimiento de las obligaciones establecidas en la materia de la presente Ley, las siguientes:</w:t>
      </w:r>
    </w:p>
    <w:p w:rsidR="000A31EF" w:rsidRPr="00AE3F2B" w:rsidRDefault="000A31EF" w:rsidP="000A31EF">
      <w:pPr>
        <w:pStyle w:val="Prrafodelista"/>
        <w:spacing w:line="276" w:lineRule="auto"/>
        <w:ind w:left="567" w:right="567"/>
        <w:jc w:val="both"/>
        <w:rPr>
          <w:rFonts w:ascii="Palatino Linotype" w:hAnsi="Palatino Linotype"/>
          <w:i/>
          <w:szCs w:val="22"/>
        </w:rPr>
      </w:pPr>
      <w:r w:rsidRPr="00AE3F2B">
        <w:rPr>
          <w:rFonts w:ascii="Palatino Linotype" w:hAnsi="Palatino Linotype"/>
          <w:i/>
          <w:szCs w:val="22"/>
        </w:rPr>
        <w:t>(…)</w:t>
      </w:r>
    </w:p>
    <w:p w:rsidR="000A31EF" w:rsidRPr="00AE3F2B" w:rsidRDefault="000A31EF" w:rsidP="000A31EF">
      <w:pPr>
        <w:pStyle w:val="Prrafodelista"/>
        <w:spacing w:line="276" w:lineRule="auto"/>
        <w:ind w:left="567" w:right="567"/>
        <w:jc w:val="both"/>
        <w:rPr>
          <w:rFonts w:ascii="Palatino Linotype" w:hAnsi="Palatino Linotype"/>
          <w:i/>
          <w:szCs w:val="22"/>
        </w:rPr>
      </w:pPr>
      <w:r w:rsidRPr="00AE3F2B">
        <w:rPr>
          <w:rFonts w:ascii="Palatino Linotype" w:hAnsi="Palatino Linotype"/>
          <w:i/>
          <w:szCs w:val="22"/>
        </w:rPr>
        <w:t>I. Cualquier acto u omisión que provoque la suspensión o deficiencia en la atención de las solicitudes de información;</w:t>
      </w:r>
    </w:p>
    <w:p w:rsidR="000A31EF" w:rsidRPr="00AE3F2B" w:rsidRDefault="000A31EF" w:rsidP="000A31EF">
      <w:pPr>
        <w:pStyle w:val="Prrafodelista"/>
        <w:spacing w:line="276" w:lineRule="auto"/>
        <w:ind w:left="567" w:right="567"/>
        <w:jc w:val="both"/>
        <w:rPr>
          <w:rFonts w:ascii="Palatino Linotype" w:hAnsi="Palatino Linotype"/>
          <w:i/>
          <w:szCs w:val="22"/>
        </w:rPr>
      </w:pPr>
      <w:r w:rsidRPr="00AE3F2B">
        <w:rPr>
          <w:rFonts w:ascii="Palatino Linotype" w:hAnsi="Palatino Linotype"/>
          <w:i/>
          <w:szCs w:val="22"/>
        </w:rPr>
        <w:t>(…)</w:t>
      </w:r>
    </w:p>
    <w:p w:rsidR="000A31EF" w:rsidRPr="00AE3F2B" w:rsidRDefault="000A31EF" w:rsidP="000A31EF">
      <w:pPr>
        <w:pStyle w:val="Prrafodelista"/>
        <w:spacing w:line="276" w:lineRule="auto"/>
        <w:ind w:left="567" w:right="567"/>
        <w:rPr>
          <w:rFonts w:ascii="Palatino Linotype" w:hAnsi="Palatino Linotype"/>
          <w:i/>
          <w:szCs w:val="22"/>
        </w:rPr>
      </w:pPr>
      <w:r w:rsidRPr="00AE3F2B">
        <w:rPr>
          <w:rFonts w:ascii="Palatino Linotype" w:hAnsi="Palatino Linotype"/>
          <w:i/>
          <w:szCs w:val="22"/>
        </w:rPr>
        <w:t>IV. Entregar información clasificada como reservada;</w:t>
      </w:r>
    </w:p>
    <w:p w:rsidR="000A31EF" w:rsidRPr="00AE3F2B" w:rsidRDefault="000A31EF" w:rsidP="00FD2459">
      <w:pPr>
        <w:pStyle w:val="Prrafodelista"/>
        <w:spacing w:line="276" w:lineRule="auto"/>
        <w:ind w:left="567" w:right="567"/>
        <w:jc w:val="both"/>
        <w:rPr>
          <w:rFonts w:ascii="Palatino Linotype" w:hAnsi="Palatino Linotype"/>
          <w:i/>
          <w:szCs w:val="22"/>
        </w:rPr>
      </w:pPr>
      <w:r w:rsidRPr="00AE3F2B">
        <w:rPr>
          <w:rFonts w:ascii="Palatino Linotype" w:hAnsi="Palatino Linotype"/>
          <w:i/>
          <w:szCs w:val="22"/>
        </w:rPr>
        <w:t xml:space="preserve">(…)” </w:t>
      </w: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hAnsi="Palatino Linotype"/>
          <w:sz w:val="22"/>
          <w:szCs w:val="22"/>
        </w:rPr>
        <w:t>De manera complementaria a lo anterior, es conveniente señalar que la fracción XXVII, del artículo 19, del Reglamento Interior del Instituto de Transparencia, Acceso a la Información y Protección de Datos Personales, porción normativa que dispone a la literalidad lo siguiente:</w:t>
      </w:r>
    </w:p>
    <w:p w:rsidR="000A31EF" w:rsidRPr="00AE3F2B" w:rsidRDefault="000A31EF" w:rsidP="000A31EF">
      <w:pPr>
        <w:spacing w:line="360" w:lineRule="auto"/>
        <w:ind w:right="1"/>
        <w:jc w:val="both"/>
        <w:rPr>
          <w:rFonts w:ascii="Palatino Linotype" w:eastAsia="Palatino Linotype" w:hAnsi="Palatino Linotype" w:cs="Palatino Linotype"/>
          <w:b/>
          <w:sz w:val="22"/>
          <w:szCs w:val="22"/>
        </w:rPr>
      </w:pPr>
    </w:p>
    <w:p w:rsidR="000A31EF" w:rsidRPr="00AE3F2B" w:rsidRDefault="000A31EF" w:rsidP="000A31EF">
      <w:pPr>
        <w:spacing w:after="160"/>
        <w:ind w:left="567" w:right="567"/>
        <w:contextualSpacing/>
        <w:jc w:val="both"/>
        <w:rPr>
          <w:rFonts w:ascii="Palatino Linotype" w:hAnsi="Palatino Linotype"/>
          <w:sz w:val="22"/>
          <w:szCs w:val="22"/>
        </w:rPr>
      </w:pPr>
      <w:r w:rsidRPr="00AE3F2B">
        <w:rPr>
          <w:rFonts w:ascii="Palatino Linotype" w:hAnsi="Palatino Linotype"/>
          <w:b/>
          <w:i/>
          <w:sz w:val="22"/>
          <w:szCs w:val="22"/>
        </w:rPr>
        <w:t>“Artículo 19.</w:t>
      </w:r>
      <w:r w:rsidRPr="00AE3F2B">
        <w:rPr>
          <w:rFonts w:ascii="Palatino Linotype" w:hAnsi="Palatino Linotype"/>
          <w:i/>
          <w:sz w:val="22"/>
          <w:szCs w:val="22"/>
        </w:rPr>
        <w:t xml:space="preserve"> Corresponde a la Secretaría Técnica del Pleno ejercer las atribuciones siguientes:</w:t>
      </w:r>
    </w:p>
    <w:p w:rsidR="000A31EF" w:rsidRPr="00AE3F2B" w:rsidRDefault="000A31EF" w:rsidP="000A31EF">
      <w:pPr>
        <w:pStyle w:val="Prrafodelista"/>
        <w:spacing w:before="240" w:after="240"/>
        <w:ind w:left="567" w:right="567"/>
        <w:jc w:val="both"/>
        <w:rPr>
          <w:rFonts w:ascii="Palatino Linotype" w:hAnsi="Palatino Linotype"/>
          <w:i/>
          <w:szCs w:val="22"/>
        </w:rPr>
      </w:pPr>
      <w:r w:rsidRPr="00AE3F2B">
        <w:rPr>
          <w:rFonts w:ascii="Palatino Linotype" w:hAnsi="Palatino Linotype"/>
          <w:i/>
          <w:szCs w:val="22"/>
        </w:rPr>
        <w:t>(…)</w:t>
      </w:r>
    </w:p>
    <w:p w:rsidR="000A31EF" w:rsidRPr="00AE3F2B" w:rsidRDefault="000A31EF" w:rsidP="000A31EF">
      <w:pPr>
        <w:pStyle w:val="Prrafodelista"/>
        <w:spacing w:before="240" w:after="240"/>
        <w:ind w:left="567" w:right="567"/>
        <w:jc w:val="both"/>
        <w:rPr>
          <w:rFonts w:ascii="Palatino Linotype" w:hAnsi="Palatino Linotype"/>
          <w:i/>
          <w:szCs w:val="22"/>
        </w:rPr>
      </w:pPr>
    </w:p>
    <w:p w:rsidR="000A31EF" w:rsidRPr="00AE3F2B" w:rsidRDefault="000A31EF" w:rsidP="000A31EF">
      <w:pPr>
        <w:pStyle w:val="Prrafodelista"/>
        <w:spacing w:before="240" w:after="240"/>
        <w:ind w:left="567" w:right="567"/>
        <w:jc w:val="both"/>
        <w:rPr>
          <w:rFonts w:ascii="Palatino Linotype" w:hAnsi="Palatino Linotype"/>
          <w:i/>
          <w:szCs w:val="22"/>
        </w:rPr>
      </w:pPr>
      <w:r w:rsidRPr="00AE3F2B">
        <w:rPr>
          <w:rFonts w:ascii="Palatino Linotype" w:hAnsi="Palatino Linotype"/>
          <w:i/>
          <w:szCs w:val="22"/>
        </w:rPr>
        <w:t>XXVII. Remitir al Órgano Interno de Control de los Sujetos Obligados o, en su caso, a la autoridad que corresponda, el expediente que contenga las presuntas infracciones cometidas en el marco de la Ley de Transparencia, para la promoción de responsabilidades y sanciones, así como dar seguimiento al resultado de los procedimientos instaurados;</w:t>
      </w:r>
    </w:p>
    <w:p w:rsidR="000A31EF" w:rsidRPr="00AE3F2B" w:rsidRDefault="000A31EF" w:rsidP="000A31EF">
      <w:pPr>
        <w:pStyle w:val="Prrafodelista"/>
        <w:spacing w:before="240" w:after="240"/>
        <w:ind w:left="567" w:right="567"/>
        <w:jc w:val="both"/>
        <w:rPr>
          <w:rFonts w:ascii="Palatino Linotype" w:hAnsi="Palatino Linotype"/>
          <w:i/>
          <w:szCs w:val="22"/>
        </w:rPr>
      </w:pPr>
      <w:r w:rsidRPr="00AE3F2B">
        <w:rPr>
          <w:rFonts w:ascii="Palatino Linotype" w:hAnsi="Palatino Linotype"/>
          <w:i/>
          <w:szCs w:val="22"/>
        </w:rPr>
        <w:t>(…)”</w:t>
      </w:r>
    </w:p>
    <w:p w:rsidR="000A31EF" w:rsidRPr="00AE3F2B" w:rsidRDefault="000A31EF" w:rsidP="00FD2459">
      <w:pPr>
        <w:ind w:right="1"/>
        <w:jc w:val="both"/>
        <w:rPr>
          <w:rFonts w:ascii="Palatino Linotype" w:eastAsia="Palatino Linotype" w:hAnsi="Palatino Linotype" w:cs="Palatino Linotype"/>
          <w:b/>
          <w:sz w:val="22"/>
          <w:szCs w:val="22"/>
        </w:rPr>
      </w:pPr>
    </w:p>
    <w:p w:rsidR="000A31EF" w:rsidRPr="00AE3F2B" w:rsidRDefault="000A31EF" w:rsidP="000A31EF">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hAnsi="Palatino Linotype"/>
          <w:sz w:val="22"/>
          <w:szCs w:val="22"/>
        </w:rPr>
        <w:t xml:space="preserve">Por lo que es menester en este asunto, dar vista a la Secretaría Técnica del Pleno a efecto de que ejerza las atribuciones previstas en la normatividad aplicable y comunique al  Órgano de Control Interno de este Instituto para que éste último en ejercicio de sus atribuciones atienda las directivas marcadas en la propia Ley de la materia, con fundamento en el artículo 190, de la ley de la materia, el cual señala que cuando este órgano determine durante la sustanciación del </w:t>
      </w:r>
      <w:r w:rsidRPr="00AE3F2B">
        <w:rPr>
          <w:rFonts w:ascii="Palatino Linotype" w:hAnsi="Palatino Linotype"/>
          <w:sz w:val="22"/>
          <w:szCs w:val="22"/>
        </w:rPr>
        <w:lastRenderedPageBreak/>
        <w:t>recurso de revisión que 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rsidR="000A31EF" w:rsidRPr="00AE3F2B" w:rsidRDefault="000A31EF" w:rsidP="000A31EF">
      <w:pPr>
        <w:spacing w:line="360" w:lineRule="auto"/>
        <w:ind w:right="1"/>
        <w:jc w:val="both"/>
        <w:rPr>
          <w:rFonts w:ascii="Palatino Linotype" w:eastAsia="Palatino Linotype" w:hAnsi="Palatino Linotype" w:cs="Palatino Linotype"/>
          <w:b/>
          <w:sz w:val="22"/>
          <w:szCs w:val="22"/>
        </w:rPr>
      </w:pPr>
    </w:p>
    <w:p w:rsidR="00E94D86" w:rsidRPr="00AE3F2B" w:rsidRDefault="001E3125" w:rsidP="00FD2459">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color w:val="222222"/>
          <w:sz w:val="22"/>
          <w:szCs w:val="22"/>
        </w:rPr>
        <w:t xml:space="preserve">Por lo anteriormente expuesto y fundado, este </w:t>
      </w:r>
      <w:r w:rsidRPr="00AE3F2B">
        <w:rPr>
          <w:rFonts w:ascii="Palatino Linotype" w:eastAsia="Palatino Linotype" w:hAnsi="Palatino Linotype" w:cs="Palatino Linotype"/>
          <w:b/>
          <w:color w:val="222222"/>
          <w:sz w:val="22"/>
          <w:szCs w:val="22"/>
        </w:rPr>
        <w:t>ÓRGANO GARANTE</w:t>
      </w:r>
      <w:r w:rsidRPr="00AE3F2B">
        <w:rPr>
          <w:rFonts w:ascii="Palatino Linotype" w:eastAsia="Palatino Linotype" w:hAnsi="Palatino Linotype" w:cs="Palatino Linotype"/>
          <w:color w:val="222222"/>
          <w:sz w:val="22"/>
          <w:szCs w:val="22"/>
        </w:rPr>
        <w:t xml:space="preserve"> emite los siguientes:</w:t>
      </w:r>
    </w:p>
    <w:p w:rsidR="00E94D86" w:rsidRPr="00AE3F2B" w:rsidRDefault="001E3125">
      <w:pPr>
        <w:keepNext/>
        <w:keepLines/>
        <w:spacing w:line="360" w:lineRule="auto"/>
        <w:ind w:right="-592"/>
        <w:jc w:val="center"/>
        <w:rPr>
          <w:rFonts w:ascii="Palatino Linotype" w:eastAsia="Palatino Linotype" w:hAnsi="Palatino Linotype" w:cs="Palatino Linotype"/>
          <w:b/>
          <w:color w:val="000000"/>
          <w:sz w:val="22"/>
          <w:szCs w:val="22"/>
        </w:rPr>
      </w:pPr>
      <w:r w:rsidRPr="00AE3F2B">
        <w:rPr>
          <w:rFonts w:ascii="Palatino Linotype" w:eastAsia="Palatino Linotype" w:hAnsi="Palatino Linotype" w:cs="Palatino Linotype"/>
          <w:b/>
          <w:color w:val="000000"/>
          <w:sz w:val="22"/>
          <w:szCs w:val="22"/>
        </w:rPr>
        <w:t>R E S O L U T I V O S</w:t>
      </w:r>
    </w:p>
    <w:p w:rsidR="00E94D86" w:rsidRPr="00AE3F2B" w:rsidRDefault="001E3125">
      <w:pPr>
        <w:spacing w:before="240" w:after="240" w:line="360" w:lineRule="auto"/>
        <w:ind w:right="1"/>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b/>
          <w:sz w:val="22"/>
          <w:szCs w:val="22"/>
        </w:rPr>
        <w:t>PRIMERO</w:t>
      </w:r>
      <w:r w:rsidRPr="00AE3F2B">
        <w:rPr>
          <w:rFonts w:ascii="Palatino Linotype" w:eastAsia="Palatino Linotype" w:hAnsi="Palatino Linotype" w:cs="Palatino Linotype"/>
          <w:sz w:val="22"/>
          <w:szCs w:val="22"/>
        </w:rPr>
        <w:t xml:space="preserve">. Resultan fundadas las razones o motivos de inconformidad hechos valer en el Recurso de Revisión </w:t>
      </w:r>
      <w:r w:rsidR="000A31EF" w:rsidRPr="00AE3F2B">
        <w:rPr>
          <w:rFonts w:ascii="Palatino Linotype" w:eastAsia="Palatino Linotype" w:hAnsi="Palatino Linotype" w:cs="Palatino Linotype"/>
          <w:b/>
          <w:sz w:val="22"/>
          <w:szCs w:val="22"/>
        </w:rPr>
        <w:t>05578</w:t>
      </w:r>
      <w:r w:rsidRPr="00AE3F2B">
        <w:rPr>
          <w:rFonts w:ascii="Palatino Linotype" w:eastAsia="Palatino Linotype" w:hAnsi="Palatino Linotype" w:cs="Palatino Linotype"/>
          <w:b/>
          <w:sz w:val="22"/>
          <w:szCs w:val="22"/>
        </w:rPr>
        <w:t>/INFOEM/IP/RR/2024</w:t>
      </w:r>
      <w:r w:rsidRPr="00AE3F2B">
        <w:rPr>
          <w:rFonts w:ascii="Palatino Linotype" w:eastAsia="Palatino Linotype" w:hAnsi="Palatino Linotype" w:cs="Palatino Linotype"/>
          <w:sz w:val="22"/>
          <w:szCs w:val="22"/>
        </w:rPr>
        <w:t>,</w:t>
      </w:r>
      <w:r w:rsidRPr="00AE3F2B">
        <w:rPr>
          <w:rFonts w:ascii="Palatino Linotype" w:eastAsia="Palatino Linotype" w:hAnsi="Palatino Linotype" w:cs="Palatino Linotype"/>
          <w:b/>
          <w:sz w:val="22"/>
          <w:szCs w:val="22"/>
        </w:rPr>
        <w:t xml:space="preserve"> </w:t>
      </w:r>
      <w:r w:rsidRPr="00AE3F2B">
        <w:rPr>
          <w:rFonts w:ascii="Palatino Linotype" w:eastAsia="Palatino Linotype" w:hAnsi="Palatino Linotype" w:cs="Palatino Linotype"/>
          <w:sz w:val="22"/>
          <w:szCs w:val="22"/>
        </w:rPr>
        <w:t>en términos del Considerando y Quinto</w:t>
      </w:r>
      <w:r w:rsidRPr="00AE3F2B">
        <w:rPr>
          <w:rFonts w:ascii="Palatino Linotype" w:eastAsia="Palatino Linotype" w:hAnsi="Palatino Linotype" w:cs="Palatino Linotype"/>
          <w:b/>
          <w:sz w:val="22"/>
          <w:szCs w:val="22"/>
        </w:rPr>
        <w:t xml:space="preserve"> </w:t>
      </w:r>
      <w:r w:rsidRPr="00AE3F2B">
        <w:rPr>
          <w:rFonts w:ascii="Palatino Linotype" w:eastAsia="Palatino Linotype" w:hAnsi="Palatino Linotype" w:cs="Palatino Linotype"/>
          <w:sz w:val="22"/>
          <w:szCs w:val="22"/>
        </w:rPr>
        <w:t>de la presente Resolución.</w:t>
      </w:r>
    </w:p>
    <w:p w:rsidR="00B81ACA" w:rsidRPr="00AE3F2B" w:rsidRDefault="001E3125" w:rsidP="00B81ACA">
      <w:pPr>
        <w:shd w:val="clear" w:color="auto" w:fill="FFFFFF"/>
        <w:spacing w:before="240" w:after="360" w:line="360" w:lineRule="auto"/>
        <w:ind w:right="1"/>
        <w:jc w:val="both"/>
        <w:rPr>
          <w:rFonts w:ascii="Palatino Linotype" w:eastAsia="Palatino Linotype" w:hAnsi="Palatino Linotype" w:cs="Palatino Linotype"/>
          <w:sz w:val="22"/>
          <w:szCs w:val="22"/>
        </w:rPr>
      </w:pPr>
      <w:bookmarkStart w:id="6" w:name="_heading=h.1fob9te" w:colFirst="0" w:colLast="0"/>
      <w:bookmarkEnd w:id="6"/>
      <w:r w:rsidRPr="00AE3F2B">
        <w:rPr>
          <w:rFonts w:ascii="Palatino Linotype" w:eastAsia="Palatino Linotype" w:hAnsi="Palatino Linotype" w:cs="Palatino Linotype"/>
          <w:b/>
          <w:sz w:val="22"/>
          <w:szCs w:val="22"/>
        </w:rPr>
        <w:t>SEGUNDO.</w:t>
      </w:r>
      <w:r w:rsidRPr="00AE3F2B">
        <w:rPr>
          <w:rFonts w:ascii="Palatino Linotype" w:eastAsia="Palatino Linotype" w:hAnsi="Palatino Linotype" w:cs="Palatino Linotype"/>
          <w:b/>
          <w:color w:val="000000"/>
          <w:sz w:val="22"/>
          <w:szCs w:val="22"/>
        </w:rPr>
        <w:t xml:space="preserve"> </w:t>
      </w:r>
      <w:r w:rsidRPr="00AE3F2B">
        <w:rPr>
          <w:rFonts w:ascii="Palatino Linotype" w:eastAsia="Palatino Linotype" w:hAnsi="Palatino Linotype" w:cs="Palatino Linotype"/>
          <w:color w:val="000000"/>
          <w:sz w:val="22"/>
          <w:szCs w:val="22"/>
        </w:rPr>
        <w:t xml:space="preserve">Se </w:t>
      </w:r>
      <w:r w:rsidR="00F46C8E" w:rsidRPr="00AE3F2B">
        <w:rPr>
          <w:rFonts w:ascii="Palatino Linotype" w:eastAsia="Palatino Linotype" w:hAnsi="Palatino Linotype" w:cs="Palatino Linotype"/>
          <w:b/>
          <w:color w:val="000000"/>
          <w:sz w:val="22"/>
          <w:szCs w:val="22"/>
        </w:rPr>
        <w:t xml:space="preserve">MODIFICA </w:t>
      </w:r>
      <w:r w:rsidRPr="00AE3F2B">
        <w:rPr>
          <w:rFonts w:ascii="Palatino Linotype" w:eastAsia="Palatino Linotype" w:hAnsi="Palatino Linotype" w:cs="Palatino Linotype"/>
          <w:color w:val="000000"/>
          <w:sz w:val="22"/>
          <w:szCs w:val="22"/>
        </w:rPr>
        <w:t xml:space="preserve">la respuesta emitida por </w:t>
      </w:r>
      <w:r w:rsidR="000A31EF" w:rsidRPr="00AE3F2B">
        <w:rPr>
          <w:rFonts w:ascii="Palatino Linotype" w:eastAsia="Palatino Linotype" w:hAnsi="Palatino Linotype" w:cs="Palatino Linotype"/>
          <w:color w:val="000000"/>
          <w:sz w:val="22"/>
          <w:szCs w:val="22"/>
        </w:rPr>
        <w:t>el</w:t>
      </w:r>
      <w:r w:rsidR="002B0131" w:rsidRPr="00AE3F2B">
        <w:rPr>
          <w:rFonts w:ascii="Palatino Linotype" w:eastAsia="Palatino Linotype" w:hAnsi="Palatino Linotype" w:cs="Palatino Linotype"/>
          <w:color w:val="000000"/>
          <w:sz w:val="22"/>
          <w:szCs w:val="22"/>
        </w:rPr>
        <w:t xml:space="preserve"> </w:t>
      </w:r>
      <w:r w:rsidR="000A31EF" w:rsidRPr="00AE3F2B">
        <w:rPr>
          <w:rFonts w:ascii="Palatino Linotype" w:eastAsia="Palatino Linotype" w:hAnsi="Palatino Linotype" w:cs="Palatino Linotype"/>
          <w:b/>
          <w:color w:val="000000"/>
          <w:sz w:val="22"/>
          <w:szCs w:val="22"/>
        </w:rPr>
        <w:t>Ayuntamiento de San Martín de las Pirámides</w:t>
      </w:r>
      <w:r w:rsidR="00651426" w:rsidRPr="00AE3F2B">
        <w:rPr>
          <w:rFonts w:ascii="Palatino Linotype" w:eastAsia="Palatino Linotype" w:hAnsi="Palatino Linotype" w:cs="Palatino Linotype"/>
          <w:color w:val="000000"/>
          <w:sz w:val="22"/>
          <w:szCs w:val="22"/>
        </w:rPr>
        <w:t xml:space="preserve"> </w:t>
      </w:r>
      <w:r w:rsidRPr="00AE3F2B">
        <w:rPr>
          <w:rFonts w:ascii="Palatino Linotype" w:eastAsia="Palatino Linotype" w:hAnsi="Palatino Linotype" w:cs="Palatino Linotype"/>
          <w:color w:val="000000"/>
          <w:sz w:val="22"/>
          <w:szCs w:val="22"/>
        </w:rPr>
        <w:t xml:space="preserve">y se </w:t>
      </w:r>
      <w:r w:rsidRPr="00AE3F2B">
        <w:rPr>
          <w:rFonts w:ascii="Palatino Linotype" w:eastAsia="Palatino Linotype" w:hAnsi="Palatino Linotype" w:cs="Palatino Linotype"/>
          <w:b/>
          <w:color w:val="000000"/>
          <w:sz w:val="22"/>
          <w:szCs w:val="22"/>
        </w:rPr>
        <w:t>ORDENA</w:t>
      </w:r>
      <w:r w:rsidRPr="00AE3F2B">
        <w:rPr>
          <w:rFonts w:ascii="Palatino Linotype" w:eastAsia="Palatino Linotype" w:hAnsi="Palatino Linotype" w:cs="Palatino Linotype"/>
          <w:color w:val="000000"/>
          <w:sz w:val="22"/>
          <w:szCs w:val="22"/>
        </w:rPr>
        <w:t xml:space="preserve"> </w:t>
      </w:r>
      <w:r w:rsidRPr="00AE3F2B">
        <w:rPr>
          <w:rFonts w:ascii="Palatino Linotype" w:eastAsia="Palatino Linotype" w:hAnsi="Palatino Linotype" w:cs="Palatino Linotype"/>
          <w:sz w:val="22"/>
          <w:szCs w:val="22"/>
        </w:rPr>
        <w:t xml:space="preserve">entregar vía Sistema de Accesos a la Información Mexiquense </w:t>
      </w:r>
      <w:r w:rsidRPr="00AE3F2B">
        <w:rPr>
          <w:rFonts w:ascii="Palatino Linotype" w:eastAsia="Palatino Linotype" w:hAnsi="Palatino Linotype" w:cs="Palatino Linotype"/>
          <w:b/>
          <w:sz w:val="22"/>
          <w:szCs w:val="22"/>
        </w:rPr>
        <w:t>(SAIMEX)</w:t>
      </w:r>
      <w:r w:rsidR="00651426" w:rsidRPr="00AE3F2B">
        <w:rPr>
          <w:rFonts w:ascii="Palatino Linotype" w:eastAsia="Palatino Linotype" w:hAnsi="Palatino Linotype" w:cs="Palatino Linotype"/>
          <w:sz w:val="22"/>
          <w:szCs w:val="22"/>
        </w:rPr>
        <w:t xml:space="preserve">, en </w:t>
      </w:r>
      <w:r w:rsidRPr="00AE3F2B">
        <w:rPr>
          <w:rFonts w:ascii="Palatino Linotype" w:eastAsia="Palatino Linotype" w:hAnsi="Palatino Linotype" w:cs="Palatino Linotype"/>
          <w:sz w:val="22"/>
          <w:szCs w:val="22"/>
        </w:rPr>
        <w:t>versión pública,</w:t>
      </w:r>
      <w:r w:rsidR="002B0131" w:rsidRPr="00AE3F2B">
        <w:rPr>
          <w:rFonts w:ascii="Palatino Linotype" w:eastAsia="Palatino Linotype" w:hAnsi="Palatino Linotype" w:cs="Palatino Linotype"/>
          <w:sz w:val="22"/>
          <w:szCs w:val="22"/>
        </w:rPr>
        <w:t xml:space="preserve"> </w:t>
      </w:r>
      <w:r w:rsidRPr="00AE3F2B">
        <w:rPr>
          <w:rFonts w:ascii="Palatino Linotype" w:eastAsia="Palatino Linotype" w:hAnsi="Palatino Linotype" w:cs="Palatino Linotype"/>
          <w:sz w:val="22"/>
          <w:szCs w:val="22"/>
        </w:rPr>
        <w:t>lo siguiente:</w:t>
      </w:r>
    </w:p>
    <w:p w:rsidR="00FD2459" w:rsidRPr="00AE3F2B" w:rsidRDefault="00FD2459" w:rsidP="00F46C8E">
      <w:pPr>
        <w:pStyle w:val="Prrafodelista"/>
        <w:numPr>
          <w:ilvl w:val="1"/>
          <w:numId w:val="28"/>
        </w:numPr>
        <w:spacing w:line="360" w:lineRule="auto"/>
        <w:ind w:left="567" w:right="567" w:hanging="76"/>
        <w:jc w:val="both"/>
        <w:rPr>
          <w:rFonts w:ascii="Palatino Linotype" w:hAnsi="Palatino Linotype" w:cs="Arial"/>
          <w:b/>
          <w:szCs w:val="22"/>
        </w:rPr>
      </w:pPr>
      <w:r w:rsidRPr="00AE3F2B">
        <w:rPr>
          <w:rFonts w:ascii="Palatino Linotype" w:hAnsi="Palatino Linotype" w:cs="Arial"/>
          <w:b/>
          <w:szCs w:val="22"/>
        </w:rPr>
        <w:t xml:space="preserve">Conciliación de Nómina de la </w:t>
      </w:r>
      <w:r w:rsidR="00F46C8E" w:rsidRPr="00AE3F2B">
        <w:rPr>
          <w:rFonts w:ascii="Palatino Linotype" w:hAnsi="Palatino Linotype" w:cs="Arial"/>
          <w:b/>
          <w:szCs w:val="22"/>
        </w:rPr>
        <w:t xml:space="preserve">primera </w:t>
      </w:r>
      <w:r w:rsidR="00F46C8E" w:rsidRPr="00AE3F2B">
        <w:rPr>
          <w:rFonts w:ascii="Palatino Linotype" w:hAnsi="Palatino Linotype"/>
          <w:b/>
          <w:szCs w:val="22"/>
          <w:lang w:val="es-ES"/>
        </w:rPr>
        <w:t>y segunda quincena de julio de dos mil veinticuatro.</w:t>
      </w:r>
    </w:p>
    <w:p w:rsidR="00E94D86" w:rsidRPr="00AE3F2B" w:rsidRDefault="001E3125">
      <w:pPr>
        <w:spacing w:before="240" w:after="360" w:line="360" w:lineRule="auto"/>
        <w:ind w:right="-2"/>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sz w:val="22"/>
          <w:szCs w:val="22"/>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 la</w:t>
      </w:r>
      <w:r w:rsidRPr="00AE3F2B">
        <w:rPr>
          <w:rFonts w:ascii="Palatino Linotype" w:eastAsia="Palatino Linotype" w:hAnsi="Palatino Linotype" w:cs="Palatino Linotype"/>
          <w:b/>
          <w:sz w:val="22"/>
          <w:szCs w:val="22"/>
        </w:rPr>
        <w:t xml:space="preserve"> RECURRENTE</w:t>
      </w:r>
      <w:r w:rsidRPr="00AE3F2B">
        <w:rPr>
          <w:rFonts w:ascii="Palatino Linotype" w:eastAsia="Palatino Linotype" w:hAnsi="Palatino Linotype" w:cs="Palatino Linotype"/>
          <w:sz w:val="22"/>
          <w:szCs w:val="22"/>
        </w:rPr>
        <w:t>.</w:t>
      </w:r>
    </w:p>
    <w:p w:rsidR="00E94D86" w:rsidRPr="00AE3F2B" w:rsidRDefault="001E3125">
      <w:pPr>
        <w:spacing w:line="360" w:lineRule="auto"/>
        <w:ind w:right="1"/>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lastRenderedPageBreak/>
        <w:t xml:space="preserve">TERCERO. </w:t>
      </w:r>
      <w:r w:rsidRPr="00AE3F2B">
        <w:rPr>
          <w:rFonts w:ascii="Palatino Linotype" w:eastAsia="Palatino Linotype" w:hAnsi="Palatino Linotype" w:cs="Palatino Linotype"/>
          <w:b/>
          <w:color w:val="000000"/>
          <w:sz w:val="22"/>
          <w:szCs w:val="22"/>
        </w:rPr>
        <w:t>Notifíquese vía SAIMEX l</w:t>
      </w:r>
      <w:r w:rsidRPr="00AE3F2B">
        <w:rPr>
          <w:rFonts w:ascii="Palatino Linotype" w:eastAsia="Palatino Linotype" w:hAnsi="Palatino Linotype" w:cs="Palatino Linotype"/>
          <w:sz w:val="22"/>
          <w:szCs w:val="22"/>
        </w:rPr>
        <w:t xml:space="preserve">a presente resolución al Titular de la Unidad de Transparencia del </w:t>
      </w:r>
      <w:r w:rsidRPr="00AE3F2B">
        <w:rPr>
          <w:rFonts w:ascii="Palatino Linotype" w:eastAsia="Palatino Linotype" w:hAnsi="Palatino Linotype" w:cs="Palatino Linotype"/>
          <w:b/>
          <w:sz w:val="22"/>
          <w:szCs w:val="22"/>
        </w:rPr>
        <w:t>SUJETO OBLIGADO</w:t>
      </w:r>
      <w:r w:rsidRPr="00AE3F2B">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w:t>
      </w:r>
      <w:r w:rsidRPr="00AE3F2B">
        <w:rPr>
          <w:rFonts w:ascii="Palatino Linotype" w:eastAsia="Palatino Linotype" w:hAnsi="Palatino Linotype" w:cs="Palatino Linotype"/>
          <w:b/>
          <w:sz w:val="22"/>
          <w:szCs w:val="22"/>
        </w:rPr>
        <w:t>dé cumplimiento a lo ordenado dentro del plazo de diez días hábiles</w:t>
      </w:r>
      <w:r w:rsidRPr="00AE3F2B">
        <w:rPr>
          <w:rFonts w:ascii="Palatino Linotype" w:eastAsia="Palatino Linotype" w:hAnsi="Palatino Linotype" w:cs="Palatino Linotype"/>
          <w:sz w:val="22"/>
          <w:szCs w:val="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E94D86" w:rsidRPr="00AE3F2B" w:rsidRDefault="00E94D86" w:rsidP="00F5723F">
      <w:pPr>
        <w:tabs>
          <w:tab w:val="left" w:pos="8080"/>
        </w:tabs>
        <w:ind w:right="1"/>
        <w:jc w:val="both"/>
        <w:rPr>
          <w:rFonts w:ascii="Palatino Linotype" w:eastAsia="Palatino Linotype" w:hAnsi="Palatino Linotype" w:cs="Palatino Linotype"/>
          <w:color w:val="222222"/>
          <w:sz w:val="22"/>
          <w:szCs w:val="22"/>
        </w:rPr>
      </w:pPr>
    </w:p>
    <w:p w:rsidR="00E94D86" w:rsidRPr="00AE3F2B" w:rsidRDefault="007411F4">
      <w:pPr>
        <w:shd w:val="clear" w:color="auto" w:fill="FFFFFF"/>
        <w:spacing w:after="240" w:line="360" w:lineRule="auto"/>
        <w:ind w:right="1"/>
        <w:jc w:val="both"/>
        <w:rPr>
          <w:rFonts w:ascii="Palatino Linotype" w:eastAsia="Palatino Linotype" w:hAnsi="Palatino Linotype" w:cs="Palatino Linotype"/>
          <w:b/>
          <w:sz w:val="22"/>
          <w:szCs w:val="22"/>
        </w:rPr>
      </w:pPr>
      <w:r w:rsidRPr="00AE3F2B">
        <w:rPr>
          <w:rFonts w:ascii="Palatino Linotype" w:eastAsia="Palatino Linotype" w:hAnsi="Palatino Linotype" w:cs="Palatino Linotype"/>
          <w:b/>
          <w:sz w:val="22"/>
          <w:szCs w:val="22"/>
        </w:rPr>
        <w:t>CUARTO. Notifíquese al</w:t>
      </w:r>
      <w:r w:rsidR="001E3125" w:rsidRPr="00AE3F2B">
        <w:rPr>
          <w:rFonts w:ascii="Palatino Linotype" w:eastAsia="Palatino Linotype" w:hAnsi="Palatino Linotype" w:cs="Palatino Linotype"/>
          <w:b/>
          <w:sz w:val="22"/>
          <w:szCs w:val="22"/>
        </w:rPr>
        <w:t xml:space="preserve"> RECURRENTE</w:t>
      </w:r>
      <w:r w:rsidR="001E3125" w:rsidRPr="00AE3F2B">
        <w:rPr>
          <w:rFonts w:ascii="Palatino Linotype" w:eastAsia="Palatino Linotype" w:hAnsi="Palatino Linotype" w:cs="Palatino Linotype"/>
          <w:sz w:val="22"/>
          <w:szCs w:val="22"/>
        </w:rPr>
        <w:t xml:space="preserve"> la presente resolución vía </w:t>
      </w:r>
      <w:r w:rsidR="001E3125" w:rsidRPr="00AE3F2B">
        <w:rPr>
          <w:rFonts w:ascii="Palatino Linotype" w:eastAsia="Palatino Linotype" w:hAnsi="Palatino Linotype" w:cs="Palatino Linotype"/>
          <w:b/>
          <w:sz w:val="22"/>
          <w:szCs w:val="22"/>
        </w:rPr>
        <w:t>SAIMEX.</w:t>
      </w:r>
    </w:p>
    <w:p w:rsidR="00E94D86" w:rsidRPr="00AE3F2B" w:rsidRDefault="001E3125">
      <w:pPr>
        <w:spacing w:before="240" w:after="240" w:line="360" w:lineRule="auto"/>
        <w:ind w:right="1"/>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b/>
          <w:sz w:val="22"/>
          <w:szCs w:val="22"/>
        </w:rPr>
        <w:t>QUINTO.</w:t>
      </w:r>
      <w:r w:rsidRPr="00AE3F2B">
        <w:rPr>
          <w:rFonts w:ascii="Palatino Linotype" w:eastAsia="Palatino Linotype" w:hAnsi="Palatino Linotype" w:cs="Palatino Linotype"/>
          <w:sz w:val="22"/>
          <w:szCs w:val="22"/>
        </w:rPr>
        <w:t xml:space="preserve"> Se hace del conocimiento de la </w:t>
      </w:r>
      <w:r w:rsidRPr="00AE3F2B">
        <w:rPr>
          <w:rFonts w:ascii="Palatino Linotype" w:eastAsia="Palatino Linotype" w:hAnsi="Palatino Linotype" w:cs="Palatino Linotype"/>
          <w:b/>
          <w:sz w:val="22"/>
          <w:szCs w:val="22"/>
        </w:rPr>
        <w:t>RECURRENTE</w:t>
      </w:r>
      <w:r w:rsidRPr="00AE3F2B">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E94D86" w:rsidRPr="00AE3F2B" w:rsidRDefault="001E3125">
      <w:pPr>
        <w:spacing w:before="240" w:after="240" w:line="360" w:lineRule="auto"/>
        <w:ind w:right="1"/>
        <w:jc w:val="both"/>
        <w:rPr>
          <w:rFonts w:ascii="Palatino Linotype" w:eastAsia="Palatino Linotype" w:hAnsi="Palatino Linotype" w:cs="Palatino Linotype"/>
          <w:sz w:val="22"/>
          <w:szCs w:val="22"/>
        </w:rPr>
      </w:pPr>
      <w:r w:rsidRPr="00AE3F2B">
        <w:rPr>
          <w:rFonts w:ascii="Palatino Linotype" w:eastAsia="Palatino Linotype" w:hAnsi="Palatino Linotype" w:cs="Palatino Linotype"/>
          <w:b/>
          <w:color w:val="000000"/>
          <w:sz w:val="22"/>
          <w:szCs w:val="22"/>
        </w:rPr>
        <w:t xml:space="preserve">SEXTO. </w:t>
      </w:r>
      <w:r w:rsidRPr="00AE3F2B">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F46C8E" w:rsidRPr="00AE3F2B" w:rsidRDefault="00F46C8E" w:rsidP="00F46C8E">
      <w:pPr>
        <w:spacing w:line="360" w:lineRule="auto"/>
        <w:jc w:val="both"/>
        <w:rPr>
          <w:rFonts w:ascii="Palatino Linotype" w:eastAsiaTheme="minorHAnsi" w:hAnsi="Palatino Linotype" w:cstheme="minorBidi"/>
          <w:sz w:val="22"/>
          <w:szCs w:val="22"/>
          <w:lang w:eastAsia="es-ES_tradnl"/>
        </w:rPr>
      </w:pPr>
      <w:r w:rsidRPr="00AE3F2B">
        <w:rPr>
          <w:rFonts w:ascii="Palatino Linotype" w:eastAsia="Palatino Linotype" w:hAnsi="Palatino Linotype" w:cs="Palatino Linotype"/>
          <w:b/>
          <w:color w:val="000000"/>
          <w:sz w:val="22"/>
          <w:szCs w:val="22"/>
        </w:rPr>
        <w:t xml:space="preserve">SÉPTIMA. </w:t>
      </w:r>
      <w:r w:rsidRPr="00AE3F2B">
        <w:rPr>
          <w:rFonts w:ascii="Palatino Linotype" w:eastAsiaTheme="minorHAnsi" w:hAnsi="Palatino Linotype" w:cstheme="minorBidi"/>
          <w:sz w:val="22"/>
          <w:szCs w:val="22"/>
          <w:lang w:eastAsia="es-ES_tradnl"/>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AE3F2B">
        <w:rPr>
          <w:rFonts w:ascii="Palatino Linotype" w:eastAsiaTheme="minorHAnsi" w:hAnsi="Palatino Linotype" w:cstheme="minorBidi"/>
          <w:b/>
          <w:sz w:val="22"/>
          <w:szCs w:val="22"/>
          <w:lang w:eastAsia="es-ES_tradnl"/>
        </w:rPr>
        <w:t>Considerando</w:t>
      </w:r>
      <w:r w:rsidRPr="00AE3F2B">
        <w:rPr>
          <w:rFonts w:ascii="Palatino Linotype" w:eastAsiaTheme="minorHAnsi" w:hAnsi="Palatino Linotype" w:cstheme="minorBidi"/>
          <w:sz w:val="22"/>
          <w:szCs w:val="22"/>
          <w:lang w:eastAsia="es-ES_tradnl"/>
        </w:rPr>
        <w:t xml:space="preserve"> </w:t>
      </w:r>
      <w:r w:rsidRPr="00AE3F2B">
        <w:rPr>
          <w:rFonts w:ascii="Palatino Linotype" w:eastAsiaTheme="minorHAnsi" w:hAnsi="Palatino Linotype" w:cstheme="minorBidi"/>
          <w:b/>
          <w:sz w:val="22"/>
          <w:szCs w:val="22"/>
          <w:lang w:eastAsia="es-ES_tradnl"/>
        </w:rPr>
        <w:t>SEXTO</w:t>
      </w:r>
      <w:r w:rsidRPr="00AE3F2B">
        <w:rPr>
          <w:rFonts w:ascii="Palatino Linotype" w:eastAsiaTheme="minorHAnsi" w:hAnsi="Palatino Linotype" w:cstheme="minorBidi"/>
          <w:sz w:val="22"/>
          <w:szCs w:val="22"/>
          <w:lang w:eastAsia="es-ES_tradnl"/>
        </w:rPr>
        <w:t xml:space="preserve"> de la presente resolución.</w:t>
      </w:r>
    </w:p>
    <w:p w:rsidR="00F46C8E" w:rsidRPr="00AE3F2B" w:rsidRDefault="00F46C8E" w:rsidP="00F46C8E">
      <w:pPr>
        <w:jc w:val="both"/>
        <w:rPr>
          <w:rFonts w:ascii="Palatino Linotype" w:eastAsiaTheme="minorHAnsi" w:hAnsi="Palatino Linotype" w:cstheme="minorBidi"/>
          <w:sz w:val="22"/>
          <w:szCs w:val="22"/>
          <w:lang w:eastAsia="es-ES_tradnl"/>
        </w:rPr>
      </w:pPr>
    </w:p>
    <w:p w:rsidR="007411F4" w:rsidRPr="003C7186" w:rsidRDefault="007411F4" w:rsidP="007411F4">
      <w:pPr>
        <w:spacing w:line="360" w:lineRule="auto"/>
        <w:ind w:left="-142" w:right="-234" w:firstLine="1"/>
        <w:jc w:val="both"/>
        <w:rPr>
          <w:rFonts w:ascii="Palatino Linotype" w:hAnsi="Palatino Linotype"/>
        </w:rPr>
      </w:pPr>
      <w:r w:rsidRPr="00AE3F2B">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A6037D" w:rsidRPr="00AE3F2B">
        <w:rPr>
          <w:rFonts w:ascii="Palatino Linotype" w:hAnsi="Palatino Linotype"/>
        </w:rPr>
        <w:t xml:space="preserve">EMITIENDO VOTO PARTICULAR </w:t>
      </w:r>
      <w:r w:rsidRPr="00AE3F2B">
        <w:rPr>
          <w:rFonts w:ascii="Palatino Linotype" w:hAnsi="Palatino Linotype"/>
        </w:rPr>
        <w:t>Y GUADALUPE RAMÍREZ PEÑA</w:t>
      </w:r>
      <w:r w:rsidR="00A6037D" w:rsidRPr="00AE3F2B">
        <w:rPr>
          <w:rFonts w:ascii="Palatino Linotype" w:hAnsi="Palatino Linotype"/>
        </w:rPr>
        <w:t xml:space="preserve"> EMITIENDO VOTO PARTICULAR</w:t>
      </w:r>
      <w:r w:rsidRPr="00AE3F2B">
        <w:rPr>
          <w:rFonts w:ascii="Palatino Linotype" w:hAnsi="Palatino Linotype"/>
        </w:rPr>
        <w:t>; EN LA NOVENA SESIÓN ORDINARIA CELEBRADA EL DOCE (12) DE MARZO DE DOS MIL VEINTICINCO, ANTE EL SECRETARIO TÉCNICO DEL PLENO ALEXIS TAPIA RAMÍREZ.</w:t>
      </w:r>
      <w:r w:rsidRPr="003C7186">
        <w:rPr>
          <w:rFonts w:ascii="Palatino Linotype" w:hAnsi="Palatino Linotype"/>
        </w:rPr>
        <w:t xml:space="preserve"> </w:t>
      </w:r>
    </w:p>
    <w:p w:rsidR="00E94D86" w:rsidRPr="006977DF" w:rsidRDefault="00E94D86">
      <w:pPr>
        <w:spacing w:line="360" w:lineRule="auto"/>
        <w:ind w:right="-592"/>
        <w:jc w:val="both"/>
        <w:rPr>
          <w:rFonts w:ascii="Palatino Linotype" w:eastAsia="Palatino Linotype" w:hAnsi="Palatino Linotype" w:cs="Palatino Linotype"/>
          <w:sz w:val="22"/>
          <w:szCs w:val="22"/>
        </w:rPr>
      </w:pPr>
    </w:p>
    <w:p w:rsidR="00E94D86" w:rsidRPr="006977DF" w:rsidRDefault="00E94D86">
      <w:pPr>
        <w:spacing w:line="360" w:lineRule="auto"/>
        <w:ind w:right="-592"/>
        <w:jc w:val="both"/>
        <w:rPr>
          <w:rFonts w:ascii="Palatino Linotype" w:eastAsia="Palatino Linotype" w:hAnsi="Palatino Linotype" w:cs="Palatino Linotype"/>
          <w:sz w:val="22"/>
          <w:szCs w:val="22"/>
        </w:rPr>
      </w:pPr>
    </w:p>
    <w:p w:rsidR="00E94D86" w:rsidRPr="006977DF" w:rsidRDefault="00E94D86">
      <w:pPr>
        <w:spacing w:line="360" w:lineRule="auto"/>
        <w:ind w:right="-592"/>
        <w:jc w:val="both"/>
        <w:rPr>
          <w:rFonts w:ascii="Palatino Linotype" w:eastAsia="Palatino Linotype" w:hAnsi="Palatino Linotype" w:cs="Palatino Linotype"/>
          <w:sz w:val="22"/>
          <w:szCs w:val="22"/>
        </w:rPr>
      </w:pPr>
    </w:p>
    <w:p w:rsidR="00E94D86" w:rsidRPr="006977DF" w:rsidRDefault="00E94D86">
      <w:pPr>
        <w:spacing w:line="360" w:lineRule="auto"/>
        <w:ind w:right="-592"/>
        <w:jc w:val="both"/>
        <w:rPr>
          <w:rFonts w:ascii="Palatino Linotype" w:eastAsia="Palatino Linotype" w:hAnsi="Palatino Linotype" w:cs="Palatino Linotype"/>
          <w:sz w:val="22"/>
          <w:szCs w:val="22"/>
        </w:rPr>
      </w:pPr>
    </w:p>
    <w:p w:rsidR="00E94D86" w:rsidRPr="006977DF" w:rsidRDefault="00E94D86">
      <w:pPr>
        <w:spacing w:line="360" w:lineRule="auto"/>
        <w:ind w:right="-592"/>
        <w:jc w:val="both"/>
        <w:rPr>
          <w:rFonts w:ascii="Palatino Linotype" w:eastAsia="Palatino Linotype" w:hAnsi="Palatino Linotype" w:cs="Palatino Linotype"/>
          <w:sz w:val="22"/>
          <w:szCs w:val="22"/>
        </w:rPr>
      </w:pPr>
    </w:p>
    <w:p w:rsidR="00E94D86" w:rsidRPr="006977DF" w:rsidRDefault="00E94D86">
      <w:pPr>
        <w:spacing w:line="360" w:lineRule="auto"/>
        <w:ind w:right="-592"/>
        <w:jc w:val="both"/>
        <w:rPr>
          <w:rFonts w:ascii="Palatino Linotype" w:eastAsia="Palatino Linotype" w:hAnsi="Palatino Linotype" w:cs="Palatino Linotype"/>
          <w:sz w:val="22"/>
          <w:szCs w:val="22"/>
        </w:rPr>
      </w:pPr>
    </w:p>
    <w:p w:rsidR="00E94D86" w:rsidRPr="006977DF" w:rsidRDefault="00E94D86">
      <w:pPr>
        <w:spacing w:line="360" w:lineRule="auto"/>
        <w:ind w:right="-592"/>
        <w:jc w:val="both"/>
        <w:rPr>
          <w:rFonts w:ascii="Palatino Linotype" w:eastAsia="Palatino Linotype" w:hAnsi="Palatino Linotype" w:cs="Palatino Linotype"/>
          <w:sz w:val="22"/>
          <w:szCs w:val="22"/>
        </w:rPr>
      </w:pPr>
    </w:p>
    <w:p w:rsidR="00E94D86" w:rsidRPr="006977DF" w:rsidRDefault="00E94D86">
      <w:pPr>
        <w:spacing w:line="360" w:lineRule="auto"/>
        <w:ind w:right="-592"/>
        <w:rPr>
          <w:rFonts w:ascii="Palatino Linotype" w:eastAsia="Palatino Linotype" w:hAnsi="Palatino Linotype" w:cs="Palatino Linotype"/>
          <w:sz w:val="22"/>
          <w:szCs w:val="22"/>
        </w:rPr>
      </w:pPr>
    </w:p>
    <w:p w:rsidR="00E94D86" w:rsidRPr="006977DF" w:rsidRDefault="00E94D86">
      <w:pPr>
        <w:spacing w:line="360" w:lineRule="auto"/>
        <w:ind w:right="-592"/>
        <w:rPr>
          <w:rFonts w:ascii="Palatino Linotype" w:eastAsia="Palatino Linotype" w:hAnsi="Palatino Linotype" w:cs="Palatino Linotype"/>
          <w:sz w:val="22"/>
          <w:szCs w:val="22"/>
        </w:rPr>
      </w:pPr>
    </w:p>
    <w:p w:rsidR="00E94D86" w:rsidRDefault="00E94D86">
      <w:pPr>
        <w:spacing w:line="360" w:lineRule="auto"/>
        <w:ind w:right="-592"/>
        <w:rPr>
          <w:rFonts w:ascii="Palatino Linotype" w:eastAsia="Palatino Linotype" w:hAnsi="Palatino Linotype" w:cs="Palatino Linotype"/>
          <w:sz w:val="22"/>
          <w:szCs w:val="22"/>
        </w:rPr>
      </w:pPr>
    </w:p>
    <w:p w:rsidR="00AE3F2B" w:rsidRDefault="00AE3F2B">
      <w:pPr>
        <w:spacing w:line="360" w:lineRule="auto"/>
        <w:ind w:right="-592"/>
        <w:rPr>
          <w:rFonts w:ascii="Palatino Linotype" w:eastAsia="Palatino Linotype" w:hAnsi="Palatino Linotype" w:cs="Palatino Linotype"/>
          <w:sz w:val="22"/>
          <w:szCs w:val="22"/>
        </w:rPr>
      </w:pPr>
    </w:p>
    <w:p w:rsidR="00AE3F2B" w:rsidRDefault="00AE3F2B">
      <w:pPr>
        <w:spacing w:line="360" w:lineRule="auto"/>
        <w:ind w:right="-592"/>
        <w:rPr>
          <w:rFonts w:ascii="Palatino Linotype" w:eastAsia="Palatino Linotype" w:hAnsi="Palatino Linotype" w:cs="Palatino Linotype"/>
          <w:sz w:val="22"/>
          <w:szCs w:val="22"/>
        </w:rPr>
      </w:pPr>
    </w:p>
    <w:p w:rsidR="00AE3F2B" w:rsidRDefault="00AE3F2B">
      <w:pPr>
        <w:spacing w:line="360" w:lineRule="auto"/>
        <w:ind w:right="-592"/>
        <w:rPr>
          <w:rFonts w:ascii="Palatino Linotype" w:eastAsia="Palatino Linotype" w:hAnsi="Palatino Linotype" w:cs="Palatino Linotype"/>
          <w:sz w:val="22"/>
          <w:szCs w:val="22"/>
        </w:rPr>
      </w:pPr>
    </w:p>
    <w:p w:rsidR="00AE3F2B" w:rsidRDefault="00AE3F2B">
      <w:pPr>
        <w:spacing w:line="360" w:lineRule="auto"/>
        <w:ind w:right="-592"/>
        <w:rPr>
          <w:rFonts w:ascii="Palatino Linotype" w:eastAsia="Palatino Linotype" w:hAnsi="Palatino Linotype" w:cs="Palatino Linotype"/>
          <w:sz w:val="22"/>
          <w:szCs w:val="22"/>
        </w:rPr>
      </w:pPr>
    </w:p>
    <w:p w:rsidR="00AE3F2B" w:rsidRDefault="00AE3F2B">
      <w:pPr>
        <w:spacing w:line="360" w:lineRule="auto"/>
        <w:ind w:right="-592"/>
        <w:rPr>
          <w:rFonts w:ascii="Palatino Linotype" w:eastAsia="Palatino Linotype" w:hAnsi="Palatino Linotype" w:cs="Palatino Linotype"/>
          <w:sz w:val="22"/>
          <w:szCs w:val="22"/>
        </w:rPr>
      </w:pPr>
    </w:p>
    <w:p w:rsidR="00AE3F2B" w:rsidRDefault="00AE3F2B">
      <w:pPr>
        <w:spacing w:line="360" w:lineRule="auto"/>
        <w:ind w:right="-592"/>
        <w:rPr>
          <w:rFonts w:ascii="Palatino Linotype" w:eastAsia="Palatino Linotype" w:hAnsi="Palatino Linotype" w:cs="Palatino Linotype"/>
          <w:sz w:val="22"/>
          <w:szCs w:val="22"/>
        </w:rPr>
      </w:pPr>
    </w:p>
    <w:p w:rsidR="00AE3F2B" w:rsidRDefault="00AE3F2B">
      <w:pPr>
        <w:spacing w:line="360" w:lineRule="auto"/>
        <w:ind w:right="-592"/>
        <w:rPr>
          <w:rFonts w:ascii="Palatino Linotype" w:eastAsia="Palatino Linotype" w:hAnsi="Palatino Linotype" w:cs="Palatino Linotype"/>
          <w:sz w:val="22"/>
          <w:szCs w:val="22"/>
        </w:rPr>
      </w:pPr>
    </w:p>
    <w:p w:rsidR="00AE3F2B" w:rsidRDefault="00AE3F2B">
      <w:pPr>
        <w:spacing w:line="360" w:lineRule="auto"/>
        <w:ind w:right="-592"/>
        <w:rPr>
          <w:rFonts w:ascii="Palatino Linotype" w:eastAsia="Palatino Linotype" w:hAnsi="Palatino Linotype" w:cs="Palatino Linotype"/>
          <w:sz w:val="22"/>
          <w:szCs w:val="22"/>
        </w:rPr>
      </w:pPr>
    </w:p>
    <w:p w:rsidR="00AE3F2B" w:rsidRDefault="00AE3F2B">
      <w:pPr>
        <w:spacing w:line="360" w:lineRule="auto"/>
        <w:ind w:right="-592"/>
        <w:rPr>
          <w:rFonts w:ascii="Palatino Linotype" w:eastAsia="Palatino Linotype" w:hAnsi="Palatino Linotype" w:cs="Palatino Linotype"/>
          <w:sz w:val="22"/>
          <w:szCs w:val="22"/>
        </w:rPr>
      </w:pPr>
    </w:p>
    <w:p w:rsidR="00AE3F2B" w:rsidRPr="006977DF" w:rsidRDefault="00AE3F2B">
      <w:pPr>
        <w:spacing w:line="360" w:lineRule="auto"/>
        <w:ind w:right="-592"/>
        <w:rPr>
          <w:rFonts w:ascii="Palatino Linotype" w:eastAsia="Palatino Linotype" w:hAnsi="Palatino Linotype" w:cs="Palatino Linotype"/>
          <w:sz w:val="22"/>
          <w:szCs w:val="22"/>
        </w:rPr>
      </w:pPr>
    </w:p>
    <w:p w:rsidR="00E94D86" w:rsidRPr="006977DF" w:rsidRDefault="00E94D86">
      <w:pPr>
        <w:spacing w:line="360" w:lineRule="auto"/>
        <w:ind w:right="-592"/>
        <w:rPr>
          <w:rFonts w:ascii="Palatino Linotype" w:eastAsia="Palatino Linotype" w:hAnsi="Palatino Linotype" w:cs="Palatino Linotype"/>
          <w:sz w:val="22"/>
          <w:szCs w:val="22"/>
        </w:rPr>
      </w:pPr>
    </w:p>
    <w:p w:rsidR="00E94D86" w:rsidRPr="006977DF" w:rsidRDefault="00E94D86">
      <w:pPr>
        <w:spacing w:line="360" w:lineRule="auto"/>
        <w:ind w:right="-592"/>
        <w:rPr>
          <w:rFonts w:ascii="Palatino Linotype" w:eastAsia="Palatino Linotype" w:hAnsi="Palatino Linotype" w:cs="Palatino Linotype"/>
          <w:sz w:val="22"/>
          <w:szCs w:val="22"/>
        </w:rPr>
      </w:pPr>
    </w:p>
    <w:p w:rsidR="00E94D86" w:rsidRPr="006977DF" w:rsidRDefault="00E94D86">
      <w:pPr>
        <w:spacing w:line="360" w:lineRule="auto"/>
        <w:ind w:right="-592"/>
        <w:rPr>
          <w:rFonts w:ascii="Palatino Linotype" w:eastAsia="Palatino Linotype" w:hAnsi="Palatino Linotype" w:cs="Palatino Linotype"/>
          <w:sz w:val="22"/>
          <w:szCs w:val="22"/>
        </w:rPr>
      </w:pPr>
    </w:p>
    <w:p w:rsidR="00E94D86" w:rsidRPr="006977DF" w:rsidRDefault="00E94D86">
      <w:pPr>
        <w:ind w:right="-592"/>
        <w:rPr>
          <w:rFonts w:ascii="Palatino Linotype" w:eastAsia="Palatino Linotype" w:hAnsi="Palatino Linotype" w:cs="Palatino Linotype"/>
          <w:sz w:val="22"/>
          <w:szCs w:val="22"/>
        </w:rPr>
      </w:pPr>
    </w:p>
    <w:p w:rsidR="00647AFA" w:rsidRPr="006977DF" w:rsidRDefault="00647AFA">
      <w:pPr>
        <w:ind w:right="-592"/>
        <w:rPr>
          <w:rFonts w:ascii="Palatino Linotype" w:eastAsia="Palatino Linotype" w:hAnsi="Palatino Linotype" w:cs="Palatino Linotype"/>
          <w:sz w:val="22"/>
          <w:szCs w:val="22"/>
        </w:rPr>
      </w:pPr>
    </w:p>
    <w:p w:rsidR="001E3608" w:rsidRPr="006977DF" w:rsidRDefault="001E3608">
      <w:pPr>
        <w:ind w:right="-592"/>
        <w:rPr>
          <w:rFonts w:ascii="Palatino Linotype" w:eastAsia="Palatino Linotype" w:hAnsi="Palatino Linotype" w:cs="Palatino Linotype"/>
          <w:sz w:val="22"/>
          <w:szCs w:val="22"/>
        </w:rPr>
      </w:pPr>
    </w:p>
    <w:sectPr w:rsidR="001E3608" w:rsidRPr="006977DF">
      <w:headerReference w:type="even" r:id="rId13"/>
      <w:headerReference w:type="default" r:id="rId14"/>
      <w:footerReference w:type="default" r:id="rId15"/>
      <w:headerReference w:type="first" r:id="rId16"/>
      <w:footerReference w:type="first" r:id="rId17"/>
      <w:pgSz w:w="12240" w:h="15840"/>
      <w:pgMar w:top="80" w:right="1296"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1B8" w:rsidRDefault="008C31B8">
      <w:r>
        <w:separator/>
      </w:r>
    </w:p>
  </w:endnote>
  <w:endnote w:type="continuationSeparator" w:id="0">
    <w:p w:rsidR="008C31B8" w:rsidRDefault="008C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87" w:rsidRDefault="0002108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F5AFE">
      <w:rPr>
        <w:b/>
        <w:noProof/>
        <w:color w:val="000000"/>
      </w:rPr>
      <w:t>8</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F5AFE">
      <w:rPr>
        <w:b/>
        <w:noProof/>
        <w:color w:val="000000"/>
      </w:rPr>
      <w:t>39</w:t>
    </w:r>
    <w:r>
      <w:rPr>
        <w:b/>
        <w:color w:val="000000"/>
      </w:rPr>
      <w:fldChar w:fldCharType="end"/>
    </w:r>
  </w:p>
  <w:p w:rsidR="00021087" w:rsidRDefault="0002108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87" w:rsidRDefault="0002108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1F5AFE">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1F5AFE">
      <w:rPr>
        <w:b/>
        <w:noProof/>
        <w:color w:val="000000"/>
      </w:rPr>
      <w:t>39</w:t>
    </w:r>
    <w:r>
      <w:rPr>
        <w:b/>
        <w:color w:val="000000"/>
      </w:rPr>
      <w:fldChar w:fldCharType="end"/>
    </w:r>
  </w:p>
  <w:p w:rsidR="00021087" w:rsidRDefault="0002108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1B8" w:rsidRDefault="008C31B8">
      <w:r>
        <w:separator/>
      </w:r>
    </w:p>
  </w:footnote>
  <w:footnote w:type="continuationSeparator" w:id="0">
    <w:p w:rsidR="008C31B8" w:rsidRDefault="008C31B8">
      <w:r>
        <w:continuationSeparator/>
      </w:r>
    </w:p>
  </w:footnote>
  <w:footnote w:id="1">
    <w:p w:rsidR="00021087" w:rsidRDefault="0002108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021087" w:rsidRDefault="0002108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021087" w:rsidRDefault="0002108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021087" w:rsidRDefault="00021087">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proofErr w:type="spellStart"/>
      <w:r>
        <w:rPr>
          <w:rFonts w:ascii="Calibri" w:eastAsia="Calibri" w:hAnsi="Calibri" w:cs="Calibri"/>
          <w:color w:val="000000"/>
          <w:sz w:val="20"/>
          <w:szCs w:val="20"/>
        </w:rPr>
        <w:t>Parr</w:t>
      </w:r>
      <w:proofErr w:type="spellEnd"/>
      <w:r>
        <w:rPr>
          <w:rFonts w:ascii="Calibri" w:eastAsia="Calibri" w:hAnsi="Calibri" w:cs="Calibri"/>
          <w:color w:val="000000"/>
          <w:sz w:val="20"/>
          <w:szCs w:val="20"/>
        </w:rPr>
        <w:t>. 87.</w:t>
      </w:r>
    </w:p>
  </w:footnote>
  <w:footnote w:id="5">
    <w:p w:rsidR="00021087" w:rsidRPr="006C5904" w:rsidRDefault="00021087" w:rsidP="00AA23EF">
      <w:pPr>
        <w:pBdr>
          <w:top w:val="nil"/>
          <w:left w:val="nil"/>
          <w:bottom w:val="nil"/>
          <w:right w:val="nil"/>
          <w:between w:val="nil"/>
        </w:pBdr>
        <w:jc w:val="both"/>
        <w:rPr>
          <w:rFonts w:ascii="Cambria" w:eastAsia="Cambria" w:hAnsi="Cambria" w:cs="Cambria"/>
          <w:color w:val="000000"/>
          <w:sz w:val="16"/>
          <w:szCs w:val="20"/>
        </w:rPr>
      </w:pPr>
      <w:r>
        <w:rPr>
          <w:vertAlign w:val="superscript"/>
        </w:rPr>
        <w:footnoteRef/>
      </w:r>
      <w:r>
        <w:rPr>
          <w:rFonts w:ascii="Cambria" w:eastAsia="Cambria" w:hAnsi="Cambria" w:cs="Cambria"/>
          <w:color w:val="000000"/>
          <w:sz w:val="20"/>
          <w:szCs w:val="20"/>
        </w:rPr>
        <w:t xml:space="preserve"> </w:t>
      </w:r>
      <w:r w:rsidRPr="006C5904">
        <w:rPr>
          <w:rFonts w:ascii="Cambria" w:eastAsia="Cambria" w:hAnsi="Cambria" w:cs="Cambria"/>
          <w:color w:val="000000"/>
          <w:sz w:val="16"/>
          <w:szCs w:val="20"/>
          <w:highlight w:val="white"/>
        </w:rPr>
        <w:t>Jurisprudencia publicada en el Semanario Judicial de la Federación número 2a./J.120/2015, de la Décima Época, Tomo I, Libro 22, Septiembre 2015, cuyo texto es el siguiente: “La regulación establecida en el artículo </w:t>
      </w:r>
      <w:r w:rsidRPr="006C5904">
        <w:rPr>
          <w:rFonts w:ascii="Cambria" w:eastAsia="Cambria" w:hAnsi="Cambria" w:cs="Cambria"/>
          <w:color w:val="000000"/>
          <w:sz w:val="16"/>
          <w:szCs w:val="20"/>
        </w:rPr>
        <w:t>79, fracción VI, de la Ley de Amparo</w:t>
      </w:r>
      <w:r w:rsidRPr="006C5904">
        <w:rPr>
          <w:rFonts w:ascii="Cambria" w:eastAsia="Cambria" w:hAnsi="Cambria" w:cs="Cambria"/>
          <w:color w:val="000000"/>
          <w:sz w:val="16"/>
          <w:szCs w:val="20"/>
          <w:highlight w:val="white"/>
        </w:rPr>
        <w:t> faculta al juzgador de amparo para suplir la deficiencia de la queja en materias diversas a las que el propio numeral prevé, ante una irregularidad procesal grave y manifiesta en la controversia del amparo, no resuelta en el procedimiento de origen, que afecte al quejoso o recurrente, aun ante la ausencia de concepto de violación o agravio al respecto, ya que revela la intención del legislador de no permitir que una de las partes se beneficie a costa de la indefensión de su contraria, como consecuencia de una actuación ilegal de la autoridad, permitiendo al Juez ejercer un discernimiento en cada caso concreto, en atención a la materia y sujeto de que se trate, lo cual es congruente con el artículo </w:t>
      </w:r>
      <w:r w:rsidRPr="006C5904">
        <w:rPr>
          <w:rFonts w:ascii="Cambria" w:eastAsia="Cambria" w:hAnsi="Cambria" w:cs="Cambria"/>
          <w:color w:val="000000"/>
          <w:sz w:val="16"/>
          <w:szCs w:val="20"/>
        </w:rPr>
        <w:t>107, fracción II, antepenúltimo párrafo, de la Constitución Política de los Estados Unidos Mexicanos</w:t>
      </w:r>
      <w:r w:rsidRPr="006C5904">
        <w:rPr>
          <w:rFonts w:ascii="Cambria" w:eastAsia="Cambria" w:hAnsi="Cambria" w:cs="Cambria"/>
          <w:color w:val="000000"/>
          <w:sz w:val="16"/>
          <w:szCs w:val="20"/>
          <w:highlight w:val="white"/>
        </w:rPr>
        <w:t>.”</w:t>
      </w:r>
    </w:p>
  </w:footnote>
  <w:footnote w:id="6">
    <w:p w:rsidR="00021087" w:rsidRPr="006C5904" w:rsidRDefault="00021087" w:rsidP="00AA23EF">
      <w:pPr>
        <w:pBdr>
          <w:top w:val="nil"/>
          <w:left w:val="nil"/>
          <w:bottom w:val="nil"/>
          <w:right w:val="nil"/>
          <w:between w:val="nil"/>
        </w:pBdr>
        <w:jc w:val="both"/>
        <w:rPr>
          <w:rFonts w:ascii="Palatino Linotype" w:eastAsia="Palatino Linotype" w:hAnsi="Palatino Linotype" w:cs="Palatino Linotype"/>
          <w:color w:val="000000"/>
          <w:sz w:val="12"/>
          <w:szCs w:val="16"/>
        </w:rPr>
      </w:pPr>
      <w:r w:rsidRPr="006C5904">
        <w:rPr>
          <w:sz w:val="20"/>
          <w:vertAlign w:val="superscript"/>
        </w:rPr>
        <w:footnoteRef/>
      </w:r>
      <w:r w:rsidRPr="006C5904">
        <w:rPr>
          <w:rFonts w:ascii="Cambria" w:eastAsia="Cambria" w:hAnsi="Cambria" w:cs="Cambria"/>
          <w:color w:val="000000"/>
          <w:sz w:val="16"/>
          <w:szCs w:val="20"/>
        </w:rPr>
        <w:t xml:space="preserve"> </w:t>
      </w:r>
      <w:r w:rsidRPr="006C5904">
        <w:rPr>
          <w:rFonts w:ascii="Cambria" w:eastAsia="Cambria" w:hAnsi="Cambria" w:cs="Cambria"/>
          <w:color w:val="000000"/>
          <w:sz w:val="16"/>
          <w:szCs w:val="20"/>
          <w:highlight w:val="white"/>
        </w:rPr>
        <w:t>Tesis aislada publicada en el Semanario Judicial de la Federación número 1a. LXXIII/2015, de la Décima Época, Tomo II, Libro 15, Febrero 2015, cuyo texto es el siguiente: “Del precepto citado deriva que la suplencia de la queja deficiente operará en las materias civil y administrativa cuando el tribunal de amparo advierta que ha habido contra el quejoso o recurrente una violación evidente de la ley que lo haya dejado sin defensa, por afectar sus derechos humanos reconocidos en la Constitución Política de los Estados Unidos Mexicanos y en los tratados internacionales de que el Estado Mexicano sea parte. Ahora bien, el Pleno de la Suprema Corte de Justicia de la Nación, al pronunciarse sobre el artículo 76 Bis de la Ley de Amparo abrogada, de redacción similar al 79 de la vigente, estimó que la frase "lo haya dejado sin defensa" no debe interpretarse literalmente,</w:t>
      </w:r>
      <w:r w:rsidRPr="006C5904">
        <w:rPr>
          <w:rFonts w:ascii="Palatino Linotype" w:eastAsia="Palatino Linotype" w:hAnsi="Palatino Linotype" w:cs="Palatino Linotype"/>
          <w:color w:val="000000"/>
          <w:sz w:val="12"/>
          <w:szCs w:val="16"/>
          <w:highlight w:val="white"/>
        </w:rPr>
        <w:t xml:space="preserve"> </w:t>
      </w:r>
      <w:r w:rsidRPr="006C5904">
        <w:rPr>
          <w:rFonts w:ascii="Cambria" w:eastAsia="Cambria" w:hAnsi="Cambria" w:cs="Cambria"/>
          <w:color w:val="000000"/>
          <w:sz w:val="16"/>
          <w:szCs w:val="20"/>
          <w:highlight w:val="white"/>
        </w:rPr>
        <w:t>sino que debe entenderse en el sentido de que la autoridad responsable infringió determinadas normas, de forma que afectó sustancialmente al quejoso en su defensa. Asimismo, sostuvo que una "violación manifiesta de la ley" es la que se advierte obvia, que es innegable e indiscutible, y cuya existencia no puede derivarse de una serie de razonamientos y planteamientos cuestionables. Por otra parte, esta Primera Sala sostuvo que por "violación manifiesta de la ley que deje sin defensa", se entiende aquella actuación que haga notoria e indiscutible la vulneración a los derechos del quejoso, ya sea en forma directa, o bien, indirecta, mediante la transgresión a las normas procedimentales y sustantivas, y que rigen el acto reclamado; de ahí que dicha interpretación es aplicable al artículo 79 de la Ley de Amparo, ya que no se le opone, sino que es concordante. Conforme a lo anterior, los tribunales de amparo sólo están obligados a suplir la queja deficiente en las materias civil y administrativa cuando adviertan una violación evidente, esto es, clara, innegable, que afecte sustancialmente al quejoso en su defensa.”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87" w:rsidRDefault="008C31B8">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87" w:rsidRDefault="00021087">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021087" w:rsidRPr="004401C8">
      <w:trPr>
        <w:trHeight w:val="1435"/>
      </w:trPr>
      <w:tc>
        <w:tcPr>
          <w:tcW w:w="2268" w:type="dxa"/>
          <w:shd w:val="clear" w:color="auto" w:fill="auto"/>
        </w:tcPr>
        <w:p w:rsidR="00021087" w:rsidRDefault="00021087">
          <w:pPr>
            <w:tabs>
              <w:tab w:val="right" w:pos="4273"/>
            </w:tabs>
            <w:rPr>
              <w:rFonts w:ascii="Garamond" w:eastAsia="Garamond" w:hAnsi="Garamond" w:cs="Garamond"/>
              <w:sz w:val="16"/>
              <w:szCs w:val="16"/>
            </w:rPr>
          </w:pPr>
        </w:p>
      </w:tc>
      <w:tc>
        <w:tcPr>
          <w:tcW w:w="6946" w:type="dxa"/>
          <w:shd w:val="clear" w:color="auto" w:fill="auto"/>
        </w:tcPr>
        <w:p w:rsidR="00021087" w:rsidRPr="004401C8" w:rsidRDefault="00021087" w:rsidP="004401C8">
          <w:pPr>
            <w:rPr>
              <w:sz w:val="18"/>
            </w:rPr>
          </w:pPr>
        </w:p>
        <w:tbl>
          <w:tblPr>
            <w:tblStyle w:val="a6"/>
            <w:tblW w:w="6660" w:type="dxa"/>
            <w:tblInd w:w="40" w:type="dxa"/>
            <w:tblLayout w:type="fixed"/>
            <w:tblLook w:val="0400" w:firstRow="0" w:lastRow="0" w:firstColumn="0" w:lastColumn="0" w:noHBand="0" w:noVBand="1"/>
          </w:tblPr>
          <w:tblGrid>
            <w:gridCol w:w="3377"/>
            <w:gridCol w:w="3283"/>
          </w:tblGrid>
          <w:tr w:rsidR="00021087" w:rsidRPr="004401C8">
            <w:trPr>
              <w:trHeight w:val="150"/>
            </w:trPr>
            <w:tc>
              <w:tcPr>
                <w:tcW w:w="3377" w:type="dxa"/>
                <w:shd w:val="clear" w:color="auto" w:fill="auto"/>
              </w:tcPr>
              <w:p w:rsidR="00021087" w:rsidRPr="007411F4" w:rsidRDefault="00021087" w:rsidP="004401C8">
                <w:pPr>
                  <w:tabs>
                    <w:tab w:val="right" w:pos="8838"/>
                  </w:tabs>
                  <w:ind w:left="850" w:right="-105"/>
                  <w:jc w:val="both"/>
                  <w:rPr>
                    <w:rFonts w:ascii="Palatino Linotype" w:eastAsia="Palatino Linotype" w:hAnsi="Palatino Linotype" w:cs="Palatino Linotype"/>
                    <w:b/>
                    <w:sz w:val="22"/>
                    <w:szCs w:val="22"/>
                  </w:rPr>
                </w:pPr>
                <w:r w:rsidRPr="007411F4">
                  <w:rPr>
                    <w:rFonts w:ascii="Palatino Linotype" w:eastAsia="Palatino Linotype" w:hAnsi="Palatino Linotype" w:cs="Palatino Linotype"/>
                    <w:b/>
                    <w:sz w:val="22"/>
                    <w:szCs w:val="22"/>
                  </w:rPr>
                  <w:t>Recurso de Revisión:</w:t>
                </w:r>
              </w:p>
            </w:tc>
            <w:tc>
              <w:tcPr>
                <w:tcW w:w="3283" w:type="dxa"/>
                <w:shd w:val="clear" w:color="auto" w:fill="auto"/>
              </w:tcPr>
              <w:p w:rsidR="00021087" w:rsidRPr="007411F4" w:rsidRDefault="00021087" w:rsidP="004401C8">
                <w:pPr>
                  <w:tabs>
                    <w:tab w:val="right" w:pos="8838"/>
                  </w:tabs>
                  <w:ind w:right="-781"/>
                  <w:jc w:val="both"/>
                  <w:rPr>
                    <w:rFonts w:ascii="Palatino Linotype" w:eastAsia="Palatino Linotype" w:hAnsi="Palatino Linotype" w:cs="Palatino Linotype"/>
                    <w:sz w:val="22"/>
                    <w:szCs w:val="22"/>
                  </w:rPr>
                </w:pPr>
                <w:r w:rsidRPr="007411F4">
                  <w:rPr>
                    <w:rFonts w:ascii="Palatino Linotype" w:eastAsia="Palatino Linotype" w:hAnsi="Palatino Linotype" w:cs="Palatino Linotype"/>
                    <w:sz w:val="22"/>
                    <w:szCs w:val="22"/>
                  </w:rPr>
                  <w:t>05578/INFOEM/IP/RR/2024</w:t>
                </w:r>
              </w:p>
            </w:tc>
          </w:tr>
          <w:tr w:rsidR="00021087" w:rsidRPr="004401C8">
            <w:trPr>
              <w:trHeight w:val="295"/>
            </w:trPr>
            <w:tc>
              <w:tcPr>
                <w:tcW w:w="3377" w:type="dxa"/>
                <w:shd w:val="clear" w:color="auto" w:fill="auto"/>
              </w:tcPr>
              <w:p w:rsidR="00021087" w:rsidRPr="007411F4" w:rsidRDefault="00021087" w:rsidP="004401C8">
                <w:pPr>
                  <w:tabs>
                    <w:tab w:val="right" w:pos="8838"/>
                  </w:tabs>
                  <w:ind w:left="850" w:right="-105"/>
                  <w:jc w:val="both"/>
                  <w:rPr>
                    <w:rFonts w:ascii="Palatino Linotype" w:eastAsia="Palatino Linotype" w:hAnsi="Palatino Linotype" w:cs="Palatino Linotype"/>
                    <w:b/>
                    <w:sz w:val="22"/>
                    <w:szCs w:val="22"/>
                  </w:rPr>
                </w:pPr>
                <w:r w:rsidRPr="007411F4">
                  <w:rPr>
                    <w:rFonts w:ascii="Palatino Linotype" w:eastAsia="Palatino Linotype" w:hAnsi="Palatino Linotype" w:cs="Palatino Linotype"/>
                    <w:b/>
                    <w:sz w:val="22"/>
                    <w:szCs w:val="22"/>
                  </w:rPr>
                  <w:t>Sujeto Obligado:</w:t>
                </w:r>
              </w:p>
            </w:tc>
            <w:tc>
              <w:tcPr>
                <w:tcW w:w="3283" w:type="dxa"/>
                <w:shd w:val="clear" w:color="auto" w:fill="auto"/>
              </w:tcPr>
              <w:p w:rsidR="007411F4" w:rsidRDefault="00021087" w:rsidP="004401C8">
                <w:pPr>
                  <w:tabs>
                    <w:tab w:val="left" w:pos="2834"/>
                    <w:tab w:val="right" w:pos="8838"/>
                  </w:tabs>
                  <w:ind w:right="-1552"/>
                  <w:jc w:val="both"/>
                  <w:rPr>
                    <w:rFonts w:ascii="Palatino Linotype" w:eastAsia="Palatino Linotype" w:hAnsi="Palatino Linotype" w:cs="Palatino Linotype"/>
                    <w:sz w:val="22"/>
                    <w:szCs w:val="22"/>
                  </w:rPr>
                </w:pPr>
                <w:r w:rsidRPr="007411F4">
                  <w:rPr>
                    <w:rFonts w:ascii="Palatino Linotype" w:eastAsia="Palatino Linotype" w:hAnsi="Palatino Linotype" w:cs="Palatino Linotype"/>
                    <w:sz w:val="22"/>
                    <w:szCs w:val="22"/>
                  </w:rPr>
                  <w:t>Ayuntamiento de San Martín de</w:t>
                </w:r>
              </w:p>
              <w:p w:rsidR="00021087" w:rsidRPr="007411F4" w:rsidRDefault="00021087" w:rsidP="004401C8">
                <w:pPr>
                  <w:tabs>
                    <w:tab w:val="left" w:pos="2834"/>
                    <w:tab w:val="right" w:pos="8838"/>
                  </w:tabs>
                  <w:ind w:right="-1552"/>
                  <w:jc w:val="both"/>
                  <w:rPr>
                    <w:rFonts w:ascii="Palatino Linotype" w:eastAsia="Palatino Linotype" w:hAnsi="Palatino Linotype" w:cs="Palatino Linotype"/>
                    <w:sz w:val="22"/>
                    <w:szCs w:val="22"/>
                  </w:rPr>
                </w:pPr>
                <w:r w:rsidRPr="007411F4">
                  <w:rPr>
                    <w:rFonts w:ascii="Palatino Linotype" w:eastAsia="Palatino Linotype" w:hAnsi="Palatino Linotype" w:cs="Palatino Linotype"/>
                    <w:sz w:val="22"/>
                    <w:szCs w:val="22"/>
                  </w:rPr>
                  <w:t xml:space="preserve"> las Pirámides</w:t>
                </w:r>
              </w:p>
            </w:tc>
          </w:tr>
          <w:tr w:rsidR="00021087" w:rsidRPr="004401C8">
            <w:trPr>
              <w:trHeight w:val="295"/>
            </w:trPr>
            <w:tc>
              <w:tcPr>
                <w:tcW w:w="3377" w:type="dxa"/>
                <w:shd w:val="clear" w:color="auto" w:fill="auto"/>
              </w:tcPr>
              <w:p w:rsidR="00021087" w:rsidRPr="007411F4" w:rsidRDefault="00021087" w:rsidP="004401C8">
                <w:pPr>
                  <w:tabs>
                    <w:tab w:val="right" w:pos="8838"/>
                  </w:tabs>
                  <w:ind w:left="850" w:right="-105"/>
                  <w:jc w:val="both"/>
                  <w:rPr>
                    <w:rFonts w:ascii="Palatino Linotype" w:eastAsia="Palatino Linotype" w:hAnsi="Palatino Linotype" w:cs="Palatino Linotype"/>
                    <w:b/>
                    <w:sz w:val="22"/>
                    <w:szCs w:val="22"/>
                  </w:rPr>
                </w:pPr>
                <w:r w:rsidRPr="007411F4">
                  <w:rPr>
                    <w:rFonts w:ascii="Palatino Linotype" w:eastAsia="Palatino Linotype" w:hAnsi="Palatino Linotype" w:cs="Palatino Linotype"/>
                    <w:b/>
                    <w:sz w:val="22"/>
                    <w:szCs w:val="22"/>
                  </w:rPr>
                  <w:t>Comisionada ponente:</w:t>
                </w:r>
              </w:p>
            </w:tc>
            <w:tc>
              <w:tcPr>
                <w:tcW w:w="3283" w:type="dxa"/>
                <w:shd w:val="clear" w:color="auto" w:fill="auto"/>
              </w:tcPr>
              <w:p w:rsidR="00021087" w:rsidRPr="007411F4" w:rsidRDefault="00021087" w:rsidP="004401C8">
                <w:pPr>
                  <w:tabs>
                    <w:tab w:val="right" w:pos="8838"/>
                  </w:tabs>
                  <w:ind w:right="-781"/>
                  <w:jc w:val="both"/>
                  <w:rPr>
                    <w:rFonts w:ascii="Palatino Linotype" w:eastAsia="Palatino Linotype" w:hAnsi="Palatino Linotype" w:cs="Palatino Linotype"/>
                    <w:sz w:val="22"/>
                    <w:szCs w:val="22"/>
                  </w:rPr>
                </w:pPr>
                <w:r w:rsidRPr="007411F4">
                  <w:rPr>
                    <w:rFonts w:ascii="Palatino Linotype" w:eastAsia="Palatino Linotype" w:hAnsi="Palatino Linotype" w:cs="Palatino Linotype"/>
                    <w:sz w:val="22"/>
                    <w:szCs w:val="22"/>
                  </w:rPr>
                  <w:t>María del Rosario Mejía Ayala</w:t>
                </w:r>
              </w:p>
              <w:p w:rsidR="00021087" w:rsidRPr="007411F4" w:rsidRDefault="00021087" w:rsidP="004401C8">
                <w:pPr>
                  <w:tabs>
                    <w:tab w:val="right" w:pos="8838"/>
                  </w:tabs>
                  <w:ind w:left="141" w:right="-781"/>
                  <w:jc w:val="both"/>
                  <w:rPr>
                    <w:rFonts w:ascii="Palatino Linotype" w:eastAsia="Palatino Linotype" w:hAnsi="Palatino Linotype" w:cs="Palatino Linotype"/>
                    <w:sz w:val="22"/>
                    <w:szCs w:val="22"/>
                  </w:rPr>
                </w:pPr>
              </w:p>
            </w:tc>
          </w:tr>
        </w:tbl>
        <w:p w:rsidR="00021087" w:rsidRPr="004401C8" w:rsidRDefault="00021087" w:rsidP="004401C8">
          <w:pPr>
            <w:tabs>
              <w:tab w:val="right" w:pos="8838"/>
            </w:tabs>
            <w:ind w:left="-28"/>
            <w:jc w:val="both"/>
            <w:rPr>
              <w:rFonts w:ascii="Arial" w:eastAsia="Arial" w:hAnsi="Arial" w:cs="Arial"/>
              <w:b/>
              <w:sz w:val="18"/>
              <w:szCs w:val="22"/>
            </w:rPr>
          </w:pPr>
        </w:p>
      </w:tc>
    </w:tr>
  </w:tbl>
  <w:p w:rsidR="00021087" w:rsidRDefault="008C31B8">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087" w:rsidRDefault="00021087">
    <w:pPr>
      <w:widowControl w:val="0"/>
      <w:pBdr>
        <w:top w:val="nil"/>
        <w:left w:val="nil"/>
        <w:bottom w:val="nil"/>
        <w:right w:val="nil"/>
        <w:between w:val="nil"/>
      </w:pBdr>
      <w:spacing w:line="276" w:lineRule="auto"/>
      <w:rPr>
        <w:color w:val="000000"/>
        <w:sz w:val="14"/>
        <w:szCs w:val="14"/>
      </w:rPr>
    </w:pPr>
  </w:p>
  <w:tbl>
    <w:tblPr>
      <w:tblStyle w:val="a7"/>
      <w:tblW w:w="10065" w:type="dxa"/>
      <w:tblInd w:w="0" w:type="dxa"/>
      <w:tblLayout w:type="fixed"/>
      <w:tblLook w:val="0400" w:firstRow="0" w:lastRow="0" w:firstColumn="0" w:lastColumn="0" w:noHBand="0" w:noVBand="1"/>
    </w:tblPr>
    <w:tblGrid>
      <w:gridCol w:w="2265"/>
      <w:gridCol w:w="7800"/>
    </w:tblGrid>
    <w:tr w:rsidR="00021087">
      <w:trPr>
        <w:trHeight w:val="1435"/>
      </w:trPr>
      <w:tc>
        <w:tcPr>
          <w:tcW w:w="2265" w:type="dxa"/>
          <w:shd w:val="clear" w:color="auto" w:fill="auto"/>
        </w:tcPr>
        <w:p w:rsidR="00021087" w:rsidRDefault="00021087">
          <w:pPr>
            <w:tabs>
              <w:tab w:val="right" w:pos="4273"/>
            </w:tabs>
            <w:rPr>
              <w:rFonts w:ascii="Garamond" w:eastAsia="Garamond" w:hAnsi="Garamond" w:cs="Garamond"/>
              <w:sz w:val="22"/>
              <w:szCs w:val="22"/>
            </w:rPr>
          </w:pPr>
        </w:p>
      </w:tc>
      <w:tc>
        <w:tcPr>
          <w:tcW w:w="7800" w:type="dxa"/>
          <w:shd w:val="clear" w:color="auto" w:fill="auto"/>
        </w:tcPr>
        <w:p w:rsidR="00021087" w:rsidRDefault="00021087">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7410" w:type="dxa"/>
            <w:tblInd w:w="0" w:type="dxa"/>
            <w:tblLayout w:type="fixed"/>
            <w:tblLook w:val="0400" w:firstRow="0" w:lastRow="0" w:firstColumn="0" w:lastColumn="0" w:noHBand="0" w:noVBand="1"/>
          </w:tblPr>
          <w:tblGrid>
            <w:gridCol w:w="2490"/>
            <w:gridCol w:w="4920"/>
          </w:tblGrid>
          <w:tr w:rsidR="00021087">
            <w:trPr>
              <w:trHeight w:val="144"/>
            </w:trPr>
            <w:tc>
              <w:tcPr>
                <w:tcW w:w="2490" w:type="dxa"/>
                <w:shd w:val="clear" w:color="auto" w:fill="auto"/>
              </w:tcPr>
              <w:p w:rsidR="00021087" w:rsidRPr="007411F4" w:rsidRDefault="00021087" w:rsidP="004401C8">
                <w:pPr>
                  <w:tabs>
                    <w:tab w:val="right" w:pos="8838"/>
                  </w:tabs>
                  <w:ind w:left="-264" w:right="-105" w:firstLine="195"/>
                  <w:rPr>
                    <w:rFonts w:ascii="Palatino Linotype" w:eastAsia="Palatino Linotype" w:hAnsi="Palatino Linotype" w:cs="Palatino Linotype"/>
                    <w:b/>
                    <w:sz w:val="22"/>
                    <w:szCs w:val="22"/>
                  </w:rPr>
                </w:pPr>
                <w:r w:rsidRPr="007411F4">
                  <w:rPr>
                    <w:rFonts w:ascii="Palatino Linotype" w:eastAsia="Palatino Linotype" w:hAnsi="Palatino Linotype" w:cs="Palatino Linotype"/>
                    <w:b/>
                    <w:sz w:val="22"/>
                    <w:szCs w:val="22"/>
                  </w:rPr>
                  <w:t>Recurso de Revisión:</w:t>
                </w:r>
              </w:p>
            </w:tc>
            <w:tc>
              <w:tcPr>
                <w:tcW w:w="4920" w:type="dxa"/>
                <w:shd w:val="clear" w:color="auto" w:fill="auto"/>
              </w:tcPr>
              <w:p w:rsidR="00021087" w:rsidRPr="007411F4" w:rsidRDefault="00021087" w:rsidP="003A1F84">
                <w:pPr>
                  <w:tabs>
                    <w:tab w:val="right" w:pos="8838"/>
                  </w:tabs>
                  <w:ind w:right="-1552"/>
                  <w:rPr>
                    <w:rFonts w:ascii="Palatino Linotype" w:eastAsia="Palatino Linotype" w:hAnsi="Palatino Linotype" w:cs="Palatino Linotype"/>
                    <w:sz w:val="22"/>
                    <w:szCs w:val="22"/>
                  </w:rPr>
                </w:pPr>
                <w:r w:rsidRPr="007411F4">
                  <w:rPr>
                    <w:rFonts w:ascii="Palatino Linotype" w:eastAsia="Palatino Linotype" w:hAnsi="Palatino Linotype" w:cs="Palatino Linotype"/>
                    <w:sz w:val="22"/>
                    <w:szCs w:val="22"/>
                  </w:rPr>
                  <w:t>05578/INFOEM/IP/RR/2024</w:t>
                </w:r>
              </w:p>
            </w:tc>
          </w:tr>
          <w:tr w:rsidR="00021087">
            <w:trPr>
              <w:trHeight w:val="144"/>
            </w:trPr>
            <w:tc>
              <w:tcPr>
                <w:tcW w:w="2490" w:type="dxa"/>
                <w:shd w:val="clear" w:color="auto" w:fill="auto"/>
              </w:tcPr>
              <w:p w:rsidR="00021087" w:rsidRPr="007411F4" w:rsidRDefault="00021087" w:rsidP="004401C8">
                <w:pPr>
                  <w:tabs>
                    <w:tab w:val="right" w:pos="8838"/>
                  </w:tabs>
                  <w:ind w:left="-74" w:right="-105"/>
                  <w:rPr>
                    <w:rFonts w:ascii="Palatino Linotype" w:eastAsia="Palatino Linotype" w:hAnsi="Palatino Linotype" w:cs="Palatino Linotype"/>
                    <w:b/>
                    <w:sz w:val="22"/>
                    <w:szCs w:val="22"/>
                  </w:rPr>
                </w:pPr>
                <w:r w:rsidRPr="007411F4">
                  <w:rPr>
                    <w:rFonts w:ascii="Palatino Linotype" w:eastAsia="Palatino Linotype" w:hAnsi="Palatino Linotype" w:cs="Palatino Linotype"/>
                    <w:b/>
                    <w:sz w:val="22"/>
                    <w:szCs w:val="22"/>
                  </w:rPr>
                  <w:t>Recurrente:</w:t>
                </w:r>
              </w:p>
            </w:tc>
            <w:tc>
              <w:tcPr>
                <w:tcW w:w="4920" w:type="dxa"/>
                <w:shd w:val="clear" w:color="auto" w:fill="auto"/>
              </w:tcPr>
              <w:p w:rsidR="00021087" w:rsidRPr="007411F4" w:rsidRDefault="001F5AFE" w:rsidP="004401C8">
                <w:pPr>
                  <w:tabs>
                    <w:tab w:val="left" w:pos="3122"/>
                    <w:tab w:val="right" w:pos="8838"/>
                  </w:tabs>
                  <w:ind w:right="-155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w:t>
                </w:r>
                <w:r w:rsidR="00021087" w:rsidRPr="007411F4">
                  <w:rPr>
                    <w:rFonts w:ascii="Palatino Linotype" w:eastAsia="Palatino Linotype" w:hAnsi="Palatino Linotype" w:cs="Palatino Linotype"/>
                    <w:sz w:val="22"/>
                    <w:szCs w:val="22"/>
                  </w:rPr>
                  <w:t xml:space="preserve"> </w:t>
                </w:r>
              </w:p>
            </w:tc>
          </w:tr>
          <w:tr w:rsidR="00021087" w:rsidTr="004401C8">
            <w:trPr>
              <w:trHeight w:val="80"/>
            </w:trPr>
            <w:tc>
              <w:tcPr>
                <w:tcW w:w="2490" w:type="dxa"/>
                <w:shd w:val="clear" w:color="auto" w:fill="auto"/>
              </w:tcPr>
              <w:p w:rsidR="00021087" w:rsidRPr="007411F4" w:rsidRDefault="00021087" w:rsidP="004401C8">
                <w:pPr>
                  <w:tabs>
                    <w:tab w:val="right" w:pos="8838"/>
                  </w:tabs>
                  <w:ind w:left="-74" w:right="-105"/>
                  <w:rPr>
                    <w:rFonts w:ascii="Palatino Linotype" w:eastAsia="Palatino Linotype" w:hAnsi="Palatino Linotype" w:cs="Palatino Linotype"/>
                    <w:b/>
                    <w:sz w:val="22"/>
                    <w:szCs w:val="22"/>
                  </w:rPr>
                </w:pPr>
                <w:r w:rsidRPr="007411F4">
                  <w:rPr>
                    <w:rFonts w:ascii="Palatino Linotype" w:eastAsia="Palatino Linotype" w:hAnsi="Palatino Linotype" w:cs="Palatino Linotype"/>
                    <w:b/>
                    <w:sz w:val="22"/>
                    <w:szCs w:val="22"/>
                  </w:rPr>
                  <w:t>Sujeto Obligado:</w:t>
                </w:r>
              </w:p>
            </w:tc>
            <w:tc>
              <w:tcPr>
                <w:tcW w:w="4920" w:type="dxa"/>
                <w:shd w:val="clear" w:color="auto" w:fill="auto"/>
              </w:tcPr>
              <w:p w:rsidR="00021087" w:rsidRPr="007411F4" w:rsidRDefault="00021087" w:rsidP="004401C8">
                <w:pPr>
                  <w:tabs>
                    <w:tab w:val="left" w:pos="2834"/>
                    <w:tab w:val="right" w:pos="8838"/>
                  </w:tabs>
                  <w:ind w:right="-1552"/>
                  <w:rPr>
                    <w:rFonts w:ascii="Palatino Linotype" w:eastAsia="Palatino Linotype" w:hAnsi="Palatino Linotype" w:cs="Palatino Linotype"/>
                    <w:sz w:val="22"/>
                    <w:szCs w:val="22"/>
                  </w:rPr>
                </w:pPr>
                <w:r w:rsidRPr="007411F4">
                  <w:rPr>
                    <w:rFonts w:ascii="Palatino Linotype" w:eastAsia="Palatino Linotype" w:hAnsi="Palatino Linotype" w:cs="Palatino Linotype"/>
                    <w:sz w:val="22"/>
                    <w:szCs w:val="22"/>
                  </w:rPr>
                  <w:t>Ayuntamiento de San Martín de las Pirámides</w:t>
                </w:r>
              </w:p>
            </w:tc>
          </w:tr>
          <w:tr w:rsidR="00021087">
            <w:trPr>
              <w:trHeight w:val="283"/>
            </w:trPr>
            <w:tc>
              <w:tcPr>
                <w:tcW w:w="2490" w:type="dxa"/>
                <w:shd w:val="clear" w:color="auto" w:fill="auto"/>
              </w:tcPr>
              <w:p w:rsidR="00021087" w:rsidRPr="007411F4" w:rsidRDefault="00021087" w:rsidP="004401C8">
                <w:pPr>
                  <w:tabs>
                    <w:tab w:val="right" w:pos="8838"/>
                  </w:tabs>
                  <w:ind w:right="-105"/>
                  <w:rPr>
                    <w:rFonts w:ascii="Palatino Linotype" w:eastAsia="Palatino Linotype" w:hAnsi="Palatino Linotype" w:cs="Palatino Linotype"/>
                    <w:b/>
                    <w:sz w:val="22"/>
                    <w:szCs w:val="22"/>
                  </w:rPr>
                </w:pPr>
                <w:r w:rsidRPr="007411F4">
                  <w:rPr>
                    <w:rFonts w:ascii="Palatino Linotype" w:eastAsia="Palatino Linotype" w:hAnsi="Palatino Linotype" w:cs="Palatino Linotype"/>
                    <w:b/>
                    <w:sz w:val="22"/>
                    <w:szCs w:val="22"/>
                  </w:rPr>
                  <w:t>Comisionada ponente:</w:t>
                </w:r>
              </w:p>
            </w:tc>
            <w:tc>
              <w:tcPr>
                <w:tcW w:w="4920" w:type="dxa"/>
                <w:shd w:val="clear" w:color="auto" w:fill="auto"/>
              </w:tcPr>
              <w:p w:rsidR="00021087" w:rsidRPr="007411F4" w:rsidRDefault="00021087" w:rsidP="004401C8">
                <w:pPr>
                  <w:tabs>
                    <w:tab w:val="right" w:pos="8838"/>
                  </w:tabs>
                  <w:ind w:right="-1552"/>
                  <w:rPr>
                    <w:rFonts w:ascii="Palatino Linotype" w:eastAsia="Palatino Linotype" w:hAnsi="Palatino Linotype" w:cs="Palatino Linotype"/>
                    <w:sz w:val="22"/>
                    <w:szCs w:val="22"/>
                  </w:rPr>
                </w:pPr>
                <w:r w:rsidRPr="007411F4">
                  <w:rPr>
                    <w:rFonts w:ascii="Palatino Linotype" w:eastAsia="Palatino Linotype" w:hAnsi="Palatino Linotype" w:cs="Palatino Linotype"/>
                    <w:sz w:val="22"/>
                    <w:szCs w:val="22"/>
                  </w:rPr>
                  <w:t>María del Rosario Mejía Ayala</w:t>
                </w:r>
              </w:p>
              <w:p w:rsidR="00021087" w:rsidRPr="007411F4" w:rsidRDefault="00021087" w:rsidP="004401C8">
                <w:pPr>
                  <w:tabs>
                    <w:tab w:val="right" w:pos="8838"/>
                  </w:tabs>
                  <w:ind w:right="-1552"/>
                  <w:rPr>
                    <w:rFonts w:ascii="Palatino Linotype" w:eastAsia="Palatino Linotype" w:hAnsi="Palatino Linotype" w:cs="Palatino Linotype"/>
                    <w:sz w:val="22"/>
                    <w:szCs w:val="22"/>
                  </w:rPr>
                </w:pPr>
              </w:p>
            </w:tc>
          </w:tr>
        </w:tbl>
        <w:p w:rsidR="00021087" w:rsidRDefault="00021087">
          <w:pPr>
            <w:tabs>
              <w:tab w:val="right" w:pos="8838"/>
            </w:tabs>
            <w:ind w:left="-28"/>
            <w:jc w:val="both"/>
            <w:rPr>
              <w:rFonts w:ascii="Arial" w:eastAsia="Arial" w:hAnsi="Arial" w:cs="Arial"/>
              <w:b/>
              <w:sz w:val="22"/>
              <w:szCs w:val="22"/>
            </w:rPr>
          </w:pPr>
        </w:p>
      </w:tc>
    </w:tr>
  </w:tbl>
  <w:p w:rsidR="00021087" w:rsidRDefault="008C31B8">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68E"/>
    <w:multiLevelType w:val="hybridMultilevel"/>
    <w:tmpl w:val="4EF463E4"/>
    <w:lvl w:ilvl="0" w:tplc="E2BE5898">
      <w:start w:val="1"/>
      <w:numFmt w:val="lowerLetter"/>
      <w:lvlText w:val="%1)"/>
      <w:lvlJc w:val="left"/>
      <w:pPr>
        <w:ind w:left="1069" w:hanging="360"/>
      </w:pPr>
      <w:rPr>
        <w:rFonts w:hint="default"/>
      </w:rPr>
    </w:lvl>
    <w:lvl w:ilvl="1" w:tplc="DB1C5A80">
      <w:start w:val="1"/>
      <w:numFmt w:val="lowerLetter"/>
      <w:lvlText w:val="%2)"/>
      <w:lvlJc w:val="left"/>
      <w:pPr>
        <w:ind w:left="1789" w:hanging="360"/>
      </w:pPr>
      <w:rPr>
        <w:rFonts w:eastAsia="Calibri" w:hint="default"/>
        <w:i w:val="0"/>
        <w:u w:val="none"/>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A905BCE"/>
    <w:multiLevelType w:val="hybridMultilevel"/>
    <w:tmpl w:val="91863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B6500F"/>
    <w:multiLevelType w:val="hybridMultilevel"/>
    <w:tmpl w:val="23864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255F78"/>
    <w:multiLevelType w:val="hybridMultilevel"/>
    <w:tmpl w:val="97D0A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992483"/>
    <w:multiLevelType w:val="multilevel"/>
    <w:tmpl w:val="E14A5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E3780E"/>
    <w:multiLevelType w:val="multilevel"/>
    <w:tmpl w:val="E924C95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384755"/>
    <w:multiLevelType w:val="multilevel"/>
    <w:tmpl w:val="9BFE07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39176D"/>
    <w:multiLevelType w:val="hybridMultilevel"/>
    <w:tmpl w:val="D3CCC1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22093"/>
    <w:multiLevelType w:val="hybridMultilevel"/>
    <w:tmpl w:val="A314A7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DE58F3"/>
    <w:multiLevelType w:val="hybridMultilevel"/>
    <w:tmpl w:val="3444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B47A2F"/>
    <w:multiLevelType w:val="hybridMultilevel"/>
    <w:tmpl w:val="3B882C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F40F66"/>
    <w:multiLevelType w:val="hybridMultilevel"/>
    <w:tmpl w:val="E460E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317490"/>
    <w:multiLevelType w:val="hybridMultilevel"/>
    <w:tmpl w:val="66DA59C0"/>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AF4D13"/>
    <w:multiLevelType w:val="multilevel"/>
    <w:tmpl w:val="21BEFE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400D09"/>
    <w:multiLevelType w:val="hybridMultilevel"/>
    <w:tmpl w:val="C30E6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0B7BEC"/>
    <w:multiLevelType w:val="hybridMultilevel"/>
    <w:tmpl w:val="AA7E3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0B08FE"/>
    <w:multiLevelType w:val="hybridMultilevel"/>
    <w:tmpl w:val="65525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D74F29"/>
    <w:multiLevelType w:val="multilevel"/>
    <w:tmpl w:val="34646FB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AF071A"/>
    <w:multiLevelType w:val="multilevel"/>
    <w:tmpl w:val="4D9A91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6D22AA"/>
    <w:multiLevelType w:val="multilevel"/>
    <w:tmpl w:val="3EC431A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7"/>
  </w:num>
  <w:num w:numId="3">
    <w:abstractNumId w:val="8"/>
  </w:num>
  <w:num w:numId="4">
    <w:abstractNumId w:val="15"/>
  </w:num>
  <w:num w:numId="5">
    <w:abstractNumId w:val="5"/>
  </w:num>
  <w:num w:numId="6">
    <w:abstractNumId w:val="26"/>
  </w:num>
  <w:num w:numId="7">
    <w:abstractNumId w:val="20"/>
  </w:num>
  <w:num w:numId="8">
    <w:abstractNumId w:val="17"/>
  </w:num>
  <w:num w:numId="9">
    <w:abstractNumId w:val="16"/>
  </w:num>
  <w:num w:numId="10">
    <w:abstractNumId w:val="7"/>
  </w:num>
  <w:num w:numId="11">
    <w:abstractNumId w:val="1"/>
  </w:num>
  <w:num w:numId="12">
    <w:abstractNumId w:val="22"/>
  </w:num>
  <w:num w:numId="13">
    <w:abstractNumId w:val="6"/>
  </w:num>
  <w:num w:numId="14">
    <w:abstractNumId w:val="3"/>
  </w:num>
  <w:num w:numId="15">
    <w:abstractNumId w:val="11"/>
  </w:num>
  <w:num w:numId="16">
    <w:abstractNumId w:val="18"/>
  </w:num>
  <w:num w:numId="17">
    <w:abstractNumId w:val="19"/>
  </w:num>
  <w:num w:numId="18">
    <w:abstractNumId w:val="10"/>
  </w:num>
  <w:num w:numId="19">
    <w:abstractNumId w:val="9"/>
  </w:num>
  <w:num w:numId="20">
    <w:abstractNumId w:val="12"/>
  </w:num>
  <w:num w:numId="21">
    <w:abstractNumId w:val="23"/>
  </w:num>
  <w:num w:numId="22">
    <w:abstractNumId w:val="13"/>
  </w:num>
  <w:num w:numId="23">
    <w:abstractNumId w:val="24"/>
  </w:num>
  <w:num w:numId="24">
    <w:abstractNumId w:val="21"/>
  </w:num>
  <w:num w:numId="25">
    <w:abstractNumId w:val="4"/>
  </w:num>
  <w:num w:numId="26">
    <w:abstractNumId w:val="25"/>
  </w:num>
  <w:num w:numId="27">
    <w:abstractNumId w:val="14"/>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86"/>
    <w:rsid w:val="00021087"/>
    <w:rsid w:val="00042FAE"/>
    <w:rsid w:val="00055A1A"/>
    <w:rsid w:val="00060AE6"/>
    <w:rsid w:val="00071244"/>
    <w:rsid w:val="00073512"/>
    <w:rsid w:val="000A31EF"/>
    <w:rsid w:val="000C0976"/>
    <w:rsid w:val="00105645"/>
    <w:rsid w:val="00111C7B"/>
    <w:rsid w:val="00143950"/>
    <w:rsid w:val="00145D84"/>
    <w:rsid w:val="00154636"/>
    <w:rsid w:val="001E3125"/>
    <w:rsid w:val="001E3608"/>
    <w:rsid w:val="001F5AFE"/>
    <w:rsid w:val="00244DA9"/>
    <w:rsid w:val="00246FC0"/>
    <w:rsid w:val="00251F21"/>
    <w:rsid w:val="002748F7"/>
    <w:rsid w:val="002B0131"/>
    <w:rsid w:val="002C3B1F"/>
    <w:rsid w:val="002C7271"/>
    <w:rsid w:val="00302FE8"/>
    <w:rsid w:val="00305C25"/>
    <w:rsid w:val="00327CB5"/>
    <w:rsid w:val="00327D76"/>
    <w:rsid w:val="0033488B"/>
    <w:rsid w:val="00350878"/>
    <w:rsid w:val="003843C2"/>
    <w:rsid w:val="003A1F84"/>
    <w:rsid w:val="003D39FD"/>
    <w:rsid w:val="00415A07"/>
    <w:rsid w:val="004401C8"/>
    <w:rsid w:val="004512E5"/>
    <w:rsid w:val="00475288"/>
    <w:rsid w:val="004D4CAA"/>
    <w:rsid w:val="004E66BD"/>
    <w:rsid w:val="004E7B76"/>
    <w:rsid w:val="004F5574"/>
    <w:rsid w:val="00503E63"/>
    <w:rsid w:val="0051644E"/>
    <w:rsid w:val="005626F4"/>
    <w:rsid w:val="00571F2A"/>
    <w:rsid w:val="00600A77"/>
    <w:rsid w:val="00613DF7"/>
    <w:rsid w:val="00647AFA"/>
    <w:rsid w:val="00651426"/>
    <w:rsid w:val="00663C8A"/>
    <w:rsid w:val="0066562E"/>
    <w:rsid w:val="006769AF"/>
    <w:rsid w:val="006800B9"/>
    <w:rsid w:val="00681958"/>
    <w:rsid w:val="006977DF"/>
    <w:rsid w:val="006B7FF0"/>
    <w:rsid w:val="006E5F99"/>
    <w:rsid w:val="007322F6"/>
    <w:rsid w:val="00735470"/>
    <w:rsid w:val="007411F4"/>
    <w:rsid w:val="007B4642"/>
    <w:rsid w:val="00827BFE"/>
    <w:rsid w:val="00831332"/>
    <w:rsid w:val="00850EB3"/>
    <w:rsid w:val="008A4128"/>
    <w:rsid w:val="008A7695"/>
    <w:rsid w:val="008B2665"/>
    <w:rsid w:val="008B68CE"/>
    <w:rsid w:val="008C31B8"/>
    <w:rsid w:val="008D5425"/>
    <w:rsid w:val="008D6B9E"/>
    <w:rsid w:val="009060A0"/>
    <w:rsid w:val="0090631B"/>
    <w:rsid w:val="009144F5"/>
    <w:rsid w:val="00956C4F"/>
    <w:rsid w:val="009669CB"/>
    <w:rsid w:val="009B7760"/>
    <w:rsid w:val="009C5E65"/>
    <w:rsid w:val="00A42556"/>
    <w:rsid w:val="00A54ACB"/>
    <w:rsid w:val="00A6037D"/>
    <w:rsid w:val="00A64061"/>
    <w:rsid w:val="00A83CED"/>
    <w:rsid w:val="00AA0813"/>
    <w:rsid w:val="00AA23EF"/>
    <w:rsid w:val="00AA6962"/>
    <w:rsid w:val="00AB686B"/>
    <w:rsid w:val="00AE262A"/>
    <w:rsid w:val="00AE3F2B"/>
    <w:rsid w:val="00AF2038"/>
    <w:rsid w:val="00AF2A58"/>
    <w:rsid w:val="00B013D1"/>
    <w:rsid w:val="00B06C82"/>
    <w:rsid w:val="00B7309D"/>
    <w:rsid w:val="00B81ACA"/>
    <w:rsid w:val="00BD000C"/>
    <w:rsid w:val="00BE4003"/>
    <w:rsid w:val="00C07A2E"/>
    <w:rsid w:val="00C61F17"/>
    <w:rsid w:val="00C806D4"/>
    <w:rsid w:val="00C82ED1"/>
    <w:rsid w:val="00CB6ECF"/>
    <w:rsid w:val="00D063C3"/>
    <w:rsid w:val="00D77678"/>
    <w:rsid w:val="00D84840"/>
    <w:rsid w:val="00D857BB"/>
    <w:rsid w:val="00E17201"/>
    <w:rsid w:val="00E94D86"/>
    <w:rsid w:val="00E94DFC"/>
    <w:rsid w:val="00F10800"/>
    <w:rsid w:val="00F32383"/>
    <w:rsid w:val="00F46C8E"/>
    <w:rsid w:val="00F5723F"/>
    <w:rsid w:val="00F703A3"/>
    <w:rsid w:val="00FA59C9"/>
    <w:rsid w:val="00FC50EC"/>
    <w:rsid w:val="00FC7F8F"/>
    <w:rsid w:val="00FD12F2"/>
    <w:rsid w:val="00FD2459"/>
    <w:rsid w:val="00FD57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6498ABD-94B4-4EEC-98A2-D0C50C17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C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35EC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9D378D"/>
    <w:rPr>
      <w:sz w:val="16"/>
      <w:szCs w:val="16"/>
    </w:rPr>
  </w:style>
  <w:style w:type="paragraph" w:styleId="Textocomentario">
    <w:name w:val="annotation text"/>
    <w:basedOn w:val="Normal"/>
    <w:link w:val="TextocomentarioCar"/>
    <w:uiPriority w:val="99"/>
    <w:semiHidden/>
    <w:unhideWhenUsed/>
    <w:rsid w:val="009D378D"/>
    <w:rPr>
      <w:sz w:val="20"/>
      <w:szCs w:val="20"/>
    </w:rPr>
  </w:style>
  <w:style w:type="character" w:customStyle="1" w:styleId="TextocomentarioCar">
    <w:name w:val="Texto comentario Car"/>
    <w:basedOn w:val="Fuentedeprrafopredeter"/>
    <w:link w:val="Textocomentario"/>
    <w:uiPriority w:val="99"/>
    <w:semiHidden/>
    <w:rsid w:val="009D378D"/>
    <w:rPr>
      <w:sz w:val="20"/>
      <w:szCs w:val="20"/>
    </w:rPr>
  </w:style>
  <w:style w:type="paragraph" w:styleId="Asuntodelcomentario">
    <w:name w:val="annotation subject"/>
    <w:basedOn w:val="Textocomentario"/>
    <w:next w:val="Textocomentario"/>
    <w:link w:val="AsuntodelcomentarioCar"/>
    <w:uiPriority w:val="99"/>
    <w:semiHidden/>
    <w:unhideWhenUsed/>
    <w:rsid w:val="009D378D"/>
    <w:rPr>
      <w:b/>
      <w:bCs/>
    </w:rPr>
  </w:style>
  <w:style w:type="character" w:customStyle="1" w:styleId="AsuntodelcomentarioCar">
    <w:name w:val="Asunto del comentario Car"/>
    <w:basedOn w:val="TextocomentarioCar"/>
    <w:link w:val="Asuntodelcomentario"/>
    <w:uiPriority w:val="99"/>
    <w:semiHidden/>
    <w:rsid w:val="009D378D"/>
    <w:rPr>
      <w:b/>
      <w:bCs/>
      <w:sz w:val="20"/>
      <w:szCs w:val="20"/>
    </w:rPr>
  </w:style>
  <w:style w:type="paragraph" w:styleId="Textodeglobo">
    <w:name w:val="Balloon Text"/>
    <w:basedOn w:val="Normal"/>
    <w:link w:val="TextodegloboCar"/>
    <w:uiPriority w:val="99"/>
    <w:semiHidden/>
    <w:unhideWhenUsed/>
    <w:rsid w:val="009D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8D"/>
    <w:rPr>
      <w:rFonts w:ascii="Segoe UI" w:hAnsi="Segoe UI" w:cs="Segoe UI"/>
      <w:sz w:val="18"/>
      <w:szCs w:val="18"/>
    </w:rPr>
  </w:style>
  <w:style w:type="paragraph" w:styleId="Piedepgina">
    <w:name w:val="footer"/>
    <w:basedOn w:val="Normal"/>
    <w:link w:val="PiedepginaCar"/>
    <w:uiPriority w:val="99"/>
    <w:unhideWhenUsed/>
    <w:rsid w:val="008936E7"/>
    <w:pPr>
      <w:tabs>
        <w:tab w:val="center" w:pos="4419"/>
        <w:tab w:val="right" w:pos="8838"/>
      </w:tabs>
    </w:pPr>
  </w:style>
  <w:style w:type="character" w:customStyle="1" w:styleId="PiedepginaCar">
    <w:name w:val="Pie de página Car"/>
    <w:basedOn w:val="Fuentedeprrafopredeter"/>
    <w:link w:val="Piedepgina"/>
    <w:uiPriority w:val="99"/>
    <w:rsid w:val="008936E7"/>
  </w:style>
  <w:style w:type="table" w:customStyle="1" w:styleId="Tablanormal13">
    <w:name w:val="Tabla normal 13"/>
    <w:basedOn w:val="Tablanormal"/>
    <w:next w:val="Tablanormal1"/>
    <w:uiPriority w:val="41"/>
    <w:rsid w:val="00AF5D34"/>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F5D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0D6271"/>
    <w:rPr>
      <w:color w:val="954F72" w:themeColor="followedHyperlink"/>
      <w:u w:val="single"/>
    </w:rPr>
  </w:style>
  <w:style w:type="table" w:styleId="Tablaconcuadrcula">
    <w:name w:val="Table Grid"/>
    <w:basedOn w:val="Tablanormal"/>
    <w:uiPriority w:val="39"/>
    <w:rsid w:val="000D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50EB3"/>
    <w:pPr>
      <w:spacing w:before="100" w:beforeAutospacing="1" w:after="100" w:afterAutospacing="1"/>
    </w:pPr>
  </w:style>
  <w:style w:type="paragraph" w:customStyle="1" w:styleId="m5907675151158779931gmail-msolistparagraph">
    <w:name w:val="m_5907675151158779931gmail-msolistparagraph"/>
    <w:basedOn w:val="Normal"/>
    <w:rsid w:val="00F323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06027">
      <w:bodyDiv w:val="1"/>
      <w:marLeft w:val="0"/>
      <w:marRight w:val="0"/>
      <w:marTop w:val="0"/>
      <w:marBottom w:val="0"/>
      <w:divBdr>
        <w:top w:val="none" w:sz="0" w:space="0" w:color="auto"/>
        <w:left w:val="none" w:sz="0" w:space="0" w:color="auto"/>
        <w:bottom w:val="none" w:sz="0" w:space="0" w:color="auto"/>
        <w:right w:val="none" w:sz="0" w:space="0" w:color="auto"/>
      </w:divBdr>
    </w:div>
    <w:div w:id="1564558815">
      <w:bodyDiv w:val="1"/>
      <w:marLeft w:val="0"/>
      <w:marRight w:val="0"/>
      <w:marTop w:val="0"/>
      <w:marBottom w:val="0"/>
      <w:divBdr>
        <w:top w:val="none" w:sz="0" w:space="0" w:color="auto"/>
        <w:left w:val="none" w:sz="0" w:space="0" w:color="auto"/>
        <w:bottom w:val="none" w:sz="0" w:space="0" w:color="auto"/>
        <w:right w:val="none" w:sz="0" w:space="0" w:color="auto"/>
      </w:divBdr>
    </w:div>
    <w:div w:id="1644894978">
      <w:bodyDiv w:val="1"/>
      <w:marLeft w:val="0"/>
      <w:marRight w:val="0"/>
      <w:marTop w:val="0"/>
      <w:marBottom w:val="0"/>
      <w:divBdr>
        <w:top w:val="none" w:sz="0" w:space="0" w:color="auto"/>
        <w:left w:val="none" w:sz="0" w:space="0" w:color="auto"/>
        <w:bottom w:val="none" w:sz="0" w:space="0" w:color="auto"/>
        <w:right w:val="none" w:sz="0" w:space="0" w:color="auto"/>
      </w:divBdr>
    </w:div>
    <w:div w:id="1989049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BQpESrPbZXhZkz75PYzZ9xrezHZ4gSPQ/view"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2138846.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2138846.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6ks4f2mhNuWpQ3GfcRWGbCdTg==">CgMxLjAyCWguM3pueXNoNzIJaC4zZHk2dmttMghoLmdqZGd4czIJaC4zMGowemxsMghoLnR5amN3dDIJaC4xdDNoNXNmMgloLjFmb2I5dGU4AHIhMTR3MDl2bHZHS3lndWdreWcxTVhydzN3b3lza1gycGFl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10769</Words>
  <Characters>59233</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INFOEM521</dc:creator>
  <cp:lastModifiedBy>Cuenta Microsoft</cp:lastModifiedBy>
  <cp:revision>6</cp:revision>
  <cp:lastPrinted>2025-03-13T17:02:00Z</cp:lastPrinted>
  <dcterms:created xsi:type="dcterms:W3CDTF">2025-03-10T19:48:00Z</dcterms:created>
  <dcterms:modified xsi:type="dcterms:W3CDTF">2025-04-01T17:27:00Z</dcterms:modified>
</cp:coreProperties>
</file>