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5059" w14:textId="77777777" w:rsidR="00BB65EF" w:rsidRPr="006511BE" w:rsidRDefault="00C06787">
      <w:pPr>
        <w:spacing w:before="120" w:after="0" w:line="360" w:lineRule="auto"/>
        <w:ind w:right="49"/>
        <w:jc w:val="both"/>
        <w:rPr>
          <w:rFonts w:ascii="Palatino Linotype" w:eastAsia="Palatino Linotype" w:hAnsi="Palatino Linotype" w:cs="Palatino Linotype"/>
          <w:strike/>
          <w:color w:val="FF0000"/>
          <w:sz w:val="24"/>
          <w:szCs w:val="24"/>
        </w:rPr>
      </w:pPr>
      <w:r w:rsidRPr="006511B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w:t>
      </w:r>
      <w:r w:rsidRPr="006511BE">
        <w:rPr>
          <w:rFonts w:ascii="Palatino Linotype" w:eastAsia="Palatino Linotype" w:hAnsi="Palatino Linotype" w:cs="Palatino Linotype"/>
          <w:color w:val="000000"/>
          <w:sz w:val="24"/>
          <w:szCs w:val="24"/>
        </w:rPr>
        <w:t xml:space="preserve"> dos de abril de dos mil veinticinco.</w:t>
      </w:r>
    </w:p>
    <w:p w14:paraId="79F244E3"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E49C182"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 xml:space="preserve">Visto </w:t>
      </w:r>
      <w:r w:rsidRPr="006511BE">
        <w:rPr>
          <w:rFonts w:ascii="Palatino Linotype" w:eastAsia="Palatino Linotype" w:hAnsi="Palatino Linotype" w:cs="Palatino Linotype"/>
          <w:sz w:val="24"/>
          <w:szCs w:val="24"/>
        </w:rPr>
        <w:t xml:space="preserve">el expediente relativo al recurso de revisión </w:t>
      </w:r>
      <w:r w:rsidRPr="006511BE">
        <w:rPr>
          <w:rFonts w:ascii="Palatino Linotype" w:eastAsia="Palatino Linotype" w:hAnsi="Palatino Linotype" w:cs="Palatino Linotype"/>
          <w:b/>
          <w:sz w:val="24"/>
          <w:szCs w:val="24"/>
        </w:rPr>
        <w:t>01584/INFOEM/IP/RR/2025</w:t>
      </w:r>
      <w:r w:rsidRPr="006511BE">
        <w:rPr>
          <w:rFonts w:ascii="Palatino Linotype" w:eastAsia="Palatino Linotype" w:hAnsi="Palatino Linotype" w:cs="Palatino Linotype"/>
          <w:sz w:val="24"/>
          <w:szCs w:val="24"/>
        </w:rPr>
        <w:t>, interpuesto por</w:t>
      </w:r>
      <w:r w:rsidRPr="006511BE">
        <w:rPr>
          <w:rFonts w:ascii="Palatino Linotype" w:eastAsia="Palatino Linotype" w:hAnsi="Palatino Linotype" w:cs="Palatino Linotype"/>
          <w:b/>
          <w:sz w:val="24"/>
          <w:szCs w:val="24"/>
        </w:rPr>
        <w:t xml:space="preserve"> un particular de manera anónima</w:t>
      </w:r>
      <w:r w:rsidRPr="006511BE">
        <w:rPr>
          <w:rFonts w:ascii="Palatino Linotype" w:eastAsia="Palatino Linotype" w:hAnsi="Palatino Linotype" w:cs="Palatino Linotype"/>
          <w:sz w:val="24"/>
          <w:szCs w:val="24"/>
        </w:rPr>
        <w:t xml:space="preserve">, en lo sucesivo se le denominara </w:t>
      </w:r>
      <w:r w:rsidRPr="006511BE">
        <w:rPr>
          <w:rFonts w:ascii="Palatino Linotype" w:eastAsia="Palatino Linotype" w:hAnsi="Palatino Linotype" w:cs="Palatino Linotype"/>
          <w:b/>
          <w:sz w:val="24"/>
          <w:szCs w:val="24"/>
        </w:rPr>
        <w:t>LA PARTE RECURRENTE</w:t>
      </w:r>
      <w:r w:rsidRPr="006511BE">
        <w:rPr>
          <w:rFonts w:ascii="Palatino Linotype" w:eastAsia="Palatino Linotype" w:hAnsi="Palatino Linotype" w:cs="Palatino Linotype"/>
          <w:sz w:val="24"/>
          <w:szCs w:val="24"/>
        </w:rPr>
        <w:t xml:space="preserve">, en contra de la respuesta a la solicitud de información con número de folio </w:t>
      </w:r>
      <w:r w:rsidRPr="006511BE">
        <w:rPr>
          <w:rFonts w:ascii="Palatino Linotype" w:eastAsia="Palatino Linotype" w:hAnsi="Palatino Linotype" w:cs="Palatino Linotype"/>
          <w:b/>
          <w:sz w:val="24"/>
          <w:szCs w:val="24"/>
        </w:rPr>
        <w:t>03498/TOLUCA/IP/2024</w:t>
      </w:r>
      <w:r w:rsidRPr="006511BE">
        <w:rPr>
          <w:rFonts w:ascii="Palatino Linotype" w:eastAsia="Palatino Linotype" w:hAnsi="Palatino Linotype" w:cs="Palatino Linotype"/>
          <w:sz w:val="24"/>
          <w:szCs w:val="24"/>
        </w:rPr>
        <w:t xml:space="preserve">, por parte del </w:t>
      </w:r>
      <w:r w:rsidRPr="006511BE">
        <w:rPr>
          <w:rFonts w:ascii="Palatino Linotype" w:eastAsia="Palatino Linotype" w:hAnsi="Palatino Linotype" w:cs="Palatino Linotype"/>
          <w:b/>
          <w:sz w:val="24"/>
          <w:szCs w:val="24"/>
        </w:rPr>
        <w:t>Ayuntamiento de Toluca</w:t>
      </w:r>
      <w:r w:rsidRPr="006511BE">
        <w:rPr>
          <w:rFonts w:ascii="Palatino Linotype" w:eastAsia="Palatino Linotype" w:hAnsi="Palatino Linotype" w:cs="Palatino Linotype"/>
          <w:sz w:val="24"/>
          <w:szCs w:val="24"/>
        </w:rPr>
        <w:t>, en lo sucesivo</w:t>
      </w:r>
      <w:r w:rsidRPr="006511BE">
        <w:rPr>
          <w:rFonts w:ascii="Palatino Linotype" w:eastAsia="Palatino Linotype" w:hAnsi="Palatino Linotype" w:cs="Palatino Linotype"/>
          <w:b/>
          <w:sz w:val="24"/>
          <w:szCs w:val="24"/>
        </w:rPr>
        <w:t xml:space="preserve"> EL SUJETO OBLIGADO; </w:t>
      </w:r>
      <w:r w:rsidRPr="006511BE">
        <w:rPr>
          <w:rFonts w:ascii="Palatino Linotype" w:eastAsia="Palatino Linotype" w:hAnsi="Palatino Linotype" w:cs="Palatino Linotype"/>
          <w:sz w:val="24"/>
          <w:szCs w:val="24"/>
        </w:rPr>
        <w:t xml:space="preserve">se procede a dictar la presente resolución, con base en lo siguiente. </w:t>
      </w:r>
    </w:p>
    <w:p w14:paraId="4E917A9B"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3E19791B" w14:textId="77777777" w:rsidR="00BB65EF" w:rsidRPr="006511BE" w:rsidRDefault="00C06787">
      <w:pPr>
        <w:spacing w:after="0" w:line="360" w:lineRule="auto"/>
        <w:ind w:right="49"/>
        <w:jc w:val="center"/>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A N T E C E D E N T E S</w:t>
      </w:r>
    </w:p>
    <w:p w14:paraId="7247D0C1" w14:textId="77777777" w:rsidR="00BB65EF" w:rsidRPr="006511BE" w:rsidRDefault="00BB65EF">
      <w:pPr>
        <w:spacing w:after="0" w:line="360" w:lineRule="auto"/>
        <w:ind w:right="49"/>
        <w:jc w:val="center"/>
        <w:rPr>
          <w:rFonts w:ascii="Palatino Linotype" w:eastAsia="Palatino Linotype" w:hAnsi="Palatino Linotype" w:cs="Palatino Linotype"/>
          <w:sz w:val="24"/>
          <w:szCs w:val="24"/>
        </w:rPr>
      </w:pPr>
    </w:p>
    <w:p w14:paraId="4820750C" w14:textId="77777777" w:rsidR="00BB65EF" w:rsidRPr="006511BE" w:rsidRDefault="00C06787">
      <w:pPr>
        <w:spacing w:after="0" w:line="360" w:lineRule="auto"/>
        <w:ind w:right="49"/>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1.</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 xml:space="preserve">SOLICITUD DE INFORMACIÓN. </w:t>
      </w:r>
      <w:r w:rsidRPr="006511BE">
        <w:rPr>
          <w:rFonts w:ascii="Palatino Linotype" w:eastAsia="Palatino Linotype" w:hAnsi="Palatino Linotype" w:cs="Palatino Linotype"/>
          <w:sz w:val="24"/>
          <w:szCs w:val="24"/>
        </w:rPr>
        <w:t xml:space="preserve">Con fecha dieciséis de diciembre de dos mil veinticinco, </w:t>
      </w:r>
      <w:r w:rsidRPr="006511BE">
        <w:rPr>
          <w:rFonts w:ascii="Palatino Linotype" w:eastAsia="Palatino Linotype" w:hAnsi="Palatino Linotype" w:cs="Palatino Linotype"/>
          <w:b/>
          <w:sz w:val="24"/>
          <w:szCs w:val="24"/>
        </w:rPr>
        <w:t>LA PARTE RECURRENTE</w:t>
      </w:r>
      <w:r w:rsidRPr="006511BE">
        <w:rPr>
          <w:rFonts w:ascii="Palatino Linotype" w:eastAsia="Palatino Linotype" w:hAnsi="Palatino Linotype" w:cs="Palatino Linotype"/>
          <w:sz w:val="24"/>
          <w:szCs w:val="24"/>
        </w:rPr>
        <w:t>, presentó a través del Sistema de Acceso a la Información Mexiquense (</w:t>
      </w:r>
      <w:r w:rsidRPr="006511BE">
        <w:rPr>
          <w:rFonts w:ascii="Palatino Linotype" w:eastAsia="Palatino Linotype" w:hAnsi="Palatino Linotype" w:cs="Palatino Linotype"/>
          <w:b/>
          <w:sz w:val="24"/>
          <w:szCs w:val="24"/>
        </w:rPr>
        <w:t>SAIMEX)</w:t>
      </w:r>
      <w:r w:rsidRPr="006511BE">
        <w:rPr>
          <w:rFonts w:ascii="Palatino Linotype" w:eastAsia="Palatino Linotype" w:hAnsi="Palatino Linotype" w:cs="Palatino Linotype"/>
          <w:sz w:val="24"/>
          <w:szCs w:val="24"/>
        </w:rPr>
        <w:t xml:space="preserve"> ante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solicitud de acceso a la información pública, registrada bajo el número de expediente</w:t>
      </w:r>
      <w:r w:rsidRPr="006511BE">
        <w:rPr>
          <w:rFonts w:ascii="Verdana" w:eastAsia="Verdana" w:hAnsi="Verdana" w:cs="Verdana"/>
          <w:b/>
          <w:color w:val="FF0000"/>
        </w:rPr>
        <w:t> </w:t>
      </w:r>
      <w:r w:rsidRPr="006511BE">
        <w:rPr>
          <w:rFonts w:ascii="Palatino Linotype" w:eastAsia="Palatino Linotype" w:hAnsi="Palatino Linotype" w:cs="Palatino Linotype"/>
          <w:b/>
          <w:sz w:val="24"/>
          <w:szCs w:val="24"/>
        </w:rPr>
        <w:t>03498/TOLUCA/IP/2024</w:t>
      </w:r>
      <w:r w:rsidRPr="006511BE">
        <w:rPr>
          <w:rFonts w:ascii="Palatino Linotype" w:eastAsia="Palatino Linotype" w:hAnsi="Palatino Linotype" w:cs="Palatino Linotype"/>
          <w:sz w:val="24"/>
          <w:szCs w:val="24"/>
        </w:rPr>
        <w:t>,</w:t>
      </w:r>
      <w:r w:rsidRPr="006511BE">
        <w:rPr>
          <w:rFonts w:ascii="Palatino Linotype" w:eastAsia="Palatino Linotype" w:hAnsi="Palatino Linotype" w:cs="Palatino Linotype"/>
          <w:b/>
          <w:sz w:val="24"/>
          <w:szCs w:val="24"/>
        </w:rPr>
        <w:t xml:space="preserve"> </w:t>
      </w:r>
      <w:r w:rsidRPr="006511BE">
        <w:rPr>
          <w:rFonts w:ascii="Palatino Linotype" w:eastAsia="Palatino Linotype" w:hAnsi="Palatino Linotype" w:cs="Palatino Linotype"/>
          <w:sz w:val="24"/>
          <w:szCs w:val="24"/>
        </w:rPr>
        <w:t>mediante la cual solicitó la siguiente información:</w:t>
      </w:r>
    </w:p>
    <w:p w14:paraId="20372DCB" w14:textId="77777777" w:rsidR="00BB65EF" w:rsidRPr="006511BE" w:rsidRDefault="00BB65EF">
      <w:pPr>
        <w:spacing w:after="0" w:line="360" w:lineRule="auto"/>
        <w:ind w:right="49"/>
        <w:jc w:val="both"/>
        <w:rPr>
          <w:rFonts w:ascii="Palatino Linotype" w:eastAsia="Palatino Linotype" w:hAnsi="Palatino Linotype" w:cs="Palatino Linotype"/>
          <w:sz w:val="24"/>
          <w:szCs w:val="24"/>
        </w:rPr>
      </w:pPr>
    </w:p>
    <w:p w14:paraId="7FE495D1" w14:textId="77777777" w:rsidR="00BB65EF" w:rsidRPr="006511BE" w:rsidRDefault="00C06787">
      <w:pPr>
        <w:spacing w:after="0" w:line="276" w:lineRule="auto"/>
        <w:ind w:left="709" w:right="758"/>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“De acuerdo con el artículo 5 constitucional se solicita el proyecto del coporo, el presumo ejercido </w:t>
      </w:r>
      <w:proofErr w:type="gramStart"/>
      <w:r w:rsidRPr="006511BE">
        <w:rPr>
          <w:rFonts w:ascii="Palatino Linotype" w:eastAsia="Palatino Linotype" w:hAnsi="Palatino Linotype" w:cs="Palatino Linotype"/>
          <w:i/>
          <w:color w:val="000000"/>
        </w:rPr>
        <w:t>la facturas pagadas</w:t>
      </w:r>
      <w:proofErr w:type="gramEnd"/>
      <w:r w:rsidRPr="006511BE">
        <w:rPr>
          <w:rFonts w:ascii="Palatino Linotype" w:eastAsia="Palatino Linotype" w:hAnsi="Palatino Linotype" w:cs="Palatino Linotype"/>
          <w:i/>
          <w:color w:val="000000"/>
        </w:rPr>
        <w:t xml:space="preserve"> y los resultados y nombre de personas beneficiarios” (Sic).</w:t>
      </w:r>
    </w:p>
    <w:p w14:paraId="7F54614B" w14:textId="77777777" w:rsidR="00BB65EF" w:rsidRPr="006511BE" w:rsidRDefault="00BB65EF">
      <w:pPr>
        <w:spacing w:after="0" w:line="276" w:lineRule="auto"/>
        <w:ind w:left="709" w:right="758"/>
        <w:jc w:val="both"/>
        <w:rPr>
          <w:rFonts w:ascii="Palatino Linotype" w:eastAsia="Palatino Linotype" w:hAnsi="Palatino Linotype" w:cs="Palatino Linotype"/>
          <w:color w:val="000000"/>
          <w:sz w:val="24"/>
          <w:szCs w:val="24"/>
        </w:rPr>
      </w:pPr>
    </w:p>
    <w:p w14:paraId="63256983" w14:textId="77777777" w:rsidR="00BB65EF" w:rsidRPr="006511BE" w:rsidRDefault="00C06787">
      <w:pPr>
        <w:spacing w:after="0" w:line="360" w:lineRule="auto"/>
        <w:ind w:right="49"/>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lastRenderedPageBreak/>
        <w:t xml:space="preserve">Modalidad de entrega: A través del SAIMEX. </w:t>
      </w:r>
    </w:p>
    <w:p w14:paraId="2D4DBCC1" w14:textId="77777777" w:rsidR="00BB65EF" w:rsidRPr="006511BE" w:rsidRDefault="00BB65EF">
      <w:pPr>
        <w:spacing w:after="0" w:line="360" w:lineRule="auto"/>
        <w:ind w:right="49"/>
        <w:jc w:val="both"/>
        <w:rPr>
          <w:rFonts w:ascii="Palatino Linotype" w:eastAsia="Palatino Linotype" w:hAnsi="Palatino Linotype" w:cs="Palatino Linotype"/>
          <w:color w:val="FF0000"/>
          <w:sz w:val="24"/>
          <w:szCs w:val="24"/>
        </w:rPr>
      </w:pPr>
    </w:p>
    <w:p w14:paraId="1A4EFCC0"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 xml:space="preserve">2. RESPUESTA.  </w:t>
      </w:r>
      <w:r w:rsidRPr="006511BE">
        <w:rPr>
          <w:rFonts w:ascii="Palatino Linotype" w:eastAsia="Palatino Linotype" w:hAnsi="Palatino Linotype" w:cs="Palatino Linotype"/>
          <w:sz w:val="24"/>
          <w:szCs w:val="24"/>
        </w:rPr>
        <w:t xml:space="preserve">Con fecha veintisiete de enero del dos mil veinticinco,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otorgó, a través del SAIMEX, respuesta a la solicitud de acceso a la información en los siguientes términos: </w:t>
      </w:r>
    </w:p>
    <w:p w14:paraId="634313E9"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F5FBA66"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7E8BFC"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En atención a la solicitud con folio 03498/TOLUCA/IP/2024, me permito adjuntar al presente la respuesta correspondiente. Sin más por el momento, reciba un saludo.</w:t>
      </w:r>
    </w:p>
    <w:p w14:paraId="2FCD0D7A"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ATENTAMENTE</w:t>
      </w:r>
    </w:p>
    <w:p w14:paraId="688ACD5F" w14:textId="77777777" w:rsidR="00BB65EF" w:rsidRPr="006511BE" w:rsidRDefault="00C06787">
      <w:pPr>
        <w:spacing w:after="0" w:line="276" w:lineRule="auto"/>
        <w:ind w:left="851" w:right="902"/>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rPr>
        <w:t>Dr. Nahum Miguel Mendoza Morales”</w:t>
      </w:r>
      <w:r w:rsidRPr="006511BE">
        <w:rPr>
          <w:rFonts w:ascii="Palatino Linotype" w:eastAsia="Palatino Linotype" w:hAnsi="Palatino Linotype" w:cs="Palatino Linotype"/>
          <w:i/>
          <w:color w:val="000000"/>
        </w:rPr>
        <w:t xml:space="preserve"> (Sic).</w:t>
      </w:r>
    </w:p>
    <w:p w14:paraId="2FF59D5D" w14:textId="77777777" w:rsidR="00BB65EF" w:rsidRPr="006511BE" w:rsidRDefault="00BB65EF">
      <w:pPr>
        <w:spacing w:after="0" w:line="276" w:lineRule="auto"/>
        <w:ind w:right="902"/>
        <w:jc w:val="both"/>
        <w:rPr>
          <w:rFonts w:ascii="Palatino Linotype" w:eastAsia="Palatino Linotype" w:hAnsi="Palatino Linotype" w:cs="Palatino Linotype"/>
          <w:sz w:val="24"/>
          <w:szCs w:val="24"/>
        </w:rPr>
      </w:pPr>
    </w:p>
    <w:p w14:paraId="7CA2C92E"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adjuntó para tal efecto los archivos electrónicos:</w:t>
      </w:r>
    </w:p>
    <w:p w14:paraId="0C0CE618"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65E3EE46"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w:t>
      </w:r>
      <w:r w:rsidRPr="006511BE">
        <w:rPr>
          <w:rFonts w:ascii="Palatino Linotype" w:eastAsia="Palatino Linotype" w:hAnsi="Palatino Linotype" w:cs="Palatino Linotype"/>
          <w:b/>
          <w:i/>
          <w:sz w:val="24"/>
          <w:szCs w:val="24"/>
          <w:u w:val="single"/>
        </w:rPr>
        <w:t>RESPUESTA 03498_24.pdf</w:t>
      </w:r>
      <w:r w:rsidRPr="006511BE">
        <w:rPr>
          <w:rFonts w:ascii="Palatino Linotype" w:eastAsia="Palatino Linotype" w:hAnsi="Palatino Linotype" w:cs="Palatino Linotype"/>
          <w:sz w:val="24"/>
          <w:szCs w:val="24"/>
        </w:rPr>
        <w:t xml:space="preserve">”: Oficio de fecha veintisiete de febrero de dos mil veinticinco, signado por el Titular de la Unidad de Transparencia, mediante el cual señala que la Tesorería Municipal informó que la información solicitada ya se encuentra pública, señalando que anexa una guía por medio de la cual se podrá acceder a la página electrónica del Ayuntamiento de Toluca, a fin de visualizar la Caratula de Presupuesto de Egresos, de los ejercicios fiscales 2023 y 2024, ya que no se cuenta con una factura, por no haberse generado, poseído y/o administrado; sin embargo, con el fin de visualizar lo requerido, se puntualiza el concepto </w:t>
      </w:r>
      <w:r w:rsidRPr="006511BE">
        <w:rPr>
          <w:rFonts w:ascii="Palatino Linotype" w:eastAsia="Palatino Linotype" w:hAnsi="Palatino Linotype" w:cs="Palatino Linotype"/>
          <w:sz w:val="24"/>
          <w:szCs w:val="24"/>
        </w:rPr>
        <w:lastRenderedPageBreak/>
        <w:t xml:space="preserve">denominado Capítulo 2000, además que cuenta con la información presupuestal de manera general y no así en específico para el proyecto del Coporo. </w:t>
      </w:r>
    </w:p>
    <w:p w14:paraId="7438DF2C"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44D6A2D4"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La Dirección General de Desarrollo Social y Servidora Pública, informó que después de realizar una búsqueda exhaustiva y minuciosa en los archivos de la Dirección General no se encontró información relativa al proyecto del Cóporo, el presupuesto ejercido, las facturas pagadas, los resultados y el nombre de las personas beneficiadas. </w:t>
      </w:r>
    </w:p>
    <w:p w14:paraId="793184FD"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7BC7E647"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w:t>
      </w:r>
      <w:r w:rsidRPr="006511BE">
        <w:rPr>
          <w:rFonts w:ascii="Palatino Linotype" w:eastAsia="Palatino Linotype" w:hAnsi="Palatino Linotype" w:cs="Palatino Linotype"/>
          <w:b/>
          <w:i/>
          <w:sz w:val="24"/>
          <w:szCs w:val="24"/>
          <w:u w:val="single"/>
        </w:rPr>
        <w:t>CARATULA_DE_PRESUPUESTOS_DE_EGRESOS-2023.pdf</w:t>
      </w:r>
      <w:r w:rsidRPr="006511BE">
        <w:rPr>
          <w:rFonts w:ascii="Palatino Linotype" w:eastAsia="Palatino Linotype" w:hAnsi="Palatino Linotype" w:cs="Palatino Linotype"/>
          <w:sz w:val="24"/>
          <w:szCs w:val="24"/>
        </w:rPr>
        <w:t xml:space="preserve">”: Caratula del Presupuesto de Egresos 2023. </w:t>
      </w:r>
    </w:p>
    <w:p w14:paraId="3EDA221C"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15B70CD"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w:t>
      </w:r>
      <w:r w:rsidRPr="006511BE">
        <w:rPr>
          <w:rFonts w:ascii="Palatino Linotype" w:eastAsia="Palatino Linotype" w:hAnsi="Palatino Linotype" w:cs="Palatino Linotype"/>
          <w:b/>
          <w:i/>
          <w:sz w:val="24"/>
          <w:szCs w:val="24"/>
          <w:u w:val="single"/>
        </w:rPr>
        <w:t>CARATULA_DE_PRESUPUESTOS_DE_EGRESOS-2024.pdf</w:t>
      </w:r>
      <w:r w:rsidRPr="006511BE">
        <w:rPr>
          <w:rFonts w:ascii="Palatino Linotype" w:eastAsia="Palatino Linotype" w:hAnsi="Palatino Linotype" w:cs="Palatino Linotype"/>
          <w:sz w:val="24"/>
          <w:szCs w:val="24"/>
        </w:rPr>
        <w:t>”: Caratula del Presupuesto de Egresos 2023.</w:t>
      </w:r>
    </w:p>
    <w:p w14:paraId="3C034024"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63C06C7C" w14:textId="77777777" w:rsidR="00BB65EF" w:rsidRPr="006511BE" w:rsidRDefault="00C06787">
      <w:pPr>
        <w:spacing w:after="0" w:line="360" w:lineRule="auto"/>
        <w:ind w:right="-234"/>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color w:val="000000"/>
          <w:sz w:val="24"/>
          <w:szCs w:val="24"/>
        </w:rPr>
        <w:t xml:space="preserve">3. DEL RECURSO DE REVISIÓN. </w:t>
      </w:r>
      <w:r w:rsidRPr="006511BE">
        <w:rPr>
          <w:rFonts w:ascii="Palatino Linotype" w:eastAsia="Palatino Linotype" w:hAnsi="Palatino Linotype" w:cs="Palatino Linotype"/>
          <w:color w:val="000000"/>
          <w:sz w:val="24"/>
          <w:szCs w:val="24"/>
        </w:rPr>
        <w:t>Inconforme con la respuesta del</w:t>
      </w:r>
      <w:r w:rsidRPr="006511BE">
        <w:rPr>
          <w:rFonts w:ascii="Palatino Linotype" w:eastAsia="Palatino Linotype" w:hAnsi="Palatino Linotype" w:cs="Palatino Linotype"/>
          <w:b/>
          <w:color w:val="000000"/>
          <w:sz w:val="24"/>
          <w:szCs w:val="24"/>
        </w:rPr>
        <w:t xml:space="preserve"> SUJETO OBLIGADO, </w:t>
      </w:r>
      <w:r w:rsidRPr="006511BE">
        <w:rPr>
          <w:rFonts w:ascii="Palatino Linotype" w:eastAsia="Palatino Linotype" w:hAnsi="Palatino Linotype" w:cs="Palatino Linotype"/>
          <w:color w:val="000000"/>
          <w:sz w:val="24"/>
          <w:szCs w:val="24"/>
        </w:rPr>
        <w:t>en fecha dieciocho de febrero de dos mil veinticinco,</w:t>
      </w:r>
      <w:r w:rsidRPr="006511BE">
        <w:rPr>
          <w:rFonts w:ascii="Palatino Linotype" w:eastAsia="Palatino Linotype" w:hAnsi="Palatino Linotype" w:cs="Palatino Linotype"/>
          <w:b/>
          <w:color w:val="000000"/>
          <w:sz w:val="24"/>
          <w:szCs w:val="24"/>
        </w:rPr>
        <w:t xml:space="preserve"> LA PARTE RECURRENTE </w:t>
      </w:r>
      <w:r w:rsidRPr="006511BE">
        <w:rPr>
          <w:rFonts w:ascii="Palatino Linotype" w:eastAsia="Palatino Linotype" w:hAnsi="Palatino Linotype" w:cs="Palatino Linotype"/>
          <w:color w:val="000000"/>
          <w:sz w:val="24"/>
          <w:szCs w:val="24"/>
        </w:rPr>
        <w:t>interpuso el recurso de revisión, el cual fue registrado</w:t>
      </w:r>
      <w:r w:rsidRPr="006511BE">
        <w:rPr>
          <w:rFonts w:ascii="Palatino Linotype" w:eastAsia="Palatino Linotype" w:hAnsi="Palatino Linotype" w:cs="Palatino Linotype"/>
          <w:b/>
          <w:color w:val="000000"/>
          <w:sz w:val="24"/>
          <w:szCs w:val="24"/>
        </w:rPr>
        <w:t xml:space="preserve"> </w:t>
      </w:r>
      <w:r w:rsidRPr="006511BE">
        <w:rPr>
          <w:rFonts w:ascii="Palatino Linotype" w:eastAsia="Palatino Linotype" w:hAnsi="Palatino Linotype" w:cs="Palatino Linotype"/>
          <w:color w:val="000000"/>
          <w:sz w:val="24"/>
          <w:szCs w:val="24"/>
        </w:rPr>
        <w:t xml:space="preserve">en el sistema electrónico con el expediente número </w:t>
      </w:r>
      <w:r w:rsidRPr="006511BE">
        <w:rPr>
          <w:rFonts w:ascii="Palatino Linotype" w:eastAsia="Palatino Linotype" w:hAnsi="Palatino Linotype" w:cs="Palatino Linotype"/>
          <w:b/>
          <w:color w:val="000000"/>
          <w:sz w:val="24"/>
          <w:szCs w:val="24"/>
        </w:rPr>
        <w:t>01199/INFOEM/IP/RR/2025</w:t>
      </w:r>
      <w:r w:rsidRPr="006511BE">
        <w:rPr>
          <w:rFonts w:ascii="Palatino Linotype" w:eastAsia="Palatino Linotype" w:hAnsi="Palatino Linotype" w:cs="Palatino Linotype"/>
          <w:color w:val="000000"/>
          <w:sz w:val="24"/>
          <w:szCs w:val="24"/>
        </w:rPr>
        <w:t>, en el cual manifiesta, lo siguiente:</w:t>
      </w:r>
    </w:p>
    <w:p w14:paraId="680EAEDB" w14:textId="77777777" w:rsidR="00BB65EF" w:rsidRPr="006511BE" w:rsidRDefault="00BB65EF">
      <w:pPr>
        <w:spacing w:after="0" w:line="360" w:lineRule="auto"/>
        <w:ind w:right="-234"/>
        <w:jc w:val="both"/>
        <w:rPr>
          <w:rFonts w:ascii="Palatino Linotype" w:eastAsia="Palatino Linotype" w:hAnsi="Palatino Linotype" w:cs="Palatino Linotype"/>
          <w:color w:val="000000"/>
          <w:sz w:val="24"/>
          <w:szCs w:val="24"/>
        </w:rPr>
      </w:pPr>
    </w:p>
    <w:p w14:paraId="1656F149" w14:textId="77777777" w:rsidR="00BB65EF" w:rsidRPr="006511BE" w:rsidRDefault="00C06787">
      <w:pPr>
        <w:numPr>
          <w:ilvl w:val="0"/>
          <w:numId w:val="1"/>
        </w:numPr>
        <w:pBdr>
          <w:top w:val="nil"/>
          <w:left w:val="nil"/>
          <w:bottom w:val="nil"/>
          <w:right w:val="nil"/>
          <w:between w:val="nil"/>
        </w:pBdr>
        <w:spacing w:after="0" w:line="276" w:lineRule="auto"/>
        <w:jc w:val="both"/>
        <w:rPr>
          <w:rFonts w:ascii="Palatino Linotype" w:eastAsia="Palatino Linotype" w:hAnsi="Palatino Linotype" w:cs="Palatino Linotype"/>
          <w:b/>
          <w:i/>
          <w:color w:val="000000"/>
          <w:sz w:val="24"/>
          <w:szCs w:val="24"/>
        </w:rPr>
      </w:pPr>
      <w:r w:rsidRPr="006511BE">
        <w:rPr>
          <w:rFonts w:ascii="Palatino Linotype" w:eastAsia="Palatino Linotype" w:hAnsi="Palatino Linotype" w:cs="Palatino Linotype"/>
          <w:b/>
          <w:i/>
          <w:color w:val="000000"/>
          <w:sz w:val="24"/>
          <w:szCs w:val="24"/>
        </w:rPr>
        <w:t>Acto Impugnado:</w:t>
      </w:r>
    </w:p>
    <w:p w14:paraId="20733C50" w14:textId="77777777" w:rsidR="00BB65EF" w:rsidRPr="006511BE" w:rsidRDefault="00BB65EF">
      <w:pPr>
        <w:pBdr>
          <w:top w:val="nil"/>
          <w:left w:val="nil"/>
          <w:bottom w:val="nil"/>
          <w:right w:val="nil"/>
          <w:between w:val="nil"/>
        </w:pBdr>
        <w:spacing w:after="0" w:line="276" w:lineRule="auto"/>
        <w:ind w:left="720"/>
        <w:jc w:val="both"/>
        <w:rPr>
          <w:rFonts w:ascii="Palatino Linotype" w:eastAsia="Palatino Linotype" w:hAnsi="Palatino Linotype" w:cs="Palatino Linotype"/>
          <w:b/>
          <w:i/>
          <w:color w:val="000000"/>
          <w:sz w:val="24"/>
          <w:szCs w:val="24"/>
        </w:rPr>
      </w:pPr>
    </w:p>
    <w:p w14:paraId="7FDD84C7" w14:textId="77777777" w:rsidR="00BB65EF" w:rsidRPr="006511BE" w:rsidRDefault="00C06787">
      <w:pPr>
        <w:tabs>
          <w:tab w:val="left" w:pos="8222"/>
        </w:tabs>
        <w:spacing w:after="0" w:line="276" w:lineRule="auto"/>
        <w:ind w:left="851" w:right="616"/>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“la </w:t>
      </w:r>
      <w:proofErr w:type="spellStart"/>
      <w:r w:rsidRPr="006511BE">
        <w:rPr>
          <w:rFonts w:ascii="Palatino Linotype" w:eastAsia="Palatino Linotype" w:hAnsi="Palatino Linotype" w:cs="Palatino Linotype"/>
          <w:i/>
          <w:color w:val="000000"/>
        </w:rPr>
        <w:t>respueta</w:t>
      </w:r>
      <w:proofErr w:type="spellEnd"/>
      <w:r w:rsidRPr="006511BE">
        <w:rPr>
          <w:rFonts w:ascii="Palatino Linotype" w:eastAsia="Palatino Linotype" w:hAnsi="Palatino Linotype" w:cs="Palatino Linotype"/>
          <w:i/>
          <w:color w:val="000000"/>
        </w:rPr>
        <w:t>” [sic]</w:t>
      </w:r>
    </w:p>
    <w:p w14:paraId="703BBD94" w14:textId="77777777" w:rsidR="00BB65EF" w:rsidRPr="006511BE" w:rsidRDefault="00C06787">
      <w:pPr>
        <w:numPr>
          <w:ilvl w:val="0"/>
          <w:numId w:val="1"/>
        </w:numPr>
        <w:pBdr>
          <w:top w:val="nil"/>
          <w:left w:val="nil"/>
          <w:bottom w:val="nil"/>
          <w:right w:val="nil"/>
          <w:between w:val="nil"/>
        </w:pBdr>
        <w:spacing w:after="0" w:line="276" w:lineRule="auto"/>
        <w:rPr>
          <w:rFonts w:ascii="Palatino Linotype" w:eastAsia="Palatino Linotype" w:hAnsi="Palatino Linotype" w:cs="Palatino Linotype"/>
          <w:i/>
          <w:color w:val="000000"/>
          <w:sz w:val="24"/>
          <w:szCs w:val="24"/>
        </w:rPr>
      </w:pPr>
      <w:r w:rsidRPr="006511BE">
        <w:rPr>
          <w:rFonts w:ascii="Palatino Linotype" w:eastAsia="Palatino Linotype" w:hAnsi="Palatino Linotype" w:cs="Palatino Linotype"/>
          <w:b/>
          <w:i/>
          <w:color w:val="000000"/>
          <w:sz w:val="24"/>
          <w:szCs w:val="24"/>
        </w:rPr>
        <w:lastRenderedPageBreak/>
        <w:t>Razones o Motivos de Inconformidad</w:t>
      </w:r>
      <w:r w:rsidRPr="006511BE">
        <w:rPr>
          <w:rFonts w:ascii="Palatino Linotype" w:eastAsia="Palatino Linotype" w:hAnsi="Palatino Linotype" w:cs="Palatino Linotype"/>
          <w:i/>
          <w:color w:val="000000"/>
          <w:sz w:val="24"/>
          <w:szCs w:val="24"/>
        </w:rPr>
        <w:t>:</w:t>
      </w:r>
    </w:p>
    <w:p w14:paraId="3EE4B733" w14:textId="77777777" w:rsidR="00BB65EF" w:rsidRPr="006511BE" w:rsidRDefault="00BB65EF">
      <w:pPr>
        <w:pBdr>
          <w:top w:val="nil"/>
          <w:left w:val="nil"/>
          <w:bottom w:val="nil"/>
          <w:right w:val="nil"/>
          <w:between w:val="nil"/>
        </w:pBdr>
        <w:spacing w:after="0" w:line="276" w:lineRule="auto"/>
        <w:ind w:left="720"/>
        <w:rPr>
          <w:rFonts w:ascii="Palatino Linotype" w:eastAsia="Palatino Linotype" w:hAnsi="Palatino Linotype" w:cs="Palatino Linotype"/>
          <w:i/>
          <w:sz w:val="24"/>
          <w:szCs w:val="24"/>
        </w:rPr>
      </w:pPr>
    </w:p>
    <w:p w14:paraId="6754F0AC" w14:textId="77777777" w:rsidR="00BB65EF" w:rsidRPr="006511BE" w:rsidRDefault="00C06787">
      <w:pPr>
        <w:spacing w:after="0" w:line="276" w:lineRule="auto"/>
        <w:ind w:left="851" w:right="616"/>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sz w:val="24"/>
          <w:szCs w:val="24"/>
        </w:rPr>
        <w:t>“</w:t>
      </w:r>
      <w:r w:rsidRPr="006511BE">
        <w:rPr>
          <w:rFonts w:ascii="Palatino Linotype" w:eastAsia="Palatino Linotype" w:hAnsi="Palatino Linotype" w:cs="Palatino Linotype"/>
          <w:i/>
          <w:color w:val="000000"/>
        </w:rPr>
        <w:t xml:space="preserve">no entrega la </w:t>
      </w:r>
      <w:proofErr w:type="spellStart"/>
      <w:r w:rsidRPr="006511BE">
        <w:rPr>
          <w:rFonts w:ascii="Palatino Linotype" w:eastAsia="Palatino Linotype" w:hAnsi="Palatino Linotype" w:cs="Palatino Linotype"/>
          <w:i/>
          <w:color w:val="000000"/>
        </w:rPr>
        <w:t>informacion</w:t>
      </w:r>
      <w:proofErr w:type="spellEnd"/>
      <w:r w:rsidRPr="006511BE">
        <w:rPr>
          <w:rFonts w:ascii="Palatino Linotype" w:eastAsia="Palatino Linotype" w:hAnsi="Palatino Linotype" w:cs="Palatino Linotype"/>
          <w:i/>
          <w:color w:val="000000"/>
        </w:rPr>
        <w:t>” [sic]</w:t>
      </w:r>
    </w:p>
    <w:p w14:paraId="40A1EBD3" w14:textId="77777777" w:rsidR="00BB65EF" w:rsidRPr="006511BE" w:rsidRDefault="00BB65EF">
      <w:pPr>
        <w:spacing w:after="0" w:line="360" w:lineRule="auto"/>
        <w:jc w:val="both"/>
        <w:rPr>
          <w:rFonts w:ascii="Palatino Linotype" w:eastAsia="Palatino Linotype" w:hAnsi="Palatino Linotype" w:cs="Palatino Linotype"/>
          <w:b/>
          <w:sz w:val="24"/>
          <w:szCs w:val="24"/>
        </w:rPr>
      </w:pPr>
    </w:p>
    <w:p w14:paraId="1EE0C25D"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color w:val="000000"/>
          <w:sz w:val="24"/>
          <w:szCs w:val="24"/>
        </w:rPr>
        <w:t xml:space="preserve">4. TURNO. </w:t>
      </w:r>
      <w:r w:rsidRPr="006511BE">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511BE">
        <w:rPr>
          <w:rFonts w:ascii="Palatino Linotype" w:eastAsia="Palatino Linotype" w:hAnsi="Palatino Linotype" w:cs="Palatino Linotype"/>
          <w:b/>
          <w:color w:val="000000"/>
          <w:sz w:val="24"/>
          <w:szCs w:val="24"/>
        </w:rPr>
        <w:t xml:space="preserve">Guadalupe Ramírez Peña, </w:t>
      </w:r>
      <w:r w:rsidRPr="006511BE">
        <w:rPr>
          <w:rFonts w:ascii="Palatino Linotype" w:eastAsia="Palatino Linotype" w:hAnsi="Palatino Linotype" w:cs="Palatino Linotype"/>
          <w:color w:val="000000"/>
          <w:sz w:val="24"/>
          <w:szCs w:val="24"/>
        </w:rPr>
        <w:t xml:space="preserve">a efecto de que analizara sobre su admisión o su </w:t>
      </w:r>
      <w:proofErr w:type="spellStart"/>
      <w:r w:rsidRPr="006511BE">
        <w:rPr>
          <w:rFonts w:ascii="Palatino Linotype" w:eastAsia="Palatino Linotype" w:hAnsi="Palatino Linotype" w:cs="Palatino Linotype"/>
          <w:color w:val="000000"/>
          <w:sz w:val="24"/>
          <w:szCs w:val="24"/>
        </w:rPr>
        <w:t>desechamiento</w:t>
      </w:r>
      <w:proofErr w:type="spellEnd"/>
      <w:r w:rsidRPr="006511BE">
        <w:rPr>
          <w:rFonts w:ascii="Palatino Linotype" w:eastAsia="Palatino Linotype" w:hAnsi="Palatino Linotype" w:cs="Palatino Linotype"/>
          <w:color w:val="000000"/>
          <w:sz w:val="24"/>
          <w:szCs w:val="24"/>
        </w:rPr>
        <w:t>.</w:t>
      </w:r>
    </w:p>
    <w:p w14:paraId="2F8D32EB"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6E71FA3"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color w:val="000000"/>
          <w:sz w:val="24"/>
          <w:szCs w:val="24"/>
        </w:rPr>
        <w:t>5. ADMISIÓN DEL RECURSO DE REVISIÓN.</w:t>
      </w:r>
      <w:r w:rsidRPr="006511BE">
        <w:rPr>
          <w:rFonts w:ascii="Palatino Linotype" w:eastAsia="Palatino Linotype" w:hAnsi="Palatino Linotype" w:cs="Palatino Linotype"/>
          <w:color w:val="000000"/>
          <w:sz w:val="24"/>
          <w:szCs w:val="24"/>
        </w:rPr>
        <w:t xml:space="preserve"> Con fecha</w:t>
      </w:r>
      <w:r w:rsidRPr="006511BE">
        <w:rPr>
          <w:rFonts w:ascii="Palatino Linotype" w:eastAsia="Palatino Linotype" w:hAnsi="Palatino Linotype" w:cs="Palatino Linotype"/>
          <w:b/>
          <w:color w:val="000000"/>
          <w:sz w:val="24"/>
          <w:szCs w:val="24"/>
        </w:rPr>
        <w:t xml:space="preserve"> veintiuno de febrero de dos mil veinticinco</w:t>
      </w:r>
      <w:r w:rsidRPr="006511BE">
        <w:rPr>
          <w:rFonts w:ascii="Palatino Linotype" w:eastAsia="Palatino Linotype" w:hAnsi="Palatino Linotype" w:cs="Palatino Linotype"/>
          <w:color w:val="000000"/>
          <w:sz w:val="24"/>
          <w:szCs w:val="24"/>
        </w:rPr>
        <w:t>,</w:t>
      </w:r>
      <w:r w:rsidRPr="006511BE">
        <w:rPr>
          <w:rFonts w:ascii="Palatino Linotype" w:eastAsia="Palatino Linotype" w:hAnsi="Palatino Linotype" w:cs="Palatino Linotype"/>
          <w:b/>
          <w:color w:val="000000"/>
          <w:sz w:val="24"/>
          <w:szCs w:val="24"/>
        </w:rPr>
        <w:t xml:space="preserve"> </w:t>
      </w:r>
      <w:r w:rsidRPr="006511BE">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6511BE">
        <w:rPr>
          <w:rFonts w:ascii="Palatino Linotype" w:eastAsia="Palatino Linotype" w:hAnsi="Palatino Linotype" w:cs="Palatino Linotype"/>
          <w:b/>
          <w:color w:val="000000"/>
          <w:sz w:val="24"/>
          <w:szCs w:val="24"/>
        </w:rPr>
        <w:t xml:space="preserve">EL SUJETO OBLIGADO </w:t>
      </w:r>
      <w:r w:rsidRPr="006511BE">
        <w:rPr>
          <w:rFonts w:ascii="Palatino Linotype" w:eastAsia="Palatino Linotype" w:hAnsi="Palatino Linotype" w:cs="Palatino Linotype"/>
          <w:color w:val="000000"/>
          <w:sz w:val="24"/>
          <w:szCs w:val="24"/>
        </w:rPr>
        <w:t>presentará su informe justificado.</w:t>
      </w:r>
    </w:p>
    <w:p w14:paraId="7BB587E1"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7E2AB081" w14:textId="77777777" w:rsidR="00BB65EF" w:rsidRPr="006511BE" w:rsidRDefault="00C06787">
      <w:pPr>
        <w:spacing w:after="0" w:line="360" w:lineRule="auto"/>
        <w:ind w:right="49"/>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6. MANIFESTACIONES.</w:t>
      </w:r>
      <w:r w:rsidRPr="006511BE">
        <w:rPr>
          <w:rFonts w:ascii="Palatino Linotype" w:eastAsia="Palatino Linotype" w:hAnsi="Palatino Linotype" w:cs="Palatino Linotype"/>
          <w:sz w:val="24"/>
          <w:szCs w:val="24"/>
        </w:rPr>
        <w:t xml:space="preserve"> Con fecha cinco de marzo de dos mil veinticinco se recibió, a través del Sistema de Acceso a la Información Mexiquense (SAIMEX), el informe justificado del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w:t>
      </w:r>
      <w:r w:rsidRPr="006511BE">
        <w:rPr>
          <w:rFonts w:ascii="Palatino Linotype" w:eastAsia="Palatino Linotype" w:hAnsi="Palatino Linotype" w:cs="Palatino Linotype"/>
          <w:b/>
          <w:sz w:val="24"/>
          <w:szCs w:val="24"/>
        </w:rPr>
        <w:t xml:space="preserve"> </w:t>
      </w:r>
      <w:r w:rsidRPr="006511BE">
        <w:rPr>
          <w:rFonts w:ascii="Palatino Linotype" w:eastAsia="Palatino Linotype" w:hAnsi="Palatino Linotype" w:cs="Palatino Linotype"/>
          <w:sz w:val="24"/>
          <w:szCs w:val="24"/>
        </w:rPr>
        <w:t xml:space="preserve">a través del siguiente archivo electrónico: </w:t>
      </w:r>
    </w:p>
    <w:p w14:paraId="46C2491D" w14:textId="77777777" w:rsidR="00BB65EF" w:rsidRPr="006511BE" w:rsidRDefault="00BB65EF">
      <w:pPr>
        <w:spacing w:after="0" w:line="360" w:lineRule="auto"/>
        <w:ind w:right="49"/>
        <w:jc w:val="both"/>
        <w:rPr>
          <w:rFonts w:ascii="Palatino Linotype" w:eastAsia="Palatino Linotype" w:hAnsi="Palatino Linotype" w:cs="Palatino Linotype"/>
          <w:sz w:val="24"/>
          <w:szCs w:val="24"/>
        </w:rPr>
      </w:pPr>
    </w:p>
    <w:p w14:paraId="267BA7F1"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lastRenderedPageBreak/>
        <w:t>“</w:t>
      </w:r>
      <w:r w:rsidRPr="006511BE">
        <w:rPr>
          <w:rFonts w:ascii="Palatino Linotype" w:eastAsia="Palatino Linotype" w:hAnsi="Palatino Linotype" w:cs="Palatino Linotype"/>
          <w:b/>
          <w:i/>
          <w:sz w:val="24"/>
          <w:szCs w:val="24"/>
          <w:u w:val="single"/>
        </w:rPr>
        <w:t>Informe Justificado 1584.pdf</w:t>
      </w:r>
      <w:r w:rsidRPr="006511BE">
        <w:rPr>
          <w:rFonts w:ascii="Palatino Linotype" w:eastAsia="Palatino Linotype" w:hAnsi="Palatino Linotype" w:cs="Palatino Linotype"/>
          <w:sz w:val="24"/>
          <w:szCs w:val="24"/>
        </w:rPr>
        <w:t xml:space="preserve">”: Oficio de fecha cinco de marzo de dos mil veinticinco, signado por el Titular de la Unidad de Transparencia, mediante el cual ratifica en términos generales su respuesta inicial. </w:t>
      </w:r>
    </w:p>
    <w:p w14:paraId="70E68A2F"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75031C5"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Documento que se puso a la vista de </w:t>
      </w:r>
      <w:r w:rsidRPr="006511BE">
        <w:rPr>
          <w:rFonts w:ascii="Palatino Linotype" w:eastAsia="Palatino Linotype" w:hAnsi="Palatino Linotype" w:cs="Palatino Linotype"/>
          <w:b/>
          <w:sz w:val="24"/>
          <w:szCs w:val="24"/>
        </w:rPr>
        <w:t xml:space="preserve">LA PARTE RECURRENTE </w:t>
      </w:r>
      <w:r w:rsidRPr="006511BE">
        <w:rPr>
          <w:rFonts w:ascii="Palatino Linotype" w:eastAsia="Palatino Linotype" w:hAnsi="Palatino Linotype" w:cs="Palatino Linotype"/>
          <w:sz w:val="24"/>
          <w:szCs w:val="24"/>
        </w:rPr>
        <w:t xml:space="preserve">en fecha veinte de marzo de dos mil veinticinco, mismo que resultó omiso de emitir sus manifestaciones conforme a derecho le corresponde. </w:t>
      </w:r>
    </w:p>
    <w:p w14:paraId="3A9246C8"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18B235EF"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sz w:val="24"/>
          <w:szCs w:val="24"/>
        </w:rPr>
        <w:t xml:space="preserve">7. CIERRE DE INSTRUCCIÓN. </w:t>
      </w:r>
      <w:r w:rsidRPr="006511BE">
        <w:rPr>
          <w:rFonts w:ascii="Palatino Linotype" w:eastAsia="Palatino Linotype" w:hAnsi="Palatino Linotype" w:cs="Palatino Linotype"/>
          <w:color w:val="000000"/>
          <w:sz w:val="24"/>
          <w:szCs w:val="24"/>
        </w:rPr>
        <w:t>El veintiséis de marzo de dos mil veinticinco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7CBCC0C"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305FA102"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FB0897D"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297705B" w14:textId="77777777" w:rsidR="00BB65EF" w:rsidRPr="006511BE" w:rsidRDefault="00C06787">
      <w:pPr>
        <w:widowControl w:val="0"/>
        <w:spacing w:after="0" w:line="360" w:lineRule="auto"/>
        <w:jc w:val="center"/>
        <w:rPr>
          <w:rFonts w:ascii="Palatino Linotype" w:eastAsia="Palatino Linotype" w:hAnsi="Palatino Linotype" w:cs="Palatino Linotype"/>
          <w:b/>
          <w:color w:val="000000"/>
          <w:sz w:val="24"/>
          <w:szCs w:val="24"/>
        </w:rPr>
      </w:pPr>
      <w:r w:rsidRPr="006511BE">
        <w:rPr>
          <w:rFonts w:ascii="Palatino Linotype" w:eastAsia="Palatino Linotype" w:hAnsi="Palatino Linotype" w:cs="Palatino Linotype"/>
          <w:b/>
          <w:color w:val="000000"/>
          <w:sz w:val="24"/>
          <w:szCs w:val="24"/>
        </w:rPr>
        <w:t>C O N S I D E R A N D O S</w:t>
      </w:r>
    </w:p>
    <w:p w14:paraId="56BE14C5" w14:textId="77777777" w:rsidR="00BB65EF" w:rsidRPr="006511BE" w:rsidRDefault="00BB65EF">
      <w:pPr>
        <w:widowControl w:val="0"/>
        <w:spacing w:after="0" w:line="360" w:lineRule="auto"/>
        <w:jc w:val="center"/>
        <w:rPr>
          <w:rFonts w:ascii="Palatino Linotype" w:eastAsia="Palatino Linotype" w:hAnsi="Palatino Linotype" w:cs="Palatino Linotype"/>
          <w:b/>
          <w:color w:val="000000"/>
          <w:sz w:val="24"/>
          <w:szCs w:val="24"/>
        </w:rPr>
      </w:pPr>
    </w:p>
    <w:p w14:paraId="552FAEDE"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color w:val="000000"/>
          <w:sz w:val="24"/>
          <w:szCs w:val="24"/>
        </w:rPr>
        <w:t>PRIMERO. COMPETENCIA.</w:t>
      </w:r>
      <w:r w:rsidRPr="006511BE">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w:t>
      </w:r>
      <w:r w:rsidRPr="006511BE">
        <w:rPr>
          <w:rFonts w:ascii="Palatino Linotype" w:eastAsia="Palatino Linotype" w:hAnsi="Palatino Linotype" w:cs="Palatino Linotype"/>
          <w:color w:val="000000"/>
          <w:sz w:val="24"/>
          <w:szCs w:val="24"/>
        </w:rPr>
        <w:lastRenderedPageBreak/>
        <w:t xml:space="preserve">Municipios, es competente para conocer y resolver el presente recurso de revisión interpuesto por la parte recurrente, conforme a lo dispuesto en los artículos 6, apartado A de la Constitución Política de los Estados Unidos Mexicanos; 5 párrafos </w:t>
      </w:r>
      <w:r w:rsidR="00F04825" w:rsidRPr="006511BE">
        <w:rPr>
          <w:rFonts w:ascii="Palatino Linotype" w:eastAsia="Palatino Linotype" w:hAnsi="Palatino Linotype" w:cs="Palatino Linotype"/>
          <w:sz w:val="24"/>
          <w:szCs w:val="24"/>
        </w:rPr>
        <w:t>trigésimo séptimo, trigésimo octavo y trigésimo noveno, fracciones IV y V</w:t>
      </w:r>
      <w:r w:rsidRPr="006511BE">
        <w:rPr>
          <w:rFonts w:ascii="Palatino Linotype" w:eastAsia="Palatino Linotype" w:hAnsi="Palatino Linotype" w:cs="Palatino Linotype"/>
          <w:color w:val="FF0000"/>
          <w:sz w:val="24"/>
          <w:szCs w:val="24"/>
        </w:rPr>
        <w:t xml:space="preserve"> </w:t>
      </w:r>
      <w:r w:rsidRPr="006511BE">
        <w:rPr>
          <w:rFonts w:ascii="Palatino Linotype" w:eastAsia="Palatino Linotype" w:hAnsi="Palatino Linotype" w:cs="Palatino Linotype"/>
          <w:color w:val="000000"/>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1546AAB"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3E8CEACD" w14:textId="77777777" w:rsidR="00BB65EF" w:rsidRPr="006511BE" w:rsidRDefault="00C06787">
      <w:pPr>
        <w:spacing w:after="0" w:line="360" w:lineRule="auto"/>
        <w:ind w:right="49"/>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color w:val="000000"/>
          <w:sz w:val="24"/>
          <w:szCs w:val="24"/>
        </w:rPr>
        <w:t xml:space="preserve">SEGUNDO. OPORTUNIDAD Y PROCEDIBILIDAD DEL RECURSO DE REVISIÓN.  </w:t>
      </w:r>
      <w:r w:rsidRPr="006511BE">
        <w:rPr>
          <w:rFonts w:ascii="Palatino Linotype" w:eastAsia="Palatino Linotype" w:hAnsi="Palatino Linotype" w:cs="Palatino Linotype"/>
          <w:color w:val="000000"/>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F189BA8"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E184610"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6511BE">
        <w:rPr>
          <w:rFonts w:ascii="Palatino Linotype" w:eastAsia="Palatino Linotype" w:hAnsi="Palatino Linotype" w:cs="Palatino Linotype"/>
          <w:b/>
          <w:sz w:val="24"/>
          <w:szCs w:val="24"/>
        </w:rPr>
        <w:t xml:space="preserve"> EL SUJETO OBLIGADO </w:t>
      </w:r>
      <w:r w:rsidRPr="006511BE">
        <w:rPr>
          <w:rFonts w:ascii="Palatino Linotype" w:eastAsia="Palatino Linotype" w:hAnsi="Palatino Linotype" w:cs="Palatino Linotype"/>
          <w:sz w:val="24"/>
          <w:szCs w:val="24"/>
        </w:rPr>
        <w:t xml:space="preserve">emitió la respuesta, toda vez que esta fue pronunciada el día veintisiete de enero del año dos mil veinticinco, mientras que </w:t>
      </w:r>
      <w:r w:rsidRPr="006511BE">
        <w:rPr>
          <w:rFonts w:ascii="Palatino Linotype" w:eastAsia="Palatino Linotype" w:hAnsi="Palatino Linotype" w:cs="Palatino Linotype"/>
          <w:b/>
          <w:sz w:val="24"/>
          <w:szCs w:val="24"/>
        </w:rPr>
        <w:t>LA PARTE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RECURRENTE</w:t>
      </w:r>
      <w:r w:rsidRPr="006511BE">
        <w:rPr>
          <w:rFonts w:ascii="Palatino Linotype" w:eastAsia="Palatino Linotype" w:hAnsi="Palatino Linotype" w:cs="Palatino Linotype"/>
          <w:sz w:val="24"/>
          <w:szCs w:val="24"/>
        </w:rPr>
        <w:t xml:space="preserve"> interpuso el recurso de revisión en fecha dieciocho de febrero de </w:t>
      </w:r>
      <w:r w:rsidRPr="006511BE">
        <w:rPr>
          <w:rFonts w:ascii="Palatino Linotype" w:eastAsia="Palatino Linotype" w:hAnsi="Palatino Linotype" w:cs="Palatino Linotype"/>
          <w:sz w:val="24"/>
          <w:szCs w:val="24"/>
        </w:rPr>
        <w:lastRenderedPageBreak/>
        <w:t xml:space="preserve">dos mil veinticinco, es decir, al tercer décimo quinto día hábil de haber recibido la respuesta. </w:t>
      </w:r>
    </w:p>
    <w:p w14:paraId="744498F8"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06AD550A"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sidRPr="006511BE">
        <w:rPr>
          <w:rFonts w:ascii="Palatino Linotype" w:eastAsia="Palatino Linotype" w:hAnsi="Palatino Linotype" w:cs="Palatino Linotype"/>
          <w:b/>
          <w:color w:val="000000"/>
          <w:sz w:val="24"/>
          <w:szCs w:val="24"/>
        </w:rPr>
        <w:t>LA PARTE</w:t>
      </w:r>
      <w:r w:rsidRPr="006511BE">
        <w:rPr>
          <w:rFonts w:ascii="Palatino Linotype" w:eastAsia="Palatino Linotype" w:hAnsi="Palatino Linotype" w:cs="Palatino Linotype"/>
          <w:color w:val="000000"/>
          <w:sz w:val="24"/>
          <w:szCs w:val="24"/>
        </w:rPr>
        <w:t xml:space="preserve"> </w:t>
      </w:r>
      <w:r w:rsidRPr="006511BE">
        <w:rPr>
          <w:rFonts w:ascii="Palatino Linotype" w:eastAsia="Palatino Linotype" w:hAnsi="Palatino Linotype" w:cs="Palatino Linotype"/>
          <w:b/>
          <w:color w:val="000000"/>
          <w:sz w:val="24"/>
          <w:szCs w:val="24"/>
        </w:rPr>
        <w:t>RECURRENTE</w:t>
      </w:r>
      <w:r w:rsidRPr="006511BE">
        <w:rPr>
          <w:rFonts w:ascii="Palatino Linotype" w:eastAsia="Palatino Linotype" w:hAnsi="Palatino Linotype" w:cs="Palatino Linotype"/>
          <w:color w:val="000000"/>
          <w:sz w:val="24"/>
          <w:szCs w:val="24"/>
        </w:rPr>
        <w:t>, no proporcionó un nombre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A40652"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29935FA4" w14:textId="77777777" w:rsidR="00BB65EF" w:rsidRPr="006511BE" w:rsidRDefault="00C06787">
      <w:pPr>
        <w:spacing w:after="0" w:line="276" w:lineRule="auto"/>
        <w:ind w:left="851" w:right="902"/>
        <w:jc w:val="both"/>
        <w:rPr>
          <w:rFonts w:ascii="Palatino Linotype" w:eastAsia="Palatino Linotype" w:hAnsi="Palatino Linotype" w:cs="Palatino Linotype"/>
          <w:b/>
          <w:i/>
          <w:color w:val="000000"/>
        </w:rPr>
      </w:pPr>
      <w:r w:rsidRPr="006511BE">
        <w:rPr>
          <w:rFonts w:ascii="Palatino Linotype" w:eastAsia="Palatino Linotype" w:hAnsi="Palatino Linotype" w:cs="Palatino Linotype"/>
          <w:b/>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14:paraId="15C8E6FB" w14:textId="77777777" w:rsidR="00BB65EF" w:rsidRPr="006511BE" w:rsidRDefault="00BB65EF">
      <w:pPr>
        <w:spacing w:after="0" w:line="360" w:lineRule="auto"/>
        <w:ind w:left="851" w:right="902"/>
        <w:jc w:val="both"/>
        <w:rPr>
          <w:rFonts w:ascii="Palatino Linotype" w:eastAsia="Palatino Linotype" w:hAnsi="Palatino Linotype" w:cs="Palatino Linotype"/>
          <w:color w:val="000000"/>
          <w:sz w:val="24"/>
          <w:szCs w:val="24"/>
        </w:rPr>
      </w:pPr>
    </w:p>
    <w:p w14:paraId="5751DAD6" w14:textId="77777777" w:rsidR="00BB65EF" w:rsidRPr="006511BE" w:rsidRDefault="00C06787">
      <w:pPr>
        <w:spacing w:after="0" w:line="360" w:lineRule="auto"/>
        <w:jc w:val="both"/>
        <w:rPr>
          <w:rFonts w:ascii="Palatino Linotype" w:eastAsia="Palatino Linotype" w:hAnsi="Palatino Linotype" w:cs="Palatino Linotype"/>
          <w:b/>
          <w:color w:val="000000"/>
          <w:sz w:val="24"/>
          <w:szCs w:val="24"/>
        </w:rPr>
      </w:pPr>
      <w:r w:rsidRPr="006511BE">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6511BE">
        <w:rPr>
          <w:rFonts w:ascii="Palatino Linotype" w:eastAsia="Palatino Linotype" w:hAnsi="Palatino Linotype" w:cs="Palatino Linotype"/>
          <w:b/>
          <w:color w:val="000000"/>
          <w:sz w:val="24"/>
          <w:szCs w:val="24"/>
        </w:rPr>
        <w:t xml:space="preserve">EL SAIMEX.  </w:t>
      </w:r>
    </w:p>
    <w:p w14:paraId="7A4531A9"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4B8F0C24" w14:textId="77777777" w:rsidR="00BB65EF" w:rsidRPr="006511BE" w:rsidRDefault="00C06787">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Finalmente, resulta procedente la interposición del recurso, según lo aducido por </w:t>
      </w:r>
      <w:r w:rsidRPr="006511BE">
        <w:rPr>
          <w:rFonts w:ascii="Palatino Linotype" w:eastAsia="Palatino Linotype" w:hAnsi="Palatino Linotype" w:cs="Palatino Linotype"/>
          <w:b/>
          <w:color w:val="000000"/>
          <w:sz w:val="24"/>
          <w:szCs w:val="24"/>
        </w:rPr>
        <w:t>LA PARTE RECURRENTE</w:t>
      </w:r>
      <w:r w:rsidRPr="006511BE">
        <w:rPr>
          <w:rFonts w:ascii="Palatino Linotype" w:eastAsia="Palatino Linotype" w:hAnsi="Palatino Linotype" w:cs="Palatino Linotype"/>
          <w:color w:val="000000"/>
          <w:sz w:val="24"/>
          <w:szCs w:val="24"/>
        </w:rPr>
        <w:t xml:space="preserve"> en sus razones o motivos de inconformidad, de acuerdo al </w:t>
      </w:r>
      <w:r w:rsidRPr="006511BE">
        <w:rPr>
          <w:rFonts w:ascii="Palatino Linotype" w:eastAsia="Palatino Linotype" w:hAnsi="Palatino Linotype" w:cs="Palatino Linotype"/>
          <w:color w:val="000000"/>
          <w:sz w:val="24"/>
          <w:szCs w:val="24"/>
        </w:rPr>
        <w:lastRenderedPageBreak/>
        <w:t>artículo 179, fracción I de la Ley de Transparencia y Acceso a la Información Pública del Estado de México y Municipios; que a la letra dice:</w:t>
      </w:r>
    </w:p>
    <w:p w14:paraId="49D1A2B6" w14:textId="77777777" w:rsidR="00BB65EF" w:rsidRPr="006511BE" w:rsidRDefault="00BB65EF">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0A5BED99" w14:textId="77777777" w:rsidR="00BB65EF" w:rsidRPr="006511BE" w:rsidRDefault="00C06787">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b/>
          <w:i/>
          <w:color w:val="000000"/>
        </w:rPr>
        <w:t>“Artículo 179</w:t>
      </w:r>
      <w:r w:rsidRPr="006511BE">
        <w:rPr>
          <w:rFonts w:ascii="Palatino Linotype" w:eastAsia="Palatino Linotype" w:hAnsi="Palatino Linotype" w:cs="Palatino Linotype"/>
          <w:i/>
          <w:color w:val="000000"/>
        </w:rPr>
        <w:t xml:space="preserve">. </w:t>
      </w:r>
      <w:r w:rsidRPr="006511BE">
        <w:rPr>
          <w:rFonts w:ascii="Palatino Linotype" w:eastAsia="Palatino Linotype" w:hAnsi="Palatino Linotype" w:cs="Palatino Linotype"/>
          <w:b/>
          <w:i/>
          <w:color w:val="000000"/>
        </w:rPr>
        <w:t>El recurso de revisión</w:t>
      </w:r>
      <w:r w:rsidRPr="006511BE">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6511BE">
        <w:rPr>
          <w:rFonts w:ascii="Palatino Linotype" w:eastAsia="Palatino Linotype" w:hAnsi="Palatino Linotype" w:cs="Palatino Linotype"/>
          <w:b/>
          <w:i/>
          <w:color w:val="000000"/>
        </w:rPr>
        <w:t>, y procederá en contra de las siguientes causas</w:t>
      </w:r>
      <w:r w:rsidRPr="006511BE">
        <w:rPr>
          <w:rFonts w:ascii="Palatino Linotype" w:eastAsia="Palatino Linotype" w:hAnsi="Palatino Linotype" w:cs="Palatino Linotype"/>
          <w:i/>
          <w:color w:val="000000"/>
        </w:rPr>
        <w:t>:</w:t>
      </w:r>
    </w:p>
    <w:p w14:paraId="03B6B305" w14:textId="77777777" w:rsidR="00BB65EF" w:rsidRPr="006511BE" w:rsidRDefault="00C06787">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sidRPr="006511BE">
        <w:rPr>
          <w:rFonts w:ascii="Palatino Linotype" w:eastAsia="Palatino Linotype" w:hAnsi="Palatino Linotype" w:cs="Palatino Linotype"/>
          <w:i/>
          <w:color w:val="000000"/>
        </w:rPr>
        <w:t>I. La negativa a la información solicitada;”</w:t>
      </w:r>
    </w:p>
    <w:p w14:paraId="12FE6F48"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45FFD3EE"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 xml:space="preserve">TERCERO. MATERIA DE LA REVISIÓN. </w:t>
      </w:r>
      <w:r w:rsidRPr="006511B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6511BE">
        <w:rPr>
          <w:rFonts w:ascii="Palatino Linotype" w:eastAsia="Palatino Linotype" w:hAnsi="Palatino Linotype" w:cs="Palatino Linotype"/>
          <w:b/>
          <w:sz w:val="24"/>
          <w:szCs w:val="24"/>
        </w:rPr>
        <w:t>EL</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 xml:space="preserve"> satisface el derecho de acceso a la información pública de </w:t>
      </w:r>
      <w:r w:rsidRPr="006511BE">
        <w:rPr>
          <w:rFonts w:ascii="Palatino Linotype" w:eastAsia="Palatino Linotype" w:hAnsi="Palatino Linotype" w:cs="Palatino Linotype"/>
          <w:b/>
          <w:sz w:val="24"/>
          <w:szCs w:val="24"/>
        </w:rPr>
        <w:t>LA PARTE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RECURRENTE</w:t>
      </w:r>
      <w:r w:rsidRPr="006511BE">
        <w:rPr>
          <w:rFonts w:ascii="Palatino Linotype" w:eastAsia="Palatino Linotype" w:hAnsi="Palatino Linotype" w:cs="Palatino Linotype"/>
          <w:sz w:val="24"/>
          <w:szCs w:val="24"/>
        </w:rPr>
        <w:t>, o en su defecto, en caso de ser procedente, ordenar la entrega de información.</w:t>
      </w:r>
    </w:p>
    <w:p w14:paraId="027222D6"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6FAF2941"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color w:val="000000"/>
          <w:sz w:val="24"/>
          <w:szCs w:val="24"/>
        </w:rPr>
        <w:t xml:space="preserve">CUARTO. ESTUDIO Y RESOLUCIÓN DEL ASUNTO.  </w:t>
      </w:r>
      <w:r w:rsidRPr="006511BE">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DCEA7B1"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6C03EC44" w14:textId="77777777" w:rsidR="00BB65EF" w:rsidRPr="006511BE" w:rsidRDefault="00C06787">
      <w:pPr>
        <w:tabs>
          <w:tab w:val="left" w:pos="709"/>
        </w:tabs>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6511B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D8BEB08" w14:textId="77777777" w:rsidR="00BB65EF" w:rsidRPr="006511BE" w:rsidRDefault="00C06787">
      <w:pPr>
        <w:tabs>
          <w:tab w:val="left" w:pos="709"/>
        </w:tabs>
        <w:spacing w:after="0" w:line="276" w:lineRule="auto"/>
        <w:ind w:left="851" w:right="850"/>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BC47556" w14:textId="77777777" w:rsidR="00BB65EF" w:rsidRPr="006511BE" w:rsidRDefault="00C06787">
      <w:pPr>
        <w:tabs>
          <w:tab w:val="left" w:pos="709"/>
        </w:tabs>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511B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AD63F95" w14:textId="77777777" w:rsidR="00BB65EF" w:rsidRPr="006511BE" w:rsidRDefault="00C06787">
      <w:pPr>
        <w:tabs>
          <w:tab w:val="left" w:pos="709"/>
        </w:tabs>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7851FAB6" w14:textId="77777777" w:rsidR="00BB65EF" w:rsidRPr="006511BE" w:rsidRDefault="00C06787">
      <w:pPr>
        <w:spacing w:after="0" w:line="276" w:lineRule="auto"/>
        <w:ind w:left="851" w:right="901"/>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“Artículo 6o.</w:t>
      </w:r>
    </w:p>
    <w:p w14:paraId="7C0C122C" w14:textId="77777777" w:rsidR="00BB65EF" w:rsidRPr="006511BE" w:rsidRDefault="00C06787">
      <w:pPr>
        <w:spacing w:after="0" w:line="276" w:lineRule="auto"/>
        <w:ind w:left="851" w:right="901"/>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w:t>
      </w:r>
    </w:p>
    <w:p w14:paraId="76221E23"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A. Para el ejercicio del derecho de acceso a la información, la Federación </w:t>
      </w:r>
      <w:r w:rsidRPr="006511BE">
        <w:rPr>
          <w:rFonts w:ascii="Palatino Linotype" w:eastAsia="Palatino Linotype" w:hAnsi="Palatino Linotype" w:cs="Palatino Linotype"/>
          <w:i/>
        </w:rPr>
        <w:t>y las entidades federativas, en el ámbito de sus respectivas competencias, se regirán por los siguientes principios y bases:</w:t>
      </w:r>
    </w:p>
    <w:p w14:paraId="15EB242C"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D75E68"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II. La información que se refiere a la vida privada y los datos personales será protegida en los términos y con las excepciones que fijen las leyes. Para tal efecto, los sujetos obligados contarán con las facultades suficientes para su atención.</w:t>
      </w:r>
    </w:p>
    <w:p w14:paraId="794DC559"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3798D40E"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7D0BE623"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IV. Se establecerán mecanismos de acceso a la información pública y procedimientos de revisión expeditos que se sustanciarán ante las instancias competentes en los términos que fija esta Constitución y las leyes.</w:t>
      </w:r>
    </w:p>
    <w:p w14:paraId="4C88D0BD"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7BCBE99"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VI. Las leyes determinarán la manera en que los sujetos obligados deberán hacer pública la información relativa a los recursos públicos que entreguen a personas físicas o morales. </w:t>
      </w:r>
    </w:p>
    <w:p w14:paraId="5EE8C88D"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VII. La inobservancia a las disposiciones en materia de acceso a la información pública será sancionada en los términos que dispongan las leyes. </w:t>
      </w:r>
    </w:p>
    <w:p w14:paraId="2362A251" w14:textId="77777777" w:rsidR="00BB65EF" w:rsidRPr="006511BE" w:rsidRDefault="00BB65EF">
      <w:pPr>
        <w:spacing w:after="0" w:line="276" w:lineRule="auto"/>
        <w:ind w:left="851" w:right="901"/>
        <w:jc w:val="both"/>
        <w:rPr>
          <w:rFonts w:ascii="Palatino Linotype" w:eastAsia="Palatino Linotype" w:hAnsi="Palatino Linotype" w:cs="Palatino Linotype"/>
          <w:i/>
        </w:rPr>
      </w:pPr>
    </w:p>
    <w:p w14:paraId="19F9AFC8"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w:t>
      </w:r>
    </w:p>
    <w:p w14:paraId="1AD94188"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t>los sujetos obligados.</w:t>
      </w:r>
    </w:p>
    <w:p w14:paraId="1BB3C8E3" w14:textId="77777777" w:rsidR="00BB65EF" w:rsidRPr="006511BE" w:rsidRDefault="00BB65EF">
      <w:pPr>
        <w:spacing w:after="0" w:line="276" w:lineRule="auto"/>
        <w:ind w:left="851" w:right="901"/>
        <w:jc w:val="both"/>
        <w:rPr>
          <w:rFonts w:ascii="Palatino Linotype" w:eastAsia="Palatino Linotype" w:hAnsi="Palatino Linotype" w:cs="Palatino Linotype"/>
          <w:i/>
        </w:rPr>
      </w:pPr>
    </w:p>
    <w:p w14:paraId="5B2E7512" w14:textId="77777777" w:rsidR="00BB65EF" w:rsidRPr="006511BE" w:rsidRDefault="00C06787">
      <w:pPr>
        <w:spacing w:after="0" w:line="276" w:lineRule="auto"/>
        <w:ind w:left="851" w:right="901"/>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p>
    <w:p w14:paraId="204E0DC1" w14:textId="77777777" w:rsidR="00BB65EF" w:rsidRPr="006511BE" w:rsidRDefault="00BB65EF">
      <w:pPr>
        <w:spacing w:after="0" w:line="276" w:lineRule="auto"/>
        <w:ind w:left="851" w:right="901"/>
        <w:jc w:val="both"/>
        <w:rPr>
          <w:rFonts w:ascii="Palatino Linotype" w:eastAsia="Palatino Linotype" w:hAnsi="Palatino Linotype" w:cs="Palatino Linotype"/>
          <w:i/>
        </w:rPr>
      </w:pPr>
    </w:p>
    <w:p w14:paraId="6D727343" w14:textId="77777777" w:rsidR="00BB65EF" w:rsidRPr="006511BE" w:rsidRDefault="00C06787">
      <w:pPr>
        <w:spacing w:after="0" w:line="276" w:lineRule="auto"/>
        <w:ind w:left="851" w:right="901"/>
        <w:jc w:val="both"/>
        <w:rPr>
          <w:rFonts w:ascii="Palatino Linotype" w:eastAsia="Palatino Linotype" w:hAnsi="Palatino Linotype" w:cs="Palatino Linotype"/>
          <w:color w:val="FF0000"/>
          <w:sz w:val="24"/>
          <w:szCs w:val="24"/>
        </w:rPr>
      </w:pPr>
      <w:r w:rsidRPr="006511BE">
        <w:rPr>
          <w:rFonts w:ascii="Palatino Linotype" w:eastAsia="Palatino Linotype" w:hAnsi="Palatino Linotype" w:cs="Palatino Linotype"/>
          <w:i/>
        </w:rPr>
        <w:t>El ejercicio de este derecho se regirá por los principios de certeza, legalidad, independencia, imparcialidad, eficacia, objetividad, profesionalismo, transparencia y máxima publicidad.</w:t>
      </w:r>
      <w:r w:rsidRPr="006511BE">
        <w:rPr>
          <w:rFonts w:ascii="Palatino Linotype" w:eastAsia="Palatino Linotype" w:hAnsi="Palatino Linotype" w:cs="Palatino Linotype"/>
          <w:color w:val="FF0000"/>
          <w:sz w:val="24"/>
          <w:szCs w:val="24"/>
        </w:rPr>
        <w:t xml:space="preserve"> </w:t>
      </w:r>
    </w:p>
    <w:p w14:paraId="5ABCBC7C" w14:textId="77777777" w:rsidR="00BB65EF" w:rsidRPr="006511BE" w:rsidRDefault="00BB65EF">
      <w:pPr>
        <w:spacing w:after="0" w:line="276" w:lineRule="auto"/>
        <w:ind w:left="851" w:right="851"/>
        <w:jc w:val="both"/>
        <w:rPr>
          <w:rFonts w:ascii="Palatino Linotype" w:eastAsia="Palatino Linotype" w:hAnsi="Palatino Linotype" w:cs="Palatino Linotype"/>
          <w:color w:val="FF0000"/>
          <w:sz w:val="24"/>
          <w:szCs w:val="24"/>
        </w:rPr>
      </w:pPr>
    </w:p>
    <w:p w14:paraId="1597D7A9" w14:textId="77777777" w:rsidR="00BB65EF" w:rsidRPr="006511BE" w:rsidRDefault="00C06787">
      <w:pPr>
        <w:tabs>
          <w:tab w:val="left" w:pos="709"/>
        </w:tabs>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D393679" w14:textId="77777777" w:rsidR="00BB65EF" w:rsidRPr="006511BE" w:rsidRDefault="00BB65EF">
      <w:pPr>
        <w:tabs>
          <w:tab w:val="left" w:pos="709"/>
        </w:tabs>
        <w:spacing w:after="0" w:line="360" w:lineRule="auto"/>
        <w:jc w:val="both"/>
        <w:rPr>
          <w:rFonts w:ascii="Palatino Linotype" w:eastAsia="Palatino Linotype" w:hAnsi="Palatino Linotype" w:cs="Palatino Linotype"/>
          <w:sz w:val="24"/>
          <w:szCs w:val="24"/>
        </w:rPr>
      </w:pPr>
    </w:p>
    <w:p w14:paraId="16EBB61F" w14:textId="77777777" w:rsidR="00BB65EF" w:rsidRPr="006511BE" w:rsidRDefault="00C06787">
      <w:pPr>
        <w:tabs>
          <w:tab w:val="left" w:pos="709"/>
        </w:tabs>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En primer lugar, es conveniente analizar si la respuesta del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B687F8" w14:textId="77777777" w:rsidR="00BB65EF" w:rsidRPr="006511BE" w:rsidRDefault="00C06787">
      <w:pPr>
        <w:spacing w:after="0" w:line="276" w:lineRule="auto"/>
        <w:ind w:left="709" w:right="760"/>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w:t>
      </w:r>
      <w:r w:rsidRPr="006511BE">
        <w:rPr>
          <w:rFonts w:ascii="Palatino Linotype" w:eastAsia="Palatino Linotype" w:hAnsi="Palatino Linotype" w:cs="Palatino Linotype"/>
          <w:b/>
          <w:i/>
        </w:rPr>
        <w:t>Artículo 4.</w:t>
      </w:r>
      <w:r w:rsidRPr="006511B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48B2496" w14:textId="77777777" w:rsidR="00BB65EF" w:rsidRPr="006511BE" w:rsidRDefault="00C06787">
      <w:pPr>
        <w:spacing w:after="0" w:line="276" w:lineRule="auto"/>
        <w:ind w:left="709" w:right="760"/>
        <w:jc w:val="both"/>
        <w:rPr>
          <w:rFonts w:ascii="Palatino Linotype" w:eastAsia="Palatino Linotype" w:hAnsi="Palatino Linotype" w:cs="Palatino Linotype"/>
          <w:i/>
        </w:rPr>
      </w:pPr>
      <w:r w:rsidRPr="006511B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511B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907731E" w14:textId="77777777" w:rsidR="00BB65EF" w:rsidRPr="006511BE" w:rsidRDefault="00C06787">
      <w:pPr>
        <w:spacing w:after="0" w:line="276" w:lineRule="auto"/>
        <w:ind w:left="709" w:right="760"/>
        <w:jc w:val="both"/>
        <w:rPr>
          <w:rFonts w:ascii="Palatino Linotype" w:eastAsia="Palatino Linotype" w:hAnsi="Palatino Linotype" w:cs="Palatino Linotype"/>
          <w:i/>
        </w:rPr>
      </w:pPr>
      <w:r w:rsidRPr="006511B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511BE">
        <w:rPr>
          <w:rFonts w:ascii="Palatino Linotype" w:eastAsia="Palatino Linotype" w:hAnsi="Palatino Linotype" w:cs="Palatino Linotype"/>
          <w:i/>
        </w:rPr>
        <w:t>.”</w:t>
      </w:r>
    </w:p>
    <w:p w14:paraId="2DD843EE" w14:textId="77777777" w:rsidR="00BB65EF" w:rsidRPr="006511BE" w:rsidRDefault="00BB65EF">
      <w:pPr>
        <w:spacing w:after="0" w:line="276" w:lineRule="auto"/>
        <w:ind w:left="709" w:right="760"/>
        <w:jc w:val="both"/>
        <w:rPr>
          <w:rFonts w:ascii="Palatino Linotype" w:eastAsia="Palatino Linotype" w:hAnsi="Palatino Linotype" w:cs="Palatino Linotype"/>
          <w:sz w:val="24"/>
          <w:szCs w:val="24"/>
        </w:rPr>
      </w:pPr>
    </w:p>
    <w:p w14:paraId="5CB2C904"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1D68A33"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E80A803" w14:textId="77777777" w:rsidR="00BB65EF" w:rsidRPr="006511BE" w:rsidRDefault="00C06787">
      <w:pPr>
        <w:spacing w:after="0" w:line="276" w:lineRule="auto"/>
        <w:ind w:left="567" w:right="760"/>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Artículo 12.-</w:t>
      </w:r>
      <w:r w:rsidRPr="006511B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8BA3AA2" w14:textId="77777777" w:rsidR="00BB65EF" w:rsidRPr="006511BE" w:rsidRDefault="00C06787">
      <w:pPr>
        <w:spacing w:after="0" w:line="276" w:lineRule="auto"/>
        <w:ind w:left="567" w:right="760"/>
        <w:jc w:val="both"/>
        <w:rPr>
          <w:rFonts w:ascii="Palatino Linotype" w:eastAsia="Palatino Linotype" w:hAnsi="Palatino Linotype" w:cs="Palatino Linotype"/>
          <w:i/>
        </w:rPr>
      </w:pPr>
      <w:r w:rsidRPr="006511B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rPr>
        <w:t xml:space="preserve">La </w:t>
      </w:r>
      <w:r w:rsidRPr="006511BE">
        <w:rPr>
          <w:rFonts w:ascii="Palatino Linotype" w:eastAsia="Palatino Linotype" w:hAnsi="Palatino Linotype" w:cs="Palatino Linotype"/>
          <w:b/>
          <w:i/>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3B680D87"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1DBC21F" w14:textId="77777777" w:rsidR="00BB65EF" w:rsidRPr="006511BE" w:rsidRDefault="00C06787">
      <w:pPr>
        <w:spacing w:after="0" w:line="360" w:lineRule="auto"/>
        <w:jc w:val="both"/>
        <w:rPr>
          <w:rFonts w:ascii="Palatino Linotype" w:eastAsia="Palatino Linotype" w:hAnsi="Palatino Linotype" w:cs="Palatino Linotype"/>
          <w:strike/>
          <w:sz w:val="24"/>
          <w:szCs w:val="24"/>
        </w:rPr>
      </w:pPr>
      <w:r w:rsidRPr="006511BE">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6511BE">
        <w:rPr>
          <w:rFonts w:ascii="Palatino Linotype" w:eastAsia="Palatino Linotype" w:hAnsi="Palatino Linotype" w:cs="Palatino Linotype"/>
          <w:strike/>
          <w:sz w:val="24"/>
          <w:szCs w:val="24"/>
        </w:rPr>
        <w:t xml:space="preserve"> </w:t>
      </w:r>
    </w:p>
    <w:p w14:paraId="06B2DD15" w14:textId="77777777" w:rsidR="00BB65EF" w:rsidRPr="006511BE" w:rsidRDefault="00BB65EF">
      <w:pPr>
        <w:spacing w:after="0" w:line="360" w:lineRule="auto"/>
        <w:jc w:val="both"/>
        <w:rPr>
          <w:rFonts w:ascii="Palatino Linotype" w:eastAsia="Palatino Linotype" w:hAnsi="Palatino Linotype" w:cs="Palatino Linotype"/>
          <w:strike/>
          <w:sz w:val="24"/>
          <w:szCs w:val="24"/>
        </w:rPr>
      </w:pPr>
    </w:p>
    <w:p w14:paraId="16D81C7D" w14:textId="77777777" w:rsidR="00BB65EF" w:rsidRPr="006511BE" w:rsidRDefault="00C06787">
      <w:pPr>
        <w:spacing w:after="0" w:line="360" w:lineRule="auto"/>
        <w:ind w:right="49"/>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C9A12D" w14:textId="77777777" w:rsidR="00BB65EF" w:rsidRPr="006511BE" w:rsidRDefault="00BB65EF">
      <w:pPr>
        <w:spacing w:after="0" w:line="360" w:lineRule="auto"/>
        <w:ind w:right="49"/>
        <w:jc w:val="both"/>
        <w:rPr>
          <w:rFonts w:ascii="Palatino Linotype" w:eastAsia="Palatino Linotype" w:hAnsi="Palatino Linotype" w:cs="Palatino Linotype"/>
          <w:sz w:val="24"/>
          <w:szCs w:val="24"/>
        </w:rPr>
      </w:pPr>
    </w:p>
    <w:p w14:paraId="01393D47"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BF07F13"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447AAD0" w14:textId="77777777" w:rsidR="00BB65EF" w:rsidRPr="006511BE" w:rsidRDefault="00C06787">
      <w:pPr>
        <w:spacing w:after="0" w:line="276" w:lineRule="auto"/>
        <w:ind w:left="851" w:right="851"/>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18.</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6511BE">
        <w:rPr>
          <w:rFonts w:ascii="Palatino Linotype" w:eastAsia="Palatino Linotype" w:hAnsi="Palatino Linotype" w:cs="Palatino Linotype"/>
          <w:b/>
          <w:i/>
          <w:u w:val="single"/>
        </w:rPr>
        <w:lastRenderedPageBreak/>
        <w:t>considerando desde su origen la eventual publicidad</w:t>
      </w:r>
      <w:r w:rsidRPr="006511BE">
        <w:rPr>
          <w:rFonts w:ascii="Palatino Linotype" w:eastAsia="Palatino Linotype" w:hAnsi="Palatino Linotype" w:cs="Palatino Linotype"/>
          <w:i/>
        </w:rPr>
        <w:t xml:space="preserve"> y reutilización de la información que generen.</w:t>
      </w:r>
    </w:p>
    <w:p w14:paraId="6C70A14C" w14:textId="77777777" w:rsidR="00BB65EF" w:rsidRPr="006511BE" w:rsidRDefault="00C06787">
      <w:pPr>
        <w:spacing w:after="0" w:line="276" w:lineRule="auto"/>
        <w:ind w:left="851" w:right="851"/>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Artículo 19. </w:t>
      </w:r>
      <w:r w:rsidRPr="006511B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6511BE">
        <w:rPr>
          <w:rFonts w:ascii="Palatino Linotype" w:eastAsia="Palatino Linotype" w:hAnsi="Palatino Linotype" w:cs="Palatino Linotype"/>
          <w:i/>
        </w:rPr>
        <w:t>.</w:t>
      </w:r>
    </w:p>
    <w:p w14:paraId="37E8DDDA" w14:textId="77777777" w:rsidR="00BB65EF" w:rsidRPr="006511BE" w:rsidRDefault="00C06787">
      <w:pPr>
        <w:spacing w:after="0" w:line="276" w:lineRule="auto"/>
        <w:ind w:left="851" w:right="851"/>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B93D260" w14:textId="77777777" w:rsidR="00BB65EF" w:rsidRPr="006511BE" w:rsidRDefault="00C06787">
      <w:pPr>
        <w:spacing w:after="0" w:line="276" w:lineRule="auto"/>
        <w:ind w:left="851" w:right="851"/>
        <w:jc w:val="both"/>
        <w:rPr>
          <w:rFonts w:ascii="Palatino Linotype" w:eastAsia="Palatino Linotype" w:hAnsi="Palatino Linotype" w:cs="Palatino Linotype"/>
          <w:i/>
        </w:rPr>
      </w:pPr>
      <w:r w:rsidRPr="006511B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0FAB970" w14:textId="77777777" w:rsidR="00BB65EF" w:rsidRPr="006511BE" w:rsidRDefault="00BB65EF">
      <w:pPr>
        <w:spacing w:after="0" w:line="276" w:lineRule="auto"/>
        <w:ind w:left="851" w:right="851"/>
        <w:jc w:val="both"/>
        <w:rPr>
          <w:rFonts w:ascii="Palatino Linotype" w:eastAsia="Palatino Linotype" w:hAnsi="Palatino Linotype" w:cs="Palatino Linotype"/>
          <w:i/>
        </w:rPr>
      </w:pPr>
    </w:p>
    <w:p w14:paraId="5DA8F499"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5BC759D"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9F8CE52"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6511BE">
        <w:rPr>
          <w:rFonts w:ascii="Palatino Linotype" w:eastAsia="Palatino Linotype" w:hAnsi="Palatino Linotype" w:cs="Palatino Linotype"/>
          <w:sz w:val="24"/>
          <w:szCs w:val="24"/>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0FE1CC"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71565048"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 xml:space="preserve">Artículo 3. </w:t>
      </w:r>
      <w:r w:rsidRPr="006511BE">
        <w:rPr>
          <w:rFonts w:ascii="Palatino Linotype" w:eastAsia="Palatino Linotype" w:hAnsi="Palatino Linotype" w:cs="Palatino Linotype"/>
          <w:i/>
        </w:rPr>
        <w:t>Para los efectos de la presente Ley se entenderá por:</w:t>
      </w:r>
    </w:p>
    <w:p w14:paraId="1752E00E"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616A4357"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XI. Documento:</w:t>
      </w:r>
      <w:r w:rsidRPr="006511BE">
        <w:rPr>
          <w:rFonts w:ascii="Palatino Linotype" w:eastAsia="Palatino Linotype" w:hAnsi="Palatino Linotype" w:cs="Palatino Linotype"/>
          <w:i/>
        </w:rPr>
        <w:t xml:space="preserve"> Los expedientes, reportes, estudios, actas</w:t>
      </w:r>
      <w:r w:rsidRPr="006511BE">
        <w:rPr>
          <w:rFonts w:ascii="Palatino Linotype" w:eastAsia="Palatino Linotype" w:hAnsi="Palatino Linotype" w:cs="Palatino Linotype"/>
          <w:b/>
          <w:i/>
        </w:rPr>
        <w:t>,</w:t>
      </w:r>
      <w:r w:rsidRPr="006511B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4A63AAB" w14:textId="77777777" w:rsidR="00BB65EF" w:rsidRPr="006511BE" w:rsidRDefault="00BB65EF">
      <w:pPr>
        <w:spacing w:after="0" w:line="360" w:lineRule="auto"/>
        <w:ind w:left="851" w:right="899"/>
        <w:jc w:val="both"/>
        <w:rPr>
          <w:rFonts w:ascii="Palatino Linotype" w:eastAsia="Palatino Linotype" w:hAnsi="Palatino Linotype" w:cs="Palatino Linotype"/>
          <w:sz w:val="24"/>
          <w:szCs w:val="24"/>
        </w:rPr>
      </w:pPr>
    </w:p>
    <w:p w14:paraId="382598B3"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55FD80E"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8F06070" w14:textId="77777777" w:rsidR="00BB65EF" w:rsidRPr="006511BE" w:rsidRDefault="00C06787">
      <w:pPr>
        <w:spacing w:after="0" w:line="276" w:lineRule="auto"/>
        <w:ind w:left="851" w:right="902"/>
        <w:jc w:val="both"/>
        <w:rPr>
          <w:rFonts w:ascii="Palatino Linotype" w:eastAsia="Palatino Linotype" w:hAnsi="Palatino Linotype" w:cs="Palatino Linotype"/>
          <w:b/>
          <w:i/>
        </w:rPr>
      </w:pPr>
      <w:r w:rsidRPr="006511BE">
        <w:rPr>
          <w:rFonts w:ascii="Palatino Linotype" w:eastAsia="Palatino Linotype" w:hAnsi="Palatino Linotype" w:cs="Palatino Linotype"/>
          <w:b/>
        </w:rPr>
        <w:t>“</w:t>
      </w:r>
      <w:r w:rsidRPr="006511BE">
        <w:rPr>
          <w:rFonts w:ascii="Palatino Linotype" w:eastAsia="Palatino Linotype" w:hAnsi="Palatino Linotype" w:cs="Palatino Linotype"/>
          <w:b/>
          <w:i/>
        </w:rPr>
        <w:t>CRITERIO 0002-11</w:t>
      </w:r>
    </w:p>
    <w:p w14:paraId="58B069E0"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511BE">
        <w:rPr>
          <w:rFonts w:ascii="Palatino Linotype" w:eastAsia="Palatino Linotype" w:hAnsi="Palatino Linotype" w:cs="Palatino Linotype"/>
          <w:i/>
        </w:rPr>
        <w:t xml:space="preserve"> De conformidad con los artículos antes referidos, el derecho de acceso a la información pública, se </w:t>
      </w:r>
      <w:r w:rsidRPr="006511BE">
        <w:rPr>
          <w:rFonts w:ascii="Palatino Linotype" w:eastAsia="Palatino Linotype" w:hAnsi="Palatino Linotype" w:cs="Palatino Linotype"/>
          <w:i/>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DA9144"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En </w:t>
      </w:r>
      <w:proofErr w:type="gramStart"/>
      <w:r w:rsidRPr="006511BE">
        <w:rPr>
          <w:rFonts w:ascii="Palatino Linotype" w:eastAsia="Palatino Linotype" w:hAnsi="Palatino Linotype" w:cs="Palatino Linotype"/>
          <w:i/>
        </w:rPr>
        <w:t>consecuencia</w:t>
      </w:r>
      <w:proofErr w:type="gramEnd"/>
      <w:r w:rsidRPr="006511BE">
        <w:rPr>
          <w:rFonts w:ascii="Palatino Linotype" w:eastAsia="Palatino Linotype" w:hAnsi="Palatino Linotype" w:cs="Palatino Linotype"/>
          <w:i/>
        </w:rPr>
        <w:t xml:space="preserve"> el acceso a la información se refiere a que se cumplan cualquiera de los siguientes tres supuestos:</w:t>
      </w:r>
    </w:p>
    <w:p w14:paraId="16039DD8"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1) Que se trate de información registrada en cualquier soporte documental, </w:t>
      </w:r>
      <w:proofErr w:type="gramStart"/>
      <w:r w:rsidRPr="006511BE">
        <w:rPr>
          <w:rFonts w:ascii="Palatino Linotype" w:eastAsia="Palatino Linotype" w:hAnsi="Palatino Linotype" w:cs="Palatino Linotype"/>
          <w:i/>
        </w:rPr>
        <w:t>que</w:t>
      </w:r>
      <w:proofErr w:type="gramEnd"/>
      <w:r w:rsidRPr="006511BE">
        <w:rPr>
          <w:rFonts w:ascii="Palatino Linotype" w:eastAsia="Palatino Linotype" w:hAnsi="Palatino Linotype" w:cs="Palatino Linotype"/>
          <w:i/>
        </w:rPr>
        <w:t xml:space="preserve"> en ejercicio de las atribuciones conferidas, sea generada por los Sujetos Obligados;</w:t>
      </w:r>
    </w:p>
    <w:p w14:paraId="23CB2D88"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2) Que se trate de información registrada en cualquier soporte documental, </w:t>
      </w:r>
      <w:proofErr w:type="gramStart"/>
      <w:r w:rsidRPr="006511BE">
        <w:rPr>
          <w:rFonts w:ascii="Palatino Linotype" w:eastAsia="Palatino Linotype" w:hAnsi="Palatino Linotype" w:cs="Palatino Linotype"/>
          <w:i/>
        </w:rPr>
        <w:t>que</w:t>
      </w:r>
      <w:proofErr w:type="gramEnd"/>
      <w:r w:rsidRPr="006511BE">
        <w:rPr>
          <w:rFonts w:ascii="Palatino Linotype" w:eastAsia="Palatino Linotype" w:hAnsi="Palatino Linotype" w:cs="Palatino Linotype"/>
          <w:i/>
        </w:rPr>
        <w:t xml:space="preserve"> en ejercicio de las atribuciones conferidas, sea administrada por los Sujetos Obligados, y</w:t>
      </w:r>
    </w:p>
    <w:p w14:paraId="449E7E84"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3) Que se trate de información registrada en cualquier soporte documental, </w:t>
      </w:r>
      <w:proofErr w:type="gramStart"/>
      <w:r w:rsidRPr="006511BE">
        <w:rPr>
          <w:rFonts w:ascii="Palatino Linotype" w:eastAsia="Palatino Linotype" w:hAnsi="Palatino Linotype" w:cs="Palatino Linotype"/>
          <w:i/>
        </w:rPr>
        <w:t>que</w:t>
      </w:r>
      <w:proofErr w:type="gramEnd"/>
      <w:r w:rsidRPr="006511BE">
        <w:rPr>
          <w:rFonts w:ascii="Palatino Linotype" w:eastAsia="Palatino Linotype" w:hAnsi="Palatino Linotype" w:cs="Palatino Linotype"/>
          <w:i/>
        </w:rPr>
        <w:t xml:space="preserve"> en ejercicio de las atribuciones conferidas, se encuentre en posesión de los Sujetos Obligados.” </w:t>
      </w:r>
    </w:p>
    <w:p w14:paraId="0F686C11" w14:textId="77777777" w:rsidR="00BB65EF" w:rsidRPr="006511BE" w:rsidRDefault="00BB65EF">
      <w:pPr>
        <w:spacing w:after="0" w:line="276" w:lineRule="auto"/>
        <w:ind w:left="851" w:right="899"/>
        <w:jc w:val="both"/>
        <w:rPr>
          <w:rFonts w:ascii="Palatino Linotype" w:eastAsia="Palatino Linotype" w:hAnsi="Palatino Linotype" w:cs="Palatino Linotype"/>
          <w:sz w:val="24"/>
          <w:szCs w:val="24"/>
        </w:rPr>
      </w:pPr>
    </w:p>
    <w:p w14:paraId="3406810C"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De ahí que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511BE">
        <w:rPr>
          <w:rFonts w:ascii="Palatino Linotype" w:eastAsia="Palatino Linotype" w:hAnsi="Palatino Linotype" w:cs="Palatino Linotype"/>
          <w:sz w:val="24"/>
          <w:szCs w:val="24"/>
          <w:vertAlign w:val="superscript"/>
        </w:rPr>
        <w:footnoteReference w:id="1"/>
      </w:r>
      <w:r w:rsidRPr="006511BE">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6511BE">
        <w:rPr>
          <w:rFonts w:ascii="Palatino Linotype" w:eastAsia="Palatino Linotype" w:hAnsi="Palatino Linotype" w:cs="Palatino Linotype"/>
          <w:sz w:val="24"/>
          <w:szCs w:val="24"/>
        </w:rPr>
        <w:lastRenderedPageBreak/>
        <w:t>actividades que llevan a cabo los Sujetos Obligados</w:t>
      </w:r>
      <w:r w:rsidRPr="006511BE">
        <w:rPr>
          <w:rFonts w:ascii="Palatino Linotype" w:eastAsia="Palatino Linotype" w:hAnsi="Palatino Linotype" w:cs="Palatino Linotype"/>
          <w:sz w:val="24"/>
          <w:szCs w:val="24"/>
          <w:vertAlign w:val="superscript"/>
        </w:rPr>
        <w:footnoteReference w:id="2"/>
      </w:r>
      <w:r w:rsidRPr="006511BE">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78917E06"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009CB620"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sz w:val="24"/>
          <w:szCs w:val="24"/>
        </w:rPr>
        <w:t>Aclarado lo anterior</w:t>
      </w:r>
      <w:r w:rsidRPr="006511BE">
        <w:rPr>
          <w:rFonts w:ascii="Palatino Linotype" w:eastAsia="Palatino Linotype" w:hAnsi="Palatino Linotype" w:cs="Palatino Linotype"/>
          <w:color w:val="000000"/>
          <w:sz w:val="24"/>
          <w:szCs w:val="24"/>
        </w:rPr>
        <w:t xml:space="preserve">, de esta manera, se procede al análisis de la respuesta e informe justificado proporcionado por </w:t>
      </w:r>
      <w:r w:rsidRPr="006511BE">
        <w:rPr>
          <w:rFonts w:ascii="Palatino Linotype" w:eastAsia="Palatino Linotype" w:hAnsi="Palatino Linotype" w:cs="Palatino Linotype"/>
          <w:b/>
          <w:color w:val="000000"/>
          <w:sz w:val="24"/>
          <w:szCs w:val="24"/>
        </w:rPr>
        <w:t>EL</w:t>
      </w:r>
      <w:r w:rsidRPr="006511BE">
        <w:rPr>
          <w:rFonts w:ascii="Palatino Linotype" w:eastAsia="Palatino Linotype" w:hAnsi="Palatino Linotype" w:cs="Palatino Linotype"/>
          <w:color w:val="000000"/>
          <w:sz w:val="24"/>
          <w:szCs w:val="24"/>
        </w:rPr>
        <w:t xml:space="preserve"> </w:t>
      </w:r>
      <w:r w:rsidRPr="006511BE">
        <w:rPr>
          <w:rFonts w:ascii="Palatino Linotype" w:eastAsia="Palatino Linotype" w:hAnsi="Palatino Linotype" w:cs="Palatino Linotype"/>
          <w:b/>
          <w:color w:val="000000"/>
          <w:sz w:val="24"/>
          <w:szCs w:val="24"/>
        </w:rPr>
        <w:t>SUJETO OBLIGADO</w:t>
      </w:r>
      <w:r w:rsidRPr="006511BE">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6511BE">
        <w:rPr>
          <w:rFonts w:ascii="Palatino Linotype" w:eastAsia="Palatino Linotype" w:hAnsi="Palatino Linotype" w:cs="Palatino Linotype"/>
          <w:b/>
          <w:color w:val="000000"/>
          <w:sz w:val="24"/>
          <w:szCs w:val="24"/>
        </w:rPr>
        <w:t>LA PARTE</w:t>
      </w:r>
      <w:r w:rsidRPr="006511BE">
        <w:rPr>
          <w:rFonts w:ascii="Palatino Linotype" w:eastAsia="Palatino Linotype" w:hAnsi="Palatino Linotype" w:cs="Palatino Linotype"/>
          <w:color w:val="000000"/>
          <w:sz w:val="24"/>
          <w:szCs w:val="24"/>
        </w:rPr>
        <w:t xml:space="preserve"> </w:t>
      </w:r>
      <w:r w:rsidRPr="006511BE">
        <w:rPr>
          <w:rFonts w:ascii="Palatino Linotype" w:eastAsia="Palatino Linotype" w:hAnsi="Palatino Linotype" w:cs="Palatino Linotype"/>
          <w:b/>
          <w:color w:val="000000"/>
          <w:sz w:val="24"/>
          <w:szCs w:val="24"/>
        </w:rPr>
        <w:t>RECURRENTE</w:t>
      </w:r>
      <w:r w:rsidRPr="006511BE">
        <w:rPr>
          <w:rFonts w:ascii="Palatino Linotype" w:eastAsia="Palatino Linotype" w:hAnsi="Palatino Linotype" w:cs="Palatino Linotype"/>
          <w:color w:val="000000"/>
          <w:sz w:val="24"/>
          <w:szCs w:val="24"/>
        </w:rPr>
        <w:t>, o en su defecto ordenar la entrega del o los documentos que lo satisfagan.</w:t>
      </w:r>
    </w:p>
    <w:p w14:paraId="1703AC8A" w14:textId="77777777" w:rsidR="00BB65EF" w:rsidRPr="006511BE" w:rsidRDefault="00BB65EF">
      <w:pPr>
        <w:spacing w:after="0" w:line="360" w:lineRule="auto"/>
        <w:jc w:val="both"/>
        <w:rPr>
          <w:rFonts w:ascii="Palatino Linotype" w:eastAsia="Palatino Linotype" w:hAnsi="Palatino Linotype" w:cs="Palatino Linotype"/>
          <w:sz w:val="24"/>
          <w:szCs w:val="24"/>
        </w:rPr>
      </w:pP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276"/>
      </w:tblGrid>
      <w:tr w:rsidR="00BB65EF" w:rsidRPr="006511BE" w14:paraId="7362EA25" w14:textId="77777777">
        <w:tc>
          <w:tcPr>
            <w:tcW w:w="2263" w:type="dxa"/>
            <w:shd w:val="clear" w:color="auto" w:fill="AEAAAA"/>
          </w:tcPr>
          <w:p w14:paraId="02FEE57B" w14:textId="77777777" w:rsidR="00BB65EF" w:rsidRPr="006511BE" w:rsidRDefault="00C06787">
            <w:pPr>
              <w:spacing w:line="360" w:lineRule="auto"/>
              <w:jc w:val="center"/>
              <w:rPr>
                <w:rFonts w:ascii="Palatino Linotype" w:eastAsia="Palatino Linotype" w:hAnsi="Palatino Linotype" w:cs="Palatino Linotype"/>
                <w:b/>
                <w:color w:val="000000"/>
                <w:sz w:val="20"/>
                <w:szCs w:val="20"/>
              </w:rPr>
            </w:pPr>
            <w:r w:rsidRPr="006511BE">
              <w:rPr>
                <w:rFonts w:ascii="Palatino Linotype" w:eastAsia="Palatino Linotype" w:hAnsi="Palatino Linotype" w:cs="Palatino Linotype"/>
                <w:b/>
                <w:color w:val="000000"/>
                <w:sz w:val="20"/>
                <w:szCs w:val="20"/>
              </w:rPr>
              <w:t>Solicitud</w:t>
            </w:r>
          </w:p>
        </w:tc>
        <w:tc>
          <w:tcPr>
            <w:tcW w:w="5245" w:type="dxa"/>
            <w:shd w:val="clear" w:color="auto" w:fill="AEAAAA"/>
          </w:tcPr>
          <w:p w14:paraId="07B65945" w14:textId="77777777" w:rsidR="00BB65EF" w:rsidRPr="006511BE" w:rsidRDefault="00C06787">
            <w:pPr>
              <w:spacing w:line="360" w:lineRule="auto"/>
              <w:jc w:val="center"/>
              <w:rPr>
                <w:rFonts w:ascii="Palatino Linotype" w:eastAsia="Palatino Linotype" w:hAnsi="Palatino Linotype" w:cs="Palatino Linotype"/>
                <w:b/>
                <w:color w:val="000000"/>
                <w:sz w:val="20"/>
                <w:szCs w:val="20"/>
              </w:rPr>
            </w:pPr>
            <w:r w:rsidRPr="006511BE">
              <w:rPr>
                <w:rFonts w:ascii="Palatino Linotype" w:eastAsia="Palatino Linotype" w:hAnsi="Palatino Linotype" w:cs="Palatino Linotype"/>
                <w:b/>
                <w:color w:val="000000"/>
                <w:sz w:val="20"/>
                <w:szCs w:val="20"/>
              </w:rPr>
              <w:t>Respuesta</w:t>
            </w:r>
          </w:p>
        </w:tc>
        <w:tc>
          <w:tcPr>
            <w:tcW w:w="1276" w:type="dxa"/>
            <w:shd w:val="clear" w:color="auto" w:fill="AEAAAA"/>
          </w:tcPr>
          <w:p w14:paraId="798B6307" w14:textId="77777777" w:rsidR="00BB65EF" w:rsidRPr="006511BE" w:rsidRDefault="00C06787">
            <w:pPr>
              <w:spacing w:line="360" w:lineRule="auto"/>
              <w:jc w:val="center"/>
              <w:rPr>
                <w:rFonts w:ascii="Palatino Linotype" w:eastAsia="Palatino Linotype" w:hAnsi="Palatino Linotype" w:cs="Palatino Linotype"/>
                <w:b/>
                <w:color w:val="000000"/>
                <w:sz w:val="20"/>
                <w:szCs w:val="20"/>
              </w:rPr>
            </w:pPr>
            <w:r w:rsidRPr="006511BE">
              <w:rPr>
                <w:rFonts w:ascii="Palatino Linotype" w:eastAsia="Palatino Linotype" w:hAnsi="Palatino Linotype" w:cs="Palatino Linotype"/>
                <w:b/>
                <w:color w:val="000000"/>
                <w:sz w:val="20"/>
                <w:szCs w:val="20"/>
              </w:rPr>
              <w:t>Informe Justificado</w:t>
            </w:r>
          </w:p>
        </w:tc>
      </w:tr>
      <w:tr w:rsidR="00BB65EF" w:rsidRPr="006511BE" w14:paraId="0C28D9D0" w14:textId="77777777">
        <w:tc>
          <w:tcPr>
            <w:tcW w:w="2263" w:type="dxa"/>
            <w:shd w:val="clear" w:color="auto" w:fill="auto"/>
          </w:tcPr>
          <w:p w14:paraId="34BD8840" w14:textId="77777777" w:rsidR="00BB65EF" w:rsidRPr="006511BE" w:rsidRDefault="00C06787">
            <w:pPr>
              <w:spacing w:line="240" w:lineRule="auto"/>
              <w:jc w:val="both"/>
              <w:rPr>
                <w:rFonts w:ascii="Palatino Linotype" w:eastAsia="Palatino Linotype" w:hAnsi="Palatino Linotype" w:cs="Palatino Linotype"/>
                <w:color w:val="000000"/>
                <w:sz w:val="20"/>
                <w:szCs w:val="20"/>
              </w:rPr>
            </w:pPr>
            <w:r w:rsidRPr="006511BE">
              <w:rPr>
                <w:rFonts w:ascii="Palatino Linotype" w:eastAsia="Palatino Linotype" w:hAnsi="Palatino Linotype" w:cs="Palatino Linotype"/>
                <w:color w:val="000000"/>
                <w:sz w:val="20"/>
                <w:szCs w:val="20"/>
              </w:rPr>
              <w:t>Del proyecto del Cóporo:</w:t>
            </w:r>
          </w:p>
          <w:p w14:paraId="6620CDFF" w14:textId="77777777" w:rsidR="00BB65EF" w:rsidRPr="006511BE" w:rsidRDefault="00C06787">
            <w:pPr>
              <w:spacing w:line="240" w:lineRule="auto"/>
              <w:jc w:val="both"/>
              <w:rPr>
                <w:rFonts w:ascii="Palatino Linotype" w:eastAsia="Palatino Linotype" w:hAnsi="Palatino Linotype" w:cs="Palatino Linotype"/>
                <w:color w:val="000000"/>
                <w:sz w:val="20"/>
                <w:szCs w:val="20"/>
              </w:rPr>
            </w:pPr>
            <w:r w:rsidRPr="006511BE">
              <w:rPr>
                <w:rFonts w:ascii="Palatino Linotype" w:eastAsia="Palatino Linotype" w:hAnsi="Palatino Linotype" w:cs="Palatino Linotype"/>
                <w:color w:val="000000"/>
                <w:sz w:val="20"/>
                <w:szCs w:val="20"/>
              </w:rPr>
              <w:t>El presupuesto ejercido.</w:t>
            </w:r>
          </w:p>
          <w:p w14:paraId="138BAC2C" w14:textId="77777777" w:rsidR="00BB65EF" w:rsidRPr="006511BE" w:rsidRDefault="00C06787">
            <w:pPr>
              <w:spacing w:line="240" w:lineRule="auto"/>
              <w:jc w:val="both"/>
              <w:rPr>
                <w:rFonts w:ascii="Palatino Linotype" w:eastAsia="Palatino Linotype" w:hAnsi="Palatino Linotype" w:cs="Palatino Linotype"/>
                <w:color w:val="000000"/>
                <w:sz w:val="20"/>
                <w:szCs w:val="20"/>
              </w:rPr>
            </w:pPr>
            <w:proofErr w:type="gramStart"/>
            <w:r w:rsidRPr="006511BE">
              <w:rPr>
                <w:rFonts w:ascii="Palatino Linotype" w:eastAsia="Palatino Linotype" w:hAnsi="Palatino Linotype" w:cs="Palatino Linotype"/>
                <w:color w:val="000000"/>
                <w:sz w:val="20"/>
                <w:szCs w:val="20"/>
              </w:rPr>
              <w:t>La facturas pagadas</w:t>
            </w:r>
            <w:proofErr w:type="gramEnd"/>
            <w:r w:rsidRPr="006511BE">
              <w:rPr>
                <w:rFonts w:ascii="Palatino Linotype" w:eastAsia="Palatino Linotype" w:hAnsi="Palatino Linotype" w:cs="Palatino Linotype"/>
                <w:color w:val="000000"/>
                <w:sz w:val="20"/>
                <w:szCs w:val="20"/>
              </w:rPr>
              <w:t>.</w:t>
            </w:r>
          </w:p>
          <w:p w14:paraId="7058C31D" w14:textId="77777777" w:rsidR="00BB65EF" w:rsidRPr="006511BE" w:rsidRDefault="00C06787">
            <w:pPr>
              <w:spacing w:line="240" w:lineRule="auto"/>
              <w:jc w:val="both"/>
              <w:rPr>
                <w:rFonts w:ascii="Palatino Linotype" w:eastAsia="Palatino Linotype" w:hAnsi="Palatino Linotype" w:cs="Palatino Linotype"/>
                <w:color w:val="000000"/>
                <w:sz w:val="20"/>
                <w:szCs w:val="20"/>
              </w:rPr>
            </w:pPr>
            <w:r w:rsidRPr="006511BE">
              <w:rPr>
                <w:rFonts w:ascii="Palatino Linotype" w:eastAsia="Palatino Linotype" w:hAnsi="Palatino Linotype" w:cs="Palatino Linotype"/>
                <w:color w:val="000000"/>
                <w:sz w:val="20"/>
                <w:szCs w:val="20"/>
              </w:rPr>
              <w:t>Los resultados.</w:t>
            </w:r>
          </w:p>
          <w:p w14:paraId="1842130B" w14:textId="77777777" w:rsidR="00BB65EF" w:rsidRPr="006511BE" w:rsidRDefault="00C06787">
            <w:pPr>
              <w:spacing w:line="240" w:lineRule="auto"/>
              <w:jc w:val="both"/>
              <w:rPr>
                <w:rFonts w:ascii="Palatino Linotype" w:eastAsia="Palatino Linotype" w:hAnsi="Palatino Linotype" w:cs="Palatino Linotype"/>
                <w:color w:val="000000"/>
                <w:sz w:val="20"/>
                <w:szCs w:val="20"/>
              </w:rPr>
            </w:pPr>
            <w:r w:rsidRPr="006511BE">
              <w:rPr>
                <w:rFonts w:ascii="Palatino Linotype" w:eastAsia="Palatino Linotype" w:hAnsi="Palatino Linotype" w:cs="Palatino Linotype"/>
                <w:color w:val="000000"/>
                <w:sz w:val="20"/>
                <w:szCs w:val="20"/>
              </w:rPr>
              <w:t xml:space="preserve">Nombre de personas beneficiarios. </w:t>
            </w:r>
          </w:p>
        </w:tc>
        <w:tc>
          <w:tcPr>
            <w:tcW w:w="5245" w:type="dxa"/>
            <w:shd w:val="clear" w:color="auto" w:fill="auto"/>
          </w:tcPr>
          <w:p w14:paraId="39E148DD" w14:textId="77777777" w:rsidR="00BB65EF" w:rsidRPr="006511BE" w:rsidRDefault="00C06787">
            <w:pPr>
              <w:spacing w:line="240" w:lineRule="auto"/>
              <w:jc w:val="both"/>
              <w:rPr>
                <w:rFonts w:ascii="Palatino Linotype" w:eastAsia="Palatino Linotype" w:hAnsi="Palatino Linotype" w:cs="Palatino Linotype"/>
                <w:sz w:val="20"/>
                <w:szCs w:val="20"/>
              </w:rPr>
            </w:pPr>
            <w:r w:rsidRPr="006511BE">
              <w:rPr>
                <w:rFonts w:ascii="Palatino Linotype" w:eastAsia="Palatino Linotype" w:hAnsi="Palatino Linotype" w:cs="Palatino Linotype"/>
                <w:sz w:val="20"/>
                <w:szCs w:val="20"/>
              </w:rPr>
              <w:t xml:space="preserve">- La Tesorería Municipal informo que la información solicitada ya se encuentra pública, señalando que anexa una guía por medio de la cual se podrá acceder a la página electrónica del Ayuntamiento de Toluca, a fin de visualizar la Caratula de Presupuesto de Egresos, de los ejercicios fiscales 2023 y 2024, ya que no se cuenta con una factura, por no haberse generado, poseído y/o administrado; sin embargo, con el fin de visualizar lo requerido, se puntualiza el concepto denominado Capítulo 2000, además que cuenta con la información presupuestal de manera general y no así en específico para el proyecto del Coporo. </w:t>
            </w:r>
          </w:p>
          <w:p w14:paraId="12B52526" w14:textId="77777777" w:rsidR="00BB65EF" w:rsidRPr="006511BE" w:rsidRDefault="00C06787">
            <w:pPr>
              <w:spacing w:line="240" w:lineRule="auto"/>
              <w:jc w:val="both"/>
              <w:rPr>
                <w:rFonts w:ascii="Palatino Linotype" w:eastAsia="Palatino Linotype" w:hAnsi="Palatino Linotype" w:cs="Palatino Linotype"/>
                <w:sz w:val="20"/>
                <w:szCs w:val="20"/>
              </w:rPr>
            </w:pPr>
            <w:r w:rsidRPr="006511BE">
              <w:rPr>
                <w:rFonts w:ascii="Palatino Linotype" w:eastAsia="Palatino Linotype" w:hAnsi="Palatino Linotype" w:cs="Palatino Linotype"/>
                <w:sz w:val="20"/>
                <w:szCs w:val="20"/>
              </w:rPr>
              <w:t xml:space="preserve">Proporciona: Caratula del Presupuesto de Egresos 2023 y 2024. </w:t>
            </w:r>
          </w:p>
          <w:p w14:paraId="4A5ED4A2" w14:textId="77777777" w:rsidR="00BB65EF" w:rsidRPr="006511BE" w:rsidRDefault="00C06787">
            <w:pPr>
              <w:spacing w:line="240" w:lineRule="auto"/>
              <w:jc w:val="both"/>
              <w:rPr>
                <w:rFonts w:ascii="Palatino Linotype" w:eastAsia="Palatino Linotype" w:hAnsi="Palatino Linotype" w:cs="Palatino Linotype"/>
                <w:sz w:val="20"/>
                <w:szCs w:val="20"/>
              </w:rPr>
            </w:pPr>
            <w:r w:rsidRPr="006511BE">
              <w:rPr>
                <w:rFonts w:ascii="Palatino Linotype" w:eastAsia="Palatino Linotype" w:hAnsi="Palatino Linotype" w:cs="Palatino Linotype"/>
                <w:sz w:val="20"/>
                <w:szCs w:val="20"/>
              </w:rPr>
              <w:lastRenderedPageBreak/>
              <w:t>- La Dirección General de Desarrollo Social y Servidora Pública, informó que después de realizar una búsqueda exhaustiva y minuciosa en los archivos de la Dirección General no se encontró información relativa al proyecto del Cóporo, el presupuesto ejercido, las facturas pagadas, los resultados y el nombre de las personas beneficiadas.</w:t>
            </w:r>
          </w:p>
        </w:tc>
        <w:tc>
          <w:tcPr>
            <w:tcW w:w="1276" w:type="dxa"/>
          </w:tcPr>
          <w:p w14:paraId="33101CAD" w14:textId="77777777" w:rsidR="00BB65EF" w:rsidRPr="006511BE" w:rsidRDefault="00C06787">
            <w:pPr>
              <w:spacing w:line="240" w:lineRule="auto"/>
              <w:jc w:val="both"/>
              <w:rPr>
                <w:rFonts w:ascii="Palatino Linotype" w:eastAsia="Palatino Linotype" w:hAnsi="Palatino Linotype" w:cs="Palatino Linotype"/>
                <w:sz w:val="20"/>
                <w:szCs w:val="20"/>
              </w:rPr>
            </w:pPr>
            <w:r w:rsidRPr="006511BE">
              <w:rPr>
                <w:rFonts w:ascii="Palatino Linotype" w:eastAsia="Palatino Linotype" w:hAnsi="Palatino Linotype" w:cs="Palatino Linotype"/>
                <w:sz w:val="20"/>
                <w:szCs w:val="20"/>
              </w:rPr>
              <w:lastRenderedPageBreak/>
              <w:t xml:space="preserve">Ratifica. </w:t>
            </w:r>
          </w:p>
        </w:tc>
      </w:tr>
    </w:tbl>
    <w:p w14:paraId="1638C68C"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1B25B55D"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En primera instancia, es de mencionar que la respuesta fue proporcionada por la Tesorería Municipal, quien cuenta con las siguientes atribuciones:</w:t>
      </w:r>
    </w:p>
    <w:p w14:paraId="10AB75B9"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CCFF1E2" w14:textId="77777777" w:rsidR="00BB65EF" w:rsidRPr="006511BE" w:rsidRDefault="00C06787">
      <w:pPr>
        <w:spacing w:after="0" w:line="276" w:lineRule="auto"/>
        <w:ind w:left="851" w:right="902"/>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LEY ORGÁNICA MUNICIPAL DEL ESTADO DE MÉXICO</w:t>
      </w:r>
    </w:p>
    <w:p w14:paraId="707F1D00" w14:textId="77777777" w:rsidR="00BB65EF" w:rsidRPr="006511BE" w:rsidRDefault="00BB65EF">
      <w:pPr>
        <w:spacing w:after="0" w:line="276" w:lineRule="auto"/>
        <w:ind w:left="851" w:right="902"/>
        <w:jc w:val="both"/>
        <w:rPr>
          <w:rFonts w:ascii="Palatino Linotype" w:eastAsia="Palatino Linotype" w:hAnsi="Palatino Linotype" w:cs="Palatino Linotype"/>
          <w:b/>
          <w:i/>
        </w:rPr>
      </w:pPr>
    </w:p>
    <w:p w14:paraId="57888827"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95.-</w:t>
      </w:r>
      <w:r w:rsidRPr="006511BE">
        <w:rPr>
          <w:rFonts w:ascii="Palatino Linotype" w:eastAsia="Palatino Linotype" w:hAnsi="Palatino Linotype" w:cs="Palatino Linotype"/>
          <w:i/>
        </w:rPr>
        <w:t xml:space="preserve"> Son atribuciones del tesorero municipal:</w:t>
      </w:r>
    </w:p>
    <w:p w14:paraId="2BDC2373"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I. Administrar la hacienda pública municipal, de conformidad con las disposiciones legales aplicables;</w:t>
      </w:r>
    </w:p>
    <w:p w14:paraId="3748C01B"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7CFE90AA"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IV. Llevar los registros contables, financieros y administrativos de los ingresos, egresos, e inventarios;</w:t>
      </w:r>
    </w:p>
    <w:p w14:paraId="4D00C730"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Artículo 96. </w:t>
      </w:r>
      <w:proofErr w:type="gramStart"/>
      <w:r w:rsidRPr="006511BE">
        <w:rPr>
          <w:rFonts w:ascii="Palatino Linotype" w:eastAsia="Palatino Linotype" w:hAnsi="Palatino Linotype" w:cs="Palatino Linotype"/>
          <w:b/>
          <w:i/>
        </w:rPr>
        <w:t>Bis.-</w:t>
      </w:r>
      <w:proofErr w:type="gramEnd"/>
      <w:r w:rsidRPr="006511BE">
        <w:rPr>
          <w:rFonts w:ascii="Palatino Linotype" w:eastAsia="Palatino Linotype" w:hAnsi="Palatino Linotype" w:cs="Palatino Linotype"/>
          <w:b/>
          <w:i/>
        </w:rPr>
        <w:t xml:space="preserve"> </w:t>
      </w:r>
      <w:r w:rsidRPr="006511BE">
        <w:rPr>
          <w:rFonts w:ascii="Palatino Linotype" w:eastAsia="Palatino Linotype" w:hAnsi="Palatino Linotype" w:cs="Palatino Linotype"/>
          <w:i/>
        </w:rPr>
        <w:t>El Director de Obras Públicas o el Titular de la Unidad Administrativa equivalente, tiene las siguientes atribuciones:</w:t>
      </w:r>
    </w:p>
    <w:p w14:paraId="31E658FA"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w:t>
      </w:r>
      <w:r w:rsidRPr="006511BE">
        <w:rPr>
          <w:rFonts w:ascii="Palatino Linotype" w:eastAsia="Palatino Linotype" w:hAnsi="Palatino Linotype" w:cs="Palatino Linotype"/>
          <w:i/>
        </w:rPr>
        <w:t>)</w:t>
      </w:r>
    </w:p>
    <w:p w14:paraId="6CF02ECF"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V. Determinar y cuantificar los materiales y trabajos necesarios para programas de construcción y mantenimiento de obras públicas y servicios relacionados;</w:t>
      </w:r>
    </w:p>
    <w:p w14:paraId="554099AF"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VI. Vigilar que se cumplan y lleven a cabo los programas de construcción y mantenimiento de obras públicas y servicios relacionados;</w:t>
      </w:r>
    </w:p>
    <w:p w14:paraId="2A54AA5D" w14:textId="77777777" w:rsidR="00BB65EF" w:rsidRPr="006511BE" w:rsidRDefault="00BB65EF">
      <w:pPr>
        <w:spacing w:after="0" w:line="276" w:lineRule="auto"/>
        <w:ind w:left="851" w:right="902"/>
        <w:jc w:val="both"/>
        <w:rPr>
          <w:rFonts w:ascii="Palatino Linotype" w:eastAsia="Palatino Linotype" w:hAnsi="Palatino Linotype" w:cs="Palatino Linotype"/>
          <w:b/>
          <w:i/>
        </w:rPr>
      </w:pPr>
    </w:p>
    <w:p w14:paraId="0D1878D2"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Artículo 96 </w:t>
      </w:r>
      <w:proofErr w:type="spellStart"/>
      <w:r w:rsidRPr="006511BE">
        <w:rPr>
          <w:rFonts w:ascii="Palatino Linotype" w:eastAsia="Palatino Linotype" w:hAnsi="Palatino Linotype" w:cs="Palatino Linotype"/>
          <w:b/>
          <w:i/>
        </w:rPr>
        <w:t>Duodecies</w:t>
      </w:r>
      <w:proofErr w:type="spellEnd"/>
      <w:r w:rsidRPr="006511BE">
        <w:rPr>
          <w:rFonts w:ascii="Palatino Linotype" w:eastAsia="Palatino Linotype" w:hAnsi="Palatino Linotype" w:cs="Palatino Linotype"/>
          <w:i/>
        </w:rPr>
        <w:t xml:space="preserve">. El </w:t>
      </w:r>
      <w:proofErr w:type="gramStart"/>
      <w:r w:rsidRPr="006511BE">
        <w:rPr>
          <w:rFonts w:ascii="Palatino Linotype" w:eastAsia="Palatino Linotype" w:hAnsi="Palatino Linotype" w:cs="Palatino Linotype"/>
          <w:i/>
        </w:rPr>
        <w:t>Director</w:t>
      </w:r>
      <w:proofErr w:type="gramEnd"/>
      <w:r w:rsidRPr="006511BE">
        <w:rPr>
          <w:rFonts w:ascii="Palatino Linotype" w:eastAsia="Palatino Linotype" w:hAnsi="Palatino Linotype" w:cs="Palatino Linotype"/>
          <w:i/>
        </w:rPr>
        <w:t xml:space="preserve"> de Desarrollo Social o equivalente, tiene las siguientes atribuciones:</w:t>
      </w:r>
    </w:p>
    <w:p w14:paraId="7EDFCB41"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6A857AF1"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III. Ejecutar los programas, proyectos y acciones municipales en materia de desarrollo social, de manera coordinada con las instancias correspondientes;</w:t>
      </w:r>
    </w:p>
    <w:p w14:paraId="1DCA52FC"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IV. Proponer e impulsar acciones y obras para el desarrollo comunitario, en coordinación con otras dependencias administrativas del municipio;</w:t>
      </w:r>
    </w:p>
    <w:p w14:paraId="75DE4271" w14:textId="77777777" w:rsidR="00BB65EF" w:rsidRPr="006511BE" w:rsidRDefault="00BB65EF">
      <w:pPr>
        <w:spacing w:after="0" w:line="276" w:lineRule="auto"/>
        <w:ind w:left="851" w:right="902"/>
        <w:jc w:val="both"/>
        <w:rPr>
          <w:rFonts w:ascii="Palatino Linotype" w:eastAsia="Palatino Linotype" w:hAnsi="Palatino Linotype" w:cs="Palatino Linotype"/>
          <w:i/>
        </w:rPr>
      </w:pPr>
    </w:p>
    <w:p w14:paraId="6AA7F264" w14:textId="77777777" w:rsidR="00BB65EF" w:rsidRPr="006511BE" w:rsidRDefault="00BB65EF">
      <w:pPr>
        <w:spacing w:after="0" w:line="276" w:lineRule="auto"/>
        <w:ind w:left="851" w:right="902"/>
        <w:jc w:val="both"/>
        <w:rPr>
          <w:rFonts w:ascii="Palatino Linotype" w:eastAsia="Palatino Linotype" w:hAnsi="Palatino Linotype" w:cs="Palatino Linotype"/>
          <w:i/>
        </w:rPr>
      </w:pPr>
    </w:p>
    <w:p w14:paraId="480AE495"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De acuerdo a lo anterior, la Tesorería Municipal, administra la hacienda pública municipal, llevando los registros contables, financieros y administrativos de los ingresos, egresos, e inventarios, el Dirección de Obras Públicas, determina y cuantifica los materiales y trabajos necesarios para programas de construcción y mantenimiento de obras públicas y servicios relacionados, vigilando que se cumplan y lleven programas de construcción y mantenimiento de obras públicas y servicios relacionados y la Dirección de Desarrollo Social ejecuta los programas, proyectos y acciones municipales en materia de desarrollo social, de manera coordinada con las instancias correspondientes, propone e impulsa acciones y obras para el desarrollo comunitario en coordinación con otras dependencias administrativas del municipio</w:t>
      </w:r>
    </w:p>
    <w:p w14:paraId="64F00470"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66E7347F" w14:textId="77777777" w:rsidR="00BB65EF" w:rsidRPr="006511BE" w:rsidRDefault="00C06787">
      <w:pPr>
        <w:spacing w:after="0" w:line="360" w:lineRule="auto"/>
        <w:ind w:right="49"/>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222222"/>
          <w:sz w:val="24"/>
          <w:szCs w:val="24"/>
        </w:rPr>
        <w:t xml:space="preserve">Por ende, al no pronunciarse todas las áreas competentes, se determina que la respuesta no fue proporcionada por </w:t>
      </w:r>
      <w:r w:rsidRPr="006511BE">
        <w:rPr>
          <w:rFonts w:ascii="Palatino Linotype" w:eastAsia="Palatino Linotype" w:hAnsi="Palatino Linotype" w:cs="Palatino Linotype"/>
          <w:color w:val="000000"/>
          <w:sz w:val="24"/>
          <w:szCs w:val="24"/>
        </w:rPr>
        <w:t>las Unidades Administrativas Competentes,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ED5D6FC" w14:textId="77777777" w:rsidR="00BB65EF" w:rsidRPr="006511BE" w:rsidRDefault="00BB65EF">
      <w:pPr>
        <w:spacing w:after="0" w:line="360" w:lineRule="auto"/>
        <w:ind w:right="49"/>
        <w:jc w:val="both"/>
        <w:rPr>
          <w:rFonts w:ascii="Palatino Linotype" w:eastAsia="Palatino Linotype" w:hAnsi="Palatino Linotype" w:cs="Palatino Linotype"/>
          <w:color w:val="222222"/>
          <w:sz w:val="24"/>
          <w:szCs w:val="24"/>
        </w:rPr>
      </w:pPr>
    </w:p>
    <w:p w14:paraId="7CA55C22" w14:textId="77777777" w:rsidR="00BB65EF" w:rsidRPr="006511BE" w:rsidRDefault="00C06787">
      <w:pPr>
        <w:pBdr>
          <w:top w:val="nil"/>
          <w:left w:val="nil"/>
          <w:bottom w:val="nil"/>
          <w:right w:val="nil"/>
          <w:between w:val="nil"/>
        </w:pBdr>
        <w:spacing w:after="0" w:line="276" w:lineRule="auto"/>
        <w:ind w:left="862" w:right="862"/>
        <w:jc w:val="both"/>
        <w:rPr>
          <w:color w:val="000000"/>
          <w:sz w:val="24"/>
          <w:szCs w:val="24"/>
        </w:rPr>
      </w:pPr>
      <w:r w:rsidRPr="006511BE">
        <w:rPr>
          <w:rFonts w:ascii="Palatino Linotype" w:eastAsia="Palatino Linotype" w:hAnsi="Palatino Linotype" w:cs="Palatino Linotype"/>
          <w:i/>
          <w:color w:val="000000"/>
          <w:sz w:val="24"/>
          <w:szCs w:val="24"/>
        </w:rPr>
        <w:t xml:space="preserve">XXXIX. Servidor público habilitado: Persona encargada dentro de las diversas unidades administrativas o áreas del sujeto obligado, de apoyar, </w:t>
      </w:r>
      <w:r w:rsidRPr="006511BE">
        <w:rPr>
          <w:rFonts w:ascii="Palatino Linotype" w:eastAsia="Palatino Linotype" w:hAnsi="Palatino Linotype" w:cs="Palatino Linotype"/>
          <w:i/>
          <w:color w:val="000000"/>
          <w:sz w:val="24"/>
          <w:szCs w:val="24"/>
        </w:rPr>
        <w:lastRenderedPageBreak/>
        <w:t>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ECC7557" w14:textId="77777777" w:rsidR="00BB65EF" w:rsidRPr="006511BE" w:rsidRDefault="00BB65EF">
      <w:pPr>
        <w:spacing w:after="0" w:line="360" w:lineRule="auto"/>
        <w:rPr>
          <w:rFonts w:ascii="Palatino Linotype" w:eastAsia="Palatino Linotype" w:hAnsi="Palatino Linotype" w:cs="Palatino Linotype"/>
          <w:sz w:val="24"/>
          <w:szCs w:val="24"/>
        </w:rPr>
      </w:pPr>
    </w:p>
    <w:p w14:paraId="34BE8783" w14:textId="77777777" w:rsidR="00BB65EF" w:rsidRPr="006511BE" w:rsidRDefault="00C06787">
      <w:pPr>
        <w:pBdr>
          <w:top w:val="nil"/>
          <w:left w:val="nil"/>
          <w:bottom w:val="nil"/>
          <w:right w:val="nil"/>
          <w:between w:val="nil"/>
        </w:pBdr>
        <w:shd w:val="clear" w:color="auto" w:fill="FFFFFF"/>
        <w:spacing w:after="0" w:line="360" w:lineRule="auto"/>
        <w:jc w:val="both"/>
        <w:rPr>
          <w:color w:val="000000"/>
          <w:sz w:val="24"/>
          <w:szCs w:val="24"/>
        </w:rPr>
      </w:pPr>
      <w:r w:rsidRPr="006511BE">
        <w:rPr>
          <w:rFonts w:ascii="Palatino Linotype" w:eastAsia="Palatino Linotype" w:hAnsi="Palatino Linotype" w:cs="Palatino Linotype"/>
          <w:color w:val="000000"/>
          <w:sz w:val="24"/>
          <w:szCs w:val="24"/>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0C617EA4" w14:textId="77777777" w:rsidR="00BB65EF" w:rsidRPr="006511BE" w:rsidRDefault="00BB65EF">
      <w:pPr>
        <w:spacing w:after="0" w:line="360" w:lineRule="auto"/>
        <w:rPr>
          <w:rFonts w:ascii="Palatino Linotype" w:eastAsia="Palatino Linotype" w:hAnsi="Palatino Linotype" w:cs="Palatino Linotype"/>
          <w:sz w:val="24"/>
          <w:szCs w:val="24"/>
        </w:rPr>
      </w:pPr>
    </w:p>
    <w:p w14:paraId="13440916" w14:textId="77777777" w:rsidR="00BB65EF" w:rsidRPr="006511BE" w:rsidRDefault="00C06787">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“Artículo 162. Las unidades de transparencia deberán garantizar que las solicitudes </w:t>
      </w:r>
      <w:r w:rsidRPr="006511BE">
        <w:rPr>
          <w:rFonts w:ascii="Palatino Linotype" w:eastAsia="Palatino Linotype" w:hAnsi="Palatino Linotype" w:cs="Palatino Linotype"/>
          <w:b/>
          <w:i/>
          <w:color w:val="000000"/>
        </w:rPr>
        <w:t xml:space="preserve">se turnen a todas las Áreas competentes </w:t>
      </w:r>
      <w:r w:rsidRPr="006511BE">
        <w:rPr>
          <w:rFonts w:ascii="Palatino Linotype" w:eastAsia="Palatino Linotype" w:hAnsi="Palatino Linotype" w:cs="Palatino Linotype"/>
          <w:i/>
          <w:color w:val="000000"/>
        </w:rPr>
        <w:t>que cuenten con la información o deban tenerla de acuerdo a sus facultades, competencias y funciones, con el objeto de que realicen una búsqueda exhaustiva y razonable de la información solicitada.”</w:t>
      </w:r>
    </w:p>
    <w:p w14:paraId="341D4A9D" w14:textId="77777777" w:rsidR="00BB65EF" w:rsidRPr="006511BE" w:rsidRDefault="00BB65EF">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color w:val="000000"/>
          <w:sz w:val="24"/>
          <w:szCs w:val="24"/>
        </w:rPr>
      </w:pPr>
    </w:p>
    <w:p w14:paraId="62C436A9"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Por consiguiente, se tiene que el procedimiento de búsqueda de la información no se ejecutó conforme a derecho.</w:t>
      </w:r>
    </w:p>
    <w:p w14:paraId="1C71D221"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5970292"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Aclarado lo anterior, es de señalar que </w:t>
      </w:r>
      <w:r w:rsidRPr="006511BE">
        <w:rPr>
          <w:rFonts w:ascii="Palatino Linotype" w:eastAsia="Palatino Linotype" w:hAnsi="Palatino Linotype" w:cs="Palatino Linotype"/>
          <w:color w:val="000000"/>
          <w:sz w:val="24"/>
          <w:szCs w:val="24"/>
        </w:rPr>
        <w:t xml:space="preserve">se localizó una publicación en el medio denominado El Sol de Toluca, en donde se llevaron acabó los trabajos referidos en la solicitud, como se advierte a continuación: </w:t>
      </w:r>
    </w:p>
    <w:p w14:paraId="1D4A78ED" w14:textId="77777777" w:rsidR="00BB65EF" w:rsidRPr="006511BE" w:rsidRDefault="00C06787">
      <w:pPr>
        <w:spacing w:after="120" w:line="360" w:lineRule="auto"/>
        <w:jc w:val="both"/>
      </w:pPr>
      <w:r w:rsidRPr="006511BE">
        <w:rPr>
          <w:noProof/>
        </w:rPr>
        <w:lastRenderedPageBreak/>
        <w:drawing>
          <wp:inline distT="0" distB="0" distL="0" distR="0" wp14:anchorId="2BDCE74D" wp14:editId="54A2528F">
            <wp:extent cx="5573873" cy="4746586"/>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6248" b="2457"/>
                    <a:stretch>
                      <a:fillRect/>
                    </a:stretch>
                  </pic:blipFill>
                  <pic:spPr>
                    <a:xfrm>
                      <a:off x="0" y="0"/>
                      <a:ext cx="5573873" cy="4746586"/>
                    </a:xfrm>
                    <a:prstGeom prst="rect">
                      <a:avLst/>
                    </a:prstGeom>
                    <a:ln/>
                  </pic:spPr>
                </pic:pic>
              </a:graphicData>
            </a:graphic>
          </wp:inline>
        </w:drawing>
      </w:r>
    </w:p>
    <w:p w14:paraId="4D0DE66D"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Con base a lo anterior, podemos concluir que hay un indicio de que se llevó a cabo dicho acto, sirve de sustento a lo anterior </w:t>
      </w:r>
      <w:r w:rsidRPr="006511BE">
        <w:rPr>
          <w:rFonts w:ascii="Palatino Linotype" w:eastAsia="Palatino Linotype" w:hAnsi="Palatino Linotype" w:cs="Palatino Linotype"/>
          <w:color w:val="000000"/>
          <w:sz w:val="24"/>
          <w:szCs w:val="24"/>
        </w:rPr>
        <w:t>las siguientes tesis jurisprudenciales</w:t>
      </w:r>
      <w:r w:rsidRPr="006511BE">
        <w:rPr>
          <w:rFonts w:ascii="Palatino Linotype" w:eastAsia="Palatino Linotype" w:hAnsi="Palatino Linotype" w:cs="Palatino Linotype"/>
          <w:sz w:val="24"/>
          <w:szCs w:val="24"/>
        </w:rPr>
        <w:t>:</w:t>
      </w:r>
    </w:p>
    <w:p w14:paraId="294DC4A2" w14:textId="77777777" w:rsidR="00BB65EF" w:rsidRPr="006511BE" w:rsidRDefault="00BB65EF">
      <w:pPr>
        <w:spacing w:after="0" w:line="276" w:lineRule="auto"/>
        <w:ind w:left="567" w:right="618"/>
        <w:jc w:val="center"/>
        <w:rPr>
          <w:rFonts w:ascii="Palatino Linotype" w:eastAsia="Palatino Linotype" w:hAnsi="Palatino Linotype" w:cs="Palatino Linotype"/>
          <w:sz w:val="24"/>
          <w:szCs w:val="24"/>
        </w:rPr>
      </w:pPr>
    </w:p>
    <w:p w14:paraId="277D36F2" w14:textId="77777777" w:rsidR="00BB65EF" w:rsidRPr="006511BE" w:rsidRDefault="00C06787">
      <w:pPr>
        <w:spacing w:after="0" w:line="276" w:lineRule="auto"/>
        <w:ind w:left="567" w:right="618"/>
        <w:jc w:val="center"/>
        <w:rPr>
          <w:rFonts w:ascii="Palatino Linotype" w:eastAsia="Palatino Linotype" w:hAnsi="Palatino Linotype" w:cs="Palatino Linotype"/>
          <w:b/>
          <w:i/>
        </w:rPr>
      </w:pPr>
      <w:r w:rsidRPr="006511BE">
        <w:rPr>
          <w:rFonts w:ascii="Palatino Linotype" w:eastAsia="Palatino Linotype" w:hAnsi="Palatino Linotype" w:cs="Palatino Linotype"/>
          <w:b/>
          <w:i/>
        </w:rPr>
        <w:t>HECHOS NOTORIOS. CONCEPTOS GENERAL Y JURÍDICO</w:t>
      </w:r>
    </w:p>
    <w:p w14:paraId="09B1AF52" w14:textId="77777777" w:rsidR="00BB65EF" w:rsidRPr="006511BE" w:rsidRDefault="00BB65EF">
      <w:pPr>
        <w:spacing w:after="0" w:line="276" w:lineRule="auto"/>
        <w:ind w:left="567" w:right="618"/>
        <w:jc w:val="center"/>
        <w:rPr>
          <w:rFonts w:ascii="Palatino Linotype" w:eastAsia="Palatino Linotype" w:hAnsi="Palatino Linotype" w:cs="Palatino Linotype"/>
          <w:b/>
          <w:i/>
        </w:rPr>
      </w:pPr>
    </w:p>
    <w:p w14:paraId="009F8242" w14:textId="77777777" w:rsidR="00BB65EF" w:rsidRPr="006511BE" w:rsidRDefault="00C06787">
      <w:pPr>
        <w:spacing w:after="0" w:line="276" w:lineRule="auto"/>
        <w:ind w:left="567" w:right="618"/>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Conforme al artículo </w:t>
      </w:r>
      <w:hyperlink r:id="rId9">
        <w:r w:rsidRPr="006511BE">
          <w:rPr>
            <w:rFonts w:ascii="Palatino Linotype" w:eastAsia="Palatino Linotype" w:hAnsi="Palatino Linotype" w:cs="Palatino Linotype"/>
            <w:b/>
            <w:i/>
          </w:rPr>
          <w:t>88 del Código Federal de Procedimientos Civiles</w:t>
        </w:r>
      </w:hyperlink>
      <w:r w:rsidRPr="006511BE">
        <w:rPr>
          <w:rFonts w:ascii="Palatino Linotype" w:eastAsia="Palatino Linotype" w:hAnsi="Palatino Linotype" w:cs="Palatino Linotype"/>
          <w:b/>
          <w:i/>
        </w:rPr>
        <w:t xml:space="preserve"> los tribunales pueden invocar hechos </w:t>
      </w:r>
      <w:proofErr w:type="gramStart"/>
      <w:r w:rsidRPr="006511BE">
        <w:rPr>
          <w:rFonts w:ascii="Palatino Linotype" w:eastAsia="Palatino Linotype" w:hAnsi="Palatino Linotype" w:cs="Palatino Linotype"/>
          <w:b/>
          <w:i/>
        </w:rPr>
        <w:t>notorios</w:t>
      </w:r>
      <w:proofErr w:type="gramEnd"/>
      <w:r w:rsidRPr="006511BE">
        <w:rPr>
          <w:rFonts w:ascii="Palatino Linotype" w:eastAsia="Palatino Linotype" w:hAnsi="Palatino Linotype" w:cs="Palatino Linotype"/>
          <w:b/>
          <w:i/>
        </w:rPr>
        <w:t xml:space="preserve"> aunque no hayan sido alegados ni probados por las partes.</w:t>
      </w:r>
      <w:r w:rsidRPr="006511BE">
        <w:rPr>
          <w:rFonts w:ascii="Palatino Linotype" w:eastAsia="Palatino Linotype" w:hAnsi="Palatino Linotype" w:cs="Palatino Linotype"/>
          <w:i/>
        </w:rPr>
        <w:t xml:space="preserve"> Por hechos notorios deben entenderse, en general, aquellos que por el conocimiento humano se consideran ciertos e indiscutibles, ya sea que </w:t>
      </w:r>
      <w:r w:rsidRPr="006511BE">
        <w:rPr>
          <w:rFonts w:ascii="Palatino Linotype" w:eastAsia="Palatino Linotype" w:hAnsi="Palatino Linotype" w:cs="Palatino Linotype"/>
          <w:i/>
        </w:rPr>
        <w:lastRenderedPageBreak/>
        <w:t>pertenezcan a la historia, a la ciencia, a la naturaleza</w:t>
      </w:r>
      <w:r w:rsidRPr="006511BE">
        <w:rPr>
          <w:rFonts w:ascii="Palatino Linotype" w:eastAsia="Palatino Linotype" w:hAnsi="Palatino Linotype" w:cs="Palatino Linotype"/>
          <w:b/>
          <w:i/>
        </w:rPr>
        <w:t>, a las vicisitudes de la vida pública actual o a circunstancias comúnmente conocidas en un determinado lugar</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rPr>
        <w:t>de modo que toda persona de ese medio esté en condiciones de saberlo</w:t>
      </w:r>
      <w:r w:rsidRPr="006511BE">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254CA90" w14:textId="77777777" w:rsidR="00BB65EF" w:rsidRPr="006511BE" w:rsidRDefault="00C06787">
      <w:pPr>
        <w:spacing w:after="0" w:line="276" w:lineRule="auto"/>
        <w:ind w:left="567" w:right="618"/>
        <w:jc w:val="both"/>
        <w:rPr>
          <w:rFonts w:ascii="Palatino Linotype" w:eastAsia="Palatino Linotype" w:hAnsi="Palatino Linotype" w:cs="Palatino Linotype"/>
          <w:i/>
        </w:rPr>
      </w:pPr>
      <w:r w:rsidRPr="006511BE">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09EBACB7" w14:textId="77777777" w:rsidR="00BB65EF" w:rsidRPr="006511BE" w:rsidRDefault="00C06787">
      <w:pPr>
        <w:spacing w:after="0" w:line="276" w:lineRule="auto"/>
        <w:ind w:left="567" w:right="618"/>
        <w:jc w:val="both"/>
        <w:rPr>
          <w:rFonts w:ascii="Palatino Linotype" w:eastAsia="Palatino Linotype" w:hAnsi="Palatino Linotype" w:cs="Palatino Linotype"/>
          <w:i/>
        </w:rPr>
      </w:pPr>
      <w:r w:rsidRPr="006511BE">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314DA283" w14:textId="77777777" w:rsidR="00BB65EF" w:rsidRPr="006511BE" w:rsidRDefault="00C06787">
      <w:pPr>
        <w:spacing w:after="0" w:line="276" w:lineRule="auto"/>
        <w:ind w:left="567" w:right="618"/>
        <w:jc w:val="both"/>
        <w:rPr>
          <w:rFonts w:ascii="Palatino Linotype" w:eastAsia="Palatino Linotype" w:hAnsi="Palatino Linotype" w:cs="Palatino Linotype"/>
          <w:i/>
        </w:rPr>
      </w:pPr>
      <w:r w:rsidRPr="006511BE">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0A60455F"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A51F659"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Ahora bien, </w:t>
      </w:r>
      <w:r w:rsidRPr="006511BE">
        <w:rPr>
          <w:rFonts w:ascii="Palatino Linotype" w:eastAsia="Palatino Linotype" w:hAnsi="Palatino Linotype" w:cs="Palatino Linotype"/>
          <w:b/>
          <w:sz w:val="24"/>
          <w:szCs w:val="24"/>
        </w:rPr>
        <w:t xml:space="preserve">EL SUJETO OBLIGADO </w:t>
      </w:r>
      <w:r w:rsidRPr="006511BE">
        <w:rPr>
          <w:rFonts w:ascii="Palatino Linotype" w:eastAsia="Palatino Linotype" w:hAnsi="Palatino Linotype" w:cs="Palatino Linotype"/>
          <w:sz w:val="24"/>
          <w:szCs w:val="24"/>
        </w:rPr>
        <w:t>pretende cumplir con la solicitud de información proporcionando la Caratula de Presupuesto de Egresos, de los ejercicios fiscales 2023 y 2024, argumentando que no cuenta con una factura, por no haberse generado, poseído y/o administrado y con el fin de visualizar lo requerido, se puntualiza el concepto denominado Capítulo 2000, además que cuenta con la información presupuestal de manera general y no así en específico para el proyecto del Coporo, sin embargo, en esta documentación no se advierte la información solicitada, como se advierte a continuación:</w:t>
      </w:r>
    </w:p>
    <w:p w14:paraId="25648DF3"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DA6600C" w14:textId="77777777" w:rsidR="00BB65EF" w:rsidRPr="006511BE" w:rsidRDefault="00C06787">
      <w:pPr>
        <w:spacing w:after="0" w:line="360" w:lineRule="auto"/>
        <w:jc w:val="center"/>
        <w:rPr>
          <w:rFonts w:ascii="Palatino Linotype" w:eastAsia="Palatino Linotype" w:hAnsi="Palatino Linotype" w:cs="Palatino Linotype"/>
          <w:sz w:val="24"/>
          <w:szCs w:val="24"/>
        </w:rPr>
      </w:pPr>
      <w:r w:rsidRPr="006511BE">
        <w:rPr>
          <w:rFonts w:ascii="Palatino Linotype" w:eastAsia="Palatino Linotype" w:hAnsi="Palatino Linotype" w:cs="Palatino Linotype"/>
          <w:noProof/>
          <w:sz w:val="24"/>
          <w:szCs w:val="24"/>
        </w:rPr>
        <w:lastRenderedPageBreak/>
        <w:drawing>
          <wp:inline distT="0" distB="0" distL="0" distR="0" wp14:anchorId="72460CC4" wp14:editId="0464ACB9">
            <wp:extent cx="4505237" cy="324919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05237" cy="3249195"/>
                    </a:xfrm>
                    <a:prstGeom prst="rect">
                      <a:avLst/>
                    </a:prstGeom>
                    <a:ln/>
                  </pic:spPr>
                </pic:pic>
              </a:graphicData>
            </a:graphic>
          </wp:inline>
        </w:drawing>
      </w:r>
    </w:p>
    <w:p w14:paraId="12BF6BC0" w14:textId="77777777" w:rsidR="00BB65EF" w:rsidRPr="006511BE" w:rsidRDefault="00BB65EF">
      <w:pPr>
        <w:spacing w:after="0" w:line="276" w:lineRule="auto"/>
        <w:ind w:left="567" w:right="618"/>
        <w:jc w:val="both"/>
        <w:rPr>
          <w:rFonts w:ascii="Palatino Linotype" w:eastAsia="Palatino Linotype" w:hAnsi="Palatino Linotype" w:cs="Palatino Linotype"/>
          <w:sz w:val="24"/>
          <w:szCs w:val="24"/>
        </w:rPr>
      </w:pPr>
    </w:p>
    <w:p w14:paraId="549571DA"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color w:val="000000"/>
          <w:sz w:val="24"/>
          <w:szCs w:val="24"/>
        </w:rPr>
        <w:t xml:space="preserve">Ahora bien, sobre la naturaleza de la información requerida, es necesario señalar que </w:t>
      </w:r>
      <w:r w:rsidRPr="006511BE">
        <w:rPr>
          <w:rFonts w:ascii="Palatino Linotype" w:eastAsia="Palatino Linotype" w:hAnsi="Palatino Linotype" w:cs="Palatino Linotype"/>
          <w:sz w:val="24"/>
          <w:szCs w:val="24"/>
        </w:rPr>
        <w:t xml:space="preserve">la Ley de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entre ellos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los cuales se adjudicarán a través de licitación pública, invitación restringida o adjudicación directa, tal y como lo establecen los artículos 4, 26 y 27 de dicha Ley, los cuales son del tenor siguiente:</w:t>
      </w:r>
    </w:p>
    <w:p w14:paraId="043D8E84"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48911B05"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4.-</w:t>
      </w:r>
      <w:r w:rsidRPr="006511BE">
        <w:rPr>
          <w:rFonts w:ascii="Palatino Linotype" w:eastAsia="Palatino Linotype" w:hAnsi="Palatino Linotype" w:cs="Palatino Linotype"/>
          <w:i/>
        </w:rPr>
        <w:t xml:space="preserve"> Para los efectos de esta Ley, </w:t>
      </w:r>
      <w:r w:rsidRPr="006511BE">
        <w:rPr>
          <w:rFonts w:ascii="Palatino Linotype" w:eastAsia="Palatino Linotype" w:hAnsi="Palatino Linotype" w:cs="Palatino Linotype"/>
          <w:b/>
          <w:i/>
        </w:rPr>
        <w:t>en las adquisiciones, enajenaciones, arrendamientos y servicios, quedan comprendidos</w:t>
      </w:r>
      <w:r w:rsidRPr="006511BE">
        <w:rPr>
          <w:rFonts w:ascii="Palatino Linotype" w:eastAsia="Palatino Linotype" w:hAnsi="Palatino Linotype" w:cs="Palatino Linotype"/>
          <w:i/>
        </w:rPr>
        <w:t>:</w:t>
      </w:r>
    </w:p>
    <w:p w14:paraId="01C66A15"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lastRenderedPageBreak/>
        <w:t>I.</w:t>
      </w:r>
      <w:r w:rsidRPr="006511BE">
        <w:rPr>
          <w:rFonts w:ascii="Palatino Linotype" w:eastAsia="Palatino Linotype" w:hAnsi="Palatino Linotype" w:cs="Palatino Linotype"/>
          <w:i/>
        </w:rPr>
        <w:t xml:space="preserve"> La adquisición de bienes muebles.</w:t>
      </w:r>
    </w:p>
    <w:p w14:paraId="33E0643F"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II</w:t>
      </w:r>
      <w:r w:rsidRPr="006511BE">
        <w:rPr>
          <w:rFonts w:ascii="Palatino Linotype" w:eastAsia="Palatino Linotype" w:hAnsi="Palatino Linotype" w:cs="Palatino Linotype"/>
          <w:i/>
        </w:rPr>
        <w:t>. La adquisición de bienes inmuebles, a través de compraventa.</w:t>
      </w:r>
    </w:p>
    <w:p w14:paraId="42729CB5"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III.</w:t>
      </w:r>
      <w:r w:rsidRPr="006511BE">
        <w:rPr>
          <w:rFonts w:ascii="Palatino Linotype" w:eastAsia="Palatino Linotype" w:hAnsi="Palatino Linotype" w:cs="Palatino Linotype"/>
          <w:i/>
        </w:rPr>
        <w:t xml:space="preserve"> La enajenación de bienes muebles e inmuebles.</w:t>
      </w:r>
    </w:p>
    <w:p w14:paraId="41F291BD"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IV.</w:t>
      </w:r>
      <w:r w:rsidRPr="006511BE">
        <w:rPr>
          <w:rFonts w:ascii="Palatino Linotype" w:eastAsia="Palatino Linotype" w:hAnsi="Palatino Linotype" w:cs="Palatino Linotype"/>
          <w:i/>
        </w:rPr>
        <w:t xml:space="preserve"> El arrendamiento de bienes muebles e inmuebles. </w:t>
      </w:r>
    </w:p>
    <w:p w14:paraId="11CDCC2A"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V</w:t>
      </w:r>
      <w:r w:rsidRPr="006511BE">
        <w:rPr>
          <w:rFonts w:ascii="Palatino Linotype" w:eastAsia="Palatino Linotype" w:hAnsi="Palatino Linotype" w:cs="Palatino Linotype"/>
          <w:i/>
        </w:rPr>
        <w:t>. La contratación de los servicios, relacionados con bienes muebles que se encuentran incorporados o adheridos a bienes inmuebles, cuya instalación o mantenimiento no implique modificación al bien inmueble.</w:t>
      </w:r>
    </w:p>
    <w:p w14:paraId="1F1E2C32"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VI.</w:t>
      </w:r>
      <w:r w:rsidRPr="006511BE">
        <w:rPr>
          <w:rFonts w:ascii="Palatino Linotype" w:eastAsia="Palatino Linotype" w:hAnsi="Palatino Linotype" w:cs="Palatino Linotype"/>
          <w:i/>
        </w:rPr>
        <w:t xml:space="preserve"> La contratación de los servicios de reconstrucción y mantenimiento de bienes muebles. </w:t>
      </w:r>
    </w:p>
    <w:p w14:paraId="639231D5"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VII.</w:t>
      </w:r>
      <w:r w:rsidRPr="006511BE">
        <w:rPr>
          <w:rFonts w:ascii="Palatino Linotype" w:eastAsia="Palatino Linotype" w:hAnsi="Palatino Linotype" w:cs="Palatino Linotype"/>
          <w:i/>
        </w:rPr>
        <w:t xml:space="preserve"> La contratación de los servicios de maquila, seguros y transportación, así como de los de limpieza y vigilancia de bienes inmuebles. </w:t>
      </w:r>
    </w:p>
    <w:p w14:paraId="7A8EB701"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VIII.</w:t>
      </w:r>
      <w:r w:rsidRPr="006511BE">
        <w:rPr>
          <w:rFonts w:ascii="Palatino Linotype" w:eastAsia="Palatino Linotype" w:hAnsi="Palatino Linotype" w:cs="Palatino Linotype"/>
          <w:i/>
        </w:rPr>
        <w:t xml:space="preserve"> La prestación de servicios profesionales, la contratación de consultorías, asesorías y estudios e investigaciones, excepto la contratación de servicios personales de personas físicas bajo el régimen de honorarios. </w:t>
      </w:r>
    </w:p>
    <w:p w14:paraId="500FA084"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En general, otros actos que impliquen la contratación de servicios de cualquier naturaleza</w:t>
      </w:r>
    </w:p>
    <w:p w14:paraId="028DCB3D"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26.-</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rPr>
        <w:t>Las adquisiciones, arrendamientos y servicios se adjudicarán a través de licitaciones públicas</w:t>
      </w:r>
      <w:r w:rsidRPr="006511BE">
        <w:rPr>
          <w:rFonts w:ascii="Palatino Linotype" w:eastAsia="Palatino Linotype" w:hAnsi="Palatino Linotype" w:cs="Palatino Linotype"/>
          <w:i/>
        </w:rPr>
        <w:t xml:space="preserve">, mediante convocatoria pública. </w:t>
      </w:r>
    </w:p>
    <w:p w14:paraId="14BA8A20"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27.</w:t>
      </w:r>
      <w:r w:rsidRPr="006511BE">
        <w:rPr>
          <w:rFonts w:ascii="Palatino Linotype" w:eastAsia="Palatino Linotype" w:hAnsi="Palatino Linotype" w:cs="Palatino Linotype"/>
          <w:i/>
        </w:rPr>
        <w:t xml:space="preserve">- La Secretaría, las entidades, los tribunales administrativos y los ayuntamientos podrán </w:t>
      </w:r>
      <w:r w:rsidRPr="006511BE">
        <w:rPr>
          <w:rFonts w:ascii="Palatino Linotype" w:eastAsia="Palatino Linotype" w:hAnsi="Palatino Linotype" w:cs="Palatino Linotype"/>
          <w:b/>
          <w:i/>
        </w:rPr>
        <w:t>adjudicar adquisiciones, arrendamientos y servicios, mediante las excepciones al procedimiento de licitación</w:t>
      </w:r>
      <w:r w:rsidRPr="006511BE">
        <w:rPr>
          <w:rFonts w:ascii="Palatino Linotype" w:eastAsia="Palatino Linotype" w:hAnsi="Palatino Linotype" w:cs="Palatino Linotype"/>
          <w:i/>
        </w:rPr>
        <w:t xml:space="preserve"> que a continuación se señalan:</w:t>
      </w:r>
    </w:p>
    <w:p w14:paraId="5351B27C"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I</w:t>
      </w:r>
      <w:r w:rsidRPr="006511BE">
        <w:rPr>
          <w:rFonts w:ascii="Palatino Linotype" w:eastAsia="Palatino Linotype" w:hAnsi="Palatino Linotype" w:cs="Palatino Linotype"/>
          <w:i/>
        </w:rPr>
        <w:t>. Invitación restringida.</w:t>
      </w:r>
    </w:p>
    <w:p w14:paraId="00392D1F" w14:textId="77777777" w:rsidR="00BB65EF" w:rsidRPr="006511BE" w:rsidRDefault="00C06787">
      <w:pPr>
        <w:spacing w:after="0" w:line="276" w:lineRule="auto"/>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II.</w:t>
      </w:r>
      <w:r w:rsidRPr="006511BE">
        <w:rPr>
          <w:rFonts w:ascii="Palatino Linotype" w:eastAsia="Palatino Linotype" w:hAnsi="Palatino Linotype" w:cs="Palatino Linotype"/>
          <w:i/>
        </w:rPr>
        <w:t xml:space="preserve"> Adjudicación directa.”</w:t>
      </w:r>
    </w:p>
    <w:p w14:paraId="2C84AB38" w14:textId="77777777" w:rsidR="00BB65EF" w:rsidRPr="006511BE" w:rsidRDefault="00BB65EF">
      <w:pPr>
        <w:spacing w:after="0" w:line="276" w:lineRule="auto"/>
        <w:ind w:left="1134" w:right="902"/>
        <w:jc w:val="both"/>
        <w:rPr>
          <w:rFonts w:ascii="Palatino Linotype" w:eastAsia="Palatino Linotype" w:hAnsi="Palatino Linotype" w:cs="Palatino Linotype"/>
          <w:sz w:val="24"/>
          <w:szCs w:val="24"/>
        </w:rPr>
      </w:pPr>
    </w:p>
    <w:p w14:paraId="78A95C95"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Con base en los preceptos citados se advierte que, por regla general, las adquisiciones, que celebren los entes públicos, deben adjudicarse por regla general mediante licitación pública, sin embargo, también se contemplan como excepciones a dicho proceso, la invitación restringida y la adjudicación directa, procedimientos que son materia de la solicitud presentada por el particular.</w:t>
      </w:r>
    </w:p>
    <w:p w14:paraId="1451B52B"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lastRenderedPageBreak/>
        <w:t>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1DA001F9"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1E786EA6" w14:textId="77777777" w:rsidR="00BB65EF" w:rsidRPr="006511BE" w:rsidRDefault="00C06787">
      <w:pPr>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Artículo 92</w:t>
      </w:r>
      <w:r w:rsidRPr="006511BE">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398AD5" w14:textId="77777777" w:rsidR="00BB65EF" w:rsidRPr="006511BE" w:rsidRDefault="00C06787">
      <w:pPr>
        <w:tabs>
          <w:tab w:val="left" w:pos="426"/>
        </w:tabs>
        <w:spacing w:before="120" w:after="120"/>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738FCD84" w14:textId="77777777" w:rsidR="00BB65EF" w:rsidRPr="006511BE" w:rsidRDefault="00C06787">
      <w:pPr>
        <w:tabs>
          <w:tab w:val="left" w:pos="426"/>
        </w:tabs>
        <w:spacing w:before="120" w:after="120"/>
        <w:ind w:left="1134"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XXIX.</w:t>
      </w:r>
      <w:r w:rsidRPr="006511BE">
        <w:rPr>
          <w:rFonts w:ascii="Palatino Linotype" w:eastAsia="Palatino Linotype" w:hAnsi="Palatino Linotype" w:cs="Palatino Linotype"/>
          <w:i/>
        </w:rPr>
        <w:t xml:space="preserve"> La </w:t>
      </w:r>
      <w:r w:rsidRPr="006511BE">
        <w:rPr>
          <w:rFonts w:ascii="Palatino Linotype" w:eastAsia="Palatino Linotype" w:hAnsi="Palatino Linotype" w:cs="Palatino Linotype"/>
          <w:b/>
          <w:i/>
        </w:rPr>
        <w:t xml:space="preserve">información sobre los procesos y resultados </w:t>
      </w:r>
      <w:r w:rsidRPr="006511BE">
        <w:rPr>
          <w:rFonts w:ascii="Palatino Linotype" w:eastAsia="Palatino Linotype" w:hAnsi="Palatino Linotype" w:cs="Palatino Linotype"/>
          <w:b/>
          <w:i/>
          <w:u w:val="single"/>
        </w:rPr>
        <w:t>sobre procedimientos de adjudicación directa, invitación restringida y licitación de cualquier naturaleza</w:t>
      </w:r>
      <w:r w:rsidRPr="006511BE">
        <w:rPr>
          <w:rFonts w:ascii="Palatino Linotype" w:eastAsia="Palatino Linotype" w:hAnsi="Palatino Linotype" w:cs="Palatino Linotype"/>
          <w:i/>
          <w:u w:val="single"/>
        </w:rPr>
        <w:t xml:space="preserve">, </w:t>
      </w:r>
      <w:r w:rsidRPr="006511BE">
        <w:rPr>
          <w:rFonts w:ascii="Palatino Linotype" w:eastAsia="Palatino Linotype" w:hAnsi="Palatino Linotype" w:cs="Palatino Linotype"/>
          <w:b/>
          <w:i/>
        </w:rPr>
        <w:t>incluyendo la versión pública</w:t>
      </w:r>
      <w:r w:rsidRPr="006511BE">
        <w:rPr>
          <w:rFonts w:ascii="Palatino Linotype" w:eastAsia="Palatino Linotype" w:hAnsi="Palatino Linotype" w:cs="Palatino Linotype"/>
          <w:i/>
        </w:rPr>
        <w:t xml:space="preserve"> del expediente respectivo y </w:t>
      </w:r>
      <w:r w:rsidRPr="006511BE">
        <w:rPr>
          <w:rFonts w:ascii="Palatino Linotype" w:eastAsia="Palatino Linotype" w:hAnsi="Palatino Linotype" w:cs="Palatino Linotype"/>
          <w:b/>
          <w:i/>
        </w:rPr>
        <w:t>de los contratos celebrados</w:t>
      </w:r>
      <w:r w:rsidRPr="006511BE">
        <w:rPr>
          <w:rFonts w:ascii="Palatino Linotype" w:eastAsia="Palatino Linotype" w:hAnsi="Palatino Linotype" w:cs="Palatino Linotype"/>
          <w:i/>
        </w:rPr>
        <w:t>, que deberán contener, por los menos, lo siguiente:</w:t>
      </w:r>
    </w:p>
    <w:p w14:paraId="6ECC2D5F" w14:textId="77777777" w:rsidR="00BB65EF" w:rsidRPr="006511BE" w:rsidRDefault="00C06787">
      <w:pPr>
        <w:tabs>
          <w:tab w:val="left" w:pos="426"/>
        </w:tabs>
        <w:spacing w:before="120" w:after="120"/>
        <w:ind w:left="1418" w:right="902"/>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a) De licitaciones públicas o procedimientos de invitación restringida:</w:t>
      </w:r>
    </w:p>
    <w:p w14:paraId="29F58F6C"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1)</w:t>
      </w:r>
      <w:r w:rsidRPr="006511BE">
        <w:rPr>
          <w:rFonts w:ascii="Palatino Linotype" w:eastAsia="Palatino Linotype" w:hAnsi="Palatino Linotype" w:cs="Palatino Linotype"/>
          <w:i/>
        </w:rPr>
        <w:t xml:space="preserve"> La convocatoria o invitación emitida, así como los fundamentos legales aplicados para llevarla a cabo;</w:t>
      </w:r>
    </w:p>
    <w:p w14:paraId="4C8BEA17"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2)</w:t>
      </w:r>
      <w:r w:rsidRPr="006511BE">
        <w:rPr>
          <w:rFonts w:ascii="Palatino Linotype" w:eastAsia="Palatino Linotype" w:hAnsi="Palatino Linotype" w:cs="Palatino Linotype"/>
          <w:i/>
        </w:rPr>
        <w:t xml:space="preserve"> Los nombres de los participantes o invitados;</w:t>
      </w:r>
    </w:p>
    <w:p w14:paraId="2EA0559D"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b/>
          <w:i/>
          <w:u w:val="single"/>
        </w:rPr>
      </w:pPr>
      <w:r w:rsidRPr="006511BE">
        <w:rPr>
          <w:rFonts w:ascii="Palatino Linotype" w:eastAsia="Palatino Linotype" w:hAnsi="Palatino Linotype" w:cs="Palatino Linotype"/>
          <w:b/>
          <w:i/>
        </w:rPr>
        <w:t>3</w:t>
      </w:r>
      <w:r w:rsidRPr="006511BE">
        <w:rPr>
          <w:rFonts w:ascii="Palatino Linotype" w:eastAsia="Palatino Linotype" w:hAnsi="Palatino Linotype" w:cs="Palatino Linotype"/>
          <w:i/>
        </w:rPr>
        <w:t>) El nombre del ganador y las razones que lo justifican;</w:t>
      </w:r>
    </w:p>
    <w:p w14:paraId="58013908"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4)</w:t>
      </w:r>
      <w:r w:rsidRPr="006511BE">
        <w:rPr>
          <w:rFonts w:ascii="Palatino Linotype" w:eastAsia="Palatino Linotype" w:hAnsi="Palatino Linotype" w:cs="Palatino Linotype"/>
          <w:i/>
        </w:rPr>
        <w:t xml:space="preserve"> El área solicitante y la responsable de su ejecución;</w:t>
      </w:r>
    </w:p>
    <w:p w14:paraId="41F5CF4F"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5)</w:t>
      </w:r>
      <w:r w:rsidRPr="006511BE">
        <w:rPr>
          <w:rFonts w:ascii="Palatino Linotype" w:eastAsia="Palatino Linotype" w:hAnsi="Palatino Linotype" w:cs="Palatino Linotype"/>
          <w:i/>
        </w:rPr>
        <w:t xml:space="preserve"> Las convocatorias e invitaciones emitidas; </w:t>
      </w:r>
    </w:p>
    <w:p w14:paraId="0E1ED6A7"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6) Los dictámenes y fallo de adjudicación;</w:t>
      </w:r>
    </w:p>
    <w:p w14:paraId="501D8D0C"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7) El contrato y, en su caso, sus anexos; </w:t>
      </w:r>
    </w:p>
    <w:p w14:paraId="18B8F109"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8)</w:t>
      </w:r>
      <w:r w:rsidRPr="006511BE">
        <w:rPr>
          <w:rFonts w:ascii="Palatino Linotype" w:eastAsia="Palatino Linotype" w:hAnsi="Palatino Linotype" w:cs="Palatino Linotype"/>
          <w:i/>
        </w:rPr>
        <w:t xml:space="preserve"> Los mecanismos de vigilancia y supervisión, incluyendo en su caso, los estudios de impacto urbano y ambiental, según corresponda;</w:t>
      </w:r>
    </w:p>
    <w:p w14:paraId="0A039A6C"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9) La partida presupuestal, de conformidad con el clasificador por objeto del gasto, en el caso de ser aplicable; </w:t>
      </w:r>
    </w:p>
    <w:p w14:paraId="4747E4E5"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10)</w:t>
      </w:r>
      <w:r w:rsidRPr="006511BE">
        <w:rPr>
          <w:rFonts w:ascii="Palatino Linotype" w:eastAsia="Palatino Linotype" w:hAnsi="Palatino Linotype" w:cs="Palatino Linotype"/>
          <w:i/>
        </w:rPr>
        <w:t xml:space="preserve"> Origen de los recursos especificando si son federales, estatales o municipales, así como el tipo de fondo de participación o aportación respectiva;</w:t>
      </w:r>
    </w:p>
    <w:p w14:paraId="2C24FFDB"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11)</w:t>
      </w:r>
      <w:r w:rsidRPr="006511BE">
        <w:rPr>
          <w:rFonts w:ascii="Palatino Linotype" w:eastAsia="Palatino Linotype" w:hAnsi="Palatino Linotype" w:cs="Palatino Linotype"/>
          <w:i/>
        </w:rPr>
        <w:t xml:space="preserve"> Los convenios modificatorios que, en su caso, sean firmados, precisando el objeto y la fecha de celebración;</w:t>
      </w:r>
    </w:p>
    <w:p w14:paraId="22784628"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12)</w:t>
      </w:r>
      <w:r w:rsidRPr="006511BE">
        <w:rPr>
          <w:rFonts w:ascii="Palatino Linotype" w:eastAsia="Palatino Linotype" w:hAnsi="Palatino Linotype" w:cs="Palatino Linotype"/>
          <w:i/>
        </w:rPr>
        <w:t xml:space="preserve"> Los informes de avance físico y financiero sobre las obras o servicios contratados; </w:t>
      </w:r>
    </w:p>
    <w:p w14:paraId="7B283EF3"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13) El convenio de terminación; </w:t>
      </w:r>
    </w:p>
    <w:p w14:paraId="5203E8FC"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14) El finiquito.</w:t>
      </w:r>
    </w:p>
    <w:p w14:paraId="7B0DFD5C" w14:textId="77777777" w:rsidR="00BB65EF" w:rsidRPr="006511BE" w:rsidRDefault="00C06787">
      <w:pPr>
        <w:tabs>
          <w:tab w:val="left" w:pos="426"/>
        </w:tabs>
        <w:spacing w:before="120" w:after="120"/>
        <w:ind w:left="1418" w:right="902"/>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 xml:space="preserve">b) De las adjudicaciones directas: </w:t>
      </w:r>
    </w:p>
    <w:p w14:paraId="62BDAF40"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1)</w:t>
      </w:r>
      <w:r w:rsidRPr="006511BE">
        <w:rPr>
          <w:rFonts w:ascii="Palatino Linotype" w:eastAsia="Palatino Linotype" w:hAnsi="Palatino Linotype" w:cs="Palatino Linotype"/>
          <w:i/>
        </w:rPr>
        <w:t xml:space="preserve"> La propuesta enviada por el participante; </w:t>
      </w:r>
    </w:p>
    <w:p w14:paraId="21F91BC5"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2)</w:t>
      </w:r>
      <w:r w:rsidRPr="006511BE">
        <w:rPr>
          <w:rFonts w:ascii="Palatino Linotype" w:eastAsia="Palatino Linotype" w:hAnsi="Palatino Linotype" w:cs="Palatino Linotype"/>
          <w:i/>
        </w:rPr>
        <w:t xml:space="preserve"> Los motivos y fundamentos legales aplicados para llevarla a cabo;</w:t>
      </w:r>
    </w:p>
    <w:p w14:paraId="6CAB0F28"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3) La autorización del ejercicio de la opción; </w:t>
      </w:r>
    </w:p>
    <w:p w14:paraId="79717361"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4) En su caso, las cotizaciones consideradas, especificando los nombres de los proveedores y sus montos; </w:t>
      </w:r>
    </w:p>
    <w:p w14:paraId="10644834"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5) El nombre de la persona física o jurídica colectiva adjudicada; </w:t>
      </w:r>
    </w:p>
    <w:p w14:paraId="72329F05"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6)</w:t>
      </w:r>
      <w:r w:rsidRPr="006511BE">
        <w:rPr>
          <w:rFonts w:ascii="Palatino Linotype" w:eastAsia="Palatino Linotype" w:hAnsi="Palatino Linotype" w:cs="Palatino Linotype"/>
          <w:i/>
        </w:rPr>
        <w:t xml:space="preserve"> La unidad administrativa solicitante y la responsable de su ejecución; </w:t>
      </w:r>
    </w:p>
    <w:p w14:paraId="1B0B827F"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7</w:t>
      </w:r>
      <w:r w:rsidRPr="006511BE">
        <w:rPr>
          <w:rFonts w:ascii="Palatino Linotype" w:eastAsia="Palatino Linotype" w:hAnsi="Palatino Linotype" w:cs="Palatino Linotype"/>
          <w:i/>
        </w:rPr>
        <w:t xml:space="preserve">) El número, fecha, el monto del contrato y el plazo de entrega o de ejecución de los servicios u obra; </w:t>
      </w:r>
    </w:p>
    <w:p w14:paraId="239A0965"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8)</w:t>
      </w:r>
      <w:r w:rsidRPr="006511BE">
        <w:rPr>
          <w:rFonts w:ascii="Palatino Linotype" w:eastAsia="Palatino Linotype" w:hAnsi="Palatino Linotype" w:cs="Palatino Linotype"/>
          <w:i/>
        </w:rPr>
        <w:t xml:space="preserve"> Los mecanismos de vigilancia y supervisión, incluyendo, en su caso, los estudios de impacto urbano y ambiental, según corresponda; </w:t>
      </w:r>
    </w:p>
    <w:p w14:paraId="67673790"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9)</w:t>
      </w:r>
      <w:r w:rsidRPr="006511BE">
        <w:rPr>
          <w:rFonts w:ascii="Palatino Linotype" w:eastAsia="Palatino Linotype" w:hAnsi="Palatino Linotype" w:cs="Palatino Linotype"/>
          <w:i/>
        </w:rPr>
        <w:t xml:space="preserve"> Los informes de avance sobre las obras o servicios contratados; </w:t>
      </w:r>
    </w:p>
    <w:p w14:paraId="7DCB8146"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 xml:space="preserve">10) El convenio de terminación; y </w:t>
      </w:r>
    </w:p>
    <w:p w14:paraId="032B6533" w14:textId="77777777" w:rsidR="00BB65EF" w:rsidRPr="006511BE" w:rsidRDefault="00C06787">
      <w:pPr>
        <w:tabs>
          <w:tab w:val="left" w:pos="426"/>
        </w:tabs>
        <w:spacing w:before="120" w:after="120"/>
        <w:ind w:left="170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11) El finiquito;”</w:t>
      </w:r>
    </w:p>
    <w:p w14:paraId="32D6184A" w14:textId="77777777" w:rsidR="00BB65EF" w:rsidRPr="006511BE" w:rsidRDefault="00BB65EF">
      <w:pPr>
        <w:tabs>
          <w:tab w:val="left" w:pos="426"/>
        </w:tabs>
        <w:spacing w:before="120" w:after="120"/>
        <w:ind w:left="1701" w:right="902"/>
        <w:jc w:val="both"/>
        <w:rPr>
          <w:rFonts w:ascii="Palatino Linotype" w:eastAsia="Palatino Linotype" w:hAnsi="Palatino Linotype" w:cs="Palatino Linotype"/>
          <w:sz w:val="24"/>
          <w:szCs w:val="24"/>
        </w:rPr>
      </w:pPr>
    </w:p>
    <w:p w14:paraId="5A6EA2A7" w14:textId="77777777" w:rsidR="00BB65EF" w:rsidRPr="006511BE" w:rsidRDefault="00C06787">
      <w:pPr>
        <w:spacing w:before="120"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Por ende, de acuerdo a los </w:t>
      </w:r>
      <w:r w:rsidRPr="006511BE">
        <w:rPr>
          <w:rFonts w:ascii="Palatino Linotype" w:eastAsia="Palatino Linotype" w:hAnsi="Palatino Linotype" w:cs="Palatino Linotype"/>
          <w:i/>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6511BE">
        <w:rPr>
          <w:rFonts w:ascii="Palatino Linotype" w:eastAsia="Palatino Linotype" w:hAnsi="Palatino Linotype" w:cs="Palatino Linotype"/>
          <w:sz w:val="24"/>
          <w:szCs w:val="24"/>
        </w:rPr>
        <w:t xml:space="preserve">, que deben de difundir los sujetos obligados en los portales de Internet y en la Plataforma Nacional de Transparencia, para el cumplimiento de la obligación de transparencia señalada en el artículo 70  fracción XXVIII de la </w:t>
      </w:r>
      <w:r w:rsidRPr="006511BE">
        <w:rPr>
          <w:rFonts w:ascii="Palatino Linotype" w:eastAsia="Palatino Linotype" w:hAnsi="Palatino Linotype" w:cs="Palatino Linotype"/>
          <w:i/>
          <w:sz w:val="24"/>
          <w:szCs w:val="24"/>
        </w:rPr>
        <w:t>Ley General de Transparencia y Acceso a la Información Pública</w:t>
      </w:r>
      <w:r w:rsidRPr="006511BE">
        <w:rPr>
          <w:rFonts w:ascii="Palatino Linotype" w:eastAsia="Palatino Linotype" w:hAnsi="Palatino Linotype" w:cs="Palatino Linotype"/>
          <w:sz w:val="24"/>
          <w:szCs w:val="24"/>
        </w:rPr>
        <w:t xml:space="preserve">, los sujetos obligados deben publicar información sobre los actos, contratos y convenios celebrados, misma que </w:t>
      </w:r>
      <w:r w:rsidRPr="006511BE">
        <w:rPr>
          <w:rFonts w:ascii="Palatino Linotype" w:eastAsia="Palatino Linotype" w:hAnsi="Palatino Linotype" w:cs="Palatino Linotype"/>
          <w:b/>
          <w:sz w:val="24"/>
          <w:szCs w:val="24"/>
        </w:rPr>
        <w:t xml:space="preserve">debe presentarse en una base de datos en la que cada registro se hará por tipo de procedimiento, ya sea licitación pública, invitación restringida </w:t>
      </w:r>
      <w:r w:rsidRPr="006511BE">
        <w:rPr>
          <w:rFonts w:ascii="Palatino Linotype" w:eastAsia="Palatino Linotype" w:hAnsi="Palatino Linotype" w:cs="Palatino Linotype"/>
          <w:sz w:val="24"/>
          <w:szCs w:val="24"/>
        </w:rPr>
        <w:t xml:space="preserve">o adjudicación directa, especificando para cada tipo de procedimiento la materia, así como el carácter de cada uno, es decir, nacional o internacional, además se debe elaborar versión pública los documentos fuente que deban ser publicados en este apartado, tales como </w:t>
      </w:r>
      <w:r w:rsidRPr="006511BE">
        <w:rPr>
          <w:rFonts w:ascii="Palatino Linotype" w:eastAsia="Palatino Linotype" w:hAnsi="Palatino Linotype" w:cs="Palatino Linotype"/>
          <w:b/>
          <w:color w:val="000000"/>
          <w:sz w:val="24"/>
          <w:szCs w:val="24"/>
          <w:u w:val="single"/>
        </w:rPr>
        <w:t>contratos, facturas, registros contables, pólizas, finiquitos</w:t>
      </w:r>
      <w:r w:rsidRPr="006511BE">
        <w:rPr>
          <w:rFonts w:ascii="Palatino Linotype" w:eastAsia="Palatino Linotype" w:hAnsi="Palatino Linotype" w:cs="Palatino Linotype"/>
          <w:b/>
          <w:sz w:val="24"/>
          <w:szCs w:val="24"/>
          <w:u w:val="single"/>
        </w:rPr>
        <w:t>, los dictámenes y fallo de adjudicación,  la autorización del ejercicio, la partida presupuestal, de conformidad con el clasificador por objeto del gasto, en el caso de ser aplicable, entre otros, incluyendo sus anexos correspondientes</w:t>
      </w:r>
      <w:r w:rsidRPr="006511BE">
        <w:rPr>
          <w:rFonts w:ascii="Palatino Linotype" w:eastAsia="Palatino Linotype" w:hAnsi="Palatino Linotype" w:cs="Palatino Linotype"/>
          <w:sz w:val="24"/>
          <w:szCs w:val="24"/>
        </w:rPr>
        <w:t xml:space="preserve">, información que debe ser actualizada de manera trimestral, y conservarse la generada en el ejercicio en curso y la correspondiente a dos ejercicios anteriores. </w:t>
      </w:r>
    </w:p>
    <w:p w14:paraId="6162D45B"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27799248"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lastRenderedPageBreak/>
        <w:t xml:space="preserve">De tal suerte </w:t>
      </w:r>
      <w:proofErr w:type="gramStart"/>
      <w:r w:rsidRPr="006511BE">
        <w:rPr>
          <w:rFonts w:ascii="Palatino Linotype" w:eastAsia="Palatino Linotype" w:hAnsi="Palatino Linotype" w:cs="Palatino Linotype"/>
          <w:sz w:val="24"/>
          <w:szCs w:val="24"/>
        </w:rPr>
        <w:t>que</w:t>
      </w:r>
      <w:proofErr w:type="gramEnd"/>
      <w:r w:rsidRPr="006511BE">
        <w:rPr>
          <w:rFonts w:ascii="Palatino Linotype" w:eastAsia="Palatino Linotype" w:hAnsi="Palatino Linotype" w:cs="Palatino Linotype"/>
          <w:sz w:val="24"/>
          <w:szCs w:val="24"/>
        </w:rPr>
        <w:t xml:space="preserve"> con lo citado con antelación, se visualiza que en efecto, cuenta con las facturas generadas por el proyecto, documento que contiene el gasto ejercido, por lo que las facturas, e</w:t>
      </w:r>
      <w:r w:rsidRPr="006511BE">
        <w:rPr>
          <w:rFonts w:ascii="Palatino Linotype" w:eastAsia="Palatino Linotype" w:hAnsi="Palatino Linotype" w:cs="Palatino Linotype"/>
          <w:color w:val="0D0D0D"/>
          <w:sz w:val="24"/>
          <w:szCs w:val="24"/>
        </w:rPr>
        <w:t xml:space="preserve">s de mencionar que los </w:t>
      </w:r>
      <w:r w:rsidRPr="006511BE">
        <w:rPr>
          <w:rFonts w:ascii="Palatino Linotype" w:eastAsia="Palatino Linotype" w:hAnsi="Palatino Linotype" w:cs="Palatino Linotype"/>
          <w:sz w:val="24"/>
          <w:szCs w:val="24"/>
        </w:rPr>
        <w:t>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7DEDAB38"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1CE8619" w14:textId="77777777" w:rsidR="00BB65EF" w:rsidRPr="006511BE" w:rsidRDefault="00C06787">
      <w:pPr>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i/>
          <w:color w:val="000000"/>
        </w:rPr>
        <w:t>“</w:t>
      </w:r>
      <w:r w:rsidRPr="006511BE">
        <w:rPr>
          <w:rFonts w:ascii="Palatino Linotype" w:eastAsia="Palatino Linotype" w:hAnsi="Palatino Linotype" w:cs="Palatino Linotype"/>
          <w:b/>
          <w:i/>
        </w:rPr>
        <w:t>Artículo 342.-</w:t>
      </w:r>
      <w:r w:rsidRPr="006511BE">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sidRPr="006511BE">
        <w:rPr>
          <w:rFonts w:ascii="Palatino Linotype" w:eastAsia="Palatino Linotype" w:hAnsi="Palatino Linotype" w:cs="Palatino Linotype"/>
          <w:i/>
          <w:color w:val="000000"/>
        </w:rPr>
        <w:t>planeación</w:t>
      </w:r>
      <w:r w:rsidRPr="006511BE">
        <w:rPr>
          <w:rFonts w:ascii="Palatino Linotype" w:eastAsia="Palatino Linotype" w:hAnsi="Palatino Linotype" w:cs="Palatino Linotype"/>
          <w:i/>
        </w:rPr>
        <w:t xml:space="preserve">, programación, presupuestación, evaluación y </w:t>
      </w:r>
      <w:r w:rsidRPr="006511BE">
        <w:rPr>
          <w:rFonts w:ascii="Palatino Linotype" w:eastAsia="Palatino Linotype" w:hAnsi="Palatino Linotype" w:cs="Palatino Linotype"/>
          <w:i/>
          <w:color w:val="000000"/>
        </w:rPr>
        <w:t>contabilidad</w:t>
      </w:r>
      <w:r w:rsidRPr="006511BE">
        <w:rPr>
          <w:rFonts w:ascii="Palatino Linotype" w:eastAsia="Palatino Linotype" w:hAnsi="Palatino Linotype" w:cs="Palatino Linotype"/>
          <w:i/>
        </w:rPr>
        <w:t xml:space="preserve"> gubernamental. </w:t>
      </w:r>
    </w:p>
    <w:p w14:paraId="0AFB1F36" w14:textId="77777777" w:rsidR="00BB65EF" w:rsidRPr="006511BE" w:rsidRDefault="00C06787">
      <w:pPr>
        <w:spacing w:after="0" w:line="276" w:lineRule="auto"/>
        <w:ind w:left="851" w:right="850"/>
        <w:jc w:val="both"/>
        <w:rPr>
          <w:rFonts w:ascii="Palatino Linotype" w:eastAsia="Palatino Linotype" w:hAnsi="Palatino Linotype" w:cs="Palatino Linotype"/>
          <w:b/>
          <w:i/>
        </w:rPr>
      </w:pPr>
      <w:r w:rsidRPr="006511BE">
        <w:rPr>
          <w:rFonts w:ascii="Palatino Linotype" w:eastAsia="Palatino Linotype" w:hAnsi="Palatino Linotype" w:cs="Palatino Linotype"/>
          <w:b/>
          <w:i/>
          <w:color w:val="000000"/>
        </w:rPr>
        <w:t>…</w:t>
      </w:r>
    </w:p>
    <w:p w14:paraId="5EE921F3" w14:textId="77777777" w:rsidR="00BB65EF" w:rsidRPr="006511BE" w:rsidRDefault="00C06787">
      <w:pPr>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343.-</w:t>
      </w:r>
      <w:r w:rsidRPr="006511BE">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0C83E1F" w14:textId="77777777" w:rsidR="00BB65EF" w:rsidRPr="006511BE" w:rsidRDefault="00C06787">
      <w:pPr>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0D03F2BF" w14:textId="77777777" w:rsidR="00BB65EF" w:rsidRPr="006511BE" w:rsidRDefault="00C06787">
      <w:pPr>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6511BE">
        <w:rPr>
          <w:rFonts w:ascii="Palatino Linotype" w:eastAsia="Palatino Linotype" w:hAnsi="Palatino Linotype" w:cs="Palatino Linotype"/>
          <w:i/>
        </w:rPr>
        <w:t xml:space="preserve">en el caso de los Municipios se hará por la Tesorería. </w:t>
      </w:r>
    </w:p>
    <w:p w14:paraId="6B8447CD" w14:textId="77777777" w:rsidR="00BB65EF" w:rsidRPr="006511BE" w:rsidRDefault="00C06787">
      <w:pPr>
        <w:spacing w:after="0" w:line="276" w:lineRule="auto"/>
        <w:ind w:left="851" w:right="51"/>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Derogado. </w:t>
      </w:r>
    </w:p>
    <w:p w14:paraId="4CC36913" w14:textId="77777777" w:rsidR="00BB65EF" w:rsidRPr="006511BE" w:rsidRDefault="00C06787">
      <w:pPr>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w:t>
      </w:r>
      <w:r w:rsidRPr="006511BE">
        <w:rPr>
          <w:rFonts w:ascii="Palatino Linotype" w:eastAsia="Palatino Linotype" w:hAnsi="Palatino Linotype" w:cs="Palatino Linotype"/>
          <w:b/>
          <w:i/>
        </w:rPr>
        <w:lastRenderedPageBreak/>
        <w:t>de control interno, por un término de cinco años contados</w:t>
      </w:r>
      <w:r w:rsidRPr="006511BE">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7FA2E36D" w14:textId="77777777" w:rsidR="00BB65EF" w:rsidRPr="006511BE" w:rsidRDefault="00C06787">
      <w:pPr>
        <w:spacing w:after="0" w:line="276" w:lineRule="auto"/>
        <w:ind w:left="851" w:right="51"/>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26FBD186" w14:textId="77777777" w:rsidR="00BB65EF" w:rsidRPr="006511BE" w:rsidRDefault="00C06787">
      <w:pPr>
        <w:spacing w:after="0" w:line="276" w:lineRule="auto"/>
        <w:ind w:left="851" w:right="850"/>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345.-</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6511BE">
        <w:rPr>
          <w:rFonts w:ascii="Palatino Linotype" w:eastAsia="Palatino Linotype" w:hAnsi="Palatino Linotype" w:cs="Palatino Linotype"/>
          <w:i/>
        </w:rPr>
        <w:t xml:space="preserve">, la remitirán en un plazo que no excederá de seis meses al Archivo Contable Gubernamental. </w:t>
      </w:r>
      <w:r w:rsidRPr="006511BE">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6511BE">
        <w:rPr>
          <w:rFonts w:ascii="Palatino Linotype" w:eastAsia="Palatino Linotype" w:hAnsi="Palatino Linotype" w:cs="Palatino Linotype"/>
          <w:i/>
        </w:rPr>
        <w:t xml:space="preserve">. </w:t>
      </w:r>
    </w:p>
    <w:p w14:paraId="25A1BE26" w14:textId="77777777" w:rsidR="00BB65EF" w:rsidRPr="006511BE" w:rsidRDefault="00C06787">
      <w:pPr>
        <w:spacing w:after="0" w:line="276" w:lineRule="auto"/>
        <w:ind w:left="851" w:right="850"/>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rPr>
        <w:t>El plazo señalado en el párrafo anterior, empezará a contar a partir de la publicación en el Periódico Oficial, del decreto correspondiente.</w:t>
      </w:r>
      <w:r w:rsidRPr="006511BE">
        <w:rPr>
          <w:rFonts w:ascii="Palatino Linotype" w:eastAsia="Palatino Linotype" w:hAnsi="Palatino Linotype" w:cs="Palatino Linotype"/>
          <w:i/>
          <w:color w:val="000000"/>
        </w:rPr>
        <w:t xml:space="preserve"> “ </w:t>
      </w:r>
    </w:p>
    <w:p w14:paraId="490881AF" w14:textId="77777777" w:rsidR="00BB65EF" w:rsidRPr="006511BE" w:rsidRDefault="00BB65EF">
      <w:pPr>
        <w:spacing w:after="120"/>
        <w:ind w:left="851" w:right="850"/>
        <w:jc w:val="both"/>
        <w:rPr>
          <w:rFonts w:ascii="Palatino Linotype" w:eastAsia="Palatino Linotype" w:hAnsi="Palatino Linotype" w:cs="Palatino Linotype"/>
          <w:i/>
          <w:color w:val="000000"/>
          <w:sz w:val="24"/>
          <w:szCs w:val="24"/>
        </w:rPr>
      </w:pPr>
    </w:p>
    <w:p w14:paraId="6663F428" w14:textId="77777777" w:rsidR="00BB65EF" w:rsidRPr="006511BE" w:rsidRDefault="00C06787">
      <w:pPr>
        <w:spacing w:before="120"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sz w:val="24"/>
          <w:szCs w:val="24"/>
        </w:rPr>
        <w:t>De una interpretación sistemática de los artículos transcritos, se desprende primeramente que el</w:t>
      </w:r>
      <w:r w:rsidRPr="006511BE">
        <w:rPr>
          <w:rFonts w:ascii="Palatino Linotype" w:eastAsia="Palatino Linotype" w:hAnsi="Palatino Linotype" w:cs="Palatino Linotype"/>
          <w:color w:val="000000"/>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239A9DB7"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7DA140A1" w14:textId="77777777" w:rsidR="00BB65EF" w:rsidRPr="006511BE" w:rsidRDefault="00C06787">
      <w:pPr>
        <w:spacing w:after="0" w:line="360" w:lineRule="auto"/>
        <w:ind w:right="-232"/>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2E3967CF" w14:textId="77777777" w:rsidR="00BB65EF" w:rsidRPr="006511BE" w:rsidRDefault="00BB65EF">
      <w:pPr>
        <w:spacing w:after="0" w:line="360" w:lineRule="auto"/>
        <w:ind w:right="-232"/>
        <w:jc w:val="both"/>
        <w:rPr>
          <w:rFonts w:ascii="Palatino Linotype" w:eastAsia="Palatino Linotype" w:hAnsi="Palatino Linotype" w:cs="Palatino Linotype"/>
          <w:sz w:val="24"/>
          <w:szCs w:val="24"/>
        </w:rPr>
      </w:pPr>
    </w:p>
    <w:p w14:paraId="6B504BD6" w14:textId="77777777" w:rsidR="00BB65EF" w:rsidRPr="006511BE" w:rsidRDefault="00C06787">
      <w:pPr>
        <w:spacing w:after="120"/>
        <w:ind w:left="851" w:right="902"/>
        <w:jc w:val="both"/>
        <w:rPr>
          <w:rFonts w:ascii="Palatino Linotype" w:eastAsia="Palatino Linotype" w:hAnsi="Palatino Linotype" w:cs="Palatino Linotype"/>
          <w:b/>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FACTURA</w:t>
      </w:r>
    </w:p>
    <w:p w14:paraId="027A3034" w14:textId="77777777" w:rsidR="00BB65EF" w:rsidRPr="006511BE" w:rsidRDefault="00C06787">
      <w:pPr>
        <w:spacing w:before="120" w:after="120"/>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Es el documento fiscal que emite la persona física o moral para comprobar la venta o adquisición de un bien y/o servicio.” (Sic)</w:t>
      </w:r>
    </w:p>
    <w:p w14:paraId="2497FE41" w14:textId="77777777" w:rsidR="00BB65EF" w:rsidRPr="006511BE" w:rsidRDefault="00BB65EF">
      <w:pPr>
        <w:spacing w:before="120" w:after="120"/>
        <w:ind w:left="851" w:right="902"/>
        <w:jc w:val="both"/>
        <w:rPr>
          <w:rFonts w:ascii="Palatino Linotype" w:eastAsia="Palatino Linotype" w:hAnsi="Palatino Linotype" w:cs="Palatino Linotype"/>
          <w:i/>
          <w:sz w:val="24"/>
          <w:szCs w:val="24"/>
        </w:rPr>
      </w:pPr>
    </w:p>
    <w:p w14:paraId="7601C267" w14:textId="77777777" w:rsidR="00BB65EF" w:rsidRPr="006511BE" w:rsidRDefault="00C06787">
      <w:pPr>
        <w:spacing w:before="120"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sz w:val="24"/>
          <w:szCs w:val="24"/>
        </w:rPr>
        <w:lastRenderedPageBreak/>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6511BE">
        <w:rPr>
          <w:rFonts w:ascii="Palatino Linotype" w:eastAsia="Palatino Linotype" w:hAnsi="Palatino Linotype" w:cs="Palatino Linotype"/>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14:paraId="3C8BE281"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5D7D36B8"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7A9121A"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C284072" w14:textId="77777777" w:rsidR="00BB65EF" w:rsidRPr="006511BE" w:rsidRDefault="00C06787">
      <w:pPr>
        <w:spacing w:after="120" w:line="276" w:lineRule="auto"/>
        <w:ind w:firstLine="708"/>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 xml:space="preserve">“REGISTRO CONTABLE </w:t>
      </w:r>
    </w:p>
    <w:p w14:paraId="4F3D1674" w14:textId="77777777" w:rsidR="00BB65EF" w:rsidRPr="006511BE" w:rsidRDefault="00C06787">
      <w:pPr>
        <w:spacing w:before="120" w:after="120" w:line="276" w:lineRule="auto"/>
        <w:ind w:left="851" w:right="899"/>
        <w:jc w:val="both"/>
        <w:rPr>
          <w:rFonts w:ascii="Palatino Linotype" w:eastAsia="Palatino Linotype" w:hAnsi="Palatino Linotype" w:cs="Palatino Linotype"/>
          <w:i/>
        </w:rPr>
      </w:pPr>
      <w:r w:rsidRPr="006511BE">
        <w:rPr>
          <w:rFonts w:ascii="Palatino Linotype" w:eastAsia="Palatino Linotype" w:hAnsi="Palatino Linotype" w:cs="Palatino Linotype"/>
          <w:i/>
        </w:rPr>
        <w:t>Asiento que se realiza en los libros de contabilidad de las actividades relacionadas con el ingreso y egresos de un ente económico.” (Sic)</w:t>
      </w:r>
    </w:p>
    <w:p w14:paraId="75932D17" w14:textId="77777777" w:rsidR="00BB65EF" w:rsidRPr="006511BE" w:rsidRDefault="00C06787">
      <w:pPr>
        <w:spacing w:before="120" w:after="120" w:line="276" w:lineRule="auto"/>
        <w:ind w:right="899" w:firstLine="708"/>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lastRenderedPageBreak/>
        <w:t>“REGISTRO PRESUPUESTARIO</w:t>
      </w:r>
    </w:p>
    <w:p w14:paraId="2A35BA1A" w14:textId="77777777" w:rsidR="00BB65EF" w:rsidRPr="006511BE" w:rsidRDefault="00C06787">
      <w:pPr>
        <w:spacing w:before="120" w:after="120" w:line="276" w:lineRule="auto"/>
        <w:ind w:left="708" w:right="899"/>
        <w:jc w:val="both"/>
        <w:rPr>
          <w:rFonts w:ascii="Palatino Linotype" w:eastAsia="Palatino Linotype" w:hAnsi="Palatino Linotype" w:cs="Palatino Linotype"/>
          <w:i/>
        </w:rPr>
      </w:pPr>
      <w:r w:rsidRPr="006511BE">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6A313CE7" w14:textId="77777777" w:rsidR="00BB65EF" w:rsidRPr="006511BE" w:rsidRDefault="00BB65EF">
      <w:pPr>
        <w:spacing w:before="120" w:after="0" w:line="360" w:lineRule="auto"/>
        <w:jc w:val="both"/>
        <w:rPr>
          <w:rFonts w:ascii="Palatino Linotype" w:eastAsia="Palatino Linotype" w:hAnsi="Palatino Linotype" w:cs="Palatino Linotype"/>
          <w:color w:val="000000"/>
          <w:sz w:val="24"/>
          <w:szCs w:val="24"/>
        </w:rPr>
      </w:pPr>
    </w:p>
    <w:p w14:paraId="7DFA525D"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Por otra parte, se establece que el sistema de contabilidad sobre base acumulativa total se sustentará en los principios de contabilidad gubernamental.</w:t>
      </w:r>
    </w:p>
    <w:p w14:paraId="0736C1EF"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5ABAA2F2"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450A15CD"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Correlativo a lo anterior, es preciso referir una definición de </w:t>
      </w:r>
      <w:r w:rsidRPr="006511BE">
        <w:rPr>
          <w:rFonts w:ascii="Palatino Linotype" w:eastAsia="Palatino Linotype" w:hAnsi="Palatino Linotype" w:cs="Palatino Linotype"/>
          <w:i/>
          <w:sz w:val="24"/>
          <w:szCs w:val="24"/>
        </w:rPr>
        <w:t>póliza contable</w:t>
      </w:r>
      <w:r w:rsidRPr="006511BE">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2EF324ED" w14:textId="77777777" w:rsidR="00BB65EF" w:rsidRPr="006511BE" w:rsidRDefault="00BB65EF">
      <w:pPr>
        <w:spacing w:after="120"/>
        <w:ind w:left="851" w:right="899"/>
        <w:jc w:val="both"/>
        <w:rPr>
          <w:rFonts w:ascii="Palatino Linotype" w:eastAsia="Palatino Linotype" w:hAnsi="Palatino Linotype" w:cs="Palatino Linotype"/>
          <w:i/>
          <w:sz w:val="24"/>
          <w:szCs w:val="24"/>
        </w:rPr>
      </w:pPr>
    </w:p>
    <w:p w14:paraId="40DC6E91" w14:textId="77777777" w:rsidR="00BB65EF" w:rsidRPr="006511BE" w:rsidRDefault="00C06787">
      <w:pPr>
        <w:spacing w:after="120"/>
        <w:ind w:left="851" w:right="899"/>
        <w:jc w:val="both"/>
        <w:rPr>
          <w:rFonts w:ascii="Palatino Linotype" w:eastAsia="Palatino Linotype" w:hAnsi="Palatino Linotype" w:cs="Palatino Linotype"/>
          <w:b/>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PÓLIZA CONTABLE</w:t>
      </w:r>
    </w:p>
    <w:p w14:paraId="638A7BAD" w14:textId="77777777" w:rsidR="00BB65EF" w:rsidRPr="006511BE" w:rsidRDefault="00C06787">
      <w:pPr>
        <w:spacing w:before="120" w:after="120"/>
        <w:ind w:left="851" w:right="899"/>
        <w:jc w:val="both"/>
        <w:rPr>
          <w:rFonts w:ascii="Palatino Linotype" w:eastAsia="Palatino Linotype" w:hAnsi="Palatino Linotype" w:cs="Palatino Linotype"/>
          <w:i/>
        </w:rPr>
      </w:pPr>
      <w:r w:rsidRPr="006511BE">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52B7953B" w14:textId="77777777" w:rsidR="00BB65EF" w:rsidRPr="006511BE" w:rsidRDefault="00BB65EF">
      <w:pPr>
        <w:spacing w:before="120" w:after="120"/>
        <w:ind w:left="851" w:right="899"/>
        <w:jc w:val="both"/>
        <w:rPr>
          <w:rFonts w:ascii="Palatino Linotype" w:eastAsia="Palatino Linotype" w:hAnsi="Palatino Linotype" w:cs="Palatino Linotype"/>
          <w:i/>
          <w:sz w:val="24"/>
          <w:szCs w:val="24"/>
        </w:rPr>
      </w:pPr>
    </w:p>
    <w:p w14:paraId="67E4DC29" w14:textId="77777777" w:rsidR="00BB65EF" w:rsidRPr="006511BE" w:rsidRDefault="00C06787">
      <w:pPr>
        <w:spacing w:before="120"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Así, se advierte que la </w:t>
      </w:r>
      <w:r w:rsidRPr="006511BE">
        <w:rPr>
          <w:rFonts w:ascii="Palatino Linotype" w:eastAsia="Palatino Linotype" w:hAnsi="Palatino Linotype" w:cs="Palatino Linotype"/>
          <w:i/>
          <w:sz w:val="24"/>
          <w:szCs w:val="24"/>
        </w:rPr>
        <w:t>póliza contable</w:t>
      </w:r>
      <w:r w:rsidRPr="006511BE">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w:t>
      </w:r>
      <w:r w:rsidRPr="006511BE">
        <w:rPr>
          <w:rFonts w:ascii="Palatino Linotype" w:eastAsia="Palatino Linotype" w:hAnsi="Palatino Linotype" w:cs="Palatino Linotype"/>
          <w:sz w:val="24"/>
          <w:szCs w:val="24"/>
        </w:rPr>
        <w:lastRenderedPageBreak/>
        <w:t>justifiquen las anotaciones y cantidades en ellas registradas, lo que permite la identificación plena de dichas operaciones.</w:t>
      </w:r>
    </w:p>
    <w:p w14:paraId="51DF0808"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7443ED66"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6511BE">
        <w:rPr>
          <w:rFonts w:ascii="Palatino Linotype" w:eastAsia="Palatino Linotype" w:hAnsi="Palatino Linotype" w:cs="Palatino Linotype"/>
          <w:i/>
          <w:sz w:val="24"/>
          <w:szCs w:val="24"/>
        </w:rPr>
        <w:t>pólizas de egresos</w:t>
      </w:r>
      <w:r w:rsidRPr="006511BE">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14:paraId="6CF761BB"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696D308D" w14:textId="77777777" w:rsidR="00BB65EF" w:rsidRPr="006511BE" w:rsidRDefault="00C06787">
      <w:pPr>
        <w:spacing w:after="0" w:line="360" w:lineRule="auto"/>
        <w:ind w:right="50"/>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De este modo, </w:t>
      </w:r>
      <w:r w:rsidRPr="006511BE">
        <w:rPr>
          <w:rFonts w:ascii="Palatino Linotype" w:eastAsia="Palatino Linotype" w:hAnsi="Palatino Linotype" w:cs="Palatino Linotype"/>
          <w:b/>
          <w:color w:val="000000"/>
          <w:sz w:val="24"/>
          <w:szCs w:val="24"/>
        </w:rPr>
        <w:t>EL SUJETO OBLIGADO</w:t>
      </w:r>
      <w:r w:rsidRPr="006511BE">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1CEC8789" w14:textId="77777777" w:rsidR="00BB65EF" w:rsidRPr="006511BE" w:rsidRDefault="00BB65EF">
      <w:pPr>
        <w:spacing w:after="0" w:line="360" w:lineRule="auto"/>
        <w:ind w:right="50"/>
        <w:jc w:val="both"/>
        <w:rPr>
          <w:rFonts w:ascii="Palatino Linotype" w:eastAsia="Palatino Linotype" w:hAnsi="Palatino Linotype" w:cs="Palatino Linotype"/>
          <w:color w:val="000000"/>
          <w:sz w:val="24"/>
          <w:szCs w:val="24"/>
        </w:rPr>
      </w:pPr>
    </w:p>
    <w:p w14:paraId="39186557" w14:textId="77777777" w:rsidR="00BB65EF" w:rsidRPr="006511BE" w:rsidRDefault="00C06787">
      <w:pPr>
        <w:spacing w:after="0" w:line="360" w:lineRule="auto"/>
        <w:ind w:right="50"/>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De igual forma, es de suma importancia destacar que el penúltimo párrafo, del artículo 23 de la </w:t>
      </w:r>
      <w:r w:rsidRPr="006511BE">
        <w:rPr>
          <w:rFonts w:ascii="Palatino Linotype" w:eastAsia="Palatino Linotype" w:hAnsi="Palatino Linotype" w:cs="Palatino Linotype"/>
          <w:sz w:val="24"/>
          <w:szCs w:val="24"/>
        </w:rPr>
        <w:t>Ley de Transparencia y Acceso a la Información Pública del Estado de México y Municipios</w:t>
      </w:r>
      <w:r w:rsidRPr="006511BE">
        <w:rPr>
          <w:rFonts w:ascii="Palatino Linotype" w:eastAsia="Palatino Linotype" w:hAnsi="Palatino Linotype" w:cs="Palatino Linotype"/>
          <w:color w:val="000000"/>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w:t>
      </w:r>
      <w:r w:rsidRPr="006511BE">
        <w:rPr>
          <w:rFonts w:ascii="Palatino Linotype" w:eastAsia="Palatino Linotype" w:hAnsi="Palatino Linotype" w:cs="Palatino Linotype"/>
          <w:color w:val="000000"/>
          <w:sz w:val="24"/>
          <w:szCs w:val="24"/>
        </w:rPr>
        <w:lastRenderedPageBreak/>
        <w:t xml:space="preserve">la forma, términos, causas y finalidad en la disposición de esos recursos; ya que este precepto legal que establece: </w:t>
      </w:r>
    </w:p>
    <w:p w14:paraId="77F49AE3" w14:textId="77777777" w:rsidR="00BB65EF" w:rsidRPr="006511BE" w:rsidRDefault="00C06787">
      <w:pPr>
        <w:spacing w:after="0" w:line="276" w:lineRule="auto"/>
        <w:ind w:left="851" w:right="901"/>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 xml:space="preserve"> “Artículo 23…</w:t>
      </w:r>
    </w:p>
    <w:p w14:paraId="7DE6DFF6" w14:textId="77777777" w:rsidR="00BB65EF" w:rsidRPr="006511BE" w:rsidRDefault="00BB65EF">
      <w:pPr>
        <w:spacing w:after="0" w:line="276" w:lineRule="auto"/>
        <w:ind w:left="851" w:right="901"/>
        <w:jc w:val="both"/>
        <w:rPr>
          <w:rFonts w:ascii="Palatino Linotype" w:eastAsia="Palatino Linotype" w:hAnsi="Palatino Linotype" w:cs="Palatino Linotype"/>
          <w:i/>
        </w:rPr>
      </w:pPr>
    </w:p>
    <w:p w14:paraId="1D2AD6FB" w14:textId="77777777" w:rsidR="00BB65EF" w:rsidRPr="006511BE" w:rsidRDefault="00C06787">
      <w:pPr>
        <w:spacing w:after="0" w:line="276" w:lineRule="auto"/>
        <w:ind w:left="851" w:right="901"/>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F862358" w14:textId="77777777" w:rsidR="00BB65EF" w:rsidRPr="006511BE" w:rsidRDefault="00C06787">
      <w:pPr>
        <w:spacing w:after="0" w:line="276" w:lineRule="auto"/>
        <w:ind w:left="851" w:right="850"/>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 (…)”</w:t>
      </w:r>
    </w:p>
    <w:p w14:paraId="28069760" w14:textId="77777777" w:rsidR="00BB65EF" w:rsidRPr="006511BE" w:rsidRDefault="00C06787">
      <w:pPr>
        <w:spacing w:before="240"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Es por todo lo anterior que resulta procedente ordenar las facturas pagadas al dieciséis de diciembre de dos mil veinticuatro por </w:t>
      </w:r>
      <w:proofErr w:type="gramStart"/>
      <w:r w:rsidRPr="006511BE">
        <w:rPr>
          <w:rFonts w:ascii="Palatino Linotype" w:eastAsia="Palatino Linotype" w:hAnsi="Palatino Linotype" w:cs="Palatino Linotype"/>
          <w:color w:val="000000"/>
          <w:sz w:val="24"/>
          <w:szCs w:val="24"/>
        </w:rPr>
        <w:t>los  trabajos</w:t>
      </w:r>
      <w:proofErr w:type="gramEnd"/>
      <w:r w:rsidRPr="006511BE">
        <w:rPr>
          <w:rFonts w:ascii="Palatino Linotype" w:eastAsia="Palatino Linotype" w:hAnsi="Palatino Linotype" w:cs="Palatino Linotype"/>
          <w:color w:val="000000"/>
          <w:sz w:val="24"/>
          <w:szCs w:val="24"/>
        </w:rPr>
        <w:t xml:space="preserve"> referidos en la solicitud de información, de ser procedente en versión pública</w:t>
      </w:r>
    </w:p>
    <w:p w14:paraId="1FE9FE64"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 </w:t>
      </w:r>
    </w:p>
    <w:p w14:paraId="6ED104DD" w14:textId="77777777" w:rsidR="00BB65EF" w:rsidRPr="006511BE" w:rsidRDefault="00C06787">
      <w:pP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Respecto al padrón de beneficiarios y resultados de los trabajos en mención, es de señalar que el padrón de beneficiarios, se trata de una obligación de transparencia que le aplica al </w:t>
      </w:r>
      <w:r w:rsidRPr="006511BE">
        <w:rPr>
          <w:rFonts w:ascii="Palatino Linotype" w:eastAsia="Palatino Linotype" w:hAnsi="Palatino Linotype" w:cs="Palatino Linotype"/>
          <w:b/>
          <w:color w:val="000000"/>
          <w:sz w:val="24"/>
          <w:szCs w:val="24"/>
        </w:rPr>
        <w:t>SUJETO OBLIGADO</w:t>
      </w:r>
      <w:r w:rsidRPr="006511BE">
        <w:rPr>
          <w:rFonts w:ascii="Palatino Linotype" w:eastAsia="Palatino Linotype" w:hAnsi="Palatino Linotype" w:cs="Palatino Linotype"/>
          <w:color w:val="000000"/>
          <w:sz w:val="24"/>
          <w:szCs w:val="24"/>
        </w:rPr>
        <w:t xml:space="preserve">, de conformidad con lo dispuesto </w:t>
      </w:r>
      <w:r w:rsidRPr="006511BE">
        <w:rPr>
          <w:rFonts w:ascii="Palatino Linotype" w:eastAsia="Palatino Linotype" w:hAnsi="Palatino Linotype" w:cs="Palatino Linotype"/>
          <w:sz w:val="24"/>
          <w:szCs w:val="24"/>
        </w:rPr>
        <w:t xml:space="preserve">en el artículo 92 fracción XIV, inciso de la Ley de Transparencia y Acceso a la Información Pública del Estado de México y Municipios, que a letra dice: </w:t>
      </w:r>
    </w:p>
    <w:p w14:paraId="63B47783"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D59C5B7"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02D141"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3F2260F0"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lastRenderedPageBreak/>
        <w:t>XIV. La información de los programas de subsidios, estímulos y apoyos, en el que se deberá informar respecto de los programas de transferencia, de servicios, de infraestructura social y de subsidio, en los que se deberá contener lo siguiente:</w:t>
      </w:r>
    </w:p>
    <w:p w14:paraId="24EDA51D"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4BE41FC7" w14:textId="77777777" w:rsidR="00BB65EF" w:rsidRPr="006511BE" w:rsidRDefault="00C06787">
      <w:pPr>
        <w:spacing w:after="0" w:line="276" w:lineRule="auto"/>
        <w:ind w:left="851" w:right="902"/>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09A3F1C2" w14:textId="77777777" w:rsidR="00BB65EF" w:rsidRPr="006511BE" w:rsidRDefault="00BB65EF">
      <w:pPr>
        <w:spacing w:after="0"/>
        <w:ind w:left="851" w:right="899"/>
        <w:jc w:val="both"/>
        <w:rPr>
          <w:rFonts w:ascii="Palatino Linotype" w:eastAsia="Palatino Linotype" w:hAnsi="Palatino Linotype" w:cs="Palatino Linotype"/>
          <w:color w:val="000000"/>
          <w:sz w:val="24"/>
          <w:szCs w:val="24"/>
        </w:rPr>
      </w:pPr>
    </w:p>
    <w:p w14:paraId="717E587F"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Es por ello, que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tiene la facultad de generar el padrón de beneficiarias del trabajo referido en la solicitud, así mismo, los beneficiarios  que reciben recursos públicos del</w:t>
      </w:r>
      <w:r w:rsidRPr="006511BE">
        <w:rPr>
          <w:rFonts w:ascii="Palatino Linotype" w:eastAsia="Palatino Linotype" w:hAnsi="Palatino Linotype" w:cs="Palatino Linotype"/>
          <w:b/>
          <w:sz w:val="24"/>
          <w:szCs w:val="24"/>
        </w:rPr>
        <w:t xml:space="preserve"> SUJETO OBLIGADO</w:t>
      </w:r>
      <w:r w:rsidRPr="006511BE">
        <w:rPr>
          <w:rFonts w:ascii="Palatino Linotype" w:eastAsia="Palatino Linotype" w:hAnsi="Palatino Linotype" w:cs="Palatino Linotype"/>
          <w:sz w:val="24"/>
          <w:szCs w:val="24"/>
        </w:rPr>
        <w:t xml:space="preserve"> en el ámbito de sus atribuciones, además, el nombre de los beneficiarios, </w:t>
      </w:r>
      <w:r w:rsidRPr="006511BE">
        <w:rPr>
          <w:rFonts w:ascii="Palatino Linotype" w:eastAsia="Palatino Linotype" w:hAnsi="Palatino Linotype" w:cs="Palatino Linotype"/>
          <w:b/>
          <w:sz w:val="24"/>
          <w:szCs w:val="24"/>
        </w:rPr>
        <w:t>implica</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invariablemente el uso y destino de recursos públicos</w:t>
      </w:r>
      <w:r w:rsidRPr="006511BE">
        <w:rPr>
          <w:rFonts w:ascii="Palatino Linotype" w:eastAsia="Palatino Linotype" w:hAnsi="Palatino Linotype" w:cs="Palatino Linotype"/>
          <w:sz w:val="24"/>
          <w:szCs w:val="24"/>
        </w:rPr>
        <w:t xml:space="preserve">; por ello, de conformidad con el artículo 24, fracción XVIII de la Ley de Transparencia y Acceso a la Información Pública del Estado de México y Municipios,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tiene la obligación de hacer pública toda aquella información relativa a los montos y las personas a quienes entreguen, por cualquier motivo, recursos públicos; así como, los informes que dichas personas les entreguen sobre el uso y destino de dichos recursos. Sirve de sustento el precepto legal en cita:</w:t>
      </w:r>
    </w:p>
    <w:p w14:paraId="1715E2BF"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3DA86E5D"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Artículo 24.</w:t>
      </w:r>
      <w:r w:rsidRPr="006511BE">
        <w:rPr>
          <w:rFonts w:ascii="Palatino Linotype" w:eastAsia="Palatino Linotype" w:hAnsi="Palatino Linotype" w:cs="Palatino Linotype"/>
          <w:i/>
        </w:rPr>
        <w:t xml:space="preserve"> Para el cumplimiento de los objetivos de esta Ley, los sujetos obligados deberán cumplir con las siguientes obligaciones, según corresponda, de acuerdo a su naturaleza:</w:t>
      </w:r>
    </w:p>
    <w:p w14:paraId="019EA960"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p>
    <w:p w14:paraId="3ED47535" w14:textId="77777777" w:rsidR="00BB65EF" w:rsidRPr="006511BE" w:rsidRDefault="00C06787">
      <w:pPr>
        <w:spacing w:after="0" w:line="276" w:lineRule="auto"/>
        <w:ind w:left="851" w:right="902"/>
        <w:jc w:val="both"/>
        <w:rPr>
          <w:rFonts w:ascii="Palatino Linotype" w:eastAsia="Palatino Linotype" w:hAnsi="Palatino Linotype" w:cs="Palatino Linotype"/>
          <w:i/>
        </w:rPr>
      </w:pPr>
      <w:r w:rsidRPr="006511BE">
        <w:rPr>
          <w:rFonts w:ascii="Palatino Linotype" w:eastAsia="Palatino Linotype" w:hAnsi="Palatino Linotype" w:cs="Palatino Linotype"/>
          <w:b/>
          <w:i/>
        </w:rPr>
        <w:t xml:space="preserve">XVIII. Hacer pública toda aquella información relativa a los montos y las personas a quienes entreguen, por cualquier motivo, recursos públicos, </w:t>
      </w:r>
      <w:r w:rsidRPr="006511BE">
        <w:rPr>
          <w:rFonts w:ascii="Palatino Linotype" w:eastAsia="Palatino Linotype" w:hAnsi="Palatino Linotype" w:cs="Palatino Linotype"/>
          <w:b/>
          <w:i/>
        </w:rPr>
        <w:lastRenderedPageBreak/>
        <w:t>así como los informes que dichas personas les entreguen sobre el uso y destino de dichos recursos</w:t>
      </w:r>
      <w:r w:rsidRPr="006511BE">
        <w:rPr>
          <w:rFonts w:ascii="Palatino Linotype" w:eastAsia="Palatino Linotype" w:hAnsi="Palatino Linotype" w:cs="Palatino Linotype"/>
          <w:i/>
        </w:rPr>
        <w:t>”</w:t>
      </w:r>
    </w:p>
    <w:p w14:paraId="77A147F8" w14:textId="77777777" w:rsidR="00BB65EF" w:rsidRPr="006511BE" w:rsidRDefault="00BB65EF">
      <w:pPr>
        <w:spacing w:after="0" w:line="360" w:lineRule="auto"/>
        <w:ind w:left="851" w:right="902"/>
        <w:jc w:val="both"/>
        <w:rPr>
          <w:rFonts w:ascii="Palatino Linotype" w:eastAsia="Palatino Linotype" w:hAnsi="Palatino Linotype" w:cs="Palatino Linotype"/>
          <w:sz w:val="24"/>
          <w:szCs w:val="24"/>
        </w:rPr>
      </w:pPr>
    </w:p>
    <w:p w14:paraId="0152F8F9"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En esa virtud, es de reiterar al recibir recursos económicos o en especie, son erogaciones que se realizan con erario público, información que por su naturaleza debe ser entregada, así mismo, como los documentos que valen el destino del gasto realizado con recursos públicos y que éstos deben ser generados al momento en que se efectúa la erogación correspondiente, lo que permite transparentar el actuar público, por lo que respecta a los resultados, la información puede obrar de manera enunciativa más no limitativa en el informe de gobierno.</w:t>
      </w:r>
    </w:p>
    <w:p w14:paraId="67260FF1" w14:textId="77777777" w:rsidR="00BB65EF" w:rsidRPr="006511BE" w:rsidRDefault="00BB65EF">
      <w:pPr>
        <w:spacing w:after="0" w:line="360" w:lineRule="auto"/>
        <w:jc w:val="both"/>
        <w:rPr>
          <w:rFonts w:ascii="Palatino Linotype" w:eastAsia="Palatino Linotype" w:hAnsi="Palatino Linotype" w:cs="Palatino Linotype"/>
          <w:sz w:val="24"/>
          <w:szCs w:val="24"/>
        </w:rPr>
      </w:pPr>
      <w:bookmarkStart w:id="0" w:name="_heading=h.qx0kiez454pc" w:colFirst="0" w:colLast="0"/>
      <w:bookmarkEnd w:id="0"/>
    </w:p>
    <w:p w14:paraId="3A3E8631"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Motivo por el que se ordenan los documentos en los que consten los beneficiarios y los resultados de los trabajos referidos en la solicitud de información generados al dieciséis de diciembre de dos mil veinticuatro, de ser procedente en versión pública, en términos del considerando quinto. </w:t>
      </w:r>
    </w:p>
    <w:p w14:paraId="0BAECB7D"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4BC12B0A"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 xml:space="preserve">QUINTO. VERSIÓN PÚBLICA. </w:t>
      </w:r>
      <w:r w:rsidRPr="006511BE">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6511BE">
        <w:rPr>
          <w:rFonts w:ascii="Palatino Linotype" w:eastAsia="Palatino Linotype" w:hAnsi="Palatino Linotype" w:cs="Palatino Linotype"/>
          <w:b/>
          <w:sz w:val="24"/>
          <w:szCs w:val="24"/>
        </w:rPr>
        <w:t xml:space="preserve">LA </w:t>
      </w:r>
      <w:r w:rsidRPr="006511BE">
        <w:rPr>
          <w:rFonts w:ascii="Palatino Linotype" w:eastAsia="Palatino Linotype" w:hAnsi="Palatino Linotype" w:cs="Palatino Linotype"/>
          <w:b/>
          <w:sz w:val="24"/>
          <w:szCs w:val="24"/>
        </w:rPr>
        <w:lastRenderedPageBreak/>
        <w:t>PARTE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RECURRENTE</w:t>
      </w:r>
      <w:r w:rsidRPr="006511BE">
        <w:rPr>
          <w:rFonts w:ascii="Palatino Linotype" w:eastAsia="Palatino Linotype" w:hAnsi="Palatino Linotype" w:cs="Palatino Linotype"/>
          <w:sz w:val="24"/>
          <w:szCs w:val="24"/>
        </w:rPr>
        <w:t xml:space="preserve"> sin menoscabar el derecho a la protección de los datos personales de terceros.</w:t>
      </w:r>
    </w:p>
    <w:p w14:paraId="4C9CF40D"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3C4B7342"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35919154"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2C812200" w14:textId="77777777" w:rsidR="00BB65EF" w:rsidRPr="006511BE" w:rsidRDefault="00C06787">
      <w:pPr>
        <w:spacing w:after="0" w:line="276" w:lineRule="auto"/>
        <w:ind w:left="992" w:right="1043"/>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t xml:space="preserve"> “Artículo 3. Para los efectos de la presente Ley se entenderá por:</w:t>
      </w:r>
    </w:p>
    <w:p w14:paraId="710235B6"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IX. Datos personales:</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rPr>
        <w:t>La información concerniente a una persona, identificada o identificable</w:t>
      </w:r>
      <w:r w:rsidRPr="006511BE">
        <w:rPr>
          <w:rFonts w:ascii="Palatino Linotype" w:eastAsia="Palatino Linotype" w:hAnsi="Palatino Linotype" w:cs="Palatino Linotype"/>
          <w:i/>
        </w:rPr>
        <w:t xml:space="preserve"> según lo dispuesto por la Ley de Protección de Datos Personales del Estado de México;</w:t>
      </w:r>
    </w:p>
    <w:p w14:paraId="7CD36D8A"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XX. Información clasificada:</w:t>
      </w:r>
      <w:r w:rsidRPr="006511BE">
        <w:rPr>
          <w:rFonts w:ascii="Palatino Linotype" w:eastAsia="Palatino Linotype" w:hAnsi="Palatino Linotype" w:cs="Palatino Linotype"/>
          <w:i/>
        </w:rPr>
        <w:t xml:space="preserve"> Aquella considerada por la presente Ley como reservada o confidencial;</w:t>
      </w:r>
    </w:p>
    <w:p w14:paraId="561E5306"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XXXII. Protección de Datos Personales:</w:t>
      </w:r>
      <w:r w:rsidRPr="006511BE">
        <w:rPr>
          <w:rFonts w:ascii="Palatino Linotype" w:eastAsia="Palatino Linotype" w:hAnsi="Palatino Linotype" w:cs="Palatino Linotype"/>
          <w:i/>
        </w:rPr>
        <w:t xml:space="preserve"> Derecho humano que tutela la privacidad de datos personales en poder de los sujetos obligados y sujetos particulares;</w:t>
      </w:r>
    </w:p>
    <w:p w14:paraId="6463EBD0"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XLV. Versión pública</w:t>
      </w:r>
      <w:r w:rsidRPr="006511BE">
        <w:rPr>
          <w:rFonts w:ascii="Palatino Linotype" w:eastAsia="Palatino Linotype" w:hAnsi="Palatino Linotype" w:cs="Palatino Linotype"/>
          <w:i/>
        </w:rPr>
        <w:t>: Documento en el que se elimine, suprime o borra la información clasificada como reservada o confidencial para permitir su acceso.”</w:t>
      </w:r>
    </w:p>
    <w:p w14:paraId="685A7436" w14:textId="77777777" w:rsidR="00BB65EF" w:rsidRPr="006511BE" w:rsidRDefault="00BB65EF">
      <w:pPr>
        <w:spacing w:after="0" w:line="276" w:lineRule="auto"/>
        <w:ind w:left="992" w:right="1043"/>
        <w:jc w:val="both"/>
        <w:rPr>
          <w:rFonts w:ascii="Palatino Linotype" w:eastAsia="Palatino Linotype" w:hAnsi="Palatino Linotype" w:cs="Palatino Linotype"/>
          <w:i/>
        </w:rPr>
      </w:pPr>
    </w:p>
    <w:p w14:paraId="712919CD"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6.</w:t>
      </w:r>
      <w:r w:rsidRPr="006511BE">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0CFB3AD" w14:textId="77777777" w:rsidR="00BB65EF" w:rsidRPr="006511BE" w:rsidRDefault="00BB65EF">
      <w:pPr>
        <w:spacing w:after="0" w:line="276" w:lineRule="auto"/>
        <w:ind w:left="992" w:right="1043"/>
        <w:jc w:val="both"/>
        <w:rPr>
          <w:rFonts w:ascii="Palatino Linotype" w:eastAsia="Palatino Linotype" w:hAnsi="Palatino Linotype" w:cs="Palatino Linotype"/>
          <w:i/>
        </w:rPr>
      </w:pPr>
    </w:p>
    <w:p w14:paraId="4B2CC465" w14:textId="77777777" w:rsidR="00BB65EF" w:rsidRPr="006511BE" w:rsidRDefault="00C06787">
      <w:pPr>
        <w:spacing w:after="0" w:line="276" w:lineRule="auto"/>
        <w:ind w:left="992" w:right="1043"/>
        <w:jc w:val="both"/>
        <w:rPr>
          <w:rFonts w:ascii="Palatino Linotype" w:eastAsia="Palatino Linotype" w:hAnsi="Palatino Linotype" w:cs="Palatino Linotype"/>
          <w:b/>
          <w:i/>
        </w:rPr>
      </w:pPr>
      <w:r w:rsidRPr="006511BE">
        <w:rPr>
          <w:rFonts w:ascii="Palatino Linotype" w:eastAsia="Palatino Linotype" w:hAnsi="Palatino Linotype" w:cs="Palatino Linotype"/>
          <w:b/>
          <w:i/>
        </w:rPr>
        <w:lastRenderedPageBreak/>
        <w:t>“Artículo 137.</w:t>
      </w:r>
      <w:r w:rsidRPr="006511BE">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F773AA6"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143</w:t>
      </w:r>
      <w:r w:rsidRPr="006511B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C11B19E"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I.</w:t>
      </w:r>
      <w:r w:rsidRPr="006511BE">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7DD7E6E4"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EC1B9A1"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48FB389E" w14:textId="77777777" w:rsidR="00BB65EF" w:rsidRPr="006511BE" w:rsidRDefault="00BB65EF">
      <w:pPr>
        <w:ind w:left="993" w:right="1041"/>
        <w:jc w:val="both"/>
        <w:rPr>
          <w:rFonts w:ascii="Palatino Linotype" w:eastAsia="Palatino Linotype" w:hAnsi="Palatino Linotype" w:cs="Palatino Linotype"/>
          <w:i/>
        </w:rPr>
      </w:pPr>
    </w:p>
    <w:p w14:paraId="68B7EB26"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 xml:space="preserve"> deberá proceder a testar los datos personales que se encuentren contenidos en los documentos a entregar para satisfacer el derecho de acceso a la información pública de </w:t>
      </w:r>
      <w:r w:rsidRPr="006511BE">
        <w:rPr>
          <w:rFonts w:ascii="Palatino Linotype" w:eastAsia="Palatino Linotype" w:hAnsi="Palatino Linotype" w:cs="Palatino Linotype"/>
          <w:b/>
          <w:sz w:val="24"/>
          <w:szCs w:val="24"/>
        </w:rPr>
        <w:t>LA PARTE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RECURRENTE</w:t>
      </w:r>
      <w:r w:rsidRPr="006511BE">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6511BE">
        <w:rPr>
          <w:rFonts w:ascii="Palatino Linotype" w:eastAsia="Palatino Linotype" w:hAnsi="Palatino Linotype" w:cs="Palatino Linotype"/>
          <w:sz w:val="24"/>
          <w:szCs w:val="24"/>
        </w:rPr>
        <w:lastRenderedPageBreak/>
        <w:t>de la Ley de Protección de Datos Personales en Posesión de Sujetos Obligados del Estado de México.</w:t>
      </w:r>
    </w:p>
    <w:p w14:paraId="72C50444"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0B41A163" w14:textId="77777777" w:rsidR="00BB65EF" w:rsidRPr="006511BE" w:rsidRDefault="00C06787">
      <w:pPr>
        <w:spacing w:after="0" w:line="360" w:lineRule="auto"/>
        <w:ind w:right="50"/>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FD91007"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7548DE2A"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w:t>
      </w:r>
      <w:proofErr w:type="gramStart"/>
      <w:r w:rsidRPr="006511BE">
        <w:rPr>
          <w:rFonts w:ascii="Palatino Linotype" w:eastAsia="Palatino Linotype" w:hAnsi="Palatino Linotype" w:cs="Palatino Linotype"/>
          <w:sz w:val="24"/>
          <w:szCs w:val="24"/>
        </w:rPr>
        <w:t>Responsable</w:t>
      </w:r>
      <w:proofErr w:type="gramEnd"/>
      <w:r w:rsidRPr="006511BE">
        <w:rPr>
          <w:rFonts w:ascii="Palatino Linotype" w:eastAsia="Palatino Linotype" w:hAnsi="Palatino Linotype" w:cs="Palatino Linotype"/>
          <w:sz w:val="24"/>
          <w:szCs w:val="24"/>
        </w:rPr>
        <w:t xml:space="preserve"> de la Unidad de Transparencia del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14:paraId="077FFAC1"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53C37D94"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49.</w:t>
      </w:r>
      <w:r w:rsidRPr="006511BE">
        <w:rPr>
          <w:rFonts w:ascii="Palatino Linotype" w:eastAsia="Palatino Linotype" w:hAnsi="Palatino Linotype" w:cs="Palatino Linotype"/>
          <w:i/>
        </w:rPr>
        <w:t xml:space="preserve"> </w:t>
      </w:r>
      <w:r w:rsidRPr="006511BE">
        <w:rPr>
          <w:rFonts w:ascii="Palatino Linotype" w:eastAsia="Palatino Linotype" w:hAnsi="Palatino Linotype" w:cs="Palatino Linotype"/>
          <w:b/>
          <w:i/>
        </w:rPr>
        <w:t>Los Comités de Transparencia</w:t>
      </w:r>
      <w:r w:rsidRPr="006511BE">
        <w:rPr>
          <w:rFonts w:ascii="Palatino Linotype" w:eastAsia="Palatino Linotype" w:hAnsi="Palatino Linotype" w:cs="Palatino Linotype"/>
          <w:i/>
        </w:rPr>
        <w:t xml:space="preserve"> tendrán las siguientes atribuciones:</w:t>
      </w:r>
    </w:p>
    <w:p w14:paraId="0DB56AD7"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VIII. Aprobar, modificar o revocar la clasificación de la información</w:t>
      </w:r>
      <w:r w:rsidRPr="006511BE">
        <w:rPr>
          <w:rFonts w:ascii="Palatino Linotype" w:eastAsia="Palatino Linotype" w:hAnsi="Palatino Linotype" w:cs="Palatino Linotype"/>
          <w:i/>
        </w:rPr>
        <w:t>…”</w:t>
      </w:r>
    </w:p>
    <w:p w14:paraId="03D065F1"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Artículo 53.</w:t>
      </w:r>
      <w:r w:rsidRPr="006511BE">
        <w:rPr>
          <w:rFonts w:ascii="Palatino Linotype" w:eastAsia="Palatino Linotype" w:hAnsi="Palatino Linotype" w:cs="Palatino Linotype"/>
          <w:i/>
        </w:rPr>
        <w:t xml:space="preserve"> Las </w:t>
      </w:r>
      <w:r w:rsidRPr="006511BE">
        <w:rPr>
          <w:rFonts w:ascii="Palatino Linotype" w:eastAsia="Palatino Linotype" w:hAnsi="Palatino Linotype" w:cs="Palatino Linotype"/>
          <w:b/>
          <w:i/>
        </w:rPr>
        <w:t>Unidades de Transparencia</w:t>
      </w:r>
      <w:r w:rsidRPr="006511BE">
        <w:rPr>
          <w:rFonts w:ascii="Palatino Linotype" w:eastAsia="Palatino Linotype" w:hAnsi="Palatino Linotype" w:cs="Palatino Linotype"/>
          <w:i/>
        </w:rPr>
        <w:t xml:space="preserve"> tendrán las siguientes </w:t>
      </w:r>
      <w:r w:rsidRPr="006511BE">
        <w:rPr>
          <w:rFonts w:ascii="Palatino Linotype" w:eastAsia="Palatino Linotype" w:hAnsi="Palatino Linotype" w:cs="Palatino Linotype"/>
          <w:b/>
          <w:i/>
        </w:rPr>
        <w:t>funciones</w:t>
      </w:r>
      <w:r w:rsidRPr="006511BE">
        <w:rPr>
          <w:rFonts w:ascii="Palatino Linotype" w:eastAsia="Palatino Linotype" w:hAnsi="Palatino Linotype" w:cs="Palatino Linotype"/>
          <w:i/>
        </w:rPr>
        <w:t>:</w:t>
      </w:r>
    </w:p>
    <w:p w14:paraId="6CE38BFD"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X. Presentar ante el Comité, el proyecto de clasificación de información</w:t>
      </w:r>
      <w:r w:rsidRPr="006511BE">
        <w:rPr>
          <w:rFonts w:ascii="Palatino Linotype" w:eastAsia="Palatino Linotype" w:hAnsi="Palatino Linotype" w:cs="Palatino Linotype"/>
          <w:i/>
        </w:rPr>
        <w:t xml:space="preserve">…” </w:t>
      </w:r>
    </w:p>
    <w:p w14:paraId="707E6703"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t>“Artículo 59.</w:t>
      </w:r>
      <w:r w:rsidRPr="006511BE">
        <w:rPr>
          <w:rFonts w:ascii="Palatino Linotype" w:eastAsia="Palatino Linotype" w:hAnsi="Palatino Linotype" w:cs="Palatino Linotype"/>
          <w:i/>
        </w:rPr>
        <w:t xml:space="preserve"> Los </w:t>
      </w:r>
      <w:r w:rsidRPr="006511BE">
        <w:rPr>
          <w:rFonts w:ascii="Palatino Linotype" w:eastAsia="Palatino Linotype" w:hAnsi="Palatino Linotype" w:cs="Palatino Linotype"/>
          <w:b/>
          <w:i/>
        </w:rPr>
        <w:t>servidores públicos habilitados</w:t>
      </w:r>
      <w:r w:rsidRPr="006511BE">
        <w:rPr>
          <w:rFonts w:ascii="Palatino Linotype" w:eastAsia="Palatino Linotype" w:hAnsi="Palatino Linotype" w:cs="Palatino Linotype"/>
          <w:i/>
        </w:rPr>
        <w:t xml:space="preserve"> tendrán las </w:t>
      </w:r>
      <w:r w:rsidRPr="006511BE">
        <w:rPr>
          <w:rFonts w:ascii="Palatino Linotype" w:eastAsia="Palatino Linotype" w:hAnsi="Palatino Linotype" w:cs="Palatino Linotype"/>
          <w:b/>
          <w:i/>
        </w:rPr>
        <w:t>funciones</w:t>
      </w:r>
      <w:r w:rsidRPr="006511BE">
        <w:rPr>
          <w:rFonts w:ascii="Palatino Linotype" w:eastAsia="Palatino Linotype" w:hAnsi="Palatino Linotype" w:cs="Palatino Linotype"/>
          <w:i/>
        </w:rPr>
        <w:t xml:space="preserve"> siguientes:</w:t>
      </w:r>
    </w:p>
    <w:p w14:paraId="3C42D2E7" w14:textId="77777777" w:rsidR="00BB65EF" w:rsidRPr="006511BE" w:rsidRDefault="00C06787">
      <w:pPr>
        <w:spacing w:after="0" w:line="276" w:lineRule="auto"/>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b/>
          <w:i/>
        </w:rPr>
        <w:lastRenderedPageBreak/>
        <w:t>V. Integrar y presentar al responsable de la Unidad de Transparencia la propuesta de clasificación de información</w:t>
      </w:r>
      <w:r w:rsidRPr="006511BE">
        <w:rPr>
          <w:rFonts w:ascii="Palatino Linotype" w:eastAsia="Palatino Linotype" w:hAnsi="Palatino Linotype" w:cs="Palatino Linotype"/>
          <w:i/>
        </w:rPr>
        <w:t xml:space="preserve">, la cual tendrá los fundamentos y argumentos en que se basa dicha propuesta…” </w:t>
      </w:r>
    </w:p>
    <w:p w14:paraId="6AA1C8A6" w14:textId="77777777" w:rsidR="00BB65EF" w:rsidRPr="006511BE" w:rsidRDefault="00BB65EF">
      <w:pPr>
        <w:spacing w:after="0" w:line="276" w:lineRule="auto"/>
        <w:ind w:left="992" w:right="1043"/>
        <w:jc w:val="both"/>
        <w:rPr>
          <w:rFonts w:ascii="Palatino Linotype" w:eastAsia="Palatino Linotype" w:hAnsi="Palatino Linotype" w:cs="Palatino Linotype"/>
          <w:i/>
        </w:rPr>
      </w:pPr>
    </w:p>
    <w:p w14:paraId="5B9B7540"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5EDF622"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4508670B"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6E65F207"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802D8FF" w14:textId="77777777" w:rsidR="00BB65EF" w:rsidRPr="006511BE" w:rsidRDefault="00C06787">
      <w:pPr>
        <w:spacing w:after="0"/>
        <w:ind w:left="992" w:right="1043"/>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Artículo 149.</w:t>
      </w:r>
      <w:r w:rsidRPr="006511BE">
        <w:rPr>
          <w:rFonts w:ascii="Palatino Linotype" w:eastAsia="Palatino Linotype" w:hAnsi="Palatino Linotype" w:cs="Palatino Linotype"/>
          <w:i/>
        </w:rPr>
        <w:t xml:space="preserve"> El </w:t>
      </w:r>
      <w:r w:rsidRPr="006511BE">
        <w:rPr>
          <w:rFonts w:ascii="Palatino Linotype" w:eastAsia="Palatino Linotype" w:hAnsi="Palatino Linotype" w:cs="Palatino Linotype"/>
          <w:b/>
          <w:i/>
        </w:rPr>
        <w:t>acuerdo que clasifique la información como confidencial</w:t>
      </w:r>
      <w:r w:rsidRPr="006511B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004BA28E" w14:textId="77777777" w:rsidR="00BB65EF" w:rsidRPr="006511BE" w:rsidRDefault="00BB65EF">
      <w:pPr>
        <w:spacing w:line="360" w:lineRule="auto"/>
        <w:ind w:right="51"/>
        <w:jc w:val="both"/>
        <w:rPr>
          <w:rFonts w:ascii="Palatino Linotype" w:eastAsia="Palatino Linotype" w:hAnsi="Palatino Linotype" w:cs="Palatino Linotype"/>
          <w:i/>
        </w:rPr>
      </w:pPr>
    </w:p>
    <w:p w14:paraId="70A7D4FC"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Es decir,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6511BE">
        <w:rPr>
          <w:rFonts w:ascii="Palatino Linotype" w:eastAsia="Palatino Linotype" w:hAnsi="Palatino Linotype" w:cs="Palatino Linotype"/>
          <w:sz w:val="24"/>
          <w:szCs w:val="24"/>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1A2B89D"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0A914B03" w14:textId="77777777" w:rsidR="00BB65EF" w:rsidRPr="006511BE" w:rsidRDefault="00C06787">
      <w:pPr>
        <w:pBdr>
          <w:top w:val="nil"/>
          <w:left w:val="nil"/>
          <w:bottom w:val="nil"/>
          <w:right w:val="nil"/>
          <w:between w:val="nil"/>
        </w:pBdr>
        <w:spacing w:after="0" w:line="360" w:lineRule="auto"/>
        <w:ind w:right="50"/>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Respecto del </w:t>
      </w:r>
      <w:r w:rsidRPr="006511BE">
        <w:rPr>
          <w:rFonts w:ascii="Palatino Linotype" w:eastAsia="Palatino Linotype" w:hAnsi="Palatino Linotype" w:cs="Palatino Linotype"/>
          <w:b/>
          <w:color w:val="000000"/>
          <w:sz w:val="24"/>
          <w:szCs w:val="24"/>
        </w:rPr>
        <w:t>nombre de las personas físicas</w:t>
      </w:r>
      <w:r w:rsidRPr="006511BE">
        <w:rPr>
          <w:rFonts w:ascii="Palatino Linotype" w:eastAsia="Palatino Linotype" w:hAnsi="Palatino Linotype" w:cs="Palatino Linotype"/>
          <w:color w:val="000000"/>
          <w:sz w:val="24"/>
          <w:szCs w:val="24"/>
        </w:rPr>
        <w:t xml:space="preserve"> o los </w:t>
      </w:r>
      <w:r w:rsidRPr="006511BE">
        <w:rPr>
          <w:rFonts w:ascii="Palatino Linotype" w:eastAsia="Palatino Linotype" w:hAnsi="Palatino Linotype" w:cs="Palatino Linotype"/>
          <w:b/>
          <w:color w:val="000000"/>
          <w:sz w:val="24"/>
          <w:szCs w:val="24"/>
        </w:rPr>
        <w:t>representantes legales de las personas morales</w:t>
      </w:r>
      <w:r w:rsidRPr="006511BE">
        <w:rPr>
          <w:rFonts w:ascii="Palatino Linotype" w:eastAsia="Palatino Linotype" w:hAnsi="Palatino Linotype" w:cs="Palatino Linotype"/>
          <w:color w:val="000000"/>
          <w:sz w:val="24"/>
          <w:szCs w:val="24"/>
        </w:rPr>
        <w:t xml:space="preserve">, </w:t>
      </w:r>
      <w:r w:rsidRPr="006511BE">
        <w:rPr>
          <w:rFonts w:ascii="Palatino Linotype" w:eastAsia="Palatino Linotype" w:hAnsi="Palatino Linotype" w:cs="Palatino Linotype"/>
          <w:b/>
          <w:color w:val="000000"/>
          <w:sz w:val="24"/>
          <w:szCs w:val="24"/>
        </w:rPr>
        <w:t>en su calidad de proveedores, contratistas o prestadores de servicios, y la firma y rúbrica de estos</w:t>
      </w:r>
      <w:r w:rsidRPr="006511BE">
        <w:rPr>
          <w:rFonts w:ascii="Palatino Linotype" w:eastAsia="Palatino Linotype" w:hAnsi="Palatino Linotype" w:cs="Palatino Linotype"/>
          <w:color w:val="000000"/>
          <w:sz w:val="24"/>
          <w:szCs w:val="24"/>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2F75BD4" w14:textId="77777777" w:rsidR="00BB65EF" w:rsidRPr="006511BE" w:rsidRDefault="00BB65EF">
      <w:pPr>
        <w:pBdr>
          <w:top w:val="nil"/>
          <w:left w:val="nil"/>
          <w:bottom w:val="nil"/>
          <w:right w:val="nil"/>
          <w:between w:val="nil"/>
        </w:pBdr>
        <w:spacing w:after="0" w:line="360" w:lineRule="auto"/>
        <w:ind w:right="50"/>
        <w:jc w:val="both"/>
        <w:rPr>
          <w:color w:val="000000"/>
          <w:sz w:val="24"/>
          <w:szCs w:val="24"/>
        </w:rPr>
      </w:pPr>
    </w:p>
    <w:p w14:paraId="668A8E28" w14:textId="77777777" w:rsidR="00BB65EF" w:rsidRPr="006511BE" w:rsidRDefault="00C06787">
      <w:pPr>
        <w:pBdr>
          <w:top w:val="nil"/>
          <w:left w:val="nil"/>
          <w:bottom w:val="nil"/>
          <w:right w:val="nil"/>
          <w:between w:val="nil"/>
        </w:pBdr>
        <w:spacing w:after="0" w:line="360" w:lineRule="auto"/>
        <w:ind w:right="50"/>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Argumentación que guarda sustento en lo estipulado por el artículo 23 de la Ley de Transparencia y Acceso a la Información Pública del Estado de México y Municipios en su penúltimo párrafo, mismo que es del tenor literal siguiente:</w:t>
      </w:r>
    </w:p>
    <w:p w14:paraId="6C7C92EF" w14:textId="77777777" w:rsidR="00BB65EF" w:rsidRPr="006511BE" w:rsidRDefault="00BB65EF">
      <w:pPr>
        <w:pBdr>
          <w:top w:val="nil"/>
          <w:left w:val="nil"/>
          <w:bottom w:val="nil"/>
          <w:right w:val="nil"/>
          <w:between w:val="nil"/>
        </w:pBdr>
        <w:spacing w:after="0" w:line="360" w:lineRule="auto"/>
        <w:ind w:right="50"/>
        <w:jc w:val="both"/>
        <w:rPr>
          <w:color w:val="000000"/>
          <w:sz w:val="24"/>
          <w:szCs w:val="24"/>
        </w:rPr>
      </w:pPr>
    </w:p>
    <w:p w14:paraId="021DDC14" w14:textId="77777777" w:rsidR="00BB65EF" w:rsidRPr="006511BE" w:rsidRDefault="00C06787">
      <w:pPr>
        <w:pBdr>
          <w:top w:val="nil"/>
          <w:left w:val="nil"/>
          <w:bottom w:val="nil"/>
          <w:right w:val="nil"/>
          <w:between w:val="nil"/>
        </w:pBdr>
        <w:spacing w:after="120"/>
        <w:ind w:left="851" w:right="902"/>
        <w:jc w:val="both"/>
        <w:rPr>
          <w:color w:val="000000"/>
        </w:rPr>
      </w:pPr>
      <w:r w:rsidRPr="006511BE">
        <w:rPr>
          <w:rFonts w:ascii="Palatino Linotype" w:eastAsia="Palatino Linotype" w:hAnsi="Palatino Linotype" w:cs="Palatino Linotype"/>
          <w:i/>
          <w:color w:val="000000"/>
        </w:rPr>
        <w:t>“</w:t>
      </w:r>
      <w:r w:rsidRPr="006511BE">
        <w:rPr>
          <w:rFonts w:ascii="Palatino Linotype" w:eastAsia="Palatino Linotype" w:hAnsi="Palatino Linotype" w:cs="Palatino Linotype"/>
          <w:b/>
          <w:i/>
          <w:color w:val="000000"/>
        </w:rPr>
        <w:t>Artículo 23.</w:t>
      </w:r>
      <w:r w:rsidRPr="006511BE">
        <w:rPr>
          <w:rFonts w:ascii="Palatino Linotype" w:eastAsia="Palatino Linotype" w:hAnsi="Palatino Linotype" w:cs="Palatino Linotype"/>
          <w:i/>
          <w:color w:val="000000"/>
        </w:rPr>
        <w:t xml:space="preserve"> (…)</w:t>
      </w:r>
    </w:p>
    <w:p w14:paraId="4E90AB7B" w14:textId="77777777" w:rsidR="00BB65EF" w:rsidRPr="006511BE" w:rsidRDefault="00C06787">
      <w:pPr>
        <w:pBdr>
          <w:top w:val="nil"/>
          <w:left w:val="nil"/>
          <w:bottom w:val="nil"/>
          <w:right w:val="nil"/>
          <w:between w:val="nil"/>
        </w:pBdr>
        <w:spacing w:before="120" w:after="120"/>
        <w:ind w:left="851" w:right="902"/>
        <w:jc w:val="both"/>
        <w:rPr>
          <w:color w:val="000000"/>
        </w:rPr>
      </w:pPr>
      <w:r w:rsidRPr="006511BE">
        <w:rPr>
          <w:rFonts w:ascii="Palatino Linotype" w:eastAsia="Palatino Linotype" w:hAnsi="Palatino Linotype" w:cs="Palatino Linotype"/>
          <w:i/>
          <w:color w:val="000000"/>
        </w:rPr>
        <w:t xml:space="preserve">Los sujetos obligados deberán hacer pública toda aquella información relativa a los montos y las personas a quienes entreguen, por cualquier motivo, recursos </w:t>
      </w:r>
      <w:r w:rsidRPr="006511BE">
        <w:rPr>
          <w:rFonts w:ascii="Palatino Linotype" w:eastAsia="Palatino Linotype" w:hAnsi="Palatino Linotype" w:cs="Palatino Linotype"/>
          <w:i/>
          <w:color w:val="000000"/>
        </w:rPr>
        <w:lastRenderedPageBreak/>
        <w:t>públicos, así como los informes que dichas personas les entreguen sobre el uso y destino de dichos recursos.”</w:t>
      </w:r>
    </w:p>
    <w:p w14:paraId="1F0F5AB7" w14:textId="77777777" w:rsidR="00BB65EF" w:rsidRPr="006511BE" w:rsidRDefault="00C06787">
      <w:pPr>
        <w:pBdr>
          <w:top w:val="nil"/>
          <w:left w:val="nil"/>
          <w:bottom w:val="nil"/>
          <w:right w:val="nil"/>
          <w:between w:val="nil"/>
        </w:pBdr>
        <w:spacing w:before="280" w:after="280" w:line="360" w:lineRule="auto"/>
        <w:jc w:val="both"/>
        <w:rPr>
          <w:color w:val="000000"/>
        </w:rPr>
      </w:pPr>
      <w:r w:rsidRPr="006511BE">
        <w:rPr>
          <w:rFonts w:ascii="Palatino Linotype" w:eastAsia="Palatino Linotype" w:hAnsi="Palatino Linotype" w:cs="Palatino Linotype"/>
          <w:color w:val="000000"/>
          <w:sz w:val="24"/>
          <w:szCs w:val="24"/>
        </w:rPr>
        <w:t>Asimismo, resulta aplicable el contenido del criterio de interpretación 01/19 emitido por el entonces Instituto Nacional de Transparencia, Acceso a la Información, y Protección de Datos Personales, INAI, que lleva por rubro y texto los siguientes</w:t>
      </w:r>
    </w:p>
    <w:p w14:paraId="2B17DE79" w14:textId="77777777" w:rsidR="00BB65EF" w:rsidRPr="006511BE" w:rsidRDefault="00C06787">
      <w:pPr>
        <w:pBdr>
          <w:top w:val="nil"/>
          <w:left w:val="nil"/>
          <w:bottom w:val="nil"/>
          <w:right w:val="nil"/>
          <w:between w:val="nil"/>
        </w:pBdr>
        <w:spacing w:after="0" w:line="276" w:lineRule="auto"/>
        <w:ind w:left="851" w:right="902"/>
        <w:jc w:val="both"/>
        <w:rPr>
          <w:color w:val="000000"/>
        </w:rPr>
      </w:pPr>
      <w:r w:rsidRPr="006511BE">
        <w:rPr>
          <w:rFonts w:ascii="Palatino Linotype" w:eastAsia="Palatino Linotype" w:hAnsi="Palatino Linotype" w:cs="Palatino Linotype"/>
          <w:b/>
          <w:i/>
          <w:color w:val="000000"/>
        </w:rPr>
        <w:t>“Datos de identificación del representante o apoderado legal.</w:t>
      </w:r>
      <w:r w:rsidRPr="006511BE">
        <w:rPr>
          <w:rFonts w:ascii="Palatino Linotype" w:eastAsia="Palatino Linotype" w:hAnsi="Palatino Linotype" w:cs="Palatino Linotype"/>
          <w:i/>
          <w:color w:val="000000"/>
        </w:rPr>
        <w:t xml:space="preserve"> </w:t>
      </w:r>
      <w:r w:rsidRPr="006511BE">
        <w:rPr>
          <w:rFonts w:ascii="Palatino Linotype" w:eastAsia="Palatino Linotype" w:hAnsi="Palatino Linotype" w:cs="Palatino Linotype"/>
          <w:b/>
          <w:i/>
          <w:color w:val="000000"/>
        </w:rPr>
        <w:t xml:space="preserve">Naturaleza jurídica. El nombre, la </w:t>
      </w:r>
      <w:r w:rsidRPr="006511BE">
        <w:rPr>
          <w:rFonts w:ascii="Palatino Linotype" w:eastAsia="Palatino Linotype" w:hAnsi="Palatino Linotype" w:cs="Palatino Linotype"/>
          <w:b/>
          <w:i/>
          <w:color w:val="000000"/>
          <w:u w:val="single"/>
        </w:rPr>
        <w:t>firma y la rúbrica</w:t>
      </w:r>
      <w:r w:rsidRPr="006511BE">
        <w:rPr>
          <w:rFonts w:ascii="Palatino Linotype" w:eastAsia="Palatino Linotype" w:hAnsi="Palatino Linotype" w:cs="Palatino Linotype"/>
          <w:i/>
          <w:color w:val="000000"/>
        </w:rPr>
        <w:t xml:space="preserve"> de una persona física, que actúe como representante o apoderado legal de un tercero que haya celebrado un acto jurídico, con algún sujeto obligado, </w:t>
      </w:r>
      <w:r w:rsidRPr="006511BE">
        <w:rPr>
          <w:rFonts w:ascii="Palatino Linotype" w:eastAsia="Palatino Linotype" w:hAnsi="Palatino Linotype" w:cs="Palatino Linotype"/>
          <w:b/>
          <w:i/>
          <w:color w:val="000000"/>
          <w:u w:val="single"/>
        </w:rPr>
        <w:t>es información pública</w:t>
      </w:r>
      <w:r w:rsidRPr="006511BE">
        <w:rPr>
          <w:rFonts w:ascii="Palatino Linotype" w:eastAsia="Palatino Linotype" w:hAnsi="Palatino Linotype" w:cs="Palatino Linotype"/>
          <w:b/>
          <w:i/>
          <w:color w:val="000000"/>
        </w:rPr>
        <w:t>, en razón de que tales datos fueron proporcionados con el objeto de expresar el consentimiento obligacional del tercero y otorgar validez a dicho instrumento jurídico</w:t>
      </w:r>
      <w:r w:rsidRPr="006511BE">
        <w:rPr>
          <w:rFonts w:ascii="Palatino Linotype" w:eastAsia="Palatino Linotype" w:hAnsi="Palatino Linotype" w:cs="Palatino Linotype"/>
          <w:i/>
          <w:color w:val="000000"/>
        </w:rPr>
        <w:t>.”</w:t>
      </w:r>
    </w:p>
    <w:p w14:paraId="4DBE8014"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20445AFB"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9630F3E" w14:textId="77777777" w:rsidR="00BB65EF" w:rsidRPr="006511BE" w:rsidRDefault="00BB65EF">
      <w:pPr>
        <w:spacing w:after="0" w:line="360" w:lineRule="auto"/>
        <w:ind w:right="50"/>
        <w:jc w:val="both"/>
        <w:rPr>
          <w:rFonts w:ascii="Palatino Linotype" w:eastAsia="Palatino Linotype" w:hAnsi="Palatino Linotype" w:cs="Palatino Linotype"/>
          <w:sz w:val="24"/>
          <w:szCs w:val="24"/>
        </w:rPr>
      </w:pPr>
    </w:p>
    <w:p w14:paraId="684CC956" w14:textId="77777777" w:rsidR="00BB65EF" w:rsidRPr="006511BE" w:rsidRDefault="00C06787">
      <w:pPr>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6511BE">
        <w:rPr>
          <w:rFonts w:ascii="Palatino Linotype" w:eastAsia="Palatino Linotype" w:hAnsi="Palatino Linotype" w:cs="Palatino Linotype"/>
          <w:sz w:val="24"/>
          <w:szCs w:val="24"/>
        </w:rPr>
        <w:lastRenderedPageBreak/>
        <w:t xml:space="preserve">público, toda vez que se podría dar un uso inadecuado a la misma o cometer algún ilícito o fraude en contra del patrimonio de los particulares. </w:t>
      </w:r>
    </w:p>
    <w:p w14:paraId="64D4E658" w14:textId="77777777" w:rsidR="00BB65EF" w:rsidRPr="006511BE" w:rsidRDefault="00BB65EF">
      <w:pPr>
        <w:spacing w:after="0" w:line="360" w:lineRule="auto"/>
        <w:ind w:right="51"/>
        <w:jc w:val="both"/>
        <w:rPr>
          <w:rFonts w:ascii="Palatino Linotype" w:eastAsia="Palatino Linotype" w:hAnsi="Palatino Linotype" w:cs="Palatino Linotype"/>
          <w:sz w:val="24"/>
          <w:szCs w:val="24"/>
        </w:rPr>
      </w:pPr>
    </w:p>
    <w:p w14:paraId="5695B2B5" w14:textId="77777777" w:rsidR="00BB65EF" w:rsidRPr="006511BE" w:rsidRDefault="00C06787">
      <w:pPr>
        <w:spacing w:after="0" w:line="360" w:lineRule="auto"/>
        <w:ind w:right="50"/>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Lo anterior encuentra sustento en el criterio 10/17 emitido por el Instituto Nacional de Transparencia y Acceso a la Información Pública del Estado de México y Municipios, que a la letra dicen:</w:t>
      </w:r>
    </w:p>
    <w:p w14:paraId="47F5A371" w14:textId="77777777" w:rsidR="00BB65EF" w:rsidRPr="006511BE" w:rsidRDefault="00BB65EF">
      <w:pPr>
        <w:spacing w:after="0" w:line="360" w:lineRule="auto"/>
        <w:ind w:right="50"/>
        <w:jc w:val="both"/>
        <w:rPr>
          <w:rFonts w:ascii="Palatino Linotype" w:eastAsia="Palatino Linotype" w:hAnsi="Palatino Linotype" w:cs="Palatino Linotype"/>
          <w:sz w:val="24"/>
          <w:szCs w:val="24"/>
        </w:rPr>
      </w:pPr>
    </w:p>
    <w:p w14:paraId="358C1026" w14:textId="77777777" w:rsidR="00BB65EF" w:rsidRPr="006511BE" w:rsidRDefault="00C06787">
      <w:pPr>
        <w:spacing w:after="0" w:line="276" w:lineRule="auto"/>
        <w:ind w:left="851" w:right="1134"/>
        <w:jc w:val="both"/>
        <w:rPr>
          <w:rFonts w:ascii="Palatino Linotype" w:eastAsia="Palatino Linotype" w:hAnsi="Palatino Linotype" w:cs="Palatino Linotype"/>
          <w:i/>
        </w:rPr>
      </w:pPr>
      <w:r w:rsidRPr="006511BE">
        <w:rPr>
          <w:rFonts w:ascii="Palatino Linotype" w:eastAsia="Palatino Linotype" w:hAnsi="Palatino Linotype" w:cs="Palatino Linotype"/>
          <w:b/>
          <w:i/>
        </w:rPr>
        <w:t>“Cuentas bancarias y/o CLABE interbancaria de personas físicas y morales privadas.</w:t>
      </w:r>
      <w:r w:rsidRPr="006511BE">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954636F" w14:textId="77777777" w:rsidR="00BB65EF" w:rsidRPr="006511BE" w:rsidRDefault="00BB65EF">
      <w:pPr>
        <w:ind w:left="851" w:right="899"/>
        <w:jc w:val="center"/>
        <w:rPr>
          <w:rFonts w:ascii="Palatino Linotype" w:eastAsia="Palatino Linotype" w:hAnsi="Palatino Linotype" w:cs="Palatino Linotype"/>
          <w:b/>
          <w:i/>
        </w:rPr>
      </w:pPr>
    </w:p>
    <w:p w14:paraId="15778D2B" w14:textId="77777777" w:rsidR="00BB65EF" w:rsidRPr="006511BE" w:rsidRDefault="00C06787">
      <w:pPr>
        <w:spacing w:after="0" w:line="360" w:lineRule="auto"/>
        <w:ind w:right="50"/>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266F570E" w14:textId="77777777" w:rsidR="00BB65EF" w:rsidRPr="006511BE" w:rsidRDefault="00BB65EF">
      <w:pPr>
        <w:spacing w:after="0" w:line="360" w:lineRule="auto"/>
        <w:ind w:right="50"/>
        <w:jc w:val="both"/>
        <w:rPr>
          <w:rFonts w:ascii="Palatino Linotype" w:eastAsia="Palatino Linotype" w:hAnsi="Palatino Linotype" w:cs="Palatino Linotype"/>
          <w:sz w:val="24"/>
          <w:szCs w:val="24"/>
        </w:rPr>
      </w:pPr>
    </w:p>
    <w:p w14:paraId="186B82EA" w14:textId="77777777" w:rsidR="00BB65EF" w:rsidRPr="006511BE" w:rsidRDefault="00C06787">
      <w:pPr>
        <w:spacing w:after="0" w:line="276" w:lineRule="auto"/>
        <w:ind w:left="851" w:right="1134"/>
        <w:jc w:val="both"/>
        <w:rPr>
          <w:rFonts w:ascii="Palatino Linotype" w:eastAsia="Palatino Linotype" w:hAnsi="Palatino Linotype" w:cs="Palatino Linotype"/>
          <w:i/>
        </w:rPr>
      </w:pPr>
      <w:r w:rsidRPr="006511BE">
        <w:rPr>
          <w:rFonts w:ascii="Palatino Linotype" w:eastAsia="Palatino Linotype" w:hAnsi="Palatino Linotype" w:cs="Palatino Linotype"/>
          <w:i/>
        </w:rPr>
        <w:t>“</w:t>
      </w:r>
      <w:r w:rsidRPr="006511BE">
        <w:rPr>
          <w:rFonts w:ascii="Palatino Linotype" w:eastAsia="Palatino Linotype" w:hAnsi="Palatino Linotype" w:cs="Palatino Linotype"/>
          <w:b/>
          <w:i/>
        </w:rPr>
        <w:t>Cuentas bancarias y/o CLABE interbancaria de sujetos obligados que reciben y/o transfieren recursos públicos, son información pública.</w:t>
      </w:r>
      <w:r w:rsidRPr="006511BE">
        <w:rPr>
          <w:rFonts w:ascii="Palatino Linotype" w:eastAsia="Palatino Linotype" w:hAnsi="Palatino Linotype" w:cs="Palatino Linotype"/>
          <w:i/>
        </w:rPr>
        <w:t xml:space="preserve"> La difusión de las cuentas bancarias y claves interbancarias pertenecientes a un </w:t>
      </w:r>
      <w:r w:rsidRPr="006511BE">
        <w:rPr>
          <w:rFonts w:ascii="Palatino Linotype" w:eastAsia="Palatino Linotype" w:hAnsi="Palatino Linotype" w:cs="Palatino Linotype"/>
          <w:i/>
        </w:rPr>
        <w:lastRenderedPageBreak/>
        <w:t>sujeto obligado favorece la rendición de cuentas al transparentar la forma en que se administran los recursos públicos, razón por la cual no pueden considerarse como información clasificada. “</w:t>
      </w:r>
    </w:p>
    <w:p w14:paraId="6F8A01C7" w14:textId="77777777" w:rsidR="00BB65EF" w:rsidRPr="006511BE" w:rsidRDefault="00BB65EF">
      <w:pPr>
        <w:spacing w:after="0" w:line="360" w:lineRule="auto"/>
        <w:ind w:left="851" w:right="1134"/>
        <w:jc w:val="both"/>
        <w:rPr>
          <w:rFonts w:ascii="Palatino Linotype" w:eastAsia="Palatino Linotype" w:hAnsi="Palatino Linotype" w:cs="Palatino Linotype"/>
          <w:i/>
        </w:rPr>
      </w:pPr>
    </w:p>
    <w:p w14:paraId="1C732708" w14:textId="77777777" w:rsidR="00BB65EF" w:rsidRPr="006511BE" w:rsidRDefault="00C06787">
      <w:pPr>
        <w:spacing w:after="0" w:line="360" w:lineRule="auto"/>
        <w:ind w:right="50"/>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Sobre el </w:t>
      </w:r>
      <w:r w:rsidRPr="006511BE">
        <w:rPr>
          <w:rFonts w:ascii="Palatino Linotype" w:eastAsia="Palatino Linotype" w:hAnsi="Palatino Linotype" w:cs="Palatino Linotype"/>
          <w:b/>
          <w:sz w:val="24"/>
          <w:szCs w:val="24"/>
        </w:rPr>
        <w:t>RFC</w:t>
      </w:r>
      <w:r w:rsidRPr="006511BE">
        <w:rPr>
          <w:rFonts w:ascii="Palatino Linotype" w:eastAsia="Palatino Linotype" w:hAnsi="Palatino Linotype" w:cs="Palatino Linotype"/>
          <w:sz w:val="24"/>
          <w:szCs w:val="24"/>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8AD1B93" w14:textId="77777777" w:rsidR="00BB65EF" w:rsidRPr="006511BE" w:rsidRDefault="00BB65EF">
      <w:pPr>
        <w:spacing w:after="0" w:line="360" w:lineRule="auto"/>
        <w:ind w:right="50"/>
        <w:jc w:val="both"/>
        <w:rPr>
          <w:rFonts w:ascii="Palatino Linotype" w:eastAsia="Palatino Linotype" w:hAnsi="Palatino Linotype" w:cs="Palatino Linotype"/>
          <w:sz w:val="24"/>
          <w:szCs w:val="24"/>
        </w:rPr>
      </w:pPr>
    </w:p>
    <w:p w14:paraId="74079CAF" w14:textId="77777777" w:rsidR="00BB65EF" w:rsidRPr="006511BE" w:rsidRDefault="00C06787">
      <w:pPr>
        <w:spacing w:after="0" w:line="360" w:lineRule="auto"/>
        <w:ind w:right="50"/>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312CDF3" w14:textId="77777777" w:rsidR="00BB65EF" w:rsidRPr="006511BE" w:rsidRDefault="00BB65EF">
      <w:pPr>
        <w:spacing w:after="0" w:line="360" w:lineRule="auto"/>
        <w:ind w:right="50"/>
        <w:jc w:val="both"/>
        <w:rPr>
          <w:rFonts w:ascii="Palatino Linotype" w:eastAsia="Palatino Linotype" w:hAnsi="Palatino Linotype" w:cs="Palatino Linotype"/>
          <w:sz w:val="24"/>
          <w:szCs w:val="24"/>
        </w:rPr>
      </w:pPr>
    </w:p>
    <w:p w14:paraId="6373BE2A" w14:textId="77777777" w:rsidR="00BB65EF" w:rsidRPr="006511BE" w:rsidRDefault="00C06787">
      <w:pPr>
        <w:spacing w:after="0" w:line="360" w:lineRule="auto"/>
        <w:ind w:right="50"/>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w:t>
      </w:r>
      <w:r w:rsidRPr="006511BE">
        <w:rPr>
          <w:rFonts w:ascii="Palatino Linotype" w:eastAsia="Palatino Linotype" w:hAnsi="Palatino Linotype" w:cs="Palatino Linotype"/>
          <w:sz w:val="24"/>
          <w:szCs w:val="24"/>
        </w:rPr>
        <w:lastRenderedPageBreak/>
        <w:t>registro federal de contribuyentes y domicilio fiscal, atento a que dicha información es la que puede generar certeza en los gobernados en que se está ejerciendo debidamente el presupuesto.</w:t>
      </w:r>
    </w:p>
    <w:p w14:paraId="6A5337C2" w14:textId="77777777" w:rsidR="00BB65EF" w:rsidRPr="006511BE" w:rsidRDefault="00BB65EF">
      <w:pPr>
        <w:spacing w:after="0" w:line="360" w:lineRule="auto"/>
        <w:ind w:right="50"/>
        <w:jc w:val="both"/>
        <w:rPr>
          <w:rFonts w:ascii="Palatino Linotype" w:eastAsia="Palatino Linotype" w:hAnsi="Palatino Linotype" w:cs="Palatino Linotype"/>
          <w:sz w:val="24"/>
          <w:szCs w:val="24"/>
        </w:rPr>
      </w:pPr>
    </w:p>
    <w:p w14:paraId="158EF9E7"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Al respecto, se destaca que la versión pública que elabore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511BE">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6511BE">
        <w:rPr>
          <w:rFonts w:ascii="Palatino Linotype" w:eastAsia="Palatino Linotype" w:hAnsi="Palatino Linotype" w:cs="Palatino Linotype"/>
          <w:sz w:val="24"/>
          <w:szCs w:val="24"/>
        </w:rPr>
        <w:t xml:space="preserve">, </w:t>
      </w:r>
      <w:r w:rsidR="00F04825" w:rsidRPr="006511BE">
        <w:rPr>
          <w:rFonts w:ascii="Palatino Linotype" w:eastAsia="Palatino Linotype" w:hAnsi="Palatino Linotype" w:cs="Palatino Linotype"/>
          <w:sz w:val="24"/>
          <w:szCs w:val="24"/>
        </w:rPr>
        <w:t xml:space="preserve">vigentes a la fecha de la </w:t>
      </w:r>
      <w:proofErr w:type="spellStart"/>
      <w:r w:rsidR="00F04825" w:rsidRPr="006511BE">
        <w:rPr>
          <w:rFonts w:ascii="Palatino Linotype" w:eastAsia="Palatino Linotype" w:hAnsi="Palatino Linotype" w:cs="Palatino Linotype"/>
          <w:sz w:val="24"/>
          <w:szCs w:val="24"/>
        </w:rPr>
        <w:t>solcitud</w:t>
      </w:r>
      <w:proofErr w:type="spellEnd"/>
      <w:r w:rsidRPr="006511BE">
        <w:rPr>
          <w:rFonts w:ascii="Palatino Linotype" w:eastAsia="Palatino Linotype" w:hAnsi="Palatino Linotype" w:cs="Palatino Linotype"/>
          <w:sz w:val="24"/>
          <w:szCs w:val="24"/>
        </w:rPr>
        <w:t>, mediante Acuerdo del Consejo Nacional del Sistema Nacional de Transparencia, Acceso a la Información Pública y Protección de Datos Personales, que literalmente expresan:</w:t>
      </w:r>
    </w:p>
    <w:p w14:paraId="2915C007" w14:textId="77777777" w:rsidR="00BB65EF" w:rsidRPr="006511BE" w:rsidRDefault="00BB65EF">
      <w:pPr>
        <w:ind w:left="709" w:right="709"/>
        <w:jc w:val="both"/>
        <w:rPr>
          <w:rFonts w:ascii="Palatino Linotype" w:eastAsia="Palatino Linotype" w:hAnsi="Palatino Linotype" w:cs="Palatino Linotype"/>
          <w:b/>
          <w:i/>
        </w:rPr>
      </w:pPr>
    </w:p>
    <w:p w14:paraId="42748D5B"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14:paraId="0C5FBA79"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t>“</w:t>
      </w:r>
      <w:proofErr w:type="gramStart"/>
      <w:r w:rsidRPr="006511BE">
        <w:rPr>
          <w:rFonts w:ascii="Palatino Linotype" w:eastAsia="Palatino Linotype" w:hAnsi="Palatino Linotype" w:cs="Palatino Linotype"/>
          <w:b/>
          <w:i/>
          <w:color w:val="000000"/>
        </w:rPr>
        <w:t>Segundo.-</w:t>
      </w:r>
      <w:proofErr w:type="gramEnd"/>
      <w:r w:rsidRPr="006511BE">
        <w:rPr>
          <w:rFonts w:ascii="Palatino Linotype" w:eastAsia="Palatino Linotype" w:hAnsi="Palatino Linotype" w:cs="Palatino Linotype"/>
          <w:i/>
          <w:color w:val="000000"/>
        </w:rPr>
        <w:t xml:space="preserve"> Para efectos de los presentes Lineamientos Generales, se entenderá por:</w:t>
      </w:r>
    </w:p>
    <w:p w14:paraId="4F816256"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XVIII.</w:t>
      </w:r>
      <w:r w:rsidRPr="006511BE">
        <w:rPr>
          <w:rFonts w:ascii="Palatino Linotype" w:eastAsia="Palatino Linotype" w:hAnsi="Palatino Linotype" w:cs="Palatino Linotype"/>
          <w:i/>
          <w:color w:val="000000"/>
        </w:rPr>
        <w:t xml:space="preserve"> </w:t>
      </w:r>
      <w:r w:rsidRPr="006511BE">
        <w:rPr>
          <w:rFonts w:ascii="Palatino Linotype" w:eastAsia="Palatino Linotype" w:hAnsi="Palatino Linotype" w:cs="Palatino Linotype"/>
          <w:b/>
          <w:i/>
          <w:color w:val="000000"/>
        </w:rPr>
        <w:t>Versión pública:</w:t>
      </w:r>
      <w:r w:rsidRPr="006511BE">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6511BE">
        <w:rPr>
          <w:rFonts w:ascii="Palatino Linotype" w:eastAsia="Palatino Linotype" w:hAnsi="Palatino Linotype" w:cs="Palatino Linotype"/>
          <w:b/>
          <w:i/>
          <w:color w:val="000000"/>
          <w:u w:val="single"/>
        </w:rPr>
        <w:t>fundando y motivando la</w:t>
      </w:r>
      <w:r w:rsidRPr="006511BE">
        <w:rPr>
          <w:rFonts w:ascii="Palatino Linotype" w:eastAsia="Palatino Linotype" w:hAnsi="Palatino Linotype" w:cs="Palatino Linotype"/>
          <w:i/>
          <w:color w:val="000000"/>
        </w:rPr>
        <w:t xml:space="preserve"> reserva o </w:t>
      </w:r>
      <w:r w:rsidRPr="006511BE">
        <w:rPr>
          <w:rFonts w:ascii="Palatino Linotype" w:eastAsia="Palatino Linotype" w:hAnsi="Palatino Linotype" w:cs="Palatino Linotype"/>
          <w:b/>
          <w:i/>
          <w:color w:val="000000"/>
          <w:u w:val="single"/>
        </w:rPr>
        <w:lastRenderedPageBreak/>
        <w:t>confidencialidad</w:t>
      </w:r>
      <w:r w:rsidRPr="006511BE">
        <w:rPr>
          <w:rFonts w:ascii="Palatino Linotype" w:eastAsia="Palatino Linotype" w:hAnsi="Palatino Linotype" w:cs="Palatino Linotype"/>
          <w:i/>
          <w:color w:val="000000"/>
        </w:rPr>
        <w:t>, a través de la resolución que para tal efecto emita el Comité de Transparencia.</w:t>
      </w:r>
    </w:p>
    <w:p w14:paraId="31A667CB"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Cuarto.</w:t>
      </w:r>
      <w:r w:rsidRPr="006511BE">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E89576"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10BAAAFC"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Quinto.</w:t>
      </w:r>
      <w:r w:rsidRPr="006511BE">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43E343A"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w:t>
      </w:r>
    </w:p>
    <w:p w14:paraId="41667521"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Séptimo.</w:t>
      </w:r>
      <w:r w:rsidRPr="006511BE">
        <w:rPr>
          <w:rFonts w:ascii="Palatino Linotype" w:eastAsia="Palatino Linotype" w:hAnsi="Palatino Linotype" w:cs="Palatino Linotype"/>
          <w:i/>
          <w:color w:val="000000"/>
        </w:rPr>
        <w:t xml:space="preserve"> La clasificación de la información se llevará a cabo en el momento en que:</w:t>
      </w:r>
    </w:p>
    <w:p w14:paraId="12A84796"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I.</w:t>
      </w:r>
      <w:r w:rsidRPr="006511BE">
        <w:rPr>
          <w:rFonts w:ascii="Palatino Linotype" w:eastAsia="Palatino Linotype" w:hAnsi="Palatino Linotype" w:cs="Palatino Linotype"/>
          <w:i/>
          <w:color w:val="000000"/>
        </w:rPr>
        <w:t xml:space="preserve"> Se reciba una solicitud de acceso a la información;</w:t>
      </w:r>
    </w:p>
    <w:p w14:paraId="5CCEFBBD"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b/>
          <w:i/>
          <w:color w:val="000000"/>
        </w:rPr>
        <w:t>II.</w:t>
      </w:r>
      <w:r w:rsidRPr="006511BE">
        <w:rPr>
          <w:rFonts w:ascii="Palatino Linotype" w:eastAsia="Palatino Linotype" w:hAnsi="Palatino Linotype" w:cs="Palatino Linotype"/>
          <w:i/>
          <w:color w:val="000000"/>
        </w:rPr>
        <w:t xml:space="preserve"> </w:t>
      </w:r>
      <w:proofErr w:type="gramStart"/>
      <w:r w:rsidRPr="006511BE">
        <w:rPr>
          <w:rFonts w:ascii="Palatino Linotype" w:eastAsia="Palatino Linotype" w:hAnsi="Palatino Linotype" w:cs="Palatino Linotype"/>
          <w:i/>
          <w:color w:val="000000"/>
        </w:rPr>
        <w:t>Se  determine</w:t>
      </w:r>
      <w:proofErr w:type="gramEnd"/>
      <w:r w:rsidRPr="006511BE">
        <w:rPr>
          <w:rFonts w:ascii="Palatino Linotype" w:eastAsia="Palatino Linotype" w:hAnsi="Palatino Linotype" w:cs="Palatino Linotype"/>
          <w:i/>
          <w:color w:val="000000"/>
        </w:rPr>
        <w:t xml:space="preserve"> mediante resolución del Comité de Transparencia, el órgano garante </w:t>
      </w:r>
    </w:p>
    <w:p w14:paraId="0B9C6EFC"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t>competente, o en cumplimiento a una sentencia del Poder Judicial; o</w:t>
      </w:r>
    </w:p>
    <w:p w14:paraId="0B5A6D8D"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III.</w:t>
      </w:r>
      <w:r w:rsidRPr="006511BE">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27296FF3"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14:paraId="7BB879D1"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Octavo.</w:t>
      </w:r>
      <w:r w:rsidRPr="006511BE">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263E22"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lastRenderedPageBreak/>
        <w:t>Para motivar la clasificación se deberán señalar las razones o circunstancias especiales que lo llevaron a concluir que el caso particular se ajusta al supuesto previsto por la norma legal invocada como fundamento.</w:t>
      </w:r>
    </w:p>
    <w:p w14:paraId="292A9E42"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305FFD9"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Noveno.</w:t>
      </w:r>
      <w:r w:rsidRPr="006511BE">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3518AC"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b/>
          <w:i/>
          <w:color w:val="000000"/>
        </w:rPr>
        <w:t>Décimo.</w:t>
      </w:r>
      <w:r w:rsidRPr="006511BE">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8006D74"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14:paraId="3373D56E"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b/>
          <w:i/>
          <w:color w:val="000000"/>
        </w:rPr>
        <w:t>Décimo primero.</w:t>
      </w:r>
      <w:r w:rsidRPr="006511BE">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CFB213" w14:textId="77777777" w:rsidR="00BB65EF" w:rsidRPr="006511BE" w:rsidRDefault="00BB65EF">
      <w:pPr>
        <w:pBdr>
          <w:top w:val="nil"/>
          <w:left w:val="nil"/>
          <w:bottom w:val="nil"/>
          <w:right w:val="nil"/>
          <w:between w:val="nil"/>
        </w:pBdr>
        <w:spacing w:after="0" w:line="276" w:lineRule="auto"/>
        <w:ind w:right="709"/>
        <w:jc w:val="both"/>
        <w:rPr>
          <w:color w:val="000000"/>
        </w:rPr>
      </w:pPr>
    </w:p>
    <w:p w14:paraId="23EF904B" w14:textId="77777777" w:rsidR="00BB65EF" w:rsidRPr="006511BE" w:rsidRDefault="00C06787">
      <w:pPr>
        <w:pBdr>
          <w:top w:val="nil"/>
          <w:left w:val="nil"/>
          <w:bottom w:val="nil"/>
          <w:right w:val="nil"/>
          <w:between w:val="nil"/>
        </w:pBdr>
        <w:spacing w:after="0" w:line="276" w:lineRule="auto"/>
        <w:ind w:left="709" w:right="709"/>
        <w:jc w:val="both"/>
        <w:rPr>
          <w:color w:val="000000"/>
        </w:rPr>
      </w:pPr>
      <w:r w:rsidRPr="006511BE">
        <w:rPr>
          <w:rFonts w:ascii="Palatino Linotype" w:eastAsia="Palatino Linotype" w:hAnsi="Palatino Linotype" w:cs="Palatino Linotype"/>
          <w:i/>
          <w:color w:val="000000"/>
        </w:rPr>
        <w:t>[…]</w:t>
      </w:r>
    </w:p>
    <w:p w14:paraId="387F5DCB" w14:textId="77777777" w:rsidR="00BB65EF" w:rsidRPr="006511BE" w:rsidRDefault="00C06787">
      <w:pPr>
        <w:pBdr>
          <w:top w:val="nil"/>
          <w:left w:val="nil"/>
          <w:bottom w:val="nil"/>
          <w:right w:val="nil"/>
          <w:between w:val="nil"/>
        </w:pBdr>
        <w:spacing w:after="0" w:line="276" w:lineRule="auto"/>
        <w:ind w:left="709" w:right="709"/>
        <w:jc w:val="center"/>
        <w:rPr>
          <w:color w:val="000000"/>
        </w:rPr>
      </w:pPr>
      <w:r w:rsidRPr="006511BE">
        <w:rPr>
          <w:rFonts w:ascii="Palatino Linotype" w:eastAsia="Palatino Linotype" w:hAnsi="Palatino Linotype" w:cs="Palatino Linotype"/>
          <w:b/>
          <w:i/>
          <w:color w:val="000000"/>
        </w:rPr>
        <w:t>CAPÍTULO VIII</w:t>
      </w:r>
    </w:p>
    <w:p w14:paraId="093E18B4" w14:textId="77777777" w:rsidR="00BB65EF" w:rsidRPr="006511BE" w:rsidRDefault="00C06787">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b/>
          <w:i/>
          <w:color w:val="000000"/>
        </w:rPr>
      </w:pPr>
      <w:r w:rsidRPr="006511BE">
        <w:rPr>
          <w:rFonts w:ascii="Palatino Linotype" w:eastAsia="Palatino Linotype" w:hAnsi="Palatino Linotype" w:cs="Palatino Linotype"/>
          <w:b/>
          <w:i/>
          <w:color w:val="000000"/>
        </w:rPr>
        <w:t>DE LOS ELEMENTOS PARA LA CLASIFICACIÓN</w:t>
      </w:r>
    </w:p>
    <w:p w14:paraId="2E4670B5"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b/>
          <w:i/>
          <w:color w:val="000000"/>
        </w:rPr>
        <w:t>Quincuagésimo</w:t>
      </w:r>
      <w:r w:rsidRPr="006511BE">
        <w:rPr>
          <w:rFonts w:ascii="Palatino Linotype" w:eastAsia="Palatino Linotype" w:hAnsi="Palatino Linotype" w:cs="Palatino Linotype"/>
          <w:i/>
          <w:color w:val="000000"/>
        </w:rPr>
        <w:t xml:space="preserve">. Los titulares de las áreas de los sujetos obligados podrán establecer sus propios modelos o formatos para la elaboración de versiones públicas de </w:t>
      </w:r>
      <w:r w:rsidRPr="006511BE">
        <w:rPr>
          <w:rFonts w:ascii="Palatino Linotype" w:eastAsia="Palatino Linotype" w:hAnsi="Palatino Linotype" w:cs="Palatino Linotype"/>
          <w:i/>
          <w:color w:val="000000"/>
        </w:rPr>
        <w:lastRenderedPageBreak/>
        <w:t>documentos o expedientes, siempre y cuando cumplan lo establecido en los presentes Lineamientos, así como en las correspondientes Leyes Generales.</w:t>
      </w:r>
    </w:p>
    <w:p w14:paraId="5F5E95E3"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b/>
          <w:i/>
          <w:color w:val="000000"/>
        </w:rPr>
        <w:t>Quincuagésimo primero</w:t>
      </w:r>
      <w:r w:rsidRPr="006511BE">
        <w:rPr>
          <w:rFonts w:ascii="Palatino Linotype" w:eastAsia="Palatino Linotype" w:hAnsi="Palatino Linotype" w:cs="Palatino Linotype"/>
          <w:i/>
          <w:color w:val="000000"/>
        </w:rPr>
        <w:t>. Toda acta del Comité de Transparencia deberá contener:</w:t>
      </w:r>
    </w:p>
    <w:p w14:paraId="4AA8FFE7"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I. El número de sesión y fecha; </w:t>
      </w:r>
    </w:p>
    <w:p w14:paraId="506E23F9"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II. El nombre del área que solicitó la clasificación de información;</w:t>
      </w:r>
    </w:p>
    <w:p w14:paraId="2C66E63E"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III. La fundamentación legal y motivación correspondiente;</w:t>
      </w:r>
    </w:p>
    <w:p w14:paraId="029BA9C0"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IV. La resolución o resoluciones aprobadas; y</w:t>
      </w:r>
    </w:p>
    <w:p w14:paraId="28CBDA55"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V. La rúbrica o firma digital de cada integrante del Comité de Transparencia. </w:t>
      </w:r>
    </w:p>
    <w:p w14:paraId="2F83AF79"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14:paraId="69EF6F19"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 Los motivos y razonamientos que sustenten la confirmación o modificación de la prueba de daño;</w:t>
      </w:r>
    </w:p>
    <w:p w14:paraId="2186107D"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II. Descripción de las partes o secciones reservadas, en caso de clasificación parcial;</w:t>
      </w:r>
    </w:p>
    <w:p w14:paraId="2F334F4C"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III. El periodo por el que mantendrá su clasificación y fecha de expiración; y</w:t>
      </w:r>
    </w:p>
    <w:p w14:paraId="5E75DFD0"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IV. El nombre del titular y área encargada de realizar la versión pública del documento, en su caso.</w:t>
      </w:r>
    </w:p>
    <w:p w14:paraId="6B181A28"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16B06A71"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08F038E9"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b/>
          <w:i/>
          <w:color w:val="000000"/>
        </w:rPr>
        <w:t>Quincuagésimo segundo</w:t>
      </w:r>
      <w:r w:rsidRPr="006511BE">
        <w:rPr>
          <w:rFonts w:ascii="Palatino Linotype" w:eastAsia="Palatino Linotype" w:hAnsi="Palatino Linotype" w:cs="Palatino Linotype"/>
          <w:i/>
          <w:color w:val="000000"/>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2C3FD8B"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33E26822"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14:paraId="0FC1A165"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12595D49"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lastRenderedPageBreak/>
        <w:t>III. Señalar las personas o instancias autorizadas a acceder a la información clasificada.</w:t>
      </w:r>
    </w:p>
    <w:p w14:paraId="095C78D6"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14:paraId="3B946FE0" w14:textId="77777777" w:rsidR="00BB65EF" w:rsidRPr="006511BE" w:rsidRDefault="00C06787">
      <w:pPr>
        <w:pBdr>
          <w:top w:val="nil"/>
          <w:left w:val="nil"/>
          <w:bottom w:val="nil"/>
          <w:right w:val="nil"/>
          <w:between w:val="nil"/>
        </w:pBdr>
        <w:spacing w:line="276" w:lineRule="auto"/>
        <w:ind w:left="709" w:right="709"/>
        <w:jc w:val="both"/>
        <w:rPr>
          <w:color w:val="000000"/>
        </w:rPr>
      </w:pPr>
      <w:r w:rsidRPr="006511BE">
        <w:rPr>
          <w:rFonts w:ascii="Palatino Linotype" w:eastAsia="Palatino Linotype" w:hAnsi="Palatino Linotype" w:cs="Palatino Linotype"/>
          <w:b/>
          <w:i/>
          <w:color w:val="000000"/>
        </w:rPr>
        <w:t>…</w:t>
      </w:r>
    </w:p>
    <w:p w14:paraId="4894BED0" w14:textId="77777777" w:rsidR="00BB65EF" w:rsidRPr="006511BE" w:rsidRDefault="00C0678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color w:val="000000"/>
        </w:rPr>
      </w:pPr>
      <w:r w:rsidRPr="006511BE">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D69149F" w14:textId="77777777" w:rsidR="00BB65EF" w:rsidRPr="006511BE" w:rsidRDefault="00C06787">
      <w:pPr>
        <w:pBdr>
          <w:top w:val="nil"/>
          <w:left w:val="nil"/>
          <w:bottom w:val="nil"/>
          <w:right w:val="nil"/>
          <w:between w:val="nil"/>
        </w:pBdr>
        <w:spacing w:after="0" w:line="276" w:lineRule="auto"/>
        <w:ind w:left="709" w:right="709"/>
        <w:jc w:val="both"/>
      </w:pPr>
      <w:r w:rsidRPr="006511BE">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sidRPr="006511BE">
        <w:rPr>
          <w:rFonts w:ascii="Palatino Linotype" w:eastAsia="Palatino Linotype" w:hAnsi="Palatino Linotype" w:cs="Palatino Linotype"/>
          <w:i/>
          <w:color w:val="000000"/>
        </w:rPr>
        <w:t>testado</w:t>
      </w:r>
      <w:proofErr w:type="spellEnd"/>
      <w:r w:rsidRPr="006511BE">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348D030" w14:textId="77777777" w:rsidR="00BB65EF" w:rsidRPr="006511BE" w:rsidRDefault="00BB65EF">
      <w:pPr>
        <w:jc w:val="both"/>
      </w:pPr>
    </w:p>
    <w:p w14:paraId="6B676C4B"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79B2758D"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4E548940" w14:textId="77777777" w:rsidR="00BB65EF" w:rsidRPr="006511BE" w:rsidRDefault="00C06787">
      <w:pPr>
        <w:shd w:val="clear" w:color="auto" w:fill="FFFFFF"/>
        <w:spacing w:after="0" w:line="360" w:lineRule="auto"/>
        <w:ind w:right="51"/>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sidRPr="006511BE">
        <w:rPr>
          <w:rFonts w:ascii="Palatino Linotype" w:eastAsia="Palatino Linotype" w:hAnsi="Palatino Linotype" w:cs="Palatino Linotype"/>
          <w:sz w:val="24"/>
          <w:szCs w:val="24"/>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6511BE">
        <w:rPr>
          <w:rFonts w:ascii="Palatino Linotype" w:eastAsia="Palatino Linotype" w:hAnsi="Palatino Linotype" w:cs="Palatino Linotype"/>
          <w:b/>
          <w:sz w:val="24"/>
          <w:szCs w:val="24"/>
        </w:rPr>
        <w:t>LA PARTE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RECURRENTE</w:t>
      </w:r>
      <w:r w:rsidRPr="006511BE">
        <w:rPr>
          <w:rFonts w:ascii="Palatino Linotype" w:eastAsia="Palatino Linotype" w:hAnsi="Palatino Linotype" w:cs="Palatino Linotype"/>
          <w:sz w:val="24"/>
          <w:szCs w:val="24"/>
        </w:rPr>
        <w:t>.</w:t>
      </w:r>
    </w:p>
    <w:p w14:paraId="1C222CCD" w14:textId="77777777" w:rsidR="00BB65EF" w:rsidRPr="006511BE" w:rsidRDefault="00BB65EF">
      <w:pPr>
        <w:shd w:val="clear" w:color="auto" w:fill="FFFFFF"/>
        <w:spacing w:after="0" w:line="360" w:lineRule="auto"/>
        <w:ind w:right="51"/>
        <w:jc w:val="both"/>
        <w:rPr>
          <w:rFonts w:ascii="Palatino Linotype" w:eastAsia="Palatino Linotype" w:hAnsi="Palatino Linotype" w:cs="Palatino Linotype"/>
          <w:sz w:val="24"/>
          <w:szCs w:val="24"/>
        </w:rPr>
      </w:pPr>
    </w:p>
    <w:p w14:paraId="661D7210"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sz w:val="24"/>
          <w:szCs w:val="24"/>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2ADB57E"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2D1868E8" w14:textId="77777777" w:rsidR="00BB65EF" w:rsidRPr="006511BE" w:rsidRDefault="00C06787">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r w:rsidRPr="006511BE">
        <w:rPr>
          <w:rFonts w:ascii="Palatino Linotype" w:eastAsia="Palatino Linotype" w:hAnsi="Palatino Linotype" w:cs="Palatino Linotype"/>
          <w:b/>
          <w:color w:val="000000"/>
          <w:sz w:val="24"/>
          <w:szCs w:val="24"/>
        </w:rPr>
        <w:t>R E S U E L V E:</w:t>
      </w:r>
    </w:p>
    <w:p w14:paraId="1C7D66B9" w14:textId="77777777" w:rsidR="00BB65EF" w:rsidRPr="006511BE" w:rsidRDefault="00BB65EF">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p>
    <w:p w14:paraId="11DA83E7" w14:textId="77777777" w:rsidR="00BB65EF" w:rsidRPr="006511BE" w:rsidRDefault="00C06787">
      <w:pPr>
        <w:spacing w:after="0" w:line="360" w:lineRule="auto"/>
        <w:jc w:val="both"/>
        <w:rPr>
          <w:rFonts w:ascii="Palatino Linotype" w:eastAsia="Palatino Linotype" w:hAnsi="Palatino Linotype" w:cs="Palatino Linotype"/>
          <w:b/>
          <w:sz w:val="24"/>
          <w:szCs w:val="24"/>
        </w:rPr>
      </w:pPr>
      <w:bookmarkStart w:id="1" w:name="_heading=h.3znysh7" w:colFirst="0" w:colLast="0"/>
      <w:bookmarkEnd w:id="1"/>
      <w:r w:rsidRPr="006511BE">
        <w:rPr>
          <w:rFonts w:ascii="Palatino Linotype" w:eastAsia="Palatino Linotype" w:hAnsi="Palatino Linotype" w:cs="Palatino Linotype"/>
          <w:b/>
          <w:sz w:val="24"/>
          <w:szCs w:val="24"/>
        </w:rPr>
        <w:t xml:space="preserve">PRIMERO. </w:t>
      </w:r>
      <w:r w:rsidRPr="006511BE">
        <w:rPr>
          <w:rFonts w:ascii="Palatino Linotype" w:eastAsia="Palatino Linotype" w:hAnsi="Palatino Linotype" w:cs="Palatino Linotype"/>
          <w:sz w:val="24"/>
          <w:szCs w:val="24"/>
        </w:rPr>
        <w:t xml:space="preserve">Resultan </w:t>
      </w:r>
      <w:r w:rsidRPr="006511BE">
        <w:rPr>
          <w:rFonts w:ascii="Palatino Linotype" w:eastAsia="Palatino Linotype" w:hAnsi="Palatino Linotype" w:cs="Palatino Linotype"/>
          <w:b/>
          <w:sz w:val="24"/>
          <w:szCs w:val="24"/>
        </w:rPr>
        <w:t>fundadas</w:t>
      </w:r>
      <w:r w:rsidRPr="006511BE">
        <w:rPr>
          <w:rFonts w:ascii="Palatino Linotype" w:eastAsia="Palatino Linotype" w:hAnsi="Palatino Linotype" w:cs="Palatino Linotype"/>
          <w:sz w:val="24"/>
          <w:szCs w:val="24"/>
        </w:rPr>
        <w:t xml:space="preserve"> las razones o motivos de inconformidad hechos valer por </w:t>
      </w:r>
      <w:r w:rsidRPr="006511BE">
        <w:rPr>
          <w:rFonts w:ascii="Palatino Linotype" w:eastAsia="Palatino Linotype" w:hAnsi="Palatino Linotype" w:cs="Palatino Linotype"/>
          <w:b/>
          <w:color w:val="000000"/>
          <w:sz w:val="24"/>
          <w:szCs w:val="24"/>
        </w:rPr>
        <w:t>LA PARTE RECURRENTE</w:t>
      </w:r>
      <w:r w:rsidRPr="006511BE">
        <w:rPr>
          <w:rFonts w:ascii="Palatino Linotype" w:eastAsia="Palatino Linotype" w:hAnsi="Palatino Linotype" w:cs="Palatino Linotype"/>
          <w:color w:val="000000"/>
          <w:sz w:val="24"/>
          <w:szCs w:val="24"/>
        </w:rPr>
        <w:t xml:space="preserve"> </w:t>
      </w:r>
      <w:r w:rsidRPr="006511BE">
        <w:rPr>
          <w:rFonts w:ascii="Palatino Linotype" w:eastAsia="Palatino Linotype" w:hAnsi="Palatino Linotype" w:cs="Palatino Linotype"/>
          <w:sz w:val="24"/>
          <w:szCs w:val="24"/>
        </w:rPr>
        <w:t xml:space="preserve">en el recurso de revisión </w:t>
      </w:r>
      <w:r w:rsidRPr="006511BE">
        <w:rPr>
          <w:rFonts w:ascii="Palatino Linotype" w:eastAsia="Palatino Linotype" w:hAnsi="Palatino Linotype" w:cs="Palatino Linotype"/>
          <w:b/>
          <w:sz w:val="24"/>
          <w:szCs w:val="24"/>
        </w:rPr>
        <w:t>01584/INFOEM/IP/RR/2025</w:t>
      </w:r>
      <w:r w:rsidRPr="006511BE">
        <w:rPr>
          <w:rFonts w:ascii="Palatino Linotype" w:eastAsia="Palatino Linotype" w:hAnsi="Palatino Linotype" w:cs="Palatino Linotype"/>
          <w:sz w:val="24"/>
          <w:szCs w:val="24"/>
        </w:rPr>
        <w:t xml:space="preserve">; por lo que, en términos del </w:t>
      </w:r>
      <w:r w:rsidRPr="006511BE">
        <w:rPr>
          <w:rFonts w:ascii="Palatino Linotype" w:eastAsia="Palatino Linotype" w:hAnsi="Palatino Linotype" w:cs="Palatino Linotype"/>
          <w:b/>
          <w:sz w:val="24"/>
          <w:szCs w:val="24"/>
        </w:rPr>
        <w:t>Considerando</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 xml:space="preserve">Cuarto </w:t>
      </w:r>
      <w:r w:rsidRPr="006511BE">
        <w:rPr>
          <w:rFonts w:ascii="Palatino Linotype" w:eastAsia="Palatino Linotype" w:hAnsi="Palatino Linotype" w:cs="Palatino Linotype"/>
          <w:sz w:val="24"/>
          <w:szCs w:val="24"/>
        </w:rPr>
        <w:t xml:space="preserve">de esta resolución, se </w:t>
      </w:r>
      <w:r w:rsidRPr="006511BE">
        <w:rPr>
          <w:rFonts w:ascii="Palatino Linotype" w:eastAsia="Palatino Linotype" w:hAnsi="Palatino Linotype" w:cs="Palatino Linotype"/>
          <w:b/>
          <w:sz w:val="24"/>
          <w:szCs w:val="24"/>
        </w:rPr>
        <w:t xml:space="preserve">REVOCA </w:t>
      </w:r>
      <w:r w:rsidRPr="006511BE">
        <w:rPr>
          <w:rFonts w:ascii="Palatino Linotype" w:eastAsia="Palatino Linotype" w:hAnsi="Palatino Linotype" w:cs="Palatino Linotype"/>
          <w:sz w:val="24"/>
          <w:szCs w:val="24"/>
        </w:rPr>
        <w:t xml:space="preserve">la respuesta emitida por </w:t>
      </w:r>
      <w:r w:rsidRPr="006511BE">
        <w:rPr>
          <w:rFonts w:ascii="Palatino Linotype" w:eastAsia="Palatino Linotype" w:hAnsi="Palatino Linotype" w:cs="Palatino Linotype"/>
          <w:b/>
          <w:sz w:val="24"/>
          <w:szCs w:val="24"/>
        </w:rPr>
        <w:t>EL SUJETO OBLIGADO.</w:t>
      </w:r>
    </w:p>
    <w:p w14:paraId="0702ED58"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1657F3D5" w14:textId="77777777" w:rsidR="00BB65EF" w:rsidRPr="006511BE" w:rsidRDefault="00C06787">
      <w:pPr>
        <w:spacing w:after="0" w:line="360" w:lineRule="auto"/>
        <w:ind w:right="51"/>
        <w:jc w:val="both"/>
        <w:rPr>
          <w:rFonts w:ascii="Palatino Linotype" w:eastAsia="Palatino Linotype" w:hAnsi="Palatino Linotype" w:cs="Palatino Linotype"/>
          <w:b/>
          <w:sz w:val="24"/>
          <w:szCs w:val="24"/>
        </w:rPr>
      </w:pPr>
      <w:bookmarkStart w:id="2" w:name="_heading=h.1fob9te" w:colFirst="0" w:colLast="0"/>
      <w:bookmarkEnd w:id="2"/>
      <w:r w:rsidRPr="006511BE">
        <w:rPr>
          <w:rFonts w:ascii="Palatino Linotype" w:eastAsia="Palatino Linotype" w:hAnsi="Palatino Linotype" w:cs="Palatino Linotype"/>
          <w:b/>
          <w:sz w:val="24"/>
          <w:szCs w:val="24"/>
        </w:rPr>
        <w:t xml:space="preserve">SEGUNDO. </w:t>
      </w:r>
      <w:r w:rsidRPr="006511BE">
        <w:rPr>
          <w:rFonts w:ascii="Palatino Linotype" w:eastAsia="Palatino Linotype" w:hAnsi="Palatino Linotype" w:cs="Palatino Linotype"/>
          <w:sz w:val="24"/>
          <w:szCs w:val="24"/>
        </w:rPr>
        <w:t xml:space="preserve">Se </w:t>
      </w:r>
      <w:r w:rsidRPr="006511BE">
        <w:rPr>
          <w:rFonts w:ascii="Palatino Linotype" w:eastAsia="Palatino Linotype" w:hAnsi="Palatino Linotype" w:cs="Palatino Linotype"/>
          <w:b/>
          <w:sz w:val="24"/>
          <w:szCs w:val="24"/>
        </w:rPr>
        <w:t xml:space="preserve">Ordena </w:t>
      </w:r>
      <w:r w:rsidRPr="006511BE">
        <w:rPr>
          <w:rFonts w:ascii="Palatino Linotype" w:eastAsia="Palatino Linotype" w:hAnsi="Palatino Linotype" w:cs="Palatino Linotype"/>
          <w:sz w:val="24"/>
          <w:szCs w:val="24"/>
        </w:rPr>
        <w:t xml:space="preserve">al </w:t>
      </w:r>
      <w:r w:rsidRPr="006511BE">
        <w:rPr>
          <w:rFonts w:ascii="Palatino Linotype" w:eastAsia="Palatino Linotype" w:hAnsi="Palatino Linotype" w:cs="Palatino Linotype"/>
          <w:b/>
          <w:sz w:val="24"/>
          <w:szCs w:val="24"/>
        </w:rPr>
        <w:t>SUJETO OBLIGADO</w:t>
      </w:r>
      <w:r w:rsidRPr="006511BE">
        <w:rPr>
          <w:rFonts w:ascii="Palatino Linotype" w:eastAsia="Palatino Linotype" w:hAnsi="Palatino Linotype" w:cs="Palatino Linotype"/>
          <w:sz w:val="24"/>
          <w:szCs w:val="24"/>
        </w:rPr>
        <w:t xml:space="preserve"> entregue, a</w:t>
      </w:r>
      <w:r w:rsidRPr="006511BE">
        <w:rPr>
          <w:rFonts w:ascii="Palatino Linotype" w:eastAsia="Palatino Linotype" w:hAnsi="Palatino Linotype" w:cs="Palatino Linotype"/>
          <w:b/>
          <w:sz w:val="24"/>
          <w:szCs w:val="24"/>
        </w:rPr>
        <w:t xml:space="preserve"> LA PARTE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RECURRENTE</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 xml:space="preserve">vía SAIMEX, </w:t>
      </w:r>
      <w:r w:rsidRPr="006511BE">
        <w:rPr>
          <w:rFonts w:ascii="Palatino Linotype" w:eastAsia="Palatino Linotype" w:hAnsi="Palatino Linotype" w:cs="Palatino Linotype"/>
          <w:sz w:val="24"/>
          <w:szCs w:val="24"/>
        </w:rPr>
        <w:t xml:space="preserve">previa búsqueda exhaustiva y razonable, en </w:t>
      </w:r>
      <w:r w:rsidRPr="006511BE">
        <w:rPr>
          <w:rFonts w:ascii="Palatino Linotype" w:eastAsia="Palatino Linotype" w:hAnsi="Palatino Linotype" w:cs="Palatino Linotype"/>
          <w:sz w:val="24"/>
          <w:szCs w:val="24"/>
        </w:rPr>
        <w:lastRenderedPageBreak/>
        <w:t>términos de los</w:t>
      </w:r>
      <w:r w:rsidRPr="006511BE">
        <w:rPr>
          <w:rFonts w:ascii="Palatino Linotype" w:eastAsia="Palatino Linotype" w:hAnsi="Palatino Linotype" w:cs="Palatino Linotype"/>
          <w:b/>
          <w:sz w:val="24"/>
          <w:szCs w:val="24"/>
        </w:rPr>
        <w:t xml:space="preserve"> Considerandos</w:t>
      </w:r>
      <w:r w:rsidRPr="006511BE">
        <w:rPr>
          <w:rFonts w:ascii="Palatino Linotype" w:eastAsia="Palatino Linotype" w:hAnsi="Palatino Linotype" w:cs="Palatino Linotype"/>
          <w:sz w:val="24"/>
          <w:szCs w:val="24"/>
        </w:rPr>
        <w:t xml:space="preserve"> </w:t>
      </w:r>
      <w:r w:rsidRPr="006511BE">
        <w:rPr>
          <w:rFonts w:ascii="Palatino Linotype" w:eastAsia="Palatino Linotype" w:hAnsi="Palatino Linotype" w:cs="Palatino Linotype"/>
          <w:b/>
          <w:sz w:val="24"/>
          <w:szCs w:val="24"/>
        </w:rPr>
        <w:t xml:space="preserve">Cuarto y Quinto, </w:t>
      </w:r>
      <w:r w:rsidRPr="006511BE">
        <w:rPr>
          <w:rFonts w:ascii="Palatino Linotype" w:eastAsia="Palatino Linotype" w:hAnsi="Palatino Linotype" w:cs="Palatino Linotype"/>
          <w:sz w:val="24"/>
          <w:szCs w:val="24"/>
        </w:rPr>
        <w:t>en versión pública, de los trabajos referidos en la solicitud de información,</w:t>
      </w:r>
      <w:r w:rsidRPr="006511BE">
        <w:rPr>
          <w:rFonts w:ascii="Palatino Linotype" w:eastAsia="Palatino Linotype" w:hAnsi="Palatino Linotype" w:cs="Palatino Linotype"/>
          <w:b/>
          <w:sz w:val="24"/>
          <w:szCs w:val="24"/>
        </w:rPr>
        <w:t xml:space="preserve"> lo siguiente:</w:t>
      </w:r>
    </w:p>
    <w:p w14:paraId="4731E1F5" w14:textId="77777777" w:rsidR="00BB65EF" w:rsidRPr="006511BE" w:rsidRDefault="00BB65EF">
      <w:pPr>
        <w:spacing w:after="0" w:line="360" w:lineRule="auto"/>
        <w:ind w:right="51"/>
        <w:jc w:val="both"/>
        <w:rPr>
          <w:rFonts w:ascii="Palatino Linotype" w:eastAsia="Palatino Linotype" w:hAnsi="Palatino Linotype" w:cs="Palatino Linotype"/>
          <w:b/>
          <w:sz w:val="24"/>
          <w:szCs w:val="24"/>
        </w:rPr>
      </w:pPr>
      <w:bookmarkStart w:id="3" w:name="_heading=h.3ejqe2j8yiqs" w:colFirst="0" w:colLast="0"/>
      <w:bookmarkEnd w:id="3"/>
    </w:p>
    <w:p w14:paraId="5FB65AF4" w14:textId="77777777" w:rsidR="00BB65EF" w:rsidRPr="006511BE" w:rsidRDefault="00C06787">
      <w:pPr>
        <w:numPr>
          <w:ilvl w:val="0"/>
          <w:numId w:val="2"/>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Facturas pagadas al dieciséis de diciembre de dos mil veinticuatro. </w:t>
      </w:r>
    </w:p>
    <w:p w14:paraId="71CC3281" w14:textId="77777777" w:rsidR="00BB65EF" w:rsidRPr="006511BE" w:rsidRDefault="00C06787">
      <w:pPr>
        <w:numPr>
          <w:ilvl w:val="0"/>
          <w:numId w:val="2"/>
        </w:numPr>
        <w:pBdr>
          <w:top w:val="nil"/>
          <w:left w:val="nil"/>
          <w:bottom w:val="nil"/>
          <w:right w:val="nil"/>
          <w:between w:val="nil"/>
        </w:pBdr>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color w:val="000000"/>
          <w:sz w:val="24"/>
          <w:szCs w:val="24"/>
        </w:rPr>
        <w:t xml:space="preserve">Beneficiarios y resultados obtenidos al dieciséis de diciembre de dos mil veinticuatro. </w:t>
      </w:r>
    </w:p>
    <w:p w14:paraId="41BA8655" w14:textId="77777777" w:rsidR="00BB65EF" w:rsidRPr="006511BE" w:rsidRDefault="00C06787">
      <w:pPr>
        <w:spacing w:before="240" w:after="0" w:line="276" w:lineRule="auto"/>
        <w:ind w:right="51"/>
        <w:jc w:val="both"/>
        <w:rPr>
          <w:rFonts w:ascii="Palatino Linotype" w:eastAsia="Palatino Linotype" w:hAnsi="Palatino Linotype" w:cs="Palatino Linotype"/>
          <w:i/>
          <w:color w:val="000000"/>
        </w:rPr>
      </w:pPr>
      <w:bookmarkStart w:id="4" w:name="_heading=h.1t3h5sf" w:colFirst="0" w:colLast="0"/>
      <w:bookmarkEnd w:id="4"/>
      <w:r w:rsidRPr="006511BE">
        <w:rPr>
          <w:rFonts w:ascii="Palatino Linotype" w:eastAsia="Palatino Linotype" w:hAnsi="Palatino Linotype" w:cs="Palatino Linotype"/>
          <w:i/>
          <w:color w:val="00000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6511BE">
        <w:rPr>
          <w:rFonts w:ascii="Palatino Linotype" w:eastAsia="Palatino Linotype" w:hAnsi="Palatino Linotype" w:cs="Palatino Linotype"/>
          <w:b/>
          <w:i/>
          <w:color w:val="000000"/>
        </w:rPr>
        <w:t>LA PARTE RECURRENTE</w:t>
      </w:r>
      <w:r w:rsidRPr="006511BE">
        <w:rPr>
          <w:rFonts w:ascii="Palatino Linotype" w:eastAsia="Palatino Linotype" w:hAnsi="Palatino Linotype" w:cs="Palatino Linotype"/>
          <w:i/>
          <w:color w:val="000000"/>
        </w:rPr>
        <w:t>.</w:t>
      </w:r>
    </w:p>
    <w:p w14:paraId="2BC0544E" w14:textId="77777777" w:rsidR="00BB65EF" w:rsidRPr="006511BE" w:rsidRDefault="00BB65EF">
      <w:pPr>
        <w:spacing w:after="0" w:line="276" w:lineRule="auto"/>
        <w:ind w:right="51"/>
        <w:jc w:val="both"/>
        <w:rPr>
          <w:rFonts w:ascii="Palatino Linotype" w:eastAsia="Palatino Linotype" w:hAnsi="Palatino Linotype" w:cs="Palatino Linotype"/>
          <w:sz w:val="24"/>
          <w:szCs w:val="24"/>
        </w:rPr>
      </w:pPr>
    </w:p>
    <w:p w14:paraId="0C6EFD9F" w14:textId="77777777" w:rsidR="00BB65EF" w:rsidRPr="006511BE" w:rsidRDefault="00C06787">
      <w:pPr>
        <w:spacing w:after="0" w:line="360" w:lineRule="auto"/>
        <w:ind w:right="49"/>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 xml:space="preserve">TERCERO.  Notifíquese vía SAIMEX, </w:t>
      </w:r>
      <w:r w:rsidRPr="006511BE">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04629A" w14:textId="77777777" w:rsidR="00BB65EF" w:rsidRPr="006511BE" w:rsidRDefault="00BB65EF">
      <w:pPr>
        <w:spacing w:after="0" w:line="360" w:lineRule="auto"/>
        <w:ind w:right="49"/>
        <w:jc w:val="both"/>
        <w:rPr>
          <w:rFonts w:ascii="Palatino Linotype" w:eastAsia="Palatino Linotype" w:hAnsi="Palatino Linotype" w:cs="Palatino Linotype"/>
          <w:sz w:val="24"/>
          <w:szCs w:val="24"/>
        </w:rPr>
      </w:pPr>
    </w:p>
    <w:p w14:paraId="58477D5E" w14:textId="77777777" w:rsidR="00BB65EF" w:rsidRPr="006511BE" w:rsidRDefault="00C06787">
      <w:pPr>
        <w:spacing w:after="0" w:line="360" w:lineRule="auto"/>
        <w:jc w:val="both"/>
        <w:rPr>
          <w:rFonts w:ascii="Palatino Linotype" w:eastAsia="Palatino Linotype" w:hAnsi="Palatino Linotype" w:cs="Palatino Linotype"/>
          <w:sz w:val="24"/>
          <w:szCs w:val="24"/>
        </w:rPr>
      </w:pPr>
      <w:r w:rsidRPr="006511BE">
        <w:rPr>
          <w:rFonts w:ascii="Palatino Linotype" w:eastAsia="Palatino Linotype" w:hAnsi="Palatino Linotype" w:cs="Palatino Linotype"/>
          <w:b/>
          <w:sz w:val="24"/>
          <w:szCs w:val="24"/>
        </w:rPr>
        <w:t xml:space="preserve">CUARTO. </w:t>
      </w:r>
      <w:r w:rsidRPr="006511B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w:t>
      </w:r>
      <w:r w:rsidRPr="006511BE">
        <w:rPr>
          <w:rFonts w:ascii="Palatino Linotype" w:eastAsia="Palatino Linotype" w:hAnsi="Palatino Linotype" w:cs="Palatino Linotype"/>
          <w:sz w:val="24"/>
          <w:szCs w:val="24"/>
        </w:rPr>
        <w:lastRenderedPageBreak/>
        <w:t xml:space="preserve">procedente, </w:t>
      </w:r>
      <w:r w:rsidRPr="006511BE">
        <w:rPr>
          <w:rFonts w:ascii="Palatino Linotype" w:eastAsia="Palatino Linotype" w:hAnsi="Palatino Linotype" w:cs="Palatino Linotype"/>
          <w:b/>
          <w:sz w:val="24"/>
          <w:szCs w:val="24"/>
        </w:rPr>
        <w:t>EL SUJETO OBLIGADO</w:t>
      </w:r>
      <w:r w:rsidRPr="006511B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9A16DAB" w14:textId="77777777" w:rsidR="00BB65EF" w:rsidRPr="006511BE" w:rsidRDefault="00BB65EF">
      <w:pPr>
        <w:spacing w:after="0" w:line="360" w:lineRule="auto"/>
        <w:jc w:val="both"/>
        <w:rPr>
          <w:rFonts w:ascii="Palatino Linotype" w:eastAsia="Palatino Linotype" w:hAnsi="Palatino Linotype" w:cs="Palatino Linotype"/>
          <w:sz w:val="24"/>
          <w:szCs w:val="24"/>
        </w:rPr>
      </w:pPr>
    </w:p>
    <w:p w14:paraId="50F90FE3" w14:textId="77777777" w:rsidR="00BB65EF" w:rsidRPr="006511BE" w:rsidRDefault="00C0678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b/>
          <w:sz w:val="24"/>
          <w:szCs w:val="24"/>
        </w:rPr>
        <w:t xml:space="preserve">QUINTO. </w:t>
      </w:r>
      <w:r w:rsidRPr="006511BE">
        <w:rPr>
          <w:rFonts w:ascii="Palatino Linotype" w:eastAsia="Palatino Linotype" w:hAnsi="Palatino Linotype" w:cs="Palatino Linotype"/>
          <w:b/>
          <w:color w:val="000000"/>
          <w:sz w:val="24"/>
          <w:szCs w:val="24"/>
        </w:rPr>
        <w:t xml:space="preserve">Notifíquese, </w:t>
      </w:r>
      <w:r w:rsidRPr="006511BE">
        <w:rPr>
          <w:rFonts w:ascii="Palatino Linotype" w:eastAsia="Palatino Linotype" w:hAnsi="Palatino Linotype" w:cs="Palatino Linotype"/>
          <w:color w:val="000000"/>
          <w:sz w:val="24"/>
          <w:szCs w:val="24"/>
        </w:rPr>
        <w:t xml:space="preserve">vía </w:t>
      </w:r>
      <w:r w:rsidRPr="006511BE">
        <w:rPr>
          <w:rFonts w:ascii="Palatino Linotype" w:eastAsia="Palatino Linotype" w:hAnsi="Palatino Linotype" w:cs="Palatino Linotype"/>
          <w:b/>
          <w:color w:val="000000"/>
          <w:sz w:val="24"/>
          <w:szCs w:val="24"/>
        </w:rPr>
        <w:t>SAIMEX</w:t>
      </w:r>
      <w:r w:rsidRPr="006511BE">
        <w:rPr>
          <w:rFonts w:ascii="Palatino Linotype" w:eastAsia="Palatino Linotype" w:hAnsi="Palatino Linotype" w:cs="Palatino Linotype"/>
          <w:color w:val="000000"/>
          <w:sz w:val="24"/>
          <w:szCs w:val="24"/>
        </w:rPr>
        <w:t xml:space="preserve">, a </w:t>
      </w:r>
      <w:r w:rsidRPr="006511BE">
        <w:rPr>
          <w:rFonts w:ascii="Palatino Linotype" w:eastAsia="Palatino Linotype" w:hAnsi="Palatino Linotype" w:cs="Palatino Linotype"/>
          <w:b/>
          <w:color w:val="000000"/>
          <w:sz w:val="24"/>
          <w:szCs w:val="24"/>
        </w:rPr>
        <w:t>LA PARTE RECURRENTE</w:t>
      </w:r>
      <w:r w:rsidRPr="006511BE">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DE35E57" w14:textId="77777777" w:rsidR="00BB65EF" w:rsidRPr="006511BE" w:rsidRDefault="00BB65EF">
      <w:pPr>
        <w:spacing w:after="0" w:line="360" w:lineRule="auto"/>
        <w:jc w:val="both"/>
        <w:rPr>
          <w:rFonts w:ascii="Palatino Linotype" w:eastAsia="Palatino Linotype" w:hAnsi="Palatino Linotype" w:cs="Palatino Linotype"/>
          <w:color w:val="000000"/>
          <w:sz w:val="24"/>
          <w:szCs w:val="24"/>
        </w:rPr>
      </w:pPr>
    </w:p>
    <w:p w14:paraId="16A71882" w14:textId="77777777" w:rsidR="00BB65EF" w:rsidRDefault="00C06787">
      <w:pPr>
        <w:pBdr>
          <w:top w:val="nil"/>
          <w:left w:val="nil"/>
          <w:bottom w:val="nil"/>
          <w:right w:val="nil"/>
          <w:between w:val="nil"/>
        </w:pBdr>
        <w:spacing w:after="0" w:line="360" w:lineRule="auto"/>
        <w:ind w:right="96"/>
        <w:jc w:val="both"/>
        <w:rPr>
          <w:rFonts w:ascii="Palatino Linotype" w:eastAsia="Palatino Linotype" w:hAnsi="Palatino Linotype" w:cs="Palatino Linotype"/>
          <w:color w:val="000000"/>
          <w:sz w:val="24"/>
          <w:szCs w:val="24"/>
        </w:rPr>
      </w:pPr>
      <w:r w:rsidRPr="006511BE">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511BE">
        <w:rPr>
          <w:rFonts w:ascii="Palatino Linotype" w:eastAsia="Palatino Linotype" w:hAnsi="Palatino Linotype" w:cs="Palatino Linotype"/>
          <w:color w:val="000000"/>
          <w:sz w:val="24"/>
          <w:szCs w:val="24"/>
        </w:rPr>
        <w:t>DÉCIMA SEGUNDA SESIÓN ORDINARIA CELEBRADA EL DOS DE ABRIL D</w:t>
      </w:r>
      <w:r w:rsidRPr="006511BE">
        <w:rPr>
          <w:rFonts w:ascii="Palatino Linotype" w:eastAsia="Palatino Linotype" w:hAnsi="Palatino Linotype" w:cs="Palatino Linotype"/>
          <w:sz w:val="24"/>
          <w:szCs w:val="24"/>
        </w:rPr>
        <w:t>E DOS MIL VEINTICINCO, ANTE EL SECRETARIO TÉCNICO DEL PLENO ALEXIS TAPIA RAMÍREZ.</w:t>
      </w:r>
    </w:p>
    <w:p w14:paraId="2363F218" w14:textId="77777777" w:rsidR="00BB65EF" w:rsidRDefault="00BB65EF">
      <w:pPr>
        <w:spacing w:after="0" w:line="360" w:lineRule="auto"/>
        <w:jc w:val="both"/>
        <w:rPr>
          <w:rFonts w:ascii="Palatino Linotype" w:eastAsia="Palatino Linotype" w:hAnsi="Palatino Linotype" w:cs="Palatino Linotype"/>
          <w:color w:val="000000"/>
          <w:sz w:val="24"/>
          <w:szCs w:val="24"/>
        </w:rPr>
      </w:pPr>
    </w:p>
    <w:p w14:paraId="4C4B4568" w14:textId="77777777" w:rsidR="00F04825" w:rsidRDefault="00F04825">
      <w:pPr>
        <w:spacing w:after="0" w:line="360" w:lineRule="auto"/>
        <w:jc w:val="both"/>
        <w:rPr>
          <w:rFonts w:ascii="Palatino Linotype" w:eastAsia="Palatino Linotype" w:hAnsi="Palatino Linotype" w:cs="Palatino Linotype"/>
          <w:color w:val="000000"/>
          <w:sz w:val="24"/>
          <w:szCs w:val="24"/>
        </w:rPr>
      </w:pPr>
    </w:p>
    <w:p w14:paraId="7EB27394" w14:textId="77777777" w:rsidR="00F04825" w:rsidRDefault="00F04825">
      <w:pPr>
        <w:spacing w:after="0" w:line="360" w:lineRule="auto"/>
        <w:jc w:val="both"/>
        <w:rPr>
          <w:rFonts w:ascii="Palatino Linotype" w:eastAsia="Palatino Linotype" w:hAnsi="Palatino Linotype" w:cs="Palatino Linotype"/>
          <w:color w:val="000000"/>
          <w:sz w:val="24"/>
          <w:szCs w:val="24"/>
        </w:rPr>
      </w:pPr>
    </w:p>
    <w:p w14:paraId="1F08FBF0" w14:textId="77777777" w:rsidR="00F04825" w:rsidRDefault="00F04825">
      <w:pPr>
        <w:spacing w:after="0" w:line="360" w:lineRule="auto"/>
        <w:jc w:val="both"/>
        <w:rPr>
          <w:rFonts w:ascii="Palatino Linotype" w:eastAsia="Palatino Linotype" w:hAnsi="Palatino Linotype" w:cs="Palatino Linotype"/>
          <w:color w:val="000000"/>
          <w:sz w:val="24"/>
          <w:szCs w:val="24"/>
        </w:rPr>
      </w:pPr>
    </w:p>
    <w:p w14:paraId="36B5F3BD" w14:textId="77777777" w:rsidR="00F04825" w:rsidRDefault="00F04825">
      <w:pPr>
        <w:spacing w:after="0" w:line="360" w:lineRule="auto"/>
        <w:jc w:val="both"/>
        <w:rPr>
          <w:rFonts w:ascii="Palatino Linotype" w:eastAsia="Palatino Linotype" w:hAnsi="Palatino Linotype" w:cs="Palatino Linotype"/>
          <w:color w:val="000000"/>
          <w:sz w:val="24"/>
          <w:szCs w:val="24"/>
        </w:rPr>
      </w:pPr>
    </w:p>
    <w:p w14:paraId="7D54736C" w14:textId="77777777" w:rsidR="00F04825" w:rsidRDefault="00F04825">
      <w:pPr>
        <w:spacing w:after="0" w:line="360" w:lineRule="auto"/>
        <w:jc w:val="both"/>
        <w:rPr>
          <w:rFonts w:ascii="Palatino Linotype" w:eastAsia="Palatino Linotype" w:hAnsi="Palatino Linotype" w:cs="Palatino Linotype"/>
          <w:color w:val="000000"/>
          <w:sz w:val="24"/>
          <w:szCs w:val="24"/>
        </w:rPr>
      </w:pPr>
    </w:p>
    <w:sectPr w:rsidR="00F04825">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71FE" w14:textId="77777777" w:rsidR="004D3B51" w:rsidRDefault="004D3B51">
      <w:pPr>
        <w:spacing w:after="0" w:line="240" w:lineRule="auto"/>
      </w:pPr>
      <w:r>
        <w:separator/>
      </w:r>
    </w:p>
  </w:endnote>
  <w:endnote w:type="continuationSeparator" w:id="0">
    <w:p w14:paraId="2B1D002A" w14:textId="77777777" w:rsidR="004D3B51" w:rsidRDefault="004D3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7A59" w14:textId="77777777" w:rsidR="00BB65EF" w:rsidRDefault="00C0678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511BE">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511BE">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1C4F7F2D" w14:textId="77777777" w:rsidR="00BB65EF" w:rsidRDefault="00BB65EF">
    <w:pPr>
      <w:pBdr>
        <w:top w:val="nil"/>
        <w:left w:val="nil"/>
        <w:bottom w:val="nil"/>
        <w:right w:val="nil"/>
        <w:between w:val="nil"/>
      </w:pBdr>
      <w:tabs>
        <w:tab w:val="center" w:pos="4419"/>
        <w:tab w:val="right" w:pos="8838"/>
      </w:tabs>
      <w:spacing w:after="0" w:line="240" w:lineRule="auto"/>
      <w:rPr>
        <w:color w:val="000000"/>
      </w:rPr>
    </w:pPr>
  </w:p>
  <w:p w14:paraId="30CEA8D5" w14:textId="77777777" w:rsidR="00BB65EF" w:rsidRDefault="00BB65E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2EFE1" w14:textId="77777777" w:rsidR="004D3B51" w:rsidRDefault="004D3B51">
      <w:pPr>
        <w:spacing w:after="0" w:line="240" w:lineRule="auto"/>
      </w:pPr>
      <w:r>
        <w:separator/>
      </w:r>
    </w:p>
  </w:footnote>
  <w:footnote w:type="continuationSeparator" w:id="0">
    <w:p w14:paraId="5D1F26C7" w14:textId="77777777" w:rsidR="004D3B51" w:rsidRDefault="004D3B51">
      <w:pPr>
        <w:spacing w:after="0" w:line="240" w:lineRule="auto"/>
      </w:pPr>
      <w:r>
        <w:continuationSeparator/>
      </w:r>
    </w:p>
  </w:footnote>
  <w:footnote w:id="1">
    <w:p w14:paraId="026AF0AA" w14:textId="77777777" w:rsidR="00BB65EF" w:rsidRDefault="00C0678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B9F6686" w14:textId="77777777" w:rsidR="00BB65EF" w:rsidRDefault="00C0678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EF14" w14:textId="77777777" w:rsidR="00BB65EF" w:rsidRDefault="00BB65E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2"/>
      <w:tblW w:w="10273" w:type="dxa"/>
      <w:tblInd w:w="-1281" w:type="dxa"/>
      <w:tblLayout w:type="fixed"/>
      <w:tblLook w:val="0400" w:firstRow="0" w:lastRow="0" w:firstColumn="0" w:lastColumn="0" w:noHBand="0" w:noVBand="1"/>
    </w:tblPr>
    <w:tblGrid>
      <w:gridCol w:w="5716"/>
      <w:gridCol w:w="4557"/>
    </w:tblGrid>
    <w:tr w:rsidR="00BB65EF" w14:paraId="01A5001B" w14:textId="77777777">
      <w:trPr>
        <w:trHeight w:val="246"/>
      </w:trPr>
      <w:tc>
        <w:tcPr>
          <w:tcW w:w="5716" w:type="dxa"/>
        </w:tcPr>
        <w:p w14:paraId="062387C5" w14:textId="77777777" w:rsidR="00BB65EF" w:rsidRDefault="00C067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1C1C3835" w14:textId="77777777" w:rsidR="00BB65EF" w:rsidRDefault="00C0678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01584/INFOEM/IP/RR/2025.</w:t>
          </w:r>
        </w:p>
      </w:tc>
    </w:tr>
    <w:tr w:rsidR="00BB65EF" w14:paraId="6A6367E0" w14:textId="77777777">
      <w:trPr>
        <w:trHeight w:val="212"/>
      </w:trPr>
      <w:tc>
        <w:tcPr>
          <w:tcW w:w="5716" w:type="dxa"/>
        </w:tcPr>
        <w:p w14:paraId="3201BDC9" w14:textId="77777777" w:rsidR="00BB65EF" w:rsidRDefault="00C067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07DAA7C8" w14:textId="77777777" w:rsidR="00BB65EF" w:rsidRDefault="00BB65EF">
          <w:pPr>
            <w:spacing w:after="120"/>
            <w:ind w:left="-486" w:right="214" w:firstLine="567"/>
            <w:jc w:val="right"/>
            <w:rPr>
              <w:rFonts w:ascii="Palatino Linotype" w:eastAsia="Palatino Linotype" w:hAnsi="Palatino Linotype" w:cs="Palatino Linotype"/>
              <w:sz w:val="24"/>
              <w:szCs w:val="24"/>
            </w:rPr>
          </w:pPr>
        </w:p>
      </w:tc>
    </w:tr>
    <w:tr w:rsidR="00BB65EF" w14:paraId="105514A7" w14:textId="77777777">
      <w:trPr>
        <w:trHeight w:val="264"/>
      </w:trPr>
      <w:tc>
        <w:tcPr>
          <w:tcW w:w="5716" w:type="dxa"/>
        </w:tcPr>
        <w:p w14:paraId="0294F820" w14:textId="77777777" w:rsidR="00BB65EF" w:rsidRDefault="00C0678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27FF8319" w14:textId="77777777" w:rsidR="00BB65EF" w:rsidRDefault="00C0678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BB65EF" w14:paraId="52BA7DD6" w14:textId="77777777">
      <w:trPr>
        <w:trHeight w:val="373"/>
      </w:trPr>
      <w:tc>
        <w:tcPr>
          <w:tcW w:w="5716" w:type="dxa"/>
        </w:tcPr>
        <w:p w14:paraId="2B06087C" w14:textId="77777777" w:rsidR="00BB65EF" w:rsidRDefault="00C0678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21805145" w14:textId="77777777" w:rsidR="00BB65EF" w:rsidRDefault="00C0678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77A564E" w14:textId="77777777" w:rsidR="00BB65EF" w:rsidRDefault="00C0678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CFBA1DD" wp14:editId="4C7D6A7C">
          <wp:simplePos x="0" y="0"/>
          <wp:positionH relativeFrom="column">
            <wp:posOffset>-1080132</wp:posOffset>
          </wp:positionH>
          <wp:positionV relativeFrom="paragraph">
            <wp:posOffset>-1359533</wp:posOffset>
          </wp:positionV>
          <wp:extent cx="7353300" cy="8658225"/>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F4304"/>
    <w:multiLevelType w:val="multilevel"/>
    <w:tmpl w:val="5360F79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E382C9E"/>
    <w:multiLevelType w:val="multilevel"/>
    <w:tmpl w:val="AD88B5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EF"/>
    <w:rsid w:val="00351B96"/>
    <w:rsid w:val="004D3B51"/>
    <w:rsid w:val="006511BE"/>
    <w:rsid w:val="007D62E1"/>
    <w:rsid w:val="00AF2A1A"/>
    <w:rsid w:val="00BB65EF"/>
    <w:rsid w:val="00C06787"/>
    <w:rsid w:val="00F04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E3F36"/>
  <w15:docId w15:val="{D577E7AB-09D6-462C-B02F-CA5A3EB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69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56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695"/>
  </w:style>
  <w:style w:type="paragraph" w:styleId="Piedepgina">
    <w:name w:val="footer"/>
    <w:basedOn w:val="Normal"/>
    <w:link w:val="PiedepginaCar"/>
    <w:uiPriority w:val="99"/>
    <w:unhideWhenUsed/>
    <w:rsid w:val="00E85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695"/>
  </w:style>
  <w:style w:type="paragraph" w:styleId="Prrafodelista">
    <w:name w:val="List Paragraph"/>
    <w:basedOn w:val="Normal"/>
    <w:uiPriority w:val="34"/>
    <w:qFormat/>
    <w:rsid w:val="00666923"/>
    <w:pPr>
      <w:ind w:left="720"/>
      <w:contextualSpacing/>
    </w:pPr>
  </w:style>
  <w:style w:type="character" w:styleId="Hipervnculo">
    <w:name w:val="Hyperlink"/>
    <w:basedOn w:val="Fuentedeprrafopredeter"/>
    <w:uiPriority w:val="99"/>
    <w:unhideWhenUsed/>
    <w:rsid w:val="00B3298B"/>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0J2KfW7BIHkr8/6CsmbTBMSYQ==">CgMxLjAyDmgucXgwa2llejQ1NHBjMgloLjN6bnlzaDcyCWguMWZvYjl0ZTIOaC4zZWpxZTJqOHlpcXMyCWguMXQzaDVzZjgAciExcFhHZ09QRFc5R2pxc2tjSW5BcEhEUFVFN2ZwY21fNGc=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12245</Words>
  <Characters>67352</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2025-04-04T16:51:00Z</cp:lastPrinted>
  <dcterms:created xsi:type="dcterms:W3CDTF">2025-05-06T19:18:00Z</dcterms:created>
  <dcterms:modified xsi:type="dcterms:W3CDTF">2025-05-06T19:18:00Z</dcterms:modified>
</cp:coreProperties>
</file>