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F797C" w14:textId="77777777" w:rsidR="00F11814" w:rsidRDefault="00F11814" w:rsidP="00AE7429">
      <w:pPr>
        <w:tabs>
          <w:tab w:val="left" w:pos="8931"/>
        </w:tabs>
        <w:spacing w:after="0" w:line="360" w:lineRule="auto"/>
        <w:rPr>
          <w:rFonts w:cs="Tahoma"/>
          <w:b/>
        </w:rPr>
      </w:pPr>
    </w:p>
    <w:sdt>
      <w:sdtPr>
        <w:rPr>
          <w:rFonts w:ascii="Palatino Linotype" w:eastAsiaTheme="minorHAnsi" w:hAnsi="Palatino Linotype" w:cstheme="minorBidi"/>
          <w:color w:val="000000" w:themeColor="text1"/>
          <w:sz w:val="22"/>
          <w:szCs w:val="22"/>
          <w:lang w:val="es-ES" w:eastAsia="en-US"/>
        </w:rPr>
        <w:id w:val="1976185696"/>
        <w:docPartObj>
          <w:docPartGallery w:val="Table of Contents"/>
          <w:docPartUnique/>
        </w:docPartObj>
      </w:sdtPr>
      <w:sdtEndPr>
        <w:rPr>
          <w:b/>
          <w:bCs/>
        </w:rPr>
      </w:sdtEndPr>
      <w:sdtContent>
        <w:p w14:paraId="5513FEBD" w14:textId="0B38248E" w:rsidR="00E4527E" w:rsidRPr="00C36922" w:rsidRDefault="00E4527E" w:rsidP="00AE7429">
          <w:pPr>
            <w:pStyle w:val="TtuloTDC"/>
            <w:spacing w:before="0" w:line="360" w:lineRule="auto"/>
            <w:jc w:val="center"/>
            <w:rPr>
              <w:rFonts w:ascii="Palatino Linotype" w:eastAsia="Calibri" w:hAnsi="Palatino Linotype" w:cs="Tahoma"/>
              <w:color w:val="auto"/>
              <w:sz w:val="22"/>
              <w:szCs w:val="22"/>
            </w:rPr>
          </w:pPr>
          <w:r w:rsidRPr="00C36922">
            <w:rPr>
              <w:rFonts w:ascii="Palatino Linotype" w:hAnsi="Palatino Linotype"/>
              <w:color w:val="auto"/>
              <w:sz w:val="22"/>
              <w:szCs w:val="22"/>
              <w:lang w:val="es-ES"/>
            </w:rPr>
            <w:t xml:space="preserve">RESOLUCIÓN DEL RECURSO DE REVISIÓN </w:t>
          </w:r>
          <w:r w:rsidRPr="00C36922">
            <w:rPr>
              <w:rFonts w:ascii="Palatino Linotype" w:eastAsia="Calibri" w:hAnsi="Palatino Linotype" w:cs="Tahoma"/>
              <w:color w:val="auto"/>
              <w:sz w:val="22"/>
              <w:szCs w:val="22"/>
            </w:rPr>
            <w:t>00346/INFOEM/IP/RR/2025</w:t>
          </w:r>
        </w:p>
        <w:p w14:paraId="20BC4337" w14:textId="77777777" w:rsidR="00E4527E" w:rsidRPr="00C36922" w:rsidRDefault="00E4527E" w:rsidP="00AE7429">
          <w:pPr>
            <w:spacing w:after="0" w:line="360" w:lineRule="auto"/>
            <w:rPr>
              <w:lang w:eastAsia="es-MX"/>
            </w:rPr>
          </w:pPr>
        </w:p>
        <w:p w14:paraId="2D3FD443" w14:textId="5C0AE960" w:rsidR="00852278" w:rsidRPr="00C36922" w:rsidRDefault="00E4527E" w:rsidP="0042660C">
          <w:pPr>
            <w:pStyle w:val="TDC1"/>
            <w:rPr>
              <w:rFonts w:asciiTheme="minorHAnsi" w:eastAsiaTheme="minorEastAsia" w:hAnsiTheme="minorHAnsi"/>
              <w:color w:val="auto"/>
              <w:kern w:val="2"/>
              <w:sz w:val="24"/>
              <w:szCs w:val="24"/>
              <w:lang w:eastAsia="es-MX"/>
              <w14:ligatures w14:val="standardContextual"/>
            </w:rPr>
          </w:pPr>
          <w:r w:rsidRPr="00C36922">
            <w:fldChar w:fldCharType="begin"/>
          </w:r>
          <w:r w:rsidRPr="00C36922">
            <w:instrText xml:space="preserve"> TOC \o "1-3" \h \z \u </w:instrText>
          </w:r>
          <w:r w:rsidRPr="00C36922">
            <w:fldChar w:fldCharType="separate"/>
          </w:r>
          <w:hyperlink w:anchor="_Toc189685426" w:history="1">
            <w:r w:rsidR="00852278" w:rsidRPr="00C36922">
              <w:rPr>
                <w:rStyle w:val="Hipervnculo"/>
                <w:rFonts w:eastAsia="Calibri"/>
                <w:b w:val="0"/>
                <w:bCs w:val="0"/>
              </w:rPr>
              <w:t>A N T E C E D E N T E S</w:t>
            </w:r>
            <w:r w:rsidR="00852278" w:rsidRPr="00C36922">
              <w:rPr>
                <w:webHidden/>
              </w:rPr>
              <w:tab/>
            </w:r>
            <w:r w:rsidR="00852278" w:rsidRPr="00C36922">
              <w:rPr>
                <w:webHidden/>
              </w:rPr>
              <w:fldChar w:fldCharType="begin"/>
            </w:r>
            <w:r w:rsidR="00852278" w:rsidRPr="00C36922">
              <w:rPr>
                <w:webHidden/>
              </w:rPr>
              <w:instrText xml:space="preserve"> PAGEREF _Toc189685426 \h </w:instrText>
            </w:r>
            <w:r w:rsidR="00852278" w:rsidRPr="00C36922">
              <w:rPr>
                <w:webHidden/>
              </w:rPr>
            </w:r>
            <w:r w:rsidR="00852278" w:rsidRPr="00C36922">
              <w:rPr>
                <w:webHidden/>
              </w:rPr>
              <w:fldChar w:fldCharType="separate"/>
            </w:r>
            <w:r w:rsidR="00912FCD">
              <w:rPr>
                <w:webHidden/>
              </w:rPr>
              <w:t>2</w:t>
            </w:r>
            <w:r w:rsidR="00852278" w:rsidRPr="00C36922">
              <w:rPr>
                <w:webHidden/>
              </w:rPr>
              <w:fldChar w:fldCharType="end"/>
            </w:r>
          </w:hyperlink>
        </w:p>
        <w:p w14:paraId="04BECB1C" w14:textId="398D198C" w:rsidR="00852278" w:rsidRPr="00C36922" w:rsidRDefault="00852278" w:rsidP="0042660C">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89685427" w:history="1">
            <w:r w:rsidRPr="00C36922">
              <w:rPr>
                <w:rStyle w:val="Hipervnculo"/>
                <w:rFonts w:eastAsia="Calibri"/>
                <w:noProof/>
                <w:lang w:val="es-ES"/>
              </w:rPr>
              <w:t>I. Presentación de la solicitud de información</w:t>
            </w:r>
            <w:r w:rsidRPr="00C36922">
              <w:rPr>
                <w:noProof/>
                <w:webHidden/>
              </w:rPr>
              <w:tab/>
            </w:r>
            <w:r w:rsidRPr="00C36922">
              <w:rPr>
                <w:noProof/>
                <w:webHidden/>
              </w:rPr>
              <w:fldChar w:fldCharType="begin"/>
            </w:r>
            <w:r w:rsidRPr="00C36922">
              <w:rPr>
                <w:noProof/>
                <w:webHidden/>
              </w:rPr>
              <w:instrText xml:space="preserve"> PAGEREF _Toc189685427 \h </w:instrText>
            </w:r>
            <w:r w:rsidRPr="00C36922">
              <w:rPr>
                <w:noProof/>
                <w:webHidden/>
              </w:rPr>
            </w:r>
            <w:r w:rsidRPr="00C36922">
              <w:rPr>
                <w:noProof/>
                <w:webHidden/>
              </w:rPr>
              <w:fldChar w:fldCharType="separate"/>
            </w:r>
            <w:r w:rsidR="00912FCD">
              <w:rPr>
                <w:noProof/>
                <w:webHidden/>
              </w:rPr>
              <w:t>2</w:t>
            </w:r>
            <w:r w:rsidRPr="00C36922">
              <w:rPr>
                <w:noProof/>
                <w:webHidden/>
              </w:rPr>
              <w:fldChar w:fldCharType="end"/>
            </w:r>
          </w:hyperlink>
        </w:p>
        <w:p w14:paraId="2682B090" w14:textId="40756970" w:rsidR="00852278" w:rsidRPr="00C36922" w:rsidRDefault="00852278" w:rsidP="0042660C">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89685428" w:history="1">
            <w:r w:rsidRPr="00C36922">
              <w:rPr>
                <w:rStyle w:val="Hipervnculo"/>
                <w:rFonts w:eastAsia="Times New Roman"/>
                <w:noProof/>
                <w:lang w:eastAsia="es-ES"/>
              </w:rPr>
              <w:t>II. Respuesta del Sujeto Obligado</w:t>
            </w:r>
            <w:r w:rsidRPr="00C36922">
              <w:rPr>
                <w:noProof/>
                <w:webHidden/>
              </w:rPr>
              <w:tab/>
            </w:r>
            <w:r w:rsidRPr="00C36922">
              <w:rPr>
                <w:noProof/>
                <w:webHidden/>
              </w:rPr>
              <w:fldChar w:fldCharType="begin"/>
            </w:r>
            <w:r w:rsidRPr="00C36922">
              <w:rPr>
                <w:noProof/>
                <w:webHidden/>
              </w:rPr>
              <w:instrText xml:space="preserve"> PAGEREF _Toc189685428 \h </w:instrText>
            </w:r>
            <w:r w:rsidRPr="00C36922">
              <w:rPr>
                <w:noProof/>
                <w:webHidden/>
              </w:rPr>
            </w:r>
            <w:r w:rsidRPr="00C36922">
              <w:rPr>
                <w:noProof/>
                <w:webHidden/>
              </w:rPr>
              <w:fldChar w:fldCharType="separate"/>
            </w:r>
            <w:r w:rsidR="00912FCD">
              <w:rPr>
                <w:noProof/>
                <w:webHidden/>
              </w:rPr>
              <w:t>3</w:t>
            </w:r>
            <w:r w:rsidRPr="00C36922">
              <w:rPr>
                <w:noProof/>
                <w:webHidden/>
              </w:rPr>
              <w:fldChar w:fldCharType="end"/>
            </w:r>
          </w:hyperlink>
        </w:p>
        <w:p w14:paraId="7EBC5169" w14:textId="30BEFCE7" w:rsidR="00852278" w:rsidRPr="00C36922" w:rsidRDefault="00852278" w:rsidP="0042660C">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89685429" w:history="1">
            <w:r w:rsidRPr="00C36922">
              <w:rPr>
                <w:rStyle w:val="Hipervnculo"/>
                <w:rFonts w:eastAsia="Calibri"/>
                <w:noProof/>
              </w:rPr>
              <w:t>III. Interposición del Recurso de Revisión</w:t>
            </w:r>
            <w:r w:rsidRPr="00C36922">
              <w:rPr>
                <w:noProof/>
                <w:webHidden/>
              </w:rPr>
              <w:tab/>
            </w:r>
            <w:r w:rsidRPr="00C36922">
              <w:rPr>
                <w:noProof/>
                <w:webHidden/>
              </w:rPr>
              <w:fldChar w:fldCharType="begin"/>
            </w:r>
            <w:r w:rsidRPr="00C36922">
              <w:rPr>
                <w:noProof/>
                <w:webHidden/>
              </w:rPr>
              <w:instrText xml:space="preserve"> PAGEREF _Toc189685429 \h </w:instrText>
            </w:r>
            <w:r w:rsidRPr="00C36922">
              <w:rPr>
                <w:noProof/>
                <w:webHidden/>
              </w:rPr>
            </w:r>
            <w:r w:rsidRPr="00C36922">
              <w:rPr>
                <w:noProof/>
                <w:webHidden/>
              </w:rPr>
              <w:fldChar w:fldCharType="separate"/>
            </w:r>
            <w:r w:rsidR="00912FCD">
              <w:rPr>
                <w:noProof/>
                <w:webHidden/>
              </w:rPr>
              <w:t>3</w:t>
            </w:r>
            <w:r w:rsidRPr="00C36922">
              <w:rPr>
                <w:noProof/>
                <w:webHidden/>
              </w:rPr>
              <w:fldChar w:fldCharType="end"/>
            </w:r>
          </w:hyperlink>
        </w:p>
        <w:p w14:paraId="198C25D4" w14:textId="360EF211" w:rsidR="00852278" w:rsidRPr="00C36922" w:rsidRDefault="00852278" w:rsidP="0042660C">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89685430" w:history="1">
            <w:r w:rsidRPr="00C36922">
              <w:rPr>
                <w:rStyle w:val="Hipervnculo"/>
                <w:rFonts w:eastAsia="Calibri"/>
                <w:noProof/>
              </w:rPr>
              <w:t xml:space="preserve">IV. </w:t>
            </w:r>
            <w:r w:rsidRPr="00C36922">
              <w:rPr>
                <w:rStyle w:val="Hipervnculo"/>
                <w:rFonts w:eastAsia="Batang"/>
                <w:noProof/>
              </w:rPr>
              <w:t>Trámite del Recurso de Revisión</w:t>
            </w:r>
            <w:r w:rsidRPr="00C36922">
              <w:rPr>
                <w:rStyle w:val="Hipervnculo"/>
                <w:rFonts w:eastAsia="Calibri"/>
                <w:noProof/>
              </w:rPr>
              <w:t xml:space="preserve"> </w:t>
            </w:r>
            <w:r w:rsidRPr="00C36922">
              <w:rPr>
                <w:rStyle w:val="Hipervnculo"/>
                <w:rFonts w:eastAsia="Batang"/>
                <w:noProof/>
              </w:rPr>
              <w:t>ante este Instituto</w:t>
            </w:r>
            <w:r w:rsidRPr="00C36922">
              <w:rPr>
                <w:noProof/>
                <w:webHidden/>
              </w:rPr>
              <w:tab/>
            </w:r>
            <w:r w:rsidRPr="00C36922">
              <w:rPr>
                <w:noProof/>
                <w:webHidden/>
              </w:rPr>
              <w:fldChar w:fldCharType="begin"/>
            </w:r>
            <w:r w:rsidRPr="00C36922">
              <w:rPr>
                <w:noProof/>
                <w:webHidden/>
              </w:rPr>
              <w:instrText xml:space="preserve"> PAGEREF _Toc189685430 \h </w:instrText>
            </w:r>
            <w:r w:rsidRPr="00C36922">
              <w:rPr>
                <w:noProof/>
                <w:webHidden/>
              </w:rPr>
            </w:r>
            <w:r w:rsidRPr="00C36922">
              <w:rPr>
                <w:noProof/>
                <w:webHidden/>
              </w:rPr>
              <w:fldChar w:fldCharType="separate"/>
            </w:r>
            <w:r w:rsidR="00912FCD">
              <w:rPr>
                <w:noProof/>
                <w:webHidden/>
              </w:rPr>
              <w:t>4</w:t>
            </w:r>
            <w:r w:rsidRPr="00C36922">
              <w:rPr>
                <w:noProof/>
                <w:webHidden/>
              </w:rPr>
              <w:fldChar w:fldCharType="end"/>
            </w:r>
          </w:hyperlink>
        </w:p>
        <w:p w14:paraId="3093F315" w14:textId="0AC0166C" w:rsidR="00852278" w:rsidRPr="00C36922" w:rsidRDefault="00852278" w:rsidP="0042660C">
          <w:pPr>
            <w:pStyle w:val="TDC1"/>
            <w:rPr>
              <w:rFonts w:asciiTheme="minorHAnsi" w:eastAsiaTheme="minorEastAsia" w:hAnsiTheme="minorHAnsi"/>
              <w:color w:val="auto"/>
              <w:kern w:val="2"/>
              <w:sz w:val="24"/>
              <w:szCs w:val="24"/>
              <w:lang w:eastAsia="es-MX"/>
              <w14:ligatures w14:val="standardContextual"/>
            </w:rPr>
          </w:pPr>
          <w:hyperlink w:anchor="_Toc189685431" w:history="1">
            <w:r w:rsidRPr="00C36922">
              <w:rPr>
                <w:rStyle w:val="Hipervnculo"/>
                <w:b w:val="0"/>
                <w:bCs w:val="0"/>
              </w:rPr>
              <w:t>C O N S I D E R A N D O S</w:t>
            </w:r>
            <w:r w:rsidRPr="00C36922">
              <w:rPr>
                <w:webHidden/>
              </w:rPr>
              <w:tab/>
            </w:r>
            <w:r w:rsidRPr="00C36922">
              <w:rPr>
                <w:webHidden/>
              </w:rPr>
              <w:fldChar w:fldCharType="begin"/>
            </w:r>
            <w:r w:rsidRPr="00C36922">
              <w:rPr>
                <w:webHidden/>
              </w:rPr>
              <w:instrText xml:space="preserve"> PAGEREF _Toc189685431 \h </w:instrText>
            </w:r>
            <w:r w:rsidRPr="00C36922">
              <w:rPr>
                <w:webHidden/>
              </w:rPr>
            </w:r>
            <w:r w:rsidRPr="00C36922">
              <w:rPr>
                <w:webHidden/>
              </w:rPr>
              <w:fldChar w:fldCharType="separate"/>
            </w:r>
            <w:r w:rsidR="00912FCD">
              <w:rPr>
                <w:webHidden/>
              </w:rPr>
              <w:t>6</w:t>
            </w:r>
            <w:r w:rsidRPr="00C36922">
              <w:rPr>
                <w:webHidden/>
              </w:rPr>
              <w:fldChar w:fldCharType="end"/>
            </w:r>
          </w:hyperlink>
        </w:p>
        <w:p w14:paraId="36E147E4" w14:textId="646F8030" w:rsidR="00852278" w:rsidRPr="00C36922" w:rsidRDefault="00852278" w:rsidP="0042660C">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89685432" w:history="1">
            <w:r w:rsidRPr="00C36922">
              <w:rPr>
                <w:rStyle w:val="Hipervnculo"/>
                <w:rFonts w:eastAsia="Calibri"/>
                <w:noProof/>
                <w:lang w:val="es-ES" w:eastAsia="es-MX"/>
              </w:rPr>
              <w:t xml:space="preserve">PRIMERO. </w:t>
            </w:r>
            <w:r w:rsidRPr="00C36922">
              <w:rPr>
                <w:rStyle w:val="Hipervnculo"/>
                <w:rFonts w:eastAsia="Times New Roman"/>
                <w:noProof/>
                <w:lang w:val="es-ES" w:eastAsia="es-ES"/>
              </w:rPr>
              <w:t>Competencia</w:t>
            </w:r>
            <w:r w:rsidRPr="00C36922">
              <w:rPr>
                <w:noProof/>
                <w:webHidden/>
              </w:rPr>
              <w:tab/>
            </w:r>
            <w:r w:rsidRPr="00C36922">
              <w:rPr>
                <w:noProof/>
                <w:webHidden/>
              </w:rPr>
              <w:fldChar w:fldCharType="begin"/>
            </w:r>
            <w:r w:rsidRPr="00C36922">
              <w:rPr>
                <w:noProof/>
                <w:webHidden/>
              </w:rPr>
              <w:instrText xml:space="preserve"> PAGEREF _Toc189685432 \h </w:instrText>
            </w:r>
            <w:r w:rsidRPr="00C36922">
              <w:rPr>
                <w:noProof/>
                <w:webHidden/>
              </w:rPr>
            </w:r>
            <w:r w:rsidRPr="00C36922">
              <w:rPr>
                <w:noProof/>
                <w:webHidden/>
              </w:rPr>
              <w:fldChar w:fldCharType="separate"/>
            </w:r>
            <w:r w:rsidR="00912FCD">
              <w:rPr>
                <w:noProof/>
                <w:webHidden/>
              </w:rPr>
              <w:t>6</w:t>
            </w:r>
            <w:r w:rsidRPr="00C36922">
              <w:rPr>
                <w:noProof/>
                <w:webHidden/>
              </w:rPr>
              <w:fldChar w:fldCharType="end"/>
            </w:r>
          </w:hyperlink>
        </w:p>
        <w:p w14:paraId="7B8FD8CE" w14:textId="412B85B3" w:rsidR="00852278" w:rsidRPr="00C36922" w:rsidRDefault="00852278" w:rsidP="0042660C">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89685433" w:history="1">
            <w:r w:rsidRPr="00C36922">
              <w:rPr>
                <w:rStyle w:val="Hipervnculo"/>
                <w:noProof/>
              </w:rPr>
              <w:t>SEGUNDO. Causales de improcedencia</w:t>
            </w:r>
            <w:r w:rsidRPr="00C36922">
              <w:rPr>
                <w:noProof/>
                <w:webHidden/>
              </w:rPr>
              <w:tab/>
            </w:r>
            <w:r w:rsidRPr="00C36922">
              <w:rPr>
                <w:noProof/>
                <w:webHidden/>
              </w:rPr>
              <w:fldChar w:fldCharType="begin"/>
            </w:r>
            <w:r w:rsidRPr="00C36922">
              <w:rPr>
                <w:noProof/>
                <w:webHidden/>
              </w:rPr>
              <w:instrText xml:space="preserve"> PAGEREF _Toc189685433 \h </w:instrText>
            </w:r>
            <w:r w:rsidRPr="00C36922">
              <w:rPr>
                <w:noProof/>
                <w:webHidden/>
              </w:rPr>
            </w:r>
            <w:r w:rsidRPr="00C36922">
              <w:rPr>
                <w:noProof/>
                <w:webHidden/>
              </w:rPr>
              <w:fldChar w:fldCharType="separate"/>
            </w:r>
            <w:r w:rsidR="00912FCD">
              <w:rPr>
                <w:noProof/>
                <w:webHidden/>
              </w:rPr>
              <w:t>6</w:t>
            </w:r>
            <w:r w:rsidRPr="00C36922">
              <w:rPr>
                <w:noProof/>
                <w:webHidden/>
              </w:rPr>
              <w:fldChar w:fldCharType="end"/>
            </w:r>
          </w:hyperlink>
        </w:p>
        <w:p w14:paraId="587D5504" w14:textId="20AE8874" w:rsidR="00852278" w:rsidRPr="00C36922" w:rsidRDefault="00852278" w:rsidP="0042660C">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89685434" w:history="1">
            <w:r w:rsidRPr="00C36922">
              <w:rPr>
                <w:rStyle w:val="Hipervnculo"/>
                <w:noProof/>
              </w:rPr>
              <w:t>TERCERO. Causales de sobreseimiento</w:t>
            </w:r>
            <w:r w:rsidRPr="00C36922">
              <w:rPr>
                <w:noProof/>
                <w:webHidden/>
              </w:rPr>
              <w:tab/>
            </w:r>
            <w:r w:rsidRPr="00C36922">
              <w:rPr>
                <w:noProof/>
                <w:webHidden/>
              </w:rPr>
              <w:fldChar w:fldCharType="begin"/>
            </w:r>
            <w:r w:rsidRPr="00C36922">
              <w:rPr>
                <w:noProof/>
                <w:webHidden/>
              </w:rPr>
              <w:instrText xml:space="preserve"> PAGEREF _Toc189685434 \h </w:instrText>
            </w:r>
            <w:r w:rsidRPr="00C36922">
              <w:rPr>
                <w:noProof/>
                <w:webHidden/>
              </w:rPr>
            </w:r>
            <w:r w:rsidRPr="00C36922">
              <w:rPr>
                <w:noProof/>
                <w:webHidden/>
              </w:rPr>
              <w:fldChar w:fldCharType="separate"/>
            </w:r>
            <w:r w:rsidR="00912FCD">
              <w:rPr>
                <w:noProof/>
                <w:webHidden/>
              </w:rPr>
              <w:t>7</w:t>
            </w:r>
            <w:r w:rsidRPr="00C36922">
              <w:rPr>
                <w:noProof/>
                <w:webHidden/>
              </w:rPr>
              <w:fldChar w:fldCharType="end"/>
            </w:r>
          </w:hyperlink>
        </w:p>
        <w:p w14:paraId="5B334FCC" w14:textId="31ECBA3A" w:rsidR="00852278" w:rsidRPr="00C36922" w:rsidRDefault="00852278" w:rsidP="0042660C">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89685435" w:history="1">
            <w:r w:rsidRPr="00C36922">
              <w:rPr>
                <w:rStyle w:val="Hipervnculo"/>
                <w:noProof/>
                <w:lang w:val="es-ES"/>
              </w:rPr>
              <w:t>CUARTO. Decisión</w:t>
            </w:r>
            <w:r w:rsidRPr="00C36922">
              <w:rPr>
                <w:noProof/>
                <w:webHidden/>
              </w:rPr>
              <w:tab/>
            </w:r>
            <w:r w:rsidRPr="00C36922">
              <w:rPr>
                <w:noProof/>
                <w:webHidden/>
              </w:rPr>
              <w:fldChar w:fldCharType="begin"/>
            </w:r>
            <w:r w:rsidRPr="00C36922">
              <w:rPr>
                <w:noProof/>
                <w:webHidden/>
              </w:rPr>
              <w:instrText xml:space="preserve"> PAGEREF _Toc189685435 \h </w:instrText>
            </w:r>
            <w:r w:rsidRPr="00C36922">
              <w:rPr>
                <w:noProof/>
                <w:webHidden/>
              </w:rPr>
            </w:r>
            <w:r w:rsidRPr="00C36922">
              <w:rPr>
                <w:noProof/>
                <w:webHidden/>
              </w:rPr>
              <w:fldChar w:fldCharType="separate"/>
            </w:r>
            <w:r w:rsidR="00912FCD">
              <w:rPr>
                <w:noProof/>
                <w:webHidden/>
              </w:rPr>
              <w:t>14</w:t>
            </w:r>
            <w:r w:rsidRPr="00C36922">
              <w:rPr>
                <w:noProof/>
                <w:webHidden/>
              </w:rPr>
              <w:fldChar w:fldCharType="end"/>
            </w:r>
          </w:hyperlink>
        </w:p>
        <w:p w14:paraId="5A891AAD" w14:textId="2C44F110" w:rsidR="00852278" w:rsidRPr="00C36922" w:rsidRDefault="00852278" w:rsidP="0042660C">
          <w:pPr>
            <w:pStyle w:val="TDC1"/>
            <w:rPr>
              <w:rFonts w:asciiTheme="minorHAnsi" w:eastAsiaTheme="minorEastAsia" w:hAnsiTheme="minorHAnsi"/>
              <w:color w:val="auto"/>
              <w:kern w:val="2"/>
              <w:sz w:val="24"/>
              <w:szCs w:val="24"/>
              <w:lang w:eastAsia="es-MX"/>
              <w14:ligatures w14:val="standardContextual"/>
            </w:rPr>
          </w:pPr>
          <w:hyperlink w:anchor="_Toc189685436" w:history="1">
            <w:r w:rsidRPr="00C36922">
              <w:rPr>
                <w:rStyle w:val="Hipervnculo"/>
                <w:b w:val="0"/>
                <w:bCs w:val="0"/>
              </w:rPr>
              <w:t>R E S U E L V E</w:t>
            </w:r>
            <w:r w:rsidRPr="00C36922">
              <w:rPr>
                <w:webHidden/>
              </w:rPr>
              <w:tab/>
            </w:r>
            <w:r w:rsidRPr="00C36922">
              <w:rPr>
                <w:webHidden/>
              </w:rPr>
              <w:fldChar w:fldCharType="begin"/>
            </w:r>
            <w:r w:rsidRPr="00C36922">
              <w:rPr>
                <w:webHidden/>
              </w:rPr>
              <w:instrText xml:space="preserve"> PAGEREF _Toc189685436 \h </w:instrText>
            </w:r>
            <w:r w:rsidRPr="00C36922">
              <w:rPr>
                <w:webHidden/>
              </w:rPr>
            </w:r>
            <w:r w:rsidRPr="00C36922">
              <w:rPr>
                <w:webHidden/>
              </w:rPr>
              <w:fldChar w:fldCharType="separate"/>
            </w:r>
            <w:r w:rsidR="00912FCD">
              <w:rPr>
                <w:webHidden/>
              </w:rPr>
              <w:t>14</w:t>
            </w:r>
            <w:r w:rsidRPr="00C36922">
              <w:rPr>
                <w:webHidden/>
              </w:rPr>
              <w:fldChar w:fldCharType="end"/>
            </w:r>
          </w:hyperlink>
        </w:p>
        <w:p w14:paraId="7B207831" w14:textId="58D14952" w:rsidR="00E4527E" w:rsidRPr="00C36922" w:rsidRDefault="00E4527E" w:rsidP="00AE7429">
          <w:pPr>
            <w:spacing w:after="0" w:line="360" w:lineRule="auto"/>
          </w:pPr>
          <w:r w:rsidRPr="00C36922">
            <w:rPr>
              <w:b/>
              <w:bCs/>
              <w:lang w:val="es-ES"/>
            </w:rPr>
            <w:fldChar w:fldCharType="end"/>
          </w:r>
        </w:p>
      </w:sdtContent>
    </w:sdt>
    <w:p w14:paraId="0BB38FEE" w14:textId="77777777" w:rsidR="00F11814" w:rsidRPr="00C36922" w:rsidRDefault="00F11814" w:rsidP="00AE7429">
      <w:pPr>
        <w:tabs>
          <w:tab w:val="left" w:pos="8931"/>
        </w:tabs>
        <w:spacing w:after="0" w:line="360" w:lineRule="auto"/>
        <w:rPr>
          <w:rFonts w:cs="Tahoma"/>
          <w:b/>
        </w:rPr>
      </w:pPr>
    </w:p>
    <w:p w14:paraId="1A75407E" w14:textId="77777777" w:rsidR="00F11814" w:rsidRPr="00C36922" w:rsidRDefault="00F11814" w:rsidP="00AE7429">
      <w:pPr>
        <w:tabs>
          <w:tab w:val="left" w:pos="8931"/>
        </w:tabs>
        <w:spacing w:after="0" w:line="360" w:lineRule="auto"/>
        <w:rPr>
          <w:rFonts w:cs="Tahoma"/>
          <w:b/>
        </w:rPr>
      </w:pPr>
    </w:p>
    <w:p w14:paraId="3DDCEB54" w14:textId="77777777" w:rsidR="00F11814" w:rsidRPr="00C36922" w:rsidRDefault="00F11814" w:rsidP="00AE7429">
      <w:pPr>
        <w:tabs>
          <w:tab w:val="left" w:pos="8931"/>
        </w:tabs>
        <w:spacing w:after="0" w:line="360" w:lineRule="auto"/>
        <w:rPr>
          <w:rFonts w:cs="Tahoma"/>
          <w:b/>
        </w:rPr>
      </w:pPr>
    </w:p>
    <w:p w14:paraId="39D7B425" w14:textId="77777777" w:rsidR="00F11814" w:rsidRPr="00C36922" w:rsidRDefault="00F11814" w:rsidP="00AE7429">
      <w:pPr>
        <w:tabs>
          <w:tab w:val="left" w:pos="8931"/>
        </w:tabs>
        <w:spacing w:after="0" w:line="360" w:lineRule="auto"/>
        <w:rPr>
          <w:rFonts w:cs="Tahoma"/>
          <w:b/>
        </w:rPr>
      </w:pPr>
    </w:p>
    <w:p w14:paraId="23BF4CEA" w14:textId="77777777" w:rsidR="00F11814" w:rsidRPr="00C36922" w:rsidRDefault="00F11814" w:rsidP="00AE7429">
      <w:pPr>
        <w:tabs>
          <w:tab w:val="left" w:pos="8931"/>
        </w:tabs>
        <w:spacing w:after="0" w:line="360" w:lineRule="auto"/>
        <w:rPr>
          <w:rFonts w:cs="Tahoma"/>
          <w:b/>
        </w:rPr>
      </w:pPr>
    </w:p>
    <w:p w14:paraId="156FA93C" w14:textId="77777777" w:rsidR="00F11814" w:rsidRPr="00C36922" w:rsidRDefault="00F11814" w:rsidP="00AE7429">
      <w:pPr>
        <w:tabs>
          <w:tab w:val="left" w:pos="8931"/>
        </w:tabs>
        <w:spacing w:after="0" w:line="360" w:lineRule="auto"/>
        <w:rPr>
          <w:rFonts w:cs="Tahoma"/>
          <w:b/>
        </w:rPr>
      </w:pPr>
    </w:p>
    <w:p w14:paraId="088F2BFF" w14:textId="77777777" w:rsidR="00F11814" w:rsidRPr="00C36922" w:rsidRDefault="00F11814" w:rsidP="00AE7429">
      <w:pPr>
        <w:tabs>
          <w:tab w:val="left" w:pos="8931"/>
        </w:tabs>
        <w:spacing w:after="0" w:line="360" w:lineRule="auto"/>
        <w:rPr>
          <w:rFonts w:cs="Tahoma"/>
          <w:b/>
        </w:rPr>
      </w:pPr>
    </w:p>
    <w:p w14:paraId="0E484E9F" w14:textId="77777777" w:rsidR="00F11814" w:rsidRPr="00C36922" w:rsidRDefault="00F11814" w:rsidP="00AE7429">
      <w:pPr>
        <w:tabs>
          <w:tab w:val="left" w:pos="8931"/>
        </w:tabs>
        <w:spacing w:after="0" w:line="360" w:lineRule="auto"/>
        <w:rPr>
          <w:rFonts w:cs="Tahoma"/>
          <w:b/>
        </w:rPr>
      </w:pPr>
    </w:p>
    <w:p w14:paraId="6EBF2E06" w14:textId="77777777" w:rsidR="00BF373E" w:rsidRPr="00C36922" w:rsidRDefault="00BF373E" w:rsidP="00AE7429">
      <w:pPr>
        <w:tabs>
          <w:tab w:val="left" w:pos="8931"/>
        </w:tabs>
        <w:spacing w:after="0" w:line="360" w:lineRule="auto"/>
        <w:rPr>
          <w:rFonts w:cs="Tahoma"/>
          <w:bCs/>
        </w:rPr>
      </w:pPr>
    </w:p>
    <w:p w14:paraId="4B05BD9E" w14:textId="77777777" w:rsidR="002A17EC" w:rsidRPr="00C36922" w:rsidRDefault="002A17EC" w:rsidP="00AE7429">
      <w:pPr>
        <w:tabs>
          <w:tab w:val="left" w:pos="8931"/>
        </w:tabs>
        <w:spacing w:after="0" w:line="360" w:lineRule="auto"/>
        <w:rPr>
          <w:rFonts w:cs="Tahoma"/>
          <w:bCs/>
        </w:rPr>
      </w:pPr>
    </w:p>
    <w:p w14:paraId="63E834DF" w14:textId="50EE0FE7" w:rsidR="00EC77D9" w:rsidRPr="00C36922" w:rsidRDefault="00EC77D9" w:rsidP="00AE7429">
      <w:pPr>
        <w:tabs>
          <w:tab w:val="left" w:pos="8931"/>
        </w:tabs>
        <w:spacing w:after="0" w:line="360" w:lineRule="auto"/>
        <w:rPr>
          <w:rFonts w:eastAsia="Calibri" w:cs="Tahoma"/>
          <w:lang w:val="es-ES"/>
        </w:rPr>
      </w:pPr>
      <w:r w:rsidRPr="00C36922">
        <w:rPr>
          <w:rFonts w:cs="Tahoma"/>
          <w:bCs/>
        </w:rPr>
        <w:t xml:space="preserve">Resolución del Pleno del Instituto de Transparencia, Acceso a la Información Pública y Protección de Datos Personales del Estado de México y Municipios, con domicilio en Metepec, </w:t>
      </w:r>
      <w:r w:rsidRPr="00C36922">
        <w:rPr>
          <w:rFonts w:eastAsia="Calibri" w:cs="Tahoma"/>
          <w:lang w:val="es-ES"/>
        </w:rPr>
        <w:t xml:space="preserve">Estado de México, de fecha </w:t>
      </w:r>
      <w:r w:rsidR="00E4527E" w:rsidRPr="00C36922">
        <w:rPr>
          <w:rFonts w:eastAsia="Calibri" w:cs="Tahoma"/>
          <w:lang w:val="es-ES"/>
        </w:rPr>
        <w:t>d</w:t>
      </w:r>
      <w:r w:rsidR="002A17EC" w:rsidRPr="00C36922">
        <w:rPr>
          <w:rFonts w:eastAsia="Calibri" w:cs="Tahoma"/>
          <w:lang w:val="es-ES"/>
        </w:rPr>
        <w:t>iecinueve</w:t>
      </w:r>
      <w:r w:rsidR="00E4527E" w:rsidRPr="00C36922">
        <w:rPr>
          <w:rFonts w:eastAsia="Calibri" w:cs="Tahoma"/>
          <w:lang w:val="es-ES"/>
        </w:rPr>
        <w:t xml:space="preserve"> de febrero</w:t>
      </w:r>
      <w:r w:rsidRPr="00C36922">
        <w:rPr>
          <w:rFonts w:eastAsia="Calibri" w:cs="Tahoma"/>
          <w:lang w:val="es-ES"/>
        </w:rPr>
        <w:t xml:space="preserve"> de dos mil veint</w:t>
      </w:r>
      <w:r w:rsidR="001E478B" w:rsidRPr="00C36922">
        <w:rPr>
          <w:rFonts w:eastAsia="Calibri" w:cs="Tahoma"/>
          <w:lang w:val="es-ES"/>
        </w:rPr>
        <w:t>i</w:t>
      </w:r>
      <w:r w:rsidR="00DB31D6" w:rsidRPr="00C36922">
        <w:rPr>
          <w:rFonts w:eastAsia="Calibri" w:cs="Tahoma"/>
          <w:lang w:val="es-ES"/>
        </w:rPr>
        <w:t>c</w:t>
      </w:r>
      <w:r w:rsidR="003D261A" w:rsidRPr="00C36922">
        <w:rPr>
          <w:rFonts w:eastAsia="Calibri" w:cs="Tahoma"/>
          <w:lang w:val="es-ES"/>
        </w:rPr>
        <w:t>inco</w:t>
      </w:r>
      <w:r w:rsidRPr="00C36922">
        <w:rPr>
          <w:rFonts w:eastAsia="Calibri" w:cs="Tahoma"/>
          <w:lang w:val="es-ES"/>
        </w:rPr>
        <w:t xml:space="preserve">. </w:t>
      </w:r>
    </w:p>
    <w:p w14:paraId="5E4128C6" w14:textId="77777777" w:rsidR="00EC77D9" w:rsidRPr="00C36922" w:rsidRDefault="00EC77D9" w:rsidP="00AE7429">
      <w:pPr>
        <w:spacing w:after="0" w:line="360" w:lineRule="auto"/>
        <w:rPr>
          <w:rFonts w:eastAsia="Calibri" w:cs="Tahoma"/>
          <w:b/>
          <w:bCs/>
          <w:lang w:val="es-ES"/>
        </w:rPr>
      </w:pPr>
    </w:p>
    <w:p w14:paraId="04C62500" w14:textId="227CCCED" w:rsidR="00EC77D9" w:rsidRPr="00C36922" w:rsidRDefault="00EC77D9" w:rsidP="00AE7429">
      <w:pPr>
        <w:spacing w:after="0" w:line="360" w:lineRule="auto"/>
        <w:rPr>
          <w:rFonts w:cs="Tahoma"/>
          <w:color w:val="0D0D0D" w:themeColor="text1" w:themeTint="F2"/>
        </w:rPr>
      </w:pPr>
      <w:r w:rsidRPr="00C36922">
        <w:rPr>
          <w:rFonts w:eastAsia="Calibri" w:cs="Tahoma"/>
          <w:b/>
          <w:bCs/>
          <w:lang w:val="es-ES"/>
        </w:rPr>
        <w:t xml:space="preserve">VISTO </w:t>
      </w:r>
      <w:r w:rsidRPr="00C36922">
        <w:rPr>
          <w:rFonts w:eastAsia="Calibri" w:cs="Tahoma"/>
          <w:lang w:val="es-ES"/>
        </w:rPr>
        <w:t xml:space="preserve">el expediente conformado con motivo del Recurso de Revisión </w:t>
      </w:r>
      <w:bookmarkStart w:id="0" w:name="_Hlk168055842"/>
      <w:r w:rsidR="00C67EF9" w:rsidRPr="00B67281">
        <w:rPr>
          <w:rFonts w:eastAsia="Calibri" w:cs="Tahoma"/>
          <w:b/>
        </w:rPr>
        <w:t>0</w:t>
      </w:r>
      <w:r w:rsidR="00E4527E" w:rsidRPr="00B67281">
        <w:rPr>
          <w:rFonts w:eastAsia="Calibri" w:cs="Tahoma"/>
          <w:b/>
        </w:rPr>
        <w:t>0346</w:t>
      </w:r>
      <w:r w:rsidR="00C67EF9" w:rsidRPr="00B67281">
        <w:rPr>
          <w:rFonts w:eastAsia="Calibri" w:cs="Tahoma"/>
          <w:b/>
        </w:rPr>
        <w:t>/INFOEM/IP/RR/202</w:t>
      </w:r>
      <w:bookmarkEnd w:id="0"/>
      <w:r w:rsidR="00E4527E" w:rsidRPr="00B67281">
        <w:rPr>
          <w:rFonts w:eastAsia="Calibri" w:cs="Tahoma"/>
          <w:b/>
        </w:rPr>
        <w:t>5</w:t>
      </w:r>
      <w:r w:rsidRPr="00B67281">
        <w:rPr>
          <w:rFonts w:eastAsia="Calibri" w:cs="Tahoma"/>
          <w:b/>
        </w:rPr>
        <w:t>,</w:t>
      </w:r>
      <w:r w:rsidRPr="00C36922">
        <w:rPr>
          <w:rFonts w:eastAsia="Calibri" w:cs="Tahoma"/>
        </w:rPr>
        <w:t xml:space="preserve"> interpuesto</w:t>
      </w:r>
      <w:r w:rsidR="00780B8A" w:rsidRPr="00C36922">
        <w:rPr>
          <w:rFonts w:eastAsia="Calibri" w:cs="Tahoma"/>
        </w:rPr>
        <w:t xml:space="preserve"> po</w:t>
      </w:r>
      <w:r w:rsidR="006B71D7" w:rsidRPr="00C36922">
        <w:rPr>
          <w:rFonts w:eastAsia="Calibri" w:cs="Tahoma"/>
        </w:rPr>
        <w:t>r</w:t>
      </w:r>
      <w:r w:rsidR="00E4527E" w:rsidRPr="00C36922">
        <w:rPr>
          <w:rFonts w:eastAsia="Calibri" w:cs="Tahoma"/>
        </w:rPr>
        <w:t xml:space="preserve"> </w:t>
      </w:r>
      <w:r w:rsidR="008756E9" w:rsidRPr="008756E9">
        <w:rPr>
          <w:rFonts w:eastAsia="Calibri" w:cs="Tahoma"/>
          <w:highlight w:val="black"/>
        </w:rPr>
        <w:t>XXXXXXXXXXXXXXXXX</w:t>
      </w:r>
      <w:r w:rsidR="00E4527E" w:rsidRPr="00C36922">
        <w:rPr>
          <w:rFonts w:eastAsia="Calibri" w:cs="Tahoma"/>
        </w:rPr>
        <w:t>, en lo sucesivo,</w:t>
      </w:r>
      <w:r w:rsidR="008F14AD" w:rsidRPr="00C36922">
        <w:rPr>
          <w:rFonts w:eastAsia="Calibri" w:cs="Tahoma"/>
        </w:rPr>
        <w:t xml:space="preserve"> </w:t>
      </w:r>
      <w:r w:rsidR="00C67EF9" w:rsidRPr="00C36922">
        <w:rPr>
          <w:rFonts w:eastAsia="Calibri" w:cs="Tahoma"/>
        </w:rPr>
        <w:t>la persona</w:t>
      </w:r>
      <w:r w:rsidRPr="00C36922">
        <w:rPr>
          <w:rFonts w:cs="Tahoma"/>
          <w:color w:val="0D0D0D" w:themeColor="text1" w:themeTint="F2"/>
        </w:rPr>
        <w:t xml:space="preserve"> Recurrente o Particular, en contra</w:t>
      </w:r>
      <w:r w:rsidR="00C67EF9" w:rsidRPr="00C36922">
        <w:rPr>
          <w:rFonts w:cs="Tahoma"/>
          <w:color w:val="0D0D0D" w:themeColor="text1" w:themeTint="F2"/>
        </w:rPr>
        <w:t xml:space="preserve"> </w:t>
      </w:r>
      <w:r w:rsidRPr="00C36922">
        <w:rPr>
          <w:rFonts w:cs="Tahoma"/>
          <w:color w:val="0D0D0D" w:themeColor="text1" w:themeTint="F2"/>
        </w:rPr>
        <w:t xml:space="preserve">de </w:t>
      </w:r>
      <w:r w:rsidR="00C67EF9" w:rsidRPr="00C36922">
        <w:rPr>
          <w:rFonts w:cs="Tahoma"/>
          <w:color w:val="0D0D0D" w:themeColor="text1" w:themeTint="F2"/>
        </w:rPr>
        <w:t xml:space="preserve">la </w:t>
      </w:r>
      <w:r w:rsidRPr="00C36922">
        <w:rPr>
          <w:rFonts w:cs="Tahoma"/>
          <w:color w:val="0D0D0D" w:themeColor="text1" w:themeTint="F2"/>
        </w:rPr>
        <w:t xml:space="preserve">respuesta del Sujeto Obligado, </w:t>
      </w:r>
      <w:r w:rsidR="00AE7429" w:rsidRPr="00B67281">
        <w:rPr>
          <w:b/>
        </w:rPr>
        <w:t>Organismo Público Descentralizado para la Prestación de los Servicios de Agua Potable Alcantarillado y Saneamiento del Municipio de Tlalnepantla de Baz</w:t>
      </w:r>
      <w:r w:rsidRPr="00B67281">
        <w:rPr>
          <w:rFonts w:cs="Tahoma"/>
          <w:b/>
          <w:color w:val="0D0D0D" w:themeColor="text1" w:themeTint="F2"/>
        </w:rPr>
        <w:t>,</w:t>
      </w:r>
      <w:r w:rsidRPr="00C36922">
        <w:rPr>
          <w:rFonts w:cs="Tahoma"/>
          <w:color w:val="0D0D0D" w:themeColor="text1" w:themeTint="F2"/>
        </w:rPr>
        <w:t xml:space="preserve"> a la solicitud de acceso a la información pública</w:t>
      </w:r>
      <w:r w:rsidRPr="00C36922">
        <w:rPr>
          <w:b/>
          <w:bCs/>
          <w:color w:val="FF0000"/>
        </w:rPr>
        <w:t> </w:t>
      </w:r>
      <w:bookmarkStart w:id="1" w:name="_Hlk168055894"/>
      <w:r w:rsidR="00C67EF9" w:rsidRPr="00C36922">
        <w:t>00</w:t>
      </w:r>
      <w:r w:rsidR="00E4527E" w:rsidRPr="00C36922">
        <w:t>030</w:t>
      </w:r>
      <w:r w:rsidR="00C67EF9" w:rsidRPr="00C36922">
        <w:t>/</w:t>
      </w:r>
      <w:r w:rsidR="00E4527E" w:rsidRPr="00C36922">
        <w:t>OASTLALNE</w:t>
      </w:r>
      <w:r w:rsidR="00C67EF9" w:rsidRPr="00C36922">
        <w:t>/IP/202</w:t>
      </w:r>
      <w:bookmarkEnd w:id="1"/>
      <w:r w:rsidR="00E4527E" w:rsidRPr="00C36922">
        <w:t>5</w:t>
      </w:r>
      <w:r w:rsidRPr="00C36922">
        <w:rPr>
          <w:rFonts w:cs="Tahoma"/>
          <w:iCs/>
          <w:color w:val="0D0D0D" w:themeColor="text1" w:themeTint="F2"/>
        </w:rPr>
        <w:t>,</w:t>
      </w:r>
      <w:r w:rsidRPr="00C36922">
        <w:rPr>
          <w:rFonts w:cs="Tahoma"/>
          <w:color w:val="0D0D0D" w:themeColor="text1" w:themeTint="F2"/>
        </w:rPr>
        <w:t xml:space="preserve"> se emite</w:t>
      </w:r>
      <w:r w:rsidRPr="00C36922">
        <w:rPr>
          <w:rFonts w:cs="Tahoma"/>
          <w:bCs/>
          <w:color w:val="0D0D0D" w:themeColor="text1" w:themeTint="F2"/>
        </w:rPr>
        <w:t xml:space="preserve"> la presente Resolución, con base en los Antecedentes y Considerandos que se exponen a continuación:</w:t>
      </w:r>
    </w:p>
    <w:p w14:paraId="40862826" w14:textId="77777777" w:rsidR="00EC77D9" w:rsidRPr="00C36922" w:rsidRDefault="00EC77D9" w:rsidP="00AE7429">
      <w:pPr>
        <w:spacing w:after="0" w:line="360" w:lineRule="auto"/>
        <w:rPr>
          <w:rFonts w:eastAsia="Calibri" w:cs="Tahoma"/>
          <w:b/>
          <w:bCs/>
          <w:lang w:val="es-ES"/>
        </w:rPr>
      </w:pPr>
    </w:p>
    <w:p w14:paraId="75BF07A7" w14:textId="64229D8F" w:rsidR="00EC77D9" w:rsidRPr="00C36922" w:rsidRDefault="00EC77D9" w:rsidP="00AE7429">
      <w:pPr>
        <w:pStyle w:val="Ttulo1"/>
        <w:spacing w:before="0" w:line="360" w:lineRule="auto"/>
        <w:jc w:val="center"/>
        <w:rPr>
          <w:rFonts w:ascii="Palatino Linotype" w:eastAsia="Calibri" w:hAnsi="Palatino Linotype"/>
          <w:b/>
          <w:bCs/>
          <w:color w:val="auto"/>
          <w:sz w:val="22"/>
          <w:szCs w:val="22"/>
          <w:lang w:val="es-ES"/>
        </w:rPr>
      </w:pPr>
      <w:bookmarkStart w:id="2" w:name="_Toc189685426"/>
      <w:r w:rsidRPr="00C36922">
        <w:rPr>
          <w:rFonts w:ascii="Palatino Linotype" w:eastAsia="Calibri" w:hAnsi="Palatino Linotype"/>
          <w:b/>
          <w:bCs/>
          <w:color w:val="auto"/>
          <w:sz w:val="22"/>
          <w:szCs w:val="22"/>
          <w:lang w:val="es-ES"/>
        </w:rPr>
        <w:t>A N T E C E D E N T E S</w:t>
      </w:r>
      <w:bookmarkEnd w:id="2"/>
    </w:p>
    <w:p w14:paraId="3C95874E" w14:textId="77777777" w:rsidR="00EC77D9" w:rsidRPr="00C36922" w:rsidRDefault="00EC77D9" w:rsidP="00AE7429">
      <w:pPr>
        <w:spacing w:after="0" w:line="360" w:lineRule="auto"/>
        <w:rPr>
          <w:lang w:val="es-ES"/>
        </w:rPr>
      </w:pPr>
    </w:p>
    <w:p w14:paraId="4F749C11" w14:textId="1F037475" w:rsidR="00EC77D9" w:rsidRPr="00C36922" w:rsidRDefault="00EC77D9" w:rsidP="00AE7429">
      <w:pPr>
        <w:pStyle w:val="Ttulo2"/>
        <w:spacing w:before="0" w:line="360" w:lineRule="auto"/>
        <w:rPr>
          <w:rFonts w:ascii="Palatino Linotype" w:eastAsia="Calibri" w:hAnsi="Palatino Linotype"/>
          <w:b/>
          <w:bCs/>
          <w:color w:val="auto"/>
          <w:sz w:val="22"/>
          <w:szCs w:val="22"/>
          <w:lang w:val="es-ES"/>
        </w:rPr>
      </w:pPr>
      <w:bookmarkStart w:id="3" w:name="_Toc189685427"/>
      <w:r w:rsidRPr="00C36922">
        <w:rPr>
          <w:rFonts w:ascii="Palatino Linotype" w:eastAsia="Calibri" w:hAnsi="Palatino Linotype"/>
          <w:b/>
          <w:bCs/>
          <w:color w:val="auto"/>
          <w:sz w:val="22"/>
          <w:szCs w:val="22"/>
          <w:lang w:val="es-ES"/>
        </w:rPr>
        <w:t>I. Presentación de la solicitud de información</w:t>
      </w:r>
      <w:bookmarkEnd w:id="3"/>
    </w:p>
    <w:p w14:paraId="2856D2CB" w14:textId="77777777" w:rsidR="000F08D4" w:rsidRPr="00C36922" w:rsidRDefault="000F08D4" w:rsidP="00AE7429">
      <w:pPr>
        <w:spacing w:after="0" w:line="360" w:lineRule="auto"/>
        <w:rPr>
          <w:rFonts w:cs="Tahoma"/>
        </w:rPr>
      </w:pPr>
    </w:p>
    <w:p w14:paraId="46A55CEB" w14:textId="4A563E2B" w:rsidR="00D17D14" w:rsidRPr="00C36922" w:rsidRDefault="00EA79A8" w:rsidP="00AE7429">
      <w:pPr>
        <w:spacing w:after="0" w:line="360" w:lineRule="auto"/>
        <w:rPr>
          <w:rFonts w:cs="Tahoma"/>
        </w:rPr>
      </w:pPr>
      <w:r w:rsidRPr="00C36922">
        <w:rPr>
          <w:rFonts w:eastAsia="Calibri" w:cs="Tahoma"/>
        </w:rPr>
        <w:t>El</w:t>
      </w:r>
      <w:r w:rsidR="000F08D4" w:rsidRPr="00C36922">
        <w:rPr>
          <w:rFonts w:eastAsia="Calibri" w:cs="Tahoma"/>
          <w:lang w:val="es-ES"/>
        </w:rPr>
        <w:t xml:space="preserve"> </w:t>
      </w:r>
      <w:r w:rsidR="0031460E" w:rsidRPr="00C36922">
        <w:rPr>
          <w:rFonts w:eastAsia="Calibri" w:cs="Tahoma"/>
          <w:lang w:val="es-ES"/>
        </w:rPr>
        <w:t>vein</w:t>
      </w:r>
      <w:r w:rsidR="003D261A" w:rsidRPr="00C36922">
        <w:rPr>
          <w:rFonts w:eastAsia="Calibri" w:cs="Tahoma"/>
          <w:lang w:val="es-ES"/>
        </w:rPr>
        <w:t>ti</w:t>
      </w:r>
      <w:r w:rsidR="00E4527E" w:rsidRPr="00C36922">
        <w:rPr>
          <w:rFonts w:eastAsia="Calibri" w:cs="Tahoma"/>
          <w:lang w:val="es-ES"/>
        </w:rPr>
        <w:t>uno de enero de dos mil veinticinco</w:t>
      </w:r>
      <w:r w:rsidR="000F08D4" w:rsidRPr="00C36922">
        <w:rPr>
          <w:rFonts w:eastAsia="Calibri" w:cs="Tahoma"/>
          <w:lang w:val="es-ES"/>
        </w:rPr>
        <w:t xml:space="preserve">, se presentó una solicitud de información </w:t>
      </w:r>
      <w:r w:rsidR="009C1D2E" w:rsidRPr="00C36922">
        <w:rPr>
          <w:rFonts w:eastAsia="Calibri" w:cs="Tahoma"/>
          <w:lang w:val="es-ES"/>
        </w:rPr>
        <w:t>por la persona Recurrente</w:t>
      </w:r>
      <w:r w:rsidR="000F08D4" w:rsidRPr="00C36922">
        <w:rPr>
          <w:rFonts w:eastAsia="Calibri" w:cs="Tahoma"/>
          <w:lang w:val="es-ES"/>
        </w:rPr>
        <w:t>, a través del Sistema de Acceso a la Información Mexiquense (SAIMEX),</w:t>
      </w:r>
      <w:r w:rsidR="000F08D4" w:rsidRPr="00C36922">
        <w:rPr>
          <w:rFonts w:eastAsia="Calibri" w:cs="Times New Roman"/>
          <w:b/>
          <w:bCs/>
        </w:rPr>
        <w:t xml:space="preserve"> </w:t>
      </w:r>
      <w:r w:rsidR="000F08D4" w:rsidRPr="00C36922">
        <w:rPr>
          <w:rFonts w:eastAsia="Calibri" w:cs="Tahoma"/>
          <w:lang w:val="es-ES"/>
        </w:rPr>
        <w:t>ante</w:t>
      </w:r>
      <w:r w:rsidR="0031460E" w:rsidRPr="00C36922">
        <w:rPr>
          <w:rFonts w:eastAsia="Calibri" w:cs="Tahoma"/>
          <w:lang w:val="es-ES"/>
        </w:rPr>
        <w:t xml:space="preserve"> </w:t>
      </w:r>
      <w:r w:rsidR="003D261A" w:rsidRPr="00C36922">
        <w:rPr>
          <w:rFonts w:eastAsia="Calibri" w:cs="Tahoma"/>
          <w:lang w:val="es-ES"/>
        </w:rPr>
        <w:t xml:space="preserve">el </w:t>
      </w:r>
      <w:r w:rsidR="00AE7429" w:rsidRPr="00C36922">
        <w:t>Organismo Público Descentralizado para la Prestación de los Servicios de Agua Potable Alcantarillado y Saneamiento del Municipio de Tlalnepantla de Baz</w:t>
      </w:r>
      <w:r w:rsidR="000F08D4" w:rsidRPr="00C36922">
        <w:rPr>
          <w:rFonts w:eastAsia="Calibri" w:cs="Tahoma"/>
        </w:rPr>
        <w:t xml:space="preserve">, </w:t>
      </w:r>
      <w:r w:rsidR="000F08D4" w:rsidRPr="00C36922">
        <w:rPr>
          <w:rFonts w:cs="Tahoma"/>
        </w:rPr>
        <w:t xml:space="preserve">en los </w:t>
      </w:r>
      <w:r w:rsidR="008F14AD" w:rsidRPr="00C36922">
        <w:rPr>
          <w:rFonts w:cs="Tahoma"/>
        </w:rPr>
        <w:t>términos siguientes:</w:t>
      </w:r>
    </w:p>
    <w:p w14:paraId="50EA853A" w14:textId="77777777" w:rsidR="00D17D14" w:rsidRPr="00C36922" w:rsidRDefault="00D17D14" w:rsidP="00AE7429">
      <w:pPr>
        <w:spacing w:after="0" w:line="360" w:lineRule="auto"/>
        <w:rPr>
          <w:rFonts w:cs="Tahoma"/>
        </w:rPr>
      </w:pPr>
    </w:p>
    <w:p w14:paraId="3C749962" w14:textId="3B95A4BE" w:rsidR="00EC77D9" w:rsidRPr="00C36922" w:rsidRDefault="00D635FC" w:rsidP="00AE7429">
      <w:pPr>
        <w:tabs>
          <w:tab w:val="left" w:pos="4667"/>
        </w:tabs>
        <w:spacing w:after="0" w:line="360" w:lineRule="auto"/>
        <w:ind w:left="567" w:right="567"/>
        <w:rPr>
          <w:rFonts w:cs="Tahoma"/>
          <w:b/>
          <w:bCs/>
          <w:i/>
          <w:sz w:val="20"/>
          <w:szCs w:val="20"/>
        </w:rPr>
      </w:pPr>
      <w:r w:rsidRPr="00C36922">
        <w:rPr>
          <w:rFonts w:cs="Tahoma"/>
          <w:b/>
          <w:bCs/>
          <w:i/>
          <w:sz w:val="20"/>
          <w:szCs w:val="20"/>
        </w:rPr>
        <w:t>“</w:t>
      </w:r>
      <w:r w:rsidR="00EC77D9" w:rsidRPr="00C36922">
        <w:rPr>
          <w:rFonts w:cs="Tahoma"/>
          <w:b/>
          <w:bCs/>
          <w:i/>
          <w:sz w:val="20"/>
          <w:szCs w:val="20"/>
        </w:rPr>
        <w:t>DESCRIPCIÓN CLARA Y PRECISA DE LA INFORMACIÓN SOLICITADA</w:t>
      </w:r>
    </w:p>
    <w:p w14:paraId="58218D87" w14:textId="6EB166E2" w:rsidR="00E90E82" w:rsidRPr="00C36922" w:rsidRDefault="00DE3F14" w:rsidP="00AE7429">
      <w:pPr>
        <w:spacing w:after="0" w:line="360" w:lineRule="auto"/>
        <w:ind w:left="567" w:right="567"/>
        <w:rPr>
          <w:rFonts w:cs="Tahoma"/>
          <w:bCs/>
          <w:i/>
          <w:iCs/>
          <w:sz w:val="20"/>
          <w:szCs w:val="20"/>
        </w:rPr>
      </w:pPr>
      <w:r w:rsidRPr="00C36922">
        <w:rPr>
          <w:rFonts w:cs="Tahoma"/>
          <w:bCs/>
          <w:i/>
          <w:iCs/>
          <w:sz w:val="20"/>
          <w:szCs w:val="20"/>
        </w:rPr>
        <w:t>Solicito en versión publica las obras publicas que se tienen programadas para este 2025</w:t>
      </w:r>
      <w:r w:rsidR="006B71D7" w:rsidRPr="00C36922">
        <w:rPr>
          <w:rFonts w:cs="Tahoma"/>
          <w:bCs/>
          <w:i/>
          <w:iCs/>
          <w:sz w:val="20"/>
          <w:szCs w:val="20"/>
        </w:rPr>
        <w:t>”</w:t>
      </w:r>
      <w:r w:rsidRPr="00C36922">
        <w:rPr>
          <w:rFonts w:cs="Tahoma"/>
          <w:bCs/>
          <w:i/>
          <w:iCs/>
          <w:sz w:val="20"/>
          <w:szCs w:val="20"/>
        </w:rPr>
        <w:t xml:space="preserve"> (Sic.)</w:t>
      </w:r>
    </w:p>
    <w:p w14:paraId="1DC2419D" w14:textId="77777777" w:rsidR="00FD6103" w:rsidRPr="00C36922" w:rsidRDefault="00FD6103" w:rsidP="00AE7429">
      <w:pPr>
        <w:spacing w:after="0" w:line="360" w:lineRule="auto"/>
        <w:ind w:left="567" w:right="567"/>
        <w:rPr>
          <w:i/>
          <w:iCs/>
          <w:color w:val="000000"/>
          <w:sz w:val="20"/>
          <w:szCs w:val="20"/>
        </w:rPr>
      </w:pPr>
    </w:p>
    <w:p w14:paraId="672D7CA3" w14:textId="02E6901B" w:rsidR="00993524" w:rsidRPr="00C36922" w:rsidRDefault="00D635FC" w:rsidP="00AE7429">
      <w:pPr>
        <w:tabs>
          <w:tab w:val="left" w:pos="4667"/>
        </w:tabs>
        <w:spacing w:after="0" w:line="360" w:lineRule="auto"/>
        <w:ind w:left="567" w:right="567"/>
        <w:rPr>
          <w:rFonts w:eastAsia="Times New Roman" w:cs="Tahoma"/>
          <w:b/>
          <w:bCs/>
          <w:i/>
          <w:iCs/>
          <w:color w:val="auto"/>
          <w:sz w:val="20"/>
          <w:szCs w:val="20"/>
          <w:lang w:eastAsia="es-ES"/>
        </w:rPr>
      </w:pPr>
      <w:bookmarkStart w:id="4" w:name="_Hlk168055945"/>
      <w:r w:rsidRPr="00C36922">
        <w:rPr>
          <w:rFonts w:eastAsia="Times New Roman" w:cs="Tahoma"/>
          <w:b/>
          <w:bCs/>
          <w:i/>
          <w:iCs/>
          <w:color w:val="auto"/>
          <w:sz w:val="20"/>
          <w:szCs w:val="20"/>
          <w:lang w:eastAsia="es-ES"/>
        </w:rPr>
        <w:t>“</w:t>
      </w:r>
      <w:r w:rsidR="00EC77D9" w:rsidRPr="00C36922">
        <w:rPr>
          <w:rFonts w:eastAsia="Times New Roman" w:cs="Tahoma"/>
          <w:b/>
          <w:bCs/>
          <w:i/>
          <w:iCs/>
          <w:color w:val="auto"/>
          <w:sz w:val="20"/>
          <w:szCs w:val="20"/>
          <w:lang w:eastAsia="es-ES"/>
        </w:rPr>
        <w:t>MODALIDAD DE ENTREGA</w:t>
      </w:r>
    </w:p>
    <w:p w14:paraId="7ABF991B" w14:textId="100E1A1F" w:rsidR="00C67EF9" w:rsidRPr="00C36922" w:rsidRDefault="00EC77D9" w:rsidP="00AE7429">
      <w:pPr>
        <w:tabs>
          <w:tab w:val="left" w:pos="4667"/>
        </w:tabs>
        <w:spacing w:after="0" w:line="360" w:lineRule="auto"/>
        <w:ind w:left="567" w:right="567"/>
        <w:rPr>
          <w:rFonts w:eastAsia="Times New Roman" w:cs="Arial"/>
          <w:bCs/>
          <w:i/>
          <w:iCs/>
          <w:color w:val="auto"/>
          <w:sz w:val="20"/>
          <w:szCs w:val="20"/>
          <w:lang w:eastAsia="es-ES"/>
        </w:rPr>
      </w:pPr>
      <w:r w:rsidRPr="00C36922">
        <w:rPr>
          <w:rFonts w:eastAsia="Times New Roman" w:cs="Arial"/>
          <w:bCs/>
          <w:i/>
          <w:iCs/>
          <w:color w:val="auto"/>
          <w:sz w:val="20"/>
          <w:szCs w:val="20"/>
          <w:lang w:eastAsia="es-ES"/>
        </w:rPr>
        <w:t>A través del SAIMEX</w:t>
      </w:r>
      <w:bookmarkEnd w:id="4"/>
      <w:r w:rsidR="00D35EF9" w:rsidRPr="00C36922">
        <w:rPr>
          <w:rFonts w:eastAsia="Times New Roman" w:cs="Arial"/>
          <w:bCs/>
          <w:i/>
          <w:iCs/>
          <w:color w:val="auto"/>
          <w:sz w:val="20"/>
          <w:szCs w:val="20"/>
          <w:lang w:eastAsia="es-ES"/>
        </w:rPr>
        <w:t>”</w:t>
      </w:r>
    </w:p>
    <w:p w14:paraId="4F321C8A" w14:textId="77777777" w:rsidR="003D261A" w:rsidRPr="00C36922" w:rsidRDefault="003D261A" w:rsidP="00AE7429">
      <w:pPr>
        <w:tabs>
          <w:tab w:val="left" w:pos="4667"/>
        </w:tabs>
        <w:spacing w:after="0" w:line="360" w:lineRule="auto"/>
        <w:ind w:right="567"/>
        <w:rPr>
          <w:rFonts w:eastAsia="Times New Roman" w:cs="Tahoma"/>
          <w:b/>
          <w:bCs/>
          <w:color w:val="auto"/>
          <w:szCs w:val="24"/>
          <w:lang w:eastAsia="es-ES"/>
        </w:rPr>
      </w:pPr>
    </w:p>
    <w:p w14:paraId="34F9ADE6" w14:textId="42F86B1D" w:rsidR="001756F2" w:rsidRPr="00C36922" w:rsidRDefault="001756F2" w:rsidP="00AE7429">
      <w:pPr>
        <w:pStyle w:val="Ttulo2"/>
        <w:spacing w:before="0" w:line="360" w:lineRule="auto"/>
        <w:rPr>
          <w:rFonts w:ascii="Palatino Linotype" w:eastAsia="Times New Roman" w:hAnsi="Palatino Linotype"/>
          <w:b/>
          <w:bCs/>
          <w:color w:val="auto"/>
          <w:sz w:val="22"/>
          <w:szCs w:val="22"/>
          <w:lang w:eastAsia="es-ES"/>
        </w:rPr>
      </w:pPr>
      <w:bookmarkStart w:id="5" w:name="_Toc189685428"/>
      <w:r w:rsidRPr="00C36922">
        <w:rPr>
          <w:rFonts w:ascii="Palatino Linotype" w:eastAsia="Times New Roman" w:hAnsi="Palatino Linotype"/>
          <w:b/>
          <w:bCs/>
          <w:color w:val="auto"/>
          <w:sz w:val="22"/>
          <w:szCs w:val="22"/>
          <w:lang w:eastAsia="es-ES"/>
        </w:rPr>
        <w:t>I</w:t>
      </w:r>
      <w:r w:rsidR="00265193" w:rsidRPr="00C36922">
        <w:rPr>
          <w:rFonts w:ascii="Palatino Linotype" w:eastAsia="Times New Roman" w:hAnsi="Palatino Linotype"/>
          <w:b/>
          <w:bCs/>
          <w:color w:val="auto"/>
          <w:sz w:val="22"/>
          <w:szCs w:val="22"/>
          <w:lang w:eastAsia="es-ES"/>
        </w:rPr>
        <w:t>I</w:t>
      </w:r>
      <w:r w:rsidRPr="00C36922">
        <w:rPr>
          <w:rFonts w:ascii="Palatino Linotype" w:eastAsia="Times New Roman" w:hAnsi="Palatino Linotype"/>
          <w:b/>
          <w:bCs/>
          <w:color w:val="auto"/>
          <w:sz w:val="22"/>
          <w:szCs w:val="22"/>
          <w:lang w:eastAsia="es-ES"/>
        </w:rPr>
        <w:t>. Respuesta del Sujeto Obligado</w:t>
      </w:r>
      <w:bookmarkEnd w:id="5"/>
    </w:p>
    <w:p w14:paraId="748F9C73" w14:textId="77777777" w:rsidR="004B786D" w:rsidRPr="00C36922" w:rsidRDefault="004B786D" w:rsidP="00AE7429">
      <w:pPr>
        <w:tabs>
          <w:tab w:val="left" w:pos="4667"/>
        </w:tabs>
        <w:spacing w:after="0" w:line="360" w:lineRule="auto"/>
        <w:ind w:right="567"/>
        <w:rPr>
          <w:rFonts w:eastAsia="Times New Roman" w:cs="Tahoma"/>
          <w:b/>
          <w:bCs/>
          <w:color w:val="auto"/>
          <w:szCs w:val="24"/>
          <w:lang w:eastAsia="es-ES"/>
        </w:rPr>
      </w:pPr>
    </w:p>
    <w:p w14:paraId="2577590C" w14:textId="069D3FF5" w:rsidR="00DE3F14" w:rsidRPr="00C36922" w:rsidRDefault="00E6783D" w:rsidP="00FD6103">
      <w:pPr>
        <w:autoSpaceDE w:val="0"/>
        <w:autoSpaceDN w:val="0"/>
        <w:adjustRightInd w:val="0"/>
        <w:spacing w:after="0" w:line="360" w:lineRule="auto"/>
        <w:contextualSpacing/>
        <w:rPr>
          <w:rFonts w:eastAsia="Times New Roman" w:cs="Tahoma"/>
          <w:color w:val="auto"/>
          <w:lang w:eastAsia="es-ES"/>
        </w:rPr>
      </w:pPr>
      <w:bookmarkStart w:id="6" w:name="_Hlk170906280"/>
      <w:r w:rsidRPr="00C36922">
        <w:rPr>
          <w:rFonts w:eastAsia="Calibri" w:cs="Tahoma"/>
          <w:color w:val="000000"/>
        </w:rPr>
        <w:t>El</w:t>
      </w:r>
      <w:r w:rsidR="00DE3F14" w:rsidRPr="00C36922">
        <w:rPr>
          <w:rFonts w:eastAsia="Calibri" w:cs="Tahoma"/>
          <w:color w:val="000000"/>
        </w:rPr>
        <w:t xml:space="preserve"> veintiocho de enero de dos mil veinticinco</w:t>
      </w:r>
      <w:r w:rsidRPr="00C36922">
        <w:rPr>
          <w:rFonts w:eastAsia="Calibri" w:cs="Tahoma"/>
          <w:color w:val="000000"/>
        </w:rPr>
        <w:t xml:space="preserve">, el Sujeto Obligado notificó al Particular, mediante el </w:t>
      </w:r>
      <w:r w:rsidRPr="00C36922">
        <w:rPr>
          <w:rFonts w:eastAsia="Times New Roman" w:cs="Tahoma"/>
          <w:color w:val="auto"/>
          <w:lang w:eastAsia="es-ES"/>
        </w:rPr>
        <w:t xml:space="preserve">Sistema de Acceso a la Información Mexiquense (SAIMEX), la respuesta a la solicitud de acceso a la información, </w:t>
      </w:r>
      <w:r w:rsidR="001C21EE" w:rsidRPr="00C36922">
        <w:rPr>
          <w:rFonts w:eastAsia="Times New Roman" w:cs="Tahoma"/>
          <w:color w:val="auto"/>
          <w:lang w:eastAsia="es-ES"/>
        </w:rPr>
        <w:t xml:space="preserve">a través </w:t>
      </w:r>
      <w:r w:rsidR="00FD6103" w:rsidRPr="00C36922">
        <w:rPr>
          <w:rFonts w:eastAsia="Times New Roman" w:cs="Tahoma"/>
          <w:color w:val="auto"/>
          <w:lang w:eastAsia="es-ES"/>
        </w:rPr>
        <w:t>del o</w:t>
      </w:r>
      <w:r w:rsidR="006B71D7" w:rsidRPr="00C36922">
        <w:rPr>
          <w:rFonts w:eastAsia="Times New Roman" w:cs="Tahoma"/>
          <w:color w:val="auto"/>
          <w:lang w:eastAsia="es-ES"/>
        </w:rPr>
        <w:t xml:space="preserve">ficio </w:t>
      </w:r>
      <w:r w:rsidR="00C04DDC" w:rsidRPr="00C36922">
        <w:rPr>
          <w:rFonts w:eastAsia="Times New Roman" w:cs="Tahoma"/>
          <w:color w:val="auto"/>
          <w:lang w:eastAsia="es-ES"/>
        </w:rPr>
        <w:t xml:space="preserve">número </w:t>
      </w:r>
      <w:r w:rsidR="00DE3F14" w:rsidRPr="00C36922">
        <w:rPr>
          <w:rFonts w:eastAsia="Times New Roman" w:cs="Tahoma"/>
          <w:color w:val="auto"/>
          <w:lang w:eastAsia="es-ES"/>
        </w:rPr>
        <w:t>OPDM/M/DC-058/2025, del veintitrés de enero de dos mil veinticinco, suscrito por el Director de Construcción y dirigido al Titular de la Unidad de Transparencia, por medio del cual mencionó lo siguientes:</w:t>
      </w:r>
    </w:p>
    <w:p w14:paraId="4DEB2E04" w14:textId="77777777" w:rsidR="00DE3F14" w:rsidRPr="00C36922" w:rsidRDefault="00DE3F14" w:rsidP="00AE7429">
      <w:pPr>
        <w:autoSpaceDE w:val="0"/>
        <w:autoSpaceDN w:val="0"/>
        <w:adjustRightInd w:val="0"/>
        <w:spacing w:after="0" w:line="360" w:lineRule="auto"/>
        <w:contextualSpacing/>
        <w:rPr>
          <w:rFonts w:eastAsia="Times New Roman" w:cs="Tahoma"/>
          <w:color w:val="auto"/>
          <w:lang w:eastAsia="es-ES"/>
        </w:rPr>
      </w:pPr>
    </w:p>
    <w:p w14:paraId="0CE0E87C" w14:textId="548B0D70" w:rsidR="00DE3F14" w:rsidRPr="00C36922" w:rsidRDefault="00DE3F14" w:rsidP="00FD6103">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C36922">
        <w:rPr>
          <w:rFonts w:eastAsia="Times New Roman" w:cs="Tahoma"/>
          <w:i/>
          <w:iCs/>
          <w:color w:val="auto"/>
          <w:sz w:val="20"/>
          <w:szCs w:val="20"/>
          <w:lang w:eastAsia="es-ES"/>
        </w:rPr>
        <w:t xml:space="preserve">“…Al respecto, el informo que se realizó una búsqueda exhaustiva y razonable, en los archivos de la Dirección de Construcción y las Áreas Administrativas a su cargo, </w:t>
      </w:r>
      <w:r w:rsidR="003F5C2C" w:rsidRPr="00C36922">
        <w:rPr>
          <w:rFonts w:eastAsia="Times New Roman" w:cs="Tahoma"/>
          <w:i/>
          <w:iCs/>
          <w:color w:val="auto"/>
          <w:sz w:val="20"/>
          <w:szCs w:val="20"/>
          <w:lang w:eastAsia="es-ES"/>
        </w:rPr>
        <w:t>de la que se desprende que se localizó el Proyecto de Programa Anual de Obra 2025, mismo que se anexa de manera digital al presente.</w:t>
      </w:r>
    </w:p>
    <w:p w14:paraId="190D2C54" w14:textId="53629E54" w:rsidR="003F5C2C" w:rsidRPr="00C36922" w:rsidRDefault="003F5C2C" w:rsidP="00FD6103">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C36922">
        <w:rPr>
          <w:rFonts w:eastAsia="Times New Roman" w:cs="Tahoma"/>
          <w:i/>
          <w:iCs/>
          <w:color w:val="auto"/>
          <w:sz w:val="20"/>
          <w:szCs w:val="20"/>
          <w:lang w:eastAsia="es-ES"/>
        </w:rPr>
        <w:t>…”</w:t>
      </w:r>
    </w:p>
    <w:bookmarkEnd w:id="6"/>
    <w:p w14:paraId="45E18F9C" w14:textId="77777777" w:rsidR="00500370" w:rsidRPr="00C36922" w:rsidRDefault="00500370" w:rsidP="00AE7429">
      <w:pPr>
        <w:autoSpaceDE w:val="0"/>
        <w:autoSpaceDN w:val="0"/>
        <w:adjustRightInd w:val="0"/>
        <w:spacing w:after="0" w:line="360" w:lineRule="auto"/>
        <w:rPr>
          <w:rFonts w:eastAsia="Calibri" w:cs="Tahoma"/>
          <w:color w:val="000000"/>
          <w:lang w:val="es-ES"/>
        </w:rPr>
      </w:pPr>
    </w:p>
    <w:p w14:paraId="511DCD43" w14:textId="523904F7" w:rsidR="00AB26EC" w:rsidRPr="00C36922" w:rsidRDefault="00FD6103" w:rsidP="00AE7429">
      <w:pPr>
        <w:autoSpaceDE w:val="0"/>
        <w:autoSpaceDN w:val="0"/>
        <w:adjustRightInd w:val="0"/>
        <w:spacing w:after="0" w:line="360" w:lineRule="auto"/>
        <w:rPr>
          <w:rFonts w:eastAsia="Calibri" w:cs="Tahoma"/>
          <w:color w:val="000000"/>
          <w:lang w:val="es-ES"/>
        </w:rPr>
      </w:pPr>
      <w:r w:rsidRPr="00C36922">
        <w:rPr>
          <w:rFonts w:eastAsia="Calibri" w:cs="Tahoma"/>
          <w:color w:val="000000"/>
          <w:lang w:val="es-ES"/>
        </w:rPr>
        <w:t xml:space="preserve">Asimismo, adjuntó la digitalización del </w:t>
      </w:r>
      <w:r w:rsidR="003F5C2C" w:rsidRPr="00C36922">
        <w:rPr>
          <w:rFonts w:eastAsia="Calibri" w:cs="Tahoma"/>
          <w:color w:val="000000"/>
          <w:lang w:val="es-ES"/>
        </w:rPr>
        <w:t>Programa Anual de Obras del primero de enero al treinta y uno de diciembre de dos mil veinticinco.</w:t>
      </w:r>
    </w:p>
    <w:p w14:paraId="6ED09562" w14:textId="77777777" w:rsidR="00AB26EC" w:rsidRPr="00C36922" w:rsidRDefault="00AB26EC" w:rsidP="00AE7429">
      <w:pPr>
        <w:autoSpaceDE w:val="0"/>
        <w:autoSpaceDN w:val="0"/>
        <w:adjustRightInd w:val="0"/>
        <w:spacing w:after="0" w:line="360" w:lineRule="auto"/>
        <w:rPr>
          <w:rFonts w:eastAsia="Calibri" w:cs="Tahoma"/>
          <w:color w:val="000000"/>
          <w:lang w:val="es-ES"/>
        </w:rPr>
      </w:pPr>
    </w:p>
    <w:p w14:paraId="56912486" w14:textId="78468F16" w:rsidR="00EC77D9" w:rsidRPr="00C36922" w:rsidRDefault="00EC77D9" w:rsidP="00AE7429">
      <w:pPr>
        <w:pStyle w:val="Ttulo2"/>
        <w:spacing w:before="0" w:line="360" w:lineRule="auto"/>
        <w:rPr>
          <w:rFonts w:ascii="Palatino Linotype" w:eastAsia="Calibri" w:hAnsi="Palatino Linotype"/>
          <w:b/>
          <w:bCs/>
          <w:color w:val="auto"/>
          <w:sz w:val="22"/>
          <w:szCs w:val="22"/>
        </w:rPr>
      </w:pPr>
      <w:bookmarkStart w:id="7" w:name="_Toc189685429"/>
      <w:r w:rsidRPr="00C36922">
        <w:rPr>
          <w:rFonts w:ascii="Palatino Linotype" w:eastAsia="Calibri" w:hAnsi="Palatino Linotype"/>
          <w:b/>
          <w:bCs/>
          <w:color w:val="auto"/>
          <w:sz w:val="22"/>
          <w:szCs w:val="22"/>
        </w:rPr>
        <w:t>I</w:t>
      </w:r>
      <w:r w:rsidR="0031460E" w:rsidRPr="00C36922">
        <w:rPr>
          <w:rFonts w:ascii="Palatino Linotype" w:eastAsia="Calibri" w:hAnsi="Palatino Linotype"/>
          <w:b/>
          <w:bCs/>
          <w:color w:val="auto"/>
          <w:sz w:val="22"/>
          <w:szCs w:val="22"/>
        </w:rPr>
        <w:t>II</w:t>
      </w:r>
      <w:r w:rsidRPr="00C36922">
        <w:rPr>
          <w:rFonts w:ascii="Palatino Linotype" w:eastAsia="Calibri" w:hAnsi="Palatino Linotype"/>
          <w:b/>
          <w:bCs/>
          <w:color w:val="auto"/>
          <w:sz w:val="22"/>
          <w:szCs w:val="22"/>
        </w:rPr>
        <w:t>. Interposición del Recurso de Revisión</w:t>
      </w:r>
      <w:bookmarkEnd w:id="7"/>
    </w:p>
    <w:p w14:paraId="2CFEE979" w14:textId="77777777" w:rsidR="00FD6103" w:rsidRPr="00C36922" w:rsidRDefault="00FD6103" w:rsidP="00AE7429">
      <w:pPr>
        <w:spacing w:after="0" w:line="360" w:lineRule="auto"/>
        <w:rPr>
          <w:rFonts w:eastAsia="Times New Roman" w:cs="Tahoma"/>
          <w:bCs/>
          <w:color w:val="auto"/>
          <w:lang w:eastAsia="es-ES"/>
        </w:rPr>
      </w:pPr>
    </w:p>
    <w:p w14:paraId="24595562" w14:textId="75D91C21" w:rsidR="00EC77D9" w:rsidRPr="00C36922" w:rsidRDefault="00F1768D" w:rsidP="00AE7429">
      <w:pPr>
        <w:spacing w:after="0" w:line="360" w:lineRule="auto"/>
        <w:rPr>
          <w:rFonts w:eastAsia="Times New Roman" w:cs="Tahoma"/>
          <w:bCs/>
          <w:color w:val="auto"/>
          <w:lang w:eastAsia="es-ES"/>
        </w:rPr>
      </w:pPr>
      <w:r w:rsidRPr="00C36922">
        <w:rPr>
          <w:rFonts w:eastAsia="Times New Roman" w:cs="Tahoma"/>
          <w:bCs/>
          <w:color w:val="auto"/>
          <w:lang w:val="es-ES" w:eastAsia="es-ES"/>
        </w:rPr>
        <w:t xml:space="preserve">El </w:t>
      </w:r>
      <w:r w:rsidR="00566F9F" w:rsidRPr="00C36922">
        <w:rPr>
          <w:rFonts w:eastAsia="Times New Roman" w:cs="Tahoma"/>
          <w:bCs/>
          <w:color w:val="auto"/>
          <w:lang w:val="es-ES" w:eastAsia="es-ES"/>
        </w:rPr>
        <w:t>treinta de enero de dos mil veinticinco</w:t>
      </w:r>
      <w:r w:rsidR="00EE6AAF" w:rsidRPr="00C36922">
        <w:rPr>
          <w:rFonts w:eastAsia="Times New Roman" w:cs="Tahoma"/>
          <w:bCs/>
          <w:color w:val="auto"/>
          <w:lang w:val="es-ES" w:eastAsia="es-ES"/>
        </w:rPr>
        <w:t xml:space="preserve">, </w:t>
      </w:r>
      <w:r w:rsidR="00EE6AAF" w:rsidRPr="00C36922">
        <w:rPr>
          <w:rFonts w:eastAsia="Times New Roman" w:cs="Tahoma"/>
          <w:bCs/>
          <w:color w:val="auto"/>
          <w:lang w:eastAsia="es-ES"/>
        </w:rPr>
        <w:t xml:space="preserve">se recibió en este Instituto, a través del </w:t>
      </w:r>
      <w:r w:rsidR="00EE6AAF" w:rsidRPr="00C36922">
        <w:rPr>
          <w:rFonts w:eastAsia="Times New Roman" w:cs="Tahoma"/>
          <w:bCs/>
          <w:color w:val="auto"/>
          <w:lang w:val="es-ES" w:eastAsia="es-ES"/>
        </w:rPr>
        <w:t>Sistema de Acceso a la Información Mexiquense (SAIMEX)</w:t>
      </w:r>
      <w:r w:rsidR="00EE6AAF" w:rsidRPr="00C36922">
        <w:rPr>
          <w:rFonts w:eastAsia="Times New Roman" w:cs="Tahoma"/>
          <w:bCs/>
          <w:color w:val="auto"/>
          <w:lang w:eastAsia="es-ES"/>
        </w:rPr>
        <w:t>, el Recurso de Revisión interpuesto por la p</w:t>
      </w:r>
      <w:r w:rsidR="00D55E2F" w:rsidRPr="00C36922">
        <w:rPr>
          <w:rFonts w:eastAsia="Times New Roman" w:cs="Tahoma"/>
          <w:bCs/>
          <w:color w:val="auto"/>
          <w:lang w:eastAsia="es-ES"/>
        </w:rPr>
        <w:t>ersona</w:t>
      </w:r>
      <w:r w:rsidR="00EE6AAF" w:rsidRPr="00C36922">
        <w:rPr>
          <w:rFonts w:eastAsia="Times New Roman" w:cs="Tahoma"/>
          <w:bCs/>
          <w:color w:val="auto"/>
          <w:lang w:eastAsia="es-ES"/>
        </w:rPr>
        <w:t xml:space="preserve"> Recurrente, en contra</w:t>
      </w:r>
      <w:r w:rsidR="0068447E" w:rsidRPr="00C36922">
        <w:rPr>
          <w:rFonts w:eastAsia="Times New Roman" w:cs="Tahoma"/>
          <w:bCs/>
          <w:color w:val="auto"/>
          <w:lang w:eastAsia="es-ES"/>
        </w:rPr>
        <w:t xml:space="preserve"> </w:t>
      </w:r>
      <w:r w:rsidR="00EE6AAF" w:rsidRPr="00C36922">
        <w:rPr>
          <w:rFonts w:eastAsia="Times New Roman" w:cs="Tahoma"/>
          <w:bCs/>
          <w:color w:val="auto"/>
          <w:lang w:eastAsia="es-ES"/>
        </w:rPr>
        <w:t>de</w:t>
      </w:r>
      <w:r w:rsidR="0068447E" w:rsidRPr="00C36922">
        <w:rPr>
          <w:rFonts w:eastAsia="Times New Roman" w:cs="Tahoma"/>
          <w:bCs/>
          <w:color w:val="auto"/>
          <w:lang w:eastAsia="es-ES"/>
        </w:rPr>
        <w:t xml:space="preserve"> la</w:t>
      </w:r>
      <w:r w:rsidR="00EE6AAF" w:rsidRPr="00C36922">
        <w:rPr>
          <w:rFonts w:eastAsia="Times New Roman" w:cs="Tahoma"/>
          <w:bCs/>
          <w:color w:val="auto"/>
          <w:lang w:eastAsia="es-ES"/>
        </w:rPr>
        <w:t xml:space="preserve"> respuesta del Sujeto Obligado</w:t>
      </w:r>
      <w:r w:rsidR="00670893" w:rsidRPr="00C36922">
        <w:rPr>
          <w:rFonts w:eastAsia="Times New Roman" w:cs="Tahoma"/>
          <w:bCs/>
          <w:color w:val="auto"/>
          <w:lang w:eastAsia="es-ES"/>
        </w:rPr>
        <w:t>,</w:t>
      </w:r>
      <w:r w:rsidR="00EE6AAF" w:rsidRPr="00C36922">
        <w:rPr>
          <w:rFonts w:eastAsia="Calibri" w:cs="Times New Roman"/>
          <w:b/>
          <w:bCs/>
        </w:rPr>
        <w:t xml:space="preserve"> </w:t>
      </w:r>
      <w:r w:rsidR="00EE6AAF" w:rsidRPr="00C36922">
        <w:rPr>
          <w:rFonts w:eastAsia="Times New Roman" w:cs="Tahoma"/>
          <w:bCs/>
          <w:color w:val="auto"/>
          <w:lang w:eastAsia="es-ES"/>
        </w:rPr>
        <w:t>en los siguientes términos:</w:t>
      </w:r>
    </w:p>
    <w:p w14:paraId="6E6C98B4" w14:textId="77777777" w:rsidR="00EE6AAF" w:rsidRPr="00C36922" w:rsidRDefault="00EE6AAF" w:rsidP="00AE7429">
      <w:pPr>
        <w:spacing w:after="0" w:line="360" w:lineRule="auto"/>
        <w:rPr>
          <w:rFonts w:eastAsia="Times New Roman" w:cs="Tahoma"/>
          <w:bCs/>
          <w:color w:val="auto"/>
          <w:lang w:eastAsia="es-ES"/>
        </w:rPr>
      </w:pPr>
    </w:p>
    <w:p w14:paraId="122D4953" w14:textId="53AD726C" w:rsidR="00EC77D9" w:rsidRPr="00C36922" w:rsidRDefault="00EC77D9" w:rsidP="00AE7429">
      <w:pPr>
        <w:spacing w:after="0" w:line="360" w:lineRule="auto"/>
        <w:ind w:left="567" w:right="567"/>
        <w:rPr>
          <w:rFonts w:eastAsia="Times New Roman" w:cs="Tahoma"/>
          <w:b/>
          <w:bCs/>
          <w:i/>
          <w:color w:val="auto"/>
          <w:sz w:val="20"/>
          <w:szCs w:val="20"/>
          <w:lang w:eastAsia="es-ES"/>
        </w:rPr>
      </w:pPr>
      <w:r w:rsidRPr="00C36922">
        <w:rPr>
          <w:rFonts w:eastAsia="Times New Roman" w:cs="Tahoma"/>
          <w:b/>
          <w:bCs/>
          <w:i/>
          <w:color w:val="auto"/>
          <w:sz w:val="20"/>
          <w:szCs w:val="20"/>
          <w:lang w:eastAsia="es-ES"/>
        </w:rPr>
        <w:t>ACTO IMPUGNADO</w:t>
      </w:r>
    </w:p>
    <w:p w14:paraId="5CCEB8EC" w14:textId="565D3C2A" w:rsidR="00EC77D9" w:rsidRPr="00C36922" w:rsidRDefault="00566F9F" w:rsidP="00AE7429">
      <w:pPr>
        <w:spacing w:after="0" w:line="360" w:lineRule="auto"/>
        <w:ind w:left="567" w:right="567"/>
        <w:rPr>
          <w:i/>
          <w:iCs/>
          <w:color w:val="000000"/>
          <w:sz w:val="20"/>
          <w:szCs w:val="20"/>
        </w:rPr>
      </w:pPr>
      <w:r w:rsidRPr="00C36922">
        <w:rPr>
          <w:i/>
          <w:iCs/>
          <w:color w:val="000000"/>
          <w:sz w:val="20"/>
          <w:szCs w:val="20"/>
        </w:rPr>
        <w:t>la información que proporciona no se visualiza claramente</w:t>
      </w:r>
      <w:r w:rsidR="0024218A" w:rsidRPr="00C36922">
        <w:rPr>
          <w:i/>
          <w:iCs/>
          <w:color w:val="000000"/>
          <w:sz w:val="20"/>
          <w:szCs w:val="20"/>
        </w:rPr>
        <w:t xml:space="preserve">” </w:t>
      </w:r>
      <w:r w:rsidRPr="00C36922">
        <w:rPr>
          <w:i/>
          <w:iCs/>
          <w:color w:val="000000"/>
          <w:sz w:val="20"/>
          <w:szCs w:val="20"/>
        </w:rPr>
        <w:t>(Sic.)</w:t>
      </w:r>
    </w:p>
    <w:p w14:paraId="55C87C9D" w14:textId="77777777" w:rsidR="0024218A" w:rsidRPr="00C36922" w:rsidRDefault="0024218A" w:rsidP="00AE7429">
      <w:pPr>
        <w:spacing w:after="0" w:line="360" w:lineRule="auto"/>
        <w:ind w:left="567" w:right="567"/>
        <w:rPr>
          <w:rFonts w:eastAsia="Times New Roman" w:cs="Tahoma"/>
          <w:bCs/>
          <w:i/>
          <w:color w:val="auto"/>
          <w:sz w:val="20"/>
          <w:szCs w:val="20"/>
          <w:lang w:eastAsia="es-ES"/>
        </w:rPr>
      </w:pPr>
    </w:p>
    <w:p w14:paraId="01991E43" w14:textId="083793C6" w:rsidR="00EC77D9" w:rsidRPr="00C36922" w:rsidRDefault="00EC77D9" w:rsidP="00AE7429">
      <w:pPr>
        <w:spacing w:after="0" w:line="360" w:lineRule="auto"/>
        <w:ind w:left="567" w:right="567"/>
        <w:rPr>
          <w:rFonts w:eastAsia="Times New Roman" w:cs="Tahoma"/>
          <w:b/>
          <w:bCs/>
          <w:i/>
          <w:color w:val="auto"/>
          <w:sz w:val="20"/>
          <w:szCs w:val="20"/>
          <w:lang w:eastAsia="es-ES"/>
        </w:rPr>
      </w:pPr>
      <w:r w:rsidRPr="00C36922">
        <w:rPr>
          <w:rFonts w:eastAsia="Times New Roman" w:cs="Tahoma"/>
          <w:b/>
          <w:bCs/>
          <w:i/>
          <w:color w:val="auto"/>
          <w:sz w:val="20"/>
          <w:szCs w:val="20"/>
          <w:lang w:eastAsia="es-ES"/>
        </w:rPr>
        <w:t>RAZONES O MOTIVOS DE LA INCONFORMIDAD</w:t>
      </w:r>
    </w:p>
    <w:p w14:paraId="6A2AB2B9" w14:textId="5D9A332B" w:rsidR="00EC77D9" w:rsidRPr="00C36922" w:rsidRDefault="00566F9F" w:rsidP="00AE7429">
      <w:pPr>
        <w:spacing w:after="0" w:line="360" w:lineRule="auto"/>
        <w:ind w:left="567" w:right="567"/>
        <w:rPr>
          <w:rFonts w:eastAsia="Times New Roman" w:cs="Tahoma"/>
          <w:bCs/>
          <w:i/>
          <w:color w:val="auto"/>
          <w:sz w:val="20"/>
          <w:szCs w:val="20"/>
          <w:lang w:eastAsia="es-ES"/>
        </w:rPr>
      </w:pPr>
      <w:r w:rsidRPr="00C36922">
        <w:rPr>
          <w:i/>
          <w:color w:val="000000"/>
          <w:sz w:val="20"/>
          <w:szCs w:val="20"/>
        </w:rPr>
        <w:t>las hojas que anexa de las obras a realizar 2025 no se pyueden leer conc claridad estan borrosas y tienen poca claridad</w:t>
      </w:r>
      <w:r w:rsidR="00EC77D9" w:rsidRPr="00C36922">
        <w:rPr>
          <w:i/>
          <w:color w:val="000000"/>
          <w:sz w:val="20"/>
          <w:szCs w:val="20"/>
        </w:rPr>
        <w:t>”</w:t>
      </w:r>
      <w:r w:rsidRPr="00C36922">
        <w:rPr>
          <w:i/>
          <w:color w:val="000000"/>
          <w:sz w:val="20"/>
          <w:szCs w:val="20"/>
        </w:rPr>
        <w:t xml:space="preserve"> (Sic.) </w:t>
      </w:r>
      <w:r w:rsidR="0024218A" w:rsidRPr="00C36922">
        <w:rPr>
          <w:i/>
          <w:color w:val="000000"/>
          <w:sz w:val="20"/>
          <w:szCs w:val="20"/>
        </w:rPr>
        <w:t xml:space="preserve"> </w:t>
      </w:r>
    </w:p>
    <w:p w14:paraId="417EBFB0" w14:textId="77777777" w:rsidR="00943C49" w:rsidRPr="00C36922" w:rsidRDefault="00943C49" w:rsidP="00AE7429">
      <w:pPr>
        <w:spacing w:after="0" w:line="360" w:lineRule="auto"/>
        <w:rPr>
          <w:rFonts w:eastAsia="Calibri" w:cs="Tahoma"/>
          <w:b/>
          <w:color w:val="000000"/>
        </w:rPr>
      </w:pPr>
    </w:p>
    <w:p w14:paraId="32EBD4AE" w14:textId="45EC4018" w:rsidR="00EC77D9" w:rsidRPr="00C36922" w:rsidRDefault="0031460E" w:rsidP="00AE7429">
      <w:pPr>
        <w:pStyle w:val="Ttulo2"/>
        <w:spacing w:before="0" w:line="360" w:lineRule="auto"/>
        <w:rPr>
          <w:rFonts w:ascii="Palatino Linotype" w:eastAsia="Batang" w:hAnsi="Palatino Linotype"/>
          <w:b/>
          <w:bCs/>
          <w:color w:val="auto"/>
          <w:sz w:val="22"/>
          <w:szCs w:val="22"/>
        </w:rPr>
      </w:pPr>
      <w:bookmarkStart w:id="8" w:name="_Toc189685430"/>
      <w:r w:rsidRPr="00C36922">
        <w:rPr>
          <w:rFonts w:ascii="Palatino Linotype" w:eastAsia="Calibri" w:hAnsi="Palatino Linotype"/>
          <w:b/>
          <w:bCs/>
          <w:color w:val="auto"/>
          <w:sz w:val="22"/>
          <w:szCs w:val="22"/>
        </w:rPr>
        <w:t>I</w:t>
      </w:r>
      <w:r w:rsidR="00EC77D9" w:rsidRPr="00C36922">
        <w:rPr>
          <w:rFonts w:ascii="Palatino Linotype" w:eastAsia="Calibri" w:hAnsi="Palatino Linotype"/>
          <w:b/>
          <w:bCs/>
          <w:color w:val="auto"/>
          <w:sz w:val="22"/>
          <w:szCs w:val="22"/>
        </w:rPr>
        <w:t xml:space="preserve">V. </w:t>
      </w:r>
      <w:r w:rsidR="00EC77D9" w:rsidRPr="00C36922">
        <w:rPr>
          <w:rFonts w:ascii="Palatino Linotype" w:eastAsia="Batang" w:hAnsi="Palatino Linotype"/>
          <w:b/>
          <w:bCs/>
          <w:color w:val="auto"/>
          <w:sz w:val="22"/>
          <w:szCs w:val="22"/>
        </w:rPr>
        <w:t>Trámite del Recurso de Revisión</w:t>
      </w:r>
      <w:r w:rsidR="00EC77D9" w:rsidRPr="00C36922">
        <w:rPr>
          <w:rFonts w:ascii="Palatino Linotype" w:eastAsia="Calibri" w:hAnsi="Palatino Linotype"/>
          <w:b/>
          <w:bCs/>
          <w:color w:val="auto"/>
          <w:sz w:val="22"/>
          <w:szCs w:val="22"/>
        </w:rPr>
        <w:t xml:space="preserve"> </w:t>
      </w:r>
      <w:r w:rsidR="00EC77D9" w:rsidRPr="00C36922">
        <w:rPr>
          <w:rFonts w:ascii="Palatino Linotype" w:eastAsia="Batang" w:hAnsi="Palatino Linotype"/>
          <w:b/>
          <w:bCs/>
          <w:color w:val="auto"/>
          <w:sz w:val="22"/>
          <w:szCs w:val="22"/>
        </w:rPr>
        <w:t>ante este Instituto</w:t>
      </w:r>
      <w:bookmarkEnd w:id="8"/>
    </w:p>
    <w:p w14:paraId="1C4ADB40" w14:textId="77777777" w:rsidR="00EC77D9" w:rsidRPr="00C36922" w:rsidRDefault="00EC77D9" w:rsidP="00AE7429">
      <w:pPr>
        <w:spacing w:after="0" w:line="360" w:lineRule="auto"/>
        <w:rPr>
          <w:rFonts w:eastAsia="Batang" w:cs="Tahoma"/>
          <w:bCs/>
          <w:color w:val="000000"/>
        </w:rPr>
      </w:pPr>
    </w:p>
    <w:p w14:paraId="7EC9EE07" w14:textId="6FDACD59" w:rsidR="00EC77D9" w:rsidRPr="00C36922" w:rsidRDefault="00EC77D9" w:rsidP="00AE7429">
      <w:pPr>
        <w:spacing w:after="0" w:line="360" w:lineRule="auto"/>
        <w:rPr>
          <w:rFonts w:eastAsia="Batang" w:cs="Tahoma"/>
          <w:b/>
          <w:bCs/>
          <w:color w:val="000000"/>
        </w:rPr>
      </w:pPr>
      <w:r w:rsidRPr="00C36922">
        <w:rPr>
          <w:rFonts w:eastAsia="Batang" w:cs="Tahoma"/>
          <w:b/>
          <w:bCs/>
          <w:color w:val="000000"/>
        </w:rPr>
        <w:t xml:space="preserve">a) Turno del Medio de Impugnación. </w:t>
      </w:r>
      <w:r w:rsidRPr="00C36922">
        <w:rPr>
          <w:rFonts w:eastAsia="Batang" w:cs="Tahoma"/>
          <w:bCs/>
          <w:color w:val="000000"/>
        </w:rPr>
        <w:t>El</w:t>
      </w:r>
      <w:r w:rsidR="00127C10" w:rsidRPr="00C36922">
        <w:rPr>
          <w:rFonts w:eastAsia="Batang" w:cs="Tahoma"/>
          <w:bCs/>
          <w:color w:val="000000"/>
        </w:rPr>
        <w:t xml:space="preserve"> </w:t>
      </w:r>
      <w:r w:rsidR="00127C10" w:rsidRPr="00C36922">
        <w:rPr>
          <w:rFonts w:eastAsia="Times New Roman" w:cs="Tahoma"/>
          <w:bCs/>
          <w:color w:val="auto"/>
          <w:lang w:val="es-ES" w:eastAsia="es-ES"/>
        </w:rPr>
        <w:t>treinta de enero de dos mil veinticinco</w:t>
      </w:r>
      <w:r w:rsidRPr="00C36922">
        <w:rPr>
          <w:rFonts w:eastAsia="Batang" w:cs="Tahoma"/>
          <w:bCs/>
          <w:color w:val="000000"/>
        </w:rPr>
        <w:t xml:space="preserve">, el </w:t>
      </w:r>
      <w:r w:rsidRPr="00C36922">
        <w:rPr>
          <w:rFonts w:eastAsia="Calibri" w:cs="Tahoma"/>
          <w:color w:val="000000"/>
          <w:lang w:val="es-ES"/>
        </w:rPr>
        <w:t>Sistema de Acceso a la Información Mexiquense (SAIMEX),</w:t>
      </w:r>
      <w:r w:rsidRPr="00C36922">
        <w:rPr>
          <w:rFonts w:eastAsia="Batang" w:cs="Tahoma"/>
          <w:bCs/>
          <w:color w:val="000000"/>
        </w:rPr>
        <w:t xml:space="preserve"> asignó el número de expediente</w:t>
      </w:r>
      <w:r w:rsidR="00394EBC" w:rsidRPr="00C36922">
        <w:t xml:space="preserve"> </w:t>
      </w:r>
      <w:r w:rsidR="00394EBC" w:rsidRPr="00C36922">
        <w:rPr>
          <w:rFonts w:eastAsia="Calibri" w:cs="Tahoma"/>
          <w:b/>
          <w:bCs/>
        </w:rPr>
        <w:t>0</w:t>
      </w:r>
      <w:r w:rsidR="00127C10" w:rsidRPr="00C36922">
        <w:rPr>
          <w:rFonts w:eastAsia="Calibri" w:cs="Tahoma"/>
          <w:b/>
          <w:bCs/>
        </w:rPr>
        <w:t>0346</w:t>
      </w:r>
      <w:r w:rsidR="00394EBC" w:rsidRPr="00C36922">
        <w:rPr>
          <w:rFonts w:eastAsia="Calibri" w:cs="Tahoma"/>
          <w:b/>
          <w:bCs/>
        </w:rPr>
        <w:t>/INFOEM/IP/RR/202</w:t>
      </w:r>
      <w:r w:rsidR="00127C10" w:rsidRPr="00C36922">
        <w:rPr>
          <w:rFonts w:eastAsia="Calibri" w:cs="Tahoma"/>
          <w:b/>
          <w:bCs/>
        </w:rPr>
        <w:t>5</w:t>
      </w:r>
      <w:r w:rsidRPr="00C36922">
        <w:rPr>
          <w:rFonts w:eastAsia="Batang" w:cs="Tahoma"/>
          <w:bCs/>
          <w:color w:val="000000"/>
        </w:rPr>
        <w:t xml:space="preserve">, al Medio de Impugnación que nos ocupa, con base en el sistema aprobado por el Pleno de este </w:t>
      </w:r>
      <w:r w:rsidR="00394EBC" w:rsidRPr="00C36922">
        <w:rPr>
          <w:rFonts w:eastAsia="Batang" w:cs="Tahoma"/>
          <w:bCs/>
          <w:color w:val="000000"/>
        </w:rPr>
        <w:t>Organismo</w:t>
      </w:r>
      <w:r w:rsidRPr="00C36922">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C36922" w:rsidRDefault="00EC77D9" w:rsidP="00AE7429">
      <w:pPr>
        <w:spacing w:after="0" w:line="360" w:lineRule="auto"/>
        <w:rPr>
          <w:rFonts w:eastAsia="Batang" w:cs="Tahoma"/>
          <w:bCs/>
          <w:color w:val="000000"/>
        </w:rPr>
      </w:pPr>
    </w:p>
    <w:p w14:paraId="385EEA5C" w14:textId="436880FA" w:rsidR="00EC77D9" w:rsidRPr="00C36922" w:rsidRDefault="00EC77D9" w:rsidP="00AE7429">
      <w:pPr>
        <w:spacing w:after="0" w:line="360" w:lineRule="auto"/>
        <w:rPr>
          <w:rFonts w:eastAsia="Times New Roman" w:cs="Tahoma"/>
          <w:bCs/>
          <w:color w:val="auto"/>
          <w:lang w:val="es-ES_tradnl" w:eastAsia="es-ES"/>
        </w:rPr>
      </w:pPr>
      <w:r w:rsidRPr="00C36922">
        <w:rPr>
          <w:rFonts w:eastAsia="Times New Roman" w:cs="Tahoma"/>
          <w:b/>
          <w:bCs/>
          <w:color w:val="auto"/>
          <w:lang w:eastAsia="es-ES"/>
        </w:rPr>
        <w:t>b) Admisión del Recurso de Revisión</w:t>
      </w:r>
      <w:r w:rsidRPr="00C36922">
        <w:rPr>
          <w:rFonts w:eastAsia="Times New Roman" w:cs="Tahoma"/>
          <w:b/>
          <w:bCs/>
          <w:color w:val="auto"/>
          <w:lang w:val="es-ES_tradnl" w:eastAsia="es-ES"/>
        </w:rPr>
        <w:t xml:space="preserve">. </w:t>
      </w:r>
      <w:r w:rsidRPr="00C36922">
        <w:rPr>
          <w:rFonts w:eastAsia="Batang" w:cs="Tahoma"/>
          <w:bCs/>
          <w:color w:val="000000"/>
        </w:rPr>
        <w:t>El</w:t>
      </w:r>
      <w:r w:rsidR="00A37D74" w:rsidRPr="00C36922">
        <w:rPr>
          <w:rFonts w:eastAsia="Batang" w:cs="Tahoma"/>
          <w:bCs/>
          <w:color w:val="000000"/>
        </w:rPr>
        <w:t xml:space="preserve"> </w:t>
      </w:r>
      <w:r w:rsidR="00127C10" w:rsidRPr="00C36922">
        <w:rPr>
          <w:rFonts w:eastAsia="Batang" w:cs="Tahoma"/>
          <w:bCs/>
          <w:color w:val="000000"/>
        </w:rPr>
        <w:t>cuatro de febrero de dos mil veinticinco</w:t>
      </w:r>
      <w:r w:rsidRPr="00C36922">
        <w:rPr>
          <w:rFonts w:eastAsia="Times New Roman" w:cs="Tahoma"/>
          <w:bCs/>
          <w:color w:val="auto"/>
          <w:lang w:val="es-ES_tradnl" w:eastAsia="es-ES"/>
        </w:rPr>
        <w:t xml:space="preserve">, se acordó la admisión del Recurso de Revisión interpuesto por </w:t>
      </w:r>
      <w:r w:rsidR="00B064A4" w:rsidRPr="00C36922">
        <w:rPr>
          <w:rFonts w:eastAsia="Times New Roman" w:cs="Tahoma"/>
          <w:bCs/>
          <w:color w:val="auto"/>
          <w:lang w:val="es-ES_tradnl" w:eastAsia="es-ES"/>
        </w:rPr>
        <w:t>la persona</w:t>
      </w:r>
      <w:r w:rsidRPr="00C36922">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C36922">
        <w:rPr>
          <w:rFonts w:eastAsia="Times New Roman" w:cs="Tahoma"/>
          <w:bCs/>
          <w:color w:val="auto"/>
          <w:lang w:val="es-ES_tradnl" w:eastAsia="es-ES"/>
        </w:rPr>
        <w:t xml:space="preserve"> </w:t>
      </w:r>
      <w:r w:rsidR="001756F2" w:rsidRPr="00C36922">
        <w:rPr>
          <w:rFonts w:eastAsia="Times New Roman" w:cs="Tahoma"/>
          <w:bCs/>
          <w:color w:val="auto"/>
          <w:lang w:val="es-ES_tradnl" w:eastAsia="es-ES"/>
        </w:rPr>
        <w:t>el</w:t>
      </w:r>
      <w:r w:rsidR="00AB3BAD" w:rsidRPr="00C36922">
        <w:rPr>
          <w:rFonts w:eastAsia="Times New Roman" w:cs="Tahoma"/>
          <w:bCs/>
          <w:color w:val="auto"/>
          <w:lang w:val="es-ES_tradnl" w:eastAsia="es-ES"/>
        </w:rPr>
        <w:t xml:space="preserve"> mismo día</w:t>
      </w:r>
      <w:r w:rsidR="00CB7980" w:rsidRPr="00C36922">
        <w:rPr>
          <w:rFonts w:eastAsia="Times New Roman" w:cs="Tahoma"/>
          <w:bCs/>
          <w:color w:val="auto"/>
          <w:lang w:val="es-ES_tradnl" w:eastAsia="es-ES"/>
        </w:rPr>
        <w:t xml:space="preserve">, </w:t>
      </w:r>
      <w:r w:rsidRPr="00C36922">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6FBF35CB" w14:textId="77777777" w:rsidR="005859C8" w:rsidRPr="00C36922" w:rsidRDefault="005859C8" w:rsidP="00AE7429">
      <w:pPr>
        <w:spacing w:after="0" w:line="360" w:lineRule="auto"/>
        <w:rPr>
          <w:rFonts w:eastAsia="Times New Roman" w:cs="Tahoma"/>
          <w:bCs/>
          <w:color w:val="auto"/>
          <w:lang w:val="es-ES_tradnl" w:eastAsia="es-ES"/>
        </w:rPr>
      </w:pPr>
    </w:p>
    <w:p w14:paraId="060570AF" w14:textId="29D22284" w:rsidR="000E1B3C" w:rsidRPr="00C36922" w:rsidRDefault="000D29CD" w:rsidP="00FD6103">
      <w:pPr>
        <w:spacing w:after="0" w:line="360" w:lineRule="auto"/>
        <w:rPr>
          <w:rFonts w:cs="Tahoma"/>
          <w:lang w:val="es-ES_tradnl"/>
        </w:rPr>
      </w:pPr>
      <w:r w:rsidRPr="00C36922">
        <w:rPr>
          <w:rFonts w:eastAsia="Times New Roman" w:cs="Tahoma"/>
          <w:b/>
          <w:color w:val="auto"/>
          <w:lang w:eastAsia="es-ES"/>
        </w:rPr>
        <w:lastRenderedPageBreak/>
        <w:t>c</w:t>
      </w:r>
      <w:r w:rsidR="000F2142" w:rsidRPr="00C36922">
        <w:rPr>
          <w:rFonts w:eastAsia="Times New Roman" w:cs="Tahoma"/>
          <w:b/>
          <w:color w:val="auto"/>
          <w:lang w:eastAsia="es-ES"/>
        </w:rPr>
        <w:t xml:space="preserve">) </w:t>
      </w:r>
      <w:r w:rsidR="000F2142" w:rsidRPr="00C36922">
        <w:rPr>
          <w:rFonts w:cs="Tahoma"/>
          <w:b/>
          <w:bCs/>
          <w:iCs/>
          <w:lang w:val="es-ES"/>
        </w:rPr>
        <w:t>Informe Justificado</w:t>
      </w:r>
      <w:r w:rsidR="000E1B3C" w:rsidRPr="00C36922">
        <w:rPr>
          <w:rFonts w:cs="Tahoma"/>
          <w:b/>
          <w:bCs/>
          <w:iCs/>
          <w:lang w:val="es-ES"/>
        </w:rPr>
        <w:t xml:space="preserve">. </w:t>
      </w:r>
      <w:r w:rsidR="000E1B3C" w:rsidRPr="00C36922">
        <w:rPr>
          <w:rFonts w:cs="Tahoma"/>
          <w:iCs/>
          <w:lang w:val="es-ES"/>
        </w:rPr>
        <w:t>El cinco de febrero de dos mil veinticinco</w:t>
      </w:r>
      <w:r w:rsidR="000E1B3C" w:rsidRPr="00C36922">
        <w:rPr>
          <w:rFonts w:cs="Tahoma"/>
          <w:lang w:val="es-ES_tradnl"/>
        </w:rPr>
        <w:t xml:space="preserve">, se recibió, a través del Sistema de Acceso a la Información Mexiquense (SAIMEX), el Informe Justificado del Sujeto Obligado, por medio </w:t>
      </w:r>
      <w:r w:rsidR="00FD6103" w:rsidRPr="00C36922">
        <w:rPr>
          <w:rFonts w:cs="Tahoma"/>
          <w:lang w:val="es-ES_tradnl"/>
        </w:rPr>
        <w:t>del o</w:t>
      </w:r>
      <w:r w:rsidR="00D6267C" w:rsidRPr="00C36922">
        <w:rPr>
          <w:rFonts w:cs="Tahoma"/>
          <w:lang w:val="es-ES_tradnl"/>
        </w:rPr>
        <w:t>ficio número OPDM/M/DC-093/2025, del cuatro de febrero de dos mil veinticinco, suscrito por la Dirección de Construcción y dirigido a la Titular de la Unidad de Transparencia por medio del cual mencionó lo siguiente:</w:t>
      </w:r>
    </w:p>
    <w:p w14:paraId="7880D6A2" w14:textId="77777777" w:rsidR="00D6267C" w:rsidRPr="00C36922" w:rsidRDefault="00D6267C" w:rsidP="00FD6103">
      <w:pPr>
        <w:spacing w:after="0" w:line="360" w:lineRule="auto"/>
        <w:ind w:left="567" w:right="567"/>
        <w:rPr>
          <w:rFonts w:cs="Tahoma"/>
          <w:lang w:val="es-ES_tradnl"/>
        </w:rPr>
      </w:pPr>
    </w:p>
    <w:p w14:paraId="62475E7E" w14:textId="7A11D367" w:rsidR="00D6267C" w:rsidRPr="00C36922" w:rsidRDefault="00D6267C" w:rsidP="00FD6103">
      <w:pPr>
        <w:spacing w:after="0" w:line="360" w:lineRule="auto"/>
        <w:ind w:left="567" w:right="567"/>
        <w:rPr>
          <w:rFonts w:cs="Tahoma"/>
          <w:i/>
          <w:iCs/>
          <w:sz w:val="20"/>
          <w:szCs w:val="20"/>
          <w:lang w:val="es-ES_tradnl"/>
        </w:rPr>
      </w:pPr>
      <w:r w:rsidRPr="00C36922">
        <w:rPr>
          <w:rFonts w:cs="Tahoma"/>
          <w:i/>
          <w:iCs/>
          <w:sz w:val="20"/>
          <w:szCs w:val="20"/>
          <w:lang w:val="es-ES_tradnl"/>
        </w:rPr>
        <w:t>“…Para subsanar cualquier inconformidad surgida derivada de la primera respuesta y salvaguardando el Derecho al Acceso a la Información del Recurrente, se anexa al presente en formato digital el Proyecto de Programa Anual de Obra 2025 aprobado por el Consejo Directivo el día 31 de diciembre del 2024 sin firmas, el cual contiene la misma información que el documento entregado con anterioridad haciendo mención que la información presentada es aquella que obra en los Archivos de esta Dirección y de las Áreas Administrativas a su cargo…</w:t>
      </w:r>
    </w:p>
    <w:p w14:paraId="1ADB21F6" w14:textId="429F43D1" w:rsidR="00D6267C" w:rsidRPr="00C36922" w:rsidRDefault="00D6267C" w:rsidP="00FD6103">
      <w:pPr>
        <w:spacing w:after="0" w:line="360" w:lineRule="auto"/>
        <w:ind w:left="567" w:right="567"/>
        <w:rPr>
          <w:rFonts w:cs="Tahoma"/>
          <w:i/>
          <w:iCs/>
          <w:sz w:val="20"/>
          <w:szCs w:val="20"/>
          <w:lang w:val="es-ES_tradnl"/>
        </w:rPr>
      </w:pPr>
      <w:r w:rsidRPr="00C36922">
        <w:rPr>
          <w:rFonts w:cs="Tahoma"/>
          <w:i/>
          <w:iCs/>
          <w:sz w:val="20"/>
          <w:szCs w:val="20"/>
          <w:lang w:val="es-ES_tradnl"/>
        </w:rPr>
        <w:t>…”</w:t>
      </w:r>
    </w:p>
    <w:p w14:paraId="7C506791" w14:textId="4B4DA911" w:rsidR="005E6581" w:rsidRPr="00C36922" w:rsidRDefault="005E6581" w:rsidP="00AE7429">
      <w:pPr>
        <w:spacing w:after="0" w:line="360" w:lineRule="auto"/>
        <w:rPr>
          <w:rFonts w:cs="Tahoma"/>
          <w:i/>
          <w:iCs/>
          <w:sz w:val="20"/>
          <w:szCs w:val="20"/>
          <w:lang w:val="es-ES_tradnl"/>
        </w:rPr>
      </w:pPr>
    </w:p>
    <w:p w14:paraId="6770FE03" w14:textId="5D204B6F" w:rsidR="00D6267C" w:rsidRPr="00C36922" w:rsidRDefault="00FD6103" w:rsidP="00AE7429">
      <w:pPr>
        <w:widowControl w:val="0"/>
        <w:spacing w:after="0" w:line="360" w:lineRule="auto"/>
        <w:rPr>
          <w:rFonts w:eastAsia="Times New Roman" w:cs="Tahoma"/>
          <w:bCs/>
          <w:color w:val="auto"/>
          <w:szCs w:val="24"/>
          <w:lang w:eastAsia="es-ES"/>
        </w:rPr>
      </w:pPr>
      <w:r w:rsidRPr="00C36922">
        <w:rPr>
          <w:rFonts w:eastAsia="Times New Roman" w:cs="Tahoma"/>
          <w:bCs/>
          <w:color w:val="auto"/>
          <w:szCs w:val="24"/>
          <w:lang w:eastAsia="es-ES"/>
        </w:rPr>
        <w:t>El Sujeto Obligado adjuntó el P</w:t>
      </w:r>
      <w:r w:rsidR="00D6267C" w:rsidRPr="00C36922">
        <w:rPr>
          <w:rFonts w:eastAsia="Times New Roman" w:cs="Tahoma"/>
          <w:bCs/>
          <w:color w:val="auto"/>
          <w:szCs w:val="24"/>
          <w:lang w:eastAsia="es-ES"/>
        </w:rPr>
        <w:t>rograma Anual de Obras del primero de enero al treinta y uno de diciembre de dos mil veinticinco.</w:t>
      </w:r>
    </w:p>
    <w:p w14:paraId="4CCA2837" w14:textId="77777777" w:rsidR="00D6267C" w:rsidRPr="00C36922" w:rsidRDefault="00D6267C" w:rsidP="00AE7429">
      <w:pPr>
        <w:widowControl w:val="0"/>
        <w:spacing w:after="0" w:line="360" w:lineRule="auto"/>
        <w:rPr>
          <w:rFonts w:eastAsia="Times New Roman" w:cs="Tahoma"/>
          <w:bCs/>
          <w:color w:val="auto"/>
          <w:szCs w:val="24"/>
          <w:lang w:eastAsia="es-ES"/>
        </w:rPr>
      </w:pPr>
    </w:p>
    <w:p w14:paraId="0278B986" w14:textId="3CB18C8D" w:rsidR="000E1B3C" w:rsidRPr="00C36922" w:rsidRDefault="000E1B3C" w:rsidP="00AE7429">
      <w:pPr>
        <w:widowControl w:val="0"/>
        <w:spacing w:after="0" w:line="360" w:lineRule="auto"/>
        <w:rPr>
          <w:bCs/>
          <w:lang w:val="es-ES_tradnl"/>
        </w:rPr>
      </w:pPr>
      <w:r w:rsidRPr="00C36922">
        <w:rPr>
          <w:rFonts w:eastAsia="Times New Roman" w:cs="Tahoma"/>
          <w:b/>
          <w:color w:val="auto"/>
          <w:szCs w:val="24"/>
          <w:lang w:eastAsia="es-ES"/>
        </w:rPr>
        <w:t>d) Vista del Informe Justificado.</w:t>
      </w:r>
      <w:r w:rsidRPr="00C36922">
        <w:rPr>
          <w:bCs/>
          <w:lang w:val="es-ES_tradnl"/>
        </w:rPr>
        <w:t xml:space="preserve"> El </w:t>
      </w:r>
      <w:r w:rsidR="002A17EC" w:rsidRPr="00C36922">
        <w:rPr>
          <w:bCs/>
          <w:lang w:val="es-ES_tradnl"/>
        </w:rPr>
        <w:t>seis</w:t>
      </w:r>
      <w:r w:rsidR="00732584" w:rsidRPr="00C36922">
        <w:rPr>
          <w:bCs/>
          <w:lang w:val="es-ES_tradnl"/>
        </w:rPr>
        <w:t xml:space="preserve"> de febrero de dos mil veinticinco</w:t>
      </w:r>
      <w:r w:rsidRPr="00C36922">
        <w:rPr>
          <w:bCs/>
          <w:lang w:val="es-ES_tradnl"/>
        </w:rPr>
        <w:t xml:space="preserve">, se dictó acuerdo mediante el cual se puso a la vista del Particular el Informe Justificado, entregado por el Sujeto Obligado, así como el documento adjunto, el cual fue notificado a las partes, a través del Sistema de Acceso a la Información Mexiquense (SAIMEX). </w:t>
      </w:r>
    </w:p>
    <w:p w14:paraId="2B3886C5" w14:textId="56D06798" w:rsidR="007E75EF" w:rsidRPr="00C36922" w:rsidRDefault="007E75EF" w:rsidP="00AE7429">
      <w:pPr>
        <w:spacing w:after="0" w:line="360" w:lineRule="auto"/>
        <w:rPr>
          <w:rFonts w:eastAsia="Times New Roman" w:cs="Tahoma"/>
          <w:bCs/>
          <w:lang w:val="es-ES" w:eastAsia="es-ES"/>
        </w:rPr>
      </w:pPr>
    </w:p>
    <w:p w14:paraId="35AAACA3" w14:textId="6E2B9448" w:rsidR="00EC77D9" w:rsidRPr="00C36922" w:rsidRDefault="00FD3E76" w:rsidP="00AE7429">
      <w:pPr>
        <w:widowControl w:val="0"/>
        <w:spacing w:after="0" w:line="360" w:lineRule="auto"/>
        <w:rPr>
          <w:rFonts w:eastAsia="Times New Roman" w:cs="Tahoma"/>
          <w:color w:val="auto"/>
          <w:lang w:val="es-ES" w:eastAsia="es-ES"/>
        </w:rPr>
      </w:pPr>
      <w:r>
        <w:rPr>
          <w:rFonts w:eastAsia="Times New Roman" w:cs="Tahoma"/>
          <w:b/>
          <w:color w:val="auto"/>
          <w:lang w:eastAsia="es-ES"/>
        </w:rPr>
        <w:t>e</w:t>
      </w:r>
      <w:r w:rsidR="00EC77D9" w:rsidRPr="00C36922">
        <w:rPr>
          <w:rFonts w:eastAsia="Times New Roman" w:cs="Tahoma"/>
          <w:b/>
          <w:color w:val="auto"/>
          <w:lang w:eastAsia="es-ES"/>
        </w:rPr>
        <w:t>) Cierre de instrucción.</w:t>
      </w:r>
      <w:r w:rsidR="00EC77D9" w:rsidRPr="00C36922">
        <w:rPr>
          <w:rFonts w:eastAsia="Times New Roman" w:cs="Tahoma"/>
          <w:color w:val="auto"/>
          <w:lang w:eastAsia="es-ES"/>
        </w:rPr>
        <w:t xml:space="preserve"> El</w:t>
      </w:r>
      <w:r w:rsidR="000C75AA" w:rsidRPr="00C36922">
        <w:rPr>
          <w:rFonts w:eastAsia="Times New Roman" w:cs="Tahoma"/>
          <w:color w:val="auto"/>
          <w:lang w:eastAsia="es-ES"/>
        </w:rPr>
        <w:t xml:space="preserve"> </w:t>
      </w:r>
      <w:r w:rsidR="002A17EC" w:rsidRPr="00C36922">
        <w:rPr>
          <w:rFonts w:eastAsia="Times New Roman" w:cs="Tahoma"/>
          <w:color w:val="auto"/>
          <w:lang w:eastAsia="es-ES"/>
        </w:rPr>
        <w:t>catorce</w:t>
      </w:r>
      <w:r w:rsidR="00A22B13" w:rsidRPr="00C36922">
        <w:rPr>
          <w:rFonts w:eastAsia="Times New Roman" w:cs="Tahoma"/>
          <w:color w:val="auto"/>
          <w:lang w:eastAsia="es-ES"/>
        </w:rPr>
        <w:t xml:space="preserve"> de febrero</w:t>
      </w:r>
      <w:r w:rsidR="00502FA9" w:rsidRPr="00C36922">
        <w:rPr>
          <w:rFonts w:eastAsia="Times New Roman" w:cs="Tahoma"/>
          <w:color w:val="auto"/>
          <w:lang w:eastAsia="es-ES"/>
        </w:rPr>
        <w:t xml:space="preserve"> </w:t>
      </w:r>
      <w:r w:rsidR="00EC77D9" w:rsidRPr="00C36922">
        <w:rPr>
          <w:rFonts w:eastAsia="Times New Roman" w:cs="Tahoma"/>
          <w:color w:val="auto"/>
          <w:lang w:eastAsia="es-ES"/>
        </w:rPr>
        <w:t>de dos mil veinti</w:t>
      </w:r>
      <w:r w:rsidR="00C50335" w:rsidRPr="00C36922">
        <w:rPr>
          <w:rFonts w:eastAsia="Times New Roman" w:cs="Tahoma"/>
          <w:color w:val="auto"/>
          <w:lang w:eastAsia="es-ES"/>
        </w:rPr>
        <w:t>c</w:t>
      </w:r>
      <w:r w:rsidR="00A22B13" w:rsidRPr="00C36922">
        <w:rPr>
          <w:rFonts w:eastAsia="Times New Roman" w:cs="Tahoma"/>
          <w:color w:val="auto"/>
          <w:lang w:eastAsia="es-ES"/>
        </w:rPr>
        <w:t>inco</w:t>
      </w:r>
      <w:r w:rsidR="00EC77D9" w:rsidRPr="00C36922">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00EC77D9" w:rsidRPr="00C36922">
        <w:rPr>
          <w:rFonts w:eastAsia="Times New Roman" w:cs="Tahoma"/>
          <w:color w:val="auto"/>
          <w:lang w:eastAsia="es-ES"/>
        </w:rPr>
        <w:lastRenderedPageBreak/>
        <w:t xml:space="preserve">Pública del Estado de México y Municipios, mismo que fue notificado a las partes el </w:t>
      </w:r>
      <w:r w:rsidR="00886CD4" w:rsidRPr="00C36922">
        <w:rPr>
          <w:rFonts w:eastAsia="Times New Roman" w:cs="Tahoma"/>
          <w:color w:val="auto"/>
          <w:lang w:eastAsia="es-ES"/>
        </w:rPr>
        <w:t>mismo día</w:t>
      </w:r>
      <w:r w:rsidR="00EC77D9" w:rsidRPr="00C36922">
        <w:rPr>
          <w:rFonts w:eastAsia="Times New Roman" w:cs="Tahoma"/>
          <w:color w:val="auto"/>
          <w:lang w:eastAsia="es-ES"/>
        </w:rPr>
        <w:t xml:space="preserve">, a través del </w:t>
      </w:r>
      <w:r w:rsidR="00EC77D9" w:rsidRPr="00C36922">
        <w:rPr>
          <w:rFonts w:eastAsia="Times New Roman" w:cs="Tahoma"/>
          <w:color w:val="auto"/>
          <w:lang w:val="es-ES" w:eastAsia="es-ES"/>
        </w:rPr>
        <w:t>Sistema de Acceso a la Información Mexiquense (SAIMEX)</w:t>
      </w:r>
      <w:r w:rsidR="00EC77D9" w:rsidRPr="00C36922">
        <w:rPr>
          <w:rFonts w:eastAsia="Times New Roman" w:cs="Tahoma"/>
          <w:color w:val="auto"/>
          <w:lang w:eastAsia="es-ES"/>
        </w:rPr>
        <w:t xml:space="preserve">. </w:t>
      </w:r>
    </w:p>
    <w:p w14:paraId="5AB5C251" w14:textId="77777777" w:rsidR="00232DCC" w:rsidRPr="00C36922" w:rsidRDefault="00232DCC" w:rsidP="00AE7429">
      <w:pPr>
        <w:spacing w:after="0" w:line="360" w:lineRule="auto"/>
        <w:rPr>
          <w:rFonts w:eastAsia="Times New Roman" w:cs="Tahoma"/>
          <w:color w:val="000000"/>
          <w:lang w:eastAsia="es-ES"/>
        </w:rPr>
      </w:pPr>
    </w:p>
    <w:p w14:paraId="77C7A5C4" w14:textId="77777777" w:rsidR="00EC77D9" w:rsidRPr="00C36922" w:rsidRDefault="00EC77D9" w:rsidP="00AE7429">
      <w:pPr>
        <w:spacing w:after="0" w:line="360" w:lineRule="auto"/>
        <w:rPr>
          <w:rFonts w:eastAsia="Times New Roman" w:cs="Tahoma"/>
          <w:color w:val="000000"/>
          <w:lang w:eastAsia="es-ES"/>
        </w:rPr>
      </w:pPr>
      <w:r w:rsidRPr="00C36922">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C36922" w:rsidRDefault="008E4F87" w:rsidP="00AE7429">
      <w:pPr>
        <w:spacing w:after="0" w:line="360" w:lineRule="auto"/>
        <w:rPr>
          <w:rFonts w:eastAsia="Times New Roman" w:cs="Tahoma"/>
          <w:bCs/>
          <w:iCs/>
          <w:color w:val="auto"/>
          <w:lang w:val="es-ES" w:eastAsia="es-ES"/>
        </w:rPr>
      </w:pPr>
    </w:p>
    <w:p w14:paraId="4B442488" w14:textId="0C901BCB" w:rsidR="00EC77D9" w:rsidRPr="00C36922" w:rsidRDefault="00EC77D9" w:rsidP="00AE7429">
      <w:pPr>
        <w:pStyle w:val="Ttulo1"/>
        <w:spacing w:before="0" w:line="360" w:lineRule="auto"/>
        <w:jc w:val="center"/>
        <w:rPr>
          <w:rFonts w:ascii="Palatino Linotype" w:eastAsia="Times New Roman" w:hAnsi="Palatino Linotype"/>
          <w:b/>
          <w:bCs/>
          <w:color w:val="auto"/>
          <w:sz w:val="22"/>
          <w:szCs w:val="22"/>
          <w:lang w:val="es-ES" w:eastAsia="es-ES"/>
        </w:rPr>
      </w:pPr>
      <w:bookmarkStart w:id="9" w:name="_Toc189685431"/>
      <w:r w:rsidRPr="00C36922">
        <w:rPr>
          <w:rFonts w:ascii="Palatino Linotype" w:eastAsia="Times New Roman" w:hAnsi="Palatino Linotype"/>
          <w:b/>
          <w:bCs/>
          <w:color w:val="auto"/>
          <w:sz w:val="22"/>
          <w:szCs w:val="22"/>
          <w:lang w:val="es-ES" w:eastAsia="es-ES"/>
        </w:rPr>
        <w:t>C O N S I D E R A N D O S</w:t>
      </w:r>
      <w:bookmarkEnd w:id="9"/>
    </w:p>
    <w:p w14:paraId="7A8CFE1B" w14:textId="77777777" w:rsidR="008E4F87" w:rsidRPr="00C36922" w:rsidRDefault="008E4F87" w:rsidP="00AE7429">
      <w:pPr>
        <w:spacing w:after="0" w:line="360" w:lineRule="auto"/>
        <w:jc w:val="center"/>
        <w:rPr>
          <w:rFonts w:eastAsia="Times New Roman" w:cs="Tahoma"/>
          <w:b/>
          <w:color w:val="auto"/>
          <w:lang w:val="es-ES" w:eastAsia="es-ES"/>
        </w:rPr>
      </w:pPr>
    </w:p>
    <w:p w14:paraId="2B2C70F6" w14:textId="0F870142" w:rsidR="00EC77D9" w:rsidRPr="00C36922" w:rsidRDefault="00EC77D9" w:rsidP="00AE7429">
      <w:pPr>
        <w:pStyle w:val="Ttulo2"/>
        <w:spacing w:before="0" w:line="360" w:lineRule="auto"/>
        <w:rPr>
          <w:rFonts w:ascii="Palatino Linotype" w:eastAsia="Times New Roman" w:hAnsi="Palatino Linotype"/>
          <w:b/>
          <w:bCs/>
          <w:color w:val="auto"/>
          <w:sz w:val="22"/>
          <w:szCs w:val="22"/>
          <w:lang w:val="es-ES" w:eastAsia="es-ES"/>
        </w:rPr>
      </w:pPr>
      <w:bookmarkStart w:id="10" w:name="_Toc189685432"/>
      <w:r w:rsidRPr="00C36922">
        <w:rPr>
          <w:rFonts w:ascii="Palatino Linotype" w:eastAsia="Calibri" w:hAnsi="Palatino Linotype"/>
          <w:b/>
          <w:bCs/>
          <w:color w:val="auto"/>
          <w:sz w:val="22"/>
          <w:szCs w:val="22"/>
          <w:lang w:val="es-ES" w:eastAsia="es-MX"/>
        </w:rPr>
        <w:t xml:space="preserve">PRIMERO. </w:t>
      </w:r>
      <w:r w:rsidRPr="00C36922">
        <w:rPr>
          <w:rFonts w:ascii="Palatino Linotype" w:eastAsia="Times New Roman" w:hAnsi="Palatino Linotype"/>
          <w:b/>
          <w:bCs/>
          <w:color w:val="auto"/>
          <w:sz w:val="22"/>
          <w:szCs w:val="22"/>
          <w:lang w:val="es-ES" w:eastAsia="es-ES"/>
        </w:rPr>
        <w:t>Competencia</w:t>
      </w:r>
      <w:bookmarkEnd w:id="10"/>
    </w:p>
    <w:p w14:paraId="62F65765" w14:textId="77777777" w:rsidR="00EC77D9" w:rsidRPr="00C36922" w:rsidRDefault="00EC77D9" w:rsidP="00AE7429">
      <w:pPr>
        <w:autoSpaceDE w:val="0"/>
        <w:autoSpaceDN w:val="0"/>
        <w:adjustRightInd w:val="0"/>
        <w:spacing w:after="0" w:line="360" w:lineRule="auto"/>
        <w:rPr>
          <w:rFonts w:eastAsia="Times New Roman" w:cs="Tahoma"/>
          <w:b/>
          <w:color w:val="auto"/>
          <w:lang w:val="es-ES" w:eastAsia="es-ES"/>
        </w:rPr>
      </w:pPr>
    </w:p>
    <w:p w14:paraId="1F83A937" w14:textId="767991F1" w:rsidR="00EC77D9" w:rsidRPr="00C36922" w:rsidRDefault="00EC77D9" w:rsidP="00AE7429">
      <w:pPr>
        <w:spacing w:after="0" w:line="360" w:lineRule="auto"/>
        <w:rPr>
          <w:rFonts w:eastAsia="Times New Roman" w:cs="Tahoma"/>
          <w:bCs/>
          <w:color w:val="auto"/>
          <w:lang w:eastAsia="es-ES"/>
        </w:rPr>
      </w:pPr>
      <w:bookmarkStart w:id="11" w:name="_Hlk63334754"/>
      <w:r w:rsidRPr="00C36922">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C36922">
        <w:rPr>
          <w:rFonts w:eastAsia="Times New Roman" w:cs="Tahoma"/>
          <w:bCs/>
          <w:color w:val="auto"/>
          <w:lang w:eastAsia="es-ES"/>
        </w:rPr>
        <w:t>ersona</w:t>
      </w:r>
      <w:r w:rsidRPr="00C36922">
        <w:rPr>
          <w:rFonts w:eastAsia="Times New Roman" w:cs="Tahoma"/>
          <w:bCs/>
          <w:color w:val="auto"/>
          <w:lang w:eastAsia="es-ES"/>
        </w:rPr>
        <w:t xml:space="preserve"> recurrente, conforme a lo dispuesto en los artículos 5°, párrafos</w:t>
      </w:r>
      <w:r w:rsidR="00B12193" w:rsidRPr="00C36922">
        <w:rPr>
          <w:rFonts w:eastAsia="Times New Roman" w:cs="Tahoma"/>
          <w:bCs/>
          <w:color w:val="auto"/>
          <w:lang w:eastAsia="es-ES"/>
        </w:rPr>
        <w:t xml:space="preserve"> trigésimo segundo, trigésimo tercero y trigésimo cuarto</w:t>
      </w:r>
      <w:r w:rsidRPr="00C36922">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C36922">
        <w:rPr>
          <w:rFonts w:eastAsia="Times New Roman" w:cs="Times New Roman"/>
          <w:bCs/>
          <w:color w:val="auto"/>
          <w:lang w:eastAsia="es-ES"/>
        </w:rPr>
        <w:t xml:space="preserve"> 7°, </w:t>
      </w:r>
      <w:r w:rsidR="00ED609B" w:rsidRPr="00C36922">
        <w:rPr>
          <w:rFonts w:eastAsia="Times New Roman" w:cs="Tahoma"/>
          <w:bCs/>
          <w:color w:val="auto"/>
          <w:lang w:eastAsia="es-ES"/>
        </w:rPr>
        <w:t>9°, fracciones I y XXIII</w:t>
      </w:r>
      <w:r w:rsidRPr="00C36922">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11"/>
    </w:p>
    <w:p w14:paraId="0C427DA9" w14:textId="77777777" w:rsidR="003111A9" w:rsidRPr="00C36922" w:rsidRDefault="003111A9" w:rsidP="00AE7429">
      <w:pPr>
        <w:spacing w:after="0" w:line="360" w:lineRule="auto"/>
        <w:rPr>
          <w:rFonts w:eastAsia="Times New Roman" w:cs="Tahoma"/>
          <w:bCs/>
          <w:color w:val="auto"/>
          <w:lang w:eastAsia="es-ES"/>
        </w:rPr>
      </w:pPr>
    </w:p>
    <w:p w14:paraId="186067FF" w14:textId="2AA83EDF" w:rsidR="003111A9" w:rsidRPr="00C36922" w:rsidRDefault="003111A9" w:rsidP="00AE7429">
      <w:pPr>
        <w:pStyle w:val="Ttulo2"/>
        <w:spacing w:before="0" w:line="360" w:lineRule="auto"/>
        <w:rPr>
          <w:rFonts w:ascii="Palatino Linotype" w:hAnsi="Palatino Linotype"/>
          <w:b/>
          <w:bCs/>
          <w:color w:val="auto"/>
          <w:sz w:val="22"/>
          <w:szCs w:val="22"/>
        </w:rPr>
      </w:pPr>
      <w:bookmarkStart w:id="12" w:name="_Toc189685433"/>
      <w:r w:rsidRPr="00C36922">
        <w:rPr>
          <w:rFonts w:ascii="Palatino Linotype" w:hAnsi="Palatino Linotype"/>
          <w:b/>
          <w:bCs/>
          <w:color w:val="auto"/>
          <w:sz w:val="22"/>
          <w:szCs w:val="22"/>
        </w:rPr>
        <w:t>SEGUNDO. Causales de improcedencia</w:t>
      </w:r>
      <w:bookmarkEnd w:id="12"/>
      <w:r w:rsidRPr="00C36922">
        <w:rPr>
          <w:rFonts w:ascii="Palatino Linotype" w:hAnsi="Palatino Linotype"/>
          <w:b/>
          <w:bCs/>
          <w:color w:val="auto"/>
          <w:sz w:val="22"/>
          <w:szCs w:val="22"/>
        </w:rPr>
        <w:t xml:space="preserve"> </w:t>
      </w:r>
    </w:p>
    <w:p w14:paraId="024615A7" w14:textId="77777777" w:rsidR="003111A9" w:rsidRPr="00C36922" w:rsidRDefault="003111A9" w:rsidP="00AE7429">
      <w:pPr>
        <w:spacing w:after="0" w:line="360" w:lineRule="auto"/>
      </w:pPr>
    </w:p>
    <w:p w14:paraId="55B95DC4" w14:textId="77777777" w:rsidR="003111A9" w:rsidRPr="00C36922" w:rsidRDefault="003111A9" w:rsidP="00AE7429">
      <w:pPr>
        <w:spacing w:after="0" w:line="360" w:lineRule="auto"/>
        <w:rPr>
          <w:color w:val="000000"/>
        </w:rPr>
      </w:pPr>
      <w:r w:rsidRPr="00C36922">
        <w:rPr>
          <w:color w:val="000000"/>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C36922" w:rsidRDefault="003111A9" w:rsidP="00AE7429">
      <w:pPr>
        <w:spacing w:after="0" w:line="360" w:lineRule="auto"/>
        <w:rPr>
          <w:color w:val="000000"/>
        </w:rPr>
      </w:pPr>
    </w:p>
    <w:p w14:paraId="49E2FF1A" w14:textId="77777777" w:rsidR="003111A9" w:rsidRPr="00C36922" w:rsidRDefault="003111A9" w:rsidP="00AE7429">
      <w:pPr>
        <w:spacing w:after="0" w:line="360" w:lineRule="auto"/>
        <w:rPr>
          <w:color w:val="000000"/>
        </w:rPr>
      </w:pPr>
      <w:r w:rsidRPr="00C36922">
        <w:rPr>
          <w:color w:val="000000"/>
        </w:rPr>
        <w:t>En el presente caso, </w:t>
      </w:r>
      <w:r w:rsidRPr="00C36922">
        <w:rPr>
          <w:b/>
          <w:color w:val="000000"/>
        </w:rPr>
        <w:t>no se actualiza ninguna de las causales de improcedencia</w:t>
      </w:r>
      <w:r w:rsidRPr="00C36922">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4615AB8" w14:textId="77777777" w:rsidR="003111A9" w:rsidRPr="00C36922" w:rsidRDefault="003111A9" w:rsidP="00AE7429">
      <w:pPr>
        <w:spacing w:after="0" w:line="360" w:lineRule="auto"/>
        <w:rPr>
          <w:color w:val="000000"/>
        </w:rPr>
      </w:pPr>
    </w:p>
    <w:p w14:paraId="5DE6DB5F" w14:textId="6AE180C7" w:rsidR="00AB7CEA" w:rsidRPr="00C36922" w:rsidRDefault="003111A9" w:rsidP="00AE7429">
      <w:pPr>
        <w:spacing w:after="0" w:line="360" w:lineRule="auto"/>
      </w:pPr>
      <w:r w:rsidRPr="00C36922">
        <w:t xml:space="preserve">Por lo cual, se actualiza la causal de procedencia del Recurso de Revisión señalada en el artículo 179, fracción </w:t>
      </w:r>
      <w:r w:rsidR="00AB7CEA" w:rsidRPr="00C36922">
        <w:t>IX</w:t>
      </w:r>
      <w:r w:rsidRPr="00C36922">
        <w:t>, de la Ley en cita, pues la persona Recurrente se inconformó de la</w:t>
      </w:r>
      <w:r w:rsidR="00AB7CEA" w:rsidRPr="00C36922">
        <w:t xml:space="preserve"> entrega o puesta a disposición de información en un formato incomprensible o no accesible para el </w:t>
      </w:r>
      <w:r w:rsidR="00AE7429" w:rsidRPr="00C36922">
        <w:t>S</w:t>
      </w:r>
      <w:r w:rsidR="00AB7CEA" w:rsidRPr="00C36922">
        <w:t>olicitante.</w:t>
      </w:r>
    </w:p>
    <w:p w14:paraId="338150BB" w14:textId="77777777" w:rsidR="00AB7CEA" w:rsidRPr="00C36922" w:rsidRDefault="00AB7CEA" w:rsidP="00AE7429">
      <w:pPr>
        <w:spacing w:after="0" w:line="360" w:lineRule="auto"/>
        <w:rPr>
          <w:color w:val="auto"/>
        </w:rPr>
      </w:pPr>
    </w:p>
    <w:p w14:paraId="41EC8A8C" w14:textId="54F3A50D" w:rsidR="003111A9" w:rsidRPr="00C36922" w:rsidRDefault="00F076E4" w:rsidP="00AE7429">
      <w:pPr>
        <w:pStyle w:val="Ttulo2"/>
        <w:spacing w:before="0" w:line="360" w:lineRule="auto"/>
        <w:rPr>
          <w:rFonts w:ascii="Palatino Linotype" w:hAnsi="Palatino Linotype"/>
          <w:b/>
          <w:bCs/>
          <w:color w:val="auto"/>
          <w:sz w:val="22"/>
          <w:szCs w:val="22"/>
        </w:rPr>
      </w:pPr>
      <w:bookmarkStart w:id="13" w:name="_Toc189685434"/>
      <w:r w:rsidRPr="00C36922">
        <w:rPr>
          <w:rFonts w:ascii="Palatino Linotype" w:hAnsi="Palatino Linotype"/>
          <w:b/>
          <w:bCs/>
          <w:color w:val="auto"/>
          <w:sz w:val="22"/>
          <w:szCs w:val="22"/>
        </w:rPr>
        <w:t xml:space="preserve">TERCERO. </w:t>
      </w:r>
      <w:r w:rsidR="003111A9" w:rsidRPr="00C36922">
        <w:rPr>
          <w:rFonts w:ascii="Palatino Linotype" w:hAnsi="Palatino Linotype"/>
          <w:b/>
          <w:bCs/>
          <w:color w:val="auto"/>
          <w:sz w:val="22"/>
          <w:szCs w:val="22"/>
        </w:rPr>
        <w:t>Causales de sobreseimiento</w:t>
      </w:r>
      <w:bookmarkEnd w:id="13"/>
    </w:p>
    <w:p w14:paraId="3115315B" w14:textId="77777777" w:rsidR="00F076E4" w:rsidRPr="00C36922" w:rsidRDefault="00F076E4" w:rsidP="00AE7429">
      <w:pPr>
        <w:spacing w:after="0" w:line="360" w:lineRule="auto"/>
        <w:rPr>
          <w:b/>
          <w:color w:val="0D0D0D"/>
        </w:rPr>
      </w:pPr>
    </w:p>
    <w:p w14:paraId="444D7FE9" w14:textId="77777777" w:rsidR="00F076E4" w:rsidRPr="00C36922" w:rsidRDefault="00F076E4" w:rsidP="00AE7429">
      <w:pPr>
        <w:spacing w:after="0" w:line="360" w:lineRule="auto"/>
      </w:pPr>
      <w:r w:rsidRPr="00C36922">
        <w:t>Por ser de previo y especial pronunciamiento, este Instituto analiza si se actualiza alguna causal de sobreseimiento.</w:t>
      </w:r>
    </w:p>
    <w:p w14:paraId="2847B316" w14:textId="77777777" w:rsidR="00F076E4" w:rsidRPr="00C36922" w:rsidRDefault="00F076E4" w:rsidP="00AE7429">
      <w:pPr>
        <w:spacing w:after="0" w:line="360" w:lineRule="auto"/>
      </w:pPr>
      <w:r w:rsidRPr="00C36922">
        <w:lastRenderedPageBreak/>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C36922">
        <w:rPr>
          <w:b/>
          <w:bCs/>
        </w:rPr>
        <w:t>que no se actualizan los supuestos de sobreseimiento previstos en las fracciones I, II, IV y V</w:t>
      </w:r>
      <w:r w:rsidRPr="00C36922">
        <w:t xml:space="preserve">, del artículo en comento, lo anterior, en virtud de que no hay constancias en el expediente en que se actúa, de que la persona Recurrente se haya desistido del recurso, haya fallecido, o bien, se haya actualizado alguna causal de improcedencia. </w:t>
      </w:r>
    </w:p>
    <w:p w14:paraId="61AE2171" w14:textId="77777777" w:rsidR="00F076E4" w:rsidRPr="00C36922" w:rsidRDefault="00F076E4" w:rsidP="00AE7429">
      <w:pPr>
        <w:spacing w:after="0" w:line="360" w:lineRule="auto"/>
      </w:pPr>
    </w:p>
    <w:p w14:paraId="7045CCB5" w14:textId="5A9B7946" w:rsidR="00F076E4" w:rsidRPr="00C36922" w:rsidRDefault="00F076E4" w:rsidP="00AE7429">
      <w:pPr>
        <w:spacing w:after="0" w:line="360" w:lineRule="auto"/>
        <w:rPr>
          <w:color w:val="000000"/>
        </w:rPr>
      </w:pPr>
      <w:r w:rsidRPr="00C36922">
        <w:t>No obstante</w:t>
      </w:r>
      <w:r w:rsidRPr="00C36922">
        <w:rPr>
          <w:lang w:val="es-ES"/>
        </w:rPr>
        <w:t xml:space="preserve">, por lo que hace a la fracción III, del artículo 192, de la Ley de la materia, es de señalar que el Sujeto Obligado modificó su respuesta, durante la sustanciación del Medio de Impugnación; por lo que, se estima procedente entrar al estudio de dicha causal de sobreseimiento, para lo cual, es necesario precisar que el Particular </w:t>
      </w:r>
      <w:r w:rsidRPr="00C36922">
        <w:rPr>
          <w:color w:val="000000"/>
        </w:rPr>
        <w:t>requirió saber las obras públicas que se tienen programadas para el ejercicio fiscal dos mil veinticinco.</w:t>
      </w:r>
    </w:p>
    <w:p w14:paraId="39E49B39" w14:textId="77777777" w:rsidR="00F076E4" w:rsidRPr="00C36922" w:rsidRDefault="00F076E4" w:rsidP="00AE7429">
      <w:pPr>
        <w:spacing w:after="0" w:line="360" w:lineRule="auto"/>
        <w:rPr>
          <w:color w:val="000000"/>
        </w:rPr>
      </w:pPr>
    </w:p>
    <w:p w14:paraId="1E7F71E7" w14:textId="77777777" w:rsidR="00AE7429" w:rsidRPr="00C36922" w:rsidRDefault="00F076E4" w:rsidP="00AE7429">
      <w:pPr>
        <w:spacing w:after="0" w:line="360" w:lineRule="auto"/>
        <w:rPr>
          <w:color w:val="0D0D0D"/>
        </w:rPr>
      </w:pPr>
      <w:r w:rsidRPr="00C36922">
        <w:rPr>
          <w:color w:val="000000"/>
        </w:rPr>
        <w:t>En respuesta, el Sujeto Obligado, a través de la Dirección de Construcción mencionó que después de una búsqueda exhaustiva y razonable en sus archivos donde localizó el Programa Anual de Obra 2025</w:t>
      </w:r>
      <w:r w:rsidR="00AE7429" w:rsidRPr="00C36922">
        <w:rPr>
          <w:color w:val="000000"/>
        </w:rPr>
        <w:t>, mismo que adjuntó</w:t>
      </w:r>
      <w:r w:rsidRPr="00C36922">
        <w:rPr>
          <w:rFonts w:eastAsia="Times New Roman" w:cs="Tahoma"/>
          <w:color w:val="auto"/>
          <w:lang w:eastAsia="es-ES"/>
        </w:rPr>
        <w:t>; a</w:t>
      </w:r>
      <w:r w:rsidRPr="00C36922">
        <w:rPr>
          <w:rFonts w:cs="Tahoma"/>
          <w:lang w:val="es-ES"/>
        </w:rPr>
        <w:t xml:space="preserve">nte dicha circunstancia, el Particular se inconformó de la entrega de información en un formato incomprensible, al mencionar que </w:t>
      </w:r>
      <w:r w:rsidRPr="00C36922">
        <w:rPr>
          <w:rFonts w:cs="Tahoma"/>
        </w:rPr>
        <w:t>están borrosas y tienen poca claridad</w:t>
      </w:r>
      <w:r w:rsidRPr="00C36922">
        <w:rPr>
          <w:rFonts w:cs="Tahoma"/>
          <w:lang w:val="es-ES"/>
        </w:rPr>
        <w:t xml:space="preserve">, lo cual </w:t>
      </w:r>
      <w:r w:rsidRPr="00C36922">
        <w:rPr>
          <w:rFonts w:eastAsia="Calibri" w:cs="Tahoma"/>
        </w:rPr>
        <w:t>actualiza la causal de procedencia prevista en la fracción IX, del artículo 179 de la Ley de Transparencia y Acceso a la Información Pública del Estado de México y Municipios</w:t>
      </w:r>
      <w:r w:rsidRPr="00C36922">
        <w:rPr>
          <w:color w:val="0D0D0D"/>
        </w:rPr>
        <w:t>.</w:t>
      </w:r>
    </w:p>
    <w:p w14:paraId="5BBA78BD" w14:textId="77777777" w:rsidR="00AE7429" w:rsidRPr="00C36922" w:rsidRDefault="00AE7429" w:rsidP="00AE7429">
      <w:pPr>
        <w:spacing w:after="0" w:line="360" w:lineRule="auto"/>
        <w:rPr>
          <w:color w:val="0D0D0D"/>
        </w:rPr>
      </w:pPr>
    </w:p>
    <w:p w14:paraId="3A3D6834" w14:textId="48D9B6B3" w:rsidR="00F076E4" w:rsidRPr="00C36922" w:rsidRDefault="00F076E4" w:rsidP="00AE7429">
      <w:pPr>
        <w:spacing w:after="0" w:line="360" w:lineRule="auto"/>
        <w:rPr>
          <w:rFonts w:cs="Tahoma"/>
          <w:i/>
          <w:iCs/>
          <w:sz w:val="20"/>
          <w:szCs w:val="20"/>
          <w:u w:val="single"/>
          <w:lang w:val="es-ES_tradnl"/>
        </w:rPr>
      </w:pPr>
      <w:r w:rsidRPr="00C36922">
        <w:rPr>
          <w:color w:val="000000"/>
        </w:rPr>
        <w:t xml:space="preserve">Así las cosas, una vez admitido y notificado el Recurso a las partes, </w:t>
      </w:r>
      <w:r w:rsidRPr="00C36922">
        <w:rPr>
          <w:rFonts w:cs="Tahoma"/>
          <w:iCs/>
          <w:lang w:val="es-ES"/>
        </w:rPr>
        <w:t xml:space="preserve">el Sujeto Obligado a través de la Dirección de Construcción mencionó que con el fin de subsanar la respuesta anexa el formato digital del Programa Anual de Obras, aprobado por el Consejo Directivo el </w:t>
      </w:r>
      <w:r w:rsidRPr="00C36922">
        <w:rPr>
          <w:rFonts w:cs="Tahoma"/>
          <w:iCs/>
          <w:lang w:val="es-ES"/>
        </w:rPr>
        <w:lastRenderedPageBreak/>
        <w:t>treinta y uno de diciembre de dos mil veinticuatro</w:t>
      </w:r>
      <w:r w:rsidR="00AE7429" w:rsidRPr="00C36922">
        <w:rPr>
          <w:rFonts w:cs="Tahoma"/>
          <w:iCs/>
          <w:lang w:val="es-ES"/>
        </w:rPr>
        <w:t xml:space="preserve"> y </w:t>
      </w:r>
      <w:r w:rsidRPr="00C36922">
        <w:rPr>
          <w:rFonts w:cs="Tahoma"/>
          <w:iCs/>
          <w:lang w:val="es-ES"/>
        </w:rPr>
        <w:t>aclaró que son los documentos que obran en sus archivos.</w:t>
      </w:r>
    </w:p>
    <w:p w14:paraId="33DC924F" w14:textId="77777777" w:rsidR="00F076E4" w:rsidRPr="00C36922" w:rsidRDefault="00F076E4" w:rsidP="00AE7429">
      <w:pPr>
        <w:spacing w:after="0" w:line="360" w:lineRule="auto"/>
        <w:rPr>
          <w:lang w:val="es-ES"/>
        </w:rPr>
      </w:pPr>
    </w:p>
    <w:p w14:paraId="2FE5B1C6" w14:textId="77777777" w:rsidR="00F076E4" w:rsidRPr="00C36922" w:rsidRDefault="00F076E4" w:rsidP="00AE7429">
      <w:pPr>
        <w:spacing w:after="0" w:line="360" w:lineRule="auto"/>
        <w:rPr>
          <w:bCs/>
        </w:rPr>
      </w:pPr>
      <w:r w:rsidRPr="00C36922">
        <w:rPr>
          <w:iCs/>
        </w:rPr>
        <w:t xml:space="preserve">Lo anterior, se desprende de las documentales que obran en los expedientes de referencia, materia de la presente resolución, consistente en: la solicitud de acceso a la información; la respuesta del Sujeto Obligado; el escrito recursal y el Informe Justificado; </w:t>
      </w:r>
      <w:r w:rsidRPr="00C36922">
        <w:rPr>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19E1CC71" w14:textId="77777777" w:rsidR="00F076E4" w:rsidRPr="00C36922" w:rsidRDefault="00F076E4" w:rsidP="00AE7429">
      <w:pPr>
        <w:spacing w:after="0" w:line="360" w:lineRule="auto"/>
        <w:rPr>
          <w:bCs/>
        </w:rPr>
      </w:pPr>
    </w:p>
    <w:p w14:paraId="066CBC2C" w14:textId="14788D6B" w:rsidR="00F076E4" w:rsidRPr="00C36922" w:rsidRDefault="00F076E4" w:rsidP="00AE7429">
      <w:pPr>
        <w:spacing w:after="0" w:line="360" w:lineRule="auto"/>
        <w:rPr>
          <w:bCs/>
          <w:iCs/>
        </w:rPr>
      </w:pPr>
      <w:r w:rsidRPr="00C36922">
        <w:rPr>
          <w:bCs/>
          <w:iCs/>
        </w:rPr>
        <w:t>Expuesto lo anterior, se procede al análisis del agravio hecho valer por la persona Recurrente, concerniente a la entrega de información en un formato incomprensible; por lo que, en principio es necesario contextualizar la solicitud de información.</w:t>
      </w:r>
    </w:p>
    <w:p w14:paraId="3B514963" w14:textId="77777777" w:rsidR="00FD6103" w:rsidRPr="00C36922" w:rsidRDefault="00FD6103" w:rsidP="00AE7429">
      <w:pPr>
        <w:spacing w:after="0" w:line="360" w:lineRule="auto"/>
        <w:rPr>
          <w:bCs/>
          <w:iCs/>
        </w:rPr>
      </w:pPr>
    </w:p>
    <w:p w14:paraId="19339FE4" w14:textId="77777777" w:rsidR="00F076E4" w:rsidRPr="00C36922" w:rsidRDefault="00F076E4" w:rsidP="00AE7429">
      <w:pPr>
        <w:spacing w:after="0" w:line="360" w:lineRule="auto"/>
        <w:rPr>
          <w:rFonts w:eastAsia="Calibri" w:cs="Times New Roman"/>
        </w:rPr>
      </w:pPr>
      <w:r w:rsidRPr="00C36922">
        <w:t xml:space="preserve">Al respecto, </w:t>
      </w:r>
      <w:r w:rsidRPr="00C36922">
        <w:rPr>
          <w:rFonts w:eastAsia="Calibri" w:cs="Times New Roman"/>
        </w:rPr>
        <w:t xml:space="preserve">el artículo 12.4 del Código Administrativo del Estado de México, establece que las obras públicas son aquellas cuyo objeto principal sea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w:t>
      </w:r>
    </w:p>
    <w:p w14:paraId="6C899BAF" w14:textId="77777777" w:rsidR="00F076E4" w:rsidRPr="00C36922" w:rsidRDefault="00F076E4" w:rsidP="00AE7429">
      <w:pPr>
        <w:spacing w:after="0" w:line="360" w:lineRule="auto"/>
        <w:rPr>
          <w:rFonts w:eastAsia="Times New Roman" w:cs="Tahoma"/>
          <w:color w:val="auto"/>
          <w:lang w:val="es-ES" w:eastAsia="es-ES"/>
        </w:rPr>
      </w:pPr>
    </w:p>
    <w:p w14:paraId="3070EBD9" w14:textId="77777777" w:rsidR="00F076E4" w:rsidRPr="00C36922" w:rsidRDefault="00F076E4" w:rsidP="00AE7429">
      <w:pPr>
        <w:spacing w:after="0" w:line="360" w:lineRule="auto"/>
        <w:rPr>
          <w:rFonts w:eastAsia="Times New Roman" w:cs="Times New Roman"/>
          <w:color w:val="auto"/>
          <w:lang w:val="es-ES" w:eastAsia="es-ES"/>
        </w:rPr>
      </w:pPr>
      <w:r w:rsidRPr="00C36922">
        <w:rPr>
          <w:rFonts w:eastAsia="Times New Roman" w:cs="Times New Roman"/>
          <w:bCs/>
          <w:color w:val="auto"/>
          <w:lang w:eastAsia="es-ES"/>
        </w:rPr>
        <w:t>Así, en el Marco Conceptual, en el apartado “Definición del Presupuesto”, del</w:t>
      </w:r>
      <w:r w:rsidRPr="00C36922">
        <w:t xml:space="preserve"> </w:t>
      </w:r>
      <w:r w:rsidRPr="00C36922">
        <w:rPr>
          <w:rFonts w:eastAsia="Times New Roman" w:cs="Times New Roman"/>
          <w:bCs/>
          <w:color w:val="auto"/>
          <w:lang w:eastAsia="es-ES"/>
        </w:rPr>
        <w:t xml:space="preserve">Manual para la Planeación, Programación y Presupuesto de Egresos Municipal para el Ejercicio Fiscal 2024, establece que el Presupuesto es la estimación financiera anticipada de los ingresos y egresos del gobierno, necesarios para cumplir con los objetivos establecidos; además, que el </w:t>
      </w:r>
      <w:r w:rsidRPr="00C36922">
        <w:rPr>
          <w:rFonts w:eastAsia="Times New Roman" w:cs="Times New Roman"/>
          <w:bCs/>
          <w:color w:val="auto"/>
          <w:lang w:eastAsia="es-ES"/>
        </w:rPr>
        <w:lastRenderedPageBreak/>
        <w:t>mismo involucra planes, políticas, programas, proyectos, estrategias y objetivos del municipio.</w:t>
      </w:r>
    </w:p>
    <w:p w14:paraId="7714B6B3" w14:textId="77777777" w:rsidR="00F076E4" w:rsidRPr="00C36922" w:rsidRDefault="00F076E4" w:rsidP="00AE7429">
      <w:pPr>
        <w:spacing w:after="0" w:line="360" w:lineRule="auto"/>
        <w:rPr>
          <w:rFonts w:eastAsia="Times New Roman" w:cs="Tahoma"/>
          <w:iCs/>
          <w:color w:val="auto"/>
          <w:lang w:eastAsia="es-ES"/>
        </w:rPr>
      </w:pPr>
    </w:p>
    <w:p w14:paraId="70B1ED2E" w14:textId="77777777" w:rsidR="00F076E4" w:rsidRPr="00C36922" w:rsidRDefault="00F076E4" w:rsidP="00AE7429">
      <w:pPr>
        <w:spacing w:after="0" w:line="360" w:lineRule="auto"/>
        <w:rPr>
          <w:rFonts w:eastAsia="Times New Roman" w:cs="Times New Roman"/>
          <w:color w:val="auto"/>
          <w:lang w:val="es-ES" w:eastAsia="es-ES"/>
        </w:rPr>
      </w:pPr>
      <w:r w:rsidRPr="00C36922">
        <w:rPr>
          <w:rFonts w:eastAsia="Times New Roman" w:cs="Times New Roman"/>
          <w:color w:val="auto"/>
          <w:lang w:val="es-ES" w:eastAsia="es-ES"/>
        </w:rPr>
        <w:t>Por otra parte, en los Lineamientos generales, del apartado del Presupuesto de Egresos Municipal (Tercera etapa), de dicho ordenamiento, establece los Formatos que integran el Proyecto de Presupuesto de Egresos, entre los cuales, se encuentra el Programa Anual de Obra (PbRM E-07a).</w:t>
      </w:r>
    </w:p>
    <w:p w14:paraId="5439F71F" w14:textId="77777777" w:rsidR="00591D8A" w:rsidRPr="00C36922" w:rsidRDefault="00591D8A" w:rsidP="00AE7429">
      <w:pPr>
        <w:spacing w:after="0" w:line="360" w:lineRule="auto"/>
        <w:rPr>
          <w:rFonts w:eastAsia="Times New Roman" w:cs="Times New Roman"/>
          <w:color w:val="auto"/>
          <w:lang w:val="es-ES" w:eastAsia="es-ES"/>
        </w:rPr>
      </w:pPr>
    </w:p>
    <w:p w14:paraId="19138881" w14:textId="1C68AEE4" w:rsidR="00591D8A" w:rsidRPr="00C36922" w:rsidRDefault="00591D8A" w:rsidP="00AE7429">
      <w:pPr>
        <w:spacing w:after="0" w:line="360" w:lineRule="auto"/>
      </w:pPr>
      <w:r w:rsidRPr="00C36922">
        <w:rPr>
          <w:rFonts w:eastAsia="Times New Roman" w:cs="Times New Roman"/>
          <w:color w:val="auto"/>
          <w:lang w:val="es-ES" w:eastAsia="es-ES"/>
        </w:rPr>
        <w:t xml:space="preserve">Ahora bien, el artículo 30 y 70 del Reglamento Interno del </w:t>
      </w:r>
      <w:r w:rsidR="00AE7429" w:rsidRPr="00C36922">
        <w:t>Organismo Público Descentralizado para la Prestación de los Servicios de Agua Potable Alcantarillado y Saneamiento del Municipio de Tlalnepantla de Baz</w:t>
      </w:r>
      <w:r w:rsidRPr="00C36922">
        <w:t xml:space="preserve">, establece que, para el ejercicio de las atribuciones y responsabilidades, así como para el estudio, planeación y despacho de los asuntos en diversos ramos de la Administración del Organismo, la persona titular de la Dirección General se auxiliará de </w:t>
      </w:r>
      <w:r w:rsidR="00951D99" w:rsidRPr="00C36922">
        <w:t>una Dirección de Construcción la cual se encargará de integrar y proponer el Programa Anual de Obra de acuerdo a normatividad aplicable en la materia, misma que será presentada ante el Director General para que, a su vez, una vez aprobada por éste, pueda presentarse al Consejo Directivo del Organismo.</w:t>
      </w:r>
    </w:p>
    <w:p w14:paraId="02CFA96A" w14:textId="77777777" w:rsidR="00951D99" w:rsidRPr="00C36922" w:rsidRDefault="00951D99" w:rsidP="00AE7429">
      <w:pPr>
        <w:spacing w:after="0" w:line="360" w:lineRule="auto"/>
      </w:pPr>
    </w:p>
    <w:p w14:paraId="2B36FEA2" w14:textId="77777777" w:rsidR="00BC0DCD" w:rsidRPr="00C36922" w:rsidRDefault="00951D99" w:rsidP="00AE7429">
      <w:pPr>
        <w:spacing w:after="0" w:line="360" w:lineRule="auto"/>
        <w:rPr>
          <w:color w:val="000000"/>
        </w:rPr>
      </w:pPr>
      <w:r w:rsidRPr="00C36922">
        <w:rPr>
          <w:rFonts w:cs="Tahoma"/>
          <w:bCs/>
        </w:rPr>
        <w:t xml:space="preserve">Conforme a lo anterior, se logra advertir que la pretensión de la persona Recurrente es obtener </w:t>
      </w:r>
      <w:r w:rsidRPr="00C36922">
        <w:rPr>
          <w:color w:val="000000"/>
        </w:rPr>
        <w:t>el Programa Anual de Obras del ejercicio fiscal dos mil veinticinco</w:t>
      </w:r>
      <w:r w:rsidR="00AE7429" w:rsidRPr="00C36922">
        <w:rPr>
          <w:color w:val="000000"/>
        </w:rPr>
        <w:t xml:space="preserve">; establecido lo anterior, de las constancias que obran en el expediente se advierte que se turnó la solicitud de información a la </w:t>
      </w:r>
      <w:r w:rsidRPr="00C36922">
        <w:rPr>
          <w:color w:val="000000"/>
        </w:rPr>
        <w:t>Dirección de Construcción</w:t>
      </w:r>
      <w:r w:rsidR="00BC0DCD" w:rsidRPr="00C36922">
        <w:rPr>
          <w:color w:val="000000"/>
        </w:rPr>
        <w:t>.</w:t>
      </w:r>
    </w:p>
    <w:p w14:paraId="019382F2" w14:textId="77777777" w:rsidR="00BC0DCD" w:rsidRPr="00C36922" w:rsidRDefault="00BC0DCD" w:rsidP="00AE7429">
      <w:pPr>
        <w:spacing w:after="0" w:line="360" w:lineRule="auto"/>
        <w:rPr>
          <w:color w:val="000000"/>
        </w:rPr>
      </w:pPr>
    </w:p>
    <w:p w14:paraId="00A97B5B" w14:textId="70F2BC1B" w:rsidR="00951D99" w:rsidRPr="00C36922" w:rsidRDefault="00BC0DCD" w:rsidP="00AE7429">
      <w:pPr>
        <w:spacing w:after="0" w:line="360" w:lineRule="auto"/>
      </w:pPr>
      <w:r w:rsidRPr="00C36922">
        <w:t>P</w:t>
      </w:r>
      <w:r w:rsidR="00951D99" w:rsidRPr="00C36922">
        <w:t xml:space="preserve">or lo que, es oportuno hacer referencia al </w:t>
      </w:r>
      <w:r w:rsidR="00951D99" w:rsidRPr="00C36922">
        <w:rPr>
          <w:b/>
        </w:rPr>
        <w:t>procedimiento de búsqueda que deben de seguir los Sujetos Obligados para localizar la información</w:t>
      </w:r>
      <w:r w:rsidR="00951D99" w:rsidRPr="00C36922">
        <w:t xml:space="preserve">, el cual se encuentra previsto en el </w:t>
      </w:r>
      <w:r w:rsidR="00951D99" w:rsidRPr="00C36922">
        <w:lastRenderedPageBreak/>
        <w:t>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w:t>
      </w:r>
      <w:r w:rsidRPr="00C36922">
        <w:t>,</w:t>
      </w:r>
      <w:r w:rsidR="00951D99" w:rsidRPr="00C36922">
        <w:t xml:space="preserve"> con el objeto de que dichas áreas realicen una búsqueda exhaustiva y razonable de la información requerida.</w:t>
      </w:r>
    </w:p>
    <w:p w14:paraId="00EE04F0" w14:textId="77777777" w:rsidR="00951D99" w:rsidRPr="00C36922" w:rsidRDefault="00951D99" w:rsidP="00AE7429">
      <w:pPr>
        <w:widowControl w:val="0"/>
        <w:spacing w:after="0" w:line="360" w:lineRule="auto"/>
      </w:pPr>
    </w:p>
    <w:p w14:paraId="46402B7A" w14:textId="5BD2E5B5" w:rsidR="00951D99" w:rsidRPr="00C36922" w:rsidRDefault="00951D99" w:rsidP="00AE7429">
      <w:pPr>
        <w:spacing w:after="0" w:line="360" w:lineRule="auto"/>
        <w:rPr>
          <w:bCs/>
          <w:iCs/>
        </w:rPr>
      </w:pPr>
      <w:r w:rsidRPr="00C36922">
        <w:t xml:space="preserve">Conforme a lo establecido en párrafos anteriores, </w:t>
      </w:r>
      <w:r w:rsidRPr="00C36922">
        <w:rPr>
          <w:bCs/>
          <w:iCs/>
        </w:rPr>
        <w:t>se advierte que el Sujeto Obligado, cumplió con el procedimiento de búsqueda previsto en el artículo 162 de la Ley de Transparencia y Acceso a la Información Pública del Estado de México y Municipios, toda vez que se pronunció el área competente de conocer lo solicitado.</w:t>
      </w:r>
    </w:p>
    <w:p w14:paraId="0FEF47C1" w14:textId="77777777" w:rsidR="00951D99" w:rsidRPr="00C36922" w:rsidRDefault="00951D99" w:rsidP="00AE7429">
      <w:pPr>
        <w:spacing w:after="0" w:line="360" w:lineRule="auto"/>
        <w:rPr>
          <w:bCs/>
          <w:iCs/>
        </w:rPr>
      </w:pPr>
    </w:p>
    <w:p w14:paraId="133AB505" w14:textId="7F9BBD89" w:rsidR="00951D99" w:rsidRPr="00C36922" w:rsidRDefault="00951D99" w:rsidP="00AE7429">
      <w:pPr>
        <w:spacing w:after="0" w:line="360" w:lineRule="auto"/>
        <w:rPr>
          <w:color w:val="000000"/>
        </w:rPr>
      </w:pPr>
      <w:r w:rsidRPr="00C36922">
        <w:rPr>
          <w:bCs/>
          <w:iCs/>
        </w:rPr>
        <w:t xml:space="preserve">Ahora bien, en respuesta, </w:t>
      </w:r>
      <w:r w:rsidRPr="00C36922">
        <w:rPr>
          <w:color w:val="000000"/>
        </w:rPr>
        <w:t>la Dirección de Construcción mencionó que después de una búsqueda exhaustiva y razonable en sus archivos</w:t>
      </w:r>
      <w:r w:rsidR="00AE7429" w:rsidRPr="00C36922">
        <w:rPr>
          <w:color w:val="000000"/>
        </w:rPr>
        <w:t xml:space="preserve">, </w:t>
      </w:r>
      <w:r w:rsidRPr="00C36922">
        <w:rPr>
          <w:color w:val="000000"/>
        </w:rPr>
        <w:t xml:space="preserve">localizó el Programa Anual de Obra </w:t>
      </w:r>
      <w:r w:rsidR="00AE7429" w:rsidRPr="00C36922">
        <w:rPr>
          <w:color w:val="000000"/>
        </w:rPr>
        <w:t>del ejercicio fiscal dos mil veinticinco</w:t>
      </w:r>
      <w:r w:rsidRPr="00C36922">
        <w:rPr>
          <w:color w:val="000000"/>
        </w:rPr>
        <w:t>, tal y como se muestra a continuación:</w:t>
      </w:r>
    </w:p>
    <w:p w14:paraId="5D1D47F8" w14:textId="77777777" w:rsidR="00951D99" w:rsidRPr="00C36922" w:rsidRDefault="00951D99" w:rsidP="00AE7429">
      <w:pPr>
        <w:spacing w:after="0" w:line="360" w:lineRule="auto"/>
        <w:rPr>
          <w:color w:val="000000"/>
        </w:rPr>
      </w:pPr>
    </w:p>
    <w:p w14:paraId="1D40A0F6" w14:textId="67F0032B" w:rsidR="00951D99" w:rsidRPr="00C36922" w:rsidRDefault="00951D99" w:rsidP="00AE7429">
      <w:pPr>
        <w:spacing w:after="0" w:line="360" w:lineRule="auto"/>
        <w:jc w:val="center"/>
        <w:rPr>
          <w:color w:val="000000"/>
        </w:rPr>
      </w:pPr>
      <w:r w:rsidRPr="00C36922">
        <w:rPr>
          <w:noProof/>
          <w:color w:val="000000"/>
          <w:lang w:eastAsia="es-MX"/>
        </w:rPr>
        <w:drawing>
          <wp:inline distT="0" distB="0" distL="0" distR="0" wp14:anchorId="7DB685F9" wp14:editId="677A15EF">
            <wp:extent cx="5628044" cy="2228215"/>
            <wp:effectExtent l="0" t="0" r="0" b="635"/>
            <wp:docPr id="94239369" name="Imagen 3" descr="Calendar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9369" name="Imagen 3" descr="Calendario&#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t="1245" r="1137" b="725"/>
                    <a:stretch/>
                  </pic:blipFill>
                  <pic:spPr bwMode="auto">
                    <a:xfrm>
                      <a:off x="0" y="0"/>
                      <a:ext cx="5675969" cy="2247189"/>
                    </a:xfrm>
                    <a:prstGeom prst="rect">
                      <a:avLst/>
                    </a:prstGeom>
                    <a:ln>
                      <a:noFill/>
                    </a:ln>
                    <a:extLst>
                      <a:ext uri="{53640926-AAD7-44D8-BBD7-CCE9431645EC}">
                        <a14:shadowObscured xmlns:a14="http://schemas.microsoft.com/office/drawing/2010/main"/>
                      </a:ext>
                    </a:extLst>
                  </pic:spPr>
                </pic:pic>
              </a:graphicData>
            </a:graphic>
          </wp:inline>
        </w:drawing>
      </w:r>
    </w:p>
    <w:p w14:paraId="41B61B8F" w14:textId="77777777" w:rsidR="00BC0DCD" w:rsidRPr="00C36922" w:rsidRDefault="00BC0DCD" w:rsidP="00AE7429">
      <w:pPr>
        <w:spacing w:after="0" w:line="360" w:lineRule="auto"/>
        <w:rPr>
          <w:color w:val="000000"/>
        </w:rPr>
      </w:pPr>
    </w:p>
    <w:p w14:paraId="1D600B40" w14:textId="77777777" w:rsidR="00BC0DCD" w:rsidRPr="00C36922" w:rsidRDefault="00BC0DCD" w:rsidP="00AE7429">
      <w:pPr>
        <w:spacing w:after="0" w:line="360" w:lineRule="auto"/>
        <w:rPr>
          <w:color w:val="000000"/>
        </w:rPr>
      </w:pPr>
    </w:p>
    <w:p w14:paraId="3EDA4663" w14:textId="51A85447" w:rsidR="00951D99" w:rsidRPr="00C36922" w:rsidRDefault="008E7144" w:rsidP="00AE7429">
      <w:pPr>
        <w:spacing w:after="0" w:line="360" w:lineRule="auto"/>
        <w:rPr>
          <w:color w:val="000000"/>
        </w:rPr>
      </w:pPr>
      <w:r w:rsidRPr="00C36922">
        <w:rPr>
          <w:color w:val="000000"/>
        </w:rPr>
        <w:t xml:space="preserve">De lo anterior se observa que, si bien el Sujeto Obligado entregó el Programa Anual de Obras </w:t>
      </w:r>
      <w:r w:rsidR="00AE7429" w:rsidRPr="00C36922">
        <w:rPr>
          <w:color w:val="000000"/>
        </w:rPr>
        <w:t>solicitado</w:t>
      </w:r>
      <w:r w:rsidRPr="00C36922">
        <w:rPr>
          <w:color w:val="000000"/>
        </w:rPr>
        <w:t>, se encuentra ilegible en varias secciones por lo que no se puede visualizar con claridad</w:t>
      </w:r>
      <w:r w:rsidR="00AE7429" w:rsidRPr="00C36922">
        <w:rPr>
          <w:color w:val="000000"/>
        </w:rPr>
        <w:t xml:space="preserve"> su contenido, lo cual implica que la información sea inaccesible.</w:t>
      </w:r>
    </w:p>
    <w:p w14:paraId="095F6F7B" w14:textId="77777777" w:rsidR="008E7144" w:rsidRPr="00C36922" w:rsidRDefault="008E7144" w:rsidP="00AE7429">
      <w:pPr>
        <w:spacing w:after="0" w:line="360" w:lineRule="auto"/>
        <w:rPr>
          <w:color w:val="000000"/>
        </w:rPr>
      </w:pPr>
    </w:p>
    <w:p w14:paraId="4AAA2E94" w14:textId="7563B12C" w:rsidR="00951D99" w:rsidRPr="00C36922" w:rsidRDefault="00AE7429" w:rsidP="00AE7429">
      <w:pPr>
        <w:spacing w:after="0" w:line="360" w:lineRule="auto"/>
        <w:rPr>
          <w:rFonts w:cs="Tahoma"/>
          <w:iCs/>
          <w:lang w:val="es-ES"/>
        </w:rPr>
      </w:pPr>
      <w:r w:rsidRPr="00C36922">
        <w:rPr>
          <w:rFonts w:cs="Tahoma"/>
          <w:bCs/>
          <w:iCs/>
          <w:lang w:val="es-ES" w:eastAsia="es-ES"/>
        </w:rPr>
        <w:t>N</w:t>
      </w:r>
      <w:r w:rsidR="000C6F04" w:rsidRPr="00C36922">
        <w:rPr>
          <w:rFonts w:eastAsia="Calibri" w:cs="Times New Roman"/>
          <w:color w:val="000000"/>
        </w:rPr>
        <w:t>o</w:t>
      </w:r>
      <w:r w:rsidRPr="00C36922">
        <w:rPr>
          <w:rFonts w:eastAsia="Calibri" w:cs="Times New Roman"/>
          <w:color w:val="000000"/>
        </w:rPr>
        <w:t xml:space="preserve"> o</w:t>
      </w:r>
      <w:r w:rsidR="000C6F04" w:rsidRPr="00C36922">
        <w:rPr>
          <w:rFonts w:eastAsia="Calibri" w:cs="Times New Roman"/>
          <w:color w:val="000000"/>
        </w:rPr>
        <w:t xml:space="preserve">bstante, durante la sustanciación del </w:t>
      </w:r>
      <w:r w:rsidRPr="00C36922">
        <w:rPr>
          <w:rFonts w:eastAsia="Calibri" w:cs="Times New Roman"/>
          <w:color w:val="000000"/>
        </w:rPr>
        <w:t>M</w:t>
      </w:r>
      <w:r w:rsidR="000C6F04" w:rsidRPr="00C36922">
        <w:rPr>
          <w:rFonts w:eastAsia="Calibri" w:cs="Times New Roman"/>
          <w:color w:val="000000"/>
        </w:rPr>
        <w:t xml:space="preserve">edio de </w:t>
      </w:r>
      <w:r w:rsidRPr="00C36922">
        <w:rPr>
          <w:rFonts w:eastAsia="Calibri" w:cs="Times New Roman"/>
          <w:color w:val="000000"/>
        </w:rPr>
        <w:t>I</w:t>
      </w:r>
      <w:r w:rsidR="000C6F04" w:rsidRPr="00C36922">
        <w:rPr>
          <w:rFonts w:eastAsia="Calibri" w:cs="Times New Roman"/>
          <w:color w:val="000000"/>
        </w:rPr>
        <w:t xml:space="preserve">mpugnación, la Dirección de Construcción </w:t>
      </w:r>
      <w:r w:rsidR="00951D99" w:rsidRPr="00C36922">
        <w:rPr>
          <w:rFonts w:cs="Tahoma"/>
          <w:iCs/>
          <w:lang w:val="es-ES"/>
        </w:rPr>
        <w:t xml:space="preserve">mencionó </w:t>
      </w:r>
      <w:r w:rsidR="00FD6103" w:rsidRPr="00C36922">
        <w:rPr>
          <w:rFonts w:cs="Tahoma"/>
          <w:iCs/>
          <w:lang w:val="es-ES"/>
        </w:rPr>
        <w:t>que,</w:t>
      </w:r>
      <w:r w:rsidR="00951D99" w:rsidRPr="00C36922">
        <w:rPr>
          <w:rFonts w:cs="Tahoma"/>
          <w:iCs/>
          <w:lang w:val="es-ES"/>
        </w:rPr>
        <w:t xml:space="preserve"> con el fin de subsanar l</w:t>
      </w:r>
      <w:r w:rsidRPr="00C36922">
        <w:rPr>
          <w:rFonts w:cs="Tahoma"/>
          <w:iCs/>
          <w:lang w:val="es-ES"/>
        </w:rPr>
        <w:t>a inaccesibilidad, proporcionaba</w:t>
      </w:r>
      <w:r w:rsidR="00951D99" w:rsidRPr="00C36922">
        <w:rPr>
          <w:rFonts w:cs="Tahoma"/>
          <w:iCs/>
          <w:lang w:val="es-ES"/>
        </w:rPr>
        <w:t xml:space="preserve"> el formato digital del Programa Anual de Obras</w:t>
      </w:r>
      <w:r w:rsidRPr="00C36922">
        <w:rPr>
          <w:rFonts w:cs="Tahoma"/>
          <w:iCs/>
          <w:lang w:val="es-ES"/>
        </w:rPr>
        <w:t xml:space="preserve"> del ejercicio fiscal dos mil veinticinco</w:t>
      </w:r>
      <w:r w:rsidR="003A7FDE" w:rsidRPr="00C36922">
        <w:rPr>
          <w:rFonts w:cs="Tahoma"/>
          <w:iCs/>
          <w:lang w:val="es-ES"/>
        </w:rPr>
        <w:t xml:space="preserve">, </w:t>
      </w:r>
      <w:r w:rsidRPr="00C36922">
        <w:rPr>
          <w:rFonts w:cs="Tahoma"/>
          <w:iCs/>
          <w:lang w:val="es-ES"/>
        </w:rPr>
        <w:t xml:space="preserve">tal </w:t>
      </w:r>
      <w:r w:rsidR="003A7FDE" w:rsidRPr="00C36922">
        <w:rPr>
          <w:rFonts w:cs="Tahoma"/>
          <w:iCs/>
          <w:lang w:val="es-ES"/>
        </w:rPr>
        <w:t>como se muestra a continuación:</w:t>
      </w:r>
    </w:p>
    <w:p w14:paraId="4F40C5D1" w14:textId="77777777" w:rsidR="003A7FDE" w:rsidRPr="00C36922" w:rsidRDefault="003A7FDE" w:rsidP="00AE7429">
      <w:pPr>
        <w:spacing w:after="0" w:line="360" w:lineRule="auto"/>
        <w:rPr>
          <w:rFonts w:cs="Tahoma"/>
          <w:iCs/>
          <w:lang w:val="es-ES"/>
        </w:rPr>
      </w:pPr>
    </w:p>
    <w:p w14:paraId="00B26258" w14:textId="186C3A34" w:rsidR="000C6F04" w:rsidRPr="00C36922" w:rsidRDefault="003A7FDE" w:rsidP="00AE7429">
      <w:pPr>
        <w:spacing w:after="0" w:line="360" w:lineRule="auto"/>
        <w:jc w:val="center"/>
        <w:rPr>
          <w:rFonts w:cs="Tahoma"/>
          <w:iCs/>
          <w:lang w:val="es-ES"/>
        </w:rPr>
      </w:pPr>
      <w:r w:rsidRPr="00C36922">
        <w:rPr>
          <w:rFonts w:cs="Tahoma"/>
          <w:iCs/>
          <w:noProof/>
          <w:lang w:eastAsia="es-MX"/>
        </w:rPr>
        <w:drawing>
          <wp:inline distT="0" distB="0" distL="0" distR="0" wp14:anchorId="37999B5B" wp14:editId="3CFC4373">
            <wp:extent cx="5587940" cy="2247900"/>
            <wp:effectExtent l="0" t="0" r="0" b="0"/>
            <wp:docPr id="1321639590" name="Imagen 4" descr="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39590" name="Imagen 4" descr="Calendario&#10;&#10;Descripción generada automáticamente"/>
                    <pic:cNvPicPr/>
                  </pic:nvPicPr>
                  <pic:blipFill rotWithShape="1">
                    <a:blip r:embed="rId9">
                      <a:extLst>
                        <a:ext uri="{28A0092B-C50C-407E-A947-70E740481C1C}">
                          <a14:useLocalDpi xmlns:a14="http://schemas.microsoft.com/office/drawing/2010/main" val="0"/>
                        </a:ext>
                      </a:extLst>
                    </a:blip>
                    <a:srcRect l="1736" t="-1" r="15085" b="1731"/>
                    <a:stretch/>
                  </pic:blipFill>
                  <pic:spPr bwMode="auto">
                    <a:xfrm>
                      <a:off x="0" y="0"/>
                      <a:ext cx="5597749" cy="2251846"/>
                    </a:xfrm>
                    <a:prstGeom prst="rect">
                      <a:avLst/>
                    </a:prstGeom>
                    <a:ln>
                      <a:noFill/>
                    </a:ln>
                    <a:extLst>
                      <a:ext uri="{53640926-AAD7-44D8-BBD7-CCE9431645EC}">
                        <a14:shadowObscured xmlns:a14="http://schemas.microsoft.com/office/drawing/2010/main"/>
                      </a:ext>
                    </a:extLst>
                  </pic:spPr>
                </pic:pic>
              </a:graphicData>
            </a:graphic>
          </wp:inline>
        </w:drawing>
      </w:r>
    </w:p>
    <w:p w14:paraId="276112EF" w14:textId="77777777" w:rsidR="000C6F04" w:rsidRPr="00C36922" w:rsidRDefault="000C6F04" w:rsidP="00AE7429">
      <w:pPr>
        <w:spacing w:after="0" w:line="360" w:lineRule="auto"/>
        <w:rPr>
          <w:rFonts w:eastAsia="Calibri" w:cs="Times New Roman"/>
          <w:color w:val="000000"/>
        </w:rPr>
      </w:pPr>
    </w:p>
    <w:p w14:paraId="4FF8DD06" w14:textId="40549174" w:rsidR="00AE7429" w:rsidRPr="00C36922" w:rsidRDefault="00AE7429" w:rsidP="00AE7429">
      <w:pPr>
        <w:spacing w:after="0" w:line="360" w:lineRule="auto"/>
        <w:rPr>
          <w:rFonts w:eastAsia="Calibri" w:cs="Times New Roman"/>
          <w:color w:val="000000"/>
        </w:rPr>
      </w:pPr>
      <w:r w:rsidRPr="00C36922">
        <w:rPr>
          <w:rFonts w:eastAsia="Calibri" w:cs="Times New Roman"/>
          <w:color w:val="000000"/>
        </w:rPr>
        <w:t xml:space="preserve">En ese orden de ideas, este Instituto cotejo el documento entregado en respuesta, con el </w:t>
      </w:r>
      <w:r w:rsidR="00A35ADD" w:rsidRPr="00C36922">
        <w:rPr>
          <w:rFonts w:eastAsia="Calibri" w:cs="Times New Roman"/>
          <w:color w:val="000000"/>
        </w:rPr>
        <w:t>proporcionado</w:t>
      </w:r>
      <w:r w:rsidRPr="00C36922">
        <w:rPr>
          <w:rFonts w:eastAsia="Calibri" w:cs="Times New Roman"/>
          <w:color w:val="000000"/>
        </w:rPr>
        <w:t xml:space="preserve"> en Informe Justificado</w:t>
      </w:r>
      <w:r w:rsidR="00A35ADD" w:rsidRPr="00C36922">
        <w:rPr>
          <w:rFonts w:eastAsia="Calibri" w:cs="Times New Roman"/>
          <w:color w:val="000000"/>
        </w:rPr>
        <w:t>, y se logra colegir que el segundo, contiene la misma información que el primero, de manera legible; en otras palabras, ambos documentos contienen la misma información.</w:t>
      </w:r>
    </w:p>
    <w:p w14:paraId="11E15CAE" w14:textId="77777777" w:rsidR="00A35ADD" w:rsidRPr="00C36922" w:rsidRDefault="00A35ADD" w:rsidP="00AE7429">
      <w:pPr>
        <w:spacing w:after="0" w:line="360" w:lineRule="auto"/>
        <w:rPr>
          <w:rFonts w:eastAsia="Calibri" w:cs="Times New Roman"/>
          <w:color w:val="000000"/>
        </w:rPr>
      </w:pPr>
    </w:p>
    <w:p w14:paraId="70EFFD48" w14:textId="77777777" w:rsidR="00BC0DCD" w:rsidRPr="00C36922" w:rsidRDefault="00BC0DCD" w:rsidP="00AE7429">
      <w:pPr>
        <w:spacing w:after="0" w:line="360" w:lineRule="auto"/>
        <w:rPr>
          <w:rFonts w:eastAsia="Calibri" w:cs="Times New Roman"/>
          <w:color w:val="000000"/>
        </w:rPr>
      </w:pPr>
    </w:p>
    <w:p w14:paraId="13AA7385" w14:textId="77777777" w:rsidR="00BC0DCD" w:rsidRPr="00C36922" w:rsidRDefault="00BC0DCD" w:rsidP="00AE7429">
      <w:pPr>
        <w:spacing w:after="0" w:line="360" w:lineRule="auto"/>
        <w:rPr>
          <w:rFonts w:eastAsia="Calibri" w:cs="Times New Roman"/>
          <w:color w:val="000000"/>
        </w:rPr>
      </w:pPr>
    </w:p>
    <w:p w14:paraId="02BA23D4" w14:textId="62EB9B52" w:rsidR="00A35ADD" w:rsidRPr="00C36922" w:rsidRDefault="00A35ADD" w:rsidP="00A35ADD">
      <w:pPr>
        <w:spacing w:after="0" w:line="360" w:lineRule="auto"/>
        <w:rPr>
          <w:rFonts w:eastAsia="Times New Roman" w:cs="Tahoma"/>
          <w:color w:val="auto"/>
          <w:lang w:eastAsia="es-ES"/>
        </w:rPr>
      </w:pPr>
      <w:r w:rsidRPr="00C36922">
        <w:rPr>
          <w:rFonts w:eastAsia="Calibri" w:cs="Times New Roman"/>
          <w:color w:val="000000"/>
        </w:rPr>
        <w:t xml:space="preserve">De tal circunstancia, se logra vislumbrar que proporcionó el documento que obraba en sus archivos, que daba cuenta de lo solicitado, de manera legible; </w:t>
      </w:r>
      <w:r w:rsidRPr="00C36922">
        <w:rPr>
          <w:rFonts w:eastAsia="Times New Roman" w:cs="Times New Roman"/>
          <w:iCs/>
          <w:color w:val="auto"/>
          <w:lang w:eastAsia="es-ES"/>
        </w:rPr>
        <w:t>d</w:t>
      </w:r>
      <w:r w:rsidRPr="00C36922">
        <w:rPr>
          <w:rFonts w:eastAsia="Calibri" w:cs="Tahoma"/>
          <w:bCs/>
          <w:iCs/>
          <w:color w:val="auto"/>
        </w:rPr>
        <w:t>icha situación, toma sustento en</w:t>
      </w:r>
      <w:r w:rsidRPr="00C36922">
        <w:rPr>
          <w:rFonts w:eastAsia="Calibri" w:cs="Tahoma"/>
          <w:bCs/>
          <w:color w:val="auto"/>
        </w:rPr>
        <w:t xml:space="preserve"> el</w:t>
      </w:r>
      <w:r w:rsidRPr="00C36922">
        <w:rPr>
          <w:rFonts w:eastAsia="Times New Roman" w:cs="Tahoma"/>
          <w:color w:val="auto"/>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9FD3F74" w14:textId="77777777" w:rsidR="00A35ADD" w:rsidRPr="00C36922" w:rsidRDefault="00A35ADD" w:rsidP="00A35ADD">
      <w:pPr>
        <w:spacing w:after="0" w:line="360" w:lineRule="auto"/>
        <w:rPr>
          <w:rFonts w:eastAsia="Times New Roman" w:cs="Times New Roman"/>
          <w:iCs/>
          <w:color w:val="auto"/>
          <w:lang w:eastAsia="es-ES"/>
        </w:rPr>
      </w:pPr>
    </w:p>
    <w:p w14:paraId="43780AE7" w14:textId="77777777" w:rsidR="00A35ADD" w:rsidRPr="00C36922" w:rsidRDefault="00A35ADD" w:rsidP="00A35ADD">
      <w:pPr>
        <w:tabs>
          <w:tab w:val="left" w:pos="4962"/>
        </w:tabs>
        <w:spacing w:after="0" w:line="360" w:lineRule="auto"/>
        <w:rPr>
          <w:rFonts w:eastAsia="Times New Roman" w:cs="Tahoma"/>
          <w:color w:val="auto"/>
          <w:lang w:eastAsia="es-ES"/>
        </w:rPr>
      </w:pPr>
      <w:r w:rsidRPr="00C36922">
        <w:rPr>
          <w:rFonts w:eastAsia="Times New Roman" w:cs="Tahoma"/>
          <w:color w:val="auto"/>
          <w:lang w:eastAsia="es-ES"/>
        </w:rPr>
        <w:t xml:space="preserve">De esta manera, </w:t>
      </w:r>
      <w:r w:rsidRPr="00C36922">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C36922">
        <w:rPr>
          <w:rFonts w:eastAsia="Times New Roman" w:cs="Tahoma"/>
          <w:i/>
          <w:color w:val="auto"/>
          <w:lang w:eastAsia="es-ES"/>
        </w:rPr>
        <w:t>ad hoc</w:t>
      </w:r>
      <w:r w:rsidRPr="00C36922">
        <w:rPr>
          <w:rFonts w:eastAsia="Times New Roman" w:cs="Tahoma"/>
          <w:color w:val="auto"/>
          <w:lang w:eastAsia="es-E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6F470E84" w14:textId="77777777" w:rsidR="00A35ADD" w:rsidRPr="00C36922" w:rsidRDefault="00A35ADD" w:rsidP="00A35ADD">
      <w:pPr>
        <w:tabs>
          <w:tab w:val="left" w:pos="4962"/>
        </w:tabs>
        <w:spacing w:after="0" w:line="360" w:lineRule="auto"/>
        <w:rPr>
          <w:rFonts w:eastAsia="Arial" w:cs="Arial"/>
          <w:i/>
          <w:color w:val="auto"/>
          <w:sz w:val="20"/>
          <w:szCs w:val="20"/>
          <w:lang w:eastAsia="es-ES"/>
        </w:rPr>
      </w:pPr>
    </w:p>
    <w:p w14:paraId="33855A9A" w14:textId="309F69E0" w:rsidR="003A7FDE" w:rsidRPr="00C36922" w:rsidRDefault="00A35ADD" w:rsidP="00AE7429">
      <w:pPr>
        <w:spacing w:after="0" w:line="360" w:lineRule="auto"/>
        <w:rPr>
          <w:b/>
        </w:rPr>
      </w:pPr>
      <w:r w:rsidRPr="00C36922">
        <w:rPr>
          <w:rFonts w:eastAsia="Palatino Linotype" w:cs="Palatino Linotype"/>
          <w:color w:val="auto"/>
          <w:lang w:eastAsia="es-MX"/>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el Programa Anual de Obras, del primero de enero al treinta y uno de diciembre de dos mil veinticinco, de manera legible y accesible; </w:t>
      </w:r>
      <w:r w:rsidR="003A7FDE" w:rsidRPr="00C36922">
        <w:rPr>
          <w:bCs/>
          <w:lang w:val="es-ES"/>
        </w:rPr>
        <w:t>por lo que</w:t>
      </w:r>
      <w:r w:rsidR="003A7FDE" w:rsidRPr="00C36922">
        <w:rPr>
          <w:b/>
        </w:rPr>
        <w:t xml:space="preserve">, </w:t>
      </w:r>
      <w:r w:rsidRPr="00C36922">
        <w:rPr>
          <w:b/>
        </w:rPr>
        <w:t xml:space="preserve">se considera que el Sujeto Obligado </w:t>
      </w:r>
      <w:r w:rsidR="003A7FDE" w:rsidRPr="00C36922">
        <w:rPr>
          <w:b/>
        </w:rPr>
        <w:t>modificó su respuesta</w:t>
      </w:r>
      <w:r w:rsidRPr="00C36922">
        <w:rPr>
          <w:b/>
        </w:rPr>
        <w:t>, al entregar la expresión documental clara, lo cual da como resultado que</w:t>
      </w:r>
      <w:r w:rsidR="003A7FDE" w:rsidRPr="00C36922">
        <w:rPr>
          <w:b/>
        </w:rPr>
        <w:t xml:space="preserve"> la impugnación que se dirime ha</w:t>
      </w:r>
      <w:r w:rsidRPr="00C36922">
        <w:rPr>
          <w:b/>
        </w:rPr>
        <w:t>ya</w:t>
      </w:r>
      <w:r w:rsidR="003A7FDE" w:rsidRPr="00C36922">
        <w:rPr>
          <w:b/>
        </w:rPr>
        <w:t xml:space="preserve"> quedado sin materia.</w:t>
      </w:r>
    </w:p>
    <w:p w14:paraId="4DB81EC2" w14:textId="77777777" w:rsidR="003A7FDE" w:rsidRPr="00C36922" w:rsidRDefault="003A7FDE" w:rsidP="00AE7429">
      <w:pPr>
        <w:spacing w:after="0" w:line="360" w:lineRule="auto"/>
        <w:rPr>
          <w:b/>
        </w:rPr>
      </w:pPr>
    </w:p>
    <w:p w14:paraId="644212EC" w14:textId="77777777" w:rsidR="00BC0DCD" w:rsidRPr="00C36922" w:rsidRDefault="00BC0DCD" w:rsidP="00AE7429">
      <w:pPr>
        <w:spacing w:after="0" w:line="360" w:lineRule="auto"/>
        <w:rPr>
          <w:b/>
        </w:rPr>
      </w:pPr>
    </w:p>
    <w:p w14:paraId="401659B7" w14:textId="77777777" w:rsidR="003A7FDE" w:rsidRPr="00C36922" w:rsidRDefault="003A7FDE" w:rsidP="00AE7429">
      <w:pPr>
        <w:pStyle w:val="Ttulo2"/>
        <w:spacing w:before="0" w:line="360" w:lineRule="auto"/>
        <w:rPr>
          <w:rFonts w:ascii="Palatino Linotype" w:hAnsi="Palatino Linotype"/>
          <w:b/>
          <w:bCs/>
          <w:color w:val="auto"/>
          <w:sz w:val="22"/>
          <w:szCs w:val="22"/>
          <w:lang w:val="es-ES"/>
        </w:rPr>
      </w:pPr>
      <w:bookmarkStart w:id="14" w:name="_Toc189685435"/>
      <w:r w:rsidRPr="00C36922">
        <w:rPr>
          <w:rFonts w:ascii="Palatino Linotype" w:hAnsi="Palatino Linotype"/>
          <w:b/>
          <w:bCs/>
          <w:color w:val="auto"/>
          <w:sz w:val="22"/>
          <w:szCs w:val="22"/>
          <w:lang w:val="es-ES"/>
        </w:rPr>
        <w:t>CUARTO. Decisión</w:t>
      </w:r>
      <w:bookmarkEnd w:id="14"/>
    </w:p>
    <w:p w14:paraId="05840414" w14:textId="77777777" w:rsidR="00A35ADD" w:rsidRPr="00C36922" w:rsidRDefault="00A35ADD" w:rsidP="00AE7429">
      <w:pPr>
        <w:spacing w:after="0" w:line="360" w:lineRule="auto"/>
        <w:rPr>
          <w:b/>
          <w:bCs/>
          <w:lang w:val="es-ES"/>
        </w:rPr>
      </w:pPr>
    </w:p>
    <w:p w14:paraId="2C22E1AB" w14:textId="71C2D5C1" w:rsidR="003A7FDE" w:rsidRPr="00C36922" w:rsidRDefault="003A7FDE" w:rsidP="00AE7429">
      <w:pPr>
        <w:spacing w:after="0" w:line="360" w:lineRule="auto"/>
      </w:pPr>
      <w:r w:rsidRPr="00C36922">
        <w:rPr>
          <w:bCs/>
          <w:lang w:val="es-ES"/>
        </w:rPr>
        <w:t xml:space="preserve">Con fundamento en lo dispuesto en el artículo 186, fracción I de la Ley de Transparencia y Acceso a la Información Pública del Estado de México y Municipios, se considera procedente </w:t>
      </w:r>
      <w:r w:rsidRPr="00C36922">
        <w:rPr>
          <w:b/>
          <w:bCs/>
          <w:lang w:val="es-ES"/>
        </w:rPr>
        <w:t xml:space="preserve">SOBRESEER </w:t>
      </w:r>
      <w:r w:rsidRPr="00C36922">
        <w:rPr>
          <w:bCs/>
          <w:lang w:val="es-ES"/>
        </w:rPr>
        <w:t xml:space="preserve">el Recurso de Revisión </w:t>
      </w:r>
      <w:r w:rsidRPr="00C36922">
        <w:t>00346/INFOEM/IP/RR/2025</w:t>
      </w:r>
      <w:r w:rsidRPr="00C36922">
        <w:rPr>
          <w:bCs/>
          <w:lang w:val="es-ES"/>
        </w:rPr>
        <w:t xml:space="preserve">, </w:t>
      </w:r>
      <w:r w:rsidRPr="00C36922">
        <w:t xml:space="preserve">al modificar la respuesta a la solicitud de acceso a la información con número de folio 00030/OASTLALNE/IP/2025. </w:t>
      </w:r>
    </w:p>
    <w:p w14:paraId="51382AD2" w14:textId="77777777" w:rsidR="003A7FDE" w:rsidRPr="00C36922" w:rsidRDefault="003A7FDE" w:rsidP="00AE7429">
      <w:pPr>
        <w:spacing w:after="0" w:line="360" w:lineRule="auto"/>
        <w:rPr>
          <w:bCs/>
        </w:rPr>
      </w:pPr>
    </w:p>
    <w:p w14:paraId="72CFA1FD" w14:textId="77777777" w:rsidR="003A7FDE" w:rsidRPr="00C36922" w:rsidRDefault="003A7FDE" w:rsidP="00AE7429">
      <w:pPr>
        <w:spacing w:after="0" w:line="360" w:lineRule="auto"/>
        <w:rPr>
          <w:b/>
          <w:bCs/>
          <w:iCs/>
        </w:rPr>
      </w:pPr>
      <w:r w:rsidRPr="00C36922">
        <w:rPr>
          <w:b/>
          <w:bCs/>
          <w:iCs/>
        </w:rPr>
        <w:t>Términos de la Resolución para conocimiento del Particular</w:t>
      </w:r>
    </w:p>
    <w:p w14:paraId="22864FBD" w14:textId="77777777" w:rsidR="003A7FDE" w:rsidRPr="00C36922" w:rsidRDefault="003A7FDE" w:rsidP="00AE7429">
      <w:pPr>
        <w:spacing w:after="0" w:line="360" w:lineRule="auto"/>
        <w:rPr>
          <w:b/>
          <w:bCs/>
          <w:iCs/>
        </w:rPr>
      </w:pPr>
    </w:p>
    <w:p w14:paraId="13B05D96" w14:textId="77777777" w:rsidR="00A35ADD" w:rsidRPr="00C36922" w:rsidRDefault="003A7FDE" w:rsidP="00AE7429">
      <w:pPr>
        <w:spacing w:after="0" w:line="360" w:lineRule="auto"/>
        <w:rPr>
          <w:bCs/>
          <w:iCs/>
          <w:lang w:val="es-ES"/>
        </w:rPr>
      </w:pPr>
      <w:r w:rsidRPr="00C36922">
        <w:rPr>
          <w:bCs/>
          <w:iCs/>
          <w:lang w:val="es-ES"/>
        </w:rPr>
        <w:t xml:space="preserve">Se le hace del conocimiento del Particular, que, si bien en un principio se le daba la razón, pues el Sujeto Obligado entregó la información en un formato incomprensible, durante la sustanciación del Medio de Impugnación, a través del área competente </w:t>
      </w:r>
      <w:r w:rsidRPr="00C36922">
        <w:rPr>
          <w:rFonts w:eastAsia="Times New Roman" w:cs="Tahoma"/>
          <w:bCs/>
          <w:color w:val="0D0D0D" w:themeColor="text1" w:themeTint="F2"/>
          <w:szCs w:val="24"/>
          <w:lang w:val="es-ES" w:eastAsia="es-ES"/>
        </w:rPr>
        <w:t>entregó el Programa Anual de Obras del ejercicio fiscal dos mil veinticinco de manera legible.</w:t>
      </w:r>
      <w:r w:rsidRPr="00C36922">
        <w:rPr>
          <w:bCs/>
          <w:iCs/>
          <w:lang w:val="es-ES"/>
        </w:rPr>
        <w:t xml:space="preserve"> </w:t>
      </w:r>
    </w:p>
    <w:p w14:paraId="3E5BC7A9" w14:textId="77777777" w:rsidR="00A35ADD" w:rsidRPr="00C36922" w:rsidRDefault="00A35ADD" w:rsidP="00AE7429">
      <w:pPr>
        <w:spacing w:after="0" w:line="360" w:lineRule="auto"/>
        <w:rPr>
          <w:bCs/>
          <w:iCs/>
          <w:lang w:val="es-ES"/>
        </w:rPr>
      </w:pPr>
    </w:p>
    <w:p w14:paraId="15ADBDA2" w14:textId="091B99B3" w:rsidR="003A7FDE" w:rsidRPr="00C36922" w:rsidRDefault="00A35ADD" w:rsidP="00AE7429">
      <w:pPr>
        <w:spacing w:after="0" w:line="360" w:lineRule="auto"/>
        <w:rPr>
          <w:rFonts w:eastAsia="Times New Roman" w:cs="Tahoma"/>
          <w:bCs/>
          <w:color w:val="0D0D0D" w:themeColor="text1" w:themeTint="F2"/>
          <w:szCs w:val="24"/>
          <w:lang w:val="es-ES" w:eastAsia="es-ES"/>
        </w:rPr>
      </w:pPr>
      <w:r w:rsidRPr="00C36922">
        <w:rPr>
          <w:rFonts w:eastAsia="Calibri" w:cs="Tahoma"/>
          <w:bCs/>
          <w:iCs/>
          <w:color w:val="0D0D0D" w:themeColor="text1" w:themeTint="F2"/>
        </w:rPr>
        <w:t>Finalmente, se le informa que la</w:t>
      </w:r>
      <w:r w:rsidR="003A7FDE" w:rsidRPr="00C36922">
        <w:rPr>
          <w:rFonts w:eastAsia="Calibri" w:cs="Tahoma"/>
          <w:bCs/>
          <w:iCs/>
          <w:color w:val="0D0D0D" w:themeColor="text1" w:themeTint="F2"/>
        </w:rPr>
        <w:t xml:space="preserve"> </w:t>
      </w:r>
      <w:r w:rsidR="003A7FDE" w:rsidRPr="00C36922">
        <w:rPr>
          <w:rFonts w:eastAsia="Calibri" w:cs="Tahoma"/>
          <w:bCs/>
          <w:iCs/>
          <w:lang w:val="es-ES_tradnl"/>
        </w:rPr>
        <w:t>labor de este Instituto de Transparencia, Acceso a la Información Pública y Protección de Datos Personales del Estado de México y Municipios, es apoyar a la población a acceder a la información pública y garantizar la protección de los datos personales.</w:t>
      </w:r>
    </w:p>
    <w:p w14:paraId="4550BDA1" w14:textId="77777777" w:rsidR="003A7FDE" w:rsidRPr="00C36922" w:rsidRDefault="003A7FDE" w:rsidP="00AE7429">
      <w:pPr>
        <w:spacing w:after="0" w:line="360" w:lineRule="auto"/>
        <w:rPr>
          <w:bCs/>
          <w:iCs/>
          <w:lang w:val="es-ES"/>
        </w:rPr>
      </w:pPr>
    </w:p>
    <w:p w14:paraId="458791CB" w14:textId="77777777" w:rsidR="003A7FDE" w:rsidRPr="00C36922" w:rsidRDefault="003A7FDE" w:rsidP="00AE7429">
      <w:pPr>
        <w:spacing w:after="0" w:line="360" w:lineRule="auto"/>
        <w:rPr>
          <w:bCs/>
        </w:rPr>
      </w:pPr>
      <w:r w:rsidRPr="00C36922">
        <w:t>Por</w:t>
      </w:r>
      <w:r w:rsidRPr="00C36922">
        <w:rPr>
          <w:bCs/>
        </w:rPr>
        <w:t xml:space="preserve"> lo expuesto y fundado, este Pleno:</w:t>
      </w:r>
    </w:p>
    <w:p w14:paraId="7CF0FD72" w14:textId="77777777" w:rsidR="003A7FDE" w:rsidRPr="00C36922" w:rsidRDefault="003A7FDE" w:rsidP="00AE7429">
      <w:pPr>
        <w:spacing w:after="0" w:line="360" w:lineRule="auto"/>
        <w:rPr>
          <w:bCs/>
        </w:rPr>
      </w:pPr>
    </w:p>
    <w:p w14:paraId="33E7BCDF" w14:textId="139944DB" w:rsidR="003A7FDE" w:rsidRPr="00C36922" w:rsidRDefault="003A7FDE" w:rsidP="009521A6">
      <w:pPr>
        <w:pStyle w:val="Ttulo1"/>
        <w:spacing w:before="0" w:line="360" w:lineRule="auto"/>
        <w:jc w:val="center"/>
        <w:rPr>
          <w:rFonts w:ascii="Palatino Linotype" w:hAnsi="Palatino Linotype"/>
          <w:b/>
          <w:bCs/>
          <w:color w:val="auto"/>
          <w:sz w:val="22"/>
          <w:szCs w:val="22"/>
        </w:rPr>
      </w:pPr>
      <w:bookmarkStart w:id="15" w:name="_Toc189685436"/>
      <w:r w:rsidRPr="00C36922">
        <w:rPr>
          <w:rFonts w:ascii="Palatino Linotype" w:hAnsi="Palatino Linotype"/>
          <w:b/>
          <w:bCs/>
          <w:color w:val="auto"/>
          <w:sz w:val="22"/>
          <w:szCs w:val="22"/>
        </w:rPr>
        <w:t>R E S U E L V E</w:t>
      </w:r>
      <w:bookmarkEnd w:id="15"/>
    </w:p>
    <w:p w14:paraId="760D512E" w14:textId="77777777" w:rsidR="00BC0DCD" w:rsidRPr="00C36922" w:rsidRDefault="00BC0DCD" w:rsidP="00AE7429">
      <w:pPr>
        <w:spacing w:after="0" w:line="360" w:lineRule="auto"/>
        <w:rPr>
          <w:b/>
          <w:bCs/>
          <w:iCs/>
        </w:rPr>
      </w:pPr>
    </w:p>
    <w:p w14:paraId="5C4575CD" w14:textId="60B58E69" w:rsidR="003A7FDE" w:rsidRPr="00C36922" w:rsidRDefault="003A7FDE" w:rsidP="00AE7429">
      <w:pPr>
        <w:spacing w:after="0" w:line="360" w:lineRule="auto"/>
        <w:rPr>
          <w:b/>
          <w:bCs/>
          <w:iCs/>
        </w:rPr>
      </w:pPr>
      <w:r w:rsidRPr="00C36922">
        <w:rPr>
          <w:b/>
          <w:bCs/>
          <w:iCs/>
        </w:rPr>
        <w:lastRenderedPageBreak/>
        <w:t xml:space="preserve">PRIMERO. </w:t>
      </w:r>
      <w:r w:rsidRPr="00C36922">
        <w:rPr>
          <w:iCs/>
        </w:rPr>
        <w:t xml:space="preserve">Se </w:t>
      </w:r>
      <w:r w:rsidRPr="00C36922">
        <w:rPr>
          <w:b/>
          <w:bCs/>
          <w:iCs/>
        </w:rPr>
        <w:t xml:space="preserve">SOBRESEE </w:t>
      </w:r>
      <w:r w:rsidRPr="00C36922">
        <w:rPr>
          <w:iCs/>
        </w:rPr>
        <w:t>el Recurso de Revisión con número</w:t>
      </w:r>
      <w:r w:rsidRPr="00C36922">
        <w:rPr>
          <w:b/>
          <w:bCs/>
          <w:iCs/>
        </w:rPr>
        <w:t xml:space="preserve"> </w:t>
      </w:r>
      <w:r w:rsidRPr="00C36922">
        <w:rPr>
          <w:bCs/>
          <w:iCs/>
        </w:rPr>
        <w:t>00346/INFOEM/IP/RR/2025,</w:t>
      </w:r>
      <w:r w:rsidRPr="00C36922">
        <w:rPr>
          <w:bCs/>
          <w:lang w:val="es-ES"/>
        </w:rPr>
        <w:t xml:space="preserve"> en términos del artículo 192, fracción III, de la Ley de Transparencia y Acceso a la Información Pública del Estado de México y Municipios,</w:t>
      </w:r>
      <w:r w:rsidRPr="00C36922">
        <w:rPr>
          <w:b/>
          <w:bCs/>
          <w:iCs/>
          <w:lang w:val="es-ES"/>
        </w:rPr>
        <w:t xml:space="preserve"> </w:t>
      </w:r>
      <w:r w:rsidRPr="00C36922">
        <w:rPr>
          <w:iCs/>
        </w:rPr>
        <w:t>porque el Sujeto Obligado, al modificar la respuesta a la solicitud de acceso a la información</w:t>
      </w:r>
      <w:r w:rsidRPr="00C36922">
        <w:rPr>
          <w:bCs/>
          <w:iCs/>
        </w:rPr>
        <w:t>,</w:t>
      </w:r>
      <w:r w:rsidRPr="00C36922">
        <w:rPr>
          <w:b/>
          <w:bCs/>
          <w:iCs/>
        </w:rPr>
        <w:t xml:space="preserve"> </w:t>
      </w:r>
      <w:r w:rsidRPr="00C36922">
        <w:rPr>
          <w:iCs/>
        </w:rPr>
        <w:t>el Medio de Impugnación, quedó sin materia, en términos de los Considerandos</w:t>
      </w:r>
      <w:r w:rsidRPr="00C36922">
        <w:rPr>
          <w:b/>
          <w:bCs/>
          <w:iCs/>
        </w:rPr>
        <w:t xml:space="preserve"> TERCERO </w:t>
      </w:r>
      <w:r w:rsidRPr="00C36922">
        <w:rPr>
          <w:bCs/>
          <w:iCs/>
        </w:rPr>
        <w:t>y</w:t>
      </w:r>
      <w:r w:rsidRPr="00C36922">
        <w:rPr>
          <w:b/>
          <w:bCs/>
          <w:iCs/>
        </w:rPr>
        <w:t xml:space="preserve"> CUARTO </w:t>
      </w:r>
      <w:r w:rsidRPr="00C36922">
        <w:rPr>
          <w:iCs/>
        </w:rPr>
        <w:t>de la presente Resolución.</w:t>
      </w:r>
    </w:p>
    <w:p w14:paraId="6FC51B8D" w14:textId="77777777" w:rsidR="003A7FDE" w:rsidRPr="00C36922" w:rsidRDefault="003A7FDE" w:rsidP="00AE7429">
      <w:pPr>
        <w:spacing w:after="0" w:line="360" w:lineRule="auto"/>
        <w:rPr>
          <w:b/>
          <w:bCs/>
          <w:i/>
          <w:iCs/>
        </w:rPr>
      </w:pPr>
    </w:p>
    <w:p w14:paraId="77BEE781" w14:textId="77777777" w:rsidR="003A7FDE" w:rsidRPr="00C36922" w:rsidRDefault="003A7FDE" w:rsidP="00AE7429">
      <w:pPr>
        <w:spacing w:after="0" w:line="360" w:lineRule="auto"/>
        <w:rPr>
          <w:b/>
          <w:bCs/>
          <w:iCs/>
        </w:rPr>
      </w:pPr>
      <w:r w:rsidRPr="00C36922">
        <w:rPr>
          <w:b/>
          <w:bCs/>
          <w:iCs/>
        </w:rPr>
        <w:t xml:space="preserve">SEGUNDO. NOTIFÍQUESE POR SAIMEX </w:t>
      </w:r>
      <w:r w:rsidRPr="00C36922">
        <w:rPr>
          <w:iCs/>
        </w:rPr>
        <w:t>la presente Resolución al Titular de la Unidad de Transparencia del Sujeto Obligado.</w:t>
      </w:r>
    </w:p>
    <w:p w14:paraId="71C446A8" w14:textId="77777777" w:rsidR="003A7FDE" w:rsidRPr="00C36922" w:rsidRDefault="003A7FDE" w:rsidP="00AE7429">
      <w:pPr>
        <w:spacing w:after="0" w:line="360" w:lineRule="auto"/>
        <w:rPr>
          <w:b/>
          <w:bCs/>
          <w:i/>
          <w:iCs/>
        </w:rPr>
      </w:pPr>
    </w:p>
    <w:p w14:paraId="11D7928C" w14:textId="77777777" w:rsidR="003A7FDE" w:rsidRPr="00C36922" w:rsidRDefault="003A7FDE" w:rsidP="00AE7429">
      <w:pPr>
        <w:spacing w:after="0" w:line="360" w:lineRule="auto"/>
        <w:rPr>
          <w:b/>
          <w:bCs/>
          <w:iCs/>
        </w:rPr>
      </w:pPr>
      <w:r w:rsidRPr="00C36922">
        <w:rPr>
          <w:b/>
          <w:bCs/>
          <w:iCs/>
        </w:rPr>
        <w:t xml:space="preserve">TERCERO. NOTIFÍQUESE POR SAIMEX </w:t>
      </w:r>
      <w:r w:rsidRPr="00C36922">
        <w:rPr>
          <w:iC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61DAD8C" w14:textId="77777777" w:rsidR="003A7FDE" w:rsidRPr="00C36922" w:rsidRDefault="003A7FDE" w:rsidP="00AE7429">
      <w:pPr>
        <w:spacing w:after="0" w:line="360" w:lineRule="auto"/>
        <w:rPr>
          <w:bCs/>
        </w:rPr>
      </w:pPr>
    </w:p>
    <w:p w14:paraId="0B979F8A" w14:textId="6FE38D68" w:rsidR="003A7FDE" w:rsidRPr="002B5C27" w:rsidRDefault="003A7FDE" w:rsidP="00AE7429">
      <w:pPr>
        <w:spacing w:after="0" w:line="360" w:lineRule="auto"/>
        <w:rPr>
          <w:bCs/>
        </w:rPr>
      </w:pPr>
      <w:r w:rsidRPr="00C36922">
        <w:rPr>
          <w:bCs/>
        </w:rPr>
        <w:t xml:space="preserve">ASÍ LO RESUELVE, POR </w:t>
      </w:r>
      <w:r w:rsidRPr="00C36922">
        <w:rPr>
          <w:b/>
        </w:rPr>
        <w:t>UNANIMIDAD</w:t>
      </w:r>
      <w:r w:rsidRPr="00C36922">
        <w:rPr>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A17EC" w:rsidRPr="00C36922">
        <w:rPr>
          <w:bCs/>
        </w:rPr>
        <w:t>SEXTA</w:t>
      </w:r>
      <w:r w:rsidRPr="00C36922">
        <w:rPr>
          <w:bCs/>
        </w:rPr>
        <w:t xml:space="preserve"> SESIÓN ORDINARIA, CELEBRADA EL D</w:t>
      </w:r>
      <w:r w:rsidR="002A17EC" w:rsidRPr="00C36922">
        <w:rPr>
          <w:bCs/>
        </w:rPr>
        <w:t>IECINUEVE</w:t>
      </w:r>
      <w:r w:rsidRPr="00C36922">
        <w:rPr>
          <w:bCs/>
        </w:rPr>
        <w:t xml:space="preserve"> DE FEBRERO DE DOS MIL VEINTICINCO, ANTE EL SECRETARIO TÉCNICO DEL PLENO, ALEXIS TAPIA RAMÍREZ.</w:t>
      </w:r>
    </w:p>
    <w:p w14:paraId="0ABA8073" w14:textId="77777777" w:rsidR="003A7FDE" w:rsidRPr="00290F59" w:rsidRDefault="003A7FDE" w:rsidP="00AE7429">
      <w:pPr>
        <w:spacing w:after="0" w:line="360" w:lineRule="auto"/>
      </w:pPr>
    </w:p>
    <w:p w14:paraId="153D0889" w14:textId="77777777" w:rsidR="00951D99" w:rsidRPr="00290F59" w:rsidRDefault="00951D99" w:rsidP="00AE7429">
      <w:pPr>
        <w:spacing w:after="0" w:line="360" w:lineRule="auto"/>
        <w:rPr>
          <w:color w:val="000000"/>
        </w:rPr>
      </w:pPr>
    </w:p>
    <w:p w14:paraId="18A43590" w14:textId="77777777" w:rsidR="003111A9" w:rsidRPr="00BD0067" w:rsidRDefault="003111A9" w:rsidP="00AE7429">
      <w:pPr>
        <w:spacing w:after="0" w:line="360" w:lineRule="auto"/>
        <w:rPr>
          <w:rFonts w:eastAsia="Times New Roman" w:cs="Tahoma"/>
          <w:bCs/>
          <w:color w:val="auto"/>
          <w:lang w:eastAsia="es-ES"/>
        </w:rPr>
      </w:pPr>
    </w:p>
    <w:p w14:paraId="220B445F" w14:textId="77777777" w:rsidR="009D74BC" w:rsidRDefault="009D74BC" w:rsidP="00AE7429">
      <w:pPr>
        <w:spacing w:after="0" w:line="360" w:lineRule="auto"/>
        <w:rPr>
          <w:b/>
        </w:rPr>
      </w:pPr>
    </w:p>
    <w:p w14:paraId="096E1AE8" w14:textId="77777777" w:rsidR="009443DE" w:rsidRDefault="009443DE" w:rsidP="00AE7429">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AE7429">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AE7429">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AE7429">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AE7429">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AE7429">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AE7429">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AE7429">
      <w:pPr>
        <w:widowControl w:val="0"/>
        <w:autoSpaceDE w:val="0"/>
        <w:autoSpaceDN w:val="0"/>
        <w:adjustRightInd w:val="0"/>
        <w:spacing w:after="0" w:line="360" w:lineRule="auto"/>
        <w:contextualSpacing/>
        <w:rPr>
          <w:rFonts w:eastAsia="Times New Roman" w:cs="Times New Roman"/>
          <w:color w:val="auto"/>
          <w:lang w:eastAsia="es-ES"/>
        </w:rPr>
      </w:pPr>
    </w:p>
    <w:p w14:paraId="3C98D689" w14:textId="77777777" w:rsidR="009443DE" w:rsidRPr="00551348" w:rsidRDefault="009443DE" w:rsidP="00AE7429">
      <w:pPr>
        <w:widowControl w:val="0"/>
        <w:autoSpaceDE w:val="0"/>
        <w:autoSpaceDN w:val="0"/>
        <w:adjustRightInd w:val="0"/>
        <w:spacing w:after="0" w:line="360" w:lineRule="auto"/>
        <w:contextualSpacing/>
        <w:rPr>
          <w:rFonts w:eastAsia="Times New Roman" w:cs="Times New Roman"/>
          <w:color w:val="auto"/>
          <w:lang w:eastAsia="es-ES"/>
        </w:rPr>
      </w:pPr>
    </w:p>
    <w:p w14:paraId="318BCFAB" w14:textId="77777777" w:rsidR="006A7D41" w:rsidRPr="0072533E" w:rsidRDefault="006A7D41" w:rsidP="00AE7429">
      <w:pPr>
        <w:spacing w:after="0" w:line="360" w:lineRule="auto"/>
        <w:rPr>
          <w:rFonts w:cs="Tahoma"/>
        </w:rPr>
      </w:pPr>
    </w:p>
    <w:p w14:paraId="14676EB8" w14:textId="77777777" w:rsidR="00C56B8B" w:rsidRPr="00C56B8B" w:rsidRDefault="00C56B8B" w:rsidP="00AE7429">
      <w:pPr>
        <w:spacing w:after="0" w:line="360" w:lineRule="auto"/>
        <w:ind w:right="-93"/>
        <w:rPr>
          <w:color w:val="000000"/>
          <w:lang w:val="es-ES"/>
        </w:rPr>
      </w:pPr>
    </w:p>
    <w:p w14:paraId="4AAC94A0" w14:textId="77777777" w:rsidR="000D3754" w:rsidRDefault="000D3754" w:rsidP="00AE7429">
      <w:pPr>
        <w:spacing w:after="0" w:line="360" w:lineRule="auto"/>
        <w:rPr>
          <w:rFonts w:cs="Tahoma"/>
        </w:rPr>
      </w:pPr>
    </w:p>
    <w:p w14:paraId="1950A4FE" w14:textId="145680F6" w:rsidR="00C50842" w:rsidRDefault="00C50842" w:rsidP="00AE7429">
      <w:pPr>
        <w:spacing w:after="0" w:line="360" w:lineRule="auto"/>
      </w:pPr>
    </w:p>
    <w:sectPr w:rsidR="00C50842" w:rsidSect="009B3229">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A65F" w14:textId="77777777" w:rsidR="001C3EDE" w:rsidRDefault="001C3EDE" w:rsidP="00EC77D9">
      <w:pPr>
        <w:spacing w:after="0" w:line="240" w:lineRule="auto"/>
      </w:pPr>
      <w:r>
        <w:separator/>
      </w:r>
    </w:p>
  </w:endnote>
  <w:endnote w:type="continuationSeparator" w:id="0">
    <w:p w14:paraId="12EA94DD" w14:textId="77777777" w:rsidR="001C3EDE" w:rsidRDefault="001C3EDE"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2FCD">
              <w:rPr>
                <w:b/>
                <w:bCs/>
                <w:noProof/>
              </w:rPr>
              <w:t>16</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12FCD">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2FCD">
              <w:rPr>
                <w:b/>
                <w:bCs/>
                <w:noProof/>
              </w:rPr>
              <w:t>16</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12FC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2FCD">
              <w:rPr>
                <w:b/>
                <w:bCs/>
                <w:noProof/>
              </w:rPr>
              <w:t>16</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37996" w14:textId="77777777" w:rsidR="001C3EDE" w:rsidRDefault="001C3EDE" w:rsidP="00EC77D9">
      <w:pPr>
        <w:spacing w:after="0" w:line="240" w:lineRule="auto"/>
      </w:pPr>
      <w:r>
        <w:separator/>
      </w:r>
    </w:p>
  </w:footnote>
  <w:footnote w:type="continuationSeparator" w:id="0">
    <w:p w14:paraId="3D29C292" w14:textId="77777777" w:rsidR="001C3EDE" w:rsidRDefault="001C3EDE" w:rsidP="00EC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000000">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BA3E" w14:textId="75E6A402" w:rsidR="00CB4E2C" w:rsidRDefault="00000000">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68.55pt;margin-top:-122.3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7229"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828"/>
    </w:tblGrid>
    <w:tr w:rsidR="009B3229" w:rsidRPr="00E152D8" w14:paraId="62A5EE36" w14:textId="77777777" w:rsidTr="00AE7429">
      <w:trPr>
        <w:trHeight w:val="138"/>
      </w:trPr>
      <w:tc>
        <w:tcPr>
          <w:tcW w:w="2401" w:type="dxa"/>
          <w:vAlign w:val="center"/>
        </w:tcPr>
        <w:p w14:paraId="028A99F9" w14:textId="73A63F6D"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828" w:type="dxa"/>
        </w:tcPr>
        <w:p w14:paraId="1A41A00E" w14:textId="1E36194A" w:rsidR="008E0E17" w:rsidRPr="00051642" w:rsidRDefault="00C67EF9" w:rsidP="00B93061">
          <w:pPr>
            <w:tabs>
              <w:tab w:val="right" w:pos="8838"/>
            </w:tabs>
            <w:ind w:right="-32"/>
            <w:rPr>
              <w:rFonts w:eastAsia="Calibri" w:cs="Tahoma"/>
            </w:rPr>
          </w:pPr>
          <w:r>
            <w:rPr>
              <w:rFonts w:eastAsia="Calibri" w:cs="Tahoma"/>
              <w:lang w:val="es-MX"/>
            </w:rPr>
            <w:t>0</w:t>
          </w:r>
          <w:r w:rsidR="006F0530">
            <w:rPr>
              <w:rFonts w:eastAsia="Calibri" w:cs="Tahoma"/>
              <w:lang w:val="es-MX"/>
            </w:rPr>
            <w:t>0346</w:t>
          </w:r>
          <w:r>
            <w:rPr>
              <w:rFonts w:eastAsia="Calibri" w:cs="Tahoma"/>
              <w:lang w:val="es-MX"/>
            </w:rPr>
            <w:t>/INFOEM/IP/RR/202</w:t>
          </w:r>
          <w:r w:rsidR="006F0530">
            <w:rPr>
              <w:rFonts w:eastAsia="Calibri" w:cs="Tahoma"/>
              <w:lang w:val="es-MX"/>
            </w:rPr>
            <w:t>5</w:t>
          </w:r>
        </w:p>
      </w:tc>
    </w:tr>
    <w:tr w:rsidR="009B3229" w:rsidRPr="00E152D8" w14:paraId="25EB3B4F" w14:textId="77777777" w:rsidTr="00AE7429">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828" w:type="dxa"/>
        </w:tcPr>
        <w:p w14:paraId="16B12BD5" w14:textId="6B5257F1" w:rsidR="009E6F8A" w:rsidRPr="00051642" w:rsidRDefault="00AE7429" w:rsidP="003D261A">
          <w:pPr>
            <w:tabs>
              <w:tab w:val="left" w:pos="3730"/>
              <w:tab w:val="right" w:pos="8838"/>
            </w:tabs>
            <w:ind w:right="597"/>
            <w:rPr>
              <w:rFonts w:eastAsia="Calibri" w:cs="Tahoma"/>
              <w:lang w:val="es-MX"/>
            </w:rPr>
          </w:pPr>
          <w:r>
            <w:rPr>
              <w:lang w:val="es-MX"/>
            </w:rPr>
            <w:t>Organismo Público Descentralizado para la Prestación de los Servicios de Agua Potable Alcantarillado y Saneamiento del Municipio de Tlalnepantla de Baz</w:t>
          </w:r>
        </w:p>
      </w:tc>
    </w:tr>
    <w:tr w:rsidR="009B3229" w:rsidRPr="00E152D8" w14:paraId="2B76E1FC" w14:textId="77777777" w:rsidTr="00AE7429">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828" w:type="dxa"/>
        </w:tcPr>
        <w:p w14:paraId="103DBC8B" w14:textId="0C90CC17" w:rsidR="00AE7429" w:rsidRPr="006B1EF4" w:rsidRDefault="009E6F8A" w:rsidP="00FD6103">
          <w:pPr>
            <w:tabs>
              <w:tab w:val="right" w:pos="8838"/>
            </w:tabs>
            <w:ind w:left="-28" w:right="-32"/>
            <w:rPr>
              <w:rFonts w:eastAsia="Calibri" w:cs="Tahoma"/>
              <w:lang w:val="es-MX"/>
            </w:rPr>
          </w:pPr>
          <w:r w:rsidRPr="00E152D8">
            <w:rPr>
              <w:rFonts w:eastAsia="Calibri" w:cs="Tahoma"/>
              <w:lang w:val="es-MX"/>
            </w:rPr>
            <w:t>Luis Gustavo Parra Noriega</w:t>
          </w:r>
        </w:p>
      </w:tc>
    </w:tr>
  </w:tbl>
  <w:p w14:paraId="0AC850F3" w14:textId="52ADF040" w:rsidR="008E0E17" w:rsidRDefault="008E0E17" w:rsidP="00881E5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3F6F" w14:textId="77777777" w:rsidR="00FD6103" w:rsidRDefault="00FD6103"/>
  <w:tbl>
    <w:tblPr>
      <w:tblStyle w:val="Tablaconcuadrcula"/>
      <w:tblW w:w="7229"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425"/>
    </w:tblGrid>
    <w:tr w:rsidR="009B3229" w:rsidRPr="00E152D8" w14:paraId="03E85E0E" w14:textId="77777777" w:rsidTr="003D261A">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4819" w:type="dxa"/>
          <w:gridSpan w:val="2"/>
        </w:tcPr>
        <w:p w14:paraId="1E6AD7E0" w14:textId="29DAA6FE" w:rsidR="008E0E17" w:rsidRPr="00051642" w:rsidRDefault="003459B3" w:rsidP="009B3229">
          <w:pPr>
            <w:tabs>
              <w:tab w:val="right" w:pos="8838"/>
            </w:tabs>
            <w:ind w:right="-32"/>
            <w:rPr>
              <w:rFonts w:eastAsia="Calibri" w:cs="Tahoma"/>
            </w:rPr>
          </w:pPr>
          <w:r>
            <w:rPr>
              <w:rFonts w:eastAsia="Calibri" w:cs="Tahoma"/>
              <w:lang w:val="es-MX"/>
            </w:rPr>
            <w:t>0</w:t>
          </w:r>
          <w:r w:rsidR="006F0530">
            <w:rPr>
              <w:rFonts w:eastAsia="Calibri" w:cs="Tahoma"/>
              <w:lang w:val="es-MX"/>
            </w:rPr>
            <w:t>0346</w:t>
          </w:r>
          <w:r w:rsidR="00A9167D">
            <w:rPr>
              <w:rFonts w:eastAsia="Calibri" w:cs="Tahoma"/>
              <w:lang w:val="es-MX"/>
            </w:rPr>
            <w:t>/INFOEM/IP/RR/202</w:t>
          </w:r>
          <w:r w:rsidR="006F0530">
            <w:rPr>
              <w:rFonts w:eastAsia="Calibri" w:cs="Tahoma"/>
              <w:lang w:val="es-MX"/>
            </w:rPr>
            <w:t>5</w:t>
          </w:r>
        </w:p>
      </w:tc>
    </w:tr>
    <w:tr w:rsidR="009B3229" w:rsidRPr="00E152D8" w14:paraId="5E1FE5FD" w14:textId="77777777" w:rsidTr="003D261A">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819" w:type="dxa"/>
          <w:gridSpan w:val="2"/>
        </w:tcPr>
        <w:p w14:paraId="6517D3A9" w14:textId="06F6F14F" w:rsidR="008E0E17" w:rsidRPr="00E152D8" w:rsidRDefault="008756E9" w:rsidP="009B3229">
          <w:pPr>
            <w:tabs>
              <w:tab w:val="right" w:pos="8838"/>
            </w:tabs>
            <w:ind w:right="-48"/>
            <w:rPr>
              <w:rFonts w:eastAsia="Calibri" w:cs="Tahoma"/>
              <w:lang w:val="es-MX"/>
            </w:rPr>
          </w:pPr>
          <w:r w:rsidRPr="008756E9">
            <w:rPr>
              <w:rFonts w:eastAsia="Calibri" w:cs="Tahoma"/>
              <w:highlight w:val="black"/>
              <w:lang w:val="es-MX"/>
            </w:rPr>
            <w:t>XXXXXXXXXXXXXXXXX</w:t>
          </w:r>
        </w:p>
      </w:tc>
    </w:tr>
    <w:tr w:rsidR="009B3229" w:rsidRPr="00E152D8" w14:paraId="55B580D4" w14:textId="77777777" w:rsidTr="003D261A">
      <w:trPr>
        <w:gridAfter w:val="1"/>
        <w:wAfter w:w="425"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4" w:type="dxa"/>
        </w:tcPr>
        <w:p w14:paraId="58768412" w14:textId="3B2B2D24" w:rsidR="008E0E17" w:rsidRPr="006F0530" w:rsidRDefault="00AE7429" w:rsidP="00587D77">
          <w:pPr>
            <w:ind w:right="178"/>
          </w:pPr>
          <w:r>
            <w:rPr>
              <w:lang w:val="es-MX"/>
            </w:rPr>
            <w:t>Organismo Público Descentralizado para la Prestación de los Servicios de Agua Potable Alcantarillado y Saneamiento del Municipio de Tlalnepantla de Baz</w:t>
          </w:r>
          <w:r w:rsidR="006B71D7" w:rsidRPr="006F0530">
            <w:t xml:space="preserve"> </w:t>
          </w:r>
        </w:p>
      </w:tc>
    </w:tr>
    <w:tr w:rsidR="009B3229" w:rsidRPr="00E152D8" w14:paraId="3EC166B6" w14:textId="77777777" w:rsidTr="003D261A">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4819"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000000"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88.95pt;margin-top:-117.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901023"/>
    <w:multiLevelType w:val="hybridMultilevel"/>
    <w:tmpl w:val="C7CEC4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D30FDD"/>
    <w:multiLevelType w:val="hybridMultilevel"/>
    <w:tmpl w:val="98AA4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572B1"/>
    <w:multiLevelType w:val="hybridMultilevel"/>
    <w:tmpl w:val="93D6F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1549159">
    <w:abstractNumId w:val="7"/>
  </w:num>
  <w:num w:numId="2" w16cid:durableId="1711567922">
    <w:abstractNumId w:val="6"/>
  </w:num>
  <w:num w:numId="3" w16cid:durableId="1086149255">
    <w:abstractNumId w:val="8"/>
  </w:num>
  <w:num w:numId="4" w16cid:durableId="364254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224235">
    <w:abstractNumId w:val="1"/>
  </w:num>
  <w:num w:numId="6" w16cid:durableId="1610698407">
    <w:abstractNumId w:val="3"/>
  </w:num>
  <w:num w:numId="7" w16cid:durableId="638845038">
    <w:abstractNumId w:val="0"/>
  </w:num>
  <w:num w:numId="8" w16cid:durableId="292371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571387">
    <w:abstractNumId w:val="5"/>
  </w:num>
  <w:num w:numId="10" w16cid:durableId="931737559">
    <w:abstractNumId w:val="4"/>
  </w:num>
  <w:num w:numId="11" w16cid:durableId="174726000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9"/>
    <w:rsid w:val="00000178"/>
    <w:rsid w:val="0000077E"/>
    <w:rsid w:val="00002B99"/>
    <w:rsid w:val="00002FEC"/>
    <w:rsid w:val="000069C8"/>
    <w:rsid w:val="00006EA2"/>
    <w:rsid w:val="0001164A"/>
    <w:rsid w:val="00011D20"/>
    <w:rsid w:val="0001218F"/>
    <w:rsid w:val="00012400"/>
    <w:rsid w:val="00013F59"/>
    <w:rsid w:val="000144E2"/>
    <w:rsid w:val="00016654"/>
    <w:rsid w:val="000177C9"/>
    <w:rsid w:val="0002032C"/>
    <w:rsid w:val="00020AB8"/>
    <w:rsid w:val="00020DD5"/>
    <w:rsid w:val="00024850"/>
    <w:rsid w:val="00025B2A"/>
    <w:rsid w:val="00026163"/>
    <w:rsid w:val="00030FFF"/>
    <w:rsid w:val="0003170C"/>
    <w:rsid w:val="000355E1"/>
    <w:rsid w:val="00035DBD"/>
    <w:rsid w:val="000374E9"/>
    <w:rsid w:val="000401D5"/>
    <w:rsid w:val="0004033B"/>
    <w:rsid w:val="00040DF8"/>
    <w:rsid w:val="00043095"/>
    <w:rsid w:val="00044BDD"/>
    <w:rsid w:val="00047686"/>
    <w:rsid w:val="0005005E"/>
    <w:rsid w:val="000513A9"/>
    <w:rsid w:val="00051EE6"/>
    <w:rsid w:val="00053FF2"/>
    <w:rsid w:val="00054D31"/>
    <w:rsid w:val="00055ECC"/>
    <w:rsid w:val="00056E06"/>
    <w:rsid w:val="000577CB"/>
    <w:rsid w:val="00060459"/>
    <w:rsid w:val="00061DFC"/>
    <w:rsid w:val="00061E08"/>
    <w:rsid w:val="00063582"/>
    <w:rsid w:val="00065494"/>
    <w:rsid w:val="00066FDF"/>
    <w:rsid w:val="00070CB0"/>
    <w:rsid w:val="000754C2"/>
    <w:rsid w:val="00075ED6"/>
    <w:rsid w:val="00077B14"/>
    <w:rsid w:val="00081C90"/>
    <w:rsid w:val="000823E5"/>
    <w:rsid w:val="000834BE"/>
    <w:rsid w:val="00083DAC"/>
    <w:rsid w:val="00084522"/>
    <w:rsid w:val="00084933"/>
    <w:rsid w:val="0008575F"/>
    <w:rsid w:val="00092121"/>
    <w:rsid w:val="000927A3"/>
    <w:rsid w:val="0009338B"/>
    <w:rsid w:val="00093585"/>
    <w:rsid w:val="00094453"/>
    <w:rsid w:val="000950A5"/>
    <w:rsid w:val="000964A3"/>
    <w:rsid w:val="00096C42"/>
    <w:rsid w:val="0009785F"/>
    <w:rsid w:val="000A0336"/>
    <w:rsid w:val="000A0911"/>
    <w:rsid w:val="000A15B4"/>
    <w:rsid w:val="000A3A28"/>
    <w:rsid w:val="000A476C"/>
    <w:rsid w:val="000A54AC"/>
    <w:rsid w:val="000A5651"/>
    <w:rsid w:val="000B5550"/>
    <w:rsid w:val="000B6867"/>
    <w:rsid w:val="000C006D"/>
    <w:rsid w:val="000C00CC"/>
    <w:rsid w:val="000C071B"/>
    <w:rsid w:val="000C58AB"/>
    <w:rsid w:val="000C64B6"/>
    <w:rsid w:val="000C679B"/>
    <w:rsid w:val="000C6F04"/>
    <w:rsid w:val="000C75AA"/>
    <w:rsid w:val="000D1DE0"/>
    <w:rsid w:val="000D2871"/>
    <w:rsid w:val="000D29CD"/>
    <w:rsid w:val="000D30AB"/>
    <w:rsid w:val="000D3754"/>
    <w:rsid w:val="000D64A4"/>
    <w:rsid w:val="000E0092"/>
    <w:rsid w:val="000E0596"/>
    <w:rsid w:val="000E12E9"/>
    <w:rsid w:val="000E1B3C"/>
    <w:rsid w:val="000E240C"/>
    <w:rsid w:val="000E3BE8"/>
    <w:rsid w:val="000E41D5"/>
    <w:rsid w:val="000F08D4"/>
    <w:rsid w:val="000F1035"/>
    <w:rsid w:val="000F1C16"/>
    <w:rsid w:val="000F2142"/>
    <w:rsid w:val="000F3E39"/>
    <w:rsid w:val="000F4019"/>
    <w:rsid w:val="000F4364"/>
    <w:rsid w:val="000F5705"/>
    <w:rsid w:val="000F62E3"/>
    <w:rsid w:val="000F6396"/>
    <w:rsid w:val="000F649F"/>
    <w:rsid w:val="000F6C3B"/>
    <w:rsid w:val="000F7477"/>
    <w:rsid w:val="000F7709"/>
    <w:rsid w:val="00100424"/>
    <w:rsid w:val="00104B20"/>
    <w:rsid w:val="00107737"/>
    <w:rsid w:val="00110C27"/>
    <w:rsid w:val="0011206C"/>
    <w:rsid w:val="001132A0"/>
    <w:rsid w:val="001159E2"/>
    <w:rsid w:val="00116AD6"/>
    <w:rsid w:val="00121A03"/>
    <w:rsid w:val="00122140"/>
    <w:rsid w:val="00127C10"/>
    <w:rsid w:val="0013258E"/>
    <w:rsid w:val="001327F2"/>
    <w:rsid w:val="00135EF9"/>
    <w:rsid w:val="00136563"/>
    <w:rsid w:val="00137CDF"/>
    <w:rsid w:val="001446B7"/>
    <w:rsid w:val="001448D9"/>
    <w:rsid w:val="001459FA"/>
    <w:rsid w:val="001570AC"/>
    <w:rsid w:val="001613C8"/>
    <w:rsid w:val="001645ED"/>
    <w:rsid w:val="00165240"/>
    <w:rsid w:val="00165CC4"/>
    <w:rsid w:val="001700C7"/>
    <w:rsid w:val="00172038"/>
    <w:rsid w:val="0017380B"/>
    <w:rsid w:val="00173914"/>
    <w:rsid w:val="001756F2"/>
    <w:rsid w:val="00175A9E"/>
    <w:rsid w:val="00180A6A"/>
    <w:rsid w:val="00182C11"/>
    <w:rsid w:val="00183338"/>
    <w:rsid w:val="00183B12"/>
    <w:rsid w:val="001861C3"/>
    <w:rsid w:val="001879FA"/>
    <w:rsid w:val="00187F73"/>
    <w:rsid w:val="0019157A"/>
    <w:rsid w:val="00191FDE"/>
    <w:rsid w:val="001928BD"/>
    <w:rsid w:val="001952CF"/>
    <w:rsid w:val="00196794"/>
    <w:rsid w:val="00196CF5"/>
    <w:rsid w:val="00197E2A"/>
    <w:rsid w:val="001A15AA"/>
    <w:rsid w:val="001A6395"/>
    <w:rsid w:val="001A7755"/>
    <w:rsid w:val="001B0790"/>
    <w:rsid w:val="001B6A39"/>
    <w:rsid w:val="001C21EE"/>
    <w:rsid w:val="001C2619"/>
    <w:rsid w:val="001C3EDE"/>
    <w:rsid w:val="001C709D"/>
    <w:rsid w:val="001D0453"/>
    <w:rsid w:val="001D0BC1"/>
    <w:rsid w:val="001D1FB3"/>
    <w:rsid w:val="001D3031"/>
    <w:rsid w:val="001D5D42"/>
    <w:rsid w:val="001D7434"/>
    <w:rsid w:val="001E01FD"/>
    <w:rsid w:val="001E0CFE"/>
    <w:rsid w:val="001E0DA3"/>
    <w:rsid w:val="001E478B"/>
    <w:rsid w:val="001E5E4A"/>
    <w:rsid w:val="001E5ECA"/>
    <w:rsid w:val="001E69B5"/>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C6F"/>
    <w:rsid w:val="00213D2D"/>
    <w:rsid w:val="00216A85"/>
    <w:rsid w:val="00220AF5"/>
    <w:rsid w:val="00220B1D"/>
    <w:rsid w:val="002245BC"/>
    <w:rsid w:val="00232DCC"/>
    <w:rsid w:val="00236931"/>
    <w:rsid w:val="0024218A"/>
    <w:rsid w:val="00242400"/>
    <w:rsid w:val="0024566F"/>
    <w:rsid w:val="00246785"/>
    <w:rsid w:val="00254430"/>
    <w:rsid w:val="0025508B"/>
    <w:rsid w:val="002552D9"/>
    <w:rsid w:val="00255743"/>
    <w:rsid w:val="00255DE0"/>
    <w:rsid w:val="00264585"/>
    <w:rsid w:val="00265193"/>
    <w:rsid w:val="00265B53"/>
    <w:rsid w:val="00266260"/>
    <w:rsid w:val="00270402"/>
    <w:rsid w:val="00270575"/>
    <w:rsid w:val="002711D3"/>
    <w:rsid w:val="00271C85"/>
    <w:rsid w:val="00272819"/>
    <w:rsid w:val="002762F3"/>
    <w:rsid w:val="00277C3B"/>
    <w:rsid w:val="00280103"/>
    <w:rsid w:val="00281566"/>
    <w:rsid w:val="0028160B"/>
    <w:rsid w:val="00281897"/>
    <w:rsid w:val="0028211E"/>
    <w:rsid w:val="00282253"/>
    <w:rsid w:val="0029016A"/>
    <w:rsid w:val="002912C0"/>
    <w:rsid w:val="00291A70"/>
    <w:rsid w:val="00291F68"/>
    <w:rsid w:val="00292591"/>
    <w:rsid w:val="002945EF"/>
    <w:rsid w:val="0029541E"/>
    <w:rsid w:val="0029791B"/>
    <w:rsid w:val="002A0750"/>
    <w:rsid w:val="002A1009"/>
    <w:rsid w:val="002A17EC"/>
    <w:rsid w:val="002A5660"/>
    <w:rsid w:val="002A5EEC"/>
    <w:rsid w:val="002A7380"/>
    <w:rsid w:val="002B1265"/>
    <w:rsid w:val="002B2DFE"/>
    <w:rsid w:val="002B67F9"/>
    <w:rsid w:val="002B7065"/>
    <w:rsid w:val="002B7C20"/>
    <w:rsid w:val="002C20BA"/>
    <w:rsid w:val="002C37E5"/>
    <w:rsid w:val="002C3C1A"/>
    <w:rsid w:val="002C56CE"/>
    <w:rsid w:val="002D2283"/>
    <w:rsid w:val="002D2956"/>
    <w:rsid w:val="002D4674"/>
    <w:rsid w:val="002E1101"/>
    <w:rsid w:val="002E19CF"/>
    <w:rsid w:val="002E44C3"/>
    <w:rsid w:val="002E4B22"/>
    <w:rsid w:val="002E59B2"/>
    <w:rsid w:val="002E6038"/>
    <w:rsid w:val="002F3DE4"/>
    <w:rsid w:val="0030126D"/>
    <w:rsid w:val="003044BA"/>
    <w:rsid w:val="00304AD6"/>
    <w:rsid w:val="00306E6A"/>
    <w:rsid w:val="003111A9"/>
    <w:rsid w:val="00311C91"/>
    <w:rsid w:val="00313A34"/>
    <w:rsid w:val="0031460E"/>
    <w:rsid w:val="00315248"/>
    <w:rsid w:val="00315889"/>
    <w:rsid w:val="00320553"/>
    <w:rsid w:val="0032206B"/>
    <w:rsid w:val="003236ED"/>
    <w:rsid w:val="00324215"/>
    <w:rsid w:val="00324F7C"/>
    <w:rsid w:val="00327B78"/>
    <w:rsid w:val="003318DB"/>
    <w:rsid w:val="00335A77"/>
    <w:rsid w:val="00336472"/>
    <w:rsid w:val="003411EE"/>
    <w:rsid w:val="00341434"/>
    <w:rsid w:val="00341982"/>
    <w:rsid w:val="00343243"/>
    <w:rsid w:val="0034595E"/>
    <w:rsid w:val="003459B3"/>
    <w:rsid w:val="00351494"/>
    <w:rsid w:val="00351F38"/>
    <w:rsid w:val="003528D4"/>
    <w:rsid w:val="00353C72"/>
    <w:rsid w:val="00355FC7"/>
    <w:rsid w:val="00356A74"/>
    <w:rsid w:val="00357393"/>
    <w:rsid w:val="003573E6"/>
    <w:rsid w:val="003576B5"/>
    <w:rsid w:val="00361080"/>
    <w:rsid w:val="00361155"/>
    <w:rsid w:val="00361D01"/>
    <w:rsid w:val="0036311B"/>
    <w:rsid w:val="003644DC"/>
    <w:rsid w:val="00364B33"/>
    <w:rsid w:val="0036658B"/>
    <w:rsid w:val="00367875"/>
    <w:rsid w:val="00367876"/>
    <w:rsid w:val="00372CF6"/>
    <w:rsid w:val="00373E54"/>
    <w:rsid w:val="00375AEB"/>
    <w:rsid w:val="00377F05"/>
    <w:rsid w:val="00381944"/>
    <w:rsid w:val="00382169"/>
    <w:rsid w:val="00382C6A"/>
    <w:rsid w:val="00383B50"/>
    <w:rsid w:val="00383F4C"/>
    <w:rsid w:val="003857BE"/>
    <w:rsid w:val="00392B31"/>
    <w:rsid w:val="0039476D"/>
    <w:rsid w:val="00394EBC"/>
    <w:rsid w:val="003953CB"/>
    <w:rsid w:val="0039631B"/>
    <w:rsid w:val="00397B16"/>
    <w:rsid w:val="003A1D06"/>
    <w:rsid w:val="003A280A"/>
    <w:rsid w:val="003A2DD8"/>
    <w:rsid w:val="003A5FAE"/>
    <w:rsid w:val="003A71BC"/>
    <w:rsid w:val="003A7FDE"/>
    <w:rsid w:val="003B121B"/>
    <w:rsid w:val="003B1CBE"/>
    <w:rsid w:val="003B444F"/>
    <w:rsid w:val="003B66D4"/>
    <w:rsid w:val="003B7CF1"/>
    <w:rsid w:val="003B7EAA"/>
    <w:rsid w:val="003C2F7C"/>
    <w:rsid w:val="003C39F9"/>
    <w:rsid w:val="003C62AD"/>
    <w:rsid w:val="003C7592"/>
    <w:rsid w:val="003D0090"/>
    <w:rsid w:val="003D01F0"/>
    <w:rsid w:val="003D0737"/>
    <w:rsid w:val="003D1078"/>
    <w:rsid w:val="003D130A"/>
    <w:rsid w:val="003D150E"/>
    <w:rsid w:val="003D261A"/>
    <w:rsid w:val="003D3AD3"/>
    <w:rsid w:val="003D4253"/>
    <w:rsid w:val="003D4DFE"/>
    <w:rsid w:val="003D7C2C"/>
    <w:rsid w:val="003E3B2A"/>
    <w:rsid w:val="003E70D3"/>
    <w:rsid w:val="003F0611"/>
    <w:rsid w:val="003F5C2C"/>
    <w:rsid w:val="004003DF"/>
    <w:rsid w:val="00401D21"/>
    <w:rsid w:val="00403566"/>
    <w:rsid w:val="00405044"/>
    <w:rsid w:val="00405AEA"/>
    <w:rsid w:val="004061A3"/>
    <w:rsid w:val="004063F9"/>
    <w:rsid w:val="004100AC"/>
    <w:rsid w:val="004178BF"/>
    <w:rsid w:val="004218A2"/>
    <w:rsid w:val="0042301B"/>
    <w:rsid w:val="0042660C"/>
    <w:rsid w:val="00427609"/>
    <w:rsid w:val="00430A05"/>
    <w:rsid w:val="00430D3E"/>
    <w:rsid w:val="00430E8A"/>
    <w:rsid w:val="0043100D"/>
    <w:rsid w:val="00431452"/>
    <w:rsid w:val="00431D14"/>
    <w:rsid w:val="00436AE5"/>
    <w:rsid w:val="00437156"/>
    <w:rsid w:val="00437331"/>
    <w:rsid w:val="004378D0"/>
    <w:rsid w:val="00443071"/>
    <w:rsid w:val="00443F0D"/>
    <w:rsid w:val="00444713"/>
    <w:rsid w:val="0044639B"/>
    <w:rsid w:val="004508EF"/>
    <w:rsid w:val="00451C54"/>
    <w:rsid w:val="0045297C"/>
    <w:rsid w:val="00454CCA"/>
    <w:rsid w:val="00460CA9"/>
    <w:rsid w:val="004615AF"/>
    <w:rsid w:val="00461714"/>
    <w:rsid w:val="004631EF"/>
    <w:rsid w:val="004632B2"/>
    <w:rsid w:val="00463532"/>
    <w:rsid w:val="00464B3F"/>
    <w:rsid w:val="004655A7"/>
    <w:rsid w:val="00467E3F"/>
    <w:rsid w:val="00470E8C"/>
    <w:rsid w:val="00470FD1"/>
    <w:rsid w:val="00471720"/>
    <w:rsid w:val="004729F0"/>
    <w:rsid w:val="004732B4"/>
    <w:rsid w:val="0048199E"/>
    <w:rsid w:val="00484AAF"/>
    <w:rsid w:val="00487553"/>
    <w:rsid w:val="0049048A"/>
    <w:rsid w:val="00490E0C"/>
    <w:rsid w:val="00492661"/>
    <w:rsid w:val="0049294E"/>
    <w:rsid w:val="00494A1F"/>
    <w:rsid w:val="00494ADB"/>
    <w:rsid w:val="004A5EC7"/>
    <w:rsid w:val="004B20E0"/>
    <w:rsid w:val="004B3B6F"/>
    <w:rsid w:val="004B3FE5"/>
    <w:rsid w:val="004B54D0"/>
    <w:rsid w:val="004B7612"/>
    <w:rsid w:val="004B786D"/>
    <w:rsid w:val="004C0F26"/>
    <w:rsid w:val="004C10E7"/>
    <w:rsid w:val="004C1377"/>
    <w:rsid w:val="004C2175"/>
    <w:rsid w:val="004C7BF8"/>
    <w:rsid w:val="004D029F"/>
    <w:rsid w:val="004D1B09"/>
    <w:rsid w:val="004D49F9"/>
    <w:rsid w:val="004D7869"/>
    <w:rsid w:val="004E27EA"/>
    <w:rsid w:val="004E2A97"/>
    <w:rsid w:val="004E3876"/>
    <w:rsid w:val="004E44D2"/>
    <w:rsid w:val="004E5AED"/>
    <w:rsid w:val="00500370"/>
    <w:rsid w:val="00502FA9"/>
    <w:rsid w:val="00503573"/>
    <w:rsid w:val="00504378"/>
    <w:rsid w:val="00505972"/>
    <w:rsid w:val="00505B8D"/>
    <w:rsid w:val="0050747C"/>
    <w:rsid w:val="00507B3B"/>
    <w:rsid w:val="00515860"/>
    <w:rsid w:val="00520569"/>
    <w:rsid w:val="00522570"/>
    <w:rsid w:val="00524C92"/>
    <w:rsid w:val="00526532"/>
    <w:rsid w:val="00533430"/>
    <w:rsid w:val="0053447C"/>
    <w:rsid w:val="0053490D"/>
    <w:rsid w:val="00537318"/>
    <w:rsid w:val="00537422"/>
    <w:rsid w:val="00537966"/>
    <w:rsid w:val="0054037C"/>
    <w:rsid w:val="00541CD3"/>
    <w:rsid w:val="005423DE"/>
    <w:rsid w:val="00543143"/>
    <w:rsid w:val="005439B3"/>
    <w:rsid w:val="0054421E"/>
    <w:rsid w:val="0054509E"/>
    <w:rsid w:val="00551348"/>
    <w:rsid w:val="00554349"/>
    <w:rsid w:val="005545A5"/>
    <w:rsid w:val="0055491F"/>
    <w:rsid w:val="00555330"/>
    <w:rsid w:val="00555D58"/>
    <w:rsid w:val="00560A0D"/>
    <w:rsid w:val="00563865"/>
    <w:rsid w:val="00566F9F"/>
    <w:rsid w:val="005705A9"/>
    <w:rsid w:val="00571D4E"/>
    <w:rsid w:val="005741C5"/>
    <w:rsid w:val="00576121"/>
    <w:rsid w:val="00576451"/>
    <w:rsid w:val="00582F2A"/>
    <w:rsid w:val="00583737"/>
    <w:rsid w:val="00584B67"/>
    <w:rsid w:val="00585111"/>
    <w:rsid w:val="0058579C"/>
    <w:rsid w:val="005859C8"/>
    <w:rsid w:val="00587778"/>
    <w:rsid w:val="00587D77"/>
    <w:rsid w:val="00591D8A"/>
    <w:rsid w:val="00593B78"/>
    <w:rsid w:val="00597DBB"/>
    <w:rsid w:val="005A0B5F"/>
    <w:rsid w:val="005A0CE3"/>
    <w:rsid w:val="005A1082"/>
    <w:rsid w:val="005A151C"/>
    <w:rsid w:val="005A27A6"/>
    <w:rsid w:val="005A2DBB"/>
    <w:rsid w:val="005A4E28"/>
    <w:rsid w:val="005B14D2"/>
    <w:rsid w:val="005B2800"/>
    <w:rsid w:val="005B3C2F"/>
    <w:rsid w:val="005B6073"/>
    <w:rsid w:val="005B6354"/>
    <w:rsid w:val="005B709F"/>
    <w:rsid w:val="005B78CE"/>
    <w:rsid w:val="005D1AB8"/>
    <w:rsid w:val="005D3BC9"/>
    <w:rsid w:val="005D6A89"/>
    <w:rsid w:val="005E226B"/>
    <w:rsid w:val="005E249D"/>
    <w:rsid w:val="005E24F8"/>
    <w:rsid w:val="005E310D"/>
    <w:rsid w:val="005E3D5A"/>
    <w:rsid w:val="005E5E47"/>
    <w:rsid w:val="005E6021"/>
    <w:rsid w:val="005E6581"/>
    <w:rsid w:val="005E6CC6"/>
    <w:rsid w:val="005F0827"/>
    <w:rsid w:val="005F4789"/>
    <w:rsid w:val="005F5459"/>
    <w:rsid w:val="005F71FE"/>
    <w:rsid w:val="005F7AB9"/>
    <w:rsid w:val="00601AF0"/>
    <w:rsid w:val="0060301A"/>
    <w:rsid w:val="00605C2A"/>
    <w:rsid w:val="00607497"/>
    <w:rsid w:val="00610BB9"/>
    <w:rsid w:val="00611306"/>
    <w:rsid w:val="00612DBD"/>
    <w:rsid w:val="006141F8"/>
    <w:rsid w:val="0061788A"/>
    <w:rsid w:val="00617C09"/>
    <w:rsid w:val="00617C0F"/>
    <w:rsid w:val="006205F1"/>
    <w:rsid w:val="006229B3"/>
    <w:rsid w:val="006248A3"/>
    <w:rsid w:val="006301F7"/>
    <w:rsid w:val="0063409C"/>
    <w:rsid w:val="00634B59"/>
    <w:rsid w:val="00636809"/>
    <w:rsid w:val="00644EA5"/>
    <w:rsid w:val="006502FE"/>
    <w:rsid w:val="00657F1C"/>
    <w:rsid w:val="006601E4"/>
    <w:rsid w:val="006607EA"/>
    <w:rsid w:val="00660B04"/>
    <w:rsid w:val="00661AB8"/>
    <w:rsid w:val="006654FC"/>
    <w:rsid w:val="00666AA9"/>
    <w:rsid w:val="00666F88"/>
    <w:rsid w:val="00667419"/>
    <w:rsid w:val="006674AE"/>
    <w:rsid w:val="00667F19"/>
    <w:rsid w:val="00670893"/>
    <w:rsid w:val="00670BBA"/>
    <w:rsid w:val="0067100D"/>
    <w:rsid w:val="0067215D"/>
    <w:rsid w:val="006724BD"/>
    <w:rsid w:val="00673F53"/>
    <w:rsid w:val="00676EE7"/>
    <w:rsid w:val="00681069"/>
    <w:rsid w:val="00683B95"/>
    <w:rsid w:val="00683E00"/>
    <w:rsid w:val="0068447E"/>
    <w:rsid w:val="00686C69"/>
    <w:rsid w:val="00686EEB"/>
    <w:rsid w:val="00687A5B"/>
    <w:rsid w:val="00691C22"/>
    <w:rsid w:val="00694AAD"/>
    <w:rsid w:val="00695D3F"/>
    <w:rsid w:val="00696E0D"/>
    <w:rsid w:val="006A117F"/>
    <w:rsid w:val="006A19B1"/>
    <w:rsid w:val="006A271A"/>
    <w:rsid w:val="006A4ABF"/>
    <w:rsid w:val="006A52AF"/>
    <w:rsid w:val="006A7D41"/>
    <w:rsid w:val="006B1EF4"/>
    <w:rsid w:val="006B2DBE"/>
    <w:rsid w:val="006B4EBF"/>
    <w:rsid w:val="006B5BD0"/>
    <w:rsid w:val="006B71D7"/>
    <w:rsid w:val="006B7303"/>
    <w:rsid w:val="006C2718"/>
    <w:rsid w:val="006C291D"/>
    <w:rsid w:val="006C35BB"/>
    <w:rsid w:val="006C4C51"/>
    <w:rsid w:val="006C5476"/>
    <w:rsid w:val="006C6ED6"/>
    <w:rsid w:val="006C7C5B"/>
    <w:rsid w:val="006D2D13"/>
    <w:rsid w:val="006D5060"/>
    <w:rsid w:val="006D607E"/>
    <w:rsid w:val="006D72E9"/>
    <w:rsid w:val="006E0D31"/>
    <w:rsid w:val="006E3649"/>
    <w:rsid w:val="006E37B1"/>
    <w:rsid w:val="006E3C98"/>
    <w:rsid w:val="006E4169"/>
    <w:rsid w:val="006E4CE6"/>
    <w:rsid w:val="006E501E"/>
    <w:rsid w:val="006E54FC"/>
    <w:rsid w:val="006E69FC"/>
    <w:rsid w:val="006F011A"/>
    <w:rsid w:val="006F0530"/>
    <w:rsid w:val="006F0B2A"/>
    <w:rsid w:val="006F261C"/>
    <w:rsid w:val="006F2667"/>
    <w:rsid w:val="006F3D78"/>
    <w:rsid w:val="006F6518"/>
    <w:rsid w:val="00700FFB"/>
    <w:rsid w:val="00703C07"/>
    <w:rsid w:val="007054E6"/>
    <w:rsid w:val="00705DBB"/>
    <w:rsid w:val="00714CEF"/>
    <w:rsid w:val="007173BE"/>
    <w:rsid w:val="007202EE"/>
    <w:rsid w:val="007221BA"/>
    <w:rsid w:val="00723255"/>
    <w:rsid w:val="0072796F"/>
    <w:rsid w:val="00732584"/>
    <w:rsid w:val="0073646F"/>
    <w:rsid w:val="00736B7A"/>
    <w:rsid w:val="00737A6B"/>
    <w:rsid w:val="0074310A"/>
    <w:rsid w:val="00743DE4"/>
    <w:rsid w:val="00750514"/>
    <w:rsid w:val="007505E8"/>
    <w:rsid w:val="0075641E"/>
    <w:rsid w:val="00756B42"/>
    <w:rsid w:val="007643D6"/>
    <w:rsid w:val="007654D0"/>
    <w:rsid w:val="0076755B"/>
    <w:rsid w:val="007727DE"/>
    <w:rsid w:val="00773098"/>
    <w:rsid w:val="00773C5B"/>
    <w:rsid w:val="00775A95"/>
    <w:rsid w:val="00775DBC"/>
    <w:rsid w:val="00780243"/>
    <w:rsid w:val="00780B70"/>
    <w:rsid w:val="00780B8A"/>
    <w:rsid w:val="00782DF8"/>
    <w:rsid w:val="00783BEF"/>
    <w:rsid w:val="00784AFE"/>
    <w:rsid w:val="007853AB"/>
    <w:rsid w:val="00786A7B"/>
    <w:rsid w:val="00792129"/>
    <w:rsid w:val="0079292C"/>
    <w:rsid w:val="00792D79"/>
    <w:rsid w:val="00793831"/>
    <w:rsid w:val="00797DBB"/>
    <w:rsid w:val="00797EAD"/>
    <w:rsid w:val="007A0DC6"/>
    <w:rsid w:val="007A5636"/>
    <w:rsid w:val="007A5AB6"/>
    <w:rsid w:val="007A6114"/>
    <w:rsid w:val="007A7CA6"/>
    <w:rsid w:val="007B02AA"/>
    <w:rsid w:val="007B3212"/>
    <w:rsid w:val="007B406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659"/>
    <w:rsid w:val="007E4AAE"/>
    <w:rsid w:val="007E61C9"/>
    <w:rsid w:val="007E75EF"/>
    <w:rsid w:val="007F1A43"/>
    <w:rsid w:val="007F1E03"/>
    <w:rsid w:val="007F20F1"/>
    <w:rsid w:val="007F246F"/>
    <w:rsid w:val="007F316A"/>
    <w:rsid w:val="007F5ABF"/>
    <w:rsid w:val="00800152"/>
    <w:rsid w:val="008040E1"/>
    <w:rsid w:val="00804735"/>
    <w:rsid w:val="00806DB3"/>
    <w:rsid w:val="00807E43"/>
    <w:rsid w:val="008101E4"/>
    <w:rsid w:val="00810AC0"/>
    <w:rsid w:val="00815329"/>
    <w:rsid w:val="008175CD"/>
    <w:rsid w:val="008179D8"/>
    <w:rsid w:val="00817C75"/>
    <w:rsid w:val="00822B62"/>
    <w:rsid w:val="00822D03"/>
    <w:rsid w:val="00823825"/>
    <w:rsid w:val="008241CC"/>
    <w:rsid w:val="008263E3"/>
    <w:rsid w:val="008273DC"/>
    <w:rsid w:val="00827674"/>
    <w:rsid w:val="0083409B"/>
    <w:rsid w:val="00837814"/>
    <w:rsid w:val="00837AAF"/>
    <w:rsid w:val="00840587"/>
    <w:rsid w:val="00842C30"/>
    <w:rsid w:val="00843D9E"/>
    <w:rsid w:val="00844441"/>
    <w:rsid w:val="00844D0F"/>
    <w:rsid w:val="00845102"/>
    <w:rsid w:val="008462E0"/>
    <w:rsid w:val="008470B0"/>
    <w:rsid w:val="00847C47"/>
    <w:rsid w:val="00850E31"/>
    <w:rsid w:val="0085133C"/>
    <w:rsid w:val="00851708"/>
    <w:rsid w:val="00852278"/>
    <w:rsid w:val="00852FA9"/>
    <w:rsid w:val="0085415A"/>
    <w:rsid w:val="00855548"/>
    <w:rsid w:val="00855CF6"/>
    <w:rsid w:val="00860287"/>
    <w:rsid w:val="00860957"/>
    <w:rsid w:val="0086489A"/>
    <w:rsid w:val="00871A8D"/>
    <w:rsid w:val="00872485"/>
    <w:rsid w:val="00872602"/>
    <w:rsid w:val="008756E9"/>
    <w:rsid w:val="00880895"/>
    <w:rsid w:val="00882BA2"/>
    <w:rsid w:val="008851B3"/>
    <w:rsid w:val="008866A4"/>
    <w:rsid w:val="00886CD4"/>
    <w:rsid w:val="00890243"/>
    <w:rsid w:val="008942CE"/>
    <w:rsid w:val="00894760"/>
    <w:rsid w:val="00894B74"/>
    <w:rsid w:val="00895262"/>
    <w:rsid w:val="00895475"/>
    <w:rsid w:val="008A3936"/>
    <w:rsid w:val="008A558B"/>
    <w:rsid w:val="008A6110"/>
    <w:rsid w:val="008A6E52"/>
    <w:rsid w:val="008B4387"/>
    <w:rsid w:val="008B5E53"/>
    <w:rsid w:val="008B60E3"/>
    <w:rsid w:val="008C1A3E"/>
    <w:rsid w:val="008C576A"/>
    <w:rsid w:val="008C7A9D"/>
    <w:rsid w:val="008D03B8"/>
    <w:rsid w:val="008D5F0C"/>
    <w:rsid w:val="008E0E17"/>
    <w:rsid w:val="008E1582"/>
    <w:rsid w:val="008E1D1D"/>
    <w:rsid w:val="008E4F87"/>
    <w:rsid w:val="008E558B"/>
    <w:rsid w:val="008E5F4B"/>
    <w:rsid w:val="008E6BC7"/>
    <w:rsid w:val="008E7144"/>
    <w:rsid w:val="008E79BB"/>
    <w:rsid w:val="008F14AD"/>
    <w:rsid w:val="008F190F"/>
    <w:rsid w:val="008F1933"/>
    <w:rsid w:val="008F2AA8"/>
    <w:rsid w:val="008F3FF1"/>
    <w:rsid w:val="008F5178"/>
    <w:rsid w:val="008F5369"/>
    <w:rsid w:val="00903A8B"/>
    <w:rsid w:val="00904745"/>
    <w:rsid w:val="00905EF3"/>
    <w:rsid w:val="00906C34"/>
    <w:rsid w:val="00910469"/>
    <w:rsid w:val="00911580"/>
    <w:rsid w:val="00912FCD"/>
    <w:rsid w:val="0091577C"/>
    <w:rsid w:val="00915FA4"/>
    <w:rsid w:val="00916765"/>
    <w:rsid w:val="009226C0"/>
    <w:rsid w:val="00923466"/>
    <w:rsid w:val="009279E6"/>
    <w:rsid w:val="00931EA9"/>
    <w:rsid w:val="0093232E"/>
    <w:rsid w:val="0093261A"/>
    <w:rsid w:val="009337EE"/>
    <w:rsid w:val="009341FE"/>
    <w:rsid w:val="0093576C"/>
    <w:rsid w:val="009359A0"/>
    <w:rsid w:val="00936C3A"/>
    <w:rsid w:val="0093705D"/>
    <w:rsid w:val="00937A13"/>
    <w:rsid w:val="00941D19"/>
    <w:rsid w:val="009428BC"/>
    <w:rsid w:val="00943C49"/>
    <w:rsid w:val="009443DE"/>
    <w:rsid w:val="00945466"/>
    <w:rsid w:val="009475D5"/>
    <w:rsid w:val="00950134"/>
    <w:rsid w:val="00951D99"/>
    <w:rsid w:val="009521A6"/>
    <w:rsid w:val="00952FEB"/>
    <w:rsid w:val="00953F07"/>
    <w:rsid w:val="00956D76"/>
    <w:rsid w:val="009603B7"/>
    <w:rsid w:val="00963B00"/>
    <w:rsid w:val="0096478B"/>
    <w:rsid w:val="00966C3B"/>
    <w:rsid w:val="009711D8"/>
    <w:rsid w:val="0097492D"/>
    <w:rsid w:val="00974B54"/>
    <w:rsid w:val="00975E93"/>
    <w:rsid w:val="00984FF8"/>
    <w:rsid w:val="009851FE"/>
    <w:rsid w:val="00985DE1"/>
    <w:rsid w:val="009876BA"/>
    <w:rsid w:val="00987BC4"/>
    <w:rsid w:val="00991A70"/>
    <w:rsid w:val="009933C5"/>
    <w:rsid w:val="00993524"/>
    <w:rsid w:val="00993AE7"/>
    <w:rsid w:val="00993D57"/>
    <w:rsid w:val="009955C1"/>
    <w:rsid w:val="00996C36"/>
    <w:rsid w:val="009A07AE"/>
    <w:rsid w:val="009A184A"/>
    <w:rsid w:val="009A1C49"/>
    <w:rsid w:val="009A3066"/>
    <w:rsid w:val="009A48BE"/>
    <w:rsid w:val="009B0D9E"/>
    <w:rsid w:val="009B12F7"/>
    <w:rsid w:val="009B1C0B"/>
    <w:rsid w:val="009B1CFF"/>
    <w:rsid w:val="009B3229"/>
    <w:rsid w:val="009B4447"/>
    <w:rsid w:val="009B4AE7"/>
    <w:rsid w:val="009B4F07"/>
    <w:rsid w:val="009B4F28"/>
    <w:rsid w:val="009B568A"/>
    <w:rsid w:val="009B5FF8"/>
    <w:rsid w:val="009B6746"/>
    <w:rsid w:val="009B7C96"/>
    <w:rsid w:val="009C16A7"/>
    <w:rsid w:val="009C1876"/>
    <w:rsid w:val="009C1D2E"/>
    <w:rsid w:val="009C2632"/>
    <w:rsid w:val="009C2E13"/>
    <w:rsid w:val="009C3138"/>
    <w:rsid w:val="009C7E87"/>
    <w:rsid w:val="009D0C38"/>
    <w:rsid w:val="009D1FD5"/>
    <w:rsid w:val="009D3479"/>
    <w:rsid w:val="009D39EF"/>
    <w:rsid w:val="009D73B0"/>
    <w:rsid w:val="009D74BC"/>
    <w:rsid w:val="009E0B3B"/>
    <w:rsid w:val="009E1582"/>
    <w:rsid w:val="009E1FAE"/>
    <w:rsid w:val="009E2671"/>
    <w:rsid w:val="009E5ADD"/>
    <w:rsid w:val="009E6F8A"/>
    <w:rsid w:val="009E7021"/>
    <w:rsid w:val="009F0623"/>
    <w:rsid w:val="009F2BE0"/>
    <w:rsid w:val="009F4042"/>
    <w:rsid w:val="009F51BE"/>
    <w:rsid w:val="009F63FB"/>
    <w:rsid w:val="00A01721"/>
    <w:rsid w:val="00A0338D"/>
    <w:rsid w:val="00A0396E"/>
    <w:rsid w:val="00A0453B"/>
    <w:rsid w:val="00A05F87"/>
    <w:rsid w:val="00A06A49"/>
    <w:rsid w:val="00A06EDC"/>
    <w:rsid w:val="00A10255"/>
    <w:rsid w:val="00A12F6C"/>
    <w:rsid w:val="00A1585B"/>
    <w:rsid w:val="00A17D4E"/>
    <w:rsid w:val="00A2046B"/>
    <w:rsid w:val="00A2050F"/>
    <w:rsid w:val="00A20C59"/>
    <w:rsid w:val="00A21466"/>
    <w:rsid w:val="00A22B13"/>
    <w:rsid w:val="00A235FA"/>
    <w:rsid w:val="00A23EA9"/>
    <w:rsid w:val="00A24F62"/>
    <w:rsid w:val="00A25403"/>
    <w:rsid w:val="00A306F3"/>
    <w:rsid w:val="00A3154E"/>
    <w:rsid w:val="00A3160A"/>
    <w:rsid w:val="00A329C5"/>
    <w:rsid w:val="00A336F1"/>
    <w:rsid w:val="00A33BF8"/>
    <w:rsid w:val="00A35ADD"/>
    <w:rsid w:val="00A361ED"/>
    <w:rsid w:val="00A36BFC"/>
    <w:rsid w:val="00A37D74"/>
    <w:rsid w:val="00A44741"/>
    <w:rsid w:val="00A44C6F"/>
    <w:rsid w:val="00A47197"/>
    <w:rsid w:val="00A500EE"/>
    <w:rsid w:val="00A502CA"/>
    <w:rsid w:val="00A505EA"/>
    <w:rsid w:val="00A54130"/>
    <w:rsid w:val="00A54574"/>
    <w:rsid w:val="00A54976"/>
    <w:rsid w:val="00A56556"/>
    <w:rsid w:val="00A568F2"/>
    <w:rsid w:val="00A62376"/>
    <w:rsid w:val="00A63778"/>
    <w:rsid w:val="00A63DEB"/>
    <w:rsid w:val="00A64BAC"/>
    <w:rsid w:val="00A66E98"/>
    <w:rsid w:val="00A66FA9"/>
    <w:rsid w:val="00A67272"/>
    <w:rsid w:val="00A7555F"/>
    <w:rsid w:val="00A7744F"/>
    <w:rsid w:val="00A7785B"/>
    <w:rsid w:val="00A813F1"/>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2E44"/>
    <w:rsid w:val="00AA3EC4"/>
    <w:rsid w:val="00AA4CB6"/>
    <w:rsid w:val="00AA4DA6"/>
    <w:rsid w:val="00AA4DCE"/>
    <w:rsid w:val="00AA775E"/>
    <w:rsid w:val="00AB0C30"/>
    <w:rsid w:val="00AB26EC"/>
    <w:rsid w:val="00AB2B19"/>
    <w:rsid w:val="00AB3942"/>
    <w:rsid w:val="00AB3BAD"/>
    <w:rsid w:val="00AB5E61"/>
    <w:rsid w:val="00AB6E48"/>
    <w:rsid w:val="00AB7CEA"/>
    <w:rsid w:val="00AC1722"/>
    <w:rsid w:val="00AC2B06"/>
    <w:rsid w:val="00AC5E21"/>
    <w:rsid w:val="00AC606E"/>
    <w:rsid w:val="00AC66FF"/>
    <w:rsid w:val="00AD294A"/>
    <w:rsid w:val="00AD3F22"/>
    <w:rsid w:val="00AD4417"/>
    <w:rsid w:val="00AD7BB9"/>
    <w:rsid w:val="00AE0043"/>
    <w:rsid w:val="00AE0541"/>
    <w:rsid w:val="00AE14D4"/>
    <w:rsid w:val="00AE26CA"/>
    <w:rsid w:val="00AE3DD1"/>
    <w:rsid w:val="00AE496C"/>
    <w:rsid w:val="00AE68A4"/>
    <w:rsid w:val="00AE7429"/>
    <w:rsid w:val="00AF1426"/>
    <w:rsid w:val="00AF2DBE"/>
    <w:rsid w:val="00AF3F74"/>
    <w:rsid w:val="00AF590D"/>
    <w:rsid w:val="00B0253B"/>
    <w:rsid w:val="00B03065"/>
    <w:rsid w:val="00B04C84"/>
    <w:rsid w:val="00B04E07"/>
    <w:rsid w:val="00B0598B"/>
    <w:rsid w:val="00B05D17"/>
    <w:rsid w:val="00B064A4"/>
    <w:rsid w:val="00B11CEA"/>
    <w:rsid w:val="00B12193"/>
    <w:rsid w:val="00B14BAE"/>
    <w:rsid w:val="00B2000B"/>
    <w:rsid w:val="00B209A1"/>
    <w:rsid w:val="00B21155"/>
    <w:rsid w:val="00B2169F"/>
    <w:rsid w:val="00B2451A"/>
    <w:rsid w:val="00B24607"/>
    <w:rsid w:val="00B2547F"/>
    <w:rsid w:val="00B37005"/>
    <w:rsid w:val="00B43386"/>
    <w:rsid w:val="00B435CB"/>
    <w:rsid w:val="00B45F00"/>
    <w:rsid w:val="00B470E8"/>
    <w:rsid w:val="00B5069D"/>
    <w:rsid w:val="00B51F42"/>
    <w:rsid w:val="00B529ED"/>
    <w:rsid w:val="00B53856"/>
    <w:rsid w:val="00B54B99"/>
    <w:rsid w:val="00B572BB"/>
    <w:rsid w:val="00B5790E"/>
    <w:rsid w:val="00B614AA"/>
    <w:rsid w:val="00B616E6"/>
    <w:rsid w:val="00B617E5"/>
    <w:rsid w:val="00B61BF0"/>
    <w:rsid w:val="00B64F86"/>
    <w:rsid w:val="00B65594"/>
    <w:rsid w:val="00B66997"/>
    <w:rsid w:val="00B67281"/>
    <w:rsid w:val="00B7100A"/>
    <w:rsid w:val="00B722B3"/>
    <w:rsid w:val="00B75C40"/>
    <w:rsid w:val="00B7663A"/>
    <w:rsid w:val="00B77000"/>
    <w:rsid w:val="00B77668"/>
    <w:rsid w:val="00B817BD"/>
    <w:rsid w:val="00B8289E"/>
    <w:rsid w:val="00B82DD0"/>
    <w:rsid w:val="00B904E8"/>
    <w:rsid w:val="00B912D2"/>
    <w:rsid w:val="00B92607"/>
    <w:rsid w:val="00B936C7"/>
    <w:rsid w:val="00B956E6"/>
    <w:rsid w:val="00B95F59"/>
    <w:rsid w:val="00B96B96"/>
    <w:rsid w:val="00BA18AB"/>
    <w:rsid w:val="00BA3D61"/>
    <w:rsid w:val="00BA5990"/>
    <w:rsid w:val="00BA5C25"/>
    <w:rsid w:val="00BA7602"/>
    <w:rsid w:val="00BB2153"/>
    <w:rsid w:val="00BB3910"/>
    <w:rsid w:val="00BB670F"/>
    <w:rsid w:val="00BB7194"/>
    <w:rsid w:val="00BB7A3E"/>
    <w:rsid w:val="00BC0DCD"/>
    <w:rsid w:val="00BC30E5"/>
    <w:rsid w:val="00BC3E00"/>
    <w:rsid w:val="00BC6FF1"/>
    <w:rsid w:val="00BD0067"/>
    <w:rsid w:val="00BD5986"/>
    <w:rsid w:val="00BD7F30"/>
    <w:rsid w:val="00BE0A64"/>
    <w:rsid w:val="00BE0AF1"/>
    <w:rsid w:val="00BE3B2E"/>
    <w:rsid w:val="00BE44F4"/>
    <w:rsid w:val="00BE5C97"/>
    <w:rsid w:val="00BE75BB"/>
    <w:rsid w:val="00BF1227"/>
    <w:rsid w:val="00BF3376"/>
    <w:rsid w:val="00BF373E"/>
    <w:rsid w:val="00C01EDB"/>
    <w:rsid w:val="00C03D4D"/>
    <w:rsid w:val="00C0402C"/>
    <w:rsid w:val="00C04DDC"/>
    <w:rsid w:val="00C05247"/>
    <w:rsid w:val="00C11710"/>
    <w:rsid w:val="00C11D49"/>
    <w:rsid w:val="00C12448"/>
    <w:rsid w:val="00C13E00"/>
    <w:rsid w:val="00C140F1"/>
    <w:rsid w:val="00C147F9"/>
    <w:rsid w:val="00C1531D"/>
    <w:rsid w:val="00C17EA1"/>
    <w:rsid w:val="00C20BF0"/>
    <w:rsid w:val="00C22F0F"/>
    <w:rsid w:val="00C238BB"/>
    <w:rsid w:val="00C23DC4"/>
    <w:rsid w:val="00C247B6"/>
    <w:rsid w:val="00C27F4A"/>
    <w:rsid w:val="00C31A4B"/>
    <w:rsid w:val="00C343CF"/>
    <w:rsid w:val="00C36922"/>
    <w:rsid w:val="00C36D41"/>
    <w:rsid w:val="00C40943"/>
    <w:rsid w:val="00C43E94"/>
    <w:rsid w:val="00C478B8"/>
    <w:rsid w:val="00C47955"/>
    <w:rsid w:val="00C47D7B"/>
    <w:rsid w:val="00C50335"/>
    <w:rsid w:val="00C50842"/>
    <w:rsid w:val="00C52783"/>
    <w:rsid w:val="00C53C2B"/>
    <w:rsid w:val="00C555B3"/>
    <w:rsid w:val="00C5585E"/>
    <w:rsid w:val="00C5690A"/>
    <w:rsid w:val="00C56B8B"/>
    <w:rsid w:val="00C576F4"/>
    <w:rsid w:val="00C60547"/>
    <w:rsid w:val="00C62714"/>
    <w:rsid w:val="00C67EF9"/>
    <w:rsid w:val="00C70B29"/>
    <w:rsid w:val="00C71C92"/>
    <w:rsid w:val="00C72E9C"/>
    <w:rsid w:val="00C759A7"/>
    <w:rsid w:val="00C77736"/>
    <w:rsid w:val="00C8252F"/>
    <w:rsid w:val="00C84EBF"/>
    <w:rsid w:val="00C867B6"/>
    <w:rsid w:val="00C87D0E"/>
    <w:rsid w:val="00C90653"/>
    <w:rsid w:val="00C91F61"/>
    <w:rsid w:val="00C92269"/>
    <w:rsid w:val="00C954E3"/>
    <w:rsid w:val="00C958AB"/>
    <w:rsid w:val="00C95B28"/>
    <w:rsid w:val="00C97CAB"/>
    <w:rsid w:val="00CA0F19"/>
    <w:rsid w:val="00CA45DF"/>
    <w:rsid w:val="00CA4B18"/>
    <w:rsid w:val="00CA58B7"/>
    <w:rsid w:val="00CA66EA"/>
    <w:rsid w:val="00CA776C"/>
    <w:rsid w:val="00CB14D9"/>
    <w:rsid w:val="00CB1AD7"/>
    <w:rsid w:val="00CB3D04"/>
    <w:rsid w:val="00CB4A4D"/>
    <w:rsid w:val="00CB4E2C"/>
    <w:rsid w:val="00CB7980"/>
    <w:rsid w:val="00CC0407"/>
    <w:rsid w:val="00CC0E53"/>
    <w:rsid w:val="00CC1E49"/>
    <w:rsid w:val="00CC3033"/>
    <w:rsid w:val="00CC313F"/>
    <w:rsid w:val="00CC519B"/>
    <w:rsid w:val="00CC5208"/>
    <w:rsid w:val="00CD02A6"/>
    <w:rsid w:val="00CD2BE3"/>
    <w:rsid w:val="00CD69E9"/>
    <w:rsid w:val="00CE0477"/>
    <w:rsid w:val="00CE54F7"/>
    <w:rsid w:val="00CE5773"/>
    <w:rsid w:val="00CE5A1B"/>
    <w:rsid w:val="00CE6D4F"/>
    <w:rsid w:val="00CE6E93"/>
    <w:rsid w:val="00CE7B1D"/>
    <w:rsid w:val="00CF003E"/>
    <w:rsid w:val="00CF1BB1"/>
    <w:rsid w:val="00CF28DD"/>
    <w:rsid w:val="00CF2DFB"/>
    <w:rsid w:val="00CF3906"/>
    <w:rsid w:val="00CF408F"/>
    <w:rsid w:val="00CF5BEA"/>
    <w:rsid w:val="00CF7F92"/>
    <w:rsid w:val="00D0040E"/>
    <w:rsid w:val="00D00B0E"/>
    <w:rsid w:val="00D00B31"/>
    <w:rsid w:val="00D00C3E"/>
    <w:rsid w:val="00D01379"/>
    <w:rsid w:val="00D030A8"/>
    <w:rsid w:val="00D06A1A"/>
    <w:rsid w:val="00D132E9"/>
    <w:rsid w:val="00D1670B"/>
    <w:rsid w:val="00D16E46"/>
    <w:rsid w:val="00D17D14"/>
    <w:rsid w:val="00D22332"/>
    <w:rsid w:val="00D223E9"/>
    <w:rsid w:val="00D24FB2"/>
    <w:rsid w:val="00D25560"/>
    <w:rsid w:val="00D26876"/>
    <w:rsid w:val="00D303BA"/>
    <w:rsid w:val="00D30B5F"/>
    <w:rsid w:val="00D30E70"/>
    <w:rsid w:val="00D30F6C"/>
    <w:rsid w:val="00D3330B"/>
    <w:rsid w:val="00D35EF9"/>
    <w:rsid w:val="00D376D0"/>
    <w:rsid w:val="00D41996"/>
    <w:rsid w:val="00D4257C"/>
    <w:rsid w:val="00D47421"/>
    <w:rsid w:val="00D501AB"/>
    <w:rsid w:val="00D502AB"/>
    <w:rsid w:val="00D506A8"/>
    <w:rsid w:val="00D55604"/>
    <w:rsid w:val="00D55E2F"/>
    <w:rsid w:val="00D561A5"/>
    <w:rsid w:val="00D569D4"/>
    <w:rsid w:val="00D56F7F"/>
    <w:rsid w:val="00D573E9"/>
    <w:rsid w:val="00D60896"/>
    <w:rsid w:val="00D61C83"/>
    <w:rsid w:val="00D6267C"/>
    <w:rsid w:val="00D635FC"/>
    <w:rsid w:val="00D646C1"/>
    <w:rsid w:val="00D66A9C"/>
    <w:rsid w:val="00D70CD2"/>
    <w:rsid w:val="00D72BAA"/>
    <w:rsid w:val="00D73B8B"/>
    <w:rsid w:val="00D76184"/>
    <w:rsid w:val="00D76E10"/>
    <w:rsid w:val="00D7724F"/>
    <w:rsid w:val="00D81E78"/>
    <w:rsid w:val="00D84796"/>
    <w:rsid w:val="00D86083"/>
    <w:rsid w:val="00D86802"/>
    <w:rsid w:val="00D940FD"/>
    <w:rsid w:val="00D96589"/>
    <w:rsid w:val="00D97102"/>
    <w:rsid w:val="00DA3B31"/>
    <w:rsid w:val="00DA4C87"/>
    <w:rsid w:val="00DA5EB7"/>
    <w:rsid w:val="00DA613F"/>
    <w:rsid w:val="00DA74FF"/>
    <w:rsid w:val="00DB31D6"/>
    <w:rsid w:val="00DB3942"/>
    <w:rsid w:val="00DB563C"/>
    <w:rsid w:val="00DB5C3E"/>
    <w:rsid w:val="00DB5E7C"/>
    <w:rsid w:val="00DC024D"/>
    <w:rsid w:val="00DC3320"/>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2680"/>
    <w:rsid w:val="00DE2850"/>
    <w:rsid w:val="00DE286E"/>
    <w:rsid w:val="00DE3F14"/>
    <w:rsid w:val="00E000AA"/>
    <w:rsid w:val="00E003E9"/>
    <w:rsid w:val="00E031CC"/>
    <w:rsid w:val="00E03699"/>
    <w:rsid w:val="00E0386E"/>
    <w:rsid w:val="00E03F83"/>
    <w:rsid w:val="00E03FA3"/>
    <w:rsid w:val="00E0422B"/>
    <w:rsid w:val="00E075E2"/>
    <w:rsid w:val="00E0776D"/>
    <w:rsid w:val="00E10653"/>
    <w:rsid w:val="00E14EDC"/>
    <w:rsid w:val="00E15450"/>
    <w:rsid w:val="00E156EB"/>
    <w:rsid w:val="00E16503"/>
    <w:rsid w:val="00E17875"/>
    <w:rsid w:val="00E1793E"/>
    <w:rsid w:val="00E20E13"/>
    <w:rsid w:val="00E21501"/>
    <w:rsid w:val="00E21940"/>
    <w:rsid w:val="00E22B52"/>
    <w:rsid w:val="00E24DEA"/>
    <w:rsid w:val="00E25189"/>
    <w:rsid w:val="00E268C2"/>
    <w:rsid w:val="00E3238E"/>
    <w:rsid w:val="00E34263"/>
    <w:rsid w:val="00E35735"/>
    <w:rsid w:val="00E36E12"/>
    <w:rsid w:val="00E40057"/>
    <w:rsid w:val="00E406DD"/>
    <w:rsid w:val="00E40738"/>
    <w:rsid w:val="00E41269"/>
    <w:rsid w:val="00E416CC"/>
    <w:rsid w:val="00E4507A"/>
    <w:rsid w:val="00E4527E"/>
    <w:rsid w:val="00E47381"/>
    <w:rsid w:val="00E5008F"/>
    <w:rsid w:val="00E511FA"/>
    <w:rsid w:val="00E52015"/>
    <w:rsid w:val="00E522C0"/>
    <w:rsid w:val="00E529BB"/>
    <w:rsid w:val="00E53809"/>
    <w:rsid w:val="00E561B1"/>
    <w:rsid w:val="00E56A7A"/>
    <w:rsid w:val="00E57A08"/>
    <w:rsid w:val="00E57B99"/>
    <w:rsid w:val="00E61226"/>
    <w:rsid w:val="00E61B48"/>
    <w:rsid w:val="00E6319B"/>
    <w:rsid w:val="00E635B7"/>
    <w:rsid w:val="00E6783D"/>
    <w:rsid w:val="00E70445"/>
    <w:rsid w:val="00E70F0F"/>
    <w:rsid w:val="00E713A4"/>
    <w:rsid w:val="00E7353C"/>
    <w:rsid w:val="00E756E5"/>
    <w:rsid w:val="00E76F41"/>
    <w:rsid w:val="00E8229D"/>
    <w:rsid w:val="00E82569"/>
    <w:rsid w:val="00E83A4D"/>
    <w:rsid w:val="00E84509"/>
    <w:rsid w:val="00E84FAD"/>
    <w:rsid w:val="00E86BCC"/>
    <w:rsid w:val="00E90E82"/>
    <w:rsid w:val="00E9145C"/>
    <w:rsid w:val="00E91E4D"/>
    <w:rsid w:val="00E93158"/>
    <w:rsid w:val="00E93918"/>
    <w:rsid w:val="00E95DEE"/>
    <w:rsid w:val="00E963C9"/>
    <w:rsid w:val="00E96A04"/>
    <w:rsid w:val="00EA0E69"/>
    <w:rsid w:val="00EA35D9"/>
    <w:rsid w:val="00EA5E31"/>
    <w:rsid w:val="00EA79A8"/>
    <w:rsid w:val="00EB3DC8"/>
    <w:rsid w:val="00EB466E"/>
    <w:rsid w:val="00EB495E"/>
    <w:rsid w:val="00EB6538"/>
    <w:rsid w:val="00EB7F5A"/>
    <w:rsid w:val="00EC1244"/>
    <w:rsid w:val="00EC1C03"/>
    <w:rsid w:val="00EC31F6"/>
    <w:rsid w:val="00EC3326"/>
    <w:rsid w:val="00EC45D8"/>
    <w:rsid w:val="00EC4A2E"/>
    <w:rsid w:val="00EC612F"/>
    <w:rsid w:val="00EC77D9"/>
    <w:rsid w:val="00ED3762"/>
    <w:rsid w:val="00ED609B"/>
    <w:rsid w:val="00EE1918"/>
    <w:rsid w:val="00EE2CD7"/>
    <w:rsid w:val="00EE5D64"/>
    <w:rsid w:val="00EE6AAF"/>
    <w:rsid w:val="00EF077C"/>
    <w:rsid w:val="00EF08F3"/>
    <w:rsid w:val="00EF2DE1"/>
    <w:rsid w:val="00EF5303"/>
    <w:rsid w:val="00F0085C"/>
    <w:rsid w:val="00F03558"/>
    <w:rsid w:val="00F03991"/>
    <w:rsid w:val="00F04CF1"/>
    <w:rsid w:val="00F04CF2"/>
    <w:rsid w:val="00F076E4"/>
    <w:rsid w:val="00F07DC9"/>
    <w:rsid w:val="00F108D1"/>
    <w:rsid w:val="00F10CB5"/>
    <w:rsid w:val="00F10E28"/>
    <w:rsid w:val="00F11814"/>
    <w:rsid w:val="00F12B09"/>
    <w:rsid w:val="00F1501F"/>
    <w:rsid w:val="00F15472"/>
    <w:rsid w:val="00F15C35"/>
    <w:rsid w:val="00F1768D"/>
    <w:rsid w:val="00F213DE"/>
    <w:rsid w:val="00F21EE0"/>
    <w:rsid w:val="00F24908"/>
    <w:rsid w:val="00F2667C"/>
    <w:rsid w:val="00F26B18"/>
    <w:rsid w:val="00F27576"/>
    <w:rsid w:val="00F27E6C"/>
    <w:rsid w:val="00F316E5"/>
    <w:rsid w:val="00F33D97"/>
    <w:rsid w:val="00F35DD3"/>
    <w:rsid w:val="00F36F8C"/>
    <w:rsid w:val="00F37243"/>
    <w:rsid w:val="00F408C8"/>
    <w:rsid w:val="00F41B18"/>
    <w:rsid w:val="00F528ED"/>
    <w:rsid w:val="00F53AEA"/>
    <w:rsid w:val="00F542A2"/>
    <w:rsid w:val="00F545C5"/>
    <w:rsid w:val="00F55107"/>
    <w:rsid w:val="00F56C0B"/>
    <w:rsid w:val="00F60083"/>
    <w:rsid w:val="00F6294E"/>
    <w:rsid w:val="00F632F8"/>
    <w:rsid w:val="00F668BE"/>
    <w:rsid w:val="00F67477"/>
    <w:rsid w:val="00F67887"/>
    <w:rsid w:val="00F70988"/>
    <w:rsid w:val="00F73369"/>
    <w:rsid w:val="00F737E4"/>
    <w:rsid w:val="00F75F69"/>
    <w:rsid w:val="00F80DE6"/>
    <w:rsid w:val="00F84FF3"/>
    <w:rsid w:val="00F87C9E"/>
    <w:rsid w:val="00F90D98"/>
    <w:rsid w:val="00F931F8"/>
    <w:rsid w:val="00F93351"/>
    <w:rsid w:val="00F9344F"/>
    <w:rsid w:val="00F967B1"/>
    <w:rsid w:val="00FA1E5E"/>
    <w:rsid w:val="00FA25B7"/>
    <w:rsid w:val="00FA29C4"/>
    <w:rsid w:val="00FA4DE2"/>
    <w:rsid w:val="00FA61ED"/>
    <w:rsid w:val="00FA65FF"/>
    <w:rsid w:val="00FA701C"/>
    <w:rsid w:val="00FA7798"/>
    <w:rsid w:val="00FA7FF2"/>
    <w:rsid w:val="00FB019C"/>
    <w:rsid w:val="00FB02F4"/>
    <w:rsid w:val="00FB0990"/>
    <w:rsid w:val="00FB0E97"/>
    <w:rsid w:val="00FB4E84"/>
    <w:rsid w:val="00FB5AA1"/>
    <w:rsid w:val="00FB640E"/>
    <w:rsid w:val="00FB7122"/>
    <w:rsid w:val="00FB72DE"/>
    <w:rsid w:val="00FB7385"/>
    <w:rsid w:val="00FB77B9"/>
    <w:rsid w:val="00FC1264"/>
    <w:rsid w:val="00FC1A33"/>
    <w:rsid w:val="00FC21EB"/>
    <w:rsid w:val="00FC4DA9"/>
    <w:rsid w:val="00FC5313"/>
    <w:rsid w:val="00FD11C2"/>
    <w:rsid w:val="00FD2D2D"/>
    <w:rsid w:val="00FD3E76"/>
    <w:rsid w:val="00FD569A"/>
    <w:rsid w:val="00FD6103"/>
    <w:rsid w:val="00FE00F5"/>
    <w:rsid w:val="00FE3505"/>
    <w:rsid w:val="00FE37D8"/>
    <w:rsid w:val="00FE4AB3"/>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E4"/>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E45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E3F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customStyle="1" w:styleId="Ttulo1Car">
    <w:name w:val="Título 1 Car"/>
    <w:basedOn w:val="Fuentedeprrafopredeter"/>
    <w:link w:val="Ttulo1"/>
    <w:uiPriority w:val="9"/>
    <w:rsid w:val="00E4527E"/>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E4527E"/>
    <w:pPr>
      <w:jc w:val="left"/>
      <w:outlineLvl w:val="9"/>
    </w:pPr>
    <w:rPr>
      <w:lang w:eastAsia="es-MX"/>
    </w:rPr>
  </w:style>
  <w:style w:type="paragraph" w:styleId="TDC1">
    <w:name w:val="toc 1"/>
    <w:basedOn w:val="Normal"/>
    <w:next w:val="Normal"/>
    <w:autoRedefine/>
    <w:uiPriority w:val="39"/>
    <w:unhideWhenUsed/>
    <w:rsid w:val="00C36922"/>
    <w:pPr>
      <w:tabs>
        <w:tab w:val="right" w:leader="dot" w:pos="8921"/>
      </w:tabs>
      <w:spacing w:after="0" w:line="360" w:lineRule="auto"/>
    </w:pPr>
    <w:rPr>
      <w:rFonts w:eastAsia="Times New Roman"/>
      <w:b/>
      <w:bCs/>
      <w:noProof/>
      <w:lang w:val="es-ES" w:eastAsia="es-ES"/>
    </w:rPr>
  </w:style>
  <w:style w:type="character" w:customStyle="1" w:styleId="Ttulo2Car">
    <w:name w:val="Título 2 Car"/>
    <w:basedOn w:val="Fuentedeprrafopredeter"/>
    <w:link w:val="Ttulo2"/>
    <w:uiPriority w:val="9"/>
    <w:rsid w:val="00DE3F14"/>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DE3F1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DA899-5817-4D20-88C7-76FED4D9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3325</Words>
  <Characters>18291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DANIEL ORDONEZ</cp:lastModifiedBy>
  <cp:revision>4</cp:revision>
  <cp:lastPrinted>2025-02-21T16:27:00Z</cp:lastPrinted>
  <dcterms:created xsi:type="dcterms:W3CDTF">2025-02-21T16:27:00Z</dcterms:created>
  <dcterms:modified xsi:type="dcterms:W3CDTF">2025-02-25T17:57:00Z</dcterms:modified>
</cp:coreProperties>
</file>