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D23EF" w14:textId="77777777" w:rsidR="00B8018A" w:rsidRDefault="00B8018A">
      <w:pPr>
        <w:widowControl w:val="0"/>
        <w:pBdr>
          <w:top w:val="nil"/>
          <w:left w:val="nil"/>
          <w:bottom w:val="nil"/>
          <w:right w:val="nil"/>
          <w:between w:val="nil"/>
        </w:pBdr>
        <w:spacing w:line="276" w:lineRule="auto"/>
      </w:pPr>
    </w:p>
    <w:p w14:paraId="737D23F0" w14:textId="77777777" w:rsidR="00B8018A" w:rsidRPr="00FD489D" w:rsidRDefault="00FA493A">
      <w:pPr>
        <w:tabs>
          <w:tab w:val="left" w:pos="3465"/>
        </w:tabs>
        <w:spacing w:line="360" w:lineRule="auto"/>
        <w:ind w:right="7"/>
        <w:jc w:val="both"/>
        <w:rPr>
          <w:rFonts w:ascii="Palatino Linotype" w:eastAsia="Palatino Linotype" w:hAnsi="Palatino Linotype" w:cs="Palatino Linotype"/>
        </w:rPr>
      </w:pPr>
      <w:r w:rsidRPr="00FD489D">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doce (12) de febrero de dos mil veinticuatro.</w:t>
      </w:r>
    </w:p>
    <w:p w14:paraId="737D23F1" w14:textId="77777777" w:rsidR="00B8018A" w:rsidRPr="00FD489D" w:rsidRDefault="00B8018A">
      <w:pPr>
        <w:tabs>
          <w:tab w:val="left" w:pos="3465"/>
        </w:tabs>
        <w:spacing w:line="360" w:lineRule="auto"/>
        <w:ind w:right="7"/>
        <w:jc w:val="both"/>
        <w:rPr>
          <w:rFonts w:ascii="Palatino Linotype" w:eastAsia="Palatino Linotype" w:hAnsi="Palatino Linotype" w:cs="Palatino Linotype"/>
        </w:rPr>
      </w:pPr>
    </w:p>
    <w:p w14:paraId="737D23F2" w14:textId="77777777" w:rsidR="00B8018A" w:rsidRPr="00FD489D" w:rsidRDefault="00FA493A">
      <w:pPr>
        <w:spacing w:line="360" w:lineRule="auto"/>
        <w:ind w:right="7"/>
        <w:jc w:val="both"/>
        <w:rPr>
          <w:rFonts w:ascii="Palatino Linotype" w:eastAsia="Palatino Linotype" w:hAnsi="Palatino Linotype" w:cs="Palatino Linotype"/>
          <w:b/>
        </w:rPr>
      </w:pPr>
      <w:r w:rsidRPr="00FD489D">
        <w:rPr>
          <w:rFonts w:ascii="Palatino Linotype" w:eastAsia="Palatino Linotype" w:hAnsi="Palatino Linotype" w:cs="Palatino Linotype"/>
          <w:b/>
        </w:rPr>
        <w:t>VISTO</w:t>
      </w:r>
      <w:r w:rsidRPr="00FD489D">
        <w:rPr>
          <w:rFonts w:ascii="Palatino Linotype" w:eastAsia="Palatino Linotype" w:hAnsi="Palatino Linotype" w:cs="Palatino Linotype"/>
        </w:rPr>
        <w:t xml:space="preserve"> el expediente electrónico formado con motivo del recurso de revisión </w:t>
      </w:r>
      <w:r w:rsidRPr="00FD489D">
        <w:rPr>
          <w:rFonts w:ascii="Palatino Linotype" w:eastAsia="Palatino Linotype" w:hAnsi="Palatino Linotype" w:cs="Palatino Linotype"/>
          <w:b/>
        </w:rPr>
        <w:t xml:space="preserve">01808/INFOEM/IP/RR/2024, </w:t>
      </w:r>
      <w:r w:rsidRPr="00FD489D">
        <w:rPr>
          <w:rFonts w:ascii="Palatino Linotype" w:eastAsia="Palatino Linotype" w:hAnsi="Palatino Linotype" w:cs="Palatino Linotype"/>
        </w:rPr>
        <w:t>promovido por</w:t>
      </w:r>
      <w:r w:rsidRPr="00FD489D">
        <w:rPr>
          <w:rFonts w:ascii="Palatino Linotype" w:eastAsia="Palatino Linotype" w:hAnsi="Palatino Linotype" w:cs="Palatino Linotype"/>
          <w:b/>
        </w:rPr>
        <w:t xml:space="preserve"> una persona que no proporcionó datos de identificación,</w:t>
      </w:r>
      <w:r w:rsidRPr="00FD489D">
        <w:rPr>
          <w:rFonts w:ascii="Palatino Linotype" w:eastAsia="Palatino Linotype" w:hAnsi="Palatino Linotype" w:cs="Palatino Linotype"/>
        </w:rPr>
        <w:t xml:space="preserve"> a quien en lo sucesivo se le identificará como EL </w:t>
      </w:r>
      <w:r w:rsidRPr="00FD489D">
        <w:rPr>
          <w:rFonts w:ascii="Palatino Linotype" w:eastAsia="Palatino Linotype" w:hAnsi="Palatino Linotype" w:cs="Palatino Linotype"/>
          <w:b/>
        </w:rPr>
        <w:t>RECURRENTE</w:t>
      </w:r>
      <w:r w:rsidRPr="00FD489D">
        <w:rPr>
          <w:rFonts w:ascii="Palatino Linotype" w:eastAsia="Palatino Linotype" w:hAnsi="Palatino Linotype" w:cs="Palatino Linotype"/>
        </w:rPr>
        <w:t xml:space="preserve">, en contra de la respuesta del </w:t>
      </w:r>
      <w:r w:rsidRPr="00FD489D">
        <w:rPr>
          <w:rFonts w:ascii="Palatino Linotype" w:eastAsia="Palatino Linotype" w:hAnsi="Palatino Linotype" w:cs="Palatino Linotype"/>
          <w:b/>
        </w:rPr>
        <w:t xml:space="preserve">Ayuntamiento de Almoloya de Juárez, </w:t>
      </w:r>
      <w:r w:rsidRPr="00FD489D">
        <w:rPr>
          <w:rFonts w:ascii="Palatino Linotype" w:eastAsia="Palatino Linotype" w:hAnsi="Palatino Linotype" w:cs="Palatino Linotype"/>
        </w:rPr>
        <w:t>en adelante el</w:t>
      </w:r>
      <w:r w:rsidRPr="00FD489D">
        <w:rPr>
          <w:rFonts w:ascii="Palatino Linotype" w:eastAsia="Palatino Linotype" w:hAnsi="Palatino Linotype" w:cs="Palatino Linotype"/>
          <w:b/>
        </w:rPr>
        <w:t xml:space="preserve"> SUJETO OBLIGADO</w:t>
      </w:r>
      <w:r w:rsidRPr="00FD489D">
        <w:rPr>
          <w:rFonts w:ascii="Palatino Linotype" w:eastAsia="Palatino Linotype" w:hAnsi="Palatino Linotype" w:cs="Palatino Linotype"/>
        </w:rPr>
        <w:t>, se procede a dictar la presente resolución, con base en los siguientes:</w:t>
      </w:r>
    </w:p>
    <w:p w14:paraId="737D23F3" w14:textId="77777777" w:rsidR="00B8018A" w:rsidRPr="00FD489D" w:rsidRDefault="00B8018A">
      <w:pPr>
        <w:spacing w:line="360" w:lineRule="auto"/>
        <w:ind w:right="7"/>
        <w:jc w:val="both"/>
        <w:rPr>
          <w:rFonts w:ascii="Palatino Linotype" w:eastAsia="Palatino Linotype" w:hAnsi="Palatino Linotype" w:cs="Palatino Linotype"/>
          <w:b/>
        </w:rPr>
      </w:pPr>
    </w:p>
    <w:p w14:paraId="737D23F4" w14:textId="77777777" w:rsidR="00B8018A" w:rsidRPr="00FD489D" w:rsidRDefault="00FA493A">
      <w:pPr>
        <w:pStyle w:val="Ttulo1"/>
        <w:spacing w:before="0" w:line="360" w:lineRule="auto"/>
        <w:ind w:right="7"/>
        <w:jc w:val="center"/>
        <w:rPr>
          <w:rFonts w:ascii="Palatino Linotype" w:eastAsia="Palatino Linotype" w:hAnsi="Palatino Linotype" w:cs="Palatino Linotype"/>
          <w:b/>
          <w:color w:val="000000"/>
          <w:sz w:val="24"/>
          <w:szCs w:val="24"/>
        </w:rPr>
      </w:pPr>
      <w:r w:rsidRPr="00FD489D">
        <w:rPr>
          <w:rFonts w:ascii="Palatino Linotype" w:eastAsia="Palatino Linotype" w:hAnsi="Palatino Linotype" w:cs="Palatino Linotype"/>
          <w:b/>
          <w:color w:val="000000"/>
          <w:sz w:val="24"/>
          <w:szCs w:val="24"/>
        </w:rPr>
        <w:t>A N T E C E D E N T E S</w:t>
      </w:r>
    </w:p>
    <w:p w14:paraId="737D23F5" w14:textId="77777777" w:rsidR="00B8018A" w:rsidRPr="00FD489D" w:rsidRDefault="00B8018A">
      <w:pPr>
        <w:ind w:right="7"/>
        <w:jc w:val="both"/>
        <w:rPr>
          <w:rFonts w:ascii="Palatino Linotype" w:eastAsia="Palatino Linotype" w:hAnsi="Palatino Linotype" w:cs="Palatino Linotype"/>
        </w:rPr>
      </w:pPr>
    </w:p>
    <w:p w14:paraId="737D23F6" w14:textId="77777777" w:rsidR="00B8018A" w:rsidRPr="00FD489D" w:rsidRDefault="00FA493A">
      <w:pPr>
        <w:numPr>
          <w:ilvl w:val="0"/>
          <w:numId w:val="1"/>
        </w:numPr>
        <w:pBdr>
          <w:top w:val="nil"/>
          <w:left w:val="nil"/>
          <w:bottom w:val="nil"/>
          <w:right w:val="nil"/>
          <w:between w:val="nil"/>
        </w:pBdr>
        <w:tabs>
          <w:tab w:val="left" w:pos="0"/>
        </w:tabs>
        <w:spacing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El día</w:t>
      </w:r>
      <w:r w:rsidRPr="00FD489D">
        <w:rPr>
          <w:rFonts w:ascii="Palatino Linotype" w:eastAsia="Palatino Linotype" w:hAnsi="Palatino Linotype" w:cs="Palatino Linotype"/>
          <w:b/>
          <w:color w:val="000000"/>
        </w:rPr>
        <w:t xml:space="preserve"> veintitrés (23) de febrero de dos mil veinticuatro, </w:t>
      </w:r>
      <w:r w:rsidRPr="00FD489D">
        <w:rPr>
          <w:rFonts w:ascii="Palatino Linotype" w:eastAsia="Palatino Linotype" w:hAnsi="Palatino Linotype" w:cs="Palatino Linotype"/>
          <w:color w:val="000000"/>
        </w:rPr>
        <w:t xml:space="preserve">se presentó ante el </w:t>
      </w:r>
      <w:r w:rsidRPr="00FD489D">
        <w:rPr>
          <w:rFonts w:ascii="Palatino Linotype" w:eastAsia="Palatino Linotype" w:hAnsi="Palatino Linotype" w:cs="Palatino Linotype"/>
          <w:b/>
          <w:color w:val="000000"/>
        </w:rPr>
        <w:t>SUJETO OBLIGADO</w:t>
      </w:r>
      <w:r w:rsidRPr="00FD489D">
        <w:rPr>
          <w:rFonts w:ascii="Palatino Linotype" w:eastAsia="Palatino Linotype" w:hAnsi="Palatino Linotype" w:cs="Palatino Linotype"/>
          <w:color w:val="000000"/>
        </w:rPr>
        <w:t xml:space="preserve"> vía SAIMEX, la solicitud de información pública registrada con el número</w:t>
      </w:r>
      <w:r w:rsidRPr="00FD489D">
        <w:rPr>
          <w:rFonts w:ascii="Palatino Linotype" w:eastAsia="Palatino Linotype" w:hAnsi="Palatino Linotype" w:cs="Palatino Linotype"/>
          <w:b/>
          <w:color w:val="000000"/>
        </w:rPr>
        <w:t xml:space="preserve"> 00118/ALMOJU/IP/2024; </w:t>
      </w:r>
      <w:r w:rsidRPr="00FD489D">
        <w:rPr>
          <w:rFonts w:ascii="Palatino Linotype" w:eastAsia="Palatino Linotype" w:hAnsi="Palatino Linotype" w:cs="Palatino Linotype"/>
        </w:rPr>
        <w:t>en la que</w:t>
      </w:r>
      <w:r w:rsidRPr="00FD489D">
        <w:rPr>
          <w:rFonts w:ascii="Palatino Linotype" w:eastAsia="Palatino Linotype" w:hAnsi="Palatino Linotype" w:cs="Palatino Linotype"/>
          <w:color w:val="000000"/>
        </w:rPr>
        <w:t xml:space="preserve"> se solicitó la siguiente información:</w:t>
      </w:r>
    </w:p>
    <w:p w14:paraId="737D23F7" w14:textId="77777777" w:rsidR="00B8018A" w:rsidRPr="00FD489D" w:rsidRDefault="00B8018A">
      <w:pPr>
        <w:pBdr>
          <w:top w:val="nil"/>
          <w:left w:val="nil"/>
          <w:bottom w:val="nil"/>
          <w:right w:val="nil"/>
          <w:between w:val="nil"/>
        </w:pBdr>
        <w:spacing w:line="360" w:lineRule="auto"/>
        <w:ind w:right="7"/>
        <w:jc w:val="both"/>
        <w:rPr>
          <w:rFonts w:ascii="Palatino Linotype" w:eastAsia="Palatino Linotype" w:hAnsi="Palatino Linotype" w:cs="Palatino Linotype"/>
          <w:color w:val="000000"/>
        </w:rPr>
      </w:pPr>
    </w:p>
    <w:p w14:paraId="737D23F8" w14:textId="77777777" w:rsidR="00B8018A" w:rsidRPr="00FD489D" w:rsidRDefault="00FA493A">
      <w:pPr>
        <w:pBdr>
          <w:top w:val="nil"/>
          <w:left w:val="nil"/>
          <w:bottom w:val="nil"/>
          <w:right w:val="nil"/>
          <w:between w:val="nil"/>
        </w:pBdr>
        <w:spacing w:line="276" w:lineRule="auto"/>
        <w:ind w:left="567"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i/>
          <w:color w:val="000000"/>
        </w:rPr>
        <w:t>“Recibos de nómina firmados y mismos que son entregados al Osfem de los meses diciembre 2023 y enero 2024, así como el pago de prestaciones de aguinaldo y prima del ejercicio 2023.</w:t>
      </w:r>
      <w:r w:rsidRPr="00FD489D">
        <w:rPr>
          <w:rFonts w:ascii="Palatino Linotype" w:eastAsia="Palatino Linotype" w:hAnsi="Palatino Linotype" w:cs="Palatino Linotype"/>
          <w:color w:val="000000"/>
        </w:rPr>
        <w:t>” (SIC.)</w:t>
      </w:r>
    </w:p>
    <w:p w14:paraId="737D23F9" w14:textId="77777777" w:rsidR="00B8018A" w:rsidRPr="00FD489D" w:rsidRDefault="00B8018A">
      <w:pPr>
        <w:pBdr>
          <w:top w:val="nil"/>
          <w:left w:val="nil"/>
          <w:bottom w:val="nil"/>
          <w:right w:val="nil"/>
          <w:between w:val="nil"/>
        </w:pBdr>
        <w:spacing w:line="276" w:lineRule="auto"/>
        <w:ind w:left="567" w:right="7"/>
        <w:jc w:val="both"/>
        <w:rPr>
          <w:rFonts w:ascii="Palatino Linotype" w:eastAsia="Palatino Linotype" w:hAnsi="Palatino Linotype" w:cs="Palatino Linotype"/>
          <w:color w:val="000000"/>
        </w:rPr>
      </w:pPr>
    </w:p>
    <w:p w14:paraId="737D23FA" w14:textId="77777777" w:rsidR="00B8018A" w:rsidRPr="00FD489D" w:rsidRDefault="00FA493A">
      <w:pPr>
        <w:numPr>
          <w:ilvl w:val="0"/>
          <w:numId w:val="10"/>
        </w:numPr>
        <w:pBdr>
          <w:top w:val="nil"/>
          <w:left w:val="nil"/>
          <w:bottom w:val="nil"/>
          <w:right w:val="nil"/>
          <w:between w:val="nil"/>
        </w:pBdr>
        <w:spacing w:line="360" w:lineRule="auto"/>
        <w:ind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color w:val="000000"/>
        </w:rPr>
        <w:t xml:space="preserve">Señaló como modalidad de entrega de la información a través del </w:t>
      </w:r>
      <w:r w:rsidRPr="00FD489D">
        <w:rPr>
          <w:rFonts w:ascii="Palatino Linotype" w:eastAsia="Palatino Linotype" w:hAnsi="Palatino Linotype" w:cs="Palatino Linotype"/>
          <w:b/>
          <w:color w:val="000000"/>
        </w:rPr>
        <w:t>SAIMEX.</w:t>
      </w:r>
    </w:p>
    <w:p w14:paraId="737D23FB" w14:textId="77777777" w:rsidR="00B8018A" w:rsidRPr="00FD489D" w:rsidRDefault="00B8018A">
      <w:pPr>
        <w:pBdr>
          <w:top w:val="nil"/>
          <w:left w:val="nil"/>
          <w:bottom w:val="nil"/>
          <w:right w:val="nil"/>
          <w:between w:val="nil"/>
        </w:pBdr>
        <w:spacing w:line="360" w:lineRule="auto"/>
        <w:ind w:left="360" w:right="7"/>
        <w:jc w:val="both"/>
        <w:rPr>
          <w:rFonts w:ascii="Palatino Linotype" w:eastAsia="Palatino Linotype" w:hAnsi="Palatino Linotype" w:cs="Palatino Linotype"/>
          <w:i/>
          <w:color w:val="000000"/>
        </w:rPr>
      </w:pPr>
    </w:p>
    <w:p w14:paraId="737D23FC" w14:textId="77777777" w:rsidR="00B8018A" w:rsidRPr="00FD489D" w:rsidRDefault="00FA493A">
      <w:pPr>
        <w:numPr>
          <w:ilvl w:val="0"/>
          <w:numId w:val="1"/>
        </w:numPr>
        <w:pBdr>
          <w:top w:val="nil"/>
          <w:left w:val="nil"/>
          <w:bottom w:val="nil"/>
          <w:right w:val="nil"/>
          <w:between w:val="nil"/>
        </w:pBdr>
        <w:tabs>
          <w:tab w:val="left" w:pos="0"/>
        </w:tabs>
        <w:spacing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 xml:space="preserve">El </w:t>
      </w:r>
      <w:r w:rsidRPr="00FD489D">
        <w:rPr>
          <w:rFonts w:ascii="Palatino Linotype" w:eastAsia="Palatino Linotype" w:hAnsi="Palatino Linotype" w:cs="Palatino Linotype"/>
          <w:b/>
          <w:color w:val="000000"/>
        </w:rPr>
        <w:t>diecinueve (19) de marzo de dos mil veinticuatro</w:t>
      </w:r>
      <w:r w:rsidRPr="00FD489D">
        <w:rPr>
          <w:rFonts w:ascii="Palatino Linotype" w:eastAsia="Palatino Linotype" w:hAnsi="Palatino Linotype" w:cs="Palatino Linotype"/>
          <w:color w:val="000000"/>
        </w:rPr>
        <w:t xml:space="preserve">, se autorizó </w:t>
      </w:r>
      <w:r w:rsidRPr="00FD489D">
        <w:rPr>
          <w:rFonts w:ascii="Palatino Linotype" w:eastAsia="Palatino Linotype" w:hAnsi="Palatino Linotype" w:cs="Palatino Linotype"/>
        </w:rPr>
        <w:t>prórroga</w:t>
      </w:r>
      <w:r w:rsidRPr="00FD489D">
        <w:rPr>
          <w:rFonts w:ascii="Palatino Linotype" w:eastAsia="Palatino Linotype" w:hAnsi="Palatino Linotype" w:cs="Palatino Linotype"/>
          <w:color w:val="000000"/>
        </w:rPr>
        <w:t xml:space="preserve"> al </w:t>
      </w:r>
      <w:r w:rsidRPr="00FD489D">
        <w:rPr>
          <w:rFonts w:ascii="Palatino Linotype" w:eastAsia="Palatino Linotype" w:hAnsi="Palatino Linotype" w:cs="Palatino Linotype"/>
          <w:b/>
          <w:color w:val="000000"/>
        </w:rPr>
        <w:t xml:space="preserve">SUJETO OBLIGADO </w:t>
      </w:r>
      <w:r w:rsidRPr="00FD489D">
        <w:rPr>
          <w:rFonts w:ascii="Palatino Linotype" w:eastAsia="Palatino Linotype" w:hAnsi="Palatino Linotype" w:cs="Palatino Linotype"/>
          <w:color w:val="000000"/>
        </w:rPr>
        <w:t xml:space="preserve">para dar respuesta a la solicitud de información </w:t>
      </w:r>
      <w:r w:rsidRPr="00FD489D">
        <w:rPr>
          <w:rFonts w:ascii="Palatino Linotype" w:eastAsia="Palatino Linotype" w:hAnsi="Palatino Linotype" w:cs="Palatino Linotype"/>
          <w:b/>
          <w:color w:val="000000"/>
        </w:rPr>
        <w:t xml:space="preserve">00118/ALMOJU/IP/2024, </w:t>
      </w:r>
      <w:r w:rsidRPr="00FD489D">
        <w:rPr>
          <w:rFonts w:ascii="Palatino Linotype" w:eastAsia="Palatino Linotype" w:hAnsi="Palatino Linotype" w:cs="Palatino Linotype"/>
          <w:color w:val="000000"/>
        </w:rPr>
        <w:t xml:space="preserve"> en el tenor siguiente:</w:t>
      </w:r>
    </w:p>
    <w:p w14:paraId="737D23FD" w14:textId="77777777" w:rsidR="00B8018A" w:rsidRPr="00FD489D" w:rsidRDefault="00FA493A">
      <w:pPr>
        <w:pBdr>
          <w:top w:val="nil"/>
          <w:left w:val="nil"/>
          <w:bottom w:val="nil"/>
          <w:right w:val="nil"/>
          <w:between w:val="nil"/>
        </w:pBdr>
        <w:tabs>
          <w:tab w:val="left" w:pos="426"/>
        </w:tabs>
        <w:spacing w:line="276" w:lineRule="auto"/>
        <w:ind w:left="567"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i/>
          <w:color w:val="000000"/>
        </w:rPr>
        <w:lastRenderedPageBreak/>
        <w:t>“Almoloya de Juárez, México a 19 de Marzo de 2024</w:t>
      </w:r>
    </w:p>
    <w:p w14:paraId="737D23FE" w14:textId="77777777" w:rsidR="00B8018A" w:rsidRPr="00FD489D" w:rsidRDefault="00FA493A">
      <w:pPr>
        <w:pBdr>
          <w:top w:val="nil"/>
          <w:left w:val="nil"/>
          <w:bottom w:val="nil"/>
          <w:right w:val="nil"/>
          <w:between w:val="nil"/>
        </w:pBdr>
        <w:tabs>
          <w:tab w:val="left" w:pos="426"/>
        </w:tabs>
        <w:spacing w:line="276" w:lineRule="auto"/>
        <w:ind w:left="567"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i/>
          <w:color w:val="000000"/>
        </w:rPr>
        <w:t>Nombre del solicitante: C. Solicitante</w:t>
      </w:r>
    </w:p>
    <w:p w14:paraId="737D23FF" w14:textId="77777777" w:rsidR="00B8018A" w:rsidRPr="00FD489D" w:rsidRDefault="00FA493A">
      <w:pPr>
        <w:pBdr>
          <w:top w:val="nil"/>
          <w:left w:val="nil"/>
          <w:bottom w:val="nil"/>
          <w:right w:val="nil"/>
          <w:between w:val="nil"/>
        </w:pBdr>
        <w:tabs>
          <w:tab w:val="left" w:pos="426"/>
        </w:tabs>
        <w:spacing w:line="276" w:lineRule="auto"/>
        <w:ind w:left="567"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i/>
          <w:color w:val="000000"/>
        </w:rPr>
        <w:t>Folio de la solicitud: 00118/ALMOJU/IP/2024</w:t>
      </w:r>
    </w:p>
    <w:p w14:paraId="737D2400" w14:textId="77777777" w:rsidR="00B8018A" w:rsidRPr="00FD489D" w:rsidRDefault="00B8018A">
      <w:pPr>
        <w:pBdr>
          <w:top w:val="nil"/>
          <w:left w:val="nil"/>
          <w:bottom w:val="nil"/>
          <w:right w:val="nil"/>
          <w:between w:val="nil"/>
        </w:pBdr>
        <w:tabs>
          <w:tab w:val="left" w:pos="426"/>
        </w:tabs>
        <w:spacing w:line="276" w:lineRule="auto"/>
        <w:ind w:left="567" w:right="7"/>
        <w:jc w:val="both"/>
        <w:rPr>
          <w:rFonts w:ascii="Palatino Linotype" w:eastAsia="Palatino Linotype" w:hAnsi="Palatino Linotype" w:cs="Palatino Linotype"/>
          <w:i/>
          <w:color w:val="000000"/>
        </w:rPr>
      </w:pPr>
    </w:p>
    <w:p w14:paraId="737D2401" w14:textId="77777777" w:rsidR="00B8018A" w:rsidRPr="00FD489D" w:rsidRDefault="00FA493A">
      <w:pPr>
        <w:pBdr>
          <w:top w:val="nil"/>
          <w:left w:val="nil"/>
          <w:bottom w:val="nil"/>
          <w:right w:val="nil"/>
          <w:between w:val="nil"/>
        </w:pBdr>
        <w:tabs>
          <w:tab w:val="left" w:pos="426"/>
        </w:tabs>
        <w:spacing w:line="276" w:lineRule="auto"/>
        <w:ind w:left="567"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i/>
          <w:color w:val="000000"/>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37D2402" w14:textId="77777777" w:rsidR="00B8018A" w:rsidRPr="00FD489D" w:rsidRDefault="00FA493A">
      <w:pPr>
        <w:pBdr>
          <w:top w:val="nil"/>
          <w:left w:val="nil"/>
          <w:bottom w:val="nil"/>
          <w:right w:val="nil"/>
          <w:between w:val="nil"/>
        </w:pBdr>
        <w:tabs>
          <w:tab w:val="left" w:pos="426"/>
        </w:tabs>
        <w:spacing w:line="276" w:lineRule="auto"/>
        <w:ind w:left="567"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i/>
          <w:color w:val="000000"/>
        </w:rPr>
        <w:t>Con fundamento en el artículo 163 de la Ley de Transparencia y Acceso a la Información Pública, se aprueba prorroga de 7 días hábiles, lo anterior, derivado de la falta de personal y a que la unidad administrativa se encuentra recopilando la información para dar atención al requerimiento interpuesto por el particular.</w:t>
      </w:r>
    </w:p>
    <w:p w14:paraId="737D2403" w14:textId="77777777" w:rsidR="00B8018A" w:rsidRPr="00FD489D" w:rsidRDefault="00B8018A">
      <w:pPr>
        <w:pBdr>
          <w:top w:val="nil"/>
          <w:left w:val="nil"/>
          <w:bottom w:val="nil"/>
          <w:right w:val="nil"/>
          <w:between w:val="nil"/>
        </w:pBdr>
        <w:tabs>
          <w:tab w:val="left" w:pos="426"/>
        </w:tabs>
        <w:spacing w:line="276" w:lineRule="auto"/>
        <w:ind w:left="567" w:right="7"/>
        <w:jc w:val="both"/>
        <w:rPr>
          <w:rFonts w:ascii="Palatino Linotype" w:eastAsia="Palatino Linotype" w:hAnsi="Palatino Linotype" w:cs="Palatino Linotype"/>
          <w:i/>
          <w:color w:val="000000"/>
        </w:rPr>
      </w:pPr>
    </w:p>
    <w:p w14:paraId="737D2404" w14:textId="77777777" w:rsidR="00B8018A" w:rsidRPr="00FD489D" w:rsidRDefault="00FA493A">
      <w:pPr>
        <w:pBdr>
          <w:top w:val="nil"/>
          <w:left w:val="nil"/>
          <w:bottom w:val="nil"/>
          <w:right w:val="nil"/>
          <w:between w:val="nil"/>
        </w:pBdr>
        <w:tabs>
          <w:tab w:val="left" w:pos="426"/>
        </w:tabs>
        <w:spacing w:line="276" w:lineRule="auto"/>
        <w:ind w:left="567"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i/>
          <w:color w:val="000000"/>
        </w:rPr>
        <w:t>L.D ANA KAREN RODRIGUEZ QUIJADA</w:t>
      </w:r>
    </w:p>
    <w:p w14:paraId="737D2405" w14:textId="77777777" w:rsidR="00B8018A" w:rsidRPr="00FD489D" w:rsidRDefault="00FA493A">
      <w:pPr>
        <w:pBdr>
          <w:top w:val="nil"/>
          <w:left w:val="nil"/>
          <w:bottom w:val="nil"/>
          <w:right w:val="nil"/>
          <w:between w:val="nil"/>
        </w:pBdr>
        <w:tabs>
          <w:tab w:val="left" w:pos="426"/>
        </w:tabs>
        <w:spacing w:line="276" w:lineRule="auto"/>
        <w:ind w:left="567"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i/>
          <w:color w:val="000000"/>
        </w:rPr>
        <w:t>Responsable de la Unidad de Transparencia”</w:t>
      </w:r>
    </w:p>
    <w:p w14:paraId="737D2406" w14:textId="77777777" w:rsidR="00B8018A" w:rsidRPr="00FD489D" w:rsidRDefault="00B8018A">
      <w:pPr>
        <w:pBdr>
          <w:top w:val="nil"/>
          <w:left w:val="nil"/>
          <w:bottom w:val="nil"/>
          <w:right w:val="nil"/>
          <w:between w:val="nil"/>
        </w:pBdr>
        <w:tabs>
          <w:tab w:val="left" w:pos="0"/>
        </w:tabs>
        <w:spacing w:line="360" w:lineRule="auto"/>
        <w:ind w:right="7"/>
        <w:jc w:val="both"/>
        <w:rPr>
          <w:rFonts w:ascii="Palatino Linotype" w:eastAsia="Palatino Linotype" w:hAnsi="Palatino Linotype" w:cs="Palatino Linotype"/>
          <w:i/>
          <w:color w:val="000000"/>
        </w:rPr>
      </w:pPr>
    </w:p>
    <w:p w14:paraId="737D2407" w14:textId="77777777" w:rsidR="00B8018A" w:rsidRPr="00FD489D" w:rsidRDefault="00FA493A">
      <w:pPr>
        <w:numPr>
          <w:ilvl w:val="0"/>
          <w:numId w:val="1"/>
        </w:numPr>
        <w:pBdr>
          <w:top w:val="nil"/>
          <w:left w:val="nil"/>
          <w:bottom w:val="nil"/>
          <w:right w:val="nil"/>
          <w:between w:val="nil"/>
        </w:pBdr>
        <w:tabs>
          <w:tab w:val="left" w:pos="0"/>
        </w:tabs>
        <w:spacing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 xml:space="preserve">El </w:t>
      </w:r>
      <w:r w:rsidRPr="00FD489D">
        <w:rPr>
          <w:rFonts w:ascii="Palatino Linotype" w:eastAsia="Palatino Linotype" w:hAnsi="Palatino Linotype" w:cs="Palatino Linotype"/>
          <w:b/>
          <w:color w:val="000000"/>
        </w:rPr>
        <w:t xml:space="preserve">cuatro (04) de abril de dos mil veinticuatro, </w:t>
      </w:r>
      <w:r w:rsidRPr="00FD489D">
        <w:rPr>
          <w:rFonts w:ascii="Palatino Linotype" w:eastAsia="Palatino Linotype" w:hAnsi="Palatino Linotype" w:cs="Palatino Linotype"/>
          <w:color w:val="000000"/>
        </w:rPr>
        <w:t xml:space="preserve">el </w:t>
      </w:r>
      <w:r w:rsidRPr="00FD489D">
        <w:rPr>
          <w:rFonts w:ascii="Palatino Linotype" w:eastAsia="Palatino Linotype" w:hAnsi="Palatino Linotype" w:cs="Palatino Linotype"/>
          <w:b/>
          <w:color w:val="000000"/>
        </w:rPr>
        <w:t xml:space="preserve">SUJETO OBLIGADO, </w:t>
      </w:r>
      <w:r w:rsidRPr="00FD489D">
        <w:rPr>
          <w:rFonts w:ascii="Palatino Linotype" w:eastAsia="Palatino Linotype" w:hAnsi="Palatino Linotype" w:cs="Palatino Linotype"/>
          <w:color w:val="000000"/>
        </w:rPr>
        <w:t>dio respuesta a través del archivo siguiente:</w:t>
      </w:r>
    </w:p>
    <w:p w14:paraId="737D2408" w14:textId="77777777" w:rsidR="00B8018A" w:rsidRPr="00FD489D" w:rsidRDefault="00B8018A">
      <w:pPr>
        <w:pBdr>
          <w:top w:val="nil"/>
          <w:left w:val="nil"/>
          <w:bottom w:val="nil"/>
          <w:right w:val="nil"/>
          <w:between w:val="nil"/>
        </w:pBdr>
        <w:tabs>
          <w:tab w:val="left" w:pos="0"/>
        </w:tabs>
        <w:spacing w:line="360" w:lineRule="auto"/>
        <w:ind w:right="7"/>
        <w:jc w:val="both"/>
        <w:rPr>
          <w:rFonts w:ascii="Palatino Linotype" w:eastAsia="Palatino Linotype" w:hAnsi="Palatino Linotype" w:cs="Palatino Linotype"/>
          <w:color w:val="000000"/>
        </w:rPr>
      </w:pPr>
    </w:p>
    <w:p w14:paraId="737D2409" w14:textId="77777777" w:rsidR="00B8018A" w:rsidRPr="00FD489D" w:rsidRDefault="00121F38">
      <w:pPr>
        <w:numPr>
          <w:ilvl w:val="0"/>
          <w:numId w:val="11"/>
        </w:numPr>
        <w:pBdr>
          <w:top w:val="nil"/>
          <w:left w:val="nil"/>
          <w:bottom w:val="nil"/>
          <w:right w:val="nil"/>
          <w:between w:val="nil"/>
        </w:pBdr>
        <w:tabs>
          <w:tab w:val="left" w:pos="0"/>
        </w:tabs>
        <w:spacing w:line="360" w:lineRule="auto"/>
        <w:ind w:right="7"/>
        <w:jc w:val="both"/>
        <w:rPr>
          <w:rFonts w:ascii="Palatino Linotype" w:eastAsia="Palatino Linotype" w:hAnsi="Palatino Linotype" w:cs="Palatino Linotype"/>
          <w:i/>
          <w:color w:val="000000"/>
        </w:rPr>
      </w:pPr>
      <w:hyperlink r:id="rId9">
        <w:r w:rsidR="00FA493A" w:rsidRPr="00FD489D">
          <w:rPr>
            <w:rFonts w:ascii="Palatino Linotype" w:eastAsia="Palatino Linotype" w:hAnsi="Palatino Linotype" w:cs="Palatino Linotype"/>
            <w:b/>
            <w:i/>
            <w:color w:val="000000"/>
          </w:rPr>
          <w:t>Cambio de modalidad 118.pdf</w:t>
        </w:r>
      </w:hyperlink>
    </w:p>
    <w:p w14:paraId="737D240A" w14:textId="77777777" w:rsidR="00B8018A" w:rsidRPr="00FD489D" w:rsidRDefault="00FA493A">
      <w:pPr>
        <w:pBdr>
          <w:top w:val="nil"/>
          <w:left w:val="nil"/>
          <w:bottom w:val="nil"/>
          <w:right w:val="nil"/>
          <w:between w:val="nil"/>
        </w:pBdr>
        <w:tabs>
          <w:tab w:val="left" w:pos="0"/>
        </w:tabs>
        <w:spacing w:line="360" w:lineRule="auto"/>
        <w:ind w:right="7"/>
        <w:jc w:val="both"/>
        <w:rPr>
          <w:rFonts w:ascii="Palatino Linotype" w:eastAsia="Palatino Linotype" w:hAnsi="Palatino Linotype" w:cs="Palatino Linotype"/>
        </w:rPr>
      </w:pPr>
      <w:r w:rsidRPr="00FD489D">
        <w:rPr>
          <w:rFonts w:ascii="Palatino Linotype" w:eastAsia="Palatino Linotype" w:hAnsi="Palatino Linotype" w:cs="Palatino Linotype"/>
        </w:rPr>
        <w:t xml:space="preserve">Oficio de </w:t>
      </w:r>
      <w:r w:rsidRPr="00FD489D">
        <w:rPr>
          <w:rFonts w:ascii="Palatino Linotype" w:eastAsia="Palatino Linotype" w:hAnsi="Palatino Linotype" w:cs="Palatino Linotype"/>
          <w:b/>
        </w:rPr>
        <w:t xml:space="preserve">veinte de marzo de dos mil veinticuatro, </w:t>
      </w:r>
      <w:r w:rsidRPr="00FD489D">
        <w:rPr>
          <w:rFonts w:ascii="Palatino Linotype" w:eastAsia="Palatino Linotype" w:hAnsi="Palatino Linotype" w:cs="Palatino Linotype"/>
        </w:rPr>
        <w:t xml:space="preserve">firmado por la Tesorera Municipal, en el que informa la imposibilidad de remitir la información solicitada a través del SAIMEX, poniendo a disposición del </w:t>
      </w:r>
      <w:r w:rsidRPr="00FD489D">
        <w:rPr>
          <w:rFonts w:ascii="Palatino Linotype" w:eastAsia="Palatino Linotype" w:hAnsi="Palatino Linotype" w:cs="Palatino Linotype"/>
          <w:b/>
        </w:rPr>
        <w:t xml:space="preserve">RECURRENTE </w:t>
      </w:r>
      <w:r w:rsidRPr="00FD489D">
        <w:rPr>
          <w:rFonts w:ascii="Palatino Linotype" w:eastAsia="Palatino Linotype" w:hAnsi="Palatino Linotype" w:cs="Palatino Linotype"/>
        </w:rPr>
        <w:t xml:space="preserve">la información en la modalidad de consulta directa, proporcionando lugar en que ha de proporcionarse y el costo de las mismas. </w:t>
      </w:r>
    </w:p>
    <w:p w14:paraId="737D240B" w14:textId="77777777" w:rsidR="00B8018A" w:rsidRPr="00FD489D" w:rsidRDefault="00B8018A">
      <w:pPr>
        <w:pBdr>
          <w:top w:val="nil"/>
          <w:left w:val="nil"/>
          <w:bottom w:val="nil"/>
          <w:right w:val="nil"/>
          <w:between w:val="nil"/>
        </w:pBdr>
        <w:tabs>
          <w:tab w:val="left" w:pos="0"/>
        </w:tabs>
        <w:spacing w:line="360" w:lineRule="auto"/>
        <w:ind w:right="7"/>
        <w:jc w:val="both"/>
        <w:rPr>
          <w:rFonts w:ascii="Palatino Linotype" w:eastAsia="Palatino Linotype" w:hAnsi="Palatino Linotype" w:cs="Palatino Linotype"/>
          <w:i/>
          <w:color w:val="000000"/>
        </w:rPr>
      </w:pPr>
    </w:p>
    <w:p w14:paraId="737D240C" w14:textId="77777777" w:rsidR="00B8018A" w:rsidRPr="00FD489D" w:rsidRDefault="00FA493A">
      <w:pPr>
        <w:numPr>
          <w:ilvl w:val="0"/>
          <w:numId w:val="1"/>
        </w:numPr>
        <w:pBdr>
          <w:top w:val="nil"/>
          <w:left w:val="nil"/>
          <w:bottom w:val="nil"/>
          <w:right w:val="nil"/>
          <w:between w:val="nil"/>
        </w:pBdr>
        <w:spacing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 xml:space="preserve">El </w:t>
      </w:r>
      <w:r w:rsidRPr="00FD489D">
        <w:rPr>
          <w:rFonts w:ascii="Palatino Linotype" w:eastAsia="Palatino Linotype" w:hAnsi="Palatino Linotype" w:cs="Palatino Linotype"/>
          <w:b/>
          <w:color w:val="000000"/>
        </w:rPr>
        <w:t>nueve (09) de abril de dos mil veinticuatro</w:t>
      </w:r>
      <w:r w:rsidRPr="00FD489D">
        <w:rPr>
          <w:rFonts w:ascii="Palatino Linotype" w:eastAsia="Palatino Linotype" w:hAnsi="Palatino Linotype" w:cs="Palatino Linotype"/>
          <w:color w:val="000000"/>
        </w:rPr>
        <w:t xml:space="preserve">, </w:t>
      </w:r>
      <w:r w:rsidRPr="00FD489D">
        <w:rPr>
          <w:rFonts w:ascii="Palatino Linotype" w:eastAsia="Palatino Linotype" w:hAnsi="Palatino Linotype" w:cs="Palatino Linotype"/>
          <w:b/>
          <w:color w:val="000000"/>
        </w:rPr>
        <w:t>EL RECURRENTE</w:t>
      </w:r>
      <w:r w:rsidRPr="00FD489D">
        <w:rPr>
          <w:rFonts w:ascii="Palatino Linotype" w:eastAsia="Palatino Linotype" w:hAnsi="Palatino Linotype" w:cs="Palatino Linotype"/>
          <w:color w:val="000000"/>
        </w:rPr>
        <w:t xml:space="preserve"> interpuso el recurso de revisión, en contra de la respuesta y señaló como:</w:t>
      </w:r>
    </w:p>
    <w:p w14:paraId="737D240D" w14:textId="77777777" w:rsidR="00B8018A" w:rsidRPr="00FD489D" w:rsidRDefault="00B8018A">
      <w:pPr>
        <w:pBdr>
          <w:top w:val="nil"/>
          <w:left w:val="nil"/>
          <w:bottom w:val="nil"/>
          <w:right w:val="nil"/>
          <w:between w:val="nil"/>
        </w:pBdr>
        <w:spacing w:line="360" w:lineRule="auto"/>
        <w:ind w:right="7"/>
        <w:jc w:val="both"/>
        <w:rPr>
          <w:rFonts w:ascii="Palatino Linotype" w:eastAsia="Palatino Linotype" w:hAnsi="Palatino Linotype" w:cs="Palatino Linotype"/>
          <w:color w:val="000000"/>
        </w:rPr>
      </w:pPr>
      <w:bookmarkStart w:id="0" w:name="_heading=h.gjdgxs" w:colFirst="0" w:colLast="0"/>
      <w:bookmarkEnd w:id="0"/>
    </w:p>
    <w:p w14:paraId="737D240E" w14:textId="77777777" w:rsidR="00B8018A" w:rsidRPr="00FD489D" w:rsidRDefault="00FA493A">
      <w:pPr>
        <w:numPr>
          <w:ilvl w:val="0"/>
          <w:numId w:val="9"/>
        </w:numPr>
        <w:pBdr>
          <w:top w:val="nil"/>
          <w:left w:val="nil"/>
          <w:bottom w:val="nil"/>
          <w:right w:val="nil"/>
          <w:between w:val="nil"/>
        </w:pBdr>
        <w:spacing w:line="360" w:lineRule="auto"/>
        <w:ind w:left="850" w:right="7"/>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b/>
          <w:color w:val="000000"/>
        </w:rPr>
        <w:lastRenderedPageBreak/>
        <w:t xml:space="preserve">Acto impugnado: </w:t>
      </w:r>
      <w:r w:rsidRPr="00FD489D">
        <w:rPr>
          <w:rFonts w:ascii="Palatino Linotype" w:eastAsia="Palatino Linotype" w:hAnsi="Palatino Linotype" w:cs="Palatino Linotype"/>
          <w:i/>
          <w:color w:val="000000"/>
        </w:rPr>
        <w:t>“la respuesta otorgada o mejor dicho ninguna respuesta ootorgada” (sic)</w:t>
      </w:r>
    </w:p>
    <w:p w14:paraId="737D240F" w14:textId="77777777" w:rsidR="00B8018A" w:rsidRPr="00FD489D" w:rsidRDefault="00B8018A">
      <w:pPr>
        <w:pBdr>
          <w:top w:val="nil"/>
          <w:left w:val="nil"/>
          <w:bottom w:val="nil"/>
          <w:right w:val="nil"/>
          <w:between w:val="nil"/>
        </w:pBdr>
        <w:spacing w:line="360" w:lineRule="auto"/>
        <w:ind w:left="850" w:right="7"/>
        <w:jc w:val="both"/>
        <w:rPr>
          <w:rFonts w:ascii="Palatino Linotype" w:eastAsia="Palatino Linotype" w:hAnsi="Palatino Linotype" w:cs="Palatino Linotype"/>
          <w:color w:val="000000"/>
        </w:rPr>
      </w:pPr>
    </w:p>
    <w:p w14:paraId="737D2410" w14:textId="77777777" w:rsidR="00B8018A" w:rsidRPr="00FD489D" w:rsidRDefault="00FA493A">
      <w:pPr>
        <w:numPr>
          <w:ilvl w:val="0"/>
          <w:numId w:val="9"/>
        </w:numPr>
        <w:pBdr>
          <w:top w:val="nil"/>
          <w:left w:val="nil"/>
          <w:bottom w:val="nil"/>
          <w:right w:val="nil"/>
          <w:between w:val="nil"/>
        </w:pBdr>
        <w:spacing w:line="360" w:lineRule="auto"/>
        <w:ind w:left="850"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b/>
          <w:color w:val="000000"/>
        </w:rPr>
        <w:t xml:space="preserve">Motivos o razones de inconformidad: </w:t>
      </w:r>
      <w:r w:rsidRPr="00FD489D">
        <w:rPr>
          <w:rFonts w:ascii="Palatino Linotype" w:eastAsia="Palatino Linotype" w:hAnsi="Palatino Linotype" w:cs="Palatino Linotype"/>
          <w:color w:val="000000"/>
        </w:rPr>
        <w:t>“</w:t>
      </w:r>
      <w:r w:rsidRPr="00FD489D">
        <w:rPr>
          <w:rFonts w:ascii="Palatino Linotype" w:eastAsia="Palatino Linotype" w:hAnsi="Palatino Linotype" w:cs="Palatino Linotype"/>
          <w:i/>
          <w:color w:val="000000"/>
        </w:rPr>
        <w:t>el cambio de modalidad a una solicitud, expresa que no tiene tiempo ya que tiene a una sola persona y supera capciades administrativas humanas y tecnicas, entonces poara que estan laborando son incapaces? es informaciòn que no supera la capacidad del sistema asi mismo dicha informaiòn contempla los reportes de egresos que se remiten al osfem, por tal motivo la informaciòn se encuentra compilada y digitalizada, por ende se entiene que vulnera el derecho de acceso a la informaciòn</w:t>
      </w:r>
      <w:r w:rsidRPr="00FD489D">
        <w:rPr>
          <w:rFonts w:ascii="Palatino Linotype" w:eastAsia="Palatino Linotype" w:hAnsi="Palatino Linotype" w:cs="Palatino Linotype"/>
          <w:b/>
          <w:i/>
          <w:color w:val="000000"/>
        </w:rPr>
        <w:t>”</w:t>
      </w:r>
      <w:r w:rsidRPr="00FD489D">
        <w:rPr>
          <w:rFonts w:ascii="Palatino Linotype" w:eastAsia="Palatino Linotype" w:hAnsi="Palatino Linotype" w:cs="Palatino Linotype"/>
          <w:i/>
          <w:color w:val="000000"/>
        </w:rPr>
        <w:t xml:space="preserve"> (sic)</w:t>
      </w:r>
    </w:p>
    <w:p w14:paraId="737D2411" w14:textId="77777777" w:rsidR="00B8018A" w:rsidRPr="00FD489D" w:rsidRDefault="00FA493A">
      <w:pPr>
        <w:pBdr>
          <w:top w:val="nil"/>
          <w:left w:val="nil"/>
          <w:bottom w:val="nil"/>
          <w:right w:val="nil"/>
          <w:between w:val="nil"/>
        </w:pBdr>
        <w:spacing w:line="360" w:lineRule="auto"/>
        <w:ind w:left="850"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i/>
          <w:color w:val="000000"/>
        </w:rPr>
        <w:t xml:space="preserve"> </w:t>
      </w:r>
    </w:p>
    <w:p w14:paraId="737D2412" w14:textId="77777777" w:rsidR="00B8018A" w:rsidRPr="00FD489D" w:rsidRDefault="00FA493A">
      <w:pPr>
        <w:numPr>
          <w:ilvl w:val="0"/>
          <w:numId w:val="1"/>
        </w:numPr>
        <w:pBdr>
          <w:top w:val="nil"/>
          <w:left w:val="nil"/>
          <w:bottom w:val="nil"/>
          <w:right w:val="nil"/>
          <w:between w:val="nil"/>
        </w:pBdr>
        <w:spacing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 xml:space="preserve">Se registró el recurso revisión bajo el número de expediente al rubro indicado, asimismo con fundamento en lo dispuesto por el artículo 185 fracción I de la </w:t>
      </w:r>
      <w:r w:rsidRPr="00FD489D">
        <w:rPr>
          <w:rFonts w:ascii="Palatino Linotype" w:eastAsia="Palatino Linotype" w:hAnsi="Palatino Linotype" w:cs="Palatino Linotype"/>
          <w:b/>
          <w:color w:val="000000"/>
        </w:rPr>
        <w:t xml:space="preserve">Ley de Transparencia y Acceso a la Información Pública del Estado de México y Municipios </w:t>
      </w:r>
      <w:r w:rsidRPr="00FD489D">
        <w:rPr>
          <w:rFonts w:ascii="Palatino Linotype" w:eastAsia="Palatino Linotype" w:hAnsi="Palatino Linotype" w:cs="Palatino Linotype"/>
          <w:color w:val="000000"/>
        </w:rPr>
        <w:t xml:space="preserve">se </w:t>
      </w:r>
      <w:r w:rsidRPr="00FD489D">
        <w:rPr>
          <w:rFonts w:ascii="Palatino Linotype" w:eastAsia="Palatino Linotype" w:hAnsi="Palatino Linotype" w:cs="Palatino Linotype"/>
        </w:rPr>
        <w:t>turna</w:t>
      </w:r>
      <w:r w:rsidRPr="00FD489D">
        <w:rPr>
          <w:rFonts w:ascii="Palatino Linotype" w:eastAsia="Palatino Linotype" w:hAnsi="Palatino Linotype" w:cs="Palatino Linotype"/>
          <w:color w:val="000000"/>
        </w:rPr>
        <w:t xml:space="preserve"> a la </w:t>
      </w:r>
      <w:r w:rsidRPr="00FD489D">
        <w:rPr>
          <w:rFonts w:ascii="Palatino Linotype" w:eastAsia="Palatino Linotype" w:hAnsi="Palatino Linotype" w:cs="Palatino Linotype"/>
          <w:b/>
          <w:color w:val="000000"/>
        </w:rPr>
        <w:t xml:space="preserve">Comisionada María del Rosario Mejía Ayala, </w:t>
      </w:r>
      <w:r w:rsidRPr="00FD489D">
        <w:rPr>
          <w:rFonts w:ascii="Palatino Linotype" w:eastAsia="Palatino Linotype" w:hAnsi="Palatino Linotype" w:cs="Palatino Linotype"/>
        </w:rPr>
        <w:t>para</w:t>
      </w:r>
      <w:r w:rsidRPr="00FD489D">
        <w:rPr>
          <w:rFonts w:ascii="Palatino Linotype" w:eastAsia="Palatino Linotype" w:hAnsi="Palatino Linotype" w:cs="Palatino Linotype"/>
          <w:color w:val="000000"/>
        </w:rPr>
        <w:t xml:space="preserve"> su análisis.</w:t>
      </w:r>
    </w:p>
    <w:p w14:paraId="737D2413" w14:textId="77777777" w:rsidR="00B8018A" w:rsidRPr="00FD489D" w:rsidRDefault="00B8018A">
      <w:pPr>
        <w:pBdr>
          <w:top w:val="nil"/>
          <w:left w:val="nil"/>
          <w:bottom w:val="nil"/>
          <w:right w:val="nil"/>
          <w:between w:val="nil"/>
        </w:pBdr>
        <w:spacing w:line="360" w:lineRule="auto"/>
        <w:ind w:right="7"/>
        <w:jc w:val="both"/>
        <w:rPr>
          <w:rFonts w:ascii="Palatino Linotype" w:eastAsia="Palatino Linotype" w:hAnsi="Palatino Linotype" w:cs="Palatino Linotype"/>
          <w:color w:val="000000"/>
        </w:rPr>
      </w:pPr>
    </w:p>
    <w:p w14:paraId="737D2414" w14:textId="77777777" w:rsidR="00B8018A" w:rsidRPr="00FD489D" w:rsidRDefault="00FA493A">
      <w:pPr>
        <w:numPr>
          <w:ilvl w:val="0"/>
          <w:numId w:val="1"/>
        </w:numPr>
        <w:pBdr>
          <w:top w:val="nil"/>
          <w:left w:val="nil"/>
          <w:bottom w:val="nil"/>
          <w:right w:val="nil"/>
          <w:between w:val="nil"/>
        </w:pBdr>
        <w:spacing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 xml:space="preserve">La Comisionada Ponente con fundamento en lo dispuesto por el artículo 185 fracción I, II y IV de la ley de la materia, a través del acuerdo de admisión de fecha </w:t>
      </w:r>
      <w:r w:rsidRPr="00FD489D">
        <w:rPr>
          <w:rFonts w:ascii="Palatino Linotype" w:eastAsia="Palatino Linotype" w:hAnsi="Palatino Linotype" w:cs="Palatino Linotype"/>
          <w:b/>
          <w:color w:val="000000"/>
        </w:rPr>
        <w:t>veintinueve (29) de abril de dos mil veinticuatro</w:t>
      </w:r>
      <w:r w:rsidRPr="00FD489D">
        <w:rPr>
          <w:rFonts w:ascii="Palatino Linotype" w:eastAsia="Palatino Linotype" w:hAnsi="Palatino Linotype" w:cs="Palatino Linotype"/>
          <w:color w:val="000000"/>
        </w:rPr>
        <w:t xml:space="preserve">, puso a disposición de las partes el expediente electrónico vía </w:t>
      </w:r>
      <w:r w:rsidRPr="00FD489D">
        <w:rPr>
          <w:rFonts w:ascii="Palatino Linotype" w:eastAsia="Palatino Linotype" w:hAnsi="Palatino Linotype" w:cs="Palatino Linotype"/>
          <w:b/>
          <w:color w:val="000000"/>
        </w:rPr>
        <w:t xml:space="preserve">SAIMEX </w:t>
      </w:r>
      <w:r w:rsidRPr="00FD489D">
        <w:rPr>
          <w:rFonts w:ascii="Palatino Linotype" w:eastAsia="Palatino Linotype" w:hAnsi="Palatino Linotype" w:cs="Palatino Linotype"/>
          <w:color w:val="000000"/>
        </w:rPr>
        <w:t xml:space="preserve">a efecto de que en un plazo máximo de siete días </w:t>
      </w:r>
      <w:r w:rsidRPr="00FD489D">
        <w:rPr>
          <w:rFonts w:ascii="Palatino Linotype" w:eastAsia="Palatino Linotype" w:hAnsi="Palatino Linotype" w:cs="Palatino Linotype"/>
        </w:rPr>
        <w:t>manifestara</w:t>
      </w:r>
      <w:r w:rsidRPr="00FD489D">
        <w:rPr>
          <w:rFonts w:ascii="Palatino Linotype" w:eastAsia="Palatino Linotype" w:hAnsi="Palatino Linotype" w:cs="Palatino Linotype"/>
          <w:color w:val="000000"/>
        </w:rPr>
        <w:t xml:space="preserve"> lo que a derecho </w:t>
      </w:r>
      <w:r w:rsidRPr="00FD489D">
        <w:rPr>
          <w:rFonts w:ascii="Palatino Linotype" w:eastAsia="Palatino Linotype" w:hAnsi="Palatino Linotype" w:cs="Palatino Linotype"/>
        </w:rPr>
        <w:t>conviniera</w:t>
      </w:r>
      <w:r w:rsidRPr="00FD489D">
        <w:rPr>
          <w:rFonts w:ascii="Palatino Linotype" w:eastAsia="Palatino Linotype" w:hAnsi="Palatino Linotype" w:cs="Palatino Linotype"/>
          <w:color w:val="000000"/>
        </w:rPr>
        <w:t xml:space="preserve">, </w:t>
      </w:r>
      <w:r w:rsidRPr="00FD489D">
        <w:rPr>
          <w:rFonts w:ascii="Palatino Linotype" w:eastAsia="Palatino Linotype" w:hAnsi="Palatino Linotype" w:cs="Palatino Linotype"/>
        </w:rPr>
        <w:t>ofreciera</w:t>
      </w:r>
      <w:r w:rsidRPr="00FD489D">
        <w:rPr>
          <w:rFonts w:ascii="Palatino Linotype" w:eastAsia="Palatino Linotype" w:hAnsi="Palatino Linotype" w:cs="Palatino Linotype"/>
          <w:color w:val="000000"/>
        </w:rPr>
        <w:t xml:space="preserve"> pruebas y alegatos según corresponda al caso concreto, de esta forma para que el </w:t>
      </w:r>
      <w:r w:rsidRPr="00FD489D">
        <w:rPr>
          <w:rFonts w:ascii="Palatino Linotype" w:eastAsia="Palatino Linotype" w:hAnsi="Palatino Linotype" w:cs="Palatino Linotype"/>
          <w:b/>
          <w:color w:val="000000"/>
        </w:rPr>
        <w:t>SUJETO OBLIGADO</w:t>
      </w:r>
      <w:r w:rsidRPr="00FD489D">
        <w:rPr>
          <w:rFonts w:ascii="Palatino Linotype" w:eastAsia="Palatino Linotype" w:hAnsi="Palatino Linotype" w:cs="Palatino Linotype"/>
          <w:color w:val="000000"/>
        </w:rPr>
        <w:t xml:space="preserve"> </w:t>
      </w:r>
      <w:r w:rsidRPr="00FD489D">
        <w:rPr>
          <w:rFonts w:ascii="Palatino Linotype" w:eastAsia="Palatino Linotype" w:hAnsi="Palatino Linotype" w:cs="Palatino Linotype"/>
        </w:rPr>
        <w:t>presentará</w:t>
      </w:r>
      <w:r w:rsidRPr="00FD489D">
        <w:rPr>
          <w:rFonts w:ascii="Palatino Linotype" w:eastAsia="Palatino Linotype" w:hAnsi="Palatino Linotype" w:cs="Palatino Linotype"/>
          <w:color w:val="000000"/>
        </w:rPr>
        <w:t xml:space="preserve"> el informe justificado procedente.</w:t>
      </w:r>
    </w:p>
    <w:p w14:paraId="737D2415" w14:textId="77777777" w:rsidR="00B8018A" w:rsidRPr="00FD489D" w:rsidRDefault="00B8018A">
      <w:pPr>
        <w:pBdr>
          <w:top w:val="nil"/>
          <w:left w:val="nil"/>
          <w:bottom w:val="nil"/>
          <w:right w:val="nil"/>
          <w:between w:val="nil"/>
        </w:pBdr>
        <w:ind w:left="720" w:right="7"/>
        <w:jc w:val="both"/>
        <w:rPr>
          <w:rFonts w:ascii="Palatino Linotype" w:eastAsia="Palatino Linotype" w:hAnsi="Palatino Linotype" w:cs="Palatino Linotype"/>
          <w:i/>
          <w:color w:val="000000"/>
        </w:rPr>
      </w:pPr>
    </w:p>
    <w:p w14:paraId="737D2416" w14:textId="77777777" w:rsidR="00B8018A" w:rsidRPr="00FD489D" w:rsidRDefault="00FA493A">
      <w:pPr>
        <w:numPr>
          <w:ilvl w:val="0"/>
          <w:numId w:val="1"/>
        </w:numPr>
        <w:tabs>
          <w:tab w:val="left" w:pos="284"/>
        </w:tabs>
        <w:spacing w:before="240" w:after="240"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rPr>
        <w:t>De las constancias que integran el expediente electrónico SAIMEX</w:t>
      </w:r>
      <w:r w:rsidRPr="00FD489D">
        <w:rPr>
          <w:rFonts w:ascii="Palatino Linotype" w:eastAsia="Palatino Linotype" w:hAnsi="Palatino Linotype" w:cs="Palatino Linotype"/>
          <w:b/>
        </w:rPr>
        <w:t xml:space="preserve">, </w:t>
      </w:r>
      <w:r w:rsidRPr="00FD489D">
        <w:rPr>
          <w:rFonts w:ascii="Palatino Linotype" w:eastAsia="Palatino Linotype" w:hAnsi="Palatino Linotype" w:cs="Palatino Linotype"/>
        </w:rPr>
        <w:t xml:space="preserve">se advierte que el </w:t>
      </w:r>
      <w:r w:rsidRPr="00FD489D">
        <w:rPr>
          <w:rFonts w:ascii="Palatino Linotype" w:eastAsia="Palatino Linotype" w:hAnsi="Palatino Linotype" w:cs="Palatino Linotype"/>
          <w:b/>
        </w:rPr>
        <w:t>PARTICULAR</w:t>
      </w:r>
      <w:r w:rsidRPr="00FD489D">
        <w:rPr>
          <w:rFonts w:ascii="Palatino Linotype" w:eastAsia="Palatino Linotype" w:hAnsi="Palatino Linotype" w:cs="Palatino Linotype"/>
        </w:rPr>
        <w:t xml:space="preserve"> y el </w:t>
      </w:r>
      <w:r w:rsidRPr="00FD489D">
        <w:rPr>
          <w:rFonts w:ascii="Palatino Linotype" w:eastAsia="Palatino Linotype" w:hAnsi="Palatino Linotype" w:cs="Palatino Linotype"/>
          <w:b/>
        </w:rPr>
        <w:t xml:space="preserve">SUJETO OBLIGADO, </w:t>
      </w:r>
      <w:r w:rsidRPr="00FD489D">
        <w:rPr>
          <w:rFonts w:ascii="Palatino Linotype" w:eastAsia="Palatino Linotype" w:hAnsi="Palatino Linotype" w:cs="Palatino Linotype"/>
        </w:rPr>
        <w:t>no realizaron manifestaciones conforme a su derecho conviniera y asistiera.</w:t>
      </w:r>
    </w:p>
    <w:p w14:paraId="737D2417" w14:textId="77777777" w:rsidR="00B8018A" w:rsidRPr="00FD489D" w:rsidRDefault="00B8018A">
      <w:pPr>
        <w:pBdr>
          <w:top w:val="nil"/>
          <w:left w:val="nil"/>
          <w:bottom w:val="nil"/>
          <w:right w:val="nil"/>
          <w:between w:val="nil"/>
        </w:pBdr>
        <w:ind w:right="7"/>
        <w:jc w:val="both"/>
        <w:rPr>
          <w:rFonts w:ascii="Palatino Linotype" w:eastAsia="Palatino Linotype" w:hAnsi="Palatino Linotype" w:cs="Palatino Linotype"/>
          <w:color w:val="000000"/>
        </w:rPr>
      </w:pPr>
    </w:p>
    <w:p w14:paraId="737D2418" w14:textId="77777777" w:rsidR="00B8018A" w:rsidRPr="00FD489D" w:rsidRDefault="00FA493A">
      <w:pPr>
        <w:numPr>
          <w:ilvl w:val="0"/>
          <w:numId w:val="1"/>
        </w:numPr>
        <w:pBdr>
          <w:top w:val="nil"/>
          <w:left w:val="nil"/>
          <w:bottom w:val="nil"/>
          <w:right w:val="nil"/>
          <w:between w:val="nil"/>
        </w:pBdr>
        <w:spacing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 xml:space="preserve">El </w:t>
      </w:r>
      <w:r w:rsidRPr="00FD489D">
        <w:rPr>
          <w:rFonts w:ascii="Palatino Linotype" w:eastAsia="Palatino Linotype" w:hAnsi="Palatino Linotype" w:cs="Palatino Linotype"/>
          <w:b/>
          <w:color w:val="000000"/>
        </w:rPr>
        <w:t xml:space="preserve">once (11) de junio de dos mil veinticuatro, </w:t>
      </w:r>
      <w:r w:rsidRPr="00FD489D">
        <w:rPr>
          <w:rFonts w:ascii="Palatino Linotype" w:eastAsia="Palatino Linotype" w:hAnsi="Palatino Linotype" w:cs="Palatino Linotype"/>
          <w:color w:val="000000"/>
        </w:rPr>
        <w:t>se aprobó el plazo para resolver el presente recurso de revisión.</w:t>
      </w:r>
    </w:p>
    <w:p w14:paraId="737D2419" w14:textId="77777777" w:rsidR="00B8018A" w:rsidRPr="00FD489D" w:rsidRDefault="00B8018A">
      <w:pPr>
        <w:pBdr>
          <w:top w:val="nil"/>
          <w:left w:val="nil"/>
          <w:bottom w:val="nil"/>
          <w:right w:val="nil"/>
          <w:between w:val="nil"/>
        </w:pBdr>
        <w:spacing w:line="360" w:lineRule="auto"/>
        <w:ind w:right="7"/>
        <w:jc w:val="both"/>
        <w:rPr>
          <w:rFonts w:ascii="Palatino Linotype" w:eastAsia="Palatino Linotype" w:hAnsi="Palatino Linotype" w:cs="Palatino Linotype"/>
          <w:color w:val="000000"/>
        </w:rPr>
      </w:pPr>
    </w:p>
    <w:p w14:paraId="737D241A" w14:textId="77777777" w:rsidR="00B8018A" w:rsidRPr="00FD489D" w:rsidRDefault="00FA493A">
      <w:pPr>
        <w:numPr>
          <w:ilvl w:val="0"/>
          <w:numId w:val="1"/>
        </w:numPr>
        <w:pBdr>
          <w:top w:val="nil"/>
          <w:left w:val="nil"/>
          <w:bottom w:val="nil"/>
          <w:right w:val="nil"/>
          <w:between w:val="nil"/>
        </w:pBdr>
        <w:spacing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737D241B" w14:textId="77777777" w:rsidR="00B8018A" w:rsidRPr="00FD489D" w:rsidRDefault="00B8018A">
      <w:pPr>
        <w:pBdr>
          <w:top w:val="nil"/>
          <w:left w:val="nil"/>
          <w:bottom w:val="nil"/>
          <w:right w:val="nil"/>
          <w:between w:val="nil"/>
        </w:pBdr>
        <w:spacing w:line="360" w:lineRule="auto"/>
        <w:ind w:right="7"/>
        <w:jc w:val="both"/>
        <w:rPr>
          <w:rFonts w:ascii="Palatino Linotype" w:eastAsia="Palatino Linotype" w:hAnsi="Palatino Linotype" w:cs="Palatino Linotype"/>
          <w:color w:val="000000"/>
        </w:rPr>
      </w:pPr>
    </w:p>
    <w:p w14:paraId="737D241C" w14:textId="77777777" w:rsidR="00B8018A" w:rsidRPr="00FD489D" w:rsidRDefault="00FA493A">
      <w:pPr>
        <w:numPr>
          <w:ilvl w:val="0"/>
          <w:numId w:val="1"/>
        </w:numPr>
        <w:pBdr>
          <w:top w:val="nil"/>
          <w:left w:val="nil"/>
          <w:bottom w:val="nil"/>
          <w:right w:val="nil"/>
          <w:between w:val="nil"/>
        </w:pBdr>
        <w:spacing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37D241D" w14:textId="77777777" w:rsidR="00B8018A" w:rsidRPr="00FD489D" w:rsidRDefault="00B8018A">
      <w:pPr>
        <w:pBdr>
          <w:top w:val="nil"/>
          <w:left w:val="nil"/>
          <w:bottom w:val="nil"/>
          <w:right w:val="nil"/>
          <w:between w:val="nil"/>
        </w:pBdr>
        <w:spacing w:line="360" w:lineRule="auto"/>
        <w:ind w:right="7"/>
        <w:jc w:val="both"/>
        <w:rPr>
          <w:rFonts w:ascii="Palatino Linotype" w:eastAsia="Palatino Linotype" w:hAnsi="Palatino Linotype" w:cs="Palatino Linotype"/>
          <w:color w:val="000000"/>
        </w:rPr>
      </w:pPr>
    </w:p>
    <w:p w14:paraId="737D241E" w14:textId="77777777" w:rsidR="00B8018A" w:rsidRPr="00FD489D" w:rsidRDefault="00FA493A">
      <w:pPr>
        <w:numPr>
          <w:ilvl w:val="0"/>
          <w:numId w:val="1"/>
        </w:numPr>
        <w:pBdr>
          <w:top w:val="nil"/>
          <w:left w:val="nil"/>
          <w:bottom w:val="nil"/>
          <w:right w:val="nil"/>
          <w:between w:val="nil"/>
        </w:pBdr>
        <w:spacing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37D241F" w14:textId="77777777" w:rsidR="00B8018A" w:rsidRPr="00FD489D" w:rsidRDefault="00B8018A">
      <w:pPr>
        <w:pBdr>
          <w:top w:val="nil"/>
          <w:left w:val="nil"/>
          <w:bottom w:val="nil"/>
          <w:right w:val="nil"/>
          <w:between w:val="nil"/>
        </w:pBdr>
        <w:ind w:left="720" w:right="7"/>
        <w:jc w:val="both"/>
        <w:rPr>
          <w:rFonts w:ascii="Palatino Linotype" w:eastAsia="Palatino Linotype" w:hAnsi="Palatino Linotype" w:cs="Palatino Linotype"/>
          <w:color w:val="000000"/>
        </w:rPr>
      </w:pPr>
    </w:p>
    <w:p w14:paraId="737D2420" w14:textId="77777777" w:rsidR="00B8018A" w:rsidRPr="00FD489D" w:rsidRDefault="00FA493A">
      <w:pPr>
        <w:numPr>
          <w:ilvl w:val="0"/>
          <w:numId w:val="1"/>
        </w:numPr>
        <w:pBdr>
          <w:top w:val="nil"/>
          <w:left w:val="nil"/>
          <w:bottom w:val="nil"/>
          <w:right w:val="nil"/>
          <w:between w:val="nil"/>
        </w:pBdr>
        <w:spacing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37D2421" w14:textId="77777777" w:rsidR="00B8018A" w:rsidRPr="00FD489D" w:rsidRDefault="00B8018A">
      <w:pPr>
        <w:pBdr>
          <w:top w:val="nil"/>
          <w:left w:val="nil"/>
          <w:bottom w:val="nil"/>
          <w:right w:val="nil"/>
          <w:between w:val="nil"/>
        </w:pBdr>
        <w:spacing w:line="360" w:lineRule="auto"/>
        <w:ind w:right="7"/>
        <w:jc w:val="both"/>
        <w:rPr>
          <w:rFonts w:ascii="Palatino Linotype" w:eastAsia="Palatino Linotype" w:hAnsi="Palatino Linotype" w:cs="Palatino Linotype"/>
          <w:color w:val="000000"/>
        </w:rPr>
      </w:pPr>
    </w:p>
    <w:p w14:paraId="737D2422" w14:textId="77777777" w:rsidR="00B8018A" w:rsidRPr="00FD489D" w:rsidRDefault="00FA493A">
      <w:pPr>
        <w:numPr>
          <w:ilvl w:val="0"/>
          <w:numId w:val="1"/>
        </w:numPr>
        <w:pBdr>
          <w:top w:val="nil"/>
          <w:left w:val="nil"/>
          <w:bottom w:val="nil"/>
          <w:right w:val="nil"/>
          <w:between w:val="nil"/>
        </w:pBdr>
        <w:spacing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737D2423" w14:textId="77777777" w:rsidR="00B8018A" w:rsidRPr="00FD489D" w:rsidRDefault="00FA493A">
      <w:pPr>
        <w:pBdr>
          <w:top w:val="nil"/>
          <w:left w:val="nil"/>
          <w:bottom w:val="nil"/>
          <w:right w:val="nil"/>
          <w:between w:val="nil"/>
        </w:pBdr>
        <w:spacing w:line="360" w:lineRule="auto"/>
        <w:ind w:left="284" w:right="7"/>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a)   Complejidad del asunto: La complejidad de la prueba, la pluralidad de sujetos procesales, el tiempo transcurrido, las características y contexto del recurso.</w:t>
      </w:r>
    </w:p>
    <w:p w14:paraId="737D2424" w14:textId="77777777" w:rsidR="00B8018A" w:rsidRPr="00FD489D" w:rsidRDefault="00FA493A">
      <w:pPr>
        <w:pBdr>
          <w:top w:val="nil"/>
          <w:left w:val="nil"/>
          <w:bottom w:val="nil"/>
          <w:right w:val="nil"/>
          <w:between w:val="nil"/>
        </w:pBdr>
        <w:spacing w:line="360" w:lineRule="auto"/>
        <w:ind w:left="284" w:right="7"/>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b)   Actividad Procesal del interesado: Acciones u omisiones del interesado.</w:t>
      </w:r>
    </w:p>
    <w:p w14:paraId="737D2425" w14:textId="77777777" w:rsidR="00B8018A" w:rsidRPr="00FD489D" w:rsidRDefault="00FA493A">
      <w:pPr>
        <w:pBdr>
          <w:top w:val="nil"/>
          <w:left w:val="nil"/>
          <w:bottom w:val="nil"/>
          <w:right w:val="nil"/>
          <w:between w:val="nil"/>
        </w:pBdr>
        <w:spacing w:line="360" w:lineRule="auto"/>
        <w:ind w:left="284" w:right="7"/>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c)    Conducta de la Autoridad: Las Acciones u omisiones realizadas en el procedimiento. Así como si la autoridad actuó con la debida diligencia.</w:t>
      </w:r>
    </w:p>
    <w:p w14:paraId="737D2426" w14:textId="77777777" w:rsidR="00B8018A" w:rsidRPr="00FD489D" w:rsidRDefault="00FA493A">
      <w:pPr>
        <w:pBdr>
          <w:top w:val="nil"/>
          <w:left w:val="nil"/>
          <w:bottom w:val="nil"/>
          <w:right w:val="nil"/>
          <w:between w:val="nil"/>
        </w:pBdr>
        <w:spacing w:line="360" w:lineRule="auto"/>
        <w:ind w:left="284" w:right="7"/>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d)   La afectación generada en la situación jurídica de la persona involucrada en el proceso: Violación a sus derechos humanos.</w:t>
      </w:r>
    </w:p>
    <w:p w14:paraId="737D2427" w14:textId="77777777" w:rsidR="00B8018A" w:rsidRPr="00FD489D" w:rsidRDefault="00B8018A">
      <w:pPr>
        <w:pBdr>
          <w:top w:val="nil"/>
          <w:left w:val="nil"/>
          <w:bottom w:val="nil"/>
          <w:right w:val="nil"/>
          <w:between w:val="nil"/>
        </w:pBdr>
        <w:spacing w:line="360" w:lineRule="auto"/>
        <w:ind w:right="7"/>
        <w:jc w:val="both"/>
        <w:rPr>
          <w:rFonts w:ascii="Palatino Linotype" w:eastAsia="Palatino Linotype" w:hAnsi="Palatino Linotype" w:cs="Palatino Linotype"/>
          <w:color w:val="000000"/>
        </w:rPr>
      </w:pPr>
    </w:p>
    <w:p w14:paraId="737D2428" w14:textId="77777777" w:rsidR="00B8018A" w:rsidRPr="00FD489D" w:rsidRDefault="00FA493A">
      <w:pPr>
        <w:numPr>
          <w:ilvl w:val="0"/>
          <w:numId w:val="1"/>
        </w:numPr>
        <w:pBdr>
          <w:top w:val="nil"/>
          <w:left w:val="nil"/>
          <w:bottom w:val="nil"/>
          <w:right w:val="nil"/>
          <w:between w:val="nil"/>
        </w:pBdr>
        <w:spacing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37D2429" w14:textId="77777777" w:rsidR="00B8018A" w:rsidRPr="00FD489D" w:rsidRDefault="00B8018A">
      <w:pPr>
        <w:pBdr>
          <w:top w:val="nil"/>
          <w:left w:val="nil"/>
          <w:bottom w:val="nil"/>
          <w:right w:val="nil"/>
          <w:between w:val="nil"/>
        </w:pBdr>
        <w:spacing w:line="360" w:lineRule="auto"/>
        <w:ind w:right="7"/>
        <w:jc w:val="both"/>
        <w:rPr>
          <w:rFonts w:ascii="Palatino Linotype" w:eastAsia="Palatino Linotype" w:hAnsi="Palatino Linotype" w:cs="Palatino Linotype"/>
          <w:color w:val="000000"/>
        </w:rPr>
      </w:pPr>
    </w:p>
    <w:p w14:paraId="737D242A" w14:textId="77777777" w:rsidR="00B8018A" w:rsidRPr="00FD489D" w:rsidRDefault="00FA493A">
      <w:pPr>
        <w:numPr>
          <w:ilvl w:val="0"/>
          <w:numId w:val="1"/>
        </w:numPr>
        <w:pBdr>
          <w:top w:val="nil"/>
          <w:left w:val="nil"/>
          <w:bottom w:val="nil"/>
          <w:right w:val="nil"/>
          <w:between w:val="nil"/>
        </w:pBdr>
        <w:spacing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FD489D">
        <w:rPr>
          <w:rFonts w:ascii="Palatino Linotype" w:eastAsia="Palatino Linotype" w:hAnsi="Palatino Linotype" w:cs="Palatino Linotype"/>
        </w:rPr>
        <w:t>del rubro</w:t>
      </w:r>
      <w:r w:rsidRPr="00FD489D">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sidRPr="00FD489D">
        <w:rPr>
          <w:rFonts w:ascii="Palatino Linotype" w:eastAsia="Palatino Linotype" w:hAnsi="Palatino Linotype" w:cs="Palatino Linotype"/>
        </w:rPr>
        <w:t>Semanario</w:t>
      </w:r>
      <w:r w:rsidRPr="00FD489D">
        <w:rPr>
          <w:rFonts w:ascii="Palatino Linotype" w:eastAsia="Palatino Linotype" w:hAnsi="Palatino Linotype" w:cs="Palatino Linotype"/>
          <w:color w:val="000000"/>
        </w:rPr>
        <w:t xml:space="preserve"> Judicial de la Federación con el registro digital 205635.</w:t>
      </w:r>
    </w:p>
    <w:p w14:paraId="737D242B" w14:textId="77777777" w:rsidR="00FA493A" w:rsidRPr="00FD489D" w:rsidRDefault="00FA493A" w:rsidP="00FA493A">
      <w:pPr>
        <w:pBdr>
          <w:top w:val="nil"/>
          <w:left w:val="nil"/>
          <w:bottom w:val="nil"/>
          <w:right w:val="nil"/>
          <w:between w:val="nil"/>
        </w:pBdr>
        <w:spacing w:line="360" w:lineRule="auto"/>
        <w:ind w:right="7"/>
        <w:jc w:val="both"/>
        <w:rPr>
          <w:rFonts w:ascii="Palatino Linotype" w:eastAsia="Palatino Linotype" w:hAnsi="Palatino Linotype" w:cs="Palatino Linotype"/>
          <w:color w:val="000000"/>
        </w:rPr>
      </w:pPr>
    </w:p>
    <w:p w14:paraId="737D242C" w14:textId="77777777" w:rsidR="00B8018A" w:rsidRPr="00FD489D" w:rsidRDefault="00FA493A">
      <w:pPr>
        <w:numPr>
          <w:ilvl w:val="0"/>
          <w:numId w:val="1"/>
        </w:numPr>
        <w:pBdr>
          <w:top w:val="nil"/>
          <w:left w:val="nil"/>
          <w:bottom w:val="nil"/>
          <w:right w:val="nil"/>
          <w:between w:val="nil"/>
        </w:pBdr>
        <w:spacing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37D242D" w14:textId="77777777" w:rsidR="00B8018A" w:rsidRPr="00FD489D" w:rsidRDefault="00B8018A">
      <w:pPr>
        <w:pBdr>
          <w:top w:val="nil"/>
          <w:left w:val="nil"/>
          <w:bottom w:val="nil"/>
          <w:right w:val="nil"/>
          <w:between w:val="nil"/>
        </w:pBdr>
        <w:spacing w:line="360" w:lineRule="auto"/>
        <w:ind w:right="7"/>
        <w:jc w:val="both"/>
        <w:rPr>
          <w:rFonts w:ascii="Palatino Linotype" w:eastAsia="Palatino Linotype" w:hAnsi="Palatino Linotype" w:cs="Palatino Linotype"/>
          <w:color w:val="000000"/>
        </w:rPr>
      </w:pPr>
    </w:p>
    <w:p w14:paraId="737D242E" w14:textId="77777777" w:rsidR="00B8018A" w:rsidRPr="00FD489D" w:rsidRDefault="00FA493A">
      <w:pPr>
        <w:numPr>
          <w:ilvl w:val="0"/>
          <w:numId w:val="1"/>
        </w:numPr>
        <w:pBdr>
          <w:top w:val="nil"/>
          <w:left w:val="nil"/>
          <w:bottom w:val="nil"/>
          <w:right w:val="nil"/>
          <w:between w:val="nil"/>
        </w:pBdr>
        <w:spacing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737D242F" w14:textId="77777777" w:rsidR="00B8018A" w:rsidRPr="00FD489D" w:rsidRDefault="00FA493A">
      <w:pPr>
        <w:pBdr>
          <w:top w:val="nil"/>
          <w:left w:val="nil"/>
          <w:bottom w:val="nil"/>
          <w:right w:val="nil"/>
          <w:between w:val="nil"/>
        </w:pBdr>
        <w:spacing w:line="360" w:lineRule="auto"/>
        <w:ind w:left="567" w:right="7"/>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“PLAZO RAZONABLE PARA RESOLVER. DIMENSIÓN Y EFECTOS DE ESTE CONCEPTO CUANDO SE ADUCE EXCESIVA CARGA DE TRABAJO.” consultable en el Semanario Judicial de la Federación y su gaceta, con el registro digital 2002351.</w:t>
      </w:r>
    </w:p>
    <w:p w14:paraId="737D2430" w14:textId="77777777" w:rsidR="00B8018A" w:rsidRPr="00FD489D" w:rsidRDefault="00FA493A">
      <w:pPr>
        <w:pBdr>
          <w:top w:val="nil"/>
          <w:left w:val="nil"/>
          <w:bottom w:val="nil"/>
          <w:right w:val="nil"/>
          <w:between w:val="nil"/>
        </w:pBdr>
        <w:spacing w:line="360" w:lineRule="auto"/>
        <w:ind w:left="567" w:right="7"/>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“PLAZO RAZONABLE PARA RESOLVER. CONCEPTO Y ELEMENTOS QUE LO INTEGRAN A LA LUZ DEL DERECHO INTERNACIONAL DE LOS DERECHOS HUMANOS.”, visible en el Semanario Judicial de la Federación y su gaceta, con el registro digital 2002350.</w:t>
      </w:r>
    </w:p>
    <w:p w14:paraId="737D2431" w14:textId="77777777" w:rsidR="00B8018A" w:rsidRPr="00FD489D" w:rsidRDefault="00B8018A">
      <w:pPr>
        <w:pBdr>
          <w:top w:val="nil"/>
          <w:left w:val="nil"/>
          <w:bottom w:val="nil"/>
          <w:right w:val="nil"/>
          <w:between w:val="nil"/>
        </w:pBdr>
        <w:spacing w:line="360" w:lineRule="auto"/>
        <w:ind w:left="708" w:right="7"/>
        <w:jc w:val="both"/>
        <w:rPr>
          <w:rFonts w:ascii="Palatino Linotype" w:eastAsia="Palatino Linotype" w:hAnsi="Palatino Linotype" w:cs="Palatino Linotype"/>
          <w:color w:val="000000"/>
        </w:rPr>
      </w:pPr>
    </w:p>
    <w:p w14:paraId="737D2432" w14:textId="77777777" w:rsidR="00B8018A" w:rsidRPr="00FD489D" w:rsidRDefault="00FA493A">
      <w:pPr>
        <w:numPr>
          <w:ilvl w:val="0"/>
          <w:numId w:val="1"/>
        </w:numPr>
        <w:pBdr>
          <w:top w:val="nil"/>
          <w:left w:val="nil"/>
          <w:bottom w:val="nil"/>
          <w:right w:val="nil"/>
          <w:between w:val="nil"/>
        </w:pBdr>
        <w:spacing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lastRenderedPageBreak/>
        <w:t>Por ello, este organismo garante comprometido con la tutela de los derechos humanos confiados, señala que este exceso del plazo legal para resolver el presente asunto, resulta de carácter excepcional.</w:t>
      </w:r>
    </w:p>
    <w:p w14:paraId="737D2433" w14:textId="77777777" w:rsidR="00B8018A" w:rsidRPr="00FD489D" w:rsidRDefault="00B8018A">
      <w:pPr>
        <w:pBdr>
          <w:top w:val="nil"/>
          <w:left w:val="nil"/>
          <w:bottom w:val="nil"/>
          <w:right w:val="nil"/>
          <w:between w:val="nil"/>
        </w:pBdr>
        <w:spacing w:line="360" w:lineRule="auto"/>
        <w:ind w:right="7"/>
        <w:jc w:val="both"/>
        <w:rPr>
          <w:rFonts w:ascii="Palatino Linotype" w:eastAsia="Palatino Linotype" w:hAnsi="Palatino Linotype" w:cs="Palatino Linotype"/>
          <w:color w:val="000000"/>
        </w:rPr>
      </w:pPr>
    </w:p>
    <w:p w14:paraId="737D2434" w14:textId="77777777" w:rsidR="00B8018A" w:rsidRPr="00FD489D" w:rsidRDefault="00FA493A">
      <w:pPr>
        <w:numPr>
          <w:ilvl w:val="0"/>
          <w:numId w:val="1"/>
        </w:numPr>
        <w:pBdr>
          <w:top w:val="nil"/>
          <w:left w:val="nil"/>
          <w:bottom w:val="nil"/>
          <w:right w:val="nil"/>
          <w:between w:val="nil"/>
        </w:pBdr>
        <w:spacing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 xml:space="preserve">Finalmente, el </w:t>
      </w:r>
      <w:r w:rsidRPr="00FD489D">
        <w:rPr>
          <w:rFonts w:ascii="Palatino Linotype" w:eastAsia="Palatino Linotype" w:hAnsi="Palatino Linotype" w:cs="Palatino Linotype"/>
          <w:b/>
          <w:color w:val="000000"/>
        </w:rPr>
        <w:t>veinticuatro (24) de mayo de dos mil veinticuatro,</w:t>
      </w:r>
      <w:r w:rsidRPr="00FD489D">
        <w:rPr>
          <w:rFonts w:ascii="Palatino Linotype" w:eastAsia="Palatino Linotype" w:hAnsi="Palatino Linotype" w:cs="Palatino Linotype"/>
          <w:color w:val="000000"/>
        </w:rPr>
        <w:t xml:space="preserve"> se notificó el acuerdo mediante el cual se decretó el cierre de instrucción.</w:t>
      </w:r>
    </w:p>
    <w:p w14:paraId="737D2435" w14:textId="77777777" w:rsidR="00B8018A" w:rsidRPr="00FD489D" w:rsidRDefault="00B8018A">
      <w:pPr>
        <w:pBdr>
          <w:top w:val="nil"/>
          <w:left w:val="nil"/>
          <w:bottom w:val="nil"/>
          <w:right w:val="nil"/>
          <w:between w:val="nil"/>
        </w:pBdr>
        <w:ind w:left="720" w:right="7"/>
        <w:jc w:val="both"/>
        <w:rPr>
          <w:rFonts w:ascii="Palatino Linotype" w:eastAsia="Palatino Linotype" w:hAnsi="Palatino Linotype" w:cs="Palatino Linotype"/>
          <w:color w:val="000000"/>
        </w:rPr>
      </w:pPr>
    </w:p>
    <w:p w14:paraId="737D2436" w14:textId="77777777" w:rsidR="00B8018A" w:rsidRPr="00FD489D" w:rsidRDefault="00B8018A">
      <w:pPr>
        <w:pBdr>
          <w:top w:val="nil"/>
          <w:left w:val="nil"/>
          <w:bottom w:val="nil"/>
          <w:right w:val="nil"/>
          <w:between w:val="nil"/>
        </w:pBdr>
        <w:spacing w:line="360" w:lineRule="auto"/>
        <w:ind w:right="7"/>
        <w:jc w:val="both"/>
        <w:rPr>
          <w:rFonts w:ascii="Palatino Linotype" w:eastAsia="Palatino Linotype" w:hAnsi="Palatino Linotype" w:cs="Palatino Linotype"/>
          <w:color w:val="000000"/>
        </w:rPr>
      </w:pPr>
    </w:p>
    <w:p w14:paraId="737D2437" w14:textId="77777777" w:rsidR="00B8018A" w:rsidRPr="00FD489D" w:rsidRDefault="00FA493A">
      <w:pPr>
        <w:pStyle w:val="Ttulo1"/>
        <w:ind w:right="7"/>
        <w:jc w:val="both"/>
        <w:rPr>
          <w:rFonts w:ascii="Palatino Linotype" w:eastAsia="Palatino Linotype" w:hAnsi="Palatino Linotype" w:cs="Palatino Linotype"/>
          <w:b/>
          <w:color w:val="000000"/>
          <w:sz w:val="24"/>
          <w:szCs w:val="24"/>
        </w:rPr>
      </w:pPr>
      <w:r w:rsidRPr="00FD489D">
        <w:rPr>
          <w:rFonts w:ascii="Palatino Linotype" w:eastAsia="Palatino Linotype" w:hAnsi="Palatino Linotype" w:cs="Palatino Linotype"/>
          <w:b/>
          <w:color w:val="000000"/>
          <w:sz w:val="24"/>
          <w:szCs w:val="24"/>
        </w:rPr>
        <w:t xml:space="preserve">C O N S I D E R A N D O </w:t>
      </w:r>
    </w:p>
    <w:p w14:paraId="737D2438" w14:textId="77777777" w:rsidR="00B8018A" w:rsidRPr="00FD489D" w:rsidRDefault="00B8018A">
      <w:pPr>
        <w:ind w:right="7"/>
        <w:jc w:val="both"/>
        <w:rPr>
          <w:rFonts w:ascii="Palatino Linotype" w:eastAsia="Palatino Linotype" w:hAnsi="Palatino Linotype" w:cs="Palatino Linotype"/>
        </w:rPr>
      </w:pPr>
    </w:p>
    <w:p w14:paraId="737D2439" w14:textId="77777777" w:rsidR="00B8018A" w:rsidRPr="00FD489D" w:rsidRDefault="00FA493A">
      <w:pPr>
        <w:pStyle w:val="Ttulo2"/>
        <w:ind w:right="7"/>
        <w:jc w:val="both"/>
        <w:rPr>
          <w:rFonts w:ascii="Palatino Linotype" w:eastAsia="Palatino Linotype" w:hAnsi="Palatino Linotype" w:cs="Palatino Linotype"/>
          <w:b/>
          <w:color w:val="000000"/>
          <w:sz w:val="24"/>
          <w:szCs w:val="24"/>
        </w:rPr>
      </w:pPr>
      <w:r w:rsidRPr="00FD489D">
        <w:rPr>
          <w:rFonts w:ascii="Palatino Linotype" w:eastAsia="Palatino Linotype" w:hAnsi="Palatino Linotype" w:cs="Palatino Linotype"/>
          <w:b/>
          <w:color w:val="000000"/>
          <w:sz w:val="24"/>
          <w:szCs w:val="24"/>
        </w:rPr>
        <w:t>PRIMERO. De la competencia</w:t>
      </w:r>
    </w:p>
    <w:p w14:paraId="737D243A" w14:textId="77777777" w:rsidR="00B8018A" w:rsidRPr="00FD489D" w:rsidRDefault="00B8018A">
      <w:pPr>
        <w:ind w:right="7"/>
        <w:jc w:val="both"/>
        <w:rPr>
          <w:rFonts w:ascii="Palatino Linotype" w:eastAsia="Palatino Linotype" w:hAnsi="Palatino Linotype" w:cs="Palatino Linotype"/>
        </w:rPr>
      </w:pPr>
    </w:p>
    <w:p w14:paraId="737D243B" w14:textId="77777777" w:rsidR="00B8018A" w:rsidRPr="00FD489D" w:rsidRDefault="00FA493A">
      <w:pPr>
        <w:numPr>
          <w:ilvl w:val="0"/>
          <w:numId w:val="1"/>
        </w:numPr>
        <w:pBdr>
          <w:top w:val="nil"/>
          <w:left w:val="nil"/>
          <w:bottom w:val="nil"/>
          <w:right w:val="nil"/>
          <w:between w:val="nil"/>
        </w:pBdr>
        <w:tabs>
          <w:tab w:val="left" w:pos="426"/>
        </w:tabs>
        <w:spacing w:line="360" w:lineRule="auto"/>
        <w:ind w:left="0" w:right="7" w:firstLine="0"/>
        <w:jc w:val="both"/>
        <w:rPr>
          <w:rFonts w:ascii="Palatino Linotype" w:eastAsia="Palatino Linotype" w:hAnsi="Palatino Linotype" w:cs="Palatino Linotype"/>
          <w:b/>
          <w:color w:val="000000"/>
        </w:rPr>
      </w:pPr>
      <w:r w:rsidRPr="00FD489D">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FD489D">
        <w:rPr>
          <w:rFonts w:ascii="Palatino Linotype" w:eastAsia="Palatino Linotype" w:hAnsi="Palatino Linotype" w:cs="Palatino Linotype"/>
          <w:b/>
          <w:color w:val="000000"/>
        </w:rPr>
        <w:t>Constitución Política de los Estados Unidos Mexicanos</w:t>
      </w:r>
      <w:r w:rsidRPr="00FD489D">
        <w:rPr>
          <w:rFonts w:ascii="Palatino Linotype" w:eastAsia="Palatino Linotype" w:hAnsi="Palatino Linotype" w:cs="Palatino Linotype"/>
          <w:color w:val="000000"/>
        </w:rPr>
        <w:t xml:space="preserve">; 5, párrafos </w:t>
      </w:r>
      <w:r w:rsidRPr="00FD489D">
        <w:rPr>
          <w:rFonts w:ascii="Palatino Linotype" w:eastAsia="Palatino Linotype" w:hAnsi="Palatino Linotype" w:cs="Palatino Linotype"/>
          <w:color w:val="222222"/>
        </w:rPr>
        <w:t>trigésimo segundo, trigésimo tercero y trigésimo cuarto fracciones</w:t>
      </w:r>
      <w:r w:rsidRPr="00FD489D">
        <w:rPr>
          <w:rFonts w:ascii="Palatino Linotype" w:eastAsia="Palatino Linotype" w:hAnsi="Palatino Linotype" w:cs="Palatino Linotype"/>
          <w:color w:val="000000"/>
        </w:rPr>
        <w:t xml:space="preserve"> IV y V de la </w:t>
      </w:r>
      <w:r w:rsidRPr="00FD489D">
        <w:rPr>
          <w:rFonts w:ascii="Palatino Linotype" w:eastAsia="Palatino Linotype" w:hAnsi="Palatino Linotype" w:cs="Palatino Linotype"/>
          <w:b/>
          <w:color w:val="000000"/>
        </w:rPr>
        <w:t>Constitución Política del Estado Libre y Soberano de México</w:t>
      </w:r>
      <w:r w:rsidRPr="00FD489D">
        <w:rPr>
          <w:rFonts w:ascii="Palatino Linotype" w:eastAsia="Palatino Linotype" w:hAnsi="Palatino Linotype" w:cs="Palatino Linotype"/>
          <w:color w:val="000000"/>
        </w:rPr>
        <w:t xml:space="preserve">; artículos 1, 2 fracción II, 13, 29, 36 fracciones I y II, 176, 178, 179, 181 párrafo tercero y 185 de la </w:t>
      </w:r>
      <w:r w:rsidRPr="00FD489D">
        <w:rPr>
          <w:rFonts w:ascii="Palatino Linotype" w:eastAsia="Palatino Linotype" w:hAnsi="Palatino Linotype" w:cs="Palatino Linotype"/>
          <w:b/>
          <w:color w:val="000000"/>
        </w:rPr>
        <w:t>Ley de Transparencia y Acceso a la Información Pública del Estado de México y Municipios</w:t>
      </w:r>
      <w:r w:rsidRPr="00FD489D">
        <w:rPr>
          <w:rFonts w:ascii="Palatino Linotype" w:eastAsia="Palatino Linotype" w:hAnsi="Palatino Linotype" w:cs="Palatino Linotype"/>
          <w:color w:val="000000"/>
        </w:rPr>
        <w:t xml:space="preserve">; y 7, 9 fracciones I y XXIII, y 11 del </w:t>
      </w:r>
      <w:r w:rsidRPr="00FD489D">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r w:rsidRPr="00FD489D">
        <w:rPr>
          <w:rFonts w:ascii="Palatino Linotype" w:eastAsia="Palatino Linotype" w:hAnsi="Palatino Linotype" w:cs="Palatino Linotype"/>
          <w:color w:val="000000"/>
        </w:rPr>
        <w:t>.</w:t>
      </w:r>
    </w:p>
    <w:p w14:paraId="737D243C" w14:textId="77777777" w:rsidR="00B8018A" w:rsidRPr="00FD489D" w:rsidRDefault="00B8018A">
      <w:pPr>
        <w:pBdr>
          <w:top w:val="nil"/>
          <w:left w:val="nil"/>
          <w:bottom w:val="nil"/>
          <w:right w:val="nil"/>
          <w:between w:val="nil"/>
        </w:pBdr>
        <w:tabs>
          <w:tab w:val="left" w:pos="426"/>
        </w:tabs>
        <w:spacing w:line="360" w:lineRule="auto"/>
        <w:ind w:right="7"/>
        <w:jc w:val="both"/>
        <w:rPr>
          <w:rFonts w:ascii="Palatino Linotype" w:eastAsia="Palatino Linotype" w:hAnsi="Palatino Linotype" w:cs="Palatino Linotype"/>
          <w:b/>
          <w:color w:val="000000"/>
        </w:rPr>
      </w:pPr>
    </w:p>
    <w:p w14:paraId="737D243D" w14:textId="77777777" w:rsidR="00B8018A" w:rsidRPr="00FD489D" w:rsidRDefault="00FA493A">
      <w:pPr>
        <w:pStyle w:val="Ttulo2"/>
        <w:ind w:right="7"/>
        <w:jc w:val="both"/>
        <w:rPr>
          <w:rFonts w:ascii="Palatino Linotype" w:eastAsia="Palatino Linotype" w:hAnsi="Palatino Linotype" w:cs="Palatino Linotype"/>
          <w:b/>
          <w:color w:val="000000"/>
          <w:sz w:val="24"/>
          <w:szCs w:val="24"/>
        </w:rPr>
      </w:pPr>
      <w:r w:rsidRPr="00FD489D">
        <w:rPr>
          <w:rFonts w:ascii="Palatino Linotype" w:eastAsia="Palatino Linotype" w:hAnsi="Palatino Linotype" w:cs="Palatino Linotype"/>
          <w:b/>
          <w:color w:val="000000"/>
          <w:sz w:val="24"/>
          <w:szCs w:val="24"/>
        </w:rPr>
        <w:t>SEGUNDO. De la oportunidad y procedencia.</w:t>
      </w:r>
    </w:p>
    <w:p w14:paraId="737D243E" w14:textId="77777777" w:rsidR="00B8018A" w:rsidRPr="00FD489D" w:rsidRDefault="00B8018A">
      <w:pPr>
        <w:ind w:right="7"/>
        <w:jc w:val="both"/>
        <w:rPr>
          <w:rFonts w:ascii="Palatino Linotype" w:eastAsia="Palatino Linotype" w:hAnsi="Palatino Linotype" w:cs="Palatino Linotype"/>
        </w:rPr>
      </w:pPr>
    </w:p>
    <w:p w14:paraId="737D243F" w14:textId="77777777" w:rsidR="00B8018A" w:rsidRPr="00FD489D" w:rsidRDefault="00FA493A">
      <w:pPr>
        <w:numPr>
          <w:ilvl w:val="0"/>
          <w:numId w:val="1"/>
        </w:numPr>
        <w:pBdr>
          <w:top w:val="nil"/>
          <w:left w:val="nil"/>
          <w:bottom w:val="nil"/>
          <w:right w:val="nil"/>
          <w:between w:val="nil"/>
        </w:pBdr>
        <w:tabs>
          <w:tab w:val="left" w:pos="426"/>
        </w:tabs>
        <w:spacing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lastRenderedPageBreak/>
        <w:t xml:space="preserve">El medio de impugnación fue presentado a través del SAIMEX en el formato previamente aprobado para tal efecto y dentro del plazo legal de quince días hábiles otorgados; siendo así que el </w:t>
      </w:r>
      <w:r w:rsidRPr="00FD489D">
        <w:rPr>
          <w:rFonts w:ascii="Palatino Linotype" w:eastAsia="Palatino Linotype" w:hAnsi="Palatino Linotype" w:cs="Palatino Linotype"/>
          <w:b/>
          <w:color w:val="000000"/>
        </w:rPr>
        <w:t>SUJETO OBLIGADO</w:t>
      </w:r>
      <w:r w:rsidRPr="00FD489D">
        <w:rPr>
          <w:rFonts w:ascii="Palatino Linotype" w:eastAsia="Palatino Linotype" w:hAnsi="Palatino Linotype" w:cs="Palatino Linotype"/>
          <w:color w:val="000000"/>
        </w:rPr>
        <w:t xml:space="preserve"> entregó respuesta el </w:t>
      </w:r>
      <w:r w:rsidRPr="00FD489D">
        <w:rPr>
          <w:rFonts w:ascii="Palatino Linotype" w:eastAsia="Palatino Linotype" w:hAnsi="Palatino Linotype" w:cs="Palatino Linotype"/>
          <w:b/>
          <w:color w:val="000000"/>
        </w:rPr>
        <w:t>cuatro (04) de abril</w:t>
      </w:r>
      <w:r w:rsidRPr="00FD489D">
        <w:rPr>
          <w:rFonts w:ascii="Palatino Linotype" w:eastAsia="Palatino Linotype" w:hAnsi="Palatino Linotype" w:cs="Palatino Linotype"/>
          <w:color w:val="000000"/>
        </w:rPr>
        <w:t xml:space="preserve"> </w:t>
      </w:r>
      <w:r w:rsidRPr="00FD489D">
        <w:rPr>
          <w:rFonts w:ascii="Palatino Linotype" w:eastAsia="Palatino Linotype" w:hAnsi="Palatino Linotype" w:cs="Palatino Linotype"/>
          <w:b/>
          <w:color w:val="000000"/>
        </w:rPr>
        <w:t>de dos mil veinticuatro</w:t>
      </w:r>
      <w:r w:rsidRPr="00FD489D">
        <w:rPr>
          <w:rFonts w:ascii="Palatino Linotype" w:eastAsia="Palatino Linotype" w:hAnsi="Palatino Linotype" w:cs="Palatino Linotype"/>
          <w:color w:val="000000"/>
        </w:rPr>
        <w:t xml:space="preserve">, de tal forma que el plazo para interponer el recurso de revisión transcurrió del </w:t>
      </w:r>
      <w:r w:rsidRPr="00FD489D">
        <w:rPr>
          <w:rFonts w:ascii="Palatino Linotype" w:eastAsia="Palatino Linotype" w:hAnsi="Palatino Linotype" w:cs="Palatino Linotype"/>
          <w:b/>
          <w:color w:val="000000"/>
        </w:rPr>
        <w:t>cinco (05)  al veinticinco (25) de abril de dos mil veinticuatro</w:t>
      </w:r>
      <w:r w:rsidRPr="00FD489D">
        <w:rPr>
          <w:rFonts w:ascii="Palatino Linotype" w:eastAsia="Palatino Linotype" w:hAnsi="Palatino Linotype" w:cs="Palatino Linotype"/>
          <w:color w:val="000000"/>
        </w:rPr>
        <w:t xml:space="preserve">, en consecuencia, si el recurso de revisión fue interpuesto el </w:t>
      </w:r>
      <w:r w:rsidRPr="00FD489D">
        <w:rPr>
          <w:rFonts w:ascii="Palatino Linotype" w:eastAsia="Palatino Linotype" w:hAnsi="Palatino Linotype" w:cs="Palatino Linotype"/>
          <w:b/>
          <w:color w:val="000000"/>
        </w:rPr>
        <w:t>nueve (09) de abril de dos mil veinticuatro</w:t>
      </w:r>
      <w:r w:rsidRPr="00FD489D">
        <w:rPr>
          <w:rFonts w:ascii="Palatino Linotype" w:eastAsia="Palatino Linotype" w:hAnsi="Palatino Linotype" w:cs="Palatino Linotype"/>
          <w:color w:val="000000"/>
        </w:rPr>
        <w:t>, éste se encuentra dentro de los márgenes temporales previstos en el artículo 178 de la Ley de Transparencia y Acceso a la Información Pública del Estado de México y Municipios</w:t>
      </w:r>
      <w:r w:rsidRPr="00FD489D">
        <w:rPr>
          <w:rFonts w:ascii="Palatino Linotype" w:eastAsia="Palatino Linotype" w:hAnsi="Palatino Linotype" w:cs="Palatino Linotype"/>
          <w:b/>
          <w:color w:val="000000"/>
        </w:rPr>
        <w:t xml:space="preserve"> </w:t>
      </w:r>
      <w:r w:rsidRPr="00FD489D">
        <w:rPr>
          <w:rFonts w:ascii="Palatino Linotype" w:eastAsia="Palatino Linotype" w:hAnsi="Palatino Linotype" w:cs="Palatino Linotype"/>
          <w:color w:val="000000"/>
        </w:rPr>
        <w:t xml:space="preserve">vigente. </w:t>
      </w:r>
    </w:p>
    <w:p w14:paraId="737D2440" w14:textId="77777777" w:rsidR="00B8018A" w:rsidRPr="00FD489D" w:rsidRDefault="00B8018A">
      <w:pPr>
        <w:tabs>
          <w:tab w:val="left" w:pos="426"/>
        </w:tabs>
        <w:spacing w:line="360" w:lineRule="auto"/>
        <w:ind w:right="7"/>
        <w:jc w:val="both"/>
        <w:rPr>
          <w:rFonts w:ascii="Palatino Linotype" w:eastAsia="Palatino Linotype" w:hAnsi="Palatino Linotype" w:cs="Palatino Linotype"/>
          <w:color w:val="000000"/>
        </w:rPr>
      </w:pPr>
    </w:p>
    <w:p w14:paraId="737D2441" w14:textId="77777777" w:rsidR="00B8018A" w:rsidRPr="00FD489D" w:rsidRDefault="00FA493A">
      <w:pPr>
        <w:numPr>
          <w:ilvl w:val="0"/>
          <w:numId w:val="1"/>
        </w:numPr>
        <w:pBdr>
          <w:top w:val="nil"/>
          <w:left w:val="nil"/>
          <w:bottom w:val="nil"/>
          <w:right w:val="nil"/>
          <w:between w:val="nil"/>
        </w:pBdr>
        <w:tabs>
          <w:tab w:val="left" w:pos="426"/>
        </w:tabs>
        <w:spacing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737D2442" w14:textId="77777777" w:rsidR="00B8018A" w:rsidRPr="00FD489D" w:rsidRDefault="00FA493A">
      <w:pPr>
        <w:pStyle w:val="Ttulo1"/>
        <w:ind w:right="7"/>
        <w:jc w:val="both"/>
        <w:rPr>
          <w:rFonts w:ascii="Palatino Linotype" w:eastAsia="Palatino Linotype" w:hAnsi="Palatino Linotype" w:cs="Palatino Linotype"/>
          <w:b/>
          <w:color w:val="000000"/>
          <w:sz w:val="24"/>
          <w:szCs w:val="24"/>
        </w:rPr>
      </w:pPr>
      <w:r w:rsidRPr="00FD489D">
        <w:rPr>
          <w:rFonts w:ascii="Palatino Linotype" w:eastAsia="Palatino Linotype" w:hAnsi="Palatino Linotype" w:cs="Palatino Linotype"/>
          <w:b/>
          <w:color w:val="000000"/>
          <w:sz w:val="24"/>
          <w:szCs w:val="24"/>
        </w:rPr>
        <w:t xml:space="preserve">TERCERO. Planteamiento de la Litis </w:t>
      </w:r>
    </w:p>
    <w:p w14:paraId="737D2443" w14:textId="77777777" w:rsidR="00B8018A" w:rsidRPr="00FD489D" w:rsidRDefault="00FA493A">
      <w:pPr>
        <w:numPr>
          <w:ilvl w:val="0"/>
          <w:numId w:val="1"/>
        </w:numPr>
        <w:pBdr>
          <w:top w:val="nil"/>
          <w:left w:val="nil"/>
          <w:bottom w:val="nil"/>
          <w:right w:val="nil"/>
          <w:between w:val="nil"/>
        </w:pBdr>
        <w:spacing w:before="240"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El recurrente solicitó la siguiente información:</w:t>
      </w:r>
    </w:p>
    <w:p w14:paraId="737D2444" w14:textId="77777777" w:rsidR="00B8018A" w:rsidRPr="00FD489D" w:rsidRDefault="00B8018A">
      <w:pPr>
        <w:pBdr>
          <w:top w:val="nil"/>
          <w:left w:val="nil"/>
          <w:bottom w:val="nil"/>
          <w:right w:val="nil"/>
          <w:between w:val="nil"/>
        </w:pBdr>
        <w:tabs>
          <w:tab w:val="left" w:pos="8222"/>
        </w:tabs>
        <w:spacing w:line="276" w:lineRule="auto"/>
        <w:ind w:left="567" w:right="7"/>
        <w:jc w:val="both"/>
        <w:rPr>
          <w:rFonts w:ascii="Palatino Linotype" w:eastAsia="Palatino Linotype" w:hAnsi="Palatino Linotype" w:cs="Palatino Linotype"/>
          <w:color w:val="000000"/>
        </w:rPr>
      </w:pPr>
    </w:p>
    <w:p w14:paraId="737D2445" w14:textId="77777777" w:rsidR="00B8018A" w:rsidRPr="00FD489D" w:rsidRDefault="00FA493A">
      <w:pPr>
        <w:pBdr>
          <w:top w:val="nil"/>
          <w:left w:val="nil"/>
          <w:bottom w:val="nil"/>
          <w:right w:val="nil"/>
          <w:between w:val="nil"/>
        </w:pBdr>
        <w:tabs>
          <w:tab w:val="left" w:pos="8222"/>
        </w:tabs>
        <w:spacing w:line="276" w:lineRule="auto"/>
        <w:ind w:left="567"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i/>
          <w:color w:val="000000"/>
        </w:rPr>
        <w:t>“Recibos de nómina firmados y mismos que son entregados al Osfem de los meses diciembre 2023 y enero 2024, así como el pago de prestaciones de aguinaldo y prima del ejercicio 2023.”</w:t>
      </w:r>
    </w:p>
    <w:p w14:paraId="737D2446" w14:textId="77777777" w:rsidR="00B8018A" w:rsidRPr="00FD489D" w:rsidRDefault="00B8018A">
      <w:pPr>
        <w:pBdr>
          <w:top w:val="nil"/>
          <w:left w:val="nil"/>
          <w:bottom w:val="nil"/>
          <w:right w:val="nil"/>
          <w:between w:val="nil"/>
        </w:pBdr>
        <w:tabs>
          <w:tab w:val="left" w:pos="8222"/>
        </w:tabs>
        <w:spacing w:line="276" w:lineRule="auto"/>
        <w:ind w:left="567" w:right="7"/>
        <w:jc w:val="both"/>
        <w:rPr>
          <w:rFonts w:ascii="Palatino Linotype" w:eastAsia="Palatino Linotype" w:hAnsi="Palatino Linotype" w:cs="Palatino Linotype"/>
          <w:i/>
          <w:color w:val="000000"/>
        </w:rPr>
      </w:pPr>
    </w:p>
    <w:p w14:paraId="737D2447" w14:textId="77777777" w:rsidR="00B8018A" w:rsidRPr="00FD489D" w:rsidRDefault="00FA493A">
      <w:pPr>
        <w:numPr>
          <w:ilvl w:val="0"/>
          <w:numId w:val="1"/>
        </w:numPr>
        <w:pBdr>
          <w:top w:val="nil"/>
          <w:left w:val="nil"/>
          <w:bottom w:val="nil"/>
          <w:right w:val="nil"/>
          <w:between w:val="nil"/>
        </w:pBdr>
        <w:spacing w:after="240" w:line="360" w:lineRule="auto"/>
        <w:ind w:left="0" w:right="7" w:firstLine="0"/>
        <w:jc w:val="both"/>
        <w:rPr>
          <w:rFonts w:ascii="Palatino Linotype" w:eastAsia="Palatino Linotype" w:hAnsi="Palatino Linotype" w:cs="Palatino Linotype"/>
          <w:b/>
          <w:color w:val="000000"/>
        </w:rPr>
      </w:pPr>
      <w:r w:rsidRPr="00FD489D">
        <w:rPr>
          <w:rFonts w:ascii="Palatino Linotype" w:eastAsia="Palatino Linotype" w:hAnsi="Palatino Linotype" w:cs="Palatino Linotype"/>
          <w:color w:val="000000"/>
        </w:rPr>
        <w:t xml:space="preserve"> El Sujeto Obligado dio respuesta como </w:t>
      </w:r>
      <w:r w:rsidRPr="00FD489D">
        <w:rPr>
          <w:rFonts w:ascii="Palatino Linotype" w:eastAsia="Palatino Linotype" w:hAnsi="Palatino Linotype" w:cs="Palatino Linotype"/>
        </w:rPr>
        <w:t>quedó</w:t>
      </w:r>
      <w:r w:rsidRPr="00FD489D">
        <w:rPr>
          <w:rFonts w:ascii="Palatino Linotype" w:eastAsia="Palatino Linotype" w:hAnsi="Palatino Linotype" w:cs="Palatino Linotype"/>
          <w:color w:val="000000"/>
        </w:rPr>
        <w:t xml:space="preserve"> referido en el numeral 2 del presente proyecto.</w:t>
      </w:r>
    </w:p>
    <w:p w14:paraId="737D2448" w14:textId="77777777" w:rsidR="00B8018A" w:rsidRPr="00FD489D" w:rsidRDefault="00FA493A">
      <w:pPr>
        <w:numPr>
          <w:ilvl w:val="0"/>
          <w:numId w:val="1"/>
        </w:numPr>
        <w:tabs>
          <w:tab w:val="left" w:pos="284"/>
        </w:tabs>
        <w:spacing w:before="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lastRenderedPageBreak/>
        <w:t>El Recurrente se inconformó por el cambio de modalidad para la entrega de la información.</w:t>
      </w:r>
    </w:p>
    <w:p w14:paraId="737D2449" w14:textId="77777777" w:rsidR="00B8018A" w:rsidRPr="00FD489D" w:rsidRDefault="00FA493A">
      <w:pPr>
        <w:numPr>
          <w:ilvl w:val="0"/>
          <w:numId w:val="1"/>
        </w:numPr>
        <w:tabs>
          <w:tab w:val="left" w:pos="284"/>
        </w:tabs>
        <w:spacing w:before="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Por lo tanto, el presente recurso de revisión se circunscribe en determinar si se actualiza las causales de procedencia</w:t>
      </w:r>
      <w:r w:rsidRPr="00FD489D">
        <w:rPr>
          <w:rFonts w:ascii="Palatino Linotype" w:eastAsia="Palatino Linotype" w:hAnsi="Palatino Linotype" w:cs="Palatino Linotype"/>
          <w:b/>
        </w:rPr>
        <w:t xml:space="preserve"> </w:t>
      </w:r>
      <w:r w:rsidRPr="00FD489D">
        <w:rPr>
          <w:rFonts w:ascii="Palatino Linotype" w:eastAsia="Palatino Linotype" w:hAnsi="Palatino Linotype" w:cs="Palatino Linotype"/>
        </w:rPr>
        <w:t xml:space="preserve">contenidas en el artículo 179 fracción VIII, relativa a la notificación, entrega o puesta a disposición de información en una modalidad o formato distinto al solicitado; de la </w:t>
      </w:r>
      <w:r w:rsidRPr="00FD489D">
        <w:rPr>
          <w:rFonts w:ascii="Palatino Linotype" w:eastAsia="Palatino Linotype" w:hAnsi="Palatino Linotype" w:cs="Palatino Linotype"/>
          <w:b/>
        </w:rPr>
        <w:t>Ley de Transparencia y Acceso a la Información Pública del Estado de México y Municipios</w:t>
      </w:r>
      <w:r w:rsidRPr="00FD489D">
        <w:rPr>
          <w:rFonts w:ascii="Palatino Linotype" w:eastAsia="Palatino Linotype" w:hAnsi="Palatino Linotype" w:cs="Palatino Linotype"/>
        </w:rPr>
        <w:t>.</w:t>
      </w:r>
    </w:p>
    <w:p w14:paraId="737D244A" w14:textId="77777777" w:rsidR="00B8018A" w:rsidRPr="00FD489D" w:rsidRDefault="00B8018A">
      <w:pPr>
        <w:tabs>
          <w:tab w:val="left" w:pos="426"/>
        </w:tabs>
        <w:spacing w:line="360" w:lineRule="auto"/>
        <w:ind w:left="567" w:right="7"/>
        <w:jc w:val="both"/>
        <w:rPr>
          <w:rFonts w:ascii="Palatino Linotype" w:eastAsia="Palatino Linotype" w:hAnsi="Palatino Linotype" w:cs="Palatino Linotype"/>
          <w:i/>
          <w:color w:val="000000"/>
        </w:rPr>
      </w:pPr>
    </w:p>
    <w:p w14:paraId="737D244B" w14:textId="77777777" w:rsidR="00B8018A" w:rsidRPr="00FD489D" w:rsidRDefault="00FA493A">
      <w:pPr>
        <w:pStyle w:val="Ttulo2"/>
        <w:tabs>
          <w:tab w:val="left" w:pos="426"/>
        </w:tabs>
        <w:ind w:right="7"/>
        <w:jc w:val="both"/>
        <w:rPr>
          <w:rFonts w:ascii="Palatino Linotype" w:eastAsia="Palatino Linotype" w:hAnsi="Palatino Linotype" w:cs="Palatino Linotype"/>
          <w:b/>
          <w:color w:val="000000"/>
          <w:sz w:val="24"/>
          <w:szCs w:val="24"/>
        </w:rPr>
      </w:pPr>
      <w:r w:rsidRPr="00FD489D">
        <w:rPr>
          <w:rFonts w:ascii="Palatino Linotype" w:eastAsia="Palatino Linotype" w:hAnsi="Palatino Linotype" w:cs="Palatino Linotype"/>
          <w:b/>
          <w:color w:val="000000"/>
          <w:sz w:val="24"/>
          <w:szCs w:val="24"/>
        </w:rPr>
        <w:t>CUARTO. Estudio y Resolución del asunto.</w:t>
      </w:r>
    </w:p>
    <w:p w14:paraId="737D244C" w14:textId="77777777" w:rsidR="00B8018A" w:rsidRPr="00FD489D" w:rsidRDefault="00B8018A">
      <w:pPr>
        <w:ind w:right="7"/>
        <w:jc w:val="both"/>
        <w:rPr>
          <w:rFonts w:ascii="Palatino Linotype" w:eastAsia="Palatino Linotype" w:hAnsi="Palatino Linotype" w:cs="Palatino Linotype"/>
        </w:rPr>
      </w:pPr>
    </w:p>
    <w:p w14:paraId="737D244D" w14:textId="77777777" w:rsidR="00B8018A" w:rsidRPr="00FD489D" w:rsidRDefault="00FA493A">
      <w:pPr>
        <w:numPr>
          <w:ilvl w:val="0"/>
          <w:numId w:val="1"/>
        </w:numPr>
        <w:tabs>
          <w:tab w:val="left" w:pos="284"/>
        </w:tabs>
        <w:spacing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FD489D">
        <w:rPr>
          <w:rFonts w:ascii="Palatino Linotype" w:eastAsia="Palatino Linotype" w:hAnsi="Palatino Linotype" w:cs="Palatino Linotype"/>
          <w:b/>
          <w:color w:val="000000"/>
        </w:rPr>
        <w:t>SUJETO OBLIGADO</w:t>
      </w:r>
      <w:r w:rsidRPr="00FD489D">
        <w:rPr>
          <w:rFonts w:ascii="Palatino Linotype" w:eastAsia="Palatino Linotype" w:hAnsi="Palatino Linotype" w:cs="Palatino Linotype"/>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FD489D">
        <w:rPr>
          <w:rFonts w:ascii="Palatino Linotype" w:eastAsia="Palatino Linotype" w:hAnsi="Palatino Linotype" w:cs="Palatino Linotype"/>
          <w:b/>
          <w:color w:val="000000"/>
        </w:rPr>
        <w:t xml:space="preserve">Constitución Política de los Estados Unidos Mexicanos </w:t>
      </w:r>
      <w:r w:rsidRPr="00FD489D">
        <w:rPr>
          <w:rFonts w:ascii="Palatino Linotype" w:eastAsia="Palatino Linotype" w:hAnsi="Palatino Linotype" w:cs="Palatino Linotype"/>
          <w:color w:val="000000"/>
        </w:rPr>
        <w:t xml:space="preserve">al señalar la obligación de “promover, </w:t>
      </w:r>
      <w:r w:rsidRPr="00FD489D">
        <w:rPr>
          <w:rFonts w:ascii="Palatino Linotype" w:eastAsia="Palatino Linotype" w:hAnsi="Palatino Linotype" w:cs="Palatino Linotype"/>
          <w:b/>
          <w:color w:val="000000"/>
        </w:rPr>
        <w:t>respetar</w:t>
      </w:r>
      <w:r w:rsidRPr="00FD489D">
        <w:rPr>
          <w:rFonts w:ascii="Palatino Linotype" w:eastAsia="Palatino Linotype" w:hAnsi="Palatino Linotype" w:cs="Palatino Linotype"/>
          <w:color w:val="000000"/>
        </w:rPr>
        <w:t xml:space="preserve">, proteger y </w:t>
      </w:r>
      <w:r w:rsidRPr="00FD489D">
        <w:rPr>
          <w:rFonts w:ascii="Palatino Linotype" w:eastAsia="Palatino Linotype" w:hAnsi="Palatino Linotype" w:cs="Palatino Linotype"/>
          <w:b/>
          <w:color w:val="000000"/>
        </w:rPr>
        <w:t>garantizar</w:t>
      </w:r>
      <w:r w:rsidRPr="00FD489D">
        <w:rPr>
          <w:rFonts w:ascii="Palatino Linotype" w:eastAsia="Palatino Linotype" w:hAnsi="Palatino Linotype" w:cs="Palatino Linotype"/>
          <w:color w:val="000000"/>
        </w:rPr>
        <w:t xml:space="preserve"> los derechos humanos”, entre los cuales se encuentra dicho derecho. </w:t>
      </w:r>
    </w:p>
    <w:p w14:paraId="737D244E" w14:textId="77777777" w:rsidR="00B8018A" w:rsidRPr="00FD489D" w:rsidRDefault="00B8018A">
      <w:pPr>
        <w:tabs>
          <w:tab w:val="left" w:pos="284"/>
        </w:tabs>
        <w:spacing w:line="360" w:lineRule="auto"/>
        <w:ind w:right="7"/>
        <w:jc w:val="both"/>
        <w:rPr>
          <w:rFonts w:ascii="Palatino Linotype" w:eastAsia="Palatino Linotype" w:hAnsi="Palatino Linotype" w:cs="Palatino Linotype"/>
          <w:color w:val="000000"/>
        </w:rPr>
      </w:pPr>
    </w:p>
    <w:p w14:paraId="737D244F" w14:textId="77777777" w:rsidR="00B8018A" w:rsidRPr="00FD489D" w:rsidRDefault="00FA493A">
      <w:pPr>
        <w:numPr>
          <w:ilvl w:val="0"/>
          <w:numId w:val="1"/>
        </w:numPr>
        <w:tabs>
          <w:tab w:val="left" w:pos="284"/>
        </w:tabs>
        <w:spacing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 xml:space="preserve">Definiendo el Derecho de Acceso a la Información Pública como: </w:t>
      </w:r>
      <w:r w:rsidRPr="00FD489D">
        <w:rPr>
          <w:rFonts w:ascii="Palatino Linotype" w:eastAsia="Palatino Linotype" w:hAnsi="Palatino Linotype" w:cs="Palatino Linotype"/>
          <w:i/>
          <w:color w:val="000000"/>
        </w:rPr>
        <w:t>La igualdad de oportunidades para recibir, buscar e impartir información</w:t>
      </w:r>
      <w:r w:rsidRPr="00FD489D">
        <w:rPr>
          <w:rFonts w:ascii="Palatino Linotype" w:eastAsia="Palatino Linotype" w:hAnsi="Palatino Linotype" w:cs="Palatino Linotype"/>
          <w:i/>
          <w:color w:val="000000"/>
          <w:vertAlign w:val="superscript"/>
        </w:rPr>
        <w:footnoteReference w:id="1"/>
      </w:r>
      <w:r w:rsidRPr="00FD489D">
        <w:rPr>
          <w:rFonts w:ascii="Palatino Linotype" w:eastAsia="Palatino Linotype" w:hAnsi="Palatino Linotype" w:cs="Palatino Linotype"/>
          <w:i/>
          <w:color w:val="000000"/>
        </w:rPr>
        <w:t xml:space="preserve">en posesión de cualquier autoridad, </w:t>
      </w:r>
      <w:r w:rsidRPr="00FD489D">
        <w:rPr>
          <w:rFonts w:ascii="Palatino Linotype" w:eastAsia="Palatino Linotype" w:hAnsi="Palatino Linotype" w:cs="Palatino Linotype"/>
          <w:i/>
          <w:color w:val="000000"/>
        </w:rPr>
        <w:lastRenderedPageBreak/>
        <w:t>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FD489D">
        <w:rPr>
          <w:rFonts w:ascii="Palatino Linotype" w:eastAsia="Palatino Linotype" w:hAnsi="Palatino Linotype" w:cs="Palatino Linotype"/>
          <w:i/>
          <w:color w:val="000000"/>
          <w:vertAlign w:val="superscript"/>
        </w:rPr>
        <w:footnoteReference w:id="2"/>
      </w:r>
      <w:r w:rsidRPr="00FD489D">
        <w:rPr>
          <w:rFonts w:ascii="Palatino Linotype" w:eastAsia="Palatino Linotype" w:hAnsi="Palatino Linotype" w:cs="Palatino Linotype"/>
          <w:color w:val="000000"/>
        </w:rPr>
        <w:t>que se constituye como una herramienta fundamental para ejercer</w:t>
      </w:r>
      <w:r w:rsidRPr="00FD489D">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FD489D">
        <w:rPr>
          <w:rFonts w:ascii="Palatino Linotype" w:eastAsia="Palatino Linotype" w:hAnsi="Palatino Linotype" w:cs="Palatino Linotype"/>
          <w:i/>
          <w:color w:val="000000"/>
          <w:vertAlign w:val="superscript"/>
        </w:rPr>
        <w:footnoteReference w:id="3"/>
      </w:r>
      <w:r w:rsidRPr="00FD489D">
        <w:rPr>
          <w:rFonts w:ascii="Palatino Linotype" w:eastAsia="Palatino Linotype" w:hAnsi="Palatino Linotype" w:cs="Palatino Linotype"/>
          <w:color w:val="000000"/>
        </w:rPr>
        <w:t>fomentando</w:t>
      </w:r>
      <w:r w:rsidRPr="00FD489D">
        <w:rPr>
          <w:rFonts w:ascii="Palatino Linotype" w:eastAsia="Palatino Linotype" w:hAnsi="Palatino Linotype" w:cs="Palatino Linotype"/>
          <w:i/>
          <w:color w:val="000000"/>
        </w:rPr>
        <w:t xml:space="preserve"> la transparencia de las actividades estatales y </w:t>
      </w:r>
      <w:r w:rsidRPr="00FD489D">
        <w:rPr>
          <w:rFonts w:ascii="Palatino Linotype" w:eastAsia="Palatino Linotype" w:hAnsi="Palatino Linotype" w:cs="Palatino Linotype"/>
          <w:color w:val="000000"/>
        </w:rPr>
        <w:t>promoviendo</w:t>
      </w:r>
      <w:r w:rsidRPr="00FD489D">
        <w:rPr>
          <w:rFonts w:ascii="Palatino Linotype" w:eastAsia="Palatino Linotype" w:hAnsi="Palatino Linotype" w:cs="Palatino Linotype"/>
          <w:i/>
          <w:color w:val="000000"/>
        </w:rPr>
        <w:t xml:space="preserve"> la responsabilidad de los funcionarios sobre su gestión pública,</w:t>
      </w:r>
      <w:r w:rsidRPr="00FD489D">
        <w:rPr>
          <w:rFonts w:ascii="Palatino Linotype" w:eastAsia="Palatino Linotype" w:hAnsi="Palatino Linotype" w:cs="Palatino Linotype"/>
          <w:i/>
          <w:color w:val="000000"/>
          <w:vertAlign w:val="superscript"/>
        </w:rPr>
        <w:footnoteReference w:id="4"/>
      </w:r>
      <w:r w:rsidRPr="00FD489D">
        <w:rPr>
          <w:rFonts w:ascii="Palatino Linotype" w:eastAsia="Palatino Linotype" w:hAnsi="Palatino Linotype" w:cs="Palatino Linotype"/>
          <w:color w:val="000000"/>
        </w:rPr>
        <w:t>que permite</w:t>
      </w:r>
      <w:r w:rsidRPr="00FD489D">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737D2450" w14:textId="77777777" w:rsidR="00B8018A" w:rsidRPr="00FD489D" w:rsidRDefault="00B8018A">
      <w:pPr>
        <w:tabs>
          <w:tab w:val="left" w:pos="284"/>
        </w:tabs>
        <w:ind w:right="7"/>
        <w:jc w:val="both"/>
        <w:rPr>
          <w:rFonts w:ascii="Palatino Linotype" w:eastAsia="Palatino Linotype" w:hAnsi="Palatino Linotype" w:cs="Palatino Linotype"/>
        </w:rPr>
      </w:pPr>
    </w:p>
    <w:p w14:paraId="737D2451" w14:textId="77777777" w:rsidR="00B8018A" w:rsidRPr="00FD489D" w:rsidRDefault="00FA493A">
      <w:pPr>
        <w:numPr>
          <w:ilvl w:val="0"/>
          <w:numId w:val="1"/>
        </w:numPr>
        <w:tabs>
          <w:tab w:val="left" w:pos="284"/>
        </w:tabs>
        <w:spacing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Se deduce que el derecho de acceso a la información pública es un derecho humano constitucionalmente reconocido, en consecuencia, todas las autoridades en el ámbito de sus competencias, funciones y atribuciones tienen la obligación de respetarlo, protegerlo y garantizar.</w:t>
      </w:r>
    </w:p>
    <w:p w14:paraId="737D2452" w14:textId="77777777" w:rsidR="00B8018A" w:rsidRPr="00FD489D" w:rsidRDefault="00B8018A">
      <w:pPr>
        <w:tabs>
          <w:tab w:val="left" w:pos="284"/>
        </w:tabs>
        <w:spacing w:line="360" w:lineRule="auto"/>
        <w:ind w:right="7"/>
        <w:jc w:val="both"/>
        <w:rPr>
          <w:rFonts w:ascii="Palatino Linotype" w:eastAsia="Palatino Linotype" w:hAnsi="Palatino Linotype" w:cs="Palatino Linotype"/>
        </w:rPr>
      </w:pPr>
    </w:p>
    <w:p w14:paraId="737D2453" w14:textId="77777777" w:rsidR="00B8018A" w:rsidRPr="00FD489D" w:rsidRDefault="00FA493A">
      <w:pPr>
        <w:numPr>
          <w:ilvl w:val="0"/>
          <w:numId w:val="1"/>
        </w:numPr>
        <w:tabs>
          <w:tab w:val="left" w:pos="284"/>
        </w:tabs>
        <w:spacing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 xml:space="preserve">Es así que la </w:t>
      </w:r>
      <w:r w:rsidRPr="00FD489D">
        <w:rPr>
          <w:rFonts w:ascii="Palatino Linotype" w:eastAsia="Palatino Linotype" w:hAnsi="Palatino Linotype" w:cs="Palatino Linotype"/>
          <w:b/>
        </w:rPr>
        <w:t xml:space="preserve">Ley de Transparencia y Acceso a la Información Pública del Estado de México y Municipios, </w:t>
      </w:r>
      <w:r w:rsidRPr="00FD489D">
        <w:rPr>
          <w:rFonts w:ascii="Palatino Linotype" w:eastAsia="Palatino Linotype" w:hAnsi="Palatino Linotype" w:cs="Palatino Linotype"/>
        </w:rPr>
        <w:t>cuyo objeto es establecer principios, bases generales y procedimientos para tutelar y garantizar la transparencia y el derecho humano de acceso a la información pública en posesión de los sujetos obligados; en su artículo 176</w:t>
      </w:r>
      <w:r w:rsidRPr="00FD489D">
        <w:rPr>
          <w:rFonts w:ascii="Palatino Linotype" w:eastAsia="Palatino Linotype" w:hAnsi="Palatino Linotype" w:cs="Palatino Linotype"/>
          <w:b/>
        </w:rPr>
        <w:t xml:space="preserve"> </w:t>
      </w:r>
      <w:r w:rsidRPr="00FD489D">
        <w:rPr>
          <w:rFonts w:ascii="Palatino Linotype" w:eastAsia="Palatino Linotype" w:hAnsi="Palatino Linotype" w:cs="Palatino Linotype"/>
        </w:rPr>
        <w:t xml:space="preserve">establece que </w:t>
      </w:r>
      <w:r w:rsidRPr="00FD489D">
        <w:rPr>
          <w:rFonts w:ascii="Palatino Linotype" w:eastAsia="Palatino Linotype" w:hAnsi="Palatino Linotype" w:cs="Palatino Linotype"/>
          <w:b/>
          <w:i/>
          <w:u w:val="single"/>
        </w:rPr>
        <w:t>el recurso de revisión es la garantía secundaria</w:t>
      </w:r>
      <w:r w:rsidRPr="00FD489D">
        <w:rPr>
          <w:rFonts w:ascii="Palatino Linotype" w:eastAsia="Palatino Linotype" w:hAnsi="Palatino Linotype" w:cs="Palatino Linotype"/>
          <w:b/>
          <w:i/>
        </w:rPr>
        <w:t xml:space="preserve"> mediante la cual se pretende reparar cualquier posible afectación al derecho de acceso a la información pública</w:t>
      </w:r>
      <w:r w:rsidRPr="00FD489D">
        <w:rPr>
          <w:rFonts w:ascii="Palatino Linotype" w:eastAsia="Palatino Linotype" w:hAnsi="Palatino Linotype" w:cs="Palatino Linotype"/>
          <w:b/>
        </w:rPr>
        <w:t>, s</w:t>
      </w:r>
      <w:r w:rsidRPr="00FD489D">
        <w:rPr>
          <w:rFonts w:ascii="Palatino Linotype" w:eastAsia="Palatino Linotype" w:hAnsi="Palatino Linotype" w:cs="Palatino Linotype"/>
        </w:rPr>
        <w:t xml:space="preserve">iendo éste el </w:t>
      </w:r>
      <w:r w:rsidRPr="00FD489D">
        <w:rPr>
          <w:rFonts w:ascii="Palatino Linotype" w:eastAsia="Palatino Linotype" w:hAnsi="Palatino Linotype" w:cs="Palatino Linotype"/>
        </w:rPr>
        <w:lastRenderedPageBreak/>
        <w:t xml:space="preserve">medio a través del cual, este Órgano Garante después de realizar el análisis al procedimiento de acceso a la información, podrá determinar la posible afectación y de ser el caso ordenar la reparación a la violación del derecho en cuestión.  </w:t>
      </w:r>
    </w:p>
    <w:p w14:paraId="737D2454" w14:textId="77777777" w:rsidR="00B8018A" w:rsidRPr="00FD489D" w:rsidRDefault="00B8018A">
      <w:pPr>
        <w:tabs>
          <w:tab w:val="left" w:pos="284"/>
        </w:tabs>
        <w:ind w:right="7"/>
        <w:jc w:val="both"/>
        <w:rPr>
          <w:rFonts w:ascii="Palatino Linotype" w:eastAsia="Palatino Linotype" w:hAnsi="Palatino Linotype" w:cs="Palatino Linotype"/>
        </w:rPr>
      </w:pPr>
    </w:p>
    <w:p w14:paraId="737D2455"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 xml:space="preserve">Previo a entrar al estudio del asunto, respecto la fuente obligacional  resulta importante precisar que el </w:t>
      </w:r>
      <w:r w:rsidRPr="00FD489D">
        <w:rPr>
          <w:rFonts w:ascii="Palatino Linotype" w:eastAsia="Palatino Linotype" w:hAnsi="Palatino Linotype" w:cs="Palatino Linotype"/>
          <w:b/>
        </w:rPr>
        <w:t xml:space="preserve">SUJETO OBLIGADO, </w:t>
      </w:r>
      <w:r w:rsidRPr="00FD489D">
        <w:rPr>
          <w:rFonts w:ascii="Palatino Linotype" w:eastAsia="Palatino Linotype" w:hAnsi="Palatino Linotype" w:cs="Palatino Linotype"/>
        </w:rPr>
        <w:t>asume contar con la información al manifestar literalmente es su respuesta que “</w:t>
      </w:r>
      <w:r w:rsidRPr="00FD489D">
        <w:rPr>
          <w:rFonts w:ascii="Palatino Linotype" w:eastAsia="Palatino Linotype" w:hAnsi="Palatino Linotype" w:cs="Palatino Linotype"/>
          <w:i/>
        </w:rPr>
        <w:t xml:space="preserve">no niega la existencia de ola información”, </w:t>
      </w:r>
      <w:r w:rsidRPr="00FD489D">
        <w:rPr>
          <w:rFonts w:ascii="Palatino Linotype" w:eastAsia="Palatino Linotype" w:hAnsi="Palatino Linotype" w:cs="Palatino Linotype"/>
        </w:rPr>
        <w:t xml:space="preserve">tan es así que la pone a disposición del ahora </w:t>
      </w:r>
      <w:r w:rsidRPr="00FD489D">
        <w:rPr>
          <w:rFonts w:ascii="Palatino Linotype" w:eastAsia="Palatino Linotype" w:hAnsi="Palatino Linotype" w:cs="Palatino Linotype"/>
          <w:b/>
        </w:rPr>
        <w:t xml:space="preserve">RECURRENTE </w:t>
      </w:r>
      <w:r w:rsidRPr="00FD489D">
        <w:rPr>
          <w:rFonts w:ascii="Palatino Linotype" w:eastAsia="Palatino Linotype" w:hAnsi="Palatino Linotype" w:cs="Palatino Linotype"/>
        </w:rPr>
        <w:t>en consulta directa, por lo que resulta innecesario realizar el estudio respecto la fuente obligacional, pues –se insiste- este asumió contar con la misma.</w:t>
      </w:r>
    </w:p>
    <w:p w14:paraId="737D2456"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 xml:space="preserve">Ahora bien, precisado lo anterior, se colige que el motivo de inconformidad versa en el cambio de modalidad planteado por el </w:t>
      </w:r>
      <w:r w:rsidRPr="00FD489D">
        <w:rPr>
          <w:rFonts w:ascii="Palatino Linotype" w:eastAsia="Palatino Linotype" w:hAnsi="Palatino Linotype" w:cs="Palatino Linotype"/>
          <w:b/>
        </w:rPr>
        <w:t xml:space="preserve">SUJETO OBLIGADO, </w:t>
      </w:r>
      <w:r w:rsidRPr="00FD489D">
        <w:rPr>
          <w:rFonts w:ascii="Palatino Linotype" w:eastAsia="Palatino Linotype" w:hAnsi="Palatino Linotype" w:cs="Palatino Linotype"/>
        </w:rPr>
        <w:t>por lo que resulta necesario traer a colación lo señalado por la la Ley de Transparencia y Acceso a la Información Pública del Estado de México y Municipios en sus artículos 155 fracción V, 158 y 164 que a la letra refiere lo siguiente:</w:t>
      </w:r>
    </w:p>
    <w:p w14:paraId="737D2457" w14:textId="77777777" w:rsidR="00B8018A" w:rsidRPr="00FD489D" w:rsidRDefault="00FA493A">
      <w:pPr>
        <w:pBdr>
          <w:top w:val="nil"/>
          <w:left w:val="nil"/>
          <w:bottom w:val="nil"/>
          <w:right w:val="nil"/>
          <w:between w:val="nil"/>
        </w:pBdr>
        <w:tabs>
          <w:tab w:val="left" w:pos="851"/>
        </w:tabs>
        <w:spacing w:before="240"/>
        <w:ind w:left="1134"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i/>
          <w:color w:val="000000"/>
        </w:rPr>
        <w:t>Artículo 155. Para presentar una solicitud por escrito, no se podrán exigir mayores requisitos que los siguientes:</w:t>
      </w:r>
    </w:p>
    <w:p w14:paraId="737D2458" w14:textId="77777777" w:rsidR="00B8018A" w:rsidRPr="00FD489D" w:rsidRDefault="00FA493A">
      <w:pPr>
        <w:pBdr>
          <w:top w:val="nil"/>
          <w:left w:val="nil"/>
          <w:bottom w:val="nil"/>
          <w:right w:val="nil"/>
          <w:between w:val="nil"/>
        </w:pBdr>
        <w:tabs>
          <w:tab w:val="left" w:pos="851"/>
        </w:tabs>
        <w:ind w:left="1134"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i/>
          <w:color w:val="000000"/>
        </w:rPr>
        <w:t>I. a IV. …</w:t>
      </w:r>
    </w:p>
    <w:p w14:paraId="737D2459" w14:textId="77777777" w:rsidR="00B8018A" w:rsidRPr="00FD489D" w:rsidRDefault="00FA493A">
      <w:pPr>
        <w:pBdr>
          <w:top w:val="nil"/>
          <w:left w:val="nil"/>
          <w:bottom w:val="nil"/>
          <w:right w:val="nil"/>
          <w:between w:val="nil"/>
        </w:pBdr>
        <w:tabs>
          <w:tab w:val="left" w:pos="851"/>
        </w:tabs>
        <w:ind w:left="1134"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b/>
          <w:i/>
          <w:color w:val="000000"/>
        </w:rPr>
        <w:t>V. La modalidad en la que prefiere se otorgue el acceso a la información</w:t>
      </w:r>
      <w:r w:rsidRPr="00FD489D">
        <w:rPr>
          <w:rFonts w:ascii="Palatino Linotype" w:eastAsia="Palatino Linotype" w:hAnsi="Palatino Linotype" w:cs="Palatino Linotype"/>
          <w:i/>
          <w:color w:val="000000"/>
        </w:rPr>
        <w:t>, la cual podrá ser verbal, siempre y cuando sea para fines de orientación, mediante consulta directa, mediante la expedición de copias simples o certificadas o la reproducción en cualquier otro medio, incluidos los electrónicos</w:t>
      </w:r>
    </w:p>
    <w:p w14:paraId="737D245A" w14:textId="77777777" w:rsidR="00B8018A" w:rsidRPr="00FD489D" w:rsidRDefault="00FA493A">
      <w:pPr>
        <w:pBdr>
          <w:top w:val="nil"/>
          <w:left w:val="nil"/>
          <w:bottom w:val="nil"/>
          <w:right w:val="nil"/>
          <w:between w:val="nil"/>
        </w:pBdr>
        <w:tabs>
          <w:tab w:val="left" w:pos="851"/>
        </w:tabs>
        <w:ind w:left="1134"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i/>
          <w:color w:val="000000"/>
        </w:rPr>
        <w:t>…</w:t>
      </w:r>
    </w:p>
    <w:p w14:paraId="737D245B" w14:textId="77777777" w:rsidR="00B8018A" w:rsidRPr="00FD489D" w:rsidRDefault="00FA493A">
      <w:pPr>
        <w:pBdr>
          <w:top w:val="nil"/>
          <w:left w:val="nil"/>
          <w:bottom w:val="nil"/>
          <w:right w:val="nil"/>
          <w:between w:val="nil"/>
        </w:pBdr>
        <w:tabs>
          <w:tab w:val="left" w:pos="851"/>
        </w:tabs>
        <w:ind w:left="1134"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i/>
          <w:color w:val="000000"/>
        </w:rPr>
        <w:t xml:space="preserve">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w:t>
      </w:r>
      <w:r w:rsidRPr="00FD489D">
        <w:rPr>
          <w:rFonts w:ascii="Palatino Linotype" w:eastAsia="Palatino Linotype" w:hAnsi="Palatino Linotype" w:cs="Palatino Linotype"/>
          <w:i/>
          <w:color w:val="000000"/>
        </w:rPr>
        <w:lastRenderedPageBreak/>
        <w:t xml:space="preserve">efectos, se podrá poner a disposición del solicitante los documentos en consulta directa, salvo la información clasificada. </w:t>
      </w:r>
    </w:p>
    <w:p w14:paraId="737D245C" w14:textId="77777777" w:rsidR="00B8018A" w:rsidRPr="00FD489D" w:rsidRDefault="00FA493A">
      <w:pPr>
        <w:pBdr>
          <w:top w:val="nil"/>
          <w:left w:val="nil"/>
          <w:bottom w:val="nil"/>
          <w:right w:val="nil"/>
          <w:between w:val="nil"/>
        </w:pBdr>
        <w:tabs>
          <w:tab w:val="left" w:pos="851"/>
        </w:tabs>
        <w:ind w:left="1134"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i/>
          <w:color w:val="000000"/>
        </w:rPr>
        <w:t>En todo caso, se facilitará su copia simple o certificada, así como su reproducción por cualquier medio disponible en las instalaciones del sujeto obligado o que, en su caso, aporte el solicitante</w:t>
      </w:r>
    </w:p>
    <w:p w14:paraId="737D245D" w14:textId="77777777" w:rsidR="00B8018A" w:rsidRPr="00FD489D" w:rsidRDefault="00FA493A">
      <w:pPr>
        <w:pBdr>
          <w:top w:val="nil"/>
          <w:left w:val="nil"/>
          <w:bottom w:val="nil"/>
          <w:right w:val="nil"/>
          <w:between w:val="nil"/>
        </w:pBdr>
        <w:tabs>
          <w:tab w:val="left" w:pos="851"/>
        </w:tabs>
        <w:ind w:left="1134"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i/>
          <w:color w:val="000000"/>
        </w:rPr>
        <w:t>Artículo 164. El acceso se dará en la modalidad de entrega y, en su caso, de envío elegidos por el solicitante. Cuando la información no pueda entregarse o enviarse en la modalidad solicitada, el sujeto obligado deberá ofrecer otra u otras modalidades de entrega.</w:t>
      </w:r>
    </w:p>
    <w:p w14:paraId="737D245E" w14:textId="77777777" w:rsidR="00B8018A" w:rsidRPr="00FD489D" w:rsidRDefault="00B8018A">
      <w:pPr>
        <w:pBdr>
          <w:top w:val="nil"/>
          <w:left w:val="nil"/>
          <w:bottom w:val="nil"/>
          <w:right w:val="nil"/>
          <w:between w:val="nil"/>
        </w:pBdr>
        <w:tabs>
          <w:tab w:val="left" w:pos="851"/>
        </w:tabs>
        <w:spacing w:line="360" w:lineRule="auto"/>
        <w:ind w:right="7"/>
        <w:jc w:val="both"/>
        <w:rPr>
          <w:rFonts w:ascii="Palatino Linotype" w:eastAsia="Palatino Linotype" w:hAnsi="Palatino Linotype" w:cs="Palatino Linotype"/>
          <w:color w:val="000000"/>
        </w:rPr>
      </w:pPr>
    </w:p>
    <w:p w14:paraId="737D245F"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 xml:space="preserve">La normatividad en materia establece que se privilegiará la modalidad de entrega elegida por el </w:t>
      </w:r>
      <w:r w:rsidRPr="00FD489D">
        <w:rPr>
          <w:rFonts w:ascii="Palatino Linotype" w:eastAsia="Palatino Linotype" w:hAnsi="Palatino Linotype" w:cs="Palatino Linotype"/>
          <w:b/>
          <w:smallCaps/>
          <w:color w:val="000000"/>
        </w:rPr>
        <w:t>RECURRENTE</w:t>
      </w:r>
      <w:r w:rsidRPr="00FD489D">
        <w:rPr>
          <w:rFonts w:ascii="Palatino Linotype" w:eastAsia="Palatino Linotype" w:hAnsi="Palatino Linotype" w:cs="Palatino Linotype"/>
          <w:color w:val="000000"/>
        </w:rPr>
        <w:t xml:space="preserve"> y será excepcional un cambio de modalidad cuando la información sobrepase las capacidades técnicas administrativas y humanas, dicho cambio será debidamente fundado y motivado.</w:t>
      </w:r>
    </w:p>
    <w:p w14:paraId="737D2460"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 xml:space="preserve">En ese sentido, el </w:t>
      </w:r>
      <w:r w:rsidRPr="00FD489D">
        <w:rPr>
          <w:rFonts w:ascii="Palatino Linotype" w:eastAsia="Palatino Linotype" w:hAnsi="Palatino Linotype" w:cs="Palatino Linotype"/>
          <w:b/>
          <w:smallCaps/>
          <w:color w:val="000000"/>
        </w:rPr>
        <w:t>SUJETO OBLIGADO</w:t>
      </w:r>
      <w:r w:rsidRPr="00FD489D">
        <w:rPr>
          <w:rFonts w:ascii="Palatino Linotype" w:eastAsia="Palatino Linotype" w:hAnsi="Palatino Linotype" w:cs="Palatino Linotype"/>
          <w:color w:val="000000"/>
        </w:rPr>
        <w:t xml:space="preserve"> </w:t>
      </w:r>
      <w:r w:rsidRPr="00FD489D">
        <w:rPr>
          <w:rFonts w:ascii="Palatino Linotype" w:eastAsia="Palatino Linotype" w:hAnsi="Palatino Linotype" w:cs="Palatino Linotype"/>
        </w:rPr>
        <w:t>informó</w:t>
      </w:r>
      <w:r w:rsidRPr="00FD489D">
        <w:rPr>
          <w:rFonts w:ascii="Palatino Linotype" w:eastAsia="Palatino Linotype" w:hAnsi="Palatino Linotype" w:cs="Palatino Linotype"/>
          <w:color w:val="000000"/>
        </w:rPr>
        <w:t xml:space="preserve"> que </w:t>
      </w:r>
      <w:r w:rsidRPr="00FD489D">
        <w:rPr>
          <w:rFonts w:ascii="Palatino Linotype" w:eastAsia="Palatino Linotype" w:hAnsi="Palatino Linotype" w:cs="Palatino Linotype"/>
        </w:rPr>
        <w:t>sí posee</w:t>
      </w:r>
      <w:r w:rsidRPr="00FD489D">
        <w:rPr>
          <w:rFonts w:ascii="Palatino Linotype" w:eastAsia="Palatino Linotype" w:hAnsi="Palatino Linotype" w:cs="Palatino Linotype"/>
          <w:color w:val="000000"/>
        </w:rPr>
        <w:t xml:space="preserve"> la información pero derivado de que la información “</w:t>
      </w:r>
      <w:r w:rsidRPr="00FD489D">
        <w:rPr>
          <w:rFonts w:ascii="Palatino Linotype" w:eastAsia="Palatino Linotype" w:hAnsi="Palatino Linotype" w:cs="Palatino Linotype"/>
          <w:i/>
          <w:color w:val="000000"/>
        </w:rPr>
        <w:t xml:space="preserve">claramente supera las capacidades administrativas y humanas de esta Unidad, que solo cuenta con 1 persona que se encarga de atender –entre otras cosas- los requerimientos de información” (sic) </w:t>
      </w:r>
    </w:p>
    <w:p w14:paraId="737D2461"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 xml:space="preserve">Es necesario precisar que la Ley en la materia establece que, de manera excepcional, cuando de forma fundada y motivada así lo determine el sujeto obligado, en aquellos casos en que la información solicitada que ya se encuentre en su posesión implique análisis, estudio o procesamiento de documentos cuya entrega o reproducción </w:t>
      </w:r>
      <w:r w:rsidRPr="00FD489D">
        <w:rPr>
          <w:rFonts w:ascii="Palatino Linotype" w:eastAsia="Palatino Linotype" w:hAnsi="Palatino Linotype" w:cs="Palatino Linotype"/>
          <w:b/>
          <w:color w:val="000000"/>
        </w:rPr>
        <w:t>sobrepase las capacidades técnicas administrativas y humanas</w:t>
      </w:r>
      <w:r w:rsidRPr="00FD489D">
        <w:rPr>
          <w:rFonts w:ascii="Palatino Linotype" w:eastAsia="Palatino Linotype" w:hAnsi="Palatino Linotype" w:cs="Palatino Linotype"/>
          <w:color w:val="000000"/>
        </w:rPr>
        <w:t xml:space="preserve"> del sujeto obligado para cumplir con la solicitud, en los plazos establecidos para dichos efectos, se podrá poner a disposición del solicitante los documentos en consulta directa, o en los otros tipos de modalidades, salvo la información clasificada.</w:t>
      </w:r>
    </w:p>
    <w:p w14:paraId="737D2462" w14:textId="77777777" w:rsidR="00B8018A" w:rsidRPr="00FD489D" w:rsidRDefault="00B8018A">
      <w:pPr>
        <w:pBdr>
          <w:top w:val="nil"/>
          <w:left w:val="nil"/>
          <w:bottom w:val="nil"/>
          <w:right w:val="nil"/>
          <w:between w:val="nil"/>
        </w:pBdr>
        <w:ind w:right="7"/>
        <w:jc w:val="both"/>
        <w:rPr>
          <w:rFonts w:ascii="Palatino Linotype" w:eastAsia="Palatino Linotype" w:hAnsi="Palatino Linotype" w:cs="Palatino Linotype"/>
          <w:color w:val="000000"/>
        </w:rPr>
      </w:pPr>
    </w:p>
    <w:p w14:paraId="737D2463"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 xml:space="preserve"> Referente a la capacidad administrativa, ésta es definida como la habilidad institucional de un gobierno, para formular y realizar planes, políticas, programas, actividades, operaciones u otras medidas para cumplir con los propósitos de desarrollo. </w:t>
      </w:r>
      <w:r w:rsidRPr="00FD489D">
        <w:rPr>
          <w:rFonts w:ascii="Palatino Linotype" w:eastAsia="Palatino Linotype" w:hAnsi="Palatino Linotype" w:cs="Palatino Linotype"/>
          <w:b/>
          <w:color w:val="000000"/>
        </w:rPr>
        <w:t>En palabras más simples, es la eficiencia organizacional para efectuar funciones esenciales.</w:t>
      </w:r>
    </w:p>
    <w:p w14:paraId="737D2464"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737D2465"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 xml:space="preserve">Desde una perspectiva institucional, la capacidad administrativa es entendida como </w:t>
      </w:r>
      <w:r w:rsidRPr="00FD489D">
        <w:rPr>
          <w:rFonts w:ascii="Palatino Linotype" w:eastAsia="Palatino Linotype" w:hAnsi="Palatino Linotype" w:cs="Palatino Linotype"/>
          <w:b/>
          <w:color w:val="000000"/>
        </w:rPr>
        <w:t xml:space="preserve">“las habilidades técnico-burocráticas del aparato estatal requeridas para alcanzar sus </w:t>
      </w:r>
      <w:r w:rsidRPr="00FD489D">
        <w:rPr>
          <w:rFonts w:ascii="Palatino Linotype" w:eastAsia="Palatino Linotype" w:hAnsi="Palatino Linotype" w:cs="Palatino Linotype"/>
          <w:b/>
        </w:rPr>
        <w:t>objetivos</w:t>
      </w:r>
      <w:r w:rsidRPr="00FD489D">
        <w:rPr>
          <w:rFonts w:ascii="Palatino Linotype" w:eastAsia="Palatino Linotype" w:hAnsi="Palatino Linotype" w:cs="Palatino Linotype"/>
          <w:b/>
          <w:color w:val="000000"/>
        </w:rPr>
        <w:t xml:space="preserve">.” </w:t>
      </w:r>
      <w:r w:rsidRPr="00FD489D">
        <w:rPr>
          <w:rFonts w:ascii="Palatino Linotype" w:eastAsia="Palatino Linotype" w:hAnsi="Palatino Linotype" w:cs="Palatino Linotype"/>
          <w:color w:val="000000"/>
        </w:rPr>
        <w:t xml:space="preserve">En este componente se ubican el nivel micro y meso de la Capacidad Institucional. El primero hace alusión al individuo, al recurso humano. En el segundo nivel, se ubica la capacidad de gestión, el cual se centra en el fortalecimiento organizacional como área de intervención para construir capacidad; cultura organizacional, sistemas de comunicación u organización” </w:t>
      </w:r>
      <w:r w:rsidRPr="00FD489D">
        <w:rPr>
          <w:rFonts w:ascii="Palatino Linotype" w:eastAsia="Palatino Linotype" w:hAnsi="Palatino Linotype" w:cs="Palatino Linotype"/>
          <w:color w:val="000000"/>
          <w:vertAlign w:val="superscript"/>
        </w:rPr>
        <w:footnoteReference w:id="5"/>
      </w:r>
      <w:r w:rsidRPr="00FD489D">
        <w:rPr>
          <w:rFonts w:ascii="Palatino Linotype" w:eastAsia="Palatino Linotype" w:hAnsi="Palatino Linotype" w:cs="Palatino Linotype"/>
          <w:color w:val="000000"/>
        </w:rPr>
        <w:t xml:space="preserve">. </w:t>
      </w:r>
    </w:p>
    <w:p w14:paraId="737D2466"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w:t>
      </w:r>
      <w:r w:rsidRPr="00FD489D">
        <w:rPr>
          <w:rFonts w:ascii="Palatino Linotype" w:eastAsia="Palatino Linotype" w:hAnsi="Palatino Linotype" w:cs="Palatino Linotype"/>
          <w:color w:val="000000"/>
        </w:rPr>
        <w:lastRenderedPageBreak/>
        <w:t xml:space="preserve">alcanzarían que las instituciones logren la finalidad de cumplir con sus responsabilidades y funciones de manera eficaz y eficiente. </w:t>
      </w:r>
    </w:p>
    <w:p w14:paraId="737D2467"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 xml:space="preserve">Ahora bien, respecto de las capacidades humanas, vale la pena precisar lo que se denomina por recursos humanos, lo cual podemos identificar como el conjunto de personas con las que cuenta una determinada organización, para desarrollar y ejecutar de manera correcta las acciones, actividades, labores y tareas que deben realizarse y que han sido solicitadas. </w:t>
      </w:r>
    </w:p>
    <w:p w14:paraId="737D2468"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 xml:space="preserve">Las personas son la parte fundamental de una organización, y junto con los recursos materiales, financieros e intangibles, conforman el “todo” que una organización necesita para el correcto funcionamiento, materialización y alcance de sus objetivos; los recursos deben coexistir uno con otro, de otra forma, el desarrollo no sería el apropiado y el cumplimiento de metas, inasequible. </w:t>
      </w:r>
    </w:p>
    <w:p w14:paraId="737D2469"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 xml:space="preserve">Es por lo anterior, que para que se tenga por válido el cambio de modalidad, deben contemplarse tres aspectos: que la entrega de la información sobrepase las capacidades técnicas, administrativas y humanas de manera excepcional con los respectivos medios de convicción, situación que no acontece dentro del recurso que nos ocupa, pues de la respuesta del </w:t>
      </w:r>
      <w:r w:rsidRPr="00FD489D">
        <w:rPr>
          <w:rFonts w:ascii="Palatino Linotype" w:eastAsia="Palatino Linotype" w:hAnsi="Palatino Linotype" w:cs="Palatino Linotype"/>
          <w:b/>
          <w:color w:val="000000"/>
        </w:rPr>
        <w:t xml:space="preserve">SUJETO OBLIGADO </w:t>
      </w:r>
      <w:r w:rsidRPr="00FD489D">
        <w:rPr>
          <w:rFonts w:ascii="Palatino Linotype" w:eastAsia="Palatino Linotype" w:hAnsi="Palatino Linotype" w:cs="Palatino Linotype"/>
          <w:color w:val="000000"/>
        </w:rPr>
        <w:t>se advierte que solamente se hizo énfasis en referir que solo cuenta con una persona encargada del escaneo de la información por lo que se encuentra imposibilitado de remitir la información, amén de manifestar que si cuenta con la misma.</w:t>
      </w:r>
    </w:p>
    <w:p w14:paraId="737D246A"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 xml:space="preserve">Ahora bien, de la información solicitada, se observa que se requirieron los recibos de nómina firmados de los meses de diciembre 2023 y enero 2024 y pago de prestaciones de </w:t>
      </w:r>
      <w:r w:rsidRPr="00FD489D">
        <w:rPr>
          <w:rFonts w:ascii="Palatino Linotype" w:eastAsia="Palatino Linotype" w:hAnsi="Palatino Linotype" w:cs="Palatino Linotype"/>
          <w:color w:val="000000"/>
        </w:rPr>
        <w:lastRenderedPageBreak/>
        <w:t>aguinaldo y prima del ejercicio 2023, por lo que dada la naturaleza de dicha información, se advierte que NO se sobrepasan las capacidades que soporta el SAIMEX, el cual tiene un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w:t>
      </w:r>
    </w:p>
    <w:p w14:paraId="737D246B"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 xml:space="preserve">Es así que se arriba a la conclusión de que </w:t>
      </w:r>
      <w:r w:rsidRPr="00FD489D">
        <w:rPr>
          <w:rFonts w:ascii="Palatino Linotype" w:eastAsia="Palatino Linotype" w:hAnsi="Palatino Linotype" w:cs="Palatino Linotype"/>
          <w:b/>
          <w:color w:val="000000"/>
        </w:rPr>
        <w:t xml:space="preserve">NO SE ACREDITÓ </w:t>
      </w:r>
      <w:r w:rsidRPr="00FD489D">
        <w:rPr>
          <w:rFonts w:ascii="Palatino Linotype" w:eastAsia="Palatino Linotype" w:hAnsi="Palatino Linotype" w:cs="Palatino Linotype"/>
          <w:color w:val="000000"/>
        </w:rPr>
        <w:t xml:space="preserve">el cambio de modalidad que se buscó hacer valer, pues –se reitera- que para </w:t>
      </w:r>
      <w:r w:rsidRPr="00FD489D">
        <w:rPr>
          <w:rFonts w:ascii="Palatino Linotype" w:eastAsia="Palatino Linotype" w:hAnsi="Palatino Linotype" w:cs="Palatino Linotype"/>
        </w:rPr>
        <w:t>solicitar un</w:t>
      </w:r>
      <w:r w:rsidRPr="00FD489D">
        <w:rPr>
          <w:rFonts w:ascii="Palatino Linotype" w:eastAsia="Palatino Linotype" w:hAnsi="Palatino Linotype" w:cs="Palatino Linotype"/>
          <w:color w:val="000000"/>
        </w:rPr>
        <w:t xml:space="preserve"> cambio de modalidad, es necesario demostrar que existe una imposibilidad administrativa, técnica y humana para dar cumplimiento a la modalidad elegida por el particular, situación que no aconteció dentro del recurso que nos ocupa; por lo que, el </w:t>
      </w:r>
      <w:r w:rsidRPr="00FD489D">
        <w:rPr>
          <w:rFonts w:ascii="Palatino Linotype" w:eastAsia="Palatino Linotype" w:hAnsi="Palatino Linotype" w:cs="Palatino Linotype"/>
          <w:b/>
          <w:color w:val="000000"/>
        </w:rPr>
        <w:t xml:space="preserve">SUJETO OBLIGADO </w:t>
      </w:r>
      <w:r w:rsidRPr="00FD489D">
        <w:rPr>
          <w:rFonts w:ascii="Palatino Linotype" w:eastAsia="Palatino Linotype" w:hAnsi="Palatino Linotype" w:cs="Palatino Linotype"/>
          <w:color w:val="000000"/>
        </w:rPr>
        <w:t xml:space="preserve">deberá de hacer entrega de la información solicitada a través de la modalidad de entrega señalada, es decir, a través del SAIMEX. </w:t>
      </w:r>
    </w:p>
    <w:p w14:paraId="737D246C"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rPr>
        <w:t xml:space="preserve">Al respecto, las resoluciones de los Recursos de Inconformidad, entre las cuales se encuentran el RIA 136/20, RIA 140/20, RIA 153/20 RIA 237/20, RIA 257/20, RIA 258/20, entre otros, ha considerado que no resultaba suficiente justificar una imposibilidad técnica y humana </w:t>
      </w:r>
      <w:r w:rsidRPr="00FD489D">
        <w:rPr>
          <w:rFonts w:ascii="Palatino Linotype" w:eastAsia="Palatino Linotype" w:hAnsi="Palatino Linotype" w:cs="Palatino Linotype"/>
          <w:b/>
        </w:rPr>
        <w:t>para acreditar un cambio de modalidad</w:t>
      </w:r>
      <w:r w:rsidRPr="00FD489D">
        <w:rPr>
          <w:rFonts w:ascii="Palatino Linotype" w:eastAsia="Palatino Linotype" w:hAnsi="Palatino Linotype" w:cs="Palatino Linotype"/>
        </w:rPr>
        <w:t xml:space="preserve">, sino que </w:t>
      </w:r>
      <w:r w:rsidRPr="00FD489D">
        <w:rPr>
          <w:rFonts w:ascii="Palatino Linotype" w:eastAsia="Palatino Linotype" w:hAnsi="Palatino Linotype" w:cs="Palatino Linotype"/>
          <w:b/>
        </w:rPr>
        <w:t>era necesario demostrar</w:t>
      </w:r>
      <w:r w:rsidRPr="00FD489D">
        <w:rPr>
          <w:rFonts w:ascii="Palatino Linotype" w:eastAsia="Palatino Linotype" w:hAnsi="Palatino Linotype" w:cs="Palatino Linotype"/>
        </w:rPr>
        <w:t xml:space="preserve"> otros impedimentos, como </w:t>
      </w:r>
      <w:r w:rsidRPr="00FD489D">
        <w:rPr>
          <w:rFonts w:ascii="Palatino Linotype" w:eastAsia="Palatino Linotype" w:hAnsi="Palatino Linotype" w:cs="Palatino Linotype"/>
          <w:b/>
        </w:rPr>
        <w:t>la cantidad</w:t>
      </w:r>
      <w:r w:rsidRPr="00FD489D">
        <w:rPr>
          <w:rFonts w:ascii="Palatino Linotype" w:eastAsia="Palatino Linotype" w:hAnsi="Palatino Linotype" w:cs="Palatino Linotype"/>
        </w:rPr>
        <w:t xml:space="preserve"> y formato de la documentación, que fuera de imposible reproducción en el medio elegido por los solicitantes, que la información amerita el cruce de información en los sistemas de datos, entre otros. Además, precisan que no se debe ceñir el cambio de modalidad, directamente a consulta directa, sino que los sujetos obligados, </w:t>
      </w:r>
      <w:r w:rsidRPr="00FD489D">
        <w:rPr>
          <w:rFonts w:ascii="Palatino Linotype" w:eastAsia="Palatino Linotype" w:hAnsi="Palatino Linotype" w:cs="Palatino Linotype"/>
        </w:rPr>
        <w:lastRenderedPageBreak/>
        <w:t xml:space="preserve">deben de buscar la posibilidad de proporcionarle en las otras formas que establecen en la Ley, ya sean electrónicas o físicas. </w:t>
      </w:r>
    </w:p>
    <w:p w14:paraId="737D246D" w14:textId="77777777" w:rsidR="00B8018A" w:rsidRPr="00FD489D" w:rsidRDefault="00B8018A">
      <w:pPr>
        <w:pBdr>
          <w:top w:val="nil"/>
          <w:left w:val="nil"/>
          <w:bottom w:val="nil"/>
          <w:right w:val="nil"/>
          <w:between w:val="nil"/>
        </w:pBdr>
        <w:tabs>
          <w:tab w:val="left" w:pos="851"/>
        </w:tabs>
        <w:spacing w:line="360" w:lineRule="auto"/>
        <w:ind w:right="7"/>
        <w:jc w:val="both"/>
        <w:rPr>
          <w:rFonts w:ascii="Palatino Linotype" w:eastAsia="Palatino Linotype" w:hAnsi="Palatino Linotype" w:cs="Palatino Linotype"/>
          <w:color w:val="000000"/>
        </w:rPr>
      </w:pPr>
    </w:p>
    <w:p w14:paraId="737D246E"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Sirve de sustento a lo anterior, el Criterio número 8/2013, y 02/2004 del entonces Instituto Federal de Acceso a la Información, cuyo texto y sentido literal es el siguiente:</w:t>
      </w:r>
    </w:p>
    <w:p w14:paraId="737D246F" w14:textId="77777777" w:rsidR="00B8018A" w:rsidRPr="00FD489D" w:rsidRDefault="00B8018A">
      <w:pPr>
        <w:pBdr>
          <w:top w:val="nil"/>
          <w:left w:val="nil"/>
          <w:bottom w:val="nil"/>
          <w:right w:val="nil"/>
          <w:between w:val="nil"/>
        </w:pBdr>
        <w:spacing w:line="360" w:lineRule="auto"/>
        <w:ind w:left="720" w:right="7"/>
        <w:jc w:val="both"/>
        <w:rPr>
          <w:rFonts w:ascii="Palatino Linotype" w:eastAsia="Palatino Linotype" w:hAnsi="Palatino Linotype" w:cs="Palatino Linotype"/>
          <w:color w:val="000000"/>
        </w:rPr>
      </w:pPr>
    </w:p>
    <w:p w14:paraId="737D2470" w14:textId="77777777" w:rsidR="00B8018A" w:rsidRPr="00FD489D" w:rsidRDefault="00FA493A">
      <w:pPr>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t>Cuando exista impedimento justificado de atender la modalidad de entrega elegida por el solicitante, procede ofrecer todas las demás opciones previstas en la Ley.</w:t>
      </w:r>
      <w:r w:rsidRPr="00FD489D">
        <w:rPr>
          <w:rFonts w:ascii="Palatino Linotype" w:eastAsia="Palatino Linotype" w:hAnsi="Palatino Linotype" w:cs="Palatino Linotype"/>
          <w:i/>
        </w:rPr>
        <w:t xml:space="preserve"> </w:t>
      </w:r>
      <w:r w:rsidRPr="00FD489D">
        <w:rPr>
          <w:rFonts w:ascii="Palatino Linotype" w:eastAsia="Palatino Linotype" w:hAnsi="Palatino Linotype" w:cs="Palatino Linotype"/>
          <w:i/>
          <w:u w:val="single"/>
        </w:rPr>
        <w:t>De conformidad con lo dispuesto en los artículos 42 y 44 de la Ley Federal de Transparencia y Acceso a la Información Pública Gubernamental, y 54 de su Reglamento, la entrega de la información debe hacerse, en la medida de lo posible, en la forma solicitada por el interesado</w:t>
      </w:r>
      <w:r w:rsidRPr="00FD489D">
        <w:rPr>
          <w:rFonts w:ascii="Palatino Linotype" w:eastAsia="Palatino Linotype" w:hAnsi="Palatino Linotype" w:cs="Palatino Linotype"/>
          <w:i/>
        </w:rPr>
        <w:t xml:space="preserve">, salvo que exista un impedimento justificado para atenderla, en cuyo caso, deberán exponerse las razones por las cuales no es posible utilizar el medio de reproducción solicitado. </w:t>
      </w:r>
      <w:r w:rsidRPr="00FD489D">
        <w:rPr>
          <w:rFonts w:ascii="Palatino Linotype" w:eastAsia="Palatino Linotype" w:hAnsi="Palatino Linotype" w:cs="Palatino Linotype"/>
          <w:i/>
          <w:u w:val="single"/>
        </w:rPr>
        <w:t>En este sentido, la entrega de la información en una modalidad distinta a la elegida por el particular sólo procede, en caso de que se acredite la imposibilidad de atenderla. Lo anterior, ya que si bien, los sujetos obligados deben privilegiar, en todo momento, el derecho de acceso a la información, ello no implica que desvíen su objeto sustancial en la atención y trámite de las solicitudes efectuadas bajo la tutela de dicho derecho</w:t>
      </w:r>
      <w:r w:rsidRPr="00FD489D">
        <w:rPr>
          <w:rFonts w:ascii="Palatino Linotype" w:eastAsia="Palatino Linotype" w:hAnsi="Palatino Linotype" w:cs="Palatino Linotype"/>
          <w:i/>
        </w:rPr>
        <w:t xml:space="preserve">. Así, cuando se justifique el impedimento, los sujetos obligados deberán notificar al particular la disposición de la información en todas las modalidades de entrega que permita el documento, tales como consulta directa, copias simples y certificadas, así como la reproducción en cualquier otro medio e indicarle, en su caso, los costos de reproducción y envío, para que pueda estar en aptitud de elegir la que sea de su interés o la que más le convenga. En estos casos, los sujetos obligados deberán intentar reducir, en todo </w:t>
      </w:r>
      <w:r w:rsidRPr="00FD489D">
        <w:rPr>
          <w:rFonts w:ascii="Palatino Linotype" w:eastAsia="Palatino Linotype" w:hAnsi="Palatino Linotype" w:cs="Palatino Linotype"/>
          <w:i/>
        </w:rPr>
        <w:lastRenderedPageBreak/>
        <w:t xml:space="preserve">momento, los costos de entrega de la información y garantizar el debido equilibrio entre el legítimo derecho de acceso a la información y las posibilidades materiales de otorgar acceso a los documentos. </w:t>
      </w:r>
    </w:p>
    <w:p w14:paraId="737D2471" w14:textId="77777777" w:rsidR="00B8018A" w:rsidRPr="00FD489D" w:rsidRDefault="00B8018A">
      <w:pPr>
        <w:spacing w:line="360" w:lineRule="auto"/>
        <w:ind w:left="567" w:right="7"/>
        <w:jc w:val="both"/>
        <w:rPr>
          <w:rFonts w:ascii="Palatino Linotype" w:eastAsia="Palatino Linotype" w:hAnsi="Palatino Linotype" w:cs="Palatino Linotype"/>
          <w:i/>
        </w:rPr>
      </w:pPr>
    </w:p>
    <w:p w14:paraId="737D2472" w14:textId="77777777" w:rsidR="00B8018A" w:rsidRPr="00FD489D" w:rsidRDefault="00FA493A">
      <w:pPr>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t>Criterio 02/2004 INFORMACIÓN DISPERSA</w:t>
      </w:r>
      <w:r w:rsidRPr="00FD489D">
        <w:rPr>
          <w:rFonts w:ascii="Palatino Linotype" w:eastAsia="Palatino Linotype" w:hAnsi="Palatino Linotype" w:cs="Palatino Linotype"/>
          <w:b/>
        </w:rPr>
        <w:t xml:space="preserve"> </w:t>
      </w:r>
      <w:r w:rsidRPr="00FD489D">
        <w:rPr>
          <w:rFonts w:ascii="Palatino Linotype" w:eastAsia="Palatino Linotype" w:hAnsi="Palatino Linotype" w:cs="Palatino Linotype"/>
          <w:b/>
          <w:i/>
        </w:rPr>
        <w:t>EN DIVERSOS DOCUMENTOS. PARA RESPETAR EL DERECHO DE ACCESO A LA INFORMACIÓN BASTA CON QUE SE PERMITA LA CONSULTA FÍSICA DE AQUÉLLOS, SALVO EN EL CASO DE QUE EL RESPECTIVO ÓRGANO DEL ESTADO TENGA LA OBLIGACIÓN DE CONTAR CON UN DOCUMENTO QUE CONCENTRÉ AQUÉLLA.</w:t>
      </w:r>
      <w:r w:rsidRPr="00FD489D">
        <w:rPr>
          <w:rFonts w:ascii="Palatino Linotype" w:eastAsia="Palatino Linotype" w:hAnsi="Palatino Linotype" w:cs="Palatino Linotype"/>
          <w:i/>
        </w:rPr>
        <w:t xml:space="preserve"> </w:t>
      </w:r>
      <w:r w:rsidRPr="00FD489D">
        <w:rPr>
          <w:rFonts w:ascii="Palatino Linotype" w:eastAsia="Palatino Linotype" w:hAnsi="Palatino Linotype" w:cs="Palatino Linotype"/>
          <w:i/>
          <w:u w:val="single"/>
        </w:rPr>
        <w:t xml:space="preserve">Si bien para cumplir con el derecho de acceso a la información tratándose de la que se encuentra en diferentes documentos, basta con que se permita a los gobernados la consulta física de éstos, dado que tal prerrogativa no implica el procesamiento de los datos contenidos en diversos documentos, </w:t>
      </w:r>
      <w:r w:rsidRPr="00FD489D">
        <w:rPr>
          <w:rFonts w:ascii="Palatino Linotype" w:eastAsia="Palatino Linotype" w:hAnsi="Palatino Linotype" w:cs="Palatino Linotype"/>
          <w:i/>
        </w:rPr>
        <w:t xml:space="preserve">como lo prevé el artículo 29 del Reglamento de la Suprema Corte de Justicia de la Nación y del Consejo de la Judicatura Federal para la aplicación de la Ley Federal de Transparencia y Acceso a la Información Pública Gubernamental, </w:t>
      </w:r>
      <w:r w:rsidRPr="00FD489D">
        <w:rPr>
          <w:rFonts w:ascii="Palatino Linotype" w:eastAsia="Palatino Linotype" w:hAnsi="Palatino Linotype" w:cs="Palatino Linotype"/>
          <w:i/>
          <w:u w:val="single"/>
        </w:rPr>
        <w:t>ello no obsta para reconocer que si el órgano que tiene bajo su resguardo numerosos documentos en los que están dispersos los datos solicitados, cuenta con algún área o unidad que conforme a su regulación interna debe elaborar un documento en el que concentre esa información, para respetar el derecho en comento no basta que se permita la mencionada consulta física, ya que en este supuesto el derecho de acceso a la información tiene el alcance de obligar a los órganos del Estado a poner a disposición de los gobernados la información que conforme a lo previsto en el marco jurídico que los regula deben tener bajo su resguardo, c</w:t>
      </w:r>
      <w:r w:rsidRPr="00FD489D">
        <w:rPr>
          <w:rFonts w:ascii="Palatino Linotype" w:eastAsia="Palatino Linotype" w:hAnsi="Palatino Linotype" w:cs="Palatino Linotype"/>
          <w:i/>
        </w:rPr>
        <w:t xml:space="preserve">on lo que además se reconoce que para realizar la referida consulta física el solicitante enfrentará limitantes temporales y económicas que difícilmente podrá superar, lo que finalmente le impedirá conocer los datos que le permitan evaluar las actividades desarrolladas </w:t>
      </w:r>
      <w:r w:rsidRPr="00FD489D">
        <w:rPr>
          <w:rFonts w:ascii="Palatino Linotype" w:eastAsia="Palatino Linotype" w:hAnsi="Palatino Linotype" w:cs="Palatino Linotype"/>
          <w:i/>
        </w:rPr>
        <w:lastRenderedPageBreak/>
        <w:t>por el respectivo órgano del Estado. Clasificación de Información 6/2004-J. 29 de abril de 2004. Unanimidad de votos.”</w:t>
      </w:r>
    </w:p>
    <w:p w14:paraId="737D2473" w14:textId="77777777" w:rsidR="00B8018A" w:rsidRPr="00FD489D" w:rsidRDefault="00FA493A">
      <w:pPr>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(Énfasis añadido)</w:t>
      </w:r>
    </w:p>
    <w:p w14:paraId="737D2474" w14:textId="77777777" w:rsidR="00B8018A" w:rsidRPr="00FD489D" w:rsidRDefault="00B8018A">
      <w:pPr>
        <w:spacing w:line="360" w:lineRule="auto"/>
        <w:ind w:left="567" w:right="7"/>
        <w:jc w:val="both"/>
        <w:rPr>
          <w:rFonts w:ascii="Palatino Linotype" w:eastAsia="Palatino Linotype" w:hAnsi="Palatino Linotype" w:cs="Palatino Linotype"/>
          <w:i/>
        </w:rPr>
      </w:pPr>
    </w:p>
    <w:p w14:paraId="737D2475"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 xml:space="preserve">Luego entonces, es dable ordenar la entrega de la información objeto de análisis la cual ya se tiene certeza de que el </w:t>
      </w:r>
      <w:r w:rsidRPr="00FD489D">
        <w:rPr>
          <w:rFonts w:ascii="Palatino Linotype" w:eastAsia="Palatino Linotype" w:hAnsi="Palatino Linotype" w:cs="Palatino Linotype"/>
          <w:b/>
        </w:rPr>
        <w:t>SUJETO OBLIGADO</w:t>
      </w:r>
      <w:r w:rsidRPr="00FD489D">
        <w:rPr>
          <w:rFonts w:ascii="Palatino Linotype" w:eastAsia="Palatino Linotype" w:hAnsi="Palatino Linotype" w:cs="Palatino Linotype"/>
        </w:rPr>
        <w:t xml:space="preserve"> genere, posee y administra en ejercicio de sus atribuciones de derecho público, de ser el caso de que la información que se </w:t>
      </w:r>
      <w:r w:rsidRPr="00FD489D">
        <w:rPr>
          <w:rFonts w:ascii="Palatino Linotype" w:eastAsia="Palatino Linotype" w:hAnsi="Palatino Linotype" w:cs="Palatino Linotype"/>
          <w:b/>
        </w:rPr>
        <w:t xml:space="preserve">ORDENA </w:t>
      </w:r>
      <w:r w:rsidRPr="00FD489D">
        <w:rPr>
          <w:rFonts w:ascii="Palatino Linotype" w:eastAsia="Palatino Linotype" w:hAnsi="Palatino Linotype" w:cs="Palatino Linotype"/>
        </w:rPr>
        <w:t xml:space="preserve">entregar contenga datos personales susceptibles de clasificarse como confidenciales, el </w:t>
      </w:r>
      <w:r w:rsidRPr="00FD489D">
        <w:rPr>
          <w:rFonts w:ascii="Palatino Linotype" w:eastAsia="Palatino Linotype" w:hAnsi="Palatino Linotype" w:cs="Palatino Linotype"/>
          <w:b/>
        </w:rPr>
        <w:t>SUJETO OBLIGADO</w:t>
      </w:r>
      <w:r w:rsidRPr="00FD489D">
        <w:rPr>
          <w:rFonts w:ascii="Palatino Linotype" w:eastAsia="Palatino Linotype" w:hAnsi="Palatino Linotype" w:cs="Palatino Linotype"/>
        </w:rPr>
        <w:t xml:space="preserve"> estará a lo dispuesto en el Considerando que más adelante se enuncia.</w:t>
      </w:r>
    </w:p>
    <w:p w14:paraId="737D2476" w14:textId="77777777" w:rsidR="00B8018A" w:rsidRPr="00FD489D" w:rsidRDefault="00B8018A">
      <w:pPr>
        <w:tabs>
          <w:tab w:val="left" w:pos="284"/>
        </w:tabs>
        <w:spacing w:after="240" w:line="360" w:lineRule="auto"/>
        <w:ind w:right="7"/>
        <w:jc w:val="both"/>
        <w:rPr>
          <w:rFonts w:ascii="Palatino Linotype" w:eastAsia="Palatino Linotype" w:hAnsi="Palatino Linotype" w:cs="Palatino Linotype"/>
        </w:rPr>
      </w:pPr>
    </w:p>
    <w:p w14:paraId="737D2477"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 xml:space="preserve">Por lo que hace a la fuente obligacional, se advierte que el </w:t>
      </w:r>
      <w:r w:rsidRPr="00FD489D">
        <w:rPr>
          <w:rFonts w:ascii="Palatino Linotype" w:eastAsia="Palatino Linotype" w:hAnsi="Palatino Linotype" w:cs="Palatino Linotype"/>
          <w:b/>
        </w:rPr>
        <w:t xml:space="preserve">SUJETO OBLIGADO, </w:t>
      </w:r>
      <w:r w:rsidRPr="00FD489D">
        <w:rPr>
          <w:rFonts w:ascii="Palatino Linotype" w:eastAsia="Palatino Linotype" w:hAnsi="Palatino Linotype" w:cs="Palatino Linotype"/>
        </w:rPr>
        <w:t xml:space="preserve">asumió contar con la información solicitada, tan es así que la puso a disposición del ahora </w:t>
      </w:r>
      <w:r w:rsidRPr="00FD489D">
        <w:rPr>
          <w:rFonts w:ascii="Palatino Linotype" w:eastAsia="Palatino Linotype" w:hAnsi="Palatino Linotype" w:cs="Palatino Linotype"/>
          <w:b/>
        </w:rPr>
        <w:t xml:space="preserve">RECURRENTE, </w:t>
      </w:r>
      <w:r w:rsidRPr="00FD489D">
        <w:rPr>
          <w:rFonts w:ascii="Palatino Linotype" w:eastAsia="Palatino Linotype" w:hAnsi="Palatino Linotype" w:cs="Palatino Linotype"/>
        </w:rPr>
        <w:t xml:space="preserve">en la modalidad de consulta directa, por lo que resulta innecesario realizar estudio respecto la fuente obligacional pues -se insiste- el </w:t>
      </w:r>
      <w:r w:rsidRPr="00FD489D">
        <w:rPr>
          <w:rFonts w:ascii="Palatino Linotype" w:eastAsia="Palatino Linotype" w:hAnsi="Palatino Linotype" w:cs="Palatino Linotype"/>
          <w:b/>
        </w:rPr>
        <w:t xml:space="preserve">SUJETO OBLIGADO </w:t>
      </w:r>
      <w:r w:rsidRPr="00FD489D">
        <w:rPr>
          <w:rFonts w:ascii="Palatino Linotype" w:eastAsia="Palatino Linotype" w:hAnsi="Palatino Linotype" w:cs="Palatino Linotype"/>
        </w:rPr>
        <w:t xml:space="preserve">asumió que genera/posee y/o administra la información solicitada. </w:t>
      </w:r>
    </w:p>
    <w:p w14:paraId="737D2478" w14:textId="77777777" w:rsidR="00FA493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Por lo que hace a la información solicitada, se precisa los siguiente:</w:t>
      </w:r>
    </w:p>
    <w:p w14:paraId="737D2479" w14:textId="77777777" w:rsidR="00B8018A" w:rsidRPr="00FD489D" w:rsidRDefault="00FA493A">
      <w:pPr>
        <w:numPr>
          <w:ilvl w:val="0"/>
          <w:numId w:val="11"/>
        </w:numPr>
        <w:pBdr>
          <w:top w:val="nil"/>
          <w:left w:val="nil"/>
          <w:bottom w:val="nil"/>
          <w:right w:val="nil"/>
          <w:between w:val="nil"/>
        </w:pBdr>
        <w:tabs>
          <w:tab w:val="left" w:pos="284"/>
        </w:tabs>
        <w:spacing w:after="240" w:line="360" w:lineRule="auto"/>
        <w:ind w:right="7"/>
        <w:jc w:val="both"/>
        <w:rPr>
          <w:rFonts w:ascii="Palatino Linotype" w:eastAsia="Palatino Linotype" w:hAnsi="Palatino Linotype" w:cs="Palatino Linotype"/>
          <w:b/>
          <w:color w:val="000000"/>
        </w:rPr>
      </w:pPr>
      <w:r w:rsidRPr="00FD489D">
        <w:rPr>
          <w:rFonts w:ascii="Palatino Linotype" w:eastAsia="Palatino Linotype" w:hAnsi="Palatino Linotype" w:cs="Palatino Linotype"/>
          <w:b/>
          <w:color w:val="000000"/>
        </w:rPr>
        <w:t>Aguinaldo, prima vacacional y nómina</w:t>
      </w:r>
    </w:p>
    <w:p w14:paraId="737D247A" w14:textId="77777777" w:rsidR="00B8018A" w:rsidRPr="00FD489D" w:rsidRDefault="00FA493A">
      <w:pPr>
        <w:spacing w:line="360" w:lineRule="auto"/>
        <w:ind w:right="7"/>
        <w:jc w:val="both"/>
        <w:rPr>
          <w:rFonts w:ascii="Palatino Linotype" w:eastAsia="Palatino Linotype" w:hAnsi="Palatino Linotype" w:cs="Palatino Linotype"/>
        </w:rPr>
      </w:pPr>
      <w:r w:rsidRPr="00FD489D">
        <w:rPr>
          <w:rFonts w:ascii="Palatino Linotype" w:eastAsia="Palatino Linotype" w:hAnsi="Palatino Linotype" w:cs="Palatino Linotype"/>
        </w:rPr>
        <w:t>Los artículos artículo 41 y 78 de la Ley de Trabajo de los Servidores Públicos del Estado y Municipios, los cuales señala:</w:t>
      </w:r>
    </w:p>
    <w:p w14:paraId="737D247B" w14:textId="77777777" w:rsidR="00B8018A" w:rsidRPr="00FD489D" w:rsidRDefault="00FA493A">
      <w:pPr>
        <w:ind w:left="851"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 xml:space="preserve">“ARTÍCULO 41. Los trabajadores a que se refiere este capítulo tendrán derecho a un aguinaldo anual conforme lo establece el artículo 78 de esta ley, el que deberá pagárseles en </w:t>
      </w:r>
      <w:r w:rsidRPr="00FD489D">
        <w:rPr>
          <w:rFonts w:ascii="Palatino Linotype" w:eastAsia="Palatino Linotype" w:hAnsi="Palatino Linotype" w:cs="Palatino Linotype"/>
          <w:i/>
        </w:rPr>
        <w:lastRenderedPageBreak/>
        <w:t xml:space="preserve">dos entregas, </w:t>
      </w:r>
      <w:r w:rsidRPr="00FD489D">
        <w:rPr>
          <w:rFonts w:ascii="Palatino Linotype" w:eastAsia="Palatino Linotype" w:hAnsi="Palatino Linotype" w:cs="Palatino Linotype"/>
          <w:b/>
          <w:i/>
        </w:rPr>
        <w:t>la primera antes del día 15 de diciembre y la segunda a más tardar el día 15 de enero de cada año</w:t>
      </w:r>
      <w:r w:rsidRPr="00FD489D">
        <w:rPr>
          <w:rFonts w:ascii="Palatino Linotype" w:eastAsia="Palatino Linotype" w:hAnsi="Palatino Linotype" w:cs="Palatino Linotype"/>
          <w:i/>
        </w:rPr>
        <w:t>.</w:t>
      </w:r>
    </w:p>
    <w:p w14:paraId="737D247C" w14:textId="77777777" w:rsidR="00B8018A" w:rsidRPr="00FD489D" w:rsidRDefault="00FA493A">
      <w:pPr>
        <w:ind w:left="851"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w:t>
      </w:r>
    </w:p>
    <w:p w14:paraId="737D247D" w14:textId="77777777" w:rsidR="00B8018A" w:rsidRPr="00FD489D" w:rsidRDefault="00FA493A">
      <w:pPr>
        <w:ind w:left="851"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ARTÍCULO 78. Los servidores públicos tendrán derecho a un aguinaldo anual, equivalente a 40 días de sueldo base, cuando menos, sin deducción alguna, y estará comprendido en el presupuesto de egresos correspondiente.</w:t>
      </w:r>
    </w:p>
    <w:p w14:paraId="737D247E" w14:textId="77777777" w:rsidR="00B8018A" w:rsidRPr="00FD489D" w:rsidRDefault="00FA493A">
      <w:pPr>
        <w:ind w:left="851" w:right="7"/>
        <w:jc w:val="both"/>
        <w:rPr>
          <w:rFonts w:ascii="Palatino Linotype" w:eastAsia="Palatino Linotype" w:hAnsi="Palatino Linotype" w:cs="Palatino Linotype"/>
          <w:b/>
          <w:i/>
        </w:rPr>
      </w:pPr>
      <w:r w:rsidRPr="00FD489D">
        <w:rPr>
          <w:rFonts w:ascii="Palatino Linotype" w:eastAsia="Palatino Linotype" w:hAnsi="Palatino Linotype" w:cs="Palatino Linotype"/>
          <w:i/>
        </w:rPr>
        <w:t xml:space="preserve">Dicho aguinaldo deberá pagarse en dos entregas, </w:t>
      </w:r>
      <w:r w:rsidRPr="00FD489D">
        <w:rPr>
          <w:rFonts w:ascii="Palatino Linotype" w:eastAsia="Palatino Linotype" w:hAnsi="Palatino Linotype" w:cs="Palatino Linotype"/>
          <w:b/>
          <w:i/>
        </w:rPr>
        <w:t xml:space="preserve">la primera de ellas previo al primer período vacacional y la segunda a más tardar el día 15 de diciembre. </w:t>
      </w:r>
    </w:p>
    <w:p w14:paraId="737D247F" w14:textId="77777777" w:rsidR="00B8018A" w:rsidRPr="00FD489D" w:rsidRDefault="00FA493A">
      <w:pPr>
        <w:ind w:left="851"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Los servidores públicos que hayan prestado sus servicios por un lapso menor a un año, tendrán derecho a que se les pague la parte proporcional del aguinaldo de acuerdo a los días efectivamente trabajados.” (Sic)</w:t>
      </w:r>
    </w:p>
    <w:p w14:paraId="737D2480" w14:textId="77777777" w:rsidR="00B8018A" w:rsidRPr="00FD489D" w:rsidRDefault="00B8018A">
      <w:pPr>
        <w:ind w:left="851" w:right="7"/>
        <w:jc w:val="both"/>
        <w:rPr>
          <w:rFonts w:ascii="Palatino Linotype" w:eastAsia="Palatino Linotype" w:hAnsi="Palatino Linotype" w:cs="Palatino Linotype"/>
          <w:i/>
        </w:rPr>
      </w:pPr>
    </w:p>
    <w:p w14:paraId="737D2481"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En ese contexto, tratándose de servidores públicos de los Municipios la Ley del Trabajo de los Servidores Públicos del Estado y Municipios, en su artículo 220-K, establece lo siguiente:</w:t>
      </w:r>
    </w:p>
    <w:p w14:paraId="737D2482" w14:textId="77777777" w:rsidR="00B8018A" w:rsidRPr="00FD489D" w:rsidRDefault="00FA493A">
      <w:pPr>
        <w:tabs>
          <w:tab w:val="left" w:pos="9072"/>
        </w:tabs>
        <w:spacing w:before="240"/>
        <w:ind w:left="851"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 xml:space="preserve">“ARTÍCULO 220 K.- La institución o dependencia pública tiene la obligación de conservar y exhibir en el proceso los documentos que a continuación se precisan: </w:t>
      </w:r>
    </w:p>
    <w:p w14:paraId="737D2483" w14:textId="77777777" w:rsidR="00B8018A" w:rsidRPr="00FD489D" w:rsidRDefault="00FA493A">
      <w:pPr>
        <w:tabs>
          <w:tab w:val="left" w:pos="9072"/>
        </w:tabs>
        <w:spacing w:before="240"/>
        <w:ind w:left="851"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 xml:space="preserve">I. Contratos, Nombramientos o Formato Único de Movimientos de Personal, cuando no exista Convenio de condiciones generales de trabajo aplicable; II. Recibos de pagos de salarios o las constancias documentales del pago de salario cuando sea por depósito o mediante información electrónica; </w:t>
      </w:r>
    </w:p>
    <w:p w14:paraId="737D2484" w14:textId="77777777" w:rsidR="00B8018A" w:rsidRPr="00FD489D" w:rsidRDefault="00FA493A">
      <w:pPr>
        <w:tabs>
          <w:tab w:val="left" w:pos="9072"/>
        </w:tabs>
        <w:spacing w:before="240"/>
        <w:ind w:left="851"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 xml:space="preserve">III. Controles de asistencia o la información magnética o electrónica de asistencia de los servidores públicos; </w:t>
      </w:r>
    </w:p>
    <w:p w14:paraId="737D2485" w14:textId="77777777" w:rsidR="00B8018A" w:rsidRPr="00FD489D" w:rsidRDefault="00FA493A">
      <w:pPr>
        <w:tabs>
          <w:tab w:val="left" w:pos="9072"/>
        </w:tabs>
        <w:spacing w:before="240"/>
        <w:ind w:left="851"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t>IV. Recibos o las constancias de depósito o del medio de información magnética o electrónica que sean utilizadas para el pago de salarios, prima vacacional, aguinaldo y demás prestaciones establecidas en la presente ley;</w:t>
      </w:r>
      <w:r w:rsidRPr="00FD489D">
        <w:rPr>
          <w:rFonts w:ascii="Palatino Linotype" w:eastAsia="Palatino Linotype" w:hAnsi="Palatino Linotype" w:cs="Palatino Linotype"/>
          <w:i/>
        </w:rPr>
        <w:t xml:space="preserve"> y </w:t>
      </w:r>
    </w:p>
    <w:p w14:paraId="737D2486" w14:textId="77777777" w:rsidR="00B8018A" w:rsidRPr="00FD489D" w:rsidRDefault="00FA493A">
      <w:pPr>
        <w:tabs>
          <w:tab w:val="left" w:pos="9072"/>
        </w:tabs>
        <w:spacing w:before="240"/>
        <w:ind w:left="851"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 xml:space="preserve">V. Los demás que señalen las leyes. 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w:t>
      </w:r>
    </w:p>
    <w:p w14:paraId="737D2487" w14:textId="77777777" w:rsidR="00B8018A" w:rsidRPr="00FD489D" w:rsidRDefault="00FA493A">
      <w:pPr>
        <w:tabs>
          <w:tab w:val="left" w:pos="9072"/>
        </w:tabs>
        <w:spacing w:before="240"/>
        <w:ind w:left="851"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lastRenderedPageBreak/>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737D2488" w14:textId="77777777" w:rsidR="00B8018A" w:rsidRPr="00FD489D" w:rsidRDefault="00FA493A">
      <w:pPr>
        <w:tabs>
          <w:tab w:val="left" w:pos="9072"/>
        </w:tabs>
        <w:spacing w:before="240"/>
        <w:ind w:left="851"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 xml:space="preserve"> El incumplimiento por lo dispuesto por este artículo, establecerá la presunción de ser ciertos los hechos que el actor exprese en su demanda, en relación con tales documentos, salvo prueba en contrario.” (Sic)</w:t>
      </w:r>
    </w:p>
    <w:p w14:paraId="737D2489" w14:textId="77777777" w:rsidR="00B8018A" w:rsidRPr="00FD489D" w:rsidRDefault="00B8018A">
      <w:pPr>
        <w:spacing w:line="360" w:lineRule="auto"/>
        <w:ind w:right="7"/>
        <w:jc w:val="both"/>
        <w:rPr>
          <w:rFonts w:ascii="Palatino Linotype" w:eastAsia="Palatino Linotype" w:hAnsi="Palatino Linotype" w:cs="Palatino Linotype"/>
        </w:rPr>
      </w:pPr>
    </w:p>
    <w:p w14:paraId="737D248A"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 xml:space="preserve">Luego entonces, tenemos que toda institución o dependencia pública del Estado de México debe conservar las constancias documentales </w:t>
      </w:r>
      <w:r w:rsidRPr="00FD489D">
        <w:rPr>
          <w:rFonts w:ascii="Palatino Linotype" w:eastAsia="Palatino Linotype" w:hAnsi="Palatino Linotype" w:cs="Palatino Linotype"/>
          <w:b/>
        </w:rPr>
        <w:t>del pago de salario, prima vacacional y aguinaldo cuando</w:t>
      </w:r>
      <w:r w:rsidRPr="00FD489D">
        <w:rPr>
          <w:rFonts w:ascii="Palatino Linotype" w:eastAsia="Palatino Linotype" w:hAnsi="Palatino Linotype" w:cs="Palatino Linotype"/>
        </w:rPr>
        <w:t xml:space="preserve"> sea por depósito o mediante información electrónica, debiendo conservar dicha documentación durante el último año y un año después de que se extinga la relación laboral a través de los sistemas de digitalización o de información magnética o electrónica.</w:t>
      </w:r>
    </w:p>
    <w:p w14:paraId="737D248B" w14:textId="77777777" w:rsidR="00B8018A" w:rsidRPr="00FD489D" w:rsidRDefault="00B8018A">
      <w:pPr>
        <w:spacing w:line="360" w:lineRule="auto"/>
        <w:ind w:right="7"/>
        <w:jc w:val="both"/>
        <w:rPr>
          <w:rFonts w:ascii="Palatino Linotype" w:eastAsia="Palatino Linotype" w:hAnsi="Palatino Linotype" w:cs="Palatino Linotype"/>
        </w:rPr>
      </w:pPr>
    </w:p>
    <w:p w14:paraId="737D248C"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rPr>
        <w:t xml:space="preserve">Una vez precisado lo que antecede, es necesario analizar la Ley de Fiscalización Superior del Estado de México, toda vez que señala </w:t>
      </w:r>
      <w:r w:rsidRPr="00FD489D">
        <w:rPr>
          <w:rFonts w:ascii="Palatino Linotype" w:eastAsia="Palatino Linotype" w:hAnsi="Palatino Linotype" w:cs="Palatino Linotype"/>
          <w:color w:val="000000"/>
        </w:rPr>
        <w:t xml:space="preserve">que los municipios que conforman el Estado de México, entre ellos el </w:t>
      </w:r>
      <w:r w:rsidRPr="00FD489D">
        <w:rPr>
          <w:rFonts w:ascii="Palatino Linotype" w:eastAsia="Palatino Linotype" w:hAnsi="Palatino Linotype" w:cs="Palatino Linotype"/>
          <w:b/>
          <w:color w:val="000000"/>
        </w:rPr>
        <w:t>SUJETO OBLIGADO</w:t>
      </w:r>
      <w:r w:rsidRPr="00FD489D">
        <w:rPr>
          <w:rFonts w:ascii="Palatino Linotype" w:eastAsia="Palatino Linotype" w:hAnsi="Palatino Linotype" w:cs="Palatino Linotype"/>
          <w:color w:val="000000"/>
        </w:rPr>
        <w:t>,</w:t>
      </w:r>
      <w:r w:rsidRPr="00FD489D">
        <w:rPr>
          <w:rFonts w:ascii="Palatino Linotype" w:eastAsia="Palatino Linotype" w:hAnsi="Palatino Linotype" w:cs="Palatino Linotype"/>
        </w:rPr>
        <w:t xml:space="preserve"> </w:t>
      </w:r>
      <w:r w:rsidRPr="00FD489D">
        <w:rPr>
          <w:rFonts w:ascii="Palatino Linotype" w:eastAsia="Palatino Linotype" w:hAnsi="Palatino Linotype" w:cs="Palatino Linotype"/>
          <w:color w:val="000000"/>
        </w:rPr>
        <w:t>es considerado como ente fiscalizable, como así lo señala el artículo 4 fracción II de la Ley de Fiscalización Superior del Estado de México, el cual señala:</w:t>
      </w:r>
    </w:p>
    <w:p w14:paraId="737D248D" w14:textId="77777777" w:rsidR="00B8018A" w:rsidRPr="00FD489D" w:rsidRDefault="00FA493A">
      <w:pPr>
        <w:spacing w:before="240"/>
        <w:ind w:left="851"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t xml:space="preserve">“Artículo 4. </w:t>
      </w:r>
      <w:r w:rsidRPr="00FD489D">
        <w:rPr>
          <w:rFonts w:ascii="Palatino Linotype" w:eastAsia="Palatino Linotype" w:hAnsi="Palatino Linotype" w:cs="Palatino Linotype"/>
          <w:i/>
        </w:rPr>
        <w:t>Son sujetos de fiscalización:</w:t>
      </w:r>
    </w:p>
    <w:p w14:paraId="737D248E" w14:textId="77777777" w:rsidR="00B8018A" w:rsidRPr="00FD489D" w:rsidRDefault="00FA493A">
      <w:pPr>
        <w:ind w:left="851"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w:t>
      </w:r>
    </w:p>
    <w:p w14:paraId="737D248F" w14:textId="77777777" w:rsidR="00B8018A" w:rsidRPr="00FD489D" w:rsidRDefault="00FA493A">
      <w:pPr>
        <w:numPr>
          <w:ilvl w:val="0"/>
          <w:numId w:val="3"/>
        </w:numPr>
        <w:pBdr>
          <w:top w:val="nil"/>
          <w:left w:val="nil"/>
          <w:bottom w:val="nil"/>
          <w:right w:val="nil"/>
          <w:between w:val="nil"/>
        </w:pBdr>
        <w:spacing w:before="240" w:after="160"/>
        <w:ind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i/>
          <w:color w:val="000000"/>
        </w:rPr>
        <w:t>Los municipios del Estado de México…” (Sic)</w:t>
      </w:r>
    </w:p>
    <w:p w14:paraId="737D2491" w14:textId="77777777" w:rsidR="00B8018A" w:rsidRPr="00FD489D" w:rsidRDefault="00FA493A" w:rsidP="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color w:val="000000"/>
        </w:rPr>
      </w:pPr>
      <w:bookmarkStart w:id="1" w:name="_GoBack"/>
      <w:bookmarkEnd w:id="1"/>
      <w:r w:rsidRPr="00FD489D">
        <w:rPr>
          <w:rFonts w:ascii="Palatino Linotype" w:eastAsia="Palatino Linotype" w:hAnsi="Palatino Linotype" w:cs="Palatino Linotype"/>
          <w:color w:val="000000"/>
        </w:rPr>
        <w:t xml:space="preserve">En esa línea de estudio, es de recordar que de acuerdo con la Ley de Transparencia y Acceso a la Información Pública del Estado de México y Municipios, de acuerdo a su artículo </w:t>
      </w:r>
      <w:r w:rsidRPr="00FD489D">
        <w:rPr>
          <w:rFonts w:ascii="Palatino Linotype" w:eastAsia="Palatino Linotype" w:hAnsi="Palatino Linotype" w:cs="Palatino Linotype"/>
          <w:color w:val="000000"/>
        </w:rPr>
        <w:lastRenderedPageBreak/>
        <w:t xml:space="preserve">92 la remuneración  bruta y neta de los servidores públicos, es una obligación de transparencia común. </w:t>
      </w:r>
    </w:p>
    <w:p w14:paraId="737D2492" w14:textId="77777777" w:rsidR="00B8018A" w:rsidRPr="00FD489D" w:rsidRDefault="00B8018A">
      <w:pPr>
        <w:pBdr>
          <w:top w:val="nil"/>
          <w:left w:val="nil"/>
          <w:bottom w:val="nil"/>
          <w:right w:val="nil"/>
          <w:between w:val="nil"/>
        </w:pBdr>
        <w:spacing w:line="360" w:lineRule="auto"/>
        <w:ind w:left="360" w:right="7"/>
        <w:jc w:val="both"/>
        <w:rPr>
          <w:rFonts w:ascii="Palatino Linotype" w:eastAsia="Palatino Linotype" w:hAnsi="Palatino Linotype" w:cs="Palatino Linotype"/>
          <w:color w:val="000000"/>
        </w:rPr>
      </w:pPr>
    </w:p>
    <w:p w14:paraId="737D2493" w14:textId="77777777" w:rsidR="00B8018A" w:rsidRPr="00FD489D" w:rsidRDefault="00FA493A">
      <w:pPr>
        <w:pBdr>
          <w:top w:val="nil"/>
          <w:left w:val="nil"/>
          <w:bottom w:val="nil"/>
          <w:right w:val="nil"/>
          <w:between w:val="nil"/>
        </w:pBdr>
        <w:ind w:left="1134"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i/>
          <w:color w:val="000000"/>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737D2494" w14:textId="77777777" w:rsidR="00B8018A" w:rsidRPr="00FD489D" w:rsidRDefault="00FA493A">
      <w:pPr>
        <w:pBdr>
          <w:top w:val="nil"/>
          <w:left w:val="nil"/>
          <w:bottom w:val="nil"/>
          <w:right w:val="nil"/>
          <w:between w:val="nil"/>
        </w:pBdr>
        <w:ind w:left="1134"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i/>
          <w:color w:val="000000"/>
        </w:rPr>
        <w:t>(I-VII)</w:t>
      </w:r>
    </w:p>
    <w:p w14:paraId="737D2495" w14:textId="77777777" w:rsidR="00B8018A" w:rsidRPr="00FD489D" w:rsidRDefault="00FA493A">
      <w:pPr>
        <w:pBdr>
          <w:top w:val="nil"/>
          <w:left w:val="nil"/>
          <w:bottom w:val="nil"/>
          <w:right w:val="nil"/>
          <w:between w:val="nil"/>
        </w:pBdr>
        <w:ind w:left="1134"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i/>
          <w:color w:val="000000"/>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737D2496" w14:textId="77777777" w:rsidR="00B8018A" w:rsidRPr="00FD489D" w:rsidRDefault="00FA493A">
      <w:pPr>
        <w:pBdr>
          <w:top w:val="nil"/>
          <w:left w:val="nil"/>
          <w:bottom w:val="nil"/>
          <w:right w:val="nil"/>
          <w:between w:val="nil"/>
        </w:pBdr>
        <w:ind w:left="1134" w:right="7"/>
        <w:jc w:val="both"/>
        <w:rPr>
          <w:rFonts w:ascii="Palatino Linotype" w:eastAsia="Palatino Linotype" w:hAnsi="Palatino Linotype" w:cs="Palatino Linotype"/>
          <w:i/>
          <w:color w:val="000000"/>
        </w:rPr>
      </w:pPr>
      <w:r w:rsidRPr="00FD489D">
        <w:rPr>
          <w:rFonts w:ascii="Palatino Linotype" w:eastAsia="Palatino Linotype" w:hAnsi="Palatino Linotype" w:cs="Palatino Linotype"/>
          <w:i/>
          <w:color w:val="000000"/>
        </w:rPr>
        <w:t>(LII)</w:t>
      </w:r>
    </w:p>
    <w:p w14:paraId="737D2497" w14:textId="77777777" w:rsidR="00B8018A" w:rsidRPr="00FD489D" w:rsidRDefault="00B8018A">
      <w:pPr>
        <w:pBdr>
          <w:top w:val="nil"/>
          <w:left w:val="nil"/>
          <w:bottom w:val="nil"/>
          <w:right w:val="nil"/>
          <w:between w:val="nil"/>
        </w:pBdr>
        <w:spacing w:line="360" w:lineRule="auto"/>
        <w:ind w:right="7"/>
        <w:jc w:val="both"/>
        <w:rPr>
          <w:rFonts w:ascii="Palatino Linotype" w:eastAsia="Palatino Linotype" w:hAnsi="Palatino Linotype" w:cs="Palatino Linotype"/>
          <w:b/>
          <w:i/>
          <w:color w:val="000000"/>
        </w:rPr>
      </w:pPr>
    </w:p>
    <w:p w14:paraId="737D2498"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 xml:space="preserve">Seguidamente,  se observa que de la información </w:t>
      </w:r>
      <w:r w:rsidRPr="00FD489D">
        <w:rPr>
          <w:rFonts w:ascii="Palatino Linotype" w:eastAsia="Palatino Linotype" w:hAnsi="Palatino Linotype" w:cs="Palatino Linotype"/>
        </w:rPr>
        <w:t>entregada</w:t>
      </w:r>
      <w:r w:rsidRPr="00FD489D">
        <w:rPr>
          <w:rFonts w:ascii="Palatino Linotype" w:eastAsia="Palatino Linotype" w:hAnsi="Palatino Linotype" w:cs="Palatino Linotype"/>
          <w:color w:val="000000"/>
        </w:rPr>
        <w:t xml:space="preserve"> por parte del </w:t>
      </w:r>
      <w:r w:rsidRPr="00FD489D">
        <w:rPr>
          <w:rFonts w:ascii="Palatino Linotype" w:eastAsia="Palatino Linotype" w:hAnsi="Palatino Linotype" w:cs="Palatino Linotype"/>
          <w:b/>
          <w:color w:val="000000"/>
        </w:rPr>
        <w:t xml:space="preserve">SUJETO OBLIGADO </w:t>
      </w:r>
      <w:r w:rsidRPr="00FD489D">
        <w:rPr>
          <w:rFonts w:ascii="Palatino Linotype" w:eastAsia="Palatino Linotype" w:hAnsi="Palatino Linotype" w:cs="Palatino Linotype"/>
          <w:color w:val="000000"/>
        </w:rPr>
        <w:t xml:space="preserve">hizo falta que </w:t>
      </w:r>
      <w:r w:rsidRPr="00FD489D">
        <w:rPr>
          <w:rFonts w:ascii="Palatino Linotype" w:eastAsia="Palatino Linotype" w:hAnsi="Palatino Linotype" w:cs="Palatino Linotype"/>
        </w:rPr>
        <w:t>entregará</w:t>
      </w:r>
      <w:r w:rsidRPr="00FD489D">
        <w:rPr>
          <w:rFonts w:ascii="Palatino Linotype" w:eastAsia="Palatino Linotype" w:hAnsi="Palatino Linotype" w:cs="Palatino Linotype"/>
          <w:color w:val="000000"/>
        </w:rPr>
        <w:t xml:space="preserve"> el Acta del Comité de Transparencia donde </w:t>
      </w:r>
      <w:r w:rsidRPr="00FD489D">
        <w:rPr>
          <w:rFonts w:ascii="Palatino Linotype" w:eastAsia="Palatino Linotype" w:hAnsi="Palatino Linotype" w:cs="Palatino Linotype"/>
        </w:rPr>
        <w:t>aprobará</w:t>
      </w:r>
      <w:r w:rsidRPr="00FD489D">
        <w:rPr>
          <w:rFonts w:ascii="Palatino Linotype" w:eastAsia="Palatino Linotype" w:hAnsi="Palatino Linotype" w:cs="Palatino Linotype"/>
          <w:color w:val="000000"/>
        </w:rPr>
        <w:t xml:space="preserve"> la clasificación de los datos personales del servidor público referido en la solicitud de información. </w:t>
      </w:r>
    </w:p>
    <w:p w14:paraId="737D2499" w14:textId="77777777" w:rsidR="00B8018A" w:rsidRPr="00FD489D" w:rsidRDefault="00B8018A">
      <w:pPr>
        <w:pBdr>
          <w:top w:val="nil"/>
          <w:left w:val="nil"/>
          <w:bottom w:val="nil"/>
          <w:right w:val="nil"/>
          <w:between w:val="nil"/>
        </w:pBdr>
        <w:spacing w:line="360" w:lineRule="auto"/>
        <w:ind w:right="7"/>
        <w:jc w:val="both"/>
        <w:rPr>
          <w:rFonts w:ascii="Palatino Linotype" w:eastAsia="Palatino Linotype" w:hAnsi="Palatino Linotype" w:cs="Palatino Linotype"/>
          <w:color w:val="000000"/>
        </w:rPr>
      </w:pPr>
    </w:p>
    <w:p w14:paraId="737D249A"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 xml:space="preserve">En ese sentido, se debe de indicar que para los efectos de la elaboración de la versión pública se deberá observar lo dispuesto por los artículos 3 fracciones IX, XX, XXI, XXXII y XLV; 6, 49 fracción VIII, 91, 137, 143 </w:t>
      </w:r>
      <w:r w:rsidRPr="00FD489D">
        <w:rPr>
          <w:rFonts w:ascii="Palatino Linotype" w:eastAsia="Palatino Linotype" w:hAnsi="Palatino Linotype" w:cs="Palatino Linotype"/>
          <w:color w:val="000000"/>
        </w:rPr>
        <w:t>Fracción</w:t>
      </w:r>
      <w:r w:rsidRPr="00FD489D">
        <w:rPr>
          <w:rFonts w:ascii="Palatino Linotype" w:eastAsia="Palatino Linotype" w:hAnsi="Palatino Linotype" w:cs="Palatino Linotype"/>
        </w:rPr>
        <w:t xml:space="preserve"> I, de la Ley de Transparencia y Acceso a la Información Pública del Estado de México y Municipios vigente, que establecen:</w:t>
      </w:r>
    </w:p>
    <w:p w14:paraId="737D249B" w14:textId="77777777" w:rsidR="00B8018A" w:rsidRPr="00FD489D" w:rsidRDefault="00FA493A">
      <w:pPr>
        <w:ind w:left="1134" w:right="7"/>
        <w:jc w:val="both"/>
        <w:rPr>
          <w:rFonts w:ascii="Palatino Linotype" w:eastAsia="Palatino Linotype" w:hAnsi="Palatino Linotype" w:cs="Palatino Linotype"/>
          <w:b/>
          <w:i/>
        </w:rPr>
      </w:pPr>
      <w:r w:rsidRPr="00FD489D">
        <w:rPr>
          <w:rFonts w:ascii="Palatino Linotype" w:eastAsia="Palatino Linotype" w:hAnsi="Palatino Linotype" w:cs="Palatino Linotype"/>
          <w:b/>
          <w:i/>
        </w:rPr>
        <w:t xml:space="preserve"> “Artículo 3. Para los efectos de la presente Ley se entenderá por:</w:t>
      </w:r>
    </w:p>
    <w:p w14:paraId="737D249C" w14:textId="77777777" w:rsidR="00B8018A" w:rsidRPr="00FD489D" w:rsidRDefault="00FA493A">
      <w:pPr>
        <w:ind w:left="1134"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lastRenderedPageBreak/>
        <w:t>IX. Datos personales:</w:t>
      </w:r>
      <w:r w:rsidRPr="00FD489D">
        <w:rPr>
          <w:rFonts w:ascii="Palatino Linotype" w:eastAsia="Palatino Linotype" w:hAnsi="Palatino Linotype" w:cs="Palatino Linotype"/>
          <w:i/>
        </w:rPr>
        <w:t xml:space="preserve"> </w:t>
      </w:r>
      <w:r w:rsidRPr="00FD489D">
        <w:rPr>
          <w:rFonts w:ascii="Palatino Linotype" w:eastAsia="Palatino Linotype" w:hAnsi="Palatino Linotype" w:cs="Palatino Linotype"/>
          <w:b/>
          <w:i/>
        </w:rPr>
        <w:t>La información concerniente a una persona, identificada o identificable</w:t>
      </w:r>
      <w:r w:rsidRPr="00FD489D">
        <w:rPr>
          <w:rFonts w:ascii="Palatino Linotype" w:eastAsia="Palatino Linotype" w:hAnsi="Palatino Linotype" w:cs="Palatino Linotype"/>
          <w:i/>
        </w:rPr>
        <w:t xml:space="preserve"> según lo dispuesto por la Ley de Protección de Datos Personales del Estado de México;</w:t>
      </w:r>
    </w:p>
    <w:p w14:paraId="737D249D" w14:textId="77777777" w:rsidR="00B8018A" w:rsidRPr="00FD489D" w:rsidRDefault="00FA493A">
      <w:pPr>
        <w:ind w:left="1134"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t>XX. Información clasificada:</w:t>
      </w:r>
      <w:r w:rsidRPr="00FD489D">
        <w:rPr>
          <w:rFonts w:ascii="Palatino Linotype" w:eastAsia="Palatino Linotype" w:hAnsi="Palatino Linotype" w:cs="Palatino Linotype"/>
          <w:i/>
        </w:rPr>
        <w:t xml:space="preserve"> Aquella considerada por la presente Ley como reservada o confidencial;</w:t>
      </w:r>
    </w:p>
    <w:p w14:paraId="737D249E" w14:textId="77777777" w:rsidR="00B8018A" w:rsidRPr="00FD489D" w:rsidRDefault="00FA493A">
      <w:pPr>
        <w:ind w:left="1134"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t>XXXII. Protección de Datos Personales:</w:t>
      </w:r>
      <w:r w:rsidRPr="00FD489D">
        <w:rPr>
          <w:rFonts w:ascii="Palatino Linotype" w:eastAsia="Palatino Linotype" w:hAnsi="Palatino Linotype" w:cs="Palatino Linotype"/>
          <w:i/>
        </w:rPr>
        <w:t xml:space="preserve"> Derecho humano que tutela la privacidad de datos personales en poder de los sujetos obligados y sujetos particulares;</w:t>
      </w:r>
    </w:p>
    <w:p w14:paraId="737D249F" w14:textId="77777777" w:rsidR="00B8018A" w:rsidRPr="00FD489D" w:rsidRDefault="00FA493A">
      <w:pPr>
        <w:ind w:left="1134"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t>XLV. Versión pública</w:t>
      </w:r>
      <w:r w:rsidRPr="00FD489D">
        <w:rPr>
          <w:rFonts w:ascii="Palatino Linotype" w:eastAsia="Palatino Linotype" w:hAnsi="Palatino Linotype" w:cs="Palatino Linotype"/>
          <w:i/>
        </w:rPr>
        <w:t>: Documento en el que se elimine, suprime o borra la información clasificada como reservada o confidencial para permitir su acceso.”</w:t>
      </w:r>
    </w:p>
    <w:p w14:paraId="737D24A0" w14:textId="77777777" w:rsidR="00B8018A" w:rsidRPr="00FD489D" w:rsidRDefault="00B8018A">
      <w:pPr>
        <w:ind w:left="1134" w:right="7"/>
        <w:jc w:val="both"/>
        <w:rPr>
          <w:rFonts w:ascii="Palatino Linotype" w:eastAsia="Palatino Linotype" w:hAnsi="Palatino Linotype" w:cs="Palatino Linotype"/>
          <w:i/>
        </w:rPr>
      </w:pPr>
    </w:p>
    <w:p w14:paraId="737D24A1" w14:textId="77777777" w:rsidR="00B8018A" w:rsidRPr="00FD489D" w:rsidRDefault="00FA493A">
      <w:pPr>
        <w:ind w:left="1134"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t>“Artículo 6.</w:t>
      </w:r>
      <w:r w:rsidRPr="00FD489D">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737D24A2" w14:textId="77777777" w:rsidR="00B8018A" w:rsidRPr="00FD489D" w:rsidRDefault="00B8018A">
      <w:pPr>
        <w:ind w:left="1134" w:right="7"/>
        <w:jc w:val="both"/>
        <w:rPr>
          <w:rFonts w:ascii="Palatino Linotype" w:eastAsia="Palatino Linotype" w:hAnsi="Palatino Linotype" w:cs="Palatino Linotype"/>
          <w:i/>
        </w:rPr>
      </w:pPr>
    </w:p>
    <w:p w14:paraId="737D24A3" w14:textId="77777777" w:rsidR="00B8018A" w:rsidRPr="00FD489D" w:rsidRDefault="00FA493A">
      <w:pPr>
        <w:ind w:left="1134"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 </w:t>
      </w:r>
      <w:r w:rsidRPr="00FD489D">
        <w:rPr>
          <w:rFonts w:ascii="Palatino Linotype" w:eastAsia="Palatino Linotype" w:hAnsi="Palatino Linotype" w:cs="Palatino Linotype"/>
          <w:b/>
          <w:i/>
        </w:rPr>
        <w:t>Artículo 49.</w:t>
      </w:r>
      <w:r w:rsidRPr="00FD489D">
        <w:rPr>
          <w:rFonts w:ascii="Palatino Linotype" w:eastAsia="Palatino Linotype" w:hAnsi="Palatino Linotype" w:cs="Palatino Linotype"/>
          <w:i/>
        </w:rPr>
        <w:t> Los Comités de Transparencia tendrán las siguientes atribuciones:</w:t>
      </w:r>
    </w:p>
    <w:p w14:paraId="737D24A4" w14:textId="77777777" w:rsidR="00B8018A" w:rsidRPr="00FD489D" w:rsidRDefault="00FA493A">
      <w:pPr>
        <w:ind w:left="1134"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w:t>
      </w:r>
    </w:p>
    <w:p w14:paraId="737D24A5" w14:textId="77777777" w:rsidR="00B8018A" w:rsidRPr="00FD489D" w:rsidRDefault="00FA493A">
      <w:pPr>
        <w:ind w:left="1134"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t>VIII</w:t>
      </w:r>
      <w:r w:rsidRPr="00FD489D">
        <w:rPr>
          <w:rFonts w:ascii="Palatino Linotype" w:eastAsia="Palatino Linotype" w:hAnsi="Palatino Linotype" w:cs="Palatino Linotype"/>
          <w:i/>
        </w:rPr>
        <w:t>. Aprobar, modificar o revocar la clasificación de la información;</w:t>
      </w:r>
    </w:p>
    <w:p w14:paraId="737D24A6" w14:textId="77777777" w:rsidR="00B8018A" w:rsidRPr="00FD489D" w:rsidRDefault="00FA493A">
      <w:pPr>
        <w:ind w:left="1134"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w:t>
      </w:r>
    </w:p>
    <w:p w14:paraId="737D24A7" w14:textId="77777777" w:rsidR="00B8018A" w:rsidRPr="00FD489D" w:rsidRDefault="00FA493A">
      <w:pPr>
        <w:ind w:left="1134"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t xml:space="preserve">Artículo 91. </w:t>
      </w:r>
      <w:r w:rsidRPr="00FD489D">
        <w:rPr>
          <w:rFonts w:ascii="Palatino Linotype" w:eastAsia="Palatino Linotype" w:hAnsi="Palatino Linotype" w:cs="Palatino Linotype"/>
          <w:i/>
        </w:rPr>
        <w:t>El acceso a la información pública será restringido excepcionalmente, cuando ésta sea clasificada como reservada o confidencial.</w:t>
      </w:r>
    </w:p>
    <w:p w14:paraId="737D24A8" w14:textId="77777777" w:rsidR="00B8018A" w:rsidRPr="00FD489D" w:rsidRDefault="00B8018A">
      <w:pPr>
        <w:ind w:left="1134" w:right="7"/>
        <w:jc w:val="both"/>
        <w:rPr>
          <w:rFonts w:ascii="Palatino Linotype" w:eastAsia="Palatino Linotype" w:hAnsi="Palatino Linotype" w:cs="Palatino Linotype"/>
          <w:i/>
        </w:rPr>
      </w:pPr>
    </w:p>
    <w:p w14:paraId="737D24A9" w14:textId="77777777" w:rsidR="00B8018A" w:rsidRPr="00FD489D" w:rsidRDefault="00FA493A">
      <w:pPr>
        <w:ind w:left="1134" w:right="7"/>
        <w:jc w:val="both"/>
        <w:rPr>
          <w:rFonts w:ascii="Palatino Linotype" w:eastAsia="Palatino Linotype" w:hAnsi="Palatino Linotype" w:cs="Palatino Linotype"/>
          <w:b/>
          <w:i/>
        </w:rPr>
      </w:pPr>
      <w:r w:rsidRPr="00FD489D">
        <w:rPr>
          <w:rFonts w:ascii="Palatino Linotype" w:eastAsia="Palatino Linotype" w:hAnsi="Palatino Linotype" w:cs="Palatino Linotype"/>
          <w:b/>
          <w:i/>
        </w:rPr>
        <w:t>“Artículo 137.</w:t>
      </w:r>
      <w:r w:rsidRPr="00FD489D">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37D24AA" w14:textId="77777777" w:rsidR="00B8018A" w:rsidRPr="00FD489D" w:rsidRDefault="00B8018A">
      <w:pPr>
        <w:ind w:left="1134" w:right="7"/>
        <w:jc w:val="both"/>
        <w:rPr>
          <w:rFonts w:ascii="Palatino Linotype" w:eastAsia="Palatino Linotype" w:hAnsi="Palatino Linotype" w:cs="Palatino Linotype"/>
          <w:b/>
          <w:i/>
        </w:rPr>
      </w:pPr>
    </w:p>
    <w:p w14:paraId="737D24AB" w14:textId="77777777" w:rsidR="00B8018A" w:rsidRPr="00FD489D" w:rsidRDefault="00FA493A">
      <w:pPr>
        <w:ind w:left="1134"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t>“Artículo 143</w:t>
      </w:r>
      <w:r w:rsidRPr="00FD489D">
        <w:rPr>
          <w:rFonts w:ascii="Palatino Linotype" w:eastAsia="Palatino Linotype" w:hAnsi="Palatino Linotype" w:cs="Palatino Linotype"/>
          <w:i/>
        </w:rPr>
        <w:t>. Para los efectos de esta Ley se considera información confidencial, la clasificada como tal, de manera permanente, por su naturaleza, cuando:</w:t>
      </w:r>
    </w:p>
    <w:p w14:paraId="737D24AC" w14:textId="77777777" w:rsidR="00B8018A" w:rsidRPr="00FD489D" w:rsidRDefault="00FA493A">
      <w:pPr>
        <w:ind w:left="1134"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t>I.</w:t>
      </w:r>
      <w:r w:rsidRPr="00FD489D">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737D24AD" w14:textId="77777777" w:rsidR="00B8018A" w:rsidRPr="00FD489D" w:rsidRDefault="00FA493A">
      <w:pPr>
        <w:ind w:left="1134"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lastRenderedPageBreak/>
        <w:t>II. Los secretos bancario, fiduciario, industrial, comercial, fiscal, bursátil y postal, cuya titularidad corresponda a particulares, sujetos de derecho internacional o a sujetos obligados cuando no involucren el ejercicio de recursos públicos; y</w:t>
      </w:r>
    </w:p>
    <w:p w14:paraId="737D24AE" w14:textId="77777777" w:rsidR="00B8018A" w:rsidRPr="00FD489D" w:rsidRDefault="00FA493A">
      <w:pPr>
        <w:ind w:left="1134"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737D24AF" w14:textId="77777777" w:rsidR="00B8018A" w:rsidRPr="00FD489D" w:rsidRDefault="00B8018A">
      <w:pPr>
        <w:spacing w:line="360" w:lineRule="auto"/>
        <w:ind w:left="993" w:right="7"/>
        <w:jc w:val="both"/>
        <w:rPr>
          <w:rFonts w:ascii="Palatino Linotype" w:eastAsia="Palatino Linotype" w:hAnsi="Palatino Linotype" w:cs="Palatino Linotype"/>
          <w:i/>
        </w:rPr>
      </w:pPr>
    </w:p>
    <w:p w14:paraId="737D24B0"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737D24B1" w14:textId="77777777" w:rsidR="00B8018A" w:rsidRPr="00FD489D" w:rsidRDefault="00B8018A">
      <w:pPr>
        <w:pBdr>
          <w:top w:val="nil"/>
          <w:left w:val="nil"/>
          <w:bottom w:val="nil"/>
          <w:right w:val="nil"/>
          <w:between w:val="nil"/>
        </w:pBdr>
        <w:spacing w:line="360" w:lineRule="auto"/>
        <w:ind w:left="360" w:right="7"/>
        <w:jc w:val="both"/>
        <w:rPr>
          <w:rFonts w:ascii="Palatino Linotype" w:eastAsia="Palatino Linotype" w:hAnsi="Palatino Linotype" w:cs="Palatino Linotype"/>
        </w:rPr>
      </w:pPr>
    </w:p>
    <w:p w14:paraId="737D24B2"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37D24B3"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 xml:space="preserve">En ese contexto, la clasificación de la información no opera con la simple supresión de datos que se haga en los documentos de que se trate o con la simple decisión que tome </w:t>
      </w:r>
      <w:r w:rsidRPr="00FD489D">
        <w:rPr>
          <w:rFonts w:ascii="Palatino Linotype" w:eastAsia="Palatino Linotype" w:hAnsi="Palatino Linotype" w:cs="Palatino Linotype"/>
        </w:rPr>
        <w:lastRenderedPageBreak/>
        <w:t>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737D24B4" w14:textId="77777777" w:rsidR="00B8018A" w:rsidRPr="00FD489D" w:rsidRDefault="00FA493A">
      <w:pPr>
        <w:ind w:left="1134"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t>“Artículo 49.</w:t>
      </w:r>
      <w:r w:rsidRPr="00FD489D">
        <w:rPr>
          <w:rFonts w:ascii="Palatino Linotype" w:eastAsia="Palatino Linotype" w:hAnsi="Palatino Linotype" w:cs="Palatino Linotype"/>
          <w:i/>
        </w:rPr>
        <w:t xml:space="preserve"> </w:t>
      </w:r>
      <w:r w:rsidRPr="00FD489D">
        <w:rPr>
          <w:rFonts w:ascii="Palatino Linotype" w:eastAsia="Palatino Linotype" w:hAnsi="Palatino Linotype" w:cs="Palatino Linotype"/>
          <w:b/>
          <w:i/>
        </w:rPr>
        <w:t>Los Comités de Transparencia</w:t>
      </w:r>
      <w:r w:rsidRPr="00FD489D">
        <w:rPr>
          <w:rFonts w:ascii="Palatino Linotype" w:eastAsia="Palatino Linotype" w:hAnsi="Palatino Linotype" w:cs="Palatino Linotype"/>
          <w:i/>
        </w:rPr>
        <w:t xml:space="preserve"> tendrán las siguientes atribuciones:</w:t>
      </w:r>
    </w:p>
    <w:p w14:paraId="737D24B5" w14:textId="77777777" w:rsidR="00B8018A" w:rsidRPr="00FD489D" w:rsidRDefault="00FA493A">
      <w:pPr>
        <w:ind w:left="1134"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t>VIII. Aprobar, modificar o revocar la clasificación de la información</w:t>
      </w:r>
      <w:r w:rsidRPr="00FD489D">
        <w:rPr>
          <w:rFonts w:ascii="Palatino Linotype" w:eastAsia="Palatino Linotype" w:hAnsi="Palatino Linotype" w:cs="Palatino Linotype"/>
          <w:i/>
        </w:rPr>
        <w:t>…”</w:t>
      </w:r>
    </w:p>
    <w:p w14:paraId="737D24B6" w14:textId="77777777" w:rsidR="00B8018A" w:rsidRPr="00FD489D" w:rsidRDefault="00FA493A">
      <w:pPr>
        <w:ind w:left="1134"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w:t>
      </w:r>
      <w:r w:rsidRPr="00FD489D">
        <w:rPr>
          <w:rFonts w:ascii="Palatino Linotype" w:eastAsia="Palatino Linotype" w:hAnsi="Palatino Linotype" w:cs="Palatino Linotype"/>
          <w:b/>
          <w:i/>
        </w:rPr>
        <w:t>Artículo 53.</w:t>
      </w:r>
      <w:r w:rsidRPr="00FD489D">
        <w:rPr>
          <w:rFonts w:ascii="Palatino Linotype" w:eastAsia="Palatino Linotype" w:hAnsi="Palatino Linotype" w:cs="Palatino Linotype"/>
          <w:i/>
        </w:rPr>
        <w:t xml:space="preserve"> Las </w:t>
      </w:r>
      <w:r w:rsidRPr="00FD489D">
        <w:rPr>
          <w:rFonts w:ascii="Palatino Linotype" w:eastAsia="Palatino Linotype" w:hAnsi="Palatino Linotype" w:cs="Palatino Linotype"/>
          <w:b/>
          <w:i/>
        </w:rPr>
        <w:t>Unidades de Transparencia</w:t>
      </w:r>
      <w:r w:rsidRPr="00FD489D">
        <w:rPr>
          <w:rFonts w:ascii="Palatino Linotype" w:eastAsia="Palatino Linotype" w:hAnsi="Palatino Linotype" w:cs="Palatino Linotype"/>
          <w:i/>
        </w:rPr>
        <w:t xml:space="preserve"> tendrán las siguientes </w:t>
      </w:r>
      <w:r w:rsidRPr="00FD489D">
        <w:rPr>
          <w:rFonts w:ascii="Palatino Linotype" w:eastAsia="Palatino Linotype" w:hAnsi="Palatino Linotype" w:cs="Palatino Linotype"/>
          <w:b/>
          <w:i/>
        </w:rPr>
        <w:t>funciones</w:t>
      </w:r>
      <w:r w:rsidRPr="00FD489D">
        <w:rPr>
          <w:rFonts w:ascii="Palatino Linotype" w:eastAsia="Palatino Linotype" w:hAnsi="Palatino Linotype" w:cs="Palatino Linotype"/>
          <w:i/>
        </w:rPr>
        <w:t>:</w:t>
      </w:r>
    </w:p>
    <w:p w14:paraId="737D24B7" w14:textId="77777777" w:rsidR="00B8018A" w:rsidRPr="00FD489D" w:rsidRDefault="00FA493A">
      <w:pPr>
        <w:ind w:left="1134"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t>X. Presentar ante el Comité, el proyecto de clasificación de información</w:t>
      </w:r>
      <w:r w:rsidRPr="00FD489D">
        <w:rPr>
          <w:rFonts w:ascii="Palatino Linotype" w:eastAsia="Palatino Linotype" w:hAnsi="Palatino Linotype" w:cs="Palatino Linotype"/>
          <w:i/>
        </w:rPr>
        <w:t xml:space="preserve">…” </w:t>
      </w:r>
    </w:p>
    <w:p w14:paraId="737D24B8" w14:textId="77777777" w:rsidR="00B8018A" w:rsidRPr="00FD489D" w:rsidRDefault="00FA493A">
      <w:pPr>
        <w:ind w:left="1134"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t>“Artículo 59.</w:t>
      </w:r>
      <w:r w:rsidRPr="00FD489D">
        <w:rPr>
          <w:rFonts w:ascii="Palatino Linotype" w:eastAsia="Palatino Linotype" w:hAnsi="Palatino Linotype" w:cs="Palatino Linotype"/>
          <w:i/>
        </w:rPr>
        <w:t xml:space="preserve"> Los </w:t>
      </w:r>
      <w:r w:rsidRPr="00FD489D">
        <w:rPr>
          <w:rFonts w:ascii="Palatino Linotype" w:eastAsia="Palatino Linotype" w:hAnsi="Palatino Linotype" w:cs="Palatino Linotype"/>
          <w:b/>
          <w:i/>
        </w:rPr>
        <w:t>servidores públicos habilitados</w:t>
      </w:r>
      <w:r w:rsidRPr="00FD489D">
        <w:rPr>
          <w:rFonts w:ascii="Palatino Linotype" w:eastAsia="Palatino Linotype" w:hAnsi="Palatino Linotype" w:cs="Palatino Linotype"/>
          <w:i/>
        </w:rPr>
        <w:t xml:space="preserve"> tendrán las </w:t>
      </w:r>
      <w:r w:rsidRPr="00FD489D">
        <w:rPr>
          <w:rFonts w:ascii="Palatino Linotype" w:eastAsia="Palatino Linotype" w:hAnsi="Palatino Linotype" w:cs="Palatino Linotype"/>
          <w:b/>
          <w:i/>
        </w:rPr>
        <w:t>funciones</w:t>
      </w:r>
      <w:r w:rsidRPr="00FD489D">
        <w:rPr>
          <w:rFonts w:ascii="Palatino Linotype" w:eastAsia="Palatino Linotype" w:hAnsi="Palatino Linotype" w:cs="Palatino Linotype"/>
          <w:i/>
        </w:rPr>
        <w:t xml:space="preserve"> siguientes:</w:t>
      </w:r>
    </w:p>
    <w:p w14:paraId="737D24B9" w14:textId="77777777" w:rsidR="00B8018A" w:rsidRPr="00FD489D" w:rsidRDefault="00FA493A">
      <w:pPr>
        <w:ind w:left="1134"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t>V. Integrar y presentar al responsable de la Unidad de Transparencia la propuesta de clasificación de información</w:t>
      </w:r>
      <w:r w:rsidRPr="00FD489D">
        <w:rPr>
          <w:rFonts w:ascii="Palatino Linotype" w:eastAsia="Palatino Linotype" w:hAnsi="Palatino Linotype" w:cs="Palatino Linotype"/>
          <w:i/>
        </w:rPr>
        <w:t>, la cual tendrá los fundamentos y argumentos en que se basa dicha propuesta…”</w:t>
      </w:r>
    </w:p>
    <w:p w14:paraId="737D24BA" w14:textId="77777777" w:rsidR="00B8018A" w:rsidRPr="00FD489D" w:rsidRDefault="00B8018A">
      <w:pPr>
        <w:ind w:left="1134" w:right="7"/>
        <w:jc w:val="both"/>
        <w:rPr>
          <w:rFonts w:ascii="Palatino Linotype" w:eastAsia="Palatino Linotype" w:hAnsi="Palatino Linotype" w:cs="Palatino Linotype"/>
          <w:i/>
        </w:rPr>
      </w:pPr>
    </w:p>
    <w:p w14:paraId="737D24BB"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37D24BC" w14:textId="77777777" w:rsidR="00B8018A" w:rsidRPr="00FD489D" w:rsidRDefault="00B8018A">
      <w:pPr>
        <w:spacing w:line="360" w:lineRule="auto"/>
        <w:ind w:right="7"/>
        <w:jc w:val="both"/>
        <w:rPr>
          <w:rFonts w:ascii="Palatino Linotype" w:eastAsia="Palatino Linotype" w:hAnsi="Palatino Linotype" w:cs="Palatino Linotype"/>
        </w:rPr>
      </w:pPr>
    </w:p>
    <w:p w14:paraId="737D24BD"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737D24BE" w14:textId="77777777" w:rsidR="00B8018A" w:rsidRPr="00FD489D" w:rsidRDefault="00FA493A">
      <w:pPr>
        <w:ind w:left="1134"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lastRenderedPageBreak/>
        <w:t>“</w:t>
      </w:r>
      <w:r w:rsidRPr="00FD489D">
        <w:rPr>
          <w:rFonts w:ascii="Palatino Linotype" w:eastAsia="Palatino Linotype" w:hAnsi="Palatino Linotype" w:cs="Palatino Linotype"/>
          <w:b/>
          <w:i/>
        </w:rPr>
        <w:t>Artículo 149.</w:t>
      </w:r>
      <w:r w:rsidRPr="00FD489D">
        <w:rPr>
          <w:rFonts w:ascii="Palatino Linotype" w:eastAsia="Palatino Linotype" w:hAnsi="Palatino Linotype" w:cs="Palatino Linotype"/>
          <w:i/>
        </w:rPr>
        <w:t xml:space="preserve"> El </w:t>
      </w:r>
      <w:r w:rsidRPr="00FD489D">
        <w:rPr>
          <w:rFonts w:ascii="Palatino Linotype" w:eastAsia="Palatino Linotype" w:hAnsi="Palatino Linotype" w:cs="Palatino Linotype"/>
          <w:b/>
          <w:i/>
        </w:rPr>
        <w:t>acuerdo que clasifique la información como confidencial</w:t>
      </w:r>
      <w:r w:rsidRPr="00FD489D">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737D24BF" w14:textId="77777777" w:rsidR="00B8018A" w:rsidRPr="00FD489D" w:rsidRDefault="00B8018A">
      <w:pPr>
        <w:spacing w:line="360" w:lineRule="auto"/>
        <w:ind w:left="993" w:right="7"/>
        <w:jc w:val="both"/>
        <w:rPr>
          <w:rFonts w:ascii="Palatino Linotype" w:eastAsia="Palatino Linotype" w:hAnsi="Palatino Linotype" w:cs="Palatino Linotype"/>
          <w:i/>
        </w:rPr>
      </w:pPr>
    </w:p>
    <w:p w14:paraId="737D24C0"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Es decir, el Sujeto Obligado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737D24C1" w14:textId="77777777" w:rsidR="00B8018A" w:rsidRPr="00FD489D" w:rsidRDefault="00B8018A">
      <w:pPr>
        <w:pBdr>
          <w:top w:val="nil"/>
          <w:left w:val="nil"/>
          <w:bottom w:val="nil"/>
          <w:right w:val="nil"/>
          <w:between w:val="nil"/>
        </w:pBdr>
        <w:spacing w:line="360" w:lineRule="auto"/>
        <w:ind w:left="360" w:right="7"/>
        <w:jc w:val="both"/>
        <w:rPr>
          <w:rFonts w:ascii="Palatino Linotype" w:eastAsia="Palatino Linotype" w:hAnsi="Palatino Linotype" w:cs="Palatino Linotype"/>
        </w:rPr>
      </w:pPr>
    </w:p>
    <w:p w14:paraId="737D24C2"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b/>
        </w:rPr>
      </w:pPr>
      <w:r w:rsidRPr="00FD489D">
        <w:rPr>
          <w:rFonts w:ascii="Palatino Linotype" w:eastAsia="Palatino Linotype" w:hAnsi="Palatino Linotype" w:cs="Palatino Linotype"/>
        </w:rPr>
        <w:t xml:space="preserve">En el caso específico, los recibos de nómina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FD489D">
        <w:rPr>
          <w:rFonts w:ascii="Palatino Linotype" w:eastAsia="Palatino Linotype" w:hAnsi="Palatino Linotype" w:cs="Palatino Linotype"/>
          <w:b/>
        </w:rPr>
        <w:t>Registro Federal de Contribuyentes</w:t>
      </w:r>
      <w:r w:rsidRPr="00FD489D">
        <w:rPr>
          <w:rFonts w:ascii="Palatino Linotype" w:eastAsia="Palatino Linotype" w:hAnsi="Palatino Linotype" w:cs="Palatino Linotype"/>
        </w:rPr>
        <w:t xml:space="preserve"> (RFC), la </w:t>
      </w:r>
      <w:r w:rsidRPr="00FD489D">
        <w:rPr>
          <w:rFonts w:ascii="Palatino Linotype" w:eastAsia="Palatino Linotype" w:hAnsi="Palatino Linotype" w:cs="Palatino Linotype"/>
          <w:b/>
        </w:rPr>
        <w:t>Clave Única de Registro de Población</w:t>
      </w:r>
      <w:r w:rsidRPr="00FD489D">
        <w:rPr>
          <w:rFonts w:ascii="Palatino Linotype" w:eastAsia="Palatino Linotype" w:hAnsi="Palatino Linotype" w:cs="Palatino Linotype"/>
        </w:rPr>
        <w:t xml:space="preserve"> (CURP), la </w:t>
      </w:r>
      <w:r w:rsidRPr="00FD489D">
        <w:rPr>
          <w:rFonts w:ascii="Palatino Linotype" w:eastAsia="Palatino Linotype" w:hAnsi="Palatino Linotype" w:cs="Palatino Linotype"/>
          <w:b/>
        </w:rPr>
        <w:t>Clave de cualquier tipo de seguridad social</w:t>
      </w:r>
      <w:r w:rsidRPr="00FD489D">
        <w:rPr>
          <w:rFonts w:ascii="Palatino Linotype" w:eastAsia="Palatino Linotype" w:hAnsi="Palatino Linotype" w:cs="Palatino Linotype"/>
        </w:rPr>
        <w:t xml:space="preserve"> (ISSEMYM, u otros), y </w:t>
      </w:r>
      <w:r w:rsidRPr="00FD489D">
        <w:rPr>
          <w:rFonts w:ascii="Palatino Linotype" w:eastAsia="Palatino Linotype" w:hAnsi="Palatino Linotype" w:cs="Palatino Linotype"/>
          <w:b/>
        </w:rPr>
        <w:t>los descuentos y claves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14:paraId="737D24C3"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lastRenderedPageBreak/>
        <w:t>Finalmente, no pasa desapercibido para este Instituto que los documentos que den cuenta de lo solicitado, pudieran contener datos o información clasificados, los cuales de manera enunciativa más no limitativa pudieran ser:</w:t>
      </w:r>
    </w:p>
    <w:p w14:paraId="737D24C4" w14:textId="77777777" w:rsidR="00B8018A" w:rsidRPr="00FD489D" w:rsidRDefault="00B8018A">
      <w:pPr>
        <w:spacing w:line="360" w:lineRule="auto"/>
        <w:ind w:right="7"/>
        <w:jc w:val="both"/>
        <w:rPr>
          <w:rFonts w:ascii="Palatino Linotype" w:eastAsia="Palatino Linotype" w:hAnsi="Palatino Linotype" w:cs="Palatino Linotype"/>
          <w:b/>
        </w:rPr>
      </w:pPr>
    </w:p>
    <w:p w14:paraId="737D24C5" w14:textId="77777777" w:rsidR="00B8018A" w:rsidRPr="00FD489D" w:rsidRDefault="00FA493A">
      <w:pPr>
        <w:numPr>
          <w:ilvl w:val="0"/>
          <w:numId w:val="4"/>
        </w:numPr>
        <w:spacing w:line="360" w:lineRule="auto"/>
        <w:ind w:right="7"/>
        <w:jc w:val="both"/>
        <w:rPr>
          <w:rFonts w:ascii="Palatino Linotype" w:eastAsia="Palatino Linotype" w:hAnsi="Palatino Linotype" w:cs="Palatino Linotype"/>
          <w:b/>
          <w:color w:val="FF0000"/>
        </w:rPr>
      </w:pPr>
      <w:r w:rsidRPr="00FD489D">
        <w:rPr>
          <w:rFonts w:ascii="Palatino Linotype" w:eastAsia="Palatino Linotype" w:hAnsi="Palatino Linotype" w:cs="Palatino Linotype"/>
          <w:b/>
        </w:rPr>
        <w:t>Clave Única de Registro de Población (CURP)</w:t>
      </w:r>
    </w:p>
    <w:p w14:paraId="737D24C6" w14:textId="77777777" w:rsidR="00B8018A" w:rsidRPr="00FD489D" w:rsidRDefault="00B8018A">
      <w:pPr>
        <w:spacing w:line="360" w:lineRule="auto"/>
        <w:ind w:right="7"/>
        <w:jc w:val="both"/>
        <w:rPr>
          <w:rFonts w:ascii="Palatino Linotype" w:eastAsia="Palatino Linotype" w:hAnsi="Palatino Linotype" w:cs="Palatino Linotype"/>
          <w:color w:val="FF0000"/>
        </w:rPr>
      </w:pPr>
    </w:p>
    <w:p w14:paraId="737D24C7"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737D24C8" w14:textId="77777777" w:rsidR="00B8018A" w:rsidRPr="00FD489D" w:rsidRDefault="00B8018A">
      <w:pPr>
        <w:spacing w:line="360" w:lineRule="auto"/>
        <w:ind w:right="7"/>
        <w:jc w:val="both"/>
        <w:rPr>
          <w:rFonts w:ascii="Palatino Linotype" w:eastAsia="Palatino Linotype" w:hAnsi="Palatino Linotype" w:cs="Palatino Linotype"/>
        </w:rPr>
      </w:pPr>
    </w:p>
    <w:p w14:paraId="737D24C9"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737D24CA" w14:textId="77777777" w:rsidR="00B8018A" w:rsidRPr="00FD489D" w:rsidRDefault="00B8018A">
      <w:pPr>
        <w:spacing w:line="360" w:lineRule="auto"/>
        <w:ind w:right="7"/>
        <w:jc w:val="both"/>
        <w:rPr>
          <w:rFonts w:ascii="Palatino Linotype" w:eastAsia="Palatino Linotype" w:hAnsi="Palatino Linotype" w:cs="Palatino Linotype"/>
        </w:rPr>
      </w:pPr>
    </w:p>
    <w:p w14:paraId="737D24CB"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 xml:space="preserve">En ese orden de ideas, la Secretaría de Gobernación en las direcciones </w:t>
      </w:r>
      <w:hyperlink r:id="rId10">
        <w:r w:rsidRPr="00FD489D">
          <w:rPr>
            <w:rFonts w:ascii="Palatino Linotype" w:eastAsia="Palatino Linotype" w:hAnsi="Palatino Linotype" w:cs="Palatino Linotype"/>
            <w:u w:val="single"/>
          </w:rPr>
          <w:t>https://consultas.curp.gob.mx/CurpSP/html/informacionecurpPS.html</w:t>
        </w:r>
      </w:hyperlink>
      <w:r w:rsidRPr="00FD489D">
        <w:rPr>
          <w:rFonts w:ascii="Palatino Linotype" w:eastAsia="Palatino Linotype" w:hAnsi="Palatino Linotype" w:cs="Palatino Linotype"/>
        </w:rPr>
        <w:t xml:space="preserve"> y </w:t>
      </w:r>
      <w:hyperlink r:id="rId11">
        <w:r w:rsidRPr="00FD489D">
          <w:rPr>
            <w:rFonts w:ascii="Palatino Linotype" w:eastAsia="Palatino Linotype" w:hAnsi="Palatino Linotype" w:cs="Palatino Linotype"/>
            <w:u w:val="single"/>
          </w:rPr>
          <w:t>https://www.gob.mx/segob/renapo/acciones-y-programas/clave-unica-de-registro-de-poblacion-curp-142226</w:t>
        </w:r>
      </w:hyperlink>
      <w:r w:rsidRPr="00FD489D">
        <w:rPr>
          <w:rFonts w:ascii="Palatino Linotype" w:eastAsia="Palatino Linotype" w:hAnsi="Palatino Linotype" w:cs="Palatino Linotype"/>
        </w:rPr>
        <w:t xml:space="preserve"> (consultadas el diecisiete de agosto de dos mil veintitrés), estableció que la Clave Única del Registro de Población, es un instrumento de registro que se asigna a </w:t>
      </w:r>
      <w:r w:rsidRPr="00FD489D">
        <w:rPr>
          <w:rFonts w:ascii="Palatino Linotype" w:eastAsia="Palatino Linotype" w:hAnsi="Palatino Linotype" w:cs="Palatino Linotype"/>
        </w:rPr>
        <w:lastRenderedPageBreak/>
        <w:t xml:space="preserve">todas las personas que viven en el territorio nacional, así como a los mexicanos que residen en el extranjero y se compone de dieciocho elementos, representados por letras y números, que </w:t>
      </w:r>
      <w:r w:rsidRPr="00FD489D">
        <w:rPr>
          <w:rFonts w:ascii="Palatino Linotype" w:eastAsia="Palatino Linotype" w:hAnsi="Palatino Linotype" w:cs="Palatino Linotype"/>
          <w:b/>
        </w:rPr>
        <w:t>se generan a partir de los datos contenidos en el documento probatorio de la identidad</w:t>
      </w:r>
      <w:r w:rsidRPr="00FD489D">
        <w:rPr>
          <w:rFonts w:ascii="Palatino Linotype" w:eastAsia="Palatino Linotype" w:hAnsi="Palatino Linotype" w:cs="Palatino Linotype"/>
        </w:rPr>
        <w:t xml:space="preserve"> </w:t>
      </w:r>
      <w:r w:rsidRPr="00FD489D">
        <w:rPr>
          <w:rFonts w:ascii="Palatino Linotype" w:eastAsia="Palatino Linotype" w:hAnsi="Palatino Linotype" w:cs="Palatino Linotype"/>
          <w:b/>
        </w:rPr>
        <w:t xml:space="preserve">del interesado </w:t>
      </w:r>
      <w:r w:rsidRPr="00FD489D">
        <w:rPr>
          <w:rFonts w:ascii="Palatino Linotype" w:eastAsia="Palatino Linotype" w:hAnsi="Palatino Linotype" w:cs="Palatino Linotype"/>
        </w:rPr>
        <w:t>(acta de nacimiento, carta de naturalización o documento migratorio) de la siguiente forma:</w:t>
      </w:r>
    </w:p>
    <w:p w14:paraId="737D24CC" w14:textId="77777777" w:rsidR="00B8018A" w:rsidRPr="00FD489D" w:rsidRDefault="00B8018A">
      <w:pPr>
        <w:spacing w:line="360" w:lineRule="auto"/>
        <w:ind w:right="7"/>
        <w:jc w:val="both"/>
        <w:rPr>
          <w:rFonts w:ascii="Palatino Linotype" w:eastAsia="Palatino Linotype" w:hAnsi="Palatino Linotype" w:cs="Palatino Linotype"/>
        </w:rPr>
      </w:pPr>
    </w:p>
    <w:p w14:paraId="737D24CD" w14:textId="77777777" w:rsidR="00B8018A" w:rsidRPr="00FD489D" w:rsidRDefault="00FA493A">
      <w:pPr>
        <w:numPr>
          <w:ilvl w:val="0"/>
          <w:numId w:val="5"/>
        </w:numPr>
        <w:spacing w:line="360" w:lineRule="auto"/>
        <w:ind w:right="7"/>
        <w:jc w:val="both"/>
        <w:rPr>
          <w:rFonts w:ascii="Palatino Linotype" w:eastAsia="Palatino Linotype" w:hAnsi="Palatino Linotype" w:cs="Palatino Linotype"/>
        </w:rPr>
      </w:pPr>
      <w:r w:rsidRPr="00FD489D">
        <w:rPr>
          <w:rFonts w:ascii="Palatino Linotype" w:eastAsia="Palatino Linotype" w:hAnsi="Palatino Linotype" w:cs="Palatino Linotype"/>
        </w:rPr>
        <w:t>El primero y segundo apellidos, así como al nombre de pila;</w:t>
      </w:r>
    </w:p>
    <w:p w14:paraId="737D24CE" w14:textId="77777777" w:rsidR="00B8018A" w:rsidRPr="00FD489D" w:rsidRDefault="00FA493A">
      <w:pPr>
        <w:numPr>
          <w:ilvl w:val="0"/>
          <w:numId w:val="5"/>
        </w:numPr>
        <w:spacing w:line="360" w:lineRule="auto"/>
        <w:ind w:right="7"/>
        <w:jc w:val="both"/>
        <w:rPr>
          <w:rFonts w:ascii="Palatino Linotype" w:eastAsia="Palatino Linotype" w:hAnsi="Palatino Linotype" w:cs="Palatino Linotype"/>
        </w:rPr>
      </w:pPr>
      <w:r w:rsidRPr="00FD489D">
        <w:rPr>
          <w:rFonts w:ascii="Palatino Linotype" w:eastAsia="Palatino Linotype" w:hAnsi="Palatino Linotype" w:cs="Palatino Linotype"/>
        </w:rPr>
        <w:t>La fecha de nacimiento;</w:t>
      </w:r>
    </w:p>
    <w:p w14:paraId="737D24CF" w14:textId="77777777" w:rsidR="00B8018A" w:rsidRPr="00FD489D" w:rsidRDefault="00FA493A">
      <w:pPr>
        <w:numPr>
          <w:ilvl w:val="0"/>
          <w:numId w:val="5"/>
        </w:numPr>
        <w:spacing w:line="360" w:lineRule="auto"/>
        <w:ind w:right="7"/>
        <w:jc w:val="both"/>
        <w:rPr>
          <w:rFonts w:ascii="Palatino Linotype" w:eastAsia="Palatino Linotype" w:hAnsi="Palatino Linotype" w:cs="Palatino Linotype"/>
        </w:rPr>
      </w:pPr>
      <w:r w:rsidRPr="00FD489D">
        <w:rPr>
          <w:rFonts w:ascii="Palatino Linotype" w:eastAsia="Palatino Linotype" w:hAnsi="Palatino Linotype" w:cs="Palatino Linotype"/>
        </w:rPr>
        <w:t>El sexo, y</w:t>
      </w:r>
    </w:p>
    <w:p w14:paraId="737D24D0" w14:textId="77777777" w:rsidR="00B8018A" w:rsidRPr="00FD489D" w:rsidRDefault="00FA493A">
      <w:pPr>
        <w:numPr>
          <w:ilvl w:val="0"/>
          <w:numId w:val="5"/>
        </w:numPr>
        <w:spacing w:line="360" w:lineRule="auto"/>
        <w:ind w:right="7"/>
        <w:jc w:val="both"/>
        <w:rPr>
          <w:rFonts w:ascii="Palatino Linotype" w:eastAsia="Palatino Linotype" w:hAnsi="Palatino Linotype" w:cs="Palatino Linotype"/>
        </w:rPr>
      </w:pPr>
      <w:r w:rsidRPr="00FD489D">
        <w:rPr>
          <w:rFonts w:ascii="Palatino Linotype" w:eastAsia="Palatino Linotype" w:hAnsi="Palatino Linotype" w:cs="Palatino Linotype"/>
        </w:rPr>
        <w:t>La entidad federativa de nacimiento.</w:t>
      </w:r>
    </w:p>
    <w:p w14:paraId="737D24D1" w14:textId="77777777" w:rsidR="00B8018A" w:rsidRPr="00FD489D" w:rsidRDefault="00B8018A">
      <w:pPr>
        <w:spacing w:line="360" w:lineRule="auto"/>
        <w:ind w:right="7"/>
        <w:jc w:val="both"/>
        <w:rPr>
          <w:rFonts w:ascii="Palatino Linotype" w:eastAsia="Palatino Linotype" w:hAnsi="Palatino Linotype" w:cs="Palatino Linotype"/>
        </w:rPr>
      </w:pPr>
    </w:p>
    <w:p w14:paraId="737D24D2"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Los dos últimos elementos de la Clave Única de Registro de Población evitan la duplicidad de la Clave y garantizan su correcta integración.</w:t>
      </w:r>
    </w:p>
    <w:p w14:paraId="737D24D3" w14:textId="77777777" w:rsidR="00B8018A" w:rsidRPr="00FD489D" w:rsidRDefault="00B8018A">
      <w:pPr>
        <w:spacing w:line="360" w:lineRule="auto"/>
        <w:ind w:right="7"/>
        <w:jc w:val="both"/>
        <w:rPr>
          <w:rFonts w:ascii="Palatino Linotype" w:eastAsia="Palatino Linotype" w:hAnsi="Palatino Linotype" w:cs="Palatino Linotype"/>
        </w:rPr>
      </w:pPr>
    </w:p>
    <w:p w14:paraId="737D24D4"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737D24D5" w14:textId="77777777" w:rsidR="00B8018A" w:rsidRPr="00FD489D" w:rsidRDefault="00B8018A">
      <w:pPr>
        <w:spacing w:line="360" w:lineRule="auto"/>
        <w:ind w:right="7"/>
        <w:jc w:val="both"/>
        <w:rPr>
          <w:rFonts w:ascii="Palatino Linotype" w:eastAsia="Palatino Linotype" w:hAnsi="Palatino Linotype" w:cs="Palatino Linotype"/>
        </w:rPr>
      </w:pPr>
    </w:p>
    <w:p w14:paraId="737D24D6"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lastRenderedPageBreak/>
        <w:t>Situación que se robustece, con el Criterio de Interpretación, de la Segunda Época, con número de registro SO/018/2017, emitido por el Instituto Nacional de Transparencia, Acceso a la Información y Protección de Datos Personales, que establece lo siguiente:</w:t>
      </w:r>
    </w:p>
    <w:p w14:paraId="737D24D7" w14:textId="77777777" w:rsidR="00B8018A" w:rsidRPr="00FD489D" w:rsidRDefault="00B8018A">
      <w:pPr>
        <w:spacing w:line="360" w:lineRule="auto"/>
        <w:ind w:right="7"/>
        <w:jc w:val="both"/>
        <w:rPr>
          <w:rFonts w:ascii="Palatino Linotype" w:eastAsia="Palatino Linotype" w:hAnsi="Palatino Linotype" w:cs="Palatino Linotype"/>
        </w:rPr>
      </w:pPr>
    </w:p>
    <w:p w14:paraId="737D24D8" w14:textId="77777777" w:rsidR="00B8018A" w:rsidRPr="00FD489D" w:rsidRDefault="00FA493A">
      <w:pPr>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t xml:space="preserve">“Clave Única de Registro de Población (CURP). </w:t>
      </w:r>
      <w:r w:rsidRPr="00FD489D">
        <w:rPr>
          <w:rFonts w:ascii="Palatino Linotype" w:eastAsia="Palatino Linotype" w:hAnsi="Palatino Linotype" w:cs="Palatino Linotype"/>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737D24D9" w14:textId="77777777" w:rsidR="00B8018A" w:rsidRPr="00FD489D" w:rsidRDefault="00B8018A">
      <w:pPr>
        <w:spacing w:line="360" w:lineRule="auto"/>
        <w:ind w:right="7"/>
        <w:jc w:val="both"/>
        <w:rPr>
          <w:rFonts w:ascii="Palatino Linotype" w:eastAsia="Palatino Linotype" w:hAnsi="Palatino Linotype" w:cs="Palatino Linotype"/>
          <w:i/>
        </w:rPr>
      </w:pPr>
    </w:p>
    <w:p w14:paraId="737D24DA"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 xml:space="preserve">De acuerdo con lo anterior, resulta procedente la clasificación de </w:t>
      </w:r>
      <w:r w:rsidRPr="00FD489D">
        <w:rPr>
          <w:rFonts w:ascii="Palatino Linotype" w:eastAsia="Palatino Linotype" w:hAnsi="Palatino Linotype" w:cs="Palatino Linotype"/>
          <w:b/>
        </w:rPr>
        <w:t>la Clave Única de Registro de Población</w:t>
      </w:r>
      <w:r w:rsidRPr="00FD489D">
        <w:rPr>
          <w:rFonts w:ascii="Palatino Linotype" w:eastAsia="Palatino Linotype" w:hAnsi="Palatino Linotype" w:cs="Palatino Linotype"/>
        </w:rPr>
        <w:t xml:space="preserve">, por tratarse de un dato personal confidencial, en términos del artículo 143, fracción I, de la Ley de Transparencia y Acceso a la Información Pública del Estado de México y Municipios. </w:t>
      </w:r>
    </w:p>
    <w:p w14:paraId="737D24DB" w14:textId="77777777" w:rsidR="00B8018A" w:rsidRPr="00FD489D" w:rsidRDefault="00B8018A">
      <w:pPr>
        <w:spacing w:line="360" w:lineRule="auto"/>
        <w:ind w:right="7"/>
        <w:jc w:val="both"/>
        <w:rPr>
          <w:rFonts w:ascii="Palatino Linotype" w:eastAsia="Palatino Linotype" w:hAnsi="Palatino Linotype" w:cs="Palatino Linotype"/>
        </w:rPr>
      </w:pPr>
    </w:p>
    <w:p w14:paraId="737D24DC" w14:textId="77777777" w:rsidR="00B8018A" w:rsidRPr="00FD489D" w:rsidRDefault="00FA493A">
      <w:pPr>
        <w:numPr>
          <w:ilvl w:val="0"/>
          <w:numId w:val="4"/>
        </w:numPr>
        <w:spacing w:line="360" w:lineRule="auto"/>
        <w:ind w:right="7"/>
        <w:jc w:val="both"/>
        <w:rPr>
          <w:rFonts w:ascii="Palatino Linotype" w:eastAsia="Palatino Linotype" w:hAnsi="Palatino Linotype" w:cs="Palatino Linotype"/>
          <w:b/>
        </w:rPr>
      </w:pPr>
      <w:r w:rsidRPr="00FD489D">
        <w:rPr>
          <w:rFonts w:ascii="Palatino Linotype" w:eastAsia="Palatino Linotype" w:hAnsi="Palatino Linotype" w:cs="Palatino Linotype"/>
          <w:b/>
        </w:rPr>
        <w:t>Registro Federal de Contribuyentes (RFC)</w:t>
      </w:r>
    </w:p>
    <w:p w14:paraId="737D24DD" w14:textId="77777777" w:rsidR="00B8018A" w:rsidRPr="00FD489D" w:rsidRDefault="00B8018A">
      <w:pPr>
        <w:spacing w:line="360" w:lineRule="auto"/>
        <w:ind w:right="7"/>
        <w:jc w:val="both"/>
        <w:rPr>
          <w:rFonts w:ascii="Palatino Linotype" w:eastAsia="Palatino Linotype" w:hAnsi="Palatino Linotype" w:cs="Palatino Linotype"/>
        </w:rPr>
      </w:pPr>
    </w:p>
    <w:p w14:paraId="737D24DE"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737D24DF" w14:textId="77777777" w:rsidR="00B8018A" w:rsidRPr="00FD489D" w:rsidRDefault="00B8018A">
      <w:pPr>
        <w:tabs>
          <w:tab w:val="left" w:pos="284"/>
        </w:tabs>
        <w:spacing w:after="240" w:line="360" w:lineRule="auto"/>
        <w:ind w:right="7"/>
        <w:jc w:val="both"/>
        <w:rPr>
          <w:rFonts w:ascii="Palatino Linotype" w:eastAsia="Palatino Linotype" w:hAnsi="Palatino Linotype" w:cs="Palatino Linotype"/>
        </w:rPr>
      </w:pPr>
    </w:p>
    <w:p w14:paraId="737D24E0"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737D24E1" w14:textId="77777777" w:rsidR="00B8018A" w:rsidRPr="00FD489D" w:rsidRDefault="00B8018A">
      <w:pPr>
        <w:tabs>
          <w:tab w:val="left" w:pos="284"/>
        </w:tabs>
        <w:spacing w:after="240" w:line="360" w:lineRule="auto"/>
        <w:ind w:right="7"/>
        <w:jc w:val="both"/>
        <w:rPr>
          <w:rFonts w:ascii="Palatino Linotype" w:eastAsia="Palatino Linotype" w:hAnsi="Palatino Linotype" w:cs="Palatino Linotype"/>
        </w:rPr>
      </w:pPr>
    </w:p>
    <w:p w14:paraId="737D24E2"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737D24E3" w14:textId="77777777" w:rsidR="00B8018A" w:rsidRPr="00FD489D" w:rsidRDefault="00B8018A">
      <w:pPr>
        <w:spacing w:line="360" w:lineRule="auto"/>
        <w:ind w:right="7"/>
        <w:jc w:val="both"/>
        <w:rPr>
          <w:rFonts w:ascii="Palatino Linotype" w:eastAsia="Palatino Linotype" w:hAnsi="Palatino Linotype" w:cs="Palatino Linotype"/>
        </w:rPr>
      </w:pPr>
    </w:p>
    <w:p w14:paraId="737D24E4"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 xml:space="preserve">Así, el Registro Federal de Contribuyentes, es un dato personal, ya que hace a las personas físicas identificadas e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737D24E5" w14:textId="77777777" w:rsidR="00B8018A" w:rsidRPr="00FD489D" w:rsidRDefault="00B8018A">
      <w:pPr>
        <w:spacing w:line="360" w:lineRule="auto"/>
        <w:ind w:right="7"/>
        <w:jc w:val="both"/>
        <w:rPr>
          <w:rFonts w:ascii="Palatino Linotype" w:eastAsia="Palatino Linotype" w:hAnsi="Palatino Linotype" w:cs="Palatino Linotype"/>
        </w:rPr>
      </w:pPr>
    </w:p>
    <w:p w14:paraId="737D24E6"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 xml:space="preserve">Lo anterior, resulta congruente con el Criterio de Interpretación, de la Segunda Época, con número de registro SO/019/2017, emitido por el Instituto Nacional de </w:t>
      </w:r>
      <w:r w:rsidRPr="00FD489D">
        <w:rPr>
          <w:rFonts w:ascii="Palatino Linotype" w:eastAsia="Palatino Linotype" w:hAnsi="Palatino Linotype" w:cs="Palatino Linotype"/>
        </w:rPr>
        <w:lastRenderedPageBreak/>
        <w:t>Transparencia, Acceso a la Información y Protección de Datos Personales, en el cual se señala lo siguiente:</w:t>
      </w:r>
    </w:p>
    <w:p w14:paraId="737D24E7" w14:textId="77777777" w:rsidR="00B8018A" w:rsidRPr="00FD489D" w:rsidRDefault="00B8018A">
      <w:pPr>
        <w:spacing w:line="360" w:lineRule="auto"/>
        <w:ind w:right="7"/>
        <w:jc w:val="both"/>
        <w:rPr>
          <w:rFonts w:ascii="Palatino Linotype" w:eastAsia="Palatino Linotype" w:hAnsi="Palatino Linotype" w:cs="Palatino Linotype"/>
        </w:rPr>
      </w:pPr>
    </w:p>
    <w:p w14:paraId="737D24E8" w14:textId="77777777" w:rsidR="00B8018A" w:rsidRPr="00FD489D" w:rsidRDefault="00FA493A">
      <w:pPr>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t>“Registro Federal de Contribuyentes (RFC) de personas físicas.</w:t>
      </w:r>
      <w:r w:rsidRPr="00FD489D">
        <w:rPr>
          <w:rFonts w:ascii="Palatino Linotype" w:eastAsia="Palatino Linotype" w:hAnsi="Palatino Linotype" w:cs="Palatino Linotype"/>
          <w:i/>
        </w:rPr>
        <w:t xml:space="preserve"> El RFC es una clave de carácter fiscal, única e irrepetible, que permite identificar al titular, su edad y fecha de nacimiento, por lo que es un dato personal de carácter confidencial.”</w:t>
      </w:r>
    </w:p>
    <w:p w14:paraId="737D24E9" w14:textId="77777777" w:rsidR="00B8018A" w:rsidRPr="00FD489D" w:rsidRDefault="00B8018A">
      <w:pPr>
        <w:spacing w:line="360" w:lineRule="auto"/>
        <w:ind w:right="7"/>
        <w:jc w:val="both"/>
        <w:rPr>
          <w:rFonts w:ascii="Palatino Linotype" w:eastAsia="Palatino Linotype" w:hAnsi="Palatino Linotype" w:cs="Palatino Linotype"/>
        </w:rPr>
      </w:pPr>
    </w:p>
    <w:p w14:paraId="737D24EA"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737D24EB" w14:textId="77777777" w:rsidR="00B8018A" w:rsidRPr="00FD489D" w:rsidRDefault="00B8018A">
      <w:pPr>
        <w:spacing w:line="360" w:lineRule="auto"/>
        <w:ind w:right="7"/>
        <w:jc w:val="both"/>
        <w:rPr>
          <w:rFonts w:ascii="Palatino Linotype" w:eastAsia="Palatino Linotype" w:hAnsi="Palatino Linotype" w:cs="Palatino Linotype"/>
        </w:rPr>
      </w:pPr>
    </w:p>
    <w:p w14:paraId="737D24EC" w14:textId="77777777" w:rsidR="00B8018A" w:rsidRPr="00FD489D" w:rsidRDefault="00FA493A">
      <w:pPr>
        <w:numPr>
          <w:ilvl w:val="0"/>
          <w:numId w:val="4"/>
        </w:numPr>
        <w:spacing w:line="360" w:lineRule="auto"/>
        <w:ind w:right="7"/>
        <w:jc w:val="both"/>
        <w:rPr>
          <w:rFonts w:ascii="Palatino Linotype" w:eastAsia="Palatino Linotype" w:hAnsi="Palatino Linotype" w:cs="Palatino Linotype"/>
          <w:b/>
        </w:rPr>
      </w:pPr>
      <w:r w:rsidRPr="00FD489D">
        <w:rPr>
          <w:rFonts w:ascii="Palatino Linotype" w:eastAsia="Palatino Linotype" w:hAnsi="Palatino Linotype" w:cs="Palatino Linotype"/>
          <w:b/>
        </w:rPr>
        <w:t>Código bidimensional o Qr</w:t>
      </w:r>
    </w:p>
    <w:p w14:paraId="737D24ED" w14:textId="77777777" w:rsidR="00B8018A" w:rsidRPr="00FD489D" w:rsidRDefault="00B8018A">
      <w:pPr>
        <w:spacing w:line="360" w:lineRule="auto"/>
        <w:ind w:right="7"/>
        <w:jc w:val="both"/>
        <w:rPr>
          <w:rFonts w:ascii="Palatino Linotype" w:eastAsia="Palatino Linotype" w:hAnsi="Palatino Linotype" w:cs="Palatino Linotype"/>
          <w:b/>
        </w:rPr>
      </w:pPr>
    </w:p>
    <w:p w14:paraId="737D24EE"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 xml:space="preserve">En principio, resulta necesario señalar que los comprobantes fiscales digitales por Internet, deben de incluir un código bidimensional conforme al formato </w:t>
      </w:r>
      <w:r w:rsidRPr="00FD489D">
        <w:rPr>
          <w:rFonts w:ascii="Palatino Linotype" w:eastAsia="Palatino Linotype" w:hAnsi="Palatino Linotype" w:cs="Palatino Linotype"/>
          <w:i/>
        </w:rPr>
        <w:t>QR Code (Quick Response Code)</w:t>
      </w:r>
      <w:r w:rsidRPr="00FD489D">
        <w:rPr>
          <w:rFonts w:ascii="Palatino Linotype" w:eastAsia="Palatino Linotype" w:hAnsi="Palatino Linotype" w:cs="Palatino Linotype"/>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2">
        <w:r w:rsidRPr="00FD489D">
          <w:rPr>
            <w:rFonts w:ascii="Palatino Linotype" w:eastAsia="Palatino Linotype" w:hAnsi="Palatino Linotype" w:cs="Palatino Linotype"/>
            <w:u w:val="single"/>
          </w:rPr>
          <w:t>http://dof.gob.mx/nota_detalle.php?codigo=5492254&amp;fecha=28/07/2017</w:t>
        </w:r>
      </w:hyperlink>
      <w:r w:rsidRPr="00FD489D">
        <w:rPr>
          <w:rFonts w:ascii="Palatino Linotype" w:eastAsia="Palatino Linotype" w:hAnsi="Palatino Linotype" w:cs="Palatino Linotype"/>
        </w:rPr>
        <w:t xml:space="preserve">. Incluso con la captura de dicho código, a través de la aplicación móvil del Servicio de </w:t>
      </w:r>
      <w:r w:rsidRPr="00FD489D">
        <w:rPr>
          <w:rFonts w:ascii="Palatino Linotype" w:eastAsia="Palatino Linotype" w:hAnsi="Palatino Linotype" w:cs="Palatino Linotype"/>
        </w:rPr>
        <w:lastRenderedPageBreak/>
        <w:t>Administración Tributaria, permite el acceso al Registro Federal de Contribuyentes, como del Sujeto Obligado, como de los servidores públicos.</w:t>
      </w:r>
    </w:p>
    <w:p w14:paraId="737D24EF" w14:textId="77777777" w:rsidR="00B8018A" w:rsidRPr="00FD489D" w:rsidRDefault="00B8018A">
      <w:pPr>
        <w:spacing w:line="360" w:lineRule="auto"/>
        <w:ind w:right="7"/>
        <w:jc w:val="both"/>
        <w:rPr>
          <w:rFonts w:ascii="Palatino Linotype" w:eastAsia="Palatino Linotype" w:hAnsi="Palatino Linotype" w:cs="Palatino Linotype"/>
          <w:color w:val="FF0000"/>
        </w:rPr>
      </w:pPr>
    </w:p>
    <w:p w14:paraId="737D24F0"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737D24F1" w14:textId="77777777" w:rsidR="00B8018A" w:rsidRPr="00FD489D" w:rsidRDefault="00B8018A">
      <w:pPr>
        <w:spacing w:line="360" w:lineRule="auto"/>
        <w:ind w:right="7"/>
        <w:jc w:val="both"/>
        <w:rPr>
          <w:rFonts w:ascii="Palatino Linotype" w:eastAsia="Palatino Linotype" w:hAnsi="Palatino Linotype" w:cs="Palatino Linotype"/>
        </w:rPr>
      </w:pPr>
    </w:p>
    <w:p w14:paraId="737D24F2" w14:textId="77777777" w:rsidR="00B8018A" w:rsidRPr="00FD489D" w:rsidRDefault="00FA493A">
      <w:pPr>
        <w:numPr>
          <w:ilvl w:val="0"/>
          <w:numId w:val="4"/>
        </w:numPr>
        <w:spacing w:line="360" w:lineRule="auto"/>
        <w:ind w:right="7"/>
        <w:jc w:val="both"/>
        <w:rPr>
          <w:rFonts w:ascii="Palatino Linotype" w:eastAsia="Palatino Linotype" w:hAnsi="Palatino Linotype" w:cs="Palatino Linotype"/>
          <w:b/>
        </w:rPr>
      </w:pPr>
      <w:r w:rsidRPr="00FD489D">
        <w:rPr>
          <w:rFonts w:ascii="Palatino Linotype" w:eastAsia="Palatino Linotype" w:hAnsi="Palatino Linotype" w:cs="Palatino Linotype"/>
          <w:b/>
        </w:rPr>
        <w:t>Número de seguridad social del Instituto de Seguridad Social del Estado de México y Municipios</w:t>
      </w:r>
    </w:p>
    <w:p w14:paraId="737D24F3" w14:textId="77777777" w:rsidR="00B8018A" w:rsidRPr="00FD489D" w:rsidRDefault="00B8018A">
      <w:pPr>
        <w:spacing w:line="360" w:lineRule="auto"/>
        <w:ind w:right="7"/>
        <w:jc w:val="both"/>
        <w:rPr>
          <w:rFonts w:ascii="Palatino Linotype" w:eastAsia="Palatino Linotype" w:hAnsi="Palatino Linotype" w:cs="Palatino Linotype"/>
          <w:b/>
        </w:rPr>
      </w:pPr>
    </w:p>
    <w:p w14:paraId="737D24F4"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737D24F5" w14:textId="77777777" w:rsidR="00B8018A" w:rsidRPr="00FD489D" w:rsidRDefault="00B8018A">
      <w:pPr>
        <w:spacing w:line="360" w:lineRule="auto"/>
        <w:ind w:right="7"/>
        <w:jc w:val="both"/>
        <w:rPr>
          <w:rFonts w:ascii="Palatino Linotype" w:eastAsia="Palatino Linotype" w:hAnsi="Palatino Linotype" w:cs="Palatino Linotype"/>
        </w:rPr>
      </w:pPr>
    </w:p>
    <w:p w14:paraId="737D24F6"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w:t>
      </w:r>
      <w:r w:rsidRPr="00FD489D">
        <w:rPr>
          <w:rFonts w:ascii="Palatino Linotype" w:eastAsia="Palatino Linotype" w:hAnsi="Palatino Linotype" w:cs="Palatino Linotype"/>
        </w:rPr>
        <w:lastRenderedPageBreak/>
        <w:t xml:space="preserve">credencial que los acredite como tal, la cual será de naturaleza personal e intransferible. En esta credencial se consignan diversos datos personales </w:t>
      </w:r>
      <w:r w:rsidRPr="00FD489D">
        <w:rPr>
          <w:rFonts w:ascii="Palatino Linotype" w:eastAsia="Palatino Linotype" w:hAnsi="Palatino Linotype" w:cs="Palatino Linotype"/>
          <w:b/>
        </w:rPr>
        <w:t>y se le asigna una clave para hacer identificable al trabajador con el objetivo de poder proporcionar los servicios que brinda el Instituto de Seguridad Social del Estado de México y Municipios.</w:t>
      </w:r>
    </w:p>
    <w:p w14:paraId="737D24F7" w14:textId="77777777" w:rsidR="00B8018A" w:rsidRPr="00FD489D" w:rsidRDefault="00B8018A">
      <w:pPr>
        <w:spacing w:line="360" w:lineRule="auto"/>
        <w:ind w:right="7"/>
        <w:jc w:val="both"/>
        <w:rPr>
          <w:rFonts w:ascii="Palatino Linotype" w:eastAsia="Palatino Linotype" w:hAnsi="Palatino Linotype" w:cs="Palatino Linotype"/>
        </w:rPr>
      </w:pPr>
    </w:p>
    <w:p w14:paraId="737D24F8"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737D24F9" w14:textId="77777777" w:rsidR="00B8018A" w:rsidRPr="00FD489D" w:rsidRDefault="00B8018A">
      <w:pPr>
        <w:spacing w:line="360" w:lineRule="auto"/>
        <w:ind w:right="7"/>
        <w:jc w:val="both"/>
        <w:rPr>
          <w:rFonts w:ascii="Palatino Linotype" w:eastAsia="Palatino Linotype" w:hAnsi="Palatino Linotype" w:cs="Palatino Linotype"/>
        </w:rPr>
      </w:pPr>
    </w:p>
    <w:p w14:paraId="737D24FA"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737D24FB" w14:textId="77777777" w:rsidR="00B8018A" w:rsidRPr="00FD489D" w:rsidRDefault="00B8018A">
      <w:pPr>
        <w:spacing w:line="360" w:lineRule="auto"/>
        <w:ind w:left="720" w:right="7"/>
        <w:jc w:val="both"/>
        <w:rPr>
          <w:rFonts w:ascii="Palatino Linotype" w:eastAsia="Palatino Linotype" w:hAnsi="Palatino Linotype" w:cs="Palatino Linotype"/>
          <w:b/>
        </w:rPr>
      </w:pPr>
    </w:p>
    <w:p w14:paraId="737D24FC" w14:textId="77777777" w:rsidR="00B8018A" w:rsidRPr="00FD489D" w:rsidRDefault="00FA493A">
      <w:pPr>
        <w:numPr>
          <w:ilvl w:val="0"/>
          <w:numId w:val="4"/>
        </w:numPr>
        <w:spacing w:line="360" w:lineRule="auto"/>
        <w:ind w:right="7"/>
        <w:jc w:val="both"/>
        <w:rPr>
          <w:rFonts w:ascii="Palatino Linotype" w:eastAsia="Palatino Linotype" w:hAnsi="Palatino Linotype" w:cs="Palatino Linotype"/>
          <w:b/>
        </w:rPr>
      </w:pPr>
      <w:r w:rsidRPr="00FD489D">
        <w:rPr>
          <w:rFonts w:ascii="Palatino Linotype" w:eastAsia="Palatino Linotype" w:hAnsi="Palatino Linotype" w:cs="Palatino Linotype"/>
          <w:b/>
        </w:rPr>
        <w:t>Sellos digitales del emisor y del Servicio de Administración Tributaria y cadena original del complemento de certificación digital del órgano previamente señalado; así como sus respectivos números de serie de los certificados de sellos digitales, folio fiscal y número de serie del emisor.</w:t>
      </w:r>
    </w:p>
    <w:p w14:paraId="737D24FD" w14:textId="77777777" w:rsidR="00B8018A" w:rsidRPr="00FD489D" w:rsidRDefault="00B8018A">
      <w:pPr>
        <w:spacing w:line="360" w:lineRule="auto"/>
        <w:ind w:left="720" w:right="7"/>
        <w:jc w:val="both"/>
        <w:rPr>
          <w:rFonts w:ascii="Palatino Linotype" w:eastAsia="Palatino Linotype" w:hAnsi="Palatino Linotype" w:cs="Palatino Linotype"/>
        </w:rPr>
      </w:pPr>
    </w:p>
    <w:p w14:paraId="737D24FE"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está se encuentra encriptada como se verá a continuación.</w:t>
      </w:r>
    </w:p>
    <w:p w14:paraId="737D24FF" w14:textId="77777777" w:rsidR="00B8018A" w:rsidRPr="00FD489D" w:rsidRDefault="00FA493A">
      <w:pPr>
        <w:spacing w:line="360" w:lineRule="auto"/>
        <w:ind w:right="7"/>
        <w:jc w:val="both"/>
        <w:rPr>
          <w:rFonts w:ascii="Palatino Linotype" w:eastAsia="Palatino Linotype" w:hAnsi="Palatino Linotype" w:cs="Palatino Linotype"/>
        </w:rPr>
      </w:pPr>
      <w:r w:rsidRPr="00FD489D">
        <w:rPr>
          <w:rFonts w:ascii="Palatino Linotype" w:eastAsia="Palatino Linotype" w:hAnsi="Palatino Linotype" w:cs="Palatino Linotype"/>
        </w:rPr>
        <w:t> </w:t>
      </w:r>
    </w:p>
    <w:p w14:paraId="737D2500"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Las cadenas originales y sellos que se agregan a las facturas</w:t>
      </w:r>
      <w:r w:rsidRPr="00FD489D">
        <w:rPr>
          <w:rFonts w:ascii="Palatino Linotype" w:eastAsia="Palatino Linotype" w:hAnsi="Palatino Linotype" w:cs="Palatino Linotype"/>
          <w:b/>
        </w:rPr>
        <w:t>,</w:t>
      </w:r>
      <w:r w:rsidRPr="00FD489D">
        <w:rPr>
          <w:rFonts w:ascii="Palatino Linotype" w:eastAsia="Palatino Linotype" w:hAnsi="Palatino Linotype" w:cs="Palatino Linotype"/>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737D2501" w14:textId="77777777" w:rsidR="00B8018A" w:rsidRPr="00FD489D" w:rsidRDefault="00FA493A">
      <w:pPr>
        <w:spacing w:line="360" w:lineRule="auto"/>
        <w:ind w:right="7"/>
        <w:jc w:val="both"/>
        <w:rPr>
          <w:rFonts w:ascii="Palatino Linotype" w:eastAsia="Palatino Linotype" w:hAnsi="Palatino Linotype" w:cs="Palatino Linotype"/>
        </w:rPr>
      </w:pPr>
      <w:r w:rsidRPr="00FD489D">
        <w:rPr>
          <w:rFonts w:ascii="Palatino Linotype" w:eastAsia="Palatino Linotype" w:hAnsi="Palatino Linotype" w:cs="Palatino Linotype"/>
        </w:rPr>
        <w:t> </w:t>
      </w:r>
    </w:p>
    <w:p w14:paraId="737D2502" w14:textId="77777777" w:rsidR="00B8018A" w:rsidRPr="00FD489D" w:rsidRDefault="00FA493A">
      <w:pPr>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w:t>
      </w:r>
    </w:p>
    <w:p w14:paraId="737D2503" w14:textId="77777777" w:rsidR="00B8018A" w:rsidRPr="00FD489D" w:rsidRDefault="00FA493A">
      <w:pPr>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Elementos utilizados en la generación de Sellos Digitales:</w:t>
      </w:r>
    </w:p>
    <w:p w14:paraId="737D2504" w14:textId="77777777" w:rsidR="00B8018A" w:rsidRPr="00FD489D" w:rsidRDefault="00FA493A">
      <w:pPr>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lastRenderedPageBreak/>
        <w:t>•</w:t>
      </w:r>
      <w:r w:rsidRPr="00FD489D">
        <w:rPr>
          <w:rFonts w:ascii="Palatino Linotype" w:eastAsia="Palatino Linotype" w:hAnsi="Palatino Linotype" w:cs="Palatino Linotype"/>
          <w:i/>
        </w:rPr>
        <w:tab/>
        <w:t>Cadena Original, el elemento a sellar, en este caso de un comprobante fiscal digital a través de Internet.</w:t>
      </w:r>
    </w:p>
    <w:p w14:paraId="737D2505" w14:textId="77777777" w:rsidR="00B8018A" w:rsidRPr="00FD489D" w:rsidRDefault="00FA493A">
      <w:pPr>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w:t>
      </w:r>
      <w:r w:rsidRPr="00FD489D">
        <w:rPr>
          <w:rFonts w:ascii="Palatino Linotype" w:eastAsia="Palatino Linotype" w:hAnsi="Palatino Linotype" w:cs="Palatino Linotype"/>
          <w:i/>
        </w:rPr>
        <w:tab/>
        <w:t>Certificado de Sello Digital y su correspondiente clave privada.</w:t>
      </w:r>
    </w:p>
    <w:p w14:paraId="737D2506" w14:textId="77777777" w:rsidR="00B8018A" w:rsidRPr="00FD489D" w:rsidRDefault="00FA493A">
      <w:pPr>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w:t>
      </w:r>
      <w:r w:rsidRPr="00FD489D">
        <w:rPr>
          <w:rFonts w:ascii="Palatino Linotype" w:eastAsia="Palatino Linotype" w:hAnsi="Palatino Linotype" w:cs="Palatino Linotype"/>
          <w:i/>
        </w:rPr>
        <w:tab/>
        <w:t>Algoritmos de criptografía de clave pública para firma electrónica avanzada.</w:t>
      </w:r>
    </w:p>
    <w:p w14:paraId="737D2507" w14:textId="77777777" w:rsidR="00B8018A" w:rsidRPr="00FD489D" w:rsidRDefault="00FA493A">
      <w:pPr>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w:t>
      </w:r>
      <w:r w:rsidRPr="00FD489D">
        <w:rPr>
          <w:rFonts w:ascii="Palatino Linotype" w:eastAsia="Palatino Linotype" w:hAnsi="Palatino Linotype" w:cs="Palatino Linotype"/>
          <w:i/>
        </w:rPr>
        <w:tab/>
        <w:t>Especificaciones de conversión de la firma electrónica avanzada a Base 64.</w:t>
      </w:r>
    </w:p>
    <w:p w14:paraId="737D2508" w14:textId="77777777" w:rsidR="00B8018A" w:rsidRPr="00FD489D" w:rsidRDefault="00FA493A">
      <w:pPr>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Para la generación de sellos digitales se utiliza criptografía de clave pública aplicada a una cadena original.</w:t>
      </w:r>
    </w:p>
    <w:p w14:paraId="737D2509" w14:textId="77777777" w:rsidR="00B8018A" w:rsidRPr="00FD489D" w:rsidRDefault="00FA493A">
      <w:pPr>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Criptografía de la Clave Pública</w:t>
      </w:r>
    </w:p>
    <w:p w14:paraId="737D250A" w14:textId="77777777" w:rsidR="00B8018A" w:rsidRPr="00FD489D" w:rsidRDefault="00FA493A">
      <w:pPr>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14:paraId="737D250B" w14:textId="77777777" w:rsidR="00B8018A" w:rsidRPr="00FD489D" w:rsidRDefault="00FA493A">
      <w:pPr>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w:t>
      </w:r>
    </w:p>
    <w:p w14:paraId="737D250C" w14:textId="77777777" w:rsidR="00B8018A" w:rsidRPr="00FD489D" w:rsidRDefault="00B8018A">
      <w:pPr>
        <w:spacing w:line="360" w:lineRule="auto"/>
        <w:ind w:left="567" w:right="7"/>
        <w:jc w:val="both"/>
        <w:rPr>
          <w:rFonts w:ascii="Palatino Linotype" w:eastAsia="Palatino Linotype" w:hAnsi="Palatino Linotype" w:cs="Palatino Linotype"/>
          <w:i/>
        </w:rPr>
      </w:pPr>
    </w:p>
    <w:p w14:paraId="737D250D"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Es decir, por sí solos las cadenas originales y los sellos originales no contienen datos personales confidenciales, por lo que se considera que no actualizan el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737D250E" w14:textId="77777777" w:rsidR="00B8018A" w:rsidRPr="00FD489D" w:rsidRDefault="00B8018A">
      <w:pPr>
        <w:spacing w:line="360" w:lineRule="auto"/>
        <w:ind w:right="7"/>
        <w:jc w:val="both"/>
        <w:rPr>
          <w:rFonts w:ascii="Palatino Linotype" w:eastAsia="Palatino Linotype" w:hAnsi="Palatino Linotype" w:cs="Palatino Linotype"/>
          <w:color w:val="FF0000"/>
        </w:rPr>
      </w:pPr>
    </w:p>
    <w:p w14:paraId="737D250F"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lastRenderedPageBreak/>
        <w:t xml:space="preserve">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quince de agosto del presente año, a las once horas con diez minutos, en la página electrónica </w:t>
      </w:r>
      <w:hyperlink r:id="rId13">
        <w:r w:rsidRPr="00FD489D">
          <w:rPr>
            <w:rFonts w:ascii="Palatino Linotype" w:eastAsia="Palatino Linotype" w:hAnsi="Palatino Linotype" w:cs="Palatino Linotype"/>
            <w:u w:val="single"/>
          </w:rPr>
          <w:t>https://portalanterior.ine.mx/archivos2/tutoriales/sistemas/ApoyoInstitucional/SIF/docs/candidatos/folioFiscalFactura.pdf</w:t>
        </w:r>
      </w:hyperlink>
      <w:r w:rsidRPr="00FD489D">
        <w:rPr>
          <w:rFonts w:ascii="Palatino Linotype" w:eastAsia="Palatino Linotype" w:hAnsi="Palatino Linotype" w:cs="Palatino Linotype"/>
        </w:rPr>
        <w:t>), en la cual se advierte que únicamente se encuentra conformado por números, se muestra a continuación:</w:t>
      </w:r>
    </w:p>
    <w:p w14:paraId="737D2510" w14:textId="77777777" w:rsidR="00B8018A" w:rsidRPr="00FD489D" w:rsidRDefault="00FA493A">
      <w:pPr>
        <w:spacing w:line="360" w:lineRule="auto"/>
        <w:ind w:right="7"/>
        <w:jc w:val="both"/>
        <w:rPr>
          <w:rFonts w:ascii="Palatino Linotype" w:eastAsia="Palatino Linotype" w:hAnsi="Palatino Linotype" w:cs="Palatino Linotype"/>
        </w:rPr>
      </w:pPr>
      <w:r w:rsidRPr="00FD489D">
        <w:rPr>
          <w:rFonts w:ascii="Palatino Linotype" w:eastAsia="Palatino Linotype" w:hAnsi="Palatino Linotype" w:cs="Palatino Linotype"/>
        </w:rPr>
        <w:t> </w:t>
      </w:r>
    </w:p>
    <w:p w14:paraId="737D2511" w14:textId="77777777" w:rsidR="00B8018A" w:rsidRPr="00FD489D" w:rsidRDefault="00FA493A">
      <w:pPr>
        <w:spacing w:line="360" w:lineRule="auto"/>
        <w:ind w:right="7"/>
        <w:jc w:val="both"/>
        <w:rPr>
          <w:rFonts w:ascii="Palatino Linotype" w:eastAsia="Palatino Linotype" w:hAnsi="Palatino Linotype" w:cs="Palatino Linotype"/>
        </w:rPr>
      </w:pPr>
      <w:r w:rsidRPr="00FD489D">
        <w:rPr>
          <w:rFonts w:ascii="Palatino Linotype" w:eastAsia="Palatino Linotype" w:hAnsi="Palatino Linotype" w:cs="Palatino Linotype"/>
          <w:noProof/>
          <w:lang w:val="es-MX" w:eastAsia="es-MX"/>
        </w:rPr>
        <w:drawing>
          <wp:inline distT="0" distB="0" distL="0" distR="0" wp14:anchorId="737D25B6" wp14:editId="737D25B7">
            <wp:extent cx="5447411" cy="1055210"/>
            <wp:effectExtent l="0" t="0" r="0" b="0"/>
            <wp:docPr id="1257177322" name="image4.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Interfaz de usuario gráfica, Aplicación&#10;&#10;Descripción generada automáticamente"/>
                    <pic:cNvPicPr preferRelativeResize="0"/>
                  </pic:nvPicPr>
                  <pic:blipFill>
                    <a:blip r:embed="rId14"/>
                    <a:srcRect/>
                    <a:stretch>
                      <a:fillRect/>
                    </a:stretch>
                  </pic:blipFill>
                  <pic:spPr>
                    <a:xfrm>
                      <a:off x="0" y="0"/>
                      <a:ext cx="5447411" cy="1055210"/>
                    </a:xfrm>
                    <a:prstGeom prst="rect">
                      <a:avLst/>
                    </a:prstGeom>
                    <a:ln/>
                  </pic:spPr>
                </pic:pic>
              </a:graphicData>
            </a:graphic>
          </wp:inline>
        </w:drawing>
      </w:r>
      <w:r w:rsidRPr="00FD489D">
        <w:rPr>
          <w:noProof/>
          <w:lang w:val="es-MX" w:eastAsia="es-MX"/>
        </w:rPr>
        <mc:AlternateContent>
          <mc:Choice Requires="wps">
            <w:drawing>
              <wp:anchor distT="0" distB="0" distL="114300" distR="114300" simplePos="0" relativeHeight="251658240" behindDoc="0" locked="0" layoutInCell="1" hidden="0" allowOverlap="1" wp14:anchorId="737D25B8" wp14:editId="737D25B9">
                <wp:simplePos x="0" y="0"/>
                <wp:positionH relativeFrom="column">
                  <wp:posOffset>139700</wp:posOffset>
                </wp:positionH>
                <wp:positionV relativeFrom="paragraph">
                  <wp:posOffset>838200</wp:posOffset>
                </wp:positionV>
                <wp:extent cx="3676650" cy="257175"/>
                <wp:effectExtent l="0" t="0" r="0" b="0"/>
                <wp:wrapNone/>
                <wp:docPr id="1257177319" name="Rectángulo 1257177319"/>
                <wp:cNvGraphicFramePr/>
                <a:graphic xmlns:a="http://schemas.openxmlformats.org/drawingml/2006/main">
                  <a:graphicData uri="http://schemas.microsoft.com/office/word/2010/wordprocessingShape">
                    <wps:wsp>
                      <wps:cNvSpPr/>
                      <wps:spPr>
                        <a:xfrm>
                          <a:off x="3521963" y="3665700"/>
                          <a:ext cx="3648075" cy="228600"/>
                        </a:xfrm>
                        <a:prstGeom prst="rect">
                          <a:avLst/>
                        </a:prstGeom>
                        <a:noFill/>
                        <a:ln w="28575" cap="flat" cmpd="sng">
                          <a:solidFill>
                            <a:srgbClr val="000000"/>
                          </a:solidFill>
                          <a:prstDash val="solid"/>
                          <a:miter lim="800000"/>
                          <a:headEnd type="none" w="sm" len="sm"/>
                          <a:tailEnd type="none" w="sm" len="sm"/>
                        </a:ln>
                      </wps:spPr>
                      <wps:txbx>
                        <w:txbxContent>
                          <w:p w14:paraId="737D25E6" w14:textId="77777777" w:rsidR="00FA493A" w:rsidRDefault="00FA493A">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37D25B8" id="Rectángulo 1257177319" o:spid="_x0000_s1026" style="position:absolute;left:0;text-align:left;margin-left:11pt;margin-top:66pt;width:289.5pt;height:20.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" filled="f" strokeweight="2.25pt">
                <v:stroke startarrowwidth="narrow" startarrowlength="short" endarrowwidth="narrow" endarrowlength="short"/>
                <v:textbox inset="2.53958mm,2.53958mm,2.53958mm,2.53958mm">
                  <w:txbxContent>
                    <w:p w14:paraId="737D25E6" w14:textId="77777777" w:rsidR="00FA493A" w:rsidRDefault="00FA493A">
                      <w:pPr>
                        <w:textDirection w:val="btLr"/>
                      </w:pPr>
                    </w:p>
                  </w:txbxContent>
                </v:textbox>
              </v:rect>
            </w:pict>
          </mc:Fallback>
        </mc:AlternateContent>
      </w:r>
    </w:p>
    <w:p w14:paraId="737D2512" w14:textId="77777777" w:rsidR="00B8018A" w:rsidRPr="00FD489D" w:rsidRDefault="00FA493A">
      <w:pPr>
        <w:spacing w:line="360" w:lineRule="auto"/>
        <w:ind w:right="7"/>
        <w:jc w:val="both"/>
        <w:rPr>
          <w:rFonts w:ascii="Palatino Linotype" w:eastAsia="Palatino Linotype" w:hAnsi="Palatino Linotype" w:cs="Palatino Linotype"/>
        </w:rPr>
      </w:pPr>
      <w:r w:rsidRPr="00FD489D">
        <w:rPr>
          <w:rFonts w:ascii="Palatino Linotype" w:eastAsia="Palatino Linotype" w:hAnsi="Palatino Linotype" w:cs="Palatino Linotype"/>
        </w:rPr>
        <w:t> </w:t>
      </w:r>
    </w:p>
    <w:p w14:paraId="737D2513"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Cómo se logra observar, los números de serie del certificado de sello digital no contiene datos personales y con dichos dígitos tampoco se puede obtener información de carácter confidencial,</w:t>
      </w:r>
      <w:r w:rsidRPr="00FD489D">
        <w:rPr>
          <w:rFonts w:ascii="Palatino Linotype" w:eastAsia="Palatino Linotype" w:hAnsi="Palatino Linotype" w:cs="Palatino Linotype"/>
          <w:b/>
        </w:rPr>
        <w:t xml:space="preserve"> </w:t>
      </w:r>
      <w:r w:rsidRPr="00FD489D">
        <w:rPr>
          <w:rFonts w:ascii="Palatino Linotype" w:eastAsia="Palatino Linotype" w:hAnsi="Palatino Linotype" w:cs="Palatino Linotype"/>
        </w:rPr>
        <w:t>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737D2514" w14:textId="77777777" w:rsidR="00B8018A" w:rsidRPr="00FD489D" w:rsidRDefault="00FA493A">
      <w:pPr>
        <w:spacing w:line="360" w:lineRule="auto"/>
        <w:ind w:right="7"/>
        <w:jc w:val="both"/>
        <w:rPr>
          <w:rFonts w:ascii="Palatino Linotype" w:eastAsia="Palatino Linotype" w:hAnsi="Palatino Linotype" w:cs="Palatino Linotype"/>
          <w:color w:val="FF0000"/>
        </w:rPr>
      </w:pPr>
      <w:r w:rsidRPr="00FD489D">
        <w:rPr>
          <w:rFonts w:ascii="Palatino Linotype" w:eastAsia="Palatino Linotype" w:hAnsi="Palatino Linotype" w:cs="Palatino Linotype"/>
          <w:color w:val="FF0000"/>
        </w:rPr>
        <w:t> </w:t>
      </w:r>
    </w:p>
    <w:p w14:paraId="737D2515"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lastRenderedPageBreak/>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737D2516" w14:textId="77777777" w:rsidR="00B8018A" w:rsidRPr="00FD489D" w:rsidRDefault="00FA493A">
      <w:pPr>
        <w:spacing w:line="360" w:lineRule="auto"/>
        <w:ind w:right="7"/>
        <w:jc w:val="both"/>
        <w:rPr>
          <w:rFonts w:ascii="Palatino Linotype" w:eastAsia="Palatino Linotype" w:hAnsi="Palatino Linotype" w:cs="Palatino Linotype"/>
        </w:rPr>
      </w:pPr>
      <w:r w:rsidRPr="00FD489D">
        <w:rPr>
          <w:rFonts w:ascii="Palatino Linotype" w:eastAsia="Palatino Linotype" w:hAnsi="Palatino Linotype" w:cs="Palatino Linotype"/>
        </w:rPr>
        <w:t> </w:t>
      </w:r>
    </w:p>
    <w:p w14:paraId="737D2517" w14:textId="77777777" w:rsidR="00B8018A" w:rsidRPr="00FD489D" w:rsidRDefault="00FA493A">
      <w:pPr>
        <w:spacing w:line="360" w:lineRule="auto"/>
        <w:ind w:right="7"/>
        <w:jc w:val="both"/>
        <w:rPr>
          <w:rFonts w:ascii="Palatino Linotype" w:eastAsia="Palatino Linotype" w:hAnsi="Palatino Linotype" w:cs="Palatino Linotype"/>
        </w:rPr>
      </w:pPr>
      <w:r w:rsidRPr="00FD489D">
        <w:rPr>
          <w:rFonts w:ascii="Palatino Linotype" w:eastAsia="Palatino Linotype" w:hAnsi="Palatino Linotype" w:cs="Palatino Linotype"/>
          <w:noProof/>
          <w:lang w:val="es-MX" w:eastAsia="es-MX"/>
        </w:rPr>
        <w:drawing>
          <wp:inline distT="0" distB="0" distL="0" distR="0" wp14:anchorId="737D25BA" wp14:editId="737D25BB">
            <wp:extent cx="4931347" cy="1108264"/>
            <wp:effectExtent l="0" t="0" r="0" b="0"/>
            <wp:docPr id="1257177321"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15"/>
                    <a:srcRect b="47096"/>
                    <a:stretch>
                      <a:fillRect/>
                    </a:stretch>
                  </pic:blipFill>
                  <pic:spPr>
                    <a:xfrm>
                      <a:off x="0" y="0"/>
                      <a:ext cx="4931347" cy="1108264"/>
                    </a:xfrm>
                    <a:prstGeom prst="rect">
                      <a:avLst/>
                    </a:prstGeom>
                    <a:ln/>
                  </pic:spPr>
                </pic:pic>
              </a:graphicData>
            </a:graphic>
          </wp:inline>
        </w:drawing>
      </w:r>
    </w:p>
    <w:p w14:paraId="737D2518" w14:textId="77777777" w:rsidR="00B8018A" w:rsidRPr="00FD489D" w:rsidRDefault="00B8018A">
      <w:pPr>
        <w:spacing w:line="360" w:lineRule="auto"/>
        <w:ind w:right="7"/>
        <w:jc w:val="both"/>
        <w:rPr>
          <w:rFonts w:ascii="Palatino Linotype" w:eastAsia="Palatino Linotype" w:hAnsi="Palatino Linotype" w:cs="Palatino Linotype"/>
        </w:rPr>
      </w:pPr>
    </w:p>
    <w:p w14:paraId="737D2519"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737D251A" w14:textId="77777777" w:rsidR="00B8018A" w:rsidRPr="00FD489D" w:rsidRDefault="00B8018A">
      <w:pPr>
        <w:spacing w:line="360" w:lineRule="auto"/>
        <w:ind w:right="7"/>
        <w:jc w:val="both"/>
        <w:rPr>
          <w:rFonts w:ascii="Palatino Linotype" w:eastAsia="Palatino Linotype" w:hAnsi="Palatino Linotype" w:cs="Palatino Linotype"/>
          <w:color w:val="FF0000"/>
        </w:rPr>
      </w:pPr>
    </w:p>
    <w:p w14:paraId="737D251B" w14:textId="77777777" w:rsidR="00B8018A" w:rsidRPr="00FD489D" w:rsidRDefault="00FA493A">
      <w:pPr>
        <w:numPr>
          <w:ilvl w:val="0"/>
          <w:numId w:val="4"/>
        </w:numPr>
        <w:spacing w:line="360" w:lineRule="auto"/>
        <w:ind w:right="7"/>
        <w:jc w:val="both"/>
        <w:rPr>
          <w:rFonts w:ascii="Palatino Linotype" w:eastAsia="Palatino Linotype" w:hAnsi="Palatino Linotype" w:cs="Palatino Linotype"/>
          <w:b/>
        </w:rPr>
      </w:pPr>
      <w:r w:rsidRPr="00FD489D">
        <w:rPr>
          <w:rFonts w:ascii="Palatino Linotype" w:eastAsia="Palatino Linotype" w:hAnsi="Palatino Linotype" w:cs="Palatino Linotype"/>
          <w:b/>
        </w:rPr>
        <w:t>Número de empleado</w:t>
      </w:r>
    </w:p>
    <w:p w14:paraId="737D251C" w14:textId="77777777" w:rsidR="00B8018A" w:rsidRPr="00FD489D" w:rsidRDefault="00B8018A">
      <w:pPr>
        <w:spacing w:line="360" w:lineRule="auto"/>
        <w:ind w:right="7"/>
        <w:jc w:val="both"/>
        <w:rPr>
          <w:rFonts w:ascii="Palatino Linotype" w:eastAsia="Palatino Linotype" w:hAnsi="Palatino Linotype" w:cs="Palatino Linotype"/>
        </w:rPr>
      </w:pPr>
    </w:p>
    <w:p w14:paraId="737D251D"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El número de empleados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w:t>
      </w:r>
    </w:p>
    <w:p w14:paraId="737D251E" w14:textId="77777777" w:rsidR="00B8018A" w:rsidRPr="00FD489D" w:rsidRDefault="00B8018A">
      <w:pPr>
        <w:spacing w:line="360" w:lineRule="auto"/>
        <w:ind w:right="7"/>
        <w:jc w:val="both"/>
        <w:rPr>
          <w:rFonts w:ascii="Palatino Linotype" w:eastAsia="Palatino Linotype" w:hAnsi="Palatino Linotype" w:cs="Palatino Linotype"/>
        </w:rPr>
      </w:pPr>
    </w:p>
    <w:p w14:paraId="737D251F"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737D2520" w14:textId="77777777" w:rsidR="00B8018A" w:rsidRPr="00FD489D" w:rsidRDefault="00B8018A">
      <w:pPr>
        <w:spacing w:line="360" w:lineRule="auto"/>
        <w:ind w:right="7"/>
        <w:jc w:val="both"/>
        <w:rPr>
          <w:rFonts w:ascii="Palatino Linotype" w:eastAsia="Palatino Linotype" w:hAnsi="Palatino Linotype" w:cs="Palatino Linotype"/>
        </w:rPr>
      </w:pPr>
    </w:p>
    <w:p w14:paraId="737D2521"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Lo anterior, toma sustento en el Criterio de Interpretación, de la Segunda Época, con número de registro SO/006/2019, emitido por el Instituto Nacional de Transparencia, Acceso a la Información y Protección de Datos Personales, que establece lo siguiente:</w:t>
      </w:r>
    </w:p>
    <w:p w14:paraId="737D2522" w14:textId="77777777" w:rsidR="00B8018A" w:rsidRPr="00FD489D" w:rsidRDefault="00B8018A">
      <w:pPr>
        <w:spacing w:line="360" w:lineRule="auto"/>
        <w:ind w:right="7"/>
        <w:jc w:val="both"/>
        <w:rPr>
          <w:rFonts w:ascii="Palatino Linotype" w:eastAsia="Palatino Linotype" w:hAnsi="Palatino Linotype" w:cs="Palatino Linotype"/>
        </w:rPr>
      </w:pPr>
    </w:p>
    <w:p w14:paraId="737D2523" w14:textId="77777777" w:rsidR="00B8018A" w:rsidRPr="00FD489D" w:rsidRDefault="00FA493A">
      <w:pPr>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t xml:space="preserve">“Número de empleado. </w:t>
      </w:r>
      <w:r w:rsidRPr="00FD489D">
        <w:rPr>
          <w:rFonts w:ascii="Palatino Linotype" w:eastAsia="Palatino Linotype" w:hAnsi="Palatino Linotype" w:cs="Palatino Linotype"/>
          <w:i/>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737D2524" w14:textId="77777777" w:rsidR="00B8018A" w:rsidRPr="00FD489D" w:rsidRDefault="00B8018A">
      <w:pPr>
        <w:spacing w:line="360" w:lineRule="auto"/>
        <w:ind w:right="7"/>
        <w:jc w:val="both"/>
        <w:rPr>
          <w:rFonts w:ascii="Palatino Linotype" w:eastAsia="Palatino Linotype" w:hAnsi="Palatino Linotype" w:cs="Palatino Linotype"/>
        </w:rPr>
      </w:pPr>
    </w:p>
    <w:p w14:paraId="737D2525"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lastRenderedPageBreak/>
        <w:t>Así, se colige que solamente procederá la clasificación del número de empleado, cuando se integre con datos personales de los servidores públicos o funcione como clave de acceso que no requiera una contraseña para ingresar a sistemas o bases de datos.</w:t>
      </w:r>
    </w:p>
    <w:p w14:paraId="737D2526" w14:textId="77777777" w:rsidR="00B222F3" w:rsidRPr="00FD489D" w:rsidRDefault="00B222F3" w:rsidP="00B222F3">
      <w:pPr>
        <w:tabs>
          <w:tab w:val="left" w:pos="284"/>
        </w:tabs>
        <w:spacing w:after="240" w:line="360" w:lineRule="auto"/>
        <w:ind w:right="7"/>
        <w:jc w:val="both"/>
        <w:rPr>
          <w:rFonts w:ascii="Palatino Linotype" w:eastAsia="Palatino Linotype" w:hAnsi="Palatino Linotype" w:cs="Palatino Linotype"/>
          <w:b/>
        </w:rPr>
      </w:pPr>
      <w:r w:rsidRPr="00FD489D">
        <w:rPr>
          <w:rFonts w:ascii="Palatino Linotype" w:eastAsia="Palatino Linotype" w:hAnsi="Palatino Linotype" w:cs="Palatino Linotype"/>
          <w:b/>
        </w:rPr>
        <w:tab/>
        <w:t>-Firma</w:t>
      </w:r>
    </w:p>
    <w:p w14:paraId="737D2527" w14:textId="77777777" w:rsidR="00B222F3" w:rsidRPr="00FD489D" w:rsidRDefault="00B222F3" w:rsidP="00B222F3">
      <w:pPr>
        <w:numPr>
          <w:ilvl w:val="0"/>
          <w:numId w:val="1"/>
        </w:numPr>
        <w:tabs>
          <w:tab w:val="left" w:pos="284"/>
        </w:tabs>
        <w:spacing w:after="240" w:line="360" w:lineRule="auto"/>
        <w:ind w:left="0" w:right="7" w:firstLine="0"/>
        <w:jc w:val="both"/>
        <w:rPr>
          <w:rFonts w:ascii="Palatino Linotype" w:hAnsi="Palatino Linotype"/>
          <w:lang w:eastAsia="es-MX"/>
        </w:rPr>
      </w:pPr>
      <w:r w:rsidRPr="00FD489D">
        <w:rPr>
          <w:rFonts w:ascii="Palatino Linotype" w:hAnsi="Palatino Linotype"/>
          <w:lang w:eastAsia="es-MX"/>
        </w:rPr>
        <w:t>Respecto de la firma inmersa en documentos que cubre perfil de puestos,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737D2528" w14:textId="77777777" w:rsidR="00B222F3" w:rsidRPr="00FD489D" w:rsidRDefault="00B222F3" w:rsidP="00B222F3">
      <w:pPr>
        <w:spacing w:line="360" w:lineRule="auto"/>
        <w:jc w:val="both"/>
        <w:rPr>
          <w:rFonts w:ascii="Palatino Linotype" w:hAnsi="Palatino Linotype"/>
          <w:color w:val="000000"/>
          <w:szCs w:val="18"/>
        </w:rPr>
      </w:pPr>
    </w:p>
    <w:p w14:paraId="737D2529" w14:textId="77777777" w:rsidR="00B222F3" w:rsidRPr="00FD489D" w:rsidRDefault="00B222F3" w:rsidP="00B222F3">
      <w:pPr>
        <w:numPr>
          <w:ilvl w:val="0"/>
          <w:numId w:val="1"/>
        </w:numPr>
        <w:tabs>
          <w:tab w:val="left" w:pos="284"/>
        </w:tabs>
        <w:spacing w:after="240" w:line="360" w:lineRule="auto"/>
        <w:ind w:left="0" w:right="7" w:firstLine="0"/>
        <w:jc w:val="both"/>
        <w:rPr>
          <w:rFonts w:ascii="Palatino Linotype" w:hAnsi="Palatino Linotype"/>
          <w:color w:val="000000"/>
          <w:szCs w:val="18"/>
        </w:rPr>
      </w:pPr>
      <w:r w:rsidRPr="00FD489D">
        <w:rPr>
          <w:rFonts w:ascii="Palatino Linotype" w:hAnsi="Palatino Linotype"/>
          <w:color w:val="000000"/>
          <w:szCs w:val="18"/>
        </w:rPr>
        <w:t>Por lo que la publicidad de dichos actos, se robustece con el Criterio de interpretación establecido por el Instituto Nacional de Transparencia, Acceso a la Información y Protección de Datos Personales (INAI), el cual, establece lo siguiente:</w:t>
      </w:r>
    </w:p>
    <w:p w14:paraId="737D252A" w14:textId="77777777" w:rsidR="00B222F3" w:rsidRPr="00FD489D" w:rsidRDefault="00B222F3" w:rsidP="00B222F3">
      <w:pPr>
        <w:spacing w:line="360" w:lineRule="auto"/>
        <w:jc w:val="both"/>
        <w:rPr>
          <w:rFonts w:ascii="Palatino Linotype" w:hAnsi="Palatino Linotype"/>
          <w:color w:val="000000"/>
          <w:szCs w:val="18"/>
        </w:rPr>
      </w:pPr>
    </w:p>
    <w:p w14:paraId="737D252B" w14:textId="77777777" w:rsidR="00B222F3" w:rsidRPr="00FD489D" w:rsidRDefault="00B222F3" w:rsidP="00B222F3">
      <w:pPr>
        <w:ind w:left="567" w:right="567"/>
        <w:jc w:val="both"/>
        <w:rPr>
          <w:rFonts w:ascii="Palatino Linotype" w:hAnsi="Palatino Linotype" w:cs="Arial"/>
          <w:i/>
        </w:rPr>
      </w:pPr>
      <w:r w:rsidRPr="00FD489D">
        <w:rPr>
          <w:rFonts w:ascii="Palatino Linotype" w:hAnsi="Palatino Linotype" w:cs="Arial"/>
          <w:b/>
          <w:i/>
          <w:u w:val="single"/>
        </w:rPr>
        <w:t>Firma y rúbrica de servidores públicos.</w:t>
      </w:r>
      <w:r w:rsidRPr="00FD489D">
        <w:rPr>
          <w:rFonts w:ascii="Palatino Linotype" w:hAnsi="Palatino Linotype" w:cs="Arial"/>
          <w:i/>
        </w:rPr>
        <w:t xml:space="preserve"> Si bien la firma y la rúbrica son datos personales confidenciales, </w:t>
      </w:r>
      <w:r w:rsidRPr="00FD489D">
        <w:rPr>
          <w:rFonts w:ascii="Palatino Linotype" w:hAnsi="Palatino Linotype" w:cs="Arial"/>
          <w:b/>
          <w:i/>
          <w:u w:val="single"/>
        </w:rPr>
        <w:t>cuando un servidor público emite un acto como autoridad, en ejercicio de las funciones que tiene conferidas, la firma o rúbrica mediante la cual se valida dicho acto es pública</w:t>
      </w:r>
      <w:r w:rsidRPr="00FD489D">
        <w:rPr>
          <w:rFonts w:ascii="Palatino Linotype" w:hAnsi="Palatino Linotype" w:cs="Arial"/>
          <w:i/>
        </w:rPr>
        <w:t>.</w:t>
      </w:r>
    </w:p>
    <w:p w14:paraId="737D252C" w14:textId="77777777" w:rsidR="00B222F3" w:rsidRPr="00FD489D" w:rsidRDefault="00B222F3" w:rsidP="00B222F3">
      <w:pPr>
        <w:ind w:left="567" w:right="567"/>
        <w:jc w:val="both"/>
        <w:rPr>
          <w:rFonts w:ascii="Palatino Linotype" w:hAnsi="Palatino Linotype" w:cs="Arial"/>
          <w:i/>
          <w:color w:val="000000"/>
        </w:rPr>
      </w:pPr>
    </w:p>
    <w:p w14:paraId="737D252D" w14:textId="77777777" w:rsidR="00B222F3" w:rsidRPr="00FD489D" w:rsidRDefault="00B222F3" w:rsidP="00B222F3">
      <w:pPr>
        <w:ind w:left="567" w:right="567"/>
        <w:jc w:val="both"/>
        <w:rPr>
          <w:rFonts w:ascii="Palatino Linotype" w:hAnsi="Palatino Linotype" w:cs="Arial"/>
          <w:b/>
          <w:i/>
        </w:rPr>
      </w:pPr>
      <w:r w:rsidRPr="00FD489D">
        <w:rPr>
          <w:rFonts w:ascii="Palatino Linotype" w:hAnsi="Palatino Linotype" w:cs="Arial"/>
          <w:b/>
          <w:i/>
        </w:rPr>
        <w:t>Precedentes:</w:t>
      </w:r>
    </w:p>
    <w:p w14:paraId="737D252E" w14:textId="77777777" w:rsidR="00B222F3" w:rsidRPr="00FD489D" w:rsidRDefault="00B222F3" w:rsidP="00B222F3">
      <w:pPr>
        <w:pStyle w:val="Prrafodelista"/>
        <w:numPr>
          <w:ilvl w:val="0"/>
          <w:numId w:val="12"/>
        </w:numPr>
        <w:ind w:left="567" w:right="567" w:hanging="357"/>
        <w:jc w:val="both"/>
        <w:rPr>
          <w:rFonts w:ascii="Palatino Linotype" w:eastAsiaTheme="minorHAnsi" w:hAnsi="Palatino Linotype" w:cs="Arial"/>
          <w:i/>
          <w:sz w:val="22"/>
          <w:szCs w:val="22"/>
        </w:rPr>
      </w:pPr>
      <w:r w:rsidRPr="00FD489D">
        <w:rPr>
          <w:rFonts w:ascii="Palatino Linotype" w:hAnsi="Palatino Linotype" w:cs="Arial"/>
          <w:bCs/>
          <w:i/>
          <w:sz w:val="22"/>
          <w:szCs w:val="22"/>
        </w:rPr>
        <w:t>Acceso a la información pública. RRA 0185/17.</w:t>
      </w:r>
      <w:r w:rsidRPr="00FD489D">
        <w:rPr>
          <w:rFonts w:ascii="Palatino Linotype" w:hAnsi="Palatino Linotype" w:cs="Arial"/>
          <w:i/>
          <w:sz w:val="22"/>
          <w:szCs w:val="22"/>
        </w:rPr>
        <w:t xml:space="preserve"> Sesión del 08 de febrero de 2017. Votación por unanimidad. </w:t>
      </w:r>
      <w:r w:rsidRPr="00FD489D">
        <w:rPr>
          <w:rFonts w:ascii="Palatino Linotype" w:hAnsi="Palatino Linotype" w:cs="Arial"/>
          <w:bCs/>
          <w:i/>
          <w:sz w:val="22"/>
          <w:szCs w:val="22"/>
        </w:rPr>
        <w:t xml:space="preserve">Sin votos disidentes o particulares. </w:t>
      </w:r>
      <w:r w:rsidRPr="00FD489D">
        <w:rPr>
          <w:rFonts w:ascii="Palatino Linotype" w:hAnsi="Palatino Linotype" w:cs="Arial"/>
          <w:i/>
          <w:sz w:val="22"/>
          <w:szCs w:val="22"/>
        </w:rPr>
        <w:t>Secretaría de Cultura. Comisionado Ponente Oscar Mauricio Guerra Ford.</w:t>
      </w:r>
    </w:p>
    <w:p w14:paraId="737D252F" w14:textId="77777777" w:rsidR="00B222F3" w:rsidRPr="00FD489D" w:rsidRDefault="00B222F3" w:rsidP="00B222F3">
      <w:pPr>
        <w:pStyle w:val="Prrafodelista"/>
        <w:numPr>
          <w:ilvl w:val="0"/>
          <w:numId w:val="13"/>
        </w:numPr>
        <w:ind w:left="567" w:right="567" w:hanging="357"/>
        <w:jc w:val="both"/>
        <w:rPr>
          <w:rFonts w:ascii="Palatino Linotype" w:hAnsi="Palatino Linotype" w:cs="Arial"/>
          <w:i/>
          <w:sz w:val="22"/>
          <w:szCs w:val="22"/>
        </w:rPr>
      </w:pPr>
      <w:r w:rsidRPr="00FD489D">
        <w:rPr>
          <w:rFonts w:ascii="Palatino Linotype" w:hAnsi="Palatino Linotype" w:cs="Arial"/>
          <w:bCs/>
          <w:i/>
          <w:sz w:val="22"/>
          <w:szCs w:val="22"/>
        </w:rPr>
        <w:t>Acceso a la información pública. RRA 1588/17.</w:t>
      </w:r>
      <w:r w:rsidRPr="00FD489D">
        <w:rPr>
          <w:rFonts w:ascii="Palatino Linotype" w:hAnsi="Palatino Linotype" w:cs="Arial"/>
          <w:i/>
          <w:sz w:val="22"/>
          <w:szCs w:val="22"/>
        </w:rPr>
        <w:t xml:space="preserve"> Sesión del 26 de abril de 2017. Votación por unanimidad. </w:t>
      </w:r>
      <w:r w:rsidRPr="00FD489D">
        <w:rPr>
          <w:rFonts w:ascii="Palatino Linotype" w:hAnsi="Palatino Linotype" w:cs="Arial"/>
          <w:bCs/>
          <w:i/>
          <w:sz w:val="22"/>
          <w:szCs w:val="22"/>
        </w:rPr>
        <w:t xml:space="preserve">Sin votos disidentes o particulares. </w:t>
      </w:r>
      <w:r w:rsidRPr="00FD489D">
        <w:rPr>
          <w:rFonts w:ascii="Palatino Linotype" w:hAnsi="Palatino Linotype" w:cs="Arial"/>
          <w:i/>
          <w:sz w:val="22"/>
          <w:szCs w:val="22"/>
        </w:rPr>
        <w:t>Centro de Investigación en Materiales Avanzados, S.C. Comisionada Ponente Ximena Puente de la Mora.</w:t>
      </w:r>
    </w:p>
    <w:p w14:paraId="737D2530" w14:textId="77777777" w:rsidR="00B222F3" w:rsidRPr="00FD489D" w:rsidRDefault="00B222F3" w:rsidP="00B222F3">
      <w:pPr>
        <w:pStyle w:val="Prrafodelista"/>
        <w:numPr>
          <w:ilvl w:val="0"/>
          <w:numId w:val="13"/>
        </w:numPr>
        <w:tabs>
          <w:tab w:val="left" w:pos="7371"/>
        </w:tabs>
        <w:ind w:left="567" w:right="567" w:hanging="357"/>
        <w:jc w:val="both"/>
        <w:rPr>
          <w:rFonts w:ascii="Palatino Linotype" w:hAnsi="Palatino Linotype" w:cs="Arial"/>
          <w:bCs/>
          <w:i/>
          <w:sz w:val="22"/>
          <w:szCs w:val="22"/>
        </w:rPr>
      </w:pPr>
      <w:r w:rsidRPr="00FD489D">
        <w:rPr>
          <w:rFonts w:ascii="Palatino Linotype" w:hAnsi="Palatino Linotype" w:cs="Arial"/>
          <w:bCs/>
          <w:i/>
          <w:sz w:val="22"/>
          <w:szCs w:val="22"/>
        </w:rPr>
        <w:lastRenderedPageBreak/>
        <w:t>Acceso a la información pública. RRA 3472/17.</w:t>
      </w:r>
      <w:r w:rsidRPr="00FD489D">
        <w:rPr>
          <w:rFonts w:ascii="Palatino Linotype" w:hAnsi="Palatino Linotype" w:cs="Arial"/>
          <w:i/>
          <w:sz w:val="22"/>
          <w:szCs w:val="22"/>
        </w:rPr>
        <w:t xml:space="preserve"> Sesión del 21 de junio de 2017. Votación por unanimidad. </w:t>
      </w:r>
      <w:r w:rsidRPr="00FD489D">
        <w:rPr>
          <w:rFonts w:ascii="Palatino Linotype" w:hAnsi="Palatino Linotype" w:cs="Arial"/>
          <w:bCs/>
          <w:i/>
          <w:sz w:val="22"/>
          <w:szCs w:val="22"/>
        </w:rPr>
        <w:t xml:space="preserve">Sin votos disidentes o particulares. </w:t>
      </w:r>
      <w:r w:rsidRPr="00FD489D">
        <w:rPr>
          <w:rFonts w:ascii="Palatino Linotype" w:hAnsi="Palatino Linotype" w:cs="Arial"/>
          <w:i/>
          <w:sz w:val="22"/>
          <w:szCs w:val="22"/>
        </w:rPr>
        <w:t>Instituto Nacional de Migración. Comisionado Ponente Joel Salas Suárez</w:t>
      </w:r>
      <w:r w:rsidRPr="00FD489D">
        <w:rPr>
          <w:rFonts w:ascii="Palatino Linotype" w:hAnsi="Palatino Linotype" w:cs="Arial"/>
          <w:bCs/>
          <w:i/>
          <w:sz w:val="22"/>
          <w:szCs w:val="22"/>
        </w:rPr>
        <w:t>.”</w:t>
      </w:r>
    </w:p>
    <w:p w14:paraId="737D2531" w14:textId="77777777" w:rsidR="00B222F3" w:rsidRPr="00FD489D" w:rsidRDefault="00B222F3" w:rsidP="00B222F3">
      <w:pPr>
        <w:spacing w:line="360" w:lineRule="auto"/>
        <w:jc w:val="both"/>
        <w:rPr>
          <w:rFonts w:ascii="Palatino Linotype" w:hAnsi="Palatino Linotype"/>
          <w:lang w:eastAsia="es-MX"/>
        </w:rPr>
      </w:pPr>
    </w:p>
    <w:p w14:paraId="737D2532" w14:textId="77777777" w:rsidR="00B222F3" w:rsidRPr="00FD489D" w:rsidRDefault="00B222F3" w:rsidP="00B222F3">
      <w:pPr>
        <w:numPr>
          <w:ilvl w:val="0"/>
          <w:numId w:val="1"/>
        </w:numPr>
        <w:tabs>
          <w:tab w:val="left" w:pos="284"/>
        </w:tabs>
        <w:spacing w:after="240" w:line="360" w:lineRule="auto"/>
        <w:ind w:left="0" w:right="7" w:firstLine="0"/>
        <w:jc w:val="both"/>
        <w:rPr>
          <w:rFonts w:ascii="Palatino Linotype" w:hAnsi="Palatino Linotype"/>
          <w:lang w:eastAsia="es-MX"/>
        </w:rPr>
      </w:pPr>
      <w:r w:rsidRPr="00FD489D">
        <w:rPr>
          <w:rFonts w:ascii="Palatino Linotype" w:hAnsi="Palatino Linotype"/>
          <w:color w:val="000000"/>
          <w:szCs w:val="18"/>
        </w:rPr>
        <w:t>Por</w:t>
      </w:r>
      <w:r w:rsidRPr="00FD489D">
        <w:rPr>
          <w:rFonts w:ascii="Palatino Linotype" w:hAnsi="Palatino Linotype"/>
          <w:lang w:eastAsia="es-MX"/>
        </w:rPr>
        <w:t xml:space="preserve"> lo que referente a la </w:t>
      </w:r>
      <w:r w:rsidRPr="00FD489D">
        <w:rPr>
          <w:rFonts w:ascii="Palatino Linotype" w:hAnsi="Palatino Linotype"/>
          <w:b/>
          <w:lang w:eastAsia="es-MX"/>
        </w:rPr>
        <w:t>firma de los servidores públicos</w:t>
      </w:r>
      <w:r w:rsidRPr="00FD489D">
        <w:rPr>
          <w:rFonts w:ascii="Palatino Linotype" w:hAnsi="Palatino Linotype"/>
          <w:lang w:eastAsia="es-MX"/>
        </w:rPr>
        <w:t xml:space="preserve">, ya que, como se indicó anteriormente, el criterio del INAI con Clave de control: SO/002/2019, Acuerdo ACT-PUB/11/09/2019.06, de la Segunda Época, Actualización: 14/07/2022, establece que cuando un servidor público emite un acto como autoridad, en ejercicio de las funciones que tiene conferidas, la firma o rúbrica mediante la cual se valida dicho acto es pública, sin embargo, en el presente caso </w:t>
      </w:r>
      <w:r w:rsidRPr="00FD489D">
        <w:rPr>
          <w:rFonts w:ascii="Palatino Linotype" w:hAnsi="Palatino Linotype"/>
          <w:b/>
          <w:u w:val="single"/>
          <w:lang w:eastAsia="es-MX"/>
        </w:rPr>
        <w:t>la firma fue en su calidad de particular tratándose de un dato de carácter personal y confidencial</w:t>
      </w:r>
      <w:r w:rsidRPr="00FD489D">
        <w:rPr>
          <w:rFonts w:ascii="Palatino Linotype" w:hAnsi="Palatino Linotype"/>
          <w:lang w:eastAsia="es-MX"/>
        </w:rPr>
        <w:t>.</w:t>
      </w:r>
    </w:p>
    <w:p w14:paraId="737D2533" w14:textId="77777777" w:rsidR="00B222F3" w:rsidRPr="00FD489D" w:rsidRDefault="00B222F3" w:rsidP="00B222F3">
      <w:pPr>
        <w:tabs>
          <w:tab w:val="left" w:pos="284"/>
        </w:tabs>
        <w:spacing w:after="240" w:line="360" w:lineRule="auto"/>
        <w:ind w:right="7"/>
        <w:jc w:val="both"/>
        <w:rPr>
          <w:rFonts w:ascii="Palatino Linotype" w:hAnsi="Palatino Linotype"/>
          <w:lang w:eastAsia="es-MX"/>
        </w:rPr>
      </w:pPr>
    </w:p>
    <w:p w14:paraId="737D2534" w14:textId="77777777" w:rsidR="00B8018A" w:rsidRPr="00FD489D" w:rsidRDefault="00FA493A">
      <w:pPr>
        <w:numPr>
          <w:ilvl w:val="0"/>
          <w:numId w:val="4"/>
        </w:numPr>
        <w:spacing w:line="360" w:lineRule="auto"/>
        <w:ind w:right="7"/>
        <w:jc w:val="both"/>
        <w:rPr>
          <w:rFonts w:ascii="Palatino Linotype" w:eastAsia="Palatino Linotype" w:hAnsi="Palatino Linotype" w:cs="Palatino Linotype"/>
          <w:b/>
        </w:rPr>
      </w:pPr>
      <w:r w:rsidRPr="00FD489D">
        <w:rPr>
          <w:rFonts w:ascii="Palatino Linotype" w:eastAsia="Palatino Linotype" w:hAnsi="Palatino Linotype" w:cs="Palatino Linotype"/>
          <w:b/>
        </w:rPr>
        <w:t>Nombre de los policías municipales</w:t>
      </w:r>
    </w:p>
    <w:p w14:paraId="737D2535" w14:textId="77777777" w:rsidR="00B8018A" w:rsidRPr="00FD489D" w:rsidRDefault="00B8018A">
      <w:pPr>
        <w:spacing w:line="360" w:lineRule="auto"/>
        <w:ind w:right="7"/>
        <w:jc w:val="both"/>
        <w:rPr>
          <w:rFonts w:ascii="Palatino Linotype" w:eastAsia="Palatino Linotype" w:hAnsi="Palatino Linotype" w:cs="Palatino Linotype"/>
          <w:b/>
        </w:rPr>
      </w:pPr>
    </w:p>
    <w:p w14:paraId="737D2536"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Al respecto, el artículo 140, fracción IV, de la Ley de Transparencia y Acceso a la Información Pública del Estado de México y Municipios, homólogo a parte del artículo 113, fracción V de la Ley General de Transparencia y Acceso a la Información Pública), prevé lo siguiente:</w:t>
      </w:r>
    </w:p>
    <w:p w14:paraId="737D2537" w14:textId="77777777" w:rsidR="00B8018A" w:rsidRPr="00FD489D" w:rsidRDefault="00B8018A">
      <w:pPr>
        <w:spacing w:line="360" w:lineRule="auto"/>
        <w:ind w:right="7"/>
        <w:jc w:val="both"/>
        <w:rPr>
          <w:rFonts w:ascii="Palatino Linotype" w:eastAsia="Palatino Linotype" w:hAnsi="Palatino Linotype" w:cs="Palatino Linotype"/>
        </w:rPr>
      </w:pPr>
    </w:p>
    <w:p w14:paraId="737D2538" w14:textId="77777777" w:rsidR="00B8018A" w:rsidRPr="00FD489D" w:rsidRDefault="00FA493A">
      <w:pPr>
        <w:tabs>
          <w:tab w:val="left" w:pos="4962"/>
        </w:tabs>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w:t>
      </w:r>
      <w:r w:rsidRPr="00FD489D">
        <w:rPr>
          <w:rFonts w:ascii="Palatino Linotype" w:eastAsia="Palatino Linotype" w:hAnsi="Palatino Linotype" w:cs="Palatino Linotype"/>
          <w:b/>
          <w:i/>
        </w:rPr>
        <w:t>Artículo 140.</w:t>
      </w:r>
      <w:r w:rsidRPr="00FD489D">
        <w:rPr>
          <w:rFonts w:ascii="Palatino Linotype" w:eastAsia="Palatino Linotype" w:hAnsi="Palatino Linotype" w:cs="Palatino Linotype"/>
          <w:i/>
        </w:rPr>
        <w:t xml:space="preserve"> El acceso a la información pública será restringido excepcionalmente, cuando por razones de interés público, ésta sea clasificada como reservada, conforme a los criterios siguientes: </w:t>
      </w:r>
    </w:p>
    <w:p w14:paraId="737D2539" w14:textId="77777777" w:rsidR="00B8018A" w:rsidRPr="00FD489D" w:rsidRDefault="00FA493A">
      <w:pPr>
        <w:tabs>
          <w:tab w:val="left" w:pos="4962"/>
        </w:tabs>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w:t>
      </w:r>
    </w:p>
    <w:p w14:paraId="737D253A" w14:textId="77777777" w:rsidR="00B8018A" w:rsidRPr="00FD489D" w:rsidRDefault="00FA493A">
      <w:pPr>
        <w:tabs>
          <w:tab w:val="left" w:pos="4962"/>
        </w:tabs>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IV. Ponga en riesgo la vida, la seguridad o la salud de una persona física;</w:t>
      </w:r>
    </w:p>
    <w:p w14:paraId="737D253B" w14:textId="77777777" w:rsidR="00B8018A" w:rsidRPr="00FD489D" w:rsidRDefault="00FA493A">
      <w:pPr>
        <w:tabs>
          <w:tab w:val="left" w:pos="4962"/>
        </w:tabs>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lastRenderedPageBreak/>
        <w:t xml:space="preserve">…” </w:t>
      </w:r>
    </w:p>
    <w:p w14:paraId="737D253C" w14:textId="77777777" w:rsidR="00B8018A" w:rsidRPr="00FD489D" w:rsidRDefault="00B8018A">
      <w:pPr>
        <w:spacing w:line="360" w:lineRule="auto"/>
        <w:ind w:right="7"/>
        <w:jc w:val="both"/>
        <w:rPr>
          <w:rFonts w:ascii="Palatino Linotype" w:eastAsia="Palatino Linotype" w:hAnsi="Palatino Linotype" w:cs="Palatino Linotype"/>
        </w:rPr>
      </w:pPr>
    </w:p>
    <w:p w14:paraId="737D253D"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Del precepto legal anteriormente citado se desprende que como información reservada podrá clasificarse aquella cuya publicación pueda poner en riesgo la vida, seguridad o salud de una persona física; para acreditar lo anterior, los Lineamientos Generales, establecen lo siguiente:</w:t>
      </w:r>
    </w:p>
    <w:p w14:paraId="737D253E" w14:textId="77777777" w:rsidR="00B8018A" w:rsidRPr="00FD489D" w:rsidRDefault="00B8018A">
      <w:pPr>
        <w:spacing w:line="360" w:lineRule="auto"/>
        <w:ind w:right="7"/>
        <w:jc w:val="both"/>
        <w:rPr>
          <w:rFonts w:ascii="Palatino Linotype" w:eastAsia="Palatino Linotype" w:hAnsi="Palatino Linotype" w:cs="Palatino Linotype"/>
        </w:rPr>
      </w:pPr>
    </w:p>
    <w:p w14:paraId="737D253F" w14:textId="77777777" w:rsidR="00B8018A" w:rsidRPr="00FD489D" w:rsidRDefault="00FA493A">
      <w:pPr>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t xml:space="preserve">“Vigésimo tercero. </w:t>
      </w:r>
      <w:r w:rsidRPr="00FD489D">
        <w:rPr>
          <w:rFonts w:ascii="Palatino Linotype" w:eastAsia="Palatino Linotype" w:hAnsi="Palatino Linotype" w:cs="Palatino Linotype"/>
          <w:i/>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737D2540" w14:textId="77777777" w:rsidR="00B8018A" w:rsidRPr="00FD489D" w:rsidRDefault="00B8018A">
      <w:pPr>
        <w:spacing w:line="360" w:lineRule="auto"/>
        <w:ind w:left="567" w:right="7"/>
        <w:jc w:val="both"/>
        <w:rPr>
          <w:rFonts w:ascii="Palatino Linotype" w:eastAsia="Palatino Linotype" w:hAnsi="Palatino Linotype" w:cs="Palatino Linotype"/>
          <w:i/>
        </w:rPr>
      </w:pPr>
    </w:p>
    <w:p w14:paraId="737D2541"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 Además, el artículo 81, fracción III, de la Ley de Seguridad del Estado de México, establece lo siguiente:</w:t>
      </w:r>
    </w:p>
    <w:p w14:paraId="737D2542" w14:textId="77777777" w:rsidR="00B8018A" w:rsidRPr="00FD489D" w:rsidRDefault="00B8018A">
      <w:pPr>
        <w:spacing w:line="360" w:lineRule="auto"/>
        <w:ind w:right="7"/>
        <w:jc w:val="both"/>
        <w:rPr>
          <w:rFonts w:ascii="Palatino Linotype" w:eastAsia="Palatino Linotype" w:hAnsi="Palatino Linotype" w:cs="Palatino Linotype"/>
        </w:rPr>
      </w:pPr>
    </w:p>
    <w:p w14:paraId="737D2543" w14:textId="77777777" w:rsidR="00B8018A" w:rsidRPr="00FD489D" w:rsidRDefault="00FA493A">
      <w:pPr>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t>“Artículo 81.-</w:t>
      </w:r>
      <w:r w:rsidRPr="00FD489D">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737D2544" w14:textId="77777777" w:rsidR="00B8018A" w:rsidRPr="00FD489D" w:rsidRDefault="00FA493A">
      <w:pPr>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lastRenderedPageBreak/>
        <w:t>…</w:t>
      </w:r>
    </w:p>
    <w:p w14:paraId="737D2545" w14:textId="77777777" w:rsidR="00B8018A" w:rsidRPr="00FD489D" w:rsidRDefault="00FA493A">
      <w:pPr>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III. La relativa a los servidores públicos integrantes de las instituciones de seguridad pública, cuya revelación pueda poner en riesgo su vida e integridad física con motivo de sus funciones;</w:t>
      </w:r>
    </w:p>
    <w:p w14:paraId="737D2546" w14:textId="77777777" w:rsidR="00B8018A" w:rsidRPr="00FD489D" w:rsidRDefault="00FA493A">
      <w:pPr>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i/>
        </w:rPr>
        <w:t>…”</w:t>
      </w:r>
    </w:p>
    <w:p w14:paraId="737D2547" w14:textId="77777777" w:rsidR="00B8018A" w:rsidRPr="00FD489D" w:rsidRDefault="00B8018A">
      <w:pPr>
        <w:spacing w:line="360" w:lineRule="auto"/>
        <w:ind w:right="7"/>
        <w:jc w:val="both"/>
        <w:rPr>
          <w:rFonts w:ascii="Palatino Linotype" w:eastAsia="Palatino Linotype" w:hAnsi="Palatino Linotype" w:cs="Palatino Linotype"/>
        </w:rPr>
      </w:pPr>
    </w:p>
    <w:p w14:paraId="737D2548"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737D2549" w14:textId="77777777" w:rsidR="00B8018A" w:rsidRPr="00FD489D" w:rsidRDefault="00B8018A">
      <w:pPr>
        <w:spacing w:line="360" w:lineRule="auto"/>
        <w:ind w:right="7"/>
        <w:jc w:val="both"/>
        <w:rPr>
          <w:rFonts w:ascii="Palatino Linotype" w:eastAsia="Palatino Linotype" w:hAnsi="Palatino Linotype" w:cs="Palatino Linotype"/>
        </w:rPr>
      </w:pPr>
    </w:p>
    <w:p w14:paraId="737D254A"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En ese contexto, es de señalar que los datos de servidores públicos, entre los que se encuentran el nombre de los trabajadores, por regla general, son 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14:paraId="737D254B" w14:textId="77777777" w:rsidR="00B8018A" w:rsidRPr="00FD489D" w:rsidRDefault="00B8018A">
      <w:pPr>
        <w:spacing w:line="360" w:lineRule="auto"/>
        <w:ind w:right="7"/>
        <w:jc w:val="both"/>
        <w:rPr>
          <w:rFonts w:ascii="Palatino Linotype" w:eastAsia="Palatino Linotype" w:hAnsi="Palatino Linotype" w:cs="Palatino Linotype"/>
        </w:rPr>
      </w:pPr>
    </w:p>
    <w:p w14:paraId="737D254C"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No obstante, resulta necesario traer a colación, el Criterio de Interpretación, con clave de control SO/006/2009, emitido por el entonces Instituto Federal de Acceso a la Información y Protección de Datos ahora Instituto Nacional de Transparencia, Acceso a la Información y Protección de Datos Personales, que establece lo siguiente:</w:t>
      </w:r>
    </w:p>
    <w:p w14:paraId="737D254D" w14:textId="77777777" w:rsidR="00B8018A" w:rsidRPr="00FD489D" w:rsidRDefault="00B8018A">
      <w:pPr>
        <w:spacing w:line="360" w:lineRule="auto"/>
        <w:ind w:right="7"/>
        <w:jc w:val="both"/>
        <w:rPr>
          <w:rFonts w:ascii="Palatino Linotype" w:eastAsia="Palatino Linotype" w:hAnsi="Palatino Linotype" w:cs="Palatino Linotype"/>
          <w:i/>
        </w:rPr>
      </w:pPr>
    </w:p>
    <w:p w14:paraId="737D254E" w14:textId="77777777" w:rsidR="00B8018A" w:rsidRPr="00FD489D" w:rsidRDefault="00FA493A">
      <w:pPr>
        <w:tabs>
          <w:tab w:val="left" w:pos="4962"/>
        </w:tabs>
        <w:spacing w:line="360" w:lineRule="auto"/>
        <w:ind w:left="567" w:right="7"/>
        <w:jc w:val="both"/>
        <w:rPr>
          <w:rFonts w:ascii="Palatino Linotype" w:eastAsia="Palatino Linotype" w:hAnsi="Palatino Linotype" w:cs="Palatino Linotype"/>
          <w:i/>
        </w:rPr>
      </w:pPr>
      <w:r w:rsidRPr="00FD489D">
        <w:rPr>
          <w:rFonts w:ascii="Palatino Linotype" w:eastAsia="Palatino Linotype" w:hAnsi="Palatino Linotype" w:cs="Palatino Linotype"/>
          <w:b/>
          <w:i/>
        </w:rPr>
        <w:t>“Nombres de servidores públicos dedicados a actividades en materia de seguridad, por excepción pueden considerarse información reservada.</w:t>
      </w:r>
      <w:r w:rsidRPr="00FD489D">
        <w:rPr>
          <w:rFonts w:ascii="Palatino Linotype" w:eastAsia="Palatino Linotype" w:hAnsi="Palatino Linotype" w:cs="Palatino Linotype"/>
          <w:i/>
        </w:rPr>
        <w:t xml:space="preserve"> De conformidad con el artículo 7, fracciones I y III de la Ley Federal de Transparencia y Acceso a la Información Pública </w:t>
      </w:r>
      <w:r w:rsidRPr="00FD489D">
        <w:rPr>
          <w:rFonts w:ascii="Palatino Linotype" w:eastAsia="Palatino Linotype" w:hAnsi="Palatino Linotype" w:cs="Palatino Linotype"/>
          <w:i/>
        </w:rPr>
        <w:lastRenderedPageBreak/>
        <w:t>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737D254F" w14:textId="77777777" w:rsidR="00B8018A" w:rsidRPr="00FD489D" w:rsidRDefault="00B8018A">
      <w:pPr>
        <w:spacing w:line="360" w:lineRule="auto"/>
        <w:ind w:right="7"/>
        <w:jc w:val="both"/>
        <w:rPr>
          <w:rFonts w:ascii="Palatino Linotype" w:eastAsia="Palatino Linotype" w:hAnsi="Palatino Linotype" w:cs="Palatino Linotype"/>
        </w:rPr>
      </w:pPr>
    </w:p>
    <w:p w14:paraId="737D2550"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737D2551" w14:textId="77777777" w:rsidR="00B8018A" w:rsidRPr="00FD489D" w:rsidRDefault="00B8018A">
      <w:pPr>
        <w:spacing w:line="360" w:lineRule="auto"/>
        <w:ind w:right="7"/>
        <w:jc w:val="both"/>
        <w:rPr>
          <w:rFonts w:ascii="Palatino Linotype" w:eastAsia="Palatino Linotype" w:hAnsi="Palatino Linotype" w:cs="Palatino Linotype"/>
        </w:rPr>
      </w:pPr>
    </w:p>
    <w:p w14:paraId="737D2552"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lastRenderedPageBreak/>
        <w:t xml:space="preserve">En ese orden de ideas, si bien por regla general los nombres de los trabajadores gubernamentales son información pública de oficio, existe una excepción relativa a </w:t>
      </w:r>
      <w:r w:rsidRPr="00FD489D">
        <w:rPr>
          <w:rFonts w:ascii="Palatino Linotype" w:eastAsia="Palatino Linotype" w:hAnsi="Palatino Linotype" w:cs="Palatino Linotype"/>
          <w:b/>
        </w:rPr>
        <w:t>aquellos que realicen actividades operativas en materia de seguridad,</w:t>
      </w:r>
      <w:r w:rsidRPr="00FD489D">
        <w:rPr>
          <w:rFonts w:ascii="Palatino Linotype" w:eastAsia="Palatino Linotype" w:hAnsi="Palatino Linotype" w:cs="Palatino Linotype"/>
        </w:rPr>
        <w:t xml:space="preserve"> como es el caso de los elementos operativos y la policía municipal.</w:t>
      </w:r>
    </w:p>
    <w:p w14:paraId="737D2553" w14:textId="77777777" w:rsidR="00B8018A" w:rsidRPr="00FD489D" w:rsidRDefault="00B8018A">
      <w:pPr>
        <w:spacing w:line="360" w:lineRule="auto"/>
        <w:ind w:right="7"/>
        <w:jc w:val="both"/>
        <w:rPr>
          <w:rFonts w:ascii="Palatino Linotype" w:eastAsia="Palatino Linotype" w:hAnsi="Palatino Linotype" w:cs="Palatino Linotype"/>
        </w:rPr>
      </w:pPr>
    </w:p>
    <w:p w14:paraId="737D2554"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737D2555" w14:textId="77777777" w:rsidR="00B8018A" w:rsidRPr="00FD489D" w:rsidRDefault="00B8018A">
      <w:pPr>
        <w:spacing w:line="360" w:lineRule="auto"/>
        <w:ind w:right="7"/>
        <w:jc w:val="both"/>
        <w:rPr>
          <w:rFonts w:ascii="Palatino Linotype" w:eastAsia="Palatino Linotype" w:hAnsi="Palatino Linotype" w:cs="Palatino Linotype"/>
        </w:rPr>
      </w:pPr>
    </w:p>
    <w:p w14:paraId="737D2556"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En ese contexto, el artículo 6, fracciones XI y XII de dicho ordenamiento jurídico, establece los siguientes conceptos:</w:t>
      </w:r>
    </w:p>
    <w:p w14:paraId="737D2557" w14:textId="77777777" w:rsidR="00B8018A" w:rsidRPr="00FD489D" w:rsidRDefault="00B8018A">
      <w:pPr>
        <w:spacing w:line="360" w:lineRule="auto"/>
        <w:ind w:right="7"/>
        <w:jc w:val="both"/>
        <w:rPr>
          <w:rFonts w:ascii="Palatino Linotype" w:eastAsia="Palatino Linotype" w:hAnsi="Palatino Linotype" w:cs="Palatino Linotype"/>
        </w:rPr>
      </w:pPr>
    </w:p>
    <w:p w14:paraId="737D2558" w14:textId="77777777" w:rsidR="00B8018A" w:rsidRPr="00FD489D" w:rsidRDefault="00FA493A">
      <w:pPr>
        <w:numPr>
          <w:ilvl w:val="0"/>
          <w:numId w:val="7"/>
        </w:numPr>
        <w:spacing w:line="360" w:lineRule="auto"/>
        <w:ind w:right="7"/>
        <w:jc w:val="both"/>
        <w:rPr>
          <w:rFonts w:ascii="Palatino Linotype" w:eastAsia="Palatino Linotype" w:hAnsi="Palatino Linotype" w:cs="Palatino Linotype"/>
          <w:b/>
        </w:rPr>
      </w:pPr>
      <w:r w:rsidRPr="00FD489D">
        <w:rPr>
          <w:rFonts w:ascii="Palatino Linotype" w:eastAsia="Palatino Linotype" w:hAnsi="Palatino Linotype" w:cs="Palatino Linotype"/>
          <w:b/>
        </w:rPr>
        <w:t xml:space="preserve">Instituciones Policiales: </w:t>
      </w:r>
      <w:r w:rsidRPr="00FD489D">
        <w:rPr>
          <w:rFonts w:ascii="Palatino Linotype" w:eastAsia="Palatino Linotype" w:hAnsi="Palatino Linotype" w:cs="Palatino Linotype"/>
        </w:rPr>
        <w:t xml:space="preserve">Son los cuerpos de policía, de vigilancia y custodia de los establecimientos penitenciarios, detención preventiva, centros de arraigo y en general, </w:t>
      </w:r>
      <w:r w:rsidRPr="00FD489D">
        <w:rPr>
          <w:rFonts w:ascii="Palatino Linotype" w:eastAsia="Palatino Linotype" w:hAnsi="Palatino Linotype" w:cs="Palatino Linotype"/>
          <w:b/>
        </w:rPr>
        <w:t>todas las dependencias encargadas de la seguridad pública a nivel</w:t>
      </w:r>
      <w:r w:rsidRPr="00FD489D">
        <w:rPr>
          <w:rFonts w:ascii="Palatino Linotype" w:eastAsia="Palatino Linotype" w:hAnsi="Palatino Linotype" w:cs="Palatino Linotype"/>
        </w:rPr>
        <w:t xml:space="preserve"> estatal y </w:t>
      </w:r>
      <w:r w:rsidRPr="00FD489D">
        <w:rPr>
          <w:rFonts w:ascii="Palatino Linotype" w:eastAsia="Palatino Linotype" w:hAnsi="Palatino Linotype" w:cs="Palatino Linotype"/>
          <w:b/>
        </w:rPr>
        <w:t>municipal.</w:t>
      </w:r>
    </w:p>
    <w:p w14:paraId="737D2559" w14:textId="77777777" w:rsidR="00B8018A" w:rsidRPr="00FD489D" w:rsidRDefault="00B8018A">
      <w:pPr>
        <w:spacing w:line="360" w:lineRule="auto"/>
        <w:ind w:left="720" w:right="7"/>
        <w:jc w:val="both"/>
        <w:rPr>
          <w:rFonts w:ascii="Palatino Linotype" w:eastAsia="Palatino Linotype" w:hAnsi="Palatino Linotype" w:cs="Palatino Linotype"/>
          <w:b/>
        </w:rPr>
      </w:pPr>
    </w:p>
    <w:p w14:paraId="737D255A" w14:textId="77777777" w:rsidR="00B8018A" w:rsidRPr="00FD489D" w:rsidRDefault="00FA493A">
      <w:pPr>
        <w:numPr>
          <w:ilvl w:val="0"/>
          <w:numId w:val="7"/>
        </w:numPr>
        <w:spacing w:line="360" w:lineRule="auto"/>
        <w:ind w:right="7"/>
        <w:jc w:val="both"/>
        <w:rPr>
          <w:rFonts w:ascii="Palatino Linotype" w:eastAsia="Palatino Linotype" w:hAnsi="Palatino Linotype" w:cs="Palatino Linotype"/>
          <w:b/>
        </w:rPr>
      </w:pPr>
      <w:r w:rsidRPr="00FD489D">
        <w:rPr>
          <w:rFonts w:ascii="Palatino Linotype" w:eastAsia="Palatino Linotype" w:hAnsi="Palatino Linotype" w:cs="Palatino Linotype"/>
          <w:b/>
        </w:rPr>
        <w:lastRenderedPageBreak/>
        <w:t xml:space="preserve">Instituciones de Seguridad Pública: </w:t>
      </w:r>
      <w:r w:rsidRPr="00FD489D">
        <w:rPr>
          <w:rFonts w:ascii="Palatino Linotype" w:eastAsia="Palatino Linotype" w:hAnsi="Palatino Linotype" w:cs="Palatino Linotype"/>
        </w:rPr>
        <w:t xml:space="preserve">Instituciones Policiales, Procuración de Justicia, Sistema Penitenciario y </w:t>
      </w:r>
      <w:r w:rsidRPr="00FD489D">
        <w:rPr>
          <w:rFonts w:ascii="Palatino Linotype" w:eastAsia="Palatino Linotype" w:hAnsi="Palatino Linotype" w:cs="Palatino Linotype"/>
          <w:b/>
        </w:rPr>
        <w:t xml:space="preserve">dependencias encargadas de la seguridad pública a nivel </w:t>
      </w:r>
      <w:r w:rsidRPr="00FD489D">
        <w:rPr>
          <w:rFonts w:ascii="Palatino Linotype" w:eastAsia="Palatino Linotype" w:hAnsi="Palatino Linotype" w:cs="Palatino Linotype"/>
        </w:rPr>
        <w:t xml:space="preserve">estatal y </w:t>
      </w:r>
      <w:r w:rsidRPr="00FD489D">
        <w:rPr>
          <w:rFonts w:ascii="Palatino Linotype" w:eastAsia="Palatino Linotype" w:hAnsi="Palatino Linotype" w:cs="Palatino Linotype"/>
          <w:b/>
        </w:rPr>
        <w:t>municipal.</w:t>
      </w:r>
    </w:p>
    <w:p w14:paraId="737D255B" w14:textId="77777777" w:rsidR="00B8018A" w:rsidRPr="00FD489D" w:rsidRDefault="00B8018A">
      <w:pPr>
        <w:spacing w:line="360" w:lineRule="auto"/>
        <w:ind w:right="7"/>
        <w:jc w:val="both"/>
        <w:rPr>
          <w:rFonts w:ascii="Palatino Linotype" w:eastAsia="Palatino Linotype" w:hAnsi="Palatino Linotype" w:cs="Palatino Linotype"/>
          <w:b/>
        </w:rPr>
      </w:pPr>
    </w:p>
    <w:p w14:paraId="737D255C"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Conforme a lo anterior, se puede deducir que la Dirección de Seguridad Pública, es una institución de seguridad pública, pues tiene como atribución principal, la prevención de delitos y proteger a las personas, sus propiedades, posesiones y derechos</w:t>
      </w:r>
    </w:p>
    <w:p w14:paraId="737D255D" w14:textId="77777777" w:rsidR="00B8018A" w:rsidRPr="00FD489D" w:rsidRDefault="00B8018A">
      <w:pPr>
        <w:spacing w:line="360" w:lineRule="auto"/>
        <w:ind w:right="7"/>
        <w:jc w:val="both"/>
        <w:rPr>
          <w:rFonts w:ascii="Palatino Linotype" w:eastAsia="Palatino Linotype" w:hAnsi="Palatino Linotype" w:cs="Palatino Linotype"/>
        </w:rPr>
      </w:pPr>
    </w:p>
    <w:p w14:paraId="737D255E"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 xml:space="preserve">Además, el Instructivo de llenado del Formato “Personal de Seguridad Pública”, del Secretariado Ejecutivo del Sistema Nacional de Seguridad Pública (consultado el veintidós de diciembre de dos mil veintiuno, a las catorce horas, en la liga electrónica </w:t>
      </w:r>
      <w:hyperlink r:id="rId16">
        <w:r w:rsidRPr="00FD489D">
          <w:rPr>
            <w:rFonts w:ascii="Palatino Linotype" w:eastAsia="Palatino Linotype" w:hAnsi="Palatino Linotype" w:cs="Palatino Linotype"/>
            <w:color w:val="0563C1"/>
            <w:u w:val="single"/>
          </w:rPr>
          <w:t>http://secretariadoejecutivo.gob.mx/work/models/SecretariadoEjecutivo/Resource/328/1/images/instructivo_final_edo_fuerza(1).pdf</w:t>
        </w:r>
      </w:hyperlink>
      <w:r w:rsidRPr="00FD489D">
        <w:rPr>
          <w:rFonts w:ascii="Palatino Linotype" w:eastAsia="Palatino Linotype" w:hAnsi="Palatino Linotype" w:cs="Palatino Linotype"/>
        </w:rPr>
        <w:t xml:space="preserve">), establece que los elementos operativos de seguridad pública, son aquellos que desempeñan funciones de campo (policiacas, especializadas o equivalentes y que no </w:t>
      </w:r>
      <w:r w:rsidRPr="00FD489D">
        <w:rPr>
          <w:rFonts w:ascii="Palatino Linotype" w:eastAsia="Palatino Linotype" w:hAnsi="Palatino Linotype" w:cs="Palatino Linotype"/>
          <w:b/>
        </w:rPr>
        <w:t>desempeña funciones de mando</w:t>
      </w:r>
      <w:r w:rsidRPr="00FD489D">
        <w:rPr>
          <w:rFonts w:ascii="Palatino Linotype" w:eastAsia="Palatino Linotype" w:hAnsi="Palatino Linotype" w:cs="Palatino Linotype"/>
        </w:rPr>
        <w:t xml:space="preserve">), entre los cuales, se encuentra </w:t>
      </w:r>
      <w:r w:rsidRPr="00FD489D">
        <w:rPr>
          <w:rFonts w:ascii="Palatino Linotype" w:eastAsia="Palatino Linotype" w:hAnsi="Palatino Linotype" w:cs="Palatino Linotype"/>
          <w:b/>
        </w:rPr>
        <w:t>la Policía Municipal</w:t>
      </w:r>
      <w:r w:rsidRPr="00FD489D">
        <w:rPr>
          <w:rFonts w:ascii="Palatino Linotype" w:eastAsia="Palatino Linotype" w:hAnsi="Palatino Linotype" w:cs="Palatino Linotype"/>
        </w:rPr>
        <w:t>.</w:t>
      </w:r>
    </w:p>
    <w:p w14:paraId="737D255F" w14:textId="77777777" w:rsidR="00B8018A" w:rsidRPr="00FD489D" w:rsidRDefault="00B8018A">
      <w:pPr>
        <w:tabs>
          <w:tab w:val="left" w:pos="4962"/>
        </w:tabs>
        <w:spacing w:line="360" w:lineRule="auto"/>
        <w:ind w:right="7"/>
        <w:jc w:val="both"/>
        <w:rPr>
          <w:rFonts w:ascii="Palatino Linotype" w:eastAsia="Palatino Linotype" w:hAnsi="Palatino Linotype" w:cs="Palatino Linotype"/>
        </w:rPr>
      </w:pPr>
    </w:p>
    <w:p w14:paraId="737D2560"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Además, que las Instituciones Policiales, se conforman del personal administrativo, que son los trabajadores de apoyo (chofer, personal de mantenimiento, servicios generales y área secretaría); así como, el personal de mando (alto, medio y superior), que es aquel que realiza funciones de dirección, coordinación y supervisión, por lo cual, corresponde a aquel que tenga trabajadores a su cargo.</w:t>
      </w:r>
    </w:p>
    <w:p w14:paraId="737D2561" w14:textId="77777777" w:rsidR="00B8018A" w:rsidRPr="00FD489D" w:rsidRDefault="00B8018A">
      <w:pPr>
        <w:spacing w:line="360" w:lineRule="auto"/>
        <w:ind w:right="7"/>
        <w:jc w:val="both"/>
        <w:rPr>
          <w:rFonts w:ascii="Palatino Linotype" w:eastAsia="Palatino Linotype" w:hAnsi="Palatino Linotype" w:cs="Palatino Linotype"/>
        </w:rPr>
      </w:pPr>
    </w:p>
    <w:p w14:paraId="737D2562"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lastRenderedPageBreak/>
        <w:t>De tales circunstancias, se puede observar que la Dirección de Seguridad Pública, tiene dos clases de servidores públicos, por una parte, los operativos (policía municipal) y por otra, los administrativos, de apoyo y personal de mando, los cuales no realizan funciones operativas.</w:t>
      </w:r>
    </w:p>
    <w:p w14:paraId="737D2563" w14:textId="77777777" w:rsidR="00B8018A" w:rsidRPr="00FD489D" w:rsidRDefault="00B8018A">
      <w:pPr>
        <w:spacing w:line="360" w:lineRule="auto"/>
        <w:ind w:right="7"/>
        <w:jc w:val="both"/>
        <w:rPr>
          <w:rFonts w:ascii="Palatino Linotype" w:eastAsia="Palatino Linotype" w:hAnsi="Palatino Linotype" w:cs="Palatino Linotype"/>
        </w:rPr>
      </w:pPr>
    </w:p>
    <w:p w14:paraId="737D2564"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737D2565" w14:textId="77777777" w:rsidR="00B8018A" w:rsidRPr="00FD489D" w:rsidRDefault="00B8018A">
      <w:pPr>
        <w:spacing w:line="360" w:lineRule="auto"/>
        <w:ind w:right="7"/>
        <w:jc w:val="both"/>
        <w:rPr>
          <w:rFonts w:ascii="Palatino Linotype" w:eastAsia="Palatino Linotype" w:hAnsi="Palatino Linotype" w:cs="Palatino Linotype"/>
        </w:rPr>
      </w:pPr>
    </w:p>
    <w:p w14:paraId="737D2566"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 xml:space="preserve">Lo anterior, se robustece con las Cifras de Incidencia Delictiva Municipal 2015-2021, publicado por el Secretariado Ejecutivo del Sistema Nacional de Seguridad Pública, en la página </w:t>
      </w:r>
      <w:hyperlink r:id="rId17">
        <w:r w:rsidRPr="00FD489D">
          <w:rPr>
            <w:rFonts w:ascii="Palatino Linotype" w:eastAsia="Palatino Linotype" w:hAnsi="Palatino Linotype" w:cs="Palatino Linotype"/>
            <w:color w:val="0563C1"/>
            <w:u w:val="single"/>
          </w:rPr>
          <w:t>https://www.gob.mx/sesnsp/acciones-y-programas/incidencia-delictiva-del-fuero-comun-nueva-metodologia?state=published</w:t>
        </w:r>
      </w:hyperlink>
      <w:r w:rsidRPr="00FD489D">
        <w:rPr>
          <w:rFonts w:ascii="Palatino Linotype" w:eastAsia="Palatino Linotype" w:hAnsi="Palatino Linotype" w:cs="Palatino Linotype"/>
        </w:rPr>
        <w:t xml:space="preserve"> (consultado el once de enero de dos mil veintidós, a las dieciséis horas con tres minutos) de cual se desprenden que durante el dos mil veintiuno, se cometieron diversos delitos, entre los cuales, se encuentran las lesiones </w:t>
      </w:r>
      <w:r w:rsidRPr="00FD489D">
        <w:rPr>
          <w:rFonts w:ascii="Palatino Linotype" w:eastAsia="Palatino Linotype" w:hAnsi="Palatino Linotype" w:cs="Palatino Linotype"/>
        </w:rPr>
        <w:lastRenderedPageBreak/>
        <w:t xml:space="preserve">dolosas, robo de casa habitación, vehículo automotor o transporte, fraudes y violencia familiar; hechos que pueden llegar a ser atendidos directamente por este personal operativo en apoyo de los afectados o incluso de las autoridades encargadas de la procuración de justicia. </w:t>
      </w:r>
    </w:p>
    <w:p w14:paraId="737D2567" w14:textId="77777777" w:rsidR="00B8018A" w:rsidRPr="00FD489D" w:rsidRDefault="00B8018A">
      <w:pPr>
        <w:spacing w:line="360" w:lineRule="auto"/>
        <w:ind w:right="7"/>
        <w:jc w:val="both"/>
        <w:rPr>
          <w:rFonts w:ascii="Palatino Linotype" w:eastAsia="Palatino Linotype" w:hAnsi="Palatino Linotype" w:cs="Palatino Linotype"/>
        </w:rPr>
      </w:pPr>
    </w:p>
    <w:p w14:paraId="737D2568"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De tal situación, se considera que dar a conocer el nombre de los elementos operativos, que incluye a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737D2569" w14:textId="77777777" w:rsidR="00B8018A" w:rsidRPr="00FD489D" w:rsidRDefault="00B8018A">
      <w:pPr>
        <w:spacing w:line="360" w:lineRule="auto"/>
        <w:ind w:right="7"/>
        <w:jc w:val="both"/>
        <w:rPr>
          <w:rFonts w:ascii="Palatino Linotype" w:eastAsia="Palatino Linotype" w:hAnsi="Palatino Linotype" w:cs="Palatino Linotype"/>
        </w:rPr>
      </w:pPr>
    </w:p>
    <w:p w14:paraId="737D256A"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b/>
        </w:rPr>
      </w:pPr>
      <w:r w:rsidRPr="00FD489D">
        <w:rPr>
          <w:rFonts w:ascii="Palatino Linotype" w:eastAsia="Palatino Linotype" w:hAnsi="Palatino Linotype" w:cs="Palatino Linotype"/>
        </w:rPr>
        <w:t xml:space="preserve">Por tales consideraciones, </w:t>
      </w:r>
      <w:r w:rsidRPr="00FD489D">
        <w:rPr>
          <w:rFonts w:ascii="Palatino Linotype" w:eastAsia="Palatino Linotype" w:hAnsi="Palatino Linotype" w:cs="Palatino Linotype"/>
          <w:b/>
        </w:rPr>
        <w:t>resulta procedente la reserva del nombre de los elementos operativos de la Dirección de Seguridad Ciudadana y Protección Civil, lo cual incluye a los policías municipales, en términos del artículo 140, fracción IV, de de la Ley de Transparencia y Acceso a la Información Pública del Estado de México y Municipios.</w:t>
      </w:r>
    </w:p>
    <w:p w14:paraId="737D256B" w14:textId="77777777" w:rsidR="00B8018A" w:rsidRPr="00FD489D" w:rsidRDefault="00B8018A">
      <w:pPr>
        <w:spacing w:line="360" w:lineRule="auto"/>
        <w:ind w:right="7"/>
        <w:jc w:val="both"/>
        <w:rPr>
          <w:rFonts w:ascii="Palatino Linotype" w:eastAsia="Palatino Linotype" w:hAnsi="Palatino Linotype" w:cs="Palatino Linotype"/>
        </w:rPr>
      </w:pPr>
    </w:p>
    <w:p w14:paraId="737D256C"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737D256D" w14:textId="77777777" w:rsidR="00B8018A" w:rsidRPr="00FD489D" w:rsidRDefault="00B8018A">
      <w:pPr>
        <w:tabs>
          <w:tab w:val="left" w:pos="4962"/>
        </w:tabs>
        <w:spacing w:line="360" w:lineRule="auto"/>
        <w:ind w:right="7"/>
        <w:jc w:val="both"/>
        <w:rPr>
          <w:rFonts w:ascii="Palatino Linotype" w:eastAsia="Palatino Linotype" w:hAnsi="Palatino Linotype" w:cs="Palatino Linotype"/>
        </w:rPr>
      </w:pPr>
    </w:p>
    <w:p w14:paraId="737D256E" w14:textId="77777777" w:rsidR="00B8018A" w:rsidRPr="00FD489D" w:rsidRDefault="00FA493A">
      <w:pPr>
        <w:numPr>
          <w:ilvl w:val="0"/>
          <w:numId w:val="8"/>
        </w:numPr>
        <w:tabs>
          <w:tab w:val="left" w:pos="4962"/>
        </w:tabs>
        <w:spacing w:line="360" w:lineRule="auto"/>
        <w:ind w:right="7"/>
        <w:jc w:val="both"/>
        <w:rPr>
          <w:rFonts w:ascii="Palatino Linotype" w:eastAsia="Palatino Linotype" w:hAnsi="Palatino Linotype" w:cs="Palatino Linotype"/>
        </w:rPr>
      </w:pPr>
      <w:r w:rsidRPr="00FD489D">
        <w:rPr>
          <w:rFonts w:ascii="Palatino Linotype" w:eastAsia="Palatino Linotype" w:hAnsi="Palatino Linotype" w:cs="Palatino Linotype"/>
        </w:rPr>
        <w:t>La divulgación de la información representa un riesgo real, demostrable e identificable de perjuicio significativo al interés público o a la seguridad nacional.</w:t>
      </w:r>
    </w:p>
    <w:p w14:paraId="737D256F" w14:textId="77777777" w:rsidR="00B8018A" w:rsidRPr="00FD489D" w:rsidRDefault="00B8018A">
      <w:pPr>
        <w:tabs>
          <w:tab w:val="left" w:pos="4962"/>
        </w:tabs>
        <w:spacing w:line="360" w:lineRule="auto"/>
        <w:ind w:right="7"/>
        <w:jc w:val="both"/>
        <w:rPr>
          <w:rFonts w:ascii="Palatino Linotype" w:eastAsia="Palatino Linotype" w:hAnsi="Palatino Linotype" w:cs="Palatino Linotype"/>
        </w:rPr>
      </w:pPr>
    </w:p>
    <w:p w14:paraId="737D2570" w14:textId="77777777" w:rsidR="00B8018A" w:rsidRPr="00FD489D" w:rsidRDefault="00FA493A">
      <w:pPr>
        <w:numPr>
          <w:ilvl w:val="0"/>
          <w:numId w:val="8"/>
        </w:numPr>
        <w:tabs>
          <w:tab w:val="left" w:pos="4962"/>
        </w:tabs>
        <w:spacing w:line="360" w:lineRule="auto"/>
        <w:ind w:right="7"/>
        <w:jc w:val="both"/>
        <w:rPr>
          <w:rFonts w:ascii="Palatino Linotype" w:eastAsia="Palatino Linotype" w:hAnsi="Palatino Linotype" w:cs="Palatino Linotype"/>
        </w:rPr>
      </w:pPr>
      <w:r w:rsidRPr="00FD489D">
        <w:rPr>
          <w:rFonts w:ascii="Palatino Linotype" w:eastAsia="Palatino Linotype" w:hAnsi="Palatino Linotype" w:cs="Palatino Linotype"/>
        </w:rPr>
        <w:t>El riesgo de perjuicio supera el interés público general de que se difunda.</w:t>
      </w:r>
    </w:p>
    <w:p w14:paraId="737D2571" w14:textId="77777777" w:rsidR="00B8018A" w:rsidRPr="00FD489D" w:rsidRDefault="00B8018A">
      <w:pPr>
        <w:tabs>
          <w:tab w:val="left" w:pos="4962"/>
        </w:tabs>
        <w:spacing w:line="360" w:lineRule="auto"/>
        <w:ind w:right="7"/>
        <w:jc w:val="both"/>
        <w:rPr>
          <w:rFonts w:ascii="Palatino Linotype" w:eastAsia="Palatino Linotype" w:hAnsi="Palatino Linotype" w:cs="Palatino Linotype"/>
        </w:rPr>
      </w:pPr>
    </w:p>
    <w:p w14:paraId="737D2572" w14:textId="77777777" w:rsidR="00B8018A" w:rsidRPr="00FD489D" w:rsidRDefault="00FA493A">
      <w:pPr>
        <w:numPr>
          <w:ilvl w:val="0"/>
          <w:numId w:val="8"/>
        </w:numPr>
        <w:tabs>
          <w:tab w:val="left" w:pos="4962"/>
        </w:tabs>
        <w:spacing w:line="360" w:lineRule="auto"/>
        <w:ind w:right="7"/>
        <w:jc w:val="both"/>
        <w:rPr>
          <w:rFonts w:ascii="Palatino Linotype" w:eastAsia="Palatino Linotype" w:hAnsi="Palatino Linotype" w:cs="Palatino Linotype"/>
        </w:rPr>
      </w:pPr>
      <w:r w:rsidRPr="00FD489D">
        <w:rPr>
          <w:rFonts w:ascii="Palatino Linotype" w:eastAsia="Palatino Linotype" w:hAnsi="Palatino Linotype" w:cs="Palatino Linotype"/>
        </w:rPr>
        <w:t>Que la limitación se adecua al principio de proporcionalidad y representa el medio menos restrictivo disponible para evitar el perjuicio.</w:t>
      </w:r>
    </w:p>
    <w:p w14:paraId="737D2573" w14:textId="77777777" w:rsidR="00B8018A" w:rsidRPr="00FD489D" w:rsidRDefault="00B8018A">
      <w:pPr>
        <w:spacing w:line="360" w:lineRule="auto"/>
        <w:ind w:right="7"/>
        <w:jc w:val="both"/>
        <w:rPr>
          <w:rFonts w:ascii="Palatino Linotype" w:eastAsia="Palatino Linotype" w:hAnsi="Palatino Linotype" w:cs="Palatino Linotype"/>
        </w:rPr>
      </w:pPr>
    </w:p>
    <w:p w14:paraId="737D2574"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Además, el artículo 125 de la Ley de la materia, establece 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versiones públicas, deberá clasificar el nombre y cargo de los elementos operativos de la Comisaría General de Seguridad Pública y Tránsito Municipal, de manera fundada y motivada, mediante la respectiva prueba de daño.</w:t>
      </w:r>
    </w:p>
    <w:p w14:paraId="737D2575" w14:textId="77777777" w:rsidR="00B8018A" w:rsidRPr="00FD489D" w:rsidRDefault="00B8018A">
      <w:pPr>
        <w:spacing w:line="360" w:lineRule="auto"/>
        <w:ind w:right="7"/>
        <w:jc w:val="both"/>
        <w:rPr>
          <w:rFonts w:ascii="Palatino Linotype" w:eastAsia="Palatino Linotype" w:hAnsi="Palatino Linotype" w:cs="Palatino Linotype"/>
        </w:rPr>
      </w:pPr>
    </w:p>
    <w:p w14:paraId="737D2576"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rPr>
      </w:pPr>
      <w:r w:rsidRPr="00FD489D">
        <w:rPr>
          <w:rFonts w:ascii="Palatino Linotype" w:eastAsia="Palatino Linotype" w:hAnsi="Palatino Linotype" w:cs="Palatino Linotype"/>
        </w:rPr>
        <w:t xml:space="preserve">Por lo que, para atender el requerimiento deberá proporcionar los documentos solicitados en versión pública; para tal situación, el Sujeto Obligado deberá seguir el </w:t>
      </w:r>
      <w:r w:rsidRPr="00FD489D">
        <w:rPr>
          <w:rFonts w:ascii="Palatino Linotype" w:eastAsia="Palatino Linotype" w:hAnsi="Palatino Linotype" w:cs="Palatino Linotype"/>
        </w:rPr>
        <w:lastRenderedPageBreak/>
        <w:t>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manera enunciativa más no limitativa los datos previamente señalados, fundando y motivando la clasificación.</w:t>
      </w:r>
    </w:p>
    <w:p w14:paraId="737D2577" w14:textId="77777777" w:rsidR="00B8018A" w:rsidRPr="00FD489D" w:rsidRDefault="00B8018A">
      <w:pPr>
        <w:spacing w:line="360" w:lineRule="auto"/>
        <w:ind w:right="7"/>
        <w:jc w:val="both"/>
        <w:rPr>
          <w:rFonts w:ascii="Palatino Linotype" w:eastAsia="Palatino Linotype" w:hAnsi="Palatino Linotype" w:cs="Palatino Linotype"/>
          <w:color w:val="FF0000"/>
        </w:rPr>
      </w:pPr>
    </w:p>
    <w:p w14:paraId="737D2578" w14:textId="77777777" w:rsidR="00B8018A" w:rsidRPr="00FD489D" w:rsidRDefault="00FA493A">
      <w:pPr>
        <w:keepNext/>
        <w:keepLines/>
        <w:spacing w:line="360" w:lineRule="auto"/>
        <w:ind w:right="7"/>
        <w:jc w:val="both"/>
        <w:rPr>
          <w:rFonts w:ascii="Palatino Linotype" w:eastAsia="Palatino Linotype" w:hAnsi="Palatino Linotype" w:cs="Palatino Linotype"/>
          <w:b/>
          <w:color w:val="000000"/>
        </w:rPr>
      </w:pPr>
      <w:bookmarkStart w:id="2" w:name="_heading=h.1fob9te" w:colFirst="0" w:colLast="0"/>
      <w:bookmarkEnd w:id="2"/>
      <w:r w:rsidRPr="00FD489D">
        <w:rPr>
          <w:rFonts w:ascii="Palatino Linotype" w:eastAsia="Palatino Linotype" w:hAnsi="Palatino Linotype" w:cs="Palatino Linotype"/>
          <w:b/>
          <w:color w:val="000000"/>
        </w:rPr>
        <w:t>QUINTO. De la versión pública.</w:t>
      </w:r>
    </w:p>
    <w:p w14:paraId="737D2579" w14:textId="77777777" w:rsidR="00B8018A" w:rsidRPr="00FD489D" w:rsidRDefault="00B8018A">
      <w:pPr>
        <w:spacing w:line="360" w:lineRule="auto"/>
        <w:ind w:right="7"/>
        <w:jc w:val="both"/>
        <w:rPr>
          <w:rFonts w:ascii="Palatino Linotype" w:eastAsia="Palatino Linotype" w:hAnsi="Palatino Linotype" w:cs="Palatino Linotype"/>
        </w:rPr>
      </w:pPr>
    </w:p>
    <w:p w14:paraId="737D257A" w14:textId="77777777" w:rsidR="00B8018A" w:rsidRPr="00FD489D" w:rsidRDefault="00FA493A">
      <w:pPr>
        <w:keepNext/>
        <w:keepLines/>
        <w:numPr>
          <w:ilvl w:val="0"/>
          <w:numId w:val="2"/>
        </w:numPr>
        <w:tabs>
          <w:tab w:val="left" w:pos="284"/>
        </w:tabs>
        <w:spacing w:line="360" w:lineRule="auto"/>
        <w:ind w:right="7"/>
        <w:jc w:val="both"/>
        <w:rPr>
          <w:rFonts w:ascii="Palatino Linotype" w:eastAsia="Palatino Linotype" w:hAnsi="Palatino Linotype" w:cs="Palatino Linotype"/>
          <w:b/>
          <w:color w:val="000000"/>
        </w:rPr>
      </w:pPr>
      <w:bookmarkStart w:id="3" w:name="_heading=h.3znysh7" w:colFirst="0" w:colLast="0"/>
      <w:bookmarkEnd w:id="3"/>
      <w:r w:rsidRPr="00FD489D">
        <w:rPr>
          <w:rFonts w:ascii="Palatino Linotype" w:eastAsia="Palatino Linotype" w:hAnsi="Palatino Linotype" w:cs="Palatino Linotype"/>
          <w:b/>
          <w:color w:val="000000"/>
        </w:rPr>
        <w:t xml:space="preserve">Nociones generales. </w:t>
      </w:r>
    </w:p>
    <w:p w14:paraId="737D257B"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Debe destacarse que, debido a la naturaleza de la información solicitada</w:t>
      </w:r>
      <w:r w:rsidRPr="00FD489D">
        <w:rPr>
          <w:rFonts w:ascii="Palatino Linotype" w:eastAsia="Palatino Linotype" w:hAnsi="Palatino Linotype" w:cs="Palatino Linotype"/>
          <w:b/>
          <w:color w:val="000000"/>
        </w:rPr>
        <w:t xml:space="preserve">, </w:t>
      </w:r>
      <w:r w:rsidRPr="00FD489D">
        <w:rPr>
          <w:rFonts w:ascii="Palatino Linotype" w:eastAsia="Palatino Linotype" w:hAnsi="Palatino Linotype" w:cs="Palatino Linotype"/>
        </w:rPr>
        <w:t>eventualmente</w:t>
      </w:r>
      <w:r w:rsidRPr="00FD489D">
        <w:rPr>
          <w:rFonts w:ascii="Palatino Linotype" w:eastAsia="Palatino Linotype" w:hAnsi="Palatino Linotype" w:cs="Palatino Linotype"/>
          <w:color w:val="000000"/>
        </w:rPr>
        <w:t xml:space="preserve"> pudiera obrar datos personales susceptibles de protegerse, así como información </w:t>
      </w:r>
      <w:r w:rsidRPr="00FD489D">
        <w:rPr>
          <w:rFonts w:ascii="Palatino Linotype" w:eastAsia="Palatino Linotype" w:hAnsi="Palatino Linotype" w:cs="Palatino Linotype"/>
        </w:rPr>
        <w:t>susceptible</w:t>
      </w:r>
      <w:r w:rsidRPr="00FD489D">
        <w:rPr>
          <w:rFonts w:ascii="Palatino Linotype" w:eastAsia="Palatino Linotype" w:hAnsi="Palatino Linotype" w:cs="Palatino Linotype"/>
          <w:color w:val="000000"/>
        </w:rPr>
        <w:t xml:space="preserve"> de clasificarse como reservada, el </w:t>
      </w:r>
      <w:r w:rsidRPr="00FD489D">
        <w:rPr>
          <w:rFonts w:ascii="Palatino Linotype" w:eastAsia="Palatino Linotype" w:hAnsi="Palatino Linotype" w:cs="Palatino Linotype"/>
          <w:b/>
          <w:color w:val="000000"/>
        </w:rPr>
        <w:t xml:space="preserve">SUJETO OBLIGADO </w:t>
      </w:r>
      <w:r w:rsidRPr="00FD489D">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737D257C" w14:textId="77777777" w:rsidR="00B8018A" w:rsidRPr="00FD489D" w:rsidRDefault="00B8018A">
      <w:pPr>
        <w:tabs>
          <w:tab w:val="left" w:pos="0"/>
          <w:tab w:val="left" w:pos="284"/>
        </w:tabs>
        <w:spacing w:line="360" w:lineRule="auto"/>
        <w:ind w:right="7"/>
        <w:jc w:val="both"/>
        <w:rPr>
          <w:rFonts w:ascii="Palatino Linotype" w:eastAsia="Palatino Linotype" w:hAnsi="Palatino Linotype" w:cs="Palatino Linotype"/>
        </w:rPr>
      </w:pPr>
    </w:p>
    <w:p w14:paraId="737D257D"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color w:val="000000"/>
        </w:rPr>
        <w:t>No pasa desapercibido para este Órgano Garante que los sujetos obligados</w:t>
      </w:r>
      <w:r w:rsidRPr="00FD489D">
        <w:rPr>
          <w:rFonts w:ascii="Palatino Linotype" w:eastAsia="Palatino Linotype" w:hAnsi="Palatino Linotype" w:cs="Palatino Linotype"/>
          <w:b/>
          <w:color w:val="000000"/>
        </w:rPr>
        <w:t xml:space="preserve"> </w:t>
      </w:r>
      <w:r w:rsidRPr="00FD489D">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737D257E" w14:textId="77777777" w:rsidR="00B8018A" w:rsidRPr="00FD489D" w:rsidRDefault="00B8018A">
      <w:pPr>
        <w:tabs>
          <w:tab w:val="left" w:pos="284"/>
        </w:tabs>
        <w:spacing w:line="360" w:lineRule="auto"/>
        <w:ind w:right="7"/>
        <w:jc w:val="both"/>
        <w:rPr>
          <w:rFonts w:ascii="Palatino Linotype" w:eastAsia="Palatino Linotype" w:hAnsi="Palatino Linotype" w:cs="Palatino Linotype"/>
          <w:color w:val="000000"/>
        </w:rPr>
      </w:pPr>
    </w:p>
    <w:tbl>
      <w:tblPr>
        <w:tblStyle w:val="a6"/>
        <w:tblW w:w="8926" w:type="dxa"/>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237"/>
      </w:tblGrid>
      <w:tr w:rsidR="00B8018A" w:rsidRPr="00FD489D" w14:paraId="737D2584" w14:textId="77777777" w:rsidTr="00B801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37D257F" w14:textId="77777777" w:rsidR="00B8018A" w:rsidRPr="00FD489D" w:rsidRDefault="00FA493A">
            <w:pPr>
              <w:tabs>
                <w:tab w:val="left" w:pos="284"/>
              </w:tabs>
              <w:spacing w:line="360" w:lineRule="auto"/>
              <w:ind w:right="7"/>
              <w:jc w:val="both"/>
              <w:rPr>
                <w:rFonts w:ascii="Palatino Linotype" w:eastAsia="Palatino Linotype" w:hAnsi="Palatino Linotype" w:cs="Palatino Linotype"/>
                <w:sz w:val="24"/>
                <w:szCs w:val="24"/>
              </w:rPr>
            </w:pPr>
            <w:r w:rsidRPr="00FD489D">
              <w:rPr>
                <w:rFonts w:ascii="Palatino Linotype" w:eastAsia="Palatino Linotype" w:hAnsi="Palatino Linotype" w:cs="Palatino Linotype"/>
                <w:sz w:val="24"/>
                <w:szCs w:val="24"/>
              </w:rPr>
              <w:lastRenderedPageBreak/>
              <w:t>a) Requisitos previos.</w:t>
            </w:r>
          </w:p>
        </w:tc>
        <w:tc>
          <w:tcPr>
            <w:tcW w:w="6237" w:type="dxa"/>
          </w:tcPr>
          <w:p w14:paraId="737D2580" w14:textId="77777777" w:rsidR="00B8018A" w:rsidRPr="00FD489D" w:rsidRDefault="00FA493A">
            <w:pPr>
              <w:tabs>
                <w:tab w:val="left" w:pos="284"/>
              </w:tabs>
              <w:spacing w:line="360" w:lineRule="auto"/>
              <w:ind w:right="7"/>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FD489D">
              <w:rPr>
                <w:rFonts w:ascii="Palatino Linotype" w:eastAsia="Palatino Linotype" w:hAnsi="Palatino Linotype" w:cs="Palatino Linotype"/>
                <w:color w:val="000000"/>
                <w:sz w:val="24"/>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37D2581" w14:textId="77777777" w:rsidR="00B8018A" w:rsidRPr="00FD489D" w:rsidRDefault="00FA493A">
            <w:pPr>
              <w:tabs>
                <w:tab w:val="left" w:pos="284"/>
              </w:tabs>
              <w:spacing w:line="360" w:lineRule="auto"/>
              <w:ind w:right="7"/>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FD489D">
              <w:rPr>
                <w:rFonts w:ascii="Palatino Linotype" w:eastAsia="Palatino Linotype" w:hAnsi="Palatino Linotype" w:cs="Palatino Linotype"/>
                <w:color w:val="000000"/>
                <w:sz w:val="24"/>
                <w:szCs w:val="24"/>
              </w:rPr>
              <w:t>Al hacerlo tienen que precisar de qué información se trata, señalando el supuesto de clasificación (confidencialidad o reserva).</w:t>
            </w:r>
          </w:p>
          <w:p w14:paraId="737D2582" w14:textId="77777777" w:rsidR="00B8018A" w:rsidRPr="00FD489D" w:rsidRDefault="00FA493A">
            <w:pPr>
              <w:tabs>
                <w:tab w:val="left" w:pos="284"/>
              </w:tabs>
              <w:spacing w:line="360" w:lineRule="auto"/>
              <w:ind w:right="7"/>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FD489D">
              <w:rPr>
                <w:rFonts w:ascii="Palatino Linotype" w:eastAsia="Palatino Linotype" w:hAnsi="Palatino Linotype" w:cs="Palatino Linotype"/>
                <w:color w:val="000000"/>
                <w:sz w:val="24"/>
                <w:szCs w:val="24"/>
              </w:rPr>
              <w:t>Además, se debe señalar el procedimiento, de los tres que establecen los artículos 132 y 106 de la Ley Estatal y General, respectivamente.</w:t>
            </w:r>
          </w:p>
          <w:p w14:paraId="737D2583" w14:textId="77777777" w:rsidR="00B8018A" w:rsidRPr="00FD489D" w:rsidRDefault="00FA493A">
            <w:pPr>
              <w:tabs>
                <w:tab w:val="left" w:pos="284"/>
              </w:tabs>
              <w:spacing w:line="360" w:lineRule="auto"/>
              <w:ind w:right="7"/>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FD489D">
              <w:rPr>
                <w:rFonts w:ascii="Palatino Linotype" w:eastAsia="Palatino Linotype" w:hAnsi="Palatino Linotype" w:cs="Palatino Linotype"/>
                <w:color w:val="000000"/>
                <w:sz w:val="24"/>
                <w:szCs w:val="24"/>
              </w:rPr>
              <w:t xml:space="preserve">El último de estos requisitos previos consiste en que no se pueden emitir acuerdos de carácter general ni particular, esto es, </w:t>
            </w:r>
            <w:r w:rsidRPr="00FD489D">
              <w:rPr>
                <w:rFonts w:ascii="Palatino Linotype" w:eastAsia="Palatino Linotype" w:hAnsi="Palatino Linotype" w:cs="Palatino Linotype"/>
                <w:color w:val="000000"/>
                <w:sz w:val="24"/>
                <w:szCs w:val="24"/>
                <w:u w:val="single"/>
              </w:rPr>
              <w:t>no se puede hacer un acuerdo para clasificar de manera general todos los documentos de un expediente o área, sin</w:t>
            </w:r>
            <w:r w:rsidRPr="00FD489D">
              <w:rPr>
                <w:rFonts w:ascii="Palatino Linotype" w:eastAsia="Palatino Linotype" w:hAnsi="Palatino Linotype" w:cs="Palatino Linotype"/>
                <w:color w:val="000000"/>
                <w:sz w:val="24"/>
                <w:szCs w:val="24"/>
              </w:rPr>
              <w:t xml:space="preserve"> individualizar su análisis y tampoco se puede hacer un acuerdo por cada dato que se vaya a clasificar dentro de un documento con diez datos, por ejemplo, susceptibles de ser clasificados.</w:t>
            </w:r>
          </w:p>
        </w:tc>
      </w:tr>
      <w:tr w:rsidR="00B8018A" w:rsidRPr="00FD489D" w14:paraId="737D2589" w14:textId="77777777" w:rsidTr="00B80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37D2585" w14:textId="77777777" w:rsidR="00B8018A" w:rsidRPr="00FD489D" w:rsidRDefault="00FA493A">
            <w:pPr>
              <w:tabs>
                <w:tab w:val="left" w:pos="284"/>
              </w:tabs>
              <w:spacing w:line="360" w:lineRule="auto"/>
              <w:ind w:right="7"/>
              <w:jc w:val="both"/>
              <w:rPr>
                <w:rFonts w:ascii="Palatino Linotype" w:eastAsia="Palatino Linotype" w:hAnsi="Palatino Linotype" w:cs="Palatino Linotype"/>
                <w:sz w:val="24"/>
                <w:szCs w:val="24"/>
              </w:rPr>
            </w:pPr>
            <w:r w:rsidRPr="00FD489D">
              <w:rPr>
                <w:rFonts w:ascii="Palatino Linotype" w:eastAsia="Palatino Linotype" w:hAnsi="Palatino Linotype" w:cs="Palatino Linotype"/>
                <w:sz w:val="24"/>
                <w:szCs w:val="24"/>
              </w:rPr>
              <w:t>b) Supuestos de clasificación.</w:t>
            </w:r>
          </w:p>
        </w:tc>
        <w:tc>
          <w:tcPr>
            <w:tcW w:w="6237" w:type="dxa"/>
          </w:tcPr>
          <w:p w14:paraId="737D2586" w14:textId="77777777" w:rsidR="00B8018A" w:rsidRPr="00FD489D" w:rsidRDefault="00FA493A">
            <w:pPr>
              <w:tabs>
                <w:tab w:val="left" w:pos="284"/>
              </w:tabs>
              <w:spacing w:line="360" w:lineRule="auto"/>
              <w:ind w:right="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FD489D">
              <w:rPr>
                <w:rFonts w:ascii="Palatino Linotype" w:eastAsia="Palatino Linotype" w:hAnsi="Palatino Linotype" w:cs="Palatino Linotype"/>
                <w:color w:val="000000"/>
                <w:sz w:val="24"/>
                <w:szCs w:val="24"/>
              </w:rPr>
              <w:t>Las disposiciones constitucionales y legales en la materia establecen los dos supuestos generales para clasificar la información: por reserva y por confidencialidad.</w:t>
            </w:r>
          </w:p>
          <w:p w14:paraId="737D2587" w14:textId="77777777" w:rsidR="00B8018A" w:rsidRPr="00FD489D" w:rsidRDefault="00FA493A">
            <w:pPr>
              <w:tabs>
                <w:tab w:val="left" w:pos="284"/>
              </w:tabs>
              <w:spacing w:line="360" w:lineRule="auto"/>
              <w:ind w:right="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FD489D">
              <w:rPr>
                <w:rFonts w:ascii="Palatino Linotype" w:eastAsia="Palatino Linotype" w:hAnsi="Palatino Linotype" w:cs="Palatino Linotype"/>
                <w:color w:val="000000"/>
                <w:sz w:val="24"/>
                <w:szCs w:val="24"/>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37D2588" w14:textId="77777777" w:rsidR="00B8018A" w:rsidRPr="00FD489D" w:rsidRDefault="00FA493A">
            <w:pPr>
              <w:tabs>
                <w:tab w:val="left" w:pos="284"/>
              </w:tabs>
              <w:spacing w:line="360" w:lineRule="auto"/>
              <w:ind w:right="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4"/>
                <w:szCs w:val="24"/>
              </w:rPr>
            </w:pPr>
            <w:r w:rsidRPr="00FD489D">
              <w:rPr>
                <w:rFonts w:ascii="Palatino Linotype" w:eastAsia="Palatino Linotype" w:hAnsi="Palatino Linotype" w:cs="Palatino Linotype"/>
                <w:color w:val="000000"/>
                <w:sz w:val="24"/>
                <w:szCs w:val="24"/>
              </w:rPr>
              <w:t xml:space="preserve">El </w:t>
            </w:r>
            <w:r w:rsidRPr="00FD489D">
              <w:rPr>
                <w:rFonts w:ascii="Palatino Linotype" w:eastAsia="Palatino Linotype" w:hAnsi="Palatino Linotype" w:cs="Palatino Linotype"/>
                <w:b/>
                <w:color w:val="000000"/>
                <w:sz w:val="24"/>
                <w:szCs w:val="24"/>
              </w:rPr>
              <w:t>Sujeto Obligado</w:t>
            </w:r>
            <w:r w:rsidRPr="00FD489D">
              <w:rPr>
                <w:rFonts w:ascii="Palatino Linotype" w:eastAsia="Palatino Linotype" w:hAnsi="Palatino Linotype" w:cs="Palatino Linotype"/>
                <w:color w:val="000000"/>
                <w:sz w:val="24"/>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B8018A" w:rsidRPr="00FD489D" w14:paraId="737D258E" w14:textId="77777777" w:rsidTr="00B8018A">
        <w:tc>
          <w:tcPr>
            <w:cnfStyle w:val="001000000000" w:firstRow="0" w:lastRow="0" w:firstColumn="1" w:lastColumn="0" w:oddVBand="0" w:evenVBand="0" w:oddHBand="0" w:evenHBand="0" w:firstRowFirstColumn="0" w:firstRowLastColumn="0" w:lastRowFirstColumn="0" w:lastRowLastColumn="0"/>
            <w:tcW w:w="2689" w:type="dxa"/>
          </w:tcPr>
          <w:p w14:paraId="737D258A" w14:textId="77777777" w:rsidR="00B8018A" w:rsidRPr="00FD489D" w:rsidRDefault="00FA493A">
            <w:pPr>
              <w:tabs>
                <w:tab w:val="left" w:pos="284"/>
              </w:tabs>
              <w:spacing w:line="360" w:lineRule="auto"/>
              <w:ind w:right="7"/>
              <w:jc w:val="both"/>
              <w:rPr>
                <w:rFonts w:ascii="Palatino Linotype" w:eastAsia="Palatino Linotype" w:hAnsi="Palatino Linotype" w:cs="Palatino Linotype"/>
                <w:sz w:val="24"/>
                <w:szCs w:val="24"/>
              </w:rPr>
            </w:pPr>
            <w:r w:rsidRPr="00FD489D">
              <w:rPr>
                <w:rFonts w:ascii="Palatino Linotype" w:eastAsia="Palatino Linotype" w:hAnsi="Palatino Linotype" w:cs="Palatino Linotype"/>
                <w:sz w:val="24"/>
                <w:szCs w:val="24"/>
              </w:rPr>
              <w:lastRenderedPageBreak/>
              <w:t>c) Formalidades para emitir el acuerdo de clasificación.</w:t>
            </w:r>
          </w:p>
        </w:tc>
        <w:tc>
          <w:tcPr>
            <w:tcW w:w="6237" w:type="dxa"/>
          </w:tcPr>
          <w:p w14:paraId="737D258B" w14:textId="77777777" w:rsidR="00B8018A" w:rsidRPr="00FD489D" w:rsidRDefault="00FA493A">
            <w:pPr>
              <w:tabs>
                <w:tab w:val="left" w:pos="284"/>
              </w:tabs>
              <w:spacing w:line="360" w:lineRule="auto"/>
              <w:ind w:right="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FD489D">
              <w:rPr>
                <w:rFonts w:ascii="Palatino Linotype" w:eastAsia="Palatino Linotype" w:hAnsi="Palatino Linotype" w:cs="Palatino Linotype"/>
                <w:color w:val="000000"/>
                <w:sz w:val="24"/>
                <w:szCs w:val="24"/>
              </w:rPr>
              <w:t xml:space="preserve">El Comité de Transparencia, según lo dispuesto en los artículos cuenta con las facultades para aprobar, modificar o revocar la clasificación de la información que haya propuesto. </w:t>
            </w:r>
          </w:p>
          <w:p w14:paraId="737D258C" w14:textId="77777777" w:rsidR="00B8018A" w:rsidRPr="00FD489D" w:rsidRDefault="00FA493A">
            <w:pPr>
              <w:tabs>
                <w:tab w:val="left" w:pos="284"/>
              </w:tabs>
              <w:spacing w:line="360" w:lineRule="auto"/>
              <w:ind w:right="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FD489D">
              <w:rPr>
                <w:rFonts w:ascii="Palatino Linotype" w:eastAsia="Palatino Linotype" w:hAnsi="Palatino Linotype" w:cs="Palatino Linotype"/>
                <w:color w:val="000000"/>
                <w:sz w:val="24"/>
                <w:szCs w:val="24"/>
              </w:rPr>
              <w:t xml:space="preserve">Es necesario que </w:t>
            </w:r>
            <w:r w:rsidRPr="00FD489D">
              <w:rPr>
                <w:rFonts w:ascii="Palatino Linotype" w:eastAsia="Palatino Linotype" w:hAnsi="Palatino Linotype" w:cs="Palatino Linotype"/>
                <w:b/>
                <w:color w:val="000000"/>
                <w:sz w:val="24"/>
                <w:szCs w:val="24"/>
                <w:u w:val="single"/>
              </w:rPr>
              <w:t>el acto reúna con los requisitos elementales</w:t>
            </w:r>
            <w:r w:rsidRPr="00FD489D">
              <w:rPr>
                <w:rFonts w:ascii="Palatino Linotype" w:eastAsia="Palatino Linotype" w:hAnsi="Palatino Linotype" w:cs="Palatino Linotype"/>
                <w:color w:val="000000"/>
                <w:sz w:val="24"/>
                <w:szCs w:val="24"/>
              </w:rPr>
              <w:t>, entre ellos, que la autoridad que va a emitir el acto de autoridad sea la legalmente facultada para ello.</w:t>
            </w:r>
          </w:p>
          <w:p w14:paraId="737D258D" w14:textId="77777777" w:rsidR="00B8018A" w:rsidRPr="00FD489D" w:rsidRDefault="00FA493A">
            <w:pPr>
              <w:tabs>
                <w:tab w:val="left" w:pos="284"/>
              </w:tabs>
              <w:spacing w:line="360" w:lineRule="auto"/>
              <w:ind w:right="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FD489D">
              <w:rPr>
                <w:rFonts w:ascii="Palatino Linotype" w:eastAsia="Palatino Linotype" w:hAnsi="Palatino Linotype" w:cs="Palatino Linotype"/>
                <w:color w:val="000000"/>
                <w:sz w:val="24"/>
                <w:szCs w:val="24"/>
              </w:rPr>
              <w:lastRenderedPageBreak/>
              <w:t xml:space="preserve">La decisión de aprobar, modificar o revocar la clasificación deberá de asentarse en un documento que registre la determinación a la que se llegue después de un análisis minucioso a partir de lo propuesto por el Titular del I. </w:t>
            </w:r>
            <w:r w:rsidRPr="00FD489D">
              <w:rPr>
                <w:rFonts w:ascii="Palatino Linotype" w:eastAsia="Palatino Linotype" w:hAnsi="Palatino Linotype" w:cs="Palatino Linotype"/>
                <w:sz w:val="24"/>
                <w:szCs w:val="24"/>
              </w:rPr>
              <w:t>El área</w:t>
            </w:r>
            <w:r w:rsidRPr="00FD489D">
              <w:rPr>
                <w:rFonts w:ascii="Palatino Linotype" w:eastAsia="Palatino Linotype" w:hAnsi="Palatino Linotype" w:cs="Palatino Linotype"/>
                <w:color w:val="000000"/>
                <w:sz w:val="24"/>
                <w:szCs w:val="24"/>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B8018A" w:rsidRPr="00FD489D" w14:paraId="737D2596" w14:textId="77777777" w:rsidTr="00B80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37D258F" w14:textId="77777777" w:rsidR="00B8018A" w:rsidRPr="00FD489D" w:rsidRDefault="00B8018A">
            <w:pPr>
              <w:tabs>
                <w:tab w:val="left" w:pos="284"/>
              </w:tabs>
              <w:spacing w:line="360" w:lineRule="auto"/>
              <w:ind w:right="7"/>
              <w:jc w:val="both"/>
              <w:rPr>
                <w:rFonts w:ascii="Palatino Linotype" w:eastAsia="Palatino Linotype" w:hAnsi="Palatino Linotype" w:cs="Palatino Linotype"/>
                <w:sz w:val="24"/>
                <w:szCs w:val="24"/>
              </w:rPr>
            </w:pPr>
          </w:p>
          <w:p w14:paraId="737D2590" w14:textId="77777777" w:rsidR="00B8018A" w:rsidRPr="00FD489D" w:rsidRDefault="00FA493A">
            <w:pPr>
              <w:tabs>
                <w:tab w:val="left" w:pos="284"/>
              </w:tabs>
              <w:spacing w:line="360" w:lineRule="auto"/>
              <w:ind w:right="7"/>
              <w:jc w:val="both"/>
              <w:rPr>
                <w:rFonts w:ascii="Palatino Linotype" w:eastAsia="Palatino Linotype" w:hAnsi="Palatino Linotype" w:cs="Palatino Linotype"/>
                <w:sz w:val="24"/>
                <w:szCs w:val="24"/>
              </w:rPr>
            </w:pPr>
            <w:r w:rsidRPr="00FD489D">
              <w:rPr>
                <w:rFonts w:ascii="Palatino Linotype" w:eastAsia="Palatino Linotype" w:hAnsi="Palatino Linotype" w:cs="Palatino Linotype"/>
                <w:color w:val="000000"/>
                <w:sz w:val="24"/>
                <w:szCs w:val="24"/>
              </w:rPr>
              <w:t xml:space="preserve">d) Requisitos de fondo del acuerdo de clasificación. </w:t>
            </w:r>
          </w:p>
        </w:tc>
        <w:tc>
          <w:tcPr>
            <w:tcW w:w="6237" w:type="dxa"/>
          </w:tcPr>
          <w:p w14:paraId="737D2591" w14:textId="77777777" w:rsidR="00B8018A" w:rsidRPr="00FD489D" w:rsidRDefault="00FA493A">
            <w:pPr>
              <w:tabs>
                <w:tab w:val="left" w:pos="284"/>
              </w:tabs>
              <w:spacing w:line="360" w:lineRule="auto"/>
              <w:ind w:right="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FD489D">
              <w:rPr>
                <w:rFonts w:ascii="Palatino Linotype" w:eastAsia="Palatino Linotype" w:hAnsi="Palatino Linotype" w:cs="Palatino Linotype"/>
                <w:color w:val="000000"/>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FD489D">
              <w:rPr>
                <w:rFonts w:ascii="Palatino Linotype" w:eastAsia="Palatino Linotype" w:hAnsi="Palatino Linotype" w:cs="Palatino Linotype"/>
                <w:b/>
                <w:color w:val="000000"/>
                <w:sz w:val="24"/>
                <w:szCs w:val="24"/>
              </w:rPr>
              <w:t>Sujetos Obligados</w:t>
            </w:r>
            <w:r w:rsidRPr="00FD489D">
              <w:rPr>
                <w:rFonts w:ascii="Palatino Linotype" w:eastAsia="Palatino Linotype" w:hAnsi="Palatino Linotype" w:cs="Palatino Linotype"/>
                <w:color w:val="000000"/>
                <w:sz w:val="24"/>
                <w:szCs w:val="24"/>
              </w:rPr>
              <w:t xml:space="preserve">, por lo que deberán fundar y motivar debidamente la clasificación. </w:t>
            </w:r>
          </w:p>
          <w:p w14:paraId="737D2592" w14:textId="77777777" w:rsidR="00B8018A" w:rsidRPr="00FD489D" w:rsidRDefault="00FA493A">
            <w:pPr>
              <w:tabs>
                <w:tab w:val="left" w:pos="284"/>
              </w:tabs>
              <w:spacing w:line="360" w:lineRule="auto"/>
              <w:ind w:right="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FD489D">
              <w:rPr>
                <w:rFonts w:ascii="Palatino Linotype" w:eastAsia="Palatino Linotype" w:hAnsi="Palatino Linotype" w:cs="Palatino Linotype"/>
                <w:color w:val="000000"/>
                <w:sz w:val="24"/>
                <w:szCs w:val="24"/>
              </w:rPr>
              <w:t xml:space="preserve">De lo anterior, se desprende que para una correcta </w:t>
            </w:r>
            <w:r w:rsidRPr="00FD489D">
              <w:rPr>
                <w:rFonts w:ascii="Palatino Linotype" w:eastAsia="Palatino Linotype" w:hAnsi="Palatino Linotype" w:cs="Palatino Linotype"/>
                <w:b/>
                <w:color w:val="000000"/>
                <w:sz w:val="24"/>
                <w:szCs w:val="24"/>
              </w:rPr>
              <w:t>clasificación total o parcial</w:t>
            </w:r>
            <w:r w:rsidRPr="00FD489D">
              <w:rPr>
                <w:rFonts w:ascii="Palatino Linotype" w:eastAsia="Palatino Linotype" w:hAnsi="Palatino Linotype" w:cs="Palatino Linotype"/>
                <w:color w:val="000000"/>
                <w:sz w:val="24"/>
                <w:szCs w:val="24"/>
              </w:rPr>
              <w:t xml:space="preserve">, esto es determinar los datos que se suprimen en las versiones públicas, es necesario fundar y motivar, de manera correcta, la clasificación; considerando que todo acto que la autoridad pronuncie </w:t>
            </w:r>
            <w:r w:rsidRPr="00FD489D">
              <w:rPr>
                <w:rFonts w:ascii="Palatino Linotype" w:eastAsia="Palatino Linotype" w:hAnsi="Palatino Linotype" w:cs="Palatino Linotype"/>
                <w:color w:val="000000"/>
                <w:sz w:val="24"/>
                <w:szCs w:val="24"/>
              </w:rPr>
              <w:lastRenderedPageBreak/>
              <w:t>en el ejercicio de sus atribuciones, debe expresar los fundamentos legales que le dieron origen y las razones por las que se deben aplicar al caso concreto.</w:t>
            </w:r>
          </w:p>
          <w:p w14:paraId="737D2593" w14:textId="77777777" w:rsidR="00B8018A" w:rsidRPr="00FD489D" w:rsidRDefault="00FA493A">
            <w:pPr>
              <w:tabs>
                <w:tab w:val="left" w:pos="284"/>
              </w:tabs>
              <w:spacing w:line="360" w:lineRule="auto"/>
              <w:ind w:right="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FD489D">
              <w:rPr>
                <w:rFonts w:ascii="Palatino Linotype" w:eastAsia="Palatino Linotype" w:hAnsi="Palatino Linotype" w:cs="Palatino Linotype"/>
                <w:color w:val="000000"/>
                <w:sz w:val="24"/>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737D2594" w14:textId="77777777" w:rsidR="00B8018A" w:rsidRPr="00FD489D" w:rsidRDefault="00FA493A">
            <w:pPr>
              <w:tabs>
                <w:tab w:val="left" w:pos="284"/>
              </w:tabs>
              <w:spacing w:line="360" w:lineRule="auto"/>
              <w:ind w:right="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FD489D">
              <w:rPr>
                <w:rFonts w:ascii="Palatino Linotype" w:eastAsia="Palatino Linotype" w:hAnsi="Palatino Linotype" w:cs="Palatino Linotype"/>
                <w:color w:val="000000"/>
                <w:sz w:val="24"/>
                <w:szCs w:val="24"/>
              </w:rPr>
              <w:t>En ese mismo sentido, el numeral trigésimo tercero fracción V de los Lineamientos Generales, precisa que para motivar la clasificación se deben acreditar las circunstancias de tiempo, modo y lugar.</w:t>
            </w:r>
          </w:p>
          <w:p w14:paraId="737D2595" w14:textId="77777777" w:rsidR="00B8018A" w:rsidRPr="00FD489D" w:rsidRDefault="00FA493A">
            <w:pPr>
              <w:tabs>
                <w:tab w:val="left" w:pos="284"/>
              </w:tabs>
              <w:spacing w:line="360" w:lineRule="auto"/>
              <w:ind w:right="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FD489D">
              <w:rPr>
                <w:rFonts w:ascii="Palatino Linotype" w:eastAsia="Palatino Linotype" w:hAnsi="Palatino Linotype" w:cs="Palatino Linotype"/>
                <w:color w:val="000000"/>
                <w:sz w:val="24"/>
                <w:szCs w:val="24"/>
              </w:rPr>
              <w:t xml:space="preserve">Ahora bien, </w:t>
            </w:r>
            <w:r w:rsidRPr="00FD489D">
              <w:rPr>
                <w:rFonts w:ascii="Palatino Linotype" w:eastAsia="Palatino Linotype" w:hAnsi="Palatino Linotype" w:cs="Palatino Linotype"/>
                <w:b/>
                <w:color w:val="000000"/>
                <w:sz w:val="24"/>
                <w:szCs w:val="24"/>
                <w:u w:val="single"/>
              </w:rPr>
              <w:t>para cada caso además de fundar y motivar</w:t>
            </w:r>
            <w:r w:rsidRPr="00FD489D">
              <w:rPr>
                <w:rFonts w:ascii="Palatino Linotype" w:eastAsia="Palatino Linotype" w:hAnsi="Palatino Linotype" w:cs="Palatino Linotype"/>
                <w:color w:val="000000"/>
                <w:sz w:val="24"/>
                <w:szCs w:val="24"/>
              </w:rPr>
              <w:t xml:space="preserve">, se debe identificar con claridad </w:t>
            </w:r>
            <w:r w:rsidRPr="00FD489D">
              <w:rPr>
                <w:rFonts w:ascii="Palatino Linotype" w:eastAsia="Palatino Linotype" w:hAnsi="Palatino Linotype" w:cs="Palatino Linotype"/>
                <w:sz w:val="24"/>
                <w:szCs w:val="24"/>
              </w:rPr>
              <w:t>qué</w:t>
            </w:r>
            <w:r w:rsidRPr="00FD489D">
              <w:rPr>
                <w:rFonts w:ascii="Palatino Linotype" w:eastAsia="Palatino Linotype" w:hAnsi="Palatino Linotype" w:cs="Palatino Linotype"/>
                <w:color w:val="000000"/>
                <w:sz w:val="24"/>
                <w:szCs w:val="24"/>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B8018A" w:rsidRPr="00FD489D" w14:paraId="737D259B" w14:textId="77777777" w:rsidTr="00B8018A">
        <w:tc>
          <w:tcPr>
            <w:cnfStyle w:val="001000000000" w:firstRow="0" w:lastRow="0" w:firstColumn="1" w:lastColumn="0" w:oddVBand="0" w:evenVBand="0" w:oddHBand="0" w:evenHBand="0" w:firstRowFirstColumn="0" w:firstRowLastColumn="0" w:lastRowFirstColumn="0" w:lastRowLastColumn="0"/>
            <w:tcW w:w="2689" w:type="dxa"/>
          </w:tcPr>
          <w:p w14:paraId="737D2597" w14:textId="77777777" w:rsidR="00B8018A" w:rsidRPr="00FD489D" w:rsidRDefault="00FA493A">
            <w:pPr>
              <w:tabs>
                <w:tab w:val="left" w:pos="284"/>
              </w:tabs>
              <w:spacing w:line="360" w:lineRule="auto"/>
              <w:ind w:right="7"/>
              <w:jc w:val="both"/>
              <w:rPr>
                <w:rFonts w:ascii="Palatino Linotype" w:eastAsia="Palatino Linotype" w:hAnsi="Palatino Linotype" w:cs="Palatino Linotype"/>
                <w:sz w:val="24"/>
                <w:szCs w:val="24"/>
              </w:rPr>
            </w:pPr>
            <w:r w:rsidRPr="00FD489D">
              <w:rPr>
                <w:rFonts w:ascii="Palatino Linotype" w:eastAsia="Palatino Linotype" w:hAnsi="Palatino Linotype" w:cs="Palatino Linotype"/>
                <w:sz w:val="24"/>
                <w:szCs w:val="24"/>
              </w:rPr>
              <w:lastRenderedPageBreak/>
              <w:t xml:space="preserve">e) Condiciones especiales de la clasificación de la información como confidencial. </w:t>
            </w:r>
          </w:p>
        </w:tc>
        <w:tc>
          <w:tcPr>
            <w:tcW w:w="6237" w:type="dxa"/>
          </w:tcPr>
          <w:p w14:paraId="737D2598" w14:textId="77777777" w:rsidR="00B8018A" w:rsidRPr="00FD489D" w:rsidRDefault="00FA493A">
            <w:pPr>
              <w:tabs>
                <w:tab w:val="left" w:pos="284"/>
              </w:tabs>
              <w:spacing w:line="360" w:lineRule="auto"/>
              <w:ind w:right="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FD489D">
              <w:rPr>
                <w:rFonts w:ascii="Palatino Linotype" w:eastAsia="Palatino Linotype" w:hAnsi="Palatino Linotype" w:cs="Palatino Linotype"/>
                <w:color w:val="000000"/>
                <w:sz w:val="24"/>
                <w:szCs w:val="24"/>
              </w:rPr>
              <w:t xml:space="preserve">Los artículos 148 y 120 de la Ley Estatal y de la Ley General, respectivamente, establecen que aun tratándose de datos personales, se podrán proporcionar, incluso sin solicitar el consentimiento de su titular. </w:t>
            </w:r>
          </w:p>
          <w:p w14:paraId="737D2599" w14:textId="77777777" w:rsidR="00B8018A" w:rsidRPr="00FD489D" w:rsidRDefault="00FA493A">
            <w:pPr>
              <w:tabs>
                <w:tab w:val="left" w:pos="284"/>
              </w:tabs>
              <w:spacing w:line="360" w:lineRule="auto"/>
              <w:ind w:right="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FD489D">
              <w:rPr>
                <w:rFonts w:ascii="Palatino Linotype" w:eastAsia="Palatino Linotype" w:hAnsi="Palatino Linotype" w:cs="Palatino Linotype"/>
                <w:color w:val="000000"/>
                <w:sz w:val="24"/>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37D259A" w14:textId="77777777" w:rsidR="00B8018A" w:rsidRPr="00FD489D" w:rsidRDefault="00FA493A">
            <w:pPr>
              <w:tabs>
                <w:tab w:val="left" w:pos="284"/>
              </w:tabs>
              <w:spacing w:line="360" w:lineRule="auto"/>
              <w:ind w:right="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FD489D">
              <w:rPr>
                <w:rFonts w:ascii="Palatino Linotype" w:eastAsia="Palatino Linotype" w:hAnsi="Palatino Linotype" w:cs="Palatino Linotype"/>
                <w:color w:val="000000"/>
                <w:sz w:val="24"/>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37D259C" w14:textId="77777777" w:rsidR="00B8018A" w:rsidRPr="00FD489D" w:rsidRDefault="00B8018A">
      <w:pPr>
        <w:tabs>
          <w:tab w:val="left" w:pos="284"/>
        </w:tabs>
        <w:spacing w:line="360" w:lineRule="auto"/>
        <w:ind w:right="7"/>
        <w:jc w:val="both"/>
        <w:rPr>
          <w:rFonts w:ascii="Palatino Linotype" w:eastAsia="Palatino Linotype" w:hAnsi="Palatino Linotype" w:cs="Palatino Linotype"/>
          <w:color w:val="000000"/>
        </w:rPr>
      </w:pPr>
    </w:p>
    <w:p w14:paraId="737D259D"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737D259E" w14:textId="77777777" w:rsidR="00B8018A" w:rsidRPr="00FD489D" w:rsidRDefault="00B8018A">
      <w:pPr>
        <w:pBdr>
          <w:top w:val="nil"/>
          <w:left w:val="nil"/>
          <w:bottom w:val="nil"/>
          <w:right w:val="nil"/>
          <w:between w:val="nil"/>
        </w:pBdr>
        <w:spacing w:line="360" w:lineRule="auto"/>
        <w:ind w:right="7"/>
        <w:jc w:val="both"/>
        <w:rPr>
          <w:rFonts w:ascii="Palatino Linotype" w:eastAsia="Palatino Linotype" w:hAnsi="Palatino Linotype" w:cs="Palatino Linotype"/>
          <w:color w:val="000000"/>
        </w:rPr>
      </w:pPr>
    </w:p>
    <w:p w14:paraId="737D259F" w14:textId="77777777" w:rsidR="00B8018A" w:rsidRPr="00FD489D" w:rsidRDefault="00FA493A">
      <w:pPr>
        <w:numPr>
          <w:ilvl w:val="0"/>
          <w:numId w:val="1"/>
        </w:numPr>
        <w:tabs>
          <w:tab w:val="left" w:pos="284"/>
        </w:tabs>
        <w:spacing w:after="240" w:line="360" w:lineRule="auto"/>
        <w:ind w:left="0" w:right="7" w:firstLine="0"/>
        <w:jc w:val="both"/>
        <w:rPr>
          <w:rFonts w:ascii="Palatino Linotype" w:eastAsia="Palatino Linotype" w:hAnsi="Palatino Linotype" w:cs="Palatino Linotype"/>
          <w:color w:val="000000"/>
        </w:rPr>
      </w:pPr>
      <w:r w:rsidRPr="00FD489D">
        <w:rPr>
          <w:rFonts w:ascii="Palatino Linotype" w:eastAsia="Palatino Linotype" w:hAnsi="Palatino Linotype" w:cs="Palatino Linotype"/>
        </w:rPr>
        <w:t xml:space="preserve">Por lo anteriormente expuesto, </w:t>
      </w:r>
      <w:r w:rsidRPr="00FD489D">
        <w:rPr>
          <w:rFonts w:ascii="Palatino Linotype" w:eastAsia="Palatino Linotype" w:hAnsi="Palatino Linotype" w:cs="Palatino Linotype"/>
          <w:color w:val="000000"/>
        </w:rPr>
        <w:t xml:space="preserve">este </w:t>
      </w:r>
      <w:r w:rsidRPr="00FD489D">
        <w:rPr>
          <w:rFonts w:ascii="Palatino Linotype" w:eastAsia="Palatino Linotype" w:hAnsi="Palatino Linotype" w:cs="Palatino Linotype"/>
          <w:b/>
          <w:color w:val="000000"/>
        </w:rPr>
        <w:t>ÓRGANO GARANTE</w:t>
      </w:r>
      <w:r w:rsidRPr="00FD489D">
        <w:rPr>
          <w:rFonts w:ascii="Palatino Linotype" w:eastAsia="Palatino Linotype" w:hAnsi="Palatino Linotype" w:cs="Palatino Linotype"/>
          <w:color w:val="000000"/>
        </w:rPr>
        <w:t xml:space="preserve"> emite los siguientes.</w:t>
      </w:r>
    </w:p>
    <w:p w14:paraId="737D25A0" w14:textId="77777777" w:rsidR="00B8018A" w:rsidRPr="00FD489D" w:rsidRDefault="00B8018A">
      <w:pPr>
        <w:spacing w:line="360" w:lineRule="auto"/>
        <w:ind w:right="7"/>
        <w:jc w:val="center"/>
        <w:rPr>
          <w:rFonts w:ascii="Palatino Linotype" w:eastAsia="Palatino Linotype" w:hAnsi="Palatino Linotype" w:cs="Palatino Linotype"/>
          <w:color w:val="000000"/>
        </w:rPr>
      </w:pPr>
    </w:p>
    <w:p w14:paraId="737D25A1" w14:textId="77777777" w:rsidR="00B8018A" w:rsidRPr="00FD489D" w:rsidRDefault="00FA493A">
      <w:pPr>
        <w:pStyle w:val="Ttulo1"/>
        <w:spacing w:before="0" w:line="360" w:lineRule="auto"/>
        <w:ind w:right="7"/>
        <w:jc w:val="center"/>
        <w:rPr>
          <w:rFonts w:ascii="Palatino Linotype" w:eastAsia="Palatino Linotype" w:hAnsi="Palatino Linotype" w:cs="Palatino Linotype"/>
          <w:b/>
          <w:color w:val="000000"/>
          <w:sz w:val="24"/>
          <w:szCs w:val="24"/>
        </w:rPr>
      </w:pPr>
      <w:r w:rsidRPr="00FD489D">
        <w:rPr>
          <w:rFonts w:ascii="Palatino Linotype" w:eastAsia="Palatino Linotype" w:hAnsi="Palatino Linotype" w:cs="Palatino Linotype"/>
          <w:b/>
          <w:color w:val="000000"/>
          <w:sz w:val="24"/>
          <w:szCs w:val="24"/>
        </w:rPr>
        <w:t>R E S O L U T I V O S</w:t>
      </w:r>
    </w:p>
    <w:p w14:paraId="737D25A2" w14:textId="77777777" w:rsidR="00B8018A" w:rsidRPr="00FD489D" w:rsidRDefault="00B8018A">
      <w:pPr>
        <w:spacing w:line="360" w:lineRule="auto"/>
        <w:ind w:right="7"/>
        <w:jc w:val="both"/>
        <w:rPr>
          <w:rFonts w:ascii="Palatino Linotype" w:eastAsia="Palatino Linotype" w:hAnsi="Palatino Linotype" w:cs="Palatino Linotype"/>
        </w:rPr>
      </w:pPr>
    </w:p>
    <w:p w14:paraId="737D25A3" w14:textId="77777777" w:rsidR="00B8018A" w:rsidRPr="00FD489D" w:rsidRDefault="00FA493A">
      <w:pPr>
        <w:spacing w:line="360" w:lineRule="auto"/>
        <w:ind w:right="7"/>
        <w:jc w:val="both"/>
        <w:rPr>
          <w:rFonts w:ascii="Palatino Linotype" w:eastAsia="Palatino Linotype" w:hAnsi="Palatino Linotype" w:cs="Palatino Linotype"/>
        </w:rPr>
      </w:pPr>
      <w:r w:rsidRPr="00FD489D">
        <w:rPr>
          <w:rFonts w:ascii="Palatino Linotype" w:eastAsia="Palatino Linotype" w:hAnsi="Palatino Linotype" w:cs="Palatino Linotype"/>
          <w:b/>
        </w:rPr>
        <w:t>PRIMERO</w:t>
      </w:r>
      <w:r w:rsidRPr="00FD489D">
        <w:rPr>
          <w:rFonts w:ascii="Palatino Linotype" w:eastAsia="Palatino Linotype" w:hAnsi="Palatino Linotype" w:cs="Palatino Linotype"/>
        </w:rPr>
        <w:t xml:space="preserve">. Resultan fundadas las razones o motivos de inconformidad hechos valer en el Recurso de Revisión </w:t>
      </w:r>
      <w:r w:rsidRPr="00FD489D">
        <w:rPr>
          <w:rFonts w:ascii="Palatino Linotype" w:eastAsia="Palatino Linotype" w:hAnsi="Palatino Linotype" w:cs="Palatino Linotype"/>
          <w:b/>
        </w:rPr>
        <w:t>01808/INFOEM/IP/RR/2024</w:t>
      </w:r>
      <w:r w:rsidRPr="00FD489D">
        <w:rPr>
          <w:rFonts w:ascii="Palatino Linotype" w:eastAsia="Palatino Linotype" w:hAnsi="Palatino Linotype" w:cs="Palatino Linotype"/>
        </w:rPr>
        <w:t>,</w:t>
      </w:r>
      <w:r w:rsidRPr="00FD489D">
        <w:rPr>
          <w:rFonts w:ascii="Palatino Linotype" w:eastAsia="Palatino Linotype" w:hAnsi="Palatino Linotype" w:cs="Palatino Linotype"/>
          <w:b/>
        </w:rPr>
        <w:t xml:space="preserve"> </w:t>
      </w:r>
      <w:r w:rsidRPr="00FD489D">
        <w:rPr>
          <w:rFonts w:ascii="Palatino Linotype" w:eastAsia="Palatino Linotype" w:hAnsi="Palatino Linotype" w:cs="Palatino Linotype"/>
        </w:rPr>
        <w:t xml:space="preserve">en términos del Considerando </w:t>
      </w:r>
      <w:r w:rsidRPr="00FD489D">
        <w:rPr>
          <w:rFonts w:ascii="Palatino Linotype" w:eastAsia="Palatino Linotype" w:hAnsi="Palatino Linotype" w:cs="Palatino Linotype"/>
          <w:b/>
        </w:rPr>
        <w:t xml:space="preserve">Cuarto y Quinto </w:t>
      </w:r>
      <w:r w:rsidRPr="00FD489D">
        <w:rPr>
          <w:rFonts w:ascii="Palatino Linotype" w:eastAsia="Palatino Linotype" w:hAnsi="Palatino Linotype" w:cs="Palatino Linotype"/>
        </w:rPr>
        <w:t xml:space="preserve">de la presente resolución. </w:t>
      </w:r>
    </w:p>
    <w:p w14:paraId="737D25A4" w14:textId="77777777" w:rsidR="00B8018A" w:rsidRPr="00FD489D" w:rsidRDefault="00B8018A">
      <w:pPr>
        <w:spacing w:line="360" w:lineRule="auto"/>
        <w:ind w:right="7"/>
        <w:jc w:val="both"/>
        <w:rPr>
          <w:rFonts w:ascii="Palatino Linotype" w:eastAsia="Palatino Linotype" w:hAnsi="Palatino Linotype" w:cs="Palatino Linotype"/>
        </w:rPr>
      </w:pPr>
    </w:p>
    <w:p w14:paraId="737D25A5" w14:textId="77777777" w:rsidR="00B8018A" w:rsidRPr="00FD489D" w:rsidRDefault="00FA493A">
      <w:pPr>
        <w:spacing w:line="360" w:lineRule="auto"/>
        <w:ind w:right="7"/>
        <w:jc w:val="both"/>
        <w:rPr>
          <w:rFonts w:ascii="Palatino Linotype" w:eastAsia="Palatino Linotype" w:hAnsi="Palatino Linotype" w:cs="Palatino Linotype"/>
          <w:b/>
        </w:rPr>
      </w:pPr>
      <w:bookmarkStart w:id="4" w:name="_heading=h.2et92p0" w:colFirst="0" w:colLast="0"/>
      <w:bookmarkEnd w:id="4"/>
      <w:r w:rsidRPr="00FD489D">
        <w:rPr>
          <w:rFonts w:ascii="Palatino Linotype" w:eastAsia="Palatino Linotype" w:hAnsi="Palatino Linotype" w:cs="Palatino Linotype"/>
          <w:b/>
        </w:rPr>
        <w:t xml:space="preserve">SEGUNDO. </w:t>
      </w:r>
      <w:r w:rsidRPr="00FD489D">
        <w:rPr>
          <w:rFonts w:ascii="Palatino Linotype" w:eastAsia="Palatino Linotype" w:hAnsi="Palatino Linotype" w:cs="Palatino Linotype"/>
          <w:color w:val="000000"/>
        </w:rPr>
        <w:t xml:space="preserve">Se </w:t>
      </w:r>
      <w:r w:rsidRPr="00FD489D">
        <w:rPr>
          <w:rFonts w:ascii="Palatino Linotype" w:eastAsia="Palatino Linotype" w:hAnsi="Palatino Linotype" w:cs="Palatino Linotype"/>
          <w:b/>
          <w:color w:val="000000"/>
        </w:rPr>
        <w:t xml:space="preserve">REVOCA </w:t>
      </w:r>
      <w:r w:rsidRPr="00FD489D">
        <w:rPr>
          <w:rFonts w:ascii="Palatino Linotype" w:eastAsia="Palatino Linotype" w:hAnsi="Palatino Linotype" w:cs="Palatino Linotype"/>
          <w:color w:val="000000"/>
        </w:rPr>
        <w:t xml:space="preserve">la respuesta emitida por el </w:t>
      </w:r>
      <w:r w:rsidR="00714C7B" w:rsidRPr="00FD489D">
        <w:rPr>
          <w:rFonts w:ascii="Palatino Linotype" w:eastAsia="Palatino Linotype" w:hAnsi="Palatino Linotype" w:cs="Palatino Linotype"/>
          <w:b/>
          <w:color w:val="000000"/>
        </w:rPr>
        <w:t>Ayuntamiento de Almoloya de Juárez</w:t>
      </w:r>
      <w:r w:rsidRPr="00FD489D">
        <w:rPr>
          <w:rFonts w:ascii="Palatino Linotype" w:eastAsia="Palatino Linotype" w:hAnsi="Palatino Linotype" w:cs="Palatino Linotype"/>
          <w:b/>
          <w:color w:val="000000"/>
        </w:rPr>
        <w:t xml:space="preserve"> </w:t>
      </w:r>
      <w:r w:rsidRPr="00FD489D">
        <w:rPr>
          <w:rFonts w:ascii="Palatino Linotype" w:eastAsia="Palatino Linotype" w:hAnsi="Palatino Linotype" w:cs="Palatino Linotype"/>
          <w:color w:val="000000"/>
        </w:rPr>
        <w:t xml:space="preserve">y se </w:t>
      </w:r>
      <w:r w:rsidRPr="00FD489D">
        <w:rPr>
          <w:rFonts w:ascii="Palatino Linotype" w:eastAsia="Palatino Linotype" w:hAnsi="Palatino Linotype" w:cs="Palatino Linotype"/>
          <w:b/>
          <w:color w:val="000000"/>
        </w:rPr>
        <w:t>ORDENA</w:t>
      </w:r>
      <w:r w:rsidRPr="00FD489D">
        <w:rPr>
          <w:rFonts w:ascii="Palatino Linotype" w:eastAsia="Palatino Linotype" w:hAnsi="Palatino Linotype" w:cs="Palatino Linotype"/>
          <w:color w:val="000000"/>
        </w:rPr>
        <w:t xml:space="preserve"> entregar vía Sistema de Acceso a la Información Mexiquense </w:t>
      </w:r>
      <w:r w:rsidRPr="00FD489D">
        <w:rPr>
          <w:rFonts w:ascii="Palatino Linotype" w:eastAsia="Palatino Linotype" w:hAnsi="Palatino Linotype" w:cs="Palatino Linotype"/>
          <w:b/>
          <w:color w:val="000000"/>
        </w:rPr>
        <w:t>(SAIMEX)</w:t>
      </w:r>
      <w:r w:rsidRPr="00FD489D">
        <w:rPr>
          <w:rFonts w:ascii="Palatino Linotype" w:eastAsia="Palatino Linotype" w:hAnsi="Palatino Linotype" w:cs="Palatino Linotype"/>
          <w:color w:val="000000"/>
        </w:rPr>
        <w:t xml:space="preserve">, </w:t>
      </w:r>
      <w:r w:rsidR="00714C7B" w:rsidRPr="00FD489D">
        <w:rPr>
          <w:rFonts w:ascii="Palatino Linotype" w:eastAsia="Palatino Linotype" w:hAnsi="Palatino Linotype" w:cs="Palatino Linotype"/>
          <w:color w:val="000000"/>
        </w:rPr>
        <w:t xml:space="preserve">firmados o como se hayan generado, </w:t>
      </w:r>
      <w:r w:rsidRPr="00FD489D">
        <w:rPr>
          <w:rFonts w:ascii="Palatino Linotype" w:eastAsia="Palatino Linotype" w:hAnsi="Palatino Linotype" w:cs="Palatino Linotype"/>
          <w:color w:val="000000"/>
        </w:rPr>
        <w:t>en versión pública, la siguiente información:</w:t>
      </w:r>
    </w:p>
    <w:p w14:paraId="737D25A6" w14:textId="77777777" w:rsidR="00B8018A" w:rsidRPr="00FD489D" w:rsidRDefault="00B8018A" w:rsidP="00714C7B">
      <w:pPr>
        <w:pBdr>
          <w:top w:val="nil"/>
          <w:left w:val="nil"/>
          <w:bottom w:val="nil"/>
          <w:right w:val="nil"/>
          <w:between w:val="nil"/>
        </w:pBdr>
        <w:spacing w:line="360" w:lineRule="auto"/>
        <w:ind w:right="7"/>
        <w:jc w:val="both"/>
        <w:rPr>
          <w:rFonts w:ascii="Palatino Linotype" w:eastAsia="Palatino Linotype" w:hAnsi="Palatino Linotype" w:cs="Palatino Linotype"/>
          <w:b/>
          <w:color w:val="000000"/>
        </w:rPr>
      </w:pPr>
    </w:p>
    <w:p w14:paraId="737D25A7" w14:textId="77777777" w:rsidR="00B8018A" w:rsidRPr="00FD489D" w:rsidRDefault="00FA493A">
      <w:pPr>
        <w:numPr>
          <w:ilvl w:val="0"/>
          <w:numId w:val="6"/>
        </w:numPr>
        <w:pBdr>
          <w:top w:val="nil"/>
          <w:left w:val="nil"/>
          <w:bottom w:val="nil"/>
          <w:right w:val="nil"/>
          <w:between w:val="nil"/>
        </w:pBdr>
        <w:spacing w:line="360" w:lineRule="auto"/>
        <w:ind w:right="7"/>
        <w:jc w:val="both"/>
        <w:rPr>
          <w:rFonts w:ascii="Palatino Linotype" w:eastAsia="Palatino Linotype" w:hAnsi="Palatino Linotype" w:cs="Palatino Linotype"/>
          <w:b/>
          <w:color w:val="000000"/>
        </w:rPr>
      </w:pPr>
      <w:r w:rsidRPr="00FD489D">
        <w:rPr>
          <w:rFonts w:ascii="Palatino Linotype" w:eastAsia="Palatino Linotype" w:hAnsi="Palatino Linotype" w:cs="Palatino Linotype"/>
          <w:b/>
          <w:color w:val="000000"/>
        </w:rPr>
        <w:t xml:space="preserve">Recibos de nómina del mes de diciembre de dos mil veintitrés y enero </w:t>
      </w:r>
      <w:r w:rsidRPr="00FD489D">
        <w:rPr>
          <w:rFonts w:ascii="Palatino Linotype" w:eastAsia="Palatino Linotype" w:hAnsi="Palatino Linotype" w:cs="Palatino Linotype"/>
          <w:b/>
        </w:rPr>
        <w:t>de</w:t>
      </w:r>
      <w:r w:rsidRPr="00FD489D">
        <w:rPr>
          <w:rFonts w:ascii="Palatino Linotype" w:eastAsia="Palatino Linotype" w:hAnsi="Palatino Linotype" w:cs="Palatino Linotype"/>
          <w:b/>
          <w:color w:val="000000"/>
        </w:rPr>
        <w:t xml:space="preserve"> dos mil veinticuatro.</w:t>
      </w:r>
    </w:p>
    <w:p w14:paraId="737D25A8" w14:textId="77777777" w:rsidR="00B8018A" w:rsidRPr="00FD489D" w:rsidRDefault="00FA493A">
      <w:pPr>
        <w:numPr>
          <w:ilvl w:val="0"/>
          <w:numId w:val="6"/>
        </w:numPr>
        <w:pBdr>
          <w:top w:val="nil"/>
          <w:left w:val="nil"/>
          <w:bottom w:val="nil"/>
          <w:right w:val="nil"/>
          <w:between w:val="nil"/>
        </w:pBdr>
        <w:spacing w:line="360" w:lineRule="auto"/>
        <w:ind w:right="7"/>
        <w:jc w:val="both"/>
        <w:rPr>
          <w:rFonts w:ascii="Palatino Linotype" w:eastAsia="Palatino Linotype" w:hAnsi="Palatino Linotype" w:cs="Palatino Linotype"/>
          <w:b/>
          <w:color w:val="000000"/>
        </w:rPr>
      </w:pPr>
      <w:r w:rsidRPr="00FD489D">
        <w:rPr>
          <w:rFonts w:ascii="Palatino Linotype" w:eastAsia="Palatino Linotype" w:hAnsi="Palatino Linotype" w:cs="Palatino Linotype"/>
          <w:b/>
          <w:color w:val="000000"/>
        </w:rPr>
        <w:t>Recibos de pago de aguinaldo y prima vacacional del ejercicio fiscal dos mil veintitrés.</w:t>
      </w:r>
    </w:p>
    <w:p w14:paraId="737D25A9" w14:textId="77777777" w:rsidR="00B8018A" w:rsidRPr="00FD489D" w:rsidRDefault="00B8018A">
      <w:pPr>
        <w:pBdr>
          <w:top w:val="nil"/>
          <w:left w:val="nil"/>
          <w:bottom w:val="nil"/>
          <w:right w:val="nil"/>
          <w:between w:val="nil"/>
        </w:pBdr>
        <w:spacing w:line="360" w:lineRule="auto"/>
        <w:ind w:left="720" w:right="7"/>
        <w:jc w:val="both"/>
        <w:rPr>
          <w:rFonts w:ascii="Palatino Linotype" w:eastAsia="Palatino Linotype" w:hAnsi="Palatino Linotype" w:cs="Palatino Linotype"/>
          <w:color w:val="000000"/>
        </w:rPr>
      </w:pPr>
    </w:p>
    <w:p w14:paraId="737D25AA" w14:textId="77777777" w:rsidR="00B8018A" w:rsidRPr="00FD489D" w:rsidRDefault="00FA493A">
      <w:pPr>
        <w:spacing w:line="360" w:lineRule="auto"/>
        <w:ind w:right="7"/>
        <w:jc w:val="both"/>
        <w:rPr>
          <w:rFonts w:ascii="Palatino Linotype" w:eastAsia="Palatino Linotype" w:hAnsi="Palatino Linotype" w:cs="Palatino Linotype"/>
          <w:b/>
        </w:rPr>
      </w:pPr>
      <w:r w:rsidRPr="00FD489D">
        <w:rPr>
          <w:rFonts w:ascii="Palatino Linotype" w:eastAsia="Palatino Linotype" w:hAnsi="Palatino Linotype" w:cs="Palatino Linotype"/>
        </w:rPr>
        <w:t xml:space="preserve">Para efecto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FD489D">
        <w:rPr>
          <w:rFonts w:ascii="Palatino Linotype" w:eastAsia="Palatino Linotype" w:hAnsi="Palatino Linotype" w:cs="Palatino Linotype"/>
          <w:b/>
        </w:rPr>
        <w:t>RECURRENTE.</w:t>
      </w:r>
    </w:p>
    <w:p w14:paraId="737D25AB" w14:textId="77777777" w:rsidR="00B8018A" w:rsidRPr="00FD489D" w:rsidRDefault="00B8018A">
      <w:pPr>
        <w:pBdr>
          <w:top w:val="nil"/>
          <w:left w:val="nil"/>
          <w:bottom w:val="nil"/>
          <w:right w:val="nil"/>
          <w:between w:val="nil"/>
        </w:pBdr>
        <w:spacing w:line="360" w:lineRule="auto"/>
        <w:ind w:right="7"/>
        <w:jc w:val="both"/>
        <w:rPr>
          <w:rFonts w:ascii="Palatino Linotype" w:eastAsia="Palatino Linotype" w:hAnsi="Palatino Linotype" w:cs="Palatino Linotype"/>
          <w:b/>
          <w:color w:val="000000"/>
        </w:rPr>
      </w:pPr>
    </w:p>
    <w:p w14:paraId="737D25AC" w14:textId="77777777" w:rsidR="003A3154" w:rsidRPr="00FD489D" w:rsidRDefault="003A3154" w:rsidP="003A3154">
      <w:pPr>
        <w:spacing w:line="360" w:lineRule="auto"/>
        <w:jc w:val="both"/>
        <w:rPr>
          <w:rFonts w:ascii="Palatino Linotype" w:eastAsia="Palatino Linotype" w:hAnsi="Palatino Linotype" w:cs="Palatino Linotype"/>
          <w:color w:val="222222"/>
        </w:rPr>
      </w:pPr>
      <w:bookmarkStart w:id="5" w:name="_heading=h.tyjcwt" w:colFirst="0" w:colLast="0"/>
      <w:bookmarkEnd w:id="5"/>
      <w:r w:rsidRPr="00FD489D">
        <w:rPr>
          <w:rFonts w:ascii="Palatino Linotype" w:eastAsia="Palatino Linotype" w:hAnsi="Palatino Linotype" w:cs="Palatino Linotype"/>
          <w:b/>
        </w:rPr>
        <w:lastRenderedPageBreak/>
        <w:t xml:space="preserve">TERCERO. </w:t>
      </w:r>
      <w:r w:rsidRPr="00FD489D">
        <w:rPr>
          <w:rFonts w:ascii="Palatino Linotype" w:eastAsia="Palatino Linotype" w:hAnsi="Palatino Linotype" w:cs="Palatino Linotype"/>
          <w:color w:val="222222"/>
        </w:rPr>
        <w:t xml:space="preserve">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FD489D">
        <w:rPr>
          <w:rFonts w:ascii="Palatino Linotype" w:eastAsia="Palatino Linotype" w:hAnsi="Palatino Linotype" w:cs="Palatino Linotype"/>
          <w:b/>
          <w:color w:val="222222"/>
        </w:rPr>
        <w:t xml:space="preserve">dé cumplimiento a lo ordenado dentro del plazo de diez días hábiles, </w:t>
      </w:r>
      <w:r w:rsidRPr="00FD489D">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737D25AD" w14:textId="77777777" w:rsidR="00B8018A" w:rsidRPr="00FD489D" w:rsidRDefault="00B8018A">
      <w:pPr>
        <w:tabs>
          <w:tab w:val="left" w:pos="8080"/>
        </w:tabs>
        <w:spacing w:line="360" w:lineRule="auto"/>
        <w:ind w:right="7"/>
        <w:jc w:val="both"/>
        <w:rPr>
          <w:rFonts w:ascii="Palatino Linotype" w:eastAsia="Palatino Linotype" w:hAnsi="Palatino Linotype" w:cs="Palatino Linotype"/>
        </w:rPr>
      </w:pPr>
    </w:p>
    <w:p w14:paraId="737D25AE" w14:textId="77777777" w:rsidR="00B8018A" w:rsidRPr="00FD489D" w:rsidRDefault="00FA493A">
      <w:pPr>
        <w:spacing w:line="360" w:lineRule="auto"/>
        <w:ind w:right="7"/>
        <w:jc w:val="both"/>
        <w:rPr>
          <w:rFonts w:ascii="Palatino Linotype" w:eastAsia="Palatino Linotype" w:hAnsi="Palatino Linotype" w:cs="Palatino Linotype"/>
        </w:rPr>
      </w:pPr>
      <w:r w:rsidRPr="00FD489D">
        <w:rPr>
          <w:rFonts w:ascii="Palatino Linotype" w:eastAsia="Palatino Linotype" w:hAnsi="Palatino Linotype" w:cs="Palatino Linotype"/>
          <w:b/>
        </w:rPr>
        <w:t xml:space="preserve">CUARTO. </w:t>
      </w:r>
      <w:r w:rsidRPr="00FD489D">
        <w:rPr>
          <w:rFonts w:ascii="Palatino Linotype" w:eastAsia="Palatino Linotype" w:hAnsi="Palatino Linotype" w:cs="Palatino Linotype"/>
        </w:rPr>
        <w:t>De conformidad con el artículo 198</w:t>
      </w:r>
      <w:r w:rsidR="003A3154" w:rsidRPr="00FD489D">
        <w:rPr>
          <w:rFonts w:ascii="Palatino Linotype" w:eastAsia="Palatino Linotype" w:hAnsi="Palatino Linotype" w:cs="Palatino Linotype"/>
        </w:rPr>
        <w:t>,</w:t>
      </w:r>
      <w:r w:rsidRPr="00FD489D">
        <w:rPr>
          <w:rFonts w:ascii="Palatino Linotype" w:eastAsia="Palatino Linotype" w:hAnsi="Palatino Linotype" w:cs="Palatino Linotype"/>
        </w:rPr>
        <w:t xml:space="preserve"> de la Ley de Transparencia y Acceso a la Información Pública del Estado de México y Municipios, de considerarlo procedente, el </w:t>
      </w:r>
      <w:r w:rsidRPr="00FD489D">
        <w:rPr>
          <w:rFonts w:ascii="Palatino Linotype" w:eastAsia="Palatino Linotype" w:hAnsi="Palatino Linotype" w:cs="Palatino Linotype"/>
          <w:b/>
        </w:rPr>
        <w:t>SUJETO OBLIGADO</w:t>
      </w:r>
      <w:r w:rsidRPr="00FD489D">
        <w:rPr>
          <w:rFonts w:ascii="Palatino Linotype" w:eastAsia="Palatino Linotype" w:hAnsi="Palatino Linotype" w:cs="Palatino Linotype"/>
        </w:rPr>
        <w:t xml:space="preserve"> de manera fundada y motivada, podrá solicitar una ampliación de plazo para el cumplimiento de la presente resolución.</w:t>
      </w:r>
    </w:p>
    <w:p w14:paraId="737D25AF" w14:textId="77777777" w:rsidR="00B8018A" w:rsidRPr="00FD489D" w:rsidRDefault="00B8018A">
      <w:pPr>
        <w:spacing w:line="360" w:lineRule="auto"/>
        <w:ind w:right="7"/>
        <w:jc w:val="both"/>
        <w:rPr>
          <w:rFonts w:ascii="Palatino Linotype" w:eastAsia="Palatino Linotype" w:hAnsi="Palatino Linotype" w:cs="Palatino Linotype"/>
        </w:rPr>
      </w:pPr>
    </w:p>
    <w:p w14:paraId="737D25B0" w14:textId="77777777" w:rsidR="00B8018A" w:rsidRPr="00FD489D" w:rsidRDefault="00FA493A">
      <w:pPr>
        <w:tabs>
          <w:tab w:val="left" w:pos="8080"/>
        </w:tabs>
        <w:spacing w:line="360" w:lineRule="auto"/>
        <w:ind w:right="7"/>
        <w:jc w:val="both"/>
        <w:rPr>
          <w:rFonts w:ascii="Palatino Linotype" w:eastAsia="Palatino Linotype" w:hAnsi="Palatino Linotype" w:cs="Palatino Linotype"/>
        </w:rPr>
      </w:pPr>
      <w:bookmarkStart w:id="6" w:name="_heading=h.3dy6vkm" w:colFirst="0" w:colLast="0"/>
      <w:bookmarkEnd w:id="6"/>
      <w:r w:rsidRPr="00FD489D">
        <w:rPr>
          <w:rFonts w:ascii="Palatino Linotype" w:eastAsia="Palatino Linotype" w:hAnsi="Palatino Linotype" w:cs="Palatino Linotype"/>
          <w:b/>
        </w:rPr>
        <w:t xml:space="preserve">QUINTO. </w:t>
      </w:r>
      <w:r w:rsidRPr="00FD489D">
        <w:rPr>
          <w:rFonts w:ascii="Palatino Linotype" w:eastAsia="Palatino Linotype" w:hAnsi="Palatino Linotype" w:cs="Palatino Linotype"/>
        </w:rPr>
        <w:t xml:space="preserve">Notifíquese a </w:t>
      </w:r>
      <w:r w:rsidRPr="00FD489D">
        <w:rPr>
          <w:rFonts w:ascii="Palatino Linotype" w:eastAsia="Palatino Linotype" w:hAnsi="Palatino Linotype" w:cs="Palatino Linotype"/>
          <w:b/>
        </w:rPr>
        <w:t>EL RECURRENTE</w:t>
      </w:r>
      <w:r w:rsidRPr="00FD489D">
        <w:rPr>
          <w:rFonts w:ascii="Palatino Linotype" w:eastAsia="Palatino Linotype" w:hAnsi="Palatino Linotype" w:cs="Palatino Linotype"/>
        </w:rPr>
        <w:t xml:space="preserve"> la presente resolución, vía SAIMEX.</w:t>
      </w:r>
    </w:p>
    <w:p w14:paraId="737D25B1" w14:textId="77777777" w:rsidR="00B8018A" w:rsidRPr="00FD489D" w:rsidRDefault="00B8018A">
      <w:pPr>
        <w:tabs>
          <w:tab w:val="left" w:pos="8080"/>
        </w:tabs>
        <w:spacing w:line="360" w:lineRule="auto"/>
        <w:ind w:right="7"/>
        <w:jc w:val="both"/>
        <w:rPr>
          <w:rFonts w:ascii="Palatino Linotype" w:eastAsia="Palatino Linotype" w:hAnsi="Palatino Linotype" w:cs="Palatino Linotype"/>
        </w:rPr>
      </w:pPr>
    </w:p>
    <w:p w14:paraId="737D25B2" w14:textId="77777777" w:rsidR="00B8018A" w:rsidRPr="00FD489D" w:rsidRDefault="00FA493A">
      <w:pPr>
        <w:shd w:val="clear" w:color="auto" w:fill="FFFFFF"/>
        <w:spacing w:line="360" w:lineRule="auto"/>
        <w:ind w:right="7"/>
        <w:jc w:val="both"/>
        <w:rPr>
          <w:rFonts w:ascii="Palatino Linotype" w:eastAsia="Palatino Linotype" w:hAnsi="Palatino Linotype" w:cs="Palatino Linotype"/>
        </w:rPr>
      </w:pPr>
      <w:r w:rsidRPr="00FD489D">
        <w:rPr>
          <w:rFonts w:ascii="Palatino Linotype" w:eastAsia="Palatino Linotype" w:hAnsi="Palatino Linotype" w:cs="Palatino Linotype"/>
          <w:b/>
        </w:rPr>
        <w:t>SEXTO.</w:t>
      </w:r>
      <w:r w:rsidRPr="00FD489D">
        <w:rPr>
          <w:rFonts w:ascii="Palatino Linotype" w:eastAsia="Palatino Linotype" w:hAnsi="Palatino Linotype" w:cs="Palatino Linotype"/>
        </w:rPr>
        <w:t xml:space="preserve"> Se hace del conocimiento de </w:t>
      </w:r>
      <w:r w:rsidRPr="00FD489D">
        <w:rPr>
          <w:rFonts w:ascii="Palatino Linotype" w:eastAsia="Palatino Linotype" w:hAnsi="Palatino Linotype" w:cs="Palatino Linotype"/>
          <w:b/>
        </w:rPr>
        <w:t>EL RECURRENTE</w:t>
      </w:r>
      <w:r w:rsidRPr="00FD489D">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737D25B3" w14:textId="77777777" w:rsidR="00B8018A" w:rsidRPr="00FD489D" w:rsidRDefault="00B8018A">
      <w:pPr>
        <w:shd w:val="clear" w:color="auto" w:fill="FFFFFF"/>
        <w:spacing w:line="360" w:lineRule="auto"/>
        <w:ind w:right="7"/>
        <w:jc w:val="both"/>
        <w:rPr>
          <w:rFonts w:ascii="Palatino Linotype" w:eastAsia="Palatino Linotype" w:hAnsi="Palatino Linotype" w:cs="Palatino Linotype"/>
        </w:rPr>
      </w:pPr>
    </w:p>
    <w:p w14:paraId="737D25B4" w14:textId="40C51E42" w:rsidR="003A3154" w:rsidRPr="00FD489D" w:rsidRDefault="003A3154" w:rsidP="003A3154">
      <w:pPr>
        <w:spacing w:line="360" w:lineRule="auto"/>
        <w:ind w:left="-142" w:firstLine="1"/>
        <w:jc w:val="both"/>
        <w:rPr>
          <w:rFonts w:ascii="Palatino Linotype" w:hAnsi="Palatino Linotype"/>
        </w:rPr>
      </w:pPr>
      <w:r w:rsidRPr="00FD489D">
        <w:rPr>
          <w:rFonts w:ascii="Palatino Linotype" w:hAnsi="Palatino Linotype"/>
        </w:rPr>
        <w:t xml:space="preserve">ASÍ LO RESUELVE, POR UNANIMIDAD DE VOTOS, EL PLENO DEL INSTITUTO DE TRANSPARENCIA, ACCESO A LA INFORMACIÓN PÚBLICA Y PROTECCIÓN DE </w:t>
      </w:r>
      <w:r w:rsidRPr="00FD489D">
        <w:rPr>
          <w:rFonts w:ascii="Palatino Linotype" w:hAnsi="Palatino Linotype"/>
        </w:rPr>
        <w:lastRenderedPageBreak/>
        <w:t xml:space="preserve">DATOS PERSONALES DEL ESTADO DE MÉXICO Y MUNICIPIOS, CONFORMADO POR LOS COMISIONADOS JOSÉ MARTÍNEZ VILCHIS; MARÍA DEL ROSARIO MEJÍA AYALA; SHARON CRISTINA MORALES MARTÍNEZ; LUIS GUSTAVO PARRA NORIEGA </w:t>
      </w:r>
      <w:r w:rsidR="00272E54" w:rsidRPr="00FD489D">
        <w:rPr>
          <w:rFonts w:ascii="Palatino Linotype" w:hAnsi="Palatino Linotype"/>
        </w:rPr>
        <w:t xml:space="preserve">EMITIENDO VOTO PARTICULAR </w:t>
      </w:r>
      <w:r w:rsidRPr="00FD489D">
        <w:rPr>
          <w:rFonts w:ascii="Palatino Linotype" w:hAnsi="Palatino Linotype"/>
        </w:rPr>
        <w:t>Y GUADALUPE RAMÍREZ PEÑA</w:t>
      </w:r>
      <w:r w:rsidR="00557579" w:rsidRPr="00FD489D">
        <w:rPr>
          <w:rFonts w:ascii="Palatino Linotype" w:hAnsi="Palatino Linotype"/>
        </w:rPr>
        <w:t xml:space="preserve"> EMITIENDO VOTO PARTICULAR</w:t>
      </w:r>
      <w:r w:rsidRPr="00FD489D">
        <w:rPr>
          <w:rFonts w:ascii="Palatino Linotype" w:hAnsi="Palatino Linotype"/>
        </w:rPr>
        <w:t xml:space="preserve">; EN LA QUINTA SESIÓN ORDINARIA CELEBRADA EL DOCE (12) DE FEBRERO DE DOS MIL VEINTICINCO, ANTE EL SECRETARIO TÉCNICO DEL PLENO ALEXIS TAPIA RAMÍREZ. </w:t>
      </w:r>
    </w:p>
    <w:p w14:paraId="737D25B5" w14:textId="77777777" w:rsidR="00B8018A" w:rsidRPr="00FD489D" w:rsidRDefault="00B8018A">
      <w:pPr>
        <w:tabs>
          <w:tab w:val="left" w:pos="284"/>
        </w:tabs>
        <w:spacing w:after="240" w:line="360" w:lineRule="auto"/>
        <w:ind w:right="7"/>
        <w:jc w:val="both"/>
        <w:rPr>
          <w:rFonts w:ascii="Palatino Linotype" w:eastAsia="Palatino Linotype" w:hAnsi="Palatino Linotype" w:cs="Palatino Linotype"/>
          <w:color w:val="000000"/>
        </w:rPr>
      </w:pPr>
    </w:p>
    <w:p w14:paraId="43A6E927" w14:textId="77777777" w:rsidR="00FD489D" w:rsidRPr="00FD489D" w:rsidRDefault="00FD489D">
      <w:pPr>
        <w:tabs>
          <w:tab w:val="left" w:pos="284"/>
        </w:tabs>
        <w:spacing w:after="240" w:line="360" w:lineRule="auto"/>
        <w:ind w:right="7"/>
        <w:jc w:val="both"/>
        <w:rPr>
          <w:rFonts w:ascii="Palatino Linotype" w:eastAsia="Palatino Linotype" w:hAnsi="Palatino Linotype" w:cs="Palatino Linotype"/>
          <w:color w:val="000000"/>
        </w:rPr>
      </w:pPr>
    </w:p>
    <w:p w14:paraId="754B640B" w14:textId="77777777" w:rsidR="00FD489D" w:rsidRPr="00FD489D" w:rsidRDefault="00FD489D">
      <w:pPr>
        <w:tabs>
          <w:tab w:val="left" w:pos="284"/>
        </w:tabs>
        <w:spacing w:after="240" w:line="360" w:lineRule="auto"/>
        <w:ind w:right="7"/>
        <w:jc w:val="both"/>
        <w:rPr>
          <w:rFonts w:ascii="Palatino Linotype" w:eastAsia="Palatino Linotype" w:hAnsi="Palatino Linotype" w:cs="Palatino Linotype"/>
          <w:color w:val="000000"/>
        </w:rPr>
      </w:pPr>
    </w:p>
    <w:p w14:paraId="6849E2E5" w14:textId="77777777" w:rsidR="00FD489D" w:rsidRPr="00FD489D" w:rsidRDefault="00FD489D">
      <w:pPr>
        <w:tabs>
          <w:tab w:val="left" w:pos="284"/>
        </w:tabs>
        <w:spacing w:after="240" w:line="360" w:lineRule="auto"/>
        <w:ind w:right="7"/>
        <w:jc w:val="both"/>
        <w:rPr>
          <w:rFonts w:ascii="Palatino Linotype" w:eastAsia="Palatino Linotype" w:hAnsi="Palatino Linotype" w:cs="Palatino Linotype"/>
          <w:color w:val="000000"/>
        </w:rPr>
      </w:pPr>
    </w:p>
    <w:p w14:paraId="7592506B" w14:textId="77777777" w:rsidR="00FD489D" w:rsidRPr="00FD489D" w:rsidRDefault="00FD489D">
      <w:pPr>
        <w:tabs>
          <w:tab w:val="left" w:pos="284"/>
        </w:tabs>
        <w:spacing w:after="240" w:line="360" w:lineRule="auto"/>
        <w:ind w:right="7"/>
        <w:jc w:val="both"/>
        <w:rPr>
          <w:rFonts w:ascii="Palatino Linotype" w:eastAsia="Palatino Linotype" w:hAnsi="Palatino Linotype" w:cs="Palatino Linotype"/>
          <w:color w:val="000000"/>
        </w:rPr>
      </w:pPr>
    </w:p>
    <w:p w14:paraId="092401ED" w14:textId="77777777" w:rsidR="00FD489D" w:rsidRPr="00FD489D" w:rsidRDefault="00FD489D">
      <w:pPr>
        <w:tabs>
          <w:tab w:val="left" w:pos="284"/>
        </w:tabs>
        <w:spacing w:after="240" w:line="360" w:lineRule="auto"/>
        <w:ind w:right="7"/>
        <w:jc w:val="both"/>
        <w:rPr>
          <w:rFonts w:ascii="Palatino Linotype" w:eastAsia="Palatino Linotype" w:hAnsi="Palatino Linotype" w:cs="Palatino Linotype"/>
          <w:color w:val="000000"/>
        </w:rPr>
      </w:pPr>
    </w:p>
    <w:p w14:paraId="456A87B0" w14:textId="77777777" w:rsidR="00FD489D" w:rsidRPr="00FD489D" w:rsidRDefault="00FD489D">
      <w:pPr>
        <w:tabs>
          <w:tab w:val="left" w:pos="284"/>
        </w:tabs>
        <w:spacing w:after="240" w:line="360" w:lineRule="auto"/>
        <w:ind w:right="7"/>
        <w:jc w:val="both"/>
        <w:rPr>
          <w:rFonts w:ascii="Palatino Linotype" w:eastAsia="Palatino Linotype" w:hAnsi="Palatino Linotype" w:cs="Palatino Linotype"/>
          <w:color w:val="000000"/>
        </w:rPr>
      </w:pPr>
    </w:p>
    <w:p w14:paraId="22E43352" w14:textId="77777777" w:rsidR="00FD489D" w:rsidRPr="00FD489D" w:rsidRDefault="00FD489D">
      <w:pPr>
        <w:tabs>
          <w:tab w:val="left" w:pos="284"/>
        </w:tabs>
        <w:spacing w:after="240" w:line="360" w:lineRule="auto"/>
        <w:ind w:right="7"/>
        <w:jc w:val="both"/>
        <w:rPr>
          <w:rFonts w:ascii="Palatino Linotype" w:eastAsia="Palatino Linotype" w:hAnsi="Palatino Linotype" w:cs="Palatino Linotype"/>
          <w:color w:val="000000"/>
        </w:rPr>
      </w:pPr>
    </w:p>
    <w:p w14:paraId="27919619" w14:textId="77777777" w:rsidR="00FD489D" w:rsidRPr="00FD489D" w:rsidRDefault="00FD489D">
      <w:pPr>
        <w:tabs>
          <w:tab w:val="left" w:pos="284"/>
        </w:tabs>
        <w:spacing w:after="240" w:line="360" w:lineRule="auto"/>
        <w:ind w:right="7"/>
        <w:jc w:val="both"/>
        <w:rPr>
          <w:rFonts w:ascii="Palatino Linotype" w:eastAsia="Palatino Linotype" w:hAnsi="Palatino Linotype" w:cs="Palatino Linotype"/>
          <w:color w:val="000000"/>
        </w:rPr>
      </w:pPr>
    </w:p>
    <w:p w14:paraId="17381799" w14:textId="77777777" w:rsidR="00FD489D" w:rsidRPr="00FD489D" w:rsidRDefault="00FD489D">
      <w:pPr>
        <w:tabs>
          <w:tab w:val="left" w:pos="284"/>
        </w:tabs>
        <w:spacing w:after="240" w:line="360" w:lineRule="auto"/>
        <w:ind w:right="7"/>
        <w:jc w:val="both"/>
        <w:rPr>
          <w:rFonts w:ascii="Palatino Linotype" w:eastAsia="Palatino Linotype" w:hAnsi="Palatino Linotype" w:cs="Palatino Linotype"/>
          <w:color w:val="000000"/>
        </w:rPr>
      </w:pPr>
    </w:p>
    <w:p w14:paraId="5DEE0C3E" w14:textId="77777777" w:rsidR="00FD489D" w:rsidRPr="00FD489D" w:rsidRDefault="00FD489D">
      <w:pPr>
        <w:tabs>
          <w:tab w:val="left" w:pos="284"/>
        </w:tabs>
        <w:spacing w:after="240" w:line="360" w:lineRule="auto"/>
        <w:ind w:right="7"/>
        <w:jc w:val="both"/>
        <w:rPr>
          <w:rFonts w:ascii="Palatino Linotype" w:eastAsia="Palatino Linotype" w:hAnsi="Palatino Linotype" w:cs="Palatino Linotype"/>
          <w:color w:val="000000"/>
        </w:rPr>
      </w:pPr>
    </w:p>
    <w:p w14:paraId="10588131" w14:textId="77777777" w:rsidR="00FD489D" w:rsidRPr="00FD489D" w:rsidRDefault="00FD489D">
      <w:pPr>
        <w:tabs>
          <w:tab w:val="left" w:pos="284"/>
        </w:tabs>
        <w:spacing w:after="240" w:line="360" w:lineRule="auto"/>
        <w:ind w:right="7"/>
        <w:jc w:val="both"/>
        <w:rPr>
          <w:rFonts w:ascii="Palatino Linotype" w:eastAsia="Palatino Linotype" w:hAnsi="Palatino Linotype" w:cs="Palatino Linotype"/>
          <w:color w:val="000000"/>
        </w:rPr>
      </w:pPr>
    </w:p>
    <w:p w14:paraId="2E60E009" w14:textId="77777777" w:rsidR="00FD489D" w:rsidRPr="00FD489D" w:rsidRDefault="00FD489D">
      <w:pPr>
        <w:tabs>
          <w:tab w:val="left" w:pos="284"/>
        </w:tabs>
        <w:spacing w:after="240" w:line="360" w:lineRule="auto"/>
        <w:ind w:right="7"/>
        <w:jc w:val="both"/>
        <w:rPr>
          <w:rFonts w:ascii="Palatino Linotype" w:eastAsia="Palatino Linotype" w:hAnsi="Palatino Linotype" w:cs="Palatino Linotype"/>
          <w:color w:val="000000"/>
        </w:rPr>
      </w:pPr>
    </w:p>
    <w:p w14:paraId="557F8BB1" w14:textId="77777777" w:rsidR="00FD489D" w:rsidRPr="00FD489D" w:rsidRDefault="00FD489D">
      <w:pPr>
        <w:tabs>
          <w:tab w:val="left" w:pos="284"/>
        </w:tabs>
        <w:spacing w:after="240" w:line="360" w:lineRule="auto"/>
        <w:ind w:right="7"/>
        <w:jc w:val="both"/>
        <w:rPr>
          <w:rFonts w:ascii="Palatino Linotype" w:eastAsia="Palatino Linotype" w:hAnsi="Palatino Linotype" w:cs="Palatino Linotype"/>
          <w:color w:val="000000"/>
        </w:rPr>
      </w:pPr>
    </w:p>
    <w:p w14:paraId="191ED7A6" w14:textId="77777777" w:rsidR="00FD489D" w:rsidRPr="00FD489D" w:rsidRDefault="00FD489D">
      <w:pPr>
        <w:tabs>
          <w:tab w:val="left" w:pos="284"/>
        </w:tabs>
        <w:spacing w:after="240" w:line="360" w:lineRule="auto"/>
        <w:ind w:right="7"/>
        <w:jc w:val="both"/>
        <w:rPr>
          <w:rFonts w:ascii="Palatino Linotype" w:eastAsia="Palatino Linotype" w:hAnsi="Palatino Linotype" w:cs="Palatino Linotype"/>
          <w:color w:val="000000"/>
        </w:rPr>
      </w:pPr>
    </w:p>
    <w:p w14:paraId="4F43C6AF" w14:textId="77777777" w:rsidR="00FD489D" w:rsidRPr="00FD489D" w:rsidRDefault="00FD489D">
      <w:pPr>
        <w:tabs>
          <w:tab w:val="left" w:pos="284"/>
        </w:tabs>
        <w:spacing w:after="240" w:line="360" w:lineRule="auto"/>
        <w:ind w:right="7"/>
        <w:jc w:val="both"/>
        <w:rPr>
          <w:rFonts w:ascii="Palatino Linotype" w:eastAsia="Palatino Linotype" w:hAnsi="Palatino Linotype" w:cs="Palatino Linotype"/>
          <w:color w:val="000000"/>
        </w:rPr>
      </w:pPr>
    </w:p>
    <w:p w14:paraId="7629F712" w14:textId="77777777" w:rsidR="00FD489D" w:rsidRPr="00FD489D" w:rsidRDefault="00FD489D">
      <w:pPr>
        <w:tabs>
          <w:tab w:val="left" w:pos="284"/>
        </w:tabs>
        <w:spacing w:after="240" w:line="360" w:lineRule="auto"/>
        <w:ind w:right="7"/>
        <w:jc w:val="both"/>
        <w:rPr>
          <w:rFonts w:ascii="Palatino Linotype" w:eastAsia="Palatino Linotype" w:hAnsi="Palatino Linotype" w:cs="Palatino Linotype"/>
          <w:color w:val="000000"/>
        </w:rPr>
      </w:pPr>
    </w:p>
    <w:p w14:paraId="42F86307" w14:textId="77777777" w:rsidR="00FD489D" w:rsidRPr="00FD489D" w:rsidRDefault="00FD489D">
      <w:pPr>
        <w:tabs>
          <w:tab w:val="left" w:pos="284"/>
        </w:tabs>
        <w:spacing w:after="240" w:line="360" w:lineRule="auto"/>
        <w:ind w:right="7"/>
        <w:jc w:val="both"/>
        <w:rPr>
          <w:rFonts w:ascii="Palatino Linotype" w:eastAsia="Palatino Linotype" w:hAnsi="Palatino Linotype" w:cs="Palatino Linotype"/>
          <w:color w:val="000000"/>
        </w:rPr>
      </w:pPr>
    </w:p>
    <w:p w14:paraId="4DFBD630" w14:textId="77777777" w:rsidR="00FD489D" w:rsidRPr="00FD489D" w:rsidRDefault="00FD489D">
      <w:pPr>
        <w:tabs>
          <w:tab w:val="left" w:pos="284"/>
        </w:tabs>
        <w:spacing w:after="240" w:line="360" w:lineRule="auto"/>
        <w:ind w:right="7"/>
        <w:jc w:val="both"/>
        <w:rPr>
          <w:rFonts w:ascii="Palatino Linotype" w:eastAsia="Palatino Linotype" w:hAnsi="Palatino Linotype" w:cs="Palatino Linotype"/>
          <w:color w:val="000000"/>
        </w:rPr>
      </w:pPr>
    </w:p>
    <w:p w14:paraId="5154D6B0" w14:textId="77777777" w:rsidR="00FD489D" w:rsidRPr="00FD489D" w:rsidRDefault="00FD489D">
      <w:pPr>
        <w:tabs>
          <w:tab w:val="left" w:pos="284"/>
        </w:tabs>
        <w:spacing w:after="240" w:line="360" w:lineRule="auto"/>
        <w:ind w:right="7"/>
        <w:jc w:val="both"/>
        <w:rPr>
          <w:rFonts w:ascii="Palatino Linotype" w:eastAsia="Palatino Linotype" w:hAnsi="Palatino Linotype" w:cs="Palatino Linotype"/>
          <w:color w:val="000000"/>
        </w:rPr>
      </w:pPr>
    </w:p>
    <w:sectPr w:rsidR="00FD489D" w:rsidRPr="00FD489D">
      <w:headerReference w:type="even" r:id="rId18"/>
      <w:headerReference w:type="default" r:id="rId19"/>
      <w:footerReference w:type="default" r:id="rId20"/>
      <w:headerReference w:type="first" r:id="rId21"/>
      <w:footerReference w:type="first" r:id="rId22"/>
      <w:pgSz w:w="12240" w:h="15840"/>
      <w:pgMar w:top="2268" w:right="900"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C5D2E" w14:textId="77777777" w:rsidR="00121F38" w:rsidRDefault="00121F38">
      <w:r>
        <w:separator/>
      </w:r>
    </w:p>
  </w:endnote>
  <w:endnote w:type="continuationSeparator" w:id="0">
    <w:p w14:paraId="09262B5D" w14:textId="77777777" w:rsidR="00121F38" w:rsidRDefault="0012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D25CC" w14:textId="77777777" w:rsidR="00FA493A" w:rsidRDefault="00FA493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0780B">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0780B">
      <w:rPr>
        <w:rFonts w:ascii="Palatino Linotype" w:eastAsia="Palatino Linotype" w:hAnsi="Palatino Linotype" w:cs="Palatino Linotype"/>
        <w:noProof/>
        <w:color w:val="000000"/>
        <w:sz w:val="20"/>
        <w:szCs w:val="20"/>
      </w:rPr>
      <w:t>57</w:t>
    </w:r>
    <w:r>
      <w:rPr>
        <w:rFonts w:ascii="Palatino Linotype" w:eastAsia="Palatino Linotype" w:hAnsi="Palatino Linotype" w:cs="Palatino Linotype"/>
        <w:color w:val="000000"/>
        <w:sz w:val="20"/>
        <w:szCs w:val="20"/>
      </w:rPr>
      <w:fldChar w:fldCharType="end"/>
    </w:r>
  </w:p>
  <w:p w14:paraId="737D25CD" w14:textId="77777777" w:rsidR="00FA493A" w:rsidRDefault="00FA493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D25DC" w14:textId="77777777" w:rsidR="00FA493A" w:rsidRDefault="00FA493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0780B">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0780B">
      <w:rPr>
        <w:rFonts w:ascii="Palatino Linotype" w:eastAsia="Palatino Linotype" w:hAnsi="Palatino Linotype" w:cs="Palatino Linotype"/>
        <w:noProof/>
        <w:color w:val="000000"/>
        <w:sz w:val="20"/>
        <w:szCs w:val="20"/>
      </w:rPr>
      <w:t>57</w:t>
    </w:r>
    <w:r>
      <w:rPr>
        <w:rFonts w:ascii="Palatino Linotype" w:eastAsia="Palatino Linotype" w:hAnsi="Palatino Linotype" w:cs="Palatino Linotype"/>
        <w:color w:val="000000"/>
        <w:sz w:val="20"/>
        <w:szCs w:val="20"/>
      </w:rPr>
      <w:fldChar w:fldCharType="end"/>
    </w:r>
  </w:p>
  <w:p w14:paraId="737D25DD" w14:textId="77777777" w:rsidR="00FA493A" w:rsidRDefault="00FA493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0E101" w14:textId="77777777" w:rsidR="00121F38" w:rsidRDefault="00121F38">
      <w:r>
        <w:separator/>
      </w:r>
    </w:p>
  </w:footnote>
  <w:footnote w:type="continuationSeparator" w:id="0">
    <w:p w14:paraId="758212DD" w14:textId="77777777" w:rsidR="00121F38" w:rsidRDefault="00121F38">
      <w:r>
        <w:continuationSeparator/>
      </w:r>
    </w:p>
  </w:footnote>
  <w:footnote w:id="1">
    <w:p w14:paraId="737D25E1" w14:textId="77777777" w:rsidR="00FA493A" w:rsidRDefault="00FA493A">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2">
    <w:p w14:paraId="737D25E2" w14:textId="77777777" w:rsidR="00FA493A" w:rsidRDefault="00FA493A">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3">
    <w:p w14:paraId="737D25E3" w14:textId="77777777" w:rsidR="00FA493A" w:rsidRDefault="00FA493A">
      <w:pPr>
        <w:pBdr>
          <w:top w:val="nil"/>
          <w:left w:val="nil"/>
          <w:bottom w:val="nil"/>
          <w:right w:val="nil"/>
          <w:between w:val="nil"/>
        </w:pBdr>
        <w:rPr>
          <w:color w:val="000000"/>
        </w:rPr>
      </w:pPr>
      <w:r>
        <w:rPr>
          <w:vertAlign w:val="superscript"/>
        </w:rPr>
        <w:footnoteRef/>
      </w:r>
      <w:r>
        <w:rPr>
          <w:color w:val="000000"/>
        </w:rPr>
        <w:t xml:space="preserve"> Corte Interamericana de Derechos Humanos. Caso Claude Reyes y otros vs. Chile. Sentencia de 19 de septiembre de 2006. Serie C. No. 151. Párr. 86.</w:t>
      </w:r>
    </w:p>
  </w:footnote>
  <w:footnote w:id="4">
    <w:p w14:paraId="737D25E4" w14:textId="77777777" w:rsidR="00FA493A" w:rsidRDefault="00FA493A">
      <w:pPr>
        <w:pBdr>
          <w:top w:val="nil"/>
          <w:left w:val="nil"/>
          <w:bottom w:val="nil"/>
          <w:right w:val="nil"/>
          <w:between w:val="nil"/>
        </w:pBdr>
        <w:rPr>
          <w:color w:val="000000"/>
        </w:rPr>
      </w:pPr>
      <w:r>
        <w:rPr>
          <w:vertAlign w:val="superscript"/>
        </w:rPr>
        <w:footnoteRef/>
      </w:r>
      <w:r>
        <w:rPr>
          <w:color w:val="000000"/>
        </w:rPr>
        <w:t xml:space="preserve"> Ibídem. Parr. 87.</w:t>
      </w:r>
    </w:p>
  </w:footnote>
  <w:footnote w:id="5">
    <w:p w14:paraId="737D25E5" w14:textId="77777777" w:rsidR="00FA493A" w:rsidRDefault="00FA493A">
      <w:pPr>
        <w:pBdr>
          <w:top w:val="nil"/>
          <w:left w:val="nil"/>
          <w:bottom w:val="nil"/>
          <w:right w:val="nil"/>
          <w:between w:val="nil"/>
        </w:pBdr>
        <w:rPr>
          <w:color w:val="000000"/>
        </w:rPr>
      </w:pPr>
      <w:r>
        <w:rPr>
          <w:vertAlign w:val="superscript"/>
        </w:rPr>
        <w:footnoteRef/>
      </w:r>
      <w:r>
        <w:rPr>
          <w:color w:val="000000"/>
        </w:rPr>
        <w:t xml:space="preserve"> 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D25C0" w14:textId="77777777" w:rsidR="00FA493A" w:rsidRDefault="00121F38">
    <w:pPr>
      <w:pBdr>
        <w:top w:val="nil"/>
        <w:left w:val="nil"/>
        <w:bottom w:val="nil"/>
        <w:right w:val="nil"/>
        <w:between w:val="nil"/>
      </w:pBdr>
      <w:tabs>
        <w:tab w:val="center" w:pos="4419"/>
        <w:tab w:val="right" w:pos="8838"/>
      </w:tabs>
      <w:rPr>
        <w:color w:val="000000"/>
      </w:rPr>
    </w:pPr>
    <w:r>
      <w:rPr>
        <w:color w:val="000000"/>
      </w:rPr>
      <w:pict w14:anchorId="737D2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D25C1" w14:textId="77777777" w:rsidR="00FA493A" w:rsidRDefault="00FA493A">
    <w:pPr>
      <w:widowControl w:val="0"/>
      <w:pBdr>
        <w:top w:val="nil"/>
        <w:left w:val="nil"/>
        <w:bottom w:val="nil"/>
        <w:right w:val="nil"/>
        <w:between w:val="nil"/>
      </w:pBdr>
      <w:spacing w:line="276" w:lineRule="auto"/>
      <w:rPr>
        <w:color w:val="000000"/>
      </w:rPr>
    </w:pPr>
  </w:p>
  <w:tbl>
    <w:tblPr>
      <w:tblStyle w:val="a7"/>
      <w:tblW w:w="7305" w:type="dxa"/>
      <w:tblInd w:w="2694" w:type="dxa"/>
      <w:tblLayout w:type="fixed"/>
      <w:tblLook w:val="0400" w:firstRow="0" w:lastRow="0" w:firstColumn="0" w:lastColumn="0" w:noHBand="0" w:noVBand="1"/>
    </w:tblPr>
    <w:tblGrid>
      <w:gridCol w:w="2970"/>
      <w:gridCol w:w="4335"/>
    </w:tblGrid>
    <w:tr w:rsidR="00FA493A" w14:paraId="737D25C4" w14:textId="77777777">
      <w:trPr>
        <w:trHeight w:val="227"/>
      </w:trPr>
      <w:tc>
        <w:tcPr>
          <w:tcW w:w="2970" w:type="dxa"/>
          <w:vAlign w:val="center"/>
        </w:tcPr>
        <w:p w14:paraId="737D25C2" w14:textId="77777777" w:rsidR="00FA493A" w:rsidRDefault="00FA493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35" w:type="dxa"/>
          <w:vAlign w:val="center"/>
        </w:tcPr>
        <w:p w14:paraId="737D25C3" w14:textId="77777777" w:rsidR="00FA493A" w:rsidRDefault="00FA493A">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01808/INFOEM/IP/RR/2024</w:t>
          </w:r>
        </w:p>
      </w:tc>
    </w:tr>
    <w:tr w:rsidR="00FA493A" w14:paraId="737D25C7" w14:textId="77777777">
      <w:trPr>
        <w:trHeight w:val="242"/>
      </w:trPr>
      <w:tc>
        <w:tcPr>
          <w:tcW w:w="2970" w:type="dxa"/>
          <w:vAlign w:val="center"/>
        </w:tcPr>
        <w:p w14:paraId="737D25C5" w14:textId="77777777" w:rsidR="00FA493A" w:rsidRDefault="00FA493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35" w:type="dxa"/>
          <w:vAlign w:val="center"/>
        </w:tcPr>
        <w:p w14:paraId="737D25C6" w14:textId="77777777" w:rsidR="00FA493A" w:rsidRDefault="00FA493A">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sz w:val="22"/>
              <w:szCs w:val="22"/>
            </w:rPr>
            <w:t>Ayuntamiento de Almoloya de Juárez</w:t>
          </w:r>
        </w:p>
      </w:tc>
    </w:tr>
    <w:tr w:rsidR="00FA493A" w14:paraId="737D25CA" w14:textId="77777777">
      <w:trPr>
        <w:trHeight w:val="342"/>
      </w:trPr>
      <w:tc>
        <w:tcPr>
          <w:tcW w:w="2970" w:type="dxa"/>
          <w:vAlign w:val="center"/>
        </w:tcPr>
        <w:p w14:paraId="737D25C8" w14:textId="77777777" w:rsidR="00FA493A" w:rsidRDefault="00FA493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35" w:type="dxa"/>
          <w:vAlign w:val="center"/>
        </w:tcPr>
        <w:p w14:paraId="737D25C9" w14:textId="77777777" w:rsidR="00FA493A" w:rsidRDefault="00FA493A">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737D25CB" w14:textId="77777777" w:rsidR="00FA493A" w:rsidRDefault="00121F38">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737D2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6pt;margin-top:-127.8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D25CE" w14:textId="77777777" w:rsidR="00FA493A" w:rsidRDefault="00FA493A">
    <w:pPr>
      <w:widowControl w:val="0"/>
      <w:pBdr>
        <w:top w:val="nil"/>
        <w:left w:val="nil"/>
        <w:bottom w:val="nil"/>
        <w:right w:val="nil"/>
        <w:between w:val="nil"/>
      </w:pBdr>
      <w:spacing w:line="276" w:lineRule="auto"/>
      <w:rPr>
        <w:color w:val="000000"/>
        <w:sz w:val="14"/>
        <w:szCs w:val="14"/>
      </w:rPr>
    </w:pPr>
  </w:p>
  <w:tbl>
    <w:tblPr>
      <w:tblStyle w:val="a8"/>
      <w:tblW w:w="7470" w:type="dxa"/>
      <w:tblInd w:w="2552" w:type="dxa"/>
      <w:tblLayout w:type="fixed"/>
      <w:tblLook w:val="0400" w:firstRow="0" w:lastRow="0" w:firstColumn="0" w:lastColumn="0" w:noHBand="0" w:noVBand="1"/>
    </w:tblPr>
    <w:tblGrid>
      <w:gridCol w:w="2970"/>
      <w:gridCol w:w="4500"/>
    </w:tblGrid>
    <w:tr w:rsidR="00FA493A" w14:paraId="737D25D1" w14:textId="77777777">
      <w:trPr>
        <w:trHeight w:val="227"/>
      </w:trPr>
      <w:tc>
        <w:tcPr>
          <w:tcW w:w="2970" w:type="dxa"/>
          <w:vAlign w:val="center"/>
        </w:tcPr>
        <w:p w14:paraId="737D25CF" w14:textId="77777777" w:rsidR="00FA493A" w:rsidRDefault="00FA493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00" w:type="dxa"/>
          <w:vAlign w:val="center"/>
        </w:tcPr>
        <w:p w14:paraId="737D25D0" w14:textId="77777777" w:rsidR="00FA493A" w:rsidRDefault="00FA493A">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01808/INFOEM/IP/RR/2024</w:t>
          </w:r>
        </w:p>
      </w:tc>
    </w:tr>
    <w:tr w:rsidR="00FA493A" w14:paraId="737D25D4" w14:textId="77777777">
      <w:trPr>
        <w:trHeight w:val="242"/>
      </w:trPr>
      <w:tc>
        <w:tcPr>
          <w:tcW w:w="2970" w:type="dxa"/>
          <w:vAlign w:val="center"/>
        </w:tcPr>
        <w:p w14:paraId="737D25D2" w14:textId="77777777" w:rsidR="00FA493A" w:rsidRDefault="00FA493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00" w:type="dxa"/>
        </w:tcPr>
        <w:p w14:paraId="737D25D3" w14:textId="77777777" w:rsidR="00FA493A" w:rsidRDefault="00FA493A">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sz w:val="22"/>
              <w:szCs w:val="22"/>
              <w:highlight w:val="green"/>
            </w:rPr>
          </w:pPr>
        </w:p>
      </w:tc>
    </w:tr>
    <w:tr w:rsidR="00FA493A" w14:paraId="737D25D7" w14:textId="77777777">
      <w:trPr>
        <w:trHeight w:val="342"/>
      </w:trPr>
      <w:tc>
        <w:tcPr>
          <w:tcW w:w="2970" w:type="dxa"/>
          <w:vAlign w:val="center"/>
        </w:tcPr>
        <w:p w14:paraId="737D25D5" w14:textId="77777777" w:rsidR="00FA493A" w:rsidRDefault="00FA493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00" w:type="dxa"/>
          <w:vAlign w:val="center"/>
        </w:tcPr>
        <w:p w14:paraId="737D25D6" w14:textId="77777777" w:rsidR="00FA493A" w:rsidRDefault="00FA493A">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Ayuntamiento de Almoloya de Juárez</w:t>
          </w:r>
        </w:p>
      </w:tc>
    </w:tr>
    <w:tr w:rsidR="00FA493A" w14:paraId="737D25DA" w14:textId="77777777">
      <w:trPr>
        <w:trHeight w:val="342"/>
      </w:trPr>
      <w:tc>
        <w:tcPr>
          <w:tcW w:w="2970" w:type="dxa"/>
          <w:vAlign w:val="center"/>
        </w:tcPr>
        <w:p w14:paraId="737D25D8" w14:textId="77777777" w:rsidR="00FA493A" w:rsidRDefault="00FA493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00" w:type="dxa"/>
          <w:vAlign w:val="center"/>
        </w:tcPr>
        <w:p w14:paraId="737D25D9" w14:textId="77777777" w:rsidR="00FA493A" w:rsidRDefault="00FA493A">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737D25DB" w14:textId="77777777" w:rsidR="00FA493A" w:rsidRDefault="00121F38">
    <w:pPr>
      <w:pBdr>
        <w:top w:val="nil"/>
        <w:left w:val="nil"/>
        <w:bottom w:val="nil"/>
        <w:right w:val="nil"/>
        <w:between w:val="nil"/>
      </w:pBdr>
      <w:tabs>
        <w:tab w:val="center" w:pos="4419"/>
        <w:tab w:val="right" w:pos="8838"/>
      </w:tabs>
      <w:rPr>
        <w:color w:val="000000"/>
        <w:sz w:val="16"/>
        <w:szCs w:val="16"/>
      </w:rPr>
    </w:pPr>
    <w:r>
      <w:rPr>
        <w:sz w:val="14"/>
        <w:szCs w:val="14"/>
      </w:rPr>
      <w:pict w14:anchorId="737D2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9.5pt;margin-top:-139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714A"/>
    <w:multiLevelType w:val="multilevel"/>
    <w:tmpl w:val="DE700C44"/>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A47195"/>
    <w:multiLevelType w:val="multilevel"/>
    <w:tmpl w:val="3D6CA7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DAF7DD3"/>
    <w:multiLevelType w:val="multilevel"/>
    <w:tmpl w:val="C94A966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E00110"/>
    <w:multiLevelType w:val="multilevel"/>
    <w:tmpl w:val="C674F0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D622FC"/>
    <w:multiLevelType w:val="multilevel"/>
    <w:tmpl w:val="B276E09E"/>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5B4B2171"/>
    <w:multiLevelType w:val="multilevel"/>
    <w:tmpl w:val="38BE3E06"/>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365741"/>
    <w:multiLevelType w:val="multilevel"/>
    <w:tmpl w:val="6040E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26D3D82"/>
    <w:multiLevelType w:val="multilevel"/>
    <w:tmpl w:val="B016E832"/>
    <w:lvl w:ilvl="0">
      <w:numFmt w:val="bullet"/>
      <w:lvlText w:val="-"/>
      <w:lvlJc w:val="left"/>
      <w:pPr>
        <w:ind w:left="720" w:hanging="360"/>
      </w:pPr>
      <w:rPr>
        <w:rFonts w:ascii="Palatino Linotype" w:eastAsia="Palatino Linotype" w:hAnsi="Palatino Linotype" w:cs="Palatino Linotype"/>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68699C"/>
    <w:multiLevelType w:val="multilevel"/>
    <w:tmpl w:val="C538B0C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9E7A51"/>
    <w:multiLevelType w:val="multilevel"/>
    <w:tmpl w:val="A03807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A11360"/>
    <w:multiLevelType w:val="multilevel"/>
    <w:tmpl w:val="E78A1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1"/>
  </w:num>
  <w:num w:numId="3">
    <w:abstractNumId w:val="6"/>
  </w:num>
  <w:num w:numId="4">
    <w:abstractNumId w:val="9"/>
  </w:num>
  <w:num w:numId="5">
    <w:abstractNumId w:val="5"/>
  </w:num>
  <w:num w:numId="6">
    <w:abstractNumId w:val="12"/>
  </w:num>
  <w:num w:numId="7">
    <w:abstractNumId w:val="0"/>
  </w:num>
  <w:num w:numId="8">
    <w:abstractNumId w:val="10"/>
  </w:num>
  <w:num w:numId="9">
    <w:abstractNumId w:val="3"/>
  </w:num>
  <w:num w:numId="10">
    <w:abstractNumId w:val="8"/>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8A"/>
    <w:rsid w:val="00121F38"/>
    <w:rsid w:val="00272E54"/>
    <w:rsid w:val="00354B64"/>
    <w:rsid w:val="00360060"/>
    <w:rsid w:val="003A3154"/>
    <w:rsid w:val="0040780B"/>
    <w:rsid w:val="00557579"/>
    <w:rsid w:val="005664BC"/>
    <w:rsid w:val="00714C7B"/>
    <w:rsid w:val="009075FA"/>
    <w:rsid w:val="00B222F3"/>
    <w:rsid w:val="00B8018A"/>
    <w:rsid w:val="00CE0509"/>
    <w:rsid w:val="00D37A12"/>
    <w:rsid w:val="00FA493A"/>
    <w:rsid w:val="00FD4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7D23EF"/>
  <w15:docId w15:val="{2BB88A86-386E-409D-B892-03F0CA55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A41"/>
    <w:rPr>
      <w:rFonts w:eastAsiaTheme="minorEastAsia"/>
      <w:lang w:eastAsia="es-ES"/>
    </w:rPr>
  </w:style>
  <w:style w:type="paragraph" w:styleId="Ttulo1">
    <w:name w:val="heading 1"/>
    <w:basedOn w:val="Normal"/>
    <w:next w:val="Normal"/>
    <w:link w:val="Ttulo1Car"/>
    <w:uiPriority w:val="9"/>
    <w:qFormat/>
    <w:rsid w:val="00BA7A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A7A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BA7A41"/>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BA7A41"/>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A7A4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A7A41"/>
    <w:rPr>
      <w:rFonts w:ascii="Calibri" w:eastAsiaTheme="minorEastAsia" w:hAnsi="Calibri" w:cs="Calibri"/>
      <w:sz w:val="24"/>
      <w:szCs w:val="24"/>
      <w:lang w:val="es-ES_tradnl" w:eastAsia="es-ES"/>
    </w:rPr>
  </w:style>
  <w:style w:type="character" w:styleId="Hipervnculo">
    <w:name w:val="Hyperlink"/>
    <w:basedOn w:val="Fuentedeprrafopredeter"/>
    <w:uiPriority w:val="99"/>
    <w:unhideWhenUsed/>
    <w:rsid w:val="00BA7A41"/>
    <w:rPr>
      <w:color w:val="0563C1" w:themeColor="hyperlink"/>
      <w:u w:val="single"/>
    </w:rPr>
  </w:style>
  <w:style w:type="paragraph" w:styleId="Piedepgina">
    <w:name w:val="footer"/>
    <w:basedOn w:val="Normal"/>
    <w:link w:val="PiedepginaCar"/>
    <w:uiPriority w:val="99"/>
    <w:unhideWhenUsed/>
    <w:rsid w:val="005C0064"/>
    <w:pPr>
      <w:tabs>
        <w:tab w:val="center" w:pos="4419"/>
        <w:tab w:val="right" w:pos="8838"/>
      </w:tabs>
    </w:pPr>
  </w:style>
  <w:style w:type="character" w:customStyle="1" w:styleId="PiedepginaCar">
    <w:name w:val="Pie de página Car"/>
    <w:basedOn w:val="Fuentedeprrafopredeter"/>
    <w:link w:val="Piedepgina"/>
    <w:uiPriority w:val="99"/>
    <w:rsid w:val="005C0064"/>
    <w:rPr>
      <w:rFonts w:ascii="Calibri" w:eastAsiaTheme="minorEastAsia" w:hAnsi="Calibri" w:cs="Calibri"/>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Listaconvietas2">
    <w:name w:val="List Bullet 2"/>
    <w:basedOn w:val="Normal"/>
    <w:uiPriority w:val="99"/>
    <w:unhideWhenUsed/>
    <w:qFormat/>
    <w:rsid w:val="00DA76C0"/>
    <w:pPr>
      <w:numPr>
        <w:numId w:val="7"/>
      </w:numPr>
      <w:contextualSpacing/>
    </w:pPr>
    <w:rPr>
      <w:rFonts w:ascii="Times New Roman" w:eastAsia="Times New Roman" w:hAnsi="Times New Roman" w:cs="Times New Roman"/>
      <w:sz w:val="20"/>
      <w:szCs w:val="20"/>
      <w:lang w:val="es-MX"/>
    </w:rPr>
  </w:style>
  <w:style w:type="table" w:styleId="Tablaconcuadrcula">
    <w:name w:val="Table Grid"/>
    <w:basedOn w:val="Tablanormal"/>
    <w:uiPriority w:val="39"/>
    <w:rsid w:val="00457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character" w:styleId="Referenciasutil">
    <w:name w:val="Subtle Reference"/>
    <w:basedOn w:val="Fuentedeprrafopredeter"/>
    <w:uiPriority w:val="31"/>
    <w:qFormat/>
    <w:rsid w:val="0007361A"/>
    <w:rPr>
      <w:rFonts w:cs="Times New Roman"/>
      <w:smallCaps/>
      <w:color w:val="5A5A5A" w:themeColor="text1" w:themeTint="A5"/>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06C2C"/>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06C2C"/>
    <w:rPr>
      <w:rFonts w:asciiTheme="minorHAnsi" w:eastAsiaTheme="minorHAnsi" w:hAnsiTheme="minorHAnsi" w:cstheme="minorBid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006C2C"/>
    <w:rPr>
      <w:vertAlign w:val="superscript"/>
    </w:rPr>
  </w:style>
  <w:style w:type="table" w:customStyle="1" w:styleId="Tablanormal12">
    <w:name w:val="Tabla normal 12"/>
    <w:basedOn w:val="Tablanormal"/>
    <w:next w:val="Tablanormal1"/>
    <w:uiPriority w:val="41"/>
    <w:rsid w:val="00006C2C"/>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006C2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aconvietas3">
    <w:name w:val="List Bullet 3"/>
    <w:basedOn w:val="Normal"/>
    <w:uiPriority w:val="99"/>
    <w:unhideWhenUsed/>
    <w:rsid w:val="003812DD"/>
    <w:pPr>
      <w:numPr>
        <w:numId w:val="11"/>
      </w:numPr>
      <w:contextualSpacing/>
    </w:pPr>
    <w:rPr>
      <w:rFonts w:ascii="Times New Roman" w:eastAsia="Times New Roman" w:hAnsi="Times New Roman" w:cs="Times New Roman"/>
      <w:lang w:val="es-ES" w:eastAsia="es-MX"/>
    </w:rPr>
  </w:style>
  <w:style w:type="table" w:customStyle="1" w:styleId="a6">
    <w:basedOn w:val="TableNormal0"/>
    <w:rPr>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anterior.ine.mx/archivos2/tutoriales/sistemas/ApoyoInstitucional/SIF/docs/candidatos/folioFiscalFactura.pdf"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dof.gob.mx/nota_detalle.php?codigo=5492254&amp;fecha=28/07/2017" TargetMode="External"/><Relationship Id="rId17" Type="http://schemas.openxmlformats.org/officeDocument/2006/relationships/hyperlink" Target="https://www.gob.mx/sesnsp/acciones-y-programas/incidencia-delictiva-del-fuero-comun-nueva-metodologia?state=published" TargetMode="External"/><Relationship Id="rId2" Type="http://schemas.openxmlformats.org/officeDocument/2006/relationships/customXml" Target="../customXml/item2.xml"/><Relationship Id="rId16" Type="http://schemas.openxmlformats.org/officeDocument/2006/relationships/hyperlink" Target="http://secretariadoejecutivo.gob.mx/work/models/SecretariadoEjecutivo/Resource/328/1/images/instructivo_final_edo_fuerza(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b.mx/segob/renapo/acciones-y-programas/clave-unica-de-registro-de-poblacion-curp-14222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consultas.curp.gob.mx/CurpSP/html/informacionecurpPS.html"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saimex.org.mx/saimex/solicitud/downloadAttach/2058598.page" TargetMode="External"/><Relationship Id="rId14" Type="http://schemas.openxmlformats.org/officeDocument/2006/relationships/image" Target="media/image1.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Tg05fwwD2AdIhrjHCM3K5iK/FA==">CgMxLjAyCGguZ2pkZ3hzMgloLjFmb2I5dGUyCWguM3pueXNoNzIJaC4yZXQ5MnAwMghoLnR5amN3dDIJaC4zZHk2dmttOAByITFuaUduOWE5dllrNXcwSmJvOHNta0tjOEJyaFJWRnlGMw==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5FE5FF-1C21-4696-9E1B-3FB6EFC7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57</Pages>
  <Words>13171</Words>
  <Characters>72445</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INFOEM399</dc:creator>
  <cp:lastModifiedBy>INFOEM403</cp:lastModifiedBy>
  <cp:revision>10</cp:revision>
  <cp:lastPrinted>2025-02-13T16:14:00Z</cp:lastPrinted>
  <dcterms:created xsi:type="dcterms:W3CDTF">2025-02-10T20:29:00Z</dcterms:created>
  <dcterms:modified xsi:type="dcterms:W3CDTF">2025-03-25T20:34:00Z</dcterms:modified>
</cp:coreProperties>
</file>